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Theme="minorEastAsia" w:hAnsiTheme="minorEastAsia" w:eastAsiaTheme="minorEastAsia"/>
          <w:sz w:val="48"/>
          <w:szCs w:val="48"/>
          <w:highlight w:val="none"/>
        </w:rPr>
      </w:pPr>
    </w:p>
    <w:p>
      <w:pPr>
        <w:ind w:firstLine="0" w:firstLineChars="0"/>
        <w:jc w:val="center"/>
        <w:rPr>
          <w:rFonts w:hint="eastAsia" w:asciiTheme="minorEastAsia" w:hAnsiTheme="minorEastAsia" w:eastAsiaTheme="minorEastAsia"/>
          <w:sz w:val="48"/>
          <w:szCs w:val="48"/>
          <w:highlight w:val="none"/>
        </w:rPr>
      </w:pPr>
    </w:p>
    <w:p>
      <w:pPr>
        <w:ind w:firstLine="0" w:firstLineChars="0"/>
        <w:jc w:val="center"/>
        <w:rPr>
          <w:rFonts w:hint="eastAsia" w:ascii="黑体" w:hAnsi="黑体" w:eastAsia="黑体"/>
          <w:sz w:val="52"/>
          <w:szCs w:val="52"/>
          <w:highlight w:val="none"/>
        </w:rPr>
      </w:pPr>
      <w:r>
        <w:rPr>
          <w:rFonts w:hint="eastAsia" w:ascii="黑体" w:hAnsi="黑体" w:eastAsia="黑体"/>
          <w:sz w:val="52"/>
          <w:szCs w:val="52"/>
          <w:highlight w:val="none"/>
        </w:rPr>
        <w:t>国土空间规划和用途管制大系统(2025年升级改造)项目</w:t>
      </w:r>
    </w:p>
    <w:p>
      <w:pPr>
        <w:ind w:firstLine="0" w:firstLineChars="0"/>
        <w:jc w:val="center"/>
        <w:rPr>
          <w:rFonts w:hint="eastAsia" w:ascii="黑体" w:hAnsi="黑体" w:eastAsia="黑体"/>
          <w:sz w:val="52"/>
          <w:szCs w:val="52"/>
          <w:highlight w:val="none"/>
        </w:rPr>
      </w:pPr>
      <w:r>
        <w:rPr>
          <w:rFonts w:hint="eastAsia" w:ascii="黑体" w:hAnsi="黑体" w:eastAsia="黑体"/>
          <w:sz w:val="52"/>
          <w:szCs w:val="52"/>
          <w:highlight w:val="none"/>
        </w:rPr>
        <w:t>采购需求</w:t>
      </w:r>
    </w:p>
    <w:p>
      <w:pPr>
        <w:ind w:firstLine="0" w:firstLineChars="0"/>
        <w:jc w:val="center"/>
        <w:rPr>
          <w:rFonts w:hint="eastAsia" w:asciiTheme="minorEastAsia" w:hAnsiTheme="minorEastAsia" w:eastAsiaTheme="minorEastAsia"/>
          <w:sz w:val="72"/>
          <w:szCs w:val="72"/>
          <w:highlight w:val="none"/>
        </w:rPr>
      </w:pPr>
    </w:p>
    <w:p>
      <w:pPr>
        <w:ind w:firstLine="0" w:firstLineChars="0"/>
        <w:jc w:val="center"/>
        <w:rPr>
          <w:rFonts w:hint="eastAsia" w:asciiTheme="minorEastAsia" w:hAnsiTheme="minorEastAsia" w:eastAsiaTheme="minorEastAsia"/>
          <w:sz w:val="48"/>
          <w:szCs w:val="48"/>
          <w:highlight w:val="none"/>
        </w:rPr>
      </w:pPr>
    </w:p>
    <w:p>
      <w:pPr>
        <w:ind w:firstLine="0" w:firstLineChars="0"/>
        <w:jc w:val="center"/>
        <w:rPr>
          <w:rFonts w:hint="eastAsia" w:asciiTheme="minorEastAsia" w:hAnsiTheme="minorEastAsia" w:eastAsiaTheme="minorEastAsia"/>
          <w:sz w:val="52"/>
          <w:szCs w:val="52"/>
          <w:highlight w:val="none"/>
        </w:rPr>
      </w:pPr>
    </w:p>
    <w:p>
      <w:pPr>
        <w:ind w:firstLine="1040"/>
        <w:rPr>
          <w:rFonts w:hint="eastAsia" w:asciiTheme="minorEastAsia" w:hAnsiTheme="minorEastAsia" w:eastAsiaTheme="minorEastAsia"/>
          <w:sz w:val="52"/>
          <w:szCs w:val="52"/>
          <w:highlight w:val="none"/>
        </w:rPr>
      </w:pPr>
    </w:p>
    <w:p>
      <w:pPr>
        <w:rPr>
          <w:rFonts w:hint="eastAsia" w:asciiTheme="minorEastAsia" w:hAnsiTheme="minorEastAsia" w:eastAsiaTheme="minorEastAsia"/>
          <w:highlight w:val="none"/>
        </w:rPr>
      </w:pPr>
    </w:p>
    <w:p>
      <w:pPr>
        <w:rPr>
          <w:rFonts w:hint="eastAsia" w:asciiTheme="minorEastAsia" w:hAnsiTheme="minorEastAsia" w:eastAsiaTheme="minorEastAsia"/>
          <w:highlight w:val="none"/>
        </w:rPr>
      </w:pPr>
    </w:p>
    <w:p>
      <w:pPr>
        <w:rPr>
          <w:rFonts w:hint="eastAsia" w:asciiTheme="minorEastAsia" w:hAnsiTheme="minorEastAsia" w:eastAsiaTheme="minorEastAsia"/>
          <w:highlight w:val="none"/>
        </w:rPr>
      </w:pPr>
    </w:p>
    <w:p>
      <w:pPr>
        <w:rPr>
          <w:rFonts w:hint="eastAsia" w:asciiTheme="minorEastAsia" w:hAnsiTheme="minorEastAsia" w:eastAsiaTheme="minorEastAsia"/>
          <w:highlight w:val="none"/>
        </w:rPr>
      </w:pPr>
    </w:p>
    <w:p>
      <w:pPr>
        <w:rPr>
          <w:rFonts w:hint="eastAsia" w:asciiTheme="minorEastAsia" w:hAnsiTheme="minorEastAsia" w:eastAsiaTheme="minorEastAsia"/>
          <w:highlight w:val="none"/>
        </w:rPr>
      </w:pPr>
    </w:p>
    <w:p>
      <w:pPr>
        <w:ind w:firstLine="1040"/>
        <w:rPr>
          <w:rFonts w:hint="eastAsia" w:asciiTheme="minorEastAsia" w:hAnsiTheme="minorEastAsia" w:eastAsiaTheme="minorEastAsia"/>
          <w:sz w:val="52"/>
          <w:szCs w:val="52"/>
          <w:highlight w:val="none"/>
        </w:rPr>
      </w:pPr>
    </w:p>
    <w:p>
      <w:pPr>
        <w:jc w:val="center"/>
        <w:rPr>
          <w:rFonts w:hint="eastAsia" w:asciiTheme="minorEastAsia" w:hAnsiTheme="minorEastAsia" w:eastAsiaTheme="minorEastAsia"/>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3"/>
        <w:numPr>
          <w:ilvl w:val="0"/>
          <w:numId w:val="15"/>
        </w:numPr>
        <w:rPr>
          <w:rFonts w:hint="eastAsia" w:asciiTheme="majorEastAsia" w:hAnsiTheme="majorEastAsia" w:eastAsiaTheme="majorEastAsia"/>
          <w:highlight w:val="none"/>
        </w:rPr>
      </w:pPr>
      <w:bookmarkStart w:id="0" w:name="_Toc63785461"/>
      <w:bookmarkStart w:id="1" w:name="_Toc12541"/>
      <w:r>
        <w:rPr>
          <w:rFonts w:hint="eastAsia" w:asciiTheme="majorEastAsia" w:hAnsiTheme="majorEastAsia" w:eastAsiaTheme="majorEastAsia"/>
          <w:highlight w:val="none"/>
        </w:rPr>
        <w:t>项目概况</w:t>
      </w:r>
      <w:bookmarkEnd w:id="0"/>
    </w:p>
    <w:p>
      <w:pPr>
        <w:pStyle w:val="4"/>
        <w:numPr>
          <w:ilvl w:val="1"/>
          <w:numId w:val="15"/>
        </w:numPr>
        <w:rPr>
          <w:rFonts w:hint="eastAsia"/>
          <w:highlight w:val="none"/>
        </w:rPr>
      </w:pPr>
      <w:r>
        <w:rPr>
          <w:rFonts w:hint="eastAsia"/>
          <w:highlight w:val="none"/>
        </w:rPr>
        <w:t>项目建设背景</w:t>
      </w:r>
    </w:p>
    <w:p>
      <w:pPr>
        <w:pStyle w:val="6"/>
        <w:numPr>
          <w:ilvl w:val="2"/>
          <w:numId w:val="15"/>
        </w:numPr>
        <w:rPr>
          <w:rFonts w:hint="eastAsia"/>
          <w:sz w:val="28"/>
          <w:szCs w:val="28"/>
          <w:highlight w:val="none"/>
        </w:rPr>
      </w:pPr>
      <w:r>
        <w:rPr>
          <w:rFonts w:hint="eastAsia"/>
          <w:sz w:val="28"/>
          <w:szCs w:val="28"/>
          <w:highlight w:val="none"/>
        </w:rPr>
        <w:t>长三角国土空间规划实施监测子系统</w:t>
      </w:r>
    </w:p>
    <w:bookmarkEnd w:id="1"/>
    <w:p>
      <w:pPr>
        <w:pStyle w:val="190"/>
        <w:adjustRightInd/>
        <w:ind w:firstLine="56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习近平总书记在中央全面深化改革委员会第九次会议审议《关于在国土空间规划中统筹划定落实三条控制线的指导意见》时强调，“按照‘统一底图、统一标准、统一规划、统一平台’的要求，建立健全分类管控机制”，为打造全国统一的国土空间规划数字化管理平台，提升监管效能，推动国土空间治理数字化转型指明了方向。</w:t>
      </w:r>
    </w:p>
    <w:p>
      <w:pPr>
        <w:pStyle w:val="190"/>
        <w:adjustRightInd/>
        <w:ind w:firstLine="56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《中共中央国务院关于建立国土空间规划体系并监督实施的若干意见》（中发〔</w:t>
      </w:r>
      <w:r>
        <w:rPr>
          <w:rFonts w:ascii="宋体" w:hAnsi="宋体" w:eastAsia="宋体" w:cs="宋体"/>
          <w:kern w:val="2"/>
          <w:sz w:val="24"/>
          <w:szCs w:val="24"/>
          <w:highlight w:val="none"/>
        </w:rPr>
        <w:t>2019〕18号</w:t>
      </w:r>
      <w:r>
        <w:rPr>
          <w:rFonts w:hint="eastAsia" w:ascii="宋体" w:hAnsi="宋体" w:eastAsia="宋体" w:cs="宋体"/>
          <w:kern w:val="2"/>
          <w:sz w:val="24"/>
          <w:szCs w:val="24"/>
          <w:highlight w:val="none"/>
        </w:rPr>
        <w:t>）作出相应部署，提出要建立国土空间规划体系并监督实施，将主体功能区规划、土地利用规划、城乡规划等空间规划融合为统一的国土空间规划，实现“多规合一”，强化国土空间规划对各专项规划的指导约束作用。</w:t>
      </w:r>
    </w:p>
    <w:p>
      <w:pPr>
        <w:pStyle w:val="190"/>
        <w:adjustRightInd/>
        <w:ind w:firstLine="560" w:firstLineChars="0"/>
        <w:rPr>
          <w:rFonts w:hint="eastAsia" w:ascii="宋体" w:hAnsi="宋体" w:eastAsia="宋体" w:cs="宋体"/>
          <w:kern w:val="2"/>
          <w:sz w:val="24"/>
          <w:szCs w:val="24"/>
          <w:highlight w:val="none"/>
        </w:rPr>
      </w:pPr>
      <w:bookmarkStart w:id="2" w:name="_Hlk185240298"/>
      <w:r>
        <w:rPr>
          <w:rFonts w:hint="eastAsia" w:ascii="宋体" w:hAnsi="宋体" w:eastAsia="宋体" w:cs="宋体"/>
          <w:kern w:val="2"/>
          <w:sz w:val="24"/>
          <w:szCs w:val="24"/>
          <w:highlight w:val="none"/>
        </w:rPr>
        <w:t>《全国国土空间规划纲要（</w:t>
      </w:r>
      <w:r>
        <w:rPr>
          <w:rFonts w:ascii="宋体" w:hAnsi="宋体" w:eastAsia="宋体" w:cs="宋体"/>
          <w:kern w:val="2"/>
          <w:sz w:val="24"/>
          <w:szCs w:val="24"/>
          <w:highlight w:val="none"/>
        </w:rPr>
        <w:t>2021-2035年）》和《自然资源部办公厅关于印发&lt;全国国土空间规划实施监测网络建设工作方案（2023-2027）&gt;的通知》提出，搭建国土空间规划实施监测网络</w:t>
      </w: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提高空间治理数字化水平。</w:t>
      </w:r>
    </w:p>
    <w:bookmarkEnd w:id="2"/>
    <w:p>
      <w:pPr>
        <w:pStyle w:val="190"/>
        <w:adjustRightInd/>
        <w:ind w:firstLine="560" w:firstLineChars="0"/>
        <w:rPr>
          <w:rFonts w:hint="eastAsia" w:ascii="宋体" w:hAnsi="宋体" w:eastAsia="宋体" w:cs="宋体"/>
          <w:kern w:val="2"/>
          <w:sz w:val="24"/>
          <w:szCs w:val="24"/>
          <w:highlight w:val="none"/>
        </w:rPr>
      </w:pPr>
      <w:r>
        <w:rPr>
          <w:rFonts w:ascii="宋体" w:hAnsi="宋体" w:eastAsia="宋体" w:cs="宋体"/>
          <w:kern w:val="2"/>
          <w:sz w:val="24"/>
          <w:szCs w:val="24"/>
          <w:highlight w:val="none"/>
        </w:rPr>
        <w:t>自然资源部办公厅函三省一市人民政府自然资办函(</w:t>
      </w: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2024</w:t>
      </w: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1004号):上海市还应依托国土空间规划实施监测网络，率先开展数字化空间治理的统一平台，工具和标准等信息基础设施建设工作。</w:t>
      </w:r>
    </w:p>
    <w:p>
      <w:pPr>
        <w:pStyle w:val="190"/>
        <w:adjustRightInd/>
        <w:ind w:firstLine="56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习近平总书记在上海主持召开深入推进长三角一体化发展座谈会并发表重要讲话，要循序渐进推进基本公共服务制度衔接、政策协同、标准趋同，分类推进各领域公共服务便利共享。长三角区域要加强生态环境共保联治。加强三省一市生态保护红线无缝衔接，推进重要生态屏障和生态廊道共同保护。</w:t>
      </w:r>
    </w:p>
    <w:p>
      <w:pPr>
        <w:pStyle w:val="190"/>
        <w:adjustRightInd/>
        <w:ind w:firstLine="56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中国共产党上海市第十二届委员会第四次全体会议，提出要更好发挥龙头带动作用，着力推动长三角一体化发展取得新的重大突破。</w:t>
      </w:r>
    </w:p>
    <w:p>
      <w:pPr>
        <w:pStyle w:val="190"/>
        <w:adjustRightInd/>
        <w:ind w:firstLine="56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国务院办公厅政务办公室致函上海市人民政府办公厅，同意《</w:t>
      </w:r>
      <w:r>
        <w:rPr>
          <w:rFonts w:ascii="宋体" w:hAnsi="宋体" w:eastAsia="宋体" w:cs="宋体"/>
          <w:kern w:val="2"/>
          <w:sz w:val="24"/>
          <w:szCs w:val="24"/>
          <w:highlight w:val="none"/>
        </w:rPr>
        <w:t>2024年长三角地区依托全国一体化政务服务平台推进政务服务一体化高质量发展行动方案》，方案明确由上海市规划和自然资源局</w:t>
      </w:r>
      <w:r>
        <w:rPr>
          <w:rFonts w:hint="eastAsia" w:ascii="宋体" w:hAnsi="宋体" w:eastAsia="宋体" w:cs="宋体"/>
          <w:kern w:val="2"/>
          <w:sz w:val="24"/>
          <w:szCs w:val="24"/>
          <w:highlight w:val="none"/>
        </w:rPr>
        <w:t>、上海市数据局</w:t>
      </w:r>
      <w:r>
        <w:rPr>
          <w:rFonts w:ascii="宋体" w:hAnsi="宋体" w:eastAsia="宋体" w:cs="宋体"/>
          <w:kern w:val="2"/>
          <w:sz w:val="24"/>
          <w:szCs w:val="24"/>
          <w:highlight w:val="none"/>
        </w:rPr>
        <w:t>牵头长三角数字治理“一张图”，要求推动跨区域时空数据共建共享，在三省一市现有基础上，明确统一的时空基准和数据标准，推动各地基础时空数据、专题时空数据共建共享；打造长三角“一张图”时空服务能力体系，基于新一代信息技术，打造长三角“</w:t>
      </w:r>
      <w:r>
        <w:rPr>
          <w:rFonts w:hint="eastAsia" w:ascii="宋体" w:hAnsi="宋体" w:eastAsia="宋体" w:cs="宋体"/>
          <w:kern w:val="2"/>
          <w:sz w:val="24"/>
          <w:szCs w:val="24"/>
          <w:highlight w:val="none"/>
        </w:rPr>
        <w:t>一</w:t>
      </w:r>
      <w:r>
        <w:rPr>
          <w:rFonts w:ascii="宋体" w:hAnsi="宋体" w:eastAsia="宋体" w:cs="宋体"/>
          <w:kern w:val="2"/>
          <w:sz w:val="24"/>
          <w:szCs w:val="24"/>
          <w:highlight w:val="none"/>
        </w:rPr>
        <w:t>张图”平台，推动时空引擎、数据服务场景搭建、应用集市等能力共建共用打造一批跨区域示范应用，服务区域体化管理。</w:t>
      </w:r>
    </w:p>
    <w:p>
      <w:pPr>
        <w:pStyle w:val="6"/>
        <w:numPr>
          <w:ilvl w:val="2"/>
          <w:numId w:val="15"/>
        </w:numPr>
        <w:rPr>
          <w:rFonts w:hint="eastAsia"/>
          <w:sz w:val="28"/>
          <w:szCs w:val="28"/>
          <w:highlight w:val="none"/>
        </w:rPr>
      </w:pPr>
      <w:r>
        <w:rPr>
          <w:rFonts w:hint="eastAsia"/>
          <w:sz w:val="28"/>
          <w:szCs w:val="28"/>
          <w:highlight w:val="none"/>
        </w:rPr>
        <w:t>土地管理板块</w:t>
      </w:r>
    </w:p>
    <w:p>
      <w:pPr>
        <w:rPr>
          <w:rFonts w:hint="eastAsia" w:hAnsi="仿宋"/>
          <w:color w:val="000000"/>
          <w:highlight w:val="none"/>
        </w:rPr>
      </w:pPr>
      <w:r>
        <w:rPr>
          <w:rFonts w:hint="eastAsia" w:hAnsi="仿宋"/>
          <w:color w:val="000000"/>
          <w:highlight w:val="none"/>
        </w:rPr>
        <w:t>土地管理是自然资源管理的重要组成部分。在自然资源领域深化改革的新时期，《上海市城市总体规划（2017-2035年）》（国函〔2017〕147号）和“十四五”时期自然资源管理重点工作中，都对土地管理工作提出了明确的要求。</w:t>
      </w:r>
    </w:p>
    <w:p>
      <w:pPr>
        <w:rPr>
          <w:rFonts w:hint="eastAsia" w:hAnsi="仿宋"/>
          <w:color w:val="000000"/>
          <w:highlight w:val="none"/>
        </w:rPr>
      </w:pPr>
      <w:r>
        <w:rPr>
          <w:rFonts w:hint="eastAsia" w:hAnsi="仿宋"/>
          <w:color w:val="000000"/>
          <w:highlight w:val="none"/>
        </w:rPr>
        <w:t>根据《上海市城市总体规划（2017-2035年）》（国函〔2017〕147号），要求上海市严格控制城市规模。坚持规划建设用地总规模负增长，牢牢守住人口规模、建设用地、生态环境、城市安全四条底线，着力治理“大城市病”，积极探索超大城市发展模式的转型途径。到2035年，上海市建设用地总规模不超过3200平方公里。要严守城镇开发边界，完善管控办法。坚持节约和集约利用土地，严格控制新增建设用地，加大存量用地挖潜力度，合理开发利用城市地下空间资源，提高土地利用效率。继续坚持最严格的耕地保护制度，保护好永久基本农田。构建空间留白机制和动态调整机制，提高规划的适应性。“十四五”时期自然资源管理重点工作中要求，要全面深化自然资源领域重大改革；用长牙齿的硬措施严格落实耕地保护制度，严防死守18亿亩耕地红线；强化国土空间规划和用途管制；加强生态整体保护和系统修复；大力推进自然资源领域科技创新。</w:t>
      </w:r>
    </w:p>
    <w:p>
      <w:pPr>
        <w:rPr>
          <w:rFonts w:hint="eastAsia" w:hAnsi="仿宋"/>
          <w:color w:val="000000"/>
          <w:highlight w:val="none"/>
        </w:rPr>
      </w:pPr>
      <w:r>
        <w:rPr>
          <w:rFonts w:hint="eastAsia" w:hAnsi="仿宋"/>
          <w:color w:val="000000"/>
          <w:highlight w:val="none"/>
        </w:rPr>
        <w:t>结合上海市委、市政府于2020年底公布的《关于全面推进上海城市数字化转型的意见》中“人民城市人民建、人民城市为人民”的重要理念，拓展推进政务服务“一网通办”，深化“高效办成一件事”，并以数据要素为核心，形成新治理力，重构数字时代的社会管理规则，推动管理手段、管理模式、管理理念变革等要求，需要对本市的土地管理开展更深入的改革、建设和探索。</w:t>
      </w:r>
    </w:p>
    <w:p>
      <w:pPr>
        <w:rPr>
          <w:rFonts w:hint="eastAsia" w:hAnsi="仿宋"/>
          <w:color w:val="000000"/>
          <w:highlight w:val="none"/>
        </w:rPr>
      </w:pPr>
      <w:r>
        <w:rPr>
          <w:rFonts w:hint="eastAsia" w:hAnsi="仿宋"/>
          <w:color w:val="000000"/>
          <w:highlight w:val="none"/>
        </w:rPr>
        <w:t>上海市规划资源局于2020年对土地管理板块进行了升级建设，搭建了业务审批平台。通过国土空间（自然资源）耕地保护业务模块、国土空间（自然资源）开发利用业务板块和国土空间（自然资源）资产管理模块的建设，初步实现局信息化的融合协同，缓解了规划与土地信息互不相通的现状，提升全局业务审批效率和管理水平。上海市大数据中心根据自然资源部对土地管理工作的新要求和上海市城市数字化转型的建设要求，结合市规划资源局目前的业务管理和信息化建设状况，目前迫切需要对土地管理板块进行进一步的升级改造，以满足新时期对土地管理新要求的支持，通过与未来对标，切实转变职能、提升服务能级、深化精细管理，以信息资源融合整合重构业务，打破科层制僵化，实现信息生态和业务生态的“两态融合”。</w:t>
      </w:r>
    </w:p>
    <w:p>
      <w:pPr>
        <w:pStyle w:val="4"/>
        <w:numPr>
          <w:ilvl w:val="1"/>
          <w:numId w:val="15"/>
        </w:numPr>
        <w:rPr>
          <w:rFonts w:hint="eastAsia"/>
          <w:highlight w:val="none"/>
        </w:rPr>
      </w:pPr>
      <w:r>
        <w:rPr>
          <w:rFonts w:hint="eastAsia"/>
          <w:highlight w:val="none"/>
        </w:rPr>
        <w:t>项目其他情况</w:t>
      </w:r>
    </w:p>
    <w:p>
      <w:pPr>
        <w:ind w:firstLine="0" w:firstLineChars="0"/>
        <w:rPr>
          <w:rFonts w:hint="eastAsia"/>
          <w:highlight w:val="none"/>
        </w:rPr>
      </w:pPr>
      <w:r>
        <w:rPr>
          <w:rFonts w:hint="eastAsia"/>
          <w:highlight w:val="none"/>
        </w:rPr>
        <w:t>（1）建设期限：自合同签订之日起12个月内完成。</w:t>
      </w:r>
    </w:p>
    <w:p>
      <w:pPr>
        <w:ind w:firstLine="0" w:firstLineChars="0"/>
        <w:rPr>
          <w:rFonts w:hint="eastAsia" w:eastAsia="仿宋"/>
          <w:highlight w:val="none"/>
        </w:rPr>
      </w:pPr>
      <w:r>
        <w:rPr>
          <w:rFonts w:hint="eastAsia"/>
          <w:highlight w:val="none"/>
        </w:rPr>
        <w:t>（2）建设地点：上海市规划和自然资源局，上海市北京西路99号及上海市大数据中心指定地点</w:t>
      </w:r>
      <w:r>
        <w:rPr>
          <w:rStyle w:val="94"/>
          <w:rFonts w:hint="eastAsia" w:ascii="Times New Roman" w:hAnsi="Times New Roman" w:eastAsia="仿宋"/>
          <w:highlight w:val="none"/>
        </w:rPr>
        <w:t>。</w:t>
      </w:r>
    </w:p>
    <w:p>
      <w:pPr>
        <w:ind w:firstLine="0" w:firstLineChars="0"/>
        <w:rPr>
          <w:rFonts w:hint="eastAsia"/>
          <w:highlight w:val="none"/>
        </w:rPr>
      </w:pPr>
      <w:r>
        <w:rPr>
          <w:rFonts w:hint="eastAsia"/>
          <w:highlight w:val="none"/>
        </w:rPr>
        <w:t>（</w:t>
      </w:r>
      <w:r>
        <w:rPr>
          <w:rFonts w:hint="eastAsia"/>
          <w:highlight w:val="none"/>
          <w:lang w:val="en-US" w:eastAsia="zh-CN"/>
        </w:rPr>
        <w:t>3</w:t>
      </w:r>
      <w:r>
        <w:rPr>
          <w:rFonts w:hint="eastAsia"/>
          <w:highlight w:val="none"/>
        </w:rPr>
        <w:t>）</w:t>
      </w:r>
      <w:r>
        <w:rPr>
          <w:highlight w:val="none"/>
        </w:rPr>
        <w:t>是否按信创要求建设：是</w:t>
      </w:r>
    </w:p>
    <w:p>
      <w:pPr>
        <w:ind w:firstLine="0" w:firstLineChars="0"/>
        <w:rPr>
          <w:rFonts w:hint="eastAsia"/>
          <w:highlight w:val="none"/>
        </w:rPr>
      </w:pPr>
      <w:r>
        <w:rPr>
          <w:rFonts w:hint="eastAsia"/>
          <w:highlight w:val="none"/>
        </w:rPr>
        <w:t>（</w:t>
      </w:r>
      <w:r>
        <w:rPr>
          <w:rFonts w:hint="eastAsia"/>
          <w:highlight w:val="none"/>
          <w:lang w:val="en-US" w:eastAsia="zh-CN"/>
        </w:rPr>
        <w:t>4</w:t>
      </w:r>
      <w:r>
        <w:rPr>
          <w:rFonts w:hint="eastAsia"/>
          <w:highlight w:val="none"/>
        </w:rPr>
        <w:t>）运维后所属大系统： 国土空间规划和用途管制大系统</w:t>
      </w:r>
    </w:p>
    <w:p>
      <w:pPr>
        <w:pStyle w:val="3"/>
        <w:numPr>
          <w:ilvl w:val="0"/>
          <w:numId w:val="15"/>
        </w:numPr>
        <w:rPr>
          <w:rFonts w:hint="eastAsia" w:asciiTheme="majorEastAsia" w:hAnsiTheme="majorEastAsia" w:eastAsiaTheme="majorEastAsia"/>
          <w:highlight w:val="none"/>
        </w:rPr>
      </w:pPr>
      <w:bookmarkStart w:id="3" w:name="_Toc47532891"/>
      <w:bookmarkEnd w:id="3"/>
      <w:bookmarkStart w:id="4" w:name="_Toc47536644"/>
      <w:bookmarkEnd w:id="4"/>
      <w:bookmarkStart w:id="5" w:name="_Toc47536272"/>
      <w:bookmarkEnd w:id="5"/>
      <w:bookmarkStart w:id="6" w:name="_Toc47531634"/>
      <w:bookmarkEnd w:id="6"/>
      <w:bookmarkStart w:id="7" w:name="_Toc47532255"/>
      <w:bookmarkEnd w:id="7"/>
      <w:bookmarkStart w:id="8" w:name="_Toc47539070"/>
      <w:bookmarkEnd w:id="8"/>
      <w:bookmarkStart w:id="9" w:name="_Toc47537134"/>
      <w:bookmarkEnd w:id="9"/>
      <w:bookmarkStart w:id="10" w:name="_Toc47533256"/>
      <w:bookmarkEnd w:id="10"/>
      <w:r>
        <w:rPr>
          <w:rFonts w:hint="eastAsia" w:asciiTheme="majorEastAsia" w:hAnsiTheme="majorEastAsia" w:eastAsiaTheme="majorEastAsia"/>
          <w:highlight w:val="none"/>
        </w:rPr>
        <w:t>建设目标</w:t>
      </w:r>
    </w:p>
    <w:p>
      <w:pPr>
        <w:pStyle w:val="4"/>
        <w:numPr>
          <w:ilvl w:val="1"/>
          <w:numId w:val="15"/>
        </w:numPr>
        <w:rPr>
          <w:rFonts w:hint="eastAsia"/>
          <w:highlight w:val="none"/>
        </w:rPr>
      </w:pPr>
      <w:r>
        <w:rPr>
          <w:rFonts w:hint="eastAsia"/>
          <w:highlight w:val="none"/>
        </w:rPr>
        <w:t>项目总体目标</w:t>
      </w:r>
    </w:p>
    <w:p>
      <w:pPr>
        <w:pStyle w:val="6"/>
        <w:numPr>
          <w:ilvl w:val="2"/>
          <w:numId w:val="15"/>
        </w:numPr>
        <w:rPr>
          <w:rFonts w:hint="eastAsia"/>
          <w:sz w:val="28"/>
          <w:szCs w:val="28"/>
          <w:highlight w:val="none"/>
        </w:rPr>
      </w:pPr>
      <w:r>
        <w:rPr>
          <w:rFonts w:hint="eastAsia"/>
          <w:sz w:val="28"/>
          <w:szCs w:val="28"/>
          <w:highlight w:val="none"/>
        </w:rPr>
        <w:t>长三角国土空间规划实施监测子系统</w:t>
      </w:r>
    </w:p>
    <w:p>
      <w:pPr>
        <w:pStyle w:val="190"/>
        <w:adjustRightInd/>
        <w:ind w:firstLine="480"/>
        <w:rPr>
          <w:rFonts w:hint="eastAsia" w:ascii="宋体" w:hAnsi="宋体" w:eastAsia="宋体" w:cs="宋体"/>
          <w:kern w:val="2"/>
          <w:sz w:val="24"/>
          <w:szCs w:val="24"/>
          <w:highlight w:val="none"/>
        </w:rPr>
      </w:pPr>
      <w:bookmarkStart w:id="11" w:name="_Hlk187927778"/>
      <w:bookmarkStart w:id="12" w:name="_Hlk170831301"/>
      <w:r>
        <w:rPr>
          <w:rFonts w:hint="eastAsia" w:ascii="宋体" w:hAnsi="宋体" w:eastAsia="宋体" w:cs="宋体"/>
          <w:kern w:val="2"/>
          <w:sz w:val="24"/>
          <w:szCs w:val="24"/>
          <w:highlight w:val="none"/>
        </w:rPr>
        <w:t>复用政务云</w:t>
      </w:r>
      <w:r>
        <w:rPr>
          <w:rFonts w:ascii="宋体" w:hAnsi="宋体" w:eastAsia="宋体" w:cs="宋体"/>
          <w:kern w:val="2"/>
          <w:sz w:val="24"/>
          <w:szCs w:val="24"/>
          <w:highlight w:val="none"/>
        </w:rPr>
        <w:t>PaaS服务提供的时空底座服务能力、时空数据服务能力、时空引擎服务能力</w:t>
      </w:r>
      <w:r>
        <w:rPr>
          <w:rFonts w:hint="eastAsia" w:ascii="宋体" w:hAnsi="宋体" w:eastAsia="宋体" w:cs="宋体"/>
          <w:kern w:val="2"/>
          <w:sz w:val="24"/>
          <w:szCs w:val="24"/>
          <w:highlight w:val="none"/>
        </w:rPr>
        <w:t>，依托现有规划资源局综合支撑大系统、国土空间规划和用途管制大系统等工作基础，完成长三角国土空间规划实施监测子系统总体框架的搭建。构建长三角空间协同治理和规划实施监测评估模块，以支撑三省一市在规划制定与实施过程中的高效合作，保障长三角区域发展的可持续性和空间规划的合理性，为实现高质量的区域一体化发展提供强有力的支持。</w:t>
      </w:r>
      <w:bookmarkEnd w:id="11"/>
    </w:p>
    <w:p>
      <w:pPr>
        <w:pStyle w:val="6"/>
        <w:numPr>
          <w:ilvl w:val="2"/>
          <w:numId w:val="15"/>
        </w:numPr>
        <w:rPr>
          <w:rFonts w:hint="eastAsia"/>
          <w:sz w:val="28"/>
          <w:szCs w:val="28"/>
          <w:highlight w:val="none"/>
        </w:rPr>
      </w:pPr>
      <w:r>
        <w:rPr>
          <w:rFonts w:hint="eastAsia"/>
          <w:sz w:val="28"/>
          <w:szCs w:val="28"/>
          <w:highlight w:val="none"/>
        </w:rPr>
        <w:t>土地管理板块</w:t>
      </w:r>
    </w:p>
    <w:bookmarkEnd w:id="12"/>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按照“上海2035”确定的180万亩耕地保护目标实施耕地保护考核。当前上海市建设行为占用耕地时，需按照项目占用现状耕地情况，逐个项目落实占补平衡，各区占补平衡指标压力紧张。为深入贯彻党中央、国务院及自然资源部发布的《关于加强耕地保护提升耕地质量 完善占补平衡的意见》、《自然资源部关于支持上海深化自然资源领域改革创新意见的函》（自然资函〔2023〕615号）等文件，严格耕地保护等一系列重要指示精神，通过实施差别化耕地占补平衡管理方式，促进项目落地，优化营商环境，实现用地审批效能提升；增强耕地资源要素配置的统筹协调能力，实行耕地保护空间暂借周转和“以租代保”制度，保障市级重大项目落地。最终实现本市耕地占补平衡管理模式由数字指标管理全面转向空间管理，由按单个项目管理变为按年度平衡管理的模式。</w:t>
      </w:r>
    </w:p>
    <w:p>
      <w:pPr>
        <w:pStyle w:val="4"/>
        <w:numPr>
          <w:ilvl w:val="1"/>
          <w:numId w:val="15"/>
        </w:numPr>
        <w:rPr>
          <w:rFonts w:hint="eastAsia"/>
          <w:highlight w:val="none"/>
        </w:rPr>
      </w:pPr>
      <w:r>
        <w:rPr>
          <w:rFonts w:hint="eastAsia"/>
          <w:highlight w:val="none"/>
        </w:rPr>
        <w:t>规划指标参数</w:t>
      </w:r>
    </w:p>
    <w:tbl>
      <w:tblPr>
        <w:tblStyle w:val="8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67"/>
        <w:gridCol w:w="1701"/>
        <w:gridCol w:w="269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13" w:type="dxa"/>
            <w:vMerge w:val="restart"/>
          </w:tcPr>
          <w:p>
            <w:pPr>
              <w:widowControl/>
              <w:ind w:firstLine="0" w:firstLineChars="0"/>
              <w:rPr>
                <w:rFonts w:hint="eastAsia" w:ascii="仿宋" w:hAnsi="仿宋" w:eastAsia="仿宋"/>
                <w:highlight w:val="none"/>
              </w:rPr>
            </w:pPr>
            <w:r>
              <w:rPr>
                <w:rFonts w:hint="eastAsia" w:ascii="仿宋" w:hAnsi="仿宋" w:eastAsia="仿宋"/>
                <w:highlight w:val="none"/>
              </w:rPr>
              <w:t>规划</w:t>
            </w:r>
            <w:r>
              <w:rPr>
                <w:rFonts w:hint="eastAsia" w:ascii="仿宋" w:hAnsi="仿宋" w:eastAsia="仿宋"/>
                <w:highlight w:val="none"/>
              </w:rPr>
              <w:br w:type="textWrapping"/>
            </w:r>
            <w:r>
              <w:rPr>
                <w:rFonts w:hint="eastAsia" w:ascii="仿宋" w:hAnsi="仿宋" w:eastAsia="仿宋"/>
                <w:highlight w:val="none"/>
              </w:rPr>
              <w:t>指标</w:t>
            </w:r>
            <w:r>
              <w:rPr>
                <w:rFonts w:hint="eastAsia" w:ascii="仿宋" w:hAnsi="仿宋" w:eastAsia="仿宋"/>
                <w:highlight w:val="none"/>
              </w:rPr>
              <w:br w:type="textWrapping"/>
            </w:r>
            <w:r>
              <w:rPr>
                <w:rFonts w:hint="eastAsia" w:ascii="仿宋" w:hAnsi="仿宋" w:eastAsia="仿宋"/>
                <w:highlight w:val="none"/>
              </w:rPr>
              <w:t>参数</w:t>
            </w:r>
          </w:p>
        </w:tc>
        <w:tc>
          <w:tcPr>
            <w:tcW w:w="1267" w:type="dxa"/>
          </w:tcPr>
          <w:p>
            <w:pPr>
              <w:widowControl/>
              <w:ind w:firstLine="0" w:firstLineChars="0"/>
              <w:rPr>
                <w:rFonts w:hint="eastAsia" w:ascii="仿宋" w:hAnsi="仿宋" w:eastAsia="仿宋"/>
                <w:highlight w:val="none"/>
              </w:rPr>
            </w:pPr>
            <w:r>
              <w:rPr>
                <w:rFonts w:hint="eastAsia" w:ascii="仿宋" w:hAnsi="仿宋" w:eastAsia="仿宋"/>
                <w:highlight w:val="none"/>
              </w:rPr>
              <w:t>一级指标</w:t>
            </w:r>
          </w:p>
        </w:tc>
        <w:tc>
          <w:tcPr>
            <w:tcW w:w="1701" w:type="dxa"/>
          </w:tcPr>
          <w:p>
            <w:pPr>
              <w:widowControl/>
              <w:ind w:firstLine="0" w:firstLineChars="0"/>
              <w:rPr>
                <w:rFonts w:hint="eastAsia" w:ascii="仿宋" w:hAnsi="仿宋" w:eastAsia="仿宋"/>
                <w:highlight w:val="none"/>
              </w:rPr>
            </w:pPr>
            <w:r>
              <w:rPr>
                <w:rFonts w:hint="eastAsia" w:ascii="仿宋" w:hAnsi="仿宋" w:eastAsia="仿宋"/>
                <w:highlight w:val="none"/>
              </w:rPr>
              <w:t>二级指标</w:t>
            </w: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三级指标</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restart"/>
          </w:tcPr>
          <w:p>
            <w:pPr>
              <w:widowControl/>
              <w:ind w:firstLine="0" w:firstLineChars="0"/>
              <w:rPr>
                <w:rFonts w:hint="eastAsia" w:ascii="仿宋" w:hAnsi="仿宋" w:eastAsia="仿宋"/>
                <w:highlight w:val="none"/>
              </w:rPr>
            </w:pPr>
            <w:r>
              <w:rPr>
                <w:rFonts w:hint="eastAsia" w:ascii="仿宋" w:hAnsi="仿宋" w:eastAsia="仿宋"/>
                <w:highlight w:val="none"/>
              </w:rPr>
              <w:t>通用指标</w:t>
            </w:r>
          </w:p>
        </w:tc>
        <w:tc>
          <w:tcPr>
            <w:tcW w:w="1701" w:type="dxa"/>
          </w:tcPr>
          <w:p>
            <w:pPr>
              <w:widowControl/>
              <w:ind w:firstLine="0" w:firstLineChars="0"/>
              <w:rPr>
                <w:rFonts w:hint="eastAsia" w:ascii="仿宋" w:hAnsi="仿宋" w:eastAsia="仿宋"/>
                <w:highlight w:val="none"/>
              </w:rPr>
            </w:pPr>
            <w:r>
              <w:rPr>
                <w:rFonts w:hint="eastAsia" w:ascii="仿宋" w:hAnsi="仿宋" w:eastAsia="仿宋"/>
                <w:highlight w:val="none"/>
              </w:rPr>
              <w:t>产出数量</w:t>
            </w: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软件开发完成率</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restart"/>
          </w:tcPr>
          <w:p>
            <w:pPr>
              <w:widowControl/>
              <w:ind w:firstLine="0" w:firstLineChars="0"/>
              <w:rPr>
                <w:rFonts w:hint="eastAsia" w:ascii="仿宋" w:hAnsi="仿宋" w:eastAsia="仿宋"/>
                <w:highlight w:val="none"/>
              </w:rPr>
            </w:pPr>
            <w:r>
              <w:rPr>
                <w:rFonts w:hint="eastAsia" w:ascii="仿宋" w:hAnsi="仿宋" w:eastAsia="仿宋"/>
                <w:highlight w:val="none"/>
              </w:rPr>
              <w:t>产出质量</w:t>
            </w: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一次性验收合格率</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系统稳定性</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软件测试</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密码测评</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安全测评</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tcPr>
          <w:p>
            <w:pPr>
              <w:widowControl/>
              <w:ind w:firstLine="0" w:firstLineChars="0"/>
              <w:rPr>
                <w:rFonts w:hint="eastAsia" w:ascii="仿宋" w:hAnsi="仿宋" w:eastAsia="仿宋"/>
                <w:highlight w:val="none"/>
              </w:rPr>
            </w:pPr>
            <w:r>
              <w:rPr>
                <w:rFonts w:hint="eastAsia" w:ascii="仿宋" w:hAnsi="仿宋" w:eastAsia="仿宋"/>
                <w:highlight w:val="none"/>
              </w:rPr>
              <w:t>安全事件</w:t>
            </w: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数据安全事件发生次数</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tcPr>
          <w:p>
            <w:pPr>
              <w:widowControl/>
              <w:ind w:firstLine="0" w:firstLineChars="0"/>
              <w:rPr>
                <w:rFonts w:hint="eastAsia" w:ascii="仿宋" w:hAnsi="仿宋" w:eastAsia="仿宋"/>
                <w:highlight w:val="none"/>
              </w:rPr>
            </w:pPr>
            <w:r>
              <w:rPr>
                <w:rFonts w:hint="eastAsia" w:ascii="仿宋" w:hAnsi="仿宋" w:eastAsia="仿宋"/>
                <w:highlight w:val="none"/>
              </w:rPr>
              <w:t>产出时效</w:t>
            </w: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项目建设周期</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restart"/>
          </w:tcPr>
          <w:p>
            <w:pPr>
              <w:widowControl/>
              <w:ind w:firstLine="0" w:firstLineChars="0"/>
              <w:rPr>
                <w:rFonts w:hint="eastAsia" w:ascii="仿宋" w:hAnsi="仿宋" w:eastAsia="仿宋"/>
                <w:highlight w:val="none"/>
              </w:rPr>
            </w:pPr>
            <w:r>
              <w:rPr>
                <w:rFonts w:hint="eastAsia" w:ascii="仿宋" w:hAnsi="仿宋" w:eastAsia="仿宋"/>
                <w:highlight w:val="none"/>
              </w:rPr>
              <w:t>共性平台</w:t>
            </w: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跨部门数据共享程度</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核心数据缺失率</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覆盖部门数量</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长三角国土空间规划实施监测系统：6个</w:t>
            </w:r>
          </w:p>
          <w:p>
            <w:pPr>
              <w:widowControl/>
              <w:ind w:firstLine="0" w:firstLineChars="0"/>
              <w:rPr>
                <w:rFonts w:hint="eastAsia" w:ascii="仿宋" w:hAnsi="仿宋" w:eastAsia="仿宋"/>
                <w:highlight w:val="none"/>
              </w:rPr>
            </w:pPr>
            <w:r>
              <w:rPr>
                <w:rFonts w:hint="eastAsia" w:ascii="仿宋" w:hAnsi="仿宋" w:eastAsia="仿宋"/>
                <w:highlight w:val="none"/>
              </w:rPr>
              <w:t>土地管理板块：1个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统筹对接系统数量</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restart"/>
          </w:tcPr>
          <w:p>
            <w:pPr>
              <w:widowControl/>
              <w:ind w:firstLine="0" w:firstLineChars="0"/>
              <w:rPr>
                <w:rFonts w:hint="eastAsia" w:ascii="仿宋" w:hAnsi="仿宋" w:eastAsia="仿宋"/>
                <w:highlight w:val="none"/>
              </w:rPr>
            </w:pPr>
            <w:r>
              <w:rPr>
                <w:rFonts w:hint="eastAsia" w:ascii="仿宋" w:hAnsi="仿宋" w:eastAsia="仿宋"/>
                <w:highlight w:val="none"/>
              </w:rPr>
              <w:t>监测监管系统</w:t>
            </w: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监测指标数量</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监测数据完整性</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监测监管月均做出辅助决策数量</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restart"/>
          </w:tcPr>
          <w:p>
            <w:pPr>
              <w:widowControl/>
              <w:ind w:firstLine="0" w:firstLineChars="0"/>
              <w:rPr>
                <w:rFonts w:hint="eastAsia" w:ascii="仿宋" w:hAnsi="仿宋" w:eastAsia="仿宋"/>
                <w:highlight w:val="none"/>
              </w:rPr>
            </w:pPr>
            <w:r>
              <w:rPr>
                <w:rFonts w:hint="eastAsia" w:ascii="仿宋" w:hAnsi="仿宋" w:eastAsia="仿宋"/>
                <w:highlight w:val="none"/>
              </w:rPr>
              <w:t>业务指标</w:t>
            </w:r>
          </w:p>
        </w:tc>
        <w:tc>
          <w:tcPr>
            <w:tcW w:w="1701" w:type="dxa"/>
            <w:vMerge w:val="restart"/>
          </w:tcPr>
          <w:p>
            <w:pPr>
              <w:widowControl/>
              <w:ind w:firstLine="0" w:firstLineChars="0"/>
              <w:rPr>
                <w:rFonts w:hint="eastAsia" w:ascii="仿宋" w:hAnsi="仿宋" w:eastAsia="仿宋"/>
                <w:highlight w:val="none"/>
              </w:rPr>
            </w:pPr>
            <w:r>
              <w:rPr>
                <w:rFonts w:hint="eastAsia" w:ascii="仿宋" w:hAnsi="仿宋" w:eastAsia="仿宋"/>
                <w:highlight w:val="none"/>
              </w:rPr>
              <w:t>产出质量</w:t>
            </w: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同时在线用户数</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长三角国土空间规划实施监测系统：≥150人</w:t>
            </w:r>
            <w:r>
              <w:rPr>
                <w:rFonts w:hint="eastAsia" w:ascii="仿宋" w:hAnsi="仿宋" w:eastAsia="仿宋"/>
                <w:highlight w:val="none"/>
              </w:rPr>
              <w:br w:type="textWrapping"/>
            </w:r>
            <w:r>
              <w:rPr>
                <w:rFonts w:hint="eastAsia" w:ascii="仿宋" w:hAnsi="仿宋" w:eastAsia="仿宋"/>
                <w:highlight w:val="none"/>
              </w:rPr>
              <w:t>土地管理板块：≥100人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并发用户数</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长三角国土空间规划实施监测系统：≥20个</w:t>
            </w:r>
            <w:r>
              <w:rPr>
                <w:rFonts w:hint="eastAsia" w:ascii="仿宋" w:hAnsi="仿宋" w:eastAsia="仿宋"/>
                <w:highlight w:val="none"/>
              </w:rPr>
              <w:br w:type="textWrapping"/>
            </w:r>
            <w:r>
              <w:rPr>
                <w:rFonts w:hint="eastAsia" w:ascii="仿宋" w:hAnsi="仿宋" w:eastAsia="仿宋"/>
                <w:highlight w:val="none"/>
              </w:rPr>
              <w:t>土地管理板块：≥20个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系统登陆时间</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w:t>
            </w:r>
            <w:r>
              <w:rPr>
                <w:rFonts w:hint="eastAsia" w:ascii="仿宋" w:hAnsi="仿宋" w:eastAsia="仿宋"/>
                <w:highlight w:val="none"/>
              </w:rPr>
              <w:br w:type="textWrapping"/>
            </w:r>
            <w:r>
              <w:rPr>
                <w:rFonts w:hint="eastAsia" w:ascii="仿宋" w:hAnsi="仿宋" w:eastAsia="仿宋"/>
                <w:highlight w:val="none"/>
              </w:rPr>
              <w:t>施监测系统：≤5秒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一般属性查询和写入操作响应时间</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矢量GIS查询响应时间</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长三角国土空间规划实施监测系统：≤10秒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搜索类操作响应时间</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FitText/>
          </w:tcPr>
          <w:p>
            <w:pPr>
              <w:widowControl/>
              <w:ind w:firstLine="0" w:firstLineChars="0"/>
              <w:rPr>
                <w:rFonts w:hint="eastAsia" w:ascii="仿宋" w:hAnsi="仿宋" w:eastAsia="仿宋"/>
                <w:highlight w:val="none"/>
              </w:rPr>
            </w:pPr>
            <w:r>
              <w:rPr>
                <w:rFonts w:hint="eastAsia" w:ascii="仿宋" w:hAnsi="仿宋" w:eastAsia="仿宋"/>
                <w:w w:val="93"/>
                <w:kern w:val="0"/>
                <w:highlight w:val="none"/>
              </w:rPr>
              <w:t>报表统计类操作响应时间</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restart"/>
          </w:tcPr>
          <w:p>
            <w:pPr>
              <w:widowControl/>
              <w:ind w:firstLine="0" w:firstLineChars="0"/>
              <w:rPr>
                <w:rFonts w:hint="eastAsia" w:ascii="仿宋" w:hAnsi="仿宋" w:eastAsia="仿宋"/>
                <w:highlight w:val="none"/>
              </w:rPr>
            </w:pPr>
            <w:r>
              <w:rPr>
                <w:rFonts w:hint="eastAsia" w:ascii="仿宋" w:hAnsi="仿宋" w:eastAsia="仿宋"/>
                <w:highlight w:val="none"/>
              </w:rPr>
              <w:t>产出效益</w:t>
            </w: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系统审批流程减少数量</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支撑与规划管理系统的数据对接省份数</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13" w:type="dxa"/>
            <w:vMerge w:val="continue"/>
          </w:tcPr>
          <w:p>
            <w:pPr>
              <w:widowControl/>
              <w:ind w:firstLine="0" w:firstLineChars="0"/>
              <w:rPr>
                <w:rFonts w:hint="eastAsia" w:ascii="仿宋" w:hAnsi="仿宋" w:eastAsia="仿宋"/>
                <w:highlight w:val="none"/>
              </w:rPr>
            </w:pPr>
          </w:p>
        </w:tc>
        <w:tc>
          <w:tcPr>
            <w:tcW w:w="1267" w:type="dxa"/>
            <w:vMerge w:val="continue"/>
          </w:tcPr>
          <w:p>
            <w:pPr>
              <w:widowControl/>
              <w:ind w:firstLine="0" w:firstLineChars="0"/>
              <w:rPr>
                <w:rFonts w:hint="eastAsia" w:ascii="仿宋" w:hAnsi="仿宋" w:eastAsia="仿宋"/>
                <w:highlight w:val="none"/>
              </w:rPr>
            </w:pPr>
          </w:p>
        </w:tc>
        <w:tc>
          <w:tcPr>
            <w:tcW w:w="1701" w:type="dxa"/>
            <w:vMerge w:val="continue"/>
          </w:tcPr>
          <w:p>
            <w:pPr>
              <w:widowControl/>
              <w:ind w:firstLine="0" w:firstLineChars="0"/>
              <w:rPr>
                <w:rFonts w:hint="eastAsia" w:ascii="仿宋" w:hAnsi="仿宋" w:eastAsia="仿宋"/>
                <w:highlight w:val="none"/>
              </w:rPr>
            </w:pPr>
          </w:p>
        </w:tc>
        <w:tc>
          <w:tcPr>
            <w:tcW w:w="2693" w:type="dxa"/>
          </w:tcPr>
          <w:p>
            <w:pPr>
              <w:widowControl/>
              <w:ind w:firstLine="0" w:firstLineChars="0"/>
              <w:rPr>
                <w:rFonts w:hint="eastAsia" w:ascii="仿宋" w:hAnsi="仿宋" w:eastAsia="仿宋"/>
                <w:highlight w:val="none"/>
              </w:rPr>
            </w:pPr>
            <w:r>
              <w:rPr>
                <w:rFonts w:hint="eastAsia" w:ascii="仿宋" w:hAnsi="仿宋" w:eastAsia="仿宋"/>
                <w:highlight w:val="none"/>
              </w:rPr>
              <w:t>实现与其他行业部门规划和管理数据的共享交换数量</w:t>
            </w:r>
          </w:p>
        </w:tc>
        <w:tc>
          <w:tcPr>
            <w:tcW w:w="2977" w:type="dxa"/>
          </w:tcPr>
          <w:p>
            <w:pPr>
              <w:widowControl/>
              <w:ind w:firstLine="0" w:firstLineChars="0"/>
              <w:rPr>
                <w:rFonts w:hint="eastAsia" w:ascii="仿宋" w:hAnsi="仿宋" w:eastAsia="仿宋"/>
                <w:highlight w:val="none"/>
              </w:rPr>
            </w:pPr>
            <w:r>
              <w:rPr>
                <w:rFonts w:hint="eastAsia" w:ascii="仿宋" w:hAnsi="仿宋" w:eastAsia="仿宋"/>
                <w:highlight w:val="none"/>
              </w:rPr>
              <w:t>长三角国土空间规划实施监测系统：≥1个</w:t>
            </w:r>
          </w:p>
          <w:p>
            <w:pPr>
              <w:widowControl/>
              <w:ind w:firstLine="0" w:firstLineChars="0"/>
              <w:rPr>
                <w:rFonts w:hint="eastAsia" w:ascii="仿宋" w:hAnsi="仿宋" w:eastAsia="仿宋"/>
                <w:highlight w:val="none"/>
              </w:rPr>
            </w:pPr>
            <w:r>
              <w:rPr>
                <w:rFonts w:hint="eastAsia" w:ascii="仿宋" w:hAnsi="仿宋" w:eastAsia="仿宋"/>
                <w:highlight w:val="none"/>
              </w:rPr>
              <w:t>土地管理板块：≥1个</w:t>
            </w:r>
          </w:p>
        </w:tc>
      </w:tr>
    </w:tbl>
    <w:p>
      <w:pPr>
        <w:ind w:firstLine="0" w:firstLineChars="0"/>
        <w:rPr>
          <w:rFonts w:hint="eastAsia"/>
          <w:highlight w:val="none"/>
        </w:rPr>
      </w:pPr>
    </w:p>
    <w:p>
      <w:pPr>
        <w:pStyle w:val="3"/>
        <w:numPr>
          <w:ilvl w:val="0"/>
          <w:numId w:val="15"/>
        </w:numPr>
        <w:rPr>
          <w:rFonts w:hint="eastAsia" w:asciiTheme="majorEastAsia" w:hAnsiTheme="majorEastAsia" w:eastAsiaTheme="majorEastAsia"/>
          <w:highlight w:val="none"/>
        </w:rPr>
      </w:pPr>
      <w:r>
        <w:rPr>
          <w:rFonts w:hint="eastAsia" w:asciiTheme="majorEastAsia" w:hAnsiTheme="majorEastAsia" w:eastAsiaTheme="majorEastAsia"/>
          <w:highlight w:val="none"/>
        </w:rPr>
        <w:t>项目建设内容</w:t>
      </w:r>
    </w:p>
    <w:p>
      <w:pPr>
        <w:pStyle w:val="4"/>
        <w:numPr>
          <w:ilvl w:val="1"/>
          <w:numId w:val="15"/>
        </w:numPr>
        <w:rPr>
          <w:rFonts w:hint="eastAsia"/>
          <w:highlight w:val="none"/>
        </w:rPr>
      </w:pPr>
      <w:r>
        <w:rPr>
          <w:rFonts w:hint="eastAsia"/>
          <w:highlight w:val="none"/>
          <w:lang w:val="en-US" w:eastAsia="zh-CN"/>
        </w:rPr>
        <w:t>总体架构</w:t>
      </w:r>
    </w:p>
    <w:p>
      <w:pPr>
        <w:pStyle w:val="6"/>
        <w:numPr>
          <w:ilvl w:val="2"/>
          <w:numId w:val="15"/>
        </w:numPr>
        <w:rPr>
          <w:rFonts w:hint="eastAsia"/>
          <w:sz w:val="28"/>
          <w:szCs w:val="28"/>
          <w:highlight w:val="none"/>
        </w:rPr>
      </w:pPr>
      <w:r>
        <w:rPr>
          <w:rFonts w:hint="eastAsia"/>
          <w:sz w:val="28"/>
          <w:szCs w:val="28"/>
          <w:highlight w:val="none"/>
        </w:rPr>
        <w:t>长三角国土空间规划实施监测子系统</w:t>
      </w:r>
    </w:p>
    <w:p>
      <w:pPr>
        <w:rPr>
          <w:rFonts w:hint="eastAsia"/>
          <w:highlight w:val="none"/>
        </w:rPr>
      </w:pPr>
      <w:r>
        <w:rPr>
          <w:rFonts w:hint="eastAsia"/>
          <w:highlight w:val="none"/>
        </w:rPr>
        <w:t>长三角国土空间规划实施监测子系统建设依托现有规划资源局综合支撑大系统、国土空间规划和用途管制大系统等工作基础，利用已有的数据基础和工具，围绕长三角区域一体化协同发展规划相关要求，建设发展态势感知、空间协同治理、规划实施监测评估等模块，</w:t>
      </w:r>
      <w:r>
        <w:rPr>
          <w:rFonts w:hint="eastAsia"/>
          <w:highlight w:val="none"/>
          <w:lang w:val="en-US" w:eastAsia="zh-CN"/>
        </w:rPr>
        <w:t>其中本期建设长三角空间协同治理模块、规划实施监测评估模块。</w:t>
      </w:r>
      <w:r>
        <w:rPr>
          <w:rFonts w:hint="eastAsia"/>
          <w:highlight w:val="none"/>
        </w:rPr>
        <w:t>基于上述思路，项目总体框架横向包括基础设施层、数据层、支撑层、应用层和门户层，纵向包括政策制度、标准规范、网络安全和组织保障体系。</w:t>
      </w:r>
    </w:p>
    <w:p>
      <w:pPr>
        <w:rPr>
          <w:rFonts w:hint="eastAsia"/>
          <w:highlight w:val="none"/>
        </w:rPr>
      </w:pPr>
      <w:r>
        <w:rPr>
          <w:rFonts w:hint="eastAsia"/>
          <w:highlight w:val="none"/>
        </w:rPr>
        <w:t>系统</w:t>
      </w:r>
      <w:r>
        <w:rPr>
          <w:rFonts w:hint="eastAsia"/>
          <w:highlight w:val="none"/>
          <w:lang w:val="en-US" w:eastAsia="zh-CN"/>
        </w:rPr>
        <w:t>架构</w:t>
      </w:r>
      <w:r>
        <w:rPr>
          <w:rFonts w:hint="eastAsia"/>
          <w:highlight w:val="none"/>
        </w:rPr>
        <w:t>如下：</w:t>
      </w:r>
    </w:p>
    <w:p>
      <w:pPr>
        <w:spacing w:line="240" w:lineRule="auto"/>
        <w:ind w:firstLine="0" w:firstLineChars="0"/>
        <w:rPr>
          <w:highlight w:val="none"/>
        </w:rPr>
      </w:pPr>
      <w:r>
        <w:rPr>
          <w:highlight w:val="none"/>
        </w:rPr>
        <w:drawing>
          <wp:inline distT="0" distB="0" distL="114300" distR="114300">
            <wp:extent cx="5345430" cy="3103245"/>
            <wp:effectExtent l="0" t="0" r="3810" b="571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3"/>
                    <a:stretch>
                      <a:fillRect/>
                    </a:stretch>
                  </pic:blipFill>
                  <pic:spPr>
                    <a:xfrm>
                      <a:off x="0" y="0"/>
                      <a:ext cx="5345430" cy="3103245"/>
                    </a:xfrm>
                    <a:prstGeom prst="rect">
                      <a:avLst/>
                    </a:prstGeom>
                  </pic:spPr>
                </pic:pic>
              </a:graphicData>
            </a:graphic>
          </wp:inline>
        </w:drawing>
      </w:r>
    </w:p>
    <w:p>
      <w:pPr>
        <w:pStyle w:val="6"/>
        <w:numPr>
          <w:ilvl w:val="2"/>
          <w:numId w:val="15"/>
        </w:numPr>
        <w:rPr>
          <w:rFonts w:hint="eastAsia"/>
          <w:sz w:val="28"/>
          <w:szCs w:val="28"/>
          <w:highlight w:val="none"/>
        </w:rPr>
      </w:pPr>
      <w:r>
        <w:rPr>
          <w:rFonts w:hint="eastAsia"/>
          <w:sz w:val="28"/>
          <w:szCs w:val="28"/>
          <w:highlight w:val="none"/>
        </w:rPr>
        <w:t>土地管理板块</w:t>
      </w:r>
    </w:p>
    <w:p>
      <w:pPr>
        <w:rPr>
          <w:highlight w:val="none"/>
        </w:rPr>
      </w:pPr>
      <w:r>
        <w:rPr>
          <w:rFonts w:hint="eastAsia"/>
          <w:highlight w:val="none"/>
        </w:rPr>
        <w:t>基于上海市“一厅八室”顶层设计，在现有“土地管理板块”信息化总体建设的基础上，采用Java、微服务、容器化、分布式、工作流等新兴信息技术，遵循统一门户集成、统一接入管理、统一用户管理、统一授权管理、统一资源管理、统一安全防护等相关要求，对土地管理业务功能进行扩展与升级。深化</w:t>
      </w:r>
      <w:r>
        <w:rPr>
          <w:rFonts w:hint="eastAsia" w:hAnsi="仿宋"/>
          <w:color w:val="000000"/>
          <w:highlight w:val="none"/>
        </w:rPr>
        <w:t>“土地管理板块”建设成果</w:t>
      </w:r>
      <w:r>
        <w:rPr>
          <w:rFonts w:hint="eastAsia" w:hAnsi="仿宋"/>
          <w:highlight w:val="none"/>
        </w:rPr>
        <w:t>，扩展耕地与永久基本农田管理板块，并对集体土地征收补偿、</w:t>
      </w:r>
      <w:r>
        <w:rPr>
          <w:rFonts w:hint="eastAsia"/>
          <w:highlight w:val="none"/>
          <w:lang w:bidi="ar"/>
        </w:rPr>
        <w:t>土地供应</w:t>
      </w:r>
      <w:r>
        <w:rPr>
          <w:rFonts w:hint="eastAsia" w:hAnsi="仿宋"/>
          <w:highlight w:val="none"/>
        </w:rPr>
        <w:t>进行升级改造，</w:t>
      </w:r>
      <w:r>
        <w:rPr>
          <w:rFonts w:hAnsi="仿宋"/>
          <w:highlight w:val="none"/>
        </w:rPr>
        <w:t>同时</w:t>
      </w:r>
      <w:r>
        <w:rPr>
          <w:rFonts w:hint="eastAsia" w:hAnsi="仿宋"/>
          <w:highlight w:val="none"/>
        </w:rPr>
        <w:t>完成数据共享归集、PaaS服务适配及密码应用改造</w:t>
      </w:r>
      <w:r>
        <w:rPr>
          <w:rFonts w:hint="eastAsia"/>
          <w:highlight w:val="none"/>
        </w:rPr>
        <w:t>。</w:t>
      </w:r>
    </w:p>
    <w:p>
      <w:pPr>
        <w:rPr>
          <w:rFonts w:hint="eastAsia"/>
          <w:highlight w:val="none"/>
        </w:rPr>
      </w:pPr>
      <w:r>
        <w:rPr>
          <w:rFonts w:hint="eastAsia"/>
          <w:highlight w:val="none"/>
        </w:rPr>
        <w:t>系统</w:t>
      </w:r>
      <w:r>
        <w:rPr>
          <w:rFonts w:hint="eastAsia"/>
          <w:highlight w:val="none"/>
          <w:lang w:val="en-US" w:eastAsia="zh-CN"/>
        </w:rPr>
        <w:t>架构</w:t>
      </w:r>
      <w:r>
        <w:rPr>
          <w:rFonts w:hint="eastAsia"/>
          <w:highlight w:val="none"/>
        </w:rPr>
        <w:t>如下：</w:t>
      </w:r>
    </w:p>
    <w:p>
      <w:pPr>
        <w:rPr>
          <w:rFonts w:hint="eastAsia"/>
          <w:highlight w:val="none"/>
        </w:rPr>
      </w:pPr>
      <w:r>
        <w:rPr>
          <w:highlight w:val="none"/>
        </w:rPr>
        <w:object>
          <v:shape id="_x0000_i1025" o:spt="75" type="#_x0000_t75" style="height:466.5pt;width:415.9pt;" o:ole="t" filled="f" o:preferrelative="t" stroked="f" coordsize="21600,21600">
            <v:path/>
            <v:fill on="f" focussize="0,0"/>
            <v:stroke on="f" joinstyle="miter"/>
            <v:imagedata r:id="rId15" o:title=""/>
            <o:lock v:ext="edit" aspectratio="f"/>
            <w10:wrap type="none"/>
            <w10:anchorlock/>
          </v:shape>
          <o:OLEObject Type="Embed" ProgID="Visio.Drawing.15" ShapeID="_x0000_i1025" DrawAspect="Content" ObjectID="_1468075725" r:id="rId14">
            <o:LockedField>false</o:LockedField>
          </o:OLEObject>
        </w:object>
      </w:r>
    </w:p>
    <w:p>
      <w:pPr>
        <w:rPr>
          <w:rFonts w:hint="eastAsia"/>
          <w:highlight w:val="none"/>
        </w:rPr>
      </w:pPr>
    </w:p>
    <w:p>
      <w:pPr>
        <w:pStyle w:val="4"/>
        <w:numPr>
          <w:ilvl w:val="1"/>
          <w:numId w:val="15"/>
        </w:numPr>
        <w:rPr>
          <w:rFonts w:hint="eastAsia"/>
          <w:highlight w:val="none"/>
        </w:rPr>
      </w:pPr>
      <w:r>
        <w:rPr>
          <w:rFonts w:hint="eastAsia"/>
          <w:highlight w:val="none"/>
        </w:rPr>
        <w:t>主要建设内容</w:t>
      </w:r>
    </w:p>
    <w:p>
      <w:pPr>
        <w:pStyle w:val="6"/>
        <w:numPr>
          <w:ilvl w:val="2"/>
          <w:numId w:val="15"/>
        </w:numPr>
        <w:rPr>
          <w:rFonts w:hint="eastAsia"/>
          <w:sz w:val="28"/>
          <w:szCs w:val="28"/>
          <w:highlight w:val="none"/>
        </w:rPr>
      </w:pPr>
      <w:bookmarkStart w:id="13" w:name="_Hlk187931459"/>
      <w:r>
        <w:rPr>
          <w:rFonts w:hint="eastAsia"/>
          <w:sz w:val="28"/>
          <w:szCs w:val="28"/>
          <w:highlight w:val="none"/>
        </w:rPr>
        <w:t>长三角国土空间规划实施监测子系统</w:t>
      </w:r>
    </w:p>
    <w:bookmarkEnd w:id="13"/>
    <w:p>
      <w:pPr>
        <w:pStyle w:val="187"/>
        <w:spacing w:before="0" w:beforeAutospacing="0" w:line="360" w:lineRule="auto"/>
        <w:ind w:firstLine="480" w:firstLineChars="200"/>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完成长三角国土空间规划实施监测子系统框架搭建，重点完成长三角空间协同治理和规划实施监测评估模块建设。</w:t>
      </w:r>
    </w:p>
    <w:p>
      <w:pPr>
        <w:pStyle w:val="6"/>
        <w:numPr>
          <w:ilvl w:val="2"/>
          <w:numId w:val="15"/>
        </w:numPr>
        <w:rPr>
          <w:rFonts w:hint="eastAsia"/>
          <w:sz w:val="28"/>
          <w:szCs w:val="28"/>
          <w:highlight w:val="none"/>
        </w:rPr>
      </w:pPr>
      <w:r>
        <w:rPr>
          <w:rFonts w:hint="eastAsia"/>
          <w:sz w:val="28"/>
          <w:szCs w:val="28"/>
          <w:highlight w:val="none"/>
        </w:rPr>
        <w:t>土地管理板块</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深化</w:t>
      </w:r>
      <w:r>
        <w:rPr>
          <w:rFonts w:hint="eastAsia" w:ascii="宋体" w:hAnsi="宋体" w:eastAsia="宋体" w:cs="宋体"/>
          <w:color w:val="000000"/>
          <w:sz w:val="24"/>
          <w:szCs w:val="24"/>
          <w:highlight w:val="none"/>
        </w:rPr>
        <w:t>“土地管理板块”建设成果</w:t>
      </w:r>
      <w:r>
        <w:rPr>
          <w:rFonts w:hint="eastAsia" w:ascii="宋体" w:hAnsi="宋体" w:eastAsia="宋体" w:cs="宋体"/>
          <w:sz w:val="24"/>
          <w:szCs w:val="24"/>
          <w:highlight w:val="none"/>
        </w:rPr>
        <w:t>，扩展耕地与永久基本农田管理板块，并对集体土地征收补偿、</w:t>
      </w:r>
      <w:r>
        <w:rPr>
          <w:rFonts w:hint="eastAsia" w:ascii="宋体" w:hAnsi="宋体" w:eastAsia="宋体" w:cs="宋体"/>
          <w:sz w:val="24"/>
          <w:szCs w:val="24"/>
          <w:highlight w:val="none"/>
          <w:lang w:bidi="ar"/>
        </w:rPr>
        <w:t>土地供应</w:t>
      </w:r>
      <w:r>
        <w:rPr>
          <w:rFonts w:hint="eastAsia" w:ascii="宋体" w:hAnsi="宋体" w:eastAsia="宋体" w:cs="宋体"/>
          <w:sz w:val="24"/>
          <w:szCs w:val="24"/>
          <w:highlight w:val="none"/>
        </w:rPr>
        <w:t>进行升级改造。同时完成业务批后数据共享、使用市级政务云PaaS服务及工具箱对现有wps文档套打功能进行进一步升级适配。</w:t>
      </w:r>
    </w:p>
    <w:p>
      <w:pPr>
        <w:pStyle w:val="4"/>
        <w:numPr>
          <w:ilvl w:val="1"/>
          <w:numId w:val="15"/>
        </w:numPr>
        <w:rPr>
          <w:rFonts w:hint="eastAsia"/>
          <w:szCs w:val="30"/>
          <w:highlight w:val="none"/>
        </w:rPr>
      </w:pPr>
      <w:bookmarkStart w:id="14" w:name="_Toc63785502"/>
      <w:r>
        <w:rPr>
          <w:rFonts w:hint="eastAsia"/>
          <w:szCs w:val="30"/>
          <w:highlight w:val="none"/>
        </w:rPr>
        <w:t>软件开发清单</w:t>
      </w:r>
    </w:p>
    <w:p>
      <w:pPr>
        <w:pStyle w:val="6"/>
        <w:numPr>
          <w:ilvl w:val="2"/>
          <w:numId w:val="15"/>
        </w:numPr>
        <w:rPr>
          <w:rFonts w:hint="eastAsia"/>
          <w:sz w:val="28"/>
          <w:szCs w:val="28"/>
          <w:highlight w:val="none"/>
        </w:rPr>
      </w:pPr>
      <w:r>
        <w:rPr>
          <w:rFonts w:hint="eastAsia"/>
          <w:sz w:val="28"/>
          <w:szCs w:val="28"/>
          <w:highlight w:val="none"/>
        </w:rPr>
        <w:t>长三角国土空间规划实施监测子系统</w:t>
      </w:r>
    </w:p>
    <w:tbl>
      <w:tblPr>
        <w:tblStyle w:val="8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083"/>
        <w:gridCol w:w="5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序号</w:t>
            </w:r>
          </w:p>
        </w:tc>
        <w:tc>
          <w:tcPr>
            <w:tcW w:w="2083" w:type="dxa"/>
          </w:tcPr>
          <w:p>
            <w:pPr>
              <w:pStyle w:val="289"/>
              <w:rPr>
                <w:rFonts w:ascii="仿宋" w:hAnsi="仿宋"/>
                <w:highlight w:val="none"/>
              </w:rPr>
            </w:pPr>
            <w:r>
              <w:rPr>
                <w:rFonts w:ascii="仿宋" w:hAnsi="仿宋"/>
                <w:b w:val="0"/>
                <w:bCs w:val="0"/>
                <w:highlight w:val="none"/>
              </w:rPr>
              <w:t>功能名称</w:t>
            </w:r>
          </w:p>
        </w:tc>
        <w:tc>
          <w:tcPr>
            <w:tcW w:w="5172" w:type="dxa"/>
          </w:tcPr>
          <w:p>
            <w:pPr>
              <w:pStyle w:val="289"/>
              <w:rPr>
                <w:rFonts w:ascii="仿宋" w:hAnsi="仿宋"/>
                <w:highlight w:val="none"/>
              </w:rPr>
            </w:pPr>
            <w:r>
              <w:rPr>
                <w:rFonts w:ascii="仿宋" w:hAnsi="仿宋"/>
                <w:b w:val="0"/>
                <w:bCs w:val="0"/>
                <w:highlight w:val="none"/>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1</w:t>
            </w:r>
          </w:p>
        </w:tc>
        <w:tc>
          <w:tcPr>
            <w:tcW w:w="2083" w:type="dxa"/>
          </w:tcPr>
          <w:p>
            <w:pPr>
              <w:pStyle w:val="289"/>
              <w:rPr>
                <w:rFonts w:ascii="仿宋" w:hAnsi="仿宋"/>
                <w:highlight w:val="none"/>
              </w:rPr>
            </w:pPr>
            <w:r>
              <w:rPr>
                <w:rFonts w:ascii="仿宋" w:hAnsi="仿宋"/>
                <w:b w:val="0"/>
                <w:bCs w:val="0"/>
                <w:highlight w:val="none"/>
              </w:rPr>
              <w:t>长三角国土空间规划“一张图”-长三角国土空间规划可视化-资源禀赋</w:t>
            </w:r>
          </w:p>
        </w:tc>
        <w:tc>
          <w:tcPr>
            <w:tcW w:w="5172" w:type="dxa"/>
          </w:tcPr>
          <w:p>
            <w:pPr>
              <w:pStyle w:val="289"/>
              <w:rPr>
                <w:rFonts w:ascii="仿宋" w:hAnsi="仿宋"/>
                <w:highlight w:val="none"/>
              </w:rPr>
            </w:pPr>
            <w:r>
              <w:rPr>
                <w:rFonts w:ascii="仿宋" w:hAnsi="仿宋"/>
                <w:b w:val="0"/>
                <w:bCs w:val="0"/>
                <w:highlight w:val="none"/>
              </w:rPr>
              <w:t>基于长三角国土空间规划“一张图”的现状数据，通过数据、动画、多媒体等方式展示长三角国土空间规划范围内的地形、地貌、气候、水文等自然地理格局特征，以及土地、矿产、森林、草原、湿地、水、海域海岛等自然资源的分布与现状，反映规划范围内的国土空间自然本底和资源禀赋，将长三角国土利用现状、自然资源本底及变化情况详实准确地掌握，支撑长三角国土空间规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2</w:t>
            </w:r>
          </w:p>
        </w:tc>
        <w:tc>
          <w:tcPr>
            <w:tcW w:w="2083" w:type="dxa"/>
          </w:tcPr>
          <w:p>
            <w:pPr>
              <w:pStyle w:val="289"/>
              <w:rPr>
                <w:rFonts w:ascii="仿宋" w:hAnsi="仿宋"/>
                <w:highlight w:val="none"/>
              </w:rPr>
            </w:pPr>
            <w:r>
              <w:rPr>
                <w:rFonts w:ascii="仿宋" w:hAnsi="仿宋"/>
                <w:b w:val="0"/>
                <w:bCs w:val="0"/>
                <w:highlight w:val="none"/>
              </w:rPr>
              <w:t>长三角国土空间规划“一张图”-长三角国土空间规划可视化-重大问题</w:t>
            </w:r>
          </w:p>
        </w:tc>
        <w:tc>
          <w:tcPr>
            <w:tcW w:w="5172" w:type="dxa"/>
          </w:tcPr>
          <w:p>
            <w:pPr>
              <w:pStyle w:val="289"/>
              <w:rPr>
                <w:rFonts w:ascii="仿宋" w:hAnsi="仿宋"/>
                <w:highlight w:val="none"/>
              </w:rPr>
            </w:pPr>
            <w:r>
              <w:rPr>
                <w:rFonts w:ascii="仿宋" w:hAnsi="仿宋"/>
                <w:b w:val="0"/>
                <w:bCs w:val="0"/>
                <w:highlight w:val="none"/>
              </w:rPr>
              <w:t>基于长三角国土空间规划文本，以问题为导向，结合长三角自然资源本底和相关规划数据，通过地图渲染、统计图表等图表一体化的方式集成展示在生态文明建设、绿色发展、高质量发展等理念下国土空间中亟待解决的生态环境恶化、生态功能退化、资源粗放利用等重大问题以及未来可能面对的风险和挑战，在开发保护格局存在的矛盾，生态、水、粮食安全问题，区域发展协调性，高质量发展高品质生活的差距等方面明晰长三角在发展方向上的困境，积极探索相关的应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3</w:t>
            </w:r>
          </w:p>
        </w:tc>
        <w:tc>
          <w:tcPr>
            <w:tcW w:w="2083" w:type="dxa"/>
          </w:tcPr>
          <w:p>
            <w:pPr>
              <w:pStyle w:val="289"/>
              <w:rPr>
                <w:rFonts w:ascii="仿宋" w:hAnsi="仿宋"/>
                <w:highlight w:val="none"/>
              </w:rPr>
            </w:pPr>
            <w:r>
              <w:rPr>
                <w:rFonts w:ascii="仿宋" w:hAnsi="仿宋"/>
                <w:b w:val="0"/>
                <w:bCs w:val="0"/>
                <w:highlight w:val="none"/>
              </w:rPr>
              <w:t>长三角国土空间规划“一张图”-长三角国土空间规划可视化-对症施策</w:t>
            </w:r>
          </w:p>
        </w:tc>
        <w:tc>
          <w:tcPr>
            <w:tcW w:w="5172" w:type="dxa"/>
          </w:tcPr>
          <w:p>
            <w:pPr>
              <w:pStyle w:val="289"/>
              <w:rPr>
                <w:rFonts w:ascii="仿宋" w:hAnsi="仿宋"/>
                <w:highlight w:val="none"/>
              </w:rPr>
            </w:pPr>
            <w:r>
              <w:rPr>
                <w:rFonts w:ascii="仿宋" w:hAnsi="仿宋"/>
                <w:b w:val="0"/>
                <w:bCs w:val="0"/>
                <w:highlight w:val="none"/>
              </w:rPr>
              <w:t>基于长三角国土空间规划文本，以地图与文本等图文互动的方式，展示长三角国土空间规划的核心指导思想、总体战略、保护格局、主要任务和目标指标等纲领性内容，同时针对区域指引、实施保障等方面内容进行分析展示，反映长三角国土空间规划的总体目标和战略方针，以及对目前存在的各项差距进行深入挖掘分析，体现应对当前所面临的各项问题挑战，长三角的对症施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4</w:t>
            </w:r>
          </w:p>
        </w:tc>
        <w:tc>
          <w:tcPr>
            <w:tcW w:w="2083" w:type="dxa"/>
          </w:tcPr>
          <w:p>
            <w:pPr>
              <w:pStyle w:val="289"/>
              <w:rPr>
                <w:rFonts w:ascii="仿宋" w:hAnsi="仿宋"/>
                <w:highlight w:val="none"/>
              </w:rPr>
            </w:pPr>
            <w:r>
              <w:rPr>
                <w:rFonts w:ascii="仿宋" w:hAnsi="仿宋"/>
                <w:b w:val="0"/>
                <w:bCs w:val="0"/>
                <w:highlight w:val="none"/>
              </w:rPr>
              <w:t>长三角国土空间规划“一张图”-长三角国土空间规划可视化-规划实施</w:t>
            </w:r>
          </w:p>
        </w:tc>
        <w:tc>
          <w:tcPr>
            <w:tcW w:w="5172" w:type="dxa"/>
          </w:tcPr>
          <w:p>
            <w:pPr>
              <w:pStyle w:val="289"/>
              <w:rPr>
                <w:rFonts w:ascii="仿宋" w:hAnsi="仿宋"/>
                <w:highlight w:val="none"/>
              </w:rPr>
            </w:pPr>
            <w:r>
              <w:rPr>
                <w:rFonts w:ascii="仿宋" w:hAnsi="仿宋"/>
                <w:b w:val="0"/>
                <w:bCs w:val="0"/>
                <w:highlight w:val="none"/>
              </w:rPr>
              <w:t>以地图与文本等图文互动的方式，从安全、结构、效率、品质、治理五个方面展示长三角国土空间规划实施情况。整合接入多源数据，对长三角国土空间规划确定的各项管控指标进行实时监测。提供长三角国土空间规划实施指标的现状数值、实施进度、变化趋势等信息的图表一体的可视化展示，对相关的国土空间保护和开发利用行为进行长期动态监测，加强对各类约束性指标和管控边界的重点监测，并将监测结果作为关键指标及重大问题预警、规划实施动态维护和调整的基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5</w:t>
            </w:r>
          </w:p>
        </w:tc>
        <w:tc>
          <w:tcPr>
            <w:tcW w:w="2083" w:type="dxa"/>
          </w:tcPr>
          <w:p>
            <w:pPr>
              <w:pStyle w:val="289"/>
              <w:rPr>
                <w:rFonts w:ascii="仿宋" w:hAnsi="仿宋"/>
                <w:highlight w:val="none"/>
              </w:rPr>
            </w:pPr>
            <w:r>
              <w:rPr>
                <w:rFonts w:ascii="仿宋" w:hAnsi="仿宋"/>
                <w:b w:val="0"/>
                <w:bCs w:val="0"/>
                <w:highlight w:val="none"/>
              </w:rPr>
              <w:t>长三角国土空间规划“一张图”-长三角国土空间规划可视化-格局演变</w:t>
            </w:r>
          </w:p>
        </w:tc>
        <w:tc>
          <w:tcPr>
            <w:tcW w:w="5172" w:type="dxa"/>
          </w:tcPr>
          <w:p>
            <w:pPr>
              <w:pStyle w:val="289"/>
              <w:rPr>
                <w:rFonts w:ascii="仿宋" w:hAnsi="仿宋"/>
                <w:highlight w:val="none"/>
              </w:rPr>
            </w:pPr>
            <w:r>
              <w:rPr>
                <w:rFonts w:ascii="仿宋" w:hAnsi="仿宋"/>
                <w:b w:val="0"/>
                <w:bCs w:val="0"/>
                <w:highlight w:val="none"/>
              </w:rPr>
              <w:t>总体展现长三角国土空间开发保护的整体架构，包括自然生态格局，资源配置格局、安全韧性格局等，对空间演变格局进行场景化的设计和展现，通过各类专题场景漫游的方式，预见长三角在未来空间格局上的演变，展现长三角未来发展的美好蓝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6</w:t>
            </w:r>
          </w:p>
        </w:tc>
        <w:tc>
          <w:tcPr>
            <w:tcW w:w="2083" w:type="dxa"/>
          </w:tcPr>
          <w:p>
            <w:pPr>
              <w:pStyle w:val="289"/>
              <w:rPr>
                <w:rFonts w:ascii="仿宋" w:hAnsi="仿宋"/>
                <w:highlight w:val="none"/>
              </w:rPr>
            </w:pPr>
            <w:r>
              <w:rPr>
                <w:rFonts w:ascii="仿宋" w:hAnsi="仿宋"/>
                <w:b w:val="0"/>
                <w:bCs w:val="0"/>
                <w:highlight w:val="none"/>
              </w:rPr>
              <w:t>长三角国土空间规划“一张图”-三省一市国土空间规划传导衔接-总体规划实施传导监测</w:t>
            </w:r>
          </w:p>
        </w:tc>
        <w:tc>
          <w:tcPr>
            <w:tcW w:w="5172" w:type="dxa"/>
          </w:tcPr>
          <w:p>
            <w:pPr>
              <w:pStyle w:val="289"/>
              <w:rPr>
                <w:rFonts w:ascii="仿宋" w:hAnsi="仿宋"/>
                <w:highlight w:val="none"/>
              </w:rPr>
            </w:pPr>
            <w:r>
              <w:rPr>
                <w:rFonts w:ascii="仿宋" w:hAnsi="仿宋"/>
                <w:b w:val="0"/>
                <w:bCs w:val="0"/>
                <w:highlight w:val="none"/>
              </w:rPr>
              <w:t>以国土空间总体规划的约束性指标、控制线、重大设施和项目等为核心，构建总体规划纵向传导体系，实现各级总体规划的上传下达、纵横联动，对三省一市国土空间总体规划目标指标等落实情况的可视化空间展示，对存在的问题和风险进行及时预警和调整，支撑国土空间总体规划的精准传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7</w:t>
            </w:r>
          </w:p>
        </w:tc>
        <w:tc>
          <w:tcPr>
            <w:tcW w:w="2083" w:type="dxa"/>
          </w:tcPr>
          <w:p>
            <w:pPr>
              <w:pStyle w:val="289"/>
              <w:rPr>
                <w:rFonts w:ascii="仿宋" w:hAnsi="仿宋"/>
                <w:highlight w:val="none"/>
              </w:rPr>
            </w:pPr>
            <w:r>
              <w:rPr>
                <w:rFonts w:ascii="仿宋" w:hAnsi="仿宋"/>
                <w:b w:val="0"/>
                <w:bCs w:val="0"/>
                <w:highlight w:val="none"/>
              </w:rPr>
              <w:t>长三角国土空间规划“一张图”-三省一市国土空间规划传导衔接-专项规划协同衔接监测</w:t>
            </w:r>
          </w:p>
        </w:tc>
        <w:tc>
          <w:tcPr>
            <w:tcW w:w="5172" w:type="dxa"/>
          </w:tcPr>
          <w:p>
            <w:pPr>
              <w:pStyle w:val="289"/>
              <w:rPr>
                <w:rFonts w:ascii="仿宋" w:hAnsi="仿宋"/>
                <w:highlight w:val="none"/>
              </w:rPr>
            </w:pPr>
            <w:r>
              <w:rPr>
                <w:rFonts w:ascii="仿宋" w:hAnsi="仿宋"/>
                <w:b w:val="0"/>
                <w:bCs w:val="0"/>
                <w:highlight w:val="none"/>
              </w:rPr>
              <w:t>统筹长三角区域以空间布局、国土空间开发保护、自然资源保护利用等为主要内容的国土空间专项规划，以及综合交通规划等涉及空间利用发展的专项规划，构建向上落实总体规划、横向衔接其它专项规划的传导管控体系，对专项规划落实总规强制性内容、设施总量与布局等，以及与其它专项规划的设施、要素空间一致性情况进行监测预警，为落实国土空间总体规划传导要求、综合平衡和统筹协调区域资源要素配置提供重要抓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8</w:t>
            </w:r>
          </w:p>
        </w:tc>
        <w:tc>
          <w:tcPr>
            <w:tcW w:w="2083" w:type="dxa"/>
          </w:tcPr>
          <w:p>
            <w:pPr>
              <w:pStyle w:val="289"/>
              <w:rPr>
                <w:rFonts w:ascii="仿宋" w:hAnsi="仿宋"/>
                <w:highlight w:val="none"/>
              </w:rPr>
            </w:pPr>
            <w:r>
              <w:rPr>
                <w:rFonts w:ascii="仿宋" w:hAnsi="仿宋"/>
                <w:b w:val="0"/>
                <w:bCs w:val="0"/>
                <w:highlight w:val="none"/>
              </w:rPr>
              <w:t>长三角空间协同治理“工具箱”-长三角国土空间规划质检入库工具-质检任务模块</w:t>
            </w:r>
          </w:p>
        </w:tc>
        <w:tc>
          <w:tcPr>
            <w:tcW w:w="5172" w:type="dxa"/>
          </w:tcPr>
          <w:p>
            <w:pPr>
              <w:pStyle w:val="289"/>
              <w:rPr>
                <w:rFonts w:ascii="仿宋" w:hAnsi="仿宋"/>
                <w:highlight w:val="none"/>
              </w:rPr>
            </w:pPr>
            <w:r>
              <w:rPr>
                <w:rFonts w:ascii="仿宋" w:hAnsi="仿宋"/>
                <w:b w:val="0"/>
                <w:bCs w:val="0"/>
                <w:highlight w:val="none"/>
              </w:rPr>
              <w:t>选择待质检长三角国土空间规划成果数据路径，设置长三角国土空间规划质检规则，创建新的质检任务，根据所选数据路径的不同可分为单一质检任务和批量质检任务。该模块用于管理质检任务，包括质检方案配置、新建任务、打开任务、查看任务、重新质检、删除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9</w:t>
            </w:r>
          </w:p>
        </w:tc>
        <w:tc>
          <w:tcPr>
            <w:tcW w:w="2083" w:type="dxa"/>
          </w:tcPr>
          <w:p>
            <w:pPr>
              <w:pStyle w:val="289"/>
              <w:rPr>
                <w:rFonts w:ascii="仿宋" w:hAnsi="仿宋"/>
                <w:highlight w:val="none"/>
              </w:rPr>
            </w:pPr>
            <w:r>
              <w:rPr>
                <w:rFonts w:ascii="仿宋" w:hAnsi="仿宋"/>
                <w:b w:val="0"/>
                <w:bCs w:val="0"/>
                <w:highlight w:val="none"/>
              </w:rPr>
              <w:t>长三角空间协同治理“工具箱”-长三角国土空间规划质检入库工具-结果查看模块</w:t>
            </w:r>
          </w:p>
        </w:tc>
        <w:tc>
          <w:tcPr>
            <w:tcW w:w="5172" w:type="dxa"/>
          </w:tcPr>
          <w:p>
            <w:pPr>
              <w:pStyle w:val="289"/>
              <w:rPr>
                <w:rFonts w:ascii="仿宋" w:hAnsi="仿宋"/>
                <w:highlight w:val="none"/>
              </w:rPr>
            </w:pPr>
            <w:r>
              <w:rPr>
                <w:rFonts w:ascii="仿宋" w:hAnsi="仿宋"/>
                <w:b w:val="0"/>
                <w:bCs w:val="0"/>
                <w:highlight w:val="none"/>
              </w:rPr>
              <w:t>提供长三角国土空间规划质检结果错误信息查看窗口。在错误信息窗口中分类查看错误记录，可对错误信息、图层、表格、地图、错误信息窗口进行切换查看，并可在地图窗口中进行空间图形定位浏览，对特殊的错误记录可标记为例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10</w:t>
            </w:r>
          </w:p>
        </w:tc>
        <w:tc>
          <w:tcPr>
            <w:tcW w:w="2083" w:type="dxa"/>
          </w:tcPr>
          <w:p>
            <w:pPr>
              <w:pStyle w:val="289"/>
              <w:rPr>
                <w:rFonts w:ascii="仿宋" w:hAnsi="仿宋"/>
                <w:highlight w:val="none"/>
              </w:rPr>
            </w:pPr>
            <w:r>
              <w:rPr>
                <w:rFonts w:ascii="仿宋" w:hAnsi="仿宋"/>
                <w:b w:val="0"/>
                <w:bCs w:val="0"/>
                <w:highlight w:val="none"/>
              </w:rPr>
              <w:t>长三角空间协同治理“工具箱”-长三角国土空间规划质检入库工具-结果导出模块</w:t>
            </w:r>
          </w:p>
        </w:tc>
        <w:tc>
          <w:tcPr>
            <w:tcW w:w="5172" w:type="dxa"/>
          </w:tcPr>
          <w:p>
            <w:pPr>
              <w:pStyle w:val="289"/>
              <w:rPr>
                <w:rFonts w:ascii="仿宋" w:hAnsi="仿宋"/>
                <w:highlight w:val="none"/>
              </w:rPr>
            </w:pPr>
            <w:r>
              <w:rPr>
                <w:rFonts w:ascii="仿宋" w:hAnsi="仿宋"/>
                <w:b w:val="0"/>
                <w:bCs w:val="0"/>
                <w:highlight w:val="none"/>
              </w:rPr>
              <w:t>可单独或同时勾选“导出质检报告”和“导出质检结果”；在选择数据路径中点击“选择文件夹”按钮，在弹出的对话框中选中输出路径，点击“导出”，可将长三角国土空间规划质检报告和质检结果同时或单独导出至所选路径。导出过程中，出现进度条及导出信息，导出完成给出完成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11</w:t>
            </w:r>
          </w:p>
        </w:tc>
        <w:tc>
          <w:tcPr>
            <w:tcW w:w="2083" w:type="dxa"/>
          </w:tcPr>
          <w:p>
            <w:pPr>
              <w:pStyle w:val="289"/>
              <w:rPr>
                <w:rFonts w:ascii="仿宋" w:hAnsi="仿宋"/>
                <w:highlight w:val="none"/>
              </w:rPr>
            </w:pPr>
            <w:r>
              <w:rPr>
                <w:rFonts w:ascii="仿宋" w:hAnsi="仿宋"/>
                <w:b w:val="0"/>
                <w:bCs w:val="0"/>
                <w:highlight w:val="none"/>
              </w:rPr>
              <w:t>长三角空间协同治理“工具箱”-长三角国土空间规划质检入库工具-打包入库模块</w:t>
            </w:r>
          </w:p>
        </w:tc>
        <w:tc>
          <w:tcPr>
            <w:tcW w:w="5172" w:type="dxa"/>
          </w:tcPr>
          <w:p>
            <w:pPr>
              <w:pStyle w:val="289"/>
              <w:rPr>
                <w:rFonts w:ascii="仿宋" w:hAnsi="仿宋"/>
                <w:highlight w:val="none"/>
              </w:rPr>
            </w:pPr>
            <w:r>
              <w:rPr>
                <w:rFonts w:ascii="仿宋" w:hAnsi="仿宋"/>
                <w:b w:val="0"/>
                <w:bCs w:val="0"/>
                <w:highlight w:val="none"/>
              </w:rPr>
              <w:t>对于通过质检并成绩合格的待检数据包，可将成果数据包打包导出至指定路径，支持对通过质量检查的长三角国土空间规划成果数据上图入库。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12</w:t>
            </w:r>
          </w:p>
        </w:tc>
        <w:tc>
          <w:tcPr>
            <w:tcW w:w="2083" w:type="dxa"/>
          </w:tcPr>
          <w:p>
            <w:pPr>
              <w:pStyle w:val="289"/>
              <w:rPr>
                <w:rFonts w:ascii="仿宋" w:hAnsi="仿宋"/>
                <w:highlight w:val="none"/>
              </w:rPr>
            </w:pPr>
            <w:r>
              <w:rPr>
                <w:rFonts w:ascii="仿宋" w:hAnsi="仿宋"/>
                <w:b w:val="0"/>
                <w:bCs w:val="0"/>
                <w:highlight w:val="none"/>
              </w:rPr>
              <w:t>长三角空间协同治理“工具箱”-规划在线协调工具-总体规划矛盾协调</w:t>
            </w:r>
          </w:p>
        </w:tc>
        <w:tc>
          <w:tcPr>
            <w:tcW w:w="5172" w:type="dxa"/>
          </w:tcPr>
          <w:p>
            <w:pPr>
              <w:pStyle w:val="289"/>
              <w:rPr>
                <w:rFonts w:ascii="仿宋" w:hAnsi="仿宋"/>
                <w:highlight w:val="none"/>
              </w:rPr>
            </w:pPr>
            <w:r>
              <w:rPr>
                <w:rFonts w:ascii="仿宋" w:hAnsi="仿宋"/>
                <w:b w:val="0"/>
                <w:bCs w:val="0"/>
                <w:highlight w:val="none"/>
              </w:rPr>
              <w:t>分析各类专项设施布局是否突破国土空间总体规划的强制性界线（包括生态保护红线、永久基本农田、城镇开发边界以及总规划定或划示的其他控制线），是否符合相应的管控要求；分析专项规划空间布局是否与国土空间总体规划的布局相协调或一致，是否与总体规划布局存在明显的矛盾与冲突；分析专项规划是否国土空间总体规划约束性指标管控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13</w:t>
            </w:r>
          </w:p>
        </w:tc>
        <w:tc>
          <w:tcPr>
            <w:tcW w:w="2083" w:type="dxa"/>
          </w:tcPr>
          <w:p>
            <w:pPr>
              <w:pStyle w:val="289"/>
              <w:rPr>
                <w:rFonts w:ascii="仿宋" w:hAnsi="仿宋"/>
                <w:highlight w:val="none"/>
              </w:rPr>
            </w:pPr>
            <w:r>
              <w:rPr>
                <w:rFonts w:ascii="仿宋" w:hAnsi="仿宋"/>
                <w:b w:val="0"/>
                <w:bCs w:val="0"/>
                <w:highlight w:val="none"/>
              </w:rPr>
              <w:t>长三角空间协同治理“工具箱”-规划在线协调工具-专项规划矛盾协调</w:t>
            </w:r>
          </w:p>
        </w:tc>
        <w:tc>
          <w:tcPr>
            <w:tcW w:w="5172" w:type="dxa"/>
          </w:tcPr>
          <w:p>
            <w:pPr>
              <w:pStyle w:val="289"/>
              <w:rPr>
                <w:rFonts w:ascii="仿宋" w:hAnsi="仿宋"/>
                <w:highlight w:val="none"/>
              </w:rPr>
            </w:pPr>
            <w:r>
              <w:rPr>
                <w:rFonts w:ascii="仿宋" w:hAnsi="仿宋"/>
                <w:b w:val="0"/>
                <w:bCs w:val="0"/>
                <w:highlight w:val="none"/>
              </w:rPr>
              <w:t>为增强各类专项规划之间的衔接协同，减少矛盾冲突。重点分析各类专项规划之间的冲突情况，如建设类专项规划之间，设施和用地的空间布局是否有重叠；建设类专项规划和保护类专项规划，建设布局是否侵占保护范围，或者违反保护管理要求；建设类专项规划与避让类专项规划，建设布局是否避让空间管控区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14</w:t>
            </w:r>
          </w:p>
        </w:tc>
        <w:tc>
          <w:tcPr>
            <w:tcW w:w="2083" w:type="dxa"/>
          </w:tcPr>
          <w:p>
            <w:pPr>
              <w:pStyle w:val="289"/>
              <w:rPr>
                <w:rFonts w:ascii="仿宋" w:hAnsi="仿宋"/>
                <w:highlight w:val="none"/>
              </w:rPr>
            </w:pPr>
            <w:r>
              <w:rPr>
                <w:rFonts w:ascii="仿宋" w:hAnsi="仿宋"/>
                <w:b w:val="0"/>
                <w:bCs w:val="0"/>
                <w:highlight w:val="none"/>
              </w:rPr>
              <w:t>长三角空间协同治理“工具箱”-规划在线协调工具-详细规划矛盾协调</w:t>
            </w:r>
          </w:p>
        </w:tc>
        <w:tc>
          <w:tcPr>
            <w:tcW w:w="5172" w:type="dxa"/>
          </w:tcPr>
          <w:p>
            <w:pPr>
              <w:pStyle w:val="289"/>
              <w:rPr>
                <w:rFonts w:ascii="仿宋" w:hAnsi="仿宋"/>
                <w:highlight w:val="none"/>
              </w:rPr>
            </w:pPr>
            <w:r>
              <w:rPr>
                <w:rFonts w:ascii="仿宋" w:hAnsi="仿宋"/>
                <w:b w:val="0"/>
                <w:bCs w:val="0"/>
                <w:highlight w:val="none"/>
              </w:rPr>
              <w:t>分析专项规划中提出的用地需求是否与详细规划的规划布局、土地利用结构和空间组织相符合，并且是否能够在详细规划中得到合理的安排和利用。例如，专项规划中提出的建设用地规模、建筑高度、绿地率等指标是否能够在详细规划中得到具体的落实和体现。此外，专项规划中的环境保护要求、基础设施要求、社会公共服务设施要求等是否能够落实到详细规划的具体设计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15</w:t>
            </w:r>
          </w:p>
        </w:tc>
        <w:tc>
          <w:tcPr>
            <w:tcW w:w="2083" w:type="dxa"/>
          </w:tcPr>
          <w:p>
            <w:pPr>
              <w:pStyle w:val="289"/>
              <w:rPr>
                <w:rFonts w:ascii="仿宋" w:hAnsi="仿宋"/>
                <w:highlight w:val="none"/>
              </w:rPr>
            </w:pPr>
            <w:r>
              <w:rPr>
                <w:rFonts w:ascii="仿宋" w:hAnsi="仿宋"/>
                <w:b w:val="0"/>
                <w:bCs w:val="0"/>
                <w:highlight w:val="none"/>
              </w:rPr>
              <w:t>长三角空间协同治理“工具箱”-跨区域重大项目空间研判工具-谋划储备</w:t>
            </w:r>
          </w:p>
        </w:tc>
        <w:tc>
          <w:tcPr>
            <w:tcW w:w="5172" w:type="dxa"/>
          </w:tcPr>
          <w:p>
            <w:pPr>
              <w:pStyle w:val="289"/>
              <w:rPr>
                <w:rFonts w:ascii="仿宋" w:hAnsi="仿宋"/>
                <w:highlight w:val="none"/>
              </w:rPr>
            </w:pPr>
            <w:r>
              <w:rPr>
                <w:rFonts w:ascii="仿宋" w:hAnsi="仿宋"/>
                <w:b w:val="0"/>
                <w:bCs w:val="0"/>
                <w:highlight w:val="none"/>
              </w:rPr>
              <w:t>提供跨区域重大项目要素适配工具，分析重大项目的规划符合性、协调空间布局矛盾；面向三省一市自然资源部门和各行业主管部门，通过手动录入项目信息和空间位置的方式，对有立项意向的项目自行分析，提前研判空间矛盾，指导项目空间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16</w:t>
            </w:r>
          </w:p>
        </w:tc>
        <w:tc>
          <w:tcPr>
            <w:tcW w:w="2083" w:type="dxa"/>
          </w:tcPr>
          <w:p>
            <w:pPr>
              <w:pStyle w:val="289"/>
              <w:rPr>
                <w:rFonts w:ascii="仿宋" w:hAnsi="仿宋"/>
                <w:highlight w:val="none"/>
              </w:rPr>
            </w:pPr>
            <w:r>
              <w:rPr>
                <w:rFonts w:ascii="仿宋" w:hAnsi="仿宋"/>
                <w:b w:val="0"/>
                <w:bCs w:val="0"/>
                <w:highlight w:val="none"/>
              </w:rPr>
              <w:t>长三角空间协同治理“工具箱”-跨区域重大项目空间研判工具-要素适配</w:t>
            </w:r>
          </w:p>
        </w:tc>
        <w:tc>
          <w:tcPr>
            <w:tcW w:w="5172" w:type="dxa"/>
          </w:tcPr>
          <w:p>
            <w:pPr>
              <w:pStyle w:val="289"/>
              <w:rPr>
                <w:rFonts w:ascii="仿宋" w:hAnsi="仿宋"/>
                <w:highlight w:val="none"/>
              </w:rPr>
            </w:pPr>
            <w:r>
              <w:rPr>
                <w:rFonts w:ascii="仿宋" w:hAnsi="仿宋"/>
                <w:b w:val="0"/>
                <w:bCs w:val="0"/>
                <w:highlight w:val="none"/>
              </w:rPr>
              <w:t>在项目可行性研究阶段，通过重大项目要素适配实现对重大项目的合规性分析，根据系统分析和指标检测结果，生成要素适配报告，预判空间矛盾和要素缺口，以提前协调满足各部门的管控要求，补充要素缺口。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17</w:t>
            </w:r>
          </w:p>
        </w:tc>
        <w:tc>
          <w:tcPr>
            <w:tcW w:w="2083" w:type="dxa"/>
          </w:tcPr>
          <w:p>
            <w:pPr>
              <w:pStyle w:val="289"/>
              <w:rPr>
                <w:rFonts w:ascii="仿宋" w:hAnsi="仿宋"/>
                <w:highlight w:val="none"/>
              </w:rPr>
            </w:pPr>
            <w:r>
              <w:rPr>
                <w:rFonts w:ascii="仿宋" w:hAnsi="仿宋"/>
                <w:b w:val="0"/>
                <w:bCs w:val="0"/>
                <w:highlight w:val="none"/>
              </w:rPr>
              <w:t>长三角空间协同治理“工具箱”-跨区域重大项目空间研判工具-多方案比选</w:t>
            </w:r>
          </w:p>
        </w:tc>
        <w:tc>
          <w:tcPr>
            <w:tcW w:w="5172" w:type="dxa"/>
          </w:tcPr>
          <w:p>
            <w:pPr>
              <w:pStyle w:val="289"/>
              <w:rPr>
                <w:rFonts w:ascii="仿宋" w:hAnsi="仿宋"/>
                <w:highlight w:val="none"/>
              </w:rPr>
            </w:pPr>
            <w:r>
              <w:rPr>
                <w:rFonts w:ascii="仿宋" w:hAnsi="仿宋"/>
                <w:b w:val="0"/>
                <w:bCs w:val="0"/>
                <w:highlight w:val="none"/>
              </w:rPr>
              <w:t>针对实际管理中对多个方案进行比选的场景需求，采取多屏对比的方式对多个方案进行全方位同步展示，结合业务管理中确定的核心管控指标，从多个情景维度对多个选址方案进行合在线研判分析，客观分析用地总规模、永久基本农田、耕地、生态保护红线等各项重要生态敏感指标项的占用情况，并以节约集约为核心综合分析后生成方案比对结果，辅助业务人员挑选最优选址方案，为重大项目协调例会上的项目选址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18</w:t>
            </w:r>
          </w:p>
        </w:tc>
        <w:tc>
          <w:tcPr>
            <w:tcW w:w="2083" w:type="dxa"/>
          </w:tcPr>
          <w:p>
            <w:pPr>
              <w:pStyle w:val="289"/>
              <w:rPr>
                <w:rFonts w:ascii="仿宋" w:hAnsi="仿宋"/>
                <w:highlight w:val="none"/>
              </w:rPr>
            </w:pPr>
            <w:r>
              <w:rPr>
                <w:rFonts w:ascii="仿宋" w:hAnsi="仿宋"/>
                <w:b w:val="0"/>
                <w:bCs w:val="0"/>
                <w:highlight w:val="none"/>
              </w:rPr>
              <w:t>长三角空间协同治理“工具箱”-监测评估报告自动生成工具-报告模板选择</w:t>
            </w:r>
          </w:p>
        </w:tc>
        <w:tc>
          <w:tcPr>
            <w:tcW w:w="5172" w:type="dxa"/>
          </w:tcPr>
          <w:p>
            <w:pPr>
              <w:pStyle w:val="289"/>
              <w:rPr>
                <w:rFonts w:ascii="仿宋" w:hAnsi="仿宋"/>
                <w:highlight w:val="none"/>
              </w:rPr>
            </w:pPr>
            <w:r>
              <w:rPr>
                <w:rFonts w:ascii="仿宋" w:hAnsi="仿宋"/>
                <w:b w:val="0"/>
                <w:bCs w:val="0"/>
                <w:highlight w:val="none"/>
              </w:rPr>
              <w:t>根据都市圈区域规划体检评估、重点城市总规实施监测评估、主体功能格局优化等不同业务类型设置评估报告模版，如页面布局、字体格式、标题、图表等，在模板中预定义参数，这些参数将在报告生成时被动态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19</w:t>
            </w:r>
          </w:p>
        </w:tc>
        <w:tc>
          <w:tcPr>
            <w:tcW w:w="2083" w:type="dxa"/>
          </w:tcPr>
          <w:p>
            <w:pPr>
              <w:pStyle w:val="289"/>
              <w:rPr>
                <w:rFonts w:ascii="仿宋" w:hAnsi="仿宋"/>
                <w:highlight w:val="none"/>
              </w:rPr>
            </w:pPr>
            <w:r>
              <w:rPr>
                <w:rFonts w:ascii="仿宋" w:hAnsi="仿宋"/>
                <w:b w:val="0"/>
                <w:bCs w:val="0"/>
                <w:highlight w:val="none"/>
              </w:rPr>
              <w:t>长三角空间协同治理“工具箱”-监测评估报告自动生成工具-报告生成</w:t>
            </w:r>
          </w:p>
        </w:tc>
        <w:tc>
          <w:tcPr>
            <w:tcW w:w="5172" w:type="dxa"/>
          </w:tcPr>
          <w:p>
            <w:pPr>
              <w:pStyle w:val="289"/>
              <w:rPr>
                <w:rFonts w:ascii="仿宋" w:hAnsi="仿宋"/>
                <w:highlight w:val="none"/>
              </w:rPr>
            </w:pPr>
            <w:r>
              <w:rPr>
                <w:rFonts w:ascii="仿宋" w:hAnsi="仿宋"/>
                <w:b w:val="0"/>
                <w:bCs w:val="0"/>
                <w:highlight w:val="none"/>
              </w:rPr>
              <w:t>选择对应的模版，将都市圈区域规划体检评估、重点城市总规实施监测评估、主体功能格局优化等不同业务分析评价的结果数据与模板中的参数绑定，实现数据的自动填充，生成最终的监测评估报告报告文档，支持文档在线浏览与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20</w:t>
            </w:r>
          </w:p>
        </w:tc>
        <w:tc>
          <w:tcPr>
            <w:tcW w:w="2083" w:type="dxa"/>
          </w:tcPr>
          <w:p>
            <w:pPr>
              <w:pStyle w:val="289"/>
              <w:rPr>
                <w:rFonts w:ascii="仿宋" w:hAnsi="仿宋"/>
                <w:highlight w:val="none"/>
              </w:rPr>
            </w:pPr>
            <w:r>
              <w:rPr>
                <w:rFonts w:ascii="仿宋" w:hAnsi="仿宋"/>
                <w:b w:val="0"/>
                <w:bCs w:val="0"/>
                <w:highlight w:val="none"/>
              </w:rPr>
              <w:t>长三角资源环境承载力评价-双评价成果管理-双评价成果总览</w:t>
            </w:r>
          </w:p>
        </w:tc>
        <w:tc>
          <w:tcPr>
            <w:tcW w:w="5172" w:type="dxa"/>
          </w:tcPr>
          <w:p>
            <w:pPr>
              <w:pStyle w:val="289"/>
              <w:rPr>
                <w:rFonts w:ascii="仿宋" w:hAnsi="仿宋"/>
                <w:highlight w:val="none"/>
              </w:rPr>
            </w:pPr>
            <w:r>
              <w:rPr>
                <w:rFonts w:ascii="仿宋" w:hAnsi="仿宋"/>
                <w:b w:val="0"/>
                <w:bCs w:val="0"/>
                <w:highlight w:val="none"/>
              </w:rPr>
              <w:t>聚焦长三角地区的各类自然资源环境本底特征和社会经济发展特点，将资源环境承载能力和国土空间开发适宜性评价的核心指标在界面上进行直观、具象化的展示，汇集本底禀赋、单项评价、集成评价、综合评价等各类评价成果的核心指标信息，为领导决策提供数据辅助支撑、实时了解长三角地区的各项本底资源禀赋的指标占比、各类承载能力和适应性评价成果的情况。</w:t>
            </w:r>
            <w:r>
              <w:rPr>
                <w:rFonts w:ascii="仿宋" w:hAnsi="仿宋"/>
                <w:b w:val="0"/>
                <w:bCs w:val="0"/>
                <w:highlight w:val="none"/>
              </w:rPr>
              <w:br w:type="textWrapping"/>
            </w:r>
            <w:r>
              <w:rPr>
                <w:rFonts w:ascii="仿宋" w:hAnsi="仿宋"/>
                <w:b w:val="0"/>
                <w:bCs w:val="0"/>
                <w:highlight w:val="none"/>
              </w:rPr>
              <w:t>（1）区域概况数据统计汇集</w:t>
            </w:r>
            <w:r>
              <w:rPr>
                <w:rFonts w:ascii="仿宋" w:hAnsi="仿宋"/>
                <w:b w:val="0"/>
                <w:bCs w:val="0"/>
                <w:highlight w:val="none"/>
              </w:rPr>
              <w:br w:type="textWrapping"/>
            </w:r>
            <w:r>
              <w:rPr>
                <w:rFonts w:ascii="仿宋" w:hAnsi="仿宋"/>
                <w:b w:val="0"/>
                <w:bCs w:val="0"/>
                <w:highlight w:val="none"/>
              </w:rPr>
              <w:t>聚焦长三角区域环境概况和海陆统筹特点，将区域概况的相关核心指标在界面上进行具象化的展示，汇集海域、陆域相关的指标参数，如陆域土地资源的整体情况及分类面积占比、海域资源的整体情况及占比等，全面展现长三角的总体情况。</w:t>
            </w:r>
            <w:r>
              <w:rPr>
                <w:rFonts w:ascii="仿宋" w:hAnsi="仿宋"/>
                <w:b w:val="0"/>
                <w:bCs w:val="0"/>
                <w:highlight w:val="none"/>
              </w:rPr>
              <w:br w:type="textWrapping"/>
            </w:r>
            <w:r>
              <w:rPr>
                <w:rFonts w:ascii="仿宋" w:hAnsi="仿宋"/>
                <w:b w:val="0"/>
                <w:bCs w:val="0"/>
                <w:highlight w:val="none"/>
              </w:rPr>
              <w:t>（2）本底禀赋指标数据统计与渲染</w:t>
            </w:r>
            <w:r>
              <w:rPr>
                <w:rFonts w:ascii="仿宋" w:hAnsi="仿宋"/>
                <w:b w:val="0"/>
                <w:bCs w:val="0"/>
                <w:highlight w:val="none"/>
              </w:rPr>
              <w:br w:type="textWrapping"/>
            </w:r>
            <w:r>
              <w:rPr>
                <w:rFonts w:ascii="仿宋" w:hAnsi="仿宋"/>
                <w:b w:val="0"/>
                <w:bCs w:val="0"/>
                <w:highlight w:val="none"/>
              </w:rPr>
              <w:t>通过将长三角区域的水、土、环境、能源、生态、灾害等方面的本底禀赋资源以指标数值的形式，汇集显示在界面上，并结合资源情况及其区域分布情况进行专题图的渲染和统计，全面展示长三角的本底禀赋资源。</w:t>
            </w:r>
            <w:r>
              <w:rPr>
                <w:rFonts w:ascii="仿宋" w:hAnsi="仿宋"/>
                <w:b w:val="0"/>
                <w:bCs w:val="0"/>
                <w:highlight w:val="none"/>
              </w:rPr>
              <w:br w:type="textWrapping"/>
            </w:r>
            <w:r>
              <w:rPr>
                <w:rFonts w:ascii="仿宋" w:hAnsi="仿宋"/>
                <w:b w:val="0"/>
                <w:bCs w:val="0"/>
                <w:highlight w:val="none"/>
              </w:rPr>
              <w:t>（3）单项评价指标数据统计与渲染将长三角区域的水、土、环境、能源、生态、灾害等方面的单项评价结果以指标数值的形式，汇集显示在界面上，并结合单项评价结果及其资源的分布情况进行专题图的渲染和统计，全面展示长三角的单项评价结果。</w:t>
            </w:r>
            <w:r>
              <w:rPr>
                <w:rFonts w:ascii="仿宋" w:hAnsi="仿宋"/>
                <w:b w:val="0"/>
                <w:bCs w:val="0"/>
                <w:highlight w:val="none"/>
              </w:rPr>
              <w:br w:type="textWrapping"/>
            </w:r>
            <w:r>
              <w:rPr>
                <w:rFonts w:ascii="仿宋" w:hAnsi="仿宋"/>
                <w:b w:val="0"/>
                <w:bCs w:val="0"/>
                <w:highlight w:val="none"/>
              </w:rPr>
              <w:t>（4）集成评价指标数据统计与渲染</w:t>
            </w:r>
            <w:r>
              <w:rPr>
                <w:rFonts w:ascii="仿宋" w:hAnsi="仿宋"/>
                <w:b w:val="0"/>
                <w:bCs w:val="0"/>
                <w:highlight w:val="none"/>
              </w:rPr>
              <w:br w:type="textWrapping"/>
            </w:r>
            <w:r>
              <w:rPr>
                <w:rFonts w:ascii="仿宋" w:hAnsi="仿宋"/>
                <w:b w:val="0"/>
                <w:bCs w:val="0"/>
                <w:highlight w:val="none"/>
              </w:rPr>
              <w:t>通过对长三角区域的资源环境承载能力和国土空间开发适宜性的集成评价结果进行汇集，以统计结果的方式，充分展示生态保护、农业生产、城镇建设三大空间指向的评价结果，并对评价结果进行指标数值的统计和专题图的渲染。</w:t>
            </w:r>
            <w:r>
              <w:rPr>
                <w:rFonts w:ascii="仿宋" w:hAnsi="仿宋"/>
                <w:b w:val="0"/>
                <w:bCs w:val="0"/>
                <w:highlight w:val="none"/>
              </w:rPr>
              <w:br w:type="textWrapping"/>
            </w:r>
            <w:r>
              <w:rPr>
                <w:rFonts w:ascii="仿宋" w:hAnsi="仿宋"/>
                <w:b w:val="0"/>
                <w:bCs w:val="0"/>
                <w:highlight w:val="none"/>
              </w:rPr>
              <w:t>（5）双评价指标数据预处理</w:t>
            </w:r>
            <w:r>
              <w:rPr>
                <w:rFonts w:ascii="仿宋" w:hAnsi="仿宋"/>
                <w:b w:val="0"/>
                <w:bCs w:val="0"/>
                <w:highlight w:val="none"/>
              </w:rPr>
              <w:br w:type="textWrapping"/>
            </w:r>
            <w:r>
              <w:rPr>
                <w:rFonts w:ascii="仿宋" w:hAnsi="仿宋"/>
                <w:b w:val="0"/>
                <w:bCs w:val="0"/>
                <w:highlight w:val="none"/>
              </w:rPr>
              <w:t>对双评价驾驶舱应用里需要呈现的各类指标，按数据来源进行逐项分析，解读含义，分析数据来源，包含数据类型、数据源名称、数据源获取路径、数据源连接、数据表字段等，以便对这些数据源进行相应的预处理路径设计，如包括对源数据的数据提取、数据清洗、坐标转换、归一化等，以保证指标计算的准确性和可靠性。</w:t>
            </w:r>
            <w:r>
              <w:rPr>
                <w:rFonts w:ascii="仿宋" w:hAnsi="仿宋"/>
                <w:b w:val="0"/>
                <w:bCs w:val="0"/>
                <w:highlight w:val="none"/>
              </w:rPr>
              <w:br w:type="textWrapping"/>
            </w:r>
            <w:r>
              <w:rPr>
                <w:rFonts w:ascii="仿宋" w:hAnsi="仿宋"/>
                <w:b w:val="0"/>
                <w:bCs w:val="0"/>
                <w:highlight w:val="none"/>
              </w:rPr>
              <w:t>（6）双评价指标数据计算</w:t>
            </w:r>
            <w:r>
              <w:rPr>
                <w:rFonts w:ascii="仿宋" w:hAnsi="仿宋"/>
                <w:b w:val="0"/>
                <w:bCs w:val="0"/>
                <w:highlight w:val="none"/>
              </w:rPr>
              <w:br w:type="textWrapping"/>
            </w:r>
            <w:r>
              <w:rPr>
                <w:rFonts w:ascii="仿宋" w:hAnsi="仿宋"/>
                <w:b w:val="0"/>
                <w:bCs w:val="0"/>
                <w:highlight w:val="none"/>
              </w:rPr>
              <w:t>根据指标的计算逻辑和定义，设计指标计算的路径。包括对指标的计算公式、计算规则、计算顺序等进行设计和规划，确保指标计算的过程中按照预期的逻辑进行计算。在此基础上进行指标计算流程的开发，对预处理后的数据进行指标计算的具体实现，包括计算公式、计算规则、计算顺序等。根据指标的存储需求和设计的存储结构，进行指标存储流程的开发，进行相应的数据存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21</w:t>
            </w:r>
          </w:p>
        </w:tc>
        <w:tc>
          <w:tcPr>
            <w:tcW w:w="2083" w:type="dxa"/>
          </w:tcPr>
          <w:p>
            <w:pPr>
              <w:pStyle w:val="289"/>
              <w:rPr>
                <w:rFonts w:ascii="仿宋" w:hAnsi="仿宋"/>
                <w:highlight w:val="none"/>
              </w:rPr>
            </w:pPr>
            <w:r>
              <w:rPr>
                <w:rFonts w:ascii="仿宋" w:hAnsi="仿宋"/>
                <w:b w:val="0"/>
                <w:bCs w:val="0"/>
                <w:highlight w:val="none"/>
              </w:rPr>
              <w:t>长三角资源环境承载力评价-双评价成果管理-双评价成果汇集管理</w:t>
            </w:r>
          </w:p>
        </w:tc>
        <w:tc>
          <w:tcPr>
            <w:tcW w:w="5172" w:type="dxa"/>
          </w:tcPr>
          <w:p>
            <w:pPr>
              <w:pStyle w:val="289"/>
              <w:rPr>
                <w:rFonts w:ascii="仿宋" w:hAnsi="仿宋"/>
                <w:highlight w:val="none"/>
              </w:rPr>
            </w:pPr>
            <w:r>
              <w:rPr>
                <w:rFonts w:ascii="仿宋" w:hAnsi="仿宋"/>
                <w:b w:val="0"/>
                <w:bCs w:val="0"/>
                <w:highlight w:val="none"/>
              </w:rPr>
              <w:t>在充分利用长三角地区的资源、生态、环境、灾害和海洋等数据基础上，将统一坐标、统一格式的空间基础数据、空间数据、非空间的政务数据、新型互联网数据全部落地化，为不同的评价主题选择提供不同版本的基础要素，利用相关模型算法支撑，提供陆海全覆盖的、基于生态保护、农业生产、城镇建设三大空间指向的资源环境承载能力评价、国土空间开发适宜性评价成果集，充分发挥各类资源要素的数据底座作用，为长三角地区的自然资源要素管理决策提供坚实的数据基础。</w:t>
            </w:r>
            <w:r>
              <w:rPr>
                <w:rFonts w:ascii="仿宋" w:hAnsi="仿宋"/>
                <w:b w:val="0"/>
                <w:bCs w:val="0"/>
                <w:highlight w:val="none"/>
              </w:rPr>
              <w:br w:type="textWrapping"/>
            </w:r>
            <w:r>
              <w:rPr>
                <w:rFonts w:ascii="仿宋" w:hAnsi="仿宋"/>
                <w:b w:val="0"/>
                <w:bCs w:val="0"/>
                <w:highlight w:val="none"/>
              </w:rPr>
              <w:t>（1）双评价成果数据检索</w:t>
            </w:r>
            <w:r>
              <w:rPr>
                <w:rFonts w:ascii="仿宋" w:hAnsi="仿宋"/>
                <w:b w:val="0"/>
                <w:bCs w:val="0"/>
                <w:highlight w:val="none"/>
              </w:rPr>
              <w:br w:type="textWrapping"/>
            </w:r>
            <w:r>
              <w:rPr>
                <w:rFonts w:ascii="仿宋" w:hAnsi="仿宋"/>
                <w:b w:val="0"/>
                <w:bCs w:val="0"/>
                <w:highlight w:val="none"/>
              </w:rPr>
              <w:t>提供对长三角区域的资源环境承载能力评价、国土空间开发适宜性评价成果集进行数据检索功能，如关键字检索、类型检索、区域检索、时间检索、标签检索等多维检索方式，以便用户快捷有效的获取满足条件的评价成果数据。</w:t>
            </w:r>
            <w:r>
              <w:rPr>
                <w:rFonts w:ascii="仿宋" w:hAnsi="仿宋"/>
                <w:b w:val="0"/>
                <w:bCs w:val="0"/>
                <w:highlight w:val="none"/>
              </w:rPr>
              <w:br w:type="textWrapping"/>
            </w:r>
            <w:r>
              <w:rPr>
                <w:rFonts w:ascii="仿宋" w:hAnsi="仿宋"/>
                <w:b w:val="0"/>
                <w:bCs w:val="0"/>
                <w:highlight w:val="none"/>
              </w:rPr>
              <w:t>（2）双评价成果汇集管理</w:t>
            </w:r>
            <w:r>
              <w:rPr>
                <w:rFonts w:ascii="仿宋" w:hAnsi="仿宋"/>
                <w:b w:val="0"/>
                <w:bCs w:val="0"/>
                <w:highlight w:val="none"/>
              </w:rPr>
              <w:br w:type="textWrapping"/>
            </w:r>
            <w:r>
              <w:rPr>
                <w:rFonts w:ascii="仿宋" w:hAnsi="仿宋"/>
                <w:b w:val="0"/>
                <w:bCs w:val="0"/>
                <w:highlight w:val="none"/>
              </w:rPr>
              <w:t>提供以数据墙和数据树的“双视图”方式对长三角区域的资源环境承载能力评价、国土空间开发适宜性评价成果集进行汇集展示。数据墙是以缩略图的方式平铺展示具体评价成果的概况情况，以便各层级用户方便直接的查看各类评价成果；数据树是以目录结构的方式对各类评价成果按基础要素、单项评价、集成评价等大类进行区分，支持从业务的角度，下钻到对应的评价成果上，以便业务用户便捷查看相关的评价成果。</w:t>
            </w:r>
            <w:r>
              <w:rPr>
                <w:rFonts w:ascii="仿宋" w:hAnsi="仿宋"/>
                <w:b w:val="0"/>
                <w:bCs w:val="0"/>
                <w:highlight w:val="none"/>
              </w:rPr>
              <w:br w:type="textWrapping"/>
            </w:r>
            <w:r>
              <w:rPr>
                <w:rFonts w:ascii="仿宋" w:hAnsi="仿宋"/>
                <w:b w:val="0"/>
                <w:bCs w:val="0"/>
                <w:highlight w:val="none"/>
              </w:rPr>
              <w:t>（3）专项评价成果数据渲染</w:t>
            </w:r>
            <w:r>
              <w:rPr>
                <w:rFonts w:ascii="仿宋" w:hAnsi="仿宋"/>
                <w:b w:val="0"/>
                <w:bCs w:val="0"/>
                <w:highlight w:val="none"/>
              </w:rPr>
              <w:br w:type="textWrapping"/>
            </w:r>
            <w:r>
              <w:rPr>
                <w:rFonts w:ascii="仿宋" w:hAnsi="仿宋"/>
                <w:b w:val="0"/>
                <w:bCs w:val="0"/>
                <w:highlight w:val="none"/>
              </w:rPr>
              <w:t>针对各专项评价成果，提供以图层加载的方式，对评价成果进行数据加载，可以实现对各类评价成果进行打开/关闭、收藏图层、透明度调整、定位到专题全图范围，以及根据关键字搜索等基本操作；同时也支持对二维矢量、栅格、三维地形、新型数据等多种数据格式在地图页面上的加载浏览，实现二三维一体化的数据加载浏览。</w:t>
            </w:r>
            <w:r>
              <w:rPr>
                <w:rFonts w:ascii="仿宋" w:hAnsi="仿宋"/>
                <w:b w:val="0"/>
                <w:bCs w:val="0"/>
                <w:highlight w:val="none"/>
              </w:rPr>
              <w:br w:type="textWrapping"/>
            </w:r>
            <w:r>
              <w:rPr>
                <w:rFonts w:ascii="仿宋" w:hAnsi="仿宋"/>
                <w:b w:val="0"/>
                <w:bCs w:val="0"/>
                <w:highlight w:val="none"/>
              </w:rPr>
              <w:t>（4）专项评价成果统计分析</w:t>
            </w:r>
            <w:r>
              <w:rPr>
                <w:rFonts w:ascii="仿宋" w:hAnsi="仿宋"/>
                <w:b w:val="0"/>
                <w:bCs w:val="0"/>
                <w:highlight w:val="none"/>
              </w:rPr>
              <w:br w:type="textWrapping"/>
            </w:r>
            <w:r>
              <w:rPr>
                <w:rFonts w:ascii="仿宋" w:hAnsi="仿宋"/>
                <w:b w:val="0"/>
                <w:bCs w:val="0"/>
                <w:highlight w:val="none"/>
              </w:rPr>
              <w:t>针对具体的专项评价成果，提供按评价成果的业务维度和空间维度，进行不同层级的成果统计，如全域、省、市、区等逐级下钻统计，辅助各类用户全面掌握专项评价成果的相关统计信息，可方便业务人员更灵活快捷的得到各类空间数据的统计结果。</w:t>
            </w:r>
            <w:r>
              <w:rPr>
                <w:rFonts w:ascii="仿宋" w:hAnsi="仿宋"/>
                <w:b w:val="0"/>
                <w:bCs w:val="0"/>
                <w:highlight w:val="none"/>
              </w:rPr>
              <w:br w:type="textWrapping"/>
            </w:r>
            <w:r>
              <w:rPr>
                <w:rFonts w:ascii="仿宋" w:hAnsi="仿宋"/>
                <w:b w:val="0"/>
                <w:bCs w:val="0"/>
                <w:highlight w:val="none"/>
              </w:rPr>
              <w:t>（5）专项评价计算模型说明</w:t>
            </w:r>
            <w:r>
              <w:rPr>
                <w:rFonts w:ascii="仿宋" w:hAnsi="仿宋"/>
                <w:b w:val="0"/>
                <w:bCs w:val="0"/>
                <w:highlight w:val="none"/>
              </w:rPr>
              <w:br w:type="textWrapping"/>
            </w:r>
            <w:r>
              <w:rPr>
                <w:rFonts w:ascii="仿宋" w:hAnsi="仿宋"/>
                <w:b w:val="0"/>
                <w:bCs w:val="0"/>
                <w:highlight w:val="none"/>
              </w:rPr>
              <w:t>针对每项不同的评价模型，提供针对性的专项评价模型的计算说明，详细展示数据来源、计算方法、计算参数、结果分析等内容，以便用户详细掌握每类模型的具体情况。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22</w:t>
            </w:r>
          </w:p>
        </w:tc>
        <w:tc>
          <w:tcPr>
            <w:tcW w:w="2083" w:type="dxa"/>
          </w:tcPr>
          <w:p>
            <w:pPr>
              <w:pStyle w:val="289"/>
              <w:rPr>
                <w:rFonts w:ascii="仿宋" w:hAnsi="仿宋"/>
                <w:highlight w:val="none"/>
              </w:rPr>
            </w:pPr>
            <w:r>
              <w:rPr>
                <w:rFonts w:ascii="仿宋" w:hAnsi="仿宋"/>
                <w:b w:val="0"/>
                <w:bCs w:val="0"/>
                <w:highlight w:val="none"/>
              </w:rPr>
              <w:t>长三角资源环境承载力评价-双评价成果管理-双评价报告管理</w:t>
            </w:r>
          </w:p>
        </w:tc>
        <w:tc>
          <w:tcPr>
            <w:tcW w:w="5172" w:type="dxa"/>
          </w:tcPr>
          <w:p>
            <w:pPr>
              <w:pStyle w:val="289"/>
              <w:rPr>
                <w:rFonts w:ascii="仿宋" w:hAnsi="仿宋"/>
                <w:highlight w:val="none"/>
              </w:rPr>
            </w:pPr>
            <w:r>
              <w:rPr>
                <w:rFonts w:ascii="仿宋" w:hAnsi="仿宋"/>
                <w:b w:val="0"/>
                <w:bCs w:val="0"/>
                <w:highlight w:val="none"/>
              </w:rPr>
              <w:t>支持自定义选择指标数据，按照模板辅助生成双评价成果报告，并对系统生成或外部导入的各类报告进行统一管理，支持报告的浏览、查询、下载和删除。</w:t>
            </w:r>
            <w:r>
              <w:rPr>
                <w:rFonts w:ascii="仿宋" w:hAnsi="仿宋"/>
                <w:b w:val="0"/>
                <w:bCs w:val="0"/>
                <w:highlight w:val="none"/>
              </w:rPr>
              <w:br w:type="textWrapping"/>
            </w:r>
            <w:r>
              <w:rPr>
                <w:rFonts w:ascii="仿宋" w:hAnsi="仿宋"/>
                <w:b w:val="0"/>
                <w:bCs w:val="0"/>
                <w:highlight w:val="none"/>
              </w:rPr>
              <w:t>（1）双评价报告墙</w:t>
            </w:r>
            <w:r>
              <w:rPr>
                <w:rFonts w:ascii="仿宋" w:hAnsi="仿宋"/>
                <w:b w:val="0"/>
                <w:bCs w:val="0"/>
                <w:highlight w:val="none"/>
              </w:rPr>
              <w:br w:type="textWrapping"/>
            </w:r>
            <w:r>
              <w:rPr>
                <w:rFonts w:ascii="仿宋" w:hAnsi="仿宋"/>
                <w:b w:val="0"/>
                <w:bCs w:val="0"/>
                <w:highlight w:val="none"/>
              </w:rPr>
              <w:t>提供对用户自定义选择需要监测的基础要素、单项评价、集成评价等指标数据，按照模板辅助生成双评价报告。并以报告墙的方式，对报告进行查看浏览，包括双评价相关的指标数据的图表、表格、文字描述等信息。</w:t>
            </w:r>
            <w:r>
              <w:rPr>
                <w:rFonts w:ascii="仿宋" w:hAnsi="仿宋"/>
                <w:b w:val="0"/>
                <w:bCs w:val="0"/>
                <w:highlight w:val="none"/>
              </w:rPr>
              <w:br w:type="textWrapping"/>
            </w:r>
            <w:r>
              <w:rPr>
                <w:rFonts w:ascii="仿宋" w:hAnsi="仿宋"/>
                <w:b w:val="0"/>
                <w:bCs w:val="0"/>
                <w:highlight w:val="none"/>
              </w:rPr>
              <w:t>（2）评价报告导入</w:t>
            </w:r>
            <w:r>
              <w:rPr>
                <w:rFonts w:ascii="仿宋" w:hAnsi="仿宋"/>
                <w:b w:val="0"/>
                <w:bCs w:val="0"/>
                <w:highlight w:val="none"/>
              </w:rPr>
              <w:br w:type="textWrapping"/>
            </w:r>
            <w:r>
              <w:rPr>
                <w:rFonts w:ascii="仿宋" w:hAnsi="仿宋"/>
                <w:b w:val="0"/>
                <w:bCs w:val="0"/>
                <w:highlight w:val="none"/>
              </w:rPr>
              <w:t>提供对外部评价报告的导出，通过上传报告，可将外部形成的报告，便捷的导入系统中进行统一管理。</w:t>
            </w:r>
            <w:r>
              <w:rPr>
                <w:rFonts w:ascii="仿宋" w:hAnsi="仿宋"/>
                <w:b w:val="0"/>
                <w:bCs w:val="0"/>
                <w:highlight w:val="none"/>
              </w:rPr>
              <w:br w:type="textWrapping"/>
            </w:r>
            <w:r>
              <w:rPr>
                <w:rFonts w:ascii="仿宋" w:hAnsi="仿宋"/>
                <w:b w:val="0"/>
                <w:bCs w:val="0"/>
                <w:highlight w:val="none"/>
              </w:rPr>
              <w:t>（3）评价报告导出</w:t>
            </w:r>
            <w:r>
              <w:rPr>
                <w:rFonts w:ascii="仿宋" w:hAnsi="仿宋"/>
                <w:b w:val="0"/>
                <w:bCs w:val="0"/>
                <w:highlight w:val="none"/>
              </w:rPr>
              <w:br w:type="textWrapping"/>
            </w:r>
            <w:r>
              <w:rPr>
                <w:rFonts w:ascii="仿宋" w:hAnsi="仿宋"/>
                <w:b w:val="0"/>
                <w:bCs w:val="0"/>
                <w:highlight w:val="none"/>
              </w:rPr>
              <w:t>系统提供对报告的下载导出，通过下载报告，选择需要下载保存的地址确定即可。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23</w:t>
            </w:r>
          </w:p>
        </w:tc>
        <w:tc>
          <w:tcPr>
            <w:tcW w:w="2083" w:type="dxa"/>
          </w:tcPr>
          <w:p>
            <w:pPr>
              <w:pStyle w:val="289"/>
              <w:rPr>
                <w:rFonts w:ascii="仿宋" w:hAnsi="仿宋"/>
                <w:highlight w:val="none"/>
              </w:rPr>
            </w:pPr>
            <w:r>
              <w:rPr>
                <w:rFonts w:ascii="仿宋" w:hAnsi="仿宋"/>
                <w:b w:val="0"/>
                <w:bCs w:val="0"/>
                <w:highlight w:val="none"/>
              </w:rPr>
              <w:t>长三角资源环境承载力评价-双评价成果管理-双评价数据产品发布</w:t>
            </w:r>
          </w:p>
        </w:tc>
        <w:tc>
          <w:tcPr>
            <w:tcW w:w="5172" w:type="dxa"/>
          </w:tcPr>
          <w:p>
            <w:pPr>
              <w:pStyle w:val="289"/>
              <w:rPr>
                <w:rFonts w:ascii="仿宋" w:hAnsi="仿宋"/>
                <w:highlight w:val="none"/>
              </w:rPr>
            </w:pPr>
            <w:r>
              <w:rPr>
                <w:rFonts w:ascii="仿宋" w:hAnsi="仿宋"/>
                <w:b w:val="0"/>
                <w:bCs w:val="0"/>
                <w:highlight w:val="none"/>
              </w:rPr>
              <w:t>提供“双评价”成果的数据产品发布功能，支持将各类评价成果及相关信息发布成数据产品服务，以便其他使用人员了解并使用该数据产品，从而实现数据产品的多维度共享和应用。</w:t>
            </w:r>
            <w:r>
              <w:rPr>
                <w:rFonts w:ascii="仿宋" w:hAnsi="仿宋"/>
                <w:b w:val="0"/>
                <w:bCs w:val="0"/>
                <w:highlight w:val="none"/>
              </w:rPr>
              <w:br w:type="textWrapping"/>
            </w:r>
            <w:r>
              <w:rPr>
                <w:rFonts w:ascii="仿宋" w:hAnsi="仿宋"/>
                <w:b w:val="0"/>
                <w:bCs w:val="0"/>
                <w:highlight w:val="none"/>
              </w:rPr>
              <w:t>（1）双评价数据产品信息登记</w:t>
            </w:r>
            <w:r>
              <w:rPr>
                <w:rFonts w:ascii="仿宋" w:hAnsi="仿宋"/>
                <w:b w:val="0"/>
                <w:bCs w:val="0"/>
                <w:highlight w:val="none"/>
              </w:rPr>
              <w:br w:type="textWrapping"/>
            </w:r>
            <w:r>
              <w:rPr>
                <w:rFonts w:ascii="仿宋" w:hAnsi="仿宋"/>
                <w:b w:val="0"/>
                <w:bCs w:val="0"/>
                <w:highlight w:val="none"/>
              </w:rPr>
              <w:t>根据输入的评价成果名称、制作单位、数据产品名称，选择需要发布的数据成果包，并组织展示的评价目录，进行双评价数据产品的信息登记。</w:t>
            </w:r>
            <w:r>
              <w:rPr>
                <w:rFonts w:ascii="仿宋" w:hAnsi="仿宋"/>
                <w:b w:val="0"/>
                <w:bCs w:val="0"/>
                <w:highlight w:val="none"/>
              </w:rPr>
              <w:br w:type="textWrapping"/>
            </w:r>
            <w:r>
              <w:rPr>
                <w:rFonts w:ascii="仿宋" w:hAnsi="仿宋"/>
                <w:b w:val="0"/>
                <w:bCs w:val="0"/>
                <w:highlight w:val="none"/>
              </w:rPr>
              <w:t>（2）双评价数据产品发布审核</w:t>
            </w:r>
            <w:r>
              <w:rPr>
                <w:rFonts w:ascii="仿宋" w:hAnsi="仿宋"/>
                <w:b w:val="0"/>
                <w:bCs w:val="0"/>
                <w:highlight w:val="none"/>
              </w:rPr>
              <w:br w:type="textWrapping"/>
            </w:r>
            <w:r>
              <w:rPr>
                <w:rFonts w:ascii="仿宋" w:hAnsi="仿宋"/>
                <w:b w:val="0"/>
                <w:bCs w:val="0"/>
                <w:highlight w:val="none"/>
              </w:rPr>
              <w:t>由系统管理员对已登记的双评价数据产品进行信息审核，确认无误后，才可将通过审核的数据产品进行发布；若发现数据产品存在问题，则可对已登记的数据产品进行驳回。</w:t>
            </w:r>
            <w:r>
              <w:rPr>
                <w:rFonts w:ascii="仿宋" w:hAnsi="仿宋"/>
                <w:b w:val="0"/>
                <w:bCs w:val="0"/>
                <w:highlight w:val="none"/>
              </w:rPr>
              <w:br w:type="textWrapping"/>
            </w:r>
            <w:r>
              <w:rPr>
                <w:rFonts w:ascii="仿宋" w:hAnsi="仿宋"/>
                <w:b w:val="0"/>
                <w:bCs w:val="0"/>
                <w:highlight w:val="none"/>
              </w:rPr>
              <w:t>（3）双评价数据产品发布</w:t>
            </w:r>
            <w:r>
              <w:rPr>
                <w:rFonts w:ascii="仿宋" w:hAnsi="仿宋"/>
                <w:b w:val="0"/>
                <w:bCs w:val="0"/>
                <w:highlight w:val="none"/>
              </w:rPr>
              <w:br w:type="textWrapping"/>
            </w:r>
            <w:r>
              <w:rPr>
                <w:rFonts w:ascii="仿宋" w:hAnsi="仿宋"/>
                <w:b w:val="0"/>
                <w:bCs w:val="0"/>
                <w:highlight w:val="none"/>
              </w:rPr>
              <w:t>按照数据产品的类型生成预览发布的双评价数据成果，并将双评价数据产品推动到评价成果墙和评价成果目录树中，作为评价的快照以便随时进行查阅。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24</w:t>
            </w:r>
          </w:p>
        </w:tc>
        <w:tc>
          <w:tcPr>
            <w:tcW w:w="2083" w:type="dxa"/>
          </w:tcPr>
          <w:p>
            <w:pPr>
              <w:pStyle w:val="289"/>
              <w:rPr>
                <w:rFonts w:ascii="仿宋" w:hAnsi="仿宋"/>
                <w:highlight w:val="none"/>
              </w:rPr>
            </w:pPr>
            <w:r>
              <w:rPr>
                <w:rFonts w:ascii="仿宋" w:hAnsi="仿宋"/>
                <w:b w:val="0"/>
                <w:bCs w:val="0"/>
                <w:highlight w:val="none"/>
              </w:rPr>
              <w:t>长三角资源环境承载力评价-双评价模拟分析-双评价单项评价模拟分析</w:t>
            </w:r>
          </w:p>
        </w:tc>
        <w:tc>
          <w:tcPr>
            <w:tcW w:w="5172" w:type="dxa"/>
          </w:tcPr>
          <w:p>
            <w:pPr>
              <w:pStyle w:val="289"/>
              <w:rPr>
                <w:rFonts w:ascii="仿宋" w:hAnsi="仿宋"/>
                <w:highlight w:val="none"/>
              </w:rPr>
            </w:pPr>
            <w:r>
              <w:rPr>
                <w:rFonts w:ascii="仿宋" w:hAnsi="仿宋"/>
                <w:b w:val="0"/>
                <w:bCs w:val="0"/>
                <w:highlight w:val="none"/>
              </w:rPr>
              <w:t>基于长三角地区的资源、生态、环境、灾害和海洋等数据基础，开展各类资源环境要素单项评价；以图表等形式输出统计分析结果，支持对比分析各类自然资源要素的历史数据，查看各类资源要素的变化情况。</w:t>
            </w:r>
            <w:r>
              <w:rPr>
                <w:rFonts w:ascii="仿宋" w:hAnsi="仿宋"/>
                <w:b w:val="0"/>
                <w:bCs w:val="0"/>
                <w:highlight w:val="none"/>
              </w:rPr>
              <w:br w:type="textWrapping"/>
            </w:r>
            <w:r>
              <w:rPr>
                <w:rFonts w:ascii="仿宋" w:hAnsi="仿宋"/>
                <w:b w:val="0"/>
                <w:bCs w:val="0"/>
                <w:highlight w:val="none"/>
              </w:rPr>
              <w:t>（1）土地资源单项评价模拟分析</w:t>
            </w:r>
            <w:r>
              <w:rPr>
                <w:rFonts w:ascii="仿宋" w:hAnsi="仿宋"/>
                <w:b w:val="0"/>
                <w:bCs w:val="0"/>
                <w:highlight w:val="none"/>
              </w:rPr>
              <w:br w:type="textWrapping"/>
            </w:r>
            <w:r>
              <w:rPr>
                <w:rFonts w:ascii="仿宋" w:hAnsi="仿宋"/>
                <w:b w:val="0"/>
                <w:bCs w:val="0"/>
                <w:highlight w:val="none"/>
              </w:rPr>
              <w:t>对土地资源（包括坡度、高程、地形起伏度、土壤质地等）的单项评价模型进行业务逻辑分析，通过梳理提炼土地资源单项评价的业务逻辑，如模型的输入、算法和输出逻辑，并根据业务逻辑分析，进行土地资源单项评价模型的参数设计。根据模型逻辑分析、参数设计和预处理好的数据，编写土地资源单项评价模型的实现算法，并据此对土地资源进行评价模型运算，得到土地资源的单项评价成果。</w:t>
            </w:r>
            <w:r>
              <w:rPr>
                <w:rFonts w:ascii="仿宋" w:hAnsi="仿宋"/>
                <w:b w:val="0"/>
                <w:bCs w:val="0"/>
                <w:highlight w:val="none"/>
              </w:rPr>
              <w:br w:type="textWrapping"/>
            </w:r>
            <w:r>
              <w:rPr>
                <w:rFonts w:ascii="仿宋" w:hAnsi="仿宋"/>
                <w:b w:val="0"/>
                <w:bCs w:val="0"/>
                <w:highlight w:val="none"/>
              </w:rPr>
              <w:t>（2）水资源单项评价模拟分析</w:t>
            </w:r>
            <w:r>
              <w:rPr>
                <w:rFonts w:ascii="仿宋" w:hAnsi="仿宋"/>
                <w:b w:val="0"/>
                <w:bCs w:val="0"/>
                <w:highlight w:val="none"/>
              </w:rPr>
              <w:br w:type="textWrapping"/>
            </w:r>
            <w:r>
              <w:rPr>
                <w:rFonts w:ascii="仿宋" w:hAnsi="仿宋"/>
                <w:b w:val="0"/>
                <w:bCs w:val="0"/>
                <w:highlight w:val="none"/>
              </w:rPr>
              <w:t>对水资源（包括降水量、水资源量等）的单项评价模型进行业务逻辑分析，通过梳理提炼水资源单项评价的业务逻辑，如模型的输入、算法和输出逻辑，并根据业务逻辑分析，进行水资源单项评价模型的参数设计。根据模型逻辑分析、参数设计和预处理好的数据，编写水资源单项评价模型的实现算法，并据此对水资源进行评价模型运算，得到水资源的单项评价成果。</w:t>
            </w:r>
            <w:r>
              <w:rPr>
                <w:rFonts w:ascii="仿宋" w:hAnsi="仿宋"/>
                <w:b w:val="0"/>
                <w:bCs w:val="0"/>
                <w:highlight w:val="none"/>
              </w:rPr>
              <w:br w:type="textWrapping"/>
            </w:r>
            <w:r>
              <w:rPr>
                <w:rFonts w:ascii="仿宋" w:hAnsi="仿宋"/>
                <w:b w:val="0"/>
                <w:bCs w:val="0"/>
                <w:highlight w:val="none"/>
              </w:rPr>
              <w:t>（3）环境条件单项评价模拟分析</w:t>
            </w:r>
            <w:r>
              <w:rPr>
                <w:rFonts w:ascii="仿宋" w:hAnsi="仿宋"/>
                <w:b w:val="0"/>
                <w:bCs w:val="0"/>
                <w:highlight w:val="none"/>
              </w:rPr>
              <w:br w:type="textWrapping"/>
            </w:r>
            <w:r>
              <w:rPr>
                <w:rFonts w:ascii="仿宋" w:hAnsi="仿宋"/>
                <w:b w:val="0"/>
                <w:bCs w:val="0"/>
                <w:highlight w:val="none"/>
              </w:rPr>
              <w:t>对环境条件（包括光热条件、水环境、大气环境、土壤环境等）的单项评价模型进行业务逻辑分析，通过梳理提炼环境条件单项评价的业务逻辑，如模型的输入、算法和输出逻辑，并根据业务逻辑分析，进行环境条件单项评价模型的参数设计。根据模型逻辑分析、参数设计和预处理好的数据，编写环境条件单项评价模型的实现算法，并据此对环境条件进行评价模型运算，得到环境条件的单项评价成果。</w:t>
            </w:r>
            <w:r>
              <w:rPr>
                <w:rFonts w:ascii="仿宋" w:hAnsi="仿宋"/>
                <w:b w:val="0"/>
                <w:bCs w:val="0"/>
                <w:highlight w:val="none"/>
              </w:rPr>
              <w:br w:type="textWrapping"/>
            </w:r>
            <w:r>
              <w:rPr>
                <w:rFonts w:ascii="仿宋" w:hAnsi="仿宋"/>
                <w:b w:val="0"/>
                <w:bCs w:val="0"/>
                <w:highlight w:val="none"/>
              </w:rPr>
              <w:t>（4）灾害条件单项评价模拟分析</w:t>
            </w:r>
            <w:r>
              <w:rPr>
                <w:rFonts w:ascii="仿宋" w:hAnsi="仿宋"/>
                <w:b w:val="0"/>
                <w:bCs w:val="0"/>
                <w:highlight w:val="none"/>
              </w:rPr>
              <w:br w:type="textWrapping"/>
            </w:r>
            <w:r>
              <w:rPr>
                <w:rFonts w:ascii="仿宋" w:hAnsi="仿宋"/>
                <w:b w:val="0"/>
                <w:bCs w:val="0"/>
                <w:highlight w:val="none"/>
              </w:rPr>
              <w:t>对灾害条件（包括洪涝、风暴潮、地面沉降、地面塌陷、崩塌滑坡泥石流等）的单项评价模型进行业务逻辑分析，通过梳理提炼灾害条件单项评价的业务逻辑，如模型的输入、算法和输出逻辑，并根据业务逻辑分析，进行灾害条件单项评价模型的参数设计。根据模型逻辑分析、参数设计和预处理好的数据，编写灾害条件单项评价模型的实现算法，并据此对灾害条件进行评价模型运算，得到灾害条件的单项评价成果。</w:t>
            </w:r>
            <w:r>
              <w:rPr>
                <w:rFonts w:ascii="仿宋" w:hAnsi="仿宋"/>
                <w:b w:val="0"/>
                <w:bCs w:val="0"/>
                <w:highlight w:val="none"/>
              </w:rPr>
              <w:br w:type="textWrapping"/>
            </w:r>
            <w:r>
              <w:rPr>
                <w:rFonts w:ascii="仿宋" w:hAnsi="仿宋"/>
                <w:b w:val="0"/>
                <w:bCs w:val="0"/>
                <w:highlight w:val="none"/>
              </w:rPr>
              <w:t>（5）生态条件单项评价模拟分析</w:t>
            </w:r>
            <w:r>
              <w:rPr>
                <w:rFonts w:ascii="仿宋" w:hAnsi="仿宋"/>
                <w:b w:val="0"/>
                <w:bCs w:val="0"/>
                <w:highlight w:val="none"/>
              </w:rPr>
              <w:br w:type="textWrapping"/>
            </w:r>
            <w:r>
              <w:rPr>
                <w:rFonts w:ascii="仿宋" w:hAnsi="仿宋"/>
                <w:b w:val="0"/>
                <w:bCs w:val="0"/>
                <w:highlight w:val="none"/>
              </w:rPr>
              <w:t>对生态条件（包括生物多样性维护、水源涵养、水土保持、水土流失等）的单项评价模型进行业务逻辑分析，通过梳理提炼生态条件单项评价的业务逻辑，如模型的输入、算法和输出逻辑，并根据业务逻辑分析，进行生态条件单项评价模型的参数设计。根据模型逻辑分析、参数设计和预处理好的数据，编写生态条件单项评价模型的实现算法，并据此对生态条件进行评价模型运算，得到生态条件的单项评价成果。</w:t>
            </w:r>
            <w:r>
              <w:rPr>
                <w:rFonts w:ascii="仿宋" w:hAnsi="仿宋"/>
                <w:b w:val="0"/>
                <w:bCs w:val="0"/>
                <w:highlight w:val="none"/>
              </w:rPr>
              <w:br w:type="textWrapping"/>
            </w:r>
            <w:r>
              <w:rPr>
                <w:rFonts w:ascii="仿宋" w:hAnsi="仿宋"/>
                <w:b w:val="0"/>
                <w:bCs w:val="0"/>
                <w:highlight w:val="none"/>
              </w:rPr>
              <w:t>（6）单项评价指标结果分析</w:t>
            </w:r>
            <w:r>
              <w:rPr>
                <w:rFonts w:ascii="仿宋" w:hAnsi="仿宋"/>
                <w:b w:val="0"/>
                <w:bCs w:val="0"/>
                <w:highlight w:val="none"/>
              </w:rPr>
              <w:br w:type="textWrapping"/>
            </w:r>
            <w:r>
              <w:rPr>
                <w:rFonts w:ascii="仿宋" w:hAnsi="仿宋"/>
                <w:b w:val="0"/>
                <w:bCs w:val="0"/>
                <w:highlight w:val="none"/>
              </w:rPr>
              <w:t>对各类单项评价的指标结果进行分析，支持以图表等形式输出统计分析结果，支持对比分析各类自然资源要素的历史数据，查看各类资源要素的变化情况。针对某些特定主题的单项评价模型，采用空间数据分析处理技术，将单项评价统计分析的结果以多种专题图风格进行可视化展示，包括传统的单值专题图、范围分段专题图、点密度专题图等类型，也包括热力图、迁徙图、流向图等多种类型的可视化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25</w:t>
            </w:r>
          </w:p>
        </w:tc>
        <w:tc>
          <w:tcPr>
            <w:tcW w:w="2083" w:type="dxa"/>
          </w:tcPr>
          <w:p>
            <w:pPr>
              <w:pStyle w:val="289"/>
              <w:rPr>
                <w:rFonts w:ascii="仿宋" w:hAnsi="仿宋"/>
                <w:highlight w:val="none"/>
              </w:rPr>
            </w:pPr>
            <w:r>
              <w:rPr>
                <w:rFonts w:ascii="仿宋" w:hAnsi="仿宋"/>
                <w:b w:val="0"/>
                <w:bCs w:val="0"/>
                <w:highlight w:val="none"/>
              </w:rPr>
              <w:t>长三角资源环境承载力评价-双评价模拟分析-双评价集成评价模拟分析</w:t>
            </w:r>
          </w:p>
        </w:tc>
        <w:tc>
          <w:tcPr>
            <w:tcW w:w="5172" w:type="dxa"/>
          </w:tcPr>
          <w:p>
            <w:pPr>
              <w:pStyle w:val="289"/>
              <w:rPr>
                <w:rFonts w:ascii="仿宋" w:hAnsi="仿宋"/>
                <w:highlight w:val="none"/>
              </w:rPr>
            </w:pPr>
            <w:r>
              <w:rPr>
                <w:rFonts w:ascii="仿宋" w:hAnsi="仿宋"/>
                <w:b w:val="0"/>
                <w:bCs w:val="0"/>
                <w:highlight w:val="none"/>
              </w:rPr>
              <w:t>提供基于单项评价结果，选择时空范围，设置土地、水、环境、灾害、生态等单要素评价结果的权重，利用资源环境承载能力和国土空间开发适应评价模型，进行自动计算分析，辅助生成资源环境承载能力和国土空间开发适宜性等集成评价成果。</w:t>
            </w:r>
            <w:r>
              <w:rPr>
                <w:rFonts w:ascii="仿宋" w:hAnsi="仿宋"/>
                <w:b w:val="0"/>
                <w:bCs w:val="0"/>
                <w:highlight w:val="none"/>
              </w:rPr>
              <w:br w:type="textWrapping"/>
            </w:r>
            <w:r>
              <w:rPr>
                <w:rFonts w:ascii="仿宋" w:hAnsi="仿宋"/>
                <w:b w:val="0"/>
                <w:bCs w:val="0"/>
                <w:highlight w:val="none"/>
              </w:rPr>
              <w:t>（1）基于农业生产功能指向的评价模拟分析</w:t>
            </w:r>
            <w:r>
              <w:rPr>
                <w:rFonts w:ascii="仿宋" w:hAnsi="仿宋"/>
                <w:b w:val="0"/>
                <w:bCs w:val="0"/>
                <w:highlight w:val="none"/>
              </w:rPr>
              <w:br w:type="textWrapping"/>
            </w:r>
            <w:r>
              <w:rPr>
                <w:rFonts w:ascii="仿宋" w:hAnsi="仿宋"/>
                <w:b w:val="0"/>
                <w:bCs w:val="0"/>
                <w:highlight w:val="none"/>
              </w:rPr>
              <w:t>通过梳理提炼农业生产功能集成评价的业务逻辑，如模型的输入、算法和输出逻辑，并根据业务逻辑分析，进行农业生产集成评价模型的参数设计和算法编写实现。在充分获取区域土地资源、水资源、生态、环境、灾害等数据基础上，选择区域范围，调用模型库相关模型，输入相关标准单要素评价结果，运行基于农业生产功能指向的集成评价模型，得到相应的集成评价结果。</w:t>
            </w:r>
            <w:r>
              <w:rPr>
                <w:rFonts w:ascii="仿宋" w:hAnsi="仿宋"/>
                <w:b w:val="0"/>
                <w:bCs w:val="0"/>
                <w:highlight w:val="none"/>
              </w:rPr>
              <w:br w:type="textWrapping"/>
            </w:r>
            <w:r>
              <w:rPr>
                <w:rFonts w:ascii="仿宋" w:hAnsi="仿宋"/>
                <w:b w:val="0"/>
                <w:bCs w:val="0"/>
                <w:highlight w:val="none"/>
              </w:rPr>
              <w:t>（2）基于生态保护功能指向的评价模拟分析</w:t>
            </w:r>
            <w:r>
              <w:rPr>
                <w:rFonts w:ascii="仿宋" w:hAnsi="仿宋"/>
                <w:b w:val="0"/>
                <w:bCs w:val="0"/>
                <w:highlight w:val="none"/>
              </w:rPr>
              <w:br w:type="textWrapping"/>
            </w:r>
            <w:r>
              <w:rPr>
                <w:rFonts w:ascii="仿宋" w:hAnsi="仿宋"/>
                <w:b w:val="0"/>
                <w:bCs w:val="0"/>
                <w:highlight w:val="none"/>
              </w:rPr>
              <w:t>通过梳理提炼生态保护功能集成评价的业务逻辑，如模型的输入、算法和输出逻辑，并根据业务逻辑分析，进行生态保护集成评价模型的参数设计和算法编写实现。在充分获取区域土地资源、水资源、生态、土壤环境、气象灾害等数据基础上，选择区域范围，调用模型库相关模型，输入相关标准单要素评价结果，运行基于生态保护功能指向的集成评价模型，得到相应的集成评价结果。</w:t>
            </w:r>
            <w:r>
              <w:rPr>
                <w:rFonts w:ascii="仿宋" w:hAnsi="仿宋"/>
                <w:b w:val="0"/>
                <w:bCs w:val="0"/>
                <w:highlight w:val="none"/>
              </w:rPr>
              <w:br w:type="textWrapping"/>
            </w:r>
            <w:r>
              <w:rPr>
                <w:rFonts w:ascii="仿宋" w:hAnsi="仿宋"/>
                <w:b w:val="0"/>
                <w:bCs w:val="0"/>
                <w:highlight w:val="none"/>
              </w:rPr>
              <w:t>（3）基于城镇建设功能指向的评价模拟分析</w:t>
            </w:r>
            <w:r>
              <w:rPr>
                <w:rFonts w:ascii="仿宋" w:hAnsi="仿宋"/>
                <w:b w:val="0"/>
                <w:bCs w:val="0"/>
                <w:highlight w:val="none"/>
              </w:rPr>
              <w:br w:type="textWrapping"/>
            </w:r>
            <w:r>
              <w:rPr>
                <w:rFonts w:ascii="仿宋" w:hAnsi="仿宋"/>
                <w:b w:val="0"/>
                <w:bCs w:val="0"/>
                <w:highlight w:val="none"/>
              </w:rPr>
              <w:t>通过梳理提炼城镇建设功能集成评价的业务逻辑，如模型的输入、算法和输出逻辑，并根据业务逻辑分析，进行城镇建设集成评价模型的参数设计和算法编写实现。在充分获取区域土地资源、水资源、生态、水环境、大气环境、地质灾害等数据基础上，选择区域范围，调用模型库相关模型，输入相关标准单要素评价结果，运行基于城镇建设功能指向的集成评价模型，得到相应的集成评价结果。</w:t>
            </w:r>
            <w:r>
              <w:rPr>
                <w:rFonts w:ascii="仿宋" w:hAnsi="仿宋"/>
                <w:b w:val="0"/>
                <w:bCs w:val="0"/>
                <w:highlight w:val="none"/>
              </w:rPr>
              <w:br w:type="textWrapping"/>
            </w:r>
            <w:r>
              <w:rPr>
                <w:rFonts w:ascii="仿宋" w:hAnsi="仿宋"/>
                <w:b w:val="0"/>
                <w:bCs w:val="0"/>
                <w:highlight w:val="none"/>
              </w:rPr>
              <w:t>（4）集成评价指标结果分析</w:t>
            </w:r>
            <w:r>
              <w:rPr>
                <w:rFonts w:ascii="仿宋" w:hAnsi="仿宋"/>
                <w:b w:val="0"/>
                <w:bCs w:val="0"/>
                <w:highlight w:val="none"/>
              </w:rPr>
              <w:br w:type="textWrapping"/>
            </w:r>
            <w:r>
              <w:rPr>
                <w:rFonts w:ascii="仿宋" w:hAnsi="仿宋"/>
                <w:b w:val="0"/>
                <w:bCs w:val="0"/>
                <w:highlight w:val="none"/>
              </w:rPr>
              <w:t>对各类集成评价的指标结果进行分析，支持以图表等形式输出统计分析结果，提供对省、市、区等多级评价结果的逐级下钻，查看跨区域的资源要素的布局情况；提供根据历史数据分析各类资源要素承载能力指标的变化趋势等。</w:t>
            </w:r>
            <w:r>
              <w:rPr>
                <w:rFonts w:ascii="仿宋" w:hAnsi="仿宋"/>
                <w:b w:val="0"/>
                <w:bCs w:val="0"/>
                <w:highlight w:val="none"/>
              </w:rPr>
              <w:br w:type="textWrapping"/>
            </w:r>
            <w:r>
              <w:rPr>
                <w:rFonts w:ascii="仿宋" w:hAnsi="仿宋"/>
                <w:b w:val="0"/>
                <w:bCs w:val="0"/>
                <w:highlight w:val="none"/>
              </w:rPr>
              <w:t>（5）集成评价报告自动生成</w:t>
            </w:r>
            <w:r>
              <w:rPr>
                <w:rFonts w:ascii="仿宋" w:hAnsi="仿宋"/>
                <w:b w:val="0"/>
                <w:bCs w:val="0"/>
                <w:highlight w:val="none"/>
              </w:rPr>
              <w:br w:type="textWrapping"/>
            </w:r>
            <w:r>
              <w:rPr>
                <w:rFonts w:ascii="仿宋" w:hAnsi="仿宋"/>
                <w:b w:val="0"/>
                <w:bCs w:val="0"/>
                <w:highlight w:val="none"/>
              </w:rPr>
              <w:t>依据集成评价分析结果，调用监测评估报告自动生成工具，支持自动生成资源环境承载能力和国土空间开发适宜性集成评价报告，以便满足集成评价成果的多维应用。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26</w:t>
            </w:r>
          </w:p>
        </w:tc>
        <w:tc>
          <w:tcPr>
            <w:tcW w:w="2083" w:type="dxa"/>
          </w:tcPr>
          <w:p>
            <w:pPr>
              <w:pStyle w:val="289"/>
              <w:rPr>
                <w:rFonts w:ascii="仿宋" w:hAnsi="仿宋"/>
                <w:highlight w:val="none"/>
              </w:rPr>
            </w:pPr>
            <w:r>
              <w:rPr>
                <w:rFonts w:ascii="仿宋" w:hAnsi="仿宋"/>
                <w:b w:val="0"/>
                <w:bCs w:val="0"/>
                <w:highlight w:val="none"/>
              </w:rPr>
              <w:t>长三角资源环境承载力评价-基于双评价成果的综合应用分析-基于双评价成果的国土空间开发利用与保护冲突分析</w:t>
            </w:r>
          </w:p>
        </w:tc>
        <w:tc>
          <w:tcPr>
            <w:tcW w:w="5172" w:type="dxa"/>
          </w:tcPr>
          <w:p>
            <w:pPr>
              <w:pStyle w:val="289"/>
              <w:rPr>
                <w:rFonts w:ascii="仿宋" w:hAnsi="仿宋"/>
                <w:highlight w:val="none"/>
              </w:rPr>
            </w:pPr>
            <w:r>
              <w:rPr>
                <w:rFonts w:ascii="仿宋" w:hAnsi="仿宋"/>
                <w:b w:val="0"/>
                <w:bCs w:val="0"/>
                <w:highlight w:val="none"/>
              </w:rPr>
              <w:t>利用国土空间开发适宜性的评价结果，与土地资源利用现状情况进行冲突比对，通过梳理相应的冲突规则，建立开发利于与保护的冲突规则库，研发相应的冲突识别模型算法，支持利用模型识别出国土空间开发利用与保护的冲突要素的空间分布情况，从而为空间要素资源调配提供重要参考依据。</w:t>
            </w:r>
            <w:r>
              <w:rPr>
                <w:rFonts w:ascii="仿宋" w:hAnsi="仿宋"/>
                <w:b w:val="0"/>
                <w:bCs w:val="0"/>
                <w:highlight w:val="none"/>
              </w:rPr>
              <w:br w:type="textWrapping"/>
            </w:r>
            <w:r>
              <w:rPr>
                <w:rFonts w:ascii="仿宋" w:hAnsi="仿宋"/>
                <w:b w:val="0"/>
                <w:bCs w:val="0"/>
                <w:highlight w:val="none"/>
              </w:rPr>
              <w:t>（1）识别国土空间开发利用与保护冲突要素</w:t>
            </w:r>
            <w:r>
              <w:rPr>
                <w:rFonts w:ascii="仿宋" w:hAnsi="仿宋"/>
                <w:b w:val="0"/>
                <w:bCs w:val="0"/>
                <w:highlight w:val="none"/>
              </w:rPr>
              <w:br w:type="textWrapping"/>
            </w:r>
            <w:r>
              <w:rPr>
                <w:rFonts w:ascii="仿宋" w:hAnsi="仿宋"/>
                <w:b w:val="0"/>
                <w:bCs w:val="0"/>
                <w:highlight w:val="none"/>
              </w:rPr>
              <w:t>根据国土空间开发利用与保护冲突算法参数设计，编写数据源读取算法，再根据模型逻辑分析、参数设计和预处理好的数据，编写此模型的实现算法，形成国土空间开发利用与保护冲突模型的算法文件，运行算法以支持快速识别出冲突要素。</w:t>
            </w:r>
            <w:r>
              <w:rPr>
                <w:rFonts w:ascii="仿宋" w:hAnsi="仿宋"/>
                <w:b w:val="0"/>
                <w:bCs w:val="0"/>
                <w:highlight w:val="none"/>
              </w:rPr>
              <w:br w:type="textWrapping"/>
            </w:r>
            <w:r>
              <w:rPr>
                <w:rFonts w:ascii="仿宋" w:hAnsi="仿宋"/>
                <w:b w:val="0"/>
                <w:bCs w:val="0"/>
                <w:highlight w:val="none"/>
              </w:rPr>
              <w:t>（2）分析国土空间开发利用与保护冲突结果</w:t>
            </w:r>
            <w:r>
              <w:rPr>
                <w:rFonts w:ascii="仿宋" w:hAnsi="仿宋"/>
                <w:b w:val="0"/>
                <w:bCs w:val="0"/>
                <w:highlight w:val="none"/>
              </w:rPr>
              <w:br w:type="textWrapping"/>
            </w:r>
            <w:r>
              <w:rPr>
                <w:rFonts w:ascii="仿宋" w:hAnsi="仿宋"/>
                <w:b w:val="0"/>
                <w:bCs w:val="0"/>
                <w:highlight w:val="none"/>
              </w:rPr>
              <w:t>对国土空间开发利用与保护冲突要素的结果进行分析，以便发现各类冲突要素的具体情况，如位于生态保护极重要区内的现状建设用地、位于农业生产不适宜区内的现状耕地、位于城镇建设不适宜区内的现状建设用地等。</w:t>
            </w:r>
            <w:r>
              <w:rPr>
                <w:rFonts w:ascii="仿宋" w:hAnsi="仿宋"/>
                <w:b w:val="0"/>
                <w:bCs w:val="0"/>
                <w:highlight w:val="none"/>
              </w:rPr>
              <w:br w:type="textWrapping"/>
            </w:r>
            <w:r>
              <w:rPr>
                <w:rFonts w:ascii="仿宋" w:hAnsi="仿宋"/>
                <w:b w:val="0"/>
                <w:bCs w:val="0"/>
                <w:highlight w:val="none"/>
              </w:rPr>
              <w:t>（3）国土空间开发利用与保护冲突结果报表统计</w:t>
            </w:r>
            <w:r>
              <w:rPr>
                <w:rFonts w:ascii="仿宋" w:hAnsi="仿宋"/>
                <w:b w:val="0"/>
                <w:bCs w:val="0"/>
                <w:highlight w:val="none"/>
              </w:rPr>
              <w:br w:type="textWrapping"/>
            </w:r>
            <w:r>
              <w:rPr>
                <w:rFonts w:ascii="仿宋" w:hAnsi="仿宋"/>
                <w:b w:val="0"/>
                <w:bCs w:val="0"/>
                <w:highlight w:val="none"/>
              </w:rPr>
              <w:t>对识别出来的国土空间开发利用与保护冲突要素进行空间布局分析，以统计图表的方式显示结果，从而充分掌握每类冲突要素的数量、面积等情况，提供报表的导出功能，支持多种格式（如Excel、PDF等）的导出。</w:t>
            </w:r>
            <w:r>
              <w:rPr>
                <w:rFonts w:ascii="仿宋" w:hAnsi="仿宋"/>
                <w:b w:val="0"/>
                <w:bCs w:val="0"/>
                <w:highlight w:val="none"/>
              </w:rPr>
              <w:br w:type="textWrapping"/>
            </w:r>
            <w:r>
              <w:rPr>
                <w:rFonts w:ascii="仿宋" w:hAnsi="仿宋"/>
                <w:b w:val="0"/>
                <w:bCs w:val="0"/>
                <w:highlight w:val="none"/>
              </w:rPr>
              <w:t>（4）国土空间开发利用与保护冲突地图可视化表达</w:t>
            </w:r>
            <w:r>
              <w:rPr>
                <w:rFonts w:ascii="仿宋" w:hAnsi="仿宋"/>
                <w:b w:val="0"/>
                <w:bCs w:val="0"/>
                <w:highlight w:val="none"/>
              </w:rPr>
              <w:br w:type="textWrapping"/>
            </w:r>
            <w:r>
              <w:rPr>
                <w:rFonts w:ascii="仿宋" w:hAnsi="仿宋"/>
                <w:b w:val="0"/>
                <w:bCs w:val="0"/>
                <w:highlight w:val="none"/>
              </w:rPr>
              <w:t>将国土空间开发利用与保护冲突计算结果以专题地图的形式进行可视化表达，展示不同冲突要素的空间分布等，方便用户查看和分析，提供地图的导出和共享发布功能。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27</w:t>
            </w:r>
          </w:p>
        </w:tc>
        <w:tc>
          <w:tcPr>
            <w:tcW w:w="2083" w:type="dxa"/>
          </w:tcPr>
          <w:p>
            <w:pPr>
              <w:pStyle w:val="289"/>
              <w:rPr>
                <w:rFonts w:ascii="仿宋" w:hAnsi="仿宋"/>
                <w:highlight w:val="none"/>
              </w:rPr>
            </w:pPr>
            <w:r>
              <w:rPr>
                <w:rFonts w:ascii="仿宋" w:hAnsi="仿宋"/>
                <w:b w:val="0"/>
                <w:bCs w:val="0"/>
                <w:highlight w:val="none"/>
              </w:rPr>
              <w:t>长三角资源环境承载力评价-基于双评价成果的综合应用分析-基于双评价成果的国土空间开发利用潜力分析</w:t>
            </w:r>
          </w:p>
        </w:tc>
        <w:tc>
          <w:tcPr>
            <w:tcW w:w="5172" w:type="dxa"/>
          </w:tcPr>
          <w:p>
            <w:pPr>
              <w:pStyle w:val="289"/>
              <w:rPr>
                <w:rFonts w:ascii="仿宋" w:hAnsi="仿宋"/>
                <w:highlight w:val="none"/>
              </w:rPr>
            </w:pPr>
            <w:r>
              <w:rPr>
                <w:rFonts w:ascii="仿宋" w:hAnsi="仿宋"/>
                <w:b w:val="0"/>
                <w:bCs w:val="0"/>
                <w:highlight w:val="none"/>
              </w:rPr>
              <w:t>利用国土空间开发适宜性的评价结果，与土地资源利用现状情况进行冲突比对，通过梳理相应的潜力发现规则，建立规则库，研发相应的开发利用潜力识别模型算法，支持利用模型识别出存在国土空间开发利用潜力的要素的空间分布格局，从而为空间要素资源腾挪提供重要参考依据。</w:t>
            </w:r>
            <w:r>
              <w:rPr>
                <w:rFonts w:ascii="仿宋" w:hAnsi="仿宋"/>
                <w:b w:val="0"/>
                <w:bCs w:val="0"/>
                <w:highlight w:val="none"/>
              </w:rPr>
              <w:br w:type="textWrapping"/>
            </w:r>
            <w:r>
              <w:rPr>
                <w:rFonts w:ascii="仿宋" w:hAnsi="仿宋"/>
                <w:b w:val="0"/>
                <w:bCs w:val="0"/>
                <w:highlight w:val="none"/>
              </w:rPr>
              <w:t>（1）识别国土空间开发利用潜力要素</w:t>
            </w:r>
            <w:r>
              <w:rPr>
                <w:rFonts w:ascii="仿宋" w:hAnsi="仿宋"/>
                <w:b w:val="0"/>
                <w:bCs w:val="0"/>
                <w:highlight w:val="none"/>
              </w:rPr>
              <w:br w:type="textWrapping"/>
            </w:r>
            <w:r>
              <w:rPr>
                <w:rFonts w:ascii="仿宋" w:hAnsi="仿宋"/>
                <w:b w:val="0"/>
                <w:bCs w:val="0"/>
                <w:highlight w:val="none"/>
              </w:rPr>
              <w:t>根据国土空间开发利用潜力发现规则模型参数设计，编写数据源读取算法，再根据模型逻辑分析、参数设计和预处理好的数据，编写此模型的实现算法，通过运行模型算法，从而快速识别出潜力要素。</w:t>
            </w:r>
            <w:r>
              <w:rPr>
                <w:rFonts w:ascii="仿宋" w:hAnsi="仿宋"/>
                <w:b w:val="0"/>
                <w:bCs w:val="0"/>
                <w:highlight w:val="none"/>
              </w:rPr>
              <w:br w:type="textWrapping"/>
            </w:r>
            <w:r>
              <w:rPr>
                <w:rFonts w:ascii="仿宋" w:hAnsi="仿宋"/>
                <w:b w:val="0"/>
                <w:bCs w:val="0"/>
                <w:highlight w:val="none"/>
              </w:rPr>
              <w:t>（2）分析国土空间开发利用潜力格局</w:t>
            </w:r>
            <w:r>
              <w:rPr>
                <w:rFonts w:ascii="仿宋" w:hAnsi="仿宋"/>
                <w:b w:val="0"/>
                <w:bCs w:val="0"/>
                <w:highlight w:val="none"/>
              </w:rPr>
              <w:br w:type="textWrapping"/>
            </w:r>
            <w:r>
              <w:rPr>
                <w:rFonts w:ascii="仿宋" w:hAnsi="仿宋"/>
                <w:b w:val="0"/>
                <w:bCs w:val="0"/>
                <w:highlight w:val="none"/>
              </w:rPr>
              <w:t>对识别出来的国土空间开发利用潜力要素结果进行布局分析，以便明确资源环境短板和比较优势，如位于农业生产适宜区内的非耕地、位于城镇建设适宜区内的非建设用地等。</w:t>
            </w:r>
            <w:r>
              <w:rPr>
                <w:rFonts w:ascii="仿宋" w:hAnsi="仿宋"/>
                <w:b w:val="0"/>
                <w:bCs w:val="0"/>
                <w:highlight w:val="none"/>
              </w:rPr>
              <w:br w:type="textWrapping"/>
            </w:r>
            <w:r>
              <w:rPr>
                <w:rFonts w:ascii="仿宋" w:hAnsi="仿宋"/>
                <w:b w:val="0"/>
                <w:bCs w:val="0"/>
                <w:highlight w:val="none"/>
              </w:rPr>
              <w:t>（3）国土空间开发利用潜力要素报表统计</w:t>
            </w:r>
            <w:r>
              <w:rPr>
                <w:rFonts w:ascii="仿宋" w:hAnsi="仿宋"/>
                <w:b w:val="0"/>
                <w:bCs w:val="0"/>
                <w:highlight w:val="none"/>
              </w:rPr>
              <w:br w:type="textWrapping"/>
            </w:r>
            <w:r>
              <w:rPr>
                <w:rFonts w:ascii="仿宋" w:hAnsi="仿宋"/>
                <w:b w:val="0"/>
                <w:bCs w:val="0"/>
                <w:highlight w:val="none"/>
              </w:rPr>
              <w:t>对识别出来的国土空间开发利用与保护潜力要素进行空间布局分析，以统计图表的方式显示结果，从而充分掌握每类潜力要素的数量、面积等情况，提供报表的导出功能，支持多种格式（如Excel、PDF等）的导出。</w:t>
            </w:r>
            <w:r>
              <w:rPr>
                <w:rFonts w:ascii="仿宋" w:hAnsi="仿宋"/>
                <w:b w:val="0"/>
                <w:bCs w:val="0"/>
                <w:highlight w:val="none"/>
              </w:rPr>
              <w:br w:type="textWrapping"/>
            </w:r>
            <w:r>
              <w:rPr>
                <w:rFonts w:ascii="仿宋" w:hAnsi="仿宋"/>
                <w:b w:val="0"/>
                <w:bCs w:val="0"/>
                <w:highlight w:val="none"/>
              </w:rPr>
              <w:t>（4）国土空间开发利用潜力要素地图可视化表达</w:t>
            </w:r>
            <w:r>
              <w:rPr>
                <w:rFonts w:ascii="仿宋" w:hAnsi="仿宋"/>
                <w:b w:val="0"/>
                <w:bCs w:val="0"/>
                <w:highlight w:val="none"/>
              </w:rPr>
              <w:br w:type="textWrapping"/>
            </w:r>
            <w:r>
              <w:rPr>
                <w:rFonts w:ascii="仿宋" w:hAnsi="仿宋"/>
                <w:b w:val="0"/>
                <w:bCs w:val="0"/>
                <w:highlight w:val="none"/>
              </w:rPr>
              <w:t>将国土空间开发利用潜力要素的计算结果以专题地图的形式进行可视化表达，展示不同潜力要素的空间分布等，方便用户查看和分析，提供地图的导出和共享发布功能。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28</w:t>
            </w:r>
          </w:p>
        </w:tc>
        <w:tc>
          <w:tcPr>
            <w:tcW w:w="2083" w:type="dxa"/>
          </w:tcPr>
          <w:p>
            <w:pPr>
              <w:pStyle w:val="289"/>
              <w:rPr>
                <w:rFonts w:ascii="仿宋" w:hAnsi="仿宋"/>
                <w:highlight w:val="none"/>
              </w:rPr>
            </w:pPr>
            <w:r>
              <w:rPr>
                <w:rFonts w:ascii="仿宋" w:hAnsi="仿宋"/>
                <w:b w:val="0"/>
                <w:bCs w:val="0"/>
                <w:highlight w:val="none"/>
              </w:rPr>
              <w:t>长三角资源环境承载力评价-基于双评价成果的综合应用分析-双评价结果与“三区三线”一致性分析</w:t>
            </w:r>
          </w:p>
        </w:tc>
        <w:tc>
          <w:tcPr>
            <w:tcW w:w="5172" w:type="dxa"/>
          </w:tcPr>
          <w:p>
            <w:pPr>
              <w:pStyle w:val="289"/>
              <w:rPr>
                <w:rFonts w:ascii="仿宋" w:hAnsi="仿宋"/>
                <w:highlight w:val="none"/>
              </w:rPr>
            </w:pPr>
            <w:r>
              <w:rPr>
                <w:rFonts w:ascii="仿宋" w:hAnsi="仿宋"/>
                <w:b w:val="0"/>
                <w:bCs w:val="0"/>
                <w:highlight w:val="none"/>
              </w:rPr>
              <w:t>利用国土空间开发适宜性的评价结果，与“三区三线”的划定成果进行一致性分析，通过梳理相应的空间一致性规则，建立规则库，开发相应的“三区三线”一致性模型算法，利用模型对国土空间开发利用和“三区三线”的空间一致性进行监测、比对分析，发现存在用途冲突或空间突破的地块，便于及时预警和处置，确保“三区三线”的实施管控到位。</w:t>
            </w:r>
            <w:r>
              <w:rPr>
                <w:rFonts w:ascii="仿宋" w:hAnsi="仿宋"/>
                <w:b w:val="0"/>
                <w:bCs w:val="0"/>
                <w:highlight w:val="none"/>
              </w:rPr>
              <w:br w:type="textWrapping"/>
            </w:r>
            <w:r>
              <w:rPr>
                <w:rFonts w:ascii="仿宋" w:hAnsi="仿宋"/>
                <w:b w:val="0"/>
                <w:bCs w:val="0"/>
                <w:highlight w:val="none"/>
              </w:rPr>
              <w:t>（1）“三区三线”数据源分析</w:t>
            </w:r>
            <w:r>
              <w:rPr>
                <w:rFonts w:ascii="仿宋" w:hAnsi="仿宋"/>
                <w:b w:val="0"/>
                <w:bCs w:val="0"/>
                <w:highlight w:val="none"/>
              </w:rPr>
              <w:br w:type="textWrapping"/>
            </w:r>
            <w:r>
              <w:rPr>
                <w:rFonts w:ascii="仿宋" w:hAnsi="仿宋"/>
                <w:b w:val="0"/>
                <w:bCs w:val="0"/>
                <w:highlight w:val="none"/>
              </w:rPr>
              <w:t>集成或接入长三角区域的“三区三线”数据，按数据来源对数据进行初步预处理，包括坐标转换、标准化等处理，以保障数据的准确性和可靠性，从而为国土空间开发适宜性评价与“三区三线”的一致性分析提供有效的数据来源。</w:t>
            </w:r>
            <w:r>
              <w:rPr>
                <w:rFonts w:ascii="仿宋" w:hAnsi="仿宋"/>
                <w:b w:val="0"/>
                <w:bCs w:val="0"/>
                <w:highlight w:val="none"/>
              </w:rPr>
              <w:br w:type="textWrapping"/>
            </w:r>
            <w:r>
              <w:rPr>
                <w:rFonts w:ascii="仿宋" w:hAnsi="仿宋"/>
                <w:b w:val="0"/>
                <w:bCs w:val="0"/>
                <w:highlight w:val="none"/>
              </w:rPr>
              <w:t>（2）识别突破“三区三线”要素</w:t>
            </w:r>
            <w:r>
              <w:rPr>
                <w:rFonts w:ascii="仿宋" w:hAnsi="仿宋"/>
                <w:b w:val="0"/>
                <w:bCs w:val="0"/>
                <w:highlight w:val="none"/>
              </w:rPr>
              <w:br w:type="textWrapping"/>
            </w:r>
            <w:r>
              <w:rPr>
                <w:rFonts w:ascii="仿宋" w:hAnsi="仿宋"/>
                <w:b w:val="0"/>
                <w:bCs w:val="0"/>
                <w:highlight w:val="none"/>
              </w:rPr>
              <w:t>根据业务和空间一致性规则模型参数设计，编写数据源读取算法，再根据模型逻辑分析、参数设计，编写此模型的实现算法，形成双评价与“三区三线”一致性规则模型的算法文件，从而支持快速识别出国土空间开发适宜性评价中突破“三区三线”的空间要素。</w:t>
            </w:r>
            <w:r>
              <w:rPr>
                <w:rFonts w:ascii="仿宋" w:hAnsi="仿宋"/>
                <w:b w:val="0"/>
                <w:bCs w:val="0"/>
                <w:highlight w:val="none"/>
              </w:rPr>
              <w:br w:type="textWrapping"/>
            </w:r>
            <w:r>
              <w:rPr>
                <w:rFonts w:ascii="仿宋" w:hAnsi="仿宋"/>
                <w:b w:val="0"/>
                <w:bCs w:val="0"/>
                <w:highlight w:val="none"/>
              </w:rPr>
              <w:t>（3）突破“三区三线”要素报表统计</w:t>
            </w:r>
            <w:r>
              <w:rPr>
                <w:rFonts w:ascii="仿宋" w:hAnsi="仿宋"/>
                <w:b w:val="0"/>
                <w:bCs w:val="0"/>
                <w:highlight w:val="none"/>
              </w:rPr>
              <w:br w:type="textWrapping"/>
            </w:r>
            <w:r>
              <w:rPr>
                <w:rFonts w:ascii="仿宋" w:hAnsi="仿宋"/>
                <w:b w:val="0"/>
                <w:bCs w:val="0"/>
                <w:highlight w:val="none"/>
              </w:rPr>
              <w:t>对识别出来的突破“三区三线”要素进行空间布局分析，以统计图表的方式显示结果，从而充分掌握每类突破要素的数量、面积等情况，提供报表的导出功能，支持多种格式（如Excel、PDF等）的导出。</w:t>
            </w:r>
            <w:r>
              <w:rPr>
                <w:rFonts w:ascii="仿宋" w:hAnsi="仿宋"/>
                <w:b w:val="0"/>
                <w:bCs w:val="0"/>
                <w:highlight w:val="none"/>
              </w:rPr>
              <w:br w:type="textWrapping"/>
            </w:r>
            <w:r>
              <w:rPr>
                <w:rFonts w:ascii="仿宋" w:hAnsi="仿宋"/>
                <w:b w:val="0"/>
                <w:bCs w:val="0"/>
                <w:highlight w:val="none"/>
              </w:rPr>
              <w:t>（4）突破“三区三线”要素地图可视化表达</w:t>
            </w:r>
            <w:r>
              <w:rPr>
                <w:rFonts w:ascii="仿宋" w:hAnsi="仿宋"/>
                <w:b w:val="0"/>
                <w:bCs w:val="0"/>
                <w:highlight w:val="none"/>
              </w:rPr>
              <w:br w:type="textWrapping"/>
            </w:r>
            <w:r>
              <w:rPr>
                <w:rFonts w:ascii="仿宋" w:hAnsi="仿宋"/>
                <w:b w:val="0"/>
                <w:bCs w:val="0"/>
                <w:highlight w:val="none"/>
              </w:rPr>
              <w:t>将突破“三区三线”要素的计算结果以专题地图的形式进行可视化表达，展示不同类型的突破要素的空间分布等，方便用户查看和分析，提供地图的导出和共享发布功能。</w:t>
            </w:r>
            <w:r>
              <w:rPr>
                <w:rFonts w:ascii="仿宋" w:hAnsi="仿宋"/>
                <w:b w:val="0"/>
                <w:bCs w:val="0"/>
                <w:highlight w:val="none"/>
              </w:rPr>
              <w:br w:type="textWrapping"/>
            </w:r>
            <w:r>
              <w:rPr>
                <w:rFonts w:ascii="仿宋" w:hAnsi="仿宋"/>
                <w:b w:val="0"/>
                <w:bCs w:val="0"/>
                <w:highlight w:val="none"/>
              </w:rPr>
              <w:t>（5）评价结果调整与监测预警</w:t>
            </w:r>
            <w:r>
              <w:rPr>
                <w:rFonts w:ascii="仿宋" w:hAnsi="仿宋"/>
                <w:b w:val="0"/>
                <w:bCs w:val="0"/>
                <w:highlight w:val="none"/>
              </w:rPr>
              <w:br w:type="textWrapping"/>
            </w:r>
            <w:r>
              <w:rPr>
                <w:rFonts w:ascii="仿宋" w:hAnsi="仿宋"/>
                <w:b w:val="0"/>
                <w:bCs w:val="0"/>
                <w:highlight w:val="none"/>
              </w:rPr>
              <w:t>对依据信息化技术识别出来的空间和业务不一致的空间要素，进行数据分析，如生态保护极重要区与生态保护红线的空间不一致性的要素、农业生产适宜区与永久基本农田的空间不一致性的要素、城镇建设适宜区与城镇建设开发边界的空间不一致性的要素等，支持对此类空间要素进行预警，以便为后续评价结果调整提供依据，便于及时预警和处置，确保“三区三线”的实施管控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29</w:t>
            </w:r>
          </w:p>
        </w:tc>
        <w:tc>
          <w:tcPr>
            <w:tcW w:w="2083" w:type="dxa"/>
          </w:tcPr>
          <w:p>
            <w:pPr>
              <w:pStyle w:val="289"/>
              <w:rPr>
                <w:rFonts w:ascii="仿宋" w:hAnsi="仿宋"/>
                <w:highlight w:val="none"/>
              </w:rPr>
            </w:pPr>
            <w:r>
              <w:rPr>
                <w:rFonts w:ascii="仿宋" w:hAnsi="仿宋"/>
                <w:b w:val="0"/>
                <w:bCs w:val="0"/>
                <w:highlight w:val="none"/>
              </w:rPr>
              <w:t>长三角资源环境承载力评价-基于双评价成果的综合应用分析-资源环境承载能力与区域城镇化匹配性分析</w:t>
            </w:r>
          </w:p>
        </w:tc>
        <w:tc>
          <w:tcPr>
            <w:tcW w:w="5172" w:type="dxa"/>
          </w:tcPr>
          <w:p>
            <w:pPr>
              <w:pStyle w:val="289"/>
              <w:rPr>
                <w:rFonts w:ascii="仿宋" w:hAnsi="仿宋"/>
                <w:highlight w:val="none"/>
              </w:rPr>
            </w:pPr>
            <w:r>
              <w:rPr>
                <w:rFonts w:ascii="仿宋" w:hAnsi="仿宋"/>
                <w:b w:val="0"/>
                <w:bCs w:val="0"/>
                <w:highlight w:val="none"/>
              </w:rPr>
              <w:t>利用长三角地区城乡人口流动的新型数据，结合人口分布特征、长三角地区的城乡空间格局、建设用地布局等数据，研发城乡空间人口变化、建设用地规模结构效率变化、人口与建设用地变化匹配度等测度模型。通过运行计算模型，形成区域国土空间开发利用效率、人地匹配、城乡空间人口流动分布和消费结构划分结果等。提供计算结果和专题地图的可视化表达、报表统计，以及数据的热力图、迁徙图、流向图等渲染方式，并支持分析结果的发布共享。</w:t>
            </w:r>
            <w:r>
              <w:rPr>
                <w:rFonts w:ascii="仿宋" w:hAnsi="仿宋"/>
                <w:b w:val="0"/>
                <w:bCs w:val="0"/>
                <w:highlight w:val="none"/>
              </w:rPr>
              <w:br w:type="textWrapping"/>
            </w:r>
            <w:r>
              <w:rPr>
                <w:rFonts w:ascii="仿宋" w:hAnsi="仿宋"/>
                <w:b w:val="0"/>
                <w:bCs w:val="0"/>
                <w:highlight w:val="none"/>
              </w:rPr>
              <w:t>（1）新型数据接入</w:t>
            </w:r>
            <w:r>
              <w:rPr>
                <w:rFonts w:ascii="仿宋" w:hAnsi="仿宋"/>
                <w:b w:val="0"/>
                <w:bCs w:val="0"/>
                <w:highlight w:val="none"/>
              </w:rPr>
              <w:br w:type="textWrapping"/>
            </w:r>
            <w:r>
              <w:rPr>
                <w:rFonts w:ascii="仿宋" w:hAnsi="仿宋"/>
                <w:b w:val="0"/>
                <w:bCs w:val="0"/>
                <w:highlight w:val="none"/>
              </w:rPr>
              <w:t>通过接入或导入长三角地区城乡人口流动的实时或定期更新的、多种格式的数据（如CSV、Excel、数据库等），并对数据质量和完整性进行质检、校验，提供数据清洗和预处理功能，以确保数据的准确性，并可适应分析需求。</w:t>
            </w:r>
            <w:r>
              <w:rPr>
                <w:rFonts w:ascii="仿宋" w:hAnsi="仿宋"/>
                <w:b w:val="0"/>
                <w:bCs w:val="0"/>
                <w:highlight w:val="none"/>
              </w:rPr>
              <w:br w:type="textWrapping"/>
            </w:r>
            <w:r>
              <w:rPr>
                <w:rFonts w:ascii="仿宋" w:hAnsi="仿宋"/>
                <w:b w:val="0"/>
                <w:bCs w:val="0"/>
                <w:highlight w:val="none"/>
              </w:rPr>
              <w:t>（2）区域国土空间开发利用效率分析结果</w:t>
            </w:r>
            <w:r>
              <w:rPr>
                <w:rFonts w:ascii="仿宋" w:hAnsi="仿宋"/>
                <w:b w:val="0"/>
                <w:bCs w:val="0"/>
                <w:highlight w:val="none"/>
              </w:rPr>
              <w:br w:type="textWrapping"/>
            </w:r>
            <w:r>
              <w:rPr>
                <w:rFonts w:ascii="仿宋" w:hAnsi="仿宋"/>
                <w:b w:val="0"/>
                <w:bCs w:val="0"/>
                <w:highlight w:val="none"/>
              </w:rPr>
              <w:t>结合人口与建设用地变化匹配度模型，综合分析长三角地区国土空间开发利用的现状和趋势，评估国土空间开发利用的效率，包括土地利用效率、空间布局合理性等。</w:t>
            </w:r>
            <w:r>
              <w:rPr>
                <w:rFonts w:ascii="仿宋" w:hAnsi="仿宋"/>
                <w:b w:val="0"/>
                <w:bCs w:val="0"/>
                <w:highlight w:val="none"/>
              </w:rPr>
              <w:br w:type="textWrapping"/>
            </w:r>
            <w:r>
              <w:rPr>
                <w:rFonts w:ascii="仿宋" w:hAnsi="仿宋"/>
                <w:b w:val="0"/>
                <w:bCs w:val="0"/>
                <w:highlight w:val="none"/>
              </w:rPr>
              <w:t>（3）人地匹配分析结果</w:t>
            </w:r>
            <w:r>
              <w:rPr>
                <w:rFonts w:ascii="仿宋" w:hAnsi="仿宋"/>
                <w:b w:val="0"/>
                <w:bCs w:val="0"/>
                <w:highlight w:val="none"/>
              </w:rPr>
              <w:br w:type="textWrapping"/>
            </w:r>
            <w:r>
              <w:rPr>
                <w:rFonts w:ascii="仿宋" w:hAnsi="仿宋"/>
                <w:b w:val="0"/>
                <w:bCs w:val="0"/>
                <w:highlight w:val="none"/>
              </w:rPr>
              <w:t>结合新型数据，通过运行人口与建设用地变化匹配度模型，分析得到人口分布与土地资源的匹配结果，用于用户辅助识别人口密集但土地资源匮乏的区域，以及人口稀少但土地资源丰富的区域，便于从宏观层面决策资源要素调配。</w:t>
            </w:r>
            <w:r>
              <w:rPr>
                <w:rFonts w:ascii="仿宋" w:hAnsi="仿宋"/>
                <w:b w:val="0"/>
                <w:bCs w:val="0"/>
                <w:highlight w:val="none"/>
              </w:rPr>
              <w:br w:type="textWrapping"/>
            </w:r>
            <w:r>
              <w:rPr>
                <w:rFonts w:ascii="仿宋" w:hAnsi="仿宋"/>
                <w:b w:val="0"/>
                <w:bCs w:val="0"/>
                <w:highlight w:val="none"/>
              </w:rPr>
              <w:t>（4）城乡空间人口流动分布分析结果</w:t>
            </w:r>
            <w:r>
              <w:rPr>
                <w:rFonts w:ascii="仿宋" w:hAnsi="仿宋"/>
                <w:b w:val="0"/>
                <w:bCs w:val="0"/>
                <w:highlight w:val="none"/>
              </w:rPr>
              <w:br w:type="textWrapping"/>
            </w:r>
            <w:r>
              <w:rPr>
                <w:rFonts w:ascii="仿宋" w:hAnsi="仿宋"/>
                <w:b w:val="0"/>
                <w:bCs w:val="0"/>
                <w:highlight w:val="none"/>
              </w:rPr>
              <w:t>结合新型数据，通过运行城乡空间人口变化模型，提供城乡空间人口流动分布分析结果的展示，包括人口的详细分布情况、流动方向、流量、流速等，从而为预测未来长三角区域的城乡人口流动的趋势提供参考依据。</w:t>
            </w:r>
            <w:r>
              <w:rPr>
                <w:rFonts w:ascii="仿宋" w:hAnsi="仿宋"/>
                <w:b w:val="0"/>
                <w:bCs w:val="0"/>
                <w:highlight w:val="none"/>
              </w:rPr>
              <w:br w:type="textWrapping"/>
            </w:r>
            <w:r>
              <w:rPr>
                <w:rFonts w:ascii="仿宋" w:hAnsi="仿宋"/>
                <w:b w:val="0"/>
                <w:bCs w:val="0"/>
                <w:highlight w:val="none"/>
              </w:rPr>
              <w:t>（5）消费结构划分分析结果</w:t>
            </w:r>
            <w:r>
              <w:rPr>
                <w:rFonts w:ascii="仿宋" w:hAnsi="仿宋"/>
                <w:b w:val="0"/>
                <w:bCs w:val="0"/>
                <w:highlight w:val="none"/>
              </w:rPr>
              <w:br w:type="textWrapping"/>
            </w:r>
            <w:r>
              <w:rPr>
                <w:rFonts w:ascii="仿宋" w:hAnsi="仿宋"/>
                <w:b w:val="0"/>
                <w:bCs w:val="0"/>
                <w:highlight w:val="none"/>
              </w:rPr>
              <w:t>结合新型数据，依托城乡空间人口流动分布结果，分析长三角地区城乡居民的消费结构和变化趋势，识别不同区域、不同人群的消费特点，从而辅助评估消费结构变化对城乡人口和经济发展的影响。</w:t>
            </w:r>
            <w:r>
              <w:rPr>
                <w:rFonts w:ascii="仿宋" w:hAnsi="仿宋"/>
                <w:b w:val="0"/>
                <w:bCs w:val="0"/>
                <w:highlight w:val="none"/>
              </w:rPr>
              <w:br w:type="textWrapping"/>
            </w:r>
            <w:r>
              <w:rPr>
                <w:rFonts w:ascii="仿宋" w:hAnsi="仿宋"/>
                <w:b w:val="0"/>
                <w:bCs w:val="0"/>
                <w:highlight w:val="none"/>
              </w:rPr>
              <w:t>（6）分析结果报表统计</w:t>
            </w:r>
            <w:r>
              <w:rPr>
                <w:rFonts w:ascii="仿宋" w:hAnsi="仿宋"/>
                <w:b w:val="0"/>
                <w:bCs w:val="0"/>
                <w:highlight w:val="none"/>
              </w:rPr>
              <w:br w:type="textWrapping"/>
            </w:r>
            <w:r>
              <w:rPr>
                <w:rFonts w:ascii="仿宋" w:hAnsi="仿宋"/>
                <w:b w:val="0"/>
                <w:bCs w:val="0"/>
                <w:highlight w:val="none"/>
              </w:rPr>
              <w:t>将分析结果以表格、图表等形式进行统计和展示，提供多种统计指标和维度，方便用户从不同角度了解分析结果，同时支持数据的导出和发布。</w:t>
            </w:r>
            <w:r>
              <w:rPr>
                <w:rFonts w:ascii="仿宋" w:hAnsi="仿宋"/>
                <w:b w:val="0"/>
                <w:bCs w:val="0"/>
                <w:highlight w:val="none"/>
              </w:rPr>
              <w:br w:type="textWrapping"/>
            </w:r>
            <w:r>
              <w:rPr>
                <w:rFonts w:ascii="仿宋" w:hAnsi="仿宋"/>
                <w:b w:val="0"/>
                <w:bCs w:val="0"/>
                <w:highlight w:val="none"/>
              </w:rPr>
              <w:t>（7）专题地图可视化表达</w:t>
            </w:r>
            <w:r>
              <w:rPr>
                <w:rFonts w:ascii="仿宋" w:hAnsi="仿宋"/>
                <w:b w:val="0"/>
                <w:bCs w:val="0"/>
                <w:highlight w:val="none"/>
              </w:rPr>
              <w:br w:type="textWrapping"/>
            </w:r>
            <w:r>
              <w:rPr>
                <w:rFonts w:ascii="仿宋" w:hAnsi="仿宋"/>
                <w:b w:val="0"/>
                <w:bCs w:val="0"/>
                <w:highlight w:val="none"/>
              </w:rPr>
              <w:t>将上述分析结果以专题地图的形式进行可视化表达，包括人口流动分布图、建设用地变化图、人地匹配度图等专题地图，对各类专题底地图结合业务和专题特点进行分类渲染表达，如热力图、迁徙图、流向图等渲染方式，方便用户直观浏览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30</w:t>
            </w:r>
          </w:p>
        </w:tc>
        <w:tc>
          <w:tcPr>
            <w:tcW w:w="2083" w:type="dxa"/>
          </w:tcPr>
          <w:p>
            <w:pPr>
              <w:pStyle w:val="289"/>
              <w:rPr>
                <w:rFonts w:ascii="仿宋" w:hAnsi="仿宋"/>
                <w:highlight w:val="none"/>
              </w:rPr>
            </w:pPr>
            <w:r>
              <w:rPr>
                <w:rFonts w:ascii="仿宋" w:hAnsi="仿宋"/>
                <w:b w:val="0"/>
                <w:bCs w:val="0"/>
                <w:highlight w:val="none"/>
              </w:rPr>
              <w:t>长三角资源环境承载力评价-基于双评价成果的综合应用分析-基于双评价成果的区域生态廊道联通性分析</w:t>
            </w:r>
          </w:p>
        </w:tc>
        <w:tc>
          <w:tcPr>
            <w:tcW w:w="5172" w:type="dxa"/>
          </w:tcPr>
          <w:p>
            <w:pPr>
              <w:pStyle w:val="289"/>
              <w:rPr>
                <w:rFonts w:ascii="仿宋" w:hAnsi="仿宋"/>
                <w:highlight w:val="none"/>
              </w:rPr>
            </w:pPr>
            <w:r>
              <w:rPr>
                <w:rFonts w:ascii="仿宋" w:hAnsi="仿宋"/>
                <w:b w:val="0"/>
                <w:bCs w:val="0"/>
                <w:highlight w:val="none"/>
              </w:rPr>
              <w:t>结合长三角地区的国土空间生态保护重要性评价成果，明确长三角跨区域的生态环境保护目标，分析区域生态廊道阻力、生态夹点、障碍点等结构算法，研发区域生态廊道联通性算法。利用生态相关的空间数据，对长三角区域的生态廊道的联通程度进行分析评价和等级划分，为推动区域生态廊道的贯通提供决策依据。提供生态廊道联通性计算结果和专题地图的可视化表达、报表统计、分级渲染等，支持分析结果按多种格式导出，支持分析结果的发布和共享。</w:t>
            </w:r>
            <w:r>
              <w:rPr>
                <w:rFonts w:ascii="仿宋" w:hAnsi="仿宋"/>
                <w:b w:val="0"/>
                <w:bCs w:val="0"/>
                <w:highlight w:val="none"/>
              </w:rPr>
              <w:br w:type="textWrapping"/>
            </w:r>
            <w:r>
              <w:rPr>
                <w:rFonts w:ascii="仿宋" w:hAnsi="仿宋"/>
                <w:b w:val="0"/>
                <w:bCs w:val="0"/>
                <w:highlight w:val="none"/>
              </w:rPr>
              <w:t>（1）区域生态廊道联通性相关要素识别</w:t>
            </w:r>
            <w:r>
              <w:rPr>
                <w:rFonts w:ascii="仿宋" w:hAnsi="仿宋"/>
                <w:b w:val="0"/>
                <w:bCs w:val="0"/>
                <w:highlight w:val="none"/>
              </w:rPr>
              <w:br w:type="textWrapping"/>
            </w:r>
            <w:r>
              <w:rPr>
                <w:rFonts w:ascii="仿宋" w:hAnsi="仿宋"/>
                <w:b w:val="0"/>
                <w:bCs w:val="0"/>
                <w:highlight w:val="none"/>
              </w:rPr>
              <w:t>通过运行已构建的区域生态廊道阻力模型、生态夹点结构模型、障碍点结构模型算法，按设计的算法流程进行逐步计算和分析，充分识别生态廊道阻力、生态夹点、障碍点等相关要素的分布情况。</w:t>
            </w:r>
            <w:r>
              <w:rPr>
                <w:rFonts w:ascii="仿宋" w:hAnsi="仿宋"/>
                <w:b w:val="0"/>
                <w:bCs w:val="0"/>
                <w:highlight w:val="none"/>
              </w:rPr>
              <w:br w:type="textWrapping"/>
            </w:r>
            <w:r>
              <w:rPr>
                <w:rFonts w:ascii="仿宋" w:hAnsi="仿宋"/>
                <w:b w:val="0"/>
                <w:bCs w:val="0"/>
                <w:highlight w:val="none"/>
              </w:rPr>
              <w:t>（2）区域生态廊道联通性计算结果</w:t>
            </w:r>
            <w:r>
              <w:rPr>
                <w:rFonts w:ascii="仿宋" w:hAnsi="仿宋"/>
                <w:b w:val="0"/>
                <w:bCs w:val="0"/>
                <w:highlight w:val="none"/>
              </w:rPr>
              <w:br w:type="textWrapping"/>
            </w:r>
            <w:r>
              <w:rPr>
                <w:rFonts w:ascii="仿宋" w:hAnsi="仿宋"/>
                <w:b w:val="0"/>
                <w:bCs w:val="0"/>
                <w:highlight w:val="none"/>
              </w:rPr>
              <w:t>结合长三角地区的国土空间生态保护重要性评价成果和生态廊道阻力、生态夹点、障碍点等要素计算结果，并根据构建的区域生态廊道联通性算法，通过输入数据，对模型进行自动化计算，从而得到长三角地区生态廊道的联通性指数或得分。分析不同区域、不同生态廊道的联通性差异和原因。</w:t>
            </w:r>
            <w:r>
              <w:rPr>
                <w:rFonts w:ascii="仿宋" w:hAnsi="仿宋"/>
                <w:b w:val="0"/>
                <w:bCs w:val="0"/>
                <w:highlight w:val="none"/>
              </w:rPr>
              <w:br w:type="textWrapping"/>
            </w:r>
            <w:r>
              <w:rPr>
                <w:rFonts w:ascii="仿宋" w:hAnsi="仿宋"/>
                <w:b w:val="0"/>
                <w:bCs w:val="0"/>
                <w:highlight w:val="none"/>
              </w:rPr>
              <w:t>（3）分析结果报表统计</w:t>
            </w:r>
            <w:r>
              <w:rPr>
                <w:rFonts w:ascii="仿宋" w:hAnsi="仿宋"/>
                <w:b w:val="0"/>
                <w:bCs w:val="0"/>
                <w:highlight w:val="none"/>
              </w:rPr>
              <w:br w:type="textWrapping"/>
            </w:r>
            <w:r>
              <w:rPr>
                <w:rFonts w:ascii="仿宋" w:hAnsi="仿宋"/>
                <w:b w:val="0"/>
                <w:bCs w:val="0"/>
                <w:highlight w:val="none"/>
              </w:rPr>
              <w:t>对计算结果进行统计分析，将计算结果整理成表格形式，内容包括各生态廊道的联通性指数、排名、主要影响因素等，提供报表的导出功能，支持多种格式（如Excel、PDF等）的导出。</w:t>
            </w:r>
            <w:r>
              <w:rPr>
                <w:rFonts w:ascii="仿宋" w:hAnsi="仿宋"/>
                <w:b w:val="0"/>
                <w:bCs w:val="0"/>
                <w:highlight w:val="none"/>
              </w:rPr>
              <w:br w:type="textWrapping"/>
            </w:r>
            <w:r>
              <w:rPr>
                <w:rFonts w:ascii="仿宋" w:hAnsi="仿宋"/>
                <w:b w:val="0"/>
                <w:bCs w:val="0"/>
                <w:highlight w:val="none"/>
              </w:rPr>
              <w:t>（4）专题地图可视化表达</w:t>
            </w:r>
            <w:r>
              <w:rPr>
                <w:rFonts w:ascii="仿宋" w:hAnsi="仿宋"/>
                <w:b w:val="0"/>
                <w:bCs w:val="0"/>
                <w:highlight w:val="none"/>
              </w:rPr>
              <w:br w:type="textWrapping"/>
            </w:r>
            <w:r>
              <w:rPr>
                <w:rFonts w:ascii="仿宋" w:hAnsi="仿宋"/>
                <w:b w:val="0"/>
                <w:bCs w:val="0"/>
                <w:highlight w:val="none"/>
              </w:rPr>
              <w:t>将计算结果以专题地图的形式进行可视化表达，展示不同生态廊道的联通性等级、关键区域（如生态夹点、障碍点）的空间分布等，方便用户查看和分析，提供地图的导出和共享发布功能。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31</w:t>
            </w:r>
          </w:p>
        </w:tc>
        <w:tc>
          <w:tcPr>
            <w:tcW w:w="2083" w:type="dxa"/>
          </w:tcPr>
          <w:p>
            <w:pPr>
              <w:pStyle w:val="289"/>
              <w:rPr>
                <w:rFonts w:ascii="仿宋" w:hAnsi="仿宋"/>
                <w:highlight w:val="none"/>
              </w:rPr>
            </w:pPr>
            <w:r>
              <w:rPr>
                <w:rFonts w:ascii="仿宋" w:hAnsi="仿宋"/>
                <w:b w:val="0"/>
                <w:bCs w:val="0"/>
                <w:highlight w:val="none"/>
              </w:rPr>
              <w:t>长三角资源环境承载力评价-基于双评价成果的综合应用分析-基于双评价成果的区域农业生产空间布局分析</w:t>
            </w:r>
          </w:p>
        </w:tc>
        <w:tc>
          <w:tcPr>
            <w:tcW w:w="5172" w:type="dxa"/>
          </w:tcPr>
          <w:p>
            <w:pPr>
              <w:pStyle w:val="289"/>
              <w:rPr>
                <w:rFonts w:ascii="仿宋" w:hAnsi="仿宋"/>
                <w:highlight w:val="none"/>
              </w:rPr>
            </w:pPr>
            <w:r>
              <w:rPr>
                <w:rFonts w:ascii="仿宋" w:hAnsi="仿宋"/>
                <w:b w:val="0"/>
                <w:bCs w:val="0"/>
                <w:highlight w:val="none"/>
              </w:rPr>
              <w:t>结合长三角地区的现状耕地情况及国土空间农业生产适宜性评价成果，明确长三角跨区域的农业空间布局优化目标，基于梳理的集中连片程度规则，采用临近地块的聚合面分析法，研发区域农业生产集中连片程度分析算法和破碎化程度分析算法。结合耕地、农田等相关的空间数据，支持对长三角区域的农业空间布局的连片程度和破碎化程度进行分析计算和等级划分，为推动区域农业空间布局优化提供参考依据。同时提供农业空间连片度和碎片化程度的计算结果和专题地图的可视化表达、报表统计、分级渲染等，支持分析结果按多种格式导出，支持分析结果的发布共享。</w:t>
            </w:r>
            <w:r>
              <w:rPr>
                <w:rFonts w:ascii="仿宋" w:hAnsi="仿宋"/>
                <w:b w:val="0"/>
                <w:bCs w:val="0"/>
                <w:highlight w:val="none"/>
              </w:rPr>
              <w:br w:type="textWrapping"/>
            </w:r>
            <w:r>
              <w:rPr>
                <w:rFonts w:ascii="仿宋" w:hAnsi="仿宋"/>
                <w:b w:val="0"/>
                <w:bCs w:val="0"/>
                <w:highlight w:val="none"/>
              </w:rPr>
              <w:t>（1）区域农业生产集中连片程度计算结果</w:t>
            </w:r>
            <w:r>
              <w:rPr>
                <w:rFonts w:ascii="仿宋" w:hAnsi="仿宋"/>
                <w:b w:val="0"/>
                <w:bCs w:val="0"/>
                <w:highlight w:val="none"/>
              </w:rPr>
              <w:br w:type="textWrapping"/>
            </w:r>
            <w:r>
              <w:rPr>
                <w:rFonts w:ascii="仿宋" w:hAnsi="仿宋"/>
                <w:b w:val="0"/>
                <w:bCs w:val="0"/>
                <w:highlight w:val="none"/>
              </w:rPr>
              <w:t>根据构建的区域农业生产集中连片程度分析算法，计算出长三角地区农业生产的集中连片程度，包括连片地块的数量、面积、分布等，并根据规则判断其是否满足集中连片的要求，以全面反映长三角地区农业生产的集中连片状况。</w:t>
            </w:r>
            <w:r>
              <w:rPr>
                <w:rFonts w:ascii="仿宋" w:hAnsi="仿宋"/>
                <w:b w:val="0"/>
                <w:bCs w:val="0"/>
                <w:highlight w:val="none"/>
              </w:rPr>
              <w:br w:type="textWrapping"/>
            </w:r>
            <w:r>
              <w:rPr>
                <w:rFonts w:ascii="仿宋" w:hAnsi="仿宋"/>
                <w:b w:val="0"/>
                <w:bCs w:val="0"/>
                <w:highlight w:val="none"/>
              </w:rPr>
              <w:t>（2）区域农业生产破碎化程度计算结果</w:t>
            </w:r>
            <w:r>
              <w:rPr>
                <w:rFonts w:ascii="仿宋" w:hAnsi="仿宋"/>
                <w:b w:val="0"/>
                <w:bCs w:val="0"/>
                <w:highlight w:val="none"/>
              </w:rPr>
              <w:br w:type="textWrapping"/>
            </w:r>
            <w:r>
              <w:rPr>
                <w:rFonts w:ascii="仿宋" w:hAnsi="仿宋"/>
                <w:b w:val="0"/>
                <w:bCs w:val="0"/>
                <w:highlight w:val="none"/>
              </w:rPr>
              <w:t>根据构建的区域农业生产破碎化程度分析算法，计算出长三角地区农业生产的破碎化程度，包括破碎化指数、破碎化地块的数量和分布等，揭示破碎化现象的严重程度及其在不同区域间的差异。</w:t>
            </w:r>
            <w:r>
              <w:rPr>
                <w:rFonts w:ascii="仿宋" w:hAnsi="仿宋"/>
                <w:b w:val="0"/>
                <w:bCs w:val="0"/>
                <w:highlight w:val="none"/>
              </w:rPr>
              <w:br w:type="textWrapping"/>
            </w:r>
            <w:r>
              <w:rPr>
                <w:rFonts w:ascii="仿宋" w:hAnsi="仿宋"/>
                <w:b w:val="0"/>
                <w:bCs w:val="0"/>
                <w:highlight w:val="none"/>
              </w:rPr>
              <w:t>（3）分析结果报表统计</w:t>
            </w:r>
            <w:r>
              <w:rPr>
                <w:rFonts w:ascii="仿宋" w:hAnsi="仿宋"/>
                <w:b w:val="0"/>
                <w:bCs w:val="0"/>
                <w:highlight w:val="none"/>
              </w:rPr>
              <w:br w:type="textWrapping"/>
            </w:r>
            <w:r>
              <w:rPr>
                <w:rFonts w:ascii="仿宋" w:hAnsi="仿宋"/>
                <w:b w:val="0"/>
                <w:bCs w:val="0"/>
                <w:highlight w:val="none"/>
              </w:rPr>
              <w:t>将计算结果整理成表格形式，包括区域农业生产集中连片程度、破碎化程度等，提供报表的导出功能，支持多种格式（如Excel、PDF等）的导出。</w:t>
            </w:r>
            <w:r>
              <w:rPr>
                <w:rFonts w:ascii="仿宋" w:hAnsi="仿宋"/>
                <w:b w:val="0"/>
                <w:bCs w:val="0"/>
                <w:highlight w:val="none"/>
              </w:rPr>
              <w:br w:type="textWrapping"/>
            </w:r>
            <w:r>
              <w:rPr>
                <w:rFonts w:ascii="仿宋" w:hAnsi="仿宋"/>
                <w:b w:val="0"/>
                <w:bCs w:val="0"/>
                <w:highlight w:val="none"/>
              </w:rPr>
              <w:t>（4）专题地图可视化表达</w:t>
            </w:r>
            <w:r>
              <w:rPr>
                <w:rFonts w:ascii="仿宋" w:hAnsi="仿宋"/>
                <w:b w:val="0"/>
                <w:bCs w:val="0"/>
                <w:highlight w:val="none"/>
              </w:rPr>
              <w:br w:type="textWrapping"/>
            </w:r>
            <w:r>
              <w:rPr>
                <w:rFonts w:ascii="仿宋" w:hAnsi="仿宋"/>
                <w:b w:val="0"/>
                <w:bCs w:val="0"/>
                <w:highlight w:val="none"/>
              </w:rPr>
              <w:t>结合长三角地区的现状耕地情况及国土空间农业生产适宜性评价成果，将区域农业生产集中连片程度和破碎化程度的计算结果以专题地图的形式进行可视化表达，可展示其空间分布情况，以及不同等级区域的划分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32</w:t>
            </w:r>
          </w:p>
        </w:tc>
        <w:tc>
          <w:tcPr>
            <w:tcW w:w="2083" w:type="dxa"/>
          </w:tcPr>
          <w:p>
            <w:pPr>
              <w:pStyle w:val="289"/>
              <w:rPr>
                <w:rFonts w:ascii="仿宋" w:hAnsi="仿宋"/>
                <w:highlight w:val="none"/>
              </w:rPr>
            </w:pPr>
            <w:r>
              <w:rPr>
                <w:rFonts w:ascii="仿宋" w:hAnsi="仿宋"/>
                <w:b w:val="0"/>
                <w:bCs w:val="0"/>
                <w:highlight w:val="none"/>
              </w:rPr>
              <w:t>长三角资源环境承载力评价-基于双评价成果的综合应用分析-基于双评价成果的区域灾害风险分析</w:t>
            </w:r>
          </w:p>
        </w:tc>
        <w:tc>
          <w:tcPr>
            <w:tcW w:w="5172" w:type="dxa"/>
          </w:tcPr>
          <w:p>
            <w:pPr>
              <w:pStyle w:val="289"/>
              <w:rPr>
                <w:rFonts w:ascii="仿宋" w:hAnsi="仿宋"/>
                <w:highlight w:val="none"/>
              </w:rPr>
            </w:pPr>
            <w:r>
              <w:rPr>
                <w:rFonts w:ascii="仿宋" w:hAnsi="仿宋"/>
                <w:b w:val="0"/>
                <w:bCs w:val="0"/>
                <w:highlight w:val="none"/>
              </w:rPr>
              <w:t>梳理气象、地质灾害风险冲突规则库和知识库，结合灾害风险普查及国土空间城镇建设适宜性评价成果，开展国土空间开发风险评估与建设用地适应性评价，科学分析灾害风险与国土空间用途分区和空间控制线的冲突，评估灾害对城市扩展、村庄发展以及生态保护的空间影响，提供建设用地适宜性一致性评价、城镇开发边界校核、村庄建设边界校核、建设项目选址分析等分析功能，根据分析评估结果，辅助制定合理的防灾减灾对策，为构建区域综合防灾体系、加强重要安全设施廊道、区域性蓄滞洪区等建设提供决策参考。</w:t>
            </w:r>
            <w:r>
              <w:rPr>
                <w:rFonts w:ascii="仿宋" w:hAnsi="仿宋"/>
                <w:b w:val="0"/>
                <w:bCs w:val="0"/>
                <w:highlight w:val="none"/>
              </w:rPr>
              <w:br w:type="textWrapping"/>
            </w:r>
            <w:r>
              <w:rPr>
                <w:rFonts w:ascii="仿宋" w:hAnsi="仿宋"/>
                <w:b w:val="0"/>
                <w:bCs w:val="0"/>
                <w:highlight w:val="none"/>
              </w:rPr>
              <w:t>（1）建设用地适宜性一致性评价</w:t>
            </w:r>
            <w:r>
              <w:rPr>
                <w:rFonts w:ascii="仿宋" w:hAnsi="仿宋"/>
                <w:b w:val="0"/>
                <w:bCs w:val="0"/>
                <w:highlight w:val="none"/>
              </w:rPr>
              <w:br w:type="textWrapping"/>
            </w:r>
            <w:r>
              <w:rPr>
                <w:rFonts w:ascii="仿宋" w:hAnsi="仿宋"/>
                <w:b w:val="0"/>
                <w:bCs w:val="0"/>
                <w:highlight w:val="none"/>
              </w:rPr>
              <w:t>将与建设用地相关的双评价数据成果，包括地形地貌、水文地质、气候气象、生态环境、人口分布等作为分析数据源接入。基于灾害风险冲突规则库，对评价区域进行建设用地适宜性一致性评价，包括分析不同用地类型的适宜性和风险程度。</w:t>
            </w:r>
            <w:r>
              <w:rPr>
                <w:rFonts w:ascii="仿宋" w:hAnsi="仿宋"/>
                <w:b w:val="0"/>
                <w:bCs w:val="0"/>
                <w:highlight w:val="none"/>
              </w:rPr>
              <w:br w:type="textWrapping"/>
            </w:r>
            <w:r>
              <w:rPr>
                <w:rFonts w:ascii="仿宋" w:hAnsi="仿宋"/>
                <w:b w:val="0"/>
                <w:bCs w:val="0"/>
                <w:highlight w:val="none"/>
              </w:rPr>
              <w:t>（2）城市开发边界校核</w:t>
            </w:r>
            <w:r>
              <w:rPr>
                <w:rFonts w:ascii="仿宋" w:hAnsi="仿宋"/>
                <w:b w:val="0"/>
                <w:bCs w:val="0"/>
                <w:highlight w:val="none"/>
              </w:rPr>
              <w:br w:type="textWrapping"/>
            </w:r>
            <w:r>
              <w:rPr>
                <w:rFonts w:ascii="仿宋" w:hAnsi="仿宋"/>
                <w:b w:val="0"/>
                <w:bCs w:val="0"/>
                <w:highlight w:val="none"/>
              </w:rPr>
              <w:t>将与城镇开发边界相关的双评价数据成果，作为分析数据源接入，基于灾害风险冲突规则库，对已划定的城镇开发边界方案进行空间校核，包括分析边界方案是否符合相关管控规则和要求。根据管控规则提取冲突范围作为城镇建设不适宜区，确定不适宜进行城镇建设的区域，输出校核结果。</w:t>
            </w:r>
            <w:r>
              <w:rPr>
                <w:rFonts w:ascii="仿宋" w:hAnsi="仿宋"/>
                <w:b w:val="0"/>
                <w:bCs w:val="0"/>
                <w:highlight w:val="none"/>
              </w:rPr>
              <w:br w:type="textWrapping"/>
            </w:r>
            <w:r>
              <w:rPr>
                <w:rFonts w:ascii="仿宋" w:hAnsi="仿宋"/>
                <w:b w:val="0"/>
                <w:bCs w:val="0"/>
                <w:highlight w:val="none"/>
              </w:rPr>
              <w:t>（3）村庄建设边界校核</w:t>
            </w:r>
            <w:r>
              <w:rPr>
                <w:rFonts w:ascii="仿宋" w:hAnsi="仿宋"/>
                <w:b w:val="0"/>
                <w:bCs w:val="0"/>
                <w:highlight w:val="none"/>
              </w:rPr>
              <w:br w:type="textWrapping"/>
            </w:r>
            <w:r>
              <w:rPr>
                <w:rFonts w:ascii="仿宋" w:hAnsi="仿宋"/>
                <w:b w:val="0"/>
                <w:bCs w:val="0"/>
                <w:highlight w:val="none"/>
              </w:rPr>
              <w:t>将与村庄建设边界相关的双评价数据成果，作为分析数据源接入，基于灾害风险冲突规则库，对已划定的村庄建设边界进行空间校核，包括分析边界是否符合相关管控规则和要求。根据管控规则提取冲突范围作为村庄建设不适宜区，确定不适宜进行村庄建设的区域，输出校核结果。</w:t>
            </w:r>
            <w:r>
              <w:rPr>
                <w:rFonts w:ascii="仿宋" w:hAnsi="仿宋"/>
                <w:b w:val="0"/>
                <w:bCs w:val="0"/>
                <w:highlight w:val="none"/>
              </w:rPr>
              <w:br w:type="textWrapping"/>
            </w:r>
            <w:r>
              <w:rPr>
                <w:rFonts w:ascii="仿宋" w:hAnsi="仿宋"/>
                <w:b w:val="0"/>
                <w:bCs w:val="0"/>
                <w:highlight w:val="none"/>
              </w:rPr>
              <w:t>（4）建设项目选址分析</w:t>
            </w:r>
            <w:r>
              <w:rPr>
                <w:rFonts w:ascii="仿宋" w:hAnsi="仿宋"/>
                <w:b w:val="0"/>
                <w:bCs w:val="0"/>
                <w:highlight w:val="none"/>
              </w:rPr>
              <w:br w:type="textWrapping"/>
            </w:r>
            <w:r>
              <w:rPr>
                <w:rFonts w:ascii="仿宋" w:hAnsi="仿宋"/>
                <w:b w:val="0"/>
                <w:bCs w:val="0"/>
                <w:highlight w:val="none"/>
              </w:rPr>
              <w:t>将与建设项目相关的双评价数据成果，作为分析数据源接入，对城镇开发边界以外单独选址项目进行安全性分析。包括分析项目的建设条件和安全性要求，根据区域灾害风险管控规则，分析建设项目是否符合灾害风险相关的管控规则和要求，评估项目的风险程度和分布特征，输出分析结果。将建设项目选址分析结果以图形和数据的形式进行展示，以便于用户方基于此进行辅助决策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33</w:t>
            </w:r>
          </w:p>
        </w:tc>
        <w:tc>
          <w:tcPr>
            <w:tcW w:w="2083" w:type="dxa"/>
          </w:tcPr>
          <w:p>
            <w:pPr>
              <w:pStyle w:val="289"/>
              <w:rPr>
                <w:rFonts w:ascii="仿宋" w:hAnsi="仿宋"/>
                <w:highlight w:val="none"/>
              </w:rPr>
            </w:pPr>
            <w:r>
              <w:rPr>
                <w:rFonts w:ascii="仿宋" w:hAnsi="仿宋"/>
                <w:b w:val="0"/>
                <w:bCs w:val="0"/>
                <w:highlight w:val="none"/>
              </w:rPr>
              <w:t>都市圈区域规划体检评估-都市圈总体运行监测评估-都市圈总体进展监测评估</w:t>
            </w:r>
          </w:p>
        </w:tc>
        <w:tc>
          <w:tcPr>
            <w:tcW w:w="5172" w:type="dxa"/>
          </w:tcPr>
          <w:p>
            <w:pPr>
              <w:pStyle w:val="289"/>
              <w:rPr>
                <w:rFonts w:ascii="仿宋" w:hAnsi="仿宋"/>
                <w:highlight w:val="none"/>
              </w:rPr>
            </w:pPr>
            <w:r>
              <w:rPr>
                <w:rFonts w:ascii="仿宋" w:hAnsi="仿宋"/>
                <w:b w:val="0"/>
                <w:bCs w:val="0"/>
                <w:highlight w:val="none"/>
              </w:rPr>
              <w:t>分析上一年度国际国内的社会环境与经济发展环境的总体趋势，梳理国家、区域和地方等不同层面与都市圈相关的战略要求，评估都市圈规划实施以来，都市圈内规划编制情况、重大工程项目进展情况、政策机制出台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34</w:t>
            </w:r>
          </w:p>
        </w:tc>
        <w:tc>
          <w:tcPr>
            <w:tcW w:w="2083" w:type="dxa"/>
          </w:tcPr>
          <w:p>
            <w:pPr>
              <w:pStyle w:val="289"/>
              <w:rPr>
                <w:rFonts w:ascii="仿宋" w:hAnsi="仿宋"/>
                <w:highlight w:val="none"/>
              </w:rPr>
            </w:pPr>
            <w:r>
              <w:rPr>
                <w:rFonts w:ascii="仿宋" w:hAnsi="仿宋"/>
                <w:b w:val="0"/>
                <w:bCs w:val="0"/>
                <w:highlight w:val="none"/>
              </w:rPr>
              <w:t>都市圈区域规划体检评估-都市圈总体运行监测评估-都市圈目标愿景监测评估</w:t>
            </w:r>
          </w:p>
        </w:tc>
        <w:tc>
          <w:tcPr>
            <w:tcW w:w="5172" w:type="dxa"/>
          </w:tcPr>
          <w:p>
            <w:pPr>
              <w:pStyle w:val="289"/>
              <w:rPr>
                <w:rFonts w:ascii="仿宋" w:hAnsi="仿宋"/>
                <w:highlight w:val="none"/>
              </w:rPr>
            </w:pPr>
            <w:r>
              <w:rPr>
                <w:rFonts w:ascii="仿宋" w:hAnsi="仿宋"/>
                <w:b w:val="0"/>
                <w:bCs w:val="0"/>
                <w:highlight w:val="none"/>
              </w:rPr>
              <w:t>围绕都市圈规划提出的总目标和分目标，分析目标实现进展。聚焦规划指标，计算每项指标的年度数值，与规划目标进行比较，判断各项指标的完成进度。对照国家和区域战略要求，分析是否对都市圈规划和指标提出了调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35</w:t>
            </w:r>
          </w:p>
        </w:tc>
        <w:tc>
          <w:tcPr>
            <w:tcW w:w="2083" w:type="dxa"/>
          </w:tcPr>
          <w:p>
            <w:pPr>
              <w:pStyle w:val="289"/>
              <w:rPr>
                <w:rFonts w:ascii="仿宋" w:hAnsi="仿宋"/>
                <w:highlight w:val="none"/>
              </w:rPr>
            </w:pPr>
            <w:r>
              <w:rPr>
                <w:rFonts w:ascii="仿宋" w:hAnsi="仿宋"/>
                <w:b w:val="0"/>
                <w:bCs w:val="0"/>
                <w:highlight w:val="none"/>
              </w:rPr>
              <w:t>都市圈区域规划体检评估-都市圈总体运行监测评估-对标都市圈情况跟踪</w:t>
            </w:r>
          </w:p>
        </w:tc>
        <w:tc>
          <w:tcPr>
            <w:tcW w:w="5172" w:type="dxa"/>
          </w:tcPr>
          <w:p>
            <w:pPr>
              <w:pStyle w:val="289"/>
              <w:rPr>
                <w:rFonts w:ascii="仿宋" w:hAnsi="仿宋"/>
                <w:highlight w:val="none"/>
              </w:rPr>
            </w:pPr>
            <w:r>
              <w:rPr>
                <w:rFonts w:ascii="仿宋" w:hAnsi="仿宋"/>
                <w:b w:val="0"/>
                <w:bCs w:val="0"/>
                <w:highlight w:val="none"/>
              </w:rPr>
              <w:t>跟踪纽约大都市区、东京都市圈、巴黎大区、大伦敦地区等国际都市圈，以及首都都市圈、成都都市圈、武汉都市圈、广州都市圈等国内都市圈规划建设情况。关注国际权威的全球城市排行榜，如GaWC“全球城市排行榜”、科尔尼“全球城市指数”、森纪念财团“GPCI 全球城市实力指数”、中国社科院“全球城市竞争力”排行榜等，梳理都市圈各城市在这些榜单中的年度排名情况和排名变化情况。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36</w:t>
            </w:r>
          </w:p>
        </w:tc>
        <w:tc>
          <w:tcPr>
            <w:tcW w:w="2083" w:type="dxa"/>
          </w:tcPr>
          <w:p>
            <w:pPr>
              <w:pStyle w:val="289"/>
              <w:rPr>
                <w:rFonts w:ascii="仿宋" w:hAnsi="仿宋"/>
                <w:highlight w:val="none"/>
              </w:rPr>
            </w:pPr>
            <w:r>
              <w:rPr>
                <w:rFonts w:ascii="仿宋" w:hAnsi="仿宋"/>
                <w:b w:val="0"/>
                <w:bCs w:val="0"/>
                <w:highlight w:val="none"/>
              </w:rPr>
              <w:t>都市圈区域规划体检评估-都市圈总体运行监测评估-都市圈人口监测评估</w:t>
            </w:r>
          </w:p>
        </w:tc>
        <w:tc>
          <w:tcPr>
            <w:tcW w:w="5172" w:type="dxa"/>
          </w:tcPr>
          <w:p>
            <w:pPr>
              <w:pStyle w:val="289"/>
              <w:rPr>
                <w:rFonts w:ascii="仿宋" w:hAnsi="仿宋"/>
                <w:highlight w:val="none"/>
              </w:rPr>
            </w:pPr>
            <w:r>
              <w:rPr>
                <w:rFonts w:ascii="仿宋" w:hAnsi="仿宋"/>
                <w:b w:val="0"/>
                <w:bCs w:val="0"/>
                <w:highlight w:val="none"/>
              </w:rPr>
              <w:t>采用连续多年的人口数据，计算总量、增速并进行趋势判断；通过与其他区域的比较总结在儿童、老年人、青年人等结构方面特征；深入到城市和区县层面分析人口的空间布局特征；从通勤角度分析人口的跨城流动特征；判断人口未来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37</w:t>
            </w:r>
          </w:p>
        </w:tc>
        <w:tc>
          <w:tcPr>
            <w:tcW w:w="2083" w:type="dxa"/>
          </w:tcPr>
          <w:p>
            <w:pPr>
              <w:pStyle w:val="289"/>
              <w:rPr>
                <w:rFonts w:ascii="仿宋" w:hAnsi="仿宋"/>
                <w:highlight w:val="none"/>
              </w:rPr>
            </w:pPr>
            <w:r>
              <w:rPr>
                <w:rFonts w:ascii="仿宋" w:hAnsi="仿宋"/>
                <w:b w:val="0"/>
                <w:bCs w:val="0"/>
                <w:highlight w:val="none"/>
              </w:rPr>
              <w:t>都市圈区域规划体检评估-都市圈总体运行监测评估-都市圈经济监测评估</w:t>
            </w:r>
          </w:p>
        </w:tc>
        <w:tc>
          <w:tcPr>
            <w:tcW w:w="5172" w:type="dxa"/>
          </w:tcPr>
          <w:p>
            <w:pPr>
              <w:pStyle w:val="289"/>
              <w:rPr>
                <w:rFonts w:ascii="仿宋" w:hAnsi="仿宋"/>
                <w:highlight w:val="none"/>
              </w:rPr>
            </w:pPr>
            <w:r>
              <w:rPr>
                <w:rFonts w:ascii="仿宋" w:hAnsi="仿宋"/>
                <w:b w:val="0"/>
                <w:bCs w:val="0"/>
                <w:highlight w:val="none"/>
              </w:rPr>
              <w:t>采用连续多年的经济数据，计算总量、增速并进行趋势判断；通过与其他区域的比较总结在人均GDP、三次产业等结构方面特征；深入到城市和区县层面分析经济的空间布局特征；判断经济未来发展趋势。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38</w:t>
            </w:r>
          </w:p>
        </w:tc>
        <w:tc>
          <w:tcPr>
            <w:tcW w:w="2083" w:type="dxa"/>
          </w:tcPr>
          <w:p>
            <w:pPr>
              <w:pStyle w:val="289"/>
              <w:rPr>
                <w:rFonts w:ascii="仿宋" w:hAnsi="仿宋"/>
                <w:highlight w:val="none"/>
              </w:rPr>
            </w:pPr>
            <w:r>
              <w:rPr>
                <w:rFonts w:ascii="仿宋" w:hAnsi="仿宋"/>
                <w:b w:val="0"/>
                <w:bCs w:val="0"/>
                <w:highlight w:val="none"/>
              </w:rPr>
              <w:t>都市圈区域规划体检评估-都市圈总体运行监测评估-都市圈用地监测评估</w:t>
            </w:r>
          </w:p>
        </w:tc>
        <w:tc>
          <w:tcPr>
            <w:tcW w:w="5172" w:type="dxa"/>
          </w:tcPr>
          <w:p>
            <w:pPr>
              <w:pStyle w:val="289"/>
              <w:rPr>
                <w:rFonts w:ascii="仿宋" w:hAnsi="仿宋"/>
                <w:highlight w:val="none"/>
              </w:rPr>
            </w:pPr>
            <w:r>
              <w:rPr>
                <w:rFonts w:ascii="仿宋" w:hAnsi="仿宋"/>
                <w:b w:val="0"/>
                <w:bCs w:val="0"/>
                <w:highlight w:val="none"/>
              </w:rPr>
              <w:t>采用连续多年的用地数据，计算总量、增速并进行趋势判断；通过与其他区域的比较总结在建设用地、林地、水面、耕地等结构方面特征；深入到城市和区县层面分析用地的空间布局特征；判断用地未来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39</w:t>
            </w:r>
          </w:p>
        </w:tc>
        <w:tc>
          <w:tcPr>
            <w:tcW w:w="2083" w:type="dxa"/>
          </w:tcPr>
          <w:p>
            <w:pPr>
              <w:pStyle w:val="289"/>
              <w:rPr>
                <w:rFonts w:ascii="仿宋" w:hAnsi="仿宋"/>
                <w:highlight w:val="none"/>
              </w:rPr>
            </w:pPr>
            <w:r>
              <w:rPr>
                <w:rFonts w:ascii="仿宋" w:hAnsi="仿宋"/>
                <w:b w:val="0"/>
                <w:bCs w:val="0"/>
                <w:highlight w:val="none"/>
              </w:rPr>
              <w:t>都市圈区域规划体检评估-都市圈空间格局监测评估-都市圈空间圈层监测评估</w:t>
            </w:r>
          </w:p>
        </w:tc>
        <w:tc>
          <w:tcPr>
            <w:tcW w:w="5172" w:type="dxa"/>
          </w:tcPr>
          <w:p>
            <w:pPr>
              <w:pStyle w:val="289"/>
              <w:rPr>
                <w:rFonts w:ascii="仿宋" w:hAnsi="仿宋"/>
                <w:highlight w:val="none"/>
              </w:rPr>
            </w:pPr>
            <w:r>
              <w:rPr>
                <w:rFonts w:ascii="仿宋" w:hAnsi="仿宋"/>
                <w:b w:val="0"/>
                <w:bCs w:val="0"/>
                <w:highlight w:val="none"/>
              </w:rPr>
              <w:t>依托交通出行数据等，从中心城市出发计算1小时通勤可达覆盖范围；依托交通网络数据等，从中心城市出发计算1小时轨道交通可达覆盖范围。判断各圈层资源要素流动情况。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40</w:t>
            </w:r>
          </w:p>
        </w:tc>
        <w:tc>
          <w:tcPr>
            <w:tcW w:w="2083" w:type="dxa"/>
          </w:tcPr>
          <w:p>
            <w:pPr>
              <w:pStyle w:val="289"/>
              <w:rPr>
                <w:rFonts w:ascii="仿宋" w:hAnsi="仿宋"/>
                <w:highlight w:val="none"/>
              </w:rPr>
            </w:pPr>
            <w:r>
              <w:rPr>
                <w:rFonts w:ascii="仿宋" w:hAnsi="仿宋"/>
                <w:b w:val="0"/>
                <w:bCs w:val="0"/>
                <w:highlight w:val="none"/>
              </w:rPr>
              <w:t>都市圈区域规划体检评估-都市圈空间格局监测评估-都市圈功能体系监测评估</w:t>
            </w:r>
          </w:p>
        </w:tc>
        <w:tc>
          <w:tcPr>
            <w:tcW w:w="5172" w:type="dxa"/>
          </w:tcPr>
          <w:p>
            <w:pPr>
              <w:pStyle w:val="289"/>
              <w:rPr>
                <w:rFonts w:ascii="仿宋" w:hAnsi="仿宋"/>
                <w:highlight w:val="none"/>
              </w:rPr>
            </w:pPr>
            <w:r>
              <w:rPr>
                <w:rFonts w:ascii="仿宋" w:hAnsi="仿宋"/>
                <w:b w:val="0"/>
                <w:bCs w:val="0"/>
                <w:highlight w:val="none"/>
              </w:rPr>
              <w:t>对都市圈区县级功能单元进行评价，重点评估各个单元所承担的城市功能，包括生产性服务业、航运贸易、科技创新、智能制造、文化交流等。判断都市圈各城市相对位置与规划目标的差距，反映功能体系构建的实施进展。突出体现各城市在都市圈一体化高质量空间协同发展中的作用，对标规划目标，判断是否形成大中小城市协调发展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41</w:t>
            </w:r>
          </w:p>
        </w:tc>
        <w:tc>
          <w:tcPr>
            <w:tcW w:w="2083" w:type="dxa"/>
          </w:tcPr>
          <w:p>
            <w:pPr>
              <w:pStyle w:val="289"/>
              <w:rPr>
                <w:rFonts w:ascii="仿宋" w:hAnsi="仿宋"/>
                <w:highlight w:val="none"/>
              </w:rPr>
            </w:pPr>
            <w:r>
              <w:rPr>
                <w:rFonts w:ascii="仿宋" w:hAnsi="仿宋"/>
                <w:b w:val="0"/>
                <w:bCs w:val="0"/>
                <w:highlight w:val="none"/>
              </w:rPr>
              <w:t>都市圈区域规划体检评估-都市圈空间格局监测评估-都市圈发展走廊监测评估</w:t>
            </w:r>
          </w:p>
        </w:tc>
        <w:tc>
          <w:tcPr>
            <w:tcW w:w="5172" w:type="dxa"/>
          </w:tcPr>
          <w:p>
            <w:pPr>
              <w:pStyle w:val="289"/>
              <w:rPr>
                <w:rFonts w:ascii="仿宋" w:hAnsi="仿宋"/>
                <w:highlight w:val="none"/>
              </w:rPr>
            </w:pPr>
            <w:r>
              <w:rPr>
                <w:rFonts w:ascii="仿宋" w:hAnsi="仿宋"/>
                <w:b w:val="0"/>
                <w:bCs w:val="0"/>
                <w:highlight w:val="none"/>
              </w:rPr>
              <w:t>基于城市交通联系紧密程度、产业协作关联强度等，以重要跨区域交通走廊为引领和支撑，分析各条走廊沿线的发展基础和特色优势，评估科技创新、生态、人文复合功能情况，对标规划目标，判断是否形成多走廊、网络化发展的空间布局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42</w:t>
            </w:r>
          </w:p>
        </w:tc>
        <w:tc>
          <w:tcPr>
            <w:tcW w:w="2083" w:type="dxa"/>
          </w:tcPr>
          <w:p>
            <w:pPr>
              <w:pStyle w:val="289"/>
              <w:rPr>
                <w:rFonts w:ascii="仿宋" w:hAnsi="仿宋"/>
                <w:highlight w:val="none"/>
              </w:rPr>
            </w:pPr>
            <w:r>
              <w:rPr>
                <w:rFonts w:ascii="仿宋" w:hAnsi="仿宋"/>
                <w:b w:val="0"/>
                <w:bCs w:val="0"/>
                <w:highlight w:val="none"/>
              </w:rPr>
              <w:t>都市圈区域规划体检评估-都市圈空间格局监测评估-都市圈战略节点监测评估</w:t>
            </w:r>
          </w:p>
        </w:tc>
        <w:tc>
          <w:tcPr>
            <w:tcW w:w="5172" w:type="dxa"/>
          </w:tcPr>
          <w:p>
            <w:pPr>
              <w:pStyle w:val="289"/>
              <w:rPr>
                <w:rFonts w:ascii="仿宋" w:hAnsi="仿宋"/>
                <w:highlight w:val="none"/>
              </w:rPr>
            </w:pPr>
            <w:r>
              <w:rPr>
                <w:rFonts w:ascii="仿宋" w:hAnsi="仿宋"/>
                <w:b w:val="0"/>
                <w:bCs w:val="0"/>
                <w:highlight w:val="none"/>
              </w:rPr>
              <w:t>判断都市圈内战略机遇区和潜力提升区的发展情况，分析跨区域交通、公共服务、能源、安全等重大功能性项目布局和实施情况，资源要素集聚投放、重大改革创新举措出台情况，判断是否需要新增或者减少战略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43</w:t>
            </w:r>
          </w:p>
        </w:tc>
        <w:tc>
          <w:tcPr>
            <w:tcW w:w="2083" w:type="dxa"/>
          </w:tcPr>
          <w:p>
            <w:pPr>
              <w:pStyle w:val="289"/>
              <w:rPr>
                <w:rFonts w:ascii="仿宋" w:hAnsi="仿宋"/>
                <w:highlight w:val="none"/>
              </w:rPr>
            </w:pPr>
            <w:r>
              <w:rPr>
                <w:rFonts w:ascii="仿宋" w:hAnsi="仿宋"/>
                <w:b w:val="0"/>
                <w:bCs w:val="0"/>
                <w:highlight w:val="none"/>
              </w:rPr>
              <w:t>都市圈区域规划体检评估-都市圈区域竞争优势监测评估-都市圈产业创新网络监测评估</w:t>
            </w:r>
          </w:p>
        </w:tc>
        <w:tc>
          <w:tcPr>
            <w:tcW w:w="5172" w:type="dxa"/>
          </w:tcPr>
          <w:p>
            <w:pPr>
              <w:pStyle w:val="289"/>
              <w:rPr>
                <w:rFonts w:ascii="仿宋" w:hAnsi="仿宋"/>
                <w:highlight w:val="none"/>
              </w:rPr>
            </w:pPr>
            <w:r>
              <w:rPr>
                <w:rFonts w:ascii="仿宋" w:hAnsi="仿宋"/>
                <w:b w:val="0"/>
                <w:bCs w:val="0"/>
                <w:highlight w:val="none"/>
              </w:rPr>
              <w:t>创新链方面，对创新要素空间集聚度、投入强度、成果转化以及创新合作的政策机制构建情况进行跟踪。产业链方面，聚焦重点发展的产业集群，分析规模能级和空间绩效，利用多源数据，评估产业链、价值链和人才链跨区域协同关联情况和韧性安全水平。供应链方面，对链主企业和供应商的空间位置关系进行分析，考察链主企业的供应链在廊道上的布局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44</w:t>
            </w:r>
          </w:p>
        </w:tc>
        <w:tc>
          <w:tcPr>
            <w:tcW w:w="2083" w:type="dxa"/>
          </w:tcPr>
          <w:p>
            <w:pPr>
              <w:pStyle w:val="289"/>
              <w:rPr>
                <w:rFonts w:ascii="仿宋" w:hAnsi="仿宋"/>
                <w:highlight w:val="none"/>
              </w:rPr>
            </w:pPr>
            <w:r>
              <w:rPr>
                <w:rFonts w:ascii="仿宋" w:hAnsi="仿宋"/>
                <w:b w:val="0"/>
                <w:bCs w:val="0"/>
                <w:highlight w:val="none"/>
              </w:rPr>
              <w:t>都市圈区域规划体检评估-都市圈区域竞争优势监测评估-都市圈交通网络监测评估</w:t>
            </w:r>
          </w:p>
        </w:tc>
        <w:tc>
          <w:tcPr>
            <w:tcW w:w="5172" w:type="dxa"/>
          </w:tcPr>
          <w:p>
            <w:pPr>
              <w:pStyle w:val="289"/>
              <w:rPr>
                <w:rFonts w:ascii="仿宋" w:hAnsi="仿宋"/>
                <w:highlight w:val="none"/>
              </w:rPr>
            </w:pPr>
            <w:r>
              <w:rPr>
                <w:rFonts w:ascii="仿宋" w:hAnsi="仿宋"/>
                <w:b w:val="0"/>
                <w:bCs w:val="0"/>
                <w:highlight w:val="none"/>
              </w:rPr>
              <w:t>轨道网方面，监测都市圈轨道交通总里程和密度，并区分不同类型的轨道（国铁、城际铁路、市域铁路、城市地铁等类型），与国际其他都市圈进行比较。分别以区县、乡镇为单元计算枢纽覆盖率；计算都市圈城市之间高铁、动车对数或所有停靠站的列车对数，以反映联系强度。航道网方面，监测都市圈航道总里程和密度，判断规划航道实施率，区分一级、二级、三级等航道里程，分析航道对产业和城镇的覆盖程度。公路网方面，监测都市圈公路网总里程和密度，与国内外其他都市圈进行比较；监测跨界通道数量、跨界公交数量等，根据供需关系判断服务跨界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45</w:t>
            </w:r>
          </w:p>
        </w:tc>
        <w:tc>
          <w:tcPr>
            <w:tcW w:w="2083" w:type="dxa"/>
          </w:tcPr>
          <w:p>
            <w:pPr>
              <w:pStyle w:val="289"/>
              <w:rPr>
                <w:rFonts w:ascii="仿宋" w:hAnsi="仿宋"/>
                <w:highlight w:val="none"/>
              </w:rPr>
            </w:pPr>
            <w:r>
              <w:rPr>
                <w:rFonts w:ascii="仿宋" w:hAnsi="仿宋"/>
                <w:b w:val="0"/>
                <w:bCs w:val="0"/>
                <w:highlight w:val="none"/>
              </w:rPr>
              <w:t>都市圈区域规划体检评估-都市圈区域竞争优势监测评估-都市圈枢纽体系监测评估</w:t>
            </w:r>
          </w:p>
        </w:tc>
        <w:tc>
          <w:tcPr>
            <w:tcW w:w="5172" w:type="dxa"/>
          </w:tcPr>
          <w:p>
            <w:pPr>
              <w:pStyle w:val="289"/>
              <w:rPr>
                <w:rFonts w:ascii="仿宋" w:hAnsi="仿宋"/>
                <w:highlight w:val="none"/>
              </w:rPr>
            </w:pPr>
            <w:r>
              <w:rPr>
                <w:rFonts w:ascii="仿宋" w:hAnsi="仿宋"/>
                <w:b w:val="0"/>
                <w:bCs w:val="0"/>
                <w:highlight w:val="none"/>
              </w:rPr>
              <w:t>机场群方面，关注航空枢纽的客运与货运功能，分别监测都市圈机场旅客吞吐量、机场货运吞吐量以及各自的历年变化。港口群方面，关注港口货运功能，监测都市圈港口集装箱吞吐量、港口货物吞吐量及历年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46</w:t>
            </w:r>
          </w:p>
        </w:tc>
        <w:tc>
          <w:tcPr>
            <w:tcW w:w="2083" w:type="dxa"/>
          </w:tcPr>
          <w:p>
            <w:pPr>
              <w:pStyle w:val="289"/>
              <w:rPr>
                <w:rFonts w:ascii="仿宋" w:hAnsi="仿宋"/>
                <w:highlight w:val="none"/>
              </w:rPr>
            </w:pPr>
            <w:r>
              <w:rPr>
                <w:rFonts w:ascii="仿宋" w:hAnsi="仿宋"/>
                <w:b w:val="0"/>
                <w:bCs w:val="0"/>
                <w:highlight w:val="none"/>
              </w:rPr>
              <w:t>都市圈区域规划体检评估-都市圈区域竞争优势监测评估-都市圈基础设施监测评估</w:t>
            </w:r>
          </w:p>
        </w:tc>
        <w:tc>
          <w:tcPr>
            <w:tcW w:w="5172" w:type="dxa"/>
          </w:tcPr>
          <w:p>
            <w:pPr>
              <w:pStyle w:val="289"/>
              <w:rPr>
                <w:rFonts w:ascii="仿宋" w:hAnsi="仿宋"/>
                <w:highlight w:val="none"/>
              </w:rPr>
            </w:pPr>
            <w:r>
              <w:rPr>
                <w:rFonts w:ascii="仿宋" w:hAnsi="仿宋"/>
                <w:b w:val="0"/>
                <w:bCs w:val="0"/>
                <w:highlight w:val="none"/>
              </w:rPr>
              <w:t>新型通信设施方面，监测都市圈量子保密通信干线网、卫星通信体系、国际光缆登陆点、光纤网络等建设情况。算力基础设施方面，监测都市圈内算力设施数量、空间布局、功能能级等情况。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47</w:t>
            </w:r>
          </w:p>
        </w:tc>
        <w:tc>
          <w:tcPr>
            <w:tcW w:w="2083" w:type="dxa"/>
          </w:tcPr>
          <w:p>
            <w:pPr>
              <w:pStyle w:val="289"/>
              <w:rPr>
                <w:rFonts w:ascii="仿宋" w:hAnsi="仿宋"/>
                <w:highlight w:val="none"/>
              </w:rPr>
            </w:pPr>
            <w:r>
              <w:rPr>
                <w:rFonts w:ascii="仿宋" w:hAnsi="仿宋"/>
                <w:b w:val="0"/>
                <w:bCs w:val="0"/>
                <w:highlight w:val="none"/>
              </w:rPr>
              <w:t>都市圈区域规划体检评估-都市圈空间底色监测评估-都市圈生态底色监测评估</w:t>
            </w:r>
          </w:p>
        </w:tc>
        <w:tc>
          <w:tcPr>
            <w:tcW w:w="5172" w:type="dxa"/>
          </w:tcPr>
          <w:p>
            <w:pPr>
              <w:pStyle w:val="289"/>
              <w:rPr>
                <w:rFonts w:ascii="仿宋" w:hAnsi="仿宋"/>
                <w:highlight w:val="none"/>
              </w:rPr>
            </w:pPr>
            <w:r>
              <w:rPr>
                <w:rFonts w:ascii="仿宋" w:hAnsi="仿宋"/>
                <w:b w:val="0"/>
                <w:bCs w:val="0"/>
                <w:highlight w:val="none"/>
              </w:rPr>
              <w:t>生态安全骨架方面，监测区域生态空间的数量、质量、分布情况，尤其是评估生态廊道连通度和重要生态屏障保护情况。以各城市国土空间规划确定的生态保护红线、永久基本农田、重要林地、湿地等为对象，监测其总面积、空间分布；采用生态阻力分析都市圈主要跨区域生态廊道的连通度；统计生态修复面积。绿道网络方面，监测都市圈各级各类绿道建设情况和空间布局情况，分析绿道连通度。生态价值转换方面，跟踪生态资源综合开发利用、生态文旅康养等融合发展的情况。环境质量方面，关注区域水环境、大气环境、土壤环境、固废危废污染物的联合治理成效，重点监测都市圈河湖水面率、水质优良率尤其是近岸海域水质优良率、空气质量优良率、受污染地块安全利用率及历史变化情况。评估区域节能减排降碳的成效。比较各城市的碳排放总量、人均碳排放情况、单位GDP能耗等指标及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48</w:t>
            </w:r>
          </w:p>
        </w:tc>
        <w:tc>
          <w:tcPr>
            <w:tcW w:w="2083" w:type="dxa"/>
          </w:tcPr>
          <w:p>
            <w:pPr>
              <w:pStyle w:val="289"/>
              <w:rPr>
                <w:rFonts w:ascii="仿宋" w:hAnsi="仿宋"/>
                <w:highlight w:val="none"/>
              </w:rPr>
            </w:pPr>
            <w:r>
              <w:rPr>
                <w:rFonts w:ascii="仿宋" w:hAnsi="仿宋"/>
                <w:b w:val="0"/>
                <w:bCs w:val="0"/>
                <w:highlight w:val="none"/>
              </w:rPr>
              <w:t>都市圈区域规划体检评估-都市圈空间底色监测评估-都市圈人文底色监测评估</w:t>
            </w:r>
          </w:p>
        </w:tc>
        <w:tc>
          <w:tcPr>
            <w:tcW w:w="5172" w:type="dxa"/>
          </w:tcPr>
          <w:p>
            <w:pPr>
              <w:pStyle w:val="289"/>
              <w:rPr>
                <w:rFonts w:ascii="仿宋" w:hAnsi="仿宋"/>
                <w:highlight w:val="none"/>
              </w:rPr>
            </w:pPr>
            <w:r>
              <w:rPr>
                <w:rFonts w:ascii="仿宋" w:hAnsi="仿宋"/>
                <w:b w:val="0"/>
                <w:bCs w:val="0"/>
                <w:highlight w:val="none"/>
              </w:rPr>
              <w:t>文化旅游方面，监测省级以上历史人文要素资源数量和分布情况，包括世界文化遗产、世界自然遗产、非物质文化遗产等，以及国家文化公园、国家级历史文化名城名镇名村。关注历史文化和自然景观资源的保护利用，通过年度旅游人次来反映，跟踪文化带、旅游圈、精品游线的发展情况。高等级公共服务设施方面，分析空间集聚程度、区域共享范围、合作机制等。包括高等级教育、医疗、文化场馆、体育场馆、文化和体育赛事等指标的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49</w:t>
            </w:r>
          </w:p>
        </w:tc>
        <w:tc>
          <w:tcPr>
            <w:tcW w:w="2083" w:type="dxa"/>
          </w:tcPr>
          <w:p>
            <w:pPr>
              <w:pStyle w:val="289"/>
              <w:rPr>
                <w:rFonts w:ascii="仿宋" w:hAnsi="仿宋"/>
                <w:highlight w:val="none"/>
              </w:rPr>
            </w:pPr>
            <w:r>
              <w:rPr>
                <w:rFonts w:ascii="仿宋" w:hAnsi="仿宋"/>
                <w:b w:val="0"/>
                <w:bCs w:val="0"/>
                <w:highlight w:val="none"/>
              </w:rPr>
              <w:t>都市圈区域规划体检评估-都市圈空间底色监测评估-都市圈安全底色监测评估</w:t>
            </w:r>
          </w:p>
        </w:tc>
        <w:tc>
          <w:tcPr>
            <w:tcW w:w="5172" w:type="dxa"/>
          </w:tcPr>
          <w:p>
            <w:pPr>
              <w:pStyle w:val="289"/>
              <w:rPr>
                <w:rFonts w:ascii="仿宋" w:hAnsi="仿宋"/>
                <w:highlight w:val="none"/>
              </w:rPr>
            </w:pPr>
            <w:r>
              <w:rPr>
                <w:rFonts w:ascii="仿宋" w:hAnsi="仿宋"/>
                <w:b w:val="0"/>
                <w:bCs w:val="0"/>
                <w:highlight w:val="none"/>
              </w:rPr>
              <w:t>水资源方面，监测都市圈水资源总量、用水总量、水源地布局和协同、水源地储备、区域性输水走廊建设等情况。能源方面，监测都市圈能源供应和使用、清洁能源供应和使用、区域能源储备、重要能源通道建设等情况。安全韧性方面，监测都市圈防洪排涝、防灾减灾、粮食自给率等情况，跟踪都市圈内平急两用基础设施建设和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50</w:t>
            </w:r>
          </w:p>
        </w:tc>
        <w:tc>
          <w:tcPr>
            <w:tcW w:w="2083" w:type="dxa"/>
          </w:tcPr>
          <w:p>
            <w:pPr>
              <w:pStyle w:val="289"/>
              <w:rPr>
                <w:rFonts w:ascii="仿宋" w:hAnsi="仿宋"/>
                <w:highlight w:val="none"/>
              </w:rPr>
            </w:pPr>
            <w:r>
              <w:rPr>
                <w:rFonts w:ascii="仿宋" w:hAnsi="仿宋"/>
                <w:b w:val="0"/>
                <w:bCs w:val="0"/>
                <w:highlight w:val="none"/>
              </w:rPr>
              <w:t>都市圈区域规划体检评估-跨界地区监测评估-跨界地区底线管控监测评估</w:t>
            </w:r>
          </w:p>
        </w:tc>
        <w:tc>
          <w:tcPr>
            <w:tcW w:w="5172" w:type="dxa"/>
          </w:tcPr>
          <w:p>
            <w:pPr>
              <w:pStyle w:val="289"/>
              <w:rPr>
                <w:rFonts w:ascii="仿宋" w:hAnsi="仿宋"/>
                <w:highlight w:val="none"/>
              </w:rPr>
            </w:pPr>
            <w:r>
              <w:rPr>
                <w:rFonts w:ascii="仿宋" w:hAnsi="仿宋"/>
                <w:b w:val="0"/>
                <w:bCs w:val="0"/>
                <w:highlight w:val="none"/>
              </w:rPr>
              <w:t>结合各跨界地区涉及各地的现状禀赋条件、近期战略部署，监测蓝绿空间、建设开发强度、邻界地区风貌等情况，重点分析空间结构和生态廊道衔接、重要功能板块联动、贴边开发建设、上下游水质环境、安全韧性等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51</w:t>
            </w:r>
          </w:p>
        </w:tc>
        <w:tc>
          <w:tcPr>
            <w:tcW w:w="2083" w:type="dxa"/>
          </w:tcPr>
          <w:p>
            <w:pPr>
              <w:pStyle w:val="289"/>
              <w:rPr>
                <w:rFonts w:ascii="仿宋" w:hAnsi="仿宋"/>
                <w:highlight w:val="none"/>
              </w:rPr>
            </w:pPr>
            <w:r>
              <w:rPr>
                <w:rFonts w:ascii="仿宋" w:hAnsi="仿宋"/>
                <w:b w:val="0"/>
                <w:bCs w:val="0"/>
                <w:highlight w:val="none"/>
              </w:rPr>
              <w:t>都市圈区域规划体检评估-跨界地区监测评估-跨界地区专项协同监测评估</w:t>
            </w:r>
          </w:p>
        </w:tc>
        <w:tc>
          <w:tcPr>
            <w:tcW w:w="5172" w:type="dxa"/>
          </w:tcPr>
          <w:p>
            <w:pPr>
              <w:pStyle w:val="289"/>
              <w:rPr>
                <w:rFonts w:ascii="仿宋" w:hAnsi="仿宋"/>
                <w:highlight w:val="none"/>
              </w:rPr>
            </w:pPr>
            <w:r>
              <w:rPr>
                <w:rFonts w:ascii="仿宋" w:hAnsi="仿宋"/>
                <w:b w:val="0"/>
                <w:bCs w:val="0"/>
                <w:highlight w:val="none"/>
              </w:rPr>
              <w:t>监测各跨界地区产业分工合作与创新联动，产业平台共建，江海港口、航道资源的协调，轨道网络直连快通，跨界公交线路数量，跨界断头路对接，重大基础设施布局，邻避设施统筹，公共服务设施共享等情况。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47" w:type="dxa"/>
          </w:tcPr>
          <w:p>
            <w:pPr>
              <w:pStyle w:val="289"/>
              <w:rPr>
                <w:rFonts w:ascii="仿宋" w:hAnsi="仿宋"/>
                <w:highlight w:val="none"/>
              </w:rPr>
            </w:pPr>
            <w:r>
              <w:rPr>
                <w:rFonts w:ascii="仿宋" w:hAnsi="仿宋"/>
                <w:b w:val="0"/>
                <w:bCs w:val="0"/>
                <w:highlight w:val="none"/>
              </w:rPr>
              <w:t>52</w:t>
            </w:r>
          </w:p>
        </w:tc>
        <w:tc>
          <w:tcPr>
            <w:tcW w:w="2083" w:type="dxa"/>
          </w:tcPr>
          <w:p>
            <w:pPr>
              <w:pStyle w:val="289"/>
              <w:rPr>
                <w:rFonts w:ascii="仿宋" w:hAnsi="仿宋"/>
                <w:highlight w:val="none"/>
              </w:rPr>
            </w:pPr>
            <w:r>
              <w:rPr>
                <w:rFonts w:ascii="仿宋" w:hAnsi="仿宋"/>
                <w:b w:val="0"/>
                <w:bCs w:val="0"/>
                <w:highlight w:val="none"/>
              </w:rPr>
              <w:t>密码应用改造-密码应用改造-密码应用改造</w:t>
            </w:r>
          </w:p>
        </w:tc>
        <w:tc>
          <w:tcPr>
            <w:tcW w:w="5172" w:type="dxa"/>
          </w:tcPr>
          <w:p>
            <w:pPr>
              <w:pStyle w:val="289"/>
              <w:rPr>
                <w:rFonts w:ascii="仿宋" w:hAnsi="仿宋"/>
                <w:highlight w:val="none"/>
              </w:rPr>
            </w:pPr>
            <w:r>
              <w:rPr>
                <w:rFonts w:ascii="仿宋" w:hAnsi="仿宋"/>
                <w:b w:val="0"/>
                <w:bCs w:val="0"/>
                <w:highlight w:val="none"/>
              </w:rPr>
              <w:t>重要数据加解密、应用系统重要数据签名验签等。</w:t>
            </w:r>
          </w:p>
        </w:tc>
      </w:tr>
    </w:tbl>
    <w:p>
      <w:pPr>
        <w:widowControl/>
        <w:rPr>
          <w:rFonts w:hint="eastAsia" w:hAnsi="仿宋"/>
          <w:highlight w:val="none"/>
        </w:rPr>
      </w:pPr>
    </w:p>
    <w:p>
      <w:pPr>
        <w:pStyle w:val="6"/>
        <w:numPr>
          <w:ilvl w:val="2"/>
          <w:numId w:val="15"/>
        </w:numPr>
        <w:rPr>
          <w:rFonts w:hint="eastAsia"/>
          <w:sz w:val="28"/>
          <w:szCs w:val="28"/>
          <w:highlight w:val="none"/>
        </w:rPr>
      </w:pPr>
      <w:r>
        <w:rPr>
          <w:rFonts w:hint="eastAsia"/>
          <w:sz w:val="28"/>
          <w:szCs w:val="28"/>
          <w:highlight w:val="none"/>
        </w:rPr>
        <w:t>土地管理板块</w:t>
      </w:r>
    </w:p>
    <w:tbl>
      <w:tblPr>
        <w:tblStyle w:val="8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080"/>
        <w:gridCol w:w="5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序号</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功能名称</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争议协调认定-争议协调认定-补偿协议调取</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根据用户所在行政区，自动调取土地子系统“征地房屋补偿信息管理-协议签订”征收信息，包括项目编号、项目名称、协议编号、协议签订状态等基础要素信息。</w:t>
            </w:r>
            <w:r>
              <w:rPr>
                <w:rFonts w:hint="eastAsia" w:ascii="仿宋" w:hAnsi="仿宋" w:eastAsia="仿宋"/>
                <w:color w:val="000000"/>
                <w:highlight w:val="none"/>
              </w:rPr>
              <w:br w:type="textWrapping"/>
            </w:r>
            <w:r>
              <w:rPr>
                <w:rFonts w:hint="eastAsia" w:ascii="仿宋" w:hAnsi="仿宋" w:eastAsia="仿宋"/>
                <w:color w:val="000000"/>
                <w:highlight w:val="none"/>
              </w:rPr>
              <w:t>通过信息关联，需逐个验证补偿协议是否已完成农转用审批。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争议协调认定-争议协调认定-协议列表</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获取协议所在项目信息生成列表，并显示项目编号、项目名称等基本信息，设置行政区、项目名称、项目状态等查询要素。</w:t>
            </w:r>
            <w:r>
              <w:rPr>
                <w:rFonts w:hint="eastAsia" w:ascii="仿宋" w:hAnsi="仿宋" w:eastAsia="仿宋"/>
                <w:color w:val="000000"/>
                <w:highlight w:val="none"/>
              </w:rPr>
              <w:br w:type="textWrapping"/>
            </w:r>
            <w:r>
              <w:rPr>
                <w:rFonts w:hint="eastAsia" w:ascii="仿宋" w:hAnsi="仿宋" w:eastAsia="仿宋"/>
                <w:color w:val="000000"/>
                <w:highlight w:val="none"/>
              </w:rPr>
              <w:t>点击列表中的单个项目，可查看该项目下的所有补偿协议信息、每份协议签订具体信息。</w:t>
            </w:r>
            <w:r>
              <w:rPr>
                <w:rFonts w:hint="eastAsia" w:ascii="仿宋" w:hAnsi="仿宋" w:eastAsia="仿宋"/>
                <w:color w:val="000000"/>
                <w:highlight w:val="none"/>
              </w:rPr>
              <w:br w:type="textWrapping"/>
            </w:r>
            <w:r>
              <w:rPr>
                <w:rFonts w:hint="eastAsia" w:ascii="仿宋" w:hAnsi="仿宋" w:eastAsia="仿宋"/>
                <w:color w:val="000000"/>
                <w:highlight w:val="none"/>
              </w:rPr>
              <w:t>需挂接协议电子文本附件，并进行浏览查看。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争议协调认定-争议协调认定-争议协议认定</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针对每项协议签订信息单设状态栏，展示该协议是否已进行签约。对状态栏设置勾选状态（进入争议协调处理流程/已通过协议置换方式签约），并设置协议编号、协议名称、协议状态等字段作为信息筛选字段。</w:t>
            </w:r>
            <w:r>
              <w:rPr>
                <w:rFonts w:hint="eastAsia" w:ascii="仿宋" w:hAnsi="仿宋" w:eastAsia="仿宋"/>
                <w:color w:val="000000"/>
                <w:highlight w:val="none"/>
              </w:rPr>
              <w:br w:type="textWrapping"/>
            </w:r>
            <w:r>
              <w:rPr>
                <w:rFonts w:hint="eastAsia" w:ascii="仿宋" w:hAnsi="仿宋" w:eastAsia="仿宋"/>
                <w:color w:val="000000"/>
                <w:highlight w:val="none"/>
              </w:rPr>
              <w:t>以协议为单位判断协议状态，当状态为“未签订协议”，区经办人需完成状态的选择，当区经办人选择“进入争议协调处理流程”，系统需将该协议认定为需进行争议协调的情况，当区经办人选择“已通过协议置换方式签约”，区局经办人需上传《协议签订文本》作为佐证材料，系统进行文件上传强校验。对于已上传佐证材料的协议，需将材料自动回传至“土地子系统-征地房屋补偿信息管理”中完成附件挂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争议协调处理-争议协调处理-争议协调处理发起</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争议协调处理待办、已办列表，自动获取行政区、项目名称、项目编号、处理状态、当前环节、接件时间等字段，并将上述字段设置为查询条件以供各用户查询，用户待办或已完成办理的案件均需展示在本界面中。界面展示需按字段完成排序等。在“争议协调认定”环节最终认定的协议自动推送至本流程中。并按行政区、用户权限展示协议数据，对于已发起过协调处理流程的数据不支持再次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5</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争议协调处理-争议协调处理-征地补偿安置决定信息录入</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项目发起后，由经办人在系统中填报征地补偿信息及其补偿原由、补偿户数、补偿方式、补偿金额和支付期限、用于产权调换房屋的地点和面积、搬迁期限、被补偿人是否同意协调等字段，对于可从原集体土地征收模块中读取的数据，系统自动生成，对于无法读取的项目由用户手动填写。支持字段的修改、更新、保存，保存时校验字段填写规范，比如数字格式不允许出现字符、面积展示控制小数位数，支持一个项目可填写多类相同信息的情况。同时提供用户上传材料的通道，上传材料包括《征地房屋的调查确认信息及相关权属证明材料》、《征地房屋评估报告》、《征地房屋具体补偿方案》、《安置房屋相关证明材料》、《协商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6</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争议协调处理-争议协调处理-展开协调</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根据被补偿人是否同意协调，设置不同的协调处理流程。当被补偿人同意协调，则区级办理、区级审核、区级审批-办结即可；若被补偿人不同意协调，则区级-市级均需流转后办结。系统需设置各环节审批权限，支持各环节用户填写流转意见。支持用户浏览各环节的审批情况，包括审批时长、审批意见、审批人、流转对象、上传材料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7</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争议协调处理-争议协调处理-协议签订</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若被补偿人同意协调，则由双方签订补偿协议，由经办人将协议上传至系统中。案件办结后，系统需自动将协议文件自动回传至“土地子系统-征地房屋补偿信息管理”中完成附件挂接。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8</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争议协调处理-争议协调处理-征地补偿决定书发放</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需按照《征地补偿决定书》内容梳理系统内需套合的字段，完成全市统一的《征地补偿决定书》文档模板的制作，模板内容包括区征地事务机构、被补偿人等基本情况、征地批准文件、征地房屋补偿方案、建设项目名称、争议事项、争议协调情况、补偿方案、搬迁期限等。支持用户在固定环节对《征地补偿决定书》进行套合、确认。完成《征地补偿决定书》电子签章。支持用户在线浏览、在线下载《征地补偿决定书》。若被补偿人不同意协调处理，系统需强制生成《征地补偿决定书》，否则不支持案件继续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9</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责令交地-责令交地-逾期责令交地</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增设责令交地环节，自动获取行政区、协议编号、协议名称、处理状态、当前环节、接件时间等字段，并将上述字段设置为查询条件以供各用户查询，用户待办或已完成办理的案件均需展示在本界面中。界面展示需按字段完成排序等。</w:t>
            </w:r>
            <w:r>
              <w:rPr>
                <w:rFonts w:hint="eastAsia" w:ascii="仿宋" w:hAnsi="仿宋" w:eastAsia="仿宋"/>
                <w:color w:val="000000"/>
                <w:highlight w:val="none"/>
              </w:rPr>
              <w:br w:type="textWrapping"/>
            </w:r>
            <w:r>
              <w:rPr>
                <w:rFonts w:hint="eastAsia" w:ascii="仿宋" w:hAnsi="仿宋" w:eastAsia="仿宋"/>
                <w:color w:val="000000"/>
                <w:highlight w:val="none"/>
              </w:rPr>
              <w:t>在“争议协调认定”环节中，状态为“已签约”的协议自动推送至本流程中。</w:t>
            </w:r>
            <w:r>
              <w:rPr>
                <w:rFonts w:hint="eastAsia" w:ascii="仿宋" w:hAnsi="仿宋" w:eastAsia="仿宋"/>
                <w:color w:val="000000"/>
                <w:highlight w:val="none"/>
              </w:rPr>
              <w:br w:type="textWrapping"/>
            </w:r>
            <w:r>
              <w:rPr>
                <w:rFonts w:hint="eastAsia" w:ascii="仿宋" w:hAnsi="仿宋" w:eastAsia="仿宋"/>
                <w:color w:val="000000"/>
                <w:highlight w:val="none"/>
              </w:rPr>
              <w:t>将协议与“征地房屋补偿信息管理-协议签订”进行关联，获取交地日期，并判断该协议是否超过交地日期，若超出期限，则数据需自动推送至本列表中。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10</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责令交地-责令交地-信息报送</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通过获取已签约案件基础数据，自动展示责令交地的房屋地点和面积、搬迁期限、人员信息，对于可从原集体土地征收模块中读取的数据，系统自动生成，对于无法读取的项目由用户手动填写。</w:t>
            </w:r>
            <w:r>
              <w:rPr>
                <w:rFonts w:hint="eastAsia" w:ascii="仿宋" w:hAnsi="仿宋" w:eastAsia="仿宋"/>
                <w:color w:val="000000"/>
                <w:highlight w:val="none"/>
              </w:rPr>
              <w:br w:type="textWrapping"/>
            </w:r>
            <w:r>
              <w:rPr>
                <w:rFonts w:hint="eastAsia" w:ascii="仿宋" w:hAnsi="仿宋" w:eastAsia="仿宋"/>
                <w:color w:val="000000"/>
                <w:highlight w:val="none"/>
              </w:rPr>
              <w:t>支持字段的修改、更新、保存。提供用户上传材料的通道，上传材料包括《责令交地文书》等文件，文件上传时需校验文件名称是否含有特殊字符、控制上传格式、检验文件大小、检验文件必传等。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责令交地-责令交地-流转审核</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系统增设流转环节业务，支持区级-市级流转后办结，并设置各环节审批权限，支持各环节用户填写流转意见。</w:t>
            </w:r>
            <w:r>
              <w:rPr>
                <w:rFonts w:hint="eastAsia" w:ascii="仿宋" w:hAnsi="仿宋" w:eastAsia="仿宋"/>
                <w:color w:val="000000"/>
                <w:highlight w:val="none"/>
              </w:rPr>
              <w:br w:type="textWrapping"/>
            </w:r>
            <w:r>
              <w:rPr>
                <w:rFonts w:hint="eastAsia" w:ascii="仿宋" w:hAnsi="仿宋" w:eastAsia="仿宋"/>
                <w:color w:val="000000"/>
                <w:highlight w:val="none"/>
              </w:rPr>
              <w:t>支持用户浏览各环节的审批情况，包括审批时长、审批意见、审批人、流转对象、上传材料信息等。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强制执行-强制执行-依法启动程序</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启动强制执行，自动获取原土地或房屋信息，并展示行政区、协议编号、协议名称、交地时间、被补偿人、接件时间等字段，并将上述字段设置为查询条件以供各用户查询。</w:t>
            </w:r>
            <w:r>
              <w:rPr>
                <w:rFonts w:hint="eastAsia" w:ascii="仿宋" w:hAnsi="仿宋" w:eastAsia="仿宋"/>
                <w:color w:val="000000"/>
                <w:highlight w:val="none"/>
              </w:rPr>
              <w:br w:type="textWrapping"/>
            </w:r>
            <w:r>
              <w:rPr>
                <w:rFonts w:hint="eastAsia" w:ascii="仿宋" w:hAnsi="仿宋" w:eastAsia="仿宋"/>
                <w:color w:val="000000"/>
                <w:highlight w:val="none"/>
              </w:rPr>
              <w:t>界面展示需按字段完成排序等。将协议与“争议协调处理”、“责令交地”进行关联，获取房屋腾退期，并判断该房屋腾退期是否超过当前日期，若超出期限，则数据需自动推送至本列表中。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强制执行-强制执行-执行文书送达</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项目发起后，由经办人在系统中确认强制执行的房屋信息、人员信息，对于可从原集体土地征收模块中读取的数据，系统自动生成，对于无法读取的项目由用户手动填写。支持字段的修改、更新、保存并发起《强制执行文书》文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强制执行-强制执行-通知规划资源部门</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增设业务经区级-市级流转后办结流程。系统需设置各环节审批权限，支持各环节用户填写流转意见。信息流转完成后告知规划资源部门。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15</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房屋结案启动-房屋结案启动-房屋结案启动</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在征地房屋结案发起时，将“土地征收-补偿登记-房屋登记”中居住房屋数、共同举办企业数、非共同举办企业数与已签订协议和征地补偿安置决定数量进行比对，居住房屋数+共同举办企业数+非共同举办企业数=已签订依法征收协议数量+已签订协议置换协议数量+征地补偿安置决定书数量，如等式不成立则不允许发起房屋结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16</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土地出让管理-地块研判-地块研判-研判地块启动</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提供国有土地转让模块选择研判地块功能，系统获取地块基本信息、转让面积信息。支持用户选择土地用途、转让年限、土地类型、合同类型等信息，内容填写完毕后正式启动研判流程。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17</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土地出让管理-地块研判-地块研判-研判信息采集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自动采集本地块基础信息，包括所属片区、拟出让时间、是否属大局范围、涉及农转用批次文号、耕地占补平衡指标使用情况、市统筹比例、区落实比例、是否为市区联合储备、市储备出资比例、区储备出资比例及综合评估基本信息。并对无法采集的信息完成补充填写。</w:t>
            </w:r>
            <w:r>
              <w:rPr>
                <w:rFonts w:hint="eastAsia" w:ascii="仿宋" w:hAnsi="仿宋" w:eastAsia="仿宋"/>
                <w:color w:val="000000"/>
                <w:highlight w:val="none"/>
              </w:rPr>
              <w:br w:type="textWrapping"/>
            </w:r>
            <w:r>
              <w:rPr>
                <w:rFonts w:hint="eastAsia" w:ascii="仿宋" w:hAnsi="仿宋" w:eastAsia="仿宋"/>
                <w:color w:val="000000"/>
                <w:highlight w:val="none"/>
              </w:rPr>
              <w:t>系统自动比对控规信息、农转用审批信息、土地储备批文信息，并集成至研判界面。</w:t>
            </w:r>
            <w:r>
              <w:rPr>
                <w:rFonts w:hint="eastAsia" w:ascii="仿宋" w:hAnsi="仿宋" w:eastAsia="仿宋"/>
                <w:color w:val="000000"/>
                <w:highlight w:val="none"/>
              </w:rPr>
              <w:br w:type="textWrapping"/>
            </w:r>
            <w:r>
              <w:rPr>
                <w:rFonts w:hint="eastAsia" w:ascii="仿宋" w:hAnsi="仿宋" w:eastAsia="仿宋"/>
                <w:color w:val="000000"/>
                <w:highlight w:val="none"/>
              </w:rPr>
              <w:t>提供上传、预览、展示研判地块示意图（图片格式为：png；jpg；jpeg）、控规图、规划相关附件及其他研判所需附件通道。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18</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土地出让管理-地块研判-地块研判-研判材料制作</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制作经营性和工业研判2个不同类型的研判材料模板，经营性研判材料月80个字段，工业研判材料约80个字段。</w:t>
            </w:r>
            <w:r>
              <w:rPr>
                <w:rFonts w:hint="eastAsia" w:ascii="仿宋" w:hAnsi="仿宋" w:eastAsia="仿宋"/>
                <w:color w:val="000000"/>
                <w:highlight w:val="none"/>
              </w:rPr>
              <w:br w:type="textWrapping"/>
            </w:r>
            <w:r>
              <w:rPr>
                <w:rFonts w:hint="eastAsia" w:ascii="仿宋" w:hAnsi="仿宋" w:eastAsia="仿宋"/>
                <w:color w:val="000000"/>
                <w:highlight w:val="none"/>
              </w:rPr>
              <w:t>转让人提交交易中心研判时系统须生成研判材料，否则不能提交；已提交至中心的研判材料，中心账号可以在案件资源树查看研判材料附件。</w:t>
            </w:r>
            <w:r>
              <w:rPr>
                <w:rFonts w:hint="eastAsia" w:ascii="仿宋" w:hAnsi="仿宋" w:eastAsia="仿宋"/>
                <w:color w:val="000000"/>
                <w:highlight w:val="none"/>
              </w:rPr>
              <w:br w:type="textWrapping"/>
            </w:r>
            <w:r>
              <w:rPr>
                <w:rFonts w:hint="eastAsia" w:ascii="仿宋" w:hAnsi="仿宋" w:eastAsia="仿宋"/>
                <w:color w:val="000000"/>
                <w:highlight w:val="none"/>
              </w:rPr>
              <w:t>支持研判材料变更系统自动同步附件。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19</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土地出让管理-地块研判-地块研判-地价核查</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新增信息发起按钮：用户在方案制作环节填写地价会核相关信息，当地块流转到交易中心时，由中心发起线上地价会核。</w:t>
            </w:r>
            <w:r>
              <w:rPr>
                <w:rFonts w:hint="eastAsia" w:ascii="仿宋" w:hAnsi="仿宋" w:eastAsia="仿宋"/>
                <w:color w:val="000000"/>
                <w:highlight w:val="none"/>
              </w:rPr>
              <w:br w:type="textWrapping"/>
            </w:r>
            <w:r>
              <w:rPr>
                <w:rFonts w:hint="eastAsia" w:ascii="仿宋" w:hAnsi="仿宋" w:eastAsia="仿宋"/>
                <w:color w:val="000000"/>
                <w:highlight w:val="none"/>
              </w:rPr>
              <w:t>新增录入、下载会核信息功能、提供文档生成功能：中心发起线上会核后，由地调院用户登录系统查看需要会核的信息，并填写地价分析内容并生成地价会核单。转让人、交易中心、地调院经办人均可查看经办地块的地价会核状态、结果、下载地价会核单。</w:t>
            </w:r>
            <w:r>
              <w:rPr>
                <w:rFonts w:hint="eastAsia" w:ascii="仿宋" w:hAnsi="仿宋" w:eastAsia="仿宋"/>
                <w:color w:val="000000"/>
                <w:highlight w:val="none"/>
              </w:rPr>
              <w:br w:type="textWrapping"/>
            </w:r>
            <w:r>
              <w:rPr>
                <w:rFonts w:hint="eastAsia" w:ascii="仿宋" w:hAnsi="仿宋" w:eastAsia="仿宋"/>
                <w:color w:val="000000"/>
                <w:highlight w:val="none"/>
              </w:rPr>
              <w:t>研判材料同步：交易中心可将地价分析内容导入研判材料中。经办人均可查询所有地块会核地块的状态与结果。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20</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土地出让管理-地块研判-地块研判-合规性研判</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地块流转到中心，中心经办可点击按钮线上合规性研判，由系统同步信息至总规中心查看地块信息，并填写合规性意见，并反馈中心。各环节经办人可查看自己经办地块的合规性研判状态、结果。中心可将合规性意见导入研判材料。中心、总规中心可查看与查询所有合规性研判地块的状态与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21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土地出让管理-地块研判-地块研判-储备地块核查</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提供按钮支持中心经办发起线上土储核查，系统自动将信息推送至土储中心，由土储中心查看地块信息，并填写土储审核意见，并反馈中心。各环节经办人可查看自己经办地块的土储核查状态、结果。中心可将土储核查意见导入研判材料。中心、土储中心可查看与查询所有土储研判地块的状态与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22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土地出让管理-地块研判-地块研判-规划条件核查</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由交易中心发起线上规划条件核查，编审中心可查看地块信息，并填写规划条件核查意见，并将数据回传至交易中心中心；各环节经办人可查看自己经办地块的规划条件核查状态与结果。中心、编审中心可查看与查询所有规划条件核查地块的状态与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23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土地出让管理-地块研判-地块研判-净地调查</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系统发起线上净地调查至登记中心，由登记中心可核对地块信息，上传净地调查单，并将数据回传至交易中心。登记中心可查看与查询所有净地调查地块的状态与结果。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24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土地出让管理-转让供地准备-转让供地准备-转让申请</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系统新增转让流程，根据项目类型、土地类型的不同发起转让流程，通过关联用户填写的测绘报告号，自动调取测绘调查的基本信息、地块信息、空间信息。</w:t>
            </w:r>
            <w:r>
              <w:rPr>
                <w:rFonts w:hint="eastAsia" w:ascii="仿宋" w:hAnsi="仿宋" w:eastAsia="仿宋"/>
                <w:color w:val="000000"/>
                <w:highlight w:val="none"/>
              </w:rPr>
              <w:br w:type="textWrapping"/>
            </w:r>
            <w:r>
              <w:rPr>
                <w:rFonts w:hint="eastAsia" w:ascii="仿宋" w:hAnsi="仿宋" w:eastAsia="仿宋"/>
                <w:color w:val="000000"/>
                <w:highlight w:val="none"/>
              </w:rPr>
              <w:t>系统自动完成空间分析，叠加农转用、土地出让、土地利用现状层等，并根据叠加内容自动判别地块是否准入。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25</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土地出让管理-转让供地准备-转让供地准备-用地数据采集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若转让业务为经营性业务，由系统自动获取测绘调查信息、土地审批基础信息，并自动填充，若无法填充，则转让人在方案制作环节录入经营性用地相关数据。包括经营性地块转让土地的交付和转让价款缴纳、转让人信息、监管人信息、地上部分规划条件、地下部分规划条件、公共服务设施、公共空间及其他建设要求、保护保留建筑要求、开、竣工要求、绿化管理要求、建筑节能管理要求、功能管理要求、运营管理要求、改变土地用途办理约定、转让管理要求、不动产权注记注记内容、违约责任、其他征询、特别约定等，并按照填报规则进行数据校验。</w:t>
            </w:r>
            <w:r>
              <w:rPr>
                <w:rFonts w:hint="eastAsia" w:ascii="仿宋" w:hAnsi="仿宋" w:eastAsia="仿宋"/>
                <w:color w:val="000000"/>
                <w:highlight w:val="none"/>
              </w:rPr>
              <w:br w:type="textWrapping"/>
            </w:r>
            <w:r>
              <w:rPr>
                <w:rFonts w:hint="eastAsia" w:ascii="仿宋" w:hAnsi="仿宋" w:eastAsia="仿宋"/>
                <w:color w:val="000000"/>
                <w:highlight w:val="none"/>
              </w:rPr>
              <w:t>（2）若转让业务为工业用地业务，由系统自动获取测绘调查信息、土地审批基础信息，并自动填充，若无法填充，转让人在方案制作环节录入、关联工业用地相关数据。包括工业地块转让土地的交付和转让价款缴纳、转让人信息、监管人信息、转让履约保证要求、地上部分规划条件、地下部分规划条件、其他产业用途和生活配套设施比例、开竣工、投产时间、投资管理、达产管理、土地使用权转让、出租、抵押及期限届满、不动产权注记内容、违约责任、其他征询、特别约定等，并按照填报规则进行数据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26</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土地出让管理-转让供地准备-转让供地准备-转让文件制作</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系统设置《转让方案》、《征询汇总表》模板，并通过经营性、工业类型区分需获取的字段，涉及字段约70个，文件制作完成后提供文件预览、上传保存、下载功能，并设置提交验证。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27</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土地出让管理-转让供地准备-转让供地准备-交易中心审核</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系统设置交易中心审核流程，并支持交易中心自行配置人员审批权限。基于方案基本信息、地块信息填报完毕并校验成功后，可提交至交易中心审核，并由交易中心出具审核意见。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28</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土地出让管理-转让供地准备-转让供地准备-公告请示地块打包</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推送拟公告请示的转让地块，并设置地块自由选择功能，由交易中心经办人自行选择地块进行打包。打包完成后系统自动生成形成本批次公告请示地块清单列表，并支持通过每个地块跳转至原申报界面查看具体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29</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土地出让管理-转让供地准备-转让供地准备-公告请示生成</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系统自动获取文档中打包的全部地块信息，并开发公告请示文件模板。</w:t>
            </w:r>
            <w:r>
              <w:rPr>
                <w:rFonts w:hint="eastAsia" w:ascii="仿宋" w:hAnsi="仿宋" w:eastAsia="仿宋"/>
                <w:color w:val="000000"/>
                <w:highlight w:val="none"/>
              </w:rPr>
              <w:br w:type="textWrapping"/>
            </w:r>
            <w:r>
              <w:rPr>
                <w:rFonts w:hint="eastAsia" w:ascii="仿宋" w:hAnsi="仿宋" w:eastAsia="仿宋"/>
                <w:color w:val="000000"/>
                <w:highlight w:val="none"/>
              </w:rPr>
              <w:t>公告请示模板共包含8类不同的模板，涉及字段约500余项：《公告请示-标准地》、《公告请示-城中村》、《公告请示-征收安置房》、《公告请示-研发总部通用类》、《公告请示-工业标准厂房》、《公告请示-商住办用地》、《公告请示-普通商品房用地》、《公告请示-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30</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土地出让管理-转让供地准备-转让供地准备-公告请示审核</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系统支持拟定公告请示，并自动生成请示文号、支持提交市局领导审核。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31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土地出让管理-转让供地准备-转让供地准备-地块入市申请</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提供正式入市申报界面，支持用户填写底价、招挂复合转招标人数、入市交易方式、是否需要提交定向文件、是否交自定义材料等相关信息。点击启动入市申报按钮，将自动发送申请至交易中心，交易中心审核通过后，系统需将地块信息自动推送土地二级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32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土地出让管理-转让供地准备-转让供地准备-成交信息获取</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转让地块完成成交后，系统自动接收成交信息，并将成交信息自动填充至合同数据表，并展示在界面中，若存在材料附件，则需将材料自动挂接。成交信息主要包括成交时间、地块公告号、申请入信息、竞得人信息、成交价格、竞价轮次、交易成交确认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33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土地出让管理-转让供地实施-转让供地实施-设置特别约定</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设置合同特别约定条款界面，在合同进行特别约定的转让地块，可自定义额外项增加合同特别约定，录入合同条款、合同章节、具体条款内容。</w:t>
            </w:r>
            <w:r>
              <w:rPr>
                <w:rFonts w:hint="eastAsia" w:ascii="仿宋" w:hAnsi="仿宋" w:eastAsia="仿宋"/>
                <w:color w:val="000000"/>
                <w:highlight w:val="none"/>
              </w:rPr>
              <w:br w:type="textWrapping"/>
            </w:r>
            <w:r>
              <w:rPr>
                <w:rFonts w:hint="eastAsia" w:ascii="仿宋" w:hAnsi="仿宋" w:eastAsia="仿宋"/>
                <w:color w:val="000000"/>
                <w:highlight w:val="none"/>
              </w:rPr>
              <w:t>设置监管协议特别约定条款界面，需在监管协议进行特别约定的转让地块，可自定义额外项增加监管协议特别约定，需录入监管协议条款、监管协议章节、具体协议内容。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34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土地出让管理-转让供地实施--转让合同模板制作</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（1）经营性转让合同：</w:t>
            </w:r>
            <w:r>
              <w:rPr>
                <w:rFonts w:hint="eastAsia" w:ascii="仿宋" w:hAnsi="仿宋" w:eastAsia="仿宋"/>
                <w:color w:val="000000"/>
                <w:highlight w:val="none"/>
              </w:rPr>
              <w:br w:type="textWrapping"/>
            </w:r>
            <w:r>
              <w:rPr>
                <w:rFonts w:hint="eastAsia" w:ascii="仿宋" w:hAnsi="仿宋" w:eastAsia="仿宋"/>
                <w:color w:val="000000"/>
                <w:highlight w:val="none"/>
              </w:rPr>
              <w:t>系统需单独开发经营性转让合同模板并进行取值，支持用户自动生成合同、签章。经营性合同分为以下2个大类（经营性合同、租赁住房合同），涉及的字段信息共约130多个，涉及的数据表约10张左右。</w:t>
            </w:r>
            <w:r>
              <w:rPr>
                <w:rFonts w:hint="eastAsia" w:ascii="仿宋" w:hAnsi="仿宋" w:eastAsia="仿宋"/>
                <w:color w:val="000000"/>
                <w:highlight w:val="none"/>
              </w:rPr>
              <w:br w:type="textWrapping"/>
            </w:r>
            <w:r>
              <w:rPr>
                <w:rFonts w:hint="eastAsia" w:ascii="仿宋" w:hAnsi="仿宋" w:eastAsia="仿宋"/>
                <w:color w:val="000000"/>
                <w:highlight w:val="none"/>
              </w:rPr>
              <w:t>交易成交后数据同步完成生成转让合同文号、监管协议文号，填写合同签订时间，自动计算约定缴款时间、开工时间、竣工时间、投产时间、履约保证金等时间。若转让业务为经营性用地，地块成交后，系统绑定经营性字段、经营性合同条款等内容，制作经营性合同模板并生成经营性合同。目的为了防止转让人修改系统数据，而忘记重新生成合同文档。在转让人每次提交时系统须强制生成转让合同。</w:t>
            </w:r>
            <w:r>
              <w:rPr>
                <w:rFonts w:hint="eastAsia" w:ascii="仿宋" w:hAnsi="仿宋" w:eastAsia="仿宋"/>
                <w:color w:val="000000"/>
                <w:highlight w:val="none"/>
              </w:rPr>
              <w:br w:type="textWrapping"/>
            </w:r>
            <w:r>
              <w:rPr>
                <w:rFonts w:hint="eastAsia" w:ascii="仿宋" w:hAnsi="仿宋" w:eastAsia="仿宋"/>
                <w:color w:val="000000"/>
                <w:highlight w:val="none"/>
              </w:rPr>
              <w:t>（2）工业转让合同：</w:t>
            </w:r>
            <w:r>
              <w:rPr>
                <w:rFonts w:hint="eastAsia" w:ascii="仿宋" w:hAnsi="仿宋" w:eastAsia="仿宋"/>
                <w:color w:val="000000"/>
                <w:highlight w:val="none"/>
              </w:rPr>
              <w:br w:type="textWrapping"/>
            </w:r>
            <w:r>
              <w:rPr>
                <w:rFonts w:hint="eastAsia" w:ascii="仿宋" w:hAnsi="仿宋" w:eastAsia="仿宋"/>
                <w:color w:val="000000"/>
                <w:highlight w:val="none"/>
              </w:rPr>
              <w:t>系统需单独开发工业转让合同模板并进行取值，支持用户自动生成合同、签章。工业模板类型分为以下4个大类，涉及的字段信息共约280多个，具体如下：工业用地标准厂房类（字段：67个）、工业用地产业项目类（字段：75个）；研发通用类（字段：70个）、研发总部产业项目类（字段：77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35</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土地出让管理-转让供地实施--监管协议制作</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（1）经营性监管协议制作：</w:t>
            </w:r>
            <w:r>
              <w:rPr>
                <w:rFonts w:hint="eastAsia" w:ascii="仿宋" w:hAnsi="仿宋" w:eastAsia="仿宋"/>
                <w:color w:val="000000"/>
                <w:highlight w:val="none"/>
              </w:rPr>
              <w:br w:type="textWrapping"/>
            </w:r>
            <w:r>
              <w:rPr>
                <w:rFonts w:hint="eastAsia" w:ascii="仿宋" w:hAnsi="仿宋" w:eastAsia="仿宋"/>
                <w:color w:val="000000"/>
                <w:highlight w:val="none"/>
              </w:rPr>
              <w:t>系统需单独开发经营性监管协议模板并进行取值，支持用户根据监管协议文本模板，选择系统的经营性类型字段、经营性协议内容等，自动填充监管协议模板并生成正式的监管协议。经营性监管协议分为以下2个大类（经营性合同、租赁住房合同），涉及的字段信息共约200多个，具体如下：经营性合同-监管协议（字段：101个）、租赁住房合同-监管协议（字段：107个）；</w:t>
            </w:r>
            <w:r>
              <w:rPr>
                <w:rFonts w:hint="eastAsia" w:ascii="仿宋" w:hAnsi="仿宋" w:eastAsia="仿宋"/>
                <w:color w:val="000000"/>
                <w:highlight w:val="none"/>
              </w:rPr>
              <w:br w:type="textWrapping"/>
            </w:r>
            <w:r>
              <w:rPr>
                <w:rFonts w:hint="eastAsia" w:ascii="仿宋" w:hAnsi="仿宋" w:eastAsia="仿宋"/>
                <w:color w:val="000000"/>
                <w:highlight w:val="none"/>
              </w:rPr>
              <w:t>（2）工业监管协议制作：</w:t>
            </w:r>
            <w:r>
              <w:rPr>
                <w:rFonts w:hint="eastAsia" w:ascii="仿宋" w:hAnsi="仿宋" w:eastAsia="仿宋"/>
                <w:color w:val="000000"/>
                <w:highlight w:val="none"/>
              </w:rPr>
              <w:br w:type="textWrapping"/>
            </w:r>
            <w:r>
              <w:rPr>
                <w:rFonts w:hint="eastAsia" w:ascii="仿宋" w:hAnsi="仿宋" w:eastAsia="仿宋"/>
                <w:color w:val="000000"/>
                <w:highlight w:val="none"/>
              </w:rPr>
              <w:t>系统需单独开发工业监管协议模板并进行取值，根据监管协议文本模板，选择系统的工业类型字段、工业用地协议内容等，自动填充监管协议模板并生成正式的监管协议。工业监管协议模板类型分为以下4个大类，涉及的字段信息共约400多个，具体如下：工业用地标准厂房类-监管协议（字段：110个）、工业用地产业项目类-监管协议（字段：107个）；研发通用类-监管协议（字段：120个）、研发总部产业项目类-监管协议（字段：118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36</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土地出让管理-转让批后监管-转让批后监管-转让地块监管首页</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转让地块合同签订后，自动进入转让批后监管。</w:t>
            </w:r>
            <w:r>
              <w:rPr>
                <w:rFonts w:hint="eastAsia" w:ascii="仿宋" w:hAnsi="仿宋" w:eastAsia="仿宋"/>
                <w:color w:val="000000"/>
                <w:highlight w:val="none"/>
              </w:rPr>
              <w:br w:type="textWrapping"/>
            </w:r>
            <w:r>
              <w:rPr>
                <w:rFonts w:hint="eastAsia" w:ascii="仿宋" w:hAnsi="仿宋" w:eastAsia="仿宋"/>
                <w:color w:val="000000"/>
                <w:highlight w:val="none"/>
              </w:rPr>
              <w:t>根据用户权限不同，在监管首页自动生成缴付待办、交付监管待办、开工监管待办、竣工监管待办、项目投产监管待办、项目投资监管待办、项目达产监管待办、其他要素监管待办、综合评定管理待办、股权结构管理待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37</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土地出让管理-转让批后监管-转让批后监管-交地监管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自动读取转让地块基本信息、约定交地日期，根据约定交地日期与当前日期判断，进行交地状态监管。</w:t>
            </w:r>
            <w:r>
              <w:rPr>
                <w:rFonts w:hint="eastAsia" w:ascii="仿宋" w:hAnsi="仿宋" w:eastAsia="仿宋"/>
                <w:color w:val="000000"/>
                <w:highlight w:val="none"/>
              </w:rPr>
              <w:br w:type="textWrapping"/>
            </w:r>
            <w:r>
              <w:rPr>
                <w:rFonts w:hint="eastAsia" w:ascii="仿宋" w:hAnsi="仿宋" w:eastAsia="仿宋"/>
                <w:color w:val="000000"/>
                <w:highlight w:val="none"/>
              </w:rPr>
              <w:t>（1）当转让价款缴付监管要素状态变为“已缴付”时，本模块会将转让地块的基本信息、时间节点以及合同条款发送至区级转让人账号。</w:t>
            </w:r>
            <w:r>
              <w:rPr>
                <w:rFonts w:hint="eastAsia" w:ascii="仿宋" w:hAnsi="仿宋" w:eastAsia="仿宋"/>
                <w:color w:val="000000"/>
                <w:highlight w:val="none"/>
              </w:rPr>
              <w:br w:type="textWrapping"/>
            </w:r>
            <w:r>
              <w:rPr>
                <w:rFonts w:hint="eastAsia" w:ascii="仿宋" w:hAnsi="仿宋" w:eastAsia="仿宋"/>
                <w:color w:val="000000"/>
                <w:highlight w:val="none"/>
              </w:rPr>
              <w:t>（2）由区级转让人账号根据实际交地情况，按时在系统中自动生成《交地确认书》或上传盖章版的《交地确认书》，并根据亮灯状态完成相关操作：当亮“黄灯”时应及时打印《提醒办理交地通知书》，发放给受让人，以督促其尽快办理交地手续。当亮“黑灯”时需按实际情况填写逾期未交地原因，并明确是企业原因还是政府原因。</w:t>
            </w:r>
            <w:r>
              <w:rPr>
                <w:rFonts w:hint="eastAsia" w:ascii="仿宋" w:hAnsi="仿宋" w:eastAsia="仿宋"/>
                <w:color w:val="000000"/>
                <w:highlight w:val="none"/>
              </w:rPr>
              <w:br w:type="textWrapping"/>
            </w:r>
            <w:r>
              <w:rPr>
                <w:rFonts w:hint="eastAsia" w:ascii="仿宋" w:hAnsi="仿宋" w:eastAsia="仿宋"/>
                <w:color w:val="000000"/>
                <w:highlight w:val="none"/>
              </w:rPr>
              <w:t>（3）当土地交付监管要素状态变更为“已交付”时，该监管要素结束。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38</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土地出让管理-转让批后监管-转让批后监管-价款缴纳监管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涉及转让价款缴付监管要素的转让地块，本模块会将地块基本信息、时间节点以及合同条款发送至区级转让人账号。</w:t>
            </w:r>
            <w:r>
              <w:rPr>
                <w:rFonts w:hint="eastAsia" w:ascii="仿宋" w:hAnsi="仿宋" w:eastAsia="仿宋"/>
                <w:color w:val="000000"/>
                <w:highlight w:val="none"/>
              </w:rPr>
              <w:br w:type="textWrapping"/>
            </w:r>
            <w:r>
              <w:rPr>
                <w:rFonts w:hint="eastAsia" w:ascii="仿宋" w:hAnsi="仿宋" w:eastAsia="仿宋"/>
                <w:color w:val="000000"/>
                <w:highlight w:val="none"/>
              </w:rPr>
              <w:t>（1）由区级出让人账号根据实际缴款情况，关联税务征收模块，读取、补充填写缴款信息，并根据亮灯状态完成相关操作：当亮“黄灯”时应及时打印《提醒缴款通知书》，发放给受让人，以督促其尽快办理缴款手续。当亮“黑灯”时需按实际情况填写逾期未缴款原因，并向受让人发放《未按期缴款通知书》，告知其违约责任。</w:t>
            </w:r>
            <w:r>
              <w:rPr>
                <w:rFonts w:hint="eastAsia" w:ascii="仿宋" w:hAnsi="仿宋" w:eastAsia="仿宋"/>
                <w:color w:val="000000"/>
                <w:highlight w:val="none"/>
              </w:rPr>
              <w:br w:type="textWrapping"/>
            </w:r>
            <w:r>
              <w:rPr>
                <w:rFonts w:hint="eastAsia" w:ascii="仿宋" w:hAnsi="仿宋" w:eastAsia="仿宋"/>
                <w:color w:val="000000"/>
                <w:highlight w:val="none"/>
              </w:rPr>
              <w:t>（2）当逾期超过60日，可按照合同约定向受让人发放《解除合同通知书》，解除合同。当出让金缴付监管要素状态变更为“已缴付”时，该监管要素结束。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39</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土地出让管理-转让批后监管-转让批后监管-开发建设开工监管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当合同信息进入时，本模块会自动将转让地块的基本信息、时间节点以及合同条款发送至区级转让人账号账号和乡镇级监管人员账号。</w:t>
            </w:r>
            <w:r>
              <w:rPr>
                <w:rFonts w:hint="eastAsia" w:ascii="仿宋" w:hAnsi="仿宋" w:eastAsia="仿宋"/>
                <w:color w:val="000000"/>
                <w:highlight w:val="none"/>
              </w:rPr>
              <w:br w:type="textWrapping"/>
            </w:r>
            <w:r>
              <w:rPr>
                <w:rFonts w:hint="eastAsia" w:ascii="仿宋" w:hAnsi="仿宋" w:eastAsia="仿宋"/>
                <w:color w:val="000000"/>
                <w:highlight w:val="none"/>
              </w:rPr>
              <w:t>（1）其中乡镇级监管人员根据实际建设情况，在每个月25日前填写开发建设状态，并上传“现场照片”和“施工许可证”。而区级转让人账号对乡镇级监管人员填报的巡查信息进行审核。</w:t>
            </w:r>
            <w:r>
              <w:rPr>
                <w:rFonts w:hint="eastAsia" w:ascii="仿宋" w:hAnsi="仿宋" w:eastAsia="仿宋"/>
                <w:color w:val="000000"/>
                <w:highlight w:val="none"/>
              </w:rPr>
              <w:br w:type="textWrapping"/>
            </w:r>
            <w:r>
              <w:rPr>
                <w:rFonts w:hint="eastAsia" w:ascii="仿宋" w:hAnsi="仿宋" w:eastAsia="仿宋"/>
                <w:color w:val="000000"/>
                <w:highlight w:val="none"/>
              </w:rPr>
              <w:t>（2）对于乡镇级监管人员填报信息有误的，应及时退回并要求其修改；</w:t>
            </w:r>
            <w:r>
              <w:rPr>
                <w:rFonts w:hint="eastAsia" w:ascii="仿宋" w:hAnsi="仿宋" w:eastAsia="仿宋"/>
                <w:color w:val="000000"/>
                <w:highlight w:val="none"/>
              </w:rPr>
              <w:br w:type="textWrapping"/>
            </w:r>
            <w:r>
              <w:rPr>
                <w:rFonts w:hint="eastAsia" w:ascii="仿宋" w:hAnsi="仿宋" w:eastAsia="仿宋"/>
                <w:color w:val="000000"/>
                <w:highlight w:val="none"/>
              </w:rPr>
              <w:t>（3）对于逾期未开工的项目，应填写未开工原因，并明确是企业原因还是政府原因。</w:t>
            </w:r>
            <w:r>
              <w:rPr>
                <w:rFonts w:hint="eastAsia" w:ascii="仿宋" w:hAnsi="仿宋" w:eastAsia="仿宋"/>
                <w:color w:val="000000"/>
                <w:highlight w:val="none"/>
              </w:rPr>
              <w:br w:type="textWrapping"/>
            </w:r>
            <w:r>
              <w:rPr>
                <w:rFonts w:hint="eastAsia" w:ascii="仿宋" w:hAnsi="仿宋" w:eastAsia="仿宋"/>
                <w:color w:val="000000"/>
                <w:highlight w:val="none"/>
              </w:rPr>
              <w:t>（4）针对开工收取履约保证金的工业用地，区级监管人员还应填写履约保证金收取时间、收取形式、收取金额以及罚没情况。</w:t>
            </w:r>
            <w:r>
              <w:rPr>
                <w:rFonts w:hint="eastAsia" w:ascii="仿宋" w:hAnsi="仿宋" w:eastAsia="仿宋"/>
                <w:color w:val="000000"/>
                <w:highlight w:val="none"/>
              </w:rPr>
              <w:br w:type="textWrapping"/>
            </w:r>
            <w:r>
              <w:rPr>
                <w:rFonts w:hint="eastAsia" w:ascii="仿宋" w:hAnsi="仿宋" w:eastAsia="仿宋"/>
                <w:color w:val="000000"/>
                <w:highlight w:val="none"/>
              </w:rPr>
              <w:t>（5）此外，还应根据亮灯状态完成相关操作：当亮“黄灯”时应及时打印《开工提醒通知书》，发放给受让人，以督促其尽快按约开工。当亮“黑灯”时应及时在“闲置土地处置”模块中完成闲置土地的认定、处置等流程。</w:t>
            </w:r>
            <w:r>
              <w:rPr>
                <w:rFonts w:hint="eastAsia" w:ascii="仿宋" w:hAnsi="仿宋" w:eastAsia="仿宋"/>
                <w:color w:val="000000"/>
                <w:highlight w:val="none"/>
              </w:rPr>
              <w:br w:type="textWrapping"/>
            </w:r>
            <w:r>
              <w:rPr>
                <w:rFonts w:hint="eastAsia" w:ascii="仿宋" w:hAnsi="仿宋" w:eastAsia="仿宋"/>
                <w:color w:val="000000"/>
                <w:highlight w:val="none"/>
              </w:rPr>
              <w:t>（6）此外，本模块将自动发送逾期未开工满一年的地块信息、巡查记录定期交互至“闲置土地处置”模块。</w:t>
            </w:r>
            <w:r>
              <w:rPr>
                <w:rFonts w:hint="eastAsia" w:ascii="仿宋" w:hAnsi="仿宋" w:eastAsia="仿宋"/>
                <w:color w:val="000000"/>
                <w:highlight w:val="none"/>
              </w:rPr>
              <w:br w:type="textWrapping"/>
            </w:r>
            <w:r>
              <w:rPr>
                <w:rFonts w:hint="eastAsia" w:ascii="仿宋" w:hAnsi="仿宋" w:eastAsia="仿宋"/>
                <w:color w:val="000000"/>
                <w:highlight w:val="none"/>
              </w:rPr>
              <w:t>（7）当开工监管要素状态变更为“已开工”时，该监管要素结束。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40</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土地出让管理-转让批后监管-转让批后监管-开发建设巡查监管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当开工监管要素状态变为“已开工”时，本模块会将涉及的所有地块的基本信息、时间节点以及合同条款发送至区级转让人账号和乡镇级监管人员账号。</w:t>
            </w:r>
            <w:r>
              <w:rPr>
                <w:rFonts w:hint="eastAsia" w:ascii="仿宋" w:hAnsi="仿宋" w:eastAsia="仿宋"/>
                <w:color w:val="000000"/>
                <w:highlight w:val="none"/>
              </w:rPr>
              <w:br w:type="textWrapping"/>
            </w:r>
            <w:r>
              <w:rPr>
                <w:rFonts w:hint="eastAsia" w:ascii="仿宋" w:hAnsi="仿宋" w:eastAsia="仿宋"/>
                <w:color w:val="000000"/>
                <w:highlight w:val="none"/>
              </w:rPr>
              <w:t>（1）由乡镇级监管人员根据实际建设情况，在每个月25日前填写开发建设状态，并上传“现场照片”。</w:t>
            </w:r>
            <w:r>
              <w:rPr>
                <w:rFonts w:hint="eastAsia" w:ascii="仿宋" w:hAnsi="仿宋" w:eastAsia="仿宋"/>
                <w:color w:val="000000"/>
                <w:highlight w:val="none"/>
              </w:rPr>
              <w:br w:type="textWrapping"/>
            </w:r>
            <w:r>
              <w:rPr>
                <w:rFonts w:hint="eastAsia" w:ascii="仿宋" w:hAnsi="仿宋" w:eastAsia="仿宋"/>
                <w:color w:val="000000"/>
                <w:highlight w:val="none"/>
              </w:rPr>
              <w:t>（2）由区级监管人员对乡镇级监管人员填报的巡查信息进行审核，对于乡镇级监管人员填报信息有误的，应及时退回并要求其修改。</w:t>
            </w:r>
            <w:r>
              <w:rPr>
                <w:rFonts w:hint="eastAsia" w:ascii="仿宋" w:hAnsi="仿宋" w:eastAsia="仿宋"/>
                <w:color w:val="000000"/>
                <w:highlight w:val="none"/>
              </w:rPr>
              <w:br w:type="textWrapping"/>
            </w:r>
            <w:r>
              <w:rPr>
                <w:rFonts w:hint="eastAsia" w:ascii="仿宋" w:hAnsi="仿宋" w:eastAsia="仿宋"/>
                <w:color w:val="000000"/>
                <w:highlight w:val="none"/>
              </w:rPr>
              <w:t>（3）当建设监管要素涉及的地块距离约定竣工时间剩余2个月以上的，将在下个月初由建设监管要素转为竣工监管要素。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41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土地出让管理-转让批后监管-转让批后监管-开发建设竣工监管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当建设监管要素涉及的地块距离约定竣工时间剩余1个月以上时，本模块会将建设监管要素自动转化为竣工监管要素。</w:t>
            </w:r>
            <w:r>
              <w:rPr>
                <w:rFonts w:hint="eastAsia" w:ascii="仿宋" w:hAnsi="仿宋" w:eastAsia="仿宋"/>
                <w:color w:val="000000"/>
                <w:highlight w:val="none"/>
              </w:rPr>
              <w:br w:type="textWrapping"/>
            </w:r>
            <w:r>
              <w:rPr>
                <w:rFonts w:hint="eastAsia" w:ascii="仿宋" w:hAnsi="仿宋" w:eastAsia="仿宋"/>
                <w:color w:val="000000"/>
                <w:highlight w:val="none"/>
              </w:rPr>
              <w:t>（1）由乡镇级监管人员根据实际建设情况，在每个月25日前填写开发建设状态，并上传“现场照片”和竣工核验材料。</w:t>
            </w:r>
            <w:r>
              <w:rPr>
                <w:rFonts w:hint="eastAsia" w:ascii="仿宋" w:hAnsi="仿宋" w:eastAsia="仿宋"/>
                <w:color w:val="000000"/>
                <w:highlight w:val="none"/>
              </w:rPr>
              <w:br w:type="textWrapping"/>
            </w:r>
            <w:r>
              <w:rPr>
                <w:rFonts w:hint="eastAsia" w:ascii="仿宋" w:hAnsi="仿宋" w:eastAsia="仿宋"/>
                <w:color w:val="000000"/>
                <w:highlight w:val="none"/>
              </w:rPr>
              <w:t>（2）由区级转让人账号对乡镇级监管人员填报的巡查信息进行审核，对于乡镇级监管人员填报信息有误的，应及时退回并要求其修改；</w:t>
            </w:r>
            <w:r>
              <w:rPr>
                <w:rFonts w:hint="eastAsia" w:ascii="仿宋" w:hAnsi="仿宋" w:eastAsia="仿宋"/>
                <w:color w:val="000000"/>
                <w:highlight w:val="none"/>
              </w:rPr>
              <w:br w:type="textWrapping"/>
            </w:r>
            <w:r>
              <w:rPr>
                <w:rFonts w:hint="eastAsia" w:ascii="仿宋" w:hAnsi="仿宋" w:eastAsia="仿宋"/>
                <w:color w:val="000000"/>
                <w:highlight w:val="none"/>
              </w:rPr>
              <w:t>（3）对于逾期未竣工的项目，应填写未竣工原因，并明确是企业原因还是政府原因。</w:t>
            </w:r>
            <w:r>
              <w:rPr>
                <w:rFonts w:hint="eastAsia" w:ascii="仿宋" w:hAnsi="仿宋" w:eastAsia="仿宋"/>
                <w:color w:val="000000"/>
                <w:highlight w:val="none"/>
              </w:rPr>
              <w:br w:type="textWrapping"/>
            </w:r>
            <w:r>
              <w:rPr>
                <w:rFonts w:hint="eastAsia" w:ascii="仿宋" w:hAnsi="仿宋" w:eastAsia="仿宋"/>
                <w:color w:val="000000"/>
                <w:highlight w:val="none"/>
              </w:rPr>
              <w:t>（4）针对收取竣工履约保证金的工业用地，区级监管人员还应填写履约保证金收取时间、收取形式、收取金额以及罚没情况。</w:t>
            </w:r>
            <w:r>
              <w:rPr>
                <w:rFonts w:hint="eastAsia" w:ascii="仿宋" w:hAnsi="仿宋" w:eastAsia="仿宋"/>
                <w:color w:val="000000"/>
                <w:highlight w:val="none"/>
              </w:rPr>
              <w:br w:type="textWrapping"/>
            </w:r>
            <w:r>
              <w:rPr>
                <w:rFonts w:hint="eastAsia" w:ascii="仿宋" w:hAnsi="仿宋" w:eastAsia="仿宋"/>
                <w:color w:val="000000"/>
                <w:highlight w:val="none"/>
              </w:rPr>
              <w:t>（5）此外，还应根据亮灯状态完成相关操作：当亮“黄灯”时应及时打印《提醒竣工通知书》，发放给受让人，以督促其尽快办理缴款手续。当亮“黑灯”时需按实际情况填写逾期未竣工原因，并向受让人发放《未按约竣工通知书》，告知其违约责任。</w:t>
            </w:r>
            <w:r>
              <w:rPr>
                <w:rFonts w:hint="eastAsia" w:ascii="仿宋" w:hAnsi="仿宋" w:eastAsia="仿宋"/>
                <w:color w:val="000000"/>
                <w:highlight w:val="none"/>
              </w:rPr>
              <w:br w:type="textWrapping"/>
            </w:r>
            <w:r>
              <w:rPr>
                <w:rFonts w:hint="eastAsia" w:ascii="仿宋" w:hAnsi="仿宋" w:eastAsia="仿宋"/>
                <w:color w:val="000000"/>
                <w:highlight w:val="none"/>
              </w:rPr>
              <w:t>（6）当工业用地的竣工监管要素状态变更为“竣工”时，该监管要素结束。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42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土地出让管理-转让批后监管-转让批后监管-投产要素监管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当涉及投产监管要素的工业用地完成合同签订时，本模块将会把涉及投产的地块的基本信息、时间节点以及合同条款发送至市级产业部门、区级转让人以及区级产业部门账号。其中区级产业部门监管人员负责对投产履约情况进行填报。针对收取投产履约保证金的工业用地，区级转让人还应填写履约保证金收取时间、收取形式、收取金额以及罚没情况。当投产监管要素的状态为“已履约”时，该监管要素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43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土地出让管理-转让批后监管-转让批后监管-投资要素监管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当涉及投资监管要素的工业用地，其投产监管要素变更为“已履约”时（若无投产监管要素则直接生成更新投资监管要素），本模块将会把涉及投资的地块的基本信息、时间节点以及合同条款发送至市级产业部门、区级转让人以及区级产业部门账号。其中区级产业部门监管人员负责对投资履约情况、实际固定投资总额、实际投资强度进行填报。当投资监管要素的状态为“已履约”时，该监管要素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44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土地出让管理-转让批后监管-转让批后监管-达产要素监管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当涉及达产监管要素的工业用地，其投资监管要素变更为“已履约”时，本模块将会把涉及达产的地块的基本信息、时间节点以及合同条款发送至市级产业部门、区级转让人以及区级产业部门账号。其中区级产业部门监管人员负责对达产履约情况、实际达产销售收入、实际达产税收总额、实际达产税收强度进行填报。当达产监管要素的状态为“已履约”时，该监管要素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45</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土地出让管理-转让批后监管-转让批后监管-其他要素监管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当转让合同签订模块导入的地块信息进入本模块时，系统自动拆分不同的合同条款，拆分为对应要素并发送至对应市级相关单位、区级转让人以及区级相关监管单位账号。其中区级转让人账号可根据不同时期的变化调整对应的区级相关监管单位。土地转让年期届满，所有监管要素自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46</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土地出让管理-转让批后监管-转让批后监管-履约保证金监管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当转让合同签订模块导入的地块信息进入本模块时，系统自动拆分不同的履约保证金缴纳合同条款，拆分为对应要素并发送至对应区级转让人以及区级相关监管单位账号。其中履约保证金缴纳包括合同履约保证金缴纳、开工时间履约保证金缴纳、竣工时间履约保证金缴纳、投产时间履约保证金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47</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土地出让管理-转让批后监管-转让批后监管-过程评估监管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当涉及过程评估监管要素的工业用地，其达产监管要素变更为“已履约”时，本模块将会定期把涉及过程评估的地块的基本信息、时间节点以及合同条款发送至市级产业部门、区级转让人以及区级产业部门账号。其中区级产业部门监管人员负责对最新的过程评估履约情况、实际固定投资总额、实际投资强度、实际达产销售收入、实际达产税收总额、实际达产税收强度进行填报，模块中将保留所有填报记录。在土地转让年限届满前一年，该监管要素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48</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土地出让管理-转让批后监管-转让批后监管-到期评估监管</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涉及产业用地的转让合同中在转让年限届满前一年后，需进行到期评估要素监管；区级产业部门监管人员在到期评估监管中可查看地块的基本信息，期限届满时间以及合同条款，并负责对地块进行到期评估认定，上传到期评估认定材料，区级转让人据此判断是否同意受让人的续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49</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土地出让管理-转让批后监管-转让批后监管-结案审批</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系统实时判断所有转让合同中已进行缴款监管、交地监管、开发建设监管的地块。（2）当上述监管已经结束的地块，系统将数据推送至监管完成审批环节，由各区规划资源局进行审核并确认。（3）审核无误的地块，需由区规划资源局完成结案操作，并由系统自动把数据从批后监管推送历史监管信息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50</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土地出让管理-转让批后监管-转让批后监管-监管任务分派</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针对转让合同中投达产监管要素、绿化、风貌保护等监管要素，对未进行监管或正在监管的任务，若需重新指派监管部门；市级或区级监管账号可在监管任务分派中对某一监管要素重新划定监管部门，相应监管部门接收到该监管任务后可进行后续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51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土地出让管理-转让批后监管-转让批后监管-特别约定任务分派</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转让合同中涉及合同特别约定信息的，系统根据特别约定的部门、以及特别约定的要素信息，创建特别约定要素监管；区级监管账号在特别约定任务分派中，对监管部门和监管要素进行核查，根据监管要素实际情况，将监管要素进行监管部门的重新划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52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土地出让管理-转让批后监管-转让批后监管-重点任务处理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重点任务启动：针对转让合同中未监管或已监管结束的生命绩效要素，需重新进行监管或监管优先级提高的，市级监管账户在本功能中选择需要监管类型、监管部门、监管要素，创建重点监管任务，任务启动后，派送到区级监管账户进行重点监管。(2)重点任务处理：区级监管账户在重点任务处理界面重新进行生命绩效要素监管，填报监管情况、上传监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53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土地出让管理-转让批后监管-转让批后监管-监管数据详情</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监管数据详情功能可实时同步每个监管要素的监管情况，查看正在监管以及监管结束的转让合同地块信息详情，预览或下载监管材料，对合同全生命绩效进行实时监控；该功能同时支持监管地块、监管部门、监管要素、监管情况等信息的导出；针对撤销、或者历史版本的合同可在历史监管数据详情中查看已监管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54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耕地和永久基本农田管理-空间资源管理-空间资源管理-年度耕地资源GIS图层和属性数据管理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年度耕地资源GIS图层，设置相应的属性字段，例如行政区、地类、地类编码、地类名称、耕地等别、耕地等级、图斑面积、补划说明、数据年度等，提供用户对图形进行查看、查询。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55</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耕地和永久基本农田管理-空间资源管理-空间资源管理-新增耕地资源GIS图层和属性数据管理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新增耕地资源GIS图层，设置相应的属性字段，例如行政区、项目编号、验收文号、新增耕地地类、耕地等别、耕地等级、新增耕地面积等，提供用户对图形进行查看、查询。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56</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耕地和永久基本农田管理-空间资源管理-空间资源管理-年度耕地资源底板更新</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结合年度国土变更调查“一上”成果数据，进行全量数据分析，并对上一年度底版进行统一更新、入库。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57</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耕地和永久基本农田管理-“耕地保护空间”流出管理-年度预存计划管理-计划申请</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年度预存计划界面，支持各区、市级用户在此界面查看待办案件与已办理过的案件情况。由各区规划资源局按照要求，会同各行业主管部门全面梳理排摸本年度各类建设行为（含市级及以上重大项目）计划占用耕地保护空间的需求规模，由各区发起年度预存/补充地块预存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58</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耕地和永久基本农田管理-“耕地保护空间”流出管理-年度预存计划管理-信息填报</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申请预存流程发起后，由区规划资源局经办人填写预存基本信息，包括项目名称、行政区、申请原因等，并查看预存地块的地块基本信息是否正确。同时由区规划资源局经办人上传《预存申报表》等材料。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59</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耕地和永久基本农田管理-“耕地保护空间”流出管理-年度预存计划管理-地块上传模板设置</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系统新增地块上传按钮，需自定义excel模板，并在模板中设置地块唯一编号、行政区等字段。同步提供用户模板的上传、下载功能。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60</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耕地和永久基本农田管理-“耕地保护空间”流出管理-年度预存计划管理-地块批量上传</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系统自动识别excel模板的地块唯一编号字段，并通过该字段自动调取年度耕地资源层进行地块匹配，并同步校验上传的地块是否已经被占用过，若被占用过，系统不予完成上传动作。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61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耕地和永久基本农田管理-“耕地保护空间”流出管理-年度预存计划管理-地块明细、定位展示</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开发地块明细界面，支持已完成上传的地块进行地块明细的展示，包括行政区、地块编号、地块名称、指标范围、耕地面积等，并支持单个地块删除。</w:t>
            </w:r>
            <w:r>
              <w:rPr>
                <w:rFonts w:hint="eastAsia" w:ascii="仿宋" w:hAnsi="仿宋" w:eastAsia="仿宋"/>
                <w:color w:val="000000"/>
                <w:highlight w:val="none"/>
              </w:rPr>
              <w:br w:type="textWrapping"/>
            </w:r>
            <w:r>
              <w:rPr>
                <w:rFonts w:hint="eastAsia" w:ascii="仿宋" w:hAnsi="仿宋" w:eastAsia="仿宋"/>
                <w:color w:val="000000"/>
                <w:highlight w:val="none"/>
              </w:rPr>
              <w:t>同时支持用户在地块明细列表中对地块进行单个定位，支持查看地块的基本属性信息，也可以通过项目对所有地块进行批量定位，同时支持与其他图层叠加查看地块详细位置。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62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耕地和永久基本农田管理-“耕地保护空间”流出管理-年度预存计划管理-地块重置</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系统设置地块清空按钮，若用户需修改、重新上传地块，后台将清空原入库地块、并解除原地块的相应标记。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63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耕地和永久基本农田管理-“耕地保护空间”流出管理-年度预存计划管理-计划审核</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区规划资源用户完成业务申请及地块申报后，提交区分管领导进行审核，通过区领导审核后，报市规划资源局经办人、市分管领导、局领导进行审核。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64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耕地和永久基本农田管理-“耕地保护空间”流出管理-年度预存计划管理-地块正式入库</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通过市规划资源局审核年度计划申请的项目，系统自动对年度耕地资源底板进行数据更新。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65</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耕地和永久基本农田管理-“耕地保护空间”流出管理-项目日常使用管理-项目准入条件判断</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办理农转用土地征收审批时，按照测绘报告范围叠加永久基本农田图层并对叠加面积信息进行判断，涉及占用永久基本农田的项目，严格控制不允许项目准入，若项目范围不占用永久基本农田，则允许项目正常准入；</w:t>
            </w:r>
            <w:r>
              <w:rPr>
                <w:rFonts w:hint="eastAsia" w:ascii="仿宋" w:hAnsi="仿宋" w:eastAsia="仿宋"/>
                <w:color w:val="000000"/>
                <w:highlight w:val="none"/>
              </w:rPr>
              <w:br w:type="textWrapping"/>
            </w:r>
            <w:r>
              <w:rPr>
                <w:rFonts w:hint="eastAsia" w:ascii="仿宋" w:hAnsi="仿宋" w:eastAsia="仿宋"/>
                <w:color w:val="000000"/>
                <w:highlight w:val="none"/>
              </w:rPr>
              <w:t>（2）办理非建设项目国土空间用途管制（造林项目、中小河道项目、农村道路项目、农田建设项目、报备监管等8类项目）时，根据区规划资源用户上传的业务范围，叠加永久基本农田层并对叠加面积信息进行判断，涉及占用永久基本农田的项目，严格控制不允许项目准入，若项目范围不占用永久基本农田，则允许项目正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66</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耕地和永久基本农田管理-“耕地保护空间”流出管理-项目日常使用管理-流出耕地数量获取</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办理农转用土地征收审批时，获取测绘报告中“耕地保护空间”面积，并同时获取叠加到的永久基本农田层中“耕地保护空间”，优先以测绘报告中的耕地面积为准，若测绘报告中不涉及，则以叠加分析结果为准。若存在多个测绘报告，需根据项目对面积进行累计。获取的耕地面积需提供用户查看明细。</w:t>
            </w:r>
            <w:r>
              <w:rPr>
                <w:rFonts w:hint="eastAsia" w:ascii="仿宋" w:hAnsi="仿宋" w:eastAsia="仿宋"/>
                <w:color w:val="000000"/>
                <w:highlight w:val="none"/>
              </w:rPr>
              <w:br w:type="textWrapping"/>
            </w:r>
            <w:r>
              <w:rPr>
                <w:rFonts w:hint="eastAsia" w:ascii="仿宋" w:hAnsi="仿宋" w:eastAsia="仿宋"/>
                <w:color w:val="000000"/>
                <w:highlight w:val="none"/>
              </w:rPr>
              <w:t>（2）办理非建设项目国土空间用途管制（造林项目、中小河道项目、农村道路项目、农田建设项目、报备监管等8类项目）时，需使用项目范围叠加永久基本农田层、土地利用现状层，按地块获取现状地类并判断该地块是否属于“耕地保护空间”范围地块面积等信息，并根据项目“耕地保护空间”面积进行累计。获取的耕地面积需提供用户查看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67</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耕地和永久基本农田管理-“耕地保护空间”流出管理-项目日常使用管理-耕地核减</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在农转用土地征收审批流程中新增耕地流出申报环节。展示项目基本信息、占用耕地总面积、占用水田面积、所在行政区、所在年度、耕地来源库、使用类型等，由用户填写信息，并确认该项目是否流出耕地，确认流出的项目将从年度耕地使用计划中完成耕地扣减。</w:t>
            </w:r>
            <w:r>
              <w:rPr>
                <w:rFonts w:hint="eastAsia" w:ascii="仿宋" w:hAnsi="仿宋" w:eastAsia="仿宋"/>
                <w:color w:val="000000"/>
                <w:highlight w:val="none"/>
              </w:rPr>
              <w:br w:type="textWrapping"/>
            </w:r>
            <w:r>
              <w:rPr>
                <w:rFonts w:hint="eastAsia" w:ascii="仿宋" w:hAnsi="仿宋" w:eastAsia="仿宋"/>
                <w:color w:val="000000"/>
                <w:highlight w:val="none"/>
              </w:rPr>
              <w:t>（2）办理非建设项目国土空间用途管制（造林项目、中小河道项目、农村道路项目、农田建设项目、报备监管等8类项目）流程中新增耕地流出申报环节，展示本项目占用耕地总面积、占用水田面积、所在行政区、所在年度、耕地来源库、使用类型等，由用户填写信息，并确认该项目是否流出耕地，由用户填写信息，并确认该项目是否流出耕地，确认流出的项目将从年度耕地使用计划中完成耕地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68</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耕地和永久基本农田管理-“耕地保护空间”流出管理-项目日常使用管理-规划资源部门审核</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（1）在农转用土地征收审批时，区规划资源局经办人完成流出耕地申报后，需提交至区规划资源部门两级领导进行审核，审核通过后报市规划资源局进行审核，审核领导均需提交审核意见。</w:t>
            </w:r>
            <w:r>
              <w:rPr>
                <w:rFonts w:hint="eastAsia" w:ascii="仿宋" w:hAnsi="仿宋" w:eastAsia="仿宋"/>
                <w:color w:val="000000"/>
                <w:highlight w:val="none"/>
              </w:rPr>
              <w:br w:type="textWrapping"/>
            </w:r>
            <w:r>
              <w:rPr>
                <w:rFonts w:hint="eastAsia" w:ascii="仿宋" w:hAnsi="仿宋" w:eastAsia="仿宋"/>
                <w:color w:val="000000"/>
                <w:highlight w:val="none"/>
              </w:rPr>
              <w:t>（2）办理非建设项目国土空间用途管制（造林项目、中小河道项目、农村道路项目、农田建设项目、报备监管等8类项目）时，区规划资源局经办人完成流出耕地申报后，需提交至区规划资源部门两级领导进行审核并提交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69</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耕地和永久基本农田管理-“耕地保护空间”流出管理-项目日常使用管理-暂停项目报批</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系统自动计算年度资源使用警戒线，并判断当年度剩余耕地资源少于警戒线时，自动开启该区停止办理农转用审批或其他国土空间用途管制案件审批。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70</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耕地和永久基本农田管理-“耕地保护空间”流出管理-市级重大项目耕地周转管理-周转申请发起</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对于农转用审批市级重大项目确实难以在行政区域内落实耕地补划的情况，可由区向市级申请耕地资源进行周转。</w:t>
            </w:r>
            <w:r>
              <w:rPr>
                <w:rFonts w:hint="eastAsia" w:ascii="仿宋" w:hAnsi="仿宋" w:eastAsia="仿宋"/>
                <w:color w:val="000000"/>
                <w:highlight w:val="none"/>
              </w:rPr>
              <w:br w:type="textWrapping"/>
            </w:r>
            <w:r>
              <w:rPr>
                <w:rFonts w:hint="eastAsia" w:ascii="仿宋" w:hAnsi="仿宋" w:eastAsia="仿宋"/>
                <w:color w:val="000000"/>
                <w:highlight w:val="none"/>
              </w:rPr>
              <w:t>系统提供周转申请流程，由区规划资源部门经办人选择申请类型，进入申请流程。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71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耕地和永久基本农田管理-“耕地保护空间”流出管理-市级重大项目耕地周转管理-获取重大项目范围</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区规划资源局经办人提前选取符合补划要求的测绘报告，并在系统进行测绘报告录入，由系统自动获取测绘报告图形信息并提供用户查看空间范围情况。</w:t>
            </w:r>
            <w:r>
              <w:rPr>
                <w:rFonts w:hint="eastAsia" w:ascii="仿宋" w:hAnsi="仿宋" w:eastAsia="仿宋"/>
                <w:color w:val="000000"/>
                <w:highlight w:val="none"/>
              </w:rPr>
              <w:br w:type="textWrapping"/>
            </w:r>
            <w:r>
              <w:rPr>
                <w:rFonts w:hint="eastAsia" w:ascii="仿宋" w:hAnsi="仿宋" w:eastAsia="仿宋"/>
                <w:color w:val="000000"/>
                <w:highlight w:val="none"/>
              </w:rPr>
              <w:t>获取测绘报告中“耕地保护空间”面积，并填充至系统中，获取的耕地面积需进行展示查看。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72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耕地和永久基本农田管理-“耕地保护空间”流出管理-市级重大项目耕地周转管理-周转信息填报</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区规划资源经办人需填写申请基本信息，包括申请项目名称、申请原因、申请时间、计划归还时间等字段，并要求区规划资源局经办人上传重大项目的相关材料，包括《地籍图》、《规划要求》、《规划土地意见书》等。</w:t>
            </w:r>
            <w:r>
              <w:rPr>
                <w:rFonts w:hint="eastAsia" w:ascii="仿宋" w:hAnsi="仿宋" w:eastAsia="仿宋"/>
                <w:color w:val="000000"/>
                <w:highlight w:val="none"/>
              </w:rPr>
              <w:br w:type="textWrapping"/>
            </w:r>
            <w:r>
              <w:rPr>
                <w:rFonts w:hint="eastAsia" w:ascii="仿宋" w:hAnsi="仿宋" w:eastAsia="仿宋"/>
                <w:color w:val="000000"/>
                <w:highlight w:val="none"/>
              </w:rPr>
              <w:t>由市规划资源局经办人下载年度耕地资源，选取符合补划要求的相应面积市级耕地地块，并按照系统提供的统一模板录入地块唯一编号。由区规划资源部门将excel上传至系统中，并同步校验上传地块是否已经被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73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耕地和永久基本农田管理-“耕地保护空间”流出管理-市级重大项目耕地周转管理-流程审核</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设置区级-市级审核流程，由区规划资源用户完成申请后，提交区分管领导进行审核，通过区领导审核后，报市规划资源局经办人、市分管领导、局领导进行审核，经局领导同意后才能完成市级周转资源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74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耕地和永久基本农田管理-“耕地保护空间”流出管理-市级重大项目耕地周转管理-市级耕地资源划出</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局领导审批同意后，系统自动将从市级资源库中转移相应耕地面积至申请区的现状资源库中，市级划出的地块需在现状耕地资源中标记锁定，避免其他项目重复使用。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75</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耕地和永久基本农田管理-“耕地保护空间”补划管理-“耕地保护空间”补划管理-年度补划发起</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由各区在当年年底前完成耕地补划统一结算，按区范围上传占用“耕地保护空间”范围图斑，由系统与永久基本农田图层进行比对并获取比对结果，对于占用的项目，可以发起耕地（永久基本农田）整理方案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76</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耕地和永久基本农田管理-“耕地保护空间”补划管理-“耕地保护空间”补划管理-图斑质检入库</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由区规划资源经办人制作补划数据包并上传至系统，由系统自动对数据包进行图斑质检，具体内容如下：</w:t>
            </w:r>
            <w:r>
              <w:rPr>
                <w:rFonts w:hint="eastAsia" w:ascii="仿宋" w:hAnsi="仿宋" w:eastAsia="仿宋"/>
                <w:color w:val="000000"/>
                <w:highlight w:val="none"/>
              </w:rPr>
              <w:br w:type="textWrapping"/>
            </w:r>
            <w:r>
              <w:rPr>
                <w:rFonts w:hint="eastAsia" w:ascii="仿宋" w:hAnsi="仿宋" w:eastAsia="仿宋"/>
                <w:color w:val="000000"/>
                <w:highlight w:val="none"/>
              </w:rPr>
              <w:t>（1）按质检标准完成图层名称、字段中文名称及英文名称、字段类型、字段长度等检查；</w:t>
            </w:r>
            <w:r>
              <w:rPr>
                <w:rFonts w:hint="eastAsia" w:ascii="仿宋" w:hAnsi="仿宋" w:eastAsia="仿宋"/>
                <w:color w:val="000000"/>
                <w:highlight w:val="none"/>
              </w:rPr>
              <w:br w:type="textWrapping"/>
            </w:r>
            <w:r>
              <w:rPr>
                <w:rFonts w:hint="eastAsia" w:ascii="仿宋" w:hAnsi="仿宋" w:eastAsia="仿宋"/>
                <w:color w:val="000000"/>
                <w:highlight w:val="none"/>
              </w:rPr>
              <w:t>（2）按质检标准完成图斑编号唯一性、代码一致性的检查；</w:t>
            </w:r>
            <w:r>
              <w:rPr>
                <w:rFonts w:hint="eastAsia" w:ascii="仿宋" w:hAnsi="仿宋" w:eastAsia="仿宋"/>
                <w:color w:val="000000"/>
                <w:highlight w:val="none"/>
              </w:rPr>
              <w:br w:type="textWrapping"/>
            </w:r>
            <w:r>
              <w:rPr>
                <w:rFonts w:hint="eastAsia" w:ascii="仿宋" w:hAnsi="仿宋" w:eastAsia="仿宋"/>
                <w:color w:val="000000"/>
                <w:highlight w:val="none"/>
              </w:rPr>
              <w:t>（4）行政区范围检查；</w:t>
            </w:r>
            <w:r>
              <w:rPr>
                <w:rFonts w:hint="eastAsia" w:ascii="仿宋" w:hAnsi="仿宋" w:eastAsia="仿宋"/>
                <w:color w:val="000000"/>
                <w:highlight w:val="none"/>
              </w:rPr>
              <w:br w:type="textWrapping"/>
            </w:r>
            <w:r>
              <w:rPr>
                <w:rFonts w:hint="eastAsia" w:ascii="仿宋" w:hAnsi="仿宋" w:eastAsia="仿宋"/>
                <w:color w:val="000000"/>
                <w:highlight w:val="none"/>
              </w:rPr>
              <w:t>（5）按质检标准完成图斑的拓扑错误检查、多部件检查。</w:t>
            </w:r>
            <w:r>
              <w:rPr>
                <w:rFonts w:hint="eastAsia" w:ascii="仿宋" w:hAnsi="仿宋" w:eastAsia="仿宋"/>
                <w:color w:val="000000"/>
                <w:highlight w:val="none"/>
              </w:rPr>
              <w:br w:type="textWrapping"/>
            </w:r>
            <w:r>
              <w:rPr>
                <w:rFonts w:hint="eastAsia" w:ascii="仿宋" w:hAnsi="仿宋" w:eastAsia="仿宋"/>
                <w:color w:val="000000"/>
                <w:highlight w:val="none"/>
              </w:rPr>
              <w:t>通过质检的图斑进行预入库操作，将图斑更新至永久基本农田补划退出图层中。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77</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耕地和永久基本农田管理-“耕地保护空间”补划管理-“耕地保护空间”补划管理-土地利用现状分析</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系统将入库的图斑与土地利用现状层、耕地质量等别层进行叠加分析、按照永久基本农田类型分别展示调入、调出地块的耕地面积、水田面积、质量等别情况，并支持多次分析，可重复保存分析结果。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78</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耕地和永久基本农田管理-“耕地保护空间”补划管理-“耕地保护空间”补划管理-图斑正式变更</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区规划资源部门提交方案后，区审核人员完成内部审核后提交市局审核，市局可同时派件给地调院、土地整理中心进行技术审查，审查完成后提交给市局经办、市局分管处长、市局分管领导及局领导审核，审核完成后完成年终结算补划。</w:t>
            </w:r>
            <w:r>
              <w:rPr>
                <w:rFonts w:hint="eastAsia" w:ascii="仿宋" w:hAnsi="仿宋" w:eastAsia="仿宋"/>
                <w:color w:val="000000"/>
                <w:highlight w:val="none"/>
              </w:rPr>
              <w:br w:type="textWrapping"/>
            </w:r>
            <w:r>
              <w:rPr>
                <w:rFonts w:hint="eastAsia" w:ascii="仿宋" w:hAnsi="仿宋" w:eastAsia="仿宋"/>
                <w:color w:val="000000"/>
                <w:highlight w:val="none"/>
              </w:rPr>
              <w:t>完成年终结算补划的项目，系统自动将预变更图形更新至永久基本农田图层中以完成正式补划变更。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79</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耕地和永久基本农田管理-“耕地保护空间”补划管理-高标准农田/全域土地综合整治周转补划管理-周转申请</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设置发起流程，对于高标准农田项目、全域土地综合整治项目项目，确因自然资源禀赋、区位条件等因素无法平衡的，可在实施方案报审时由区规划资源局向市规划资源局申请市级补划空间暂借周转，按区范围上传占用永久基本农田范围图斑，由系统与永久基本农田图层进行比对并获取比对结果，对于占用的项目，可以发起周转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80</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耕地和永久基本农田管理-“耕地保护空间”补划管理-高标准农田/全域土地综合整治周转补划管理-周转要素审查</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选择需要进行补划的地块，入库成功后由系统叠加三调地类层，并分析调入、调出地块的类型及地块面积、质量等别等信息，若调出的范围大于调入范围，系统高亮显示，并自动校验方案分析结果不通过。</w:t>
            </w:r>
            <w:r>
              <w:rPr>
                <w:rFonts w:hint="eastAsia" w:ascii="仿宋" w:hAnsi="仿宋" w:eastAsia="仿宋"/>
                <w:color w:val="000000"/>
                <w:highlight w:val="none"/>
              </w:rPr>
              <w:br w:type="textWrapping"/>
            </w:r>
            <w:r>
              <w:rPr>
                <w:rFonts w:hint="eastAsia" w:ascii="仿宋" w:hAnsi="仿宋" w:eastAsia="仿宋"/>
                <w:color w:val="000000"/>
                <w:highlight w:val="none"/>
              </w:rPr>
              <w:t>区规划资源部门提交周转申请后，由区领导进行审核，并同步提交至市地调院、土地整理中心进行技术审查，审查完成后提交至市规划资源部门完成三级审批，审批完成后更新耕地和永久基本农田层。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81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耕地和永久基本农田管理-“耕地保护空间”补划管理-高标准农田/全域土地综合整治周转补划管理-周转资源更新</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高标准农田、全域土地综合整治项目审批完成后的项目，需实时对永久基本农田数据底板进行裁切，并同步自动将调出部分的耕地总面积从市资源库中转移至相应行政区资源库中。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82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耕地和永久基本农田管理-“耕地保护空间”补划管理-高标准农田/全域土地综合整治周转补划管理-周转地块锁定</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经高标准农田、全域土地综合整治项目周转完成的市级耕地资源，需额外标记QYZZ并实时更新至系统中，以防其他项目重复使用。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83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耕地和永久基本农田管理-“耕地保护空间”补划管理-高标准农田/全域土地综合整治周转补划管理-到期预警</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经高标准农田、全域土地综合整治周转项目，需设置2年到期预警提醒，到期前2个月不归还的项目以黄灯警示，到期后仍不发起归还的项目以红灯警示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84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耕地和永久基本农田管理-“耕地保护空间”补划管理-高标准农田/全域土地综合整治周转补划管理-归还申请</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暂借周转期满后，区规划资源局向市规划资源局需提交归还申请，并由申请区组织编制方案，通过资源归还通道发起归还申请。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85</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耕地和永久基本农田管理-“耕地保护空间”补划管理-高标准农田/全域土地综合整治周转补划管理-周转案件关联</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系统自动将归还案件与借出案件进行关联，并比对归还面积与归还空间是否与借出一致，不符合要求的不予通过审核。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86</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耕地和永久基本农田管理-“耕地保护空间”补划管理-高标准农田/全域土地综合整治周转补划管理-归还地块解锁</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系统需识别借出案件锁定的地块，对地块状态进行解锁，案件通过市规划资源局审核后，由系统自动将调入部分的耕地总面积归还至市局的现状资源库中。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87</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耕地和永久基本农田管理-“以租代保”经济补偿管理-“以租代保”经济补偿管理-租赁申请</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由租借区以耕地整理方案的方式发起租赁申请，并录入租赁信息、租赁耕地面积、租赁金额、计划归还时间等基本信息。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88</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耕地和永久基本农田管理-“以租代保”经济补偿管理-“以租代保”经济补偿管理-租赁协议上传</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由区规划资源局上传租赁支付凭证，包括《租赁协议书》和《付款凭证》等材料作为审批要件。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89</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耕地和永久基本农田管理-“以租代保”经济补偿管理-“以租代保”经济补偿管理-租赁保护责任转移</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区规划资源部门提交租赁申请后，由区领导进行审核，并同步提交至市地调院、土地整理中心进行技术审查，审查完成后提交至市规划资源部门完成三级审批，审批完成后更新永久基本农田层，并将租赁地块关联到耕地资源现状层并完成锁定，被租赁区需将租赁的资源划入租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90</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耕地和永久基本农田管理-“以租代保”经济补偿管理-“以租代保”经济补偿管理-租赁超期预警</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租赁项目需设置到期预警提醒，到期前1个月不归还的项目以黄灯警示，到期后仍不发起归还的项目以红灯警示。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91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耕地和永久基本农田管理-“以租代保”经济补偿管理-“以租代保”经济补偿管理-租赁归还</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由租赁区发起归还申请，并区组织编制方案，通过资源归还通道发起归还申请。</w:t>
            </w:r>
            <w:r>
              <w:rPr>
                <w:rFonts w:hint="eastAsia" w:ascii="仿宋" w:hAnsi="仿宋" w:eastAsia="仿宋"/>
                <w:color w:val="000000"/>
                <w:highlight w:val="none"/>
              </w:rPr>
              <w:br w:type="textWrapping"/>
            </w:r>
            <w:r>
              <w:rPr>
                <w:rFonts w:hint="eastAsia" w:ascii="仿宋" w:hAnsi="仿宋" w:eastAsia="仿宋"/>
                <w:color w:val="000000"/>
                <w:highlight w:val="none"/>
              </w:rPr>
              <w:t>需与租赁申请案件进行关联，并比对归还面积与归还空间是否与借出一致，不符合要求的不予通过审核。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92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耕地和永久基本农田管理-“以租代保”经济补偿管理-“以租代保”经济补偿管理-归还资源转移</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系统需识别借出案件锁定的地块，对地块状态进行解锁，案件通过市规划资源局审核后，由系统自动将调入部分的耕地总面积归还至借出区的现状资源库中。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93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耕地和永久基本农田管理-耕地流入流出监管-资源台账管理-现状耕地库</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新增全市各区及临港新片区的现状耕地库，包括现状资源库、年度预存计划库，展示字段包括现状耕地总面积、剩余耕地面积、周转耕地面积，在每年年初根据年度耕地资源层中数据自动完成现状耕地库初始化。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94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耕地和永久基本农田管理-耕地流入流出监管-资源台账管理-新增耕地库</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全市各区及临港新片区的新增耕地库，展示字段包括耕地总面积，各区通过减量化、一般整理复垦、城乡建设用地增减挂钩、市级土地整治等项目产生的新增耕地，在项目验收完成后自动更新数据至新增耕地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95</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耕地和永久基本农田管理-耕地流入流出监管-资源台账管理-报部资源结余库</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新增全市各区及临港新片区的报部资源结余库，将原“全国耕地占补平衡动态监管系统”中结转的剩余可用指标，按行政区统一初始化。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96</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耕地和永久基本农田管理-耕地流入流出监管-资源台账管理-剩余耕地资源预警</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对于行政区存在剩余额度资源低于警戒线时，台账标红显示，暂停区规划资源局办理农转用审批或其他国土空间用途管制案件审批的功能。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97</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耕地和永久基本农田管理-耕地流入流出监管-资源台账管理-人员权限控制</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在本模块区分区级用户、临港管委会用户、市级管理用户，并按照不同的用户权限展示各个可查看的台账。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98</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耕地和永久基本农田管理-耕地流入流出监管-资源台账管理-台账导出</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支持按权限导出表格，区用户只能导出本区的数据、市级用户可以导出全市的数据。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99</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耕地和永久基本农田管理-耕地流入流出监管-资源台账管理-年度预存计划日常更新</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对于农转用项目审批、其他国土空间用途管制8类项目报备审批项目办理完成后流出的耕地，会自动扣减年度预存计划台账数值，台账数值不可以为负数，当资源扣减到0时，项目不可再进行申报。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100</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耕地和永久基本农田管理-耕地流入流出监管-资源明细管理-计划占用耕地明细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新增资源预存的明细界面，展示行政区、案件编号、年度、案件名称、指标范围、耕地面积、审批时间等字段，可通过明细跳转具体的案件办理界面查看，明细界面支持按用户权限区分展示各行政区的数据。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101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耕地和永久基本农田管理-耕地流入流出监管-资源明细管理-国土空间用途管制审批流出耕地明细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农转用审批流出耕地的明细界面，展示项目名称、行政区、耕地总量、水田总量、资源类型、资源使用范围等字段，可通过明细进入具体的案件办理界面查看，明细界面支持按用户权限区分展示各行政区的数据。</w:t>
            </w:r>
            <w:r>
              <w:rPr>
                <w:rFonts w:hint="eastAsia" w:ascii="仿宋" w:hAnsi="仿宋" w:eastAsia="仿宋"/>
                <w:color w:val="000000"/>
                <w:highlight w:val="none"/>
              </w:rPr>
              <w:br w:type="textWrapping"/>
            </w:r>
            <w:r>
              <w:rPr>
                <w:rFonts w:hint="eastAsia" w:ascii="仿宋" w:hAnsi="仿宋" w:eastAsia="仿宋"/>
                <w:color w:val="000000"/>
                <w:highlight w:val="none"/>
              </w:rPr>
              <w:t>新增其他国土空间用途管制审批流出耕地明细界面，包括行政区、项目名称、耕地总量、水田总量、资源类型、资源使用范围、办结时间等字段，可通过明细进入具体的案件办理界面查看，明细界面支持按用户权限区分展示各行政区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102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耕地和永久基本农田管理-耕地流入流出监管-资源明细管理-年度补划明细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年度补划明细界面，包括行政区、项目名称、总面积、划出永久基本农田面积、划入永久基本农田面积、划入耕地保护空间面积、划出耕地保护空间面积、耕地质量等别、划入水田面积、划出水田面积、办结时间等字段，可通过明细进入具体的案件办理界面查看，明细界面支持按用户权限区分展示各行政区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103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耕地和永久基本农田管理-耕地流入流出监管-资源明细管理-周转租赁申请明细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周转租赁申请界面，包括市级重大项目周转、全域土地综合整治、高标准农田周转、租赁资源等类型，展示行政区、项目编号、项目名称、分类、周转类型、耕地保护空间面积、计划归还时间等字段，对于市级重大项目周转可以查看具体使用周转耕地的项目，同时所有申请项目可通过明细进入周转申请案件办理界面查看，明细界面支持按用户权限区分展示各行政区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104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耕地和永久基本农田管理-耕地流入流出监管-资源明细管理-周转租赁归还明细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展示行政区、项目编号、项目名称、分类、归还类型、涉及耕地保护空间面积、实际归还时间等字段，可通过归还案件定位至申请案件，也可通过明细进入具体归还案件办理界面查看，明细界面支持按用户权限区分展示各行政区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105</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耕地和永久基本农田管理-耕地流入流出监管-资源明细管理-补充耕地明细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新增补充耕地资源明细界面，关联土地整理复垦4类业务审批类型，包括所在区、项目编号、项目名称、项目类型、补充耕地面积、批复文号、验收时间等字段。用户可通过明细进入具体的整理复垦案件办理界面查看，明细界面支持按用户权限区分展示各行政区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106</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耕地和永久基本农田管理-耕地流入流出监管-资源明细管理-明细导出</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支持按权限导出各类表格，区用户只能导出本区的数据、市级用户可以导出全市的数据。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107</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数据自动归集-数据自动归集-数据共享-城建档案馆材料归档</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对于国有土地转让业务产生的电子附件材料，需按照案件统一推送至城建档案馆进行材料归档。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108</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数据自动归集-数据自动归集-数据共享-电子证照库</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对于国有土地转让业务产生的批文信息、案件信息、合同信息，需按照要求统一推送至市电子证照库中。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109</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数据自动归集-数据自动归集-数据共享-数据编目及公共数据上链</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对于本次业务产生的集体土地征收业务数据、国有土地转让数据、耕地与永久基本农田数据，需按照市大数据中心数据上链要求完成统一信息归集，完成数据编目、开发推送功能并落实日常监管推送机制。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110</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数据自动归集-数据自动归集-数据共享-外网公示</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国有土地转让合同在案件办结后需推送至上海市规划和自然资源局门户网站进行外网公示。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111</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PaaS服务适配-PaaS服务适配-PaaS服务适配-特殊动态表格管理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土地管理板块因部分业务复杂，系统基于PaaS服务改造时需支持动态表格生成。例如集体土地征收模块中征地补偿情况、公告等约20余类表格文件，均需依据表格内容逐个实现数据生成、套打等功能。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112</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PaaS服务适配-PaaS服务适配-PaaS服务适配-出让合同书签管理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因土地出让业务复杂，出让合同文本内容较多，套打书签数量均超出100个，无法直接使用PaaS服务工具完成文件套打，需基于PaaS服务进行独立改造，系统需支持生成多于100个书签的合同文本。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113</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PaaS服务适配-PaaS服务适配-PaaS服务适配-文档锁定、预览管理</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（1）因业务管理要求，系统生成的部分重要文件不支持用户编辑修改。但PaaS服务工具套打不支持文档只读模式的保存，系统需支持只读文件直接保存，并对文档只读进行自定义设置。</w:t>
            </w:r>
            <w:r>
              <w:rPr>
                <w:rFonts w:hint="eastAsia" w:ascii="仿宋" w:hAnsi="仿宋" w:eastAsia="仿宋"/>
                <w:color w:val="000000"/>
                <w:highlight w:val="none"/>
              </w:rPr>
              <w:br w:type="textWrapping"/>
            </w:r>
            <w:r>
              <w:rPr>
                <w:rFonts w:hint="eastAsia" w:ascii="仿宋" w:hAnsi="仿宋" w:eastAsia="仿宋"/>
                <w:color w:val="000000"/>
                <w:highlight w:val="none"/>
              </w:rPr>
              <w:t>（2）因业务管理要求，系统生成的批文、公告等相关文档需支持Word格式附件转pdf签章，并支持pdf预览。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53"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114</w:t>
            </w:r>
          </w:p>
        </w:tc>
        <w:tc>
          <w:tcPr>
            <w:tcW w:w="2080"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密码应用开发-密码应用功能开发-密码应用功能开发-密码应用功能开发</w:t>
            </w:r>
          </w:p>
        </w:tc>
        <w:tc>
          <w:tcPr>
            <w:tcW w:w="5169" w:type="dxa"/>
          </w:tcPr>
          <w:p>
            <w:pPr>
              <w:autoSpaceDE w:val="0"/>
              <w:ind w:firstLine="0" w:firstLineChars="0"/>
              <w:rPr>
                <w:rFonts w:hint="eastAsia" w:ascii="仿宋" w:hAnsi="仿宋" w:eastAsia="仿宋"/>
                <w:color w:val="000000"/>
                <w:highlight w:val="none"/>
              </w:rPr>
            </w:pPr>
            <w:r>
              <w:rPr>
                <w:rFonts w:hint="eastAsia" w:ascii="仿宋" w:hAnsi="仿宋" w:eastAsia="仿宋"/>
                <w:color w:val="000000"/>
                <w:highlight w:val="none"/>
              </w:rPr>
              <w:t>重要数据加解密、应用系统重要数据签名验签等。</w:t>
            </w:r>
          </w:p>
        </w:tc>
      </w:tr>
    </w:tbl>
    <w:p>
      <w:pPr>
        <w:rPr>
          <w:rFonts w:hint="eastAsia" w:asciiTheme="majorEastAsia" w:hAnsiTheme="majorEastAsia" w:eastAsiaTheme="majorEastAsia"/>
          <w:highlight w:val="none"/>
        </w:rPr>
      </w:pPr>
      <w:r>
        <w:rPr>
          <w:rFonts w:hint="eastAsia" w:asciiTheme="majorEastAsia" w:hAnsiTheme="majorEastAsia" w:eastAsiaTheme="majorEastAsia"/>
          <w:highlight w:val="none"/>
        </w:rPr>
        <w:br w:type="page"/>
      </w:r>
    </w:p>
    <w:p>
      <w:pPr>
        <w:pStyle w:val="3"/>
        <w:numPr>
          <w:ilvl w:val="0"/>
          <w:numId w:val="15"/>
        </w:numPr>
        <w:rPr>
          <w:rFonts w:hint="eastAsia" w:asciiTheme="majorEastAsia" w:hAnsiTheme="majorEastAsia" w:eastAsiaTheme="majorEastAsia"/>
          <w:highlight w:val="none"/>
        </w:rPr>
      </w:pPr>
      <w:r>
        <w:rPr>
          <w:rFonts w:hint="eastAsia" w:asciiTheme="majorEastAsia" w:hAnsiTheme="majorEastAsia" w:eastAsiaTheme="majorEastAsia"/>
          <w:highlight w:val="none"/>
        </w:rPr>
        <w:t>电子政务云资源需求</w:t>
      </w:r>
      <w:bookmarkEnd w:id="14"/>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根据项目前期资源现状，本次建设拟向电子政务云申请的资源如下：</w:t>
      </w:r>
    </w:p>
    <w:p>
      <w:pPr>
        <w:pStyle w:val="187"/>
        <w:spacing w:before="0" w:beforeAutospacing="0"/>
        <w:rPr>
          <w:rFonts w:hint="eastAsia" w:asciiTheme="minorEastAsia" w:hAnsiTheme="minorEastAsia" w:eastAsiaTheme="minorEastAsia"/>
          <w:highlight w:val="none"/>
        </w:rPr>
      </w:pPr>
      <w:r>
        <w:rPr>
          <w:rFonts w:hint="eastAsia" w:asciiTheme="minorEastAsia" w:hAnsiTheme="minorEastAsia" w:eastAsiaTheme="minorEastAsia"/>
          <w:highlight w:val="none"/>
        </w:rPr>
        <w:t>表4-1 主机资源</w:t>
      </w:r>
    </w:p>
    <w:tbl>
      <w:tblPr>
        <w:tblStyle w:val="88"/>
        <w:tblpPr w:leftFromText="180" w:rightFromText="180" w:vertAnchor="text" w:horzAnchor="margin" w:tblpY="59"/>
        <w:tblW w:w="8369" w:type="dxa"/>
        <w:tblInd w:w="0" w:type="dxa"/>
        <w:tblLayout w:type="fixed"/>
        <w:tblCellMar>
          <w:top w:w="0" w:type="dxa"/>
          <w:left w:w="108" w:type="dxa"/>
          <w:bottom w:w="0" w:type="dxa"/>
          <w:right w:w="108" w:type="dxa"/>
        </w:tblCellMar>
      </w:tblPr>
      <w:tblGrid>
        <w:gridCol w:w="1046"/>
        <w:gridCol w:w="1046"/>
        <w:gridCol w:w="1046"/>
        <w:gridCol w:w="1046"/>
        <w:gridCol w:w="1046"/>
        <w:gridCol w:w="1046"/>
        <w:gridCol w:w="1046"/>
        <w:gridCol w:w="1047"/>
      </w:tblGrid>
      <w:tr>
        <w:tblPrEx>
          <w:tblCellMar>
            <w:top w:w="0" w:type="dxa"/>
            <w:left w:w="108" w:type="dxa"/>
            <w:bottom w:w="0" w:type="dxa"/>
            <w:right w:w="108" w:type="dxa"/>
          </w:tblCellMar>
        </w:tblPrEx>
        <w:trPr>
          <w:trHeight w:val="901" w:hRule="atLeast"/>
          <w:tblHeader/>
        </w:trPr>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序号</w:t>
            </w:r>
          </w:p>
        </w:tc>
        <w:tc>
          <w:tcPr>
            <w:tcW w:w="104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资源类型</w:t>
            </w:r>
          </w:p>
        </w:tc>
        <w:tc>
          <w:tcPr>
            <w:tcW w:w="104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资源名称</w:t>
            </w:r>
          </w:p>
        </w:tc>
        <w:tc>
          <w:tcPr>
            <w:tcW w:w="104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资源说明</w:t>
            </w:r>
          </w:p>
        </w:tc>
        <w:tc>
          <w:tcPr>
            <w:tcW w:w="104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资源核心（核）</w:t>
            </w:r>
          </w:p>
        </w:tc>
        <w:tc>
          <w:tcPr>
            <w:tcW w:w="104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资源内存(GB)</w:t>
            </w:r>
          </w:p>
        </w:tc>
        <w:tc>
          <w:tcPr>
            <w:tcW w:w="104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存储数量(GB)</w:t>
            </w:r>
          </w:p>
        </w:tc>
        <w:tc>
          <w:tcPr>
            <w:tcW w:w="104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资源数量(台)</w:t>
            </w:r>
          </w:p>
        </w:tc>
      </w:tr>
      <w:tr>
        <w:tblPrEx>
          <w:tblCellMar>
            <w:top w:w="0" w:type="dxa"/>
            <w:left w:w="108" w:type="dxa"/>
            <w:bottom w:w="0" w:type="dxa"/>
            <w:right w:w="108" w:type="dxa"/>
          </w:tblCellMar>
        </w:tblPrEx>
        <w:trPr>
          <w:trHeight w:val="901" w:hRule="atLeast"/>
        </w:trPr>
        <w:tc>
          <w:tcPr>
            <w:tcW w:w="104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1</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虚拟机</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数据库服务器</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数据库服务器</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16</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64</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1100</w:t>
            </w:r>
          </w:p>
        </w:tc>
        <w:tc>
          <w:tcPr>
            <w:tcW w:w="1047"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2</w:t>
            </w:r>
          </w:p>
        </w:tc>
      </w:tr>
      <w:tr>
        <w:tblPrEx>
          <w:tblCellMar>
            <w:top w:w="0" w:type="dxa"/>
            <w:left w:w="108" w:type="dxa"/>
            <w:bottom w:w="0" w:type="dxa"/>
            <w:right w:w="108" w:type="dxa"/>
          </w:tblCellMar>
        </w:tblPrEx>
        <w:trPr>
          <w:trHeight w:val="901" w:hRule="atLeast"/>
        </w:trPr>
        <w:tc>
          <w:tcPr>
            <w:tcW w:w="104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2</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虚拟机</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应用服务器</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应用服务器</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8</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32</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600</w:t>
            </w:r>
          </w:p>
        </w:tc>
        <w:tc>
          <w:tcPr>
            <w:tcW w:w="1047"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2</w:t>
            </w:r>
          </w:p>
        </w:tc>
      </w:tr>
      <w:tr>
        <w:tblPrEx>
          <w:tblCellMar>
            <w:top w:w="0" w:type="dxa"/>
            <w:left w:w="108" w:type="dxa"/>
            <w:bottom w:w="0" w:type="dxa"/>
            <w:right w:w="108" w:type="dxa"/>
          </w:tblCellMar>
        </w:tblPrEx>
        <w:trPr>
          <w:trHeight w:val="901" w:hRule="atLeast"/>
        </w:trPr>
        <w:tc>
          <w:tcPr>
            <w:tcW w:w="104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3</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物理机</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计算服务器</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计算服务器</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16</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128</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2600</w:t>
            </w:r>
          </w:p>
        </w:tc>
        <w:tc>
          <w:tcPr>
            <w:tcW w:w="1047"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2</w:t>
            </w:r>
          </w:p>
        </w:tc>
      </w:tr>
      <w:tr>
        <w:tblPrEx>
          <w:tblCellMar>
            <w:top w:w="0" w:type="dxa"/>
            <w:left w:w="108" w:type="dxa"/>
            <w:bottom w:w="0" w:type="dxa"/>
            <w:right w:w="108" w:type="dxa"/>
          </w:tblCellMar>
        </w:tblPrEx>
        <w:trPr>
          <w:trHeight w:val="901" w:hRule="atLeast"/>
        </w:trPr>
        <w:tc>
          <w:tcPr>
            <w:tcW w:w="104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4</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虚拟机</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NFS/CIFS存储</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NFS/CIFS存储</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0</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0</w:t>
            </w:r>
          </w:p>
        </w:tc>
        <w:tc>
          <w:tcPr>
            <w:tcW w:w="1046"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2000</w:t>
            </w:r>
          </w:p>
        </w:tc>
        <w:tc>
          <w:tcPr>
            <w:tcW w:w="1047"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contextualSpacing/>
              <w:jc w:val="center"/>
              <w:rPr>
                <w:rFonts w:hint="eastAsia" w:ascii="仿宋" w:hAnsi="仿宋" w:eastAsia="仿宋" w:cs="仿宋"/>
                <w:highlight w:val="none"/>
              </w:rPr>
            </w:pPr>
            <w:r>
              <w:rPr>
                <w:rFonts w:hint="eastAsia" w:ascii="仿宋" w:hAnsi="仿宋" w:eastAsia="仿宋" w:cs="仿宋"/>
                <w:highlight w:val="none"/>
              </w:rPr>
              <w:t>2</w:t>
            </w:r>
          </w:p>
        </w:tc>
      </w:tr>
    </w:tbl>
    <w:p>
      <w:pPr>
        <w:pStyle w:val="187"/>
        <w:spacing w:before="0" w:beforeAutospacing="0"/>
        <w:rPr>
          <w:rFonts w:hint="eastAsia" w:asciiTheme="minorEastAsia" w:hAnsiTheme="minorEastAsia" w:eastAsiaTheme="minorEastAsia"/>
          <w:highlight w:val="none"/>
        </w:rPr>
      </w:pPr>
    </w:p>
    <w:p>
      <w:pPr>
        <w:pStyle w:val="187"/>
        <w:spacing w:before="0" w:beforeAutospacing="0"/>
        <w:rPr>
          <w:rFonts w:hint="eastAsia" w:asciiTheme="minorEastAsia" w:hAnsiTheme="minorEastAsia" w:eastAsiaTheme="minorEastAsia"/>
          <w:highlight w:val="none"/>
        </w:rPr>
      </w:pPr>
      <w:r>
        <w:rPr>
          <w:rFonts w:hint="eastAsia" w:asciiTheme="minorEastAsia" w:hAnsiTheme="minorEastAsia" w:eastAsiaTheme="minorEastAsia"/>
          <w:highlight w:val="none"/>
        </w:rPr>
        <w:t>表4-2 PaaS服务资源</w:t>
      </w:r>
    </w:p>
    <w:tbl>
      <w:tblPr>
        <w:tblStyle w:val="88"/>
        <w:tblpPr w:leftFromText="180" w:rightFromText="180" w:vertAnchor="text" w:tblpY="152"/>
        <w:tblW w:w="8409" w:type="dxa"/>
        <w:tblInd w:w="0" w:type="dxa"/>
        <w:tblLayout w:type="fixed"/>
        <w:tblCellMar>
          <w:top w:w="0" w:type="dxa"/>
          <w:left w:w="108" w:type="dxa"/>
          <w:bottom w:w="0" w:type="dxa"/>
          <w:right w:w="108" w:type="dxa"/>
        </w:tblCellMar>
      </w:tblPr>
      <w:tblGrid>
        <w:gridCol w:w="648"/>
        <w:gridCol w:w="3508"/>
        <w:gridCol w:w="2597"/>
        <w:gridCol w:w="1656"/>
      </w:tblGrid>
      <w:tr>
        <w:tblPrEx>
          <w:tblCellMar>
            <w:top w:w="0" w:type="dxa"/>
            <w:left w:w="108" w:type="dxa"/>
            <w:bottom w:w="0" w:type="dxa"/>
            <w:right w:w="108" w:type="dxa"/>
          </w:tblCellMar>
        </w:tblPrEx>
        <w:trPr>
          <w:trHeight w:val="686" w:hRule="atLeast"/>
          <w:tblHead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序号</w:t>
            </w:r>
          </w:p>
        </w:tc>
        <w:tc>
          <w:tcPr>
            <w:tcW w:w="350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资源名称</w:t>
            </w:r>
          </w:p>
        </w:tc>
        <w:tc>
          <w:tcPr>
            <w:tcW w:w="259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核定数量</w:t>
            </w:r>
          </w:p>
        </w:tc>
        <w:tc>
          <w:tcPr>
            <w:tcW w:w="16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单位</w:t>
            </w:r>
          </w:p>
        </w:tc>
      </w:tr>
      <w:tr>
        <w:tblPrEx>
          <w:tblCellMar>
            <w:top w:w="0" w:type="dxa"/>
            <w:left w:w="108" w:type="dxa"/>
            <w:bottom w:w="0" w:type="dxa"/>
            <w:right w:w="108" w:type="dxa"/>
          </w:tblCellMar>
        </w:tblPrEx>
        <w:trPr>
          <w:trHeight w:val="356" w:hRule="atLeast"/>
        </w:trPr>
        <w:tc>
          <w:tcPr>
            <w:tcW w:w="648"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1</w:t>
            </w:r>
          </w:p>
        </w:tc>
        <w:tc>
          <w:tcPr>
            <w:tcW w:w="350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中间件-东方通、普元、金蝶</w:t>
            </w:r>
          </w:p>
        </w:tc>
        <w:tc>
          <w:tcPr>
            <w:tcW w:w="259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1</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套*年</w:t>
            </w:r>
          </w:p>
        </w:tc>
      </w:tr>
      <w:tr>
        <w:tblPrEx>
          <w:tblCellMar>
            <w:top w:w="0" w:type="dxa"/>
            <w:left w:w="108" w:type="dxa"/>
            <w:bottom w:w="0" w:type="dxa"/>
            <w:right w:w="108" w:type="dxa"/>
          </w:tblCellMar>
        </w:tblPrEx>
        <w:trPr>
          <w:trHeight w:val="356" w:hRule="atLeast"/>
        </w:trPr>
        <w:tc>
          <w:tcPr>
            <w:tcW w:w="648"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2</w:t>
            </w:r>
          </w:p>
        </w:tc>
        <w:tc>
          <w:tcPr>
            <w:tcW w:w="350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操作系统服务-统信UOS、麒麟</w:t>
            </w:r>
          </w:p>
        </w:tc>
        <w:tc>
          <w:tcPr>
            <w:tcW w:w="259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8</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套*年</w:t>
            </w:r>
          </w:p>
        </w:tc>
      </w:tr>
      <w:tr>
        <w:tblPrEx>
          <w:tblCellMar>
            <w:top w:w="0" w:type="dxa"/>
            <w:left w:w="108" w:type="dxa"/>
            <w:bottom w:w="0" w:type="dxa"/>
            <w:right w:w="108" w:type="dxa"/>
          </w:tblCellMar>
        </w:tblPrEx>
        <w:trPr>
          <w:trHeight w:val="356" w:hRule="atLeast"/>
        </w:trPr>
        <w:tc>
          <w:tcPr>
            <w:tcW w:w="648"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3</w:t>
            </w:r>
          </w:p>
        </w:tc>
        <w:tc>
          <w:tcPr>
            <w:tcW w:w="350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数据库服务-达梦、人大金仓</w:t>
            </w:r>
          </w:p>
        </w:tc>
        <w:tc>
          <w:tcPr>
            <w:tcW w:w="259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3</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套*年</w:t>
            </w:r>
          </w:p>
        </w:tc>
      </w:tr>
      <w:tr>
        <w:tblPrEx>
          <w:tblCellMar>
            <w:top w:w="0" w:type="dxa"/>
            <w:left w:w="108" w:type="dxa"/>
            <w:bottom w:w="0" w:type="dxa"/>
            <w:right w:w="108" w:type="dxa"/>
          </w:tblCellMar>
        </w:tblPrEx>
        <w:trPr>
          <w:trHeight w:val="356" w:hRule="atLeast"/>
        </w:trPr>
        <w:tc>
          <w:tcPr>
            <w:tcW w:w="648"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4</w:t>
            </w:r>
          </w:p>
        </w:tc>
        <w:tc>
          <w:tcPr>
            <w:tcW w:w="350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身份认证服务 - 个人多源认证</w:t>
            </w:r>
          </w:p>
        </w:tc>
        <w:tc>
          <w:tcPr>
            <w:tcW w:w="259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1</w:t>
            </w:r>
          </w:p>
        </w:tc>
        <w:tc>
          <w:tcPr>
            <w:tcW w:w="1656"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 w:hAnsi="仿宋" w:eastAsia="仿宋" w:cs="仿宋"/>
                <w:highlight w:val="none"/>
              </w:rPr>
            </w:pPr>
            <w:r>
              <w:rPr>
                <w:rFonts w:hint="eastAsia" w:ascii="仿宋" w:hAnsi="仿宋" w:eastAsia="仿宋" w:cs="仿宋"/>
                <w:highlight w:val="none"/>
              </w:rPr>
              <w:t>次</w:t>
            </w:r>
          </w:p>
        </w:tc>
      </w:tr>
    </w:tbl>
    <w:p>
      <w:pPr>
        <w:pStyle w:val="3"/>
        <w:numPr>
          <w:ilvl w:val="0"/>
          <w:numId w:val="15"/>
        </w:numPr>
        <w:rPr>
          <w:rFonts w:hint="eastAsia" w:asciiTheme="majorEastAsia" w:hAnsiTheme="majorEastAsia" w:eastAsiaTheme="majorEastAsia"/>
          <w:highlight w:val="none"/>
        </w:rPr>
      </w:pPr>
      <w:bookmarkStart w:id="15" w:name="_Toc63785503"/>
      <w:r>
        <w:rPr>
          <w:rFonts w:hint="eastAsia" w:asciiTheme="majorEastAsia" w:hAnsiTheme="majorEastAsia" w:eastAsiaTheme="majorEastAsia"/>
          <w:highlight w:val="none"/>
          <w:lang w:eastAsia="zh-CN"/>
        </w:rPr>
        <w:t>接口设计要求</w:t>
      </w:r>
    </w:p>
    <w:p>
      <w:pPr>
        <w:rPr>
          <w:rFonts w:hint="default" w:eastAsia="宋体"/>
          <w:highlight w:val="none"/>
          <w:lang w:val="en-US" w:eastAsia="zh-CN"/>
        </w:rPr>
      </w:pPr>
      <w:r>
        <w:rPr>
          <w:rFonts w:hint="eastAsia"/>
          <w:highlight w:val="none"/>
          <w:lang w:val="en-US" w:eastAsia="zh-CN"/>
        </w:rPr>
        <w:t>外部接口情况如下：</w:t>
      </w:r>
    </w:p>
    <w:p>
      <w:pPr>
        <w:ind w:firstLine="562"/>
        <w:rPr>
          <w:b/>
          <w:bCs/>
          <w:highlight w:val="none"/>
        </w:rPr>
      </w:pPr>
      <w:r>
        <w:rPr>
          <w:rFonts w:hint="eastAsia"/>
          <w:b/>
          <w:bCs/>
          <w:highlight w:val="none"/>
        </w:rPr>
        <w:t>1、与局内系统对接</w:t>
      </w:r>
    </w:p>
    <w:p>
      <w:pPr>
        <w:rPr>
          <w:highlight w:val="none"/>
        </w:rPr>
      </w:pPr>
      <w:r>
        <w:rPr>
          <w:rFonts w:hint="eastAsia"/>
          <w:highlight w:val="none"/>
        </w:rPr>
        <w:t>依托上海市规划资源局综合支撑大系统、国土空间规划和用途管制大系统，与市规划资源局规划管理系统，获取上海市国土空间规划成果及规划实施监督相关数据，以支撑区域资源环境承载力评价、长三角多尺度区规划实施监测评估以及重点城市的监测评估。</w:t>
      </w:r>
    </w:p>
    <w:p>
      <w:pPr>
        <w:ind w:firstLine="562"/>
        <w:rPr>
          <w:b/>
          <w:bCs/>
          <w:highlight w:val="none"/>
        </w:rPr>
      </w:pPr>
      <w:r>
        <w:rPr>
          <w:rFonts w:hint="eastAsia"/>
          <w:b/>
          <w:bCs/>
          <w:highlight w:val="none"/>
        </w:rPr>
        <w:t>2、与三省规划管理系统对接</w:t>
      </w:r>
    </w:p>
    <w:p>
      <w:pPr>
        <w:rPr>
          <w:highlight w:val="none"/>
        </w:rPr>
      </w:pPr>
      <w:r>
        <w:rPr>
          <w:rFonts w:hint="eastAsia"/>
          <w:highlight w:val="none"/>
        </w:rPr>
        <w:t>依托全国政务信息共享网站（长江流域政务信息共享），实现与江苏省国土空间规划“一张图”实施监督信息系统、浙江省域空间治理数字化平台、安徽省自然资源厅智慧资源平台“一张图”实施监督模块对接，获取三省国土空间规划成果及规划实施监督相关数据，以支撑区域资源环境承载力评价、长三角多尺度区规划实施监测评估以及重点城市的监测评估。</w:t>
      </w:r>
    </w:p>
    <w:p>
      <w:pPr>
        <w:ind w:firstLine="562"/>
        <w:rPr>
          <w:b/>
          <w:bCs/>
          <w:highlight w:val="none"/>
        </w:rPr>
      </w:pPr>
      <w:r>
        <w:rPr>
          <w:rFonts w:hint="eastAsia"/>
          <w:b/>
          <w:bCs/>
          <w:highlight w:val="none"/>
        </w:rPr>
        <w:t>3、与上海市大数据中心数据共享交换平台对接</w:t>
      </w:r>
    </w:p>
    <w:p>
      <w:pPr>
        <w:rPr>
          <w:highlight w:val="none"/>
        </w:rPr>
      </w:pPr>
      <w:r>
        <w:rPr>
          <w:rFonts w:hint="eastAsia"/>
          <w:highlight w:val="none"/>
        </w:rPr>
        <w:t>依托上海市电子政务云平台政务外网，与上海市大数据中心数据共享交换平台对接，获取其他行业部门专项规划和管理数据，以支撑区域资源环境承载力评价、长三角多尺度区规划实施监测评估以及重点城市的监测评估。</w:t>
      </w:r>
    </w:p>
    <w:p>
      <w:pPr>
        <w:ind w:firstLine="562"/>
        <w:rPr>
          <w:b/>
          <w:bCs/>
          <w:highlight w:val="none"/>
        </w:rPr>
      </w:pPr>
      <w:r>
        <w:rPr>
          <w:rFonts w:hint="eastAsia"/>
          <w:b/>
          <w:bCs/>
          <w:highlight w:val="none"/>
        </w:rPr>
        <w:t>4、与上海市数字底座（上海市“一张图”）对接</w:t>
      </w:r>
    </w:p>
    <w:p>
      <w:pPr>
        <w:rPr>
          <w:rFonts w:hint="eastAsia"/>
          <w:highlight w:val="none"/>
        </w:rPr>
      </w:pPr>
      <w:r>
        <w:rPr>
          <w:rFonts w:hint="eastAsia"/>
          <w:highlight w:val="none"/>
        </w:rPr>
        <w:t>建设与上海市数字底座（上海市“一张图”）系统接口，实现时空底座服务能力、时空数据服务能力、时空功能服务能力、时空引擎服务能力等“一张图”共性服务能力调用，以支撑长三角空间协同治理、规划实施监测评估等模块建设。</w:t>
      </w:r>
    </w:p>
    <w:p>
      <w:pPr>
        <w:pStyle w:val="3"/>
        <w:numPr>
          <w:ilvl w:val="0"/>
          <w:numId w:val="15"/>
        </w:numPr>
        <w:rPr>
          <w:rFonts w:hint="eastAsia" w:asciiTheme="majorEastAsia" w:hAnsiTheme="majorEastAsia" w:eastAsiaTheme="majorEastAsia"/>
          <w:highlight w:val="none"/>
        </w:rPr>
      </w:pPr>
      <w:r>
        <w:rPr>
          <w:rFonts w:hint="eastAsia" w:asciiTheme="majorEastAsia" w:hAnsiTheme="majorEastAsia" w:eastAsiaTheme="majorEastAsia"/>
          <w:highlight w:val="none"/>
        </w:rPr>
        <w:t>其他工作要求</w:t>
      </w:r>
      <w:bookmarkEnd w:id="15"/>
    </w:p>
    <w:p>
      <w:pPr>
        <w:pStyle w:val="4"/>
        <w:numPr>
          <w:ilvl w:val="1"/>
          <w:numId w:val="15"/>
        </w:numPr>
        <w:rPr>
          <w:rFonts w:hint="eastAsia"/>
          <w:highlight w:val="none"/>
        </w:rPr>
      </w:pPr>
      <w:bookmarkStart w:id="16" w:name="_Toc63785505"/>
      <w:r>
        <w:rPr>
          <w:rFonts w:hint="eastAsia"/>
          <w:highlight w:val="none"/>
        </w:rPr>
        <w:t>售后服务要求</w:t>
      </w:r>
      <w:bookmarkEnd w:id="16"/>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本项目从系统验收通过之日起1年内提供</w:t>
      </w:r>
      <w:r>
        <w:rPr>
          <w:rFonts w:ascii="宋体" w:hAnsi="宋体" w:eastAsia="宋体" w:cs="宋体"/>
          <w:kern w:val="2"/>
          <w:sz w:val="24"/>
          <w:szCs w:val="24"/>
          <w:highlight w:val="none"/>
        </w:rPr>
        <w:t>7*24小时免费技术支持</w:t>
      </w:r>
      <w:r>
        <w:rPr>
          <w:rFonts w:hint="eastAsia" w:ascii="宋体" w:hAnsi="宋体" w:eastAsia="宋体" w:cs="宋体"/>
          <w:kern w:val="2"/>
          <w:sz w:val="24"/>
          <w:szCs w:val="24"/>
          <w:highlight w:val="none"/>
        </w:rPr>
        <w:t>和售后服务，1年后进入有偿维护期。</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在质量保证期内，供应商将按照售后服务的承诺提供保修和运行维护服务，如果厂商对信息系统中软、硬件设备等产品中的部分保修期超过上述期限的，则按照厂商的规定进行免费保修。</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在质量保证期内，供应商负责信息系统的运行维护工作，确保信息系统安全、稳定、可靠地运行。本项目涉及的运行维护工作范围为：长三角国土空间规划实施监测子系统、土地管理板块的运行情况检查、应用软件故障修复、应用软件使用问题咨询和现场技术支持等。</w:t>
      </w:r>
    </w:p>
    <w:p>
      <w:pPr>
        <w:pStyle w:val="4"/>
        <w:numPr>
          <w:ilvl w:val="1"/>
          <w:numId w:val="15"/>
        </w:numPr>
        <w:rPr>
          <w:rFonts w:hint="eastAsia"/>
          <w:highlight w:val="none"/>
        </w:rPr>
      </w:pPr>
      <w:bookmarkStart w:id="17" w:name="_Toc63785506"/>
      <w:r>
        <w:rPr>
          <w:rFonts w:hint="eastAsia"/>
          <w:highlight w:val="none"/>
        </w:rPr>
        <w:t>应急响应要求</w:t>
      </w:r>
      <w:bookmarkEnd w:id="17"/>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供应商对系统故障应能够实时响应，若系统发生故障，接到通知后</w:t>
      </w:r>
      <w:r>
        <w:rPr>
          <w:rFonts w:ascii="宋体" w:hAnsi="宋体" w:eastAsia="宋体" w:cs="宋体"/>
          <w:kern w:val="2"/>
          <w:sz w:val="24"/>
          <w:szCs w:val="24"/>
          <w:highlight w:val="none"/>
        </w:rPr>
        <w:t>30分钟之内响应，专业工程师2小时内到达现场</w:t>
      </w:r>
      <w:r>
        <w:rPr>
          <w:rFonts w:hint="eastAsia" w:ascii="宋体" w:hAnsi="宋体" w:eastAsia="宋体" w:cs="宋体"/>
          <w:kern w:val="2"/>
          <w:sz w:val="24"/>
          <w:szCs w:val="24"/>
          <w:highlight w:val="none"/>
        </w:rPr>
        <w:t>。特殊故障与客户沟通协商后，按照协商的方式制定解决方案并进行处理。</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具体故障级别及对应的应急响应要求如下：</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一级故障：在</w:t>
      </w:r>
      <w:r>
        <w:rPr>
          <w:rFonts w:ascii="宋体" w:hAnsi="宋体" w:eastAsia="宋体" w:cs="宋体"/>
          <w:kern w:val="2"/>
          <w:sz w:val="24"/>
          <w:szCs w:val="24"/>
          <w:highlight w:val="none"/>
        </w:rPr>
        <w:t>1小时内确诊，总故障解决时间不超过4小时。</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二级故障：在</w:t>
      </w:r>
      <w:r>
        <w:rPr>
          <w:rFonts w:ascii="宋体" w:hAnsi="宋体" w:eastAsia="宋体" w:cs="宋体"/>
          <w:kern w:val="2"/>
          <w:sz w:val="24"/>
          <w:szCs w:val="24"/>
          <w:highlight w:val="none"/>
        </w:rPr>
        <w:t>2小时内确诊，并在4小时内由专家到达现场确诊并解决，总故障解决时间不超过8小时；</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三、四级故障：在</w:t>
      </w:r>
      <w:r>
        <w:rPr>
          <w:rFonts w:ascii="宋体" w:hAnsi="宋体" w:eastAsia="宋体" w:cs="宋体"/>
          <w:kern w:val="2"/>
          <w:sz w:val="24"/>
          <w:szCs w:val="24"/>
          <w:highlight w:val="none"/>
        </w:rPr>
        <w:t>4小时内确诊故障，总故障解决时间不超过16小时。</w:t>
      </w:r>
    </w:p>
    <w:p>
      <w:pPr>
        <w:pStyle w:val="4"/>
        <w:numPr>
          <w:ilvl w:val="1"/>
          <w:numId w:val="15"/>
        </w:numPr>
        <w:rPr>
          <w:rFonts w:hint="eastAsia"/>
          <w:highlight w:val="none"/>
        </w:rPr>
      </w:pPr>
      <w:bookmarkStart w:id="18" w:name="_Toc63785507"/>
      <w:r>
        <w:rPr>
          <w:rFonts w:hint="eastAsia"/>
          <w:highlight w:val="none"/>
        </w:rPr>
        <w:t>培训要求</w:t>
      </w:r>
      <w:bookmarkEnd w:id="18"/>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对系统使用单位提供业务操作培训，应提供详细培训方案。</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（1）在12个月的质量保证期内，提供2次与项目相关的必要培训。</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（2）供应商需要开展分层次的人员培训工作，每次培训后应对参加培训人员进行测试，评估培训成果。培训应具有培训教材、培训环境和高水平的培训讲师。</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（3）供应商应提供一般用户的基础操作培训和部门信息管理员的日常应用维护的培训，确保用户对象能够掌握对应的操作技能。</w:t>
      </w:r>
    </w:p>
    <w:p>
      <w:pPr>
        <w:pStyle w:val="4"/>
        <w:numPr>
          <w:ilvl w:val="1"/>
          <w:numId w:val="15"/>
        </w:numPr>
        <w:rPr>
          <w:rFonts w:hint="eastAsia"/>
          <w:highlight w:val="none"/>
        </w:rPr>
      </w:pPr>
      <w:bookmarkStart w:id="19" w:name="_Toc63785508"/>
      <w:r>
        <w:rPr>
          <w:rFonts w:hint="eastAsia"/>
          <w:highlight w:val="none"/>
        </w:rPr>
        <w:t>验收要求</w:t>
      </w:r>
      <w:bookmarkEnd w:id="19"/>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本项目按下述方式开展验收。</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1）验收分初验和终验。</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3）初验时，供应商须提供软件文档包括《用户需求说明书》、《系统概要设计说明书》、《系统详细设计说明书》、</w:t>
      </w:r>
      <w:r>
        <w:rPr>
          <w:rFonts w:hint="eastAsia" w:ascii="宋体" w:hAnsi="宋体" w:eastAsia="宋体" w:cs="宋体"/>
          <w:kern w:val="2"/>
          <w:sz w:val="24"/>
          <w:szCs w:val="24"/>
          <w:highlight w:val="none"/>
        </w:rPr>
        <w:t>《三方功能需求确认单》、</w:t>
      </w:r>
      <w:r>
        <w:rPr>
          <w:rFonts w:ascii="宋体" w:hAnsi="宋体" w:eastAsia="宋体" w:cs="宋体"/>
          <w:kern w:val="2"/>
          <w:sz w:val="24"/>
          <w:szCs w:val="24"/>
          <w:highlight w:val="none"/>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4）自初验通过之日起，招标方享有供应商免费提供的</w:t>
      </w:r>
      <w:r>
        <w:rPr>
          <w:rFonts w:hint="eastAsia" w:ascii="宋体" w:hAnsi="宋体" w:eastAsia="宋体" w:cs="宋体"/>
          <w:kern w:val="2"/>
          <w:sz w:val="24"/>
          <w:szCs w:val="24"/>
          <w:highlight w:val="none"/>
        </w:rPr>
        <w:t>30</w:t>
      </w:r>
      <w:r>
        <w:rPr>
          <w:rFonts w:ascii="宋体" w:hAnsi="宋体" w:eastAsia="宋体" w:cs="宋体"/>
          <w:kern w:val="2"/>
          <w:sz w:val="24"/>
          <w:szCs w:val="24"/>
          <w:highlight w:val="none"/>
        </w:rPr>
        <w:t>天的信息系统试运行现场驻场服务期。该期间内，供应商应当按照招标方的要求提供现场技术支持服务，解决信息系统试运行期间可能出现的各类问题，或进一步提高与完善信息系统运行水平。</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ascii="宋体" w:hAnsi="宋体" w:eastAsia="宋体" w:cs="宋体"/>
          <w:kern w:val="2"/>
          <w:sz w:val="24"/>
          <w:szCs w:val="24"/>
          <w:highlight w:val="none"/>
        </w:rPr>
        <w:t>5</w:t>
      </w:r>
      <w:r>
        <w:rPr>
          <w:rFonts w:ascii="宋体" w:hAnsi="宋体" w:eastAsia="宋体" w:cs="宋体"/>
          <w:kern w:val="2"/>
          <w:sz w:val="24"/>
          <w:szCs w:val="24"/>
          <w:highlight w:val="none"/>
        </w:rPr>
        <w:t>个工作日内发起组织专家验收会。</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w:t>
      </w:r>
      <w:r>
        <w:rPr>
          <w:rFonts w:ascii="宋体" w:hAnsi="宋体" w:eastAsia="宋体" w:cs="宋体"/>
          <w:kern w:val="2"/>
          <w:sz w:val="24"/>
          <w:szCs w:val="24"/>
          <w:highlight w:val="none"/>
        </w:rPr>
        <w:t>）如果属于供应商原因致使本项目未能通过终验，供应商应当排除缺陷，直至本项目完全符合验收标准，由上述情形而产生的相关费用应由供应商自行承担。</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（7</w:t>
      </w:r>
      <w:r>
        <w:rPr>
          <w:rFonts w:ascii="宋体" w:hAnsi="宋体" w:eastAsia="宋体" w:cs="宋体"/>
          <w:kern w:val="2"/>
          <w:sz w:val="24"/>
          <w:szCs w:val="24"/>
          <w:highlight w:val="none"/>
        </w:rPr>
        <w:t>）如果由于招标方原因导致本项目在终验通过前出现故障或问题，供应商应及时配合排除该方面的故障或问题。</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（8</w:t>
      </w:r>
      <w:r>
        <w:rPr>
          <w:rFonts w:ascii="宋体" w:hAnsi="宋体" w:eastAsia="宋体" w:cs="宋体"/>
          <w:kern w:val="2"/>
          <w:sz w:val="24"/>
          <w:szCs w:val="24"/>
          <w:highlight w:val="none"/>
        </w:rPr>
        <w:t>）如本项目连续3次验收未通过（含初验未通过或终验未通过），招标方有权解除项目，并有权依照本项目约定的违约条款追究供应商的违约责任。</w:t>
      </w:r>
    </w:p>
    <w:p>
      <w:pPr>
        <w:pStyle w:val="4"/>
        <w:numPr>
          <w:ilvl w:val="1"/>
          <w:numId w:val="15"/>
        </w:numPr>
        <w:rPr>
          <w:rFonts w:hint="eastAsia"/>
          <w:highlight w:val="none"/>
        </w:rPr>
      </w:pPr>
      <w:bookmarkStart w:id="20" w:name="_Toc63785509"/>
      <w:r>
        <w:rPr>
          <w:rFonts w:hint="eastAsia"/>
          <w:highlight w:val="none"/>
        </w:rPr>
        <w:t>进度要求</w:t>
      </w:r>
      <w:bookmarkEnd w:id="20"/>
      <w:bookmarkStart w:id="21" w:name="_Toc63785510"/>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投标人应根据建设内容，分阶段制定合理的时间进度，并且应根据采购人要求进行调整和细化。本项目于合同签订后12个月内，完成项目建设和验收工作。</w:t>
      </w:r>
    </w:p>
    <w:p>
      <w:pPr>
        <w:rPr>
          <w:rFonts w:hint="eastAsia"/>
          <w:highlight w:val="none"/>
        </w:rPr>
      </w:pPr>
      <w:r>
        <w:rPr>
          <w:rFonts w:hint="eastAsia" w:asciiTheme="minorEastAsia" w:hAnsiTheme="minorEastAsia" w:eastAsiaTheme="minorEastAsia" w:cstheme="minorEastAsia"/>
          <w:highlight w:val="none"/>
        </w:rPr>
        <w:t>总建设周期预计</w:t>
      </w:r>
      <w:r>
        <w:rPr>
          <w:rFonts w:hint="eastAsia"/>
          <w:highlight w:val="none"/>
        </w:rPr>
        <w:t>分为五个阶段，预估时间如下：</w:t>
      </w:r>
    </w:p>
    <w:p>
      <w:pPr>
        <w:rPr>
          <w:rFonts w:hint="eastAsia"/>
          <w:highlight w:val="none"/>
        </w:rPr>
      </w:pPr>
      <w:r>
        <w:rPr>
          <w:rFonts w:hint="eastAsia"/>
          <w:highlight w:val="none"/>
        </w:rPr>
        <w:t>第一阶段为T+30天，完成规划设计；</w:t>
      </w:r>
    </w:p>
    <w:p>
      <w:pPr>
        <w:rPr>
          <w:rFonts w:hint="eastAsia"/>
          <w:highlight w:val="none"/>
        </w:rPr>
      </w:pPr>
      <w:r>
        <w:rPr>
          <w:rFonts w:hint="eastAsia"/>
          <w:highlight w:val="none"/>
        </w:rPr>
        <w:t>第二阶段为T+180天,完成系统设计设备选型；</w:t>
      </w:r>
    </w:p>
    <w:p>
      <w:pPr>
        <w:rPr>
          <w:rFonts w:hint="eastAsia"/>
          <w:highlight w:val="none"/>
        </w:rPr>
      </w:pPr>
      <w:r>
        <w:rPr>
          <w:rFonts w:hint="eastAsia"/>
          <w:highlight w:val="none"/>
        </w:rPr>
        <w:t>第三阶段为T+300天，完成系统建设；</w:t>
      </w:r>
    </w:p>
    <w:p>
      <w:pPr>
        <w:rPr>
          <w:rFonts w:hint="eastAsia"/>
          <w:highlight w:val="none"/>
        </w:rPr>
      </w:pPr>
      <w:r>
        <w:rPr>
          <w:rFonts w:hint="eastAsia"/>
          <w:highlight w:val="none"/>
        </w:rPr>
        <w:t>第四阶段为T+330天，完成系统测试、试运行；</w:t>
      </w:r>
    </w:p>
    <w:p>
      <w:pPr>
        <w:rPr>
          <w:rFonts w:hint="eastAsia"/>
          <w:highlight w:val="none"/>
        </w:rPr>
      </w:pPr>
      <w:r>
        <w:rPr>
          <w:rFonts w:hint="eastAsia"/>
          <w:highlight w:val="none"/>
        </w:rPr>
        <w:t>第五阶段为T+360天，完成验收。</w:t>
      </w:r>
    </w:p>
    <w:p>
      <w:pPr>
        <w:pStyle w:val="4"/>
        <w:numPr>
          <w:ilvl w:val="1"/>
          <w:numId w:val="15"/>
        </w:numPr>
        <w:rPr>
          <w:rFonts w:hint="eastAsia"/>
          <w:highlight w:val="none"/>
        </w:rPr>
      </w:pPr>
      <w:r>
        <w:rPr>
          <w:rFonts w:hint="eastAsia"/>
          <w:highlight w:val="none"/>
        </w:rPr>
        <w:t>项目团队及驻场人员要求</w:t>
      </w:r>
      <w:bookmarkEnd w:id="21"/>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1）投标人须具有稳定的在职技术保障力量，能够提供及时的技术支援或服务，应针对本项目提供不少于</w:t>
      </w:r>
      <w:r>
        <w:rPr>
          <w:rFonts w:hint="eastAsia" w:ascii="宋体" w:hAnsi="宋体" w:eastAsia="宋体" w:cs="宋体"/>
          <w:kern w:val="2"/>
          <w:sz w:val="24"/>
          <w:szCs w:val="24"/>
          <w:highlight w:val="none"/>
        </w:rPr>
        <w:t>18</w:t>
      </w:r>
      <w:r>
        <w:rPr>
          <w:rFonts w:ascii="宋体" w:hAnsi="宋体" w:eastAsia="宋体" w:cs="宋体"/>
          <w:kern w:val="2"/>
          <w:sz w:val="24"/>
          <w:szCs w:val="24"/>
          <w:highlight w:val="none"/>
        </w:rPr>
        <w:t>人的项目服务团队（包括项目经理</w:t>
      </w:r>
      <w:r>
        <w:rPr>
          <w:rFonts w:hint="eastAsia" w:ascii="宋体" w:hAnsi="宋体" w:eastAsia="宋体" w:cs="宋体"/>
          <w:kern w:val="2"/>
          <w:sz w:val="24"/>
          <w:szCs w:val="24"/>
          <w:highlight w:val="none"/>
        </w:rPr>
        <w:t>1人，技术经理1人，</w:t>
      </w:r>
      <w:r>
        <w:rPr>
          <w:rFonts w:ascii="宋体" w:hAnsi="宋体" w:eastAsia="宋体" w:cs="宋体"/>
          <w:kern w:val="2"/>
          <w:sz w:val="24"/>
          <w:szCs w:val="24"/>
          <w:highlight w:val="none"/>
        </w:rPr>
        <w:t>产品经理</w:t>
      </w:r>
      <w:r>
        <w:rPr>
          <w:rFonts w:hint="eastAsia" w:ascii="宋体" w:hAnsi="宋体" w:eastAsia="宋体" w:cs="宋体"/>
          <w:kern w:val="2"/>
          <w:sz w:val="24"/>
          <w:szCs w:val="24"/>
          <w:highlight w:val="none"/>
        </w:rPr>
        <w:t>1人，</w:t>
      </w:r>
      <w:r>
        <w:rPr>
          <w:rFonts w:ascii="宋体" w:hAnsi="宋体" w:eastAsia="宋体" w:cs="宋体"/>
          <w:kern w:val="2"/>
          <w:sz w:val="24"/>
          <w:szCs w:val="24"/>
          <w:highlight w:val="none"/>
        </w:rPr>
        <w:t>研发</w:t>
      </w:r>
      <w:r>
        <w:rPr>
          <w:rFonts w:hint="eastAsia" w:ascii="宋体" w:hAnsi="宋体" w:eastAsia="宋体" w:cs="宋体"/>
          <w:kern w:val="2"/>
          <w:sz w:val="24"/>
          <w:szCs w:val="24"/>
          <w:highlight w:val="none"/>
        </w:rPr>
        <w:t>13人，安全保障人员2人</w:t>
      </w:r>
      <w:r>
        <w:rPr>
          <w:rFonts w:ascii="宋体" w:hAnsi="宋体" w:eastAsia="宋体" w:cs="宋体"/>
          <w:kern w:val="2"/>
          <w:sz w:val="24"/>
          <w:szCs w:val="24"/>
          <w:highlight w:val="none"/>
        </w:rPr>
        <w:t>等），投标单位的相关服务人员需具备相应的服务能力，需提供相关证明。</w:t>
      </w:r>
    </w:p>
    <w:p>
      <w:pPr>
        <w:pStyle w:val="187"/>
        <w:spacing w:before="0" w:beforeAutospacing="0"/>
        <w:rPr>
          <w:rFonts w:hint="eastAsia" w:asciiTheme="minorEastAsia" w:hAnsiTheme="minorEastAsia" w:eastAsiaTheme="minorEastAsia"/>
          <w:highlight w:val="none"/>
        </w:rPr>
      </w:pPr>
      <w:bookmarkStart w:id="22" w:name="_Toc63785511"/>
      <w:r>
        <w:rPr>
          <w:rFonts w:hint="eastAsia" w:asciiTheme="minorEastAsia" w:hAnsiTheme="minorEastAsia" w:eastAsiaTheme="minorEastAsia"/>
          <w:highlight w:val="none"/>
        </w:rPr>
        <w:t>表5-1 技术支援或服务团队人员配置表</w:t>
      </w:r>
    </w:p>
    <w:tbl>
      <w:tblPr>
        <w:tblStyle w:val="8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856"/>
        <w:gridCol w:w="1153"/>
        <w:gridCol w:w="146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角色</w:t>
            </w:r>
          </w:p>
        </w:tc>
        <w:tc>
          <w:tcPr>
            <w:tcW w:w="285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主要职责</w:t>
            </w:r>
          </w:p>
        </w:tc>
        <w:tc>
          <w:tcPr>
            <w:tcW w:w="1153"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人员数量</w:t>
            </w:r>
          </w:p>
        </w:tc>
        <w:tc>
          <w:tcPr>
            <w:tcW w:w="1461"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人员要求</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项目经理</w:t>
            </w:r>
          </w:p>
        </w:tc>
        <w:tc>
          <w:tcPr>
            <w:tcW w:w="2856"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负责项目质量和进度控制</w:t>
            </w:r>
          </w:p>
        </w:tc>
        <w:tc>
          <w:tcPr>
            <w:tcW w:w="1153"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1人</w:t>
            </w:r>
          </w:p>
        </w:tc>
        <w:tc>
          <w:tcPr>
            <w:tcW w:w="1461" w:type="dxa"/>
            <w:shd w:val="clear" w:color="auto" w:fill="auto"/>
            <w:vAlign w:val="center"/>
          </w:tcPr>
          <w:p>
            <w:pPr>
              <w:widowControl/>
              <w:spacing w:line="240" w:lineRule="auto"/>
              <w:ind w:firstLine="0" w:firstLineChars="0"/>
              <w:jc w:val="left"/>
              <w:rPr>
                <w:rFonts w:hint="eastAsia" w:ascii="仿宋" w:hAnsi="仿宋" w:eastAsia="仿宋" w:cs="仿宋"/>
                <w:highlight w:val="none"/>
                <w:lang w:eastAsia="zh-CN"/>
              </w:rPr>
            </w:pPr>
            <w:r>
              <w:rPr>
                <w:rFonts w:hint="eastAsia" w:ascii="仿宋" w:hAnsi="仿宋" w:eastAsia="仿宋" w:cs="仿宋"/>
                <w:highlight w:val="none"/>
              </w:rPr>
              <w:t>具备有信息系统项目管理师证书</w:t>
            </w:r>
            <w:r>
              <w:rPr>
                <w:rFonts w:hint="eastAsia" w:ascii="仿宋" w:hAnsi="仿宋" w:eastAsia="仿宋" w:cs="仿宋"/>
                <w:highlight w:val="none"/>
                <w:lang w:eastAsia="zh-CN"/>
              </w:rPr>
              <w:t>，具有</w:t>
            </w:r>
            <w:r>
              <w:rPr>
                <w:rFonts w:hint="eastAsia" w:ascii="仿宋" w:hAnsi="仿宋" w:eastAsia="仿宋" w:cs="仿宋"/>
                <w:highlight w:val="none"/>
                <w:lang w:val="en-US" w:eastAsia="zh-CN"/>
              </w:rPr>
              <w:t>5</w:t>
            </w:r>
            <w:r>
              <w:rPr>
                <w:rFonts w:hint="eastAsia" w:ascii="仿宋" w:hAnsi="仿宋" w:eastAsia="仿宋" w:cs="仿宋"/>
                <w:highlight w:val="none"/>
                <w:lang w:eastAsia="zh-CN"/>
              </w:rPr>
              <w:t>年及以上政务信息化系统建设管理经验</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技术经理</w:t>
            </w:r>
          </w:p>
        </w:tc>
        <w:tc>
          <w:tcPr>
            <w:tcW w:w="2856"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负责项目质量和总体技术实施</w:t>
            </w:r>
          </w:p>
        </w:tc>
        <w:tc>
          <w:tcPr>
            <w:tcW w:w="1153"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1人</w:t>
            </w:r>
          </w:p>
        </w:tc>
        <w:tc>
          <w:tcPr>
            <w:tcW w:w="1461" w:type="dxa"/>
            <w:shd w:val="clear" w:color="auto" w:fill="auto"/>
            <w:vAlign w:val="center"/>
          </w:tcPr>
          <w:p>
            <w:pPr>
              <w:widowControl/>
              <w:spacing w:line="240" w:lineRule="auto"/>
              <w:ind w:firstLine="0" w:firstLineChars="0"/>
              <w:jc w:val="left"/>
              <w:rPr>
                <w:rFonts w:hint="eastAsia" w:ascii="仿宋" w:hAnsi="仿宋" w:eastAsia="仿宋" w:cs="仿宋"/>
                <w:highlight w:val="none"/>
                <w:lang w:eastAsia="zh-CN"/>
              </w:rPr>
            </w:pPr>
            <w:r>
              <w:rPr>
                <w:rFonts w:hint="eastAsia" w:ascii="仿宋" w:hAnsi="仿宋" w:eastAsia="仿宋" w:cs="仿宋"/>
                <w:highlight w:val="none"/>
              </w:rPr>
              <w:t>具备有信息系统项目管理师证书</w:t>
            </w:r>
            <w:r>
              <w:rPr>
                <w:rFonts w:hint="eastAsia" w:ascii="仿宋" w:hAnsi="仿宋" w:eastAsia="仿宋" w:cs="仿宋"/>
                <w:highlight w:val="none"/>
                <w:lang w:eastAsia="zh-CN"/>
              </w:rPr>
              <w:t>，具有政务信息系统软件开发经验满3年</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 xml:space="preserve">驻场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产品经理</w:t>
            </w:r>
          </w:p>
        </w:tc>
        <w:tc>
          <w:tcPr>
            <w:tcW w:w="2856"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负责项目需求评估与产品设计</w:t>
            </w:r>
          </w:p>
        </w:tc>
        <w:tc>
          <w:tcPr>
            <w:tcW w:w="1153"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1人</w:t>
            </w:r>
          </w:p>
        </w:tc>
        <w:tc>
          <w:tcPr>
            <w:tcW w:w="1461" w:type="dxa"/>
            <w:shd w:val="clear" w:color="auto" w:fill="auto"/>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具有政务信息系统类项目工作经验满3年</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研发</w:t>
            </w:r>
          </w:p>
        </w:tc>
        <w:tc>
          <w:tcPr>
            <w:tcW w:w="285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负责项目具体开发与实施</w:t>
            </w:r>
          </w:p>
        </w:tc>
        <w:tc>
          <w:tcPr>
            <w:tcW w:w="1153"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13人</w:t>
            </w:r>
          </w:p>
        </w:tc>
        <w:tc>
          <w:tcPr>
            <w:tcW w:w="1461"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具备类似项目研发经验</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 xml:space="preserve">驻场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安全保障人员</w:t>
            </w:r>
          </w:p>
        </w:tc>
        <w:tc>
          <w:tcPr>
            <w:tcW w:w="285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负责项目的信息安全保障</w:t>
            </w:r>
          </w:p>
        </w:tc>
        <w:tc>
          <w:tcPr>
            <w:tcW w:w="1153"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2人</w:t>
            </w:r>
          </w:p>
        </w:tc>
        <w:tc>
          <w:tcPr>
            <w:tcW w:w="1461"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具备类似项目安全保障经验</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p>
        </w:tc>
      </w:tr>
    </w:tbl>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2）投标人应针对本项目提供不少于</w:t>
      </w:r>
      <w:r>
        <w:rPr>
          <w:rFonts w:hint="eastAsia" w:ascii="宋体" w:hAnsi="宋体" w:eastAsia="宋体" w:cs="宋体"/>
          <w:kern w:val="2"/>
          <w:sz w:val="24"/>
          <w:szCs w:val="24"/>
          <w:highlight w:val="none"/>
        </w:rPr>
        <w:t>6</w:t>
      </w:r>
      <w:r>
        <w:rPr>
          <w:rFonts w:ascii="宋体" w:hAnsi="宋体" w:eastAsia="宋体" w:cs="宋体"/>
          <w:kern w:val="2"/>
          <w:sz w:val="24"/>
          <w:szCs w:val="24"/>
          <w:highlight w:val="none"/>
        </w:rPr>
        <w:t>人的质保期间支撑团队（其中</w:t>
      </w:r>
      <w:r>
        <w:rPr>
          <w:rFonts w:hint="eastAsia" w:ascii="宋体" w:hAnsi="宋体" w:eastAsia="宋体" w:cs="宋体"/>
          <w:kern w:val="2"/>
          <w:sz w:val="24"/>
          <w:szCs w:val="24"/>
          <w:highlight w:val="none"/>
        </w:rPr>
        <w:t>项目经理1人，技术</w:t>
      </w:r>
      <w:r>
        <w:rPr>
          <w:rFonts w:ascii="宋体" w:hAnsi="宋体" w:eastAsia="宋体" w:cs="宋体"/>
          <w:kern w:val="2"/>
          <w:sz w:val="24"/>
          <w:szCs w:val="24"/>
          <w:highlight w:val="none"/>
        </w:rPr>
        <w:t>经理</w:t>
      </w:r>
      <w:r>
        <w:rPr>
          <w:rFonts w:hint="eastAsia" w:ascii="宋体" w:hAnsi="宋体" w:eastAsia="宋体" w:cs="宋体"/>
          <w:kern w:val="2"/>
          <w:sz w:val="24"/>
          <w:szCs w:val="24"/>
          <w:highlight w:val="none"/>
        </w:rPr>
        <w:t>1</w:t>
      </w:r>
      <w:r>
        <w:rPr>
          <w:rFonts w:ascii="宋体" w:hAnsi="宋体" w:eastAsia="宋体" w:cs="宋体"/>
          <w:kern w:val="2"/>
          <w:sz w:val="24"/>
          <w:szCs w:val="24"/>
          <w:highlight w:val="none"/>
        </w:rPr>
        <w:t>人，</w:t>
      </w:r>
      <w:r>
        <w:rPr>
          <w:rFonts w:hint="eastAsia" w:ascii="宋体" w:hAnsi="宋体" w:eastAsia="宋体" w:cs="宋体"/>
          <w:kern w:val="2"/>
          <w:sz w:val="24"/>
          <w:szCs w:val="24"/>
          <w:highlight w:val="none"/>
        </w:rPr>
        <w:t>产品经理1人，</w:t>
      </w:r>
      <w:r>
        <w:rPr>
          <w:rFonts w:ascii="宋体" w:hAnsi="宋体" w:eastAsia="宋体" w:cs="宋体"/>
          <w:kern w:val="2"/>
          <w:sz w:val="24"/>
          <w:szCs w:val="24"/>
          <w:highlight w:val="none"/>
        </w:rPr>
        <w:t>技术工程师</w:t>
      </w:r>
      <w:r>
        <w:rPr>
          <w:rFonts w:hint="eastAsia" w:ascii="宋体" w:hAnsi="宋体" w:eastAsia="宋体" w:cs="宋体"/>
          <w:kern w:val="2"/>
          <w:sz w:val="24"/>
          <w:szCs w:val="24"/>
          <w:highlight w:val="none"/>
        </w:rPr>
        <w:t>3</w:t>
      </w:r>
      <w:r>
        <w:rPr>
          <w:rFonts w:ascii="宋体" w:hAnsi="宋体" w:eastAsia="宋体" w:cs="宋体"/>
          <w:kern w:val="2"/>
          <w:sz w:val="24"/>
          <w:szCs w:val="24"/>
          <w:highlight w:val="none"/>
        </w:rPr>
        <w:t>人）；投标人的相关服务人员需具备相应的服务能力，需提供相关证明（最近一个季度依法缴纳社保费的证明）。</w:t>
      </w:r>
    </w:p>
    <w:p>
      <w:pPr>
        <w:pStyle w:val="187"/>
        <w:spacing w:before="0" w:beforeAutospacing="0"/>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表5-2 </w:t>
      </w:r>
      <w:r>
        <w:rPr>
          <w:rFonts w:asciiTheme="minorEastAsia" w:hAnsiTheme="minorEastAsia" w:eastAsiaTheme="minorEastAsia"/>
          <w:highlight w:val="none"/>
        </w:rPr>
        <w:t>质保期间支撑团队</w:t>
      </w:r>
      <w:r>
        <w:rPr>
          <w:rFonts w:hint="eastAsia" w:asciiTheme="minorEastAsia" w:hAnsiTheme="minorEastAsia" w:eastAsiaTheme="minorEastAsia"/>
          <w:highlight w:val="none"/>
        </w:rPr>
        <w:t>人员配置表</w:t>
      </w:r>
    </w:p>
    <w:tbl>
      <w:tblPr>
        <w:tblStyle w:val="8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675"/>
        <w:gridCol w:w="1176"/>
        <w:gridCol w:w="1859"/>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角色</w:t>
            </w:r>
          </w:p>
        </w:tc>
        <w:tc>
          <w:tcPr>
            <w:tcW w:w="2675"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主要职责</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人员数量</w:t>
            </w:r>
          </w:p>
        </w:tc>
        <w:tc>
          <w:tcPr>
            <w:tcW w:w="1859"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人员要求</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项目经理</w:t>
            </w:r>
          </w:p>
        </w:tc>
        <w:tc>
          <w:tcPr>
            <w:tcW w:w="2675"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负责项目质量和进度控制</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1人</w:t>
            </w:r>
          </w:p>
        </w:tc>
        <w:tc>
          <w:tcPr>
            <w:tcW w:w="1859" w:type="dxa"/>
            <w:shd w:val="clear" w:color="auto" w:fill="auto"/>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具备有信息系统项目管理师证书</w:t>
            </w:r>
            <w:r>
              <w:rPr>
                <w:rFonts w:hint="eastAsia" w:ascii="仿宋" w:hAnsi="仿宋" w:eastAsia="仿宋" w:cs="仿宋"/>
                <w:highlight w:val="none"/>
                <w:lang w:eastAsia="zh-CN"/>
              </w:rPr>
              <w:t>，具有</w:t>
            </w:r>
            <w:r>
              <w:rPr>
                <w:rFonts w:hint="eastAsia" w:ascii="仿宋" w:hAnsi="仿宋" w:eastAsia="仿宋" w:cs="仿宋"/>
                <w:highlight w:val="none"/>
                <w:lang w:val="en-US" w:eastAsia="zh-CN"/>
              </w:rPr>
              <w:t>5</w:t>
            </w:r>
            <w:r>
              <w:rPr>
                <w:rFonts w:hint="eastAsia" w:ascii="仿宋" w:hAnsi="仿宋" w:eastAsia="仿宋" w:cs="仿宋"/>
                <w:highlight w:val="none"/>
                <w:lang w:eastAsia="zh-CN"/>
              </w:rPr>
              <w:t>年及以上政务信息化系统建设管理经验</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技术经理</w:t>
            </w:r>
          </w:p>
        </w:tc>
        <w:tc>
          <w:tcPr>
            <w:tcW w:w="2675"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负责项目质量和总体技术实施</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1人</w:t>
            </w:r>
          </w:p>
        </w:tc>
        <w:tc>
          <w:tcPr>
            <w:tcW w:w="1859" w:type="dxa"/>
            <w:shd w:val="clear" w:color="auto" w:fill="auto"/>
            <w:vAlign w:val="center"/>
          </w:tcPr>
          <w:p>
            <w:pPr>
              <w:widowControl/>
              <w:spacing w:line="240" w:lineRule="auto"/>
              <w:ind w:firstLine="0" w:firstLineChars="0"/>
              <w:jc w:val="left"/>
              <w:rPr>
                <w:rFonts w:hint="eastAsia" w:ascii="仿宋" w:hAnsi="仿宋" w:eastAsia="仿宋" w:cs="仿宋"/>
                <w:highlight w:val="none"/>
                <w:lang w:eastAsia="zh-CN"/>
              </w:rPr>
            </w:pPr>
            <w:r>
              <w:rPr>
                <w:rFonts w:hint="eastAsia" w:ascii="仿宋" w:hAnsi="仿宋" w:eastAsia="仿宋" w:cs="仿宋"/>
                <w:highlight w:val="none"/>
              </w:rPr>
              <w:t>具备有信息系统项目管理师证书</w:t>
            </w:r>
            <w:r>
              <w:rPr>
                <w:rFonts w:hint="eastAsia" w:ascii="仿宋" w:hAnsi="仿宋" w:eastAsia="仿宋" w:cs="仿宋"/>
                <w:highlight w:val="none"/>
                <w:lang w:eastAsia="zh-CN"/>
              </w:rPr>
              <w:t>，具有政务信息系统软件开发经验满3年</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 xml:space="preserve">驻场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产品经理</w:t>
            </w:r>
          </w:p>
        </w:tc>
        <w:tc>
          <w:tcPr>
            <w:tcW w:w="2675"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负责项目需求评估与产品设计</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1人</w:t>
            </w:r>
          </w:p>
        </w:tc>
        <w:tc>
          <w:tcPr>
            <w:tcW w:w="1859" w:type="dxa"/>
            <w:shd w:val="clear" w:color="auto" w:fill="auto"/>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具有政务信息系统类项目工作经验满3年</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技术工程师</w:t>
            </w:r>
          </w:p>
        </w:tc>
        <w:tc>
          <w:tcPr>
            <w:tcW w:w="2675"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负责项目运行维护</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3人</w:t>
            </w:r>
          </w:p>
        </w:tc>
        <w:tc>
          <w:tcPr>
            <w:tcW w:w="1859" w:type="dxa"/>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具备政务信息系统类项目维护经验满3年</w:t>
            </w:r>
          </w:p>
        </w:tc>
        <w:tc>
          <w:tcPr>
            <w:tcW w:w="1176" w:type="dxa"/>
            <w:noWrap/>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驻场</w:t>
            </w:r>
          </w:p>
        </w:tc>
      </w:tr>
    </w:tbl>
    <w:p>
      <w:pPr>
        <w:pStyle w:val="4"/>
        <w:numPr>
          <w:ilvl w:val="1"/>
          <w:numId w:val="15"/>
        </w:numPr>
        <w:rPr>
          <w:rFonts w:hint="eastAsia"/>
          <w:highlight w:val="none"/>
        </w:rPr>
      </w:pPr>
      <w:r>
        <w:rPr>
          <w:highlight w:val="none"/>
        </w:rPr>
        <w:t>等级保护要求</w:t>
      </w:r>
      <w:bookmarkEnd w:id="22"/>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本项目等级保护要求：符合等保三级要求。</w:t>
      </w:r>
    </w:p>
    <w:p>
      <w:pPr>
        <w:pStyle w:val="4"/>
        <w:numPr>
          <w:ilvl w:val="1"/>
          <w:numId w:val="15"/>
        </w:numPr>
        <w:rPr>
          <w:rFonts w:hint="eastAsia"/>
          <w:highlight w:val="none"/>
        </w:rPr>
      </w:pPr>
      <w:r>
        <w:rPr>
          <w:rFonts w:hint="eastAsia"/>
          <w:highlight w:val="none"/>
        </w:rPr>
        <w:t>商业密码应用需求</w:t>
      </w:r>
    </w:p>
    <w:p>
      <w:pPr>
        <w:pStyle w:val="190"/>
        <w:adjustRightInd/>
        <w:ind w:firstLine="480"/>
        <w:rPr>
          <w:rFonts w:hint="eastAsia" w:ascii="宋体" w:hAnsi="宋体" w:eastAsia="宋体" w:cs="宋体"/>
          <w:kern w:val="2"/>
          <w:sz w:val="24"/>
          <w:szCs w:val="24"/>
          <w:highlight w:val="none"/>
        </w:rPr>
      </w:pPr>
      <w:bookmarkStart w:id="23" w:name="_Toc63785512"/>
      <w:r>
        <w:rPr>
          <w:rFonts w:hint="eastAsia" w:ascii="宋体" w:hAnsi="宋体" w:eastAsia="宋体" w:cs="宋体"/>
          <w:kern w:val="2"/>
          <w:sz w:val="24"/>
          <w:szCs w:val="24"/>
          <w:highlight w:val="none"/>
        </w:rPr>
        <w:t>本项目应满足GB/T 39786-2021《信息安全技术 信息系统密码应用基本要求》第三级信息系统要求。供应商应免费协助建设单位向上海市大数据中心申请商业密码应用的相关资源。供应商应配合第三方测评机构完成商用密码测评工作。</w:t>
      </w:r>
    </w:p>
    <w:p>
      <w:pPr>
        <w:pStyle w:val="187"/>
        <w:spacing w:before="0" w:beforeAutospacing="0"/>
        <w:rPr>
          <w:rFonts w:hint="eastAsia" w:asciiTheme="minorEastAsia" w:hAnsiTheme="minorEastAsia" w:eastAsiaTheme="minorEastAsia"/>
          <w:highlight w:val="none"/>
        </w:rPr>
      </w:pPr>
      <w:r>
        <w:rPr>
          <w:rFonts w:hint="eastAsia" w:asciiTheme="minorEastAsia" w:hAnsiTheme="minorEastAsia" w:eastAsiaTheme="minorEastAsia"/>
          <w:highlight w:val="none"/>
        </w:rPr>
        <w:t>表5-3 商业密码应用需求表</w:t>
      </w:r>
    </w:p>
    <w:tbl>
      <w:tblPr>
        <w:tblStyle w:val="88"/>
        <w:tblW w:w="8609" w:type="dxa"/>
        <w:tblInd w:w="-3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939"/>
        <w:gridCol w:w="2042"/>
        <w:gridCol w:w="46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blHeader/>
        </w:trPr>
        <w:tc>
          <w:tcPr>
            <w:tcW w:w="1939" w:type="dxa"/>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指标要求</w:t>
            </w:r>
          </w:p>
        </w:tc>
        <w:tc>
          <w:tcPr>
            <w:tcW w:w="2042" w:type="dxa"/>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密码技术应用点</w:t>
            </w:r>
          </w:p>
        </w:tc>
        <w:tc>
          <w:tcPr>
            <w:tcW w:w="4628" w:type="dxa"/>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密码应用需求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restart"/>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网络和通信安全</w:t>
            </w:r>
          </w:p>
        </w:tc>
        <w:tc>
          <w:tcPr>
            <w:tcW w:w="2042" w:type="dxa"/>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身份鉴别</w:t>
            </w:r>
          </w:p>
        </w:tc>
        <w:tc>
          <w:tcPr>
            <w:tcW w:w="4628" w:type="dxa"/>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确认管理员用户的身份真实性，防止与假冒实体进行通信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通信数据完整性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防止管理员身份鉴别信息等重要数据在传输过程中被非法篡改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通信过程中重要数据的机密性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防止管理员身份鉴别信息等重要数据在传输过程中被非法窃取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网络边界访问控制信息的完整性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保护网络边界访问控制信息免受非法篡改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restart"/>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设备和计算安全</w:t>
            </w:r>
          </w:p>
        </w:tc>
        <w:tc>
          <w:tcPr>
            <w:tcW w:w="2042" w:type="dxa"/>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身份鉴别</w:t>
            </w:r>
          </w:p>
        </w:tc>
        <w:tc>
          <w:tcPr>
            <w:tcW w:w="4628" w:type="dxa"/>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对远程登录设备的用户身份真实性进行鉴别，防止假冒用户登录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远程管理通道安全</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远程管理时保护管理员身份鉴别信息等重要数据被非法窃取或非法篡改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系统资源访问控制信息完整性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保护系统资源访问控制信息免受非法篡改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日志记录完整性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保护重要日志记录信息免受非法篡改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重要可执行程序完整性、重要可执行程序来源真实性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保护重要可执行程序免受非法篡改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restart"/>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应用和数据安全</w:t>
            </w:r>
          </w:p>
        </w:tc>
        <w:tc>
          <w:tcPr>
            <w:tcW w:w="2042" w:type="dxa"/>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身份鉴别</w:t>
            </w:r>
          </w:p>
        </w:tc>
        <w:tc>
          <w:tcPr>
            <w:tcW w:w="4628" w:type="dxa"/>
            <w:noWrap/>
            <w:tcMar>
              <w:top w:w="60" w:type="dxa"/>
              <w:left w:w="120" w:type="dxa"/>
              <w:bottom w:w="60" w:type="dxa"/>
              <w:right w:w="120" w:type="dxa"/>
            </w:tcMar>
            <w:vAlign w:val="center"/>
          </w:tcPr>
          <w:p>
            <w:pPr>
              <w:widowControl/>
              <w:spacing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保护执行关键操作或访问重要数据的用户身份真实性，防止假冒用户访问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访问控制信息完整性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保护应用系统的访问控制信息免受非法篡改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重要信息资源安全标记完整性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保护应用系统的重要信息资源安全标记免受非法篡改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重要数据传输机密性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保护用户鉴别信息等重要数据传输的机密性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重要数据存储机密性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保护用户鉴别信息等重要数据存储的机密性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重要数据传输完整性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保护用户鉴别信息等重要数据传输的完整性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重要数据存储完整性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保护用户鉴别信息等重要数据存储的完整性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 w:hRule="atLeast"/>
        </w:trPr>
        <w:tc>
          <w:tcPr>
            <w:tcW w:w="1939" w:type="dxa"/>
            <w:vMerge w:val="continue"/>
            <w:noWrap/>
            <w:vAlign w:val="center"/>
          </w:tcPr>
          <w:p>
            <w:pPr>
              <w:widowControl/>
              <w:spacing w:line="240" w:lineRule="auto"/>
              <w:ind w:firstLine="0" w:firstLineChars="0"/>
              <w:jc w:val="left"/>
              <w:rPr>
                <w:rFonts w:hint="eastAsia" w:ascii="仿宋" w:hAnsi="仿宋" w:eastAsia="仿宋" w:cs="仿宋"/>
                <w:highlight w:val="none"/>
              </w:rPr>
            </w:pPr>
          </w:p>
        </w:tc>
        <w:tc>
          <w:tcPr>
            <w:tcW w:w="2042"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不可否认性</w:t>
            </w:r>
          </w:p>
        </w:tc>
        <w:tc>
          <w:tcPr>
            <w:tcW w:w="4628" w:type="dxa"/>
            <w:noWrap/>
            <w:tcMar>
              <w:top w:w="60" w:type="dxa"/>
              <w:left w:w="120" w:type="dxa"/>
              <w:bottom w:w="60" w:type="dxa"/>
              <w:right w:w="120" w:type="dxa"/>
            </w:tcMar>
            <w:vAlign w:val="center"/>
          </w:tcPr>
          <w:p>
            <w:pPr>
              <w:widowControl/>
              <w:spacing w:before="100" w:beforeAutospacing="1" w:after="100" w:afterAutospacing="1" w:line="240" w:lineRule="auto"/>
              <w:ind w:firstLine="0" w:firstLineChars="0"/>
              <w:jc w:val="left"/>
              <w:rPr>
                <w:rFonts w:hint="eastAsia" w:ascii="仿宋" w:hAnsi="仿宋" w:eastAsia="仿宋" w:cs="仿宋"/>
                <w:highlight w:val="none"/>
              </w:rPr>
            </w:pPr>
            <w:r>
              <w:rPr>
                <w:rFonts w:hint="eastAsia" w:ascii="仿宋" w:hAnsi="仿宋" w:eastAsia="仿宋" w:cs="仿宋"/>
                <w:highlight w:val="none"/>
              </w:rPr>
              <w:t>保证用户执行关键操作的不可否认性</w:t>
            </w:r>
          </w:p>
        </w:tc>
      </w:tr>
    </w:tbl>
    <w:p>
      <w:pPr>
        <w:pStyle w:val="4"/>
        <w:numPr>
          <w:ilvl w:val="1"/>
          <w:numId w:val="15"/>
        </w:numPr>
        <w:rPr>
          <w:rFonts w:hint="eastAsia"/>
          <w:highlight w:val="none"/>
        </w:rPr>
      </w:pPr>
      <w:r>
        <w:rPr>
          <w:rFonts w:hint="eastAsia"/>
          <w:highlight w:val="none"/>
        </w:rPr>
        <w:t>技术文件要求</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投标人提供的书面技术资料应能确保系统正常运行所需的管理、运营及维护有关的全套文件。技术文件应该全面、完整、详细。投标人提供的技术文件至少应包括：</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 xml:space="preserve"> 系统说明文件； </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 xml:space="preserve"> 技术手册(安装、测试、操作、维护、故障排除等)； </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 xml:space="preserve"> 项目文档，应该包括：</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1</w:t>
      </w: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软件需求说明书</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2</w:t>
      </w: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系统总体设计说明书</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3</w:t>
      </w: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应用软件功能清单</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提供全套技术文件纸介质</w:t>
      </w:r>
      <w:r>
        <w:rPr>
          <w:rFonts w:ascii="宋体" w:hAnsi="宋体" w:eastAsia="宋体" w:cs="宋体"/>
          <w:kern w:val="2"/>
          <w:sz w:val="24"/>
          <w:szCs w:val="24"/>
          <w:highlight w:val="none"/>
        </w:rPr>
        <w:t>3套以及电子文件1套。</w:t>
      </w:r>
    </w:p>
    <w:bookmarkEnd w:id="23"/>
    <w:p>
      <w:pPr>
        <w:pStyle w:val="3"/>
        <w:numPr>
          <w:ilvl w:val="0"/>
          <w:numId w:val="15"/>
        </w:numPr>
        <w:rPr>
          <w:rFonts w:hint="eastAsia" w:asciiTheme="majorEastAsia" w:hAnsiTheme="majorEastAsia" w:eastAsiaTheme="majorEastAsia"/>
          <w:highlight w:val="none"/>
        </w:rPr>
      </w:pPr>
      <w:bookmarkStart w:id="24" w:name="_Toc65170093"/>
      <w:r>
        <w:rPr>
          <w:rFonts w:asciiTheme="majorEastAsia" w:hAnsiTheme="majorEastAsia" w:eastAsiaTheme="majorEastAsia"/>
          <w:highlight w:val="none"/>
        </w:rPr>
        <w:t>项目的变更、解除和终止</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pPr>
        <w:pStyle w:val="190"/>
        <w:adjustRightInd/>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如遇国家、行业管理部门等机构的有关标准和规定调整的，导致本项目内容须做相应调整时，双方应按照公平、合理的原则共同协商修改本项目对应的合同的相关条款。</w:t>
      </w:r>
    </w:p>
    <w:bookmarkEnd w:id="24"/>
    <w:p>
      <w:pPr>
        <w:pStyle w:val="190"/>
        <w:adjustRightInd/>
        <w:ind w:firstLine="0" w:firstLineChars="0"/>
        <w:rPr>
          <w:rFonts w:hint="eastAsia" w:ascii="宋体" w:hAnsi="宋体" w:eastAsia="宋体" w:cs="宋体"/>
          <w:kern w:val="2"/>
          <w:sz w:val="24"/>
          <w:szCs w:val="24"/>
          <w:highlight w:val="none"/>
        </w:rPr>
      </w:pPr>
      <w:bookmarkStart w:id="25" w:name="_GoBack"/>
      <w:bookmarkEnd w:id="25"/>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华文中宋"/>
    <w:panose1 w:val="02010600030101010101"/>
    <w:charset w:val="86"/>
    <w:family w:val="auto"/>
    <w:pitch w:val="default"/>
    <w:sig w:usb0="00000000" w:usb1="00000000" w:usb2="00000016" w:usb3="00000000" w:csb0="0004000F" w:csb1="00000000"/>
  </w:font>
  <w:font w:name="time">
    <w:altName w:val="华文中宋"/>
    <w:panose1 w:val="00000000000000000000"/>
    <w:charset w:val="00"/>
    <w:family w:val="roman"/>
    <w:pitch w:val="default"/>
    <w:sig w:usb0="00000000" w:usb1="00000000" w:usb2="00000000" w:usb3="00000000" w:csb0="00040001"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霞鹜文楷">
    <w:altName w:val="楷体_GB2312"/>
    <w:panose1 w:val="00000000000000000000"/>
    <w:charset w:val="86"/>
    <w:family w:val="roman"/>
    <w:pitch w:val="default"/>
    <w:sig w:usb0="00000000" w:usb1="00000000" w:usb2="04000016" w:usb3="0000A008" w:csb0="6014019F" w:csb1="DFD70000"/>
  </w:font>
  <w:font w:name="PMingLiU">
    <w:altName w:val="文泉驿微米黑"/>
    <w:panose1 w:val="02010601000101010101"/>
    <w:charset w:val="88"/>
    <w:family w:val="roman"/>
    <w:pitch w:val="default"/>
    <w:sig w:usb0="00000000" w:usb1="00000000" w:usb2="00000016" w:usb3="00000000" w:csb0="001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533E2"/>
    <w:multiLevelType w:val="multilevel"/>
    <w:tmpl w:val="B38533E2"/>
    <w:lvl w:ilvl="0" w:tentative="0">
      <w:start w:val="1"/>
      <w:numFmt w:val="decimal"/>
      <w:pStyle w:val="229"/>
      <w:suff w:val="nothing"/>
      <w:lvlText w:val="图%1："/>
      <w:lvlJc w:val="left"/>
      <w:pPr>
        <w:ind w:left="0" w:firstLine="0"/>
      </w:pPr>
      <w:rPr>
        <w:rFonts w:hint="eastAsia" w:eastAsia="仿宋"/>
        <w:b w:val="0"/>
        <w:i w:val="0"/>
        <w:sz w:val="21"/>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1">
    <w:nsid w:val="4A9219AB"/>
    <w:multiLevelType w:val="multilevel"/>
    <w:tmpl w:val="4A9219AB"/>
    <w:lvl w:ilvl="0" w:tentative="0">
      <w:start w:val="1"/>
      <w:numFmt w:val="decimal"/>
      <w:lvlText w:val="%1"/>
      <w:lvlJc w:val="left"/>
      <w:pPr>
        <w:ind w:left="432" w:hanging="432"/>
      </w:pPr>
      <w:rPr>
        <w:rFonts w:hint="eastAsia" w:eastAsia="宋体"/>
        <w:sz w:val="32"/>
      </w:rPr>
    </w:lvl>
    <w:lvl w:ilvl="1" w:tentative="0">
      <w:start w:val="1"/>
      <w:numFmt w:val="decimal"/>
      <w:lvlText w:val="%1.%2"/>
      <w:lvlJc w:val="left"/>
      <w:pPr>
        <w:ind w:left="576" w:hanging="576"/>
      </w:pPr>
      <w:rPr>
        <w:rFonts w:hint="eastAsia" w:eastAsia="宋体"/>
        <w:sz w:val="30"/>
      </w:rPr>
    </w:lvl>
    <w:lvl w:ilvl="2" w:tentative="0">
      <w:start w:val="1"/>
      <w:numFmt w:val="decimal"/>
      <w:lvlText w:val="%1.%2.%3"/>
      <w:lvlJc w:val="left"/>
      <w:pPr>
        <w:ind w:left="794" w:hanging="794"/>
      </w:pPr>
      <w:rPr>
        <w:rFonts w:hint="eastAsia" w:eastAsia="宋体"/>
        <w:sz w:val="28"/>
      </w:rPr>
    </w:lvl>
    <w:lvl w:ilvl="3" w:tentative="0">
      <w:start w:val="1"/>
      <w:numFmt w:val="decimal"/>
      <w:lvlText w:val="%1.%2.%3.%4"/>
      <w:lvlJc w:val="left"/>
      <w:pPr>
        <w:ind w:left="964" w:hanging="964"/>
      </w:pPr>
      <w:rPr>
        <w:rFonts w:hint="eastAsia" w:eastAsia="宋体"/>
        <w:sz w:val="24"/>
      </w:rPr>
    </w:lvl>
    <w:lvl w:ilvl="4" w:tentative="0">
      <w:start w:val="1"/>
      <w:numFmt w:val="decimal"/>
      <w:lvlText w:val="（%1）"/>
      <w:lvlJc w:val="left"/>
      <w:pPr>
        <w:ind w:left="0" w:firstLine="0"/>
      </w:pPr>
      <w:rPr>
        <w:rFonts w:hint="eastAsia" w:eastAsia="宋体"/>
        <w:sz w:val="24"/>
      </w:rPr>
    </w:lvl>
    <w:lvl w:ilvl="5" w:tentative="0">
      <w:start w:val="1"/>
      <w:numFmt w:val="bullet"/>
      <w:lvlText w:val=""/>
      <w:lvlJc w:val="left"/>
      <w:pPr>
        <w:ind w:left="0" w:firstLine="227"/>
      </w:pPr>
      <w:rPr>
        <w:rFonts w:hint="default" w:ascii="Wingdings" w:hAnsi="Wingdings"/>
        <w:color w:val="auto"/>
        <w:sz w:val="24"/>
      </w:rPr>
    </w:lvl>
    <w:lvl w:ilvl="6" w:tentative="0">
      <w:start w:val="1"/>
      <w:numFmt w:val="lowerLetter"/>
      <w:lvlText w:val="（%7）"/>
      <w:lvlJc w:val="left"/>
      <w:pPr>
        <w:ind w:left="0" w:firstLine="0"/>
      </w:pPr>
      <w:rPr>
        <w:rFonts w:hint="eastAsia" w:eastAsia="宋体"/>
        <w:sz w:val="24"/>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2">
    <w:nsid w:val="6350366A"/>
    <w:multiLevelType w:val="multilevel"/>
    <w:tmpl w:val="6350366A"/>
    <w:lvl w:ilvl="0" w:tentative="0">
      <w:start w:val="1"/>
      <w:numFmt w:val="none"/>
      <w:pStyle w:val="16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80C6804"/>
    <w:multiLevelType w:val="multilevel"/>
    <w:tmpl w:val="680C6804"/>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4">
    <w:nsid w:val="79784052"/>
    <w:multiLevelType w:val="multilevel"/>
    <w:tmpl w:val="79784052"/>
    <w:lvl w:ilvl="0" w:tentative="0">
      <w:start w:val="1"/>
      <w:numFmt w:val="upperLetter"/>
      <w:pStyle w:val="222"/>
      <w:lvlText w:val="附录%1"/>
      <w:lvlJc w:val="left"/>
      <w:pPr>
        <w:ind w:left="425" w:hanging="425"/>
      </w:pPr>
      <w:rPr>
        <w:rFonts w:hint="eastAsia" w:eastAsia="华文中宋"/>
        <w:b/>
        <w:sz w:val="36"/>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3"/>
  </w:num>
  <w:num w:numId="2">
    <w:abstractNumId w:val="4"/>
  </w:num>
  <w:num w:numId="3">
    <w:abstractNumId w:val="6"/>
  </w:num>
  <w:num w:numId="4">
    <w:abstractNumId w:val="9"/>
  </w:num>
  <w:num w:numId="5">
    <w:abstractNumId w:val="10"/>
  </w:num>
  <w:num w:numId="6">
    <w:abstractNumId w:val="7"/>
  </w:num>
  <w:num w:numId="7">
    <w:abstractNumId w:val="3"/>
  </w:num>
  <w:num w:numId="8">
    <w:abstractNumId w:val="8"/>
  </w:num>
  <w:num w:numId="9">
    <w:abstractNumId w:val="5"/>
  </w:num>
  <w:num w:numId="10">
    <w:abstractNumId w:val="2"/>
  </w:num>
  <w:num w:numId="11">
    <w:abstractNumId w:val="1"/>
  </w:num>
  <w:num w:numId="12">
    <w:abstractNumId w:val="12"/>
  </w:num>
  <w:num w:numId="13">
    <w:abstractNumId w:val="14"/>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3516"/>
    <w:rsid w:val="0000380E"/>
    <w:rsid w:val="00005AFD"/>
    <w:rsid w:val="0000641B"/>
    <w:rsid w:val="00006563"/>
    <w:rsid w:val="000074F1"/>
    <w:rsid w:val="00007A41"/>
    <w:rsid w:val="00007DA7"/>
    <w:rsid w:val="000106F4"/>
    <w:rsid w:val="00010AC5"/>
    <w:rsid w:val="00012EF0"/>
    <w:rsid w:val="000156DE"/>
    <w:rsid w:val="000165AD"/>
    <w:rsid w:val="000179E9"/>
    <w:rsid w:val="00020C18"/>
    <w:rsid w:val="00021EE6"/>
    <w:rsid w:val="0002280E"/>
    <w:rsid w:val="00022C74"/>
    <w:rsid w:val="00025122"/>
    <w:rsid w:val="000252D5"/>
    <w:rsid w:val="00026997"/>
    <w:rsid w:val="00027A64"/>
    <w:rsid w:val="00031A7A"/>
    <w:rsid w:val="00032D27"/>
    <w:rsid w:val="00035325"/>
    <w:rsid w:val="00035D5B"/>
    <w:rsid w:val="000378D0"/>
    <w:rsid w:val="00037F2C"/>
    <w:rsid w:val="00040AE5"/>
    <w:rsid w:val="00042C2A"/>
    <w:rsid w:val="000430EC"/>
    <w:rsid w:val="000447CB"/>
    <w:rsid w:val="00047435"/>
    <w:rsid w:val="00047915"/>
    <w:rsid w:val="00047D06"/>
    <w:rsid w:val="00050C45"/>
    <w:rsid w:val="00050FBD"/>
    <w:rsid w:val="0005107A"/>
    <w:rsid w:val="0005192C"/>
    <w:rsid w:val="00051BF3"/>
    <w:rsid w:val="0005226C"/>
    <w:rsid w:val="00052929"/>
    <w:rsid w:val="0005299F"/>
    <w:rsid w:val="00052BF9"/>
    <w:rsid w:val="000541D7"/>
    <w:rsid w:val="000545C0"/>
    <w:rsid w:val="0005586D"/>
    <w:rsid w:val="000560C5"/>
    <w:rsid w:val="00056C0E"/>
    <w:rsid w:val="000574A8"/>
    <w:rsid w:val="000574F8"/>
    <w:rsid w:val="00057A49"/>
    <w:rsid w:val="00057B93"/>
    <w:rsid w:val="0006231F"/>
    <w:rsid w:val="000629CE"/>
    <w:rsid w:val="00062A05"/>
    <w:rsid w:val="00062EE6"/>
    <w:rsid w:val="0006344E"/>
    <w:rsid w:val="00063763"/>
    <w:rsid w:val="000649E6"/>
    <w:rsid w:val="00065261"/>
    <w:rsid w:val="0006794B"/>
    <w:rsid w:val="00067DCA"/>
    <w:rsid w:val="00070063"/>
    <w:rsid w:val="0007087A"/>
    <w:rsid w:val="000710EC"/>
    <w:rsid w:val="00072237"/>
    <w:rsid w:val="00072ABE"/>
    <w:rsid w:val="00072EE5"/>
    <w:rsid w:val="00080B39"/>
    <w:rsid w:val="00081894"/>
    <w:rsid w:val="00081973"/>
    <w:rsid w:val="00082597"/>
    <w:rsid w:val="00083950"/>
    <w:rsid w:val="0008452F"/>
    <w:rsid w:val="00084E8E"/>
    <w:rsid w:val="00085A68"/>
    <w:rsid w:val="00090625"/>
    <w:rsid w:val="00090948"/>
    <w:rsid w:val="00091CD1"/>
    <w:rsid w:val="00093752"/>
    <w:rsid w:val="0009460E"/>
    <w:rsid w:val="00094946"/>
    <w:rsid w:val="000951D4"/>
    <w:rsid w:val="000A0FC3"/>
    <w:rsid w:val="000A2146"/>
    <w:rsid w:val="000A2930"/>
    <w:rsid w:val="000A3276"/>
    <w:rsid w:val="000A3C35"/>
    <w:rsid w:val="000A3E30"/>
    <w:rsid w:val="000A5876"/>
    <w:rsid w:val="000A61D0"/>
    <w:rsid w:val="000A6C67"/>
    <w:rsid w:val="000A6DB8"/>
    <w:rsid w:val="000A7596"/>
    <w:rsid w:val="000B08D4"/>
    <w:rsid w:val="000B11A8"/>
    <w:rsid w:val="000B1959"/>
    <w:rsid w:val="000B2E1C"/>
    <w:rsid w:val="000B43DE"/>
    <w:rsid w:val="000B4459"/>
    <w:rsid w:val="000B4B46"/>
    <w:rsid w:val="000B5363"/>
    <w:rsid w:val="000B53BA"/>
    <w:rsid w:val="000B642F"/>
    <w:rsid w:val="000B6C99"/>
    <w:rsid w:val="000C2943"/>
    <w:rsid w:val="000C3F3C"/>
    <w:rsid w:val="000C5A75"/>
    <w:rsid w:val="000C75F7"/>
    <w:rsid w:val="000D0AB2"/>
    <w:rsid w:val="000D225C"/>
    <w:rsid w:val="000D36F2"/>
    <w:rsid w:val="000D4B26"/>
    <w:rsid w:val="000D685C"/>
    <w:rsid w:val="000D74DB"/>
    <w:rsid w:val="000E1E78"/>
    <w:rsid w:val="000E24D6"/>
    <w:rsid w:val="000E3838"/>
    <w:rsid w:val="000E6072"/>
    <w:rsid w:val="000E6D61"/>
    <w:rsid w:val="000E7A23"/>
    <w:rsid w:val="000F1C29"/>
    <w:rsid w:val="000F1E9E"/>
    <w:rsid w:val="000F2B10"/>
    <w:rsid w:val="000F3F72"/>
    <w:rsid w:val="001014AE"/>
    <w:rsid w:val="001055B2"/>
    <w:rsid w:val="001068F0"/>
    <w:rsid w:val="00106AB8"/>
    <w:rsid w:val="00106C9E"/>
    <w:rsid w:val="00106E16"/>
    <w:rsid w:val="0010768B"/>
    <w:rsid w:val="00111701"/>
    <w:rsid w:val="00111930"/>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37B13"/>
    <w:rsid w:val="00142BBB"/>
    <w:rsid w:val="00145512"/>
    <w:rsid w:val="001465BD"/>
    <w:rsid w:val="00147B45"/>
    <w:rsid w:val="00150803"/>
    <w:rsid w:val="00151D83"/>
    <w:rsid w:val="00152B58"/>
    <w:rsid w:val="001535B4"/>
    <w:rsid w:val="001546C9"/>
    <w:rsid w:val="00154FAE"/>
    <w:rsid w:val="00155E77"/>
    <w:rsid w:val="0015619D"/>
    <w:rsid w:val="00156A70"/>
    <w:rsid w:val="00156D74"/>
    <w:rsid w:val="00160A61"/>
    <w:rsid w:val="00160FC0"/>
    <w:rsid w:val="0016429B"/>
    <w:rsid w:val="00164525"/>
    <w:rsid w:val="00164C50"/>
    <w:rsid w:val="00165CB2"/>
    <w:rsid w:val="00166203"/>
    <w:rsid w:val="00166767"/>
    <w:rsid w:val="0017056B"/>
    <w:rsid w:val="001707CB"/>
    <w:rsid w:val="00171477"/>
    <w:rsid w:val="00171958"/>
    <w:rsid w:val="00172A1A"/>
    <w:rsid w:val="00173251"/>
    <w:rsid w:val="00176BED"/>
    <w:rsid w:val="00177101"/>
    <w:rsid w:val="0017759D"/>
    <w:rsid w:val="001804A5"/>
    <w:rsid w:val="00181C94"/>
    <w:rsid w:val="00182C84"/>
    <w:rsid w:val="0018523F"/>
    <w:rsid w:val="00186DC0"/>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A5369"/>
    <w:rsid w:val="001A57C5"/>
    <w:rsid w:val="001B0230"/>
    <w:rsid w:val="001B13AB"/>
    <w:rsid w:val="001B3907"/>
    <w:rsid w:val="001B3B49"/>
    <w:rsid w:val="001B4907"/>
    <w:rsid w:val="001B4C1D"/>
    <w:rsid w:val="001B4DC5"/>
    <w:rsid w:val="001B5505"/>
    <w:rsid w:val="001C2180"/>
    <w:rsid w:val="001C29CC"/>
    <w:rsid w:val="001C3217"/>
    <w:rsid w:val="001C3B98"/>
    <w:rsid w:val="001C6028"/>
    <w:rsid w:val="001C6365"/>
    <w:rsid w:val="001C7F57"/>
    <w:rsid w:val="001D0E79"/>
    <w:rsid w:val="001D13C8"/>
    <w:rsid w:val="001D6049"/>
    <w:rsid w:val="001D6857"/>
    <w:rsid w:val="001D7339"/>
    <w:rsid w:val="001E2750"/>
    <w:rsid w:val="001E4343"/>
    <w:rsid w:val="001E52BB"/>
    <w:rsid w:val="001E660A"/>
    <w:rsid w:val="001F05D6"/>
    <w:rsid w:val="001F5B0A"/>
    <w:rsid w:val="001F640F"/>
    <w:rsid w:val="001F6794"/>
    <w:rsid w:val="001F6F65"/>
    <w:rsid w:val="002002DF"/>
    <w:rsid w:val="0020137F"/>
    <w:rsid w:val="0020232D"/>
    <w:rsid w:val="00203A6F"/>
    <w:rsid w:val="00205646"/>
    <w:rsid w:val="002063F7"/>
    <w:rsid w:val="002114E8"/>
    <w:rsid w:val="002129E5"/>
    <w:rsid w:val="00212AA4"/>
    <w:rsid w:val="00212E13"/>
    <w:rsid w:val="002132D5"/>
    <w:rsid w:val="002163C8"/>
    <w:rsid w:val="002179FE"/>
    <w:rsid w:val="00220CC0"/>
    <w:rsid w:val="00221A36"/>
    <w:rsid w:val="00223296"/>
    <w:rsid w:val="0022329B"/>
    <w:rsid w:val="002240F7"/>
    <w:rsid w:val="0022486F"/>
    <w:rsid w:val="00225314"/>
    <w:rsid w:val="00225DF4"/>
    <w:rsid w:val="00226C70"/>
    <w:rsid w:val="00230C8A"/>
    <w:rsid w:val="00230FAC"/>
    <w:rsid w:val="00231F98"/>
    <w:rsid w:val="002324F8"/>
    <w:rsid w:val="0023355B"/>
    <w:rsid w:val="002348B0"/>
    <w:rsid w:val="00235CDC"/>
    <w:rsid w:val="00235CE6"/>
    <w:rsid w:val="00236E8E"/>
    <w:rsid w:val="00237E76"/>
    <w:rsid w:val="00240BBE"/>
    <w:rsid w:val="00241525"/>
    <w:rsid w:val="00241D87"/>
    <w:rsid w:val="00243C55"/>
    <w:rsid w:val="00243D29"/>
    <w:rsid w:val="00243D5E"/>
    <w:rsid w:val="002451EC"/>
    <w:rsid w:val="00245ED4"/>
    <w:rsid w:val="00246B41"/>
    <w:rsid w:val="0025002B"/>
    <w:rsid w:val="002500DE"/>
    <w:rsid w:val="00252457"/>
    <w:rsid w:val="00252581"/>
    <w:rsid w:val="002535B5"/>
    <w:rsid w:val="002538CB"/>
    <w:rsid w:val="002542BD"/>
    <w:rsid w:val="00254A65"/>
    <w:rsid w:val="0025774E"/>
    <w:rsid w:val="00257D64"/>
    <w:rsid w:val="0026340A"/>
    <w:rsid w:val="002645F2"/>
    <w:rsid w:val="002654EA"/>
    <w:rsid w:val="002704EA"/>
    <w:rsid w:val="0027061A"/>
    <w:rsid w:val="002719CC"/>
    <w:rsid w:val="002730C5"/>
    <w:rsid w:val="0027337C"/>
    <w:rsid w:val="0027602B"/>
    <w:rsid w:val="00277F5E"/>
    <w:rsid w:val="00280084"/>
    <w:rsid w:val="00280490"/>
    <w:rsid w:val="002842D9"/>
    <w:rsid w:val="0028435F"/>
    <w:rsid w:val="00285E74"/>
    <w:rsid w:val="002860B8"/>
    <w:rsid w:val="0029206E"/>
    <w:rsid w:val="00293382"/>
    <w:rsid w:val="00294F51"/>
    <w:rsid w:val="002A2342"/>
    <w:rsid w:val="002A279E"/>
    <w:rsid w:val="002A4FA3"/>
    <w:rsid w:val="002B28D2"/>
    <w:rsid w:val="002B3606"/>
    <w:rsid w:val="002B3D80"/>
    <w:rsid w:val="002B4182"/>
    <w:rsid w:val="002B4402"/>
    <w:rsid w:val="002B48E8"/>
    <w:rsid w:val="002B4946"/>
    <w:rsid w:val="002B4C41"/>
    <w:rsid w:val="002B588D"/>
    <w:rsid w:val="002B7E20"/>
    <w:rsid w:val="002C059F"/>
    <w:rsid w:val="002C07F3"/>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675"/>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0B1"/>
    <w:rsid w:val="00323450"/>
    <w:rsid w:val="00323D93"/>
    <w:rsid w:val="0032489B"/>
    <w:rsid w:val="0032525B"/>
    <w:rsid w:val="00326A7A"/>
    <w:rsid w:val="00326FEE"/>
    <w:rsid w:val="00327E2B"/>
    <w:rsid w:val="0033147C"/>
    <w:rsid w:val="003315D7"/>
    <w:rsid w:val="00334DE6"/>
    <w:rsid w:val="0033536D"/>
    <w:rsid w:val="003353FF"/>
    <w:rsid w:val="003366D2"/>
    <w:rsid w:val="00337C79"/>
    <w:rsid w:val="00337FEF"/>
    <w:rsid w:val="0034084C"/>
    <w:rsid w:val="00340A06"/>
    <w:rsid w:val="00340D5E"/>
    <w:rsid w:val="003420B5"/>
    <w:rsid w:val="00343646"/>
    <w:rsid w:val="00344CCB"/>
    <w:rsid w:val="00345897"/>
    <w:rsid w:val="00351BFC"/>
    <w:rsid w:val="0035575E"/>
    <w:rsid w:val="003565B4"/>
    <w:rsid w:val="00362BF1"/>
    <w:rsid w:val="00362E75"/>
    <w:rsid w:val="003631AA"/>
    <w:rsid w:val="003632D5"/>
    <w:rsid w:val="00363575"/>
    <w:rsid w:val="00364EF9"/>
    <w:rsid w:val="00367579"/>
    <w:rsid w:val="0036795B"/>
    <w:rsid w:val="00370A29"/>
    <w:rsid w:val="003722F9"/>
    <w:rsid w:val="00372349"/>
    <w:rsid w:val="003727B3"/>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D5E"/>
    <w:rsid w:val="00397FA3"/>
    <w:rsid w:val="003A1596"/>
    <w:rsid w:val="003A317E"/>
    <w:rsid w:val="003A345B"/>
    <w:rsid w:val="003A3C55"/>
    <w:rsid w:val="003A49EE"/>
    <w:rsid w:val="003A674D"/>
    <w:rsid w:val="003A7123"/>
    <w:rsid w:val="003B102E"/>
    <w:rsid w:val="003B2167"/>
    <w:rsid w:val="003B29FD"/>
    <w:rsid w:val="003B31A9"/>
    <w:rsid w:val="003B5A23"/>
    <w:rsid w:val="003B5F5D"/>
    <w:rsid w:val="003B62C8"/>
    <w:rsid w:val="003C0C62"/>
    <w:rsid w:val="003C12DC"/>
    <w:rsid w:val="003C2CDA"/>
    <w:rsid w:val="003C3FA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E7523"/>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1D9"/>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6AE5"/>
    <w:rsid w:val="00447BF1"/>
    <w:rsid w:val="00450702"/>
    <w:rsid w:val="00450BA4"/>
    <w:rsid w:val="004511FC"/>
    <w:rsid w:val="0045246D"/>
    <w:rsid w:val="00456784"/>
    <w:rsid w:val="00456DCA"/>
    <w:rsid w:val="00461140"/>
    <w:rsid w:val="004611DB"/>
    <w:rsid w:val="004658B0"/>
    <w:rsid w:val="00465E41"/>
    <w:rsid w:val="0046614B"/>
    <w:rsid w:val="0046678F"/>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278F"/>
    <w:rsid w:val="004939F0"/>
    <w:rsid w:val="00497A33"/>
    <w:rsid w:val="00497DF6"/>
    <w:rsid w:val="004A1112"/>
    <w:rsid w:val="004A1DA0"/>
    <w:rsid w:val="004A1F20"/>
    <w:rsid w:val="004A2393"/>
    <w:rsid w:val="004A2464"/>
    <w:rsid w:val="004A3569"/>
    <w:rsid w:val="004A452A"/>
    <w:rsid w:val="004A5F2C"/>
    <w:rsid w:val="004A6D5E"/>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3143"/>
    <w:rsid w:val="004E4729"/>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DF7"/>
    <w:rsid w:val="004F7F1A"/>
    <w:rsid w:val="004F7FBB"/>
    <w:rsid w:val="005042B3"/>
    <w:rsid w:val="005045AB"/>
    <w:rsid w:val="00505AE7"/>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229A"/>
    <w:rsid w:val="00533625"/>
    <w:rsid w:val="0053487C"/>
    <w:rsid w:val="005356E1"/>
    <w:rsid w:val="00536A8B"/>
    <w:rsid w:val="00540418"/>
    <w:rsid w:val="00541A96"/>
    <w:rsid w:val="00541C6A"/>
    <w:rsid w:val="00542C54"/>
    <w:rsid w:val="00544CB4"/>
    <w:rsid w:val="00546A43"/>
    <w:rsid w:val="00546C70"/>
    <w:rsid w:val="00547258"/>
    <w:rsid w:val="00550CF0"/>
    <w:rsid w:val="005559FE"/>
    <w:rsid w:val="005560D6"/>
    <w:rsid w:val="0055697A"/>
    <w:rsid w:val="00556D07"/>
    <w:rsid w:val="005611F2"/>
    <w:rsid w:val="00561734"/>
    <w:rsid w:val="00561952"/>
    <w:rsid w:val="00564B9A"/>
    <w:rsid w:val="00565694"/>
    <w:rsid w:val="00565D87"/>
    <w:rsid w:val="00566DD6"/>
    <w:rsid w:val="005673DE"/>
    <w:rsid w:val="005714EF"/>
    <w:rsid w:val="00571CEC"/>
    <w:rsid w:val="00572FCE"/>
    <w:rsid w:val="0057383C"/>
    <w:rsid w:val="005750DB"/>
    <w:rsid w:val="005759FC"/>
    <w:rsid w:val="00575B85"/>
    <w:rsid w:val="00576DB9"/>
    <w:rsid w:val="0057738F"/>
    <w:rsid w:val="005776A6"/>
    <w:rsid w:val="005776C9"/>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A54D9"/>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62C8"/>
    <w:rsid w:val="005E7075"/>
    <w:rsid w:val="005E75A7"/>
    <w:rsid w:val="005F38E2"/>
    <w:rsid w:val="005F3DCB"/>
    <w:rsid w:val="005F3EE6"/>
    <w:rsid w:val="005F568F"/>
    <w:rsid w:val="005F6736"/>
    <w:rsid w:val="00602C10"/>
    <w:rsid w:val="00602EBD"/>
    <w:rsid w:val="00604CF2"/>
    <w:rsid w:val="006052CD"/>
    <w:rsid w:val="00606DFF"/>
    <w:rsid w:val="00606FB7"/>
    <w:rsid w:val="006079FB"/>
    <w:rsid w:val="00610533"/>
    <w:rsid w:val="00610CDC"/>
    <w:rsid w:val="00610D32"/>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50BF"/>
    <w:rsid w:val="00626AC8"/>
    <w:rsid w:val="00627912"/>
    <w:rsid w:val="0063195F"/>
    <w:rsid w:val="0063418D"/>
    <w:rsid w:val="00636C0A"/>
    <w:rsid w:val="00637EC6"/>
    <w:rsid w:val="0064240C"/>
    <w:rsid w:val="00642FF5"/>
    <w:rsid w:val="006430FB"/>
    <w:rsid w:val="00643313"/>
    <w:rsid w:val="00643992"/>
    <w:rsid w:val="0064442C"/>
    <w:rsid w:val="00644DBC"/>
    <w:rsid w:val="00645136"/>
    <w:rsid w:val="00646FE6"/>
    <w:rsid w:val="006474CD"/>
    <w:rsid w:val="00647744"/>
    <w:rsid w:val="006479A0"/>
    <w:rsid w:val="006500D9"/>
    <w:rsid w:val="00653B54"/>
    <w:rsid w:val="006541A3"/>
    <w:rsid w:val="00654FAD"/>
    <w:rsid w:val="00655C9F"/>
    <w:rsid w:val="006567FF"/>
    <w:rsid w:val="00656867"/>
    <w:rsid w:val="0066109F"/>
    <w:rsid w:val="006641B5"/>
    <w:rsid w:val="00664B26"/>
    <w:rsid w:val="00665782"/>
    <w:rsid w:val="0066596B"/>
    <w:rsid w:val="00665EEB"/>
    <w:rsid w:val="00670295"/>
    <w:rsid w:val="006704F5"/>
    <w:rsid w:val="00672894"/>
    <w:rsid w:val="00674B47"/>
    <w:rsid w:val="0067609E"/>
    <w:rsid w:val="00677749"/>
    <w:rsid w:val="00680E07"/>
    <w:rsid w:val="00682B9D"/>
    <w:rsid w:val="00683806"/>
    <w:rsid w:val="00686AF9"/>
    <w:rsid w:val="006910C0"/>
    <w:rsid w:val="00691954"/>
    <w:rsid w:val="00691C17"/>
    <w:rsid w:val="0069320E"/>
    <w:rsid w:val="00693D13"/>
    <w:rsid w:val="00694F58"/>
    <w:rsid w:val="006955BC"/>
    <w:rsid w:val="00695915"/>
    <w:rsid w:val="006959E2"/>
    <w:rsid w:val="00696920"/>
    <w:rsid w:val="00697EB9"/>
    <w:rsid w:val="006A20D4"/>
    <w:rsid w:val="006A268D"/>
    <w:rsid w:val="006A350F"/>
    <w:rsid w:val="006A37A8"/>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2D0A"/>
    <w:rsid w:val="006E41CD"/>
    <w:rsid w:val="006E462A"/>
    <w:rsid w:val="006F3BEC"/>
    <w:rsid w:val="00703C00"/>
    <w:rsid w:val="007057CC"/>
    <w:rsid w:val="007066F2"/>
    <w:rsid w:val="00706AE5"/>
    <w:rsid w:val="0070740A"/>
    <w:rsid w:val="00711F93"/>
    <w:rsid w:val="00712940"/>
    <w:rsid w:val="0071428C"/>
    <w:rsid w:val="00715A16"/>
    <w:rsid w:val="007164B0"/>
    <w:rsid w:val="007166FF"/>
    <w:rsid w:val="00717D4C"/>
    <w:rsid w:val="007200AE"/>
    <w:rsid w:val="007260CC"/>
    <w:rsid w:val="00726543"/>
    <w:rsid w:val="0073353E"/>
    <w:rsid w:val="00733A29"/>
    <w:rsid w:val="00736633"/>
    <w:rsid w:val="00741EE7"/>
    <w:rsid w:val="00743A79"/>
    <w:rsid w:val="007444D4"/>
    <w:rsid w:val="0074594D"/>
    <w:rsid w:val="007459F3"/>
    <w:rsid w:val="00746E35"/>
    <w:rsid w:val="007470E2"/>
    <w:rsid w:val="00751157"/>
    <w:rsid w:val="00752061"/>
    <w:rsid w:val="0075232F"/>
    <w:rsid w:val="00753132"/>
    <w:rsid w:val="007550B3"/>
    <w:rsid w:val="00760451"/>
    <w:rsid w:val="0076690E"/>
    <w:rsid w:val="0077182A"/>
    <w:rsid w:val="00771913"/>
    <w:rsid w:val="0077231E"/>
    <w:rsid w:val="00772718"/>
    <w:rsid w:val="00775BCF"/>
    <w:rsid w:val="007818AA"/>
    <w:rsid w:val="00783140"/>
    <w:rsid w:val="007838B6"/>
    <w:rsid w:val="00783E77"/>
    <w:rsid w:val="007906F1"/>
    <w:rsid w:val="0079243D"/>
    <w:rsid w:val="0079264A"/>
    <w:rsid w:val="00794A9B"/>
    <w:rsid w:val="0079583B"/>
    <w:rsid w:val="00796602"/>
    <w:rsid w:val="00797185"/>
    <w:rsid w:val="007976B7"/>
    <w:rsid w:val="00797A7E"/>
    <w:rsid w:val="00797D6F"/>
    <w:rsid w:val="007A4AEB"/>
    <w:rsid w:val="007A5070"/>
    <w:rsid w:val="007B014B"/>
    <w:rsid w:val="007B0D88"/>
    <w:rsid w:val="007B306F"/>
    <w:rsid w:val="007B44ED"/>
    <w:rsid w:val="007B4714"/>
    <w:rsid w:val="007B4E82"/>
    <w:rsid w:val="007C1996"/>
    <w:rsid w:val="007C3773"/>
    <w:rsid w:val="007C3F1F"/>
    <w:rsid w:val="007D2D0D"/>
    <w:rsid w:val="007D3325"/>
    <w:rsid w:val="007D3818"/>
    <w:rsid w:val="007D4032"/>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3D1"/>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395"/>
    <w:rsid w:val="008336F2"/>
    <w:rsid w:val="008345D9"/>
    <w:rsid w:val="008347CB"/>
    <w:rsid w:val="00835647"/>
    <w:rsid w:val="00837A2E"/>
    <w:rsid w:val="00841558"/>
    <w:rsid w:val="00841EC0"/>
    <w:rsid w:val="00842A68"/>
    <w:rsid w:val="008435BA"/>
    <w:rsid w:val="0084558B"/>
    <w:rsid w:val="0084654A"/>
    <w:rsid w:val="00847654"/>
    <w:rsid w:val="00847779"/>
    <w:rsid w:val="00851064"/>
    <w:rsid w:val="00855543"/>
    <w:rsid w:val="008566B3"/>
    <w:rsid w:val="008576B7"/>
    <w:rsid w:val="00857F7B"/>
    <w:rsid w:val="00863BE2"/>
    <w:rsid w:val="00863DA1"/>
    <w:rsid w:val="008654A6"/>
    <w:rsid w:val="00865D86"/>
    <w:rsid w:val="00870495"/>
    <w:rsid w:val="00870EA1"/>
    <w:rsid w:val="008710C5"/>
    <w:rsid w:val="00874438"/>
    <w:rsid w:val="00874E75"/>
    <w:rsid w:val="008767F3"/>
    <w:rsid w:val="00876CEF"/>
    <w:rsid w:val="00877342"/>
    <w:rsid w:val="008803C3"/>
    <w:rsid w:val="00880D69"/>
    <w:rsid w:val="00881450"/>
    <w:rsid w:val="008817C7"/>
    <w:rsid w:val="00881875"/>
    <w:rsid w:val="008848A3"/>
    <w:rsid w:val="00884AF1"/>
    <w:rsid w:val="00885F7A"/>
    <w:rsid w:val="00890712"/>
    <w:rsid w:val="00890D81"/>
    <w:rsid w:val="0089224F"/>
    <w:rsid w:val="00892955"/>
    <w:rsid w:val="00893628"/>
    <w:rsid w:val="008941EB"/>
    <w:rsid w:val="0089545A"/>
    <w:rsid w:val="00895A02"/>
    <w:rsid w:val="008A01EE"/>
    <w:rsid w:val="008A0DAC"/>
    <w:rsid w:val="008A3B78"/>
    <w:rsid w:val="008A4166"/>
    <w:rsid w:val="008A7DBF"/>
    <w:rsid w:val="008B136C"/>
    <w:rsid w:val="008B55EF"/>
    <w:rsid w:val="008B62AB"/>
    <w:rsid w:val="008B6910"/>
    <w:rsid w:val="008C0A20"/>
    <w:rsid w:val="008C0B5C"/>
    <w:rsid w:val="008C1343"/>
    <w:rsid w:val="008C3912"/>
    <w:rsid w:val="008C5598"/>
    <w:rsid w:val="008C69EA"/>
    <w:rsid w:val="008C6F8B"/>
    <w:rsid w:val="008C7AB7"/>
    <w:rsid w:val="008C7FB4"/>
    <w:rsid w:val="008D1EFD"/>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3A42"/>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4F4D"/>
    <w:rsid w:val="00925B91"/>
    <w:rsid w:val="00934461"/>
    <w:rsid w:val="00934F7E"/>
    <w:rsid w:val="00935AE2"/>
    <w:rsid w:val="00936A1C"/>
    <w:rsid w:val="00943E35"/>
    <w:rsid w:val="00945278"/>
    <w:rsid w:val="0094658D"/>
    <w:rsid w:val="00947678"/>
    <w:rsid w:val="00947878"/>
    <w:rsid w:val="009504C2"/>
    <w:rsid w:val="00952033"/>
    <w:rsid w:val="0095254A"/>
    <w:rsid w:val="0095273B"/>
    <w:rsid w:val="00953723"/>
    <w:rsid w:val="009559E1"/>
    <w:rsid w:val="009568D5"/>
    <w:rsid w:val="00957CD3"/>
    <w:rsid w:val="0096269B"/>
    <w:rsid w:val="00963FB0"/>
    <w:rsid w:val="00964392"/>
    <w:rsid w:val="00964C86"/>
    <w:rsid w:val="00965E82"/>
    <w:rsid w:val="009664BB"/>
    <w:rsid w:val="009669F8"/>
    <w:rsid w:val="00966F89"/>
    <w:rsid w:val="00973B5D"/>
    <w:rsid w:val="00977415"/>
    <w:rsid w:val="0097755E"/>
    <w:rsid w:val="00981467"/>
    <w:rsid w:val="00981C24"/>
    <w:rsid w:val="009852F6"/>
    <w:rsid w:val="00985BCF"/>
    <w:rsid w:val="00985DE5"/>
    <w:rsid w:val="00986254"/>
    <w:rsid w:val="00986725"/>
    <w:rsid w:val="0098729E"/>
    <w:rsid w:val="00990067"/>
    <w:rsid w:val="00992977"/>
    <w:rsid w:val="009937D4"/>
    <w:rsid w:val="00993C78"/>
    <w:rsid w:val="009948C7"/>
    <w:rsid w:val="00995850"/>
    <w:rsid w:val="0099796C"/>
    <w:rsid w:val="009A194E"/>
    <w:rsid w:val="009A1EA2"/>
    <w:rsid w:val="009A209E"/>
    <w:rsid w:val="009A3FD7"/>
    <w:rsid w:val="009A5083"/>
    <w:rsid w:val="009A6652"/>
    <w:rsid w:val="009A74FD"/>
    <w:rsid w:val="009A77B1"/>
    <w:rsid w:val="009A7874"/>
    <w:rsid w:val="009B25D8"/>
    <w:rsid w:val="009B3C5B"/>
    <w:rsid w:val="009B42E3"/>
    <w:rsid w:val="009B5859"/>
    <w:rsid w:val="009B7DEB"/>
    <w:rsid w:val="009C6D07"/>
    <w:rsid w:val="009C6D6B"/>
    <w:rsid w:val="009C7CEC"/>
    <w:rsid w:val="009D154D"/>
    <w:rsid w:val="009D18EF"/>
    <w:rsid w:val="009D3BE8"/>
    <w:rsid w:val="009D44E0"/>
    <w:rsid w:val="009D534F"/>
    <w:rsid w:val="009D573B"/>
    <w:rsid w:val="009D59A0"/>
    <w:rsid w:val="009D716A"/>
    <w:rsid w:val="009E1AC4"/>
    <w:rsid w:val="009E20B8"/>
    <w:rsid w:val="009E29A0"/>
    <w:rsid w:val="009E41B5"/>
    <w:rsid w:val="009E4D1F"/>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13A0"/>
    <w:rsid w:val="00A12375"/>
    <w:rsid w:val="00A125B8"/>
    <w:rsid w:val="00A13124"/>
    <w:rsid w:val="00A15370"/>
    <w:rsid w:val="00A156AB"/>
    <w:rsid w:val="00A15A91"/>
    <w:rsid w:val="00A16B8D"/>
    <w:rsid w:val="00A21293"/>
    <w:rsid w:val="00A2134B"/>
    <w:rsid w:val="00A21623"/>
    <w:rsid w:val="00A220EB"/>
    <w:rsid w:val="00A22302"/>
    <w:rsid w:val="00A226A9"/>
    <w:rsid w:val="00A24A4C"/>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3C0C"/>
    <w:rsid w:val="00A54164"/>
    <w:rsid w:val="00A56737"/>
    <w:rsid w:val="00A60002"/>
    <w:rsid w:val="00A603D8"/>
    <w:rsid w:val="00A60AE2"/>
    <w:rsid w:val="00A61834"/>
    <w:rsid w:val="00A618B0"/>
    <w:rsid w:val="00A62790"/>
    <w:rsid w:val="00A6291F"/>
    <w:rsid w:val="00A63F53"/>
    <w:rsid w:val="00A7111E"/>
    <w:rsid w:val="00A72D95"/>
    <w:rsid w:val="00A755B6"/>
    <w:rsid w:val="00A75B1A"/>
    <w:rsid w:val="00A80E7D"/>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B6D74"/>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2BE1"/>
    <w:rsid w:val="00AF30C4"/>
    <w:rsid w:val="00AF38A8"/>
    <w:rsid w:val="00AF63EB"/>
    <w:rsid w:val="00B016D2"/>
    <w:rsid w:val="00B018EC"/>
    <w:rsid w:val="00B060C7"/>
    <w:rsid w:val="00B10F74"/>
    <w:rsid w:val="00B11AB7"/>
    <w:rsid w:val="00B12213"/>
    <w:rsid w:val="00B13710"/>
    <w:rsid w:val="00B21CB9"/>
    <w:rsid w:val="00B2258F"/>
    <w:rsid w:val="00B22881"/>
    <w:rsid w:val="00B23EFC"/>
    <w:rsid w:val="00B24B72"/>
    <w:rsid w:val="00B24F74"/>
    <w:rsid w:val="00B25DB8"/>
    <w:rsid w:val="00B2656C"/>
    <w:rsid w:val="00B266E6"/>
    <w:rsid w:val="00B3094D"/>
    <w:rsid w:val="00B30B04"/>
    <w:rsid w:val="00B311BC"/>
    <w:rsid w:val="00B31493"/>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279B"/>
    <w:rsid w:val="00B43065"/>
    <w:rsid w:val="00B44784"/>
    <w:rsid w:val="00B449D0"/>
    <w:rsid w:val="00B45534"/>
    <w:rsid w:val="00B456AB"/>
    <w:rsid w:val="00B46C2A"/>
    <w:rsid w:val="00B47E8B"/>
    <w:rsid w:val="00B51C67"/>
    <w:rsid w:val="00B53F86"/>
    <w:rsid w:val="00B53FDC"/>
    <w:rsid w:val="00B55431"/>
    <w:rsid w:val="00B55CAE"/>
    <w:rsid w:val="00B576C6"/>
    <w:rsid w:val="00B614A7"/>
    <w:rsid w:val="00B615F2"/>
    <w:rsid w:val="00B61A28"/>
    <w:rsid w:val="00B65C6D"/>
    <w:rsid w:val="00B66B06"/>
    <w:rsid w:val="00B67862"/>
    <w:rsid w:val="00B70634"/>
    <w:rsid w:val="00B70BE4"/>
    <w:rsid w:val="00B73880"/>
    <w:rsid w:val="00B73CF1"/>
    <w:rsid w:val="00B745B3"/>
    <w:rsid w:val="00B7595D"/>
    <w:rsid w:val="00B7599D"/>
    <w:rsid w:val="00B7648F"/>
    <w:rsid w:val="00B76E13"/>
    <w:rsid w:val="00B771EE"/>
    <w:rsid w:val="00B7765B"/>
    <w:rsid w:val="00B77B4B"/>
    <w:rsid w:val="00B80ABC"/>
    <w:rsid w:val="00B814C2"/>
    <w:rsid w:val="00B835AA"/>
    <w:rsid w:val="00B87C4E"/>
    <w:rsid w:val="00B900FE"/>
    <w:rsid w:val="00B9064C"/>
    <w:rsid w:val="00B95DC2"/>
    <w:rsid w:val="00BA0A14"/>
    <w:rsid w:val="00BA228D"/>
    <w:rsid w:val="00BA398D"/>
    <w:rsid w:val="00BA39D3"/>
    <w:rsid w:val="00BA5C56"/>
    <w:rsid w:val="00BA6375"/>
    <w:rsid w:val="00BA776F"/>
    <w:rsid w:val="00BB0C0D"/>
    <w:rsid w:val="00BB0D69"/>
    <w:rsid w:val="00BB366E"/>
    <w:rsid w:val="00BB3AF0"/>
    <w:rsid w:val="00BB4F70"/>
    <w:rsid w:val="00BB67FF"/>
    <w:rsid w:val="00BB78CB"/>
    <w:rsid w:val="00BC0051"/>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149D"/>
    <w:rsid w:val="00BE24B9"/>
    <w:rsid w:val="00BE2AE8"/>
    <w:rsid w:val="00BE2D55"/>
    <w:rsid w:val="00BE38DD"/>
    <w:rsid w:val="00BE4AB1"/>
    <w:rsid w:val="00BE5209"/>
    <w:rsid w:val="00BF0847"/>
    <w:rsid w:val="00BF16C3"/>
    <w:rsid w:val="00BF38E0"/>
    <w:rsid w:val="00BF44FA"/>
    <w:rsid w:val="00BF57E1"/>
    <w:rsid w:val="00C003B4"/>
    <w:rsid w:val="00C00A5F"/>
    <w:rsid w:val="00C014FA"/>
    <w:rsid w:val="00C03F6F"/>
    <w:rsid w:val="00C042E0"/>
    <w:rsid w:val="00C051D9"/>
    <w:rsid w:val="00C06333"/>
    <w:rsid w:val="00C06F68"/>
    <w:rsid w:val="00C075BA"/>
    <w:rsid w:val="00C10A3A"/>
    <w:rsid w:val="00C11E20"/>
    <w:rsid w:val="00C15D16"/>
    <w:rsid w:val="00C20015"/>
    <w:rsid w:val="00C23BDA"/>
    <w:rsid w:val="00C247DD"/>
    <w:rsid w:val="00C25B43"/>
    <w:rsid w:val="00C26A54"/>
    <w:rsid w:val="00C323CD"/>
    <w:rsid w:val="00C3261C"/>
    <w:rsid w:val="00C3318B"/>
    <w:rsid w:val="00C33C20"/>
    <w:rsid w:val="00C35362"/>
    <w:rsid w:val="00C357EA"/>
    <w:rsid w:val="00C36E13"/>
    <w:rsid w:val="00C379F8"/>
    <w:rsid w:val="00C37A1C"/>
    <w:rsid w:val="00C41F03"/>
    <w:rsid w:val="00C42323"/>
    <w:rsid w:val="00C4316E"/>
    <w:rsid w:val="00C43E32"/>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479C"/>
    <w:rsid w:val="00C75017"/>
    <w:rsid w:val="00C765B4"/>
    <w:rsid w:val="00C813EA"/>
    <w:rsid w:val="00C81496"/>
    <w:rsid w:val="00C82CE6"/>
    <w:rsid w:val="00C82E22"/>
    <w:rsid w:val="00C85144"/>
    <w:rsid w:val="00C86738"/>
    <w:rsid w:val="00C86A27"/>
    <w:rsid w:val="00C9140D"/>
    <w:rsid w:val="00C91517"/>
    <w:rsid w:val="00C929BD"/>
    <w:rsid w:val="00C931A2"/>
    <w:rsid w:val="00CA02E1"/>
    <w:rsid w:val="00CA15DA"/>
    <w:rsid w:val="00CA224E"/>
    <w:rsid w:val="00CA3ACF"/>
    <w:rsid w:val="00CA41C5"/>
    <w:rsid w:val="00CA42B7"/>
    <w:rsid w:val="00CA4A53"/>
    <w:rsid w:val="00CA51F5"/>
    <w:rsid w:val="00CB218A"/>
    <w:rsid w:val="00CB225A"/>
    <w:rsid w:val="00CB69E6"/>
    <w:rsid w:val="00CB7418"/>
    <w:rsid w:val="00CB761B"/>
    <w:rsid w:val="00CB7E33"/>
    <w:rsid w:val="00CC0D76"/>
    <w:rsid w:val="00CC13DF"/>
    <w:rsid w:val="00CC1EEE"/>
    <w:rsid w:val="00CC562B"/>
    <w:rsid w:val="00CC6C15"/>
    <w:rsid w:val="00CC7FCF"/>
    <w:rsid w:val="00CD2749"/>
    <w:rsid w:val="00CD2A60"/>
    <w:rsid w:val="00CD306F"/>
    <w:rsid w:val="00CD3971"/>
    <w:rsid w:val="00CD3DAB"/>
    <w:rsid w:val="00CE0DF1"/>
    <w:rsid w:val="00CE3786"/>
    <w:rsid w:val="00CE4027"/>
    <w:rsid w:val="00CE42AE"/>
    <w:rsid w:val="00CE4779"/>
    <w:rsid w:val="00CE47CC"/>
    <w:rsid w:val="00CE68F6"/>
    <w:rsid w:val="00CE7094"/>
    <w:rsid w:val="00CE7E27"/>
    <w:rsid w:val="00CF22AC"/>
    <w:rsid w:val="00CF2F0A"/>
    <w:rsid w:val="00CF6C48"/>
    <w:rsid w:val="00CF79E8"/>
    <w:rsid w:val="00D015AA"/>
    <w:rsid w:val="00D021B8"/>
    <w:rsid w:val="00D03D90"/>
    <w:rsid w:val="00D03EA8"/>
    <w:rsid w:val="00D04024"/>
    <w:rsid w:val="00D0407E"/>
    <w:rsid w:val="00D043EB"/>
    <w:rsid w:val="00D06705"/>
    <w:rsid w:val="00D0674B"/>
    <w:rsid w:val="00D06A9B"/>
    <w:rsid w:val="00D0750D"/>
    <w:rsid w:val="00D07DD8"/>
    <w:rsid w:val="00D1038F"/>
    <w:rsid w:val="00D10BF7"/>
    <w:rsid w:val="00D10FEB"/>
    <w:rsid w:val="00D11E2C"/>
    <w:rsid w:val="00D13E47"/>
    <w:rsid w:val="00D140A0"/>
    <w:rsid w:val="00D200BE"/>
    <w:rsid w:val="00D203D1"/>
    <w:rsid w:val="00D2057A"/>
    <w:rsid w:val="00D21D98"/>
    <w:rsid w:val="00D2317F"/>
    <w:rsid w:val="00D231A9"/>
    <w:rsid w:val="00D23BDB"/>
    <w:rsid w:val="00D24391"/>
    <w:rsid w:val="00D246ED"/>
    <w:rsid w:val="00D2472B"/>
    <w:rsid w:val="00D253DD"/>
    <w:rsid w:val="00D26FFA"/>
    <w:rsid w:val="00D30346"/>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63C8B"/>
    <w:rsid w:val="00D70F55"/>
    <w:rsid w:val="00D70FA5"/>
    <w:rsid w:val="00D74171"/>
    <w:rsid w:val="00D7474C"/>
    <w:rsid w:val="00D8032C"/>
    <w:rsid w:val="00D80CE2"/>
    <w:rsid w:val="00D83080"/>
    <w:rsid w:val="00D84C3D"/>
    <w:rsid w:val="00D84D5F"/>
    <w:rsid w:val="00D851E2"/>
    <w:rsid w:val="00D86084"/>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6056"/>
    <w:rsid w:val="00DA7769"/>
    <w:rsid w:val="00DB00C7"/>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707"/>
    <w:rsid w:val="00DE3B0F"/>
    <w:rsid w:val="00DE3B70"/>
    <w:rsid w:val="00DE5813"/>
    <w:rsid w:val="00DF10B1"/>
    <w:rsid w:val="00DF1FDA"/>
    <w:rsid w:val="00DF3DD0"/>
    <w:rsid w:val="00DF4D50"/>
    <w:rsid w:val="00DF538C"/>
    <w:rsid w:val="00DF6EAA"/>
    <w:rsid w:val="00E021C2"/>
    <w:rsid w:val="00E024A3"/>
    <w:rsid w:val="00E0423D"/>
    <w:rsid w:val="00E057B5"/>
    <w:rsid w:val="00E0581E"/>
    <w:rsid w:val="00E05F60"/>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47BB"/>
    <w:rsid w:val="00E26363"/>
    <w:rsid w:val="00E272A4"/>
    <w:rsid w:val="00E305F9"/>
    <w:rsid w:val="00E306AC"/>
    <w:rsid w:val="00E34446"/>
    <w:rsid w:val="00E3633B"/>
    <w:rsid w:val="00E36870"/>
    <w:rsid w:val="00E374E1"/>
    <w:rsid w:val="00E37B50"/>
    <w:rsid w:val="00E417AB"/>
    <w:rsid w:val="00E43D48"/>
    <w:rsid w:val="00E44DD5"/>
    <w:rsid w:val="00E4542D"/>
    <w:rsid w:val="00E45BE0"/>
    <w:rsid w:val="00E46CAD"/>
    <w:rsid w:val="00E47521"/>
    <w:rsid w:val="00E4760C"/>
    <w:rsid w:val="00E507A6"/>
    <w:rsid w:val="00E51A44"/>
    <w:rsid w:val="00E52CF0"/>
    <w:rsid w:val="00E5375C"/>
    <w:rsid w:val="00E561AD"/>
    <w:rsid w:val="00E57FAF"/>
    <w:rsid w:val="00E60BA9"/>
    <w:rsid w:val="00E63510"/>
    <w:rsid w:val="00E635EA"/>
    <w:rsid w:val="00E655E5"/>
    <w:rsid w:val="00E65F4E"/>
    <w:rsid w:val="00E662E0"/>
    <w:rsid w:val="00E67D5D"/>
    <w:rsid w:val="00E71C7A"/>
    <w:rsid w:val="00E73119"/>
    <w:rsid w:val="00E73E1E"/>
    <w:rsid w:val="00E74663"/>
    <w:rsid w:val="00E767FF"/>
    <w:rsid w:val="00E77D28"/>
    <w:rsid w:val="00E84C91"/>
    <w:rsid w:val="00E84E60"/>
    <w:rsid w:val="00E8556E"/>
    <w:rsid w:val="00E86B2D"/>
    <w:rsid w:val="00E86F4D"/>
    <w:rsid w:val="00E87D08"/>
    <w:rsid w:val="00E90D0E"/>
    <w:rsid w:val="00E91B2D"/>
    <w:rsid w:val="00E92FCA"/>
    <w:rsid w:val="00E939E7"/>
    <w:rsid w:val="00E95CAA"/>
    <w:rsid w:val="00EA0A39"/>
    <w:rsid w:val="00EA0EB2"/>
    <w:rsid w:val="00EA236F"/>
    <w:rsid w:val="00EA3023"/>
    <w:rsid w:val="00EA3E49"/>
    <w:rsid w:val="00EA3FC8"/>
    <w:rsid w:val="00EA4DE8"/>
    <w:rsid w:val="00EA5B8C"/>
    <w:rsid w:val="00EA6DBA"/>
    <w:rsid w:val="00EA7FB9"/>
    <w:rsid w:val="00EB0DC9"/>
    <w:rsid w:val="00EB1383"/>
    <w:rsid w:val="00EB1436"/>
    <w:rsid w:val="00EB252D"/>
    <w:rsid w:val="00EB26E3"/>
    <w:rsid w:val="00EB29FA"/>
    <w:rsid w:val="00EB2CCE"/>
    <w:rsid w:val="00EB385F"/>
    <w:rsid w:val="00EB3E49"/>
    <w:rsid w:val="00EB5FC3"/>
    <w:rsid w:val="00EB6DA9"/>
    <w:rsid w:val="00EC1561"/>
    <w:rsid w:val="00EC22A2"/>
    <w:rsid w:val="00EC3B0E"/>
    <w:rsid w:val="00EC462E"/>
    <w:rsid w:val="00EC6CD8"/>
    <w:rsid w:val="00EC786F"/>
    <w:rsid w:val="00ED1866"/>
    <w:rsid w:val="00ED3134"/>
    <w:rsid w:val="00ED38E2"/>
    <w:rsid w:val="00ED5C44"/>
    <w:rsid w:val="00ED635B"/>
    <w:rsid w:val="00ED713A"/>
    <w:rsid w:val="00EE742D"/>
    <w:rsid w:val="00EF0A22"/>
    <w:rsid w:val="00EF1267"/>
    <w:rsid w:val="00EF180C"/>
    <w:rsid w:val="00EF3B6B"/>
    <w:rsid w:val="00EF4B43"/>
    <w:rsid w:val="00EF6750"/>
    <w:rsid w:val="00EF770B"/>
    <w:rsid w:val="00F02836"/>
    <w:rsid w:val="00F02FB5"/>
    <w:rsid w:val="00F0534E"/>
    <w:rsid w:val="00F05C30"/>
    <w:rsid w:val="00F10F1B"/>
    <w:rsid w:val="00F11F7B"/>
    <w:rsid w:val="00F14179"/>
    <w:rsid w:val="00F15786"/>
    <w:rsid w:val="00F167C5"/>
    <w:rsid w:val="00F20161"/>
    <w:rsid w:val="00F20B5A"/>
    <w:rsid w:val="00F21F0B"/>
    <w:rsid w:val="00F225FB"/>
    <w:rsid w:val="00F236AB"/>
    <w:rsid w:val="00F24EA4"/>
    <w:rsid w:val="00F27087"/>
    <w:rsid w:val="00F2773C"/>
    <w:rsid w:val="00F300B3"/>
    <w:rsid w:val="00F30DB9"/>
    <w:rsid w:val="00F30FB8"/>
    <w:rsid w:val="00F31D68"/>
    <w:rsid w:val="00F33152"/>
    <w:rsid w:val="00F338F2"/>
    <w:rsid w:val="00F34329"/>
    <w:rsid w:val="00F349D3"/>
    <w:rsid w:val="00F3533E"/>
    <w:rsid w:val="00F35B84"/>
    <w:rsid w:val="00F402B5"/>
    <w:rsid w:val="00F4072F"/>
    <w:rsid w:val="00F42839"/>
    <w:rsid w:val="00F44CC0"/>
    <w:rsid w:val="00F450BA"/>
    <w:rsid w:val="00F45F8A"/>
    <w:rsid w:val="00F4684B"/>
    <w:rsid w:val="00F46BE9"/>
    <w:rsid w:val="00F472E6"/>
    <w:rsid w:val="00F47C3B"/>
    <w:rsid w:val="00F506CA"/>
    <w:rsid w:val="00F53A7A"/>
    <w:rsid w:val="00F54FCD"/>
    <w:rsid w:val="00F5785C"/>
    <w:rsid w:val="00F57D9D"/>
    <w:rsid w:val="00F65E3C"/>
    <w:rsid w:val="00F67076"/>
    <w:rsid w:val="00F677FA"/>
    <w:rsid w:val="00F7115A"/>
    <w:rsid w:val="00F717AA"/>
    <w:rsid w:val="00F72714"/>
    <w:rsid w:val="00F73072"/>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92D6E"/>
    <w:rsid w:val="00FA0109"/>
    <w:rsid w:val="00FA2359"/>
    <w:rsid w:val="00FA3FA9"/>
    <w:rsid w:val="00FA458B"/>
    <w:rsid w:val="00FA5EC5"/>
    <w:rsid w:val="00FA7016"/>
    <w:rsid w:val="00FA7174"/>
    <w:rsid w:val="00FA793D"/>
    <w:rsid w:val="00FB020E"/>
    <w:rsid w:val="00FB0F17"/>
    <w:rsid w:val="00FB452C"/>
    <w:rsid w:val="00FB4B9D"/>
    <w:rsid w:val="00FB50ED"/>
    <w:rsid w:val="00FB6E18"/>
    <w:rsid w:val="00FC144B"/>
    <w:rsid w:val="00FC2169"/>
    <w:rsid w:val="00FC28E2"/>
    <w:rsid w:val="00FC3BF6"/>
    <w:rsid w:val="00FC3D22"/>
    <w:rsid w:val="00FC6FE1"/>
    <w:rsid w:val="00FC7480"/>
    <w:rsid w:val="00FD0C3D"/>
    <w:rsid w:val="00FD2F6B"/>
    <w:rsid w:val="00FE064A"/>
    <w:rsid w:val="00FE0B55"/>
    <w:rsid w:val="00FE1E98"/>
    <w:rsid w:val="00FE2452"/>
    <w:rsid w:val="00FE5469"/>
    <w:rsid w:val="00FE66C2"/>
    <w:rsid w:val="00FE684A"/>
    <w:rsid w:val="00FE6F23"/>
    <w:rsid w:val="00FF0F8C"/>
    <w:rsid w:val="00FF1A26"/>
    <w:rsid w:val="00FF2419"/>
    <w:rsid w:val="00FF408B"/>
    <w:rsid w:val="00FF43E1"/>
    <w:rsid w:val="03430854"/>
    <w:rsid w:val="039F5FA6"/>
    <w:rsid w:val="03A9030A"/>
    <w:rsid w:val="03AA0D03"/>
    <w:rsid w:val="05570256"/>
    <w:rsid w:val="06565D7C"/>
    <w:rsid w:val="09305ADA"/>
    <w:rsid w:val="0A56415B"/>
    <w:rsid w:val="0C373810"/>
    <w:rsid w:val="0E8013B7"/>
    <w:rsid w:val="10D604C6"/>
    <w:rsid w:val="11B515E0"/>
    <w:rsid w:val="13A53267"/>
    <w:rsid w:val="13F970D2"/>
    <w:rsid w:val="14AA4136"/>
    <w:rsid w:val="15551E03"/>
    <w:rsid w:val="163A420B"/>
    <w:rsid w:val="17134FF2"/>
    <w:rsid w:val="18E72CD3"/>
    <w:rsid w:val="19413B26"/>
    <w:rsid w:val="1ACE63D1"/>
    <w:rsid w:val="1C6D3688"/>
    <w:rsid w:val="1CC63D0A"/>
    <w:rsid w:val="1D1A09B6"/>
    <w:rsid w:val="1DB31AFF"/>
    <w:rsid w:val="1DC2081A"/>
    <w:rsid w:val="1DD94266"/>
    <w:rsid w:val="1F9D0947"/>
    <w:rsid w:val="1FFB29C6"/>
    <w:rsid w:val="22AF3620"/>
    <w:rsid w:val="22E70AD4"/>
    <w:rsid w:val="23C24781"/>
    <w:rsid w:val="24F1508D"/>
    <w:rsid w:val="266F634F"/>
    <w:rsid w:val="291059EA"/>
    <w:rsid w:val="2A91534D"/>
    <w:rsid w:val="2BBF12EC"/>
    <w:rsid w:val="2BC649D9"/>
    <w:rsid w:val="2F4F27DB"/>
    <w:rsid w:val="31805AB5"/>
    <w:rsid w:val="3515160D"/>
    <w:rsid w:val="36FF286D"/>
    <w:rsid w:val="37931FD2"/>
    <w:rsid w:val="392E76BE"/>
    <w:rsid w:val="39FE4185"/>
    <w:rsid w:val="3AC5307C"/>
    <w:rsid w:val="3B8B56B5"/>
    <w:rsid w:val="3C7D00D8"/>
    <w:rsid w:val="3CA06C0C"/>
    <w:rsid w:val="3E3E7246"/>
    <w:rsid w:val="3EA25851"/>
    <w:rsid w:val="3F6C3757"/>
    <w:rsid w:val="405D6A10"/>
    <w:rsid w:val="41DA6594"/>
    <w:rsid w:val="444C1A75"/>
    <w:rsid w:val="44A3526F"/>
    <w:rsid w:val="44B032F4"/>
    <w:rsid w:val="457D25F7"/>
    <w:rsid w:val="45930300"/>
    <w:rsid w:val="468341CD"/>
    <w:rsid w:val="472C2589"/>
    <w:rsid w:val="4A642911"/>
    <w:rsid w:val="4A760AEB"/>
    <w:rsid w:val="4F3162CA"/>
    <w:rsid w:val="50D95873"/>
    <w:rsid w:val="526102AF"/>
    <w:rsid w:val="528444DA"/>
    <w:rsid w:val="537745D5"/>
    <w:rsid w:val="55031F2F"/>
    <w:rsid w:val="552306F6"/>
    <w:rsid w:val="56E352D5"/>
    <w:rsid w:val="57E435FE"/>
    <w:rsid w:val="582D0655"/>
    <w:rsid w:val="5951205C"/>
    <w:rsid w:val="59D079E8"/>
    <w:rsid w:val="59D40847"/>
    <w:rsid w:val="5AE37F25"/>
    <w:rsid w:val="5B490AE3"/>
    <w:rsid w:val="5CB23D47"/>
    <w:rsid w:val="5FAF09C4"/>
    <w:rsid w:val="608C4642"/>
    <w:rsid w:val="62795572"/>
    <w:rsid w:val="64B518C6"/>
    <w:rsid w:val="64DD6417"/>
    <w:rsid w:val="652E506F"/>
    <w:rsid w:val="66004745"/>
    <w:rsid w:val="66507C2A"/>
    <w:rsid w:val="68A44376"/>
    <w:rsid w:val="691C2BCC"/>
    <w:rsid w:val="6A567F20"/>
    <w:rsid w:val="6C012301"/>
    <w:rsid w:val="6CD97953"/>
    <w:rsid w:val="6D0B213A"/>
    <w:rsid w:val="6ED30FD7"/>
    <w:rsid w:val="6EFBEC55"/>
    <w:rsid w:val="6F125A01"/>
    <w:rsid w:val="6FDE4D3B"/>
    <w:rsid w:val="702F613F"/>
    <w:rsid w:val="727D78FD"/>
    <w:rsid w:val="73CC655F"/>
    <w:rsid w:val="746216F1"/>
    <w:rsid w:val="75287D2D"/>
    <w:rsid w:val="75957445"/>
    <w:rsid w:val="75D01AE1"/>
    <w:rsid w:val="77524363"/>
    <w:rsid w:val="77B917B5"/>
    <w:rsid w:val="78703975"/>
    <w:rsid w:val="7BE420FD"/>
    <w:rsid w:val="7D0D296B"/>
    <w:rsid w:val="7D4E0B54"/>
    <w:rsid w:val="7D503E78"/>
    <w:rsid w:val="7DFD3040"/>
    <w:rsid w:val="7E0160D4"/>
    <w:rsid w:val="7E4A0D41"/>
    <w:rsid w:val="7ED71E7C"/>
    <w:rsid w:val="7FF24064"/>
    <w:rsid w:val="9707B6FA"/>
    <w:rsid w:val="A7FD5E0F"/>
    <w:rsid w:val="BBED7F4E"/>
    <w:rsid w:val="BCFFB4DD"/>
    <w:rsid w:val="BFD701DB"/>
    <w:rsid w:val="E7F729B1"/>
    <w:rsid w:val="EDFBFA8D"/>
    <w:rsid w:val="F7B7A890"/>
    <w:rsid w:val="FB76B014"/>
    <w:rsid w:val="FF3C20C6"/>
    <w:rsid w:val="FFFBD3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3">
    <w:name w:val="heading 1"/>
    <w:basedOn w:val="1"/>
    <w:next w:val="1"/>
    <w:link w:val="128"/>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4">
    <w:name w:val="heading 2"/>
    <w:basedOn w:val="1"/>
    <w:next w:val="1"/>
    <w:link w:val="141"/>
    <w:qFormat/>
    <w:uiPriority w:val="0"/>
    <w:pPr>
      <w:keepNext/>
      <w:keepLines/>
      <w:numPr>
        <w:ilvl w:val="1"/>
        <w:numId w:val="1"/>
      </w:numPr>
      <w:spacing w:before="120" w:after="120"/>
      <w:ind w:firstLine="0" w:firstLineChars="0"/>
      <w:outlineLvl w:val="1"/>
    </w:pPr>
    <w:rPr>
      <w:b/>
      <w:bCs/>
      <w:sz w:val="30"/>
      <w:szCs w:val="32"/>
    </w:rPr>
  </w:style>
  <w:style w:type="paragraph" w:styleId="5">
    <w:name w:val="heading 3"/>
    <w:basedOn w:val="1"/>
    <w:next w:val="1"/>
    <w:link w:val="134"/>
    <w:qFormat/>
    <w:uiPriority w:val="0"/>
    <w:pPr>
      <w:keepNext/>
      <w:keepLines/>
      <w:numPr>
        <w:ilvl w:val="2"/>
        <w:numId w:val="1"/>
      </w:numPr>
      <w:spacing w:before="120" w:after="120"/>
      <w:ind w:firstLine="0" w:firstLineChars="0"/>
      <w:outlineLvl w:val="2"/>
    </w:pPr>
    <w:rPr>
      <w:b/>
      <w:bCs/>
      <w:sz w:val="28"/>
      <w:szCs w:val="28"/>
    </w:rPr>
  </w:style>
  <w:style w:type="paragraph" w:styleId="6">
    <w:name w:val="heading 4"/>
    <w:basedOn w:val="1"/>
    <w:next w:val="1"/>
    <w:link w:val="111"/>
    <w:qFormat/>
    <w:uiPriority w:val="0"/>
    <w:pPr>
      <w:keepNext/>
      <w:keepLines/>
      <w:numPr>
        <w:ilvl w:val="3"/>
        <w:numId w:val="1"/>
      </w:numPr>
      <w:spacing w:before="120" w:after="120"/>
      <w:ind w:firstLine="0" w:firstLineChars="0"/>
      <w:outlineLvl w:val="3"/>
    </w:pPr>
    <w:rPr>
      <w:b/>
      <w:bCs/>
      <w:sz w:val="30"/>
      <w:szCs w:val="30"/>
    </w:rPr>
  </w:style>
  <w:style w:type="paragraph" w:styleId="7">
    <w:name w:val="heading 5"/>
    <w:basedOn w:val="1"/>
    <w:next w:val="1"/>
    <w:link w:val="139"/>
    <w:qFormat/>
    <w:uiPriority w:val="9"/>
    <w:pPr>
      <w:keepNext/>
      <w:keepLines/>
      <w:numPr>
        <w:ilvl w:val="4"/>
        <w:numId w:val="1"/>
      </w:numPr>
      <w:spacing w:before="120" w:after="120"/>
      <w:ind w:firstLine="0" w:firstLineChars="0"/>
      <w:outlineLvl w:val="4"/>
    </w:pPr>
    <w:rPr>
      <w:b/>
      <w:bCs/>
      <w:szCs w:val="28"/>
    </w:rPr>
  </w:style>
  <w:style w:type="paragraph" w:styleId="8">
    <w:name w:val="heading 6"/>
    <w:basedOn w:val="1"/>
    <w:next w:val="1"/>
    <w:link w:val="152"/>
    <w:qFormat/>
    <w:uiPriority w:val="9"/>
    <w:pPr>
      <w:keepNext/>
      <w:keepLines/>
      <w:numPr>
        <w:ilvl w:val="5"/>
        <w:numId w:val="1"/>
      </w:numPr>
      <w:spacing w:before="120" w:after="120"/>
      <w:ind w:firstLine="0" w:firstLineChars="0"/>
      <w:outlineLvl w:val="5"/>
    </w:pPr>
    <w:rPr>
      <w:rFonts w:ascii="Cambria" w:hAnsi="Cambria"/>
      <w:b/>
      <w:bCs/>
    </w:rPr>
  </w:style>
  <w:style w:type="paragraph" w:styleId="9">
    <w:name w:val="heading 7"/>
    <w:basedOn w:val="1"/>
    <w:next w:val="1"/>
    <w:link w:val="125"/>
    <w:qFormat/>
    <w:uiPriority w:val="9"/>
    <w:pPr>
      <w:keepNext/>
      <w:keepLines/>
      <w:numPr>
        <w:ilvl w:val="6"/>
        <w:numId w:val="1"/>
      </w:numPr>
      <w:spacing w:before="240" w:after="64" w:line="319" w:lineRule="auto"/>
      <w:ind w:firstLine="0" w:firstLineChars="0"/>
      <w:outlineLvl w:val="6"/>
    </w:pPr>
    <w:rPr>
      <w:rFonts w:ascii="Times New Roman" w:hAnsi="Times New Roman"/>
      <w:b/>
      <w:bCs/>
      <w:sz w:val="21"/>
    </w:rPr>
  </w:style>
  <w:style w:type="paragraph" w:styleId="10">
    <w:name w:val="heading 8"/>
    <w:basedOn w:val="1"/>
    <w:next w:val="1"/>
    <w:link w:val="151"/>
    <w:qFormat/>
    <w:uiPriority w:val="9"/>
    <w:pPr>
      <w:keepNext/>
      <w:keepLines/>
      <w:numPr>
        <w:ilvl w:val="7"/>
        <w:numId w:val="1"/>
      </w:numPr>
      <w:spacing w:before="240" w:after="64" w:line="319" w:lineRule="auto"/>
      <w:ind w:firstLine="0" w:firstLineChars="0"/>
      <w:outlineLvl w:val="7"/>
    </w:pPr>
    <w:rPr>
      <w:rFonts w:ascii="Cambria" w:hAnsi="Cambria"/>
      <w:sz w:val="21"/>
    </w:rPr>
  </w:style>
  <w:style w:type="paragraph" w:styleId="11">
    <w:name w:val="heading 9"/>
    <w:basedOn w:val="1"/>
    <w:next w:val="1"/>
    <w:link w:val="101"/>
    <w:qFormat/>
    <w:uiPriority w:val="9"/>
    <w:pPr>
      <w:keepNext/>
      <w:keepLines/>
      <w:numPr>
        <w:ilvl w:val="8"/>
        <w:numId w:val="1"/>
      </w:numPr>
      <w:spacing w:before="240" w:after="64" w:line="319" w:lineRule="auto"/>
      <w:ind w:firstLine="0" w:firstLineChars="0"/>
      <w:outlineLvl w:val="8"/>
    </w:pPr>
    <w:rPr>
      <w:rFonts w:ascii="Cambria" w:hAnsi="Cambria"/>
      <w:sz w:val="21"/>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95"/>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560" w:firstLineChars="200"/>
    </w:pPr>
    <w:rPr>
      <w:rFonts w:ascii="Courier New" w:hAnsi="Courier New" w:eastAsia="宋体" w:cs="Courier New"/>
      <w:sz w:val="24"/>
      <w:szCs w:val="24"/>
      <w:lang w:val="en-US" w:eastAsia="zh-CN" w:bidi="ar-SA"/>
    </w:rPr>
  </w:style>
  <w:style w:type="paragraph" w:styleId="12">
    <w:name w:val="List 3"/>
    <w:basedOn w:val="1"/>
    <w:qFormat/>
    <w:uiPriority w:val="0"/>
    <w:pPr>
      <w:widowControl/>
      <w:adjustRightInd w:val="0"/>
      <w:spacing w:line="500" w:lineRule="exact"/>
      <w:ind w:left="100" w:leftChars="400" w:hanging="200" w:hangingChars="200"/>
      <w:contextualSpacing/>
    </w:pPr>
    <w:rPr>
      <w:rFonts w:ascii="仿宋" w:eastAsia="仿宋"/>
      <w:kern w:val="0"/>
      <w:sz w:val="28"/>
      <w:szCs w:val="28"/>
    </w:rPr>
  </w:style>
  <w:style w:type="paragraph" w:styleId="13">
    <w:name w:val="toc 7"/>
    <w:basedOn w:val="1"/>
    <w:next w:val="1"/>
    <w:unhideWhenUsed/>
    <w:qFormat/>
    <w:uiPriority w:val="39"/>
    <w:pPr>
      <w:ind w:left="2520" w:leftChars="1200"/>
    </w:pPr>
    <w:rPr>
      <w:rFonts w:ascii="等线" w:hAnsi="等线" w:eastAsia="等线"/>
      <w:szCs w:val="22"/>
    </w:rPr>
  </w:style>
  <w:style w:type="paragraph" w:styleId="14">
    <w:name w:val="List Number 2"/>
    <w:basedOn w:val="1"/>
    <w:qFormat/>
    <w:uiPriority w:val="0"/>
    <w:pPr>
      <w:widowControl/>
      <w:numPr>
        <w:ilvl w:val="0"/>
        <w:numId w:val="2"/>
      </w:numPr>
      <w:adjustRightInd w:val="0"/>
      <w:spacing w:line="500" w:lineRule="exact"/>
      <w:contextualSpacing/>
    </w:pPr>
    <w:rPr>
      <w:rFonts w:ascii="仿宋" w:eastAsia="仿宋"/>
      <w:kern w:val="0"/>
      <w:sz w:val="28"/>
      <w:szCs w:val="28"/>
    </w:rPr>
  </w:style>
  <w:style w:type="paragraph" w:styleId="15">
    <w:name w:val="table of authorities"/>
    <w:basedOn w:val="1"/>
    <w:next w:val="1"/>
    <w:qFormat/>
    <w:uiPriority w:val="0"/>
    <w:pPr>
      <w:widowControl/>
      <w:adjustRightInd w:val="0"/>
      <w:spacing w:line="500" w:lineRule="exact"/>
      <w:ind w:left="420" w:leftChars="200" w:firstLine="0"/>
    </w:pPr>
    <w:rPr>
      <w:rFonts w:ascii="仿宋" w:eastAsia="仿宋"/>
      <w:kern w:val="0"/>
      <w:sz w:val="28"/>
      <w:szCs w:val="28"/>
    </w:rPr>
  </w:style>
  <w:style w:type="paragraph" w:styleId="16">
    <w:name w:val="Note Heading"/>
    <w:basedOn w:val="1"/>
    <w:next w:val="1"/>
    <w:link w:val="196"/>
    <w:qFormat/>
    <w:uiPriority w:val="0"/>
    <w:pPr>
      <w:widowControl/>
      <w:adjustRightInd w:val="0"/>
      <w:spacing w:line="500" w:lineRule="exact"/>
      <w:ind w:firstLine="560"/>
      <w:jc w:val="center"/>
    </w:pPr>
    <w:rPr>
      <w:rFonts w:ascii="仿宋" w:eastAsia="仿宋"/>
      <w:kern w:val="0"/>
      <w:sz w:val="28"/>
      <w:szCs w:val="28"/>
    </w:rPr>
  </w:style>
  <w:style w:type="paragraph" w:styleId="17">
    <w:name w:val="List Bullet 4"/>
    <w:basedOn w:val="1"/>
    <w:qFormat/>
    <w:uiPriority w:val="0"/>
    <w:pPr>
      <w:widowControl/>
      <w:numPr>
        <w:ilvl w:val="0"/>
        <w:numId w:val="3"/>
      </w:numPr>
      <w:adjustRightInd w:val="0"/>
      <w:spacing w:line="500" w:lineRule="exact"/>
      <w:contextualSpacing/>
    </w:pPr>
    <w:rPr>
      <w:rFonts w:ascii="仿宋" w:eastAsia="仿宋"/>
      <w:kern w:val="0"/>
      <w:sz w:val="28"/>
      <w:szCs w:val="28"/>
    </w:rPr>
  </w:style>
  <w:style w:type="paragraph" w:styleId="18">
    <w:name w:val="index 8"/>
    <w:basedOn w:val="1"/>
    <w:next w:val="1"/>
    <w:qFormat/>
    <w:uiPriority w:val="0"/>
    <w:pPr>
      <w:widowControl/>
      <w:adjustRightInd w:val="0"/>
      <w:spacing w:line="500" w:lineRule="exact"/>
      <w:ind w:left="1400" w:leftChars="1400" w:firstLine="0"/>
    </w:pPr>
    <w:rPr>
      <w:rFonts w:ascii="仿宋" w:eastAsia="仿宋"/>
      <w:kern w:val="0"/>
      <w:sz w:val="28"/>
      <w:szCs w:val="28"/>
    </w:rPr>
  </w:style>
  <w:style w:type="paragraph" w:styleId="19">
    <w:name w:val="E-mail Signature"/>
    <w:basedOn w:val="1"/>
    <w:link w:val="197"/>
    <w:qFormat/>
    <w:uiPriority w:val="0"/>
    <w:pPr>
      <w:widowControl/>
      <w:adjustRightInd w:val="0"/>
      <w:spacing w:line="500" w:lineRule="exact"/>
      <w:ind w:firstLine="560"/>
    </w:pPr>
    <w:rPr>
      <w:rFonts w:ascii="仿宋" w:eastAsia="仿宋"/>
      <w:kern w:val="0"/>
      <w:sz w:val="28"/>
      <w:szCs w:val="28"/>
    </w:rPr>
  </w:style>
  <w:style w:type="paragraph" w:styleId="20">
    <w:name w:val="List Number"/>
    <w:basedOn w:val="1"/>
    <w:qFormat/>
    <w:uiPriority w:val="0"/>
    <w:pPr>
      <w:widowControl/>
      <w:numPr>
        <w:ilvl w:val="0"/>
        <w:numId w:val="4"/>
      </w:numPr>
      <w:adjustRightInd w:val="0"/>
      <w:spacing w:line="500" w:lineRule="exact"/>
      <w:contextualSpacing/>
    </w:pPr>
    <w:rPr>
      <w:rFonts w:ascii="仿宋" w:eastAsia="仿宋"/>
      <w:kern w:val="0"/>
      <w:sz w:val="28"/>
      <w:szCs w:val="28"/>
    </w:rPr>
  </w:style>
  <w:style w:type="paragraph" w:styleId="21">
    <w:name w:val="Normal Indent"/>
    <w:basedOn w:val="1"/>
    <w:unhideWhenUsed/>
    <w:qFormat/>
    <w:uiPriority w:val="0"/>
    <w:pPr>
      <w:spacing w:line="240" w:lineRule="auto"/>
      <w:ind w:firstLine="420"/>
    </w:pPr>
    <w:rPr>
      <w:rFonts w:ascii="Calibri" w:hAnsi="Calibri"/>
      <w:sz w:val="21"/>
    </w:rPr>
  </w:style>
  <w:style w:type="paragraph" w:styleId="22">
    <w:name w:val="caption"/>
    <w:basedOn w:val="1"/>
    <w:next w:val="1"/>
    <w:link w:val="107"/>
    <w:qFormat/>
    <w:uiPriority w:val="0"/>
    <w:pPr>
      <w:spacing w:afterLines="50"/>
      <w:ind w:firstLine="200"/>
    </w:pPr>
    <w:rPr>
      <w:rFonts w:ascii="Arial" w:hAnsi="Arial" w:eastAsia="黑体"/>
      <w:sz w:val="20"/>
      <w:szCs w:val="20"/>
    </w:rPr>
  </w:style>
  <w:style w:type="paragraph" w:styleId="23">
    <w:name w:val="index 5"/>
    <w:basedOn w:val="1"/>
    <w:next w:val="1"/>
    <w:qFormat/>
    <w:uiPriority w:val="0"/>
    <w:pPr>
      <w:widowControl/>
      <w:adjustRightInd w:val="0"/>
      <w:spacing w:line="500" w:lineRule="exact"/>
      <w:ind w:left="800" w:leftChars="800" w:firstLine="0"/>
    </w:pPr>
    <w:rPr>
      <w:rFonts w:ascii="仿宋" w:eastAsia="仿宋"/>
      <w:kern w:val="0"/>
      <w:sz w:val="28"/>
      <w:szCs w:val="28"/>
    </w:rPr>
  </w:style>
  <w:style w:type="paragraph" w:styleId="24">
    <w:name w:val="List Bullet"/>
    <w:basedOn w:val="1"/>
    <w:qFormat/>
    <w:uiPriority w:val="0"/>
    <w:pPr>
      <w:widowControl/>
      <w:numPr>
        <w:ilvl w:val="0"/>
        <w:numId w:val="5"/>
      </w:numPr>
      <w:adjustRightInd w:val="0"/>
      <w:spacing w:line="500" w:lineRule="exact"/>
      <w:contextualSpacing/>
    </w:pPr>
    <w:rPr>
      <w:rFonts w:ascii="仿宋" w:eastAsia="仿宋"/>
      <w:kern w:val="0"/>
      <w:sz w:val="28"/>
      <w:szCs w:val="28"/>
    </w:rPr>
  </w:style>
  <w:style w:type="paragraph" w:styleId="25">
    <w:name w:val="envelope address"/>
    <w:basedOn w:val="1"/>
    <w:qFormat/>
    <w:uiPriority w:val="0"/>
    <w:pPr>
      <w:framePr w:w="7920" w:h="1980" w:hRule="exact" w:hSpace="180" w:wrap="around" w:vAnchor="margin" w:hAnchor="page" w:xAlign="center" w:yAlign="bottom"/>
      <w:widowControl/>
      <w:adjustRightInd w:val="0"/>
      <w:snapToGrid w:val="0"/>
      <w:spacing w:line="500" w:lineRule="exact"/>
      <w:ind w:left="100" w:leftChars="1400" w:firstLine="560"/>
    </w:pPr>
    <w:rPr>
      <w:rFonts w:asciiTheme="majorHAnsi" w:hAnsiTheme="majorHAnsi" w:eastAsiaTheme="majorEastAsia" w:cstheme="majorBidi"/>
      <w:kern w:val="0"/>
    </w:rPr>
  </w:style>
  <w:style w:type="paragraph" w:styleId="26">
    <w:name w:val="Document Map"/>
    <w:basedOn w:val="1"/>
    <w:link w:val="144"/>
    <w:qFormat/>
    <w:uiPriority w:val="0"/>
    <w:rPr>
      <w:rFonts w:hAnsi="Times New Roman"/>
      <w:sz w:val="18"/>
      <w:szCs w:val="18"/>
    </w:rPr>
  </w:style>
  <w:style w:type="paragraph" w:styleId="27">
    <w:name w:val="toa heading"/>
    <w:basedOn w:val="1"/>
    <w:next w:val="1"/>
    <w:qFormat/>
    <w:uiPriority w:val="0"/>
    <w:pPr>
      <w:widowControl/>
      <w:adjustRightInd w:val="0"/>
      <w:spacing w:before="120" w:line="500" w:lineRule="exact"/>
      <w:ind w:firstLine="560"/>
    </w:pPr>
    <w:rPr>
      <w:rFonts w:asciiTheme="majorHAnsi" w:hAnsiTheme="majorHAnsi" w:eastAsiaTheme="majorEastAsia" w:cstheme="majorBidi"/>
      <w:kern w:val="0"/>
    </w:rPr>
  </w:style>
  <w:style w:type="paragraph" w:styleId="28">
    <w:name w:val="annotation text"/>
    <w:basedOn w:val="1"/>
    <w:link w:val="98"/>
    <w:qFormat/>
    <w:uiPriority w:val="99"/>
    <w:pPr>
      <w:jc w:val="left"/>
    </w:pPr>
    <w:rPr>
      <w:rFonts w:ascii="Times New Roman" w:hAnsi="Times New Roman" w:eastAsia="仿宋"/>
      <w:sz w:val="28"/>
    </w:rPr>
  </w:style>
  <w:style w:type="paragraph" w:styleId="29">
    <w:name w:val="index 6"/>
    <w:basedOn w:val="1"/>
    <w:next w:val="1"/>
    <w:qFormat/>
    <w:uiPriority w:val="0"/>
    <w:pPr>
      <w:widowControl/>
      <w:adjustRightInd w:val="0"/>
      <w:spacing w:line="500" w:lineRule="exact"/>
      <w:ind w:left="1000" w:leftChars="1000" w:firstLine="0"/>
    </w:pPr>
    <w:rPr>
      <w:rFonts w:ascii="仿宋" w:eastAsia="仿宋"/>
      <w:kern w:val="0"/>
      <w:sz w:val="28"/>
      <w:szCs w:val="28"/>
    </w:rPr>
  </w:style>
  <w:style w:type="paragraph" w:styleId="30">
    <w:name w:val="Salutation"/>
    <w:basedOn w:val="1"/>
    <w:next w:val="1"/>
    <w:link w:val="198"/>
    <w:qFormat/>
    <w:uiPriority w:val="0"/>
    <w:pPr>
      <w:widowControl/>
      <w:adjustRightInd w:val="0"/>
      <w:spacing w:line="500" w:lineRule="exact"/>
      <w:ind w:firstLine="560"/>
    </w:pPr>
    <w:rPr>
      <w:rFonts w:ascii="仿宋" w:eastAsia="仿宋"/>
      <w:kern w:val="0"/>
      <w:sz w:val="28"/>
      <w:szCs w:val="28"/>
    </w:rPr>
  </w:style>
  <w:style w:type="paragraph" w:styleId="31">
    <w:name w:val="Body Text 3"/>
    <w:basedOn w:val="1"/>
    <w:link w:val="199"/>
    <w:qFormat/>
    <w:uiPriority w:val="0"/>
    <w:pPr>
      <w:widowControl/>
      <w:adjustRightInd w:val="0"/>
      <w:spacing w:after="120" w:line="500" w:lineRule="exact"/>
      <w:ind w:firstLine="560"/>
    </w:pPr>
    <w:rPr>
      <w:rFonts w:ascii="仿宋" w:eastAsia="仿宋"/>
      <w:kern w:val="0"/>
      <w:sz w:val="16"/>
      <w:szCs w:val="16"/>
    </w:rPr>
  </w:style>
  <w:style w:type="paragraph" w:styleId="32">
    <w:name w:val="Closing"/>
    <w:basedOn w:val="1"/>
    <w:link w:val="200"/>
    <w:qFormat/>
    <w:uiPriority w:val="0"/>
    <w:pPr>
      <w:widowControl/>
      <w:adjustRightInd w:val="0"/>
      <w:spacing w:line="500" w:lineRule="exact"/>
      <w:ind w:left="100" w:leftChars="2100" w:firstLine="560"/>
    </w:pPr>
    <w:rPr>
      <w:rFonts w:ascii="仿宋" w:eastAsia="仿宋"/>
      <w:kern w:val="0"/>
      <w:sz w:val="28"/>
      <w:szCs w:val="28"/>
    </w:rPr>
  </w:style>
  <w:style w:type="paragraph" w:styleId="33">
    <w:name w:val="List Bullet 3"/>
    <w:basedOn w:val="1"/>
    <w:qFormat/>
    <w:uiPriority w:val="0"/>
    <w:pPr>
      <w:widowControl/>
      <w:numPr>
        <w:ilvl w:val="0"/>
        <w:numId w:val="6"/>
      </w:numPr>
      <w:adjustRightInd w:val="0"/>
      <w:spacing w:line="500" w:lineRule="exact"/>
      <w:contextualSpacing/>
    </w:pPr>
    <w:rPr>
      <w:rFonts w:ascii="仿宋" w:eastAsia="仿宋"/>
      <w:kern w:val="0"/>
      <w:sz w:val="28"/>
      <w:szCs w:val="28"/>
    </w:rPr>
  </w:style>
  <w:style w:type="paragraph" w:styleId="34">
    <w:name w:val="Body Text"/>
    <w:basedOn w:val="1"/>
    <w:link w:val="112"/>
    <w:unhideWhenUsed/>
    <w:qFormat/>
    <w:uiPriority w:val="0"/>
    <w:pPr>
      <w:spacing w:after="120" w:line="240" w:lineRule="auto"/>
      <w:ind w:firstLine="0" w:firstLineChars="0"/>
    </w:pPr>
    <w:rPr>
      <w:rFonts w:ascii="Times New Roman" w:hAnsi="Times New Roman"/>
      <w:sz w:val="21"/>
    </w:rPr>
  </w:style>
  <w:style w:type="paragraph" w:styleId="35">
    <w:name w:val="Body Text Indent"/>
    <w:basedOn w:val="1"/>
    <w:link w:val="138"/>
    <w:qFormat/>
    <w:uiPriority w:val="0"/>
    <w:pPr>
      <w:spacing w:after="120"/>
      <w:ind w:firstLine="200"/>
    </w:pPr>
    <w:rPr>
      <w:rFonts w:ascii="Times New Roman" w:hAnsi="Times New Roman"/>
      <w:sz w:val="21"/>
      <w:szCs w:val="20"/>
    </w:rPr>
  </w:style>
  <w:style w:type="paragraph" w:styleId="36">
    <w:name w:val="List Number 3"/>
    <w:basedOn w:val="1"/>
    <w:qFormat/>
    <w:uiPriority w:val="0"/>
    <w:pPr>
      <w:widowControl/>
      <w:numPr>
        <w:ilvl w:val="0"/>
        <w:numId w:val="7"/>
      </w:numPr>
      <w:adjustRightInd w:val="0"/>
      <w:spacing w:line="500" w:lineRule="exact"/>
      <w:contextualSpacing/>
    </w:pPr>
    <w:rPr>
      <w:rFonts w:ascii="仿宋" w:eastAsia="仿宋"/>
      <w:kern w:val="0"/>
      <w:sz w:val="28"/>
      <w:szCs w:val="28"/>
    </w:rPr>
  </w:style>
  <w:style w:type="paragraph" w:styleId="37">
    <w:name w:val="List 2"/>
    <w:basedOn w:val="1"/>
    <w:qFormat/>
    <w:uiPriority w:val="0"/>
    <w:pPr>
      <w:widowControl/>
      <w:adjustRightInd w:val="0"/>
      <w:spacing w:line="500" w:lineRule="exact"/>
      <w:ind w:left="100" w:leftChars="200" w:hanging="200" w:hangingChars="200"/>
      <w:contextualSpacing/>
    </w:pPr>
    <w:rPr>
      <w:rFonts w:ascii="仿宋" w:eastAsia="仿宋"/>
      <w:kern w:val="0"/>
      <w:sz w:val="28"/>
      <w:szCs w:val="28"/>
    </w:rPr>
  </w:style>
  <w:style w:type="paragraph" w:styleId="38">
    <w:name w:val="List Continue"/>
    <w:basedOn w:val="1"/>
    <w:qFormat/>
    <w:uiPriority w:val="0"/>
    <w:pPr>
      <w:widowControl/>
      <w:adjustRightInd w:val="0"/>
      <w:spacing w:after="120" w:line="500" w:lineRule="exact"/>
      <w:ind w:left="420" w:leftChars="200" w:firstLine="560"/>
      <w:contextualSpacing/>
    </w:pPr>
    <w:rPr>
      <w:rFonts w:ascii="仿宋" w:eastAsia="仿宋"/>
      <w:kern w:val="0"/>
      <w:sz w:val="28"/>
      <w:szCs w:val="28"/>
    </w:rPr>
  </w:style>
  <w:style w:type="paragraph" w:styleId="39">
    <w:name w:val="Block Text"/>
    <w:basedOn w:val="1"/>
    <w:qFormat/>
    <w:uiPriority w:val="0"/>
    <w:pPr>
      <w:widowControl/>
      <w:adjustRightInd w:val="0"/>
      <w:spacing w:after="120" w:line="500" w:lineRule="exact"/>
      <w:ind w:left="1440" w:leftChars="700" w:right="1440" w:rightChars="700" w:firstLine="560"/>
    </w:pPr>
    <w:rPr>
      <w:rFonts w:ascii="仿宋" w:eastAsia="仿宋"/>
      <w:kern w:val="0"/>
      <w:sz w:val="28"/>
      <w:szCs w:val="28"/>
    </w:rPr>
  </w:style>
  <w:style w:type="paragraph" w:styleId="40">
    <w:name w:val="List Bullet 2"/>
    <w:basedOn w:val="1"/>
    <w:qFormat/>
    <w:uiPriority w:val="0"/>
    <w:pPr>
      <w:widowControl/>
      <w:numPr>
        <w:ilvl w:val="0"/>
        <w:numId w:val="8"/>
      </w:numPr>
      <w:adjustRightInd w:val="0"/>
      <w:spacing w:line="500" w:lineRule="exact"/>
      <w:contextualSpacing/>
    </w:pPr>
    <w:rPr>
      <w:rFonts w:ascii="仿宋" w:eastAsia="仿宋"/>
      <w:kern w:val="0"/>
      <w:sz w:val="28"/>
      <w:szCs w:val="28"/>
    </w:rPr>
  </w:style>
  <w:style w:type="paragraph" w:styleId="41">
    <w:name w:val="HTML Address"/>
    <w:basedOn w:val="1"/>
    <w:link w:val="201"/>
    <w:qFormat/>
    <w:uiPriority w:val="0"/>
    <w:pPr>
      <w:widowControl/>
      <w:adjustRightInd w:val="0"/>
      <w:spacing w:line="500" w:lineRule="exact"/>
      <w:ind w:firstLine="560"/>
    </w:pPr>
    <w:rPr>
      <w:rFonts w:ascii="仿宋" w:eastAsia="仿宋"/>
      <w:i/>
      <w:iCs/>
      <w:kern w:val="0"/>
      <w:sz w:val="28"/>
      <w:szCs w:val="28"/>
    </w:rPr>
  </w:style>
  <w:style w:type="paragraph" w:styleId="42">
    <w:name w:val="index 4"/>
    <w:basedOn w:val="1"/>
    <w:next w:val="1"/>
    <w:qFormat/>
    <w:uiPriority w:val="0"/>
    <w:pPr>
      <w:widowControl/>
      <w:adjustRightInd w:val="0"/>
      <w:spacing w:line="500" w:lineRule="exact"/>
      <w:ind w:left="600" w:leftChars="600" w:firstLine="0"/>
    </w:pPr>
    <w:rPr>
      <w:rFonts w:ascii="仿宋" w:eastAsia="仿宋"/>
      <w:kern w:val="0"/>
      <w:sz w:val="28"/>
      <w:szCs w:val="28"/>
    </w:rPr>
  </w:style>
  <w:style w:type="paragraph" w:styleId="43">
    <w:name w:val="toc 5"/>
    <w:basedOn w:val="1"/>
    <w:next w:val="1"/>
    <w:unhideWhenUsed/>
    <w:qFormat/>
    <w:uiPriority w:val="39"/>
    <w:pPr>
      <w:ind w:left="1680" w:leftChars="800"/>
    </w:pPr>
    <w:rPr>
      <w:rFonts w:ascii="等线" w:hAnsi="等线" w:eastAsia="等线"/>
      <w:szCs w:val="22"/>
    </w:rPr>
  </w:style>
  <w:style w:type="paragraph" w:styleId="44">
    <w:name w:val="toc 3"/>
    <w:basedOn w:val="1"/>
    <w:next w:val="1"/>
    <w:qFormat/>
    <w:uiPriority w:val="39"/>
    <w:pPr>
      <w:tabs>
        <w:tab w:val="right" w:leader="dot" w:pos="8302"/>
      </w:tabs>
      <w:ind w:left="840" w:leftChars="400"/>
    </w:pPr>
  </w:style>
  <w:style w:type="paragraph" w:styleId="45">
    <w:name w:val="Plain Text"/>
    <w:basedOn w:val="1"/>
    <w:link w:val="119"/>
    <w:qFormat/>
    <w:uiPriority w:val="0"/>
    <w:pPr>
      <w:spacing w:line="240" w:lineRule="auto"/>
      <w:ind w:firstLine="0" w:firstLineChars="0"/>
    </w:pPr>
    <w:rPr>
      <w:rFonts w:hAnsi="Courier New"/>
      <w:sz w:val="21"/>
      <w:szCs w:val="20"/>
    </w:rPr>
  </w:style>
  <w:style w:type="paragraph" w:styleId="46">
    <w:name w:val="List Bullet 5"/>
    <w:basedOn w:val="1"/>
    <w:qFormat/>
    <w:uiPriority w:val="0"/>
    <w:pPr>
      <w:widowControl/>
      <w:numPr>
        <w:ilvl w:val="0"/>
        <w:numId w:val="9"/>
      </w:numPr>
      <w:adjustRightInd w:val="0"/>
      <w:spacing w:line="500" w:lineRule="exact"/>
      <w:contextualSpacing/>
    </w:pPr>
    <w:rPr>
      <w:rFonts w:ascii="仿宋" w:eastAsia="仿宋"/>
      <w:kern w:val="0"/>
      <w:sz w:val="28"/>
      <w:szCs w:val="28"/>
    </w:rPr>
  </w:style>
  <w:style w:type="paragraph" w:styleId="47">
    <w:name w:val="List Number 4"/>
    <w:basedOn w:val="1"/>
    <w:qFormat/>
    <w:uiPriority w:val="0"/>
    <w:pPr>
      <w:widowControl/>
      <w:numPr>
        <w:ilvl w:val="0"/>
        <w:numId w:val="10"/>
      </w:numPr>
      <w:adjustRightInd w:val="0"/>
      <w:spacing w:line="500" w:lineRule="exact"/>
      <w:contextualSpacing/>
    </w:pPr>
    <w:rPr>
      <w:rFonts w:ascii="仿宋" w:eastAsia="仿宋"/>
      <w:kern w:val="0"/>
      <w:sz w:val="28"/>
      <w:szCs w:val="28"/>
    </w:rPr>
  </w:style>
  <w:style w:type="paragraph" w:styleId="48">
    <w:name w:val="toc 8"/>
    <w:basedOn w:val="1"/>
    <w:next w:val="1"/>
    <w:unhideWhenUsed/>
    <w:qFormat/>
    <w:uiPriority w:val="39"/>
    <w:pPr>
      <w:ind w:left="2940" w:leftChars="1400"/>
    </w:pPr>
    <w:rPr>
      <w:rFonts w:ascii="等线" w:hAnsi="等线" w:eastAsia="等线"/>
      <w:szCs w:val="22"/>
    </w:rPr>
  </w:style>
  <w:style w:type="paragraph" w:styleId="49">
    <w:name w:val="index 3"/>
    <w:basedOn w:val="1"/>
    <w:next w:val="1"/>
    <w:qFormat/>
    <w:uiPriority w:val="0"/>
    <w:pPr>
      <w:widowControl/>
      <w:adjustRightInd w:val="0"/>
      <w:spacing w:line="500" w:lineRule="exact"/>
      <w:ind w:left="400" w:leftChars="400" w:firstLine="0"/>
    </w:pPr>
    <w:rPr>
      <w:rFonts w:ascii="仿宋" w:eastAsia="仿宋"/>
      <w:kern w:val="0"/>
      <w:sz w:val="28"/>
      <w:szCs w:val="28"/>
    </w:rPr>
  </w:style>
  <w:style w:type="paragraph" w:styleId="50">
    <w:name w:val="Date"/>
    <w:basedOn w:val="1"/>
    <w:next w:val="1"/>
    <w:link w:val="100"/>
    <w:qFormat/>
    <w:uiPriority w:val="0"/>
    <w:pPr>
      <w:ind w:left="100" w:leftChars="2500"/>
    </w:pPr>
    <w:rPr>
      <w:rFonts w:ascii="Times New Roman" w:hAnsi="Times New Roman"/>
      <w:sz w:val="21"/>
    </w:rPr>
  </w:style>
  <w:style w:type="paragraph" w:styleId="51">
    <w:name w:val="Body Text Indent 2"/>
    <w:basedOn w:val="1"/>
    <w:link w:val="202"/>
    <w:qFormat/>
    <w:uiPriority w:val="0"/>
    <w:pPr>
      <w:widowControl/>
      <w:adjustRightInd w:val="0"/>
      <w:spacing w:after="120" w:line="480" w:lineRule="auto"/>
      <w:ind w:left="420" w:leftChars="200" w:firstLine="560"/>
    </w:pPr>
    <w:rPr>
      <w:rFonts w:ascii="仿宋" w:eastAsia="仿宋"/>
      <w:kern w:val="0"/>
      <w:sz w:val="28"/>
      <w:szCs w:val="28"/>
    </w:rPr>
  </w:style>
  <w:style w:type="paragraph" w:styleId="52">
    <w:name w:val="endnote text"/>
    <w:basedOn w:val="1"/>
    <w:link w:val="203"/>
    <w:qFormat/>
    <w:uiPriority w:val="0"/>
    <w:pPr>
      <w:widowControl/>
      <w:adjustRightInd w:val="0"/>
      <w:snapToGrid w:val="0"/>
      <w:spacing w:line="500" w:lineRule="exact"/>
      <w:ind w:firstLine="560"/>
      <w:jc w:val="left"/>
    </w:pPr>
    <w:rPr>
      <w:rFonts w:ascii="仿宋" w:eastAsia="仿宋"/>
      <w:kern w:val="0"/>
      <w:sz w:val="28"/>
      <w:szCs w:val="28"/>
    </w:rPr>
  </w:style>
  <w:style w:type="paragraph" w:styleId="53">
    <w:name w:val="List Continue 5"/>
    <w:basedOn w:val="1"/>
    <w:qFormat/>
    <w:uiPriority w:val="0"/>
    <w:pPr>
      <w:widowControl/>
      <w:adjustRightInd w:val="0"/>
      <w:spacing w:after="120" w:line="500" w:lineRule="exact"/>
      <w:ind w:left="2100" w:leftChars="1000" w:firstLine="560"/>
      <w:contextualSpacing/>
    </w:pPr>
    <w:rPr>
      <w:rFonts w:ascii="仿宋" w:eastAsia="仿宋"/>
      <w:kern w:val="0"/>
      <w:sz w:val="28"/>
      <w:szCs w:val="28"/>
    </w:rPr>
  </w:style>
  <w:style w:type="paragraph" w:styleId="54">
    <w:name w:val="Balloon Text"/>
    <w:basedOn w:val="1"/>
    <w:link w:val="149"/>
    <w:qFormat/>
    <w:uiPriority w:val="0"/>
    <w:rPr>
      <w:rFonts w:ascii="Times New Roman" w:hAnsi="Times New Roman"/>
      <w:sz w:val="18"/>
      <w:szCs w:val="18"/>
    </w:rPr>
  </w:style>
  <w:style w:type="paragraph" w:styleId="55">
    <w:name w:val="footer"/>
    <w:basedOn w:val="1"/>
    <w:link w:val="142"/>
    <w:qFormat/>
    <w:uiPriority w:val="99"/>
    <w:pPr>
      <w:tabs>
        <w:tab w:val="center" w:pos="4153"/>
        <w:tab w:val="right" w:pos="8306"/>
      </w:tabs>
      <w:snapToGrid w:val="0"/>
      <w:jc w:val="center"/>
    </w:pPr>
    <w:rPr>
      <w:rFonts w:ascii="Times New Roman" w:hAnsi="Times New Roman"/>
      <w:sz w:val="18"/>
      <w:szCs w:val="18"/>
    </w:rPr>
  </w:style>
  <w:style w:type="paragraph" w:styleId="56">
    <w:name w:val="envelope return"/>
    <w:basedOn w:val="1"/>
    <w:qFormat/>
    <w:uiPriority w:val="0"/>
    <w:pPr>
      <w:widowControl/>
      <w:adjustRightInd w:val="0"/>
      <w:snapToGrid w:val="0"/>
      <w:spacing w:line="500" w:lineRule="exact"/>
      <w:ind w:firstLine="560"/>
    </w:pPr>
    <w:rPr>
      <w:rFonts w:asciiTheme="majorHAnsi" w:hAnsiTheme="majorHAnsi" w:eastAsiaTheme="majorEastAsia" w:cstheme="majorBidi"/>
      <w:kern w:val="0"/>
      <w:sz w:val="28"/>
      <w:szCs w:val="28"/>
    </w:rPr>
  </w:style>
  <w:style w:type="paragraph" w:styleId="57">
    <w:name w:val="header"/>
    <w:basedOn w:val="1"/>
    <w:link w:val="150"/>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58">
    <w:name w:val="Signature"/>
    <w:basedOn w:val="1"/>
    <w:link w:val="204"/>
    <w:qFormat/>
    <w:uiPriority w:val="0"/>
    <w:pPr>
      <w:widowControl/>
      <w:adjustRightInd w:val="0"/>
      <w:spacing w:line="500" w:lineRule="exact"/>
      <w:ind w:left="100" w:leftChars="2100" w:firstLine="560"/>
    </w:pPr>
    <w:rPr>
      <w:rFonts w:ascii="仿宋" w:eastAsia="仿宋"/>
      <w:kern w:val="0"/>
      <w:sz w:val="28"/>
      <w:szCs w:val="28"/>
    </w:rPr>
  </w:style>
  <w:style w:type="paragraph" w:styleId="59">
    <w:name w:val="toc 1"/>
    <w:basedOn w:val="1"/>
    <w:next w:val="1"/>
    <w:qFormat/>
    <w:uiPriority w:val="39"/>
  </w:style>
  <w:style w:type="paragraph" w:styleId="60">
    <w:name w:val="List Continue 4"/>
    <w:basedOn w:val="1"/>
    <w:qFormat/>
    <w:uiPriority w:val="0"/>
    <w:pPr>
      <w:widowControl/>
      <w:adjustRightInd w:val="0"/>
      <w:spacing w:after="120" w:line="500" w:lineRule="exact"/>
      <w:ind w:left="1680" w:leftChars="800" w:firstLine="560"/>
      <w:contextualSpacing/>
    </w:pPr>
    <w:rPr>
      <w:rFonts w:ascii="仿宋" w:eastAsia="仿宋"/>
      <w:kern w:val="0"/>
      <w:sz w:val="28"/>
      <w:szCs w:val="28"/>
    </w:rPr>
  </w:style>
  <w:style w:type="paragraph" w:styleId="61">
    <w:name w:val="toc 4"/>
    <w:basedOn w:val="1"/>
    <w:next w:val="1"/>
    <w:unhideWhenUsed/>
    <w:qFormat/>
    <w:uiPriority w:val="39"/>
    <w:pPr>
      <w:ind w:left="1260" w:leftChars="600"/>
    </w:pPr>
    <w:rPr>
      <w:rFonts w:ascii="等线" w:hAnsi="等线" w:eastAsia="等线"/>
      <w:szCs w:val="22"/>
    </w:rPr>
  </w:style>
  <w:style w:type="paragraph" w:styleId="62">
    <w:name w:val="index heading"/>
    <w:basedOn w:val="1"/>
    <w:next w:val="63"/>
    <w:qFormat/>
    <w:uiPriority w:val="0"/>
    <w:pPr>
      <w:widowControl/>
      <w:adjustRightInd w:val="0"/>
      <w:spacing w:line="500" w:lineRule="exact"/>
      <w:ind w:firstLine="560"/>
    </w:pPr>
    <w:rPr>
      <w:rFonts w:asciiTheme="majorHAnsi" w:hAnsiTheme="majorHAnsi" w:eastAsiaTheme="majorEastAsia" w:cstheme="majorBidi"/>
      <w:b/>
      <w:bCs/>
      <w:kern w:val="0"/>
      <w:sz w:val="28"/>
      <w:szCs w:val="28"/>
    </w:rPr>
  </w:style>
  <w:style w:type="paragraph" w:styleId="63">
    <w:name w:val="index 1"/>
    <w:basedOn w:val="1"/>
    <w:next w:val="1"/>
    <w:unhideWhenUsed/>
    <w:qFormat/>
    <w:uiPriority w:val="0"/>
    <w:pPr>
      <w:ind w:firstLine="0"/>
    </w:pPr>
  </w:style>
  <w:style w:type="paragraph" w:styleId="64">
    <w:name w:val="Subtitle"/>
    <w:basedOn w:val="1"/>
    <w:next w:val="1"/>
    <w:link w:val="140"/>
    <w:qFormat/>
    <w:uiPriority w:val="0"/>
    <w:pPr>
      <w:spacing w:before="240" w:after="60" w:line="312" w:lineRule="auto"/>
      <w:jc w:val="center"/>
      <w:outlineLvl w:val="1"/>
    </w:pPr>
    <w:rPr>
      <w:rFonts w:ascii="Calibri Light" w:hAnsi="Calibri Light"/>
      <w:b/>
      <w:bCs/>
      <w:kern w:val="28"/>
      <w:sz w:val="32"/>
      <w:szCs w:val="32"/>
    </w:rPr>
  </w:style>
  <w:style w:type="paragraph" w:styleId="65">
    <w:name w:val="List Number 5"/>
    <w:basedOn w:val="1"/>
    <w:qFormat/>
    <w:uiPriority w:val="0"/>
    <w:pPr>
      <w:widowControl/>
      <w:numPr>
        <w:ilvl w:val="0"/>
        <w:numId w:val="11"/>
      </w:numPr>
      <w:adjustRightInd w:val="0"/>
      <w:spacing w:line="500" w:lineRule="exact"/>
      <w:contextualSpacing/>
    </w:pPr>
    <w:rPr>
      <w:rFonts w:ascii="仿宋" w:eastAsia="仿宋"/>
      <w:kern w:val="0"/>
      <w:sz w:val="28"/>
      <w:szCs w:val="28"/>
    </w:rPr>
  </w:style>
  <w:style w:type="paragraph" w:styleId="66">
    <w:name w:val="List"/>
    <w:basedOn w:val="1"/>
    <w:qFormat/>
    <w:uiPriority w:val="0"/>
    <w:pPr>
      <w:widowControl/>
      <w:adjustRightInd w:val="0"/>
      <w:spacing w:line="500" w:lineRule="exact"/>
      <w:ind w:left="200" w:hanging="200" w:hangingChars="200"/>
      <w:contextualSpacing/>
    </w:pPr>
    <w:rPr>
      <w:rFonts w:ascii="仿宋" w:eastAsia="仿宋"/>
      <w:kern w:val="0"/>
      <w:sz w:val="28"/>
      <w:szCs w:val="28"/>
    </w:rPr>
  </w:style>
  <w:style w:type="paragraph" w:styleId="67">
    <w:name w:val="footnote text"/>
    <w:basedOn w:val="1"/>
    <w:link w:val="205"/>
    <w:qFormat/>
    <w:uiPriority w:val="0"/>
    <w:pPr>
      <w:widowControl/>
      <w:adjustRightInd w:val="0"/>
      <w:snapToGrid w:val="0"/>
      <w:spacing w:line="500" w:lineRule="exact"/>
      <w:ind w:firstLine="560"/>
      <w:jc w:val="left"/>
    </w:pPr>
    <w:rPr>
      <w:rFonts w:ascii="仿宋" w:eastAsia="仿宋"/>
      <w:kern w:val="0"/>
      <w:sz w:val="18"/>
      <w:szCs w:val="18"/>
    </w:rPr>
  </w:style>
  <w:style w:type="paragraph" w:styleId="68">
    <w:name w:val="toc 6"/>
    <w:basedOn w:val="1"/>
    <w:next w:val="1"/>
    <w:unhideWhenUsed/>
    <w:qFormat/>
    <w:uiPriority w:val="39"/>
    <w:pPr>
      <w:ind w:left="2100" w:leftChars="1000"/>
    </w:pPr>
    <w:rPr>
      <w:rFonts w:ascii="等线" w:hAnsi="等线" w:eastAsia="等线"/>
      <w:szCs w:val="22"/>
    </w:rPr>
  </w:style>
  <w:style w:type="paragraph" w:styleId="69">
    <w:name w:val="List 5"/>
    <w:basedOn w:val="1"/>
    <w:qFormat/>
    <w:uiPriority w:val="0"/>
    <w:pPr>
      <w:widowControl/>
      <w:adjustRightInd w:val="0"/>
      <w:spacing w:line="500" w:lineRule="exact"/>
      <w:ind w:left="100" w:leftChars="800" w:hanging="200" w:hangingChars="200"/>
      <w:contextualSpacing/>
    </w:pPr>
    <w:rPr>
      <w:rFonts w:ascii="仿宋" w:eastAsia="仿宋"/>
      <w:kern w:val="0"/>
      <w:sz w:val="28"/>
      <w:szCs w:val="28"/>
    </w:rPr>
  </w:style>
  <w:style w:type="paragraph" w:styleId="70">
    <w:name w:val="Body Text Indent 3"/>
    <w:basedOn w:val="1"/>
    <w:link w:val="206"/>
    <w:qFormat/>
    <w:uiPriority w:val="0"/>
    <w:pPr>
      <w:widowControl/>
      <w:adjustRightInd w:val="0"/>
      <w:spacing w:after="120" w:line="500" w:lineRule="exact"/>
      <w:ind w:left="420" w:leftChars="200" w:firstLine="560"/>
    </w:pPr>
    <w:rPr>
      <w:rFonts w:ascii="仿宋" w:eastAsia="仿宋"/>
      <w:kern w:val="0"/>
      <w:sz w:val="16"/>
      <w:szCs w:val="16"/>
    </w:rPr>
  </w:style>
  <w:style w:type="paragraph" w:styleId="71">
    <w:name w:val="index 7"/>
    <w:basedOn w:val="1"/>
    <w:next w:val="1"/>
    <w:qFormat/>
    <w:uiPriority w:val="0"/>
    <w:pPr>
      <w:widowControl/>
      <w:adjustRightInd w:val="0"/>
      <w:spacing w:line="500" w:lineRule="exact"/>
      <w:ind w:left="1200" w:leftChars="1200" w:firstLine="0"/>
    </w:pPr>
    <w:rPr>
      <w:rFonts w:ascii="仿宋" w:eastAsia="仿宋"/>
      <w:kern w:val="0"/>
      <w:sz w:val="28"/>
      <w:szCs w:val="28"/>
    </w:rPr>
  </w:style>
  <w:style w:type="paragraph" w:styleId="72">
    <w:name w:val="index 9"/>
    <w:basedOn w:val="1"/>
    <w:next w:val="1"/>
    <w:qFormat/>
    <w:uiPriority w:val="0"/>
    <w:pPr>
      <w:widowControl/>
      <w:adjustRightInd w:val="0"/>
      <w:spacing w:line="500" w:lineRule="exact"/>
      <w:ind w:left="1600" w:leftChars="1600" w:firstLine="0"/>
    </w:pPr>
    <w:rPr>
      <w:rFonts w:ascii="仿宋" w:eastAsia="仿宋"/>
      <w:kern w:val="0"/>
      <w:sz w:val="28"/>
      <w:szCs w:val="28"/>
    </w:rPr>
  </w:style>
  <w:style w:type="paragraph" w:styleId="73">
    <w:name w:val="table of figures"/>
    <w:basedOn w:val="1"/>
    <w:next w:val="1"/>
    <w:qFormat/>
    <w:uiPriority w:val="0"/>
    <w:pPr>
      <w:widowControl/>
      <w:adjustRightInd w:val="0"/>
      <w:spacing w:line="500" w:lineRule="exact"/>
      <w:ind w:left="200" w:leftChars="200" w:hanging="200" w:hangingChars="200"/>
    </w:pPr>
    <w:rPr>
      <w:rFonts w:ascii="仿宋" w:eastAsia="仿宋"/>
      <w:kern w:val="0"/>
      <w:sz w:val="28"/>
      <w:szCs w:val="28"/>
    </w:rPr>
  </w:style>
  <w:style w:type="paragraph" w:styleId="74">
    <w:name w:val="toc 2"/>
    <w:basedOn w:val="1"/>
    <w:next w:val="1"/>
    <w:qFormat/>
    <w:uiPriority w:val="39"/>
    <w:pPr>
      <w:tabs>
        <w:tab w:val="right" w:leader="dot" w:pos="8302"/>
      </w:tabs>
      <w:ind w:left="420" w:leftChars="200"/>
    </w:pPr>
  </w:style>
  <w:style w:type="paragraph" w:styleId="75">
    <w:name w:val="toc 9"/>
    <w:basedOn w:val="1"/>
    <w:next w:val="1"/>
    <w:unhideWhenUsed/>
    <w:qFormat/>
    <w:uiPriority w:val="39"/>
    <w:pPr>
      <w:ind w:left="3360" w:leftChars="1600"/>
    </w:pPr>
    <w:rPr>
      <w:rFonts w:ascii="等线" w:hAnsi="等线" w:eastAsia="等线"/>
      <w:szCs w:val="22"/>
    </w:rPr>
  </w:style>
  <w:style w:type="paragraph" w:styleId="76">
    <w:name w:val="Body Text 2"/>
    <w:basedOn w:val="1"/>
    <w:link w:val="207"/>
    <w:qFormat/>
    <w:uiPriority w:val="0"/>
    <w:pPr>
      <w:widowControl/>
      <w:adjustRightInd w:val="0"/>
      <w:spacing w:after="120" w:line="480" w:lineRule="auto"/>
      <w:ind w:firstLine="560"/>
    </w:pPr>
    <w:rPr>
      <w:rFonts w:ascii="仿宋" w:eastAsia="仿宋"/>
      <w:kern w:val="0"/>
      <w:sz w:val="28"/>
      <w:szCs w:val="28"/>
    </w:rPr>
  </w:style>
  <w:style w:type="paragraph" w:styleId="77">
    <w:name w:val="List 4"/>
    <w:basedOn w:val="1"/>
    <w:qFormat/>
    <w:uiPriority w:val="0"/>
    <w:pPr>
      <w:widowControl/>
      <w:adjustRightInd w:val="0"/>
      <w:spacing w:line="500" w:lineRule="exact"/>
      <w:ind w:left="100" w:leftChars="600" w:hanging="200" w:hangingChars="200"/>
      <w:contextualSpacing/>
    </w:pPr>
    <w:rPr>
      <w:rFonts w:ascii="仿宋" w:eastAsia="仿宋"/>
      <w:kern w:val="0"/>
      <w:sz w:val="28"/>
      <w:szCs w:val="28"/>
    </w:rPr>
  </w:style>
  <w:style w:type="paragraph" w:styleId="78">
    <w:name w:val="List Continue 2"/>
    <w:basedOn w:val="1"/>
    <w:qFormat/>
    <w:uiPriority w:val="0"/>
    <w:pPr>
      <w:widowControl/>
      <w:adjustRightInd w:val="0"/>
      <w:spacing w:after="120" w:line="500" w:lineRule="exact"/>
      <w:ind w:left="840" w:leftChars="400" w:firstLine="560"/>
      <w:contextualSpacing/>
    </w:pPr>
    <w:rPr>
      <w:rFonts w:ascii="仿宋" w:eastAsia="仿宋"/>
      <w:kern w:val="0"/>
      <w:sz w:val="28"/>
      <w:szCs w:val="28"/>
    </w:rPr>
  </w:style>
  <w:style w:type="paragraph" w:styleId="79">
    <w:name w:val="Message Header"/>
    <w:basedOn w:val="1"/>
    <w:link w:val="208"/>
    <w:qFormat/>
    <w:uiPriority w:val="0"/>
    <w:pPr>
      <w:widowControl/>
      <w:pBdr>
        <w:top w:val="single" w:color="auto" w:sz="6" w:space="1"/>
        <w:left w:val="single" w:color="auto" w:sz="6" w:space="1"/>
        <w:bottom w:val="single" w:color="auto" w:sz="6" w:space="1"/>
        <w:right w:val="single" w:color="auto" w:sz="6" w:space="1"/>
      </w:pBdr>
      <w:shd w:val="pct20" w:color="auto" w:fill="auto"/>
      <w:adjustRightInd w:val="0"/>
      <w:spacing w:line="500" w:lineRule="exact"/>
      <w:ind w:left="1080" w:leftChars="500" w:hanging="1080" w:hangingChars="500"/>
    </w:pPr>
    <w:rPr>
      <w:rFonts w:asciiTheme="majorHAnsi" w:hAnsiTheme="majorHAnsi" w:eastAsiaTheme="majorEastAsia" w:cstheme="majorBidi"/>
      <w:kern w:val="0"/>
    </w:rPr>
  </w:style>
  <w:style w:type="paragraph" w:styleId="80">
    <w:name w:val="HTML Preformatted"/>
    <w:basedOn w:val="1"/>
    <w:link w:val="209"/>
    <w:qFormat/>
    <w:uiPriority w:val="0"/>
    <w:pPr>
      <w:widowControl/>
      <w:adjustRightInd w:val="0"/>
      <w:spacing w:line="500" w:lineRule="exact"/>
      <w:ind w:firstLine="560"/>
    </w:pPr>
    <w:rPr>
      <w:rFonts w:ascii="Courier New" w:hAnsi="Courier New" w:eastAsia="仿宋" w:cs="Courier New"/>
      <w:kern w:val="0"/>
      <w:sz w:val="20"/>
      <w:szCs w:val="20"/>
    </w:rPr>
  </w:style>
  <w:style w:type="paragraph" w:styleId="81">
    <w:name w:val="Normal (Web)"/>
    <w:basedOn w:val="1"/>
    <w:qFormat/>
    <w:uiPriority w:val="0"/>
    <w:pPr>
      <w:widowControl/>
      <w:spacing w:before="100" w:after="100"/>
      <w:jc w:val="left"/>
    </w:pPr>
    <w:rPr>
      <w:rFonts w:hint="eastAsia" w:ascii="Arial Unicode MS" w:hAnsi="Arial Unicode MS" w:eastAsia="Arial Unicode MS"/>
      <w:kern w:val="0"/>
    </w:rPr>
  </w:style>
  <w:style w:type="paragraph" w:styleId="82">
    <w:name w:val="List Continue 3"/>
    <w:basedOn w:val="1"/>
    <w:qFormat/>
    <w:uiPriority w:val="0"/>
    <w:pPr>
      <w:widowControl/>
      <w:adjustRightInd w:val="0"/>
      <w:spacing w:after="120" w:line="500" w:lineRule="exact"/>
      <w:ind w:left="1260" w:leftChars="600" w:firstLine="560"/>
      <w:contextualSpacing/>
    </w:pPr>
    <w:rPr>
      <w:rFonts w:ascii="仿宋" w:eastAsia="仿宋"/>
      <w:kern w:val="0"/>
      <w:sz w:val="28"/>
      <w:szCs w:val="28"/>
    </w:rPr>
  </w:style>
  <w:style w:type="paragraph" w:styleId="83">
    <w:name w:val="index 2"/>
    <w:basedOn w:val="1"/>
    <w:next w:val="1"/>
    <w:qFormat/>
    <w:uiPriority w:val="0"/>
    <w:pPr>
      <w:widowControl/>
      <w:adjustRightInd w:val="0"/>
      <w:spacing w:line="500" w:lineRule="exact"/>
      <w:ind w:left="200" w:leftChars="200" w:firstLine="0"/>
    </w:pPr>
    <w:rPr>
      <w:rFonts w:ascii="仿宋" w:eastAsia="仿宋"/>
      <w:kern w:val="0"/>
      <w:sz w:val="28"/>
      <w:szCs w:val="28"/>
    </w:rPr>
  </w:style>
  <w:style w:type="paragraph" w:styleId="84">
    <w:name w:val="Title"/>
    <w:basedOn w:val="1"/>
    <w:next w:val="1"/>
    <w:link w:val="148"/>
    <w:qFormat/>
    <w:uiPriority w:val="0"/>
    <w:pPr>
      <w:spacing w:before="240" w:after="60" w:line="960" w:lineRule="auto"/>
      <w:jc w:val="center"/>
    </w:pPr>
    <w:rPr>
      <w:rFonts w:ascii="Cambria" w:hAnsi="Cambria" w:eastAsia="黑体"/>
      <w:b/>
      <w:bCs/>
      <w:sz w:val="52"/>
      <w:szCs w:val="32"/>
    </w:rPr>
  </w:style>
  <w:style w:type="paragraph" w:styleId="85">
    <w:name w:val="annotation subject"/>
    <w:basedOn w:val="28"/>
    <w:next w:val="28"/>
    <w:link w:val="136"/>
    <w:qFormat/>
    <w:uiPriority w:val="0"/>
    <w:rPr>
      <w:b/>
      <w:bCs/>
      <w:sz w:val="21"/>
    </w:rPr>
  </w:style>
  <w:style w:type="paragraph" w:styleId="86">
    <w:name w:val="Body Text First Indent"/>
    <w:basedOn w:val="34"/>
    <w:link w:val="210"/>
    <w:qFormat/>
    <w:uiPriority w:val="0"/>
    <w:pPr>
      <w:widowControl/>
      <w:adjustRightInd w:val="0"/>
      <w:spacing w:line="500" w:lineRule="exact"/>
      <w:ind w:firstLine="420" w:firstLineChars="100"/>
    </w:pPr>
    <w:rPr>
      <w:rFonts w:ascii="仿宋" w:hAnsi="宋体" w:eastAsia="仿宋"/>
      <w:kern w:val="0"/>
      <w:sz w:val="28"/>
      <w:szCs w:val="28"/>
    </w:rPr>
  </w:style>
  <w:style w:type="paragraph" w:styleId="87">
    <w:name w:val="Body Text First Indent 2"/>
    <w:basedOn w:val="35"/>
    <w:link w:val="211"/>
    <w:qFormat/>
    <w:uiPriority w:val="0"/>
    <w:pPr>
      <w:widowControl/>
      <w:adjustRightInd w:val="0"/>
      <w:spacing w:line="500" w:lineRule="exact"/>
      <w:ind w:left="420" w:leftChars="200" w:firstLine="420"/>
    </w:pPr>
    <w:rPr>
      <w:rFonts w:ascii="仿宋" w:hAnsi="宋体" w:eastAsia="仿宋"/>
      <w:kern w:val="0"/>
      <w:sz w:val="28"/>
      <w:szCs w:val="28"/>
    </w:rPr>
  </w:style>
  <w:style w:type="table" w:styleId="89">
    <w:name w:val="Table Grid"/>
    <w:basedOn w:val="88"/>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page number"/>
    <w:basedOn w:val="90"/>
    <w:qFormat/>
    <w:uiPriority w:val="0"/>
  </w:style>
  <w:style w:type="character" w:styleId="92">
    <w:name w:val="FollowedHyperlink"/>
    <w:unhideWhenUsed/>
    <w:qFormat/>
    <w:uiPriority w:val="99"/>
    <w:rPr>
      <w:color w:val="954F72"/>
      <w:u w:val="single"/>
    </w:rPr>
  </w:style>
  <w:style w:type="character" w:styleId="93">
    <w:name w:val="Hyperlink"/>
    <w:qFormat/>
    <w:uiPriority w:val="99"/>
    <w:rPr>
      <w:color w:val="0000FF"/>
      <w:u w:val="single"/>
    </w:rPr>
  </w:style>
  <w:style w:type="character" w:styleId="94">
    <w:name w:val="annotation reference"/>
    <w:qFormat/>
    <w:uiPriority w:val="0"/>
    <w:rPr>
      <w:sz w:val="21"/>
      <w:szCs w:val="21"/>
    </w:rPr>
  </w:style>
  <w:style w:type="character" w:customStyle="1" w:styleId="95">
    <w:name w:val="标题 3 字符1"/>
    <w:qFormat/>
    <w:uiPriority w:val="0"/>
    <w:rPr>
      <w:rFonts w:ascii="宋体" w:hAnsi="宋体"/>
      <w:b/>
      <w:bCs/>
      <w:kern w:val="2"/>
      <w:sz w:val="28"/>
      <w:szCs w:val="28"/>
    </w:rPr>
  </w:style>
  <w:style w:type="character" w:customStyle="1" w:styleId="96">
    <w:name w:val="首行缩进正文 Char"/>
    <w:link w:val="97"/>
    <w:qFormat/>
    <w:uiPriority w:val="0"/>
    <w:rPr>
      <w:kern w:val="2"/>
      <w:sz w:val="24"/>
    </w:rPr>
  </w:style>
  <w:style w:type="paragraph" w:customStyle="1" w:styleId="97">
    <w:name w:val="首行缩进正文"/>
    <w:basedOn w:val="1"/>
    <w:link w:val="96"/>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98">
    <w:name w:val="批注文字 字符1"/>
    <w:link w:val="28"/>
    <w:qFormat/>
    <w:uiPriority w:val="99"/>
    <w:rPr>
      <w:rFonts w:eastAsia="仿宋"/>
      <w:kern w:val="2"/>
      <w:sz w:val="28"/>
      <w:szCs w:val="24"/>
    </w:rPr>
  </w:style>
  <w:style w:type="character" w:customStyle="1" w:styleId="99">
    <w:name w:val="日期 字符"/>
    <w:qFormat/>
    <w:uiPriority w:val="0"/>
    <w:rPr>
      <w:rFonts w:ascii="宋体" w:hAnsi="宋体"/>
      <w:kern w:val="2"/>
      <w:sz w:val="24"/>
      <w:szCs w:val="24"/>
    </w:rPr>
  </w:style>
  <w:style w:type="character" w:customStyle="1" w:styleId="100">
    <w:name w:val="日期 字符1"/>
    <w:link w:val="50"/>
    <w:qFormat/>
    <w:uiPriority w:val="0"/>
    <w:rPr>
      <w:kern w:val="2"/>
      <w:sz w:val="21"/>
      <w:szCs w:val="24"/>
    </w:rPr>
  </w:style>
  <w:style w:type="character" w:customStyle="1" w:styleId="101">
    <w:name w:val="标题 9 字符"/>
    <w:link w:val="11"/>
    <w:qFormat/>
    <w:uiPriority w:val="9"/>
    <w:rPr>
      <w:rFonts w:ascii="Cambria" w:hAnsi="Cambria"/>
      <w:kern w:val="2"/>
      <w:sz w:val="21"/>
      <w:szCs w:val="21"/>
    </w:rPr>
  </w:style>
  <w:style w:type="character" w:customStyle="1" w:styleId="102">
    <w:name w:val="未处理的提及1"/>
    <w:unhideWhenUsed/>
    <w:qFormat/>
    <w:uiPriority w:val="99"/>
    <w:rPr>
      <w:color w:val="605E5C"/>
      <w:shd w:val="clear" w:color="auto" w:fill="E1DFDD"/>
    </w:rPr>
  </w:style>
  <w:style w:type="character" w:customStyle="1" w:styleId="103">
    <w:name w:val="标题 1 字符"/>
    <w:qFormat/>
    <w:uiPriority w:val="9"/>
    <w:rPr>
      <w:rFonts w:ascii="宋体" w:hAnsi="宋体"/>
      <w:b/>
      <w:bCs/>
      <w:kern w:val="44"/>
      <w:sz w:val="44"/>
      <w:szCs w:val="44"/>
    </w:rPr>
  </w:style>
  <w:style w:type="character" w:customStyle="1" w:styleId="104">
    <w:name w:val="标题 3 字符"/>
    <w:qFormat/>
    <w:uiPriority w:val="0"/>
    <w:rPr>
      <w:rFonts w:ascii="宋体" w:hAnsi="宋体"/>
      <w:b/>
      <w:bCs/>
      <w:kern w:val="2"/>
      <w:sz w:val="32"/>
      <w:szCs w:val="32"/>
    </w:rPr>
  </w:style>
  <w:style w:type="character" w:customStyle="1" w:styleId="105">
    <w:name w:val="页脚 字符"/>
    <w:qFormat/>
    <w:uiPriority w:val="99"/>
  </w:style>
  <w:style w:type="character" w:customStyle="1" w:styleId="106">
    <w:name w:val="标题 5 字符"/>
    <w:qFormat/>
    <w:uiPriority w:val="9"/>
    <w:rPr>
      <w:rFonts w:ascii="宋体" w:hAnsi="宋体"/>
      <w:b/>
      <w:bCs/>
      <w:kern w:val="2"/>
      <w:sz w:val="28"/>
      <w:szCs w:val="28"/>
    </w:rPr>
  </w:style>
  <w:style w:type="character" w:customStyle="1" w:styleId="107">
    <w:name w:val="题注 字符"/>
    <w:link w:val="22"/>
    <w:qFormat/>
    <w:locked/>
    <w:uiPriority w:val="0"/>
    <w:rPr>
      <w:rFonts w:ascii="Arial" w:hAnsi="Arial" w:eastAsia="黑体"/>
      <w:kern w:val="2"/>
    </w:rPr>
  </w:style>
  <w:style w:type="character" w:customStyle="1" w:styleId="108">
    <w:name w:val="标题 2 字符"/>
    <w:qFormat/>
    <w:uiPriority w:val="0"/>
    <w:rPr>
      <w:rFonts w:ascii="等线 Light" w:hAnsi="等线 Light" w:eastAsia="等线 Light" w:cs="Times New Roman"/>
      <w:b/>
      <w:bCs/>
      <w:kern w:val="2"/>
      <w:sz w:val="32"/>
      <w:szCs w:val="32"/>
    </w:rPr>
  </w:style>
  <w:style w:type="character" w:customStyle="1" w:styleId="109">
    <w:name w:val="纯文本 字符"/>
    <w:qFormat/>
    <w:uiPriority w:val="0"/>
    <w:rPr>
      <w:rFonts w:ascii="宋体" w:hAnsi="Courier New" w:cs="Courier New"/>
      <w:kern w:val="2"/>
      <w:sz w:val="21"/>
      <w:szCs w:val="21"/>
    </w:rPr>
  </w:style>
  <w:style w:type="character" w:customStyle="1" w:styleId="110">
    <w:name w:val="列表段落 字符"/>
    <w:qFormat/>
    <w:uiPriority w:val="0"/>
    <w:rPr>
      <w:kern w:val="2"/>
      <w:sz w:val="21"/>
      <w:szCs w:val="22"/>
    </w:rPr>
  </w:style>
  <w:style w:type="character" w:customStyle="1" w:styleId="111">
    <w:name w:val="标题 4 字符1"/>
    <w:link w:val="6"/>
    <w:qFormat/>
    <w:uiPriority w:val="0"/>
    <w:rPr>
      <w:rFonts w:ascii="宋体" w:hAnsi="宋体"/>
      <w:b/>
      <w:bCs/>
      <w:kern w:val="2"/>
      <w:sz w:val="30"/>
      <w:szCs w:val="30"/>
    </w:rPr>
  </w:style>
  <w:style w:type="character" w:customStyle="1" w:styleId="112">
    <w:name w:val="正文文本 字符"/>
    <w:link w:val="34"/>
    <w:qFormat/>
    <w:uiPriority w:val="0"/>
    <w:rPr>
      <w:kern w:val="2"/>
      <w:sz w:val="21"/>
      <w:szCs w:val="24"/>
    </w:rPr>
  </w:style>
  <w:style w:type="character" w:customStyle="1" w:styleId="113">
    <w:name w:val="列表段落 字符1"/>
    <w:link w:val="114"/>
    <w:qFormat/>
    <w:uiPriority w:val="34"/>
    <w:rPr>
      <w:kern w:val="2"/>
      <w:sz w:val="21"/>
      <w:szCs w:val="24"/>
    </w:rPr>
  </w:style>
  <w:style w:type="paragraph" w:styleId="114">
    <w:name w:val="List Paragraph"/>
    <w:basedOn w:val="1"/>
    <w:link w:val="113"/>
    <w:qFormat/>
    <w:uiPriority w:val="34"/>
    <w:pPr>
      <w:ind w:firstLine="420"/>
    </w:pPr>
    <w:rPr>
      <w:rFonts w:ascii="Times New Roman" w:hAnsi="Times New Roman"/>
      <w:sz w:val="21"/>
    </w:rPr>
  </w:style>
  <w:style w:type="character" w:customStyle="1" w:styleId="115">
    <w:name w:val="font21"/>
    <w:qFormat/>
    <w:uiPriority w:val="0"/>
    <w:rPr>
      <w:rFonts w:ascii="Calibri" w:hAnsi="Calibri" w:cs="Calibri"/>
      <w:color w:val="000000"/>
      <w:sz w:val="21"/>
      <w:szCs w:val="21"/>
      <w:u w:val="none"/>
    </w:rPr>
  </w:style>
  <w:style w:type="character" w:customStyle="1" w:styleId="116">
    <w:name w:val="*正文 Char"/>
    <w:link w:val="117"/>
    <w:qFormat/>
    <w:uiPriority w:val="0"/>
    <w:rPr>
      <w:rFonts w:ascii="time" w:hAnsi="time"/>
      <w:sz w:val="24"/>
      <w:szCs w:val="24"/>
      <w:lang w:bidi="en-US"/>
    </w:rPr>
  </w:style>
  <w:style w:type="paragraph" w:customStyle="1" w:styleId="117">
    <w:name w:val="*正文"/>
    <w:basedOn w:val="1"/>
    <w:link w:val="116"/>
    <w:qFormat/>
    <w:uiPriority w:val="0"/>
    <w:pPr>
      <w:widowControl/>
      <w:ind w:firstLine="200"/>
      <w:contextualSpacing/>
    </w:pPr>
    <w:rPr>
      <w:rFonts w:ascii="time" w:hAnsi="time"/>
      <w:kern w:val="0"/>
      <w:lang w:bidi="en-US"/>
    </w:rPr>
  </w:style>
  <w:style w:type="character" w:customStyle="1" w:styleId="118">
    <w:name w:val="正文文本缩进 字符"/>
    <w:qFormat/>
    <w:uiPriority w:val="0"/>
    <w:rPr>
      <w:rFonts w:ascii="宋体" w:hAnsi="宋体"/>
      <w:kern w:val="2"/>
      <w:sz w:val="24"/>
      <w:szCs w:val="24"/>
    </w:rPr>
  </w:style>
  <w:style w:type="character" w:customStyle="1" w:styleId="119">
    <w:name w:val="纯文本 字符1"/>
    <w:link w:val="45"/>
    <w:qFormat/>
    <w:locked/>
    <w:uiPriority w:val="0"/>
    <w:rPr>
      <w:rFonts w:ascii="宋体" w:hAnsi="Courier New"/>
      <w:kern w:val="2"/>
      <w:sz w:val="21"/>
    </w:rPr>
  </w:style>
  <w:style w:type="character" w:customStyle="1" w:styleId="120">
    <w:name w:val="my正文 Char"/>
    <w:link w:val="121"/>
    <w:qFormat/>
    <w:uiPriority w:val="0"/>
    <w:rPr>
      <w:kern w:val="2"/>
      <w:sz w:val="21"/>
      <w:szCs w:val="24"/>
    </w:rPr>
  </w:style>
  <w:style w:type="paragraph" w:customStyle="1" w:styleId="121">
    <w:name w:val="my正文"/>
    <w:basedOn w:val="1"/>
    <w:link w:val="120"/>
    <w:qFormat/>
    <w:uiPriority w:val="0"/>
    <w:pPr>
      <w:spacing w:line="240" w:lineRule="auto"/>
      <w:ind w:firstLine="0" w:firstLineChars="0"/>
    </w:pPr>
    <w:rPr>
      <w:rFonts w:ascii="Times New Roman" w:hAnsi="Times New Roman"/>
      <w:sz w:val="21"/>
    </w:rPr>
  </w:style>
  <w:style w:type="character" w:customStyle="1" w:styleId="122">
    <w:name w:val="正文2 字符"/>
    <w:link w:val="123"/>
    <w:qFormat/>
    <w:uiPriority w:val="0"/>
    <w:rPr>
      <w:kern w:val="2"/>
      <w:sz w:val="21"/>
      <w:szCs w:val="24"/>
    </w:rPr>
  </w:style>
  <w:style w:type="paragraph" w:customStyle="1" w:styleId="123">
    <w:name w:val="正文2"/>
    <w:basedOn w:val="1"/>
    <w:link w:val="122"/>
    <w:qFormat/>
    <w:uiPriority w:val="0"/>
    <w:pPr>
      <w:ind w:firstLine="420"/>
    </w:pPr>
    <w:rPr>
      <w:rFonts w:ascii="Times New Roman" w:hAnsi="Times New Roman"/>
      <w:sz w:val="21"/>
    </w:rPr>
  </w:style>
  <w:style w:type="character" w:customStyle="1" w:styleId="124">
    <w:name w:val="font41"/>
    <w:qFormat/>
    <w:uiPriority w:val="0"/>
    <w:rPr>
      <w:rFonts w:hint="eastAsia" w:ascii="宋体" w:hAnsi="宋体" w:eastAsia="宋体" w:cs="宋体"/>
      <w:color w:val="000000"/>
      <w:sz w:val="21"/>
      <w:szCs w:val="21"/>
      <w:u w:val="none"/>
    </w:rPr>
  </w:style>
  <w:style w:type="character" w:customStyle="1" w:styleId="125">
    <w:name w:val="标题 7 字符"/>
    <w:link w:val="9"/>
    <w:qFormat/>
    <w:uiPriority w:val="9"/>
    <w:rPr>
      <w:b/>
      <w:bCs/>
      <w:kern w:val="2"/>
      <w:sz w:val="21"/>
      <w:szCs w:val="24"/>
    </w:rPr>
  </w:style>
  <w:style w:type="character" w:customStyle="1" w:styleId="126">
    <w:name w:val="批注框文本 字符"/>
    <w:qFormat/>
    <w:uiPriority w:val="0"/>
    <w:rPr>
      <w:rFonts w:ascii="宋体" w:hAnsi="宋体"/>
      <w:kern w:val="2"/>
      <w:sz w:val="18"/>
      <w:szCs w:val="18"/>
    </w:rPr>
  </w:style>
  <w:style w:type="character" w:customStyle="1" w:styleId="127">
    <w:name w:val="副标题 Char1"/>
    <w:qFormat/>
    <w:uiPriority w:val="0"/>
    <w:rPr>
      <w:rFonts w:ascii="Calibri Light" w:hAnsi="Calibri Light" w:cs="Times New Roman"/>
      <w:b/>
      <w:bCs/>
      <w:kern w:val="28"/>
      <w:sz w:val="32"/>
      <w:szCs w:val="32"/>
    </w:rPr>
  </w:style>
  <w:style w:type="character" w:customStyle="1" w:styleId="128">
    <w:name w:val="标题 1 字符1"/>
    <w:link w:val="3"/>
    <w:qFormat/>
    <w:uiPriority w:val="0"/>
    <w:rPr>
      <w:rFonts w:ascii="宋体" w:hAnsi="宋体" w:eastAsia="黑体"/>
      <w:b/>
      <w:bCs/>
      <w:kern w:val="44"/>
      <w:sz w:val="32"/>
      <w:szCs w:val="28"/>
    </w:rPr>
  </w:style>
  <w:style w:type="character" w:customStyle="1" w:styleId="129">
    <w:name w:val="批注文字 字符"/>
    <w:qFormat/>
    <w:uiPriority w:val="99"/>
    <w:rPr>
      <w:rFonts w:ascii="宋体" w:hAnsi="宋体"/>
      <w:kern w:val="2"/>
      <w:sz w:val="24"/>
      <w:szCs w:val="24"/>
    </w:rPr>
  </w:style>
  <w:style w:type="character" w:customStyle="1" w:styleId="130">
    <w:name w:val="文档结构图 字符"/>
    <w:qFormat/>
    <w:uiPriority w:val="0"/>
    <w:rPr>
      <w:rFonts w:ascii="Microsoft YaHei UI" w:hAnsi="宋体" w:eastAsia="Microsoft YaHei UI"/>
      <w:kern w:val="2"/>
      <w:sz w:val="18"/>
      <w:szCs w:val="18"/>
    </w:rPr>
  </w:style>
  <w:style w:type="character" w:customStyle="1" w:styleId="131">
    <w:name w:val="标题 6 字符"/>
    <w:qFormat/>
    <w:uiPriority w:val="9"/>
    <w:rPr>
      <w:rFonts w:ascii="等线 Light" w:hAnsi="等线 Light" w:eastAsia="等线 Light" w:cs="Times New Roman"/>
      <w:b/>
      <w:bCs/>
      <w:kern w:val="2"/>
      <w:sz w:val="24"/>
      <w:szCs w:val="24"/>
    </w:rPr>
  </w:style>
  <w:style w:type="character" w:customStyle="1" w:styleId="132">
    <w:name w:val="正文正文2 Char"/>
    <w:link w:val="133"/>
    <w:qFormat/>
    <w:uiPriority w:val="0"/>
    <w:rPr>
      <w:rFonts w:ascii="宋体" w:hAnsi="宋体"/>
      <w:kern w:val="2"/>
      <w:sz w:val="21"/>
      <w:szCs w:val="21"/>
    </w:rPr>
  </w:style>
  <w:style w:type="paragraph" w:customStyle="1" w:styleId="133">
    <w:name w:val="正文正文2"/>
    <w:basedOn w:val="1"/>
    <w:link w:val="132"/>
    <w:qFormat/>
    <w:uiPriority w:val="0"/>
    <w:pPr>
      <w:ind w:firstLine="460"/>
    </w:pPr>
    <w:rPr>
      <w:sz w:val="21"/>
      <w:szCs w:val="21"/>
    </w:rPr>
  </w:style>
  <w:style w:type="character" w:customStyle="1" w:styleId="134">
    <w:name w:val="标题 3 字符2"/>
    <w:link w:val="5"/>
    <w:qFormat/>
    <w:uiPriority w:val="0"/>
    <w:rPr>
      <w:rFonts w:ascii="宋体" w:hAnsi="宋体"/>
      <w:b/>
      <w:bCs/>
      <w:kern w:val="2"/>
      <w:sz w:val="28"/>
      <w:szCs w:val="28"/>
    </w:rPr>
  </w:style>
  <w:style w:type="character" w:customStyle="1" w:styleId="135">
    <w:name w:val="标题 4 字符"/>
    <w:qFormat/>
    <w:uiPriority w:val="0"/>
    <w:rPr>
      <w:rFonts w:ascii="等线 Light" w:hAnsi="等线 Light" w:eastAsia="等线 Light" w:cs="Times New Roman"/>
      <w:b/>
      <w:bCs/>
      <w:kern w:val="2"/>
      <w:sz w:val="28"/>
      <w:szCs w:val="28"/>
    </w:rPr>
  </w:style>
  <w:style w:type="character" w:customStyle="1" w:styleId="136">
    <w:name w:val="批注主题 字符1"/>
    <w:link w:val="85"/>
    <w:qFormat/>
    <w:uiPriority w:val="0"/>
    <w:rPr>
      <w:rFonts w:eastAsia="仿宋"/>
      <w:b/>
      <w:bCs/>
      <w:kern w:val="2"/>
      <w:sz w:val="21"/>
      <w:szCs w:val="24"/>
    </w:rPr>
  </w:style>
  <w:style w:type="character" w:customStyle="1" w:styleId="137">
    <w:name w:val="页眉 字符"/>
    <w:qFormat/>
    <w:uiPriority w:val="99"/>
    <w:rPr>
      <w:rFonts w:ascii="宋体" w:hAnsi="宋体"/>
      <w:kern w:val="2"/>
      <w:sz w:val="18"/>
      <w:szCs w:val="18"/>
    </w:rPr>
  </w:style>
  <w:style w:type="character" w:customStyle="1" w:styleId="138">
    <w:name w:val="正文文本缩进 字符1"/>
    <w:link w:val="35"/>
    <w:qFormat/>
    <w:uiPriority w:val="0"/>
    <w:rPr>
      <w:kern w:val="2"/>
      <w:sz w:val="21"/>
    </w:rPr>
  </w:style>
  <w:style w:type="character" w:customStyle="1" w:styleId="139">
    <w:name w:val="标题 5 字符1"/>
    <w:link w:val="7"/>
    <w:qFormat/>
    <w:uiPriority w:val="0"/>
    <w:rPr>
      <w:rFonts w:ascii="宋体" w:hAnsi="宋体"/>
      <w:b/>
      <w:bCs/>
      <w:kern w:val="2"/>
      <w:sz w:val="24"/>
      <w:szCs w:val="28"/>
    </w:rPr>
  </w:style>
  <w:style w:type="character" w:customStyle="1" w:styleId="140">
    <w:name w:val="副标题 字符1"/>
    <w:link w:val="64"/>
    <w:qFormat/>
    <w:uiPriority w:val="0"/>
    <w:rPr>
      <w:rFonts w:ascii="Calibri Light" w:hAnsi="Calibri Light"/>
      <w:b/>
      <w:bCs/>
      <w:kern w:val="28"/>
      <w:sz w:val="32"/>
      <w:szCs w:val="32"/>
    </w:rPr>
  </w:style>
  <w:style w:type="character" w:customStyle="1" w:styleId="141">
    <w:name w:val="标题 2 字符1"/>
    <w:link w:val="4"/>
    <w:qFormat/>
    <w:uiPriority w:val="9"/>
    <w:rPr>
      <w:rFonts w:ascii="宋体" w:hAnsi="宋体"/>
      <w:b/>
      <w:bCs/>
      <w:kern w:val="2"/>
      <w:sz w:val="30"/>
      <w:szCs w:val="32"/>
    </w:rPr>
  </w:style>
  <w:style w:type="character" w:customStyle="1" w:styleId="142">
    <w:name w:val="页脚 字符1"/>
    <w:link w:val="55"/>
    <w:qFormat/>
    <w:uiPriority w:val="99"/>
    <w:rPr>
      <w:kern w:val="2"/>
      <w:sz w:val="18"/>
      <w:szCs w:val="18"/>
    </w:rPr>
  </w:style>
  <w:style w:type="character" w:customStyle="1" w:styleId="143">
    <w:name w:val="批注主题 字符"/>
    <w:qFormat/>
    <w:uiPriority w:val="0"/>
    <w:rPr>
      <w:rFonts w:ascii="宋体" w:hAnsi="宋体"/>
      <w:b/>
      <w:bCs/>
      <w:kern w:val="2"/>
      <w:sz w:val="24"/>
      <w:szCs w:val="24"/>
    </w:rPr>
  </w:style>
  <w:style w:type="character" w:customStyle="1" w:styleId="144">
    <w:name w:val="文档结构图 字符1"/>
    <w:link w:val="26"/>
    <w:qFormat/>
    <w:uiPriority w:val="0"/>
    <w:rPr>
      <w:rFonts w:ascii="宋体"/>
      <w:kern w:val="2"/>
      <w:sz w:val="18"/>
      <w:szCs w:val="18"/>
    </w:rPr>
  </w:style>
  <w:style w:type="character" w:customStyle="1" w:styleId="145">
    <w:name w:val="font31"/>
    <w:qFormat/>
    <w:uiPriority w:val="0"/>
    <w:rPr>
      <w:rFonts w:hint="eastAsia" w:ascii="宋体" w:hAnsi="宋体" w:eastAsia="宋体" w:cs="宋体"/>
      <w:color w:val="000000"/>
      <w:sz w:val="21"/>
      <w:szCs w:val="21"/>
      <w:u w:val="none"/>
    </w:rPr>
  </w:style>
  <w:style w:type="character" w:customStyle="1" w:styleId="146">
    <w:name w:val="标准正文 Char"/>
    <w:link w:val="147"/>
    <w:qFormat/>
    <w:uiPriority w:val="0"/>
    <w:rPr>
      <w:rFonts w:ascii="Arial" w:hAnsi="Arial"/>
      <w:kern w:val="2"/>
      <w:sz w:val="24"/>
    </w:rPr>
  </w:style>
  <w:style w:type="paragraph" w:customStyle="1" w:styleId="147">
    <w:name w:val="标准正文"/>
    <w:basedOn w:val="35"/>
    <w:link w:val="146"/>
    <w:qFormat/>
    <w:uiPriority w:val="0"/>
    <w:pPr>
      <w:spacing w:before="60" w:after="60"/>
      <w:ind w:firstLine="482" w:firstLineChars="0"/>
    </w:pPr>
    <w:rPr>
      <w:rFonts w:ascii="Arial" w:hAnsi="Arial"/>
      <w:sz w:val="24"/>
    </w:rPr>
  </w:style>
  <w:style w:type="character" w:customStyle="1" w:styleId="148">
    <w:name w:val="标题 字符1"/>
    <w:link w:val="84"/>
    <w:qFormat/>
    <w:uiPriority w:val="0"/>
    <w:rPr>
      <w:rFonts w:ascii="Cambria" w:hAnsi="Cambria" w:eastAsia="黑体"/>
      <w:b/>
      <w:bCs/>
      <w:kern w:val="2"/>
      <w:sz w:val="52"/>
      <w:szCs w:val="32"/>
    </w:rPr>
  </w:style>
  <w:style w:type="character" w:customStyle="1" w:styleId="149">
    <w:name w:val="批注框文本 字符1"/>
    <w:link w:val="54"/>
    <w:qFormat/>
    <w:uiPriority w:val="0"/>
    <w:rPr>
      <w:kern w:val="2"/>
      <w:sz w:val="18"/>
      <w:szCs w:val="18"/>
    </w:rPr>
  </w:style>
  <w:style w:type="character" w:customStyle="1" w:styleId="150">
    <w:name w:val="页眉 字符1"/>
    <w:link w:val="57"/>
    <w:qFormat/>
    <w:uiPriority w:val="99"/>
    <w:rPr>
      <w:kern w:val="2"/>
      <w:sz w:val="18"/>
      <w:szCs w:val="18"/>
    </w:rPr>
  </w:style>
  <w:style w:type="character" w:customStyle="1" w:styleId="151">
    <w:name w:val="标题 8 字符"/>
    <w:link w:val="10"/>
    <w:qFormat/>
    <w:uiPriority w:val="9"/>
    <w:rPr>
      <w:rFonts w:ascii="Cambria" w:hAnsi="Cambria"/>
      <w:kern w:val="2"/>
      <w:sz w:val="21"/>
      <w:szCs w:val="24"/>
    </w:rPr>
  </w:style>
  <w:style w:type="character" w:customStyle="1" w:styleId="152">
    <w:name w:val="标题 6 字符1"/>
    <w:link w:val="8"/>
    <w:qFormat/>
    <w:uiPriority w:val="0"/>
    <w:rPr>
      <w:rFonts w:ascii="Cambria" w:hAnsi="Cambria"/>
      <w:b/>
      <w:bCs/>
      <w:kern w:val="2"/>
      <w:sz w:val="24"/>
      <w:szCs w:val="24"/>
    </w:rPr>
  </w:style>
  <w:style w:type="character" w:customStyle="1" w:styleId="153">
    <w:name w:val="标题 字符"/>
    <w:qFormat/>
    <w:uiPriority w:val="0"/>
    <w:rPr>
      <w:rFonts w:ascii="等线 Light" w:hAnsi="等线 Light" w:eastAsia="等线 Light" w:cs="Times New Roman"/>
      <w:b/>
      <w:bCs/>
      <w:kern w:val="2"/>
      <w:sz w:val="32"/>
      <w:szCs w:val="32"/>
    </w:rPr>
  </w:style>
  <w:style w:type="character" w:customStyle="1" w:styleId="154">
    <w:name w:val="副标题 字符"/>
    <w:qFormat/>
    <w:uiPriority w:val="0"/>
    <w:rPr>
      <w:rFonts w:ascii="等线" w:hAnsi="等线" w:eastAsia="等线" w:cs="Times New Roman"/>
      <w:b/>
      <w:bCs/>
      <w:kern w:val="28"/>
      <w:sz w:val="32"/>
      <w:szCs w:val="32"/>
    </w:rPr>
  </w:style>
  <w:style w:type="paragraph" w:customStyle="1" w:styleId="155">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56">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57">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58">
    <w:name w:val="_Style 2"/>
    <w:basedOn w:val="3"/>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59">
    <w:name w:val="正文缩进1"/>
    <w:basedOn w:val="1"/>
    <w:qFormat/>
    <w:uiPriority w:val="0"/>
    <w:pPr>
      <w:spacing w:line="240" w:lineRule="auto"/>
      <w:ind w:firstLine="420"/>
    </w:pPr>
    <w:rPr>
      <w:rFonts w:ascii="Times New Roman" w:hAnsi="Times New Roman"/>
      <w:sz w:val="21"/>
      <w:szCs w:val="20"/>
    </w:rPr>
  </w:style>
  <w:style w:type="paragraph" w:customStyle="1" w:styleId="160">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61">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62">
    <w:name w:val="Indent Normal"/>
    <w:basedOn w:val="1"/>
    <w:qFormat/>
    <w:uiPriority w:val="0"/>
    <w:pPr>
      <w:ind w:firstLine="150" w:firstLineChars="150"/>
    </w:pPr>
  </w:style>
  <w:style w:type="paragraph" w:customStyle="1" w:styleId="163">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64">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65">
    <w:name w:val="列项●（二级）"/>
    <w:qFormat/>
    <w:uiPriority w:val="0"/>
    <w:pPr>
      <w:numPr>
        <w:ilvl w:val="0"/>
        <w:numId w:val="1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66">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67">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68">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70">
    <w:name w:val="Char Char Char Char Char Char1 Char"/>
    <w:basedOn w:val="1"/>
    <w:qFormat/>
    <w:uiPriority w:val="0"/>
    <w:pPr>
      <w:widowControl/>
      <w:spacing w:after="160" w:line="240" w:lineRule="exact"/>
      <w:jc w:val="left"/>
    </w:pPr>
  </w:style>
  <w:style w:type="paragraph" w:customStyle="1" w:styleId="171">
    <w:name w:val="PM_Body"/>
    <w:basedOn w:val="1"/>
    <w:qFormat/>
    <w:locked/>
    <w:uiPriority w:val="0"/>
    <w:rPr>
      <w:szCs w:val="21"/>
    </w:rPr>
  </w:style>
  <w:style w:type="paragraph" w:customStyle="1" w:styleId="172">
    <w:name w:val="Char Char1"/>
    <w:basedOn w:val="1"/>
    <w:qFormat/>
    <w:uiPriority w:val="0"/>
    <w:pPr>
      <w:widowControl/>
      <w:spacing w:before="120" w:after="120"/>
    </w:pPr>
    <w:rPr>
      <w:rFonts w:ascii="Times New Roman" w:hAnsi="Times New Roman" w:cs="宋体"/>
    </w:rPr>
  </w:style>
  <w:style w:type="paragraph" w:customStyle="1" w:styleId="173">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74">
    <w:name w:val="修订1"/>
    <w:unhideWhenUsed/>
    <w:qFormat/>
    <w:uiPriority w:val="99"/>
    <w:rPr>
      <w:rFonts w:ascii="宋体" w:hAnsi="宋体" w:eastAsia="宋体" w:cs="Times New Roman"/>
      <w:kern w:val="2"/>
      <w:sz w:val="24"/>
      <w:szCs w:val="24"/>
      <w:lang w:val="en-US" w:eastAsia="zh-CN" w:bidi="ar-SA"/>
    </w:rPr>
  </w:style>
  <w:style w:type="paragraph" w:customStyle="1" w:styleId="175">
    <w:name w:val="列出段落2"/>
    <w:basedOn w:val="1"/>
    <w:qFormat/>
    <w:uiPriority w:val="0"/>
    <w:pPr>
      <w:spacing w:line="240" w:lineRule="auto"/>
      <w:ind w:firstLine="420"/>
    </w:pPr>
    <w:rPr>
      <w:rFonts w:ascii="等线" w:hAnsi="等线" w:eastAsia="等线" w:cs="等线"/>
      <w:sz w:val="21"/>
      <w:szCs w:val="21"/>
    </w:rPr>
  </w:style>
  <w:style w:type="paragraph" w:customStyle="1" w:styleId="176">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7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78">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79">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80">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81">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82">
    <w:name w:val="TOC 标题1"/>
    <w:basedOn w:val="3"/>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83">
    <w:name w:val="!我的表格1"/>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
    <w:name w:val="网格型1"/>
    <w:basedOn w:val="88"/>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5">
    <w:name w:val="标题 1 Char"/>
    <w:qFormat/>
    <w:uiPriority w:val="0"/>
    <w:rPr>
      <w:rFonts w:ascii="宋体" w:hAnsi="宋体" w:eastAsia="黑体"/>
      <w:b/>
      <w:bCs/>
      <w:kern w:val="44"/>
      <w:sz w:val="32"/>
      <w:szCs w:val="28"/>
    </w:rPr>
  </w:style>
  <w:style w:type="character" w:customStyle="1" w:styleId="186">
    <w:name w:val="纯文本 Char2"/>
    <w:qFormat/>
    <w:uiPriority w:val="0"/>
    <w:rPr>
      <w:rFonts w:ascii="宋体" w:hAnsi="宋体" w:eastAsia="宋体" w:cs="Times New Roman"/>
      <w:color w:val="000000"/>
      <w:kern w:val="0"/>
      <w:sz w:val="24"/>
      <w:szCs w:val="24"/>
    </w:rPr>
  </w:style>
  <w:style w:type="paragraph" w:customStyle="1" w:styleId="187">
    <w:name w:val="表题注"/>
    <w:next w:val="1"/>
    <w:link w:val="188"/>
    <w:qFormat/>
    <w:uiPriority w:val="0"/>
    <w:pPr>
      <w:spacing w:before="100" w:beforeAutospacing="1" w:line="240" w:lineRule="atLeast"/>
      <w:jc w:val="center"/>
    </w:pPr>
    <w:rPr>
      <w:rFonts w:ascii="Times New Roman" w:hAnsi="Times New Roman" w:eastAsia="仿宋" w:cs="Times New Roman"/>
      <w:b/>
      <w:kern w:val="2"/>
      <w:sz w:val="21"/>
      <w:szCs w:val="44"/>
      <w:lang w:val="en-US" w:eastAsia="zh-CN" w:bidi="ar-SA"/>
    </w:rPr>
  </w:style>
  <w:style w:type="character" w:customStyle="1" w:styleId="188">
    <w:name w:val="表题注 字符"/>
    <w:basedOn w:val="90"/>
    <w:link w:val="187"/>
    <w:qFormat/>
    <w:uiPriority w:val="0"/>
    <w:rPr>
      <w:rFonts w:eastAsia="仿宋"/>
      <w:b/>
      <w:kern w:val="2"/>
      <w:sz w:val="21"/>
      <w:szCs w:val="44"/>
    </w:rPr>
  </w:style>
  <w:style w:type="paragraph" w:customStyle="1" w:styleId="189">
    <w:name w:val="B-表正文"/>
    <w:qFormat/>
    <w:uiPriority w:val="0"/>
    <w:rPr>
      <w:rFonts w:ascii="Times New Roman" w:hAnsi="Times New Roman" w:eastAsia="仿宋" w:cstheme="minorBidi"/>
      <w:kern w:val="2"/>
      <w:sz w:val="21"/>
      <w:szCs w:val="24"/>
      <w:lang w:val="en-US" w:eastAsia="zh-CN" w:bidi="ar-SA"/>
    </w:rPr>
  </w:style>
  <w:style w:type="paragraph" w:customStyle="1" w:styleId="190">
    <w:name w:val="可研正文"/>
    <w:basedOn w:val="1"/>
    <w:link w:val="192"/>
    <w:qFormat/>
    <w:uiPriority w:val="0"/>
    <w:pPr>
      <w:widowControl/>
      <w:adjustRightInd w:val="0"/>
      <w:ind w:firstLine="200"/>
    </w:pPr>
    <w:rPr>
      <w:rFonts w:ascii="仿宋" w:hAnsi="仿宋" w:eastAsia="仿宋"/>
      <w:kern w:val="0"/>
      <w:sz w:val="28"/>
      <w:szCs w:val="28"/>
    </w:rPr>
  </w:style>
  <w:style w:type="paragraph" w:customStyle="1" w:styleId="191">
    <w:name w:val="表正文"/>
    <w:qFormat/>
    <w:uiPriority w:val="0"/>
    <w:rPr>
      <w:rFonts w:ascii="Times New Roman" w:hAnsi="Times New Roman" w:eastAsia="仿宋" w:cstheme="minorBidi"/>
      <w:kern w:val="2"/>
      <w:sz w:val="21"/>
      <w:szCs w:val="24"/>
      <w:lang w:val="en-US" w:eastAsia="zh-CN" w:bidi="ar-SA"/>
    </w:rPr>
  </w:style>
  <w:style w:type="character" w:customStyle="1" w:styleId="192">
    <w:name w:val="可研正文 Char"/>
    <w:link w:val="190"/>
    <w:qFormat/>
    <w:uiPriority w:val="0"/>
    <w:rPr>
      <w:rFonts w:ascii="仿宋" w:hAnsi="仿宋" w:eastAsia="仿宋"/>
      <w:sz w:val="28"/>
      <w:szCs w:val="28"/>
    </w:rPr>
  </w:style>
  <w:style w:type="paragraph" w:customStyle="1" w:styleId="193">
    <w:name w:val="正文（首行缩进）"/>
    <w:basedOn w:val="1"/>
    <w:qFormat/>
    <w:uiPriority w:val="0"/>
    <w:pPr>
      <w:spacing w:line="240" w:lineRule="auto"/>
      <w:ind w:firstLine="0" w:firstLineChars="0"/>
    </w:pPr>
    <w:rPr>
      <w:rFonts w:eastAsia="仿宋" w:asciiTheme="minorHAnsi" w:hAnsiTheme="minorHAnsi" w:cstheme="minorBidi"/>
      <w:sz w:val="21"/>
      <w:szCs w:val="18"/>
    </w:rPr>
  </w:style>
  <w:style w:type="paragraph" w:customStyle="1" w:styleId="194">
    <w:name w:val="font5"/>
    <w:basedOn w:val="1"/>
    <w:qFormat/>
    <w:uiPriority w:val="0"/>
    <w:pPr>
      <w:widowControl/>
      <w:adjustRightInd w:val="0"/>
      <w:spacing w:before="100" w:beforeAutospacing="1" w:after="100" w:afterAutospacing="1" w:line="500" w:lineRule="exact"/>
      <w:ind w:firstLine="560"/>
      <w:jc w:val="left"/>
    </w:pPr>
    <w:rPr>
      <w:rFonts w:ascii="等线" w:hAnsi="等线" w:eastAsia="等线"/>
      <w:kern w:val="0"/>
      <w:sz w:val="18"/>
      <w:szCs w:val="18"/>
    </w:rPr>
  </w:style>
  <w:style w:type="character" w:customStyle="1" w:styleId="195">
    <w:name w:val="宏文本 字符"/>
    <w:basedOn w:val="90"/>
    <w:link w:val="2"/>
    <w:qFormat/>
    <w:uiPriority w:val="0"/>
    <w:rPr>
      <w:rFonts w:ascii="Courier New" w:hAnsi="Courier New" w:cs="Courier New"/>
      <w:sz w:val="24"/>
      <w:szCs w:val="24"/>
    </w:rPr>
  </w:style>
  <w:style w:type="character" w:customStyle="1" w:styleId="196">
    <w:name w:val="注释标题 字符"/>
    <w:basedOn w:val="90"/>
    <w:link w:val="16"/>
    <w:qFormat/>
    <w:uiPriority w:val="0"/>
    <w:rPr>
      <w:rFonts w:ascii="仿宋" w:hAnsi="宋体" w:eastAsia="仿宋"/>
      <w:sz w:val="28"/>
      <w:szCs w:val="28"/>
    </w:rPr>
  </w:style>
  <w:style w:type="character" w:customStyle="1" w:styleId="197">
    <w:name w:val="电子邮件签名 字符"/>
    <w:basedOn w:val="90"/>
    <w:link w:val="19"/>
    <w:qFormat/>
    <w:uiPriority w:val="0"/>
    <w:rPr>
      <w:rFonts w:ascii="仿宋" w:hAnsi="宋体" w:eastAsia="仿宋"/>
      <w:sz w:val="28"/>
      <w:szCs w:val="28"/>
    </w:rPr>
  </w:style>
  <w:style w:type="character" w:customStyle="1" w:styleId="198">
    <w:name w:val="称呼 字符"/>
    <w:basedOn w:val="90"/>
    <w:link w:val="30"/>
    <w:qFormat/>
    <w:uiPriority w:val="0"/>
    <w:rPr>
      <w:rFonts w:ascii="仿宋" w:hAnsi="宋体" w:eastAsia="仿宋"/>
      <w:sz w:val="28"/>
      <w:szCs w:val="28"/>
    </w:rPr>
  </w:style>
  <w:style w:type="character" w:customStyle="1" w:styleId="199">
    <w:name w:val="正文文本 3 字符"/>
    <w:basedOn w:val="90"/>
    <w:link w:val="31"/>
    <w:qFormat/>
    <w:uiPriority w:val="0"/>
    <w:rPr>
      <w:rFonts w:ascii="仿宋" w:hAnsi="宋体" w:eastAsia="仿宋"/>
      <w:sz w:val="16"/>
      <w:szCs w:val="16"/>
    </w:rPr>
  </w:style>
  <w:style w:type="character" w:customStyle="1" w:styleId="200">
    <w:name w:val="结束语 字符"/>
    <w:basedOn w:val="90"/>
    <w:link w:val="32"/>
    <w:qFormat/>
    <w:uiPriority w:val="0"/>
    <w:rPr>
      <w:rFonts w:ascii="仿宋" w:hAnsi="宋体" w:eastAsia="仿宋"/>
      <w:sz w:val="28"/>
      <w:szCs w:val="28"/>
    </w:rPr>
  </w:style>
  <w:style w:type="character" w:customStyle="1" w:styleId="201">
    <w:name w:val="HTML 地址 字符"/>
    <w:basedOn w:val="90"/>
    <w:link w:val="41"/>
    <w:qFormat/>
    <w:uiPriority w:val="0"/>
    <w:rPr>
      <w:rFonts w:ascii="仿宋" w:hAnsi="宋体" w:eastAsia="仿宋"/>
      <w:i/>
      <w:iCs/>
      <w:sz w:val="28"/>
      <w:szCs w:val="28"/>
    </w:rPr>
  </w:style>
  <w:style w:type="character" w:customStyle="1" w:styleId="202">
    <w:name w:val="正文文本缩进 2 字符"/>
    <w:basedOn w:val="90"/>
    <w:link w:val="51"/>
    <w:qFormat/>
    <w:uiPriority w:val="0"/>
    <w:rPr>
      <w:rFonts w:ascii="仿宋" w:hAnsi="宋体" w:eastAsia="仿宋"/>
      <w:sz w:val="28"/>
      <w:szCs w:val="28"/>
    </w:rPr>
  </w:style>
  <w:style w:type="character" w:customStyle="1" w:styleId="203">
    <w:name w:val="尾注文本 字符"/>
    <w:basedOn w:val="90"/>
    <w:link w:val="52"/>
    <w:qFormat/>
    <w:uiPriority w:val="0"/>
    <w:rPr>
      <w:rFonts w:ascii="仿宋" w:hAnsi="宋体" w:eastAsia="仿宋"/>
      <w:sz w:val="28"/>
      <w:szCs w:val="28"/>
    </w:rPr>
  </w:style>
  <w:style w:type="character" w:customStyle="1" w:styleId="204">
    <w:name w:val="签名 字符"/>
    <w:basedOn w:val="90"/>
    <w:link w:val="58"/>
    <w:qFormat/>
    <w:uiPriority w:val="0"/>
    <w:rPr>
      <w:rFonts w:ascii="仿宋" w:hAnsi="宋体" w:eastAsia="仿宋"/>
      <w:sz w:val="28"/>
      <w:szCs w:val="28"/>
    </w:rPr>
  </w:style>
  <w:style w:type="character" w:customStyle="1" w:styleId="205">
    <w:name w:val="脚注文本 字符"/>
    <w:basedOn w:val="90"/>
    <w:link w:val="67"/>
    <w:qFormat/>
    <w:uiPriority w:val="0"/>
    <w:rPr>
      <w:rFonts w:ascii="仿宋" w:hAnsi="宋体" w:eastAsia="仿宋"/>
      <w:sz w:val="18"/>
      <w:szCs w:val="18"/>
    </w:rPr>
  </w:style>
  <w:style w:type="character" w:customStyle="1" w:styleId="206">
    <w:name w:val="正文文本缩进 3 字符"/>
    <w:basedOn w:val="90"/>
    <w:link w:val="70"/>
    <w:qFormat/>
    <w:uiPriority w:val="0"/>
    <w:rPr>
      <w:rFonts w:ascii="仿宋" w:hAnsi="宋体" w:eastAsia="仿宋"/>
      <w:sz w:val="16"/>
      <w:szCs w:val="16"/>
    </w:rPr>
  </w:style>
  <w:style w:type="character" w:customStyle="1" w:styleId="207">
    <w:name w:val="正文文本 2 字符"/>
    <w:basedOn w:val="90"/>
    <w:link w:val="76"/>
    <w:qFormat/>
    <w:uiPriority w:val="0"/>
    <w:rPr>
      <w:rFonts w:ascii="仿宋" w:hAnsi="宋体" w:eastAsia="仿宋"/>
      <w:sz w:val="28"/>
      <w:szCs w:val="28"/>
    </w:rPr>
  </w:style>
  <w:style w:type="character" w:customStyle="1" w:styleId="208">
    <w:name w:val="信息标题 字符"/>
    <w:basedOn w:val="90"/>
    <w:link w:val="79"/>
    <w:qFormat/>
    <w:uiPriority w:val="0"/>
    <w:rPr>
      <w:rFonts w:asciiTheme="majorHAnsi" w:hAnsiTheme="majorHAnsi" w:eastAsiaTheme="majorEastAsia" w:cstheme="majorBidi"/>
      <w:sz w:val="24"/>
      <w:szCs w:val="24"/>
      <w:shd w:val="pct20" w:color="auto" w:fill="auto"/>
    </w:rPr>
  </w:style>
  <w:style w:type="character" w:customStyle="1" w:styleId="209">
    <w:name w:val="HTML 预设格式 字符"/>
    <w:basedOn w:val="90"/>
    <w:link w:val="80"/>
    <w:qFormat/>
    <w:uiPriority w:val="0"/>
    <w:rPr>
      <w:rFonts w:ascii="Courier New" w:hAnsi="Courier New" w:eastAsia="仿宋" w:cs="Courier New"/>
    </w:rPr>
  </w:style>
  <w:style w:type="character" w:customStyle="1" w:styleId="210">
    <w:name w:val="正文文本首行缩进 字符"/>
    <w:basedOn w:val="112"/>
    <w:link w:val="86"/>
    <w:qFormat/>
    <w:uiPriority w:val="0"/>
    <w:rPr>
      <w:rFonts w:ascii="仿宋" w:hAnsi="宋体" w:eastAsia="仿宋"/>
      <w:kern w:val="2"/>
      <w:sz w:val="28"/>
      <w:szCs w:val="28"/>
    </w:rPr>
  </w:style>
  <w:style w:type="character" w:customStyle="1" w:styleId="211">
    <w:name w:val="正文文本首行缩进 2 字符"/>
    <w:basedOn w:val="138"/>
    <w:link w:val="87"/>
    <w:qFormat/>
    <w:uiPriority w:val="0"/>
    <w:rPr>
      <w:rFonts w:ascii="仿宋" w:hAnsi="宋体" w:eastAsia="仿宋"/>
      <w:kern w:val="2"/>
      <w:sz w:val="28"/>
      <w:szCs w:val="28"/>
    </w:rPr>
  </w:style>
  <w:style w:type="paragraph" w:customStyle="1" w:styleId="212">
    <w:name w:val="样式2"/>
    <w:basedOn w:val="1"/>
    <w:qFormat/>
    <w:uiPriority w:val="0"/>
    <w:pPr>
      <w:widowControl/>
      <w:adjustRightInd w:val="0"/>
    </w:pPr>
    <w:rPr>
      <w:rFonts w:eastAsia="仿宋"/>
      <w:kern w:val="0"/>
      <w:lang w:eastAsia="en-US"/>
    </w:rPr>
  </w:style>
  <w:style w:type="paragraph" w:customStyle="1" w:styleId="213">
    <w:name w:val="修订11"/>
    <w:hidden/>
    <w:unhideWhenUsed/>
    <w:qFormat/>
    <w:uiPriority w:val="99"/>
    <w:rPr>
      <w:rFonts w:ascii="Calibri" w:hAnsi="Calibri" w:eastAsia="宋体" w:cs="Times New Roman"/>
      <w:kern w:val="2"/>
      <w:sz w:val="21"/>
      <w:szCs w:val="22"/>
      <w:lang w:val="en-US" w:eastAsia="zh-CN" w:bidi="ar-SA"/>
    </w:rPr>
  </w:style>
  <w:style w:type="character" w:customStyle="1" w:styleId="214">
    <w:name w:val="font01"/>
    <w:basedOn w:val="90"/>
    <w:qFormat/>
    <w:uiPriority w:val="0"/>
    <w:rPr>
      <w:rFonts w:hint="default" w:ascii="Times New Roman" w:hAnsi="Times New Roman" w:cs="Times New Roman"/>
      <w:color w:val="000000"/>
      <w:sz w:val="24"/>
      <w:szCs w:val="24"/>
      <w:u w:val="none"/>
    </w:rPr>
  </w:style>
  <w:style w:type="character" w:customStyle="1" w:styleId="215">
    <w:name w:val="font61"/>
    <w:basedOn w:val="90"/>
    <w:qFormat/>
    <w:uiPriority w:val="0"/>
    <w:rPr>
      <w:rFonts w:hint="eastAsia" w:ascii="仿宋_GB2312" w:eastAsia="仿宋_GB2312" w:cs="仿宋_GB2312"/>
      <w:color w:val="000000"/>
      <w:sz w:val="24"/>
      <w:szCs w:val="24"/>
      <w:u w:val="none"/>
    </w:rPr>
  </w:style>
  <w:style w:type="character" w:customStyle="1" w:styleId="216">
    <w:name w:val="不明显强调1"/>
    <w:qFormat/>
    <w:uiPriority w:val="19"/>
    <w:rPr>
      <w:rFonts w:ascii="楷体" w:hAnsi="楷体" w:eastAsia="楷体"/>
    </w:rPr>
  </w:style>
  <w:style w:type="character" w:customStyle="1" w:styleId="217">
    <w:name w:val="明显参考1"/>
    <w:basedOn w:val="90"/>
    <w:qFormat/>
    <w:uiPriority w:val="32"/>
    <w:rPr>
      <w:b/>
      <w:bCs/>
      <w:smallCaps/>
      <w:color w:val="4F81BD" w:themeColor="accent1"/>
      <w:spacing w:val="5"/>
      <w14:textFill>
        <w14:solidFill>
          <w14:schemeClr w14:val="accent1"/>
        </w14:solidFill>
      </w14:textFill>
    </w:rPr>
  </w:style>
  <w:style w:type="character" w:customStyle="1" w:styleId="218">
    <w:name w:val="不明显参考1"/>
    <w:basedOn w:val="90"/>
    <w:qFormat/>
    <w:uiPriority w:val="31"/>
    <w:rPr>
      <w:smallCaps/>
      <w:color w:val="595959" w:themeColor="text1" w:themeTint="A6"/>
      <w14:textFill>
        <w14:solidFill>
          <w14:schemeClr w14:val="tx1">
            <w14:lumMod w14:val="65000"/>
            <w14:lumOff w14:val="35000"/>
          </w14:schemeClr>
        </w14:solidFill>
      </w14:textFill>
    </w:rPr>
  </w:style>
  <w:style w:type="paragraph" w:styleId="219">
    <w:name w:val="Intense Quote"/>
    <w:basedOn w:val="1"/>
    <w:next w:val="1"/>
    <w:link w:val="220"/>
    <w:qFormat/>
    <w:uiPriority w:val="99"/>
    <w:pPr>
      <w:pBdr>
        <w:top w:val="dotDotDash" w:color="C00000" w:sz="4" w:space="10"/>
        <w:bottom w:val="dotDotDash" w:color="C00000" w:sz="4" w:space="10"/>
      </w:pBdr>
      <w:spacing w:before="100" w:beforeAutospacing="1" w:after="100" w:afterAutospacing="1" w:line="240" w:lineRule="auto"/>
      <w:ind w:left="560" w:leftChars="200" w:right="280" w:rightChars="100" w:firstLine="482"/>
      <w:jc w:val="left"/>
    </w:pPr>
    <w:rPr>
      <w:rFonts w:ascii="仿宋" w:hAnsi="仿宋" w:eastAsia="霞鹜文楷" w:cstheme="minorBidi"/>
      <w:iCs/>
      <w:color w:val="31859C" w:themeColor="accent5" w:themeShade="BF"/>
      <w:sz w:val="28"/>
    </w:rPr>
  </w:style>
  <w:style w:type="character" w:customStyle="1" w:styleId="220">
    <w:name w:val="明显引用 字符"/>
    <w:basedOn w:val="90"/>
    <w:link w:val="219"/>
    <w:qFormat/>
    <w:uiPriority w:val="99"/>
    <w:rPr>
      <w:rFonts w:ascii="仿宋" w:hAnsi="仿宋" w:eastAsia="霞鹜文楷" w:cstheme="minorBidi"/>
      <w:iCs/>
      <w:color w:val="31859C" w:themeColor="accent5" w:themeShade="BF"/>
      <w:kern w:val="2"/>
      <w:sz w:val="28"/>
      <w:szCs w:val="24"/>
    </w:rPr>
  </w:style>
  <w:style w:type="character" w:customStyle="1" w:styleId="221">
    <w:name w:val="明显强调1"/>
    <w:basedOn w:val="90"/>
    <w:qFormat/>
    <w:uiPriority w:val="21"/>
    <w:rPr>
      <w:b/>
      <w:iCs/>
      <w:color w:val="C00000"/>
    </w:rPr>
  </w:style>
  <w:style w:type="paragraph" w:customStyle="1" w:styleId="222">
    <w:name w:val="附录标题"/>
    <w:basedOn w:val="114"/>
    <w:next w:val="223"/>
    <w:qFormat/>
    <w:uiPriority w:val="0"/>
    <w:pPr>
      <w:widowControl/>
      <w:numPr>
        <w:ilvl w:val="0"/>
        <w:numId w:val="13"/>
      </w:numPr>
      <w:adjustRightInd w:val="0"/>
      <w:spacing w:before="100" w:beforeAutospacing="1" w:after="100" w:afterAutospacing="1" w:line="480" w:lineRule="auto"/>
      <w:ind w:firstLine="0" w:firstLineChars="0"/>
      <w:jc w:val="center"/>
      <w:outlineLvl w:val="0"/>
    </w:pPr>
    <w:rPr>
      <w:rFonts w:ascii="华文中宋" w:hAnsi="华文中宋" w:eastAsia="华文中宋"/>
      <w:b/>
      <w:bCs/>
      <w:kern w:val="0"/>
      <w:sz w:val="36"/>
      <w:szCs w:val="36"/>
    </w:rPr>
  </w:style>
  <w:style w:type="paragraph" w:customStyle="1" w:styleId="223">
    <w:name w:val="附件标题"/>
    <w:basedOn w:val="1"/>
    <w:next w:val="224"/>
    <w:qFormat/>
    <w:uiPriority w:val="0"/>
    <w:pPr>
      <w:widowControl/>
      <w:adjustRightInd w:val="0"/>
      <w:spacing w:line="500" w:lineRule="exact"/>
      <w:ind w:left="200" w:hanging="200" w:hangingChars="200"/>
      <w:outlineLvl w:val="2"/>
    </w:pPr>
    <w:rPr>
      <w:rFonts w:ascii="仿宋" w:eastAsia="楷体"/>
      <w:b/>
      <w:kern w:val="0"/>
      <w:sz w:val="28"/>
      <w:szCs w:val="28"/>
    </w:rPr>
  </w:style>
  <w:style w:type="paragraph" w:customStyle="1" w:styleId="224">
    <w:name w:val="内容居中"/>
    <w:basedOn w:val="1"/>
    <w:qFormat/>
    <w:uiPriority w:val="0"/>
    <w:pPr>
      <w:widowControl/>
      <w:adjustRightInd w:val="0"/>
      <w:snapToGrid w:val="0"/>
      <w:spacing w:line="240" w:lineRule="auto"/>
      <w:ind w:firstLine="0" w:firstLineChars="0"/>
      <w:jc w:val="center"/>
    </w:pPr>
    <w:rPr>
      <w:rFonts w:ascii="仿宋" w:eastAsia="仿宋"/>
      <w:kern w:val="0"/>
      <w:sz w:val="28"/>
      <w:szCs w:val="28"/>
    </w:rPr>
  </w:style>
  <w:style w:type="paragraph" w:customStyle="1" w:styleId="225">
    <w:name w:val="TOC 标题11"/>
    <w:basedOn w:val="3"/>
    <w:next w:val="1"/>
    <w:unhideWhenUsed/>
    <w:qFormat/>
    <w:uiPriority w:val="39"/>
    <w:pPr>
      <w:widowControl/>
      <w:numPr>
        <w:numId w:val="0"/>
      </w:numPr>
      <w:spacing w:before="240" w:after="0" w:line="259" w:lineRule="auto"/>
      <w:jc w:val="center"/>
      <w:outlineLvl w:val="9"/>
    </w:pPr>
    <w:rPr>
      <w:rFonts w:asciiTheme="majorHAnsi" w:hAnsiTheme="majorHAnsi" w:eastAsiaTheme="majorEastAsia" w:cstheme="majorBidi"/>
      <w:bCs w:val="0"/>
      <w:color w:val="376092" w:themeColor="accent1" w:themeShade="BF"/>
      <w:kern w:val="0"/>
      <w:szCs w:val="32"/>
    </w:rPr>
  </w:style>
  <w:style w:type="table" w:customStyle="1" w:styleId="226">
    <w:name w:val="网格型3"/>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7">
    <w:name w:val="修订2"/>
    <w:hidden/>
    <w:unhideWhenUsed/>
    <w:qFormat/>
    <w:uiPriority w:val="99"/>
    <w:rPr>
      <w:rFonts w:ascii="仿宋" w:hAnsi="宋体" w:eastAsia="仿宋" w:cs="Times New Roman"/>
      <w:sz w:val="28"/>
      <w:szCs w:val="28"/>
      <w:lang w:val="en-US" w:eastAsia="zh-CN" w:bidi="ar-SA"/>
    </w:rPr>
  </w:style>
  <w:style w:type="paragraph" w:customStyle="1" w:styleId="228">
    <w:name w:val="T-图居中"/>
    <w:next w:val="229"/>
    <w:qFormat/>
    <w:uiPriority w:val="0"/>
    <w:pPr>
      <w:jc w:val="center"/>
    </w:pPr>
    <w:rPr>
      <w:rFonts w:ascii="Times New Roman" w:hAnsi="Times New Roman" w:eastAsia="仿宋" w:cstheme="minorBidi"/>
      <w:kern w:val="2"/>
      <w:sz w:val="24"/>
      <w:szCs w:val="24"/>
      <w:lang w:val="en-US" w:eastAsia="zh-CN" w:bidi="ar-SA"/>
    </w:rPr>
  </w:style>
  <w:style w:type="paragraph" w:customStyle="1" w:styleId="229">
    <w:name w:val="T-图题注"/>
    <w:next w:val="1"/>
    <w:qFormat/>
    <w:uiPriority w:val="0"/>
    <w:pPr>
      <w:numPr>
        <w:ilvl w:val="0"/>
        <w:numId w:val="14"/>
      </w:numPr>
      <w:jc w:val="center"/>
    </w:pPr>
    <w:rPr>
      <w:rFonts w:ascii="Times New Roman" w:hAnsi="Times New Roman" w:eastAsia="仿宋" w:cstheme="minorBidi"/>
      <w:kern w:val="2"/>
      <w:sz w:val="21"/>
      <w:szCs w:val="24"/>
      <w:lang w:val="en-US" w:eastAsia="zh-CN" w:bidi="ar-SA"/>
    </w:rPr>
  </w:style>
  <w:style w:type="paragraph" w:customStyle="1" w:styleId="230">
    <w:name w:val="修订21"/>
    <w:hidden/>
    <w:unhideWhenUsed/>
    <w:qFormat/>
    <w:uiPriority w:val="99"/>
    <w:rPr>
      <w:rFonts w:ascii="仿宋" w:hAnsi="宋体" w:eastAsia="仿宋" w:cs="Times New Roman"/>
      <w:sz w:val="28"/>
      <w:szCs w:val="28"/>
      <w:lang w:val="en-US" w:eastAsia="zh-CN" w:bidi="ar-SA"/>
    </w:rPr>
  </w:style>
  <w:style w:type="paragraph" w:customStyle="1" w:styleId="231">
    <w:name w:val="xl63"/>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500" w:lineRule="exact"/>
      <w:ind w:firstLine="560"/>
      <w:jc w:val="center"/>
    </w:pPr>
    <w:rPr>
      <w:kern w:val="0"/>
      <w:sz w:val="21"/>
      <w:szCs w:val="21"/>
    </w:rPr>
  </w:style>
  <w:style w:type="paragraph" w:customStyle="1" w:styleId="232">
    <w:name w:val="xl64"/>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500" w:lineRule="exact"/>
      <w:ind w:firstLine="560"/>
      <w:jc w:val="left"/>
    </w:pPr>
    <w:rPr>
      <w:kern w:val="0"/>
    </w:rPr>
  </w:style>
  <w:style w:type="character" w:customStyle="1" w:styleId="233">
    <w:name w:val="不明显强调11"/>
    <w:qFormat/>
    <w:uiPriority w:val="19"/>
    <w:rPr>
      <w:rFonts w:ascii="楷体" w:hAnsi="楷体" w:eastAsia="楷体"/>
    </w:rPr>
  </w:style>
  <w:style w:type="paragraph" w:customStyle="1" w:styleId="234">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 w:hAnsi="仿宋" w:eastAsia="仿宋" w:cs="宋体"/>
      <w:kern w:val="0"/>
      <w:sz w:val="16"/>
      <w:szCs w:val="16"/>
    </w:rPr>
  </w:style>
  <w:style w:type="paragraph" w:customStyle="1" w:styleId="235">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 w:hAnsi="仿宋" w:eastAsia="仿宋" w:cs="宋体"/>
      <w:kern w:val="0"/>
      <w:sz w:val="16"/>
      <w:szCs w:val="16"/>
    </w:rPr>
  </w:style>
  <w:style w:type="paragraph" w:customStyle="1" w:styleId="236">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kern w:val="0"/>
      <w:sz w:val="16"/>
      <w:szCs w:val="16"/>
    </w:rPr>
  </w:style>
  <w:style w:type="paragraph" w:customStyle="1" w:styleId="23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eastAsia="仿宋" w:cs="宋体"/>
      <w:kern w:val="0"/>
      <w:sz w:val="16"/>
      <w:szCs w:val="16"/>
    </w:rPr>
  </w:style>
  <w:style w:type="paragraph" w:customStyle="1" w:styleId="238">
    <w:name w:val="xl78"/>
    <w:basedOn w:val="1"/>
    <w:qFormat/>
    <w:uiPriority w:val="0"/>
    <w:pPr>
      <w:widowControl/>
      <w:spacing w:before="100" w:beforeAutospacing="1" w:after="100" w:afterAutospacing="1" w:line="240" w:lineRule="auto"/>
      <w:ind w:firstLine="0" w:firstLineChars="0"/>
      <w:jc w:val="left"/>
    </w:pPr>
    <w:rPr>
      <w:rFonts w:cs="宋体"/>
      <w:b/>
      <w:bCs/>
      <w:kern w:val="0"/>
    </w:rPr>
  </w:style>
  <w:style w:type="paragraph" w:customStyle="1" w:styleId="2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 w:hAnsi="仿宋" w:eastAsia="仿宋" w:cs="宋体"/>
      <w:b/>
      <w:bCs/>
      <w:kern w:val="0"/>
      <w:sz w:val="16"/>
      <w:szCs w:val="16"/>
    </w:rPr>
  </w:style>
  <w:style w:type="paragraph" w:customStyle="1" w:styleId="240">
    <w:name w:val="xl80"/>
    <w:basedOn w:val="1"/>
    <w:qFormat/>
    <w:uiPriority w:val="0"/>
    <w:pPr>
      <w:widowControl/>
      <w:spacing w:before="100" w:beforeAutospacing="1" w:after="100" w:afterAutospacing="1" w:line="240" w:lineRule="auto"/>
      <w:ind w:firstLine="0" w:firstLineChars="0"/>
      <w:jc w:val="center"/>
      <w:textAlignment w:val="center"/>
    </w:pPr>
    <w:rPr>
      <w:rFonts w:ascii="仿宋" w:hAnsi="仿宋" w:eastAsia="仿宋" w:cs="宋体"/>
      <w:b/>
      <w:bCs/>
      <w:kern w:val="0"/>
      <w:sz w:val="16"/>
      <w:szCs w:val="16"/>
    </w:rPr>
  </w:style>
  <w:style w:type="paragraph" w:customStyle="1" w:styleId="241">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eastAsia="仿宋" w:cs="宋体"/>
      <w:kern w:val="0"/>
      <w:sz w:val="16"/>
      <w:szCs w:val="16"/>
    </w:rPr>
  </w:style>
  <w:style w:type="paragraph" w:customStyle="1" w:styleId="242">
    <w:name w:val="xl82"/>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eastAsia="仿宋" w:cs="宋体"/>
      <w:kern w:val="0"/>
      <w:sz w:val="16"/>
      <w:szCs w:val="16"/>
    </w:rPr>
  </w:style>
  <w:style w:type="paragraph" w:customStyle="1" w:styleId="24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eastAsia="仿宋" w:cs="宋体"/>
      <w:kern w:val="0"/>
      <w:sz w:val="16"/>
      <w:szCs w:val="16"/>
    </w:rPr>
  </w:style>
  <w:style w:type="paragraph" w:customStyle="1" w:styleId="244">
    <w:name w:val="xl84"/>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eastAsia="仿宋" w:cs="宋体"/>
      <w:kern w:val="0"/>
      <w:sz w:val="16"/>
      <w:szCs w:val="16"/>
    </w:rPr>
  </w:style>
  <w:style w:type="paragraph" w:customStyle="1" w:styleId="24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b/>
      <w:bCs/>
      <w:kern w:val="0"/>
      <w:sz w:val="16"/>
      <w:szCs w:val="16"/>
    </w:rPr>
  </w:style>
  <w:style w:type="paragraph" w:customStyle="1" w:styleId="246">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eastAsia="仿宋" w:cs="宋体"/>
      <w:kern w:val="0"/>
      <w:sz w:val="16"/>
      <w:szCs w:val="16"/>
    </w:rPr>
  </w:style>
  <w:style w:type="paragraph" w:customStyle="1" w:styleId="247">
    <w:name w:val="xl87"/>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eastAsia="仿宋" w:cs="宋体"/>
      <w:kern w:val="0"/>
      <w:sz w:val="16"/>
      <w:szCs w:val="16"/>
    </w:rPr>
  </w:style>
  <w:style w:type="paragraph" w:customStyle="1" w:styleId="248">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eastAsia="仿宋" w:cs="宋体"/>
      <w:kern w:val="0"/>
      <w:sz w:val="16"/>
      <w:szCs w:val="16"/>
    </w:rPr>
  </w:style>
  <w:style w:type="paragraph" w:customStyle="1" w:styleId="24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eastAsia="仿宋" w:cs="宋体"/>
      <w:kern w:val="0"/>
      <w:sz w:val="16"/>
      <w:szCs w:val="16"/>
    </w:rPr>
  </w:style>
  <w:style w:type="paragraph" w:customStyle="1" w:styleId="25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 w:hAnsi="仿宋" w:eastAsia="仿宋" w:cs="宋体"/>
      <w:kern w:val="0"/>
      <w:sz w:val="16"/>
      <w:szCs w:val="16"/>
    </w:rPr>
  </w:style>
  <w:style w:type="paragraph" w:customStyle="1" w:styleId="251">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 w:hAnsi="仿宋" w:eastAsia="仿宋" w:cs="宋体"/>
      <w:kern w:val="0"/>
      <w:sz w:val="16"/>
      <w:szCs w:val="16"/>
    </w:rPr>
  </w:style>
  <w:style w:type="paragraph" w:customStyle="1" w:styleId="252">
    <w:name w:val="xl92"/>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eastAsia="仿宋" w:cs="宋体"/>
      <w:kern w:val="0"/>
      <w:sz w:val="16"/>
      <w:szCs w:val="16"/>
    </w:rPr>
  </w:style>
  <w:style w:type="paragraph" w:customStyle="1" w:styleId="253">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 w:hAnsi="仿宋" w:eastAsia="仿宋" w:cs="宋体"/>
      <w:kern w:val="0"/>
      <w:sz w:val="16"/>
      <w:szCs w:val="16"/>
    </w:rPr>
  </w:style>
  <w:style w:type="paragraph" w:customStyle="1" w:styleId="25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eastAsia="仿宋" w:cs="宋体"/>
      <w:kern w:val="0"/>
      <w:sz w:val="16"/>
      <w:szCs w:val="16"/>
    </w:rPr>
  </w:style>
  <w:style w:type="paragraph" w:customStyle="1" w:styleId="25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 w:hAnsi="仿宋" w:eastAsia="仿宋" w:cs="宋体"/>
      <w:kern w:val="0"/>
      <w:sz w:val="16"/>
      <w:szCs w:val="16"/>
    </w:rPr>
  </w:style>
  <w:style w:type="paragraph" w:customStyle="1" w:styleId="256">
    <w:name w:val="修订3"/>
    <w:hidden/>
    <w:unhideWhenUsed/>
    <w:qFormat/>
    <w:uiPriority w:val="99"/>
    <w:rPr>
      <w:rFonts w:ascii="仿宋" w:hAnsi="宋体" w:eastAsia="仿宋" w:cs="Times New Roman"/>
      <w:sz w:val="28"/>
      <w:szCs w:val="28"/>
      <w:lang w:val="en-US" w:eastAsia="zh-CN" w:bidi="ar-SA"/>
    </w:rPr>
  </w:style>
  <w:style w:type="character" w:customStyle="1" w:styleId="257">
    <w:name w:val="未处理的提及2"/>
    <w:basedOn w:val="90"/>
    <w:semiHidden/>
    <w:unhideWhenUsed/>
    <w:qFormat/>
    <w:uiPriority w:val="99"/>
    <w:rPr>
      <w:color w:val="605E5C"/>
      <w:shd w:val="clear" w:color="auto" w:fill="E1DFDD"/>
    </w:rPr>
  </w:style>
  <w:style w:type="paragraph" w:customStyle="1" w:styleId="258">
    <w:name w:val="msolistparagraph"/>
    <w:basedOn w:val="1"/>
    <w:qFormat/>
    <w:uiPriority w:val="0"/>
    <w:pPr>
      <w:spacing w:line="240" w:lineRule="auto"/>
      <w:ind w:firstLine="420"/>
    </w:pPr>
    <w:rPr>
      <w:rFonts w:ascii="Times New Roman" w:hAnsi="Times New Roman"/>
      <w:sz w:val="21"/>
    </w:rPr>
  </w:style>
  <w:style w:type="paragraph" w:customStyle="1" w:styleId="259">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260">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61">
    <w:name w:val="font0"/>
    <w:basedOn w:val="1"/>
    <w:qFormat/>
    <w:uiPriority w:val="0"/>
    <w:pPr>
      <w:widowControl/>
      <w:spacing w:before="100" w:beforeAutospacing="1" w:after="100" w:afterAutospacing="1" w:line="240" w:lineRule="auto"/>
      <w:ind w:firstLine="0" w:firstLineChars="0"/>
      <w:jc w:val="left"/>
    </w:pPr>
    <w:rPr>
      <w:rFonts w:cs="宋体"/>
      <w:color w:val="000000"/>
      <w:kern w:val="0"/>
    </w:rPr>
  </w:style>
  <w:style w:type="paragraph" w:customStyle="1" w:styleId="262">
    <w:name w:val="font1"/>
    <w:basedOn w:val="1"/>
    <w:qFormat/>
    <w:uiPriority w:val="0"/>
    <w:pPr>
      <w:widowControl/>
      <w:spacing w:before="100" w:beforeAutospacing="1" w:after="100" w:afterAutospacing="1" w:line="240" w:lineRule="auto"/>
      <w:ind w:firstLine="0" w:firstLineChars="0"/>
      <w:jc w:val="left"/>
    </w:pPr>
    <w:rPr>
      <w:rFonts w:cs="宋体"/>
      <w:b/>
      <w:bCs/>
      <w:color w:val="000000"/>
      <w:kern w:val="0"/>
    </w:rPr>
  </w:style>
  <w:style w:type="paragraph" w:customStyle="1" w:styleId="263">
    <w:name w:val="font2"/>
    <w:basedOn w:val="1"/>
    <w:qFormat/>
    <w:uiPriority w:val="0"/>
    <w:pPr>
      <w:widowControl/>
      <w:spacing w:before="100" w:beforeAutospacing="1" w:after="100" w:afterAutospacing="1" w:line="240" w:lineRule="auto"/>
      <w:ind w:firstLine="0" w:firstLineChars="0"/>
      <w:jc w:val="left"/>
    </w:pPr>
    <w:rPr>
      <w:rFonts w:ascii="仿宋" w:hAnsi="仿宋" w:eastAsia="仿宋" w:cs="宋体"/>
      <w:color w:val="000000"/>
      <w:kern w:val="0"/>
    </w:rPr>
  </w:style>
  <w:style w:type="paragraph" w:customStyle="1" w:styleId="264">
    <w:name w:val="font3"/>
    <w:basedOn w:val="1"/>
    <w:qFormat/>
    <w:uiPriority w:val="0"/>
    <w:pPr>
      <w:widowControl/>
      <w:spacing w:before="100" w:beforeAutospacing="1" w:after="100" w:afterAutospacing="1" w:line="240" w:lineRule="auto"/>
      <w:ind w:firstLine="0" w:firstLineChars="0"/>
      <w:jc w:val="left"/>
    </w:pPr>
    <w:rPr>
      <w:rFonts w:ascii="仿宋_GB2312" w:eastAsia="仿宋_GB2312" w:cs="宋体"/>
      <w:color w:val="000000"/>
      <w:kern w:val="0"/>
      <w:sz w:val="21"/>
      <w:szCs w:val="21"/>
    </w:rPr>
  </w:style>
  <w:style w:type="paragraph" w:customStyle="1" w:styleId="265">
    <w:name w:val="font4"/>
    <w:basedOn w:val="1"/>
    <w:qFormat/>
    <w:uiPriority w:val="0"/>
    <w:pPr>
      <w:widowControl/>
      <w:spacing w:before="100" w:beforeAutospacing="1" w:after="100" w:afterAutospacing="1" w:line="240" w:lineRule="auto"/>
      <w:ind w:firstLine="0" w:firstLineChars="0"/>
      <w:jc w:val="left"/>
    </w:pPr>
    <w:rPr>
      <w:rFonts w:cs="宋体"/>
      <w:color w:val="000000"/>
      <w:kern w:val="0"/>
      <w:sz w:val="21"/>
      <w:szCs w:val="21"/>
    </w:rPr>
  </w:style>
  <w:style w:type="paragraph" w:customStyle="1" w:styleId="266">
    <w:name w:val="et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267">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68">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69">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70">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b/>
      <w:bCs/>
      <w:kern w:val="0"/>
    </w:rPr>
  </w:style>
  <w:style w:type="paragraph" w:customStyle="1" w:styleId="271">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 w:hAnsi="仿宋" w:eastAsia="仿宋" w:cs="宋体"/>
      <w:kern w:val="0"/>
    </w:rPr>
  </w:style>
  <w:style w:type="paragraph" w:customStyle="1" w:styleId="27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_GB2312" w:eastAsia="仿宋_GB2312" w:cs="宋体"/>
      <w:kern w:val="0"/>
      <w:sz w:val="21"/>
      <w:szCs w:val="21"/>
    </w:rPr>
  </w:style>
  <w:style w:type="paragraph" w:customStyle="1" w:styleId="27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7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kern w:val="0"/>
      <w:sz w:val="21"/>
      <w:szCs w:val="21"/>
    </w:rPr>
  </w:style>
  <w:style w:type="paragraph" w:customStyle="1" w:styleId="27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 w:hAnsi="仿宋" w:eastAsia="仿宋" w:cs="宋体"/>
      <w:kern w:val="0"/>
    </w:rPr>
  </w:style>
  <w:style w:type="paragraph" w:customStyle="1" w:styleId="27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PMingLiU" w:eastAsia="PMingLiU" w:cs="宋体"/>
      <w:color w:val="000000"/>
      <w:kern w:val="0"/>
      <w:sz w:val="22"/>
      <w:szCs w:val="22"/>
    </w:rPr>
  </w:style>
  <w:style w:type="paragraph" w:customStyle="1" w:styleId="27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_GB2312" w:eastAsia="仿宋_GB2312" w:cs="宋体"/>
      <w:kern w:val="0"/>
      <w:sz w:val="21"/>
      <w:szCs w:val="21"/>
    </w:rPr>
  </w:style>
  <w:style w:type="paragraph" w:customStyle="1" w:styleId="278">
    <w:name w:val="TOC 标题2"/>
    <w:basedOn w:val="3"/>
    <w:next w:val="1"/>
    <w:semiHidden/>
    <w:unhideWhenUsed/>
    <w:qFormat/>
    <w:uiPriority w:val="39"/>
    <w:pPr>
      <w:widowControl/>
      <w:numPr>
        <w:numId w:val="0"/>
      </w:numPr>
      <w:adjustRightInd w:val="0"/>
      <w:spacing w:before="340" w:after="330" w:line="578" w:lineRule="atLeast"/>
      <w:ind w:firstLine="560" w:firstLineChars="200"/>
      <w:outlineLvl w:val="9"/>
    </w:pPr>
    <w:rPr>
      <w:rFonts w:ascii="仿宋" w:eastAsia="仿宋"/>
      <w:sz w:val="44"/>
      <w:szCs w:val="44"/>
    </w:rPr>
  </w:style>
  <w:style w:type="paragraph" w:customStyle="1" w:styleId="279">
    <w:name w:val="书目1"/>
    <w:basedOn w:val="1"/>
    <w:next w:val="1"/>
    <w:semiHidden/>
    <w:unhideWhenUsed/>
    <w:qFormat/>
    <w:uiPriority w:val="37"/>
    <w:pPr>
      <w:widowControl/>
      <w:adjustRightInd w:val="0"/>
      <w:spacing w:line="500" w:lineRule="exact"/>
      <w:ind w:firstLine="560"/>
    </w:pPr>
    <w:rPr>
      <w:rFonts w:ascii="仿宋" w:eastAsia="仿宋"/>
      <w:kern w:val="0"/>
      <w:sz w:val="28"/>
      <w:szCs w:val="28"/>
    </w:rPr>
  </w:style>
  <w:style w:type="paragraph" w:styleId="280">
    <w:name w:val="No Spacing"/>
    <w:qFormat/>
    <w:uiPriority w:val="99"/>
    <w:pPr>
      <w:adjustRightInd w:val="0"/>
      <w:ind w:firstLine="560" w:firstLineChars="200"/>
      <w:jc w:val="both"/>
    </w:pPr>
    <w:rPr>
      <w:rFonts w:ascii="仿宋" w:hAnsi="宋体" w:eastAsia="仿宋" w:cs="Times New Roman"/>
      <w:sz w:val="28"/>
      <w:szCs w:val="28"/>
      <w:lang w:val="en-US" w:eastAsia="zh-CN" w:bidi="ar-SA"/>
    </w:rPr>
  </w:style>
  <w:style w:type="paragraph" w:styleId="281">
    <w:name w:val="Quote"/>
    <w:basedOn w:val="1"/>
    <w:next w:val="1"/>
    <w:link w:val="282"/>
    <w:qFormat/>
    <w:uiPriority w:val="99"/>
    <w:pPr>
      <w:widowControl/>
      <w:adjustRightInd w:val="0"/>
      <w:spacing w:before="200" w:after="160" w:line="500" w:lineRule="exact"/>
      <w:ind w:left="864" w:right="864" w:firstLine="560"/>
      <w:jc w:val="center"/>
    </w:pPr>
    <w:rPr>
      <w:rFonts w:ascii="仿宋" w:eastAsia="仿宋"/>
      <w:i/>
      <w:iCs/>
      <w:color w:val="404040" w:themeColor="text1" w:themeTint="BF"/>
      <w:kern w:val="0"/>
      <w:sz w:val="28"/>
      <w:szCs w:val="28"/>
      <w14:textFill>
        <w14:solidFill>
          <w14:schemeClr w14:val="tx1">
            <w14:lumMod w14:val="75000"/>
            <w14:lumOff w14:val="25000"/>
          </w14:schemeClr>
        </w14:solidFill>
      </w14:textFill>
    </w:rPr>
  </w:style>
  <w:style w:type="character" w:customStyle="1" w:styleId="282">
    <w:name w:val="引用 字符"/>
    <w:basedOn w:val="90"/>
    <w:link w:val="281"/>
    <w:qFormat/>
    <w:uiPriority w:val="99"/>
    <w:rPr>
      <w:rFonts w:ascii="仿宋" w:hAnsi="宋体" w:eastAsia="仿宋"/>
      <w:i/>
      <w:iCs/>
      <w:color w:val="404040" w:themeColor="text1" w:themeTint="BF"/>
      <w:sz w:val="28"/>
      <w:szCs w:val="28"/>
      <w14:textFill>
        <w14:solidFill>
          <w14:schemeClr w14:val="tx1">
            <w14:lumMod w14:val="75000"/>
            <w14:lumOff w14:val="25000"/>
          </w14:schemeClr>
        </w14:solidFill>
      </w14:textFill>
    </w:rPr>
  </w:style>
  <w:style w:type="paragraph" w:customStyle="1" w:styleId="28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84">
    <w:name w:val="未处理的提及21"/>
    <w:basedOn w:val="90"/>
    <w:semiHidden/>
    <w:unhideWhenUsed/>
    <w:qFormat/>
    <w:uiPriority w:val="99"/>
    <w:rPr>
      <w:color w:val="605E5C"/>
      <w:shd w:val="clear" w:color="auto" w:fill="E1DFDD"/>
    </w:rPr>
  </w:style>
  <w:style w:type="character" w:customStyle="1" w:styleId="285">
    <w:name w:val="font11"/>
    <w:basedOn w:val="90"/>
    <w:qFormat/>
    <w:uiPriority w:val="0"/>
    <w:rPr>
      <w:rFonts w:hint="eastAsia" w:ascii="仿宋" w:hAnsi="仿宋" w:eastAsia="仿宋" w:cs="仿宋"/>
      <w:color w:val="000000"/>
      <w:sz w:val="24"/>
      <w:szCs w:val="24"/>
      <w:u w:val="none"/>
    </w:rPr>
  </w:style>
  <w:style w:type="character" w:customStyle="1" w:styleId="286">
    <w:name w:val="未处理的提及3"/>
    <w:basedOn w:val="90"/>
    <w:semiHidden/>
    <w:unhideWhenUsed/>
    <w:qFormat/>
    <w:uiPriority w:val="99"/>
    <w:rPr>
      <w:color w:val="605E5C"/>
      <w:shd w:val="clear" w:color="auto" w:fill="E1DFDD"/>
    </w:rPr>
  </w:style>
  <w:style w:type="character" w:customStyle="1" w:styleId="287">
    <w:name w:val="font71"/>
    <w:basedOn w:val="90"/>
    <w:qFormat/>
    <w:uiPriority w:val="0"/>
    <w:rPr>
      <w:rFonts w:hint="default" w:ascii="Times New Roman" w:hAnsi="Times New Roman" w:cs="Times New Roman"/>
      <w:color w:val="000000"/>
      <w:sz w:val="28"/>
      <w:szCs w:val="28"/>
      <w:u w:val="none"/>
    </w:rPr>
  </w:style>
  <w:style w:type="paragraph" w:customStyle="1" w:styleId="288">
    <w:name w:val="修订4"/>
    <w:hidden/>
    <w:unhideWhenUsed/>
    <w:qFormat/>
    <w:uiPriority w:val="99"/>
    <w:rPr>
      <w:rFonts w:ascii="宋体" w:hAnsi="宋体" w:eastAsia="宋体" w:cs="Times New Roman"/>
      <w:kern w:val="2"/>
      <w:sz w:val="24"/>
      <w:szCs w:val="24"/>
      <w:lang w:val="en-US" w:eastAsia="zh-CN" w:bidi="ar-SA"/>
    </w:rPr>
  </w:style>
  <w:style w:type="paragraph" w:customStyle="1" w:styleId="289">
    <w:name w:val="表"/>
    <w:basedOn w:val="1"/>
    <w:qFormat/>
    <w:uiPriority w:val="0"/>
    <w:pPr>
      <w:widowControl/>
      <w:spacing w:line="240" w:lineRule="auto"/>
      <w:ind w:firstLine="0" w:firstLineChars="0"/>
      <w:jc w:val="left"/>
    </w:pPr>
    <w:rPr>
      <w:rFonts w:hint="eastAsia" w:eastAsia="仿宋"/>
      <w:b/>
      <w:bCs/>
    </w:rPr>
  </w:style>
  <w:style w:type="paragraph" w:customStyle="1" w:styleId="290">
    <w:name w:val="修订5"/>
    <w:hidden/>
    <w:unhideWhenUsed/>
    <w:qFormat/>
    <w:uiPriority w:val="99"/>
    <w:rPr>
      <w:rFonts w:ascii="宋体" w:hAnsi="宋体" w:eastAsia="宋体" w:cs="Times New Roman"/>
      <w:kern w:val="2"/>
      <w:sz w:val="24"/>
      <w:szCs w:val="24"/>
      <w:lang w:val="en-US" w:eastAsia="zh-CN" w:bidi="ar-SA"/>
    </w:rPr>
  </w:style>
  <w:style w:type="paragraph" w:customStyle="1" w:styleId="291">
    <w:name w:val="列出段落1"/>
    <w:basedOn w:val="1"/>
    <w:qFormat/>
    <w:uiPriority w:val="34"/>
    <w:pPr>
      <w:ind w:firstLine="420"/>
    </w:pPr>
  </w:style>
  <w:style w:type="paragraph" w:customStyle="1" w:styleId="292">
    <w:name w:val="修订6"/>
    <w:hidden/>
    <w:unhideWhenUsed/>
    <w:qFormat/>
    <w:uiPriority w:val="99"/>
    <w:rPr>
      <w:rFonts w:ascii="宋体" w:hAnsi="宋体" w:eastAsia="宋体" w:cs="Times New Roman"/>
      <w:kern w:val="2"/>
      <w:sz w:val="24"/>
      <w:szCs w:val="24"/>
      <w:lang w:val="en-US" w:eastAsia="zh-CN" w:bidi="ar-SA"/>
    </w:rPr>
  </w:style>
  <w:style w:type="paragraph" w:customStyle="1" w:styleId="293">
    <w:name w:val="修订7"/>
    <w:hidden/>
    <w:unhideWhenUsed/>
    <w:qFormat/>
    <w:uiPriority w:val="99"/>
    <w:rPr>
      <w:rFonts w:ascii="宋体" w:hAnsi="宋体" w:eastAsia="宋体" w:cs="Times New Roman"/>
      <w:kern w:val="2"/>
      <w:sz w:val="24"/>
      <w:szCs w:val="24"/>
      <w:lang w:val="en-US" w:eastAsia="zh-CN" w:bidi="ar-SA"/>
    </w:rPr>
  </w:style>
  <w:style w:type="paragraph" w:customStyle="1" w:styleId="294">
    <w:name w:val="修订8"/>
    <w:hidden/>
    <w:unhideWhenUsed/>
    <w:qFormat/>
    <w:uiPriority w:val="99"/>
    <w:rPr>
      <w:rFonts w:ascii="宋体" w:hAnsi="宋体" w:eastAsia="宋体" w:cs="Times New Roman"/>
      <w:kern w:val="2"/>
      <w:sz w:val="24"/>
      <w:szCs w:val="24"/>
      <w:lang w:val="en-US" w:eastAsia="zh-CN" w:bidi="ar-SA"/>
    </w:rPr>
  </w:style>
  <w:style w:type="paragraph" w:customStyle="1" w:styleId="295">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2.emf"/><Relationship Id="rId14" Type="http://schemas.openxmlformats.org/officeDocument/2006/relationships/package" Target="embeddings/Microsoft_Visio___1.vsdx"/><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Template>
  <Pages>98</Pages>
  <Words>14055</Words>
  <Characters>14218</Characters>
  <Lines>355</Lines>
  <Paragraphs>100</Paragraphs>
  <TotalTime>41</TotalTime>
  <ScaleCrop>false</ScaleCrop>
  <LinksUpToDate>false</LinksUpToDate>
  <CharactersWithSpaces>14220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2025-02-18T18:35:00Z</dcterms:created>
  <dc:creator>gtig_tzb</dc:creator>
  <cp:lastModifiedBy>user</cp:lastModifiedBy>
  <cp:lastPrinted>2020-08-08T04:08:00Z</cp:lastPrinted>
  <dcterms:modified xsi:type="dcterms:W3CDTF">2025-04-14T13:48:03Z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eyJoZGlkIjoiNGQ0NDMxZjRkNDE4MmIwNjczM2JlY2E2N2JhZTBkMjQiLCJ1c2VySWQiOiI2NTI5MDgzMDcifQ==</vt:lpwstr>
  </property>
  <property fmtid="{D5CDD505-2E9C-101B-9397-08002B2CF9AE}" pid="4" name="ICV">
    <vt:lpwstr>F34E991266107A429973FC675A53FAB8_43</vt:lpwstr>
  </property>
</Properties>
</file>