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47" w:line="220" w:lineRule="auto"/>
        <w:ind w:left="28"/>
        <w:rPr>
          <w:rFonts w:ascii="Calibri" w:hAnsi="Calibri" w:eastAsia="Calibri" w:cs="Calibri"/>
          <w:color w:val="auto"/>
          <w:highlight w:val="none"/>
        </w:rPr>
      </w:pPr>
      <w:r>
        <w:rPr>
          <w:rFonts w:ascii="宋体" w:hAnsi="宋体" w:eastAsia="宋体" w:cs="宋体"/>
          <w:b/>
          <w:bCs/>
          <w:color w:val="auto"/>
          <w:spacing w:val="-4"/>
          <w:highlight w:val="none"/>
        </w:rPr>
        <w:t>项目编号：</w:t>
      </w:r>
      <w:r>
        <w:rPr>
          <w:rFonts w:ascii="宋体" w:hAnsi="宋体" w:eastAsia="宋体" w:cs="宋体"/>
          <w:color w:val="auto"/>
          <w:spacing w:val="-4"/>
          <w:highlight w:val="none"/>
        </w:rPr>
        <w:t xml:space="preserve"> </w:t>
      </w:r>
    </w:p>
    <w:p>
      <w:pPr>
        <w:pStyle w:val="16"/>
        <w:spacing w:line="241" w:lineRule="auto"/>
        <w:rPr>
          <w:color w:val="auto"/>
          <w:highlight w:val="none"/>
        </w:rPr>
      </w:pPr>
    </w:p>
    <w:p>
      <w:pPr>
        <w:pStyle w:val="16"/>
        <w:spacing w:line="242" w:lineRule="auto"/>
        <w:rPr>
          <w:color w:val="auto"/>
          <w:highlight w:val="none"/>
        </w:rPr>
      </w:pPr>
    </w:p>
    <w:p>
      <w:pPr>
        <w:pStyle w:val="16"/>
        <w:spacing w:line="242" w:lineRule="auto"/>
        <w:rPr>
          <w:color w:val="auto"/>
          <w:highlight w:val="none"/>
        </w:rPr>
      </w:pPr>
    </w:p>
    <w:p>
      <w:pPr>
        <w:spacing w:before="234" w:line="229" w:lineRule="auto"/>
        <w:ind w:left="1317" w:right="200" w:hanging="1071"/>
        <w:rPr>
          <w:rFonts w:ascii="黑体" w:hAnsi="黑体" w:eastAsia="黑体" w:cs="黑体"/>
          <w:color w:val="auto"/>
          <w:spacing w:val="-4"/>
          <w:sz w:val="72"/>
          <w:szCs w:val="72"/>
          <w:highlight w:val="none"/>
        </w:rPr>
      </w:pPr>
      <w:bookmarkStart w:id="0" w:name="_Hlk164685107"/>
      <w:r>
        <w:rPr>
          <w:rFonts w:hint="eastAsia" w:ascii="黑体" w:hAnsi="黑体" w:eastAsia="黑体" w:cs="黑体"/>
          <w:color w:val="auto"/>
          <w:spacing w:val="-4"/>
          <w:sz w:val="72"/>
          <w:szCs w:val="72"/>
          <w:highlight w:val="none"/>
        </w:rPr>
        <w:t>上海市监狱管理局信息化系统升级改造项目</w:t>
      </w:r>
    </w:p>
    <w:p>
      <w:pPr>
        <w:spacing w:before="234" w:line="229" w:lineRule="auto"/>
        <w:ind w:left="1317" w:right="200" w:hanging="1071"/>
        <w:jc w:val="center"/>
        <w:rPr>
          <w:rFonts w:ascii="黑体" w:hAnsi="黑体" w:eastAsia="黑体" w:cs="黑体"/>
          <w:color w:val="auto"/>
          <w:sz w:val="72"/>
          <w:szCs w:val="72"/>
          <w:highlight w:val="none"/>
        </w:rPr>
      </w:pPr>
      <w:r>
        <w:rPr>
          <w:rFonts w:hint="eastAsia" w:ascii="黑体" w:hAnsi="黑体" w:eastAsia="黑体" w:cs="黑体"/>
          <w:color w:val="auto"/>
          <w:spacing w:val="-4"/>
          <w:sz w:val="72"/>
          <w:szCs w:val="72"/>
          <w:highlight w:val="none"/>
        </w:rPr>
        <w:t>包1</w:t>
      </w:r>
    </w:p>
    <w:bookmarkEnd w:id="0"/>
    <w:p>
      <w:pPr>
        <w:pStyle w:val="16"/>
        <w:spacing w:line="255" w:lineRule="auto"/>
        <w:rPr>
          <w:color w:val="auto"/>
          <w:highlight w:val="none"/>
        </w:rPr>
      </w:pPr>
    </w:p>
    <w:p>
      <w:pPr>
        <w:pStyle w:val="16"/>
        <w:spacing w:line="255" w:lineRule="auto"/>
        <w:rPr>
          <w:color w:val="auto"/>
          <w:highlight w:val="none"/>
        </w:rPr>
      </w:pPr>
    </w:p>
    <w:p>
      <w:pPr>
        <w:pStyle w:val="16"/>
        <w:spacing w:line="256" w:lineRule="auto"/>
        <w:rPr>
          <w:color w:val="auto"/>
          <w:highlight w:val="none"/>
        </w:rPr>
      </w:pPr>
    </w:p>
    <w:p>
      <w:pPr>
        <w:pStyle w:val="16"/>
        <w:spacing w:line="256" w:lineRule="auto"/>
        <w:rPr>
          <w:color w:val="auto"/>
          <w:highlight w:val="none"/>
        </w:rPr>
      </w:pPr>
    </w:p>
    <w:p>
      <w:pPr>
        <w:spacing w:before="425" w:line="1011" w:lineRule="exact"/>
        <w:jc w:val="center"/>
        <w:rPr>
          <w:rFonts w:ascii="微软雅黑" w:hAnsi="微软雅黑" w:eastAsia="微软雅黑" w:cs="微软雅黑"/>
          <w:color w:val="auto"/>
          <w:sz w:val="99"/>
          <w:szCs w:val="99"/>
          <w:highlight w:val="none"/>
        </w:rPr>
      </w:pPr>
      <w:r>
        <w:rPr>
          <w:rFonts w:hint="eastAsia" w:ascii="微软雅黑" w:hAnsi="微软雅黑" w:eastAsia="微软雅黑" w:cs="微软雅黑"/>
          <w:color w:val="auto"/>
          <w:spacing w:val="-28"/>
          <w:position w:val="-5"/>
          <w:sz w:val="99"/>
          <w:szCs w:val="99"/>
          <w:highlight w:val="none"/>
        </w:rPr>
        <w:t>技  术  需  求</w:t>
      </w:r>
    </w:p>
    <w:p>
      <w:pPr>
        <w:pStyle w:val="16"/>
        <w:spacing w:line="258" w:lineRule="auto"/>
        <w:rPr>
          <w:color w:val="auto"/>
          <w:highlight w:val="none"/>
        </w:rPr>
      </w:pPr>
    </w:p>
    <w:p>
      <w:pPr>
        <w:pStyle w:val="16"/>
        <w:spacing w:line="258" w:lineRule="auto"/>
        <w:rPr>
          <w:color w:val="auto"/>
          <w:highlight w:val="none"/>
        </w:rPr>
      </w:pPr>
    </w:p>
    <w:p>
      <w:pPr>
        <w:pStyle w:val="16"/>
        <w:spacing w:line="258" w:lineRule="auto"/>
        <w:rPr>
          <w:color w:val="auto"/>
          <w:highlight w:val="none"/>
        </w:rPr>
      </w:pPr>
    </w:p>
    <w:p>
      <w:pPr>
        <w:pStyle w:val="16"/>
        <w:spacing w:line="258" w:lineRule="auto"/>
        <w:rPr>
          <w:color w:val="auto"/>
          <w:highlight w:val="none"/>
        </w:rPr>
      </w:pPr>
    </w:p>
    <w:p>
      <w:pPr>
        <w:pStyle w:val="16"/>
        <w:spacing w:line="259" w:lineRule="auto"/>
        <w:rPr>
          <w:color w:val="auto"/>
          <w:highlight w:val="none"/>
        </w:rPr>
      </w:pPr>
    </w:p>
    <w:p>
      <w:pPr>
        <w:pStyle w:val="16"/>
        <w:spacing w:line="259" w:lineRule="auto"/>
        <w:rPr>
          <w:color w:val="auto"/>
          <w:highlight w:val="none"/>
        </w:rPr>
      </w:pPr>
    </w:p>
    <w:p>
      <w:pPr>
        <w:pStyle w:val="16"/>
        <w:spacing w:line="259" w:lineRule="auto"/>
        <w:rPr>
          <w:color w:val="auto"/>
          <w:highlight w:val="none"/>
        </w:rPr>
      </w:pPr>
    </w:p>
    <w:p>
      <w:pPr>
        <w:spacing w:before="88" w:line="224" w:lineRule="auto"/>
        <w:ind w:left="1662"/>
        <w:rPr>
          <w:rFonts w:ascii="黑体" w:hAnsi="黑体" w:eastAsia="黑体" w:cs="黑体"/>
          <w:color w:val="auto"/>
          <w:sz w:val="27"/>
          <w:szCs w:val="27"/>
          <w:highlight w:val="none"/>
        </w:rPr>
      </w:pPr>
      <w:r>
        <w:rPr>
          <w:rFonts w:ascii="黑体" w:hAnsi="黑体" w:eastAsia="黑体" w:cs="黑体"/>
          <w:color w:val="auto"/>
          <w:spacing w:val="8"/>
          <w:sz w:val="27"/>
          <w:szCs w:val="27"/>
          <w:highlight w:val="none"/>
        </w:rPr>
        <w:t>招 标 人：</w:t>
      </w:r>
      <w:r>
        <w:rPr>
          <w:rFonts w:ascii="黑体" w:hAnsi="黑体" w:eastAsia="黑体" w:cs="黑体"/>
          <w:color w:val="auto"/>
          <w:sz w:val="27"/>
          <w:szCs w:val="27"/>
          <w:highlight w:val="none"/>
        </w:rPr>
        <w:t xml:space="preserve"> </w:t>
      </w:r>
    </w:p>
    <w:p>
      <w:pPr>
        <w:spacing w:before="297" w:line="224" w:lineRule="auto"/>
        <w:ind w:left="1662"/>
        <w:rPr>
          <w:rFonts w:ascii="黑体" w:hAnsi="黑体" w:eastAsia="黑体" w:cs="黑体"/>
          <w:color w:val="auto"/>
          <w:sz w:val="27"/>
          <w:szCs w:val="27"/>
          <w:highlight w:val="none"/>
        </w:rPr>
      </w:pPr>
      <w:r>
        <w:rPr>
          <w:rFonts w:ascii="黑体" w:hAnsi="黑体" w:eastAsia="黑体" w:cs="黑体"/>
          <w:color w:val="auto"/>
          <w:spacing w:val="2"/>
          <w:sz w:val="27"/>
          <w:szCs w:val="27"/>
          <w:highlight w:val="none"/>
        </w:rPr>
        <w:t>招标代理机构：</w:t>
      </w:r>
    </w:p>
    <w:p>
      <w:pPr>
        <w:rPr>
          <w:color w:val="auto"/>
          <w:highlight w:val="none"/>
        </w:rPr>
      </w:pPr>
    </w:p>
    <w:p>
      <w:pPr>
        <w:rPr>
          <w:color w:val="auto"/>
          <w:highlight w:val="none"/>
        </w:rPr>
        <w:sectPr>
          <w:pgSz w:w="11900" w:h="16840"/>
          <w:pgMar w:top="1440" w:right="1800" w:bottom="1440" w:left="1800" w:header="851" w:footer="992" w:gutter="0"/>
          <w:cols w:space="425" w:num="1"/>
          <w:docGrid w:type="lines" w:linePitch="312" w:charSpace="0"/>
        </w:sectPr>
      </w:pPr>
    </w:p>
    <w:sdt>
      <w:sdtPr>
        <w:rPr>
          <w:rFonts w:ascii="Times New Roman" w:hAnsi="Times New Roman" w:cs="Times New Roman" w:eastAsiaTheme="minorEastAsia"/>
          <w:color w:val="auto"/>
          <w:sz w:val="24"/>
          <w:szCs w:val="24"/>
          <w:highlight w:val="none"/>
          <w:lang w:val="zh-CN"/>
        </w:rPr>
        <w:id w:val="-1"/>
        <w:docPartObj>
          <w:docPartGallery w:val="Table of Contents"/>
          <w:docPartUnique/>
        </w:docPartObj>
      </w:sdtPr>
      <w:sdtEndPr>
        <w:rPr>
          <w:rFonts w:ascii="Times New Roman" w:hAnsi="Times New Roman" w:cs="Times New Roman" w:eastAsiaTheme="minorEastAsia"/>
          <w:b/>
          <w:bCs/>
          <w:color w:val="auto"/>
          <w:sz w:val="24"/>
          <w:szCs w:val="24"/>
          <w:highlight w:val="none"/>
          <w:lang w:val="zh-CN"/>
        </w:rPr>
      </w:sdtEndPr>
      <w:sdtContent>
        <w:p>
          <w:pPr>
            <w:pStyle w:val="185"/>
            <w:jc w:val="center"/>
            <w:rPr>
              <w:rFonts w:ascii="黑体" w:hAnsi="黑体" w:eastAsia="黑体"/>
              <w:b/>
              <w:bCs/>
              <w:color w:val="auto"/>
              <w:highlight w:val="none"/>
            </w:rPr>
          </w:pPr>
          <w:r>
            <w:rPr>
              <w:rFonts w:ascii="黑体" w:hAnsi="黑体" w:eastAsia="黑体"/>
              <w:b/>
              <w:bCs/>
              <w:color w:val="auto"/>
              <w:highlight w:val="none"/>
              <w:lang w:val="zh-CN"/>
            </w:rPr>
            <w:t>目录</w:t>
          </w:r>
        </w:p>
        <w:p>
          <w:pPr>
            <w:pStyle w:val="25"/>
            <w:tabs>
              <w:tab w:val="left" w:pos="480"/>
              <w:tab w:val="right" w:leader="dot" w:pos="8290"/>
            </w:tabs>
            <w:rPr>
              <w:rFonts w:cstheme="minorBidi"/>
              <w:b w:val="0"/>
              <w:bCs w:val="0"/>
              <w:cap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TOC \o "1-3" \h \z \u </w:instrText>
          </w:r>
          <w:r>
            <w:rPr>
              <w:color w:val="auto"/>
              <w:highlight w:val="none"/>
            </w:rPr>
            <w:fldChar w:fldCharType="separate"/>
          </w:r>
          <w:r>
            <w:rPr>
              <w:color w:val="auto"/>
              <w:highlight w:val="none"/>
            </w:rPr>
            <w:fldChar w:fldCharType="begin"/>
          </w:r>
          <w:r>
            <w:rPr>
              <w:color w:val="auto"/>
              <w:highlight w:val="none"/>
            </w:rPr>
            <w:instrText xml:space="preserve"> HYPERLINK \l "_Toc180570810" </w:instrText>
          </w:r>
          <w:r>
            <w:rPr>
              <w:color w:val="auto"/>
              <w:highlight w:val="none"/>
            </w:rPr>
            <w:fldChar w:fldCharType="separate"/>
          </w:r>
          <w:r>
            <w:rPr>
              <w:rStyle w:val="42"/>
              <w:rFonts w:hint="eastAsia" w:ascii="Times New Roman" w:hAnsi="Times New Roman"/>
              <w:color w:val="auto"/>
              <w:highlight w:val="none"/>
              <w:lang w:bidi="zh-CN"/>
              <w14:scene3d>
                <w14:lightRig w14:rig="threePt" w14:dir="t">
                  <w14:rot w14:lat="0" w14:lon="0" w14:rev="0"/>
                </w14:lightRig>
              </w14:scene3d>
            </w:rPr>
            <w:t>1</w:t>
          </w:r>
          <w:r>
            <w:rPr>
              <w:rFonts w:hint="eastAsia" w:cstheme="minorBidi"/>
              <w:b w:val="0"/>
              <w:bCs w:val="0"/>
              <w:caps w:val="0"/>
              <w:color w:val="auto"/>
              <w:kern w:val="2"/>
              <w:sz w:val="22"/>
              <w:szCs w:val="24"/>
              <w:highlight w:val="none"/>
              <w14:ligatures w14:val="standardContextual"/>
            </w:rPr>
            <w:tab/>
          </w:r>
          <w:r>
            <w:rPr>
              <w:rStyle w:val="42"/>
              <w:rFonts w:hint="eastAsia"/>
              <w:color w:val="auto"/>
              <w:highlight w:val="none"/>
            </w:rPr>
            <w:t>建设基本要求</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_Toc180570810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1</w:t>
          </w:r>
          <w:r>
            <w:rPr>
              <w:rFonts w:hint="eastAsia"/>
              <w:color w:val="auto"/>
              <w:highlight w:val="none"/>
            </w:rPr>
            <w:fldChar w:fldCharType="end"/>
          </w:r>
          <w:r>
            <w:rPr>
              <w:rFonts w:hint="eastAsia"/>
              <w:color w:val="auto"/>
              <w:highlight w:val="none"/>
            </w:rPr>
            <w:fldChar w:fldCharType="end"/>
          </w:r>
        </w:p>
        <w:p>
          <w:pPr>
            <w:pStyle w:val="28"/>
            <w:tabs>
              <w:tab w:val="left" w:pos="960"/>
              <w:tab w:val="right" w:leader="dot" w:pos="8290"/>
            </w:tabs>
            <w:rPr>
              <w:rFonts w:cstheme="minorBidi"/>
              <w:smallCap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"_Toc180570811" </w:instrText>
          </w:r>
          <w:r>
            <w:rPr>
              <w:color w:val="auto"/>
              <w:highlight w:val="none"/>
            </w:rPr>
            <w:fldChar w:fldCharType="separate"/>
          </w:r>
          <w:r>
            <w:rPr>
              <w:rStyle w:val="42"/>
              <w:rFonts w:hint="eastAsia" w:ascii="Times New Roman" w:hAnsi="Times New Roman" w:cs="Times New Roman"/>
              <w:color w:val="auto"/>
              <w:highlight w:val="none"/>
              <w:lang w:val="zh-CN"/>
            </w:rPr>
            <w:t>1.1</w:t>
          </w:r>
          <w:r>
            <w:rPr>
              <w:rFonts w:hint="eastAsia" w:cstheme="minorBidi"/>
              <w:smallCaps w:val="0"/>
              <w:color w:val="auto"/>
              <w:kern w:val="2"/>
              <w:sz w:val="22"/>
              <w:szCs w:val="24"/>
              <w:highlight w:val="none"/>
              <w14:ligatures w14:val="standardContextual"/>
            </w:rPr>
            <w:tab/>
          </w:r>
          <w:r>
            <w:rPr>
              <w:rStyle w:val="42"/>
              <w:rFonts w:hint="eastAsia"/>
              <w:color w:val="auto"/>
              <w:highlight w:val="none"/>
              <w:lang w:val="zh-CN"/>
            </w:rPr>
            <w:t>项目概述</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_Toc180570811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1</w:t>
          </w:r>
          <w:r>
            <w:rPr>
              <w:rFonts w:hint="eastAsia"/>
              <w:color w:val="auto"/>
              <w:highlight w:val="none"/>
            </w:rPr>
            <w:fldChar w:fldCharType="end"/>
          </w:r>
          <w:r>
            <w:rPr>
              <w:rFonts w:hint="eastAsia"/>
              <w:color w:val="auto"/>
              <w:highlight w:val="none"/>
            </w:rPr>
            <w:fldChar w:fldCharType="end"/>
          </w:r>
        </w:p>
        <w:p>
          <w:pPr>
            <w:pStyle w:val="28"/>
            <w:tabs>
              <w:tab w:val="left" w:pos="960"/>
              <w:tab w:val="right" w:leader="dot" w:pos="8290"/>
            </w:tabs>
            <w:rPr>
              <w:rFonts w:cstheme="minorBidi"/>
              <w:smallCap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"_Toc180570812" </w:instrText>
          </w:r>
          <w:r>
            <w:rPr>
              <w:color w:val="auto"/>
              <w:highlight w:val="none"/>
            </w:rPr>
            <w:fldChar w:fldCharType="separate"/>
          </w:r>
          <w:r>
            <w:rPr>
              <w:rStyle w:val="42"/>
              <w:rFonts w:hint="eastAsia" w:ascii="Times New Roman" w:hAnsi="Times New Roman" w:cs="Times New Roman"/>
              <w:color w:val="auto"/>
              <w:highlight w:val="none"/>
            </w:rPr>
            <w:t>1.2</w:t>
          </w:r>
          <w:r>
            <w:rPr>
              <w:rFonts w:hint="eastAsia" w:cstheme="minorBidi"/>
              <w:smallCaps w:val="0"/>
              <w:color w:val="auto"/>
              <w:kern w:val="2"/>
              <w:sz w:val="22"/>
              <w:szCs w:val="24"/>
              <w:highlight w:val="none"/>
              <w14:ligatures w14:val="standardContextual"/>
            </w:rPr>
            <w:tab/>
          </w:r>
          <w:r>
            <w:rPr>
              <w:rStyle w:val="42"/>
              <w:rFonts w:hint="eastAsia"/>
              <w:color w:val="auto"/>
              <w:highlight w:val="none"/>
            </w:rPr>
            <w:t>建设内容</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_Toc180570812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1</w:t>
          </w:r>
          <w:r>
            <w:rPr>
              <w:rFonts w:hint="eastAsia"/>
              <w:color w:val="auto"/>
              <w:highlight w:val="none"/>
            </w:rPr>
            <w:fldChar w:fldCharType="end"/>
          </w:r>
          <w:r>
            <w:rPr>
              <w:rFonts w:hint="eastAsia"/>
              <w:color w:val="auto"/>
              <w:highlight w:val="none"/>
            </w:rPr>
            <w:fldChar w:fldCharType="end"/>
          </w:r>
        </w:p>
        <w:p>
          <w:pPr>
            <w:pStyle w:val="28"/>
            <w:tabs>
              <w:tab w:val="left" w:pos="960"/>
              <w:tab w:val="right" w:leader="dot" w:pos="8290"/>
            </w:tabs>
            <w:rPr>
              <w:rFonts w:cstheme="minorBidi"/>
              <w:smallCap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"_Toc180570813" </w:instrText>
          </w:r>
          <w:r>
            <w:rPr>
              <w:color w:val="auto"/>
              <w:highlight w:val="none"/>
            </w:rPr>
            <w:fldChar w:fldCharType="separate"/>
          </w:r>
          <w:r>
            <w:rPr>
              <w:rStyle w:val="42"/>
              <w:rFonts w:hint="eastAsia" w:ascii="Times New Roman" w:hAnsi="Times New Roman" w:cs="Times New Roman"/>
              <w:color w:val="auto"/>
              <w:highlight w:val="none"/>
            </w:rPr>
            <w:t>1.3</w:t>
          </w:r>
          <w:r>
            <w:rPr>
              <w:rFonts w:hint="eastAsia" w:cstheme="minorBidi"/>
              <w:smallCaps w:val="0"/>
              <w:color w:val="auto"/>
              <w:kern w:val="2"/>
              <w:sz w:val="22"/>
              <w:szCs w:val="24"/>
              <w:highlight w:val="none"/>
              <w14:ligatures w14:val="standardContextual"/>
            </w:rPr>
            <w:tab/>
          </w:r>
          <w:r>
            <w:rPr>
              <w:rStyle w:val="42"/>
              <w:rFonts w:hint="eastAsia"/>
              <w:color w:val="auto"/>
              <w:highlight w:val="none"/>
            </w:rPr>
            <w:t>总体设计要求</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_Toc180570813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6</w:t>
          </w:r>
          <w:r>
            <w:rPr>
              <w:rFonts w:hint="eastAsia"/>
              <w:color w:val="auto"/>
              <w:highlight w:val="none"/>
            </w:rPr>
            <w:fldChar w:fldCharType="end"/>
          </w:r>
          <w:r>
            <w:rPr>
              <w:rFonts w:hint="eastAsia"/>
              <w:color w:val="auto"/>
              <w:highlight w:val="none"/>
            </w:rPr>
            <w:fldChar w:fldCharType="end"/>
          </w:r>
        </w:p>
        <w:p>
          <w:pPr>
            <w:pStyle w:val="28"/>
            <w:tabs>
              <w:tab w:val="left" w:pos="960"/>
              <w:tab w:val="right" w:leader="dot" w:pos="8290"/>
            </w:tabs>
            <w:rPr>
              <w:rFonts w:cstheme="minorBidi"/>
              <w:smallCap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"_Toc180570814" </w:instrText>
          </w:r>
          <w:r>
            <w:rPr>
              <w:color w:val="auto"/>
              <w:highlight w:val="none"/>
            </w:rPr>
            <w:fldChar w:fldCharType="separate"/>
          </w:r>
          <w:r>
            <w:rPr>
              <w:rStyle w:val="42"/>
              <w:rFonts w:hint="eastAsia" w:ascii="Times New Roman" w:hAnsi="Times New Roman" w:cs="Times New Roman"/>
              <w:color w:val="auto"/>
              <w:highlight w:val="none"/>
            </w:rPr>
            <w:t>1.4</w:t>
          </w:r>
          <w:r>
            <w:rPr>
              <w:rFonts w:hint="eastAsia" w:cstheme="minorBidi"/>
              <w:smallCaps w:val="0"/>
              <w:color w:val="auto"/>
              <w:kern w:val="2"/>
              <w:sz w:val="22"/>
              <w:szCs w:val="24"/>
              <w:highlight w:val="none"/>
              <w14:ligatures w14:val="standardContextual"/>
            </w:rPr>
            <w:tab/>
          </w:r>
          <w:r>
            <w:rPr>
              <w:rStyle w:val="42"/>
              <w:rFonts w:hint="eastAsia"/>
              <w:color w:val="auto"/>
              <w:highlight w:val="none"/>
            </w:rPr>
            <w:t>网络信息协同要求</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_Toc180570814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8</w:t>
          </w:r>
          <w:r>
            <w:rPr>
              <w:rFonts w:hint="eastAsia"/>
              <w:color w:val="auto"/>
              <w:highlight w:val="none"/>
            </w:rPr>
            <w:fldChar w:fldCharType="end"/>
          </w:r>
          <w:r>
            <w:rPr>
              <w:rFonts w:hint="eastAsia"/>
              <w:color w:val="auto"/>
              <w:highlight w:val="none"/>
            </w:rPr>
            <w:fldChar w:fldCharType="end"/>
          </w:r>
        </w:p>
        <w:p>
          <w:pPr>
            <w:pStyle w:val="25"/>
            <w:tabs>
              <w:tab w:val="left" w:pos="480"/>
              <w:tab w:val="right" w:leader="dot" w:pos="8290"/>
            </w:tabs>
            <w:rPr>
              <w:rFonts w:cstheme="minorBidi"/>
              <w:b w:val="0"/>
              <w:bCs w:val="0"/>
              <w:cap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"_Toc180570815" </w:instrText>
          </w:r>
          <w:r>
            <w:rPr>
              <w:color w:val="auto"/>
              <w:highlight w:val="none"/>
            </w:rPr>
            <w:fldChar w:fldCharType="separate"/>
          </w:r>
          <w:r>
            <w:rPr>
              <w:rStyle w:val="42"/>
              <w:rFonts w:hint="eastAsia" w:ascii="Times New Roman" w:hAnsi="Times New Roman"/>
              <w:color w:val="auto"/>
              <w:highlight w:val="none"/>
              <w:lang w:bidi="zh-CN"/>
              <w14:scene3d>
                <w14:lightRig w14:rig="threePt" w14:dir="t">
                  <w14:rot w14:lat="0" w14:lon="0" w14:rev="0"/>
                </w14:lightRig>
              </w14:scene3d>
            </w:rPr>
            <w:t>2</w:t>
          </w:r>
          <w:r>
            <w:rPr>
              <w:rFonts w:hint="eastAsia" w:cstheme="minorBidi"/>
              <w:b w:val="0"/>
              <w:bCs w:val="0"/>
              <w:caps w:val="0"/>
              <w:color w:val="auto"/>
              <w:kern w:val="2"/>
              <w:sz w:val="22"/>
              <w:szCs w:val="24"/>
              <w:highlight w:val="none"/>
              <w14:ligatures w14:val="standardContextual"/>
            </w:rPr>
            <w:tab/>
          </w:r>
          <w:r>
            <w:rPr>
              <w:rStyle w:val="42"/>
              <w:rFonts w:hint="eastAsia"/>
              <w:color w:val="auto"/>
              <w:highlight w:val="none"/>
            </w:rPr>
            <w:t>详细建设内容需求</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_Toc180570815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9</w:t>
          </w:r>
          <w:r>
            <w:rPr>
              <w:rFonts w:hint="eastAsia"/>
              <w:color w:val="auto"/>
              <w:highlight w:val="none"/>
            </w:rPr>
            <w:fldChar w:fldCharType="end"/>
          </w:r>
          <w:r>
            <w:rPr>
              <w:rFonts w:hint="eastAsia"/>
              <w:color w:val="auto"/>
              <w:highlight w:val="none"/>
            </w:rPr>
            <w:fldChar w:fldCharType="end"/>
          </w:r>
        </w:p>
        <w:p>
          <w:pPr>
            <w:pStyle w:val="28"/>
            <w:tabs>
              <w:tab w:val="left" w:pos="960"/>
              <w:tab w:val="right" w:leader="dot" w:pos="8290"/>
            </w:tabs>
            <w:rPr>
              <w:rFonts w:cstheme="minorBidi"/>
              <w:smallCap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"_Toc180570816" </w:instrText>
          </w:r>
          <w:r>
            <w:rPr>
              <w:color w:val="auto"/>
              <w:highlight w:val="none"/>
            </w:rPr>
            <w:fldChar w:fldCharType="separate"/>
          </w:r>
          <w:r>
            <w:rPr>
              <w:rStyle w:val="42"/>
              <w:rFonts w:hint="eastAsia" w:ascii="Times New Roman" w:hAnsi="Times New Roman" w:cs="Times New Roman"/>
              <w:color w:val="auto"/>
              <w:highlight w:val="none"/>
              <w:lang w:val="zh-CN"/>
            </w:rPr>
            <w:t>2.1</w:t>
          </w:r>
          <w:r>
            <w:rPr>
              <w:rFonts w:hint="eastAsia" w:cstheme="minorBidi"/>
              <w:smallCaps w:val="0"/>
              <w:color w:val="auto"/>
              <w:kern w:val="2"/>
              <w:sz w:val="22"/>
              <w:szCs w:val="24"/>
              <w:highlight w:val="none"/>
              <w14:ligatures w14:val="standardContextual"/>
            </w:rPr>
            <w:tab/>
          </w:r>
          <w:r>
            <w:rPr>
              <w:rStyle w:val="42"/>
              <w:rFonts w:hint="eastAsia"/>
              <w:color w:val="auto"/>
              <w:highlight w:val="none"/>
              <w:lang w:val="zh-CN"/>
            </w:rPr>
            <w:t>上海监狱数字化赋能底座</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_Toc180570816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9</w:t>
          </w:r>
          <w:r>
            <w:rPr>
              <w:rFonts w:hint="eastAsia"/>
              <w:color w:val="auto"/>
              <w:highlight w:val="none"/>
            </w:rPr>
            <w:fldChar w:fldCharType="end"/>
          </w:r>
          <w:r>
            <w:rPr>
              <w:rFonts w:hint="eastAsia"/>
              <w:color w:val="auto"/>
              <w:highlight w:val="none"/>
            </w:rPr>
            <w:fldChar w:fldCharType="end"/>
          </w:r>
        </w:p>
        <w:p>
          <w:pPr>
            <w:pStyle w:val="18"/>
            <w:tabs>
              <w:tab w:val="left" w:pos="1200"/>
              <w:tab w:val="right" w:leader="dot" w:pos="8290"/>
            </w:tabs>
            <w:rPr>
              <w:rFonts w:cstheme="minorBidi"/>
              <w:i w:val="0"/>
              <w:iC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"_Toc180570817" </w:instrText>
          </w:r>
          <w:r>
            <w:rPr>
              <w:color w:val="auto"/>
              <w:highlight w:val="none"/>
            </w:rPr>
            <w:fldChar w:fldCharType="separate"/>
          </w:r>
          <w:r>
            <w:rPr>
              <w:rStyle w:val="42"/>
              <w:rFonts w:hint="eastAsia" w:ascii="Times New Roman" w:hAnsi="Times New Roman"/>
              <w:color w:val="auto"/>
              <w:highlight w:val="none"/>
              <w:lang w:val="zh-CN"/>
            </w:rPr>
            <w:t>2.1.1</w:t>
          </w:r>
          <w:r>
            <w:rPr>
              <w:rFonts w:hint="eastAsia" w:cstheme="minorBidi"/>
              <w:i w:val="0"/>
              <w:iCs w:val="0"/>
              <w:color w:val="auto"/>
              <w:kern w:val="2"/>
              <w:sz w:val="22"/>
              <w:szCs w:val="24"/>
              <w:highlight w:val="none"/>
              <w14:ligatures w14:val="standardContextual"/>
            </w:rPr>
            <w:tab/>
          </w:r>
          <w:r>
            <w:rPr>
              <w:rStyle w:val="42"/>
              <w:rFonts w:hint="eastAsia"/>
              <w:color w:val="auto"/>
              <w:highlight w:val="none"/>
              <w:lang w:val="zh-CN"/>
            </w:rPr>
            <w:t>数据底座</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_Toc180570817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9</w:t>
          </w:r>
          <w:r>
            <w:rPr>
              <w:rFonts w:hint="eastAsia"/>
              <w:color w:val="auto"/>
              <w:highlight w:val="none"/>
            </w:rPr>
            <w:fldChar w:fldCharType="end"/>
          </w:r>
          <w:r>
            <w:rPr>
              <w:rFonts w:hint="eastAsia"/>
              <w:color w:val="auto"/>
              <w:highlight w:val="none"/>
            </w:rPr>
            <w:fldChar w:fldCharType="end"/>
          </w:r>
        </w:p>
        <w:p>
          <w:pPr>
            <w:pStyle w:val="18"/>
            <w:tabs>
              <w:tab w:val="left" w:pos="1200"/>
              <w:tab w:val="right" w:leader="dot" w:pos="8290"/>
            </w:tabs>
            <w:rPr>
              <w:rFonts w:cstheme="minorBidi"/>
              <w:i w:val="0"/>
              <w:iC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"_Toc180570818" </w:instrText>
          </w:r>
          <w:r>
            <w:rPr>
              <w:color w:val="auto"/>
              <w:highlight w:val="none"/>
            </w:rPr>
            <w:fldChar w:fldCharType="separate"/>
          </w:r>
          <w:r>
            <w:rPr>
              <w:rStyle w:val="42"/>
              <w:rFonts w:hint="eastAsia" w:ascii="Times New Roman" w:hAnsi="Times New Roman"/>
              <w:color w:val="auto"/>
              <w:highlight w:val="none"/>
            </w:rPr>
            <w:t>2.1.2</w:t>
          </w:r>
          <w:r>
            <w:rPr>
              <w:rFonts w:hint="eastAsia" w:cstheme="minorBidi"/>
              <w:i w:val="0"/>
              <w:iCs w:val="0"/>
              <w:color w:val="auto"/>
              <w:kern w:val="2"/>
              <w:sz w:val="22"/>
              <w:szCs w:val="24"/>
              <w:highlight w:val="none"/>
              <w14:ligatures w14:val="standardContextual"/>
            </w:rPr>
            <w:tab/>
          </w:r>
          <w:r>
            <w:rPr>
              <w:rStyle w:val="42"/>
              <w:rFonts w:hint="eastAsia"/>
              <w:color w:val="auto"/>
              <w:highlight w:val="none"/>
            </w:rPr>
            <w:t>技术底座</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_Toc180570818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29</w:t>
          </w:r>
          <w:r>
            <w:rPr>
              <w:rFonts w:hint="eastAsia"/>
              <w:color w:val="auto"/>
              <w:highlight w:val="none"/>
            </w:rPr>
            <w:fldChar w:fldCharType="end"/>
          </w:r>
          <w:r>
            <w:rPr>
              <w:rFonts w:hint="eastAsia"/>
              <w:color w:val="auto"/>
              <w:highlight w:val="none"/>
            </w:rPr>
            <w:fldChar w:fldCharType="end"/>
          </w:r>
        </w:p>
        <w:p>
          <w:pPr>
            <w:pStyle w:val="18"/>
            <w:tabs>
              <w:tab w:val="left" w:pos="1200"/>
              <w:tab w:val="right" w:leader="dot" w:pos="8290"/>
            </w:tabs>
            <w:rPr>
              <w:rFonts w:cstheme="minorBidi"/>
              <w:i w:val="0"/>
              <w:iC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"_Toc180570819" </w:instrText>
          </w:r>
          <w:r>
            <w:rPr>
              <w:color w:val="auto"/>
              <w:highlight w:val="none"/>
            </w:rPr>
            <w:fldChar w:fldCharType="separate"/>
          </w:r>
          <w:r>
            <w:rPr>
              <w:rStyle w:val="42"/>
              <w:rFonts w:hint="eastAsia" w:ascii="Times New Roman" w:hAnsi="Times New Roman"/>
              <w:color w:val="auto"/>
              <w:highlight w:val="none"/>
            </w:rPr>
            <w:t>2.1.3</w:t>
          </w:r>
          <w:r>
            <w:rPr>
              <w:rFonts w:hint="eastAsia" w:cstheme="minorBidi"/>
              <w:i w:val="0"/>
              <w:iCs w:val="0"/>
              <w:color w:val="auto"/>
              <w:kern w:val="2"/>
              <w:sz w:val="22"/>
              <w:szCs w:val="24"/>
              <w:highlight w:val="none"/>
              <w14:ligatures w14:val="standardContextual"/>
            </w:rPr>
            <w:tab/>
          </w:r>
          <w:r>
            <w:rPr>
              <w:rStyle w:val="42"/>
              <w:rFonts w:hint="eastAsia"/>
              <w:color w:val="auto"/>
              <w:highlight w:val="none"/>
            </w:rPr>
            <w:t>业务底座</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_Toc180570819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34</w:t>
          </w:r>
          <w:r>
            <w:rPr>
              <w:rFonts w:hint="eastAsia"/>
              <w:color w:val="auto"/>
              <w:highlight w:val="none"/>
            </w:rPr>
            <w:fldChar w:fldCharType="end"/>
          </w:r>
          <w:r>
            <w:rPr>
              <w:rFonts w:hint="eastAsia"/>
              <w:color w:val="auto"/>
              <w:highlight w:val="none"/>
            </w:rPr>
            <w:fldChar w:fldCharType="end"/>
          </w:r>
        </w:p>
        <w:p>
          <w:pPr>
            <w:pStyle w:val="18"/>
            <w:tabs>
              <w:tab w:val="left" w:pos="1200"/>
              <w:tab w:val="right" w:leader="dot" w:pos="8290"/>
            </w:tabs>
            <w:rPr>
              <w:rFonts w:cstheme="minorBidi"/>
              <w:i w:val="0"/>
              <w:iC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"_Toc180570820" </w:instrText>
          </w:r>
          <w:r>
            <w:rPr>
              <w:color w:val="auto"/>
              <w:highlight w:val="none"/>
            </w:rPr>
            <w:fldChar w:fldCharType="separate"/>
          </w:r>
          <w:r>
            <w:rPr>
              <w:rStyle w:val="42"/>
              <w:rFonts w:hint="eastAsia" w:ascii="Times New Roman" w:hAnsi="Times New Roman"/>
              <w:color w:val="auto"/>
              <w:highlight w:val="none"/>
            </w:rPr>
            <w:t>2.1.4</w:t>
          </w:r>
          <w:r>
            <w:rPr>
              <w:rFonts w:hint="eastAsia" w:cstheme="minorBidi"/>
              <w:i w:val="0"/>
              <w:iCs w:val="0"/>
              <w:color w:val="auto"/>
              <w:kern w:val="2"/>
              <w:sz w:val="22"/>
              <w:szCs w:val="24"/>
              <w:highlight w:val="none"/>
              <w14:ligatures w14:val="standardContextual"/>
            </w:rPr>
            <w:tab/>
          </w:r>
          <w:r>
            <w:rPr>
              <w:rStyle w:val="42"/>
              <w:rFonts w:hint="eastAsia"/>
              <w:color w:val="auto"/>
              <w:highlight w:val="none"/>
            </w:rPr>
            <w:t>数字化底座集成要求</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_Toc180570820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65</w:t>
          </w:r>
          <w:r>
            <w:rPr>
              <w:rFonts w:hint="eastAsia"/>
              <w:color w:val="auto"/>
              <w:highlight w:val="none"/>
            </w:rPr>
            <w:fldChar w:fldCharType="end"/>
          </w:r>
          <w:r>
            <w:rPr>
              <w:rFonts w:hint="eastAsia"/>
              <w:color w:val="auto"/>
              <w:highlight w:val="none"/>
            </w:rPr>
            <w:fldChar w:fldCharType="end"/>
          </w:r>
        </w:p>
        <w:p>
          <w:pPr>
            <w:pStyle w:val="28"/>
            <w:tabs>
              <w:tab w:val="left" w:pos="960"/>
              <w:tab w:val="right" w:leader="dot" w:pos="8290"/>
            </w:tabs>
            <w:rPr>
              <w:rFonts w:cstheme="minorBidi"/>
              <w:smallCap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"_Toc180570821" </w:instrText>
          </w:r>
          <w:r>
            <w:rPr>
              <w:color w:val="auto"/>
              <w:highlight w:val="none"/>
            </w:rPr>
            <w:fldChar w:fldCharType="separate"/>
          </w:r>
          <w:r>
            <w:rPr>
              <w:rStyle w:val="42"/>
              <w:rFonts w:hint="eastAsia" w:ascii="Times New Roman" w:hAnsi="Times New Roman" w:cs="Times New Roman"/>
              <w:color w:val="auto"/>
              <w:highlight w:val="none"/>
            </w:rPr>
            <w:t>2.2</w:t>
          </w:r>
          <w:r>
            <w:rPr>
              <w:rFonts w:hint="eastAsia" w:cstheme="minorBidi"/>
              <w:smallCaps w:val="0"/>
              <w:color w:val="auto"/>
              <w:kern w:val="2"/>
              <w:sz w:val="22"/>
              <w:szCs w:val="24"/>
              <w:highlight w:val="none"/>
              <w14:ligatures w14:val="standardContextual"/>
            </w:rPr>
            <w:tab/>
          </w:r>
          <w:r>
            <w:rPr>
              <w:rStyle w:val="42"/>
              <w:rFonts w:hint="eastAsia"/>
              <w:color w:val="auto"/>
              <w:highlight w:val="none"/>
            </w:rPr>
            <w:t>安防指挥协同系统</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_Toc180570821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65</w:t>
          </w:r>
          <w:r>
            <w:rPr>
              <w:rFonts w:hint="eastAsia"/>
              <w:color w:val="auto"/>
              <w:highlight w:val="none"/>
            </w:rPr>
            <w:fldChar w:fldCharType="end"/>
          </w:r>
          <w:r>
            <w:rPr>
              <w:rFonts w:hint="eastAsia"/>
              <w:color w:val="auto"/>
              <w:highlight w:val="none"/>
            </w:rPr>
            <w:fldChar w:fldCharType="end"/>
          </w:r>
        </w:p>
        <w:p>
          <w:pPr>
            <w:pStyle w:val="18"/>
            <w:tabs>
              <w:tab w:val="left" w:pos="1200"/>
              <w:tab w:val="right" w:leader="dot" w:pos="8290"/>
            </w:tabs>
            <w:rPr>
              <w:rFonts w:cstheme="minorBidi"/>
              <w:i w:val="0"/>
              <w:iC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"_Toc180570822" </w:instrText>
          </w:r>
          <w:r>
            <w:rPr>
              <w:color w:val="auto"/>
              <w:highlight w:val="none"/>
            </w:rPr>
            <w:fldChar w:fldCharType="separate"/>
          </w:r>
          <w:r>
            <w:rPr>
              <w:rStyle w:val="42"/>
              <w:rFonts w:hint="eastAsia" w:ascii="Times New Roman" w:hAnsi="Times New Roman"/>
              <w:color w:val="auto"/>
              <w:highlight w:val="none"/>
            </w:rPr>
            <w:t>2.2.1</w:t>
          </w:r>
          <w:r>
            <w:rPr>
              <w:rFonts w:hint="eastAsia" w:cstheme="minorBidi"/>
              <w:i w:val="0"/>
              <w:iCs w:val="0"/>
              <w:color w:val="auto"/>
              <w:kern w:val="2"/>
              <w:sz w:val="22"/>
              <w:szCs w:val="24"/>
              <w:highlight w:val="none"/>
              <w14:ligatures w14:val="standardContextual"/>
            </w:rPr>
            <w:tab/>
          </w:r>
          <w:r>
            <w:rPr>
              <w:rStyle w:val="42"/>
              <w:rFonts w:hint="eastAsia"/>
              <w:color w:val="auto"/>
              <w:highlight w:val="none"/>
            </w:rPr>
            <w:t>安防基本信息</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_Toc180570822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65</w:t>
          </w:r>
          <w:r>
            <w:rPr>
              <w:rFonts w:hint="eastAsia"/>
              <w:color w:val="auto"/>
              <w:highlight w:val="none"/>
            </w:rPr>
            <w:fldChar w:fldCharType="end"/>
          </w:r>
          <w:r>
            <w:rPr>
              <w:rFonts w:hint="eastAsia"/>
              <w:color w:val="auto"/>
              <w:highlight w:val="none"/>
            </w:rPr>
            <w:fldChar w:fldCharType="end"/>
          </w:r>
        </w:p>
        <w:p>
          <w:pPr>
            <w:pStyle w:val="18"/>
            <w:tabs>
              <w:tab w:val="left" w:pos="1200"/>
              <w:tab w:val="right" w:leader="dot" w:pos="8290"/>
            </w:tabs>
            <w:rPr>
              <w:rFonts w:cstheme="minorBidi"/>
              <w:i w:val="0"/>
              <w:iC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"_Toc180570823" </w:instrText>
          </w:r>
          <w:r>
            <w:rPr>
              <w:color w:val="auto"/>
              <w:highlight w:val="none"/>
            </w:rPr>
            <w:fldChar w:fldCharType="separate"/>
          </w:r>
          <w:r>
            <w:rPr>
              <w:rStyle w:val="42"/>
              <w:rFonts w:hint="eastAsia" w:ascii="Times New Roman" w:hAnsi="Times New Roman"/>
              <w:color w:val="auto"/>
              <w:highlight w:val="none"/>
            </w:rPr>
            <w:t>2.2.2</w:t>
          </w:r>
          <w:r>
            <w:rPr>
              <w:rFonts w:hint="eastAsia" w:cstheme="minorBidi"/>
              <w:i w:val="0"/>
              <w:iCs w:val="0"/>
              <w:color w:val="auto"/>
              <w:kern w:val="2"/>
              <w:sz w:val="22"/>
              <w:szCs w:val="24"/>
              <w:highlight w:val="none"/>
              <w14:ligatures w14:val="standardContextual"/>
            </w:rPr>
            <w:tab/>
          </w:r>
          <w:r>
            <w:rPr>
              <w:rStyle w:val="42"/>
              <w:rFonts w:hint="eastAsia"/>
              <w:color w:val="auto"/>
              <w:highlight w:val="none"/>
            </w:rPr>
            <w:t>实时GIS图现</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_Toc180570823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66</w:t>
          </w:r>
          <w:r>
            <w:rPr>
              <w:rFonts w:hint="eastAsia"/>
              <w:color w:val="auto"/>
              <w:highlight w:val="none"/>
            </w:rPr>
            <w:fldChar w:fldCharType="end"/>
          </w:r>
          <w:r>
            <w:rPr>
              <w:rFonts w:hint="eastAsia"/>
              <w:color w:val="auto"/>
              <w:highlight w:val="none"/>
            </w:rPr>
            <w:fldChar w:fldCharType="end"/>
          </w:r>
        </w:p>
        <w:p>
          <w:pPr>
            <w:pStyle w:val="18"/>
            <w:tabs>
              <w:tab w:val="left" w:pos="1200"/>
              <w:tab w:val="right" w:leader="dot" w:pos="8290"/>
            </w:tabs>
            <w:rPr>
              <w:rFonts w:cstheme="minorBidi"/>
              <w:i w:val="0"/>
              <w:iC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"_Toc180570824" </w:instrText>
          </w:r>
          <w:r>
            <w:rPr>
              <w:color w:val="auto"/>
              <w:highlight w:val="none"/>
            </w:rPr>
            <w:fldChar w:fldCharType="separate"/>
          </w:r>
          <w:r>
            <w:rPr>
              <w:rStyle w:val="42"/>
              <w:rFonts w:hint="eastAsia" w:ascii="Times New Roman" w:hAnsi="Times New Roman"/>
              <w:color w:val="auto"/>
              <w:highlight w:val="none"/>
            </w:rPr>
            <w:t>2.2.3</w:t>
          </w:r>
          <w:r>
            <w:rPr>
              <w:rFonts w:hint="eastAsia" w:cstheme="minorBidi"/>
              <w:i w:val="0"/>
              <w:iCs w:val="0"/>
              <w:color w:val="auto"/>
              <w:kern w:val="2"/>
              <w:sz w:val="22"/>
              <w:szCs w:val="24"/>
              <w:highlight w:val="none"/>
              <w14:ligatures w14:val="standardContextual"/>
            </w:rPr>
            <w:tab/>
          </w:r>
          <w:r>
            <w:rPr>
              <w:rStyle w:val="42"/>
              <w:rFonts w:hint="eastAsia"/>
              <w:color w:val="auto"/>
              <w:highlight w:val="none"/>
            </w:rPr>
            <w:t>实时视频监控</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_Toc180570824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68</w:t>
          </w:r>
          <w:r>
            <w:rPr>
              <w:rFonts w:hint="eastAsia"/>
              <w:color w:val="auto"/>
              <w:highlight w:val="none"/>
            </w:rPr>
            <w:fldChar w:fldCharType="end"/>
          </w:r>
          <w:r>
            <w:rPr>
              <w:rFonts w:hint="eastAsia"/>
              <w:color w:val="auto"/>
              <w:highlight w:val="none"/>
            </w:rPr>
            <w:fldChar w:fldCharType="end"/>
          </w:r>
        </w:p>
        <w:p>
          <w:pPr>
            <w:pStyle w:val="18"/>
            <w:tabs>
              <w:tab w:val="left" w:pos="1200"/>
              <w:tab w:val="right" w:leader="dot" w:pos="8290"/>
            </w:tabs>
            <w:rPr>
              <w:rFonts w:cstheme="minorBidi"/>
              <w:i w:val="0"/>
              <w:iC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"_Toc180570825" </w:instrText>
          </w:r>
          <w:r>
            <w:rPr>
              <w:color w:val="auto"/>
              <w:highlight w:val="none"/>
            </w:rPr>
            <w:fldChar w:fldCharType="separate"/>
          </w:r>
          <w:r>
            <w:rPr>
              <w:rStyle w:val="42"/>
              <w:rFonts w:hint="eastAsia" w:ascii="Times New Roman" w:hAnsi="Times New Roman"/>
              <w:color w:val="auto"/>
              <w:highlight w:val="none"/>
            </w:rPr>
            <w:t>2.2.4</w:t>
          </w:r>
          <w:r>
            <w:rPr>
              <w:rFonts w:hint="eastAsia" w:cstheme="minorBidi"/>
              <w:i w:val="0"/>
              <w:iCs w:val="0"/>
              <w:color w:val="auto"/>
              <w:kern w:val="2"/>
              <w:sz w:val="22"/>
              <w:szCs w:val="24"/>
              <w:highlight w:val="none"/>
              <w14:ligatures w14:val="standardContextual"/>
            </w:rPr>
            <w:tab/>
          </w:r>
          <w:r>
            <w:rPr>
              <w:rStyle w:val="42"/>
              <w:rFonts w:hint="eastAsia"/>
              <w:color w:val="auto"/>
              <w:highlight w:val="none"/>
            </w:rPr>
            <w:t>实时动态信息</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_Toc180570825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68</w:t>
          </w:r>
          <w:r>
            <w:rPr>
              <w:rFonts w:hint="eastAsia"/>
              <w:color w:val="auto"/>
              <w:highlight w:val="none"/>
            </w:rPr>
            <w:fldChar w:fldCharType="end"/>
          </w:r>
          <w:r>
            <w:rPr>
              <w:rFonts w:hint="eastAsia"/>
              <w:color w:val="auto"/>
              <w:highlight w:val="none"/>
            </w:rPr>
            <w:fldChar w:fldCharType="end"/>
          </w:r>
        </w:p>
        <w:p>
          <w:pPr>
            <w:pStyle w:val="18"/>
            <w:tabs>
              <w:tab w:val="left" w:pos="1200"/>
              <w:tab w:val="right" w:leader="dot" w:pos="8290"/>
            </w:tabs>
            <w:rPr>
              <w:rFonts w:cstheme="minorBidi"/>
              <w:i w:val="0"/>
              <w:iC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"_Toc180570826" </w:instrText>
          </w:r>
          <w:r>
            <w:rPr>
              <w:color w:val="auto"/>
              <w:highlight w:val="none"/>
            </w:rPr>
            <w:fldChar w:fldCharType="separate"/>
          </w:r>
          <w:r>
            <w:rPr>
              <w:rStyle w:val="42"/>
              <w:rFonts w:hint="eastAsia" w:ascii="Times New Roman" w:hAnsi="Times New Roman"/>
              <w:color w:val="auto"/>
              <w:highlight w:val="none"/>
            </w:rPr>
            <w:t>2.2.5</w:t>
          </w:r>
          <w:r>
            <w:rPr>
              <w:rFonts w:hint="eastAsia" w:cstheme="minorBidi"/>
              <w:i w:val="0"/>
              <w:iCs w:val="0"/>
              <w:color w:val="auto"/>
              <w:kern w:val="2"/>
              <w:sz w:val="22"/>
              <w:szCs w:val="24"/>
              <w:highlight w:val="none"/>
              <w14:ligatures w14:val="standardContextual"/>
            </w:rPr>
            <w:tab/>
          </w:r>
          <w:r>
            <w:rPr>
              <w:rStyle w:val="42"/>
              <w:rFonts w:hint="eastAsia"/>
              <w:color w:val="auto"/>
              <w:highlight w:val="none"/>
            </w:rPr>
            <w:t>实时报警处置</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_Toc180570826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68</w:t>
          </w:r>
          <w:r>
            <w:rPr>
              <w:rFonts w:hint="eastAsia"/>
              <w:color w:val="auto"/>
              <w:highlight w:val="none"/>
            </w:rPr>
            <w:fldChar w:fldCharType="end"/>
          </w:r>
          <w:r>
            <w:rPr>
              <w:rFonts w:hint="eastAsia"/>
              <w:color w:val="auto"/>
              <w:highlight w:val="none"/>
            </w:rPr>
            <w:fldChar w:fldCharType="end"/>
          </w:r>
        </w:p>
        <w:p>
          <w:pPr>
            <w:pStyle w:val="18"/>
            <w:tabs>
              <w:tab w:val="left" w:pos="1200"/>
              <w:tab w:val="right" w:leader="dot" w:pos="8290"/>
            </w:tabs>
            <w:rPr>
              <w:rFonts w:cstheme="minorBidi"/>
              <w:i w:val="0"/>
              <w:iC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"_Toc180570827" </w:instrText>
          </w:r>
          <w:r>
            <w:rPr>
              <w:color w:val="auto"/>
              <w:highlight w:val="none"/>
            </w:rPr>
            <w:fldChar w:fldCharType="separate"/>
          </w:r>
          <w:r>
            <w:rPr>
              <w:rStyle w:val="42"/>
              <w:rFonts w:hint="eastAsia" w:ascii="Times New Roman" w:hAnsi="Times New Roman"/>
              <w:color w:val="auto"/>
              <w:highlight w:val="none"/>
            </w:rPr>
            <w:t>2.2.6</w:t>
          </w:r>
          <w:r>
            <w:rPr>
              <w:rFonts w:hint="eastAsia" w:cstheme="minorBidi"/>
              <w:i w:val="0"/>
              <w:iCs w:val="0"/>
              <w:color w:val="auto"/>
              <w:kern w:val="2"/>
              <w:sz w:val="22"/>
              <w:szCs w:val="24"/>
              <w:highlight w:val="none"/>
              <w14:ligatures w14:val="standardContextual"/>
            </w:rPr>
            <w:tab/>
          </w:r>
          <w:r>
            <w:rPr>
              <w:rStyle w:val="42"/>
              <w:rFonts w:hint="eastAsia"/>
              <w:color w:val="auto"/>
              <w:highlight w:val="none"/>
            </w:rPr>
            <w:t>实时事件处置</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_Toc180570827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69</w:t>
          </w:r>
          <w:r>
            <w:rPr>
              <w:rFonts w:hint="eastAsia"/>
              <w:color w:val="auto"/>
              <w:highlight w:val="none"/>
            </w:rPr>
            <w:fldChar w:fldCharType="end"/>
          </w:r>
          <w:r>
            <w:rPr>
              <w:rFonts w:hint="eastAsia"/>
              <w:color w:val="auto"/>
              <w:highlight w:val="none"/>
            </w:rPr>
            <w:fldChar w:fldCharType="end"/>
          </w:r>
        </w:p>
        <w:p>
          <w:pPr>
            <w:pStyle w:val="18"/>
            <w:tabs>
              <w:tab w:val="left" w:pos="1200"/>
              <w:tab w:val="right" w:leader="dot" w:pos="8290"/>
            </w:tabs>
            <w:rPr>
              <w:rFonts w:cstheme="minorBidi"/>
              <w:i w:val="0"/>
              <w:iC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"_Toc180570828" </w:instrText>
          </w:r>
          <w:r>
            <w:rPr>
              <w:color w:val="auto"/>
              <w:highlight w:val="none"/>
            </w:rPr>
            <w:fldChar w:fldCharType="separate"/>
          </w:r>
          <w:r>
            <w:rPr>
              <w:rStyle w:val="42"/>
              <w:rFonts w:hint="eastAsia" w:ascii="Times New Roman" w:hAnsi="Times New Roman"/>
              <w:color w:val="auto"/>
              <w:highlight w:val="none"/>
            </w:rPr>
            <w:t>2.2.7</w:t>
          </w:r>
          <w:r>
            <w:rPr>
              <w:rFonts w:hint="eastAsia" w:cstheme="minorBidi"/>
              <w:i w:val="0"/>
              <w:iCs w:val="0"/>
              <w:color w:val="auto"/>
              <w:kern w:val="2"/>
              <w:sz w:val="22"/>
              <w:szCs w:val="24"/>
              <w:highlight w:val="none"/>
              <w14:ligatures w14:val="standardContextual"/>
            </w:rPr>
            <w:tab/>
          </w:r>
          <w:r>
            <w:rPr>
              <w:rStyle w:val="42"/>
              <w:rFonts w:hint="eastAsia"/>
              <w:color w:val="auto"/>
              <w:highlight w:val="none"/>
            </w:rPr>
            <w:t>实时智能推送</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_Toc180570828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69</w:t>
          </w:r>
          <w:r>
            <w:rPr>
              <w:rFonts w:hint="eastAsia"/>
              <w:color w:val="auto"/>
              <w:highlight w:val="none"/>
            </w:rPr>
            <w:fldChar w:fldCharType="end"/>
          </w:r>
          <w:r>
            <w:rPr>
              <w:rFonts w:hint="eastAsia"/>
              <w:color w:val="auto"/>
              <w:highlight w:val="none"/>
            </w:rPr>
            <w:fldChar w:fldCharType="end"/>
          </w:r>
        </w:p>
        <w:p>
          <w:pPr>
            <w:pStyle w:val="18"/>
            <w:tabs>
              <w:tab w:val="left" w:pos="1200"/>
              <w:tab w:val="right" w:leader="dot" w:pos="8290"/>
            </w:tabs>
            <w:rPr>
              <w:rFonts w:cstheme="minorBidi"/>
              <w:i w:val="0"/>
              <w:iC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"_Toc180570829" </w:instrText>
          </w:r>
          <w:r>
            <w:rPr>
              <w:color w:val="auto"/>
              <w:highlight w:val="none"/>
            </w:rPr>
            <w:fldChar w:fldCharType="separate"/>
          </w:r>
          <w:r>
            <w:rPr>
              <w:rStyle w:val="42"/>
              <w:rFonts w:hint="eastAsia" w:ascii="Times New Roman" w:hAnsi="Times New Roman"/>
              <w:color w:val="auto"/>
              <w:highlight w:val="none"/>
            </w:rPr>
            <w:t>2.2.8</w:t>
          </w:r>
          <w:r>
            <w:rPr>
              <w:rFonts w:hint="eastAsia" w:cstheme="minorBidi"/>
              <w:i w:val="0"/>
              <w:iCs w:val="0"/>
              <w:color w:val="auto"/>
              <w:kern w:val="2"/>
              <w:sz w:val="22"/>
              <w:szCs w:val="24"/>
              <w:highlight w:val="none"/>
              <w14:ligatures w14:val="standardContextual"/>
            </w:rPr>
            <w:tab/>
          </w:r>
          <w:r>
            <w:rPr>
              <w:rStyle w:val="42"/>
              <w:rFonts w:hint="eastAsia"/>
              <w:color w:val="auto"/>
              <w:highlight w:val="none"/>
            </w:rPr>
            <w:t>实时警力运行</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_Toc180570829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69</w:t>
          </w:r>
          <w:r>
            <w:rPr>
              <w:rFonts w:hint="eastAsia"/>
              <w:color w:val="auto"/>
              <w:highlight w:val="none"/>
            </w:rPr>
            <w:fldChar w:fldCharType="end"/>
          </w:r>
          <w:r>
            <w:rPr>
              <w:rFonts w:hint="eastAsia"/>
              <w:color w:val="auto"/>
              <w:highlight w:val="none"/>
            </w:rPr>
            <w:fldChar w:fldCharType="end"/>
          </w:r>
        </w:p>
        <w:p>
          <w:pPr>
            <w:pStyle w:val="18"/>
            <w:tabs>
              <w:tab w:val="left" w:pos="1200"/>
              <w:tab w:val="right" w:leader="dot" w:pos="8290"/>
            </w:tabs>
            <w:rPr>
              <w:rFonts w:cstheme="minorBidi"/>
              <w:i w:val="0"/>
              <w:iC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"_Toc180570830" </w:instrText>
          </w:r>
          <w:r>
            <w:rPr>
              <w:color w:val="auto"/>
              <w:highlight w:val="none"/>
            </w:rPr>
            <w:fldChar w:fldCharType="separate"/>
          </w:r>
          <w:r>
            <w:rPr>
              <w:rStyle w:val="42"/>
              <w:rFonts w:hint="eastAsia" w:ascii="Times New Roman" w:hAnsi="Times New Roman"/>
              <w:color w:val="auto"/>
              <w:highlight w:val="none"/>
            </w:rPr>
            <w:t>2.2.9</w:t>
          </w:r>
          <w:r>
            <w:rPr>
              <w:rFonts w:hint="eastAsia" w:cstheme="minorBidi"/>
              <w:i w:val="0"/>
              <w:iCs w:val="0"/>
              <w:color w:val="auto"/>
              <w:kern w:val="2"/>
              <w:sz w:val="22"/>
              <w:szCs w:val="24"/>
              <w:highlight w:val="none"/>
              <w14:ligatures w14:val="standardContextual"/>
            </w:rPr>
            <w:tab/>
          </w:r>
          <w:r>
            <w:rPr>
              <w:rStyle w:val="42"/>
              <w:rFonts w:hint="eastAsia"/>
              <w:color w:val="auto"/>
              <w:highlight w:val="none"/>
            </w:rPr>
            <w:t>实时检查监督</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_Toc180570830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70</w:t>
          </w:r>
          <w:r>
            <w:rPr>
              <w:rFonts w:hint="eastAsia"/>
              <w:color w:val="auto"/>
              <w:highlight w:val="none"/>
            </w:rPr>
            <w:fldChar w:fldCharType="end"/>
          </w:r>
          <w:r>
            <w:rPr>
              <w:rFonts w:hint="eastAsia"/>
              <w:color w:val="auto"/>
              <w:highlight w:val="none"/>
            </w:rPr>
            <w:fldChar w:fldCharType="end"/>
          </w:r>
        </w:p>
        <w:p>
          <w:pPr>
            <w:pStyle w:val="18"/>
            <w:tabs>
              <w:tab w:val="left" w:pos="1440"/>
              <w:tab w:val="right" w:leader="dot" w:pos="8290"/>
            </w:tabs>
            <w:rPr>
              <w:rFonts w:cstheme="minorBidi"/>
              <w:i w:val="0"/>
              <w:iC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"_Toc180570831" </w:instrText>
          </w:r>
          <w:r>
            <w:rPr>
              <w:color w:val="auto"/>
              <w:highlight w:val="none"/>
            </w:rPr>
            <w:fldChar w:fldCharType="separate"/>
          </w:r>
          <w:r>
            <w:rPr>
              <w:rStyle w:val="42"/>
              <w:rFonts w:hint="eastAsia" w:ascii="Times New Roman" w:hAnsi="Times New Roman"/>
              <w:color w:val="auto"/>
              <w:highlight w:val="none"/>
            </w:rPr>
            <w:t>2.2.10</w:t>
          </w:r>
          <w:r>
            <w:rPr>
              <w:rFonts w:hint="eastAsia" w:cstheme="minorBidi"/>
              <w:i w:val="0"/>
              <w:iCs w:val="0"/>
              <w:color w:val="auto"/>
              <w:kern w:val="2"/>
              <w:sz w:val="22"/>
              <w:szCs w:val="24"/>
              <w:highlight w:val="none"/>
              <w14:ligatures w14:val="standardContextual"/>
            </w:rPr>
            <w:tab/>
          </w:r>
          <w:r>
            <w:rPr>
              <w:rStyle w:val="42"/>
              <w:rFonts w:hint="eastAsia"/>
              <w:color w:val="auto"/>
              <w:highlight w:val="none"/>
            </w:rPr>
            <w:t>实时协同联动</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_Toc180570831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70</w:t>
          </w:r>
          <w:r>
            <w:rPr>
              <w:rFonts w:hint="eastAsia"/>
              <w:color w:val="auto"/>
              <w:highlight w:val="none"/>
            </w:rPr>
            <w:fldChar w:fldCharType="end"/>
          </w:r>
          <w:r>
            <w:rPr>
              <w:rFonts w:hint="eastAsia"/>
              <w:color w:val="auto"/>
              <w:highlight w:val="none"/>
            </w:rPr>
            <w:fldChar w:fldCharType="end"/>
          </w:r>
        </w:p>
        <w:p>
          <w:pPr>
            <w:pStyle w:val="28"/>
            <w:tabs>
              <w:tab w:val="left" w:pos="960"/>
              <w:tab w:val="right" w:leader="dot" w:pos="8290"/>
            </w:tabs>
            <w:rPr>
              <w:rFonts w:cstheme="minorBidi"/>
              <w:smallCap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"_Toc180570832" </w:instrText>
          </w:r>
          <w:r>
            <w:rPr>
              <w:color w:val="auto"/>
              <w:highlight w:val="none"/>
            </w:rPr>
            <w:fldChar w:fldCharType="separate"/>
          </w:r>
          <w:r>
            <w:rPr>
              <w:rStyle w:val="42"/>
              <w:rFonts w:hint="eastAsia" w:ascii="Times New Roman" w:hAnsi="Times New Roman" w:cs="Times New Roman"/>
              <w:color w:val="auto"/>
              <w:highlight w:val="none"/>
            </w:rPr>
            <w:t>2.3</w:t>
          </w:r>
          <w:r>
            <w:rPr>
              <w:rFonts w:hint="eastAsia" w:cstheme="minorBidi"/>
              <w:smallCaps w:val="0"/>
              <w:color w:val="auto"/>
              <w:kern w:val="2"/>
              <w:sz w:val="22"/>
              <w:szCs w:val="24"/>
              <w:highlight w:val="none"/>
              <w14:ligatures w14:val="standardContextual"/>
            </w:rPr>
            <w:tab/>
          </w:r>
          <w:r>
            <w:rPr>
              <w:rStyle w:val="42"/>
              <w:rFonts w:hint="eastAsia"/>
              <w:color w:val="auto"/>
              <w:highlight w:val="none"/>
            </w:rPr>
            <w:t>五大工作赋能场景</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_Toc180570832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70</w:t>
          </w:r>
          <w:r>
            <w:rPr>
              <w:rFonts w:hint="eastAsia"/>
              <w:color w:val="auto"/>
              <w:highlight w:val="none"/>
            </w:rPr>
            <w:fldChar w:fldCharType="end"/>
          </w:r>
          <w:r>
            <w:rPr>
              <w:rFonts w:hint="eastAsia"/>
              <w:color w:val="auto"/>
              <w:highlight w:val="none"/>
            </w:rPr>
            <w:fldChar w:fldCharType="end"/>
          </w:r>
        </w:p>
        <w:p>
          <w:pPr>
            <w:pStyle w:val="18"/>
            <w:tabs>
              <w:tab w:val="left" w:pos="1200"/>
              <w:tab w:val="right" w:leader="dot" w:pos="8290"/>
            </w:tabs>
            <w:rPr>
              <w:rFonts w:cstheme="minorBidi"/>
              <w:i w:val="0"/>
              <w:iC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"_Toc180570833" </w:instrText>
          </w:r>
          <w:r>
            <w:rPr>
              <w:color w:val="auto"/>
              <w:highlight w:val="none"/>
            </w:rPr>
            <w:fldChar w:fldCharType="separate"/>
          </w:r>
          <w:r>
            <w:rPr>
              <w:rStyle w:val="42"/>
              <w:rFonts w:hint="eastAsia" w:ascii="Times New Roman" w:hAnsi="Times New Roman"/>
              <w:color w:val="auto"/>
              <w:highlight w:val="none"/>
            </w:rPr>
            <w:t>2.3.1</w:t>
          </w:r>
          <w:r>
            <w:rPr>
              <w:rFonts w:hint="eastAsia" w:cstheme="minorBidi"/>
              <w:i w:val="0"/>
              <w:iCs w:val="0"/>
              <w:color w:val="auto"/>
              <w:kern w:val="2"/>
              <w:sz w:val="22"/>
              <w:szCs w:val="24"/>
              <w:highlight w:val="none"/>
              <w14:ligatures w14:val="standardContextual"/>
            </w:rPr>
            <w:tab/>
          </w:r>
          <w:r>
            <w:rPr>
              <w:rStyle w:val="42"/>
              <w:rFonts w:hint="eastAsia"/>
              <w:color w:val="auto"/>
              <w:highlight w:val="none"/>
            </w:rPr>
            <w:t>安全治理</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_Toc180570833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71</w:t>
          </w:r>
          <w:r>
            <w:rPr>
              <w:rFonts w:hint="eastAsia"/>
              <w:color w:val="auto"/>
              <w:highlight w:val="none"/>
            </w:rPr>
            <w:fldChar w:fldCharType="end"/>
          </w:r>
          <w:r>
            <w:rPr>
              <w:rFonts w:hint="eastAsia"/>
              <w:color w:val="auto"/>
              <w:highlight w:val="none"/>
            </w:rPr>
            <w:fldChar w:fldCharType="end"/>
          </w:r>
        </w:p>
        <w:p>
          <w:pPr>
            <w:pStyle w:val="18"/>
            <w:tabs>
              <w:tab w:val="left" w:pos="1200"/>
              <w:tab w:val="right" w:leader="dot" w:pos="8290"/>
            </w:tabs>
            <w:rPr>
              <w:rFonts w:cstheme="minorBidi"/>
              <w:i w:val="0"/>
              <w:iC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"_Toc180570834" </w:instrText>
          </w:r>
          <w:r>
            <w:rPr>
              <w:color w:val="auto"/>
              <w:highlight w:val="none"/>
            </w:rPr>
            <w:fldChar w:fldCharType="separate"/>
          </w:r>
          <w:r>
            <w:rPr>
              <w:rStyle w:val="42"/>
              <w:rFonts w:hint="eastAsia" w:ascii="Times New Roman" w:hAnsi="Times New Roman"/>
              <w:color w:val="auto"/>
              <w:highlight w:val="none"/>
            </w:rPr>
            <w:t>2.3.2</w:t>
          </w:r>
          <w:r>
            <w:rPr>
              <w:rFonts w:hint="eastAsia" w:cstheme="minorBidi"/>
              <w:i w:val="0"/>
              <w:iCs w:val="0"/>
              <w:color w:val="auto"/>
              <w:kern w:val="2"/>
              <w:sz w:val="22"/>
              <w:szCs w:val="24"/>
              <w:highlight w:val="none"/>
              <w14:ligatures w14:val="standardContextual"/>
            </w:rPr>
            <w:tab/>
          </w:r>
          <w:r>
            <w:rPr>
              <w:rStyle w:val="42"/>
              <w:rFonts w:hint="eastAsia"/>
              <w:color w:val="auto"/>
              <w:highlight w:val="none"/>
            </w:rPr>
            <w:t>罪犯改造</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_Toc180570834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72</w:t>
          </w:r>
          <w:r>
            <w:rPr>
              <w:rFonts w:hint="eastAsia"/>
              <w:color w:val="auto"/>
              <w:highlight w:val="none"/>
            </w:rPr>
            <w:fldChar w:fldCharType="end"/>
          </w:r>
          <w:r>
            <w:rPr>
              <w:rFonts w:hint="eastAsia"/>
              <w:color w:val="auto"/>
              <w:highlight w:val="none"/>
            </w:rPr>
            <w:fldChar w:fldCharType="end"/>
          </w:r>
        </w:p>
        <w:p>
          <w:pPr>
            <w:pStyle w:val="18"/>
            <w:tabs>
              <w:tab w:val="left" w:pos="1200"/>
              <w:tab w:val="right" w:leader="dot" w:pos="8290"/>
            </w:tabs>
            <w:rPr>
              <w:rFonts w:cstheme="minorBidi"/>
              <w:i w:val="0"/>
              <w:iC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"_Toc180570835" </w:instrText>
          </w:r>
          <w:r>
            <w:rPr>
              <w:color w:val="auto"/>
              <w:highlight w:val="none"/>
            </w:rPr>
            <w:fldChar w:fldCharType="separate"/>
          </w:r>
          <w:r>
            <w:rPr>
              <w:rStyle w:val="42"/>
              <w:rFonts w:hint="eastAsia" w:ascii="Times New Roman" w:hAnsi="Times New Roman"/>
              <w:color w:val="auto"/>
              <w:highlight w:val="none"/>
            </w:rPr>
            <w:t>2.3.3</w:t>
          </w:r>
          <w:r>
            <w:rPr>
              <w:rFonts w:hint="eastAsia" w:cstheme="minorBidi"/>
              <w:i w:val="0"/>
              <w:iCs w:val="0"/>
              <w:color w:val="auto"/>
              <w:kern w:val="2"/>
              <w:sz w:val="22"/>
              <w:szCs w:val="24"/>
              <w:highlight w:val="none"/>
              <w14:ligatures w14:val="standardContextual"/>
            </w:rPr>
            <w:tab/>
          </w:r>
          <w:r>
            <w:rPr>
              <w:rStyle w:val="42"/>
              <w:rFonts w:hint="eastAsia"/>
              <w:color w:val="auto"/>
              <w:highlight w:val="none"/>
            </w:rPr>
            <w:t>执法管理</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_Toc180570835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73</w:t>
          </w:r>
          <w:r>
            <w:rPr>
              <w:rFonts w:hint="eastAsia"/>
              <w:color w:val="auto"/>
              <w:highlight w:val="none"/>
            </w:rPr>
            <w:fldChar w:fldCharType="end"/>
          </w:r>
          <w:r>
            <w:rPr>
              <w:rFonts w:hint="eastAsia"/>
              <w:color w:val="auto"/>
              <w:highlight w:val="none"/>
            </w:rPr>
            <w:fldChar w:fldCharType="end"/>
          </w:r>
        </w:p>
        <w:p>
          <w:pPr>
            <w:pStyle w:val="18"/>
            <w:tabs>
              <w:tab w:val="left" w:pos="1200"/>
              <w:tab w:val="right" w:leader="dot" w:pos="8290"/>
            </w:tabs>
            <w:rPr>
              <w:rFonts w:cstheme="minorBidi"/>
              <w:i w:val="0"/>
              <w:iC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"_Toc180570836" </w:instrText>
          </w:r>
          <w:r>
            <w:rPr>
              <w:color w:val="auto"/>
              <w:highlight w:val="none"/>
            </w:rPr>
            <w:fldChar w:fldCharType="separate"/>
          </w:r>
          <w:r>
            <w:rPr>
              <w:rStyle w:val="42"/>
              <w:rFonts w:hint="eastAsia" w:ascii="Times New Roman" w:hAnsi="Times New Roman"/>
              <w:color w:val="auto"/>
              <w:highlight w:val="none"/>
            </w:rPr>
            <w:t>2.3.4</w:t>
          </w:r>
          <w:r>
            <w:rPr>
              <w:rFonts w:hint="eastAsia" w:cstheme="minorBidi"/>
              <w:i w:val="0"/>
              <w:iCs w:val="0"/>
              <w:color w:val="auto"/>
              <w:kern w:val="2"/>
              <w:sz w:val="22"/>
              <w:szCs w:val="24"/>
              <w:highlight w:val="none"/>
              <w14:ligatures w14:val="standardContextual"/>
            </w:rPr>
            <w:tab/>
          </w:r>
          <w:r>
            <w:rPr>
              <w:rStyle w:val="42"/>
              <w:rFonts w:hint="eastAsia"/>
              <w:color w:val="auto"/>
              <w:highlight w:val="none"/>
            </w:rPr>
            <w:t>队伍建设</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_Toc180570836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75</w:t>
          </w:r>
          <w:r>
            <w:rPr>
              <w:rFonts w:hint="eastAsia"/>
              <w:color w:val="auto"/>
              <w:highlight w:val="none"/>
            </w:rPr>
            <w:fldChar w:fldCharType="end"/>
          </w:r>
          <w:r>
            <w:rPr>
              <w:rFonts w:hint="eastAsia"/>
              <w:color w:val="auto"/>
              <w:highlight w:val="none"/>
            </w:rPr>
            <w:fldChar w:fldCharType="end"/>
          </w:r>
        </w:p>
        <w:p>
          <w:pPr>
            <w:pStyle w:val="18"/>
            <w:tabs>
              <w:tab w:val="left" w:pos="1200"/>
              <w:tab w:val="right" w:leader="dot" w:pos="8290"/>
            </w:tabs>
            <w:rPr>
              <w:rFonts w:cstheme="minorBidi"/>
              <w:i w:val="0"/>
              <w:iC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"_Toc180570837" </w:instrText>
          </w:r>
          <w:r>
            <w:rPr>
              <w:color w:val="auto"/>
              <w:highlight w:val="none"/>
            </w:rPr>
            <w:fldChar w:fldCharType="separate"/>
          </w:r>
          <w:r>
            <w:rPr>
              <w:rStyle w:val="42"/>
              <w:rFonts w:hint="eastAsia" w:ascii="Times New Roman" w:hAnsi="Times New Roman"/>
              <w:color w:val="auto"/>
              <w:highlight w:val="none"/>
            </w:rPr>
            <w:t>2.3.5</w:t>
          </w:r>
          <w:r>
            <w:rPr>
              <w:rFonts w:hint="eastAsia" w:cstheme="minorBidi"/>
              <w:i w:val="0"/>
              <w:iCs w:val="0"/>
              <w:color w:val="auto"/>
              <w:kern w:val="2"/>
              <w:sz w:val="22"/>
              <w:szCs w:val="24"/>
              <w:highlight w:val="none"/>
              <w14:ligatures w14:val="standardContextual"/>
            </w:rPr>
            <w:tab/>
          </w:r>
          <w:r>
            <w:rPr>
              <w:rStyle w:val="42"/>
              <w:rFonts w:hint="eastAsia"/>
              <w:color w:val="auto"/>
              <w:highlight w:val="none"/>
            </w:rPr>
            <w:t>综合保障</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_Toc180570837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76</w:t>
          </w:r>
          <w:r>
            <w:rPr>
              <w:rFonts w:hint="eastAsia"/>
              <w:color w:val="auto"/>
              <w:highlight w:val="none"/>
            </w:rPr>
            <w:fldChar w:fldCharType="end"/>
          </w:r>
          <w:r>
            <w:rPr>
              <w:rFonts w:hint="eastAsia"/>
              <w:color w:val="auto"/>
              <w:highlight w:val="none"/>
            </w:rPr>
            <w:fldChar w:fldCharType="end"/>
          </w:r>
        </w:p>
        <w:p>
          <w:pPr>
            <w:pStyle w:val="28"/>
            <w:tabs>
              <w:tab w:val="left" w:pos="960"/>
              <w:tab w:val="right" w:leader="dot" w:pos="8290"/>
            </w:tabs>
            <w:rPr>
              <w:rFonts w:cstheme="minorBidi"/>
              <w:smallCap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"_Toc180570838" </w:instrText>
          </w:r>
          <w:r>
            <w:rPr>
              <w:color w:val="auto"/>
              <w:highlight w:val="none"/>
            </w:rPr>
            <w:fldChar w:fldCharType="separate"/>
          </w:r>
          <w:r>
            <w:rPr>
              <w:rStyle w:val="42"/>
              <w:rFonts w:hint="eastAsia" w:ascii="Times New Roman" w:hAnsi="Times New Roman" w:cs="Times New Roman"/>
              <w:color w:val="auto"/>
              <w:highlight w:val="none"/>
            </w:rPr>
            <w:t>2.4</w:t>
          </w:r>
          <w:r>
            <w:rPr>
              <w:rFonts w:hint="eastAsia" w:cstheme="minorBidi"/>
              <w:smallCaps w:val="0"/>
              <w:color w:val="auto"/>
              <w:kern w:val="2"/>
              <w:sz w:val="22"/>
              <w:szCs w:val="24"/>
              <w:highlight w:val="none"/>
              <w14:ligatures w14:val="standardContextual"/>
            </w:rPr>
            <w:tab/>
          </w:r>
          <w:r>
            <w:rPr>
              <w:rStyle w:val="42"/>
              <w:rFonts w:hint="eastAsia"/>
              <w:color w:val="auto"/>
              <w:highlight w:val="none"/>
            </w:rPr>
            <w:t>智慧警务轻应用</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_Toc180570838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77</w:t>
          </w:r>
          <w:r>
            <w:rPr>
              <w:rFonts w:hint="eastAsia"/>
              <w:color w:val="auto"/>
              <w:highlight w:val="none"/>
            </w:rPr>
            <w:fldChar w:fldCharType="end"/>
          </w:r>
          <w:r>
            <w:rPr>
              <w:rFonts w:hint="eastAsia"/>
              <w:color w:val="auto"/>
              <w:highlight w:val="none"/>
            </w:rPr>
            <w:fldChar w:fldCharType="end"/>
          </w:r>
        </w:p>
        <w:p>
          <w:pPr>
            <w:pStyle w:val="18"/>
            <w:tabs>
              <w:tab w:val="left" w:pos="1200"/>
              <w:tab w:val="right" w:leader="dot" w:pos="8290"/>
            </w:tabs>
            <w:rPr>
              <w:rFonts w:cstheme="minorBidi"/>
              <w:i w:val="0"/>
              <w:iC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"_Toc180570839" </w:instrText>
          </w:r>
          <w:r>
            <w:rPr>
              <w:color w:val="auto"/>
              <w:highlight w:val="none"/>
            </w:rPr>
            <w:fldChar w:fldCharType="separate"/>
          </w:r>
          <w:r>
            <w:rPr>
              <w:rStyle w:val="42"/>
              <w:rFonts w:hint="eastAsia" w:ascii="Times New Roman" w:hAnsi="Times New Roman"/>
              <w:color w:val="auto"/>
              <w:highlight w:val="none"/>
            </w:rPr>
            <w:t>2.4.1</w:t>
          </w:r>
          <w:r>
            <w:rPr>
              <w:rFonts w:hint="eastAsia" w:cstheme="minorBidi"/>
              <w:i w:val="0"/>
              <w:iCs w:val="0"/>
              <w:color w:val="auto"/>
              <w:kern w:val="2"/>
              <w:sz w:val="22"/>
              <w:szCs w:val="24"/>
              <w:highlight w:val="none"/>
              <w14:ligatures w14:val="standardContextual"/>
            </w:rPr>
            <w:tab/>
          </w:r>
          <w:r>
            <w:rPr>
              <w:rStyle w:val="42"/>
              <w:rFonts w:hint="eastAsia"/>
              <w:color w:val="auto"/>
              <w:highlight w:val="none"/>
            </w:rPr>
            <w:t>移动警务轻应用</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_Toc180570839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77</w:t>
          </w:r>
          <w:r>
            <w:rPr>
              <w:rFonts w:hint="eastAsia"/>
              <w:color w:val="auto"/>
              <w:highlight w:val="none"/>
            </w:rPr>
            <w:fldChar w:fldCharType="end"/>
          </w:r>
          <w:r>
            <w:rPr>
              <w:rFonts w:hint="eastAsia"/>
              <w:color w:val="auto"/>
              <w:highlight w:val="none"/>
            </w:rPr>
            <w:fldChar w:fldCharType="end"/>
          </w:r>
        </w:p>
        <w:p>
          <w:pPr>
            <w:pStyle w:val="18"/>
            <w:tabs>
              <w:tab w:val="left" w:pos="1200"/>
              <w:tab w:val="right" w:leader="dot" w:pos="8290"/>
            </w:tabs>
            <w:rPr>
              <w:rFonts w:cstheme="minorBidi"/>
              <w:i w:val="0"/>
              <w:iC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"_Toc180570840" </w:instrText>
          </w:r>
          <w:r>
            <w:rPr>
              <w:color w:val="auto"/>
              <w:highlight w:val="none"/>
            </w:rPr>
            <w:fldChar w:fldCharType="separate"/>
          </w:r>
          <w:r>
            <w:rPr>
              <w:rStyle w:val="42"/>
              <w:rFonts w:hint="eastAsia" w:ascii="Times New Roman" w:hAnsi="Times New Roman"/>
              <w:color w:val="auto"/>
              <w:highlight w:val="none"/>
            </w:rPr>
            <w:t>2.4.2</w:t>
          </w:r>
          <w:r>
            <w:rPr>
              <w:rFonts w:hint="eastAsia" w:cstheme="minorBidi"/>
              <w:i w:val="0"/>
              <w:iCs w:val="0"/>
              <w:color w:val="auto"/>
              <w:kern w:val="2"/>
              <w:sz w:val="22"/>
              <w:szCs w:val="24"/>
              <w:highlight w:val="none"/>
              <w14:ligatures w14:val="standardContextual"/>
            </w:rPr>
            <w:tab/>
          </w:r>
          <w:r>
            <w:rPr>
              <w:rStyle w:val="42"/>
              <w:rFonts w:hint="eastAsia"/>
              <w:color w:val="auto"/>
              <w:highlight w:val="none"/>
            </w:rPr>
            <w:t>便民服务轻应用</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_Toc180570840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84</w:t>
          </w:r>
          <w:r>
            <w:rPr>
              <w:rFonts w:hint="eastAsia"/>
              <w:color w:val="auto"/>
              <w:highlight w:val="none"/>
            </w:rPr>
            <w:fldChar w:fldCharType="end"/>
          </w:r>
          <w:r>
            <w:rPr>
              <w:rFonts w:hint="eastAsia"/>
              <w:color w:val="auto"/>
              <w:highlight w:val="none"/>
            </w:rPr>
            <w:fldChar w:fldCharType="end"/>
          </w:r>
        </w:p>
        <w:p>
          <w:pPr>
            <w:pStyle w:val="18"/>
            <w:tabs>
              <w:tab w:val="left" w:pos="1200"/>
              <w:tab w:val="right" w:leader="dot" w:pos="8290"/>
            </w:tabs>
            <w:rPr>
              <w:rFonts w:cstheme="minorBidi"/>
              <w:i w:val="0"/>
              <w:iC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"_Toc180570841" </w:instrText>
          </w:r>
          <w:r>
            <w:rPr>
              <w:color w:val="auto"/>
              <w:highlight w:val="none"/>
            </w:rPr>
            <w:fldChar w:fldCharType="separate"/>
          </w:r>
          <w:r>
            <w:rPr>
              <w:rStyle w:val="42"/>
              <w:rFonts w:hint="eastAsia" w:ascii="Times New Roman" w:hAnsi="Times New Roman"/>
              <w:color w:val="auto"/>
              <w:highlight w:val="none"/>
            </w:rPr>
            <w:t>2.4.3</w:t>
          </w:r>
          <w:r>
            <w:rPr>
              <w:rFonts w:hint="eastAsia" w:cstheme="minorBidi"/>
              <w:i w:val="0"/>
              <w:iCs w:val="0"/>
              <w:color w:val="auto"/>
              <w:kern w:val="2"/>
              <w:sz w:val="22"/>
              <w:szCs w:val="24"/>
              <w:highlight w:val="none"/>
              <w14:ligatures w14:val="standardContextual"/>
            </w:rPr>
            <w:tab/>
          </w:r>
          <w:r>
            <w:rPr>
              <w:rStyle w:val="42"/>
              <w:rFonts w:hint="eastAsia"/>
              <w:color w:val="auto"/>
              <w:highlight w:val="none"/>
            </w:rPr>
            <w:t>综合管理轻应用</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_Toc180570841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85</w:t>
          </w:r>
          <w:r>
            <w:rPr>
              <w:rFonts w:hint="eastAsia"/>
              <w:color w:val="auto"/>
              <w:highlight w:val="none"/>
            </w:rPr>
            <w:fldChar w:fldCharType="end"/>
          </w:r>
          <w:r>
            <w:rPr>
              <w:rFonts w:hint="eastAsia"/>
              <w:color w:val="auto"/>
              <w:highlight w:val="none"/>
            </w:rPr>
            <w:fldChar w:fldCharType="end"/>
          </w:r>
        </w:p>
        <w:p>
          <w:pPr>
            <w:pStyle w:val="18"/>
            <w:tabs>
              <w:tab w:val="left" w:pos="1200"/>
              <w:tab w:val="right" w:leader="dot" w:pos="8290"/>
            </w:tabs>
            <w:rPr>
              <w:rFonts w:cstheme="minorBidi"/>
              <w:i w:val="0"/>
              <w:iC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"_Toc180570842" </w:instrText>
          </w:r>
          <w:r>
            <w:rPr>
              <w:color w:val="auto"/>
              <w:highlight w:val="none"/>
            </w:rPr>
            <w:fldChar w:fldCharType="separate"/>
          </w:r>
          <w:r>
            <w:rPr>
              <w:rStyle w:val="42"/>
              <w:rFonts w:hint="eastAsia" w:ascii="Times New Roman" w:hAnsi="Times New Roman"/>
              <w:color w:val="auto"/>
              <w:highlight w:val="none"/>
            </w:rPr>
            <w:t>2.4.4</w:t>
          </w:r>
          <w:r>
            <w:rPr>
              <w:rFonts w:hint="eastAsia" w:cstheme="minorBidi"/>
              <w:i w:val="0"/>
              <w:iCs w:val="0"/>
              <w:color w:val="auto"/>
              <w:kern w:val="2"/>
              <w:sz w:val="22"/>
              <w:szCs w:val="24"/>
              <w:highlight w:val="none"/>
              <w14:ligatures w14:val="standardContextual"/>
            </w:rPr>
            <w:tab/>
          </w:r>
          <w:r>
            <w:rPr>
              <w:rStyle w:val="42"/>
              <w:rFonts w:hint="eastAsia"/>
              <w:color w:val="auto"/>
              <w:highlight w:val="none"/>
            </w:rPr>
            <w:t>罪犯网上购物</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_Toc180570842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88</w:t>
          </w:r>
          <w:r>
            <w:rPr>
              <w:rFonts w:hint="eastAsia"/>
              <w:color w:val="auto"/>
              <w:highlight w:val="none"/>
            </w:rPr>
            <w:fldChar w:fldCharType="end"/>
          </w:r>
          <w:r>
            <w:rPr>
              <w:rFonts w:hint="eastAsia"/>
              <w:color w:val="auto"/>
              <w:highlight w:val="none"/>
            </w:rPr>
            <w:fldChar w:fldCharType="end"/>
          </w:r>
        </w:p>
        <w:p>
          <w:pPr>
            <w:pStyle w:val="18"/>
            <w:tabs>
              <w:tab w:val="left" w:pos="1200"/>
              <w:tab w:val="right" w:leader="dot" w:pos="8290"/>
            </w:tabs>
            <w:rPr>
              <w:rFonts w:cstheme="minorBidi"/>
              <w:i w:val="0"/>
              <w:iC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"_Toc180570843" </w:instrText>
          </w:r>
          <w:r>
            <w:rPr>
              <w:color w:val="auto"/>
              <w:highlight w:val="none"/>
            </w:rPr>
            <w:fldChar w:fldCharType="separate"/>
          </w:r>
          <w:r>
            <w:rPr>
              <w:rStyle w:val="42"/>
              <w:rFonts w:hint="eastAsia" w:ascii="Times New Roman" w:hAnsi="Times New Roman"/>
              <w:color w:val="auto"/>
              <w:highlight w:val="none"/>
            </w:rPr>
            <w:t>2.4.5</w:t>
          </w:r>
          <w:r>
            <w:rPr>
              <w:rFonts w:hint="eastAsia" w:cstheme="minorBidi"/>
              <w:i w:val="0"/>
              <w:iCs w:val="0"/>
              <w:color w:val="auto"/>
              <w:kern w:val="2"/>
              <w:sz w:val="22"/>
              <w:szCs w:val="24"/>
              <w:highlight w:val="none"/>
              <w14:ligatures w14:val="standardContextual"/>
            </w:rPr>
            <w:tab/>
          </w:r>
          <w:r>
            <w:rPr>
              <w:rStyle w:val="42"/>
              <w:rFonts w:hint="eastAsia"/>
              <w:color w:val="auto"/>
              <w:highlight w:val="none"/>
            </w:rPr>
            <w:t>物联感知应用接入</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_Toc180570843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90</w:t>
          </w:r>
          <w:r>
            <w:rPr>
              <w:rFonts w:hint="eastAsia"/>
              <w:color w:val="auto"/>
              <w:highlight w:val="none"/>
            </w:rPr>
            <w:fldChar w:fldCharType="end"/>
          </w:r>
          <w:r>
            <w:rPr>
              <w:rFonts w:hint="eastAsia"/>
              <w:color w:val="auto"/>
              <w:highlight w:val="none"/>
            </w:rPr>
            <w:fldChar w:fldCharType="end"/>
          </w:r>
        </w:p>
        <w:p>
          <w:pPr>
            <w:pStyle w:val="28"/>
            <w:tabs>
              <w:tab w:val="left" w:pos="960"/>
              <w:tab w:val="right" w:leader="dot" w:pos="8290"/>
            </w:tabs>
            <w:rPr>
              <w:rFonts w:cstheme="minorBidi"/>
              <w:smallCap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"_Toc180570844" </w:instrText>
          </w:r>
          <w:r>
            <w:rPr>
              <w:color w:val="auto"/>
              <w:highlight w:val="none"/>
            </w:rPr>
            <w:fldChar w:fldCharType="separate"/>
          </w:r>
          <w:r>
            <w:rPr>
              <w:rStyle w:val="42"/>
              <w:rFonts w:hint="eastAsia" w:ascii="Times New Roman" w:hAnsi="Times New Roman" w:cs="Times New Roman"/>
              <w:color w:val="auto"/>
              <w:highlight w:val="none"/>
            </w:rPr>
            <w:t>2.5</w:t>
          </w:r>
          <w:r>
            <w:rPr>
              <w:rFonts w:hint="eastAsia" w:cstheme="minorBidi"/>
              <w:smallCaps w:val="0"/>
              <w:color w:val="auto"/>
              <w:kern w:val="2"/>
              <w:sz w:val="22"/>
              <w:szCs w:val="24"/>
              <w:highlight w:val="none"/>
              <w14:ligatures w14:val="standardContextual"/>
            </w:rPr>
            <w:tab/>
          </w:r>
          <w:r>
            <w:rPr>
              <w:rStyle w:val="42"/>
              <w:rFonts w:hint="eastAsia"/>
              <w:color w:val="auto"/>
              <w:highlight w:val="none"/>
            </w:rPr>
            <w:t>局平台统一对接集成要求</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_Toc180570844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91</w:t>
          </w:r>
          <w:r>
            <w:rPr>
              <w:rFonts w:hint="eastAsia"/>
              <w:color w:val="auto"/>
              <w:highlight w:val="none"/>
            </w:rPr>
            <w:fldChar w:fldCharType="end"/>
          </w:r>
          <w:r>
            <w:rPr>
              <w:rFonts w:hint="eastAsia"/>
              <w:color w:val="auto"/>
              <w:highlight w:val="none"/>
            </w:rPr>
            <w:fldChar w:fldCharType="end"/>
          </w:r>
        </w:p>
        <w:p>
          <w:pPr>
            <w:pStyle w:val="25"/>
            <w:tabs>
              <w:tab w:val="left" w:pos="480"/>
              <w:tab w:val="right" w:leader="dot" w:pos="8290"/>
            </w:tabs>
            <w:rPr>
              <w:rFonts w:cstheme="minorBidi"/>
              <w:b w:val="0"/>
              <w:bCs w:val="0"/>
              <w:cap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"_Toc180570845" </w:instrText>
          </w:r>
          <w:r>
            <w:rPr>
              <w:color w:val="auto"/>
              <w:highlight w:val="none"/>
            </w:rPr>
            <w:fldChar w:fldCharType="separate"/>
          </w:r>
          <w:r>
            <w:rPr>
              <w:rStyle w:val="42"/>
              <w:rFonts w:hint="eastAsia" w:ascii="Times New Roman" w:hAnsi="Times New Roman"/>
              <w:color w:val="auto"/>
              <w:highlight w:val="none"/>
              <w:lang w:bidi="zh-CN"/>
              <w14:scene3d>
                <w14:lightRig w14:rig="threePt" w14:dir="t">
                  <w14:rot w14:lat="0" w14:lon="0" w14:rev="0"/>
                </w14:lightRig>
              </w14:scene3d>
            </w:rPr>
            <w:t>3</w:t>
          </w:r>
          <w:r>
            <w:rPr>
              <w:rFonts w:hint="eastAsia" w:cstheme="minorBidi"/>
              <w:b w:val="0"/>
              <w:bCs w:val="0"/>
              <w:caps w:val="0"/>
              <w:color w:val="auto"/>
              <w:kern w:val="2"/>
              <w:sz w:val="22"/>
              <w:szCs w:val="24"/>
              <w:highlight w:val="none"/>
              <w14:ligatures w14:val="standardContextual"/>
            </w:rPr>
            <w:tab/>
          </w:r>
          <w:r>
            <w:rPr>
              <w:rStyle w:val="42"/>
              <w:rFonts w:hint="eastAsia"/>
              <w:color w:val="auto"/>
              <w:highlight w:val="none"/>
            </w:rPr>
            <w:t>平台性能需求</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_Toc180570845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92</w:t>
          </w:r>
          <w:r>
            <w:rPr>
              <w:rFonts w:hint="eastAsia"/>
              <w:color w:val="auto"/>
              <w:highlight w:val="none"/>
            </w:rPr>
            <w:fldChar w:fldCharType="end"/>
          </w:r>
          <w:r>
            <w:rPr>
              <w:rFonts w:hint="eastAsia"/>
              <w:color w:val="auto"/>
              <w:highlight w:val="none"/>
            </w:rPr>
            <w:fldChar w:fldCharType="end"/>
          </w:r>
        </w:p>
        <w:p>
          <w:pPr>
            <w:pStyle w:val="28"/>
            <w:tabs>
              <w:tab w:val="left" w:pos="960"/>
              <w:tab w:val="right" w:leader="dot" w:pos="8290"/>
            </w:tabs>
            <w:rPr>
              <w:rFonts w:cstheme="minorBidi"/>
              <w:smallCap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"_Toc180570846" </w:instrText>
          </w:r>
          <w:r>
            <w:rPr>
              <w:color w:val="auto"/>
              <w:highlight w:val="none"/>
            </w:rPr>
            <w:fldChar w:fldCharType="separate"/>
          </w:r>
          <w:r>
            <w:rPr>
              <w:rStyle w:val="42"/>
              <w:rFonts w:hint="eastAsia" w:ascii="Times New Roman" w:hAnsi="Times New Roman" w:cs="Times New Roman"/>
              <w:color w:val="auto"/>
              <w:highlight w:val="none"/>
            </w:rPr>
            <w:t>3.1</w:t>
          </w:r>
          <w:r>
            <w:rPr>
              <w:rFonts w:hint="eastAsia" w:cstheme="minorBidi"/>
              <w:smallCaps w:val="0"/>
              <w:color w:val="auto"/>
              <w:kern w:val="2"/>
              <w:sz w:val="22"/>
              <w:szCs w:val="24"/>
              <w:highlight w:val="none"/>
              <w14:ligatures w14:val="standardContextual"/>
            </w:rPr>
            <w:tab/>
          </w:r>
          <w:r>
            <w:rPr>
              <w:rStyle w:val="42"/>
              <w:rFonts w:hint="eastAsia"/>
              <w:color w:val="auto"/>
              <w:highlight w:val="none"/>
            </w:rPr>
            <w:t>数据底座处理能性能需求</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_Toc180570846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92</w:t>
          </w:r>
          <w:r>
            <w:rPr>
              <w:rFonts w:hint="eastAsia"/>
              <w:color w:val="auto"/>
              <w:highlight w:val="none"/>
            </w:rPr>
            <w:fldChar w:fldCharType="end"/>
          </w:r>
          <w:r>
            <w:rPr>
              <w:rFonts w:hint="eastAsia"/>
              <w:color w:val="auto"/>
              <w:highlight w:val="none"/>
            </w:rPr>
            <w:fldChar w:fldCharType="end"/>
          </w:r>
        </w:p>
        <w:p>
          <w:pPr>
            <w:pStyle w:val="28"/>
            <w:tabs>
              <w:tab w:val="left" w:pos="960"/>
              <w:tab w:val="right" w:leader="dot" w:pos="8290"/>
            </w:tabs>
            <w:rPr>
              <w:rFonts w:cstheme="minorBidi"/>
              <w:smallCap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"_Toc180570847" </w:instrText>
          </w:r>
          <w:r>
            <w:rPr>
              <w:color w:val="auto"/>
              <w:highlight w:val="none"/>
            </w:rPr>
            <w:fldChar w:fldCharType="separate"/>
          </w:r>
          <w:r>
            <w:rPr>
              <w:rStyle w:val="42"/>
              <w:rFonts w:hint="eastAsia" w:ascii="Times New Roman" w:hAnsi="Times New Roman" w:cs="Times New Roman"/>
              <w:color w:val="auto"/>
              <w:highlight w:val="none"/>
            </w:rPr>
            <w:t>3.2</w:t>
          </w:r>
          <w:r>
            <w:rPr>
              <w:rFonts w:hint="eastAsia" w:cstheme="minorBidi"/>
              <w:smallCaps w:val="0"/>
              <w:color w:val="auto"/>
              <w:kern w:val="2"/>
              <w:sz w:val="22"/>
              <w:szCs w:val="24"/>
              <w:highlight w:val="none"/>
              <w14:ligatures w14:val="standardContextual"/>
            </w:rPr>
            <w:tab/>
          </w:r>
          <w:r>
            <w:rPr>
              <w:rStyle w:val="42"/>
              <w:rFonts w:hint="eastAsia"/>
              <w:color w:val="auto"/>
              <w:highlight w:val="none"/>
            </w:rPr>
            <w:t>物联感知数据实时性要求</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_Toc180570847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92</w:t>
          </w:r>
          <w:r>
            <w:rPr>
              <w:rFonts w:hint="eastAsia"/>
              <w:color w:val="auto"/>
              <w:highlight w:val="none"/>
            </w:rPr>
            <w:fldChar w:fldCharType="end"/>
          </w:r>
          <w:r>
            <w:rPr>
              <w:rFonts w:hint="eastAsia"/>
              <w:color w:val="auto"/>
              <w:highlight w:val="none"/>
            </w:rPr>
            <w:fldChar w:fldCharType="end"/>
          </w:r>
        </w:p>
        <w:p>
          <w:pPr>
            <w:pStyle w:val="28"/>
            <w:tabs>
              <w:tab w:val="left" w:pos="960"/>
              <w:tab w:val="right" w:leader="dot" w:pos="8290"/>
            </w:tabs>
            <w:rPr>
              <w:rFonts w:cstheme="minorBidi"/>
              <w:smallCap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"_Toc180570848" </w:instrText>
          </w:r>
          <w:r>
            <w:rPr>
              <w:color w:val="auto"/>
              <w:highlight w:val="none"/>
            </w:rPr>
            <w:fldChar w:fldCharType="separate"/>
          </w:r>
          <w:r>
            <w:rPr>
              <w:rStyle w:val="42"/>
              <w:rFonts w:hint="eastAsia" w:ascii="Times New Roman" w:hAnsi="Times New Roman" w:cs="Times New Roman"/>
              <w:color w:val="auto"/>
              <w:highlight w:val="none"/>
            </w:rPr>
            <w:t>3.3</w:t>
          </w:r>
          <w:r>
            <w:rPr>
              <w:rFonts w:hint="eastAsia" w:cstheme="minorBidi"/>
              <w:smallCaps w:val="0"/>
              <w:color w:val="auto"/>
              <w:kern w:val="2"/>
              <w:sz w:val="22"/>
              <w:szCs w:val="24"/>
              <w:highlight w:val="none"/>
              <w14:ligatures w14:val="standardContextual"/>
            </w:rPr>
            <w:tab/>
          </w:r>
          <w:r>
            <w:rPr>
              <w:rStyle w:val="42"/>
              <w:rFonts w:hint="eastAsia"/>
              <w:color w:val="auto"/>
              <w:highlight w:val="none"/>
            </w:rPr>
            <w:t>平台整体响应能力性能需求</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_Toc180570848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92</w:t>
          </w:r>
          <w:r>
            <w:rPr>
              <w:rFonts w:hint="eastAsia"/>
              <w:color w:val="auto"/>
              <w:highlight w:val="none"/>
            </w:rPr>
            <w:fldChar w:fldCharType="end"/>
          </w:r>
          <w:r>
            <w:rPr>
              <w:rFonts w:hint="eastAsia"/>
              <w:color w:val="auto"/>
              <w:highlight w:val="none"/>
            </w:rPr>
            <w:fldChar w:fldCharType="end"/>
          </w:r>
        </w:p>
        <w:p>
          <w:pPr>
            <w:pStyle w:val="25"/>
            <w:tabs>
              <w:tab w:val="left" w:pos="480"/>
              <w:tab w:val="right" w:leader="dot" w:pos="8290"/>
            </w:tabs>
            <w:rPr>
              <w:rFonts w:cstheme="minorBidi"/>
              <w:b w:val="0"/>
              <w:bCs w:val="0"/>
              <w:cap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"_Toc180570849" </w:instrText>
          </w:r>
          <w:r>
            <w:rPr>
              <w:color w:val="auto"/>
              <w:highlight w:val="none"/>
            </w:rPr>
            <w:fldChar w:fldCharType="separate"/>
          </w:r>
          <w:r>
            <w:rPr>
              <w:rStyle w:val="42"/>
              <w:rFonts w:hint="eastAsia" w:ascii="Times New Roman" w:hAnsi="Times New Roman"/>
              <w:color w:val="auto"/>
              <w:highlight w:val="none"/>
              <w:lang w:bidi="zh-CN"/>
              <w14:scene3d>
                <w14:lightRig w14:rig="threePt" w14:dir="t">
                  <w14:rot w14:lat="0" w14:lon="0" w14:rev="0"/>
                </w14:lightRig>
              </w14:scene3d>
            </w:rPr>
            <w:t>4</w:t>
          </w:r>
          <w:r>
            <w:rPr>
              <w:rFonts w:hint="eastAsia" w:cstheme="minorBidi"/>
              <w:b w:val="0"/>
              <w:bCs w:val="0"/>
              <w:caps w:val="0"/>
              <w:color w:val="auto"/>
              <w:kern w:val="2"/>
              <w:sz w:val="22"/>
              <w:szCs w:val="24"/>
              <w:highlight w:val="none"/>
              <w14:ligatures w14:val="standardContextual"/>
            </w:rPr>
            <w:tab/>
          </w:r>
          <w:r>
            <w:rPr>
              <w:rStyle w:val="42"/>
              <w:rFonts w:hint="eastAsia"/>
              <w:color w:val="auto"/>
              <w:highlight w:val="none"/>
            </w:rPr>
            <w:t>其他需求</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_Toc180570849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93</w:t>
          </w:r>
          <w:r>
            <w:rPr>
              <w:rFonts w:hint="eastAsia"/>
              <w:color w:val="auto"/>
              <w:highlight w:val="none"/>
            </w:rPr>
            <w:fldChar w:fldCharType="end"/>
          </w:r>
          <w:r>
            <w:rPr>
              <w:rFonts w:hint="eastAsia"/>
              <w:color w:val="auto"/>
              <w:highlight w:val="none"/>
            </w:rPr>
            <w:fldChar w:fldCharType="end"/>
          </w:r>
        </w:p>
        <w:p>
          <w:pPr>
            <w:pStyle w:val="28"/>
            <w:tabs>
              <w:tab w:val="left" w:pos="960"/>
              <w:tab w:val="right" w:leader="dot" w:pos="8290"/>
            </w:tabs>
            <w:rPr>
              <w:rFonts w:cstheme="minorBidi"/>
              <w:smallCap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"_Toc180570850" </w:instrText>
          </w:r>
          <w:r>
            <w:rPr>
              <w:color w:val="auto"/>
              <w:highlight w:val="none"/>
            </w:rPr>
            <w:fldChar w:fldCharType="separate"/>
          </w:r>
          <w:r>
            <w:rPr>
              <w:rStyle w:val="42"/>
              <w:rFonts w:hint="eastAsia" w:ascii="Times New Roman" w:hAnsi="Times New Roman" w:cs="Times New Roman"/>
              <w:color w:val="auto"/>
              <w:highlight w:val="none"/>
              <w:lang w:val="zh-CN"/>
            </w:rPr>
            <w:t>4.1</w:t>
          </w:r>
          <w:r>
            <w:rPr>
              <w:rFonts w:hint="eastAsia" w:cstheme="minorBidi"/>
              <w:smallCaps w:val="0"/>
              <w:color w:val="auto"/>
              <w:kern w:val="2"/>
              <w:sz w:val="22"/>
              <w:szCs w:val="24"/>
              <w:highlight w:val="none"/>
              <w14:ligatures w14:val="standardContextual"/>
            </w:rPr>
            <w:tab/>
          </w:r>
          <w:r>
            <w:rPr>
              <w:rStyle w:val="42"/>
              <w:rFonts w:hint="eastAsia"/>
              <w:color w:val="auto"/>
              <w:highlight w:val="none"/>
              <w:lang w:val="zh-CN"/>
            </w:rPr>
            <w:t>软件测试配合要求</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_Toc180570850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93</w:t>
          </w:r>
          <w:r>
            <w:rPr>
              <w:rFonts w:hint="eastAsia"/>
              <w:color w:val="auto"/>
              <w:highlight w:val="none"/>
            </w:rPr>
            <w:fldChar w:fldCharType="end"/>
          </w:r>
          <w:r>
            <w:rPr>
              <w:rFonts w:hint="eastAsia"/>
              <w:color w:val="auto"/>
              <w:highlight w:val="none"/>
            </w:rPr>
            <w:fldChar w:fldCharType="end"/>
          </w:r>
        </w:p>
        <w:p>
          <w:pPr>
            <w:pStyle w:val="28"/>
            <w:tabs>
              <w:tab w:val="left" w:pos="960"/>
              <w:tab w:val="right" w:leader="dot" w:pos="8290"/>
            </w:tabs>
            <w:rPr>
              <w:rFonts w:cstheme="minorBidi"/>
              <w:smallCap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"_Toc180570851" </w:instrText>
          </w:r>
          <w:r>
            <w:rPr>
              <w:color w:val="auto"/>
              <w:highlight w:val="none"/>
            </w:rPr>
            <w:fldChar w:fldCharType="separate"/>
          </w:r>
          <w:r>
            <w:rPr>
              <w:rStyle w:val="42"/>
              <w:rFonts w:hint="eastAsia" w:ascii="Times New Roman" w:hAnsi="Times New Roman" w:cs="Times New Roman"/>
              <w:color w:val="auto"/>
              <w:highlight w:val="none"/>
              <w:lang w:val="zh-CN"/>
            </w:rPr>
            <w:t>4.2</w:t>
          </w:r>
          <w:r>
            <w:rPr>
              <w:rFonts w:hint="eastAsia" w:cstheme="minorBidi"/>
              <w:smallCaps w:val="0"/>
              <w:color w:val="auto"/>
              <w:kern w:val="2"/>
              <w:sz w:val="22"/>
              <w:szCs w:val="24"/>
              <w:highlight w:val="none"/>
              <w14:ligatures w14:val="standardContextual"/>
            </w:rPr>
            <w:tab/>
          </w:r>
          <w:r>
            <w:rPr>
              <w:rStyle w:val="42"/>
              <w:rFonts w:hint="eastAsia"/>
              <w:color w:val="auto"/>
              <w:highlight w:val="none"/>
              <w:lang w:val="zh-CN"/>
            </w:rPr>
            <w:t>等保测试配合要求</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_Toc180570851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94</w:t>
          </w:r>
          <w:r>
            <w:rPr>
              <w:rFonts w:hint="eastAsia"/>
              <w:color w:val="auto"/>
              <w:highlight w:val="none"/>
            </w:rPr>
            <w:fldChar w:fldCharType="end"/>
          </w:r>
          <w:r>
            <w:rPr>
              <w:rFonts w:hint="eastAsia"/>
              <w:color w:val="auto"/>
              <w:highlight w:val="none"/>
            </w:rPr>
            <w:fldChar w:fldCharType="end"/>
          </w:r>
        </w:p>
        <w:p>
          <w:pPr>
            <w:pStyle w:val="28"/>
            <w:tabs>
              <w:tab w:val="left" w:pos="960"/>
              <w:tab w:val="right" w:leader="dot" w:pos="8290"/>
            </w:tabs>
            <w:rPr>
              <w:rFonts w:cstheme="minorBidi"/>
              <w:smallCap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"_Toc180570852" </w:instrText>
          </w:r>
          <w:r>
            <w:rPr>
              <w:color w:val="auto"/>
              <w:highlight w:val="none"/>
            </w:rPr>
            <w:fldChar w:fldCharType="separate"/>
          </w:r>
          <w:r>
            <w:rPr>
              <w:rStyle w:val="42"/>
              <w:rFonts w:hint="eastAsia" w:ascii="Times New Roman" w:hAnsi="Times New Roman" w:cs="Times New Roman"/>
              <w:color w:val="auto"/>
              <w:highlight w:val="none"/>
              <w:lang w:val="zh-CN"/>
            </w:rPr>
            <w:t>4.3</w:t>
          </w:r>
          <w:r>
            <w:rPr>
              <w:rFonts w:hint="eastAsia" w:cstheme="minorBidi"/>
              <w:smallCaps w:val="0"/>
              <w:color w:val="auto"/>
              <w:kern w:val="2"/>
              <w:sz w:val="22"/>
              <w:szCs w:val="24"/>
              <w:highlight w:val="none"/>
              <w14:ligatures w14:val="standardContextual"/>
            </w:rPr>
            <w:tab/>
          </w:r>
          <w:r>
            <w:rPr>
              <w:rStyle w:val="42"/>
              <w:rFonts w:hint="eastAsia"/>
              <w:color w:val="auto"/>
              <w:highlight w:val="none"/>
              <w:lang w:val="zh-CN"/>
            </w:rPr>
            <w:t>商用密码应用安全性评估配合要求</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_Toc180570852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94</w:t>
          </w:r>
          <w:r>
            <w:rPr>
              <w:rFonts w:hint="eastAsia"/>
              <w:color w:val="auto"/>
              <w:highlight w:val="none"/>
            </w:rPr>
            <w:fldChar w:fldCharType="end"/>
          </w:r>
          <w:r>
            <w:rPr>
              <w:rFonts w:hint="eastAsia"/>
              <w:color w:val="auto"/>
              <w:highlight w:val="none"/>
            </w:rPr>
            <w:fldChar w:fldCharType="end"/>
          </w:r>
        </w:p>
        <w:p>
          <w:pPr>
            <w:pStyle w:val="28"/>
            <w:tabs>
              <w:tab w:val="left" w:pos="960"/>
              <w:tab w:val="right" w:leader="dot" w:pos="8290"/>
            </w:tabs>
            <w:rPr>
              <w:rFonts w:cstheme="minorBidi"/>
              <w:smallCap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"_Toc180570853" </w:instrText>
          </w:r>
          <w:r>
            <w:rPr>
              <w:color w:val="auto"/>
              <w:highlight w:val="none"/>
            </w:rPr>
            <w:fldChar w:fldCharType="separate"/>
          </w:r>
          <w:r>
            <w:rPr>
              <w:rStyle w:val="42"/>
              <w:rFonts w:hint="eastAsia" w:ascii="Times New Roman" w:hAnsi="Times New Roman" w:cs="Times New Roman"/>
              <w:color w:val="auto"/>
              <w:highlight w:val="none"/>
              <w:lang w:val="zh-CN"/>
            </w:rPr>
            <w:t>4.4</w:t>
          </w:r>
          <w:r>
            <w:rPr>
              <w:rFonts w:hint="eastAsia" w:cstheme="minorBidi"/>
              <w:smallCaps w:val="0"/>
              <w:color w:val="auto"/>
              <w:kern w:val="2"/>
              <w:sz w:val="22"/>
              <w:szCs w:val="24"/>
              <w:highlight w:val="none"/>
              <w14:ligatures w14:val="standardContextual"/>
            </w:rPr>
            <w:tab/>
          </w:r>
          <w:r>
            <w:rPr>
              <w:rStyle w:val="42"/>
              <w:rFonts w:hint="eastAsia"/>
              <w:color w:val="auto"/>
              <w:highlight w:val="none"/>
              <w:lang w:val="zh-CN"/>
            </w:rPr>
            <w:t>信创技术应用要求</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_Toc180570853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94</w:t>
          </w:r>
          <w:r>
            <w:rPr>
              <w:rFonts w:hint="eastAsia"/>
              <w:color w:val="auto"/>
              <w:highlight w:val="none"/>
            </w:rPr>
            <w:fldChar w:fldCharType="end"/>
          </w:r>
          <w:r>
            <w:rPr>
              <w:rFonts w:hint="eastAsia"/>
              <w:color w:val="auto"/>
              <w:highlight w:val="none"/>
            </w:rPr>
            <w:fldChar w:fldCharType="end"/>
          </w:r>
        </w:p>
        <w:p>
          <w:pPr>
            <w:pStyle w:val="28"/>
            <w:tabs>
              <w:tab w:val="left" w:pos="960"/>
              <w:tab w:val="right" w:leader="dot" w:pos="8290"/>
            </w:tabs>
            <w:rPr>
              <w:rFonts w:cstheme="minorBidi"/>
              <w:smallCap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"_Toc180570854" </w:instrText>
          </w:r>
          <w:r>
            <w:rPr>
              <w:color w:val="auto"/>
              <w:highlight w:val="none"/>
            </w:rPr>
            <w:fldChar w:fldCharType="separate"/>
          </w:r>
          <w:r>
            <w:rPr>
              <w:rStyle w:val="42"/>
              <w:rFonts w:hint="eastAsia" w:ascii="Times New Roman" w:hAnsi="Times New Roman" w:cs="Times New Roman"/>
              <w:color w:val="auto"/>
              <w:highlight w:val="none"/>
            </w:rPr>
            <w:t>4.5</w:t>
          </w:r>
          <w:r>
            <w:rPr>
              <w:rFonts w:hint="eastAsia" w:cstheme="minorBidi"/>
              <w:smallCaps w:val="0"/>
              <w:color w:val="auto"/>
              <w:kern w:val="2"/>
              <w:sz w:val="22"/>
              <w:szCs w:val="24"/>
              <w:highlight w:val="none"/>
              <w14:ligatures w14:val="standardContextual"/>
            </w:rPr>
            <w:tab/>
          </w:r>
          <w:r>
            <w:rPr>
              <w:rStyle w:val="42"/>
              <w:rFonts w:hint="eastAsia"/>
              <w:color w:val="auto"/>
              <w:highlight w:val="none"/>
            </w:rPr>
            <w:t>安全管理要求</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_Toc180570854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95</w:t>
          </w:r>
          <w:r>
            <w:rPr>
              <w:rFonts w:hint="eastAsia"/>
              <w:color w:val="auto"/>
              <w:highlight w:val="none"/>
            </w:rPr>
            <w:fldChar w:fldCharType="end"/>
          </w:r>
          <w:r>
            <w:rPr>
              <w:rFonts w:hint="eastAsia"/>
              <w:color w:val="auto"/>
              <w:highlight w:val="none"/>
            </w:rPr>
            <w:fldChar w:fldCharType="end"/>
          </w:r>
        </w:p>
        <w:p>
          <w:pPr>
            <w:pStyle w:val="28"/>
            <w:tabs>
              <w:tab w:val="left" w:pos="960"/>
              <w:tab w:val="right" w:leader="dot" w:pos="8290"/>
            </w:tabs>
            <w:rPr>
              <w:rFonts w:cstheme="minorBidi"/>
              <w:smallCap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"_Toc180570855" </w:instrText>
          </w:r>
          <w:r>
            <w:rPr>
              <w:color w:val="auto"/>
              <w:highlight w:val="none"/>
            </w:rPr>
            <w:fldChar w:fldCharType="separate"/>
          </w:r>
          <w:r>
            <w:rPr>
              <w:rStyle w:val="42"/>
              <w:rFonts w:hint="eastAsia" w:ascii="Times New Roman" w:hAnsi="Times New Roman" w:cs="Times New Roman"/>
              <w:color w:val="auto"/>
              <w:highlight w:val="none"/>
            </w:rPr>
            <w:t>4.6</w:t>
          </w:r>
          <w:r>
            <w:rPr>
              <w:rFonts w:hint="eastAsia" w:cstheme="minorBidi"/>
              <w:smallCaps w:val="0"/>
              <w:color w:val="auto"/>
              <w:kern w:val="2"/>
              <w:sz w:val="22"/>
              <w:szCs w:val="24"/>
              <w:highlight w:val="none"/>
              <w14:ligatures w14:val="standardContextual"/>
            </w:rPr>
            <w:tab/>
          </w:r>
          <w:r>
            <w:rPr>
              <w:rStyle w:val="42"/>
              <w:rFonts w:hint="eastAsia"/>
              <w:color w:val="auto"/>
              <w:highlight w:val="none"/>
            </w:rPr>
            <w:t>项目资源申请要求</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_Toc180570855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95</w:t>
          </w:r>
          <w:r>
            <w:rPr>
              <w:rFonts w:hint="eastAsia"/>
              <w:color w:val="auto"/>
              <w:highlight w:val="none"/>
            </w:rPr>
            <w:fldChar w:fldCharType="end"/>
          </w:r>
          <w:r>
            <w:rPr>
              <w:rFonts w:hint="eastAsia"/>
              <w:color w:val="auto"/>
              <w:highlight w:val="none"/>
            </w:rPr>
            <w:fldChar w:fldCharType="end"/>
          </w:r>
        </w:p>
        <w:p>
          <w:pPr>
            <w:pStyle w:val="28"/>
            <w:tabs>
              <w:tab w:val="left" w:pos="960"/>
              <w:tab w:val="right" w:leader="dot" w:pos="8290"/>
            </w:tabs>
            <w:rPr>
              <w:rFonts w:cstheme="minorBidi"/>
              <w:smallCap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"_Toc180570856" </w:instrText>
          </w:r>
          <w:r>
            <w:rPr>
              <w:color w:val="auto"/>
              <w:highlight w:val="none"/>
            </w:rPr>
            <w:fldChar w:fldCharType="separate"/>
          </w:r>
          <w:r>
            <w:rPr>
              <w:rStyle w:val="42"/>
              <w:rFonts w:hint="eastAsia" w:ascii="Times New Roman" w:hAnsi="Times New Roman" w:cs="Times New Roman"/>
              <w:color w:val="auto"/>
              <w:highlight w:val="none"/>
            </w:rPr>
            <w:t>4.7</w:t>
          </w:r>
          <w:r>
            <w:rPr>
              <w:rFonts w:hint="eastAsia" w:cstheme="minorBidi"/>
              <w:smallCaps w:val="0"/>
              <w:color w:val="auto"/>
              <w:kern w:val="2"/>
              <w:sz w:val="22"/>
              <w:szCs w:val="24"/>
              <w:highlight w:val="none"/>
              <w14:ligatures w14:val="standardContextual"/>
            </w:rPr>
            <w:tab/>
          </w:r>
          <w:r>
            <w:rPr>
              <w:rStyle w:val="42"/>
              <w:rFonts w:hint="eastAsia"/>
              <w:color w:val="auto"/>
              <w:highlight w:val="none"/>
            </w:rPr>
            <w:t>非功能交付需求</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_Toc180570856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96</w:t>
          </w:r>
          <w:r>
            <w:rPr>
              <w:rFonts w:hint="eastAsia"/>
              <w:color w:val="auto"/>
              <w:highlight w:val="none"/>
            </w:rPr>
            <w:fldChar w:fldCharType="end"/>
          </w:r>
          <w:r>
            <w:rPr>
              <w:rFonts w:hint="eastAsia"/>
              <w:color w:val="auto"/>
              <w:highlight w:val="none"/>
            </w:rPr>
            <w:fldChar w:fldCharType="end"/>
          </w:r>
        </w:p>
        <w:p>
          <w:pPr>
            <w:pStyle w:val="25"/>
            <w:tabs>
              <w:tab w:val="left" w:pos="480"/>
              <w:tab w:val="right" w:leader="dot" w:pos="8290"/>
            </w:tabs>
            <w:rPr>
              <w:rFonts w:cstheme="minorBidi"/>
              <w:b w:val="0"/>
              <w:bCs w:val="0"/>
              <w:cap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"_Toc180570857" </w:instrText>
          </w:r>
          <w:r>
            <w:rPr>
              <w:color w:val="auto"/>
              <w:highlight w:val="none"/>
            </w:rPr>
            <w:fldChar w:fldCharType="separate"/>
          </w:r>
          <w:r>
            <w:rPr>
              <w:rStyle w:val="42"/>
              <w:rFonts w:hint="eastAsia" w:ascii="Times New Roman" w:hAnsi="Times New Roman"/>
              <w:color w:val="auto"/>
              <w:highlight w:val="none"/>
              <w:lang w:bidi="zh-CN"/>
              <w14:scene3d>
                <w14:lightRig w14:rig="threePt" w14:dir="t">
                  <w14:rot w14:lat="0" w14:lon="0" w14:rev="0"/>
                </w14:lightRig>
              </w14:scene3d>
            </w:rPr>
            <w:t>5</w:t>
          </w:r>
          <w:r>
            <w:rPr>
              <w:rFonts w:hint="eastAsia" w:cstheme="minorBidi"/>
              <w:b w:val="0"/>
              <w:bCs w:val="0"/>
              <w:caps w:val="0"/>
              <w:color w:val="auto"/>
              <w:kern w:val="2"/>
              <w:sz w:val="22"/>
              <w:szCs w:val="24"/>
              <w:highlight w:val="none"/>
              <w14:ligatures w14:val="standardContextual"/>
            </w:rPr>
            <w:tab/>
          </w:r>
          <w:r>
            <w:rPr>
              <w:rStyle w:val="42"/>
              <w:rFonts w:hint="eastAsia"/>
              <w:color w:val="auto"/>
              <w:highlight w:val="none"/>
            </w:rPr>
            <w:t>项目管理需求</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_Toc180570857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96</w:t>
          </w:r>
          <w:r>
            <w:rPr>
              <w:rFonts w:hint="eastAsia"/>
              <w:color w:val="auto"/>
              <w:highlight w:val="none"/>
            </w:rPr>
            <w:fldChar w:fldCharType="end"/>
          </w:r>
          <w:r>
            <w:rPr>
              <w:rFonts w:hint="eastAsia"/>
              <w:color w:val="auto"/>
              <w:highlight w:val="none"/>
            </w:rPr>
            <w:fldChar w:fldCharType="end"/>
          </w:r>
        </w:p>
        <w:p>
          <w:pPr>
            <w:pStyle w:val="28"/>
            <w:tabs>
              <w:tab w:val="left" w:pos="960"/>
              <w:tab w:val="right" w:leader="dot" w:pos="8290"/>
            </w:tabs>
            <w:rPr>
              <w:rFonts w:cstheme="minorBidi"/>
              <w:smallCap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"_Toc180570858" </w:instrText>
          </w:r>
          <w:r>
            <w:rPr>
              <w:color w:val="auto"/>
              <w:highlight w:val="none"/>
            </w:rPr>
            <w:fldChar w:fldCharType="separate"/>
          </w:r>
          <w:r>
            <w:rPr>
              <w:rStyle w:val="42"/>
              <w:rFonts w:hint="eastAsia" w:ascii="Times New Roman" w:hAnsi="Times New Roman" w:cs="Times New Roman"/>
              <w:color w:val="auto"/>
              <w:highlight w:val="none"/>
            </w:rPr>
            <w:t>5.1</w:t>
          </w:r>
          <w:r>
            <w:rPr>
              <w:rFonts w:hint="eastAsia" w:cstheme="minorBidi"/>
              <w:smallCaps w:val="0"/>
              <w:color w:val="auto"/>
              <w:kern w:val="2"/>
              <w:sz w:val="22"/>
              <w:szCs w:val="24"/>
              <w:highlight w:val="none"/>
              <w14:ligatures w14:val="standardContextual"/>
            </w:rPr>
            <w:tab/>
          </w:r>
          <w:r>
            <w:rPr>
              <w:rStyle w:val="42"/>
              <w:rFonts w:hint="eastAsia"/>
              <w:color w:val="auto"/>
              <w:highlight w:val="none"/>
            </w:rPr>
            <w:t>项目实施要求</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_Toc180570858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96</w:t>
          </w:r>
          <w:r>
            <w:rPr>
              <w:rFonts w:hint="eastAsia"/>
              <w:color w:val="auto"/>
              <w:highlight w:val="none"/>
            </w:rPr>
            <w:fldChar w:fldCharType="end"/>
          </w:r>
          <w:r>
            <w:rPr>
              <w:rFonts w:hint="eastAsia"/>
              <w:color w:val="auto"/>
              <w:highlight w:val="none"/>
            </w:rPr>
            <w:fldChar w:fldCharType="end"/>
          </w:r>
        </w:p>
        <w:p>
          <w:pPr>
            <w:pStyle w:val="28"/>
            <w:tabs>
              <w:tab w:val="left" w:pos="960"/>
              <w:tab w:val="right" w:leader="dot" w:pos="8290"/>
            </w:tabs>
            <w:rPr>
              <w:rFonts w:cstheme="minorBidi"/>
              <w:smallCap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"_Toc180570859" </w:instrText>
          </w:r>
          <w:r>
            <w:rPr>
              <w:color w:val="auto"/>
              <w:highlight w:val="none"/>
            </w:rPr>
            <w:fldChar w:fldCharType="separate"/>
          </w:r>
          <w:r>
            <w:rPr>
              <w:rStyle w:val="42"/>
              <w:rFonts w:hint="eastAsia" w:ascii="Times New Roman" w:hAnsi="Times New Roman" w:cs="Times New Roman"/>
              <w:color w:val="auto"/>
              <w:highlight w:val="none"/>
            </w:rPr>
            <w:t>5.2</w:t>
          </w:r>
          <w:r>
            <w:rPr>
              <w:rFonts w:hint="eastAsia" w:cstheme="minorBidi"/>
              <w:smallCaps w:val="0"/>
              <w:color w:val="auto"/>
              <w:kern w:val="2"/>
              <w:sz w:val="22"/>
              <w:szCs w:val="24"/>
              <w:highlight w:val="none"/>
              <w14:ligatures w14:val="standardContextual"/>
            </w:rPr>
            <w:tab/>
          </w:r>
          <w:r>
            <w:rPr>
              <w:rStyle w:val="42"/>
              <w:rFonts w:hint="eastAsia"/>
              <w:color w:val="auto"/>
              <w:highlight w:val="none"/>
            </w:rPr>
            <w:t>项目人员要求</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_Toc180570859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97</w:t>
          </w:r>
          <w:r>
            <w:rPr>
              <w:rFonts w:hint="eastAsia"/>
              <w:color w:val="auto"/>
              <w:highlight w:val="none"/>
            </w:rPr>
            <w:fldChar w:fldCharType="end"/>
          </w:r>
          <w:r>
            <w:rPr>
              <w:rFonts w:hint="eastAsia"/>
              <w:color w:val="auto"/>
              <w:highlight w:val="none"/>
            </w:rPr>
            <w:fldChar w:fldCharType="end"/>
          </w:r>
        </w:p>
        <w:p>
          <w:pPr>
            <w:pStyle w:val="28"/>
            <w:tabs>
              <w:tab w:val="left" w:pos="960"/>
              <w:tab w:val="right" w:leader="dot" w:pos="8290"/>
            </w:tabs>
            <w:rPr>
              <w:rFonts w:cstheme="minorBidi"/>
              <w:smallCap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"_Toc180570860" </w:instrText>
          </w:r>
          <w:r>
            <w:rPr>
              <w:color w:val="auto"/>
              <w:highlight w:val="none"/>
            </w:rPr>
            <w:fldChar w:fldCharType="separate"/>
          </w:r>
          <w:r>
            <w:rPr>
              <w:rStyle w:val="42"/>
              <w:rFonts w:hint="eastAsia" w:ascii="Times New Roman" w:hAnsi="Times New Roman" w:cs="Times New Roman"/>
              <w:color w:val="auto"/>
              <w:highlight w:val="none"/>
            </w:rPr>
            <w:t>5.3</w:t>
          </w:r>
          <w:r>
            <w:rPr>
              <w:rFonts w:hint="eastAsia" w:cstheme="minorBidi"/>
              <w:smallCaps w:val="0"/>
              <w:color w:val="auto"/>
              <w:kern w:val="2"/>
              <w:sz w:val="22"/>
              <w:szCs w:val="24"/>
              <w:highlight w:val="none"/>
              <w14:ligatures w14:val="standardContextual"/>
            </w:rPr>
            <w:tab/>
          </w:r>
          <w:r>
            <w:rPr>
              <w:rStyle w:val="42"/>
              <w:rFonts w:hint="eastAsia"/>
              <w:color w:val="auto"/>
              <w:highlight w:val="none"/>
            </w:rPr>
            <w:t>安装和调试</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_Toc180570860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97</w:t>
          </w:r>
          <w:r>
            <w:rPr>
              <w:rFonts w:hint="eastAsia"/>
              <w:color w:val="auto"/>
              <w:highlight w:val="none"/>
            </w:rPr>
            <w:fldChar w:fldCharType="end"/>
          </w:r>
          <w:r>
            <w:rPr>
              <w:rFonts w:hint="eastAsia"/>
              <w:color w:val="auto"/>
              <w:highlight w:val="none"/>
            </w:rPr>
            <w:fldChar w:fldCharType="end"/>
          </w:r>
        </w:p>
        <w:p>
          <w:pPr>
            <w:pStyle w:val="28"/>
            <w:tabs>
              <w:tab w:val="left" w:pos="960"/>
              <w:tab w:val="right" w:leader="dot" w:pos="8290"/>
            </w:tabs>
            <w:rPr>
              <w:rFonts w:cstheme="minorBidi"/>
              <w:smallCap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"_Toc180570861" </w:instrText>
          </w:r>
          <w:r>
            <w:rPr>
              <w:color w:val="auto"/>
              <w:highlight w:val="none"/>
            </w:rPr>
            <w:fldChar w:fldCharType="separate"/>
          </w:r>
          <w:r>
            <w:rPr>
              <w:rStyle w:val="42"/>
              <w:rFonts w:hint="eastAsia" w:ascii="Times New Roman" w:hAnsi="Times New Roman" w:cs="Times New Roman"/>
              <w:color w:val="auto"/>
              <w:highlight w:val="none"/>
            </w:rPr>
            <w:t>5.4</w:t>
          </w:r>
          <w:r>
            <w:rPr>
              <w:rFonts w:hint="eastAsia" w:cstheme="minorBidi"/>
              <w:smallCaps w:val="0"/>
              <w:color w:val="auto"/>
              <w:kern w:val="2"/>
              <w:sz w:val="22"/>
              <w:szCs w:val="24"/>
              <w:highlight w:val="none"/>
              <w14:ligatures w14:val="standardContextual"/>
            </w:rPr>
            <w:tab/>
          </w:r>
          <w:r>
            <w:rPr>
              <w:rStyle w:val="42"/>
              <w:rFonts w:hint="eastAsia"/>
              <w:color w:val="auto"/>
              <w:highlight w:val="none"/>
            </w:rPr>
            <w:t>项目验收</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_Toc180570861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98</w:t>
          </w:r>
          <w:r>
            <w:rPr>
              <w:rFonts w:hint="eastAsia"/>
              <w:color w:val="auto"/>
              <w:highlight w:val="none"/>
            </w:rPr>
            <w:fldChar w:fldCharType="end"/>
          </w:r>
          <w:r>
            <w:rPr>
              <w:rFonts w:hint="eastAsia"/>
              <w:color w:val="auto"/>
              <w:highlight w:val="none"/>
            </w:rPr>
            <w:fldChar w:fldCharType="end"/>
          </w:r>
        </w:p>
        <w:p>
          <w:pPr>
            <w:pStyle w:val="28"/>
            <w:tabs>
              <w:tab w:val="left" w:pos="960"/>
              <w:tab w:val="right" w:leader="dot" w:pos="8290"/>
            </w:tabs>
            <w:rPr>
              <w:rFonts w:cstheme="minorBidi"/>
              <w:smallCap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"_Toc180570862" </w:instrText>
          </w:r>
          <w:r>
            <w:rPr>
              <w:color w:val="auto"/>
              <w:highlight w:val="none"/>
            </w:rPr>
            <w:fldChar w:fldCharType="separate"/>
          </w:r>
          <w:r>
            <w:rPr>
              <w:rStyle w:val="42"/>
              <w:rFonts w:hint="eastAsia" w:ascii="Times New Roman" w:hAnsi="Times New Roman" w:cs="Times New Roman"/>
              <w:color w:val="auto"/>
              <w:highlight w:val="none"/>
            </w:rPr>
            <w:t>5.5</w:t>
          </w:r>
          <w:r>
            <w:rPr>
              <w:rFonts w:hint="eastAsia" w:cstheme="minorBidi"/>
              <w:smallCaps w:val="0"/>
              <w:color w:val="auto"/>
              <w:kern w:val="2"/>
              <w:sz w:val="22"/>
              <w:szCs w:val="24"/>
              <w:highlight w:val="none"/>
              <w14:ligatures w14:val="standardContextual"/>
            </w:rPr>
            <w:tab/>
          </w:r>
          <w:r>
            <w:rPr>
              <w:rStyle w:val="42"/>
              <w:rFonts w:hint="eastAsia"/>
              <w:color w:val="auto"/>
              <w:highlight w:val="none"/>
            </w:rPr>
            <w:t>售后服务要求</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_Toc180570862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99</w:t>
          </w:r>
          <w:r>
            <w:rPr>
              <w:rFonts w:hint="eastAsia"/>
              <w:color w:val="auto"/>
              <w:highlight w:val="none"/>
            </w:rPr>
            <w:fldChar w:fldCharType="end"/>
          </w:r>
          <w:r>
            <w:rPr>
              <w:rFonts w:hint="eastAsia"/>
              <w:color w:val="auto"/>
              <w:highlight w:val="none"/>
            </w:rPr>
            <w:fldChar w:fldCharType="end"/>
          </w:r>
        </w:p>
        <w:p>
          <w:pPr>
            <w:pStyle w:val="28"/>
            <w:tabs>
              <w:tab w:val="left" w:pos="960"/>
              <w:tab w:val="right" w:leader="dot" w:pos="8290"/>
            </w:tabs>
            <w:rPr>
              <w:rFonts w:cstheme="minorBidi"/>
              <w:smallCap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"_Toc180570863" </w:instrText>
          </w:r>
          <w:r>
            <w:rPr>
              <w:color w:val="auto"/>
              <w:highlight w:val="none"/>
            </w:rPr>
            <w:fldChar w:fldCharType="separate"/>
          </w:r>
          <w:r>
            <w:rPr>
              <w:rStyle w:val="42"/>
              <w:rFonts w:hint="eastAsia" w:ascii="Times New Roman" w:hAnsi="Times New Roman" w:cs="Times New Roman"/>
              <w:color w:val="auto"/>
              <w:highlight w:val="none"/>
            </w:rPr>
            <w:t>5.6</w:t>
          </w:r>
          <w:r>
            <w:rPr>
              <w:rFonts w:hint="eastAsia" w:cstheme="minorBidi"/>
              <w:smallCaps w:val="0"/>
              <w:color w:val="auto"/>
              <w:kern w:val="2"/>
              <w:sz w:val="22"/>
              <w:szCs w:val="24"/>
              <w:highlight w:val="none"/>
              <w14:ligatures w14:val="standardContextual"/>
            </w:rPr>
            <w:tab/>
          </w:r>
          <w:r>
            <w:rPr>
              <w:rStyle w:val="42"/>
              <w:rFonts w:hint="eastAsia"/>
              <w:color w:val="auto"/>
              <w:highlight w:val="none"/>
            </w:rPr>
            <w:t>项目培训要求</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_Toc180570863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100</w:t>
          </w:r>
          <w:r>
            <w:rPr>
              <w:rFonts w:hint="eastAsia"/>
              <w:color w:val="auto"/>
              <w:highlight w:val="none"/>
            </w:rPr>
            <w:fldChar w:fldCharType="end"/>
          </w:r>
          <w:r>
            <w:rPr>
              <w:rFonts w:hint="eastAsia"/>
              <w:color w:val="auto"/>
              <w:highlight w:val="none"/>
            </w:rPr>
            <w:fldChar w:fldCharType="end"/>
          </w:r>
        </w:p>
        <w:p>
          <w:pPr>
            <w:pStyle w:val="28"/>
            <w:tabs>
              <w:tab w:val="left" w:pos="960"/>
              <w:tab w:val="right" w:leader="dot" w:pos="8290"/>
            </w:tabs>
            <w:rPr>
              <w:rFonts w:cstheme="minorBidi"/>
              <w:smallCaps w:val="0"/>
              <w:color w:val="auto"/>
              <w:kern w:val="2"/>
              <w:sz w:val="22"/>
              <w:szCs w:val="24"/>
              <w:highlight w:val="none"/>
              <w14:ligatures w14:val="standardContextual"/>
            </w:rPr>
          </w:pPr>
          <w:r>
            <w:rPr>
              <w:color w:val="auto"/>
              <w:highlight w:val="none"/>
            </w:rPr>
            <w:fldChar w:fldCharType="begin"/>
          </w:r>
          <w:r>
            <w:rPr>
              <w:color w:val="auto"/>
              <w:highlight w:val="none"/>
            </w:rPr>
            <w:instrText xml:space="preserve"> HYPERLINK \l "_Toc180570864" </w:instrText>
          </w:r>
          <w:r>
            <w:rPr>
              <w:color w:val="auto"/>
              <w:highlight w:val="none"/>
            </w:rPr>
            <w:fldChar w:fldCharType="separate"/>
          </w:r>
          <w:r>
            <w:rPr>
              <w:rStyle w:val="42"/>
              <w:rFonts w:hint="eastAsia" w:ascii="Times New Roman" w:hAnsi="Times New Roman" w:cs="Times New Roman"/>
              <w:color w:val="auto"/>
              <w:highlight w:val="none"/>
            </w:rPr>
            <w:t>5.7</w:t>
          </w:r>
          <w:r>
            <w:rPr>
              <w:rFonts w:hint="eastAsia" w:cstheme="minorBidi"/>
              <w:smallCaps w:val="0"/>
              <w:color w:val="auto"/>
              <w:kern w:val="2"/>
              <w:sz w:val="22"/>
              <w:szCs w:val="24"/>
              <w:highlight w:val="none"/>
              <w14:ligatures w14:val="standardContextual"/>
            </w:rPr>
            <w:tab/>
          </w:r>
          <w:r>
            <w:rPr>
              <w:rStyle w:val="42"/>
              <w:rFonts w:hint="eastAsia"/>
              <w:color w:val="auto"/>
              <w:highlight w:val="none"/>
            </w:rPr>
            <w:t>项目保密管理要求</w:t>
          </w:r>
          <w:r>
            <w:rPr>
              <w:rFonts w:hint="eastAsia"/>
              <w:color w:val="auto"/>
              <w:highlight w:val="none"/>
            </w:rPr>
            <w:tab/>
          </w:r>
          <w:r>
            <w:rPr>
              <w:rFonts w:hint="eastAsia"/>
              <w:color w:val="auto"/>
              <w:highlight w:val="none"/>
            </w:rPr>
            <w:fldChar w:fldCharType="begin"/>
          </w:r>
          <w:r>
            <w:rPr>
              <w:rFonts w:hint="eastAsia"/>
              <w:color w:val="auto"/>
              <w:highlight w:val="none"/>
            </w:rPr>
            <w:instrText xml:space="preserve"> </w:instrText>
          </w:r>
          <w:r>
            <w:rPr>
              <w:color w:val="auto"/>
              <w:highlight w:val="none"/>
            </w:rPr>
            <w:instrText xml:space="preserve">PAGEREF _Toc180570864 \h</w:instrText>
          </w:r>
          <w:r>
            <w:rPr>
              <w:rFonts w:hint="eastAsia"/>
              <w:color w:val="auto"/>
              <w:highlight w:val="none"/>
            </w:rPr>
            <w:instrText xml:space="preserve"> </w:instrText>
          </w:r>
          <w:r>
            <w:rPr>
              <w:rFonts w:hint="eastAsia"/>
              <w:color w:val="auto"/>
              <w:highlight w:val="none"/>
            </w:rPr>
            <w:fldChar w:fldCharType="separate"/>
          </w:r>
          <w:r>
            <w:rPr>
              <w:color w:val="auto"/>
              <w:highlight w:val="none"/>
            </w:rPr>
            <w:t>100</w:t>
          </w:r>
          <w:r>
            <w:rPr>
              <w:rFonts w:hint="eastAsia"/>
              <w:color w:val="auto"/>
              <w:highlight w:val="none"/>
            </w:rPr>
            <w:fldChar w:fldCharType="end"/>
          </w:r>
          <w:r>
            <w:rPr>
              <w:rFonts w:hint="eastAsia"/>
              <w:color w:val="auto"/>
              <w:highlight w:val="none"/>
            </w:rPr>
            <w:fldChar w:fldCharType="end"/>
          </w:r>
        </w:p>
        <w:p>
          <w:pPr>
            <w:rPr>
              <w:color w:val="auto"/>
              <w:highlight w:val="none"/>
            </w:rPr>
          </w:pPr>
          <w:r>
            <w:rPr>
              <w:b/>
              <w:bCs/>
              <w:color w:val="auto"/>
              <w:highlight w:val="none"/>
              <w:lang w:val="zh-CN"/>
            </w:rPr>
            <w:fldChar w:fldCharType="end"/>
          </w:r>
        </w:p>
      </w:sdtContent>
    </w:sdt>
    <w:p>
      <w:pPr>
        <w:rPr>
          <w:color w:val="auto"/>
          <w:highlight w:val="none"/>
        </w:rPr>
      </w:pPr>
    </w:p>
    <w:p>
      <w:pPr>
        <w:rPr>
          <w:color w:val="auto"/>
          <w:highlight w:val="none"/>
        </w:rPr>
        <w:sectPr>
          <w:footerReference r:id="rId3" w:type="default"/>
          <w:pgSz w:w="11900" w:h="16840"/>
          <w:pgMar w:top="1440" w:right="1800" w:bottom="1440" w:left="1800" w:header="851" w:footer="992" w:gutter="0"/>
          <w:pgNumType w:fmt="lowerRoman" w:start="1"/>
          <w:cols w:space="425" w:num="1"/>
          <w:docGrid w:type="lines" w:linePitch="312" w:charSpace="0"/>
        </w:sectPr>
      </w:pPr>
    </w:p>
    <w:p>
      <w:pPr>
        <w:pStyle w:val="2"/>
        <w:rPr>
          <w:color w:val="auto"/>
          <w:highlight w:val="none"/>
        </w:rPr>
      </w:pPr>
      <w:bookmarkStart w:id="1" w:name="_Toc180570810"/>
      <w:r>
        <w:rPr>
          <w:rFonts w:hint="eastAsia"/>
          <w:color w:val="auto"/>
          <w:highlight w:val="none"/>
        </w:rPr>
        <w:t>建设基本要求</w:t>
      </w:r>
      <w:bookmarkEnd w:id="1"/>
    </w:p>
    <w:p>
      <w:pPr>
        <w:pStyle w:val="4"/>
        <w:rPr>
          <w:color w:val="auto"/>
          <w:highlight w:val="none"/>
          <w:lang w:val="zh-CN"/>
        </w:rPr>
      </w:pPr>
      <w:bookmarkStart w:id="2" w:name="_Toc180570811"/>
      <w:r>
        <w:rPr>
          <w:rFonts w:hint="eastAsia"/>
          <w:color w:val="auto"/>
          <w:highlight w:val="none"/>
          <w:lang w:val="zh-CN"/>
        </w:rPr>
        <w:t>项目概述</w:t>
      </w:r>
      <w:bookmarkEnd w:id="2"/>
    </w:p>
    <w:p>
      <w:pPr>
        <w:pStyle w:val="3"/>
        <w:ind w:firstLine="480"/>
        <w:rPr>
          <w:color w:val="auto"/>
          <w:highlight w:val="none"/>
        </w:rPr>
      </w:pPr>
      <w:r>
        <w:rPr>
          <w:rFonts w:hint="eastAsia"/>
          <w:color w:val="auto"/>
          <w:highlight w:val="none"/>
        </w:rPr>
        <w:t>本次“上海市监狱管理局信息化系统升级改造项目”将依据《上海监狱数字化转型行动方案》、《贯彻落实&lt;上海监狱数字化转型行动方案&gt;2024年度推进方案》等有关文件精神，以推动监狱治理体系和治理能力现代化为目标，通过新一代数字技术与监狱工作的全面融合和深度应用，全方位赋能监狱工作，对传统管理模式、业务流程进行革命性重塑，推进上海监狱高质量发展而进行的整体性、系统性转型升级。</w:t>
      </w:r>
    </w:p>
    <w:p>
      <w:pPr>
        <w:pStyle w:val="3"/>
        <w:ind w:firstLine="480"/>
        <w:rPr>
          <w:color w:val="auto"/>
          <w:highlight w:val="none"/>
        </w:rPr>
      </w:pPr>
      <w:r>
        <w:rPr>
          <w:rFonts w:hint="eastAsia"/>
          <w:color w:val="auto"/>
          <w:highlight w:val="none"/>
        </w:rPr>
        <w:t>本次改造有四大核心目标，一是着力打造三大底座，沉淀全局可复用的数据、业务、技术资源；二是构建“一基九实” 安防指挥协同体系，对接基层监狱安防改造项目所提供的物联、视频等感知资源，构建上海监狱动态全息感知网络，打造“感知、分析、处置、优化”的安全管理闭环；三是围绕安全治理更智能、罪犯改造更科学、执法管理更规范、队伍建设更扎实、综合保障更有力等五大目标，推动数字化赋能业务场景构建；四是打造移动执法系统，建设一批惠警利警的移动执法APP，推进业务流程“网上办”、“掌上办”。</w:t>
      </w:r>
    </w:p>
    <w:p>
      <w:pPr>
        <w:pStyle w:val="3"/>
        <w:ind w:firstLine="480"/>
        <w:rPr>
          <w:color w:val="auto"/>
          <w:highlight w:val="none"/>
        </w:rPr>
      </w:pPr>
      <w:r>
        <w:rPr>
          <w:rFonts w:hint="eastAsia"/>
          <w:color w:val="auto"/>
          <w:highlight w:val="none"/>
        </w:rPr>
        <w:t>此外除本项目所规划建设、升级的上海市监狱管理局信息化系统本身功能的开发、安装、部署实施外，系统应具备与上海市监狱管理局下属监所的物联感知、视频等监测数据的对接能力，投标人应于验收前完成与宝山监狱、提篮桥监狱等相关监测感知数据对接服务。同时依据相关管理需要，系统应具备同上海市大数据中心进行数据交互的能力，支持向大数据中心申请、对接公共政务数据。</w:t>
      </w:r>
    </w:p>
    <w:p>
      <w:pPr>
        <w:pStyle w:val="4"/>
        <w:rPr>
          <w:color w:val="auto"/>
          <w:highlight w:val="none"/>
        </w:rPr>
      </w:pPr>
      <w:bookmarkStart w:id="3" w:name="_Toc180570812"/>
      <w:r>
        <w:rPr>
          <w:rFonts w:hint="eastAsia"/>
          <w:color w:val="auto"/>
          <w:highlight w:val="none"/>
        </w:rPr>
        <w:t>建设内容</w:t>
      </w:r>
      <w:bookmarkEnd w:id="3"/>
    </w:p>
    <w:p>
      <w:pPr>
        <w:pStyle w:val="3"/>
        <w:ind w:firstLine="480"/>
        <w:rPr>
          <w:color w:val="auto"/>
          <w:highlight w:val="none"/>
        </w:rPr>
      </w:pPr>
      <w:r>
        <w:rPr>
          <w:rFonts w:hint="eastAsia"/>
          <w:color w:val="auto"/>
          <w:highlight w:val="none"/>
        </w:rPr>
        <w:t>当前上海市监狱管理局正统筹稳步推进各基层监狱安防警戒改造工作，以打造构建“感知泛在、覆盖全面、采集准确、拓展便捷”的“物联神经网络”。本次项目总体建设数据、技术、业务三大底座，统筹各基层监狱的安防感知、指挥调度、业务数据资源；在技术中台中特别建立人工智能智创中心，基于数据融合、AI智能分析，服务于上海监狱罪犯管理、业务管理、警务管理等工作的高效化、精准化研判分析与技术赋能；进一步围绕上海监狱管理局统筹规划，采用“模块化+轻应用”架构构建开放式可持续的系统生态体系，在此基础上打造安防指挥协同系统、五大工作赋能场景、智慧警务轻应用三大功能模块，全方位推进上海监狱数字化转型，为基层民警减负增效。</w:t>
      </w:r>
    </w:p>
    <w:p>
      <w:pPr>
        <w:pStyle w:val="3"/>
        <w:ind w:firstLine="480"/>
        <w:rPr>
          <w:color w:val="auto"/>
          <w:highlight w:val="none"/>
        </w:rPr>
      </w:pPr>
      <w:r>
        <w:rPr>
          <w:rFonts w:hint="eastAsia"/>
          <w:color w:val="auto"/>
          <w:highlight w:val="none"/>
        </w:rPr>
        <w:t>投标人需基于上海市监狱管理局的总体业务需求，对上海市监狱管理局信息化系统进行深化设计，并对上海监狱数字化赋能底座、安防指挥协同系统、五大工作赋能场景、智慧警务轻应用等系统进行开发、接口调试、修改、维护等。同时中标后需完成招标要求的产品采购和集成工作、通过相应要求的安全测评、人员培训、售后服务和技术支持等内容。</w:t>
      </w:r>
    </w:p>
    <w:p>
      <w:pPr>
        <w:pStyle w:val="3"/>
        <w:ind w:firstLine="480"/>
        <w:rPr>
          <w:color w:val="auto"/>
          <w:highlight w:val="none"/>
        </w:rPr>
      </w:pPr>
      <w:r>
        <w:rPr>
          <w:rFonts w:hint="eastAsia"/>
          <w:color w:val="auto"/>
          <w:highlight w:val="none"/>
        </w:rPr>
        <w:t>本包件应优先开展本技术需求中:条款2.1.2.2.2智能搜索引擎、条款2.1.3.2.4工作流引擎建设；完成条款2.1.3.1.1轻应用中心搭建；实现条款2.4.1.5改造情况综合查询、条款2.4.1.10车辆使用网上审批轻应用场景搭建（具体建设内容应以合同签订时最终沟通结果为准）。</w:t>
      </w:r>
    </w:p>
    <w:p>
      <w:pPr>
        <w:pStyle w:val="3"/>
        <w:ind w:firstLine="480"/>
        <w:rPr>
          <w:color w:val="auto"/>
          <w:highlight w:val="none"/>
        </w:rPr>
      </w:pPr>
      <w:r>
        <w:rPr>
          <w:rFonts w:hint="eastAsia"/>
          <w:color w:val="auto"/>
          <w:highlight w:val="none"/>
        </w:rPr>
        <w:t>本次建设功能内容详见如下清单：</w:t>
      </w:r>
    </w:p>
    <w:tbl>
      <w:tblPr>
        <w:tblStyle w:val="35"/>
        <w:tblW w:w="8780" w:type="dxa"/>
        <w:tblInd w:w="0" w:type="dxa"/>
        <w:tblLayout w:type="autofit"/>
        <w:tblCellMar>
          <w:top w:w="0" w:type="dxa"/>
          <w:left w:w="108" w:type="dxa"/>
          <w:bottom w:w="0" w:type="dxa"/>
          <w:right w:w="108" w:type="dxa"/>
        </w:tblCellMar>
      </w:tblPr>
      <w:tblGrid>
        <w:gridCol w:w="1040"/>
        <w:gridCol w:w="1420"/>
        <w:gridCol w:w="1980"/>
        <w:gridCol w:w="4340"/>
      </w:tblGrid>
      <w:tr>
        <w:tblPrEx>
          <w:tblCellMar>
            <w:top w:w="0" w:type="dxa"/>
            <w:left w:w="108" w:type="dxa"/>
            <w:bottom w:w="0" w:type="dxa"/>
            <w:right w:w="108" w:type="dxa"/>
          </w:tblCellMar>
        </w:tblPrEx>
        <w:trPr>
          <w:trHeight w:val="300" w:hRule="atLeast"/>
        </w:trPr>
        <w:tc>
          <w:tcPr>
            <w:tcW w:w="1040" w:type="dxa"/>
            <w:tcBorders>
              <w:top w:val="single" w:color="auto" w:sz="4" w:space="0"/>
              <w:left w:val="single" w:color="auto" w:sz="4" w:space="0"/>
              <w:bottom w:val="single" w:color="auto" w:sz="4" w:space="0"/>
              <w:right w:val="single" w:color="auto" w:sz="4" w:space="0"/>
            </w:tcBorders>
            <w:shd w:val="clear" w:color="000000" w:fill="0C769E"/>
            <w:vAlign w:val="center"/>
          </w:tcPr>
          <w:p>
            <w:pPr>
              <w:jc w:val="center"/>
              <w:rPr>
                <w:rFonts w:ascii="黑体" w:hAnsi="黑体" w:eastAsia="黑体" w:cs="宋体"/>
                <w:b/>
                <w:bCs/>
                <w:color w:val="auto"/>
                <w:highlight w:val="none"/>
              </w:rPr>
            </w:pPr>
            <w:r>
              <w:rPr>
                <w:rFonts w:hint="eastAsia" w:ascii="黑体" w:hAnsi="黑体" w:eastAsia="黑体" w:cs="宋体"/>
                <w:b/>
                <w:bCs/>
                <w:color w:val="auto"/>
                <w:highlight w:val="none"/>
              </w:rPr>
              <w:t>序号</w:t>
            </w:r>
          </w:p>
        </w:tc>
        <w:tc>
          <w:tcPr>
            <w:tcW w:w="1420" w:type="dxa"/>
            <w:tcBorders>
              <w:top w:val="single" w:color="auto" w:sz="4" w:space="0"/>
              <w:left w:val="nil"/>
              <w:bottom w:val="single" w:color="auto" w:sz="4" w:space="0"/>
              <w:right w:val="single" w:color="auto" w:sz="4" w:space="0"/>
            </w:tcBorders>
            <w:shd w:val="clear" w:color="000000" w:fill="0C769E"/>
            <w:vAlign w:val="center"/>
          </w:tcPr>
          <w:p>
            <w:pPr>
              <w:jc w:val="center"/>
              <w:rPr>
                <w:rFonts w:ascii="黑体" w:hAnsi="黑体" w:eastAsia="黑体" w:cs="宋体"/>
                <w:b/>
                <w:bCs/>
                <w:color w:val="auto"/>
                <w:highlight w:val="none"/>
              </w:rPr>
            </w:pPr>
            <w:r>
              <w:rPr>
                <w:rFonts w:hint="eastAsia" w:ascii="黑体" w:hAnsi="黑体" w:eastAsia="黑体" w:cs="宋体"/>
                <w:b/>
                <w:bCs/>
                <w:color w:val="auto"/>
                <w:highlight w:val="none"/>
              </w:rPr>
              <w:t>建设模块</w:t>
            </w:r>
          </w:p>
        </w:tc>
        <w:tc>
          <w:tcPr>
            <w:tcW w:w="1980" w:type="dxa"/>
            <w:tcBorders>
              <w:top w:val="single" w:color="auto" w:sz="4" w:space="0"/>
              <w:left w:val="nil"/>
              <w:bottom w:val="single" w:color="auto" w:sz="4" w:space="0"/>
              <w:right w:val="single" w:color="auto" w:sz="4" w:space="0"/>
            </w:tcBorders>
            <w:shd w:val="clear" w:color="000000" w:fill="0C769E"/>
            <w:vAlign w:val="center"/>
          </w:tcPr>
          <w:p>
            <w:pPr>
              <w:jc w:val="center"/>
              <w:rPr>
                <w:rFonts w:ascii="黑体" w:hAnsi="黑体" w:eastAsia="黑体" w:cs="宋体"/>
                <w:b/>
                <w:bCs/>
                <w:color w:val="auto"/>
                <w:highlight w:val="none"/>
              </w:rPr>
            </w:pPr>
            <w:r>
              <w:rPr>
                <w:rFonts w:hint="eastAsia" w:ascii="黑体" w:hAnsi="黑体" w:eastAsia="黑体" w:cs="宋体"/>
                <w:b/>
                <w:bCs/>
                <w:color w:val="auto"/>
                <w:highlight w:val="none"/>
              </w:rPr>
              <w:t>功能需求</w:t>
            </w:r>
          </w:p>
        </w:tc>
        <w:tc>
          <w:tcPr>
            <w:tcW w:w="4340" w:type="dxa"/>
            <w:tcBorders>
              <w:top w:val="single" w:color="auto" w:sz="4" w:space="0"/>
              <w:left w:val="nil"/>
              <w:bottom w:val="single" w:color="auto" w:sz="4" w:space="0"/>
              <w:right w:val="single" w:color="auto" w:sz="4" w:space="0"/>
            </w:tcBorders>
            <w:shd w:val="clear" w:color="000000" w:fill="0C769E"/>
            <w:vAlign w:val="center"/>
          </w:tcPr>
          <w:p>
            <w:pPr>
              <w:jc w:val="center"/>
              <w:rPr>
                <w:rFonts w:ascii="黑体" w:hAnsi="黑体" w:eastAsia="黑体" w:cs="宋体"/>
                <w:b/>
                <w:bCs/>
                <w:color w:val="auto"/>
                <w:highlight w:val="none"/>
              </w:rPr>
            </w:pPr>
            <w:r>
              <w:rPr>
                <w:rFonts w:hint="eastAsia" w:ascii="黑体" w:hAnsi="黑体" w:eastAsia="黑体" w:cs="宋体"/>
                <w:b/>
                <w:bCs/>
                <w:color w:val="auto"/>
                <w:highlight w:val="none"/>
              </w:rPr>
              <w:t>需求描述</w:t>
            </w:r>
          </w:p>
        </w:tc>
      </w:tr>
      <w:tr>
        <w:tblPrEx>
          <w:tblCellMar>
            <w:top w:w="0" w:type="dxa"/>
            <w:left w:w="108" w:type="dxa"/>
            <w:bottom w:w="0" w:type="dxa"/>
            <w:right w:w="108" w:type="dxa"/>
          </w:tblCellMar>
        </w:tblPrEx>
        <w:trPr>
          <w:trHeight w:val="280" w:hRule="atLeast"/>
        </w:trPr>
        <w:tc>
          <w:tcPr>
            <w:tcW w:w="878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一、上海监狱数字化赋能底座</w:t>
            </w:r>
          </w:p>
        </w:tc>
      </w:tr>
      <w:tr>
        <w:tblPrEx>
          <w:tblCellMar>
            <w:top w:w="0" w:type="dxa"/>
            <w:left w:w="108" w:type="dxa"/>
            <w:bottom w:w="0" w:type="dxa"/>
            <w:right w:w="108" w:type="dxa"/>
          </w:tblCellMar>
        </w:tblPrEx>
        <w:trPr>
          <w:trHeight w:val="1120" w:hRule="atLeast"/>
        </w:trPr>
        <w:tc>
          <w:tcPr>
            <w:tcW w:w="104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p>
        </w:tc>
        <w:tc>
          <w:tcPr>
            <w:tcW w:w="142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数据底座</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数据治理子系统</w:t>
            </w:r>
          </w:p>
        </w:tc>
        <w:tc>
          <w:tcPr>
            <w:tcW w:w="4340" w:type="dxa"/>
            <w:tcBorders>
              <w:top w:val="nil"/>
              <w:left w:val="nil"/>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数据管理与赋能应用是数据底座的技术工具，通过数据标准、数据集成、数据开发、数据融合、数据开放等工具，为上海监狱提供一套标准化的数据流水线</w:t>
            </w:r>
          </w:p>
        </w:tc>
      </w:tr>
      <w:tr>
        <w:tblPrEx>
          <w:tblCellMar>
            <w:top w:w="0" w:type="dxa"/>
            <w:left w:w="108" w:type="dxa"/>
            <w:bottom w:w="0" w:type="dxa"/>
            <w:right w:w="108" w:type="dxa"/>
          </w:tblCellMar>
        </w:tblPrEx>
        <w:trPr>
          <w:trHeight w:val="840" w:hRule="atLeast"/>
        </w:trPr>
        <w:tc>
          <w:tcPr>
            <w:tcW w:w="104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p>
        </w:tc>
        <w:tc>
          <w:tcPr>
            <w:tcW w:w="14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0"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数据存储计算集群</w:t>
            </w:r>
          </w:p>
        </w:tc>
        <w:tc>
          <w:tcPr>
            <w:tcW w:w="434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提供基础的数据存储计算分析处理大数据底座。支持结构、非结构、离线、实时等多种类型数据的分析处理。</w:t>
            </w:r>
          </w:p>
        </w:tc>
      </w:tr>
      <w:tr>
        <w:tblPrEx>
          <w:tblCellMar>
            <w:top w:w="0" w:type="dxa"/>
            <w:left w:w="108" w:type="dxa"/>
            <w:bottom w:w="0" w:type="dxa"/>
            <w:right w:w="108" w:type="dxa"/>
          </w:tblCellMar>
        </w:tblPrEx>
        <w:trPr>
          <w:trHeight w:val="840" w:hRule="atLeast"/>
        </w:trPr>
        <w:tc>
          <w:tcPr>
            <w:tcW w:w="104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p>
        </w:tc>
        <w:tc>
          <w:tcPr>
            <w:tcW w:w="1420" w:type="dxa"/>
            <w:vMerge w:val="restart"/>
            <w:tcBorders>
              <w:top w:val="nil"/>
              <w:left w:val="single" w:color="auto" w:sz="4" w:space="0"/>
              <w:bottom w:val="single" w:color="000000"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技术底座</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技术能力集成</w:t>
            </w:r>
          </w:p>
        </w:tc>
        <w:tc>
          <w:tcPr>
            <w:tcW w:w="434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集成基层监狱建设所产出的技术能力，包括NLP能力集成、视频智能分析集成。</w:t>
            </w:r>
          </w:p>
        </w:tc>
      </w:tr>
      <w:tr>
        <w:tblPrEx>
          <w:tblCellMar>
            <w:top w:w="0" w:type="dxa"/>
            <w:left w:w="108" w:type="dxa"/>
            <w:bottom w:w="0" w:type="dxa"/>
            <w:right w:w="108" w:type="dxa"/>
          </w:tblCellMar>
        </w:tblPrEx>
        <w:trPr>
          <w:trHeight w:val="840" w:hRule="atLeast"/>
        </w:trPr>
        <w:tc>
          <w:tcPr>
            <w:tcW w:w="104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4</w:t>
            </w:r>
          </w:p>
        </w:tc>
        <w:tc>
          <w:tcPr>
            <w:tcW w:w="1420" w:type="dxa"/>
            <w:vMerge w:val="continue"/>
            <w:tcBorders>
              <w:top w:val="nil"/>
              <w:left w:val="single" w:color="auto" w:sz="4" w:space="0"/>
              <w:bottom w:val="single" w:color="000000" w:sz="4" w:space="0"/>
              <w:right w:val="single" w:color="auto" w:sz="4" w:space="0"/>
            </w:tcBorders>
            <w:vAlign w:val="center"/>
          </w:tcPr>
          <w:p>
            <w:pPr>
              <w:rPr>
                <w:rFonts w:ascii="宋体" w:hAnsi="宋体" w:eastAsia="宋体" w:cs="宋体"/>
                <w:color w:val="auto"/>
                <w:sz w:val="22"/>
                <w:szCs w:val="22"/>
                <w:highlight w:val="none"/>
              </w:rPr>
            </w:pPr>
          </w:p>
        </w:tc>
        <w:tc>
          <w:tcPr>
            <w:tcW w:w="1980"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数字证书认证与电子签章对接要求</w:t>
            </w:r>
          </w:p>
        </w:tc>
        <w:tc>
          <w:tcPr>
            <w:tcW w:w="434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对接市数字证书认证与电子签章能力，支撑实现系统身份认证、单点登录，以及上海市监狱业务审批流程线上化。</w:t>
            </w:r>
          </w:p>
        </w:tc>
      </w:tr>
      <w:tr>
        <w:tblPrEx>
          <w:tblCellMar>
            <w:top w:w="0" w:type="dxa"/>
            <w:left w:w="108" w:type="dxa"/>
            <w:bottom w:w="0" w:type="dxa"/>
            <w:right w:w="108" w:type="dxa"/>
          </w:tblCellMar>
        </w:tblPrEx>
        <w:trPr>
          <w:trHeight w:val="840" w:hRule="atLeast"/>
        </w:trPr>
        <w:tc>
          <w:tcPr>
            <w:tcW w:w="104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5</w:t>
            </w:r>
          </w:p>
        </w:tc>
        <w:tc>
          <w:tcPr>
            <w:tcW w:w="1420" w:type="dxa"/>
            <w:vMerge w:val="continue"/>
            <w:tcBorders>
              <w:top w:val="nil"/>
              <w:left w:val="single" w:color="auto" w:sz="4" w:space="0"/>
              <w:bottom w:val="single" w:color="000000" w:sz="4" w:space="0"/>
              <w:right w:val="single" w:color="auto" w:sz="4" w:space="0"/>
            </w:tcBorders>
            <w:vAlign w:val="center"/>
          </w:tcPr>
          <w:p>
            <w:pPr>
              <w:rPr>
                <w:rFonts w:ascii="宋体" w:hAnsi="宋体" w:eastAsia="宋体" w:cs="宋体"/>
                <w:color w:val="auto"/>
                <w:sz w:val="22"/>
                <w:szCs w:val="22"/>
                <w:highlight w:val="none"/>
              </w:rPr>
            </w:pPr>
          </w:p>
        </w:tc>
        <w:tc>
          <w:tcPr>
            <w:tcW w:w="1980"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三维实景GIS接入与分析</w:t>
            </w:r>
          </w:p>
        </w:tc>
        <w:tc>
          <w:tcPr>
            <w:tcW w:w="434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提供GIS融合、用用服务、专题图层建设、三维建模服务等。满足上海监狱基层监狱的三维实景GIS业务支撑需求。</w:t>
            </w:r>
          </w:p>
        </w:tc>
      </w:tr>
      <w:tr>
        <w:tblPrEx>
          <w:tblCellMar>
            <w:top w:w="0" w:type="dxa"/>
            <w:left w:w="108" w:type="dxa"/>
            <w:bottom w:w="0" w:type="dxa"/>
            <w:right w:w="108" w:type="dxa"/>
          </w:tblCellMar>
        </w:tblPrEx>
        <w:trPr>
          <w:trHeight w:val="560" w:hRule="atLeast"/>
        </w:trPr>
        <w:tc>
          <w:tcPr>
            <w:tcW w:w="104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6</w:t>
            </w:r>
          </w:p>
        </w:tc>
        <w:tc>
          <w:tcPr>
            <w:tcW w:w="1420" w:type="dxa"/>
            <w:vMerge w:val="continue"/>
            <w:tcBorders>
              <w:top w:val="nil"/>
              <w:left w:val="single" w:color="auto" w:sz="4" w:space="0"/>
              <w:bottom w:val="single" w:color="000000" w:sz="4" w:space="0"/>
              <w:right w:val="single" w:color="auto" w:sz="4" w:space="0"/>
            </w:tcBorders>
            <w:vAlign w:val="center"/>
          </w:tcPr>
          <w:p>
            <w:pPr>
              <w:rPr>
                <w:rFonts w:ascii="宋体" w:hAnsi="宋体" w:eastAsia="宋体" w:cs="宋体"/>
                <w:color w:val="auto"/>
                <w:sz w:val="22"/>
                <w:szCs w:val="22"/>
                <w:highlight w:val="none"/>
              </w:rPr>
            </w:pPr>
          </w:p>
        </w:tc>
        <w:tc>
          <w:tcPr>
            <w:tcW w:w="1980"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三维实景GIS软件平台</w:t>
            </w:r>
          </w:p>
        </w:tc>
        <w:tc>
          <w:tcPr>
            <w:tcW w:w="434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提供成熟的三维实景GIS平台软件，支持生动、动态渲染三维场景。</w:t>
            </w:r>
          </w:p>
        </w:tc>
      </w:tr>
      <w:tr>
        <w:tblPrEx>
          <w:tblCellMar>
            <w:top w:w="0" w:type="dxa"/>
            <w:left w:w="108" w:type="dxa"/>
            <w:bottom w:w="0" w:type="dxa"/>
            <w:right w:w="108" w:type="dxa"/>
          </w:tblCellMar>
        </w:tblPrEx>
        <w:trPr>
          <w:trHeight w:val="280" w:hRule="atLeast"/>
        </w:trPr>
        <w:tc>
          <w:tcPr>
            <w:tcW w:w="104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7</w:t>
            </w:r>
          </w:p>
        </w:tc>
        <w:tc>
          <w:tcPr>
            <w:tcW w:w="1420" w:type="dxa"/>
            <w:vMerge w:val="continue"/>
            <w:tcBorders>
              <w:top w:val="nil"/>
              <w:left w:val="single" w:color="auto" w:sz="4" w:space="0"/>
              <w:bottom w:val="single" w:color="000000" w:sz="4" w:space="0"/>
              <w:right w:val="single" w:color="auto" w:sz="4" w:space="0"/>
            </w:tcBorders>
            <w:vAlign w:val="center"/>
          </w:tcPr>
          <w:p>
            <w:pPr>
              <w:rPr>
                <w:rFonts w:ascii="宋体" w:hAnsi="宋体" w:eastAsia="宋体" w:cs="宋体"/>
                <w:color w:val="auto"/>
                <w:sz w:val="22"/>
                <w:szCs w:val="22"/>
                <w:highlight w:val="none"/>
              </w:rPr>
            </w:pPr>
          </w:p>
        </w:tc>
        <w:tc>
          <w:tcPr>
            <w:tcW w:w="1980" w:type="dxa"/>
            <w:tcBorders>
              <w:top w:val="nil"/>
              <w:left w:val="nil"/>
              <w:bottom w:val="nil"/>
              <w:right w:val="single" w:color="000000"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智能搜索引擎</w:t>
            </w:r>
          </w:p>
        </w:tc>
        <w:tc>
          <w:tcPr>
            <w:tcW w:w="4340" w:type="dxa"/>
            <w:tcBorders>
              <w:top w:val="nil"/>
              <w:left w:val="single" w:color="000000" w:sz="4" w:space="0"/>
              <w:bottom w:val="nil"/>
              <w:right w:val="single" w:color="000000"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实现全平台维度快速便捷的信息检索。</w:t>
            </w:r>
          </w:p>
        </w:tc>
      </w:tr>
      <w:tr>
        <w:tblPrEx>
          <w:tblCellMar>
            <w:top w:w="0" w:type="dxa"/>
            <w:left w:w="108" w:type="dxa"/>
            <w:bottom w:w="0" w:type="dxa"/>
            <w:right w:w="108" w:type="dxa"/>
          </w:tblCellMar>
        </w:tblPrEx>
        <w:trPr>
          <w:trHeight w:val="280" w:hRule="atLeast"/>
        </w:trPr>
        <w:tc>
          <w:tcPr>
            <w:tcW w:w="104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8</w:t>
            </w:r>
          </w:p>
        </w:tc>
        <w:tc>
          <w:tcPr>
            <w:tcW w:w="142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业务底座</w:t>
            </w:r>
          </w:p>
        </w:tc>
        <w:tc>
          <w:tcPr>
            <w:tcW w:w="1980" w:type="dxa"/>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微服务架构</w:t>
            </w:r>
          </w:p>
        </w:tc>
        <w:tc>
          <w:tcPr>
            <w:tcW w:w="43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业务底座是抽象监狱各类业务流程的共性形成通用业务服务能力。将业务规则、流程、逻辑与现有应用系统进行解耦，构建完善的 “模块化、轻应用、低代码、微服务”业务底座，对现有的业务、数据、应用进行全方位的整合重塑，提升面向监狱应用场景的数字化转换效率，增强整体的业务灵活性和响应能力。</w:t>
            </w:r>
          </w:p>
        </w:tc>
      </w:tr>
      <w:tr>
        <w:tblPrEx>
          <w:tblCellMar>
            <w:top w:w="0" w:type="dxa"/>
            <w:left w:w="108" w:type="dxa"/>
            <w:bottom w:w="0" w:type="dxa"/>
            <w:right w:w="108" w:type="dxa"/>
          </w:tblCellMar>
        </w:tblPrEx>
        <w:trPr>
          <w:trHeight w:val="280" w:hRule="atLeast"/>
        </w:trPr>
        <w:tc>
          <w:tcPr>
            <w:tcW w:w="104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9</w:t>
            </w:r>
          </w:p>
        </w:tc>
        <w:tc>
          <w:tcPr>
            <w:tcW w:w="14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0"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统一门户集成模块</w:t>
            </w:r>
          </w:p>
        </w:tc>
        <w:tc>
          <w:tcPr>
            <w:tcW w:w="434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r>
      <w:tr>
        <w:tblPrEx>
          <w:tblCellMar>
            <w:top w:w="0" w:type="dxa"/>
            <w:left w:w="108" w:type="dxa"/>
            <w:bottom w:w="0" w:type="dxa"/>
            <w:right w:w="108" w:type="dxa"/>
          </w:tblCellMar>
        </w:tblPrEx>
        <w:trPr>
          <w:trHeight w:val="560" w:hRule="atLeast"/>
        </w:trPr>
        <w:tc>
          <w:tcPr>
            <w:tcW w:w="104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10</w:t>
            </w:r>
          </w:p>
        </w:tc>
        <w:tc>
          <w:tcPr>
            <w:tcW w:w="14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0"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基于工作流引擎的低代码开发</w:t>
            </w:r>
          </w:p>
        </w:tc>
        <w:tc>
          <w:tcPr>
            <w:tcW w:w="434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r>
      <w:tr>
        <w:tblPrEx>
          <w:tblCellMar>
            <w:top w:w="0" w:type="dxa"/>
            <w:left w:w="108" w:type="dxa"/>
            <w:bottom w:w="0" w:type="dxa"/>
            <w:right w:w="108" w:type="dxa"/>
          </w:tblCellMar>
        </w:tblPrEx>
        <w:trPr>
          <w:trHeight w:val="280" w:hRule="atLeast"/>
        </w:trPr>
        <w:tc>
          <w:tcPr>
            <w:tcW w:w="104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11</w:t>
            </w:r>
          </w:p>
        </w:tc>
        <w:tc>
          <w:tcPr>
            <w:tcW w:w="14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0"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安防智能集成</w:t>
            </w:r>
          </w:p>
        </w:tc>
        <w:tc>
          <w:tcPr>
            <w:tcW w:w="434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r>
      <w:tr>
        <w:tblPrEx>
          <w:tblCellMar>
            <w:top w:w="0" w:type="dxa"/>
            <w:left w:w="108" w:type="dxa"/>
            <w:bottom w:w="0" w:type="dxa"/>
            <w:right w:w="108" w:type="dxa"/>
          </w:tblCellMar>
        </w:tblPrEx>
        <w:trPr>
          <w:trHeight w:val="560" w:hRule="atLeast"/>
        </w:trPr>
        <w:tc>
          <w:tcPr>
            <w:tcW w:w="104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12</w:t>
            </w:r>
          </w:p>
        </w:tc>
        <w:tc>
          <w:tcPr>
            <w:tcW w:w="14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0"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综合运维安全态势感知管理</w:t>
            </w:r>
          </w:p>
        </w:tc>
        <w:tc>
          <w:tcPr>
            <w:tcW w:w="434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r>
      <w:tr>
        <w:tblPrEx>
          <w:tblCellMar>
            <w:top w:w="0" w:type="dxa"/>
            <w:left w:w="108" w:type="dxa"/>
            <w:bottom w:w="0" w:type="dxa"/>
            <w:right w:w="108" w:type="dxa"/>
          </w:tblCellMar>
        </w:tblPrEx>
        <w:trPr>
          <w:trHeight w:val="280" w:hRule="atLeast"/>
        </w:trPr>
        <w:tc>
          <w:tcPr>
            <w:tcW w:w="104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13</w:t>
            </w:r>
          </w:p>
        </w:tc>
        <w:tc>
          <w:tcPr>
            <w:tcW w:w="14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0"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消息中心</w:t>
            </w:r>
          </w:p>
        </w:tc>
        <w:tc>
          <w:tcPr>
            <w:tcW w:w="434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r>
      <w:tr>
        <w:tblPrEx>
          <w:tblCellMar>
            <w:top w:w="0" w:type="dxa"/>
            <w:left w:w="108" w:type="dxa"/>
            <w:bottom w:w="0" w:type="dxa"/>
            <w:right w:w="108" w:type="dxa"/>
          </w:tblCellMar>
        </w:tblPrEx>
        <w:trPr>
          <w:trHeight w:val="280" w:hRule="atLeast"/>
        </w:trPr>
        <w:tc>
          <w:tcPr>
            <w:tcW w:w="104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14</w:t>
            </w:r>
          </w:p>
        </w:tc>
        <w:tc>
          <w:tcPr>
            <w:tcW w:w="14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0"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缓存服务</w:t>
            </w:r>
          </w:p>
        </w:tc>
        <w:tc>
          <w:tcPr>
            <w:tcW w:w="434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r>
      <w:tr>
        <w:tblPrEx>
          <w:tblCellMar>
            <w:top w:w="0" w:type="dxa"/>
            <w:left w:w="108" w:type="dxa"/>
            <w:bottom w:w="0" w:type="dxa"/>
            <w:right w:w="108" w:type="dxa"/>
          </w:tblCellMar>
        </w:tblPrEx>
        <w:trPr>
          <w:trHeight w:val="280" w:hRule="atLeast"/>
        </w:trPr>
        <w:tc>
          <w:tcPr>
            <w:tcW w:w="104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15</w:t>
            </w:r>
          </w:p>
        </w:tc>
        <w:tc>
          <w:tcPr>
            <w:tcW w:w="14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0"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公文流转</w:t>
            </w:r>
          </w:p>
        </w:tc>
        <w:tc>
          <w:tcPr>
            <w:tcW w:w="434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r>
      <w:tr>
        <w:tblPrEx>
          <w:tblCellMar>
            <w:top w:w="0" w:type="dxa"/>
            <w:left w:w="108" w:type="dxa"/>
            <w:bottom w:w="0" w:type="dxa"/>
            <w:right w:w="108" w:type="dxa"/>
          </w:tblCellMar>
        </w:tblPrEx>
        <w:trPr>
          <w:trHeight w:val="280" w:hRule="atLeast"/>
        </w:trPr>
        <w:tc>
          <w:tcPr>
            <w:tcW w:w="104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16</w:t>
            </w:r>
          </w:p>
        </w:tc>
        <w:tc>
          <w:tcPr>
            <w:tcW w:w="14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0"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工作流引擎</w:t>
            </w:r>
          </w:p>
        </w:tc>
        <w:tc>
          <w:tcPr>
            <w:tcW w:w="434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r>
      <w:tr>
        <w:tblPrEx>
          <w:tblCellMar>
            <w:top w:w="0" w:type="dxa"/>
            <w:left w:w="108" w:type="dxa"/>
            <w:bottom w:w="0" w:type="dxa"/>
            <w:right w:w="108" w:type="dxa"/>
          </w:tblCellMar>
        </w:tblPrEx>
        <w:trPr>
          <w:trHeight w:val="280" w:hRule="atLeast"/>
        </w:trPr>
        <w:tc>
          <w:tcPr>
            <w:tcW w:w="878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二、安防指挥协同系统</w:t>
            </w:r>
          </w:p>
        </w:tc>
      </w:tr>
      <w:tr>
        <w:tblPrEx>
          <w:tblCellMar>
            <w:top w:w="0" w:type="dxa"/>
            <w:left w:w="108" w:type="dxa"/>
            <w:bottom w:w="0" w:type="dxa"/>
            <w:right w:w="108" w:type="dxa"/>
          </w:tblCellMar>
        </w:tblPrEx>
        <w:trPr>
          <w:trHeight w:val="1120" w:hRule="atLeast"/>
        </w:trPr>
        <w:tc>
          <w:tcPr>
            <w:tcW w:w="104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p>
        </w:tc>
        <w:tc>
          <w:tcPr>
            <w:tcW w:w="34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安防基本信息</w:t>
            </w:r>
          </w:p>
        </w:tc>
        <w:tc>
          <w:tcPr>
            <w:tcW w:w="434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聚呈现监狱监管安全和日常管理相关的人、事、物的基本信息、状态信息、告警信息、事件信息，并对信息数据进行统计分析，可视化呈现。</w:t>
            </w:r>
          </w:p>
        </w:tc>
      </w:tr>
      <w:tr>
        <w:tblPrEx>
          <w:tblCellMar>
            <w:top w:w="0" w:type="dxa"/>
            <w:left w:w="108" w:type="dxa"/>
            <w:bottom w:w="0" w:type="dxa"/>
            <w:right w:w="108" w:type="dxa"/>
          </w:tblCellMar>
        </w:tblPrEx>
        <w:trPr>
          <w:trHeight w:val="840" w:hRule="atLeast"/>
        </w:trPr>
        <w:tc>
          <w:tcPr>
            <w:tcW w:w="104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p>
        </w:tc>
        <w:tc>
          <w:tcPr>
            <w:tcW w:w="34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实图GIS图现</w:t>
            </w:r>
          </w:p>
        </w:tc>
        <w:tc>
          <w:tcPr>
            <w:tcW w:w="434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基于三维建模服务成果融合安防设备基本信息、狱政信息、空间信息、实时告警数据、实时动态信息多层次、全方位直观展示</w:t>
            </w:r>
          </w:p>
        </w:tc>
      </w:tr>
      <w:tr>
        <w:tblPrEx>
          <w:tblCellMar>
            <w:top w:w="0" w:type="dxa"/>
            <w:left w:w="108" w:type="dxa"/>
            <w:bottom w:w="0" w:type="dxa"/>
            <w:right w:w="108" w:type="dxa"/>
          </w:tblCellMar>
        </w:tblPrEx>
        <w:trPr>
          <w:trHeight w:val="840" w:hRule="atLeast"/>
        </w:trPr>
        <w:tc>
          <w:tcPr>
            <w:tcW w:w="104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p>
        </w:tc>
        <w:tc>
          <w:tcPr>
            <w:tcW w:w="34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实时视频监控</w:t>
            </w:r>
          </w:p>
        </w:tc>
        <w:tc>
          <w:tcPr>
            <w:tcW w:w="434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对监狱周界、操场等需要多角度查看大场景区域进行视频拼接，将实时视频投射到三维实景地面上</w:t>
            </w:r>
          </w:p>
        </w:tc>
      </w:tr>
      <w:tr>
        <w:tblPrEx>
          <w:tblCellMar>
            <w:top w:w="0" w:type="dxa"/>
            <w:left w:w="108" w:type="dxa"/>
            <w:bottom w:w="0" w:type="dxa"/>
            <w:right w:w="108" w:type="dxa"/>
          </w:tblCellMar>
        </w:tblPrEx>
        <w:trPr>
          <w:trHeight w:val="840" w:hRule="atLeast"/>
        </w:trPr>
        <w:tc>
          <w:tcPr>
            <w:tcW w:w="104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4</w:t>
            </w:r>
          </w:p>
        </w:tc>
        <w:tc>
          <w:tcPr>
            <w:tcW w:w="34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实时动态信息</w:t>
            </w:r>
          </w:p>
        </w:tc>
        <w:tc>
          <w:tcPr>
            <w:tcW w:w="434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通过对监狱在押罪犯、离监罪犯、外来人员、外来车辆、实时就诊、重点关注的实时变动情况和变动原因进行统计</w:t>
            </w:r>
          </w:p>
        </w:tc>
      </w:tr>
      <w:tr>
        <w:tblPrEx>
          <w:tblCellMar>
            <w:top w:w="0" w:type="dxa"/>
            <w:left w:w="108" w:type="dxa"/>
            <w:bottom w:w="0" w:type="dxa"/>
            <w:right w:w="108" w:type="dxa"/>
          </w:tblCellMar>
        </w:tblPrEx>
        <w:trPr>
          <w:trHeight w:val="840" w:hRule="atLeast"/>
        </w:trPr>
        <w:tc>
          <w:tcPr>
            <w:tcW w:w="104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5</w:t>
            </w:r>
          </w:p>
        </w:tc>
        <w:tc>
          <w:tcPr>
            <w:tcW w:w="34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实时报警处置</w:t>
            </w:r>
          </w:p>
        </w:tc>
        <w:tc>
          <w:tcPr>
            <w:tcW w:w="434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提供报警等级管理、报警类型管理、报警过滤、告警查询、报警处置、智能预测、智能预警、智能预防功能。</w:t>
            </w:r>
          </w:p>
        </w:tc>
      </w:tr>
      <w:tr>
        <w:tblPrEx>
          <w:tblCellMar>
            <w:top w:w="0" w:type="dxa"/>
            <w:left w:w="108" w:type="dxa"/>
            <w:bottom w:w="0" w:type="dxa"/>
            <w:right w:w="108" w:type="dxa"/>
          </w:tblCellMar>
        </w:tblPrEx>
        <w:trPr>
          <w:trHeight w:val="840" w:hRule="atLeast"/>
        </w:trPr>
        <w:tc>
          <w:tcPr>
            <w:tcW w:w="104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6</w:t>
            </w:r>
          </w:p>
        </w:tc>
        <w:tc>
          <w:tcPr>
            <w:tcW w:w="34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实时事件处置</w:t>
            </w:r>
          </w:p>
        </w:tc>
        <w:tc>
          <w:tcPr>
            <w:tcW w:w="434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提供事件类型配置、事件等级配置、事件接入、事件处置配置、事件处置统计、智能预测、智能预警、智能预防功能。</w:t>
            </w:r>
          </w:p>
        </w:tc>
      </w:tr>
      <w:tr>
        <w:tblPrEx>
          <w:tblCellMar>
            <w:top w:w="0" w:type="dxa"/>
            <w:left w:w="108" w:type="dxa"/>
            <w:bottom w:w="0" w:type="dxa"/>
            <w:right w:w="108" w:type="dxa"/>
          </w:tblCellMar>
        </w:tblPrEx>
        <w:trPr>
          <w:trHeight w:val="840" w:hRule="atLeast"/>
        </w:trPr>
        <w:tc>
          <w:tcPr>
            <w:tcW w:w="104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7</w:t>
            </w:r>
          </w:p>
        </w:tc>
        <w:tc>
          <w:tcPr>
            <w:tcW w:w="34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实时智能推送</w:t>
            </w:r>
          </w:p>
        </w:tc>
        <w:tc>
          <w:tcPr>
            <w:tcW w:w="434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关联智能视频分析系统数据，对产出的异常行文进行统一汇聚与告警推送。提供推送类型配置、自动推送、人工推送功能。</w:t>
            </w:r>
          </w:p>
        </w:tc>
      </w:tr>
      <w:tr>
        <w:tblPrEx>
          <w:tblCellMar>
            <w:top w:w="0" w:type="dxa"/>
            <w:left w:w="108" w:type="dxa"/>
            <w:bottom w:w="0" w:type="dxa"/>
            <w:right w:w="108" w:type="dxa"/>
          </w:tblCellMar>
        </w:tblPrEx>
        <w:trPr>
          <w:trHeight w:val="840" w:hRule="atLeast"/>
        </w:trPr>
        <w:tc>
          <w:tcPr>
            <w:tcW w:w="104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8</w:t>
            </w:r>
          </w:p>
        </w:tc>
        <w:tc>
          <w:tcPr>
            <w:tcW w:w="34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实时警力运行</w:t>
            </w:r>
          </w:p>
        </w:tc>
        <w:tc>
          <w:tcPr>
            <w:tcW w:w="434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提供警力分类配置、警力专业配置、场所配比情况分析、智能预测、智能预警、智能预防、综合统计分析。</w:t>
            </w:r>
          </w:p>
        </w:tc>
      </w:tr>
      <w:tr>
        <w:tblPrEx>
          <w:tblCellMar>
            <w:top w:w="0" w:type="dxa"/>
            <w:left w:w="108" w:type="dxa"/>
            <w:bottom w:w="0" w:type="dxa"/>
            <w:right w:w="108" w:type="dxa"/>
          </w:tblCellMar>
        </w:tblPrEx>
        <w:trPr>
          <w:trHeight w:val="560" w:hRule="atLeast"/>
        </w:trPr>
        <w:tc>
          <w:tcPr>
            <w:tcW w:w="104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9</w:t>
            </w:r>
          </w:p>
        </w:tc>
        <w:tc>
          <w:tcPr>
            <w:tcW w:w="34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实时检查监督</w:t>
            </w:r>
          </w:p>
        </w:tc>
        <w:tc>
          <w:tcPr>
            <w:tcW w:w="434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提供功能包括：督查登记上报、督查问题统计分析、智能预测、智能预警、智能预防。</w:t>
            </w:r>
          </w:p>
        </w:tc>
      </w:tr>
      <w:tr>
        <w:tblPrEx>
          <w:tblCellMar>
            <w:top w:w="0" w:type="dxa"/>
            <w:left w:w="108" w:type="dxa"/>
            <w:bottom w:w="0" w:type="dxa"/>
            <w:right w:w="108" w:type="dxa"/>
          </w:tblCellMar>
        </w:tblPrEx>
        <w:trPr>
          <w:trHeight w:val="560" w:hRule="atLeast"/>
        </w:trPr>
        <w:tc>
          <w:tcPr>
            <w:tcW w:w="104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10</w:t>
            </w:r>
          </w:p>
        </w:tc>
        <w:tc>
          <w:tcPr>
            <w:tcW w:w="34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实时协同联动</w:t>
            </w:r>
          </w:p>
        </w:tc>
        <w:tc>
          <w:tcPr>
            <w:tcW w:w="434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提供即时通信、视频监控共享、联动报警、联动调度、应急处突、安保等级评估功能。</w:t>
            </w:r>
          </w:p>
        </w:tc>
      </w:tr>
      <w:tr>
        <w:tblPrEx>
          <w:tblCellMar>
            <w:top w:w="0" w:type="dxa"/>
            <w:left w:w="108" w:type="dxa"/>
            <w:bottom w:w="0" w:type="dxa"/>
            <w:right w:w="108" w:type="dxa"/>
          </w:tblCellMar>
        </w:tblPrEx>
        <w:trPr>
          <w:trHeight w:val="280" w:hRule="atLeast"/>
        </w:trPr>
        <w:tc>
          <w:tcPr>
            <w:tcW w:w="878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三、五大工作赋能场景</w:t>
            </w:r>
          </w:p>
        </w:tc>
      </w:tr>
      <w:tr>
        <w:tblPrEx>
          <w:tblCellMar>
            <w:top w:w="0" w:type="dxa"/>
            <w:left w:w="108" w:type="dxa"/>
            <w:bottom w:w="0" w:type="dxa"/>
            <w:right w:w="108" w:type="dxa"/>
          </w:tblCellMar>
        </w:tblPrEx>
        <w:trPr>
          <w:trHeight w:val="840" w:hRule="atLeast"/>
        </w:trPr>
        <w:tc>
          <w:tcPr>
            <w:tcW w:w="104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p>
        </w:tc>
        <w:tc>
          <w:tcPr>
            <w:tcW w:w="142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安全治理</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隐患排查系统</w:t>
            </w:r>
          </w:p>
        </w:tc>
        <w:tc>
          <w:tcPr>
            <w:tcW w:w="434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提供隐患类型管理、排查任务管理、隐患推送管理、隐患处置管理、隐患统计分析功能。</w:t>
            </w:r>
          </w:p>
        </w:tc>
      </w:tr>
      <w:tr>
        <w:tblPrEx>
          <w:tblCellMar>
            <w:top w:w="0" w:type="dxa"/>
            <w:left w:w="108" w:type="dxa"/>
            <w:bottom w:w="0" w:type="dxa"/>
            <w:right w:w="108" w:type="dxa"/>
          </w:tblCellMar>
        </w:tblPrEx>
        <w:trPr>
          <w:trHeight w:val="560" w:hRule="atLeast"/>
        </w:trPr>
        <w:tc>
          <w:tcPr>
            <w:tcW w:w="104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p>
        </w:tc>
        <w:tc>
          <w:tcPr>
            <w:tcW w:w="14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0"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风险预警</w:t>
            </w:r>
          </w:p>
        </w:tc>
        <w:tc>
          <w:tcPr>
            <w:tcW w:w="434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实现功能包括：风险识别、风险模型管理、预警处理、风险预警统计分析。</w:t>
            </w:r>
          </w:p>
        </w:tc>
      </w:tr>
      <w:tr>
        <w:tblPrEx>
          <w:tblCellMar>
            <w:top w:w="0" w:type="dxa"/>
            <w:left w:w="108" w:type="dxa"/>
            <w:bottom w:w="0" w:type="dxa"/>
            <w:right w:w="108" w:type="dxa"/>
          </w:tblCellMar>
        </w:tblPrEx>
        <w:trPr>
          <w:trHeight w:val="840" w:hRule="atLeast"/>
        </w:trPr>
        <w:tc>
          <w:tcPr>
            <w:tcW w:w="104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p>
        </w:tc>
        <w:tc>
          <w:tcPr>
            <w:tcW w:w="14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0"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重点对象非接触式智能监护系统</w:t>
            </w:r>
          </w:p>
        </w:tc>
        <w:tc>
          <w:tcPr>
            <w:tcW w:w="434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建设内容主要包括：实时数据查看、监护报表、数据快照、异常报警、动作报警、生理报警、设备报警。</w:t>
            </w:r>
          </w:p>
        </w:tc>
      </w:tr>
      <w:tr>
        <w:tblPrEx>
          <w:tblCellMar>
            <w:top w:w="0" w:type="dxa"/>
            <w:left w:w="108" w:type="dxa"/>
            <w:bottom w:w="0" w:type="dxa"/>
            <w:right w:w="108" w:type="dxa"/>
          </w:tblCellMar>
        </w:tblPrEx>
        <w:trPr>
          <w:trHeight w:val="560" w:hRule="atLeast"/>
        </w:trPr>
        <w:tc>
          <w:tcPr>
            <w:tcW w:w="104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4</w:t>
            </w:r>
          </w:p>
        </w:tc>
        <w:tc>
          <w:tcPr>
            <w:tcW w:w="14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0"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重点人员防控系统</w:t>
            </w:r>
          </w:p>
        </w:tc>
        <w:tc>
          <w:tcPr>
            <w:tcW w:w="434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提供重点人员智能管理与重点人员数据统计分析</w:t>
            </w:r>
          </w:p>
        </w:tc>
      </w:tr>
      <w:tr>
        <w:tblPrEx>
          <w:tblCellMar>
            <w:top w:w="0" w:type="dxa"/>
            <w:left w:w="108" w:type="dxa"/>
            <w:bottom w:w="0" w:type="dxa"/>
            <w:right w:w="108" w:type="dxa"/>
          </w:tblCellMar>
        </w:tblPrEx>
        <w:trPr>
          <w:trHeight w:val="560" w:hRule="atLeast"/>
        </w:trPr>
        <w:tc>
          <w:tcPr>
            <w:tcW w:w="104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5</w:t>
            </w:r>
          </w:p>
        </w:tc>
        <w:tc>
          <w:tcPr>
            <w:tcW w:w="14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0"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情报信息系统</w:t>
            </w:r>
          </w:p>
        </w:tc>
        <w:tc>
          <w:tcPr>
            <w:tcW w:w="434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提供情报数据管理、情报获取及推送给、情报评估及认定、情报数据统计分析</w:t>
            </w:r>
          </w:p>
        </w:tc>
      </w:tr>
      <w:tr>
        <w:tblPrEx>
          <w:tblCellMar>
            <w:top w:w="0" w:type="dxa"/>
            <w:left w:w="108" w:type="dxa"/>
            <w:bottom w:w="0" w:type="dxa"/>
            <w:right w:w="108" w:type="dxa"/>
          </w:tblCellMar>
        </w:tblPrEx>
        <w:trPr>
          <w:trHeight w:val="840" w:hRule="atLeast"/>
        </w:trPr>
        <w:tc>
          <w:tcPr>
            <w:tcW w:w="104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6</w:t>
            </w:r>
          </w:p>
        </w:tc>
        <w:tc>
          <w:tcPr>
            <w:tcW w:w="14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0"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隐患知识库</w:t>
            </w:r>
          </w:p>
        </w:tc>
        <w:tc>
          <w:tcPr>
            <w:tcW w:w="434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建立隐患类型知识库，包括隐患本身定义、来源、识别方式、可能带来的影响(分级)、排查方式、排查流程等</w:t>
            </w:r>
          </w:p>
        </w:tc>
      </w:tr>
      <w:tr>
        <w:tblPrEx>
          <w:tblCellMar>
            <w:top w:w="0" w:type="dxa"/>
            <w:left w:w="108" w:type="dxa"/>
            <w:bottom w:w="0" w:type="dxa"/>
            <w:right w:w="108" w:type="dxa"/>
          </w:tblCellMar>
        </w:tblPrEx>
        <w:trPr>
          <w:trHeight w:val="1120" w:hRule="atLeast"/>
        </w:trPr>
        <w:tc>
          <w:tcPr>
            <w:tcW w:w="104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7</w:t>
            </w:r>
          </w:p>
        </w:tc>
        <w:tc>
          <w:tcPr>
            <w:tcW w:w="142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罪犯改造</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罪犯改造管理系统</w:t>
            </w:r>
          </w:p>
        </w:tc>
        <w:tc>
          <w:tcPr>
            <w:tcW w:w="434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提供罪犯在政治、监管、教育、文化、劳动改造中数据全息呈现及评估研判等功能，包括个性化改造计划、政治改造、监管改造、教育改造、文化改造、劳动改造</w:t>
            </w:r>
          </w:p>
        </w:tc>
      </w:tr>
      <w:tr>
        <w:tblPrEx>
          <w:tblCellMar>
            <w:top w:w="0" w:type="dxa"/>
            <w:left w:w="108" w:type="dxa"/>
            <w:bottom w:w="0" w:type="dxa"/>
            <w:right w:w="108" w:type="dxa"/>
          </w:tblCellMar>
        </w:tblPrEx>
        <w:trPr>
          <w:trHeight w:val="1120" w:hRule="atLeast"/>
        </w:trPr>
        <w:tc>
          <w:tcPr>
            <w:tcW w:w="104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8</w:t>
            </w:r>
          </w:p>
        </w:tc>
        <w:tc>
          <w:tcPr>
            <w:tcW w:w="14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0"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全数字化罪犯档案管理系统</w:t>
            </w:r>
          </w:p>
        </w:tc>
        <w:tc>
          <w:tcPr>
            <w:tcW w:w="434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运用知识图谱、智能媒体和数据安全技术，实现在监期间罪犯全量信息的多渠道采集、多维度存储和智能化组织，以及在狱外受控使用中的加密、脱敏和跟踪审计</w:t>
            </w:r>
          </w:p>
        </w:tc>
      </w:tr>
      <w:tr>
        <w:tblPrEx>
          <w:tblCellMar>
            <w:top w:w="0" w:type="dxa"/>
            <w:left w:w="108" w:type="dxa"/>
            <w:bottom w:w="0" w:type="dxa"/>
            <w:right w:w="108" w:type="dxa"/>
          </w:tblCellMar>
        </w:tblPrEx>
        <w:trPr>
          <w:trHeight w:val="840" w:hRule="atLeast"/>
        </w:trPr>
        <w:tc>
          <w:tcPr>
            <w:tcW w:w="104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9</w:t>
            </w:r>
          </w:p>
        </w:tc>
        <w:tc>
          <w:tcPr>
            <w:tcW w:w="142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执法管理</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狱务公开数据统计分析</w:t>
            </w:r>
          </w:p>
        </w:tc>
        <w:tc>
          <w:tcPr>
            <w:tcW w:w="434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提供狱务公开、开放日、执法情况、罪犯一卡通、家属公众参加开放日、执法监督员执法监督统计分析</w:t>
            </w:r>
          </w:p>
        </w:tc>
      </w:tr>
      <w:tr>
        <w:tblPrEx>
          <w:tblCellMar>
            <w:top w:w="0" w:type="dxa"/>
            <w:left w:w="108" w:type="dxa"/>
            <w:bottom w:w="0" w:type="dxa"/>
            <w:right w:w="108" w:type="dxa"/>
          </w:tblCellMar>
        </w:tblPrEx>
        <w:trPr>
          <w:trHeight w:val="560" w:hRule="atLeast"/>
        </w:trPr>
        <w:tc>
          <w:tcPr>
            <w:tcW w:w="104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10</w:t>
            </w:r>
          </w:p>
        </w:tc>
        <w:tc>
          <w:tcPr>
            <w:tcW w:w="14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0"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分级处遇数据统计分析</w:t>
            </w:r>
          </w:p>
        </w:tc>
        <w:tc>
          <w:tcPr>
            <w:tcW w:w="434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提供分级处遇模型、分级处遇智能推荐、统计分析</w:t>
            </w:r>
          </w:p>
        </w:tc>
      </w:tr>
      <w:tr>
        <w:tblPrEx>
          <w:tblCellMar>
            <w:top w:w="0" w:type="dxa"/>
            <w:left w:w="108" w:type="dxa"/>
            <w:bottom w:w="0" w:type="dxa"/>
            <w:right w:w="108" w:type="dxa"/>
          </w:tblCellMar>
        </w:tblPrEx>
        <w:trPr>
          <w:trHeight w:val="560" w:hRule="atLeast"/>
        </w:trPr>
        <w:tc>
          <w:tcPr>
            <w:tcW w:w="104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11</w:t>
            </w:r>
          </w:p>
        </w:tc>
        <w:tc>
          <w:tcPr>
            <w:tcW w:w="14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0"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罪犯奖惩数据统计分析</w:t>
            </w:r>
          </w:p>
        </w:tc>
        <w:tc>
          <w:tcPr>
            <w:tcW w:w="434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提供罪犯奖惩智能推荐、奖惩数据统计分析</w:t>
            </w:r>
          </w:p>
        </w:tc>
      </w:tr>
      <w:tr>
        <w:tblPrEx>
          <w:tblCellMar>
            <w:top w:w="0" w:type="dxa"/>
            <w:left w:w="108" w:type="dxa"/>
            <w:bottom w:w="0" w:type="dxa"/>
            <w:right w:w="108" w:type="dxa"/>
          </w:tblCellMar>
        </w:tblPrEx>
        <w:trPr>
          <w:trHeight w:val="560" w:hRule="atLeast"/>
        </w:trPr>
        <w:tc>
          <w:tcPr>
            <w:tcW w:w="104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12</w:t>
            </w:r>
          </w:p>
        </w:tc>
        <w:tc>
          <w:tcPr>
            <w:tcW w:w="14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0"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刑罚变更数据统计分析</w:t>
            </w:r>
          </w:p>
        </w:tc>
        <w:tc>
          <w:tcPr>
            <w:tcW w:w="434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提供减刑假释数字化全息评估、数据统计分析</w:t>
            </w:r>
          </w:p>
        </w:tc>
      </w:tr>
      <w:tr>
        <w:tblPrEx>
          <w:tblCellMar>
            <w:top w:w="0" w:type="dxa"/>
            <w:left w:w="108" w:type="dxa"/>
            <w:bottom w:w="0" w:type="dxa"/>
            <w:right w:w="108" w:type="dxa"/>
          </w:tblCellMar>
        </w:tblPrEx>
        <w:trPr>
          <w:trHeight w:val="560" w:hRule="atLeast"/>
        </w:trPr>
        <w:tc>
          <w:tcPr>
            <w:tcW w:w="104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13</w:t>
            </w:r>
          </w:p>
        </w:tc>
        <w:tc>
          <w:tcPr>
            <w:tcW w:w="14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0"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释前谈话数据统计分析</w:t>
            </w:r>
          </w:p>
        </w:tc>
        <w:tc>
          <w:tcPr>
            <w:tcW w:w="434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提供谈话计划、谈话综合评估、数据统计分析</w:t>
            </w:r>
          </w:p>
        </w:tc>
      </w:tr>
      <w:tr>
        <w:tblPrEx>
          <w:tblCellMar>
            <w:top w:w="0" w:type="dxa"/>
            <w:left w:w="108" w:type="dxa"/>
            <w:bottom w:w="0" w:type="dxa"/>
            <w:right w:w="108" w:type="dxa"/>
          </w:tblCellMar>
        </w:tblPrEx>
        <w:trPr>
          <w:trHeight w:val="560" w:hRule="atLeast"/>
        </w:trPr>
        <w:tc>
          <w:tcPr>
            <w:tcW w:w="104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14</w:t>
            </w:r>
          </w:p>
        </w:tc>
        <w:tc>
          <w:tcPr>
            <w:tcW w:w="14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0"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多维度行为分析系统</w:t>
            </w:r>
          </w:p>
        </w:tc>
        <w:tc>
          <w:tcPr>
            <w:tcW w:w="434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提供实时互动管理、分析回顾、行为分析研判建模工具</w:t>
            </w:r>
          </w:p>
        </w:tc>
      </w:tr>
      <w:tr>
        <w:tblPrEx>
          <w:tblCellMar>
            <w:top w:w="0" w:type="dxa"/>
            <w:left w:w="108" w:type="dxa"/>
            <w:bottom w:w="0" w:type="dxa"/>
            <w:right w:w="108" w:type="dxa"/>
          </w:tblCellMar>
        </w:tblPrEx>
        <w:trPr>
          <w:trHeight w:val="330" w:hRule="atLeast"/>
        </w:trPr>
        <w:tc>
          <w:tcPr>
            <w:tcW w:w="104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15</w:t>
            </w:r>
          </w:p>
        </w:tc>
        <w:tc>
          <w:tcPr>
            <w:tcW w:w="142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队伍建设</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支部建设</w:t>
            </w:r>
          </w:p>
        </w:tc>
        <w:tc>
          <w:tcPr>
            <w:tcW w:w="4340" w:type="dxa"/>
            <w:vMerge w:val="restart"/>
            <w:tcBorders>
              <w:top w:val="nil"/>
              <w:left w:val="single" w:color="auto" w:sz="4" w:space="0"/>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民警队伍建设从支部建设、队伍动态、绩效评估、教育培训、警务督察等维度数据智能化综合评估，整合警务资源、优化警务流程、创新警务模式、提升警务效能。主要提供支部建设、队伍动态、绩效评估、教育评估、警务督察</w:t>
            </w:r>
          </w:p>
        </w:tc>
      </w:tr>
      <w:tr>
        <w:tblPrEx>
          <w:tblCellMar>
            <w:top w:w="0" w:type="dxa"/>
            <w:left w:w="108" w:type="dxa"/>
            <w:bottom w:w="0" w:type="dxa"/>
            <w:right w:w="108" w:type="dxa"/>
          </w:tblCellMar>
        </w:tblPrEx>
        <w:trPr>
          <w:trHeight w:val="330" w:hRule="atLeast"/>
        </w:trPr>
        <w:tc>
          <w:tcPr>
            <w:tcW w:w="104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16</w:t>
            </w:r>
          </w:p>
        </w:tc>
        <w:tc>
          <w:tcPr>
            <w:tcW w:w="14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0"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队伍动态</w:t>
            </w:r>
          </w:p>
        </w:tc>
        <w:tc>
          <w:tcPr>
            <w:tcW w:w="434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r>
      <w:tr>
        <w:tblPrEx>
          <w:tblCellMar>
            <w:top w:w="0" w:type="dxa"/>
            <w:left w:w="108" w:type="dxa"/>
            <w:bottom w:w="0" w:type="dxa"/>
            <w:right w:w="108" w:type="dxa"/>
          </w:tblCellMar>
        </w:tblPrEx>
        <w:trPr>
          <w:trHeight w:val="330" w:hRule="atLeast"/>
        </w:trPr>
        <w:tc>
          <w:tcPr>
            <w:tcW w:w="104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17</w:t>
            </w:r>
          </w:p>
        </w:tc>
        <w:tc>
          <w:tcPr>
            <w:tcW w:w="14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0"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绩效评估</w:t>
            </w:r>
          </w:p>
        </w:tc>
        <w:tc>
          <w:tcPr>
            <w:tcW w:w="434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r>
      <w:tr>
        <w:tblPrEx>
          <w:tblCellMar>
            <w:top w:w="0" w:type="dxa"/>
            <w:left w:w="108" w:type="dxa"/>
            <w:bottom w:w="0" w:type="dxa"/>
            <w:right w:w="108" w:type="dxa"/>
          </w:tblCellMar>
        </w:tblPrEx>
        <w:trPr>
          <w:trHeight w:val="330" w:hRule="atLeast"/>
        </w:trPr>
        <w:tc>
          <w:tcPr>
            <w:tcW w:w="104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18</w:t>
            </w:r>
          </w:p>
        </w:tc>
        <w:tc>
          <w:tcPr>
            <w:tcW w:w="14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0"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教育评估</w:t>
            </w:r>
          </w:p>
        </w:tc>
        <w:tc>
          <w:tcPr>
            <w:tcW w:w="434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r>
      <w:tr>
        <w:tblPrEx>
          <w:tblCellMar>
            <w:top w:w="0" w:type="dxa"/>
            <w:left w:w="108" w:type="dxa"/>
            <w:bottom w:w="0" w:type="dxa"/>
            <w:right w:w="108" w:type="dxa"/>
          </w:tblCellMar>
        </w:tblPrEx>
        <w:trPr>
          <w:trHeight w:val="330" w:hRule="atLeast"/>
        </w:trPr>
        <w:tc>
          <w:tcPr>
            <w:tcW w:w="104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19</w:t>
            </w:r>
          </w:p>
        </w:tc>
        <w:tc>
          <w:tcPr>
            <w:tcW w:w="14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0"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警务督察</w:t>
            </w:r>
          </w:p>
        </w:tc>
        <w:tc>
          <w:tcPr>
            <w:tcW w:w="434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r>
      <w:tr>
        <w:tblPrEx>
          <w:tblCellMar>
            <w:top w:w="0" w:type="dxa"/>
            <w:left w:w="108" w:type="dxa"/>
            <w:bottom w:w="0" w:type="dxa"/>
            <w:right w:w="108" w:type="dxa"/>
          </w:tblCellMar>
        </w:tblPrEx>
        <w:trPr>
          <w:trHeight w:val="840" w:hRule="atLeast"/>
        </w:trPr>
        <w:tc>
          <w:tcPr>
            <w:tcW w:w="104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20</w:t>
            </w:r>
          </w:p>
        </w:tc>
        <w:tc>
          <w:tcPr>
            <w:tcW w:w="142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综合保障</w:t>
            </w:r>
          </w:p>
        </w:tc>
        <w:tc>
          <w:tcPr>
            <w:tcW w:w="1980"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预算执行</w:t>
            </w:r>
          </w:p>
        </w:tc>
        <w:tc>
          <w:tcPr>
            <w:tcW w:w="434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对预算数据进行统计分析和信息可视化配置呈现，交互式逐级钻取数据交叉链接、模糊查询；智能推送工作指导和决策辅助。</w:t>
            </w:r>
          </w:p>
        </w:tc>
      </w:tr>
      <w:tr>
        <w:tblPrEx>
          <w:tblCellMar>
            <w:top w:w="0" w:type="dxa"/>
            <w:left w:w="108" w:type="dxa"/>
            <w:bottom w:w="0" w:type="dxa"/>
            <w:right w:w="108" w:type="dxa"/>
          </w:tblCellMar>
        </w:tblPrEx>
        <w:trPr>
          <w:trHeight w:val="840" w:hRule="atLeast"/>
        </w:trPr>
        <w:tc>
          <w:tcPr>
            <w:tcW w:w="104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21</w:t>
            </w:r>
          </w:p>
        </w:tc>
        <w:tc>
          <w:tcPr>
            <w:tcW w:w="14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0"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项目管理</w:t>
            </w:r>
          </w:p>
        </w:tc>
        <w:tc>
          <w:tcPr>
            <w:tcW w:w="434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对项目管理进行统计分析和信息可视化配置呈现，交互式逐级钻取，数据交叉链接、模糊查询；智能推送工作指导和决策辅助。</w:t>
            </w:r>
          </w:p>
        </w:tc>
      </w:tr>
      <w:tr>
        <w:tblPrEx>
          <w:tblCellMar>
            <w:top w:w="0" w:type="dxa"/>
            <w:left w:w="108" w:type="dxa"/>
            <w:bottom w:w="0" w:type="dxa"/>
            <w:right w:w="108" w:type="dxa"/>
          </w:tblCellMar>
        </w:tblPrEx>
        <w:trPr>
          <w:trHeight w:val="560" w:hRule="atLeast"/>
        </w:trPr>
        <w:tc>
          <w:tcPr>
            <w:tcW w:w="104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22</w:t>
            </w:r>
          </w:p>
        </w:tc>
        <w:tc>
          <w:tcPr>
            <w:tcW w:w="14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0"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合同管理</w:t>
            </w:r>
          </w:p>
        </w:tc>
        <w:tc>
          <w:tcPr>
            <w:tcW w:w="434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对合同管理数据进行统计分析和信息可视化配置呈现，智能推送工作指导和决策辅助。</w:t>
            </w:r>
          </w:p>
        </w:tc>
      </w:tr>
      <w:tr>
        <w:tblPrEx>
          <w:tblCellMar>
            <w:top w:w="0" w:type="dxa"/>
            <w:left w:w="108" w:type="dxa"/>
            <w:bottom w:w="0" w:type="dxa"/>
            <w:right w:w="108" w:type="dxa"/>
          </w:tblCellMar>
        </w:tblPrEx>
        <w:trPr>
          <w:trHeight w:val="560" w:hRule="atLeast"/>
        </w:trPr>
        <w:tc>
          <w:tcPr>
            <w:tcW w:w="104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23</w:t>
            </w:r>
          </w:p>
        </w:tc>
        <w:tc>
          <w:tcPr>
            <w:tcW w:w="14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0"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装备管理</w:t>
            </w:r>
          </w:p>
        </w:tc>
        <w:tc>
          <w:tcPr>
            <w:tcW w:w="434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对装备管理数据进行统计分析和信息视化配置呈现，智能推送工作指导和决策辅助。</w:t>
            </w:r>
          </w:p>
        </w:tc>
      </w:tr>
      <w:tr>
        <w:tblPrEx>
          <w:tblCellMar>
            <w:top w:w="0" w:type="dxa"/>
            <w:left w:w="108" w:type="dxa"/>
            <w:bottom w:w="0" w:type="dxa"/>
            <w:right w:w="108" w:type="dxa"/>
          </w:tblCellMar>
        </w:tblPrEx>
        <w:trPr>
          <w:trHeight w:val="840" w:hRule="atLeast"/>
        </w:trPr>
        <w:tc>
          <w:tcPr>
            <w:tcW w:w="104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24</w:t>
            </w:r>
          </w:p>
        </w:tc>
        <w:tc>
          <w:tcPr>
            <w:tcW w:w="14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0"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资产管理</w:t>
            </w:r>
          </w:p>
        </w:tc>
        <w:tc>
          <w:tcPr>
            <w:tcW w:w="434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提供资产配置、资产类型分类统计、资产处置申请统计、资产报废智能提示、资产维修情况统计</w:t>
            </w:r>
          </w:p>
        </w:tc>
      </w:tr>
      <w:tr>
        <w:tblPrEx>
          <w:tblCellMar>
            <w:top w:w="0" w:type="dxa"/>
            <w:left w:w="108" w:type="dxa"/>
            <w:bottom w:w="0" w:type="dxa"/>
            <w:right w:w="108" w:type="dxa"/>
          </w:tblCellMar>
        </w:tblPrEx>
        <w:trPr>
          <w:trHeight w:val="560" w:hRule="atLeast"/>
        </w:trPr>
        <w:tc>
          <w:tcPr>
            <w:tcW w:w="104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25</w:t>
            </w:r>
          </w:p>
        </w:tc>
        <w:tc>
          <w:tcPr>
            <w:tcW w:w="14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0"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电网管理</w:t>
            </w:r>
          </w:p>
        </w:tc>
        <w:tc>
          <w:tcPr>
            <w:tcW w:w="434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提供电网基本信息录入、日常管理、系统管理</w:t>
            </w:r>
          </w:p>
        </w:tc>
      </w:tr>
      <w:tr>
        <w:tblPrEx>
          <w:tblCellMar>
            <w:top w:w="0" w:type="dxa"/>
            <w:left w:w="108" w:type="dxa"/>
            <w:bottom w:w="0" w:type="dxa"/>
            <w:right w:w="108" w:type="dxa"/>
          </w:tblCellMar>
        </w:tblPrEx>
        <w:trPr>
          <w:trHeight w:val="560" w:hRule="atLeast"/>
        </w:trPr>
        <w:tc>
          <w:tcPr>
            <w:tcW w:w="104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26</w:t>
            </w:r>
          </w:p>
        </w:tc>
        <w:tc>
          <w:tcPr>
            <w:tcW w:w="14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0"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隔离网管理</w:t>
            </w:r>
          </w:p>
        </w:tc>
        <w:tc>
          <w:tcPr>
            <w:tcW w:w="434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提供隔离网基本信息录入、日常管理、系统管理</w:t>
            </w:r>
          </w:p>
        </w:tc>
      </w:tr>
      <w:tr>
        <w:tblPrEx>
          <w:tblCellMar>
            <w:top w:w="0" w:type="dxa"/>
            <w:left w:w="108" w:type="dxa"/>
            <w:bottom w:w="0" w:type="dxa"/>
            <w:right w:w="108" w:type="dxa"/>
          </w:tblCellMar>
        </w:tblPrEx>
        <w:trPr>
          <w:trHeight w:val="280" w:hRule="atLeast"/>
        </w:trPr>
        <w:tc>
          <w:tcPr>
            <w:tcW w:w="878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四、智慧警务轻应用</w:t>
            </w:r>
          </w:p>
        </w:tc>
      </w:tr>
      <w:tr>
        <w:tblPrEx>
          <w:tblCellMar>
            <w:top w:w="0" w:type="dxa"/>
            <w:left w:w="108" w:type="dxa"/>
            <w:bottom w:w="0" w:type="dxa"/>
            <w:right w:w="108" w:type="dxa"/>
          </w:tblCellMar>
        </w:tblPrEx>
        <w:trPr>
          <w:trHeight w:val="2520" w:hRule="atLeast"/>
        </w:trPr>
        <w:tc>
          <w:tcPr>
            <w:tcW w:w="104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p>
        </w:tc>
        <w:tc>
          <w:tcPr>
            <w:tcW w:w="34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移动警务轻应用</w:t>
            </w:r>
          </w:p>
        </w:tc>
        <w:tc>
          <w:tcPr>
            <w:tcW w:w="434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贯彻落实局2024年度惠警“十件事实”实施方案，进行移动警务轻应用改造，围绕核心业务需求，为基层民警减负增效，提供犯情分析、罪犯计分考评、特定岗位罪犯审批、改造情况综合查询、医生巡诊、罪犯服药管理、危险源巡查与安全检查、规章制度查询、车辆使用网上审批、设施设备检修、办会管理、罪犯清抄监、个别教育、监狱外来人员、车辆出入监门审批。</w:t>
            </w:r>
          </w:p>
        </w:tc>
      </w:tr>
      <w:tr>
        <w:tblPrEx>
          <w:tblCellMar>
            <w:top w:w="0" w:type="dxa"/>
            <w:left w:w="108" w:type="dxa"/>
            <w:bottom w:w="0" w:type="dxa"/>
            <w:right w:w="108" w:type="dxa"/>
          </w:tblCellMar>
        </w:tblPrEx>
        <w:trPr>
          <w:trHeight w:val="560" w:hRule="atLeast"/>
        </w:trPr>
        <w:tc>
          <w:tcPr>
            <w:tcW w:w="104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p>
        </w:tc>
        <w:tc>
          <w:tcPr>
            <w:tcW w:w="34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便民服务轻应用</w:t>
            </w:r>
          </w:p>
        </w:tc>
        <w:tc>
          <w:tcPr>
            <w:tcW w:w="434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在对外服务移动端提供对公众服务，建设律师会见、罪犯提升以及狱务公开轻应用</w:t>
            </w:r>
          </w:p>
        </w:tc>
      </w:tr>
      <w:tr>
        <w:tblPrEx>
          <w:tblCellMar>
            <w:top w:w="0" w:type="dxa"/>
            <w:left w:w="108" w:type="dxa"/>
            <w:bottom w:w="0" w:type="dxa"/>
            <w:right w:w="108" w:type="dxa"/>
          </w:tblCellMar>
        </w:tblPrEx>
        <w:trPr>
          <w:trHeight w:val="1400" w:hRule="atLeast"/>
        </w:trPr>
        <w:tc>
          <w:tcPr>
            <w:tcW w:w="104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p>
        </w:tc>
        <w:tc>
          <w:tcPr>
            <w:tcW w:w="34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综合管理轻应用</w:t>
            </w:r>
          </w:p>
        </w:tc>
        <w:tc>
          <w:tcPr>
            <w:tcW w:w="434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主要通过PC端提供业务管理功能，提供周界电网智能管理、消防GIS应用、民警动态警力分布 GIS应用、值班管理信息系统、文件消息推送、“互联网+”运维保 障知识、技能库</w:t>
            </w:r>
          </w:p>
        </w:tc>
      </w:tr>
      <w:tr>
        <w:tblPrEx>
          <w:tblCellMar>
            <w:top w:w="0" w:type="dxa"/>
            <w:left w:w="108" w:type="dxa"/>
            <w:bottom w:w="0" w:type="dxa"/>
            <w:right w:w="108" w:type="dxa"/>
          </w:tblCellMar>
        </w:tblPrEx>
        <w:trPr>
          <w:trHeight w:val="1120" w:hRule="atLeast"/>
        </w:trPr>
        <w:tc>
          <w:tcPr>
            <w:tcW w:w="104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4</w:t>
            </w:r>
          </w:p>
        </w:tc>
        <w:tc>
          <w:tcPr>
            <w:tcW w:w="34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罪犯网上购物</w:t>
            </w:r>
          </w:p>
        </w:tc>
        <w:tc>
          <w:tcPr>
            <w:tcW w:w="434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对现有一卡通系统进行升级改造，账户系统在原有功能基础上进行重建并增加新功能，将账户系统、狱政管理系统、被服管理系统数据进行互通。</w:t>
            </w:r>
          </w:p>
        </w:tc>
      </w:tr>
      <w:tr>
        <w:tblPrEx>
          <w:tblCellMar>
            <w:top w:w="0" w:type="dxa"/>
            <w:left w:w="108" w:type="dxa"/>
            <w:bottom w:w="0" w:type="dxa"/>
            <w:right w:w="108" w:type="dxa"/>
          </w:tblCellMar>
        </w:tblPrEx>
        <w:trPr>
          <w:trHeight w:val="6160" w:hRule="atLeast"/>
        </w:trPr>
        <w:tc>
          <w:tcPr>
            <w:tcW w:w="104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5</w:t>
            </w:r>
          </w:p>
        </w:tc>
        <w:tc>
          <w:tcPr>
            <w:tcW w:w="3400" w:type="dxa"/>
            <w:gridSpan w:val="2"/>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物联感知应用接入</w:t>
            </w:r>
          </w:p>
        </w:tc>
        <w:tc>
          <w:tcPr>
            <w:tcW w:w="4340" w:type="dxa"/>
            <w:tcBorders>
              <w:top w:val="single" w:color="auto" w:sz="4" w:space="0"/>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通过物联网技术整合智能安防设备，设备的数据采集、控制服务根据业务属性归集至对应的信息资源库和系统，实现数据采集、传输和控制实时交互。在此基础上对部分应用场景及其设备功能进行可视化界面定制开发。接入应用场景包括：罪犯私人物品管理</w:t>
            </w:r>
            <w:r>
              <w:rPr>
                <w:rFonts w:hint="eastAsia" w:ascii="宋体" w:hAnsi="宋体" w:eastAsia="宋体" w:cs="宋体"/>
                <w:color w:val="auto"/>
                <w:sz w:val="22"/>
                <w:szCs w:val="22"/>
                <w:highlight w:val="none"/>
              </w:rPr>
              <w:br w:type="textWrapping"/>
            </w:r>
            <w:r>
              <w:rPr>
                <w:rFonts w:hint="eastAsia" w:ascii="宋体" w:hAnsi="宋体" w:eastAsia="宋体" w:cs="宋体"/>
                <w:color w:val="auto"/>
                <w:sz w:val="22"/>
                <w:szCs w:val="22"/>
                <w:highlight w:val="none"/>
              </w:rPr>
              <w:t>罪犯法律援助、防罪犯夜间病亡或自杀、罪犯开收封、罪犯出收工、罪犯亲情电话语音智能分析、会见语音智能辅助研判、重点人员识别控制、智能巡更管理、智能会见排队系统、刑罚执行评审会全程音视频留痕、罪犯远程医疗、卫生所药品管理、劳动工具收发、劳动工时管理、“五关”、三十分钟回头看、防范罪犯混出人行门脱逃、监狱内隔离网外围警戒区域异常行为事件智能分析报警、视频点名、车辆轨迹、人员轨迹、罪犯集中外出就诊现场管控、严管罪犯生命体征、监测监狱门禁智能管理、监区视频智慧调度、视颊监控智能巡检、手机管控、罪犯课堂行为监测、集体讲评教育、虚拟出监教育、自动化运维保障、预警、信息安全志势感知。</w:t>
            </w:r>
          </w:p>
        </w:tc>
      </w:tr>
    </w:tbl>
    <w:p>
      <w:pPr>
        <w:pStyle w:val="3"/>
        <w:ind w:firstLine="0" w:firstLineChars="0"/>
        <w:rPr>
          <w:color w:val="auto"/>
          <w:highlight w:val="none"/>
        </w:rPr>
      </w:pPr>
    </w:p>
    <w:p>
      <w:pPr>
        <w:pStyle w:val="3"/>
        <w:ind w:firstLine="480"/>
        <w:rPr>
          <w:color w:val="auto"/>
          <w:highlight w:val="none"/>
        </w:rPr>
      </w:pPr>
    </w:p>
    <w:p>
      <w:pPr>
        <w:pStyle w:val="4"/>
        <w:rPr>
          <w:color w:val="auto"/>
          <w:highlight w:val="none"/>
        </w:rPr>
      </w:pPr>
      <w:bookmarkStart w:id="4" w:name="_Toc180570813"/>
      <w:r>
        <w:rPr>
          <w:rFonts w:hint="eastAsia"/>
          <w:color w:val="auto"/>
          <w:highlight w:val="none"/>
        </w:rPr>
        <w:t>总体设计要求</w:t>
      </w:r>
      <w:bookmarkEnd w:id="4"/>
    </w:p>
    <w:p>
      <w:pPr>
        <w:pStyle w:val="3"/>
        <w:ind w:firstLine="480"/>
        <w:rPr>
          <w:color w:val="auto"/>
          <w:highlight w:val="none"/>
        </w:rPr>
      </w:pPr>
      <w:r>
        <w:rPr>
          <w:rFonts w:hint="eastAsia"/>
          <w:color w:val="auto"/>
          <w:highlight w:val="none"/>
        </w:rPr>
        <w:t>上海市监狱管理局信息化系统升级改造项目应采用先进技术架构，确保各类服务的稳定可靠，通过“模块化+轻应用”的统一管理系统基础架构为围绕业务实现快速的信息化功能迭代提供基础。</w:t>
      </w:r>
    </w:p>
    <w:p>
      <w:pPr>
        <w:pStyle w:val="3"/>
        <w:ind w:firstLine="480"/>
        <w:rPr>
          <w:color w:val="auto"/>
          <w:highlight w:val="none"/>
        </w:rPr>
      </w:pPr>
      <w:r>
        <w:rPr>
          <w:rFonts w:hint="eastAsia"/>
          <w:color w:val="auto"/>
          <w:highlight w:val="none"/>
        </w:rPr>
        <w:t>1.多端互通</w:t>
      </w:r>
    </w:p>
    <w:p>
      <w:pPr>
        <w:pStyle w:val="3"/>
        <w:ind w:firstLine="480"/>
        <w:rPr>
          <w:color w:val="auto"/>
          <w:highlight w:val="none"/>
        </w:rPr>
      </w:pPr>
      <w:r>
        <w:rPr>
          <w:rFonts w:hint="eastAsia"/>
          <w:color w:val="auto"/>
          <w:highlight w:val="none"/>
        </w:rPr>
        <w:t>系统支持从大屏、中屏、小屏多个维度，结合业务场景，完善串联起全上海市监狱管理局的数据流、信息流、指挥流。其中通过建设指挥中心研判驾驶舱面向大屏端，为指挥中心提供一体化、一站式的全业务信息分析研判能力；通过安防指挥协同系统、五大工作赋能场景等模块提供PC中屏端，为民警日常办公体提供动态及时更新的数据分析研判依据以及全业务流程管理赋能；通过移动警务轻应用提供面向移动端场景的数字化能力，支持民警通过该模块快速检索信息、完成业务流程的发起与流转，最大程度助力基层“高效办好一件事”，提升能效，降低负担。</w:t>
      </w:r>
    </w:p>
    <w:p>
      <w:pPr>
        <w:pStyle w:val="3"/>
        <w:ind w:firstLine="480"/>
        <w:rPr>
          <w:color w:val="auto"/>
          <w:highlight w:val="none"/>
        </w:rPr>
      </w:pPr>
      <w:r>
        <w:rPr>
          <w:rFonts w:hint="eastAsia"/>
          <w:color w:val="auto"/>
          <w:highlight w:val="none"/>
        </w:rPr>
        <w:t>2.先进性</w:t>
      </w:r>
    </w:p>
    <w:p>
      <w:pPr>
        <w:pStyle w:val="3"/>
        <w:ind w:firstLine="480"/>
        <w:rPr>
          <w:color w:val="auto"/>
          <w:highlight w:val="none"/>
        </w:rPr>
      </w:pPr>
      <w:r>
        <w:rPr>
          <w:rFonts w:hint="eastAsia"/>
          <w:color w:val="auto"/>
          <w:highlight w:val="none"/>
        </w:rPr>
        <w:t>在系统建设项目建设中，应突出自主创新以及重点突破，保持信息系统在技术上的先进性。在充分分析当前信息系统技术发展的现状以及发展趋势的基础上，结合实际应用的业务需求，采用先进成熟的技术体系。系统构成必须采用成熟、具有国内先进水平，并符合国际发展趋势的技术、软件产品和设备。开发或配置先进、高效实用的系统软件和应用软件，使整个系统能协调一致地运行，以获得最大的系统性能和效益。同时，充分考虑系统后续发展的技术和应用需求，在设计过程中，应充分依照国际上的规范、标准，充分参照国内外目前成熟的主流网络和综合信息系统的体系结构，以保证系统具有较长的生命力和扩展能力。保证先进性的同时还要保证技术的稳定、安全性。</w:t>
      </w:r>
    </w:p>
    <w:p>
      <w:pPr>
        <w:pStyle w:val="3"/>
        <w:ind w:firstLine="480"/>
        <w:rPr>
          <w:color w:val="auto"/>
          <w:highlight w:val="none"/>
        </w:rPr>
      </w:pPr>
      <w:r>
        <w:rPr>
          <w:rFonts w:hint="eastAsia"/>
          <w:color w:val="auto"/>
          <w:highlight w:val="none"/>
        </w:rPr>
        <w:t>3.合理性</w:t>
      </w:r>
    </w:p>
    <w:p>
      <w:pPr>
        <w:pStyle w:val="3"/>
        <w:ind w:firstLine="480"/>
        <w:rPr>
          <w:color w:val="auto"/>
          <w:highlight w:val="none"/>
        </w:rPr>
      </w:pPr>
      <w:r>
        <w:rPr>
          <w:rFonts w:hint="eastAsia"/>
          <w:color w:val="auto"/>
          <w:highlight w:val="none"/>
        </w:rPr>
        <w:t>项目采用的技术系统选用最适用本项目建设需求和实际业务情况，参照国际主流、成熟的体系的基础上，充分考虑“模块化＋轻应用”的架构体系，推动移动警务赋能体系构建。在满足应用需求的前提下，尽量降低建设成本；遵循“应用框架＋功能模块＋客户化改造”的合理性基本原则，保障服务的数据、业务维护方便、快捷。</w:t>
      </w:r>
    </w:p>
    <w:p>
      <w:pPr>
        <w:pStyle w:val="3"/>
        <w:ind w:firstLine="480"/>
        <w:rPr>
          <w:color w:val="auto"/>
          <w:highlight w:val="none"/>
        </w:rPr>
      </w:pPr>
      <w:r>
        <w:rPr>
          <w:rFonts w:hint="eastAsia"/>
          <w:color w:val="auto"/>
          <w:highlight w:val="none"/>
        </w:rPr>
        <w:t>从界面布局、菜单的设计、用户操作等方面，遵循界面友好、直观，菜单简洁，菜单格式、快捷键等充分考虑用户习惯，满足用户使用方便的原则、易于修改，尤其对用户来讲，用户只需了解实际工作流程和操作系统的使用方法，无需复杂的技术培训即可方便使用。</w:t>
      </w:r>
    </w:p>
    <w:p>
      <w:pPr>
        <w:pStyle w:val="3"/>
        <w:ind w:firstLine="480"/>
        <w:rPr>
          <w:color w:val="auto"/>
          <w:highlight w:val="none"/>
        </w:rPr>
      </w:pPr>
      <w:r>
        <w:rPr>
          <w:rFonts w:hint="eastAsia"/>
          <w:color w:val="auto"/>
          <w:highlight w:val="none"/>
        </w:rPr>
        <w:t>4.标准化</w:t>
      </w:r>
    </w:p>
    <w:p>
      <w:pPr>
        <w:pStyle w:val="3"/>
        <w:ind w:firstLine="480"/>
        <w:rPr>
          <w:color w:val="auto"/>
          <w:highlight w:val="none"/>
        </w:rPr>
      </w:pPr>
      <w:r>
        <w:rPr>
          <w:rFonts w:hint="eastAsia"/>
          <w:color w:val="auto"/>
          <w:highlight w:val="none"/>
        </w:rPr>
        <w:t>系统设计、建设的各项技术遵循国际标准、国家标准、行业的相关规范和要求。项目设计既要全面，同时建设内容又要符合当前需求以及发展的需要。</w:t>
      </w:r>
    </w:p>
    <w:p>
      <w:pPr>
        <w:pStyle w:val="3"/>
        <w:ind w:firstLine="480"/>
        <w:rPr>
          <w:color w:val="auto"/>
          <w:highlight w:val="none"/>
        </w:rPr>
      </w:pPr>
      <w:r>
        <w:rPr>
          <w:rFonts w:hint="eastAsia"/>
          <w:color w:val="auto"/>
          <w:highlight w:val="none"/>
        </w:rPr>
        <w:t>系统应遵循统筹规划和统一设计的系统结构，尤其是应用系统建设结构、数据模型结构、数据存储结构以及系统扩展规划等内容，均需从全局出发、从长远角度考虑。系统设计要考虑到业务未来发展的需要，尽可能设计得简明，降低各功能模块耦合度，并充分考虑兼容性，并能够支持对多种格式数据的存储。</w:t>
      </w:r>
    </w:p>
    <w:p>
      <w:pPr>
        <w:pStyle w:val="3"/>
        <w:ind w:firstLine="480"/>
        <w:rPr>
          <w:color w:val="auto"/>
          <w:highlight w:val="none"/>
        </w:rPr>
      </w:pPr>
      <w:r>
        <w:rPr>
          <w:rFonts w:hint="eastAsia"/>
          <w:color w:val="auto"/>
          <w:highlight w:val="none"/>
        </w:rPr>
        <w:t>此外本次建设中需充分考虑同基层监狱数据对接的需求，形成一套标准化的数据对接范式。</w:t>
      </w:r>
    </w:p>
    <w:p>
      <w:pPr>
        <w:pStyle w:val="3"/>
        <w:ind w:firstLine="480"/>
        <w:rPr>
          <w:color w:val="auto"/>
          <w:highlight w:val="none"/>
        </w:rPr>
      </w:pPr>
      <w:r>
        <w:rPr>
          <w:rFonts w:hint="eastAsia"/>
          <w:color w:val="auto"/>
          <w:highlight w:val="none"/>
        </w:rPr>
        <w:t>5.稳定性</w:t>
      </w:r>
    </w:p>
    <w:p>
      <w:pPr>
        <w:pStyle w:val="3"/>
        <w:ind w:firstLine="480"/>
        <w:rPr>
          <w:color w:val="auto"/>
          <w:highlight w:val="none"/>
        </w:rPr>
      </w:pPr>
      <w:r>
        <w:rPr>
          <w:rFonts w:hint="eastAsia"/>
          <w:color w:val="auto"/>
          <w:highlight w:val="none"/>
        </w:rPr>
        <w:t>系统设计应保障服务整体及其各服务具有稳定性，一般情况下不会出现死机现象，更不能出现崩溃现象。</w:t>
      </w:r>
    </w:p>
    <w:p>
      <w:pPr>
        <w:pStyle w:val="3"/>
        <w:ind w:firstLine="480"/>
        <w:rPr>
          <w:color w:val="auto"/>
          <w:highlight w:val="none"/>
        </w:rPr>
      </w:pPr>
      <w:r>
        <w:rPr>
          <w:rFonts w:hint="eastAsia"/>
          <w:color w:val="auto"/>
          <w:highlight w:val="none"/>
        </w:rPr>
        <w:t>系统和数据架构设计中充分考虑系统的安全和可靠，保证数据维护、查询、分析、计算的正确性和准确性。系统设计采用符合国家和国际标准的技术成熟、先进的系统设计工具，以保障项目设计对建设内容的全覆盖，并建立统一的质量控制标准、数据与系统一致性和标准化符合性测试检验规范，确保项目信息与系统管理制度的建设和落实，为系统的安全运行奠定基础。</w:t>
      </w:r>
    </w:p>
    <w:p>
      <w:pPr>
        <w:pStyle w:val="3"/>
        <w:ind w:firstLine="480"/>
        <w:rPr>
          <w:color w:val="auto"/>
          <w:highlight w:val="none"/>
        </w:rPr>
      </w:pPr>
      <w:r>
        <w:rPr>
          <w:rFonts w:hint="eastAsia"/>
          <w:color w:val="auto"/>
          <w:highlight w:val="none"/>
        </w:rPr>
        <w:t>6.可扩展性</w:t>
      </w:r>
    </w:p>
    <w:p>
      <w:pPr>
        <w:pStyle w:val="3"/>
        <w:ind w:firstLine="480"/>
        <w:rPr>
          <w:color w:val="auto"/>
          <w:highlight w:val="none"/>
        </w:rPr>
      </w:pPr>
      <w:r>
        <w:rPr>
          <w:rFonts w:hint="eastAsia"/>
          <w:color w:val="auto"/>
          <w:highlight w:val="none"/>
        </w:rPr>
        <w:t>系统应具备一定的动态负载能力，可以支持系统从规模上、功能上易于扩展和升级，应制定可行的解决方案，预留相应的接口。除此之外，还需要实现与其他系统的集成，能够从其他系统中提取相应专业数据。系统应具备开放性，应满足新业务范围的扩展，当出现新的业务时，可以轻松添加进来；系统应具备良好的用户设计体验，并需采用兼容性比较高的系统接口，可以与外部系统或平台进行低耦合的集成，并与其他商业伙伴之间可以进行数据交换。</w:t>
      </w:r>
    </w:p>
    <w:p>
      <w:pPr>
        <w:pStyle w:val="4"/>
        <w:rPr>
          <w:color w:val="auto"/>
          <w:highlight w:val="none"/>
        </w:rPr>
      </w:pPr>
      <w:bookmarkStart w:id="5" w:name="_Toc180570814"/>
      <w:r>
        <w:rPr>
          <w:rFonts w:hint="eastAsia"/>
          <w:color w:val="auto"/>
          <w:highlight w:val="none"/>
        </w:rPr>
        <w:t>网络信息协同要求</w:t>
      </w:r>
      <w:bookmarkEnd w:id="5"/>
    </w:p>
    <w:p>
      <w:pPr>
        <w:pStyle w:val="3"/>
        <w:ind w:firstLine="480"/>
        <w:rPr>
          <w:color w:val="auto"/>
          <w:highlight w:val="none"/>
        </w:rPr>
      </w:pPr>
      <w:r>
        <w:rPr>
          <w:rFonts w:hint="eastAsia"/>
          <w:color w:val="auto"/>
          <w:highlight w:val="none"/>
        </w:rPr>
        <w:t>本次建设系统整体部署于政务云上处于政务外网环境；此外本次系统须考虑同基层监狱系统集成对接，接入基层监狱业务系统以及安防感知设备设施数据；同时本次所建设移动警务轻应用应充分考虑由政务外网与移动网络进行数据交互过程中的网络边界与数据安全问题。</w:t>
      </w:r>
    </w:p>
    <w:p>
      <w:pPr>
        <w:pStyle w:val="3"/>
        <w:ind w:firstLine="480"/>
        <w:rPr>
          <w:color w:val="auto"/>
          <w:highlight w:val="none"/>
        </w:rPr>
      </w:pPr>
      <w:r>
        <w:rPr>
          <w:rFonts w:hint="eastAsia"/>
          <w:color w:val="auto"/>
          <w:highlight w:val="none"/>
        </w:rPr>
        <w:t>投标人应结合上述需求于投标文件中提供合理网络架构设计。</w:t>
      </w:r>
    </w:p>
    <w:p>
      <w:pPr>
        <w:pStyle w:val="3"/>
        <w:ind w:firstLine="480"/>
        <w:rPr>
          <w:color w:val="auto"/>
          <w:highlight w:val="none"/>
        </w:rPr>
      </w:pPr>
    </w:p>
    <w:p>
      <w:pPr>
        <w:pStyle w:val="2"/>
        <w:rPr>
          <w:color w:val="auto"/>
          <w:highlight w:val="none"/>
        </w:rPr>
      </w:pPr>
      <w:bookmarkStart w:id="6" w:name="_Toc180570815"/>
      <w:r>
        <w:rPr>
          <w:rFonts w:hint="eastAsia"/>
          <w:color w:val="auto"/>
          <w:highlight w:val="none"/>
        </w:rPr>
        <w:t>详细建设内容需求</w:t>
      </w:r>
      <w:bookmarkEnd w:id="6"/>
    </w:p>
    <w:p>
      <w:pPr>
        <w:pStyle w:val="4"/>
        <w:rPr>
          <w:color w:val="auto"/>
          <w:highlight w:val="none"/>
          <w:lang w:val="zh-CN"/>
        </w:rPr>
      </w:pPr>
      <w:bookmarkStart w:id="7" w:name="_Toc180570816"/>
      <w:r>
        <w:rPr>
          <w:rFonts w:hint="eastAsia"/>
          <w:color w:val="auto"/>
          <w:highlight w:val="none"/>
          <w:lang w:val="zh-CN"/>
        </w:rPr>
        <w:t>上海监狱数字化赋能底座</w:t>
      </w:r>
      <w:bookmarkEnd w:id="7"/>
    </w:p>
    <w:p>
      <w:pPr>
        <w:pStyle w:val="3"/>
        <w:ind w:firstLine="480"/>
        <w:rPr>
          <w:color w:val="auto"/>
          <w:highlight w:val="none"/>
          <w:lang w:val="zh-CN"/>
        </w:rPr>
      </w:pPr>
      <w:r>
        <w:rPr>
          <w:rFonts w:hint="eastAsia"/>
          <w:color w:val="auto"/>
          <w:highlight w:val="none"/>
          <w:lang w:val="zh-CN"/>
        </w:rPr>
        <w:t>依据“大系统、大平台、大基座”的统筹规划与建设理念，围绕监狱数字化普惠赋能建设构建上海监狱数字化赋能数据、技术、业务三大底座。</w:t>
      </w:r>
    </w:p>
    <w:p>
      <w:pPr>
        <w:pStyle w:val="5"/>
        <w:rPr>
          <w:color w:val="auto"/>
          <w:highlight w:val="none"/>
          <w:lang w:val="zh-CN"/>
        </w:rPr>
      </w:pPr>
      <w:bookmarkStart w:id="8" w:name="_Toc180570817"/>
      <w:r>
        <w:rPr>
          <w:rFonts w:hint="eastAsia"/>
          <w:color w:val="auto"/>
          <w:highlight w:val="none"/>
          <w:lang w:val="zh-CN"/>
        </w:rPr>
        <w:t>数据底座</w:t>
      </w:r>
      <w:bookmarkEnd w:id="8"/>
    </w:p>
    <w:p>
      <w:pPr>
        <w:pStyle w:val="6"/>
        <w:rPr>
          <w:color w:val="auto"/>
          <w:highlight w:val="none"/>
          <w:lang w:val="zh-CN"/>
        </w:rPr>
      </w:pPr>
      <w:r>
        <w:rPr>
          <w:rFonts w:hint="eastAsia"/>
          <w:color w:val="auto"/>
          <w:highlight w:val="none"/>
          <w:lang w:val="zh-CN"/>
        </w:rPr>
        <w:t>产品选型要求</w:t>
      </w:r>
    </w:p>
    <w:p>
      <w:pPr>
        <w:pStyle w:val="3"/>
        <w:ind w:firstLine="480"/>
        <w:rPr>
          <w:color w:val="auto"/>
          <w:highlight w:val="none"/>
          <w:lang w:val="zh-CN"/>
        </w:rPr>
      </w:pPr>
      <w:r>
        <w:rPr>
          <w:rFonts w:hint="eastAsia"/>
          <w:color w:val="auto"/>
          <w:highlight w:val="none"/>
          <w:lang w:val="zh-CN"/>
        </w:rPr>
        <w:t>本次将采购成熟数据存储计算集群产品，为上海市监狱管理局整个数据底座提供分析计算和存储的引擎和工具，是整个数据底座的底层功能支撑。它需要为上海市监狱管理局数据库和数据仓库的构建工作提供高性能、高稳定、高可用的数据库软件，并通过提供关系型数据存储分析能力、NoSQL类数据存储分析能力、离线处理、流处理、数据开发、资源管理、安全控制等组件为数据交换与治理系统的开发进行支撑。</w:t>
      </w:r>
    </w:p>
    <w:p>
      <w:pPr>
        <w:pStyle w:val="7"/>
        <w:rPr>
          <w:color w:val="auto"/>
          <w:highlight w:val="none"/>
          <w:lang w:val="zh-CN"/>
        </w:rPr>
      </w:pPr>
      <w:r>
        <w:rPr>
          <w:rFonts w:hint="eastAsia"/>
          <w:color w:val="auto"/>
          <w:highlight w:val="none"/>
          <w:lang w:val="zh-CN"/>
        </w:rPr>
        <w:t>数据存储计算集群</w:t>
      </w:r>
    </w:p>
    <w:p>
      <w:pPr>
        <w:pStyle w:val="8"/>
        <w:rPr>
          <w:color w:val="auto"/>
          <w:highlight w:val="none"/>
          <w:lang w:val="zh-CN"/>
        </w:rPr>
      </w:pPr>
      <w:r>
        <w:rPr>
          <w:rFonts w:hint="eastAsia"/>
          <w:color w:val="auto"/>
          <w:highlight w:val="none"/>
          <w:lang w:val="zh-CN"/>
        </w:rPr>
        <w:t>总体指标要求</w:t>
      </w:r>
    </w:p>
    <w:p>
      <w:pPr>
        <w:pStyle w:val="3"/>
        <w:ind w:firstLine="480"/>
        <w:rPr>
          <w:color w:val="auto"/>
          <w:highlight w:val="none"/>
          <w:lang w:val="zh-CN"/>
        </w:rPr>
      </w:pPr>
      <w:r>
        <w:rPr>
          <w:rFonts w:hint="eastAsia"/>
          <w:color w:val="auto"/>
          <w:highlight w:val="none"/>
          <w:lang w:val="zh-CN"/>
        </w:rPr>
        <w:t>关系型分析引擎应满足以下指标要求：</w:t>
      </w:r>
    </w:p>
    <w:p>
      <w:pPr>
        <w:pStyle w:val="3"/>
        <w:ind w:firstLine="480"/>
        <w:rPr>
          <w:color w:val="auto"/>
          <w:highlight w:val="none"/>
          <w:lang w:val="zh-CN"/>
        </w:rPr>
      </w:pPr>
      <w:r>
        <w:rPr>
          <w:rFonts w:hint="eastAsia"/>
          <w:color w:val="auto"/>
          <w:highlight w:val="none"/>
          <w:lang w:val="zh-CN"/>
        </w:rPr>
        <w:t>（1）具备完整的TPC-DS能力。</w:t>
      </w:r>
    </w:p>
    <w:p>
      <w:pPr>
        <w:pStyle w:val="3"/>
        <w:ind w:firstLine="480"/>
        <w:rPr>
          <w:color w:val="auto"/>
          <w:highlight w:val="none"/>
          <w:lang w:val="zh-CN"/>
        </w:rPr>
      </w:pPr>
      <w:r>
        <w:rPr>
          <w:rFonts w:hint="eastAsia"/>
          <w:color w:val="auto"/>
          <w:highlight w:val="none"/>
          <w:lang w:val="zh-CN"/>
        </w:rPr>
        <w:t>（2）平均每个CPU core不低于每秒1000万记录的扫描速度，不低于每秒100万记录的聚合速度。</w:t>
      </w:r>
    </w:p>
    <w:p>
      <w:pPr>
        <w:pStyle w:val="3"/>
        <w:ind w:firstLine="480"/>
        <w:rPr>
          <w:color w:val="auto"/>
          <w:highlight w:val="none"/>
          <w:lang w:val="zh-CN"/>
        </w:rPr>
      </w:pPr>
      <w:r>
        <w:rPr>
          <w:rFonts w:hint="eastAsia"/>
          <w:color w:val="auto"/>
          <w:highlight w:val="none"/>
          <w:lang w:val="zh-CN"/>
        </w:rPr>
        <w:t>（3）具备批处理能力，提供7*24稳定高效的计算引擎，满足大数据量处理和复杂逻辑运算需求。</w:t>
      </w:r>
    </w:p>
    <w:p>
      <w:pPr>
        <w:pStyle w:val="3"/>
        <w:ind w:firstLine="480"/>
        <w:rPr>
          <w:color w:val="auto"/>
          <w:highlight w:val="none"/>
          <w:lang w:val="zh-CN"/>
        </w:rPr>
      </w:pPr>
      <w:r>
        <w:rPr>
          <w:rFonts w:hint="eastAsia"/>
          <w:color w:val="auto"/>
          <w:highlight w:val="none"/>
          <w:lang w:val="zh-CN"/>
        </w:rPr>
        <w:t>（4）支持主流数据库数据存储分析，包括但不限于：达梦、人大金仓、MySQL、SQL server、Oracle、DB2、Postgre SQL、Hive、Impala、MongoDB、HDFS、Hbase等。</w:t>
      </w:r>
    </w:p>
    <w:p>
      <w:pPr>
        <w:pStyle w:val="3"/>
        <w:ind w:firstLine="480"/>
        <w:rPr>
          <w:color w:val="auto"/>
          <w:highlight w:val="none"/>
          <w:lang w:val="zh-CN"/>
        </w:rPr>
      </w:pPr>
      <w:r>
        <w:rPr>
          <w:rFonts w:hint="eastAsia"/>
          <w:color w:val="auto"/>
          <w:highlight w:val="none"/>
          <w:lang w:val="zh-CN"/>
        </w:rPr>
        <w:t>NoSQL数据库应满足以下指标要求：</w:t>
      </w:r>
    </w:p>
    <w:p>
      <w:pPr>
        <w:pStyle w:val="3"/>
        <w:ind w:firstLine="480"/>
        <w:rPr>
          <w:color w:val="auto"/>
          <w:highlight w:val="none"/>
          <w:lang w:val="zh-CN"/>
        </w:rPr>
      </w:pPr>
      <w:r>
        <w:rPr>
          <w:rFonts w:hint="eastAsia"/>
          <w:color w:val="auto"/>
          <w:highlight w:val="none"/>
          <w:lang w:val="zh-CN"/>
        </w:rPr>
        <w:t>（1）按关键字检索单表记录延时小于200ms，支持实时数据1000个以上的并发查询。</w:t>
      </w:r>
    </w:p>
    <w:p>
      <w:pPr>
        <w:pStyle w:val="3"/>
        <w:ind w:firstLine="480"/>
        <w:rPr>
          <w:color w:val="auto"/>
          <w:highlight w:val="none"/>
          <w:lang w:val="zh-CN"/>
        </w:rPr>
      </w:pPr>
      <w:r>
        <w:rPr>
          <w:rFonts w:hint="eastAsia"/>
          <w:color w:val="auto"/>
          <w:highlight w:val="none"/>
          <w:lang w:val="zh-CN"/>
        </w:rPr>
        <w:t>（2）按关键字检索多表关联记录延时小于1s，支持数据1000个以上的并发查询。</w:t>
      </w:r>
    </w:p>
    <w:p>
      <w:pPr>
        <w:pStyle w:val="8"/>
        <w:rPr>
          <w:color w:val="auto"/>
          <w:highlight w:val="none"/>
          <w:lang w:val="zh-CN"/>
        </w:rPr>
      </w:pPr>
      <w:r>
        <w:rPr>
          <w:rFonts w:hint="eastAsia"/>
          <w:color w:val="auto"/>
          <w:highlight w:val="none"/>
          <w:lang w:val="zh-CN"/>
        </w:rPr>
        <w:t>关系型分析引擎</w:t>
      </w:r>
    </w:p>
    <w:tbl>
      <w:tblPr>
        <w:tblStyle w:val="35"/>
        <w:tblW w:w="8120" w:type="dxa"/>
        <w:tblInd w:w="0" w:type="dxa"/>
        <w:tblLayout w:type="autofit"/>
        <w:tblCellMar>
          <w:top w:w="0" w:type="dxa"/>
          <w:left w:w="108" w:type="dxa"/>
          <w:bottom w:w="0" w:type="dxa"/>
          <w:right w:w="108" w:type="dxa"/>
        </w:tblCellMar>
      </w:tblPr>
      <w:tblGrid>
        <w:gridCol w:w="1480"/>
        <w:gridCol w:w="2080"/>
        <w:gridCol w:w="4560"/>
      </w:tblGrid>
      <w:tr>
        <w:tblPrEx>
          <w:tblCellMar>
            <w:top w:w="0" w:type="dxa"/>
            <w:left w:w="108" w:type="dxa"/>
            <w:bottom w:w="0" w:type="dxa"/>
            <w:right w:w="108" w:type="dxa"/>
          </w:tblCellMar>
        </w:tblPrEx>
        <w:trPr>
          <w:trHeight w:val="290" w:hRule="atLeast"/>
        </w:trPr>
        <w:tc>
          <w:tcPr>
            <w:tcW w:w="1480" w:type="dxa"/>
            <w:tcBorders>
              <w:top w:val="single" w:color="auto" w:sz="8" w:space="0"/>
              <w:left w:val="single" w:color="auto" w:sz="8" w:space="0"/>
              <w:bottom w:val="single" w:color="auto" w:sz="8" w:space="0"/>
              <w:right w:val="single" w:color="auto" w:sz="8" w:space="0"/>
            </w:tcBorders>
            <w:shd w:val="clear" w:color="000000" w:fill="F2F2F2"/>
            <w:vAlign w:val="center"/>
          </w:tcPr>
          <w:p>
            <w:pPr>
              <w:jc w:val="center"/>
              <w:rPr>
                <w:rFonts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分类</w:t>
            </w:r>
          </w:p>
        </w:tc>
        <w:tc>
          <w:tcPr>
            <w:tcW w:w="2080" w:type="dxa"/>
            <w:tcBorders>
              <w:top w:val="single" w:color="auto" w:sz="8" w:space="0"/>
              <w:left w:val="nil"/>
              <w:bottom w:val="single" w:color="auto" w:sz="8" w:space="0"/>
              <w:right w:val="single" w:color="auto" w:sz="8" w:space="0"/>
            </w:tcBorders>
            <w:shd w:val="clear" w:color="000000" w:fill="F2F2F2"/>
            <w:vAlign w:val="center"/>
          </w:tcPr>
          <w:p>
            <w:pPr>
              <w:jc w:val="center"/>
              <w:rPr>
                <w:rFonts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功能</w:t>
            </w:r>
          </w:p>
        </w:tc>
        <w:tc>
          <w:tcPr>
            <w:tcW w:w="4560" w:type="dxa"/>
            <w:tcBorders>
              <w:top w:val="single" w:color="auto" w:sz="8" w:space="0"/>
              <w:left w:val="nil"/>
              <w:bottom w:val="single" w:color="auto" w:sz="8" w:space="0"/>
              <w:right w:val="single" w:color="auto" w:sz="8" w:space="0"/>
            </w:tcBorders>
            <w:shd w:val="clear" w:color="000000" w:fill="F2F2F2"/>
            <w:vAlign w:val="center"/>
          </w:tcPr>
          <w:p>
            <w:pPr>
              <w:jc w:val="center"/>
              <w:rPr>
                <w:rFonts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功能描述</w:t>
            </w:r>
          </w:p>
        </w:tc>
      </w:tr>
      <w:tr>
        <w:tblPrEx>
          <w:tblCellMar>
            <w:top w:w="0" w:type="dxa"/>
            <w:left w:w="108" w:type="dxa"/>
            <w:bottom w:w="0" w:type="dxa"/>
            <w:right w:w="108" w:type="dxa"/>
          </w:tblCellMar>
        </w:tblPrEx>
        <w:trPr>
          <w:trHeight w:val="280" w:hRule="atLeast"/>
        </w:trPr>
        <w:tc>
          <w:tcPr>
            <w:tcW w:w="14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批处理</w:t>
            </w:r>
          </w:p>
        </w:tc>
        <w:tc>
          <w:tcPr>
            <w:tcW w:w="2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SQL引擎</w:t>
            </w:r>
          </w:p>
        </w:tc>
        <w:tc>
          <w:tcPr>
            <w:tcW w:w="4560" w:type="dxa"/>
            <w:tcBorders>
              <w:top w:val="nil"/>
              <w:left w:val="nil"/>
              <w:bottom w:val="single" w:color="000000" w:sz="4" w:space="0"/>
              <w:right w:val="single" w:color="000000"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支持标准 SQL2003语法；</w:t>
            </w:r>
          </w:p>
        </w:tc>
      </w:tr>
      <w:tr>
        <w:tblPrEx>
          <w:tblCellMar>
            <w:top w:w="0" w:type="dxa"/>
            <w:left w:w="108" w:type="dxa"/>
            <w:bottom w:w="0" w:type="dxa"/>
            <w:right w:w="108" w:type="dxa"/>
          </w:tblCellMar>
        </w:tblPrEx>
        <w:trPr>
          <w:trHeight w:val="280" w:hRule="atLeast"/>
        </w:trPr>
        <w:tc>
          <w:tcPr>
            <w:tcW w:w="148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208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000000" w:sz="4" w:space="0"/>
              <w:right w:val="single" w:color="000000"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支持标准JDBC、ODBC连接；</w:t>
            </w:r>
          </w:p>
        </w:tc>
      </w:tr>
      <w:tr>
        <w:tblPrEx>
          <w:tblCellMar>
            <w:top w:w="0" w:type="dxa"/>
            <w:left w:w="108" w:type="dxa"/>
            <w:bottom w:w="0" w:type="dxa"/>
            <w:right w:w="108" w:type="dxa"/>
          </w:tblCellMar>
        </w:tblPrEx>
        <w:trPr>
          <w:trHeight w:val="1120" w:hRule="atLeast"/>
        </w:trPr>
        <w:tc>
          <w:tcPr>
            <w:tcW w:w="148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208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000000" w:sz="4" w:space="0"/>
              <w:right w:val="single" w:color="000000"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支持完整的数据类型，包括：BOOLEAN、INT、FLOAT、DOUBLE、DECIMAL、CHAR、VARVHAR、STRING、DATE、TIME、BINARY、BLOB、CLOB等；</w:t>
            </w:r>
          </w:p>
        </w:tc>
      </w:tr>
      <w:tr>
        <w:tblPrEx>
          <w:tblCellMar>
            <w:top w:w="0" w:type="dxa"/>
            <w:left w:w="108" w:type="dxa"/>
            <w:bottom w:w="0" w:type="dxa"/>
            <w:right w:w="108" w:type="dxa"/>
          </w:tblCellMar>
        </w:tblPrEx>
        <w:trPr>
          <w:trHeight w:val="560" w:hRule="atLeast"/>
        </w:trPr>
        <w:tc>
          <w:tcPr>
            <w:tcW w:w="148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208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000000" w:sz="4" w:space="0"/>
              <w:right w:val="single" w:color="000000"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支持标准DDL操作数据库对象，包括：数据库、表、视图等；</w:t>
            </w:r>
          </w:p>
        </w:tc>
      </w:tr>
      <w:tr>
        <w:tblPrEx>
          <w:tblCellMar>
            <w:top w:w="0" w:type="dxa"/>
            <w:left w:w="108" w:type="dxa"/>
            <w:bottom w:w="0" w:type="dxa"/>
            <w:right w:w="108" w:type="dxa"/>
          </w:tblCellMar>
        </w:tblPrEx>
        <w:trPr>
          <w:trHeight w:val="560" w:hRule="atLeast"/>
        </w:trPr>
        <w:tc>
          <w:tcPr>
            <w:tcW w:w="148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208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000000" w:sz="4" w:space="0"/>
              <w:right w:val="single" w:color="000000"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支持多种数据格式，包括：ORC、TXT、CSV、Parquet等；</w:t>
            </w:r>
          </w:p>
        </w:tc>
      </w:tr>
      <w:tr>
        <w:tblPrEx>
          <w:tblCellMar>
            <w:top w:w="0" w:type="dxa"/>
            <w:left w:w="108" w:type="dxa"/>
            <w:bottom w:w="0" w:type="dxa"/>
            <w:right w:w="108" w:type="dxa"/>
          </w:tblCellMar>
        </w:tblPrEx>
        <w:trPr>
          <w:trHeight w:val="280" w:hRule="atLeast"/>
        </w:trPr>
        <w:tc>
          <w:tcPr>
            <w:tcW w:w="148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208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000000" w:sz="4" w:space="0"/>
              <w:right w:val="single" w:color="000000"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支持多种数据源类型，包括：Hbase、ES等；</w:t>
            </w:r>
          </w:p>
        </w:tc>
      </w:tr>
      <w:tr>
        <w:tblPrEx>
          <w:tblCellMar>
            <w:top w:w="0" w:type="dxa"/>
            <w:left w:w="108" w:type="dxa"/>
            <w:bottom w:w="0" w:type="dxa"/>
            <w:right w:w="108" w:type="dxa"/>
          </w:tblCellMar>
        </w:tblPrEx>
        <w:trPr>
          <w:trHeight w:val="560" w:hRule="atLeast"/>
        </w:trPr>
        <w:tc>
          <w:tcPr>
            <w:tcW w:w="148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208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000000" w:sz="4" w:space="0"/>
              <w:right w:val="single" w:color="000000"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支持多种类型分区，包括：单值、Range、Interval等；支持多级分区；</w:t>
            </w:r>
          </w:p>
        </w:tc>
      </w:tr>
      <w:tr>
        <w:tblPrEx>
          <w:tblCellMar>
            <w:top w:w="0" w:type="dxa"/>
            <w:left w:w="108" w:type="dxa"/>
            <w:bottom w:w="0" w:type="dxa"/>
            <w:right w:w="108" w:type="dxa"/>
          </w:tblCellMar>
        </w:tblPrEx>
        <w:trPr>
          <w:trHeight w:val="560" w:hRule="atLeast"/>
        </w:trPr>
        <w:tc>
          <w:tcPr>
            <w:tcW w:w="148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208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000000" w:sz="4" w:space="0"/>
              <w:right w:val="single" w:color="000000"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完善的中文支持，数据库名、表名、字段名等都可使用中文；</w:t>
            </w:r>
          </w:p>
        </w:tc>
      </w:tr>
      <w:tr>
        <w:tblPrEx>
          <w:tblCellMar>
            <w:top w:w="0" w:type="dxa"/>
            <w:left w:w="108" w:type="dxa"/>
            <w:bottom w:w="0" w:type="dxa"/>
            <w:right w:w="108" w:type="dxa"/>
          </w:tblCellMar>
        </w:tblPrEx>
        <w:trPr>
          <w:trHeight w:val="560" w:hRule="atLeast"/>
        </w:trPr>
        <w:tc>
          <w:tcPr>
            <w:tcW w:w="148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208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000000" w:sz="4" w:space="0"/>
              <w:right w:val="single" w:color="000000"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兼容开源HIVE，可与HIVE元数据互操作，可执行HIVE开发的批处理程序；</w:t>
            </w:r>
          </w:p>
        </w:tc>
      </w:tr>
      <w:tr>
        <w:tblPrEx>
          <w:tblCellMar>
            <w:top w:w="0" w:type="dxa"/>
            <w:left w:w="108" w:type="dxa"/>
            <w:bottom w:w="0" w:type="dxa"/>
            <w:right w:w="108" w:type="dxa"/>
          </w:tblCellMar>
        </w:tblPrEx>
        <w:trPr>
          <w:trHeight w:val="560" w:hRule="atLeast"/>
        </w:trPr>
        <w:tc>
          <w:tcPr>
            <w:tcW w:w="148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208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000000" w:sz="4" w:space="0"/>
              <w:right w:val="single" w:color="000000"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支持业务平滑接入，内置数百个与关系数据库语义一致的UDF；</w:t>
            </w:r>
          </w:p>
        </w:tc>
      </w:tr>
      <w:tr>
        <w:tblPrEx>
          <w:tblCellMar>
            <w:top w:w="0" w:type="dxa"/>
            <w:left w:w="108" w:type="dxa"/>
            <w:bottom w:w="0" w:type="dxa"/>
            <w:right w:w="108" w:type="dxa"/>
          </w:tblCellMar>
        </w:tblPrEx>
        <w:trPr>
          <w:trHeight w:val="560" w:hRule="atLeast"/>
        </w:trPr>
        <w:tc>
          <w:tcPr>
            <w:tcW w:w="148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208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000000" w:sz="4" w:space="0"/>
              <w:right w:val="single" w:color="000000"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支持FIFO调度、抢占式调度、公平调度等多种调度模式；</w:t>
            </w:r>
          </w:p>
        </w:tc>
      </w:tr>
      <w:tr>
        <w:tblPrEx>
          <w:tblCellMar>
            <w:top w:w="0" w:type="dxa"/>
            <w:left w:w="108" w:type="dxa"/>
            <w:bottom w:w="0" w:type="dxa"/>
            <w:right w:w="108" w:type="dxa"/>
          </w:tblCellMar>
        </w:tblPrEx>
        <w:trPr>
          <w:trHeight w:val="280" w:hRule="atLeast"/>
        </w:trPr>
        <w:tc>
          <w:tcPr>
            <w:tcW w:w="148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208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000000" w:sz="4" w:space="0"/>
              <w:right w:val="single" w:color="000000"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提供图形化SQL运维与调优工具；</w:t>
            </w:r>
          </w:p>
        </w:tc>
      </w:tr>
      <w:tr>
        <w:tblPrEx>
          <w:tblCellMar>
            <w:top w:w="0" w:type="dxa"/>
            <w:left w:w="108" w:type="dxa"/>
            <w:bottom w:w="0" w:type="dxa"/>
            <w:right w:w="108" w:type="dxa"/>
          </w:tblCellMar>
        </w:tblPrEx>
        <w:trPr>
          <w:trHeight w:val="280" w:hRule="atLeast"/>
        </w:trPr>
        <w:tc>
          <w:tcPr>
            <w:tcW w:w="148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208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000000" w:sz="4" w:space="0"/>
              <w:right w:val="single" w:color="000000"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支持物化视图</w:t>
            </w:r>
          </w:p>
        </w:tc>
      </w:tr>
      <w:tr>
        <w:tblPrEx>
          <w:tblCellMar>
            <w:top w:w="0" w:type="dxa"/>
            <w:left w:w="108" w:type="dxa"/>
            <w:bottom w:w="0" w:type="dxa"/>
            <w:right w:w="108" w:type="dxa"/>
          </w:tblCellMar>
        </w:tblPrEx>
        <w:trPr>
          <w:trHeight w:val="560" w:hRule="atLeast"/>
        </w:trPr>
        <w:tc>
          <w:tcPr>
            <w:tcW w:w="148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208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000000" w:sz="4" w:space="0"/>
              <w:right w:val="single" w:color="000000"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ORC表支持多种数据压缩算法，包括zlib、lzo、snappy等；</w:t>
            </w:r>
          </w:p>
        </w:tc>
      </w:tr>
      <w:tr>
        <w:tblPrEx>
          <w:tblCellMar>
            <w:top w:w="0" w:type="dxa"/>
            <w:left w:w="108" w:type="dxa"/>
            <w:bottom w:w="0" w:type="dxa"/>
            <w:right w:w="108" w:type="dxa"/>
          </w:tblCellMar>
        </w:tblPrEx>
        <w:trPr>
          <w:trHeight w:val="560" w:hRule="atLeast"/>
        </w:trPr>
        <w:tc>
          <w:tcPr>
            <w:tcW w:w="148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208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000000" w:sz="4" w:space="0"/>
              <w:right w:val="single" w:color="000000"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支持多种语言UDF函数，包括：SQL、JAVA、scala等UDF函数；</w:t>
            </w:r>
          </w:p>
        </w:tc>
      </w:tr>
      <w:tr>
        <w:tblPrEx>
          <w:tblCellMar>
            <w:top w:w="0" w:type="dxa"/>
            <w:left w:w="108" w:type="dxa"/>
            <w:bottom w:w="0" w:type="dxa"/>
            <w:right w:w="108" w:type="dxa"/>
          </w:tblCellMar>
        </w:tblPrEx>
        <w:trPr>
          <w:trHeight w:val="280" w:hRule="atLeast"/>
        </w:trPr>
        <w:tc>
          <w:tcPr>
            <w:tcW w:w="148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2080"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元数据管理与审计</w:t>
            </w:r>
          </w:p>
        </w:tc>
        <w:tc>
          <w:tcPr>
            <w:tcW w:w="4560" w:type="dxa"/>
            <w:tcBorders>
              <w:top w:val="nil"/>
              <w:left w:val="nil"/>
              <w:bottom w:val="single" w:color="000000" w:sz="4" w:space="0"/>
              <w:right w:val="single" w:color="000000"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支持数据字典（Data Dictionary）；</w:t>
            </w:r>
          </w:p>
        </w:tc>
      </w:tr>
      <w:tr>
        <w:tblPrEx>
          <w:tblCellMar>
            <w:top w:w="0" w:type="dxa"/>
            <w:left w:w="108" w:type="dxa"/>
            <w:bottom w:w="0" w:type="dxa"/>
            <w:right w:w="108" w:type="dxa"/>
          </w:tblCellMar>
        </w:tblPrEx>
        <w:trPr>
          <w:trHeight w:val="280" w:hRule="atLeast"/>
        </w:trPr>
        <w:tc>
          <w:tcPr>
            <w:tcW w:w="148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000000" w:sz="4" w:space="0"/>
              <w:right w:val="single" w:color="000000"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支持元数据管理和数据血缘跟踪；</w:t>
            </w:r>
          </w:p>
        </w:tc>
      </w:tr>
      <w:tr>
        <w:tblPrEx>
          <w:tblCellMar>
            <w:top w:w="0" w:type="dxa"/>
            <w:left w:w="108" w:type="dxa"/>
            <w:bottom w:w="0" w:type="dxa"/>
            <w:right w:w="108" w:type="dxa"/>
          </w:tblCellMar>
        </w:tblPrEx>
        <w:trPr>
          <w:trHeight w:val="560" w:hRule="atLeast"/>
        </w:trPr>
        <w:tc>
          <w:tcPr>
            <w:tcW w:w="148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000000" w:sz="4" w:space="0"/>
              <w:right w:val="single" w:color="000000" w:sz="4" w:space="0"/>
            </w:tcBorders>
            <w:shd w:val="clear" w:color="auto" w:fill="auto"/>
            <w:vAlign w:val="center"/>
          </w:tcPr>
          <w:p>
            <w:pPr>
              <w:rPr>
                <w:rFonts w:ascii="宋体" w:hAnsi="宋体" w:eastAsia="宋体" w:cs="宋体"/>
                <w:color w:val="auto"/>
                <w:sz w:val="22"/>
                <w:szCs w:val="22"/>
                <w:highlight w:val="none"/>
              </w:rPr>
            </w:pPr>
            <w:r>
              <w:rPr>
                <w:rFonts w:hint="eastAsia" w:cs="仿宋" w:asciiTheme="majorEastAsia" w:hAnsiTheme="majorEastAsia" w:eastAsiaTheme="majorEastAsia"/>
                <w:color w:val="auto"/>
                <w:sz w:val="22"/>
                <w:szCs w:val="22"/>
                <w:highlight w:val="none"/>
                <w:shd w:val="clear" w:color="auto" w:fill="FFFFFF"/>
              </w:rPr>
              <w:t>▲</w:t>
            </w:r>
            <w:r>
              <w:rPr>
                <w:rFonts w:cs="仿宋" w:asciiTheme="majorEastAsia" w:hAnsiTheme="majorEastAsia" w:eastAsiaTheme="majorEastAsia"/>
                <w:color w:val="auto"/>
                <w:sz w:val="22"/>
                <w:szCs w:val="22"/>
                <w:highlight w:val="none"/>
                <w:shd w:val="clear" w:color="auto" w:fill="FFFFFF"/>
              </w:rPr>
              <w:t>1</w:t>
            </w:r>
            <w:r>
              <w:rPr>
                <w:rFonts w:hint="eastAsia" w:ascii="宋体" w:hAnsi="宋体" w:eastAsia="宋体" w:cs="宋体"/>
                <w:color w:val="auto"/>
                <w:sz w:val="22"/>
                <w:szCs w:val="22"/>
                <w:highlight w:val="none"/>
              </w:rPr>
              <w:t>支持安全审计管理，记录所有安全和权限相关的操作，可追溯检索详细审计历史；（提供系统截图证明）</w:t>
            </w:r>
          </w:p>
        </w:tc>
      </w:tr>
      <w:tr>
        <w:tblPrEx>
          <w:tblCellMar>
            <w:top w:w="0" w:type="dxa"/>
            <w:left w:w="108" w:type="dxa"/>
            <w:bottom w:w="0" w:type="dxa"/>
            <w:right w:w="108" w:type="dxa"/>
          </w:tblCellMar>
        </w:tblPrEx>
        <w:trPr>
          <w:trHeight w:val="280" w:hRule="atLeast"/>
        </w:trPr>
        <w:tc>
          <w:tcPr>
            <w:tcW w:w="148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2080"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运维与高可靠</w:t>
            </w:r>
          </w:p>
        </w:tc>
        <w:tc>
          <w:tcPr>
            <w:tcW w:w="4560" w:type="dxa"/>
            <w:tcBorders>
              <w:top w:val="nil"/>
              <w:left w:val="nil"/>
              <w:bottom w:val="single" w:color="000000" w:sz="4" w:space="0"/>
              <w:right w:val="single" w:color="000000"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支持计算服务高可用；</w:t>
            </w:r>
          </w:p>
        </w:tc>
      </w:tr>
      <w:tr>
        <w:tblPrEx>
          <w:tblCellMar>
            <w:top w:w="0" w:type="dxa"/>
            <w:left w:w="108" w:type="dxa"/>
            <w:bottom w:w="0" w:type="dxa"/>
            <w:right w:w="108" w:type="dxa"/>
          </w:tblCellMar>
        </w:tblPrEx>
        <w:trPr>
          <w:trHeight w:val="560" w:hRule="atLeast"/>
        </w:trPr>
        <w:tc>
          <w:tcPr>
            <w:tcW w:w="148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000000" w:sz="4" w:space="0"/>
              <w:right w:val="single" w:color="000000"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支持集群高性能扩展，能支撑数千节点的分布式计算与存储；</w:t>
            </w:r>
          </w:p>
        </w:tc>
      </w:tr>
      <w:tr>
        <w:tblPrEx>
          <w:tblCellMar>
            <w:top w:w="0" w:type="dxa"/>
            <w:left w:w="108" w:type="dxa"/>
            <w:bottom w:w="0" w:type="dxa"/>
            <w:right w:w="108" w:type="dxa"/>
          </w:tblCellMar>
        </w:tblPrEx>
        <w:trPr>
          <w:trHeight w:val="560" w:hRule="atLeast"/>
        </w:trPr>
        <w:tc>
          <w:tcPr>
            <w:tcW w:w="148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000000" w:sz="4" w:space="0"/>
              <w:right w:val="single" w:color="000000"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支持基于容器技术的集群安装、部署、在线升级；</w:t>
            </w:r>
          </w:p>
        </w:tc>
      </w:tr>
      <w:tr>
        <w:tblPrEx>
          <w:tblCellMar>
            <w:top w:w="0" w:type="dxa"/>
            <w:left w:w="108" w:type="dxa"/>
            <w:bottom w:w="0" w:type="dxa"/>
            <w:right w:w="108" w:type="dxa"/>
          </w:tblCellMar>
        </w:tblPrEx>
        <w:trPr>
          <w:trHeight w:val="560" w:hRule="atLeast"/>
        </w:trPr>
        <w:tc>
          <w:tcPr>
            <w:tcW w:w="148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000000" w:sz="4" w:space="0"/>
              <w:right w:val="single" w:color="000000"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提供易用的运维工具，能便捷的启停集群，监控集群状态，实时告警；</w:t>
            </w:r>
          </w:p>
        </w:tc>
      </w:tr>
      <w:tr>
        <w:tblPrEx>
          <w:tblCellMar>
            <w:top w:w="0" w:type="dxa"/>
            <w:left w:w="108" w:type="dxa"/>
            <w:bottom w:w="0" w:type="dxa"/>
            <w:right w:w="108" w:type="dxa"/>
          </w:tblCellMar>
        </w:tblPrEx>
        <w:trPr>
          <w:trHeight w:val="840" w:hRule="atLeast"/>
        </w:trPr>
        <w:tc>
          <w:tcPr>
            <w:tcW w:w="1480" w:type="dxa"/>
            <w:vMerge w:val="continue"/>
            <w:tcBorders>
              <w:top w:val="single" w:color="000000" w:sz="4" w:space="0"/>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000000" w:sz="4" w:space="0"/>
              <w:right w:val="single" w:color="000000"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支持整个扩容过程在线完成，系统正在运行的建表、查询、插入、更新、删除等任务不受影响</w:t>
            </w:r>
          </w:p>
        </w:tc>
      </w:tr>
      <w:tr>
        <w:tblPrEx>
          <w:tblCellMar>
            <w:top w:w="0" w:type="dxa"/>
            <w:left w:w="108" w:type="dxa"/>
            <w:bottom w:w="0" w:type="dxa"/>
            <w:right w:w="108" w:type="dxa"/>
          </w:tblCellMar>
        </w:tblPrEx>
        <w:trPr>
          <w:trHeight w:val="560" w:hRule="atLeast"/>
        </w:trPr>
        <w:tc>
          <w:tcPr>
            <w:tcW w:w="1480"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数据湖</w:t>
            </w:r>
          </w:p>
        </w:tc>
        <w:tc>
          <w:tcPr>
            <w:tcW w:w="2080"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分布式事务与</w:t>
            </w:r>
            <w:r>
              <w:rPr>
                <w:rFonts w:hint="eastAsia" w:ascii="宋体" w:hAnsi="宋体" w:eastAsia="宋体" w:cs="宋体"/>
                <w:color w:val="auto"/>
                <w:sz w:val="22"/>
                <w:szCs w:val="22"/>
                <w:highlight w:val="none"/>
              </w:rPr>
              <w:br w:type="textWrapping"/>
            </w:r>
            <w:r>
              <w:rPr>
                <w:rFonts w:hint="eastAsia" w:ascii="宋体" w:hAnsi="宋体" w:eastAsia="宋体" w:cs="宋体"/>
                <w:color w:val="auto"/>
                <w:sz w:val="22"/>
                <w:szCs w:val="22"/>
                <w:highlight w:val="none"/>
              </w:rPr>
              <w:t>高性能处理</w:t>
            </w:r>
          </w:p>
        </w:tc>
        <w:tc>
          <w:tcPr>
            <w:tcW w:w="4560" w:type="dxa"/>
            <w:tcBorders>
              <w:top w:val="nil"/>
              <w:left w:val="nil"/>
              <w:bottom w:val="single" w:color="000000" w:sz="4" w:space="0"/>
              <w:right w:val="single" w:color="000000"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支持分布式事务处理，保障原子性、一致性、隔离性、持久性 (ACID)；</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000000" w:sz="4" w:space="0"/>
              <w:right w:val="single" w:color="000000"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支持事务隔离，采用可序列化快照隔离技术，并保证事务处理的并发性能；</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000000" w:sz="4" w:space="0"/>
              <w:right w:val="single" w:color="000000"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支持列式存储数据的高性能增删改，单节点每秒上万条记录；</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000000" w:sz="4" w:space="0"/>
              <w:right w:val="single" w:color="000000"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支持基于成本的优化器(cost based optimizer)</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000000" w:sz="4" w:space="0"/>
              <w:right w:val="single" w:color="000000"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支持高并发SQL路由规则，自动负载均衡；</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2080"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多租户支持</w:t>
            </w:r>
          </w:p>
        </w:tc>
        <w:tc>
          <w:tcPr>
            <w:tcW w:w="4560" w:type="dxa"/>
            <w:tcBorders>
              <w:top w:val="nil"/>
              <w:left w:val="nil"/>
              <w:bottom w:val="single" w:color="000000" w:sz="4" w:space="0"/>
              <w:right w:val="single" w:color="000000"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支持角色访问权限控制(RBAC)，能便捷的配置对服务、数据库的操作权限；</w:t>
            </w:r>
          </w:p>
        </w:tc>
      </w:tr>
      <w:tr>
        <w:tblPrEx>
          <w:tblCellMar>
            <w:top w:w="0" w:type="dxa"/>
            <w:left w:w="108" w:type="dxa"/>
            <w:bottom w:w="0" w:type="dxa"/>
            <w:right w:w="108" w:type="dxa"/>
          </w:tblCellMar>
        </w:tblPrEx>
        <w:trPr>
          <w:trHeight w:val="840" w:hRule="atLeast"/>
        </w:trPr>
        <w:tc>
          <w:tcPr>
            <w:tcW w:w="1480" w:type="dxa"/>
            <w:vMerge w:val="continue"/>
            <w:tcBorders>
              <w:top w:val="nil"/>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000000" w:sz="4" w:space="0"/>
              <w:right w:val="single" w:color="000000"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支持数据库安全认证，支持可以界面化配置为Kerberos、LDAP；支持增删改查用户、角色、用户组；</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000000" w:sz="4" w:space="0"/>
              <w:right w:val="single" w:color="000000"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支持多租户管理，提供弹性的资源共享，保障数据、资源、应用间的安全隔离；</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000000" w:sz="4" w:space="0"/>
              <w:right w:val="single" w:color="000000"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支持权限管理，包括：增删改查库级、用户级、表级、行列级权限；</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000000" w:sz="4" w:space="0"/>
              <w:right w:val="single" w:color="000000"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支持多级队列智能调度，用树形结构管理资源队列，管理细化到Task；</w:t>
            </w:r>
          </w:p>
        </w:tc>
      </w:tr>
      <w:tr>
        <w:tblPrEx>
          <w:tblCellMar>
            <w:top w:w="0" w:type="dxa"/>
            <w:left w:w="108" w:type="dxa"/>
            <w:bottom w:w="0" w:type="dxa"/>
            <w:right w:w="108" w:type="dxa"/>
          </w:tblCellMar>
        </w:tblPrEx>
        <w:trPr>
          <w:trHeight w:val="280" w:hRule="atLeast"/>
        </w:trPr>
        <w:tc>
          <w:tcPr>
            <w:tcW w:w="1480"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数据仓库</w:t>
            </w:r>
          </w:p>
        </w:tc>
        <w:tc>
          <w:tcPr>
            <w:tcW w:w="2080"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多语言支持</w:t>
            </w:r>
            <w:r>
              <w:rPr>
                <w:rFonts w:hint="eastAsia" w:ascii="宋体" w:hAnsi="宋体" w:eastAsia="宋体" w:cs="宋体"/>
                <w:color w:val="auto"/>
                <w:sz w:val="22"/>
                <w:szCs w:val="22"/>
                <w:highlight w:val="none"/>
              </w:rPr>
              <w:br w:type="textWrapping"/>
            </w:r>
            <w:r>
              <w:rPr>
                <w:rFonts w:hint="eastAsia" w:ascii="宋体" w:hAnsi="宋体" w:eastAsia="宋体" w:cs="宋体"/>
                <w:color w:val="auto"/>
                <w:sz w:val="22"/>
                <w:szCs w:val="22"/>
                <w:highlight w:val="none"/>
              </w:rPr>
              <w:t>与数据迁移</w:t>
            </w:r>
          </w:p>
        </w:tc>
        <w:tc>
          <w:tcPr>
            <w:tcW w:w="4560" w:type="dxa"/>
            <w:tcBorders>
              <w:top w:val="nil"/>
              <w:left w:val="nil"/>
              <w:bottom w:val="single" w:color="000000" w:sz="4" w:space="0"/>
              <w:right w:val="single" w:color="000000"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支持标准Oracle PL/SQL存储过程语法；</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000000" w:sz="4" w:space="0"/>
              <w:right w:val="single" w:color="000000"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支持标准IBM DB2 SQL PL存储过程语法；</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000000" w:sz="4" w:space="0"/>
              <w:right w:val="single" w:color="000000"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支持标准Teradata SQL语法和方言；</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000000" w:sz="4" w:space="0"/>
              <w:right w:val="single" w:color="000000"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支持从关系数据库(Oracle、DB2、MySQL等)准实时(秒级)增量同步数据；</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000000" w:sz="4" w:space="0"/>
              <w:right w:val="single" w:color="000000"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数据库支持数据稽核(data audit)，提高导入数据的质量；</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2080" w:type="dxa"/>
            <w:vMerge w:val="restart"/>
            <w:tcBorders>
              <w:top w:val="nil"/>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数据联邦与优化</w:t>
            </w:r>
          </w:p>
        </w:tc>
        <w:tc>
          <w:tcPr>
            <w:tcW w:w="4560" w:type="dxa"/>
            <w:tcBorders>
              <w:top w:val="nil"/>
              <w:left w:val="nil"/>
              <w:bottom w:val="single" w:color="000000" w:sz="4" w:space="0"/>
              <w:right w:val="single" w:color="000000"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支持高级调度管理混合负载，在多租户场景下，高优先级用户可更优先调度获取资源；</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000000" w:sz="4" w:space="0"/>
              <w:right w:val="single" w:color="000000"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支持小文件智能合并，提升数据读写性能；</w:t>
            </w:r>
          </w:p>
        </w:tc>
      </w:tr>
      <w:tr>
        <w:tblPrEx>
          <w:tblCellMar>
            <w:top w:w="0" w:type="dxa"/>
            <w:left w:w="108" w:type="dxa"/>
            <w:bottom w:w="0" w:type="dxa"/>
            <w:right w:w="108" w:type="dxa"/>
          </w:tblCellMar>
        </w:tblPrEx>
        <w:trPr>
          <w:trHeight w:val="840" w:hRule="atLeast"/>
        </w:trPr>
        <w:tc>
          <w:tcPr>
            <w:tcW w:w="1480" w:type="dxa"/>
            <w:vMerge w:val="continue"/>
            <w:tcBorders>
              <w:top w:val="nil"/>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000000" w:sz="4" w:space="0"/>
              <w:bottom w:val="single" w:color="000000" w:sz="4" w:space="0"/>
              <w:right w:val="single" w:color="000000"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000000" w:sz="4" w:space="0"/>
              <w:right w:val="single" w:color="000000"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支持通过DB-Link对外部数据平台Teradata、Oracle、MySQL、CDH等进行数据联邦查询、插入操作；</w:t>
            </w:r>
          </w:p>
        </w:tc>
      </w:tr>
    </w:tbl>
    <w:p>
      <w:pPr>
        <w:pStyle w:val="3"/>
        <w:ind w:firstLine="480"/>
        <w:rPr>
          <w:color w:val="auto"/>
          <w:highlight w:val="none"/>
        </w:rPr>
      </w:pPr>
    </w:p>
    <w:p>
      <w:pPr>
        <w:pStyle w:val="8"/>
        <w:rPr>
          <w:color w:val="auto"/>
          <w:highlight w:val="none"/>
          <w:lang w:val="zh-CN"/>
        </w:rPr>
      </w:pPr>
      <w:r>
        <w:rPr>
          <w:rFonts w:hint="eastAsia"/>
          <w:color w:val="auto"/>
          <w:highlight w:val="none"/>
          <w:lang w:val="zh-CN"/>
        </w:rPr>
        <w:t>流计算引擎</w:t>
      </w:r>
    </w:p>
    <w:tbl>
      <w:tblPr>
        <w:tblStyle w:val="35"/>
        <w:tblW w:w="8070" w:type="dxa"/>
        <w:tblInd w:w="0" w:type="dxa"/>
        <w:tblLayout w:type="autofit"/>
        <w:tblCellMar>
          <w:top w:w="0" w:type="dxa"/>
          <w:left w:w="108" w:type="dxa"/>
          <w:bottom w:w="0" w:type="dxa"/>
          <w:right w:w="108" w:type="dxa"/>
        </w:tblCellMar>
      </w:tblPr>
      <w:tblGrid>
        <w:gridCol w:w="1550"/>
        <w:gridCol w:w="1984"/>
        <w:gridCol w:w="4536"/>
      </w:tblGrid>
      <w:tr>
        <w:tblPrEx>
          <w:tblCellMar>
            <w:top w:w="0" w:type="dxa"/>
            <w:left w:w="108" w:type="dxa"/>
            <w:bottom w:w="0" w:type="dxa"/>
            <w:right w:w="108" w:type="dxa"/>
          </w:tblCellMar>
        </w:tblPrEx>
        <w:trPr>
          <w:trHeight w:val="290" w:hRule="atLeast"/>
        </w:trPr>
        <w:tc>
          <w:tcPr>
            <w:tcW w:w="1550" w:type="dxa"/>
            <w:tcBorders>
              <w:top w:val="single" w:color="auto" w:sz="8" w:space="0"/>
              <w:left w:val="single" w:color="auto" w:sz="8" w:space="0"/>
              <w:bottom w:val="single" w:color="auto" w:sz="8" w:space="0"/>
              <w:right w:val="single" w:color="auto" w:sz="8" w:space="0"/>
            </w:tcBorders>
            <w:shd w:val="clear" w:color="000000" w:fill="F2F2F2"/>
            <w:vAlign w:val="center"/>
          </w:tcPr>
          <w:p>
            <w:pPr>
              <w:jc w:val="center"/>
              <w:rPr>
                <w:rFonts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分类</w:t>
            </w:r>
          </w:p>
        </w:tc>
        <w:tc>
          <w:tcPr>
            <w:tcW w:w="1984" w:type="dxa"/>
            <w:tcBorders>
              <w:top w:val="single" w:color="auto" w:sz="8" w:space="0"/>
              <w:left w:val="nil"/>
              <w:bottom w:val="single" w:color="auto" w:sz="8" w:space="0"/>
              <w:right w:val="single" w:color="auto" w:sz="8" w:space="0"/>
            </w:tcBorders>
            <w:shd w:val="clear" w:color="000000" w:fill="F2F2F2"/>
            <w:vAlign w:val="center"/>
          </w:tcPr>
          <w:p>
            <w:pPr>
              <w:jc w:val="center"/>
              <w:rPr>
                <w:rFonts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功能</w:t>
            </w:r>
          </w:p>
        </w:tc>
        <w:tc>
          <w:tcPr>
            <w:tcW w:w="4536" w:type="dxa"/>
            <w:tcBorders>
              <w:top w:val="single" w:color="auto" w:sz="8" w:space="0"/>
              <w:left w:val="nil"/>
              <w:bottom w:val="single" w:color="auto" w:sz="8" w:space="0"/>
              <w:right w:val="single" w:color="auto" w:sz="8" w:space="0"/>
            </w:tcBorders>
            <w:shd w:val="clear" w:color="000000" w:fill="F2F2F2"/>
            <w:vAlign w:val="center"/>
          </w:tcPr>
          <w:p>
            <w:pPr>
              <w:jc w:val="center"/>
              <w:rPr>
                <w:rFonts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功能描述</w:t>
            </w:r>
          </w:p>
        </w:tc>
      </w:tr>
      <w:tr>
        <w:tblPrEx>
          <w:tblCellMar>
            <w:top w:w="0" w:type="dxa"/>
            <w:left w:w="108" w:type="dxa"/>
            <w:bottom w:w="0" w:type="dxa"/>
            <w:right w:w="108" w:type="dxa"/>
          </w:tblCellMar>
        </w:tblPrEx>
        <w:trPr>
          <w:trHeight w:val="1680" w:hRule="atLeast"/>
        </w:trPr>
        <w:tc>
          <w:tcPr>
            <w:tcW w:w="1550"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流计算引擎</w:t>
            </w:r>
          </w:p>
        </w:tc>
        <w:tc>
          <w:tcPr>
            <w:tcW w:w="1984"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准实时ETL</w:t>
            </w:r>
          </w:p>
        </w:tc>
        <w:tc>
          <w:tcPr>
            <w:tcW w:w="4536" w:type="dxa"/>
            <w:tcBorders>
              <w:top w:val="single" w:color="auto" w:sz="4" w:space="0"/>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支持数据输入管理，适配多种数据源，包括生产系统应用日志、渠道与交易系统的WebSocket信息流、外部系统数据包、分布式消息队列、用户自定义数据源等；</w:t>
            </w:r>
            <w:r>
              <w:rPr>
                <w:rFonts w:hint="eastAsia" w:ascii="宋体" w:hAnsi="宋体" w:eastAsia="宋体" w:cs="宋体"/>
                <w:color w:val="auto"/>
                <w:sz w:val="22"/>
                <w:szCs w:val="22"/>
                <w:highlight w:val="none"/>
              </w:rPr>
              <w:br w:type="textWrapping"/>
            </w:r>
            <w:r>
              <w:rPr>
                <w:rFonts w:hint="eastAsia" w:ascii="宋体" w:hAnsi="宋体" w:eastAsia="宋体" w:cs="宋体"/>
                <w:color w:val="auto"/>
                <w:sz w:val="22"/>
                <w:szCs w:val="22"/>
                <w:highlight w:val="none"/>
              </w:rPr>
              <w:t>支持数据输出管理，适配多种存储、包括用户自定义数据存储、流数据持久化存储等；</w:t>
            </w:r>
          </w:p>
        </w:tc>
      </w:tr>
      <w:tr>
        <w:tblPrEx>
          <w:tblCellMar>
            <w:top w:w="0" w:type="dxa"/>
            <w:left w:w="108" w:type="dxa"/>
            <w:bottom w:w="0" w:type="dxa"/>
            <w:right w:w="108" w:type="dxa"/>
          </w:tblCellMar>
        </w:tblPrEx>
        <w:trPr>
          <w:trHeight w:val="560" w:hRule="atLeast"/>
        </w:trPr>
        <w:tc>
          <w:tcPr>
            <w:tcW w:w="155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4"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36"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支持标准ANSI SQL2003语法和流式SQL (Streaming SQL)；</w:t>
            </w:r>
          </w:p>
        </w:tc>
      </w:tr>
      <w:tr>
        <w:tblPrEx>
          <w:tblCellMar>
            <w:top w:w="0" w:type="dxa"/>
            <w:left w:w="108" w:type="dxa"/>
            <w:bottom w:w="0" w:type="dxa"/>
            <w:right w:w="108" w:type="dxa"/>
          </w:tblCellMar>
        </w:tblPrEx>
        <w:trPr>
          <w:trHeight w:val="560" w:hRule="atLeast"/>
        </w:trPr>
        <w:tc>
          <w:tcPr>
            <w:tcW w:w="155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4"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36"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支持低延时事件驱动模式，管理事件的时间序列；</w:t>
            </w:r>
          </w:p>
        </w:tc>
      </w:tr>
      <w:tr>
        <w:tblPrEx>
          <w:tblCellMar>
            <w:top w:w="0" w:type="dxa"/>
            <w:left w:w="108" w:type="dxa"/>
            <w:bottom w:w="0" w:type="dxa"/>
            <w:right w:w="108" w:type="dxa"/>
          </w:tblCellMar>
        </w:tblPrEx>
        <w:trPr>
          <w:trHeight w:val="280" w:hRule="atLeast"/>
        </w:trPr>
        <w:tc>
          <w:tcPr>
            <w:tcW w:w="155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4"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36"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支持滑动时间窗口、区间时间窗口、会话窗口；</w:t>
            </w:r>
          </w:p>
        </w:tc>
      </w:tr>
      <w:tr>
        <w:tblPrEx>
          <w:tblCellMar>
            <w:top w:w="0" w:type="dxa"/>
            <w:left w:w="108" w:type="dxa"/>
            <w:bottom w:w="0" w:type="dxa"/>
            <w:right w:w="108" w:type="dxa"/>
          </w:tblCellMar>
        </w:tblPrEx>
        <w:trPr>
          <w:trHeight w:val="560" w:hRule="atLeast"/>
        </w:trPr>
        <w:tc>
          <w:tcPr>
            <w:tcW w:w="155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4"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36"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支持通过SQL进行多个实时流关联分析(流与流)、流和表关联分析(流与数据表)；</w:t>
            </w:r>
          </w:p>
        </w:tc>
      </w:tr>
      <w:tr>
        <w:tblPrEx>
          <w:tblCellMar>
            <w:top w:w="0" w:type="dxa"/>
            <w:left w:w="108" w:type="dxa"/>
            <w:bottom w:w="0" w:type="dxa"/>
            <w:right w:w="108" w:type="dxa"/>
          </w:tblCellMar>
        </w:tblPrEx>
        <w:trPr>
          <w:trHeight w:val="280" w:hRule="atLeast"/>
        </w:trPr>
        <w:tc>
          <w:tcPr>
            <w:tcW w:w="155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4"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36"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支持对JSON类型数据的灵活且高效地解析与处理</w:t>
            </w:r>
          </w:p>
        </w:tc>
      </w:tr>
      <w:tr>
        <w:tblPrEx>
          <w:tblCellMar>
            <w:top w:w="0" w:type="dxa"/>
            <w:left w:w="108" w:type="dxa"/>
            <w:bottom w:w="0" w:type="dxa"/>
            <w:right w:w="108" w:type="dxa"/>
          </w:tblCellMar>
        </w:tblPrEx>
        <w:trPr>
          <w:trHeight w:val="560" w:hRule="atLeast"/>
        </w:trPr>
        <w:tc>
          <w:tcPr>
            <w:tcW w:w="155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4"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管理与运维</w:t>
            </w:r>
          </w:p>
        </w:tc>
        <w:tc>
          <w:tcPr>
            <w:tcW w:w="4536"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支持流任务租户级别的资源隔离管控、用户权限控制、生命周期管理；</w:t>
            </w:r>
          </w:p>
        </w:tc>
      </w:tr>
      <w:tr>
        <w:tblPrEx>
          <w:tblCellMar>
            <w:top w:w="0" w:type="dxa"/>
            <w:left w:w="108" w:type="dxa"/>
            <w:bottom w:w="0" w:type="dxa"/>
            <w:right w:w="108" w:type="dxa"/>
          </w:tblCellMar>
        </w:tblPrEx>
        <w:trPr>
          <w:trHeight w:val="560" w:hRule="atLeast"/>
        </w:trPr>
        <w:tc>
          <w:tcPr>
            <w:tcW w:w="155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4"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36"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支持自动的背压流控机制 (Back Pressure)，防止数据流发生阻塞，实现流量控制；</w:t>
            </w:r>
          </w:p>
        </w:tc>
      </w:tr>
      <w:tr>
        <w:tblPrEx>
          <w:tblCellMar>
            <w:top w:w="0" w:type="dxa"/>
            <w:left w:w="108" w:type="dxa"/>
            <w:bottom w:w="0" w:type="dxa"/>
            <w:right w:w="108" w:type="dxa"/>
          </w:tblCellMar>
        </w:tblPrEx>
        <w:trPr>
          <w:trHeight w:val="840" w:hRule="atLeast"/>
        </w:trPr>
        <w:tc>
          <w:tcPr>
            <w:tcW w:w="155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4"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36"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支持时间窗口内数据保序，具有确保消息不丢不重(exactly-once)的数据容错处理能力，保证数据的一致性和可靠性；</w:t>
            </w:r>
          </w:p>
        </w:tc>
      </w:tr>
      <w:tr>
        <w:tblPrEx>
          <w:tblCellMar>
            <w:top w:w="0" w:type="dxa"/>
            <w:left w:w="108" w:type="dxa"/>
            <w:bottom w:w="0" w:type="dxa"/>
            <w:right w:w="108" w:type="dxa"/>
          </w:tblCellMar>
        </w:tblPrEx>
        <w:trPr>
          <w:trHeight w:val="560" w:hRule="atLeast"/>
        </w:trPr>
        <w:tc>
          <w:tcPr>
            <w:tcW w:w="155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4"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36"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支持任务自动负载均衡，集群高可用，故障自动恢复；</w:t>
            </w:r>
          </w:p>
        </w:tc>
      </w:tr>
      <w:tr>
        <w:tblPrEx>
          <w:tblCellMar>
            <w:top w:w="0" w:type="dxa"/>
            <w:left w:w="108" w:type="dxa"/>
            <w:bottom w:w="0" w:type="dxa"/>
            <w:right w:w="108" w:type="dxa"/>
          </w:tblCellMar>
        </w:tblPrEx>
        <w:trPr>
          <w:trHeight w:val="280" w:hRule="atLeast"/>
        </w:trPr>
        <w:tc>
          <w:tcPr>
            <w:tcW w:w="155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4"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36"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支持多server统一管理以及动态扩缩容操作</w:t>
            </w:r>
          </w:p>
        </w:tc>
      </w:tr>
      <w:tr>
        <w:tblPrEx>
          <w:tblCellMar>
            <w:top w:w="0" w:type="dxa"/>
            <w:left w:w="108" w:type="dxa"/>
            <w:bottom w:w="0" w:type="dxa"/>
            <w:right w:w="108" w:type="dxa"/>
          </w:tblCellMar>
        </w:tblPrEx>
        <w:trPr>
          <w:trHeight w:val="560" w:hRule="atLeast"/>
        </w:trPr>
        <w:tc>
          <w:tcPr>
            <w:tcW w:w="155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4"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实时预测性分析</w:t>
            </w:r>
          </w:p>
        </w:tc>
        <w:tc>
          <w:tcPr>
            <w:tcW w:w="4536"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支持Oracle PL/SQL存储过程语法 (Streaming Procedural Language)</w:t>
            </w:r>
          </w:p>
        </w:tc>
      </w:tr>
      <w:tr>
        <w:tblPrEx>
          <w:tblCellMar>
            <w:top w:w="0" w:type="dxa"/>
            <w:left w:w="108" w:type="dxa"/>
            <w:bottom w:w="0" w:type="dxa"/>
            <w:right w:w="108" w:type="dxa"/>
          </w:tblCellMar>
        </w:tblPrEx>
        <w:trPr>
          <w:trHeight w:val="560" w:hRule="atLeast"/>
        </w:trPr>
        <w:tc>
          <w:tcPr>
            <w:tcW w:w="155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4"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36"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支持用户自定义函数，兼容Hive UDF，支持异步运行UDF。</w:t>
            </w:r>
          </w:p>
        </w:tc>
      </w:tr>
      <w:tr>
        <w:tblPrEx>
          <w:tblCellMar>
            <w:top w:w="0" w:type="dxa"/>
            <w:left w:w="108" w:type="dxa"/>
            <w:bottom w:w="0" w:type="dxa"/>
            <w:right w:w="108" w:type="dxa"/>
          </w:tblCellMar>
        </w:tblPrEx>
        <w:trPr>
          <w:trHeight w:val="840" w:hRule="atLeast"/>
        </w:trPr>
        <w:tc>
          <w:tcPr>
            <w:tcW w:w="155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4"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36"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支持实时流数据挖掘功能，能够结合机器学习算法对流数据进行模型训练或异常检测，并提供基于流数据进行复杂应用开发的能力；</w:t>
            </w:r>
          </w:p>
        </w:tc>
      </w:tr>
      <w:tr>
        <w:tblPrEx>
          <w:tblCellMar>
            <w:top w:w="0" w:type="dxa"/>
            <w:left w:w="108" w:type="dxa"/>
            <w:bottom w:w="0" w:type="dxa"/>
            <w:right w:w="108" w:type="dxa"/>
          </w:tblCellMar>
        </w:tblPrEx>
        <w:trPr>
          <w:trHeight w:val="840" w:hRule="atLeast"/>
        </w:trPr>
        <w:tc>
          <w:tcPr>
            <w:tcW w:w="155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4"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实时统计分析和复杂事件处理</w:t>
            </w:r>
          </w:p>
        </w:tc>
        <w:tc>
          <w:tcPr>
            <w:tcW w:w="4536"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支持分布式规则引擎 (Rule Engine)，自定义规则，兼容Drools语法，提供异步接口，访问数据库的同时可以保证高吞吐</w:t>
            </w:r>
          </w:p>
        </w:tc>
      </w:tr>
      <w:tr>
        <w:tblPrEx>
          <w:tblCellMar>
            <w:top w:w="0" w:type="dxa"/>
            <w:left w:w="108" w:type="dxa"/>
            <w:bottom w:w="0" w:type="dxa"/>
            <w:right w:w="108" w:type="dxa"/>
          </w:tblCellMar>
        </w:tblPrEx>
        <w:trPr>
          <w:trHeight w:val="560" w:hRule="atLeast"/>
        </w:trPr>
        <w:tc>
          <w:tcPr>
            <w:tcW w:w="155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4"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36"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支持通过SQL方式实现复杂事件处理，实现复杂实时事件监控 (Streaming CEP)；</w:t>
            </w:r>
          </w:p>
        </w:tc>
      </w:tr>
      <w:tr>
        <w:tblPrEx>
          <w:tblCellMar>
            <w:top w:w="0" w:type="dxa"/>
            <w:left w:w="108" w:type="dxa"/>
            <w:bottom w:w="0" w:type="dxa"/>
            <w:right w:w="108" w:type="dxa"/>
          </w:tblCellMar>
        </w:tblPrEx>
        <w:trPr>
          <w:trHeight w:val="560" w:hRule="atLeast"/>
        </w:trPr>
        <w:tc>
          <w:tcPr>
            <w:tcW w:w="155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4"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36"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支持Redis存储，可以直接对Redis数据做计算或更新</w:t>
            </w:r>
          </w:p>
        </w:tc>
      </w:tr>
      <w:tr>
        <w:tblPrEx>
          <w:tblCellMar>
            <w:top w:w="0" w:type="dxa"/>
            <w:left w:w="108" w:type="dxa"/>
            <w:bottom w:w="0" w:type="dxa"/>
            <w:right w:w="108" w:type="dxa"/>
          </w:tblCellMar>
        </w:tblPrEx>
        <w:trPr>
          <w:trHeight w:val="560" w:hRule="atLeast"/>
        </w:trPr>
        <w:tc>
          <w:tcPr>
            <w:tcW w:w="1550"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4"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36"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支持通过SQL方式实现流式实时累计指标统计、数据分析加速功能；</w:t>
            </w:r>
          </w:p>
        </w:tc>
      </w:tr>
    </w:tbl>
    <w:p>
      <w:pPr>
        <w:pStyle w:val="3"/>
        <w:ind w:firstLine="480"/>
        <w:rPr>
          <w:color w:val="auto"/>
          <w:highlight w:val="none"/>
        </w:rPr>
      </w:pPr>
    </w:p>
    <w:p>
      <w:pPr>
        <w:pStyle w:val="8"/>
        <w:rPr>
          <w:color w:val="auto"/>
          <w:highlight w:val="none"/>
          <w:lang w:val="zh-CN"/>
        </w:rPr>
      </w:pPr>
      <w:r>
        <w:rPr>
          <w:rFonts w:hint="eastAsia"/>
          <w:color w:val="auto"/>
          <w:highlight w:val="none"/>
          <w:lang w:val="zh-CN"/>
        </w:rPr>
        <w:t>分布式NoSQL数据库</w:t>
      </w:r>
    </w:p>
    <w:tbl>
      <w:tblPr>
        <w:tblStyle w:val="35"/>
        <w:tblW w:w="8120" w:type="dxa"/>
        <w:tblInd w:w="0" w:type="dxa"/>
        <w:tblLayout w:type="autofit"/>
        <w:tblCellMar>
          <w:top w:w="0" w:type="dxa"/>
          <w:left w:w="108" w:type="dxa"/>
          <w:bottom w:w="0" w:type="dxa"/>
          <w:right w:w="108" w:type="dxa"/>
        </w:tblCellMar>
      </w:tblPr>
      <w:tblGrid>
        <w:gridCol w:w="1480"/>
        <w:gridCol w:w="2080"/>
        <w:gridCol w:w="4560"/>
      </w:tblGrid>
      <w:tr>
        <w:tblPrEx>
          <w:tblCellMar>
            <w:top w:w="0" w:type="dxa"/>
            <w:left w:w="108" w:type="dxa"/>
            <w:bottom w:w="0" w:type="dxa"/>
            <w:right w:w="108" w:type="dxa"/>
          </w:tblCellMar>
        </w:tblPrEx>
        <w:trPr>
          <w:trHeight w:val="280" w:hRule="atLeast"/>
        </w:trPr>
        <w:tc>
          <w:tcPr>
            <w:tcW w:w="1480" w:type="dxa"/>
            <w:tcBorders>
              <w:top w:val="single" w:color="auto" w:sz="4" w:space="0"/>
              <w:left w:val="single" w:color="auto" w:sz="4" w:space="0"/>
              <w:bottom w:val="single" w:color="auto" w:sz="4" w:space="0"/>
              <w:right w:val="single" w:color="auto" w:sz="4" w:space="0"/>
            </w:tcBorders>
            <w:shd w:val="clear" w:color="000000" w:fill="F2F2F2"/>
            <w:vAlign w:val="center"/>
          </w:tcPr>
          <w:p>
            <w:pPr>
              <w:jc w:val="center"/>
              <w:rPr>
                <w:rFonts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分类</w:t>
            </w:r>
          </w:p>
        </w:tc>
        <w:tc>
          <w:tcPr>
            <w:tcW w:w="2080" w:type="dxa"/>
            <w:tcBorders>
              <w:top w:val="single" w:color="auto" w:sz="4" w:space="0"/>
              <w:left w:val="nil"/>
              <w:bottom w:val="single" w:color="auto" w:sz="4" w:space="0"/>
              <w:right w:val="single" w:color="auto" w:sz="4" w:space="0"/>
            </w:tcBorders>
            <w:shd w:val="clear" w:color="000000" w:fill="F2F2F2"/>
            <w:vAlign w:val="center"/>
          </w:tcPr>
          <w:p>
            <w:pPr>
              <w:jc w:val="center"/>
              <w:rPr>
                <w:rFonts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功能</w:t>
            </w:r>
          </w:p>
        </w:tc>
        <w:tc>
          <w:tcPr>
            <w:tcW w:w="4560" w:type="dxa"/>
            <w:tcBorders>
              <w:top w:val="single" w:color="auto" w:sz="4" w:space="0"/>
              <w:left w:val="nil"/>
              <w:bottom w:val="single" w:color="auto" w:sz="4" w:space="0"/>
              <w:right w:val="single" w:color="auto" w:sz="4" w:space="0"/>
            </w:tcBorders>
            <w:shd w:val="clear" w:color="000000" w:fill="F2F2F2"/>
            <w:vAlign w:val="center"/>
          </w:tcPr>
          <w:p>
            <w:pPr>
              <w:jc w:val="center"/>
              <w:rPr>
                <w:rFonts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功能描述</w:t>
            </w:r>
          </w:p>
        </w:tc>
      </w:tr>
      <w:tr>
        <w:tblPrEx>
          <w:tblCellMar>
            <w:top w:w="0" w:type="dxa"/>
            <w:left w:w="108" w:type="dxa"/>
            <w:bottom w:w="0" w:type="dxa"/>
            <w:right w:w="108" w:type="dxa"/>
          </w:tblCellMar>
        </w:tblPrEx>
        <w:trPr>
          <w:trHeight w:val="560" w:hRule="atLeast"/>
        </w:trPr>
        <w:tc>
          <w:tcPr>
            <w:tcW w:w="148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分布式NoSQL数据库</w:t>
            </w: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分布式消息队列</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支持多种消息发布/订阅需求，支持消息持久化、回溯消费、就近消费和消息自动清理</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具备高吞吐和低延迟能力，多项内核优化，支持千级分区性能依旧出色</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支持多种消息格式和压缩格式，支持文本、二进制、Json数据类型等；支持Lz4等压缩格式</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运维和管理</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支持统一可视化界面权限配置管理，支持按主题、消费者组等粒度的权限控制</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支持多种安全访问协议</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支持统一运维管理界面监控服务健康状态</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支持统一运维管理界面监控集群网络、内存、CPU等信息</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提供Broker内部状态、客户端生产消费情况、JVM、磁盘读写等丰富的监控指标</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MirrorMaker2支持集群间数据和消费情况同步，具备更高的容错性和更好的横向扩展性</w:t>
            </w:r>
          </w:p>
        </w:tc>
      </w:tr>
      <w:tr>
        <w:tblPrEx>
          <w:tblCellMar>
            <w:top w:w="0" w:type="dxa"/>
            <w:left w:w="108" w:type="dxa"/>
            <w:bottom w:w="0" w:type="dxa"/>
            <w:right w:w="108" w:type="dxa"/>
          </w:tblCellMar>
        </w:tblPrEx>
        <w:trPr>
          <w:trHeight w:val="84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提供丰富的工具，可灵活触发消费负载均衡、控制客户端流量、通过文件或复杂数据结构修改配置</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支持统一可视化运维管理界面配置服务参数</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支持统一可视化运维管理界面安装部署升级等操作</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输入输出Connect框架</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提供丰富的connector，可对接CDC数据、输出到各类存储</w:t>
            </w:r>
          </w:p>
        </w:tc>
      </w:tr>
      <w:tr>
        <w:tblPrEx>
          <w:tblCellMar>
            <w:top w:w="0" w:type="dxa"/>
            <w:left w:w="108" w:type="dxa"/>
            <w:bottom w:w="0" w:type="dxa"/>
            <w:right w:w="108" w:type="dxa"/>
          </w:tblCellMar>
        </w:tblPrEx>
        <w:trPr>
          <w:trHeight w:val="84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提供单个消息转换功能（SMT）对单条数据处理，并可根据条件过滤或处理进入到集群的数据</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兼容性</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支持兼容开源Kafka 版本，可以直接使用开源的客户端与服务端通信使用</w:t>
            </w:r>
          </w:p>
        </w:tc>
      </w:tr>
      <w:tr>
        <w:tblPrEx>
          <w:tblCellMar>
            <w:top w:w="0" w:type="dxa"/>
            <w:left w:w="108" w:type="dxa"/>
            <w:bottom w:w="0" w:type="dxa"/>
            <w:right w:w="108" w:type="dxa"/>
          </w:tblCellMar>
        </w:tblPrEx>
        <w:trPr>
          <w:trHeight w:val="84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性能与扩展</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标配硬件单节点支持10000个分区（Topic数*分区数，1个Topic1分区可以支持10000个分区）</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标配硬件支持单节点带宽300MB/s</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标配硬件支持单节点不低于300,000条消息每秒</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单个服务支持弹性横向扩展（Topic数、分区数、带宽），理论上无上限</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高可用性</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支持多副本存储（默认3副本）</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支持跨机房部署</w:t>
            </w:r>
          </w:p>
        </w:tc>
      </w:tr>
    </w:tbl>
    <w:p>
      <w:pPr>
        <w:pStyle w:val="3"/>
        <w:ind w:firstLine="480"/>
        <w:rPr>
          <w:color w:val="auto"/>
          <w:highlight w:val="none"/>
          <w:lang w:val="zh-CN"/>
        </w:rPr>
      </w:pPr>
    </w:p>
    <w:p>
      <w:pPr>
        <w:pStyle w:val="8"/>
        <w:rPr>
          <w:color w:val="auto"/>
          <w:highlight w:val="none"/>
          <w:lang w:val="zh-CN"/>
        </w:rPr>
      </w:pPr>
      <w:r>
        <w:rPr>
          <w:rFonts w:hint="eastAsia"/>
          <w:color w:val="auto"/>
          <w:highlight w:val="none"/>
          <w:lang w:val="zh-CN"/>
        </w:rPr>
        <w:t>分布式键值数据库</w:t>
      </w:r>
    </w:p>
    <w:tbl>
      <w:tblPr>
        <w:tblStyle w:val="35"/>
        <w:tblW w:w="8120" w:type="dxa"/>
        <w:tblInd w:w="0" w:type="dxa"/>
        <w:tblLayout w:type="autofit"/>
        <w:tblCellMar>
          <w:top w:w="0" w:type="dxa"/>
          <w:left w:w="108" w:type="dxa"/>
          <w:bottom w:w="0" w:type="dxa"/>
          <w:right w:w="108" w:type="dxa"/>
        </w:tblCellMar>
      </w:tblPr>
      <w:tblGrid>
        <w:gridCol w:w="1480"/>
        <w:gridCol w:w="2080"/>
        <w:gridCol w:w="4560"/>
      </w:tblGrid>
      <w:tr>
        <w:tblPrEx>
          <w:tblCellMar>
            <w:top w:w="0" w:type="dxa"/>
            <w:left w:w="108" w:type="dxa"/>
            <w:bottom w:w="0" w:type="dxa"/>
            <w:right w:w="108" w:type="dxa"/>
          </w:tblCellMar>
        </w:tblPrEx>
        <w:trPr>
          <w:trHeight w:val="280" w:hRule="atLeast"/>
        </w:trPr>
        <w:tc>
          <w:tcPr>
            <w:tcW w:w="1480" w:type="dxa"/>
            <w:tcBorders>
              <w:top w:val="single" w:color="auto" w:sz="4" w:space="0"/>
              <w:left w:val="single" w:color="auto" w:sz="4" w:space="0"/>
              <w:bottom w:val="single" w:color="auto" w:sz="4" w:space="0"/>
              <w:right w:val="single" w:color="auto" w:sz="4" w:space="0"/>
            </w:tcBorders>
            <w:shd w:val="clear" w:color="000000" w:fill="F2F2F2"/>
            <w:vAlign w:val="center"/>
          </w:tcPr>
          <w:p>
            <w:pPr>
              <w:jc w:val="center"/>
              <w:rPr>
                <w:rFonts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分类</w:t>
            </w:r>
          </w:p>
        </w:tc>
        <w:tc>
          <w:tcPr>
            <w:tcW w:w="2080" w:type="dxa"/>
            <w:tcBorders>
              <w:top w:val="single" w:color="auto" w:sz="4" w:space="0"/>
              <w:left w:val="nil"/>
              <w:bottom w:val="single" w:color="auto" w:sz="4" w:space="0"/>
              <w:right w:val="single" w:color="auto" w:sz="4" w:space="0"/>
            </w:tcBorders>
            <w:shd w:val="clear" w:color="000000" w:fill="F2F2F2"/>
            <w:vAlign w:val="center"/>
          </w:tcPr>
          <w:p>
            <w:pPr>
              <w:jc w:val="center"/>
              <w:rPr>
                <w:rFonts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功能</w:t>
            </w:r>
          </w:p>
        </w:tc>
        <w:tc>
          <w:tcPr>
            <w:tcW w:w="4560" w:type="dxa"/>
            <w:tcBorders>
              <w:top w:val="single" w:color="auto" w:sz="4" w:space="0"/>
              <w:left w:val="nil"/>
              <w:bottom w:val="single" w:color="auto" w:sz="4" w:space="0"/>
              <w:right w:val="single" w:color="auto" w:sz="4" w:space="0"/>
            </w:tcBorders>
            <w:shd w:val="clear" w:color="000000" w:fill="F2F2F2"/>
            <w:vAlign w:val="center"/>
          </w:tcPr>
          <w:p>
            <w:pPr>
              <w:jc w:val="center"/>
              <w:rPr>
                <w:rFonts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功能描述</w:t>
            </w:r>
          </w:p>
        </w:tc>
      </w:tr>
      <w:tr>
        <w:tblPrEx>
          <w:tblCellMar>
            <w:top w:w="0" w:type="dxa"/>
            <w:left w:w="108" w:type="dxa"/>
            <w:bottom w:w="0" w:type="dxa"/>
            <w:right w:w="108" w:type="dxa"/>
          </w:tblCellMar>
        </w:tblPrEx>
        <w:trPr>
          <w:trHeight w:val="290" w:hRule="atLeast"/>
        </w:trPr>
        <w:tc>
          <w:tcPr>
            <w:tcW w:w="148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分布式键值数据库</w:t>
            </w: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键值数据库</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支持基于SQL数据访问和操作</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支持基于SQL的复杂查询，例如：Join、Group By等查询</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支持基于SQL操作的负载均衡</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兼容开源Redis数据类型和API</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支持复杂数据类型：List、Set、Sorted set、Hash Map、Bitmap等</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分布式缓存中间件</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提供丰富的过期淘汰算法, 支持内存使用限制命令</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分布式锁中间件</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提供特有NX PX指令参数，能够轻松实现分布式锁</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高性能以及高拓展性</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提供完全基于内存的数据存储和查询，提供极致的访问速度</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支持两种高可用架构：主从高可用架构，基于Raft协议的高可用架构；支持数据强一致性</w:t>
            </w:r>
          </w:p>
        </w:tc>
      </w:tr>
      <w:tr>
        <w:tblPrEx>
          <w:tblCellMar>
            <w:top w:w="0" w:type="dxa"/>
            <w:left w:w="108" w:type="dxa"/>
            <w:bottom w:w="0" w:type="dxa"/>
            <w:right w:w="108" w:type="dxa"/>
          </w:tblCellMar>
        </w:tblPrEx>
        <w:trPr>
          <w:trHeight w:val="84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Raft高可用架构支持多副本存储，支持多副本容错；小于1/2副本数故障不影响数据读写，多于1/2副本数故障不影响数据读取</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主从架构支持1主多从副本存储</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标配硬件单节点支持5万TPS数据读取</w:t>
            </w:r>
          </w:p>
        </w:tc>
      </w:tr>
      <w:tr>
        <w:tblPrEx>
          <w:tblCellMar>
            <w:top w:w="0" w:type="dxa"/>
            <w:left w:w="108" w:type="dxa"/>
            <w:bottom w:w="0" w:type="dxa"/>
            <w:right w:w="108" w:type="dxa"/>
          </w:tblCellMar>
        </w:tblPrEx>
        <w:trPr>
          <w:trHeight w:val="84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标配硬件，主从高可用架构单节点支持5万TPS写入；基于Raft高可用架构单节点支持1万TPS写入</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noWrap/>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支持横向弹性扩缩容，扩容规模理论无上限</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noWrap/>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扩容和缩容不能影响业务正常运行</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运维管理</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支持统一运维管理界面部署、监控、删除、升级服务</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支持统一运维管理界面配置、修改服务参数</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支持统一运维管理界面配置系统资源，如：CPU、内存、磁盘等</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支持统一运维管理界面监控集群网络、内存、CPU等信息</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支持统一安全管控，界面化配置管理权限</w:t>
            </w:r>
          </w:p>
        </w:tc>
      </w:tr>
    </w:tbl>
    <w:p>
      <w:pPr>
        <w:pStyle w:val="3"/>
        <w:ind w:firstLine="480"/>
        <w:rPr>
          <w:color w:val="auto"/>
          <w:highlight w:val="none"/>
        </w:rPr>
      </w:pPr>
    </w:p>
    <w:p>
      <w:pPr>
        <w:pStyle w:val="8"/>
        <w:rPr>
          <w:color w:val="auto"/>
          <w:highlight w:val="none"/>
          <w:lang w:val="zh-CN"/>
        </w:rPr>
      </w:pPr>
      <w:r>
        <w:rPr>
          <w:rFonts w:hint="eastAsia"/>
          <w:color w:val="auto"/>
          <w:highlight w:val="none"/>
          <w:lang w:val="zh-CN"/>
        </w:rPr>
        <w:t>实时NoSQL宽表数据库</w:t>
      </w:r>
    </w:p>
    <w:tbl>
      <w:tblPr>
        <w:tblStyle w:val="35"/>
        <w:tblW w:w="8120" w:type="dxa"/>
        <w:tblInd w:w="0" w:type="dxa"/>
        <w:tblLayout w:type="autofit"/>
        <w:tblCellMar>
          <w:top w:w="0" w:type="dxa"/>
          <w:left w:w="108" w:type="dxa"/>
          <w:bottom w:w="0" w:type="dxa"/>
          <w:right w:w="108" w:type="dxa"/>
        </w:tblCellMar>
      </w:tblPr>
      <w:tblGrid>
        <w:gridCol w:w="1450"/>
        <w:gridCol w:w="2020"/>
        <w:gridCol w:w="4650"/>
      </w:tblGrid>
      <w:tr>
        <w:tblPrEx>
          <w:tblCellMar>
            <w:top w:w="0" w:type="dxa"/>
            <w:left w:w="108" w:type="dxa"/>
            <w:bottom w:w="0" w:type="dxa"/>
            <w:right w:w="108" w:type="dxa"/>
          </w:tblCellMar>
        </w:tblPrEx>
        <w:trPr>
          <w:trHeight w:val="280" w:hRule="atLeast"/>
        </w:trPr>
        <w:tc>
          <w:tcPr>
            <w:tcW w:w="1450" w:type="dxa"/>
            <w:tcBorders>
              <w:top w:val="single" w:color="auto" w:sz="4" w:space="0"/>
              <w:left w:val="single" w:color="auto" w:sz="4" w:space="0"/>
              <w:bottom w:val="single" w:color="auto" w:sz="4" w:space="0"/>
              <w:right w:val="single" w:color="auto" w:sz="4" w:space="0"/>
            </w:tcBorders>
            <w:shd w:val="clear" w:color="000000" w:fill="F2F2F2"/>
            <w:vAlign w:val="center"/>
          </w:tcPr>
          <w:p>
            <w:pPr>
              <w:jc w:val="center"/>
              <w:rPr>
                <w:rFonts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分类</w:t>
            </w:r>
          </w:p>
        </w:tc>
        <w:tc>
          <w:tcPr>
            <w:tcW w:w="2020" w:type="dxa"/>
            <w:tcBorders>
              <w:top w:val="single" w:color="auto" w:sz="4" w:space="0"/>
              <w:left w:val="nil"/>
              <w:bottom w:val="single" w:color="auto" w:sz="4" w:space="0"/>
              <w:right w:val="single" w:color="auto" w:sz="4" w:space="0"/>
            </w:tcBorders>
            <w:shd w:val="clear" w:color="000000" w:fill="F2F2F2"/>
            <w:vAlign w:val="center"/>
          </w:tcPr>
          <w:p>
            <w:pPr>
              <w:jc w:val="center"/>
              <w:rPr>
                <w:rFonts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功能</w:t>
            </w:r>
          </w:p>
        </w:tc>
        <w:tc>
          <w:tcPr>
            <w:tcW w:w="4650" w:type="dxa"/>
            <w:tcBorders>
              <w:top w:val="single" w:color="auto" w:sz="4" w:space="0"/>
              <w:left w:val="nil"/>
              <w:bottom w:val="single" w:color="auto" w:sz="4" w:space="0"/>
              <w:right w:val="single" w:color="auto" w:sz="4" w:space="0"/>
            </w:tcBorders>
            <w:shd w:val="clear" w:color="000000" w:fill="F2F2F2"/>
            <w:vAlign w:val="center"/>
          </w:tcPr>
          <w:p>
            <w:pPr>
              <w:jc w:val="center"/>
              <w:rPr>
                <w:rFonts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功能描述</w:t>
            </w:r>
          </w:p>
        </w:tc>
      </w:tr>
      <w:tr>
        <w:tblPrEx>
          <w:tblCellMar>
            <w:top w:w="0" w:type="dxa"/>
            <w:left w:w="108" w:type="dxa"/>
            <w:bottom w:w="0" w:type="dxa"/>
            <w:right w:w="108" w:type="dxa"/>
          </w:tblCellMar>
        </w:tblPrEx>
        <w:trPr>
          <w:trHeight w:val="290" w:hRule="atLeast"/>
        </w:trPr>
        <w:tc>
          <w:tcPr>
            <w:tcW w:w="145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实时NoSQL宽表数据库</w:t>
            </w:r>
          </w:p>
        </w:tc>
        <w:tc>
          <w:tcPr>
            <w:tcW w:w="202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海量数据的存储与检索</w:t>
            </w:r>
          </w:p>
        </w:tc>
        <w:tc>
          <w:tcPr>
            <w:tcW w:w="4650" w:type="dxa"/>
            <w:tcBorders>
              <w:top w:val="nil"/>
              <w:left w:val="nil"/>
              <w:bottom w:val="single" w:color="auto" w:sz="4" w:space="0"/>
              <w:right w:val="single" w:color="auto" w:sz="4" w:space="0"/>
            </w:tcBorders>
            <w:shd w:val="clear" w:color="auto" w:fill="auto"/>
            <w:noWrap/>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支持基于rowkey的高速数据检索；</w:t>
            </w:r>
          </w:p>
        </w:tc>
      </w:tr>
      <w:tr>
        <w:tblPrEx>
          <w:tblCellMar>
            <w:top w:w="0" w:type="dxa"/>
            <w:left w:w="108" w:type="dxa"/>
            <w:bottom w:w="0" w:type="dxa"/>
            <w:right w:w="108" w:type="dxa"/>
          </w:tblCellMar>
        </w:tblPrEx>
        <w:trPr>
          <w:trHeight w:val="280" w:hRule="atLeast"/>
        </w:trPr>
        <w:tc>
          <w:tcPr>
            <w:tcW w:w="145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650" w:type="dxa"/>
            <w:tcBorders>
              <w:top w:val="nil"/>
              <w:left w:val="nil"/>
              <w:bottom w:val="single" w:color="auto" w:sz="4" w:space="0"/>
              <w:right w:val="single" w:color="auto" w:sz="4" w:space="0"/>
            </w:tcBorders>
            <w:shd w:val="clear" w:color="auto" w:fill="auto"/>
            <w:noWrap/>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支持基于堆外的内存管理模型，提升稳定性；</w:t>
            </w:r>
          </w:p>
        </w:tc>
      </w:tr>
      <w:tr>
        <w:tblPrEx>
          <w:tblCellMar>
            <w:top w:w="0" w:type="dxa"/>
            <w:left w:w="108" w:type="dxa"/>
            <w:bottom w:w="0" w:type="dxa"/>
            <w:right w:w="108" w:type="dxa"/>
          </w:tblCellMar>
        </w:tblPrEx>
        <w:trPr>
          <w:trHeight w:val="280" w:hRule="atLeast"/>
        </w:trPr>
        <w:tc>
          <w:tcPr>
            <w:tcW w:w="145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650" w:type="dxa"/>
            <w:tcBorders>
              <w:top w:val="nil"/>
              <w:left w:val="nil"/>
              <w:bottom w:val="single" w:color="auto" w:sz="4" w:space="0"/>
              <w:right w:val="single" w:color="auto" w:sz="4" w:space="0"/>
            </w:tcBorders>
            <w:shd w:val="clear" w:color="auto" w:fill="auto"/>
            <w:noWrap/>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支持SQL-bulkload工具，能超高速写入数据；</w:t>
            </w:r>
          </w:p>
        </w:tc>
      </w:tr>
      <w:tr>
        <w:tblPrEx>
          <w:tblCellMar>
            <w:top w:w="0" w:type="dxa"/>
            <w:left w:w="108" w:type="dxa"/>
            <w:bottom w:w="0" w:type="dxa"/>
            <w:right w:w="108" w:type="dxa"/>
          </w:tblCellMar>
        </w:tblPrEx>
        <w:trPr>
          <w:trHeight w:val="280" w:hRule="atLeast"/>
        </w:trPr>
        <w:tc>
          <w:tcPr>
            <w:tcW w:w="145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650" w:type="dxa"/>
            <w:tcBorders>
              <w:top w:val="nil"/>
              <w:left w:val="nil"/>
              <w:bottom w:val="single" w:color="auto" w:sz="4" w:space="0"/>
              <w:right w:val="single" w:color="auto" w:sz="4" w:space="0"/>
            </w:tcBorders>
            <w:shd w:val="clear" w:color="auto" w:fill="auto"/>
            <w:noWrap/>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支持自动化工具快速修复在线集群状态；</w:t>
            </w:r>
          </w:p>
        </w:tc>
      </w:tr>
      <w:tr>
        <w:tblPrEx>
          <w:tblCellMar>
            <w:top w:w="0" w:type="dxa"/>
            <w:left w:w="108" w:type="dxa"/>
            <w:bottom w:w="0" w:type="dxa"/>
            <w:right w:w="108" w:type="dxa"/>
          </w:tblCellMar>
        </w:tblPrEx>
        <w:trPr>
          <w:trHeight w:val="280" w:hRule="atLeast"/>
        </w:trPr>
        <w:tc>
          <w:tcPr>
            <w:tcW w:w="145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650" w:type="dxa"/>
            <w:tcBorders>
              <w:top w:val="nil"/>
              <w:left w:val="nil"/>
              <w:bottom w:val="single" w:color="auto" w:sz="4" w:space="0"/>
              <w:right w:val="single" w:color="auto" w:sz="4" w:space="0"/>
            </w:tcBorders>
            <w:shd w:val="clear" w:color="auto" w:fill="auto"/>
            <w:noWrap/>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支持Kerberos加密，细粒度权限管控；</w:t>
            </w:r>
          </w:p>
        </w:tc>
      </w:tr>
      <w:tr>
        <w:tblPrEx>
          <w:tblCellMar>
            <w:top w:w="0" w:type="dxa"/>
            <w:left w:w="108" w:type="dxa"/>
            <w:bottom w:w="0" w:type="dxa"/>
            <w:right w:w="108" w:type="dxa"/>
          </w:tblCellMar>
        </w:tblPrEx>
        <w:trPr>
          <w:trHeight w:val="280" w:hRule="atLeast"/>
        </w:trPr>
        <w:tc>
          <w:tcPr>
            <w:tcW w:w="145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650" w:type="dxa"/>
            <w:tcBorders>
              <w:top w:val="nil"/>
              <w:left w:val="nil"/>
              <w:bottom w:val="single" w:color="auto" w:sz="4" w:space="0"/>
              <w:right w:val="single" w:color="auto" w:sz="4" w:space="0"/>
            </w:tcBorders>
            <w:shd w:val="clear" w:color="auto" w:fill="auto"/>
            <w:noWrap/>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支持Region的动态拆分和合并；</w:t>
            </w:r>
          </w:p>
        </w:tc>
      </w:tr>
      <w:tr>
        <w:tblPrEx>
          <w:tblCellMar>
            <w:top w:w="0" w:type="dxa"/>
            <w:left w:w="108" w:type="dxa"/>
            <w:bottom w:w="0" w:type="dxa"/>
            <w:right w:w="108" w:type="dxa"/>
          </w:tblCellMar>
        </w:tblPrEx>
        <w:trPr>
          <w:trHeight w:val="280" w:hRule="atLeast"/>
        </w:trPr>
        <w:tc>
          <w:tcPr>
            <w:tcW w:w="145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2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实时数据入库</w:t>
            </w:r>
          </w:p>
        </w:tc>
        <w:tc>
          <w:tcPr>
            <w:tcW w:w="4650" w:type="dxa"/>
            <w:tcBorders>
              <w:top w:val="nil"/>
              <w:left w:val="nil"/>
              <w:bottom w:val="single" w:color="auto" w:sz="4" w:space="0"/>
              <w:right w:val="single" w:color="auto" w:sz="4" w:space="0"/>
            </w:tcBorders>
            <w:shd w:val="clear" w:color="auto" w:fill="auto"/>
            <w:noWrap/>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支持混合存储，可使用SSD加速数据读写性能；</w:t>
            </w:r>
          </w:p>
        </w:tc>
      </w:tr>
      <w:tr>
        <w:tblPrEx>
          <w:tblCellMar>
            <w:top w:w="0" w:type="dxa"/>
            <w:left w:w="108" w:type="dxa"/>
            <w:bottom w:w="0" w:type="dxa"/>
            <w:right w:w="108" w:type="dxa"/>
          </w:tblCellMar>
        </w:tblPrEx>
        <w:trPr>
          <w:trHeight w:val="280" w:hRule="atLeast"/>
        </w:trPr>
        <w:tc>
          <w:tcPr>
            <w:tcW w:w="145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65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支持标准ANSI SQL2003语法；</w:t>
            </w:r>
          </w:p>
        </w:tc>
      </w:tr>
      <w:tr>
        <w:tblPrEx>
          <w:tblCellMar>
            <w:top w:w="0" w:type="dxa"/>
            <w:left w:w="108" w:type="dxa"/>
            <w:bottom w:w="0" w:type="dxa"/>
            <w:right w:w="108" w:type="dxa"/>
          </w:tblCellMar>
        </w:tblPrEx>
        <w:trPr>
          <w:trHeight w:val="280" w:hRule="atLeast"/>
        </w:trPr>
        <w:tc>
          <w:tcPr>
            <w:tcW w:w="145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2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高并发的查询业务</w:t>
            </w:r>
          </w:p>
        </w:tc>
        <w:tc>
          <w:tcPr>
            <w:tcW w:w="4650" w:type="dxa"/>
            <w:tcBorders>
              <w:top w:val="nil"/>
              <w:left w:val="nil"/>
              <w:bottom w:val="single" w:color="auto" w:sz="4" w:space="0"/>
              <w:right w:val="single" w:color="auto" w:sz="4" w:space="0"/>
            </w:tcBorders>
            <w:shd w:val="clear" w:color="auto" w:fill="auto"/>
            <w:noWrap/>
            <w:vAlign w:val="center"/>
          </w:tcPr>
          <w:p>
            <w:pPr>
              <w:rPr>
                <w:rFonts w:ascii="宋体" w:hAnsi="宋体" w:eastAsia="宋体" w:cs="宋体"/>
                <w:color w:val="auto"/>
                <w:sz w:val="22"/>
                <w:szCs w:val="22"/>
                <w:highlight w:val="none"/>
              </w:rPr>
            </w:pPr>
            <w:r>
              <w:rPr>
                <w:rFonts w:hint="eastAsia"/>
                <w:color w:val="auto"/>
                <w:highlight w:val="none"/>
              </w:rPr>
              <w:t>▲</w:t>
            </w:r>
            <w:r>
              <w:rPr>
                <w:color w:val="auto"/>
                <w:highlight w:val="none"/>
              </w:rPr>
              <w:t>2</w:t>
            </w:r>
            <w:r>
              <w:rPr>
                <w:rFonts w:hint="eastAsia" w:ascii="宋体" w:hAnsi="宋体" w:eastAsia="宋体" w:cs="宋体"/>
                <w:color w:val="auto"/>
                <w:sz w:val="22"/>
                <w:szCs w:val="22"/>
                <w:highlight w:val="none"/>
              </w:rPr>
              <w:t>支持全局索引；（提供系统截图证明）</w:t>
            </w:r>
          </w:p>
        </w:tc>
      </w:tr>
      <w:tr>
        <w:tblPrEx>
          <w:tblCellMar>
            <w:top w:w="0" w:type="dxa"/>
            <w:left w:w="108" w:type="dxa"/>
            <w:bottom w:w="0" w:type="dxa"/>
            <w:right w:w="108" w:type="dxa"/>
          </w:tblCellMar>
        </w:tblPrEx>
        <w:trPr>
          <w:trHeight w:val="280" w:hRule="atLeast"/>
        </w:trPr>
        <w:tc>
          <w:tcPr>
            <w:tcW w:w="145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65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支持JSON/BSON文档存储功能；</w:t>
            </w:r>
          </w:p>
        </w:tc>
      </w:tr>
      <w:tr>
        <w:tblPrEx>
          <w:tblCellMar>
            <w:top w:w="0" w:type="dxa"/>
            <w:left w:w="108" w:type="dxa"/>
            <w:bottom w:w="0" w:type="dxa"/>
            <w:right w:w="108" w:type="dxa"/>
          </w:tblCellMar>
        </w:tblPrEx>
        <w:trPr>
          <w:trHeight w:val="280" w:hRule="atLeast"/>
        </w:trPr>
        <w:tc>
          <w:tcPr>
            <w:tcW w:w="145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2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非结构化数据的存储与分析</w:t>
            </w:r>
          </w:p>
        </w:tc>
        <w:tc>
          <w:tcPr>
            <w:tcW w:w="465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支持视频图像数据存储；</w:t>
            </w:r>
          </w:p>
        </w:tc>
      </w:tr>
      <w:tr>
        <w:tblPrEx>
          <w:tblCellMar>
            <w:top w:w="0" w:type="dxa"/>
            <w:left w:w="108" w:type="dxa"/>
            <w:bottom w:w="0" w:type="dxa"/>
            <w:right w:w="108" w:type="dxa"/>
          </w:tblCellMar>
        </w:tblPrEx>
        <w:trPr>
          <w:trHeight w:val="280" w:hRule="atLeast"/>
        </w:trPr>
        <w:tc>
          <w:tcPr>
            <w:tcW w:w="145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650" w:type="dxa"/>
            <w:tcBorders>
              <w:top w:val="nil"/>
              <w:left w:val="nil"/>
              <w:bottom w:val="single" w:color="auto" w:sz="4" w:space="0"/>
              <w:right w:val="single" w:color="auto" w:sz="4" w:space="0"/>
            </w:tcBorders>
            <w:shd w:val="clear" w:color="auto" w:fill="auto"/>
            <w:noWrap/>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支持BLOB对象存储；</w:t>
            </w:r>
          </w:p>
        </w:tc>
      </w:tr>
    </w:tbl>
    <w:p>
      <w:pPr>
        <w:pStyle w:val="3"/>
        <w:ind w:firstLine="480"/>
        <w:rPr>
          <w:color w:val="auto"/>
          <w:highlight w:val="none"/>
        </w:rPr>
      </w:pPr>
    </w:p>
    <w:p>
      <w:pPr>
        <w:pStyle w:val="8"/>
        <w:rPr>
          <w:color w:val="auto"/>
          <w:highlight w:val="none"/>
          <w:lang w:val="zh-CN"/>
        </w:rPr>
      </w:pPr>
      <w:r>
        <w:rPr>
          <w:rFonts w:hint="eastAsia"/>
          <w:color w:val="auto"/>
          <w:highlight w:val="none"/>
          <w:lang w:val="zh-CN"/>
        </w:rPr>
        <w:t>大数据安全管理软件</w:t>
      </w:r>
    </w:p>
    <w:tbl>
      <w:tblPr>
        <w:tblStyle w:val="35"/>
        <w:tblW w:w="8120" w:type="dxa"/>
        <w:tblInd w:w="0" w:type="dxa"/>
        <w:tblLayout w:type="autofit"/>
        <w:tblCellMar>
          <w:top w:w="0" w:type="dxa"/>
          <w:left w:w="108" w:type="dxa"/>
          <w:bottom w:w="0" w:type="dxa"/>
          <w:right w:w="108" w:type="dxa"/>
        </w:tblCellMar>
      </w:tblPr>
      <w:tblGrid>
        <w:gridCol w:w="1480"/>
        <w:gridCol w:w="2080"/>
        <w:gridCol w:w="4560"/>
      </w:tblGrid>
      <w:tr>
        <w:tblPrEx>
          <w:tblCellMar>
            <w:top w:w="0" w:type="dxa"/>
            <w:left w:w="108" w:type="dxa"/>
            <w:bottom w:w="0" w:type="dxa"/>
            <w:right w:w="108" w:type="dxa"/>
          </w:tblCellMar>
        </w:tblPrEx>
        <w:trPr>
          <w:trHeight w:val="280" w:hRule="atLeast"/>
        </w:trPr>
        <w:tc>
          <w:tcPr>
            <w:tcW w:w="1480" w:type="dxa"/>
            <w:tcBorders>
              <w:top w:val="single" w:color="auto" w:sz="4" w:space="0"/>
              <w:left w:val="single" w:color="auto" w:sz="4" w:space="0"/>
              <w:bottom w:val="single" w:color="auto" w:sz="4" w:space="0"/>
              <w:right w:val="single" w:color="auto" w:sz="4" w:space="0"/>
            </w:tcBorders>
            <w:shd w:val="clear" w:color="000000" w:fill="F2F2F2"/>
            <w:vAlign w:val="center"/>
          </w:tcPr>
          <w:p>
            <w:pPr>
              <w:jc w:val="center"/>
              <w:rPr>
                <w:rFonts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分类</w:t>
            </w:r>
          </w:p>
        </w:tc>
        <w:tc>
          <w:tcPr>
            <w:tcW w:w="2080" w:type="dxa"/>
            <w:tcBorders>
              <w:top w:val="single" w:color="auto" w:sz="4" w:space="0"/>
              <w:left w:val="nil"/>
              <w:bottom w:val="single" w:color="auto" w:sz="4" w:space="0"/>
              <w:right w:val="single" w:color="auto" w:sz="4" w:space="0"/>
            </w:tcBorders>
            <w:shd w:val="clear" w:color="000000" w:fill="F2F2F2"/>
            <w:vAlign w:val="center"/>
          </w:tcPr>
          <w:p>
            <w:pPr>
              <w:jc w:val="center"/>
              <w:rPr>
                <w:rFonts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功能</w:t>
            </w:r>
          </w:p>
        </w:tc>
        <w:tc>
          <w:tcPr>
            <w:tcW w:w="4560" w:type="dxa"/>
            <w:tcBorders>
              <w:top w:val="single" w:color="auto" w:sz="4" w:space="0"/>
              <w:left w:val="nil"/>
              <w:bottom w:val="single" w:color="auto" w:sz="4" w:space="0"/>
              <w:right w:val="single" w:color="auto" w:sz="4" w:space="0"/>
            </w:tcBorders>
            <w:shd w:val="clear" w:color="000000" w:fill="F2F2F2"/>
            <w:vAlign w:val="center"/>
          </w:tcPr>
          <w:p>
            <w:pPr>
              <w:jc w:val="center"/>
              <w:rPr>
                <w:rFonts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功能描述</w:t>
            </w:r>
          </w:p>
        </w:tc>
      </w:tr>
      <w:tr>
        <w:tblPrEx>
          <w:tblCellMar>
            <w:top w:w="0" w:type="dxa"/>
            <w:left w:w="108" w:type="dxa"/>
            <w:bottom w:w="0" w:type="dxa"/>
            <w:right w:w="108" w:type="dxa"/>
          </w:tblCellMar>
        </w:tblPrEx>
        <w:trPr>
          <w:trHeight w:val="840" w:hRule="atLeast"/>
        </w:trPr>
        <w:tc>
          <w:tcPr>
            <w:tcW w:w="148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大数据安全管理软件</w:t>
            </w: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用户认证</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color w:val="auto"/>
                <w:highlight w:val="none"/>
              </w:rPr>
              <w:t>▲</w:t>
            </w:r>
            <w:r>
              <w:rPr>
                <w:color w:val="auto"/>
                <w:highlight w:val="none"/>
              </w:rPr>
              <w:t>3</w:t>
            </w:r>
            <w:r>
              <w:rPr>
                <w:rFonts w:hint="eastAsia" w:ascii="宋体" w:hAnsi="宋体" w:eastAsia="宋体" w:cs="宋体"/>
                <w:color w:val="auto"/>
                <w:sz w:val="22"/>
                <w:szCs w:val="22"/>
                <w:highlight w:val="none"/>
              </w:rPr>
              <w:t>支持单点登录SSO，单点登出SLO；支持多种认证接口，如LDAP，KERBEROS，CAS，OAUTH，OIDC，Access Token等（提供系统截图证明）</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支持接入第三方认证，如Active Directory，CAS，OAuth等</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支持跨域信任，方便多集群数据流动</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支持配置国密算法存储校验用户密码</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支持配置密码策略</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授权与资源管理</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基于角色的权限管理（RBAC）</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color w:val="auto"/>
                <w:highlight w:val="none"/>
              </w:rPr>
              <w:t>▲</w:t>
            </w:r>
            <w:r>
              <w:rPr>
                <w:color w:val="auto"/>
                <w:highlight w:val="none"/>
              </w:rPr>
              <w:t>4</w:t>
            </w:r>
            <w:r>
              <w:rPr>
                <w:rFonts w:hint="eastAsia" w:ascii="宋体" w:hAnsi="宋体" w:eastAsia="宋体" w:cs="宋体"/>
                <w:color w:val="auto"/>
                <w:sz w:val="22"/>
                <w:szCs w:val="22"/>
                <w:highlight w:val="none"/>
              </w:rPr>
              <w:t>基于属性的权限管理（ABAC）（提供系统截图证明）</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管理员权限细化，三权分立</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支持Inceptor细粒度权限管理：行级与列级权限管理</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支持Inceptor、YARN队列等资源管理</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支持HDFS、Inceptor配额管理</w:t>
            </w:r>
          </w:p>
        </w:tc>
      </w:tr>
    </w:tbl>
    <w:p>
      <w:pPr>
        <w:pStyle w:val="3"/>
        <w:ind w:firstLine="480"/>
        <w:rPr>
          <w:color w:val="auto"/>
          <w:highlight w:val="none"/>
          <w:lang w:val="zh-CN"/>
        </w:rPr>
      </w:pPr>
    </w:p>
    <w:p>
      <w:pPr>
        <w:pStyle w:val="8"/>
        <w:rPr>
          <w:color w:val="auto"/>
          <w:highlight w:val="none"/>
          <w:lang w:val="zh-CN"/>
        </w:rPr>
      </w:pPr>
      <w:r>
        <w:rPr>
          <w:rFonts w:hint="eastAsia"/>
          <w:color w:val="auto"/>
          <w:highlight w:val="none"/>
          <w:lang w:val="zh-CN"/>
        </w:rPr>
        <w:t>分布式搜索引擎</w:t>
      </w:r>
    </w:p>
    <w:tbl>
      <w:tblPr>
        <w:tblStyle w:val="35"/>
        <w:tblW w:w="8120" w:type="dxa"/>
        <w:tblInd w:w="0" w:type="dxa"/>
        <w:tblLayout w:type="autofit"/>
        <w:tblCellMar>
          <w:top w:w="0" w:type="dxa"/>
          <w:left w:w="108" w:type="dxa"/>
          <w:bottom w:w="0" w:type="dxa"/>
          <w:right w:w="108" w:type="dxa"/>
        </w:tblCellMar>
      </w:tblPr>
      <w:tblGrid>
        <w:gridCol w:w="1480"/>
        <w:gridCol w:w="2080"/>
        <w:gridCol w:w="4560"/>
      </w:tblGrid>
      <w:tr>
        <w:tblPrEx>
          <w:tblCellMar>
            <w:top w:w="0" w:type="dxa"/>
            <w:left w:w="108" w:type="dxa"/>
            <w:bottom w:w="0" w:type="dxa"/>
            <w:right w:w="108" w:type="dxa"/>
          </w:tblCellMar>
        </w:tblPrEx>
        <w:trPr>
          <w:trHeight w:val="280" w:hRule="atLeast"/>
        </w:trPr>
        <w:tc>
          <w:tcPr>
            <w:tcW w:w="1480" w:type="dxa"/>
            <w:tcBorders>
              <w:top w:val="single" w:color="auto" w:sz="4" w:space="0"/>
              <w:left w:val="single" w:color="auto" w:sz="4" w:space="0"/>
              <w:bottom w:val="single" w:color="auto" w:sz="4" w:space="0"/>
              <w:right w:val="single" w:color="auto" w:sz="4" w:space="0"/>
            </w:tcBorders>
            <w:shd w:val="clear" w:color="000000" w:fill="F2F2F2"/>
            <w:vAlign w:val="center"/>
          </w:tcPr>
          <w:p>
            <w:pPr>
              <w:jc w:val="center"/>
              <w:rPr>
                <w:rFonts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分类</w:t>
            </w:r>
          </w:p>
        </w:tc>
        <w:tc>
          <w:tcPr>
            <w:tcW w:w="2080" w:type="dxa"/>
            <w:tcBorders>
              <w:top w:val="single" w:color="auto" w:sz="4" w:space="0"/>
              <w:left w:val="nil"/>
              <w:bottom w:val="single" w:color="auto" w:sz="4" w:space="0"/>
              <w:right w:val="single" w:color="auto" w:sz="4" w:space="0"/>
            </w:tcBorders>
            <w:shd w:val="clear" w:color="000000" w:fill="F2F2F2"/>
            <w:vAlign w:val="center"/>
          </w:tcPr>
          <w:p>
            <w:pPr>
              <w:jc w:val="center"/>
              <w:rPr>
                <w:rFonts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功能</w:t>
            </w:r>
          </w:p>
        </w:tc>
        <w:tc>
          <w:tcPr>
            <w:tcW w:w="4560" w:type="dxa"/>
            <w:tcBorders>
              <w:top w:val="single" w:color="auto" w:sz="4" w:space="0"/>
              <w:left w:val="nil"/>
              <w:bottom w:val="single" w:color="auto" w:sz="4" w:space="0"/>
              <w:right w:val="single" w:color="auto" w:sz="4" w:space="0"/>
            </w:tcBorders>
            <w:shd w:val="clear" w:color="000000" w:fill="F2F2F2"/>
            <w:vAlign w:val="center"/>
          </w:tcPr>
          <w:p>
            <w:pPr>
              <w:jc w:val="center"/>
              <w:rPr>
                <w:rFonts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功能描述</w:t>
            </w:r>
          </w:p>
        </w:tc>
      </w:tr>
      <w:tr>
        <w:tblPrEx>
          <w:tblCellMar>
            <w:top w:w="0" w:type="dxa"/>
            <w:left w:w="108" w:type="dxa"/>
            <w:bottom w:w="0" w:type="dxa"/>
            <w:right w:w="108" w:type="dxa"/>
          </w:tblCellMar>
        </w:tblPrEx>
        <w:trPr>
          <w:trHeight w:val="280" w:hRule="atLeast"/>
        </w:trPr>
        <w:tc>
          <w:tcPr>
            <w:tcW w:w="148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分布式搜索引擎</w:t>
            </w: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检索库通用需求</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支持数据的快速写入/加载</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支持多进程架构，突破单jvm限制，提升大容量服务器的资源利用率</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color w:val="auto"/>
                <w:highlight w:val="none"/>
              </w:rPr>
              <w:t>▲</w:t>
            </w:r>
            <w:r>
              <w:rPr>
                <w:color w:val="auto"/>
                <w:highlight w:val="none"/>
              </w:rPr>
              <w:t>5</w:t>
            </w:r>
            <w:r>
              <w:rPr>
                <w:rFonts w:hint="eastAsia" w:ascii="宋体" w:hAnsi="宋体" w:eastAsia="宋体" w:cs="宋体"/>
                <w:color w:val="auto"/>
                <w:sz w:val="22"/>
                <w:szCs w:val="22"/>
                <w:highlight w:val="none"/>
              </w:rPr>
              <w:t>支持冷热数据分离技术，为用户提供高性价比存储方案；（提供系统截图证明）</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支持分区表，提供数据分区能力；</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支持海量数据全文搜索，支持堆外内存管理技术，提升单实例数据服务能力至50TB；</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支持分布式一致性协议Raft，提升单集群规模上限至200实例以上；</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color w:val="auto"/>
                <w:highlight w:val="none"/>
              </w:rPr>
              <w:t>▲</w:t>
            </w:r>
            <w:r>
              <w:rPr>
                <w:color w:val="auto"/>
                <w:highlight w:val="none"/>
              </w:rPr>
              <w:t>6</w:t>
            </w:r>
            <w:r>
              <w:rPr>
                <w:rFonts w:hint="eastAsia" w:ascii="宋体" w:hAnsi="宋体" w:eastAsia="宋体" w:cs="宋体"/>
                <w:color w:val="auto"/>
                <w:sz w:val="22"/>
                <w:szCs w:val="22"/>
                <w:highlight w:val="none"/>
              </w:rPr>
              <w:t>支持节点重启或节点故障时数据的快速恢复；（提供系统截图证明）</w:t>
            </w:r>
          </w:p>
        </w:tc>
      </w:tr>
      <w:tr>
        <w:tblPrEx>
          <w:tblCellMar>
            <w:top w:w="0" w:type="dxa"/>
            <w:left w:w="108" w:type="dxa"/>
            <w:bottom w:w="0" w:type="dxa"/>
            <w:right w:w="108" w:type="dxa"/>
          </w:tblCellMar>
        </w:tblPrEx>
        <w:trPr>
          <w:trHeight w:val="84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支持各类分词器和自定义词库，支持在一个索引中，根据需要对于不同的字段指定不同的分词库和分词算法。</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提供安全管控能力。</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优秀的检索能力</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支持标准SQL,可以通过SQL构筑数据流转体系，支持SQL的CRUD</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小对象存储</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支持图片、音频、文档的对象化存储与检索</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并发检索</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支持数据的高并发检索能力</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数据库容灾</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跨数据中心多活</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跨集群实时同步</w:t>
            </w:r>
          </w:p>
        </w:tc>
      </w:tr>
    </w:tbl>
    <w:p>
      <w:pPr>
        <w:pStyle w:val="3"/>
        <w:ind w:firstLine="480"/>
        <w:rPr>
          <w:color w:val="auto"/>
          <w:highlight w:val="none"/>
          <w:lang w:val="zh-CN"/>
        </w:rPr>
      </w:pPr>
    </w:p>
    <w:p>
      <w:pPr>
        <w:pStyle w:val="8"/>
        <w:rPr>
          <w:color w:val="auto"/>
          <w:highlight w:val="none"/>
          <w:lang w:val="zh-CN"/>
        </w:rPr>
      </w:pPr>
      <w:r>
        <w:rPr>
          <w:rFonts w:hint="eastAsia"/>
          <w:color w:val="auto"/>
          <w:highlight w:val="none"/>
          <w:lang w:val="zh-CN"/>
        </w:rPr>
        <w:t>集群图形化管理</w:t>
      </w:r>
    </w:p>
    <w:tbl>
      <w:tblPr>
        <w:tblStyle w:val="35"/>
        <w:tblW w:w="8120" w:type="dxa"/>
        <w:tblInd w:w="0" w:type="dxa"/>
        <w:tblLayout w:type="autofit"/>
        <w:tblCellMar>
          <w:top w:w="0" w:type="dxa"/>
          <w:left w:w="108" w:type="dxa"/>
          <w:bottom w:w="0" w:type="dxa"/>
          <w:right w:w="108" w:type="dxa"/>
        </w:tblCellMar>
      </w:tblPr>
      <w:tblGrid>
        <w:gridCol w:w="1480"/>
        <w:gridCol w:w="2080"/>
        <w:gridCol w:w="4560"/>
      </w:tblGrid>
      <w:tr>
        <w:tblPrEx>
          <w:tblCellMar>
            <w:top w:w="0" w:type="dxa"/>
            <w:left w:w="108" w:type="dxa"/>
            <w:bottom w:w="0" w:type="dxa"/>
            <w:right w:w="108" w:type="dxa"/>
          </w:tblCellMar>
        </w:tblPrEx>
        <w:trPr>
          <w:trHeight w:val="280" w:hRule="atLeast"/>
        </w:trPr>
        <w:tc>
          <w:tcPr>
            <w:tcW w:w="1480" w:type="dxa"/>
            <w:tcBorders>
              <w:top w:val="single" w:color="auto" w:sz="4" w:space="0"/>
              <w:left w:val="single" w:color="auto" w:sz="4" w:space="0"/>
              <w:bottom w:val="single" w:color="auto" w:sz="4" w:space="0"/>
              <w:right w:val="single" w:color="auto" w:sz="4" w:space="0"/>
            </w:tcBorders>
            <w:shd w:val="clear" w:color="000000" w:fill="D0D0D0"/>
            <w:vAlign w:val="center"/>
          </w:tcPr>
          <w:p>
            <w:pPr>
              <w:jc w:val="center"/>
              <w:rPr>
                <w:rFonts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分类</w:t>
            </w:r>
          </w:p>
        </w:tc>
        <w:tc>
          <w:tcPr>
            <w:tcW w:w="2080" w:type="dxa"/>
            <w:tcBorders>
              <w:top w:val="single" w:color="auto" w:sz="4" w:space="0"/>
              <w:left w:val="nil"/>
              <w:bottom w:val="single" w:color="auto" w:sz="4" w:space="0"/>
              <w:right w:val="single" w:color="auto" w:sz="4" w:space="0"/>
            </w:tcBorders>
            <w:shd w:val="clear" w:color="000000" w:fill="D0D0D0"/>
            <w:vAlign w:val="center"/>
          </w:tcPr>
          <w:p>
            <w:pPr>
              <w:jc w:val="center"/>
              <w:rPr>
                <w:rFonts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功能</w:t>
            </w:r>
          </w:p>
        </w:tc>
        <w:tc>
          <w:tcPr>
            <w:tcW w:w="4560" w:type="dxa"/>
            <w:tcBorders>
              <w:top w:val="single" w:color="auto" w:sz="4" w:space="0"/>
              <w:left w:val="nil"/>
              <w:bottom w:val="single" w:color="auto" w:sz="4" w:space="0"/>
              <w:right w:val="single" w:color="auto" w:sz="4" w:space="0"/>
            </w:tcBorders>
            <w:shd w:val="clear" w:color="000000" w:fill="D0D0D0"/>
            <w:vAlign w:val="center"/>
          </w:tcPr>
          <w:p>
            <w:pPr>
              <w:jc w:val="center"/>
              <w:rPr>
                <w:rFonts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功能描述</w:t>
            </w:r>
          </w:p>
        </w:tc>
      </w:tr>
      <w:tr>
        <w:tblPrEx>
          <w:tblCellMar>
            <w:top w:w="0" w:type="dxa"/>
            <w:left w:w="108" w:type="dxa"/>
            <w:bottom w:w="0" w:type="dxa"/>
            <w:right w:w="108" w:type="dxa"/>
          </w:tblCellMar>
        </w:tblPrEx>
        <w:trPr>
          <w:trHeight w:val="560" w:hRule="atLeast"/>
        </w:trPr>
        <w:tc>
          <w:tcPr>
            <w:tcW w:w="148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集群图形化管理</w:t>
            </w: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集群维护</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color w:val="auto"/>
                <w:highlight w:val="none"/>
              </w:rPr>
              <w:t>▲</w:t>
            </w:r>
            <w:r>
              <w:rPr>
                <w:color w:val="auto"/>
                <w:highlight w:val="none"/>
              </w:rPr>
              <w:t>7</w:t>
            </w:r>
            <w:r>
              <w:rPr>
                <w:rFonts w:hint="eastAsia" w:ascii="宋体" w:hAnsi="宋体" w:eastAsia="宋体" w:cs="宋体"/>
                <w:color w:val="auto"/>
                <w:sz w:val="22"/>
                <w:szCs w:val="22"/>
                <w:highlight w:val="none"/>
              </w:rPr>
              <w:t>基于容器和kubernetes，全平台服务容器化图形化部署，实现完整的资源隔离（提供系统截图证明）</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支持通过界面实现系统服务安装和配置</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支持在一个集群图形化管理添加和管理多套集群，每个集群将服务部署在不同的物理节点上</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支持基于NTP服务同步集群时间</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集群服务支持滚动升级，提供不停机滚动升级能力</w:t>
            </w:r>
          </w:p>
        </w:tc>
      </w:tr>
      <w:tr>
        <w:tblPrEx>
          <w:tblCellMar>
            <w:top w:w="0" w:type="dxa"/>
            <w:left w:w="108" w:type="dxa"/>
            <w:bottom w:w="0" w:type="dxa"/>
            <w:right w:w="108" w:type="dxa"/>
          </w:tblCellMar>
        </w:tblPrEx>
        <w:trPr>
          <w:trHeight w:val="84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集群图形化管理服务支持高可用，支持集群图形化管理服务主备切换，数据多节点备份，实现数据高可用。避免单点故障</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一键式异构操作系统/架构混合部署</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支持集群图形化管理服务补丁方式升级，升级期间数据处理平台服务正常对外提供服务</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支持管理面与业务面隔离场景安装部署说明</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界面化设置管理密码策略、账号锁定策略及登录设置</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支持部署，管理，监控使用容器overlay网络的服务</w:t>
            </w:r>
          </w:p>
        </w:tc>
      </w:tr>
      <w:tr>
        <w:tblPrEx>
          <w:tblCellMar>
            <w:top w:w="0" w:type="dxa"/>
            <w:left w:w="108" w:type="dxa"/>
            <w:bottom w:w="0" w:type="dxa"/>
            <w:right w:w="108" w:type="dxa"/>
          </w:tblCellMar>
        </w:tblPrEx>
        <w:trPr>
          <w:trHeight w:val="112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集群管理</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服务全生命周期管理，支持对内部角色提供添加、删除、服役、退役以及迁移等操作，操作都是界面化在线操作实时生效，支持不同级别的监控状况检查。</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基于RBAC模型管理用户</w:t>
            </w:r>
          </w:p>
        </w:tc>
      </w:tr>
      <w:tr>
        <w:tblPrEx>
          <w:tblCellMar>
            <w:top w:w="0" w:type="dxa"/>
            <w:left w:w="108" w:type="dxa"/>
            <w:bottom w:w="0" w:type="dxa"/>
            <w:right w:w="108" w:type="dxa"/>
          </w:tblCellMar>
        </w:tblPrEx>
        <w:trPr>
          <w:trHeight w:val="84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集成安全管理服务，提供统一的身份认证和单点登录服务，并提供一键为所有服务开关安全的便捷操作</w:t>
            </w:r>
          </w:p>
        </w:tc>
      </w:tr>
      <w:tr>
        <w:tblPrEx>
          <w:tblCellMar>
            <w:top w:w="0" w:type="dxa"/>
            <w:left w:w="108" w:type="dxa"/>
            <w:bottom w:w="0" w:type="dxa"/>
            <w:right w:w="108" w:type="dxa"/>
          </w:tblCellMar>
        </w:tblPrEx>
        <w:trPr>
          <w:trHeight w:val="84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提供节点物理资源和服务的各项指标信息，可以设定不同告警级别的阈值，支持以邮件或者短信形式发送告警信息</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提供公网可访问的应用市场，用户可以发现新版本和新组件，按需选择升级或者安装</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内置数十个以上平台自带应用与第三方应用，支持上架自研应用</w:t>
            </w:r>
          </w:p>
        </w:tc>
      </w:tr>
    </w:tbl>
    <w:p>
      <w:pPr>
        <w:pStyle w:val="3"/>
        <w:ind w:firstLine="480"/>
        <w:rPr>
          <w:color w:val="auto"/>
          <w:highlight w:val="none"/>
        </w:rPr>
      </w:pPr>
    </w:p>
    <w:p>
      <w:pPr>
        <w:pStyle w:val="8"/>
        <w:rPr>
          <w:color w:val="auto"/>
          <w:highlight w:val="none"/>
          <w:lang w:val="zh-CN"/>
        </w:rPr>
      </w:pPr>
      <w:r>
        <w:rPr>
          <w:rFonts w:hint="eastAsia"/>
          <w:color w:val="auto"/>
          <w:highlight w:val="none"/>
          <w:lang w:val="zh-CN"/>
        </w:rPr>
        <w:t>大数据处理平台</w:t>
      </w:r>
    </w:p>
    <w:tbl>
      <w:tblPr>
        <w:tblStyle w:val="35"/>
        <w:tblW w:w="8120" w:type="dxa"/>
        <w:tblInd w:w="0" w:type="dxa"/>
        <w:tblLayout w:type="autofit"/>
        <w:tblCellMar>
          <w:top w:w="0" w:type="dxa"/>
          <w:left w:w="108" w:type="dxa"/>
          <w:bottom w:w="0" w:type="dxa"/>
          <w:right w:w="108" w:type="dxa"/>
        </w:tblCellMar>
      </w:tblPr>
      <w:tblGrid>
        <w:gridCol w:w="1480"/>
        <w:gridCol w:w="2080"/>
        <w:gridCol w:w="4560"/>
      </w:tblGrid>
      <w:tr>
        <w:tblPrEx>
          <w:tblCellMar>
            <w:top w:w="0" w:type="dxa"/>
            <w:left w:w="108" w:type="dxa"/>
            <w:bottom w:w="0" w:type="dxa"/>
            <w:right w:w="108" w:type="dxa"/>
          </w:tblCellMar>
        </w:tblPrEx>
        <w:trPr>
          <w:trHeight w:val="280" w:hRule="atLeast"/>
        </w:trPr>
        <w:tc>
          <w:tcPr>
            <w:tcW w:w="1480" w:type="dxa"/>
            <w:tcBorders>
              <w:top w:val="single" w:color="auto" w:sz="4" w:space="0"/>
              <w:left w:val="single" w:color="auto" w:sz="4" w:space="0"/>
              <w:bottom w:val="single" w:color="auto" w:sz="4" w:space="0"/>
              <w:right w:val="single" w:color="auto" w:sz="4" w:space="0"/>
            </w:tcBorders>
            <w:shd w:val="clear" w:color="000000" w:fill="F2F2F2"/>
            <w:vAlign w:val="center"/>
          </w:tcPr>
          <w:p>
            <w:pPr>
              <w:jc w:val="center"/>
              <w:rPr>
                <w:rFonts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分类</w:t>
            </w:r>
          </w:p>
        </w:tc>
        <w:tc>
          <w:tcPr>
            <w:tcW w:w="2080" w:type="dxa"/>
            <w:tcBorders>
              <w:top w:val="single" w:color="auto" w:sz="4" w:space="0"/>
              <w:left w:val="nil"/>
              <w:bottom w:val="single" w:color="auto" w:sz="4" w:space="0"/>
              <w:right w:val="single" w:color="auto" w:sz="4" w:space="0"/>
            </w:tcBorders>
            <w:shd w:val="clear" w:color="000000" w:fill="F2F2F2"/>
            <w:vAlign w:val="center"/>
          </w:tcPr>
          <w:p>
            <w:pPr>
              <w:jc w:val="center"/>
              <w:rPr>
                <w:rFonts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功能</w:t>
            </w:r>
          </w:p>
        </w:tc>
        <w:tc>
          <w:tcPr>
            <w:tcW w:w="4560" w:type="dxa"/>
            <w:tcBorders>
              <w:top w:val="single" w:color="auto" w:sz="4" w:space="0"/>
              <w:left w:val="nil"/>
              <w:bottom w:val="single" w:color="auto" w:sz="4" w:space="0"/>
              <w:right w:val="single" w:color="auto" w:sz="4" w:space="0"/>
            </w:tcBorders>
            <w:shd w:val="clear" w:color="000000" w:fill="F2F2F2"/>
            <w:vAlign w:val="center"/>
          </w:tcPr>
          <w:p>
            <w:pPr>
              <w:jc w:val="center"/>
              <w:rPr>
                <w:rFonts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功能描述</w:t>
            </w:r>
          </w:p>
        </w:tc>
      </w:tr>
      <w:tr>
        <w:tblPrEx>
          <w:tblCellMar>
            <w:top w:w="0" w:type="dxa"/>
            <w:left w:w="108" w:type="dxa"/>
            <w:bottom w:w="0" w:type="dxa"/>
            <w:right w:w="108" w:type="dxa"/>
          </w:tblCellMar>
        </w:tblPrEx>
        <w:trPr>
          <w:trHeight w:val="2240" w:hRule="atLeast"/>
        </w:trPr>
        <w:tc>
          <w:tcPr>
            <w:tcW w:w="1480" w:type="dxa"/>
            <w:vMerge w:val="restart"/>
            <w:tcBorders>
              <w:top w:val="nil"/>
              <w:left w:val="single" w:color="auto" w:sz="4" w:space="0"/>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多模型</w:t>
            </w:r>
          </w:p>
        </w:tc>
        <w:tc>
          <w:tcPr>
            <w:tcW w:w="208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统一查询语言</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统一SQL接口，支持根据不同的数据模型处理不同的业务</w:t>
            </w:r>
            <w:r>
              <w:rPr>
                <w:rFonts w:hint="eastAsia" w:ascii="宋体" w:hAnsi="宋体" w:eastAsia="宋体" w:cs="宋体"/>
                <w:color w:val="auto"/>
                <w:sz w:val="22"/>
                <w:szCs w:val="22"/>
                <w:highlight w:val="none"/>
              </w:rPr>
              <w:br w:type="textWrapping"/>
            </w:r>
            <w:r>
              <w:rPr>
                <w:rFonts w:hint="eastAsia" w:ascii="宋体" w:hAnsi="宋体" w:eastAsia="宋体" w:cs="宋体"/>
                <w:color w:val="auto"/>
                <w:sz w:val="22"/>
                <w:szCs w:val="22"/>
                <w:highlight w:val="none"/>
              </w:rPr>
              <w:br w:type="textWrapping"/>
            </w:r>
            <w:r>
              <w:rPr>
                <w:rFonts w:hint="eastAsia" w:ascii="宋体" w:hAnsi="宋体" w:eastAsia="宋体" w:cs="宋体"/>
                <w:color w:val="auto"/>
                <w:sz w:val="22"/>
                <w:szCs w:val="22"/>
                <w:highlight w:val="none"/>
              </w:rPr>
              <w:t>支持完整的SQL语法，支持多种数据库方言，DB2等，也包括了算子和类型系统，元信息管理，PLSQL，分布式事务，数据字典等功能，强大的SQL编译功能，使业务迁移，应用开发等更加方便快捷</w:t>
            </w:r>
          </w:p>
        </w:tc>
      </w:tr>
      <w:tr>
        <w:tblPrEx>
          <w:tblCellMar>
            <w:top w:w="0" w:type="dxa"/>
            <w:left w:w="108" w:type="dxa"/>
            <w:bottom w:w="0" w:type="dxa"/>
            <w:right w:w="108" w:type="dxa"/>
          </w:tblCellMar>
        </w:tblPrEx>
        <w:trPr>
          <w:trHeight w:val="672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统一计算引擎</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支持流批一体计算：</w:t>
            </w:r>
            <w:r>
              <w:rPr>
                <w:rFonts w:hint="eastAsia" w:ascii="宋体" w:hAnsi="宋体" w:eastAsia="宋体" w:cs="宋体"/>
                <w:color w:val="auto"/>
                <w:sz w:val="22"/>
                <w:szCs w:val="22"/>
                <w:highlight w:val="none"/>
              </w:rPr>
              <w:br w:type="textWrapping"/>
            </w:r>
            <w:r>
              <w:rPr>
                <w:rFonts w:hint="eastAsia" w:ascii="宋体" w:hAnsi="宋体" w:eastAsia="宋体" w:cs="宋体"/>
                <w:color w:val="auto"/>
                <w:sz w:val="22"/>
                <w:szCs w:val="22"/>
                <w:highlight w:val="none"/>
              </w:rPr>
              <w:t>计算引擎同时支持离线批处理任务和实时流处理任务，是流批一体的计算引擎。处理离线数据和实时数据的接入，并支持用户的交互式分析需求。实时数据可以通过统一的计算引擎写入到不同的存储模型中，构建统一的实时数仓、实时数据湖等场景</w:t>
            </w:r>
            <w:r>
              <w:rPr>
                <w:rFonts w:hint="eastAsia" w:ascii="宋体" w:hAnsi="宋体" w:eastAsia="宋体" w:cs="宋体"/>
                <w:color w:val="auto"/>
                <w:sz w:val="22"/>
                <w:szCs w:val="22"/>
                <w:highlight w:val="none"/>
              </w:rPr>
              <w:br w:type="textWrapping"/>
            </w:r>
            <w:r>
              <w:rPr>
                <w:rFonts w:hint="eastAsia" w:ascii="宋体" w:hAnsi="宋体" w:eastAsia="宋体" w:cs="宋体"/>
                <w:color w:val="auto"/>
                <w:sz w:val="22"/>
                <w:szCs w:val="22"/>
                <w:highlight w:val="none"/>
              </w:rPr>
              <w:br w:type="textWrapping"/>
            </w:r>
            <w:r>
              <w:rPr>
                <w:rFonts w:hint="eastAsia" w:ascii="宋体" w:hAnsi="宋体" w:eastAsia="宋体" w:cs="宋体"/>
                <w:color w:val="auto"/>
                <w:sz w:val="22"/>
                <w:szCs w:val="22"/>
                <w:highlight w:val="none"/>
              </w:rPr>
              <w:t>多模型计算：</w:t>
            </w:r>
            <w:r>
              <w:rPr>
                <w:rFonts w:hint="eastAsia" w:ascii="宋体" w:hAnsi="宋体" w:eastAsia="宋体" w:cs="宋体"/>
                <w:color w:val="auto"/>
                <w:sz w:val="22"/>
                <w:szCs w:val="22"/>
                <w:highlight w:val="none"/>
              </w:rPr>
              <w:br w:type="textWrapping"/>
            </w:r>
            <w:r>
              <w:rPr>
                <w:rFonts w:hint="eastAsia" w:ascii="宋体" w:hAnsi="宋体" w:eastAsia="宋体" w:cs="宋体"/>
                <w:color w:val="auto"/>
                <w:sz w:val="22"/>
                <w:szCs w:val="22"/>
                <w:highlight w:val="none"/>
              </w:rPr>
              <w:t>支持多模型统一计算，能够支持对不同模型数据的处理。计算引擎会根据读取的模型不同，自适应选择对应模型的优化算法进行优化。同时统一的计算引擎也可以实现不同数据模型的跨库关联分析计算，无需数据导入导出做ETL，减少数据冗余，避免数据一致性问题，也提升了实效性</w:t>
            </w:r>
            <w:r>
              <w:rPr>
                <w:rFonts w:hint="eastAsia" w:ascii="宋体" w:hAnsi="宋体" w:eastAsia="宋体" w:cs="宋体"/>
                <w:color w:val="auto"/>
                <w:sz w:val="22"/>
                <w:szCs w:val="22"/>
                <w:highlight w:val="none"/>
              </w:rPr>
              <w:br w:type="textWrapping"/>
            </w:r>
            <w:r>
              <w:rPr>
                <w:rFonts w:hint="eastAsia" w:ascii="宋体" w:hAnsi="宋体" w:eastAsia="宋体" w:cs="宋体"/>
                <w:color w:val="auto"/>
                <w:sz w:val="22"/>
                <w:szCs w:val="22"/>
                <w:highlight w:val="none"/>
              </w:rPr>
              <w:br w:type="textWrapping"/>
            </w:r>
            <w:r>
              <w:rPr>
                <w:rFonts w:hint="eastAsia" w:ascii="宋体" w:hAnsi="宋体" w:eastAsia="宋体" w:cs="宋体"/>
                <w:color w:val="auto"/>
                <w:sz w:val="22"/>
                <w:szCs w:val="22"/>
                <w:highlight w:val="none"/>
              </w:rPr>
              <w:t>联邦计算：</w:t>
            </w:r>
            <w:r>
              <w:rPr>
                <w:rFonts w:hint="eastAsia" w:ascii="宋体" w:hAnsi="宋体" w:eastAsia="宋体" w:cs="宋体"/>
                <w:color w:val="auto"/>
                <w:sz w:val="22"/>
                <w:szCs w:val="22"/>
                <w:highlight w:val="none"/>
              </w:rPr>
              <w:br w:type="textWrapping"/>
            </w:r>
            <w:r>
              <w:rPr>
                <w:rFonts w:hint="eastAsia" w:ascii="宋体" w:hAnsi="宋体" w:eastAsia="宋体" w:cs="宋体"/>
                <w:color w:val="auto"/>
                <w:sz w:val="22"/>
                <w:szCs w:val="22"/>
                <w:highlight w:val="none"/>
              </w:rPr>
              <w:t>支持联邦计算，与平台之外第三方数据库的数据，实现跨平台数据的查询与计算</w:t>
            </w:r>
            <w:r>
              <w:rPr>
                <w:rFonts w:hint="eastAsia" w:ascii="宋体" w:hAnsi="宋体" w:eastAsia="宋体" w:cs="宋体"/>
                <w:color w:val="auto"/>
                <w:sz w:val="22"/>
                <w:szCs w:val="22"/>
                <w:highlight w:val="none"/>
              </w:rPr>
              <w:br w:type="textWrapping"/>
            </w:r>
            <w:r>
              <w:rPr>
                <w:rFonts w:hint="eastAsia" w:ascii="宋体" w:hAnsi="宋体" w:eastAsia="宋体" w:cs="宋体"/>
                <w:color w:val="auto"/>
                <w:sz w:val="22"/>
                <w:szCs w:val="22"/>
                <w:highlight w:val="none"/>
              </w:rPr>
              <w:br w:type="textWrapping"/>
            </w:r>
            <w:r>
              <w:rPr>
                <w:rFonts w:hint="eastAsia" w:ascii="宋体" w:hAnsi="宋体" w:eastAsia="宋体" w:cs="宋体"/>
                <w:color w:val="auto"/>
                <w:sz w:val="22"/>
                <w:szCs w:val="22"/>
                <w:highlight w:val="none"/>
              </w:rPr>
              <w:t>混合负载：</w:t>
            </w:r>
            <w:r>
              <w:rPr>
                <w:rFonts w:hint="eastAsia" w:ascii="宋体" w:hAnsi="宋体" w:eastAsia="宋体" w:cs="宋体"/>
                <w:color w:val="auto"/>
                <w:sz w:val="22"/>
                <w:szCs w:val="22"/>
                <w:highlight w:val="none"/>
              </w:rPr>
              <w:br w:type="textWrapping"/>
            </w:r>
            <w:r>
              <w:rPr>
                <w:rFonts w:hint="eastAsia" w:ascii="宋体" w:hAnsi="宋体" w:eastAsia="宋体" w:cs="宋体"/>
                <w:color w:val="auto"/>
                <w:sz w:val="22"/>
                <w:szCs w:val="22"/>
                <w:highlight w:val="none"/>
              </w:rPr>
              <w:t>统一计算引擎通过统一的计算资源管理，实现对多种类型的不同计算任务混合负载支持</w:t>
            </w:r>
          </w:p>
        </w:tc>
      </w:tr>
      <w:tr>
        <w:tblPrEx>
          <w:tblCellMar>
            <w:top w:w="0" w:type="dxa"/>
            <w:left w:w="108" w:type="dxa"/>
            <w:bottom w:w="0" w:type="dxa"/>
            <w:right w:w="108" w:type="dxa"/>
          </w:tblCellMar>
        </w:tblPrEx>
        <w:trPr>
          <w:trHeight w:val="33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统一分布式管理系统</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多引擎接入：</w:t>
            </w:r>
            <w:r>
              <w:rPr>
                <w:rFonts w:hint="eastAsia" w:ascii="宋体" w:hAnsi="宋体" w:eastAsia="宋体" w:cs="宋体"/>
                <w:color w:val="auto"/>
                <w:sz w:val="22"/>
                <w:szCs w:val="22"/>
                <w:highlight w:val="none"/>
              </w:rPr>
              <w:br w:type="textWrapping"/>
            </w:r>
            <w:r>
              <w:rPr>
                <w:rFonts w:hint="eastAsia" w:ascii="宋体" w:hAnsi="宋体" w:eastAsia="宋体" w:cs="宋体"/>
                <w:color w:val="auto"/>
                <w:sz w:val="22"/>
                <w:szCs w:val="22"/>
                <w:highlight w:val="none"/>
              </w:rPr>
              <w:t>通过与存储引擎结合的方式，对接不同的存储引擎插件，提供不同的数据模型，目前已接入包括关系存储引擎Inceptor/ArgoDB，图关系存储引擎StellarDB，倒排索引搜索引擎Scope，以及时序存储引擎Timelyre等多个存储引擎</w:t>
            </w:r>
            <w:r>
              <w:rPr>
                <w:rFonts w:hint="eastAsia" w:ascii="宋体" w:hAnsi="宋体" w:eastAsia="宋体" w:cs="宋体"/>
                <w:color w:val="auto"/>
                <w:sz w:val="22"/>
                <w:szCs w:val="22"/>
                <w:highlight w:val="none"/>
              </w:rPr>
              <w:br w:type="textWrapping"/>
            </w:r>
            <w:r>
              <w:rPr>
                <w:rFonts w:hint="eastAsia" w:ascii="宋体" w:hAnsi="宋体" w:eastAsia="宋体" w:cs="宋体"/>
                <w:color w:val="auto"/>
                <w:sz w:val="22"/>
                <w:szCs w:val="22"/>
                <w:highlight w:val="none"/>
              </w:rPr>
              <w:br w:type="textWrapping"/>
            </w:r>
            <w:r>
              <w:rPr>
                <w:rFonts w:hint="eastAsia" w:ascii="宋体" w:hAnsi="宋体" w:eastAsia="宋体" w:cs="宋体"/>
                <w:color w:val="auto"/>
                <w:sz w:val="22"/>
                <w:szCs w:val="22"/>
                <w:highlight w:val="none"/>
              </w:rPr>
              <w:t>支持分布式事务：</w:t>
            </w:r>
            <w:r>
              <w:rPr>
                <w:rFonts w:hint="eastAsia" w:ascii="宋体" w:hAnsi="宋体" w:eastAsia="宋体" w:cs="宋体"/>
                <w:color w:val="auto"/>
                <w:sz w:val="22"/>
                <w:szCs w:val="22"/>
                <w:highlight w:val="none"/>
              </w:rPr>
              <w:br w:type="textWrapping"/>
            </w:r>
            <w:r>
              <w:rPr>
                <w:rFonts w:hint="eastAsia" w:ascii="宋体" w:hAnsi="宋体" w:eastAsia="宋体" w:cs="宋体"/>
                <w:color w:val="auto"/>
                <w:sz w:val="22"/>
                <w:szCs w:val="22"/>
                <w:highlight w:val="none"/>
              </w:rPr>
              <w:t>采用MVCC（多版本机制）进行并发控制，通过版本号可以判断数据的有效期以及事务的提交顺序</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统一资源管理框架</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基于容器编排操作系统统一管理配置操作系统资源</w:t>
            </w:r>
          </w:p>
        </w:tc>
      </w:tr>
      <w:tr>
        <w:tblPrEx>
          <w:tblCellMar>
            <w:top w:w="0" w:type="dxa"/>
            <w:left w:w="108" w:type="dxa"/>
            <w:bottom w:w="0" w:type="dxa"/>
            <w:right w:w="108" w:type="dxa"/>
          </w:tblCellMar>
        </w:tblPrEx>
        <w:trPr>
          <w:trHeight w:val="560" w:hRule="atLeast"/>
        </w:trPr>
        <w:tc>
          <w:tcPr>
            <w:tcW w:w="1480"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智能运维</w:t>
            </w:r>
          </w:p>
        </w:tc>
        <w:tc>
          <w:tcPr>
            <w:tcW w:w="208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100+ 智能运维规则库</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集群存储用量预测提醒、表结构优化建议、SQL优化建议、存储用量异常预警等等</w:t>
            </w:r>
          </w:p>
        </w:tc>
      </w:tr>
      <w:tr>
        <w:tblPrEx>
          <w:tblCellMar>
            <w:top w:w="0" w:type="dxa"/>
            <w:left w:w="108" w:type="dxa"/>
            <w:bottom w:w="0" w:type="dxa"/>
            <w:right w:w="108" w:type="dxa"/>
          </w:tblCellMar>
        </w:tblPrEx>
        <w:trPr>
          <w:trHeight w:val="1960" w:hRule="atLeast"/>
        </w:trPr>
        <w:tc>
          <w:tcPr>
            <w:tcW w:w="1480"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平台兼容性</w:t>
            </w:r>
          </w:p>
        </w:tc>
        <w:tc>
          <w:tcPr>
            <w:tcW w:w="208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适配多版本操作系统以及CPU架构</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操作系统：</w:t>
            </w:r>
            <w:r>
              <w:rPr>
                <w:rFonts w:hint="eastAsia" w:ascii="宋体" w:hAnsi="宋体" w:eastAsia="宋体" w:cs="宋体"/>
                <w:color w:val="auto"/>
                <w:sz w:val="22"/>
                <w:szCs w:val="22"/>
                <w:highlight w:val="none"/>
              </w:rPr>
              <w:br w:type="textWrapping"/>
            </w:r>
            <w:r>
              <w:rPr>
                <w:rFonts w:hint="eastAsia" w:ascii="宋体" w:hAnsi="宋体" w:eastAsia="宋体" w:cs="宋体"/>
                <w:color w:val="auto"/>
                <w:sz w:val="22"/>
                <w:szCs w:val="22"/>
                <w:highlight w:val="none"/>
              </w:rPr>
              <w:t>需支持主流国产化操作系统。</w:t>
            </w:r>
            <w:r>
              <w:rPr>
                <w:rFonts w:hint="eastAsia" w:ascii="宋体" w:hAnsi="宋体" w:eastAsia="宋体" w:cs="宋体"/>
                <w:color w:val="auto"/>
                <w:sz w:val="22"/>
                <w:szCs w:val="22"/>
                <w:highlight w:val="none"/>
              </w:rPr>
              <w:br w:type="textWrapping"/>
            </w:r>
            <w:r>
              <w:rPr>
                <w:rFonts w:hint="eastAsia" w:ascii="宋体" w:hAnsi="宋体" w:eastAsia="宋体" w:cs="宋体"/>
                <w:color w:val="auto"/>
                <w:sz w:val="22"/>
                <w:szCs w:val="22"/>
                <w:highlight w:val="none"/>
              </w:rPr>
              <w:t>CPU架构：</w:t>
            </w:r>
            <w:r>
              <w:rPr>
                <w:rFonts w:hint="eastAsia" w:ascii="宋体" w:hAnsi="宋体" w:eastAsia="宋体" w:cs="宋体"/>
                <w:color w:val="auto"/>
                <w:sz w:val="22"/>
                <w:szCs w:val="22"/>
                <w:highlight w:val="none"/>
              </w:rPr>
              <w:br w:type="textWrapping"/>
            </w:r>
            <w:r>
              <w:rPr>
                <w:rFonts w:hint="eastAsia" w:ascii="宋体" w:hAnsi="宋体" w:eastAsia="宋体" w:cs="宋体"/>
                <w:color w:val="auto"/>
                <w:sz w:val="22"/>
                <w:szCs w:val="22"/>
                <w:highlight w:val="none"/>
              </w:rPr>
              <w:t>需支持国产化平台，支持国产x86与ARM架构平台，同一集群混合架构部署，最大化利用硬件资源</w:t>
            </w:r>
          </w:p>
        </w:tc>
      </w:tr>
      <w:tr>
        <w:tblPrEx>
          <w:tblCellMar>
            <w:top w:w="0" w:type="dxa"/>
            <w:left w:w="108" w:type="dxa"/>
            <w:bottom w:w="0" w:type="dxa"/>
            <w:right w:w="108" w:type="dxa"/>
          </w:tblCellMar>
        </w:tblPrEx>
        <w:trPr>
          <w:trHeight w:val="280" w:hRule="atLeast"/>
        </w:trPr>
        <w:tc>
          <w:tcPr>
            <w:tcW w:w="1480"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数据系统灾备</w:t>
            </w:r>
          </w:p>
        </w:tc>
        <w:tc>
          <w:tcPr>
            <w:tcW w:w="208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支持全组件灾备</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全产品组件支持灾备，块级别数据复制技术</w:t>
            </w:r>
          </w:p>
        </w:tc>
      </w:tr>
      <w:tr>
        <w:tblPrEx>
          <w:tblCellMar>
            <w:top w:w="0" w:type="dxa"/>
            <w:left w:w="108" w:type="dxa"/>
            <w:bottom w:w="0" w:type="dxa"/>
            <w:right w:w="108" w:type="dxa"/>
          </w:tblCellMar>
        </w:tblPrEx>
        <w:trPr>
          <w:trHeight w:val="1400" w:hRule="atLeast"/>
        </w:trPr>
        <w:tc>
          <w:tcPr>
            <w:tcW w:w="1480"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系统稳定性</w:t>
            </w:r>
          </w:p>
        </w:tc>
        <w:tc>
          <w:tcPr>
            <w:tcW w:w="208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多容错机制</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Task级别重试：</w:t>
            </w:r>
            <w:r>
              <w:rPr>
                <w:rFonts w:hint="eastAsia" w:ascii="宋体" w:hAnsi="宋体" w:eastAsia="宋体" w:cs="宋体"/>
                <w:color w:val="auto"/>
                <w:sz w:val="22"/>
                <w:szCs w:val="22"/>
                <w:highlight w:val="none"/>
              </w:rPr>
              <w:br w:type="textWrapping"/>
            </w:r>
            <w:r>
              <w:rPr>
                <w:rFonts w:hint="eastAsia" w:ascii="宋体" w:hAnsi="宋体" w:eastAsia="宋体" w:cs="宋体"/>
                <w:color w:val="auto"/>
                <w:sz w:val="22"/>
                <w:szCs w:val="22"/>
                <w:highlight w:val="none"/>
              </w:rPr>
              <w:t>支持系统7*24小时稳定运行，支持细粒度任务级别重试；</w:t>
            </w:r>
            <w:r>
              <w:rPr>
                <w:rFonts w:hint="eastAsia" w:ascii="宋体" w:hAnsi="宋体" w:eastAsia="宋体" w:cs="宋体"/>
                <w:color w:val="auto"/>
                <w:sz w:val="22"/>
                <w:szCs w:val="22"/>
                <w:highlight w:val="none"/>
              </w:rPr>
              <w:br w:type="textWrapping"/>
            </w:r>
            <w:r>
              <w:rPr>
                <w:rFonts w:hint="eastAsia" w:ascii="宋体" w:hAnsi="宋体" w:eastAsia="宋体" w:cs="宋体"/>
                <w:color w:val="auto"/>
                <w:sz w:val="22"/>
                <w:szCs w:val="22"/>
                <w:highlight w:val="none"/>
              </w:rPr>
              <w:br w:type="textWrapping"/>
            </w:r>
            <w:r>
              <w:rPr>
                <w:rFonts w:hint="eastAsia" w:ascii="宋体" w:hAnsi="宋体" w:eastAsia="宋体" w:cs="宋体"/>
                <w:color w:val="auto"/>
                <w:sz w:val="22"/>
                <w:szCs w:val="22"/>
                <w:highlight w:val="none"/>
              </w:rPr>
              <w:t>支持在少数派磁盘故障情况下继续提供服务</w:t>
            </w:r>
          </w:p>
        </w:tc>
      </w:tr>
    </w:tbl>
    <w:p>
      <w:pPr>
        <w:pStyle w:val="3"/>
        <w:ind w:firstLine="480"/>
        <w:rPr>
          <w:color w:val="auto"/>
          <w:highlight w:val="none"/>
        </w:rPr>
      </w:pPr>
    </w:p>
    <w:p>
      <w:pPr>
        <w:pStyle w:val="8"/>
        <w:rPr>
          <w:color w:val="auto"/>
          <w:highlight w:val="none"/>
          <w:lang w:val="zh-CN"/>
        </w:rPr>
      </w:pPr>
      <w:r>
        <w:rPr>
          <w:rFonts w:hint="eastAsia"/>
          <w:color w:val="auto"/>
          <w:highlight w:val="none"/>
          <w:lang w:val="zh-CN"/>
        </w:rPr>
        <w:t>时序数据库</w:t>
      </w:r>
    </w:p>
    <w:tbl>
      <w:tblPr>
        <w:tblStyle w:val="35"/>
        <w:tblW w:w="8120" w:type="dxa"/>
        <w:tblInd w:w="0" w:type="dxa"/>
        <w:tblLayout w:type="autofit"/>
        <w:tblCellMar>
          <w:top w:w="0" w:type="dxa"/>
          <w:left w:w="108" w:type="dxa"/>
          <w:bottom w:w="0" w:type="dxa"/>
          <w:right w:w="108" w:type="dxa"/>
        </w:tblCellMar>
      </w:tblPr>
      <w:tblGrid>
        <w:gridCol w:w="1480"/>
        <w:gridCol w:w="2080"/>
        <w:gridCol w:w="4560"/>
      </w:tblGrid>
      <w:tr>
        <w:tblPrEx>
          <w:tblCellMar>
            <w:top w:w="0" w:type="dxa"/>
            <w:left w:w="108" w:type="dxa"/>
            <w:bottom w:w="0" w:type="dxa"/>
            <w:right w:w="108" w:type="dxa"/>
          </w:tblCellMar>
        </w:tblPrEx>
        <w:trPr>
          <w:trHeight w:val="280" w:hRule="atLeast"/>
        </w:trPr>
        <w:tc>
          <w:tcPr>
            <w:tcW w:w="1480" w:type="dxa"/>
            <w:tcBorders>
              <w:top w:val="single" w:color="auto" w:sz="4" w:space="0"/>
              <w:left w:val="single" w:color="auto" w:sz="4" w:space="0"/>
              <w:bottom w:val="single" w:color="auto" w:sz="4" w:space="0"/>
              <w:right w:val="single" w:color="auto" w:sz="4" w:space="0"/>
            </w:tcBorders>
            <w:shd w:val="clear" w:color="000000" w:fill="F2F2F2"/>
            <w:vAlign w:val="center"/>
          </w:tcPr>
          <w:p>
            <w:pPr>
              <w:jc w:val="center"/>
              <w:rPr>
                <w:rFonts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分类</w:t>
            </w:r>
          </w:p>
        </w:tc>
        <w:tc>
          <w:tcPr>
            <w:tcW w:w="2080" w:type="dxa"/>
            <w:tcBorders>
              <w:top w:val="single" w:color="auto" w:sz="4" w:space="0"/>
              <w:left w:val="nil"/>
              <w:bottom w:val="single" w:color="auto" w:sz="4" w:space="0"/>
              <w:right w:val="single" w:color="auto" w:sz="4" w:space="0"/>
            </w:tcBorders>
            <w:shd w:val="clear" w:color="000000" w:fill="F2F2F2"/>
            <w:vAlign w:val="center"/>
          </w:tcPr>
          <w:p>
            <w:pPr>
              <w:jc w:val="center"/>
              <w:rPr>
                <w:rFonts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功能</w:t>
            </w:r>
          </w:p>
        </w:tc>
        <w:tc>
          <w:tcPr>
            <w:tcW w:w="4560" w:type="dxa"/>
            <w:tcBorders>
              <w:top w:val="single" w:color="auto" w:sz="4" w:space="0"/>
              <w:left w:val="nil"/>
              <w:bottom w:val="single" w:color="auto" w:sz="4" w:space="0"/>
              <w:right w:val="single" w:color="auto" w:sz="4" w:space="0"/>
            </w:tcBorders>
            <w:shd w:val="clear" w:color="000000" w:fill="F2F2F2"/>
            <w:vAlign w:val="center"/>
          </w:tcPr>
          <w:p>
            <w:pPr>
              <w:jc w:val="center"/>
              <w:rPr>
                <w:rFonts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功能描述</w:t>
            </w:r>
          </w:p>
        </w:tc>
      </w:tr>
      <w:tr>
        <w:tblPrEx>
          <w:tblCellMar>
            <w:top w:w="0" w:type="dxa"/>
            <w:left w:w="108" w:type="dxa"/>
            <w:bottom w:w="0" w:type="dxa"/>
            <w:right w:w="108" w:type="dxa"/>
          </w:tblCellMar>
        </w:tblPrEx>
        <w:trPr>
          <w:trHeight w:val="280" w:hRule="atLeast"/>
        </w:trPr>
        <w:tc>
          <w:tcPr>
            <w:tcW w:w="148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时序数据库</w:t>
            </w: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分布式存储与计算</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支持数据分布式存储；</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支持分布式计算任务；</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支持标准SQL语法</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支持类型编码、场景数据编码、优化存储结构</w:t>
            </w:r>
            <w:r>
              <w:rPr>
                <w:rFonts w:hint="eastAsia" w:ascii="宋体" w:hAnsi="宋体" w:eastAsia="宋体" w:cs="宋体"/>
                <w:color w:val="auto"/>
                <w:sz w:val="22"/>
                <w:szCs w:val="22"/>
                <w:highlight w:val="none"/>
              </w:rPr>
              <w:br w:type="textWrapping"/>
            </w:r>
            <w:r>
              <w:rPr>
                <w:rFonts w:hint="eastAsia" w:ascii="宋体" w:hAnsi="宋体" w:eastAsia="宋体" w:cs="宋体"/>
                <w:color w:val="auto"/>
                <w:sz w:val="22"/>
                <w:szCs w:val="22"/>
                <w:highlight w:val="none"/>
              </w:rPr>
              <w:t>等数据压缩方式</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访问控制</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支持JDBC访问；</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支持图形化客户端访问；</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支持LDAP、Kerberos、token安全认证方式；</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支持Java/Python API；</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支持Python 类Pandas DataFrame API进行数据分析</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高可用</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支持动态扩容；</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支持master节点与server节点高可用；</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支持节点故障自动恢复；</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运维监控</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可视化硬件指标监控，包括CPU、内存、磁盘等硬件监控与告警</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可视化服务指标监控，包括角色、服务状态、服务配置、安全开启状态等服务级监控与告警</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可视化SQL监控</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表级别资源监控，包括表类型、表大小等</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时序存储指标监控，包括查询指标与写入指标</w:t>
            </w:r>
          </w:p>
        </w:tc>
      </w:tr>
      <w:tr>
        <w:tblPrEx>
          <w:tblCellMar>
            <w:top w:w="0" w:type="dxa"/>
            <w:left w:w="108" w:type="dxa"/>
            <w:bottom w:w="0" w:type="dxa"/>
            <w:right w:w="108" w:type="dxa"/>
          </w:tblCellMar>
        </w:tblPrEx>
        <w:trPr>
          <w:trHeight w:val="112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SQL引擎</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所有字段均支持timestamp，string，char，varchar，varchar2，int，bigint，tinyint，smallint，date，float，double，boolean 数据类型；</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非时间戳/索引字段支持null值；</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支持create/drop/truncate table语法；</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支持单条数据插入；</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支持批量数据插入；</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支持快速修改标签列</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支持流任务插入，可以对接Kafka数据源，支持JSON等复杂数据格式；</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支持时间窗口查询（time_window）；</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支持根据任意字段组合进行过滤/聚合/排序/去重查询</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支持多表关联查询（join）；</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支持子查询</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支持With AS语法</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支持集合运算</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支持表化名与列化名</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支持用户自定义UDF；</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支持数据批量导出到外部文件系统</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支持本地数据快速快速导入数据库</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支持多个时序数据分析任务并发执行</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支持海量时序数据复杂分析计算（支持百亿行数据以上）</w:t>
            </w:r>
          </w:p>
        </w:tc>
      </w:tr>
      <w:tr>
        <w:tblPrEx>
          <w:tblCellMar>
            <w:top w:w="0" w:type="dxa"/>
            <w:left w:w="108" w:type="dxa"/>
            <w:bottom w:w="0" w:type="dxa"/>
            <w:right w:w="108" w:type="dxa"/>
          </w:tblCellMar>
        </w:tblPrEx>
        <w:trPr>
          <w:trHeight w:val="84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安全性</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支持安全访问控制。不同的用户，访问数据对象时，根据是否拥有权限，返回数据结果或权限不足的错误提示</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支持权限控制。包括创建/删除用户、修改用户信息、添加用户权限等</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支持安全审计。包括用户登录安全认证审计、SQL安全审计、高危操作实时告警等</w:t>
            </w:r>
          </w:p>
        </w:tc>
      </w:tr>
    </w:tbl>
    <w:p>
      <w:pPr>
        <w:pStyle w:val="3"/>
        <w:ind w:firstLine="480"/>
        <w:rPr>
          <w:color w:val="auto"/>
          <w:highlight w:val="none"/>
        </w:rPr>
      </w:pPr>
    </w:p>
    <w:p>
      <w:pPr>
        <w:pStyle w:val="8"/>
        <w:rPr>
          <w:color w:val="auto"/>
          <w:highlight w:val="none"/>
          <w:lang w:val="zh-CN"/>
        </w:rPr>
      </w:pPr>
      <w:r>
        <w:rPr>
          <w:rFonts w:hint="eastAsia"/>
          <w:color w:val="auto"/>
          <w:highlight w:val="none"/>
          <w:lang w:val="zh-CN"/>
        </w:rPr>
        <w:t>分布式文件系统</w:t>
      </w:r>
    </w:p>
    <w:tbl>
      <w:tblPr>
        <w:tblStyle w:val="35"/>
        <w:tblW w:w="8120" w:type="dxa"/>
        <w:tblInd w:w="0" w:type="dxa"/>
        <w:tblLayout w:type="autofit"/>
        <w:tblCellMar>
          <w:top w:w="0" w:type="dxa"/>
          <w:left w:w="108" w:type="dxa"/>
          <w:bottom w:w="0" w:type="dxa"/>
          <w:right w:w="108" w:type="dxa"/>
        </w:tblCellMar>
      </w:tblPr>
      <w:tblGrid>
        <w:gridCol w:w="1480"/>
        <w:gridCol w:w="2080"/>
        <w:gridCol w:w="4560"/>
      </w:tblGrid>
      <w:tr>
        <w:tblPrEx>
          <w:tblCellMar>
            <w:top w:w="0" w:type="dxa"/>
            <w:left w:w="108" w:type="dxa"/>
            <w:bottom w:w="0" w:type="dxa"/>
            <w:right w:w="108" w:type="dxa"/>
          </w:tblCellMar>
        </w:tblPrEx>
        <w:trPr>
          <w:trHeight w:val="280" w:hRule="atLeast"/>
        </w:trPr>
        <w:tc>
          <w:tcPr>
            <w:tcW w:w="1480" w:type="dxa"/>
            <w:tcBorders>
              <w:top w:val="single" w:color="auto" w:sz="4" w:space="0"/>
              <w:left w:val="single" w:color="auto" w:sz="4" w:space="0"/>
              <w:bottom w:val="single" w:color="auto" w:sz="4" w:space="0"/>
              <w:right w:val="single" w:color="auto" w:sz="4" w:space="0"/>
            </w:tcBorders>
            <w:shd w:val="clear" w:color="000000" w:fill="F2F2F2"/>
            <w:vAlign w:val="center"/>
          </w:tcPr>
          <w:p>
            <w:pPr>
              <w:jc w:val="center"/>
              <w:rPr>
                <w:rFonts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分类</w:t>
            </w:r>
          </w:p>
        </w:tc>
        <w:tc>
          <w:tcPr>
            <w:tcW w:w="2080" w:type="dxa"/>
            <w:tcBorders>
              <w:top w:val="single" w:color="auto" w:sz="4" w:space="0"/>
              <w:left w:val="nil"/>
              <w:bottom w:val="single" w:color="auto" w:sz="4" w:space="0"/>
              <w:right w:val="single" w:color="auto" w:sz="4" w:space="0"/>
            </w:tcBorders>
            <w:shd w:val="clear" w:color="000000" w:fill="F2F2F2"/>
            <w:vAlign w:val="center"/>
          </w:tcPr>
          <w:p>
            <w:pPr>
              <w:jc w:val="center"/>
              <w:rPr>
                <w:rFonts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功能</w:t>
            </w:r>
          </w:p>
        </w:tc>
        <w:tc>
          <w:tcPr>
            <w:tcW w:w="4560" w:type="dxa"/>
            <w:tcBorders>
              <w:top w:val="single" w:color="auto" w:sz="4" w:space="0"/>
              <w:left w:val="nil"/>
              <w:bottom w:val="single" w:color="auto" w:sz="4" w:space="0"/>
              <w:right w:val="single" w:color="auto" w:sz="4" w:space="0"/>
            </w:tcBorders>
            <w:shd w:val="clear" w:color="000000" w:fill="F2F2F2"/>
            <w:vAlign w:val="center"/>
          </w:tcPr>
          <w:p>
            <w:pPr>
              <w:jc w:val="center"/>
              <w:rPr>
                <w:rFonts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功能描述</w:t>
            </w:r>
          </w:p>
        </w:tc>
      </w:tr>
      <w:tr>
        <w:tblPrEx>
          <w:tblCellMar>
            <w:top w:w="0" w:type="dxa"/>
            <w:left w:w="108" w:type="dxa"/>
            <w:bottom w:w="0" w:type="dxa"/>
            <w:right w:w="108" w:type="dxa"/>
          </w:tblCellMar>
        </w:tblPrEx>
        <w:trPr>
          <w:trHeight w:val="560" w:hRule="atLeast"/>
        </w:trPr>
        <w:tc>
          <w:tcPr>
            <w:tcW w:w="148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分布式文件系统</w:t>
            </w: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分布式文件系统使用</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 PB 级别容量的文件存储</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多副本容错的文件数据持久化存储，灾备恢复</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主从高可用系统架构，支持主备切换让集群持续对外提供服务</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无限扩容存储空间，无容量上限瓶颈</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支持大文件持续写入，高吞吐量低延迟，低内存使用</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支持数据长期存储，冷数据持久化</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并发访问文件权限控制，保证文件读写基本的事务性质</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支持分布式文件系统用户权限管理，用户访问权限控制</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支持安全传输协议，确保数据的安全性</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不依赖运行时环境，无虚拟机内存管理必然导致 STW 造成的卡顿</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分布式文件系统运维</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基础分布式文件系统的指标查看，如整体磁盘容量、使用空间等</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集群状态统一查看，当前集群主从节点状态，同步状态等</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可指定 TDFS 集群配置，包含基本性能调优，一致性可用性配置进行 tradeoff</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独立自包含，不依赖外部第三方服务，减轻运维压力</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小文件存储</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支持百亿级别甚至更多的文件数据量，海量小文件存储</w:t>
            </w:r>
          </w:p>
        </w:tc>
      </w:tr>
      <w:tr>
        <w:tblPrEx>
          <w:tblCellMar>
            <w:top w:w="0" w:type="dxa"/>
            <w:left w:w="108" w:type="dxa"/>
            <w:bottom w:w="0" w:type="dxa"/>
            <w:right w:w="108" w:type="dxa"/>
          </w:tblCellMar>
        </w:tblPrEx>
        <w:trPr>
          <w:trHeight w:val="84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支持直接对接业务层作为小文件存储使用，例如单个文件级别 MB 以下的图片、PDF 文件，可以直接存入 TDFS</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对象存储</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同时支持文件存储和对象存储</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生态兼容</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兼容开源Hadoop生态，支持HDFS API与S3接口，提供迁移工具支持应用平滑迁移</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性能指标</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基本大文件吞吐量指标</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高并发 读 / 写 集群延迟</w:t>
            </w:r>
          </w:p>
        </w:tc>
      </w:tr>
    </w:tbl>
    <w:p>
      <w:pPr>
        <w:pStyle w:val="7"/>
        <w:rPr>
          <w:color w:val="auto"/>
          <w:highlight w:val="none"/>
          <w:lang w:val="zh-CN"/>
        </w:rPr>
      </w:pPr>
      <w:r>
        <w:rPr>
          <w:rFonts w:hint="eastAsia"/>
          <w:color w:val="auto"/>
          <w:highlight w:val="none"/>
          <w:lang w:val="zh-CN"/>
        </w:rPr>
        <w:t>数据治理子系统</w:t>
      </w:r>
    </w:p>
    <w:p>
      <w:pPr>
        <w:pStyle w:val="3"/>
        <w:ind w:firstLine="480"/>
        <w:rPr>
          <w:color w:val="auto"/>
          <w:highlight w:val="none"/>
          <w:lang w:val="zh-CN"/>
        </w:rPr>
      </w:pPr>
      <w:r>
        <w:rPr>
          <w:rFonts w:hint="eastAsia"/>
          <w:color w:val="auto"/>
          <w:highlight w:val="none"/>
          <w:lang w:val="zh-CN"/>
        </w:rPr>
        <w:t>建设数据治理子系统为上海市监狱管理局整体数据汇聚、治理、分析工作提供抓手。提供数据源管理、数据质量评估、数据监测预警、数据资产目录、数据服务等多类型功能，全面服务于上海市监狱管理局数据汇聚接入、清洗转换、建模分析、资产编目、共享交换、安全监管等全流程、全场景的数据开发工作。</w:t>
      </w:r>
    </w:p>
    <w:p>
      <w:pPr>
        <w:pStyle w:val="3"/>
        <w:ind w:firstLine="480"/>
        <w:rPr>
          <w:color w:val="auto"/>
          <w:highlight w:val="none"/>
        </w:rPr>
      </w:pPr>
      <w:r>
        <w:rPr>
          <w:rFonts w:hint="eastAsia"/>
          <w:color w:val="auto"/>
          <w:highlight w:val="none"/>
        </w:rPr>
        <w:t>以下产品功能要求中，带“▲”的为重要指标，需提供截图或相关文件证明。投标的产品或模块应满足以下功能要求：</w:t>
      </w:r>
    </w:p>
    <w:p>
      <w:pPr>
        <w:pStyle w:val="3"/>
        <w:ind w:firstLine="480"/>
        <w:rPr>
          <w:color w:val="auto"/>
          <w:highlight w:val="none"/>
        </w:rPr>
      </w:pPr>
    </w:p>
    <w:tbl>
      <w:tblPr>
        <w:tblStyle w:val="35"/>
        <w:tblW w:w="8426" w:type="dxa"/>
        <w:jc w:val="center"/>
        <w:tblLayout w:type="autofit"/>
        <w:tblCellMar>
          <w:top w:w="0" w:type="dxa"/>
          <w:left w:w="108" w:type="dxa"/>
          <w:bottom w:w="0" w:type="dxa"/>
          <w:right w:w="108" w:type="dxa"/>
        </w:tblCellMar>
      </w:tblPr>
      <w:tblGrid>
        <w:gridCol w:w="659"/>
        <w:gridCol w:w="1538"/>
        <w:gridCol w:w="6229"/>
      </w:tblGrid>
      <w:tr>
        <w:tblPrEx>
          <w:tblCellMar>
            <w:top w:w="0" w:type="dxa"/>
            <w:left w:w="108" w:type="dxa"/>
            <w:bottom w:w="0" w:type="dxa"/>
            <w:right w:w="108" w:type="dxa"/>
          </w:tblCellMar>
        </w:tblPrEx>
        <w:trPr>
          <w:trHeight w:val="367"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tcPr>
          <w:p>
            <w:pPr>
              <w:pStyle w:val="13"/>
              <w:ind w:firstLine="0" w:firstLineChars="0"/>
              <w:rPr>
                <w:rFonts w:cs="仿宋" w:asciiTheme="majorEastAsia" w:hAnsiTheme="majorEastAsia" w:eastAsiaTheme="majorEastAsia"/>
                <w:b/>
                <w:color w:val="auto"/>
                <w:sz w:val="22"/>
                <w:szCs w:val="22"/>
                <w:highlight w:val="none"/>
              </w:rPr>
            </w:pPr>
            <w:r>
              <w:rPr>
                <w:rFonts w:hint="eastAsia" w:cs="仿宋" w:asciiTheme="majorEastAsia" w:hAnsiTheme="majorEastAsia" w:eastAsiaTheme="majorEastAsia"/>
                <w:b/>
                <w:color w:val="auto"/>
                <w:sz w:val="22"/>
                <w:szCs w:val="22"/>
                <w:highlight w:val="none"/>
              </w:rPr>
              <w:t>序号</w:t>
            </w:r>
          </w:p>
        </w:tc>
        <w:tc>
          <w:tcPr>
            <w:tcW w:w="1538" w:type="dxa"/>
            <w:tcBorders>
              <w:top w:val="single" w:color="000000" w:sz="4" w:space="0"/>
              <w:left w:val="single" w:color="000000" w:sz="4" w:space="0"/>
              <w:bottom w:val="single" w:color="auto" w:sz="4" w:space="0"/>
              <w:right w:val="single" w:color="000000" w:sz="4" w:space="0"/>
            </w:tcBorders>
            <w:shd w:val="clear" w:color="auto" w:fill="auto"/>
          </w:tcPr>
          <w:p>
            <w:pPr>
              <w:pStyle w:val="13"/>
              <w:ind w:firstLine="0" w:firstLineChars="0"/>
              <w:rPr>
                <w:rFonts w:cs="仿宋" w:asciiTheme="majorEastAsia" w:hAnsiTheme="majorEastAsia" w:eastAsiaTheme="majorEastAsia"/>
                <w:b/>
                <w:color w:val="auto"/>
                <w:sz w:val="22"/>
                <w:szCs w:val="22"/>
                <w:highlight w:val="none"/>
              </w:rPr>
            </w:pPr>
            <w:r>
              <w:rPr>
                <w:rFonts w:hint="eastAsia" w:cs="仿宋" w:asciiTheme="majorEastAsia" w:hAnsiTheme="majorEastAsia" w:eastAsiaTheme="majorEastAsia"/>
                <w:b/>
                <w:color w:val="auto"/>
                <w:sz w:val="22"/>
                <w:szCs w:val="22"/>
                <w:highlight w:val="none"/>
              </w:rPr>
              <w:t>功能名称</w:t>
            </w:r>
          </w:p>
        </w:tc>
        <w:tc>
          <w:tcPr>
            <w:tcW w:w="6229" w:type="dxa"/>
            <w:tcBorders>
              <w:top w:val="single" w:color="000000" w:sz="4" w:space="0"/>
              <w:left w:val="single" w:color="000000" w:sz="4" w:space="0"/>
              <w:bottom w:val="single" w:color="000000" w:sz="4" w:space="0"/>
              <w:right w:val="single" w:color="000000" w:sz="4" w:space="0"/>
            </w:tcBorders>
            <w:shd w:val="clear" w:color="auto" w:fill="auto"/>
          </w:tcPr>
          <w:p>
            <w:pPr>
              <w:pStyle w:val="13"/>
              <w:ind w:firstLine="0" w:firstLineChars="0"/>
              <w:jc w:val="center"/>
              <w:rPr>
                <w:rFonts w:cs="仿宋" w:asciiTheme="majorEastAsia" w:hAnsiTheme="majorEastAsia" w:eastAsiaTheme="majorEastAsia"/>
                <w:b/>
                <w:color w:val="auto"/>
                <w:sz w:val="22"/>
                <w:szCs w:val="22"/>
                <w:highlight w:val="none"/>
              </w:rPr>
            </w:pPr>
            <w:r>
              <w:rPr>
                <w:rFonts w:hint="eastAsia" w:cs="仿宋" w:asciiTheme="majorEastAsia" w:hAnsiTheme="majorEastAsia" w:eastAsiaTheme="majorEastAsia"/>
                <w:b/>
                <w:color w:val="auto"/>
                <w:sz w:val="22"/>
                <w:szCs w:val="22"/>
                <w:highlight w:val="none"/>
              </w:rPr>
              <w:t>功能描述</w:t>
            </w:r>
          </w:p>
        </w:tc>
      </w:tr>
      <w:tr>
        <w:tblPrEx>
          <w:tblCellMar>
            <w:top w:w="0" w:type="dxa"/>
            <w:left w:w="108" w:type="dxa"/>
            <w:bottom w:w="0" w:type="dxa"/>
            <w:right w:w="108" w:type="dxa"/>
          </w:tblCellMar>
        </w:tblPrEx>
        <w:trPr>
          <w:trHeight w:val="84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lang w:bidi="ar"/>
              </w:rPr>
              <w:t>1</w:t>
            </w:r>
          </w:p>
        </w:tc>
        <w:tc>
          <w:tcPr>
            <w:tcW w:w="1538" w:type="dxa"/>
            <w:vMerge w:val="restart"/>
            <w:tcBorders>
              <w:top w:val="single" w:color="auto" w:sz="4" w:space="0"/>
              <w:left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lang w:bidi="ar"/>
              </w:rPr>
              <w:t>数据源管理</w:t>
            </w: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shd w:val="clear" w:color="auto" w:fill="FFFFFF"/>
              </w:rPr>
              <w:t>▲</w:t>
            </w:r>
            <w:r>
              <w:rPr>
                <w:rFonts w:cs="仿宋" w:asciiTheme="majorEastAsia" w:hAnsiTheme="majorEastAsia" w:eastAsiaTheme="majorEastAsia"/>
                <w:color w:val="auto"/>
                <w:sz w:val="22"/>
                <w:szCs w:val="22"/>
                <w:highlight w:val="none"/>
                <w:shd w:val="clear" w:color="auto" w:fill="FFFFFF"/>
              </w:rPr>
              <w:t>8</w:t>
            </w:r>
            <w:r>
              <w:rPr>
                <w:rFonts w:hint="eastAsia" w:cs="仿宋" w:asciiTheme="majorEastAsia" w:hAnsiTheme="majorEastAsia" w:eastAsiaTheme="majorEastAsia"/>
                <w:color w:val="auto"/>
                <w:sz w:val="22"/>
                <w:szCs w:val="22"/>
                <w:highlight w:val="none"/>
                <w:lang w:bidi="ar"/>
              </w:rPr>
              <w:t>连接配置：各类型数据源的连接信息管理，支持数据库类型：</w:t>
            </w:r>
            <w:bookmarkStart w:id="9" w:name="_Hlk167782107"/>
            <w:r>
              <w:rPr>
                <w:rFonts w:hint="eastAsia" w:cs="仿宋" w:asciiTheme="majorEastAsia" w:hAnsiTheme="majorEastAsia" w:eastAsiaTheme="majorEastAsia"/>
                <w:color w:val="auto"/>
                <w:sz w:val="22"/>
                <w:szCs w:val="22"/>
                <w:highlight w:val="none"/>
                <w:lang w:bidi="ar"/>
              </w:rPr>
              <w:t>MySQL、SQL server、Oracle、DB2、Postgre SQL、Hive、Impala、MongoDB、HDFS、Hbase等。</w:t>
            </w:r>
            <w:bookmarkEnd w:id="9"/>
            <w:r>
              <w:rPr>
                <w:rFonts w:hint="eastAsia" w:cs="仿宋" w:asciiTheme="majorEastAsia" w:hAnsiTheme="majorEastAsia" w:eastAsiaTheme="majorEastAsia"/>
                <w:color w:val="auto"/>
                <w:sz w:val="22"/>
                <w:szCs w:val="22"/>
                <w:highlight w:val="none"/>
              </w:rPr>
              <w:t>需提供截图证明。</w:t>
            </w:r>
          </w:p>
        </w:tc>
      </w:tr>
      <w:tr>
        <w:tblPrEx>
          <w:tblCellMar>
            <w:top w:w="0" w:type="dxa"/>
            <w:left w:w="108" w:type="dxa"/>
            <w:bottom w:w="0" w:type="dxa"/>
            <w:right w:w="108" w:type="dxa"/>
          </w:tblCellMar>
        </w:tblPrEx>
        <w:trPr>
          <w:trHeight w:val="56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rPr>
              <w:t>2</w:t>
            </w:r>
          </w:p>
        </w:tc>
        <w:tc>
          <w:tcPr>
            <w:tcW w:w="153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cs="仿宋" w:asciiTheme="majorEastAsia" w:hAnsiTheme="majorEastAsia" w:eastAsiaTheme="majorEastAsia"/>
                <w:color w:val="auto"/>
                <w:sz w:val="22"/>
                <w:szCs w:val="22"/>
                <w:highlight w:val="none"/>
              </w:rPr>
            </w:pP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接入配置：将用户需要检核的数据通过接入配置同步到本平台，便于对数据进行质量评估和清洗。</w:t>
            </w:r>
          </w:p>
        </w:tc>
      </w:tr>
      <w:tr>
        <w:tblPrEx>
          <w:tblCellMar>
            <w:top w:w="0" w:type="dxa"/>
            <w:left w:w="108" w:type="dxa"/>
            <w:bottom w:w="0" w:type="dxa"/>
            <w:right w:w="108" w:type="dxa"/>
          </w:tblCellMar>
        </w:tblPrEx>
        <w:trPr>
          <w:trHeight w:val="56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rPr>
              <w:t>3</w:t>
            </w:r>
          </w:p>
        </w:tc>
        <w:tc>
          <w:tcPr>
            <w:tcW w:w="153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cs="仿宋" w:asciiTheme="majorEastAsia" w:hAnsiTheme="majorEastAsia" w:eastAsiaTheme="majorEastAsia"/>
                <w:color w:val="auto"/>
                <w:sz w:val="22"/>
                <w:szCs w:val="22"/>
                <w:highlight w:val="none"/>
              </w:rPr>
            </w:pP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接入监控：接入配置任务执行历史展示，用户可看到任务执行状态和详细执行日志。</w:t>
            </w:r>
          </w:p>
        </w:tc>
      </w:tr>
      <w:tr>
        <w:tblPrEx>
          <w:tblCellMar>
            <w:top w:w="0" w:type="dxa"/>
            <w:left w:w="108" w:type="dxa"/>
            <w:bottom w:w="0" w:type="dxa"/>
            <w:right w:w="108" w:type="dxa"/>
          </w:tblCellMar>
        </w:tblPrEx>
        <w:trPr>
          <w:trHeight w:val="56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rPr>
              <w:t>4</w:t>
            </w:r>
          </w:p>
        </w:tc>
        <w:tc>
          <w:tcPr>
            <w:tcW w:w="1538" w:type="dxa"/>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jc w:val="center"/>
              <w:rPr>
                <w:rFonts w:cs="仿宋" w:asciiTheme="majorEastAsia" w:hAnsiTheme="majorEastAsia" w:eastAsiaTheme="majorEastAsia"/>
                <w:color w:val="auto"/>
                <w:sz w:val="22"/>
                <w:szCs w:val="22"/>
                <w:highlight w:val="none"/>
              </w:rPr>
            </w:pP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数据预览：接入检核数据的数据概况预览，可查看检核数据的样本数据或通过sql查询特定条件的数据。</w:t>
            </w:r>
          </w:p>
        </w:tc>
      </w:tr>
      <w:tr>
        <w:tblPrEx>
          <w:tblCellMar>
            <w:top w:w="0" w:type="dxa"/>
            <w:left w:w="108" w:type="dxa"/>
            <w:bottom w:w="0" w:type="dxa"/>
            <w:right w:w="108" w:type="dxa"/>
          </w:tblCellMar>
        </w:tblPrEx>
        <w:trPr>
          <w:trHeight w:val="56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lang w:bidi="ar"/>
              </w:rPr>
              <w:t>5</w:t>
            </w:r>
          </w:p>
        </w:tc>
        <w:tc>
          <w:tcPr>
            <w:tcW w:w="1538" w:type="dxa"/>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元数据采集</w:t>
            </w: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支持对接入系统的数据源进行元数据信息采集，包括元数据信息及表关系等。</w:t>
            </w:r>
          </w:p>
        </w:tc>
      </w:tr>
      <w:tr>
        <w:tblPrEx>
          <w:tblCellMar>
            <w:top w:w="0" w:type="dxa"/>
            <w:left w:w="108" w:type="dxa"/>
            <w:bottom w:w="0" w:type="dxa"/>
            <w:right w:w="108" w:type="dxa"/>
          </w:tblCellMar>
        </w:tblPrEx>
        <w:trPr>
          <w:trHeight w:val="56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lang w:bidi="ar"/>
              </w:rPr>
              <w:t>6</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元数据采集历史</w:t>
            </w: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采集任务执行历史详情，可查看任务执行状态以及执行日志。</w:t>
            </w:r>
          </w:p>
        </w:tc>
      </w:tr>
      <w:tr>
        <w:tblPrEx>
          <w:tblCellMar>
            <w:top w:w="0" w:type="dxa"/>
            <w:left w:w="108" w:type="dxa"/>
            <w:bottom w:w="0" w:type="dxa"/>
            <w:right w:w="108" w:type="dxa"/>
          </w:tblCellMar>
        </w:tblPrEx>
        <w:trPr>
          <w:trHeight w:val="68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lang w:bidi="ar"/>
              </w:rPr>
              <w:t>7</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元数据管理-元数据统计</w:t>
            </w: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元数据信息统计包括：新增、变更、删除情况分析统计、元数据类型占比、以及近期元数据变更趋势分析等。</w:t>
            </w:r>
          </w:p>
        </w:tc>
      </w:tr>
      <w:tr>
        <w:tblPrEx>
          <w:tblCellMar>
            <w:top w:w="0" w:type="dxa"/>
            <w:left w:w="108" w:type="dxa"/>
            <w:bottom w:w="0" w:type="dxa"/>
            <w:right w:w="108" w:type="dxa"/>
          </w:tblCellMar>
        </w:tblPrEx>
        <w:trPr>
          <w:trHeight w:val="84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lang w:bidi="ar"/>
              </w:rPr>
              <w:t>8</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元数据管理-元数据维护</w:t>
            </w: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shd w:val="clear" w:color="auto" w:fill="FFFFFF"/>
              </w:rPr>
              <w:t>▲</w:t>
            </w:r>
            <w:r>
              <w:rPr>
                <w:rFonts w:cs="仿宋" w:asciiTheme="majorEastAsia" w:hAnsiTheme="majorEastAsia" w:eastAsiaTheme="majorEastAsia"/>
                <w:color w:val="auto"/>
                <w:sz w:val="22"/>
                <w:szCs w:val="22"/>
                <w:highlight w:val="none"/>
                <w:shd w:val="clear" w:color="auto" w:fill="FFFFFF"/>
              </w:rPr>
              <w:t>9</w:t>
            </w:r>
            <w:r>
              <w:rPr>
                <w:rFonts w:hint="eastAsia" w:cs="仿宋" w:asciiTheme="majorEastAsia" w:hAnsiTheme="majorEastAsia" w:eastAsiaTheme="majorEastAsia"/>
                <w:color w:val="auto"/>
                <w:sz w:val="22"/>
                <w:szCs w:val="22"/>
                <w:highlight w:val="none"/>
                <w:lang w:bidi="ar"/>
              </w:rPr>
              <w:t>对采集的元数据信息管理和查看，支持版本管理和比对，支持血缘关系展示和维护。版本管理支持版本发布、版本比对。</w:t>
            </w:r>
            <w:r>
              <w:rPr>
                <w:rFonts w:hint="eastAsia" w:cs="仿宋" w:asciiTheme="majorEastAsia" w:hAnsiTheme="majorEastAsia" w:eastAsiaTheme="majorEastAsia"/>
                <w:color w:val="auto"/>
                <w:sz w:val="22"/>
                <w:szCs w:val="22"/>
                <w:highlight w:val="none"/>
              </w:rPr>
              <w:t>需提供截图证明。</w:t>
            </w:r>
          </w:p>
        </w:tc>
      </w:tr>
      <w:tr>
        <w:tblPrEx>
          <w:tblCellMar>
            <w:top w:w="0" w:type="dxa"/>
            <w:left w:w="108" w:type="dxa"/>
            <w:bottom w:w="0" w:type="dxa"/>
            <w:right w:w="108" w:type="dxa"/>
          </w:tblCellMar>
        </w:tblPrEx>
        <w:trPr>
          <w:trHeight w:val="56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lang w:bidi="ar"/>
              </w:rPr>
              <w:t>9</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元数据管理-元数据检核</w:t>
            </w: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对元数据一致性、完整性检核，元数据与元模型的填充率等信息检核。</w:t>
            </w:r>
          </w:p>
        </w:tc>
      </w:tr>
      <w:tr>
        <w:tblPrEx>
          <w:tblCellMar>
            <w:top w:w="0" w:type="dxa"/>
            <w:left w:w="108" w:type="dxa"/>
            <w:bottom w:w="0" w:type="dxa"/>
            <w:right w:w="108" w:type="dxa"/>
          </w:tblCellMar>
        </w:tblPrEx>
        <w:trPr>
          <w:trHeight w:val="84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lang w:bidi="ar"/>
              </w:rPr>
              <w:t>10</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元数据管理-元数据分析</w:t>
            </w: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支持对元数据信息的检索分析，查看元数据信息详情、元数据血缘、影响等关系。从而了解当前元数据影响范围，便于用户评估元数据变更风险。</w:t>
            </w:r>
          </w:p>
        </w:tc>
      </w:tr>
      <w:tr>
        <w:tblPrEx>
          <w:tblCellMar>
            <w:top w:w="0" w:type="dxa"/>
            <w:left w:w="108" w:type="dxa"/>
            <w:bottom w:w="0" w:type="dxa"/>
            <w:right w:w="108" w:type="dxa"/>
          </w:tblCellMar>
        </w:tblPrEx>
        <w:trPr>
          <w:trHeight w:val="33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lang w:bidi="ar"/>
              </w:rPr>
              <w:t>11</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元数据完善</w:t>
            </w: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shd w:val="clear" w:color="auto" w:fill="FFFFFF"/>
              </w:rPr>
              <w:t>▲</w:t>
            </w:r>
            <w:r>
              <w:rPr>
                <w:rFonts w:cs="仿宋" w:asciiTheme="majorEastAsia" w:hAnsiTheme="majorEastAsia" w:eastAsiaTheme="majorEastAsia"/>
                <w:color w:val="auto"/>
                <w:sz w:val="22"/>
                <w:szCs w:val="22"/>
                <w:highlight w:val="none"/>
                <w:shd w:val="clear" w:color="auto" w:fill="FFFFFF"/>
              </w:rPr>
              <w:t>10</w:t>
            </w:r>
            <w:r>
              <w:rPr>
                <w:rFonts w:hint="eastAsia" w:cs="仿宋" w:asciiTheme="majorEastAsia" w:hAnsiTheme="majorEastAsia" w:eastAsiaTheme="majorEastAsia"/>
                <w:color w:val="auto"/>
                <w:sz w:val="22"/>
                <w:szCs w:val="22"/>
                <w:highlight w:val="none"/>
                <w:lang w:bidi="ar"/>
              </w:rPr>
              <w:t>通过多种方式对系统元数据描述信息和关系进行补全，支持用模板文件、PDM/erwin等模型设计文件、数据库设计文档或通过NLP技术抽取的实体和关系补全元数据信息。</w:t>
            </w:r>
            <w:r>
              <w:rPr>
                <w:rFonts w:hint="eastAsia" w:cs="仿宋" w:asciiTheme="majorEastAsia" w:hAnsiTheme="majorEastAsia" w:eastAsiaTheme="majorEastAsia"/>
                <w:color w:val="auto"/>
                <w:sz w:val="22"/>
                <w:szCs w:val="22"/>
                <w:highlight w:val="none"/>
              </w:rPr>
              <w:t>需提供截图证明。</w:t>
            </w:r>
          </w:p>
        </w:tc>
      </w:tr>
      <w:tr>
        <w:tblPrEx>
          <w:tblCellMar>
            <w:top w:w="0" w:type="dxa"/>
            <w:left w:w="108" w:type="dxa"/>
            <w:bottom w:w="0" w:type="dxa"/>
            <w:right w:w="108" w:type="dxa"/>
          </w:tblCellMar>
        </w:tblPrEx>
        <w:trPr>
          <w:trHeight w:val="112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lang w:bidi="ar"/>
              </w:rPr>
              <w:t>12</w:t>
            </w:r>
          </w:p>
        </w:tc>
        <w:tc>
          <w:tcPr>
            <w:tcW w:w="15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数据概貌分析</w:t>
            </w: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1"/>
                <w:szCs w:val="21"/>
                <w:highlight w:val="none"/>
                <w:shd w:val="clear" w:color="auto" w:fill="FFFFFF"/>
              </w:rPr>
              <w:t>▲</w:t>
            </w:r>
            <w:r>
              <w:rPr>
                <w:rFonts w:cs="仿宋" w:asciiTheme="majorEastAsia" w:hAnsiTheme="majorEastAsia" w:eastAsiaTheme="majorEastAsia"/>
                <w:color w:val="auto"/>
                <w:sz w:val="21"/>
                <w:szCs w:val="21"/>
                <w:highlight w:val="none"/>
                <w:shd w:val="clear" w:color="auto" w:fill="FFFFFF"/>
              </w:rPr>
              <w:t>11</w:t>
            </w:r>
            <w:r>
              <w:rPr>
                <w:rFonts w:hint="eastAsia" w:cs="仿宋" w:asciiTheme="majorEastAsia" w:hAnsiTheme="majorEastAsia" w:eastAsiaTheme="majorEastAsia"/>
                <w:color w:val="auto"/>
                <w:sz w:val="22"/>
                <w:szCs w:val="22"/>
                <w:highlight w:val="none"/>
                <w:lang w:bidi="ar"/>
              </w:rPr>
              <w:t>基本信息: 接入平台的客户存量数据的概貌分析，数据库节点展示整库的存储信息、接入表情况以及字段、标准、质量等评分汇总。表节点展示表的基本信息、元数据信息、数据标准、关系图谱、数据图谱、数据概貌、数据分布。需提供截图证明。</w:t>
            </w:r>
          </w:p>
        </w:tc>
      </w:tr>
      <w:tr>
        <w:tblPrEx>
          <w:tblCellMar>
            <w:top w:w="0" w:type="dxa"/>
            <w:left w:w="108" w:type="dxa"/>
            <w:bottom w:w="0" w:type="dxa"/>
            <w:right w:w="108" w:type="dxa"/>
          </w:tblCellMar>
        </w:tblPrEx>
        <w:trPr>
          <w:trHeight w:val="84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rPr>
              <w:t>13</w:t>
            </w:r>
          </w:p>
        </w:tc>
        <w:tc>
          <w:tcPr>
            <w:tcW w:w="15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仿宋" w:asciiTheme="majorEastAsia" w:hAnsiTheme="majorEastAsia" w:eastAsiaTheme="majorEastAsia"/>
                <w:color w:val="auto"/>
                <w:sz w:val="22"/>
                <w:szCs w:val="22"/>
                <w:highlight w:val="none"/>
              </w:rPr>
            </w:pP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自助分析:系统提供BI报表分析功能，用户可通过指定数据表的指标从不同维度统计分析接入数据，从而直观看到当前数据的概况。</w:t>
            </w:r>
          </w:p>
        </w:tc>
      </w:tr>
      <w:tr>
        <w:tblPrEx>
          <w:tblCellMar>
            <w:top w:w="0" w:type="dxa"/>
            <w:left w:w="108" w:type="dxa"/>
            <w:bottom w:w="0" w:type="dxa"/>
            <w:right w:w="108" w:type="dxa"/>
          </w:tblCellMar>
        </w:tblPrEx>
        <w:trPr>
          <w:trHeight w:val="84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lang w:bidi="ar"/>
              </w:rPr>
              <w:t>14</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数据标准匹配度分析</w:t>
            </w: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支持通过图谱展示标准与字段的关联全貌，也可通过数据视图展示各数据表的字段关联了哪些标准。支持用户手动确认和维护。</w:t>
            </w:r>
          </w:p>
        </w:tc>
      </w:tr>
      <w:tr>
        <w:tblPrEx>
          <w:tblCellMar>
            <w:top w:w="0" w:type="dxa"/>
            <w:left w:w="108" w:type="dxa"/>
            <w:bottom w:w="0" w:type="dxa"/>
            <w:right w:w="108" w:type="dxa"/>
          </w:tblCellMar>
        </w:tblPrEx>
        <w:trPr>
          <w:trHeight w:val="112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lang w:bidi="ar"/>
              </w:rPr>
              <w:t>15</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数据质量初始评估</w:t>
            </w: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shd w:val="clear" w:color="auto" w:fill="FFFFFF"/>
              </w:rPr>
              <w:t>▲</w:t>
            </w:r>
            <w:r>
              <w:rPr>
                <w:rFonts w:cs="仿宋" w:asciiTheme="majorEastAsia" w:hAnsiTheme="majorEastAsia" w:eastAsiaTheme="majorEastAsia"/>
                <w:color w:val="auto"/>
                <w:sz w:val="22"/>
                <w:szCs w:val="22"/>
                <w:highlight w:val="none"/>
                <w:shd w:val="clear" w:color="auto" w:fill="FFFFFF"/>
              </w:rPr>
              <w:t>12</w:t>
            </w:r>
            <w:r>
              <w:rPr>
                <w:rFonts w:hint="eastAsia" w:cs="仿宋" w:asciiTheme="majorEastAsia" w:hAnsiTheme="majorEastAsia" w:eastAsiaTheme="majorEastAsia"/>
                <w:color w:val="auto"/>
                <w:sz w:val="22"/>
                <w:szCs w:val="22"/>
                <w:highlight w:val="none"/>
                <w:lang w:bidi="ar"/>
              </w:rPr>
              <w:t>支持对接入数据进行初次质量评估，评估规则包括:非空检查、记录缺失检查、引用完整性检查、值域检查、身份证规范检查、电话号码规范检查等。获取数据初始评估结果包含：质量评分、问题数据、清洗建议等。</w:t>
            </w:r>
            <w:r>
              <w:rPr>
                <w:rFonts w:hint="eastAsia" w:cs="仿宋" w:asciiTheme="majorEastAsia" w:hAnsiTheme="majorEastAsia" w:eastAsiaTheme="majorEastAsia"/>
                <w:color w:val="auto"/>
                <w:sz w:val="22"/>
                <w:szCs w:val="22"/>
                <w:highlight w:val="none"/>
              </w:rPr>
              <w:t>需提供截图证明。</w:t>
            </w:r>
          </w:p>
        </w:tc>
      </w:tr>
      <w:tr>
        <w:tblPrEx>
          <w:tblCellMar>
            <w:top w:w="0" w:type="dxa"/>
            <w:left w:w="108" w:type="dxa"/>
            <w:bottom w:w="0" w:type="dxa"/>
            <w:right w:w="108" w:type="dxa"/>
          </w:tblCellMar>
        </w:tblPrEx>
        <w:trPr>
          <w:trHeight w:val="84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lang w:bidi="ar"/>
              </w:rPr>
              <w:t>16</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数据深度清洗</w:t>
            </w: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1"/>
                <w:szCs w:val="21"/>
                <w:highlight w:val="none"/>
                <w:shd w:val="clear" w:color="auto" w:fill="FFFFFF"/>
              </w:rPr>
              <w:t>▲</w:t>
            </w:r>
            <w:r>
              <w:rPr>
                <w:rFonts w:cs="仿宋" w:asciiTheme="majorEastAsia" w:hAnsiTheme="majorEastAsia" w:eastAsiaTheme="majorEastAsia"/>
                <w:color w:val="auto"/>
                <w:sz w:val="21"/>
                <w:szCs w:val="21"/>
                <w:highlight w:val="none"/>
                <w:shd w:val="clear" w:color="auto" w:fill="FFFFFF"/>
              </w:rPr>
              <w:t>13</w:t>
            </w:r>
            <w:r>
              <w:rPr>
                <w:rFonts w:hint="eastAsia" w:cs="仿宋" w:asciiTheme="majorEastAsia" w:hAnsiTheme="majorEastAsia" w:eastAsiaTheme="majorEastAsia"/>
                <w:color w:val="auto"/>
                <w:sz w:val="22"/>
                <w:szCs w:val="22"/>
                <w:highlight w:val="none"/>
                <w:lang w:bidi="ar"/>
              </w:rPr>
              <w:t>基于初始评估规则，对数据表进行深度清洗配置，包含评估、清洗、分析、输出、机器学习五个大类。支持通过界面拖拽控件配置质量规则校验。提供截图证明。</w:t>
            </w:r>
          </w:p>
        </w:tc>
      </w:tr>
      <w:tr>
        <w:tblPrEx>
          <w:tblCellMar>
            <w:top w:w="0" w:type="dxa"/>
            <w:left w:w="108" w:type="dxa"/>
            <w:bottom w:w="0" w:type="dxa"/>
            <w:right w:w="108" w:type="dxa"/>
          </w:tblCellMar>
        </w:tblPrEx>
        <w:trPr>
          <w:trHeight w:val="112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lang w:bidi="ar"/>
              </w:rPr>
              <w:t>17</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数据质量再评估</w:t>
            </w: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数据质量再评估是针对已完成初始评估和深度清洗的数据表进行再评估，来判断清洗后的质量提升情况。这里支持用户增加或删除评估规则，如评估口径发生变化，则重新进行初始评估生成再评估结果。</w:t>
            </w:r>
          </w:p>
        </w:tc>
      </w:tr>
      <w:tr>
        <w:tblPrEx>
          <w:tblCellMar>
            <w:top w:w="0" w:type="dxa"/>
            <w:left w:w="108" w:type="dxa"/>
            <w:bottom w:w="0" w:type="dxa"/>
            <w:right w:w="108" w:type="dxa"/>
          </w:tblCellMar>
        </w:tblPrEx>
        <w:trPr>
          <w:trHeight w:val="56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lang w:bidi="ar"/>
              </w:rPr>
              <w:t>18</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干净数据导出</w:t>
            </w: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清洗后的数据表可导出为文件格式如：csv，导出的干净数据可备档或用于问题数据纠错。</w:t>
            </w:r>
          </w:p>
        </w:tc>
      </w:tr>
      <w:tr>
        <w:tblPrEx>
          <w:tblCellMar>
            <w:top w:w="0" w:type="dxa"/>
            <w:left w:w="108" w:type="dxa"/>
            <w:bottom w:w="0" w:type="dxa"/>
            <w:right w:w="108" w:type="dxa"/>
          </w:tblCellMar>
        </w:tblPrEx>
        <w:trPr>
          <w:trHeight w:val="112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lang w:bidi="ar"/>
              </w:rPr>
              <w:t>19</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数据监测预警</w:t>
            </w: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数据监测预警主要是针对增量数据的质量管理，从探索评估继承的评估和清洗规则也将在此部分发挥作用，同时，通过监测预警增量数据及时反馈数据问题，通过工单方式管理问题数据，直到解决。</w:t>
            </w:r>
          </w:p>
        </w:tc>
      </w:tr>
      <w:tr>
        <w:tblPrEx>
          <w:tblCellMar>
            <w:top w:w="0" w:type="dxa"/>
            <w:left w:w="108" w:type="dxa"/>
            <w:bottom w:w="0" w:type="dxa"/>
            <w:right w:w="108" w:type="dxa"/>
          </w:tblCellMar>
        </w:tblPrEx>
        <w:trPr>
          <w:trHeight w:val="56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lang w:bidi="ar"/>
              </w:rPr>
              <w:t>20</w:t>
            </w:r>
          </w:p>
        </w:tc>
        <w:tc>
          <w:tcPr>
            <w:tcW w:w="15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数据调用管理</w:t>
            </w: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数据调用分析：当前系统API调用、Agent调用情况汇总分析，可看到服务接口整体调用情况。</w:t>
            </w:r>
          </w:p>
        </w:tc>
      </w:tr>
      <w:tr>
        <w:tblPrEx>
          <w:tblCellMar>
            <w:top w:w="0" w:type="dxa"/>
            <w:left w:w="108" w:type="dxa"/>
            <w:bottom w:w="0" w:type="dxa"/>
            <w:right w:w="108" w:type="dxa"/>
          </w:tblCellMar>
        </w:tblPrEx>
        <w:trPr>
          <w:trHeight w:val="112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rPr>
              <w:t>21</w:t>
            </w:r>
          </w:p>
        </w:tc>
        <w:tc>
          <w:tcPr>
            <w:tcW w:w="15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仿宋" w:asciiTheme="majorEastAsia" w:hAnsiTheme="majorEastAsia" w:eastAsiaTheme="majorEastAsia"/>
                <w:color w:val="auto"/>
                <w:sz w:val="22"/>
                <w:szCs w:val="22"/>
                <w:highlight w:val="none"/>
              </w:rPr>
            </w:pP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客户端调用：数据监测预警主要针对增量数据进行实时问题数据校验和反馈，系统提供API和Agent两种方式对数据进行质量评估和清洗。客户端是对配置agent的所有连接的管理，查看调用明细或对agent进行启停。</w:t>
            </w:r>
          </w:p>
        </w:tc>
      </w:tr>
      <w:tr>
        <w:tblPrEx>
          <w:tblCellMar>
            <w:top w:w="0" w:type="dxa"/>
            <w:left w:w="108" w:type="dxa"/>
            <w:bottom w:w="0" w:type="dxa"/>
            <w:right w:w="108" w:type="dxa"/>
          </w:tblCellMar>
        </w:tblPrEx>
        <w:trPr>
          <w:trHeight w:val="56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rPr>
              <w:t>22</w:t>
            </w:r>
          </w:p>
        </w:tc>
        <w:tc>
          <w:tcPr>
            <w:tcW w:w="15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仿宋" w:asciiTheme="majorEastAsia" w:hAnsiTheme="majorEastAsia" w:eastAsiaTheme="majorEastAsia"/>
                <w:color w:val="auto"/>
                <w:sz w:val="22"/>
                <w:szCs w:val="22"/>
                <w:highlight w:val="none"/>
              </w:rPr>
            </w:pP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接口调用：被调用的接口管理，支持接口调用明细，对接口进行启停管理。</w:t>
            </w:r>
          </w:p>
        </w:tc>
      </w:tr>
      <w:tr>
        <w:tblPrEx>
          <w:tblCellMar>
            <w:top w:w="0" w:type="dxa"/>
            <w:left w:w="108" w:type="dxa"/>
            <w:bottom w:w="0" w:type="dxa"/>
            <w:right w:w="108" w:type="dxa"/>
          </w:tblCellMar>
        </w:tblPrEx>
        <w:trPr>
          <w:trHeight w:val="56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rPr>
              <w:t>23</w:t>
            </w:r>
          </w:p>
        </w:tc>
        <w:tc>
          <w:tcPr>
            <w:tcW w:w="15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仿宋" w:asciiTheme="majorEastAsia" w:hAnsiTheme="majorEastAsia" w:eastAsiaTheme="majorEastAsia"/>
                <w:color w:val="auto"/>
                <w:sz w:val="22"/>
                <w:szCs w:val="22"/>
                <w:highlight w:val="none"/>
              </w:rPr>
            </w:pP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数据调用记录：客户端和接口调用历史展示和日志明细功能模块。</w:t>
            </w:r>
          </w:p>
        </w:tc>
      </w:tr>
      <w:tr>
        <w:tblPrEx>
          <w:tblCellMar>
            <w:top w:w="0" w:type="dxa"/>
            <w:left w:w="108" w:type="dxa"/>
            <w:bottom w:w="0" w:type="dxa"/>
            <w:right w:w="108" w:type="dxa"/>
          </w:tblCellMar>
        </w:tblPrEx>
        <w:trPr>
          <w:trHeight w:val="56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lang w:bidi="ar"/>
              </w:rPr>
              <w:t>24</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检测服务管理-检测服务分析</w:t>
            </w: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数据监测服务情况汇总统计页面，可统计评估调用情况，问题情况问分类。</w:t>
            </w:r>
          </w:p>
        </w:tc>
      </w:tr>
      <w:tr>
        <w:tblPrEx>
          <w:tblCellMar>
            <w:top w:w="0" w:type="dxa"/>
            <w:left w:w="108" w:type="dxa"/>
            <w:bottom w:w="0" w:type="dxa"/>
            <w:right w:w="108" w:type="dxa"/>
          </w:tblCellMar>
        </w:tblPrEx>
        <w:trPr>
          <w:trHeight w:val="84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lang w:bidi="ar"/>
              </w:rPr>
              <w:t>25</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检测服务管理-检测服务配置</w:t>
            </w: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系统会将数据探索评估沉淀的质量评估和清洗规则继承到相应的表，用户可针对不同的检查对象配置服务方式为接口或客户端。</w:t>
            </w:r>
          </w:p>
        </w:tc>
      </w:tr>
      <w:tr>
        <w:tblPrEx>
          <w:tblCellMar>
            <w:top w:w="0" w:type="dxa"/>
            <w:left w:w="108" w:type="dxa"/>
            <w:bottom w:w="0" w:type="dxa"/>
            <w:right w:w="108" w:type="dxa"/>
          </w:tblCellMar>
        </w:tblPrEx>
        <w:trPr>
          <w:trHeight w:val="56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lang w:bidi="ar"/>
              </w:rPr>
              <w:t>26</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检测服务管理-检测结果记录</w:t>
            </w: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核对结果明细信息列表，用户可看到表的得分情况以及问题严重程度以及具体的问题数据明细。</w:t>
            </w:r>
          </w:p>
        </w:tc>
      </w:tr>
      <w:tr>
        <w:tblPrEx>
          <w:tblCellMar>
            <w:top w:w="0" w:type="dxa"/>
            <w:left w:w="108" w:type="dxa"/>
            <w:bottom w:w="0" w:type="dxa"/>
            <w:right w:w="108" w:type="dxa"/>
          </w:tblCellMar>
        </w:tblPrEx>
        <w:trPr>
          <w:trHeight w:val="56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lang w:bidi="ar"/>
              </w:rPr>
              <w:t>27</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数据核对管理-数据核对分析</w:t>
            </w: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核对任务统计分析，核准数据表信息、平均核准分、核准问题数据以及核准分波动情况分析。</w:t>
            </w:r>
          </w:p>
        </w:tc>
      </w:tr>
      <w:tr>
        <w:tblPrEx>
          <w:tblCellMar>
            <w:top w:w="0" w:type="dxa"/>
            <w:left w:w="108" w:type="dxa"/>
            <w:bottom w:w="0" w:type="dxa"/>
            <w:right w:w="108" w:type="dxa"/>
          </w:tblCellMar>
        </w:tblPrEx>
        <w:trPr>
          <w:trHeight w:val="112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lang w:bidi="ar"/>
              </w:rPr>
              <w:t>28</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数据核对管理-数据核对配置</w:t>
            </w: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数据核对配置用于事中数据清洗加工前后数据一致性比较核对，对加清洗加工逻辑和结果进行验证。用户配置需要核对的数据对象和字段映射，对特定数据配置核对任务，系统支持手动执行、周期执行和接口调用。</w:t>
            </w:r>
          </w:p>
        </w:tc>
      </w:tr>
      <w:tr>
        <w:tblPrEx>
          <w:tblCellMar>
            <w:top w:w="0" w:type="dxa"/>
            <w:left w:w="108" w:type="dxa"/>
            <w:bottom w:w="0" w:type="dxa"/>
            <w:right w:w="108" w:type="dxa"/>
          </w:tblCellMar>
        </w:tblPrEx>
        <w:trPr>
          <w:trHeight w:val="56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lang w:bidi="ar"/>
              </w:rPr>
              <w:t>29</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数据核对管理-数据核对记录</w:t>
            </w: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核对结果明细展示，可查看核对详情和问题明细信息，包括核对问题数以及得分及问题明细等。</w:t>
            </w:r>
          </w:p>
        </w:tc>
      </w:tr>
      <w:tr>
        <w:tblPrEx>
          <w:tblCellMar>
            <w:top w:w="0" w:type="dxa"/>
            <w:left w:w="108" w:type="dxa"/>
            <w:bottom w:w="0" w:type="dxa"/>
            <w:right w:w="108" w:type="dxa"/>
          </w:tblCellMar>
        </w:tblPrEx>
        <w:trPr>
          <w:trHeight w:val="56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lang w:bidi="ar"/>
              </w:rPr>
              <w:t>30</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检测规则跟踪</w:t>
            </w: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当前监测预警模块的规则配置和落地情况统计，直观了解当前检查对象的检查情况以及各类规则分布。</w:t>
            </w:r>
          </w:p>
        </w:tc>
      </w:tr>
      <w:tr>
        <w:tblPrEx>
          <w:tblCellMar>
            <w:top w:w="0" w:type="dxa"/>
            <w:left w:w="108" w:type="dxa"/>
            <w:bottom w:w="0" w:type="dxa"/>
            <w:right w:w="108" w:type="dxa"/>
          </w:tblCellMar>
        </w:tblPrEx>
        <w:trPr>
          <w:trHeight w:val="56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lang w:bidi="ar"/>
              </w:rPr>
              <w:t>31</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检测预警处理</w:t>
            </w: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检测服务和核对问题预警展示列表，用户可针对当前问题建立工单跟进或对不需要处理的预警忽略。</w:t>
            </w:r>
          </w:p>
        </w:tc>
      </w:tr>
      <w:tr>
        <w:tblPrEx>
          <w:tblCellMar>
            <w:top w:w="0" w:type="dxa"/>
            <w:left w:w="108" w:type="dxa"/>
            <w:bottom w:w="0" w:type="dxa"/>
            <w:right w:w="108" w:type="dxa"/>
          </w:tblCellMar>
        </w:tblPrEx>
        <w:trPr>
          <w:trHeight w:val="112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lang w:bidi="ar"/>
              </w:rPr>
              <w:t>32</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数据质量管控</w:t>
            </w: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数据质量管控主要是针对落地到大数据平台的数据的持续监控，通过质量检测任务和数据核对任务定期跟进数据质量情况，用户也可通过分析模块直观查看问题当前数据总览，同样可生成工单跟进问题数据处理进展。</w:t>
            </w:r>
          </w:p>
        </w:tc>
      </w:tr>
      <w:tr>
        <w:tblPrEx>
          <w:tblCellMar>
            <w:top w:w="0" w:type="dxa"/>
            <w:left w:w="108" w:type="dxa"/>
            <w:bottom w:w="0" w:type="dxa"/>
            <w:right w:w="108" w:type="dxa"/>
          </w:tblCellMar>
        </w:tblPrEx>
        <w:trPr>
          <w:trHeight w:val="84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lang w:bidi="ar"/>
              </w:rPr>
              <w:t>33</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定期质量检测-质量问题分析</w:t>
            </w: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定期检测任务执行情况统计页面，统计当前检测问题数据以及问题数据处理情况统计，可直观看到被检查对象的质量问题汇总图表。</w:t>
            </w:r>
          </w:p>
        </w:tc>
      </w:tr>
      <w:tr>
        <w:tblPrEx>
          <w:tblCellMar>
            <w:top w:w="0" w:type="dxa"/>
            <w:left w:w="108" w:type="dxa"/>
            <w:bottom w:w="0" w:type="dxa"/>
            <w:right w:w="108" w:type="dxa"/>
          </w:tblCellMar>
        </w:tblPrEx>
        <w:trPr>
          <w:trHeight w:val="84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lang w:bidi="ar"/>
              </w:rPr>
              <w:t>34</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定期质量检测-检测规则配置</w:t>
            </w: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对大数据平台配置定期质量检测任务，用户可按照业务分类建立不同的目录和任务，评估规则系统会从事前和事中继承和智能推荐，也可创建新的规则任务。</w:t>
            </w:r>
          </w:p>
        </w:tc>
      </w:tr>
      <w:tr>
        <w:tblPrEx>
          <w:tblCellMar>
            <w:top w:w="0" w:type="dxa"/>
            <w:left w:w="108" w:type="dxa"/>
            <w:bottom w:w="0" w:type="dxa"/>
            <w:right w:w="108" w:type="dxa"/>
          </w:tblCellMar>
        </w:tblPrEx>
        <w:trPr>
          <w:trHeight w:val="56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lang w:bidi="ar"/>
              </w:rPr>
              <w:t>35</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定期质量检测-质量问题记录</w:t>
            </w: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质量任务检测执行结果明细，可查看各表问题数据情况和问题明细，通过创建工单来跟进。</w:t>
            </w:r>
          </w:p>
        </w:tc>
      </w:tr>
      <w:tr>
        <w:tblPrEx>
          <w:tblCellMar>
            <w:top w:w="0" w:type="dxa"/>
            <w:left w:w="108" w:type="dxa"/>
            <w:bottom w:w="0" w:type="dxa"/>
            <w:right w:w="108" w:type="dxa"/>
          </w:tblCellMar>
        </w:tblPrEx>
        <w:trPr>
          <w:trHeight w:val="56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lang w:bidi="ar"/>
              </w:rPr>
              <w:t>36</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定期比对管理-定期比对分析</w:t>
            </w: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定期检测任务执行情况的统计汇总，可看到比对情况以及差异较大的数据表排行。</w:t>
            </w:r>
          </w:p>
        </w:tc>
      </w:tr>
      <w:tr>
        <w:tblPrEx>
          <w:tblCellMar>
            <w:top w:w="0" w:type="dxa"/>
            <w:left w:w="108" w:type="dxa"/>
            <w:bottom w:w="0" w:type="dxa"/>
            <w:right w:w="108" w:type="dxa"/>
          </w:tblCellMar>
        </w:tblPrEx>
        <w:trPr>
          <w:trHeight w:val="56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lang w:bidi="ar"/>
              </w:rPr>
              <w:t>37</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定期比对管理-定期比对配置</w:t>
            </w: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配置定期比对任务，可配置记录数以及数据值比对。</w:t>
            </w:r>
          </w:p>
        </w:tc>
      </w:tr>
      <w:tr>
        <w:tblPrEx>
          <w:tblCellMar>
            <w:top w:w="0" w:type="dxa"/>
            <w:left w:w="108" w:type="dxa"/>
            <w:bottom w:w="0" w:type="dxa"/>
            <w:right w:w="108" w:type="dxa"/>
          </w:tblCellMar>
        </w:tblPrEx>
        <w:trPr>
          <w:trHeight w:val="56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lang w:bidi="ar"/>
              </w:rPr>
              <w:t>38</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定期比对管理-定期比对记录</w:t>
            </w: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定期比对任务执行情况明细列表，可查看各数据表的执行明细和差异记录明细。</w:t>
            </w:r>
          </w:p>
        </w:tc>
      </w:tr>
      <w:tr>
        <w:tblPrEx>
          <w:tblCellMar>
            <w:top w:w="0" w:type="dxa"/>
            <w:left w:w="108" w:type="dxa"/>
            <w:bottom w:w="0" w:type="dxa"/>
            <w:right w:w="108" w:type="dxa"/>
          </w:tblCellMar>
        </w:tblPrEx>
        <w:trPr>
          <w:trHeight w:val="56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lang w:bidi="ar"/>
              </w:rPr>
              <w:t>39</w:t>
            </w:r>
          </w:p>
        </w:tc>
        <w:tc>
          <w:tcPr>
            <w:tcW w:w="15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质量问题处理</w:t>
            </w: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待办列表：展示当前登录用户的待办任务列表，用户可快捷处理。</w:t>
            </w:r>
          </w:p>
        </w:tc>
      </w:tr>
      <w:tr>
        <w:tblPrEx>
          <w:tblCellMar>
            <w:top w:w="0" w:type="dxa"/>
            <w:left w:w="108" w:type="dxa"/>
            <w:bottom w:w="0" w:type="dxa"/>
            <w:right w:w="108" w:type="dxa"/>
          </w:tblCellMar>
        </w:tblPrEx>
        <w:trPr>
          <w:trHeight w:val="84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rPr>
              <w:t>40</w:t>
            </w:r>
          </w:p>
        </w:tc>
        <w:tc>
          <w:tcPr>
            <w:tcW w:w="15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仿宋" w:asciiTheme="majorEastAsia" w:hAnsiTheme="majorEastAsia" w:eastAsiaTheme="majorEastAsia"/>
                <w:color w:val="auto"/>
                <w:sz w:val="22"/>
                <w:szCs w:val="22"/>
                <w:highlight w:val="none"/>
              </w:rPr>
            </w:pP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shd w:val="clear" w:color="auto" w:fill="FFFFFF"/>
              </w:rPr>
              <w:t>▲</w:t>
            </w:r>
            <w:r>
              <w:rPr>
                <w:rFonts w:cs="仿宋" w:asciiTheme="majorEastAsia" w:hAnsiTheme="majorEastAsia" w:eastAsiaTheme="majorEastAsia"/>
                <w:color w:val="auto"/>
                <w:sz w:val="22"/>
                <w:szCs w:val="22"/>
                <w:highlight w:val="none"/>
                <w:shd w:val="clear" w:color="auto" w:fill="FFFFFF"/>
              </w:rPr>
              <w:t>14</w:t>
            </w:r>
            <w:r>
              <w:rPr>
                <w:rFonts w:hint="eastAsia" w:cs="仿宋" w:asciiTheme="majorEastAsia" w:hAnsiTheme="majorEastAsia" w:eastAsiaTheme="majorEastAsia"/>
                <w:color w:val="auto"/>
                <w:sz w:val="22"/>
                <w:szCs w:val="22"/>
                <w:highlight w:val="none"/>
                <w:lang w:bidi="ar"/>
              </w:rPr>
              <w:t>工单列表：工单列表明细和工单创建。支持对事中、事后问题创建工单，也可通过各模块执行明细直接建立问题数据工单。</w:t>
            </w:r>
            <w:r>
              <w:rPr>
                <w:rFonts w:hint="eastAsia" w:cs="仿宋" w:asciiTheme="majorEastAsia" w:hAnsiTheme="majorEastAsia" w:eastAsiaTheme="majorEastAsia"/>
                <w:color w:val="auto"/>
                <w:sz w:val="22"/>
                <w:szCs w:val="22"/>
                <w:highlight w:val="none"/>
              </w:rPr>
              <w:t>需提供截图证明。</w:t>
            </w:r>
          </w:p>
        </w:tc>
      </w:tr>
      <w:tr>
        <w:tblPrEx>
          <w:tblCellMar>
            <w:top w:w="0" w:type="dxa"/>
            <w:left w:w="108" w:type="dxa"/>
            <w:bottom w:w="0" w:type="dxa"/>
            <w:right w:w="108" w:type="dxa"/>
          </w:tblCellMar>
        </w:tblPrEx>
        <w:trPr>
          <w:trHeight w:val="56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rPr>
              <w:t>41</w:t>
            </w:r>
          </w:p>
        </w:tc>
        <w:tc>
          <w:tcPr>
            <w:tcW w:w="15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cs="仿宋" w:asciiTheme="majorEastAsia" w:hAnsiTheme="majorEastAsia" w:eastAsiaTheme="majorEastAsia"/>
                <w:color w:val="auto"/>
                <w:sz w:val="22"/>
                <w:szCs w:val="22"/>
                <w:highlight w:val="none"/>
              </w:rPr>
            </w:pP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参与的流程：展示当前登录用户参与的流程有哪些，查看所处的流程处理节点。</w:t>
            </w:r>
          </w:p>
        </w:tc>
      </w:tr>
      <w:tr>
        <w:tblPrEx>
          <w:tblCellMar>
            <w:top w:w="0" w:type="dxa"/>
            <w:left w:w="108" w:type="dxa"/>
            <w:bottom w:w="0" w:type="dxa"/>
            <w:right w:w="108" w:type="dxa"/>
          </w:tblCellMar>
        </w:tblPrEx>
        <w:trPr>
          <w:trHeight w:val="56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lang w:bidi="ar"/>
              </w:rPr>
              <w:t>42</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数据质量报告管理</w:t>
            </w: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shd w:val="clear" w:color="auto" w:fill="FFFFFF"/>
              </w:rPr>
              <w:t>▲</w:t>
            </w:r>
            <w:r>
              <w:rPr>
                <w:rFonts w:cs="仿宋" w:asciiTheme="majorEastAsia" w:hAnsiTheme="majorEastAsia" w:eastAsiaTheme="majorEastAsia"/>
                <w:color w:val="auto"/>
                <w:sz w:val="22"/>
                <w:szCs w:val="22"/>
                <w:highlight w:val="none"/>
                <w:shd w:val="clear" w:color="auto" w:fill="FFFFFF"/>
              </w:rPr>
              <w:t>15</w:t>
            </w:r>
            <w:r>
              <w:rPr>
                <w:rFonts w:hint="eastAsia" w:cs="仿宋" w:asciiTheme="majorEastAsia" w:hAnsiTheme="majorEastAsia" w:eastAsiaTheme="majorEastAsia"/>
                <w:color w:val="auto"/>
                <w:sz w:val="22"/>
                <w:szCs w:val="22"/>
                <w:highlight w:val="none"/>
                <w:lang w:bidi="ar"/>
              </w:rPr>
              <w:t>对已评估对象生成数据质量报告，系统将按照评分模板生成打分结果，输出质量报告，支持导出PDF或HTML.</w:t>
            </w:r>
            <w:r>
              <w:rPr>
                <w:rFonts w:hint="eastAsia" w:cs="仿宋" w:asciiTheme="majorEastAsia" w:hAnsiTheme="majorEastAsia" w:eastAsiaTheme="majorEastAsia"/>
                <w:color w:val="auto"/>
                <w:sz w:val="22"/>
                <w:szCs w:val="22"/>
                <w:highlight w:val="none"/>
              </w:rPr>
              <w:t>需提供截图证明。</w:t>
            </w:r>
          </w:p>
        </w:tc>
      </w:tr>
      <w:tr>
        <w:tblPrEx>
          <w:tblCellMar>
            <w:top w:w="0" w:type="dxa"/>
            <w:left w:w="108" w:type="dxa"/>
            <w:bottom w:w="0" w:type="dxa"/>
            <w:right w:w="108" w:type="dxa"/>
          </w:tblCellMar>
        </w:tblPrEx>
        <w:trPr>
          <w:trHeight w:val="56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lang w:bidi="ar"/>
              </w:rPr>
              <w:t>43</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数据质量评分模板管理</w:t>
            </w: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评分模板：打分模型，用户可结合需要调整统计信息权重，系统将按照该配置计算质量报告评分。</w:t>
            </w:r>
          </w:p>
        </w:tc>
      </w:tr>
      <w:tr>
        <w:tblPrEx>
          <w:tblCellMar>
            <w:top w:w="0" w:type="dxa"/>
            <w:left w:w="108" w:type="dxa"/>
            <w:bottom w:w="0" w:type="dxa"/>
            <w:right w:w="108" w:type="dxa"/>
          </w:tblCellMar>
        </w:tblPrEx>
        <w:trPr>
          <w:trHeight w:val="84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lang w:bidi="ar"/>
              </w:rPr>
              <w:t>44</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部门管理</w:t>
            </w: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用户可结合需求添加部门，子部门等信息，可对部门进行集体授权管理。如某用户部门存在调动，可以对部门内人员进行调整。</w:t>
            </w:r>
          </w:p>
        </w:tc>
      </w:tr>
      <w:tr>
        <w:tblPrEx>
          <w:tblCellMar>
            <w:top w:w="0" w:type="dxa"/>
            <w:left w:w="108" w:type="dxa"/>
            <w:bottom w:w="0" w:type="dxa"/>
            <w:right w:w="108" w:type="dxa"/>
          </w:tblCellMar>
        </w:tblPrEx>
        <w:trPr>
          <w:trHeight w:val="56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lang w:bidi="ar"/>
              </w:rPr>
              <w:t>45</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用户管理</w:t>
            </w: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权限分组管理模块，用户创建角色后，该角色可授权给部门或指定用户。</w:t>
            </w:r>
          </w:p>
        </w:tc>
      </w:tr>
      <w:tr>
        <w:tblPrEx>
          <w:tblCellMar>
            <w:top w:w="0" w:type="dxa"/>
            <w:left w:w="108" w:type="dxa"/>
            <w:bottom w:w="0" w:type="dxa"/>
            <w:right w:w="108" w:type="dxa"/>
          </w:tblCellMar>
        </w:tblPrEx>
        <w:trPr>
          <w:trHeight w:val="84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lang w:bidi="ar"/>
              </w:rPr>
              <w:t>46</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角色权限</w:t>
            </w: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登录系统的用户管理模块，创建用户后，授权指定角色，该用户将拥有该角色对应的菜单权限。如该用户属于某部门，则同时具有该部门对应的权限。</w:t>
            </w:r>
          </w:p>
        </w:tc>
      </w:tr>
      <w:tr>
        <w:tblPrEx>
          <w:tblCellMar>
            <w:top w:w="0" w:type="dxa"/>
            <w:left w:w="108" w:type="dxa"/>
            <w:bottom w:w="0" w:type="dxa"/>
            <w:right w:w="108" w:type="dxa"/>
          </w:tblCellMar>
        </w:tblPrEx>
        <w:trPr>
          <w:trHeight w:val="56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lang w:bidi="ar"/>
              </w:rPr>
              <w:t>47</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权限管理</w:t>
            </w: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系统权限管理配置，可配置需控制的请求接口和具体的操作信息及描述，用于操作审计以及权限控制。</w:t>
            </w:r>
          </w:p>
        </w:tc>
      </w:tr>
      <w:tr>
        <w:tblPrEx>
          <w:tblCellMar>
            <w:top w:w="0" w:type="dxa"/>
            <w:left w:w="108" w:type="dxa"/>
            <w:bottom w:w="0" w:type="dxa"/>
            <w:right w:w="108" w:type="dxa"/>
          </w:tblCellMar>
        </w:tblPrEx>
        <w:trPr>
          <w:trHeight w:val="30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lang w:bidi="ar"/>
              </w:rPr>
              <w:t>48</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日志管理</w:t>
            </w: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针对用户的登录、操作、授权日志管理和记录。</w:t>
            </w:r>
          </w:p>
        </w:tc>
      </w:tr>
      <w:tr>
        <w:tblPrEx>
          <w:tblCellMar>
            <w:top w:w="0" w:type="dxa"/>
            <w:left w:w="108" w:type="dxa"/>
            <w:bottom w:w="0" w:type="dxa"/>
            <w:right w:w="108" w:type="dxa"/>
          </w:tblCellMar>
        </w:tblPrEx>
        <w:trPr>
          <w:trHeight w:val="84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lang w:bidi="ar"/>
              </w:rPr>
              <w:t>49</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流程管理</w:t>
            </w: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自定义操作流程，可通过拖拽控件创建自定义流程。发布后可在其他审批环节绑定，如工单审批流程，系统默认内置一个流程。</w:t>
            </w:r>
          </w:p>
        </w:tc>
      </w:tr>
      <w:tr>
        <w:tblPrEx>
          <w:tblCellMar>
            <w:top w:w="0" w:type="dxa"/>
            <w:left w:w="108" w:type="dxa"/>
            <w:bottom w:w="0" w:type="dxa"/>
            <w:right w:w="108" w:type="dxa"/>
          </w:tblCellMar>
        </w:tblPrEx>
        <w:trPr>
          <w:trHeight w:val="30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lang w:bidi="ar"/>
              </w:rPr>
              <w:t>50</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系统配置</w:t>
            </w: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针对系统中一些特定参数配置，如相似度分析参数等。</w:t>
            </w:r>
          </w:p>
        </w:tc>
      </w:tr>
      <w:tr>
        <w:tblPrEx>
          <w:tblCellMar>
            <w:top w:w="0" w:type="dxa"/>
            <w:left w:w="108" w:type="dxa"/>
            <w:bottom w:w="0" w:type="dxa"/>
            <w:right w:w="108" w:type="dxa"/>
          </w:tblCellMar>
        </w:tblPrEx>
        <w:trPr>
          <w:trHeight w:val="694"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lang w:bidi="ar"/>
              </w:rPr>
              <w:t>51</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数据资产管理</w:t>
            </w: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数据资产管理模块为用户所有数据资产提供盘点和数据资产目录创建入口，包括数据架构管理、数据资产目录（数据资产盘点、数据资产评估）、数据标准管理、数据服务（服务编目、服务注册、服务审批、服务申请、服务发布、服务使用）</w:t>
            </w:r>
          </w:p>
        </w:tc>
      </w:tr>
      <w:tr>
        <w:tblPrEx>
          <w:tblCellMar>
            <w:top w:w="0" w:type="dxa"/>
            <w:left w:w="108" w:type="dxa"/>
            <w:bottom w:w="0" w:type="dxa"/>
            <w:right w:w="108" w:type="dxa"/>
          </w:tblCellMar>
        </w:tblPrEx>
        <w:trPr>
          <w:trHeight w:val="56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lang w:bidi="ar"/>
              </w:rPr>
              <w:t>52</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数据架构管理</w:t>
            </w: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系统将会自动将关联后的管理域数据血缘关系分析，基于数据域结构生成数据流向图。</w:t>
            </w:r>
          </w:p>
        </w:tc>
      </w:tr>
      <w:tr>
        <w:tblPrEx>
          <w:tblCellMar>
            <w:top w:w="0" w:type="dxa"/>
            <w:left w:w="108" w:type="dxa"/>
            <w:bottom w:w="0" w:type="dxa"/>
            <w:right w:w="108" w:type="dxa"/>
          </w:tblCellMar>
        </w:tblPrEx>
        <w:trPr>
          <w:trHeight w:val="84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lang w:bidi="ar"/>
              </w:rPr>
              <w:t>53</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数据资产盘点</w:t>
            </w: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盘点所有数据资产信息，包括元数据基础信息、数据标准、数据概貌、数据服务等信息。为数据资产目录建立提供基础数据。</w:t>
            </w:r>
          </w:p>
        </w:tc>
      </w:tr>
      <w:tr>
        <w:tblPrEx>
          <w:tblCellMar>
            <w:top w:w="0" w:type="dxa"/>
            <w:left w:w="108" w:type="dxa"/>
            <w:bottom w:w="0" w:type="dxa"/>
            <w:right w:w="108" w:type="dxa"/>
          </w:tblCellMar>
        </w:tblPrEx>
        <w:trPr>
          <w:trHeight w:val="84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lang w:bidi="ar"/>
              </w:rPr>
              <w:t>54</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数据资产目录</w:t>
            </w: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用户可结合实际业务需求建立数据资产目录结构，将已盘点的数据资产按照业务分类配置入目。建立体现业务结构的数据资产目录。</w:t>
            </w:r>
          </w:p>
        </w:tc>
      </w:tr>
      <w:tr>
        <w:tblPrEx>
          <w:tblCellMar>
            <w:top w:w="0" w:type="dxa"/>
            <w:left w:w="108" w:type="dxa"/>
            <w:bottom w:w="0" w:type="dxa"/>
            <w:right w:w="108" w:type="dxa"/>
          </w:tblCellMar>
        </w:tblPrEx>
        <w:trPr>
          <w:trHeight w:val="84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lang w:bidi="ar"/>
              </w:rPr>
              <w:t>55</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资产价值评估</w:t>
            </w: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通过图形化指标展示资产价值汇总情况，分别通过标准化程度、数据使用情况、数据质量、数据计算资源、数据生命周期等方面评估数据资产价值。</w:t>
            </w:r>
          </w:p>
        </w:tc>
      </w:tr>
      <w:tr>
        <w:tblPrEx>
          <w:tblCellMar>
            <w:top w:w="0" w:type="dxa"/>
            <w:left w:w="108" w:type="dxa"/>
            <w:bottom w:w="0" w:type="dxa"/>
            <w:right w:w="108" w:type="dxa"/>
          </w:tblCellMar>
        </w:tblPrEx>
        <w:trPr>
          <w:trHeight w:val="56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lang w:bidi="ar"/>
              </w:rPr>
              <w:t>56</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数据标准管理-标准统计</w:t>
            </w: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数据标准统计信息，包括数据标准的新增、变更、落标情况等。</w:t>
            </w:r>
          </w:p>
        </w:tc>
      </w:tr>
      <w:tr>
        <w:tblPrEx>
          <w:tblCellMar>
            <w:top w:w="0" w:type="dxa"/>
            <w:left w:w="108" w:type="dxa"/>
            <w:bottom w:w="0" w:type="dxa"/>
            <w:right w:w="108" w:type="dxa"/>
          </w:tblCellMar>
        </w:tblPrEx>
        <w:trPr>
          <w:trHeight w:val="56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lang w:bidi="ar"/>
              </w:rPr>
              <w:t>57</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数据标准管理-标准维护</w:t>
            </w: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shd w:val="clear" w:color="auto" w:fill="FFFFFF"/>
              </w:rPr>
              <w:t>▲</w:t>
            </w:r>
            <w:r>
              <w:rPr>
                <w:rFonts w:cs="仿宋" w:asciiTheme="majorEastAsia" w:hAnsiTheme="majorEastAsia" w:eastAsiaTheme="majorEastAsia"/>
                <w:color w:val="auto"/>
                <w:sz w:val="22"/>
                <w:szCs w:val="22"/>
                <w:highlight w:val="none"/>
                <w:shd w:val="clear" w:color="auto" w:fill="FFFFFF"/>
              </w:rPr>
              <w:t>16</w:t>
            </w:r>
            <w:r>
              <w:rPr>
                <w:rFonts w:hint="eastAsia" w:cs="仿宋" w:asciiTheme="majorEastAsia" w:hAnsiTheme="majorEastAsia" w:eastAsiaTheme="majorEastAsia"/>
                <w:color w:val="auto"/>
                <w:sz w:val="22"/>
                <w:szCs w:val="22"/>
                <w:highlight w:val="none"/>
                <w:lang w:bidi="ar"/>
              </w:rPr>
              <w:t>支持数据标准的创建和维护，标准建立、提交申请、变更、关联字段等操作。</w:t>
            </w:r>
            <w:r>
              <w:rPr>
                <w:rFonts w:hint="eastAsia" w:cs="仿宋" w:asciiTheme="majorEastAsia" w:hAnsiTheme="majorEastAsia" w:eastAsiaTheme="majorEastAsia"/>
                <w:color w:val="auto"/>
                <w:sz w:val="22"/>
                <w:szCs w:val="22"/>
                <w:highlight w:val="none"/>
              </w:rPr>
              <w:t>需提供截图证明。</w:t>
            </w:r>
          </w:p>
        </w:tc>
      </w:tr>
      <w:tr>
        <w:tblPrEx>
          <w:tblCellMar>
            <w:top w:w="0" w:type="dxa"/>
            <w:left w:w="108" w:type="dxa"/>
            <w:bottom w:w="0" w:type="dxa"/>
            <w:right w:w="108" w:type="dxa"/>
          </w:tblCellMar>
        </w:tblPrEx>
        <w:trPr>
          <w:trHeight w:val="84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lang w:bidi="ar"/>
              </w:rPr>
              <w:t>58</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数据标准管理-业务代码</w:t>
            </w: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系统将内置国标、行标业务代码，用户也可手动添加或导入定义的业务代码，建立好的代码将在数据标准建立时被引用。</w:t>
            </w:r>
          </w:p>
        </w:tc>
      </w:tr>
      <w:tr>
        <w:tblPrEx>
          <w:tblCellMar>
            <w:top w:w="0" w:type="dxa"/>
            <w:left w:w="108" w:type="dxa"/>
            <w:bottom w:w="0" w:type="dxa"/>
            <w:right w:w="108" w:type="dxa"/>
          </w:tblCellMar>
        </w:tblPrEx>
        <w:trPr>
          <w:trHeight w:val="56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lang w:bidi="ar"/>
              </w:rPr>
              <w:t>59</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数据标准管理-标准审核</w:t>
            </w: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支持对新建、变更或废止申请的审核，支持查看审核记录等。</w:t>
            </w:r>
          </w:p>
        </w:tc>
      </w:tr>
      <w:tr>
        <w:tblPrEx>
          <w:tblCellMar>
            <w:top w:w="0" w:type="dxa"/>
            <w:left w:w="108" w:type="dxa"/>
            <w:bottom w:w="0" w:type="dxa"/>
            <w:right w:w="108" w:type="dxa"/>
          </w:tblCellMar>
        </w:tblPrEx>
        <w:trPr>
          <w:trHeight w:val="56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lang w:bidi="ar"/>
              </w:rPr>
              <w:t>60</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数据标准管理-标准发布</w:t>
            </w: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标准发布，系统支持定期对标准进行全量发布，审核通过待发布标准则会变更为已发布状态。</w:t>
            </w:r>
            <w:r>
              <w:rPr>
                <w:rFonts w:hint="eastAsia" w:cs="仿宋" w:asciiTheme="majorEastAsia" w:hAnsiTheme="majorEastAsia" w:eastAsiaTheme="majorEastAsia"/>
                <w:color w:val="auto"/>
                <w:sz w:val="22"/>
                <w:szCs w:val="22"/>
                <w:highlight w:val="none"/>
              </w:rPr>
              <w:t>需提供截图证明。</w:t>
            </w:r>
          </w:p>
        </w:tc>
      </w:tr>
      <w:tr>
        <w:tblPrEx>
          <w:tblCellMar>
            <w:top w:w="0" w:type="dxa"/>
            <w:left w:w="108" w:type="dxa"/>
            <w:bottom w:w="0" w:type="dxa"/>
            <w:right w:w="108" w:type="dxa"/>
          </w:tblCellMar>
        </w:tblPrEx>
        <w:trPr>
          <w:trHeight w:val="84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lang w:bidi="ar"/>
              </w:rPr>
              <w:t>61</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rPr>
              <w:t>数据共享服务</w:t>
            </w: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系统支持对接口，库表，视图，xml等数据资产进行管理，用户可在此处注册需要对外共享的服务，并推送到责任部门进行审核。</w:t>
            </w:r>
          </w:p>
        </w:tc>
      </w:tr>
      <w:tr>
        <w:tblPrEx>
          <w:tblCellMar>
            <w:top w:w="0" w:type="dxa"/>
            <w:left w:w="108" w:type="dxa"/>
            <w:bottom w:w="0" w:type="dxa"/>
            <w:right w:w="108" w:type="dxa"/>
          </w:tblCellMar>
        </w:tblPrEx>
        <w:trPr>
          <w:trHeight w:val="50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lang w:bidi="ar"/>
              </w:rPr>
              <w:t>62</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服务审核</w:t>
            </w: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审核模块是对已注册服务和共享申请的审核。</w:t>
            </w:r>
          </w:p>
        </w:tc>
      </w:tr>
      <w:tr>
        <w:tblPrEx>
          <w:tblCellMar>
            <w:top w:w="0" w:type="dxa"/>
            <w:left w:w="108" w:type="dxa"/>
            <w:bottom w:w="0" w:type="dxa"/>
            <w:right w:w="108" w:type="dxa"/>
          </w:tblCellMar>
        </w:tblPrEx>
        <w:trPr>
          <w:trHeight w:val="112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lang w:bidi="ar"/>
              </w:rPr>
              <w:t>63</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服务发布</w:t>
            </w: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服务发布是用于控制对外服务共享有效时间，服务到期后将自动下架，对外的共享接口也将失效。如服务因其他不可抗因素不能对外提供共享服务，用户也可对已发布的服务进行手动下架。</w:t>
            </w:r>
          </w:p>
        </w:tc>
      </w:tr>
      <w:tr>
        <w:tblPrEx>
          <w:tblCellMar>
            <w:top w:w="0" w:type="dxa"/>
            <w:left w:w="108" w:type="dxa"/>
            <w:bottom w:w="0" w:type="dxa"/>
            <w:right w:w="108" w:type="dxa"/>
          </w:tblCellMar>
        </w:tblPrEx>
        <w:trPr>
          <w:trHeight w:val="84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lang w:bidi="ar"/>
              </w:rPr>
              <w:t>64</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服务申请</w:t>
            </w: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对外发布的服务均在此模块展示，有条件共享的服务，用户需要申请，待审核通过后方可使用或查看；无条件共享的服务，用户只需要申请后即可在服务申请进行查看。</w:t>
            </w:r>
          </w:p>
        </w:tc>
      </w:tr>
      <w:tr>
        <w:tblPrEx>
          <w:tblCellMar>
            <w:top w:w="0" w:type="dxa"/>
            <w:left w:w="108" w:type="dxa"/>
            <w:bottom w:w="0" w:type="dxa"/>
            <w:right w:w="108" w:type="dxa"/>
          </w:tblCellMar>
        </w:tblPrEx>
        <w:trPr>
          <w:trHeight w:val="560" w:hRule="atLeast"/>
          <w:jc w:val="center"/>
        </w:trPr>
        <w:tc>
          <w:tcPr>
            <w:tcW w:w="659"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lang w:bidi="ar"/>
              </w:rPr>
            </w:pPr>
            <w:r>
              <w:rPr>
                <w:rFonts w:hint="eastAsia" w:cs="仿宋" w:asciiTheme="majorEastAsia" w:hAnsiTheme="majorEastAsia" w:eastAsiaTheme="majorEastAsia"/>
                <w:color w:val="auto"/>
                <w:sz w:val="22"/>
                <w:szCs w:val="22"/>
                <w:highlight w:val="none"/>
                <w:lang w:bidi="ar"/>
              </w:rPr>
              <w:t>65</w:t>
            </w:r>
          </w:p>
        </w:tc>
        <w:tc>
          <w:tcPr>
            <w:tcW w:w="153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安全配置</w:t>
            </w:r>
          </w:p>
        </w:tc>
        <w:tc>
          <w:tcPr>
            <w:tcW w:w="6229" w:type="dxa"/>
            <w:tcBorders>
              <w:top w:val="single" w:color="000000" w:sz="4" w:space="0"/>
              <w:left w:val="single" w:color="000000" w:sz="4" w:space="0"/>
              <w:bottom w:val="single" w:color="000000" w:sz="4" w:space="0"/>
              <w:right w:val="single" w:color="000000" w:sz="4" w:space="0"/>
            </w:tcBorders>
            <w:shd w:val="clear" w:color="auto" w:fill="auto"/>
            <w:vAlign w:val="center"/>
          </w:tcPr>
          <w:p>
            <w:pPr>
              <w:textAlignment w:val="center"/>
              <w:rPr>
                <w:rFonts w:cs="仿宋" w:asciiTheme="majorEastAsia" w:hAnsiTheme="majorEastAsia" w:eastAsiaTheme="majorEastAsia"/>
                <w:color w:val="auto"/>
                <w:sz w:val="22"/>
                <w:szCs w:val="22"/>
                <w:highlight w:val="none"/>
              </w:rPr>
            </w:pPr>
            <w:r>
              <w:rPr>
                <w:rFonts w:hint="eastAsia" w:cs="仿宋" w:asciiTheme="majorEastAsia" w:hAnsiTheme="majorEastAsia" w:eastAsiaTheme="majorEastAsia"/>
                <w:color w:val="auto"/>
                <w:sz w:val="22"/>
                <w:szCs w:val="22"/>
                <w:highlight w:val="none"/>
                <w:lang w:bidi="ar"/>
              </w:rPr>
              <w:t>支持配置数据密级、脱敏规则，在数据服务共享时配置脱敏规则，以确保数据安全。</w:t>
            </w:r>
          </w:p>
        </w:tc>
      </w:tr>
    </w:tbl>
    <w:p>
      <w:pPr>
        <w:pStyle w:val="3"/>
        <w:ind w:firstLine="480"/>
        <w:rPr>
          <w:color w:val="auto"/>
          <w:highlight w:val="none"/>
        </w:rPr>
      </w:pPr>
    </w:p>
    <w:p>
      <w:pPr>
        <w:pStyle w:val="6"/>
        <w:rPr>
          <w:color w:val="auto"/>
          <w:highlight w:val="none"/>
          <w:lang w:val="zh-CN"/>
        </w:rPr>
      </w:pPr>
      <w:r>
        <w:rPr>
          <w:rFonts w:hint="eastAsia"/>
          <w:color w:val="auto"/>
          <w:highlight w:val="none"/>
          <w:lang w:val="zh-CN"/>
        </w:rPr>
        <w:t>数据运营管理</w:t>
      </w:r>
    </w:p>
    <w:p>
      <w:pPr>
        <w:pStyle w:val="7"/>
        <w:rPr>
          <w:color w:val="auto"/>
          <w:highlight w:val="none"/>
        </w:rPr>
      </w:pPr>
      <w:bookmarkStart w:id="10" w:name="_Toc180498440"/>
      <w:r>
        <w:rPr>
          <w:rFonts w:hint="eastAsia"/>
          <w:color w:val="auto"/>
          <w:highlight w:val="none"/>
        </w:rPr>
        <w:t>数据标准编制服务</w:t>
      </w:r>
      <w:bookmarkEnd w:id="10"/>
    </w:p>
    <w:p>
      <w:pPr>
        <w:pStyle w:val="8"/>
        <w:rPr>
          <w:color w:val="auto"/>
          <w:highlight w:val="none"/>
          <w:lang w:val="zh-CN"/>
        </w:rPr>
      </w:pPr>
      <w:r>
        <w:rPr>
          <w:rFonts w:hint="eastAsia"/>
          <w:color w:val="auto"/>
          <w:highlight w:val="none"/>
          <w:lang w:val="zh-CN"/>
        </w:rPr>
        <w:t>数据治理类规范</w:t>
      </w:r>
    </w:p>
    <w:p>
      <w:pPr>
        <w:pStyle w:val="3"/>
        <w:ind w:firstLine="480"/>
        <w:rPr>
          <w:color w:val="auto"/>
          <w:highlight w:val="none"/>
          <w:lang w:val="zh-CN"/>
        </w:rPr>
      </w:pPr>
      <w:r>
        <w:rPr>
          <w:rFonts w:hint="eastAsia"/>
          <w:color w:val="auto"/>
          <w:highlight w:val="none"/>
          <w:lang w:val="zh-CN"/>
        </w:rPr>
        <w:t>投标人应根据国家、上海市、地方出台的各类数据治理规范，编制符合上海市监狱管理局业务与发展需要的数据治理类规范，包括但不限于：</w:t>
      </w:r>
    </w:p>
    <w:p>
      <w:pPr>
        <w:pStyle w:val="3"/>
        <w:numPr>
          <w:ilvl w:val="0"/>
          <w:numId w:val="4"/>
        </w:numPr>
        <w:ind w:firstLineChars="0"/>
        <w:rPr>
          <w:color w:val="auto"/>
          <w:highlight w:val="none"/>
          <w:lang w:val="zh-CN"/>
        </w:rPr>
      </w:pPr>
      <w:r>
        <w:rPr>
          <w:rFonts w:hint="eastAsia"/>
          <w:color w:val="auto"/>
          <w:highlight w:val="none"/>
          <w:lang w:val="zh-CN"/>
        </w:rPr>
        <w:t>业务数据标准：针对不同业务领域的数据，制定相应的标准，确保数据在业务流程中的一致性和准确性。</w:t>
      </w:r>
    </w:p>
    <w:p>
      <w:pPr>
        <w:pStyle w:val="3"/>
        <w:numPr>
          <w:ilvl w:val="0"/>
          <w:numId w:val="4"/>
        </w:numPr>
        <w:ind w:firstLineChars="0"/>
        <w:rPr>
          <w:color w:val="auto"/>
          <w:highlight w:val="none"/>
          <w:lang w:val="zh-CN"/>
        </w:rPr>
      </w:pPr>
      <w:r>
        <w:rPr>
          <w:rFonts w:hint="eastAsia"/>
          <w:color w:val="auto"/>
          <w:highlight w:val="none"/>
          <w:lang w:val="zh-CN"/>
        </w:rPr>
        <w:t>技术数据标准：从信息技术的角度对数据进行规范，包括数据类型、字段长度、精度、数据格式等。</w:t>
      </w:r>
    </w:p>
    <w:p>
      <w:pPr>
        <w:pStyle w:val="3"/>
        <w:numPr>
          <w:ilvl w:val="0"/>
          <w:numId w:val="4"/>
        </w:numPr>
        <w:ind w:firstLineChars="0"/>
        <w:rPr>
          <w:color w:val="auto"/>
          <w:highlight w:val="none"/>
          <w:lang w:val="zh-CN"/>
        </w:rPr>
      </w:pPr>
      <w:r>
        <w:rPr>
          <w:rFonts w:hint="eastAsia"/>
          <w:color w:val="auto"/>
          <w:highlight w:val="none"/>
          <w:lang w:val="zh-CN"/>
        </w:rPr>
        <w:t>数据元定义：明确数据元及其属性，例如信息项分类、类型、长度、定义、值域等。</w:t>
      </w:r>
    </w:p>
    <w:p>
      <w:pPr>
        <w:pStyle w:val="3"/>
        <w:numPr>
          <w:ilvl w:val="0"/>
          <w:numId w:val="4"/>
        </w:numPr>
        <w:ind w:firstLineChars="0"/>
        <w:rPr>
          <w:color w:val="auto"/>
          <w:highlight w:val="none"/>
          <w:lang w:val="zh-CN"/>
        </w:rPr>
      </w:pPr>
      <w:r>
        <w:rPr>
          <w:rFonts w:hint="eastAsia"/>
          <w:color w:val="auto"/>
          <w:highlight w:val="none"/>
          <w:lang w:val="zh-CN"/>
        </w:rPr>
        <w:t>数据质量规范：定义数据模型、质量规则，确保数据质量满足要求。</w:t>
      </w:r>
    </w:p>
    <w:p>
      <w:pPr>
        <w:pStyle w:val="3"/>
        <w:numPr>
          <w:ilvl w:val="0"/>
          <w:numId w:val="4"/>
        </w:numPr>
        <w:ind w:firstLineChars="0"/>
        <w:rPr>
          <w:color w:val="auto"/>
          <w:highlight w:val="none"/>
          <w:lang w:val="zh-CN"/>
        </w:rPr>
      </w:pPr>
      <w:r>
        <w:rPr>
          <w:rFonts w:hint="eastAsia"/>
          <w:color w:val="auto"/>
          <w:highlight w:val="none"/>
          <w:lang w:val="zh-CN"/>
        </w:rPr>
        <w:t>数据安全规范：包括敏感信息的识别、数据分类分级等，以保障数据安全。</w:t>
      </w:r>
    </w:p>
    <w:p>
      <w:pPr>
        <w:pStyle w:val="3"/>
        <w:numPr>
          <w:ilvl w:val="0"/>
          <w:numId w:val="4"/>
        </w:numPr>
        <w:ind w:firstLineChars="0"/>
        <w:rPr>
          <w:color w:val="auto"/>
          <w:highlight w:val="none"/>
          <w:lang w:val="zh-CN"/>
        </w:rPr>
      </w:pPr>
      <w:r>
        <w:rPr>
          <w:rFonts w:hint="eastAsia"/>
          <w:color w:val="auto"/>
          <w:highlight w:val="none"/>
          <w:lang w:val="zh-CN"/>
        </w:rPr>
        <w:t>数据共享规范：确保数据在不同系统、部门之间的共享和交换遵循一致的规范。</w:t>
      </w:r>
    </w:p>
    <w:p>
      <w:pPr>
        <w:pStyle w:val="3"/>
        <w:numPr>
          <w:ilvl w:val="0"/>
          <w:numId w:val="4"/>
        </w:numPr>
        <w:ind w:firstLineChars="0"/>
        <w:rPr>
          <w:color w:val="auto"/>
          <w:highlight w:val="none"/>
          <w:lang w:val="zh-CN"/>
        </w:rPr>
      </w:pPr>
      <w:r>
        <w:rPr>
          <w:rFonts w:hint="eastAsia"/>
          <w:color w:val="auto"/>
          <w:highlight w:val="none"/>
          <w:lang w:val="zh-CN"/>
        </w:rPr>
        <w:t>数据存储规范：定义存储格式、位置、数据结构等，以保证数据存储的一致性。</w:t>
      </w:r>
    </w:p>
    <w:p>
      <w:pPr>
        <w:pStyle w:val="3"/>
        <w:numPr>
          <w:ilvl w:val="0"/>
          <w:numId w:val="4"/>
        </w:numPr>
        <w:ind w:firstLineChars="0"/>
        <w:rPr>
          <w:color w:val="auto"/>
          <w:highlight w:val="none"/>
          <w:lang w:val="zh-CN"/>
        </w:rPr>
      </w:pPr>
      <w:r>
        <w:rPr>
          <w:rFonts w:hint="eastAsia"/>
          <w:color w:val="auto"/>
          <w:highlight w:val="none"/>
          <w:lang w:val="zh-CN"/>
        </w:rPr>
        <w:t>数据标准维护规范：确保数据标准的持续更新和维护，适应业务变化和技术发展。</w:t>
      </w:r>
    </w:p>
    <w:p>
      <w:pPr>
        <w:pStyle w:val="8"/>
        <w:rPr>
          <w:color w:val="auto"/>
          <w:highlight w:val="none"/>
          <w:lang w:val="zh-CN"/>
        </w:rPr>
      </w:pPr>
      <w:r>
        <w:rPr>
          <w:rFonts w:hint="eastAsia"/>
          <w:color w:val="auto"/>
          <w:highlight w:val="none"/>
          <w:lang w:val="zh-CN"/>
        </w:rPr>
        <w:t>数据管理类规范</w:t>
      </w:r>
    </w:p>
    <w:p>
      <w:pPr>
        <w:pStyle w:val="3"/>
        <w:ind w:firstLine="480"/>
        <w:rPr>
          <w:color w:val="auto"/>
          <w:highlight w:val="none"/>
          <w:lang w:val="zh-CN"/>
        </w:rPr>
      </w:pPr>
      <w:r>
        <w:rPr>
          <w:rFonts w:hint="eastAsia"/>
          <w:color w:val="auto"/>
          <w:highlight w:val="none"/>
          <w:lang w:val="zh-CN"/>
        </w:rPr>
        <w:t>投标人应结合上海市监狱管理局组织架构情况与数据管理业务职能，帮助上海市监狱管理局梳理并编制数据管理类规范，包括但不限于：</w:t>
      </w:r>
    </w:p>
    <w:p>
      <w:pPr>
        <w:pStyle w:val="3"/>
        <w:numPr>
          <w:ilvl w:val="0"/>
          <w:numId w:val="5"/>
        </w:numPr>
        <w:ind w:firstLineChars="0"/>
        <w:rPr>
          <w:color w:val="auto"/>
          <w:highlight w:val="none"/>
          <w:lang w:val="zh-CN"/>
        </w:rPr>
      </w:pPr>
      <w:r>
        <w:rPr>
          <w:rFonts w:hint="eastAsia"/>
          <w:color w:val="auto"/>
          <w:highlight w:val="none"/>
          <w:lang w:val="zh-CN"/>
        </w:rPr>
        <w:t>管理原则：定义数据管理应遵循的原则。</w:t>
      </w:r>
    </w:p>
    <w:p>
      <w:pPr>
        <w:pStyle w:val="3"/>
        <w:numPr>
          <w:ilvl w:val="0"/>
          <w:numId w:val="5"/>
        </w:numPr>
        <w:ind w:firstLineChars="0"/>
        <w:rPr>
          <w:color w:val="auto"/>
          <w:highlight w:val="none"/>
          <w:lang w:val="zh-CN"/>
        </w:rPr>
      </w:pPr>
      <w:r>
        <w:rPr>
          <w:rFonts w:hint="eastAsia"/>
          <w:color w:val="auto"/>
          <w:highlight w:val="none"/>
          <w:lang w:val="zh-CN"/>
        </w:rPr>
        <w:t>职责分工：结合上海市监狱管理局组织情况，定义各单位在数据管理工作中的工作职责。</w:t>
      </w:r>
    </w:p>
    <w:p>
      <w:pPr>
        <w:pStyle w:val="3"/>
        <w:numPr>
          <w:ilvl w:val="0"/>
          <w:numId w:val="5"/>
        </w:numPr>
        <w:ind w:firstLineChars="0"/>
        <w:rPr>
          <w:color w:val="auto"/>
          <w:highlight w:val="none"/>
          <w:lang w:val="zh-CN"/>
        </w:rPr>
      </w:pPr>
      <w:r>
        <w:rPr>
          <w:rFonts w:hint="eastAsia"/>
          <w:color w:val="auto"/>
          <w:highlight w:val="none"/>
          <w:lang w:val="zh-CN"/>
        </w:rPr>
        <w:t>系统管理：定义数据管理所使用的系统与该系统与其他数据产出、使用系统的关联关系。</w:t>
      </w:r>
    </w:p>
    <w:p>
      <w:pPr>
        <w:pStyle w:val="3"/>
        <w:numPr>
          <w:ilvl w:val="0"/>
          <w:numId w:val="5"/>
        </w:numPr>
        <w:ind w:firstLineChars="0"/>
        <w:rPr>
          <w:color w:val="auto"/>
          <w:highlight w:val="none"/>
          <w:lang w:val="zh-CN"/>
        </w:rPr>
      </w:pPr>
      <w:r>
        <w:rPr>
          <w:rFonts w:hint="eastAsia"/>
          <w:color w:val="auto"/>
          <w:highlight w:val="none"/>
          <w:lang w:val="zh-CN"/>
        </w:rPr>
        <w:t>数据管理流程：定义数据收集、登记、归集与治理的流程。</w:t>
      </w:r>
    </w:p>
    <w:p>
      <w:pPr>
        <w:pStyle w:val="3"/>
        <w:numPr>
          <w:ilvl w:val="0"/>
          <w:numId w:val="5"/>
        </w:numPr>
        <w:ind w:firstLineChars="0"/>
        <w:rPr>
          <w:color w:val="auto"/>
          <w:highlight w:val="none"/>
          <w:lang w:val="zh-CN"/>
        </w:rPr>
      </w:pPr>
      <w:r>
        <w:rPr>
          <w:rFonts w:hint="eastAsia"/>
          <w:color w:val="auto"/>
          <w:highlight w:val="none"/>
          <w:lang w:val="zh-CN"/>
        </w:rPr>
        <w:t>数据使用流程：定义治理后的数据在内部系统使用、开发与同外部单位进行数据共享的流程。</w:t>
      </w:r>
    </w:p>
    <w:p>
      <w:pPr>
        <w:pStyle w:val="3"/>
        <w:numPr>
          <w:ilvl w:val="0"/>
          <w:numId w:val="5"/>
        </w:numPr>
        <w:ind w:firstLineChars="0"/>
        <w:rPr>
          <w:color w:val="auto"/>
          <w:highlight w:val="none"/>
          <w:lang w:val="zh-CN"/>
        </w:rPr>
      </w:pPr>
      <w:r>
        <w:rPr>
          <w:rFonts w:hint="eastAsia"/>
          <w:color w:val="auto"/>
          <w:highlight w:val="none"/>
          <w:lang w:val="zh-CN"/>
        </w:rPr>
        <w:t>监督职责：定义数据管理成果评价与管理责任。</w:t>
      </w:r>
    </w:p>
    <w:p>
      <w:pPr>
        <w:pStyle w:val="3"/>
        <w:numPr>
          <w:ilvl w:val="0"/>
          <w:numId w:val="5"/>
        </w:numPr>
        <w:ind w:firstLineChars="0"/>
        <w:rPr>
          <w:color w:val="auto"/>
          <w:highlight w:val="none"/>
          <w:lang w:val="zh-CN"/>
        </w:rPr>
      </w:pPr>
      <w:r>
        <w:rPr>
          <w:rFonts w:hint="eastAsia"/>
          <w:color w:val="auto"/>
          <w:highlight w:val="none"/>
          <w:lang w:val="zh-CN"/>
        </w:rPr>
        <w:t>安全职责：定义数据安全的管理职责、人员管理和权益维护。</w:t>
      </w:r>
    </w:p>
    <w:p>
      <w:pPr>
        <w:pStyle w:val="7"/>
        <w:rPr>
          <w:color w:val="auto"/>
          <w:highlight w:val="none"/>
        </w:rPr>
      </w:pPr>
      <w:bookmarkStart w:id="11" w:name="_Toc180498443"/>
      <w:r>
        <w:rPr>
          <w:rFonts w:hint="eastAsia"/>
          <w:color w:val="auto"/>
          <w:highlight w:val="none"/>
        </w:rPr>
        <w:t>数据基础库搭建服务</w:t>
      </w:r>
      <w:bookmarkEnd w:id="11"/>
    </w:p>
    <w:p>
      <w:pPr>
        <w:pStyle w:val="3"/>
        <w:ind w:firstLine="480"/>
        <w:rPr>
          <w:color w:val="auto"/>
          <w:highlight w:val="none"/>
        </w:rPr>
      </w:pPr>
      <w:r>
        <w:rPr>
          <w:rFonts w:hint="eastAsia"/>
          <w:color w:val="auto"/>
          <w:highlight w:val="none"/>
        </w:rPr>
        <w:t>构建民警信息库、罪犯信息库、监狱管理信息三大基础库。</w:t>
      </w:r>
    </w:p>
    <w:p>
      <w:pPr>
        <w:pStyle w:val="7"/>
        <w:rPr>
          <w:color w:val="auto"/>
          <w:highlight w:val="none"/>
        </w:rPr>
      </w:pPr>
      <w:bookmarkStart w:id="12" w:name="_Toc180498444"/>
      <w:r>
        <w:rPr>
          <w:rFonts w:hint="eastAsia"/>
          <w:color w:val="auto"/>
          <w:highlight w:val="none"/>
        </w:rPr>
        <w:t>数据集市搭建服务</w:t>
      </w:r>
      <w:bookmarkEnd w:id="12"/>
    </w:p>
    <w:p>
      <w:pPr>
        <w:pStyle w:val="3"/>
        <w:ind w:firstLine="480"/>
        <w:rPr>
          <w:color w:val="auto"/>
          <w:highlight w:val="none"/>
        </w:rPr>
      </w:pPr>
      <w:r>
        <w:rPr>
          <w:rFonts w:hint="eastAsia"/>
          <w:color w:val="auto"/>
          <w:highlight w:val="none"/>
        </w:rPr>
        <w:t>对特定的数据分析研判需求的分析周期、频次的不同，独立出一部分数据根据研判的需求预先的进行数据准备，形成高价值密度、有序的专项数据用于精细化的数据分析。本次建设需搭建的数据集市目录项包括但不限于：安防指挥数据集市、GIS应用数据集市、安全治理专题数据集市、罪犯改造专题数据集市、执法管理专题数据集市、队伍建设专题数据集市、综合保障专题数据集市、民警综合数据集市、罪犯综合数据集市、安防物联设施设备数据集市、公用基础数据集市、数据共享交换数据集市。</w:t>
      </w:r>
    </w:p>
    <w:p>
      <w:pPr>
        <w:pStyle w:val="7"/>
        <w:rPr>
          <w:color w:val="auto"/>
          <w:highlight w:val="none"/>
        </w:rPr>
      </w:pPr>
      <w:bookmarkStart w:id="13" w:name="_Toc180498445"/>
      <w:r>
        <w:rPr>
          <w:rFonts w:hint="eastAsia"/>
          <w:color w:val="auto"/>
          <w:highlight w:val="none"/>
        </w:rPr>
        <w:t>数据接口服务</w:t>
      </w:r>
      <w:bookmarkEnd w:id="13"/>
    </w:p>
    <w:p>
      <w:pPr>
        <w:pStyle w:val="3"/>
        <w:ind w:firstLine="480"/>
        <w:rPr>
          <w:color w:val="auto"/>
          <w:highlight w:val="none"/>
        </w:rPr>
      </w:pPr>
      <w:r>
        <w:rPr>
          <w:rFonts w:hint="eastAsia"/>
          <w:color w:val="auto"/>
          <w:highlight w:val="none"/>
        </w:rPr>
        <w:t>对于完成沉淀的相关数据资源，通过数据接口的方式形成可便捷调用使用的数据赋能能力。提供数据接口服务包括但不限于：业务数据接口、安防物联感知数据接口、文件数据接口、智能接口、数据共享交换接口、BI接口、全文检索接口。</w:t>
      </w:r>
    </w:p>
    <w:p>
      <w:pPr>
        <w:pStyle w:val="7"/>
        <w:rPr>
          <w:color w:val="auto"/>
          <w:highlight w:val="none"/>
        </w:rPr>
      </w:pPr>
      <w:bookmarkStart w:id="14" w:name="_Toc180498446"/>
      <w:r>
        <w:rPr>
          <w:rFonts w:hint="eastAsia"/>
          <w:color w:val="auto"/>
          <w:highlight w:val="none"/>
        </w:rPr>
        <w:t>数据质量服务</w:t>
      </w:r>
      <w:bookmarkEnd w:id="14"/>
    </w:p>
    <w:p>
      <w:pPr>
        <w:pStyle w:val="3"/>
        <w:ind w:firstLine="480"/>
        <w:rPr>
          <w:color w:val="auto"/>
          <w:highlight w:val="none"/>
        </w:rPr>
      </w:pPr>
      <w:r>
        <w:rPr>
          <w:rFonts w:hint="eastAsia"/>
          <w:color w:val="auto"/>
          <w:highlight w:val="none"/>
        </w:rPr>
        <w:t>投标人应提供常态化的数据质量核验服务，并每月度提供数据质量情况报告。</w:t>
      </w:r>
    </w:p>
    <w:p>
      <w:pPr>
        <w:pStyle w:val="3"/>
        <w:ind w:firstLine="480"/>
        <w:rPr>
          <w:color w:val="auto"/>
          <w:highlight w:val="none"/>
        </w:rPr>
      </w:pPr>
      <w:r>
        <w:rPr>
          <w:rFonts w:hint="eastAsia"/>
          <w:color w:val="auto"/>
          <w:highlight w:val="none"/>
        </w:rPr>
        <w:t>针对核心业务数据进行九大类（唯一性、准确性、关联性、一致性、完整性、有效性、及时性、可获取性、合规性）数据质量问题，定制业务规则和检核SQL，对业务系统等完成非空检查、外键约束检查、业务规则检查、唯一性检查、值域检查等，并对检核记录数、问题数据记录数及占比等指标进行分析，形成数据质量问题分布和数据质量问题类别分布占比报告等。</w:t>
      </w:r>
    </w:p>
    <w:p>
      <w:pPr>
        <w:pStyle w:val="7"/>
        <w:rPr>
          <w:color w:val="auto"/>
          <w:highlight w:val="none"/>
        </w:rPr>
      </w:pPr>
      <w:bookmarkStart w:id="15" w:name="_Toc180498447"/>
      <w:r>
        <w:rPr>
          <w:rFonts w:hint="eastAsia"/>
          <w:color w:val="auto"/>
          <w:highlight w:val="none"/>
        </w:rPr>
        <w:t>数据编目服务</w:t>
      </w:r>
      <w:bookmarkEnd w:id="15"/>
    </w:p>
    <w:p>
      <w:pPr>
        <w:pStyle w:val="3"/>
        <w:ind w:firstLine="480"/>
        <w:rPr>
          <w:color w:val="auto"/>
          <w:highlight w:val="none"/>
        </w:rPr>
      </w:pPr>
      <w:r>
        <w:rPr>
          <w:rFonts w:hint="eastAsia"/>
          <w:color w:val="auto"/>
          <w:highlight w:val="none"/>
        </w:rPr>
        <w:t>进行信息资源目录规划、梳理编目、注册实施、发布实施、定位跟踪与目录维护。通过对数据资源属性及扩展信息等的描述，实现对数据资产的统一定义，在此基础之上，经过数据的梳理和标准化，给数据建立目录结构，形成有价值的、有序的数据资产，实现从“数据”到“资产”的转变。</w:t>
      </w:r>
    </w:p>
    <w:p>
      <w:pPr>
        <w:pStyle w:val="7"/>
        <w:rPr>
          <w:color w:val="auto"/>
          <w:highlight w:val="none"/>
        </w:rPr>
      </w:pPr>
      <w:bookmarkStart w:id="16" w:name="_Toc180498448"/>
      <w:r>
        <w:rPr>
          <w:rFonts w:hint="eastAsia"/>
          <w:color w:val="auto"/>
          <w:highlight w:val="none"/>
        </w:rPr>
        <w:t>数据分级分类与敏感数据管理服务</w:t>
      </w:r>
      <w:bookmarkEnd w:id="16"/>
    </w:p>
    <w:p>
      <w:pPr>
        <w:pStyle w:val="3"/>
        <w:ind w:firstLine="480"/>
        <w:rPr>
          <w:color w:val="auto"/>
          <w:highlight w:val="none"/>
        </w:rPr>
      </w:pPr>
      <w:r>
        <w:rPr>
          <w:rFonts w:hint="eastAsia"/>
          <w:color w:val="auto"/>
          <w:highlight w:val="none"/>
        </w:rPr>
        <w:t>提供数据分级分类与敏感数据管理服务，为上海监狱数据安全保驾护航。提供数据密级管理：定义数据密级，对不同的数据类型配置不同的数据密级；用户角色数据脱敏适配：不同权限对应不同密级；提供功能模块数据脱敏适配：不同功能模块对应不同密级；提供数据层数据脱敏适用数据共享交换场景， 在数据层对数据进行脱 敏进行数据交换,针对公安、法院、检察院、医院、司法管控体系单位，进行分级分类数据脱敏管理；提供业务层数据脱敏：适用业务应用，针对不同功能模块不同用户权限实现数据脱敏。</w:t>
      </w:r>
    </w:p>
    <w:p>
      <w:pPr>
        <w:pStyle w:val="3"/>
        <w:ind w:firstLine="480"/>
        <w:rPr>
          <w:color w:val="auto"/>
          <w:highlight w:val="none"/>
        </w:rPr>
      </w:pPr>
    </w:p>
    <w:p>
      <w:pPr>
        <w:pStyle w:val="3"/>
        <w:ind w:firstLine="480"/>
        <w:rPr>
          <w:color w:val="auto"/>
          <w:highlight w:val="none"/>
          <w:lang w:val="zh-CN"/>
        </w:rPr>
      </w:pPr>
    </w:p>
    <w:p>
      <w:pPr>
        <w:pStyle w:val="3"/>
        <w:ind w:firstLine="480"/>
        <w:rPr>
          <w:color w:val="auto"/>
          <w:highlight w:val="none"/>
          <w:lang w:val="zh-CN"/>
        </w:rPr>
      </w:pPr>
    </w:p>
    <w:p>
      <w:pPr>
        <w:pStyle w:val="3"/>
        <w:ind w:firstLine="480"/>
        <w:rPr>
          <w:color w:val="auto"/>
          <w:highlight w:val="none"/>
          <w:lang w:val="zh-CN"/>
        </w:rPr>
      </w:pPr>
    </w:p>
    <w:p>
      <w:pPr>
        <w:pStyle w:val="3"/>
        <w:ind w:firstLine="480"/>
        <w:rPr>
          <w:color w:val="auto"/>
          <w:highlight w:val="none"/>
          <w:lang w:val="zh-CN"/>
        </w:rPr>
      </w:pPr>
    </w:p>
    <w:p>
      <w:pPr>
        <w:pStyle w:val="5"/>
        <w:rPr>
          <w:color w:val="auto"/>
          <w:highlight w:val="none"/>
        </w:rPr>
      </w:pPr>
      <w:bookmarkStart w:id="17" w:name="_Toc180570818"/>
      <w:r>
        <w:rPr>
          <w:rFonts w:hint="eastAsia"/>
          <w:color w:val="auto"/>
          <w:highlight w:val="none"/>
        </w:rPr>
        <w:t>技术底座</w:t>
      </w:r>
      <w:bookmarkEnd w:id="17"/>
    </w:p>
    <w:p>
      <w:pPr>
        <w:pStyle w:val="6"/>
        <w:rPr>
          <w:color w:val="auto"/>
          <w:highlight w:val="none"/>
        </w:rPr>
      </w:pPr>
      <w:r>
        <w:rPr>
          <w:rFonts w:hint="eastAsia"/>
          <w:color w:val="auto"/>
          <w:highlight w:val="none"/>
        </w:rPr>
        <w:t>系统功能要求</w:t>
      </w:r>
    </w:p>
    <w:p>
      <w:pPr>
        <w:pStyle w:val="7"/>
        <w:rPr>
          <w:color w:val="auto"/>
          <w:highlight w:val="none"/>
        </w:rPr>
      </w:pPr>
      <w:r>
        <w:rPr>
          <w:rFonts w:hint="eastAsia"/>
          <w:color w:val="auto"/>
          <w:highlight w:val="none"/>
        </w:rPr>
        <w:t>技术能力集成</w:t>
      </w:r>
    </w:p>
    <w:p>
      <w:pPr>
        <w:pStyle w:val="3"/>
        <w:ind w:firstLine="480"/>
        <w:rPr>
          <w:color w:val="auto"/>
          <w:highlight w:val="none"/>
        </w:rPr>
      </w:pPr>
      <w:r>
        <w:rPr>
          <w:rFonts w:hint="eastAsia"/>
          <w:color w:val="auto"/>
          <w:highlight w:val="none"/>
        </w:rPr>
        <w:t>集成基层监狱建设所产出的技术能力，包括NLP能力集成、视频智能分析集成。</w:t>
      </w:r>
    </w:p>
    <w:p>
      <w:pPr>
        <w:pStyle w:val="7"/>
        <w:rPr>
          <w:color w:val="auto"/>
          <w:highlight w:val="none"/>
        </w:rPr>
      </w:pPr>
      <w:r>
        <w:rPr>
          <w:rFonts w:hint="eastAsia"/>
          <w:color w:val="auto"/>
          <w:highlight w:val="none"/>
        </w:rPr>
        <w:t>三维实景GIS接入与分析</w:t>
      </w:r>
    </w:p>
    <w:p>
      <w:pPr>
        <w:pStyle w:val="3"/>
        <w:numPr>
          <w:ilvl w:val="0"/>
          <w:numId w:val="6"/>
        </w:numPr>
        <w:ind w:firstLineChars="0"/>
        <w:rPr>
          <w:b/>
          <w:bCs/>
          <w:color w:val="auto"/>
          <w:highlight w:val="none"/>
        </w:rPr>
      </w:pPr>
      <w:r>
        <w:rPr>
          <w:rFonts w:hint="eastAsia"/>
          <w:b/>
          <w:bCs/>
          <w:color w:val="auto"/>
          <w:highlight w:val="none"/>
        </w:rPr>
        <w:t>GIS融合服务</w:t>
      </w:r>
    </w:p>
    <w:p>
      <w:pPr>
        <w:pStyle w:val="3"/>
        <w:ind w:firstLine="480"/>
        <w:rPr>
          <w:color w:val="auto"/>
          <w:highlight w:val="none"/>
        </w:rPr>
      </w:pPr>
      <w:r>
        <w:rPr>
          <w:rFonts w:hint="eastAsia"/>
          <w:color w:val="auto"/>
          <w:highlight w:val="none"/>
        </w:rPr>
        <w:t>三维实景GIS服务的主要功能为地理信息数据(基础信息图层)的发布、更新和管理，并通过建立各类专用图层(视频、门禁、报警、对讲等)实现信息点位置的自动标注；同时提供基于空间关联的缓冲区搜索算法，结合视频融合技术，实现突发事件周边搜索等实战功能，满足日常监控、应急指挥的需求。提供数据同步服务、流媒体服务、视频控制服务、报警服务、门禁服务、对讲广播服务以及其他对接服务。</w:t>
      </w:r>
    </w:p>
    <w:p>
      <w:pPr>
        <w:pStyle w:val="3"/>
        <w:numPr>
          <w:ilvl w:val="0"/>
          <w:numId w:val="6"/>
        </w:numPr>
        <w:ind w:firstLineChars="0"/>
        <w:rPr>
          <w:b/>
          <w:bCs/>
          <w:color w:val="auto"/>
          <w:highlight w:val="none"/>
        </w:rPr>
      </w:pPr>
      <w:r>
        <w:rPr>
          <w:rFonts w:hint="eastAsia"/>
          <w:b/>
          <w:bCs/>
          <w:color w:val="auto"/>
          <w:highlight w:val="none"/>
        </w:rPr>
        <w:t>应用服务</w:t>
      </w:r>
    </w:p>
    <w:p>
      <w:pPr>
        <w:pStyle w:val="3"/>
        <w:ind w:firstLine="480"/>
        <w:rPr>
          <w:color w:val="auto"/>
          <w:highlight w:val="none"/>
        </w:rPr>
      </w:pPr>
      <w:r>
        <w:rPr>
          <w:rFonts w:hint="eastAsia"/>
          <w:color w:val="auto"/>
          <w:highlight w:val="none"/>
        </w:rPr>
        <w:t>提供三维与视频无缝融合、多源数据统一空间管理、实时数据接入、高真实感场景特效。</w:t>
      </w:r>
    </w:p>
    <w:p>
      <w:pPr>
        <w:pStyle w:val="3"/>
        <w:numPr>
          <w:ilvl w:val="0"/>
          <w:numId w:val="6"/>
        </w:numPr>
        <w:ind w:firstLineChars="0"/>
        <w:rPr>
          <w:b/>
          <w:bCs/>
          <w:color w:val="auto"/>
          <w:highlight w:val="none"/>
        </w:rPr>
      </w:pPr>
      <w:r>
        <w:rPr>
          <w:rFonts w:hint="eastAsia"/>
          <w:b/>
          <w:bCs/>
          <w:color w:val="auto"/>
          <w:highlight w:val="none"/>
        </w:rPr>
        <w:t>专题图层服务</w:t>
      </w:r>
    </w:p>
    <w:p>
      <w:pPr>
        <w:pStyle w:val="3"/>
        <w:ind w:firstLine="480"/>
        <w:rPr>
          <w:color w:val="auto"/>
          <w:highlight w:val="none"/>
        </w:rPr>
      </w:pPr>
      <w:r>
        <w:rPr>
          <w:rFonts w:hint="eastAsia"/>
          <w:color w:val="auto"/>
          <w:highlight w:val="none"/>
        </w:rPr>
        <w:t>提供监狱管理局基础图层、监狱基础图层、监狱安防设施图层、监狱人员定位图层、监狱人员轨迹图层、监狱车辆轨迹图层、监狱物力点位图层等专题图层。</w:t>
      </w:r>
    </w:p>
    <w:p>
      <w:pPr>
        <w:pStyle w:val="3"/>
        <w:numPr>
          <w:ilvl w:val="0"/>
          <w:numId w:val="6"/>
        </w:numPr>
        <w:ind w:firstLineChars="0"/>
        <w:rPr>
          <w:b/>
          <w:bCs/>
          <w:color w:val="auto"/>
          <w:highlight w:val="none"/>
        </w:rPr>
      </w:pPr>
      <w:r>
        <w:rPr>
          <w:rFonts w:hint="eastAsia"/>
          <w:b/>
          <w:bCs/>
          <w:color w:val="auto"/>
          <w:highlight w:val="none"/>
        </w:rPr>
        <w:t>三维建模服务</w:t>
      </w:r>
    </w:p>
    <w:p>
      <w:pPr>
        <w:pStyle w:val="3"/>
        <w:ind w:firstLine="480"/>
        <w:rPr>
          <w:color w:val="auto"/>
          <w:highlight w:val="none"/>
        </w:rPr>
      </w:pPr>
      <w:r>
        <w:rPr>
          <w:rFonts w:hint="eastAsia"/>
          <w:color w:val="auto"/>
          <w:highlight w:val="none"/>
        </w:rPr>
        <w:t>提供三维建模服务</w:t>
      </w:r>
    </w:p>
    <w:p>
      <w:pPr>
        <w:pStyle w:val="3"/>
        <w:ind w:firstLine="480"/>
        <w:rPr>
          <w:color w:val="auto"/>
          <w:highlight w:val="none"/>
        </w:rPr>
      </w:pPr>
      <w:r>
        <w:rPr>
          <w:rFonts w:hint="eastAsia"/>
          <w:color w:val="auto"/>
          <w:highlight w:val="none"/>
        </w:rPr>
        <w:t>以GIS基础地图为载体，三维呈现沪苏皖一市两省15家监狱分布点位；</w:t>
      </w:r>
    </w:p>
    <w:p>
      <w:pPr>
        <w:pStyle w:val="3"/>
        <w:ind w:firstLine="480"/>
        <w:rPr>
          <w:color w:val="auto"/>
          <w:highlight w:val="none"/>
        </w:rPr>
      </w:pPr>
      <w:r>
        <w:rPr>
          <w:rFonts w:hint="eastAsia"/>
          <w:color w:val="auto"/>
          <w:highlight w:val="none"/>
        </w:rPr>
        <w:t>对接各基层监狱，特别对于已进行数字化改造的监狱，支持接入各监狱已有的BIM模型、倾斜摄影、地图图层等各地理信息数据。对于已有相关数据资源的监狱，支持对监狱整体建筑外部及内部布局、地下管线、设备安装点位信息进行三维地图建模的集成展示。</w:t>
      </w:r>
    </w:p>
    <w:p>
      <w:pPr>
        <w:pStyle w:val="7"/>
        <w:rPr>
          <w:color w:val="auto"/>
          <w:highlight w:val="none"/>
        </w:rPr>
      </w:pPr>
      <w:r>
        <w:rPr>
          <w:rFonts w:hint="eastAsia"/>
          <w:color w:val="auto"/>
          <w:highlight w:val="none"/>
        </w:rPr>
        <w:t>数字证书认证与电子签章对接要求</w:t>
      </w:r>
    </w:p>
    <w:p>
      <w:pPr>
        <w:pStyle w:val="3"/>
        <w:ind w:firstLine="480"/>
        <w:rPr>
          <w:color w:val="auto"/>
          <w:highlight w:val="none"/>
        </w:rPr>
      </w:pPr>
      <w:r>
        <w:rPr>
          <w:rFonts w:hint="eastAsia"/>
          <w:color w:val="auto"/>
          <w:highlight w:val="none"/>
        </w:rPr>
        <w:t>对接市平台数字证书认证能力，特别对接市统一身份认证平台，从而依据市平台所提供的各警员身份信息、组织架构信息，实现对人身份认证和单点登录。基于上述对接成果，集约化提供统一门户集成能力，支持基于市平台所提供的身份信息进一步进行系统内人员角色、用户权限等配置工作，建立合理高效的身份鉴权体系。</w:t>
      </w:r>
    </w:p>
    <w:p>
      <w:pPr>
        <w:pStyle w:val="3"/>
        <w:ind w:firstLine="480"/>
        <w:rPr>
          <w:color w:val="auto"/>
          <w:highlight w:val="none"/>
        </w:rPr>
      </w:pPr>
      <w:r>
        <w:rPr>
          <w:rFonts w:hint="eastAsia"/>
          <w:color w:val="auto"/>
          <w:highlight w:val="none"/>
        </w:rPr>
        <w:t>对接“电子印章系统”，集成支持电子印章、手写签名、批量盖章、批量验证等能力。依据《中华人民共和国电子前面法》《上海市电子印章管理暂行办法》等有关规定，为本次项目内涉及的各项业务流程提供线上化的签章能力。特别的，应支持将电子签章能力集约至工作流引擎中，从而支持以“拖拉拽”组件的方式对流程表单进行签章功能配置，提供SMS验签集成的能力；提供签章的权限配置管理自定义扩展的能力，使新增业务流程也可具备线上签章能力。</w:t>
      </w:r>
    </w:p>
    <w:p>
      <w:pPr>
        <w:pStyle w:val="6"/>
        <w:rPr>
          <w:color w:val="auto"/>
          <w:highlight w:val="none"/>
        </w:rPr>
      </w:pPr>
      <w:r>
        <w:rPr>
          <w:rFonts w:hint="eastAsia"/>
          <w:color w:val="auto"/>
          <w:highlight w:val="none"/>
        </w:rPr>
        <w:t>产品选型要求</w:t>
      </w:r>
    </w:p>
    <w:p>
      <w:pPr>
        <w:pStyle w:val="7"/>
        <w:rPr>
          <w:color w:val="auto"/>
          <w:highlight w:val="none"/>
        </w:rPr>
      </w:pPr>
      <w:r>
        <w:rPr>
          <w:rFonts w:hint="eastAsia"/>
          <w:color w:val="auto"/>
          <w:highlight w:val="none"/>
        </w:rPr>
        <w:t>三维实景GIS平台软件</w:t>
      </w:r>
    </w:p>
    <w:p>
      <w:pPr>
        <w:pStyle w:val="3"/>
        <w:ind w:firstLine="480"/>
        <w:rPr>
          <w:color w:val="auto"/>
          <w:highlight w:val="none"/>
        </w:rPr>
      </w:pPr>
      <w:r>
        <w:rPr>
          <w:rFonts w:hint="eastAsia"/>
          <w:color w:val="auto"/>
          <w:highlight w:val="none"/>
        </w:rPr>
        <w:t>投标人应提供成熟的三维实景GIS平台软件，提供满足数字孪生级三维实景GIS建设的需要。同时投标人应提供配套的渲染服务器，以满足如下性能要求：</w:t>
      </w:r>
    </w:p>
    <w:p>
      <w:pPr>
        <w:pStyle w:val="3"/>
        <w:ind w:firstLine="480"/>
        <w:rPr>
          <w:color w:val="auto"/>
          <w:highlight w:val="none"/>
        </w:rPr>
      </w:pPr>
      <w:r>
        <w:rPr>
          <w:rFonts w:hint="eastAsia"/>
          <w:color w:val="auto"/>
          <w:highlight w:val="none"/>
        </w:rPr>
        <w:t>1、适配分辨率 ，最高支持 4K 分辨率；</w:t>
      </w:r>
    </w:p>
    <w:p>
      <w:pPr>
        <w:pStyle w:val="3"/>
        <w:ind w:firstLine="480"/>
        <w:rPr>
          <w:color w:val="auto"/>
          <w:highlight w:val="none"/>
        </w:rPr>
      </w:pPr>
      <w:r>
        <w:rPr>
          <w:rFonts w:hint="eastAsia"/>
          <w:color w:val="auto"/>
          <w:highlight w:val="none"/>
        </w:rPr>
        <w:t>2、渲染帧率 ≥45帧（2K分辨率），≥30帧（4K分辨率）；</w:t>
      </w:r>
    </w:p>
    <w:p>
      <w:pPr>
        <w:pStyle w:val="3"/>
        <w:ind w:firstLine="480"/>
        <w:rPr>
          <w:color w:val="auto"/>
          <w:highlight w:val="none"/>
        </w:rPr>
      </w:pPr>
      <w:r>
        <w:rPr>
          <w:rFonts w:hint="eastAsia"/>
          <w:color w:val="auto"/>
          <w:highlight w:val="none"/>
        </w:rPr>
        <w:t>3、渲染延时＜20ms（2K分辨率），＜30ms（4K分辨率）；</w:t>
      </w:r>
    </w:p>
    <w:p>
      <w:pPr>
        <w:pStyle w:val="3"/>
        <w:ind w:firstLine="480"/>
        <w:rPr>
          <w:color w:val="auto"/>
          <w:highlight w:val="none"/>
        </w:rPr>
      </w:pPr>
      <w:r>
        <w:rPr>
          <w:rFonts w:hint="eastAsia"/>
          <w:color w:val="auto"/>
          <w:highlight w:val="none"/>
        </w:rPr>
        <w:t>4、全屏覆盖，一次内容开发支持全平台使用，包括但不仅限于电脑、一体机、LED大屏、投影、PC、移动端等；</w:t>
      </w:r>
    </w:p>
    <w:p>
      <w:pPr>
        <w:pStyle w:val="3"/>
        <w:ind w:firstLine="480"/>
        <w:rPr>
          <w:color w:val="auto"/>
          <w:highlight w:val="none"/>
        </w:rPr>
      </w:pPr>
      <w:r>
        <w:rPr>
          <w:rFonts w:hint="eastAsia"/>
          <w:color w:val="auto"/>
          <w:highlight w:val="none"/>
        </w:rPr>
        <w:t>5、云渲染程序，通过边缘计算和云计算，实现低于20ms的实时云渲染体验；突破终端硬件配置瓶颈，使终端显示顶级实时渲染效果；</w:t>
      </w:r>
    </w:p>
    <w:p>
      <w:pPr>
        <w:pStyle w:val="3"/>
        <w:ind w:firstLine="480"/>
        <w:rPr>
          <w:color w:val="auto"/>
          <w:highlight w:val="none"/>
        </w:rPr>
      </w:pPr>
      <w:r>
        <w:rPr>
          <w:rFonts w:hint="eastAsia"/>
          <w:color w:val="auto"/>
          <w:highlight w:val="none"/>
        </w:rPr>
        <w:t>6、支持 7*24 小时长时间可靠稳定运行。</w:t>
      </w:r>
    </w:p>
    <w:tbl>
      <w:tblPr>
        <w:tblStyle w:val="35"/>
        <w:tblW w:w="8217" w:type="dxa"/>
        <w:tblInd w:w="0" w:type="dxa"/>
        <w:tblLayout w:type="autofit"/>
        <w:tblCellMar>
          <w:top w:w="0" w:type="dxa"/>
          <w:left w:w="108" w:type="dxa"/>
          <w:bottom w:w="0" w:type="dxa"/>
          <w:right w:w="108" w:type="dxa"/>
        </w:tblCellMar>
      </w:tblPr>
      <w:tblGrid>
        <w:gridCol w:w="1838"/>
        <w:gridCol w:w="1985"/>
        <w:gridCol w:w="4394"/>
      </w:tblGrid>
      <w:tr>
        <w:tblPrEx>
          <w:tblCellMar>
            <w:top w:w="0" w:type="dxa"/>
            <w:left w:w="108" w:type="dxa"/>
            <w:bottom w:w="0" w:type="dxa"/>
            <w:right w:w="108" w:type="dxa"/>
          </w:tblCellMar>
        </w:tblPrEx>
        <w:trPr>
          <w:trHeight w:val="280" w:hRule="atLeast"/>
        </w:trPr>
        <w:tc>
          <w:tcPr>
            <w:tcW w:w="1838" w:type="dxa"/>
            <w:tcBorders>
              <w:top w:val="single" w:color="auto" w:sz="4" w:space="0"/>
              <w:left w:val="single" w:color="auto" w:sz="4" w:space="0"/>
              <w:bottom w:val="single" w:color="auto" w:sz="4" w:space="0"/>
              <w:right w:val="single" w:color="auto" w:sz="4" w:space="0"/>
            </w:tcBorders>
            <w:shd w:val="clear" w:color="000000" w:fill="F2F2F2"/>
            <w:vAlign w:val="center"/>
          </w:tcPr>
          <w:p>
            <w:pPr>
              <w:jc w:val="center"/>
              <w:rPr>
                <w:rFonts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分类</w:t>
            </w:r>
          </w:p>
        </w:tc>
        <w:tc>
          <w:tcPr>
            <w:tcW w:w="1985" w:type="dxa"/>
            <w:tcBorders>
              <w:top w:val="single" w:color="auto" w:sz="4" w:space="0"/>
              <w:left w:val="nil"/>
              <w:bottom w:val="single" w:color="auto" w:sz="4" w:space="0"/>
              <w:right w:val="single" w:color="auto" w:sz="4" w:space="0"/>
            </w:tcBorders>
            <w:shd w:val="clear" w:color="000000" w:fill="F2F2F2"/>
            <w:vAlign w:val="center"/>
          </w:tcPr>
          <w:p>
            <w:pPr>
              <w:jc w:val="center"/>
              <w:rPr>
                <w:rFonts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功能</w:t>
            </w:r>
          </w:p>
        </w:tc>
        <w:tc>
          <w:tcPr>
            <w:tcW w:w="4394" w:type="dxa"/>
            <w:tcBorders>
              <w:top w:val="single" w:color="auto" w:sz="4" w:space="0"/>
              <w:left w:val="nil"/>
              <w:bottom w:val="single" w:color="auto" w:sz="4" w:space="0"/>
              <w:right w:val="single" w:color="auto" w:sz="4" w:space="0"/>
            </w:tcBorders>
            <w:shd w:val="clear" w:color="000000" w:fill="F2F2F2"/>
            <w:vAlign w:val="center"/>
          </w:tcPr>
          <w:p>
            <w:pPr>
              <w:jc w:val="center"/>
              <w:rPr>
                <w:rFonts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功能描述</w:t>
            </w:r>
          </w:p>
        </w:tc>
      </w:tr>
      <w:tr>
        <w:tblPrEx>
          <w:tblCellMar>
            <w:top w:w="0" w:type="dxa"/>
            <w:left w:w="108" w:type="dxa"/>
            <w:bottom w:w="0" w:type="dxa"/>
            <w:right w:w="108" w:type="dxa"/>
          </w:tblCellMar>
        </w:tblPrEx>
        <w:trPr>
          <w:trHeight w:val="1120"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数据管理</w:t>
            </w:r>
          </w:p>
        </w:tc>
        <w:tc>
          <w:tcPr>
            <w:tcW w:w="1985"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海量数据快速接入</w:t>
            </w:r>
          </w:p>
        </w:tc>
        <w:tc>
          <w:tcPr>
            <w:tcW w:w="4394"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提供Websocket、HTTP网关拉取、HTTP网关接收、网络MQ等多种数据接入方式，支持离线与实时数据的快速接入展示。</w:t>
            </w:r>
          </w:p>
        </w:tc>
      </w:tr>
      <w:tr>
        <w:tblPrEx>
          <w:tblCellMar>
            <w:top w:w="0" w:type="dxa"/>
            <w:left w:w="108" w:type="dxa"/>
            <w:bottom w:w="0" w:type="dxa"/>
            <w:right w:w="108" w:type="dxa"/>
          </w:tblCellMar>
        </w:tblPrEx>
        <w:trPr>
          <w:trHeight w:val="1120" w:hRule="atLeast"/>
        </w:trPr>
        <w:tc>
          <w:tcPr>
            <w:tcW w:w="1838"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虚拟物体创建</w:t>
            </w:r>
          </w:p>
        </w:tc>
        <w:tc>
          <w:tcPr>
            <w:tcW w:w="1985"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图文自由组合</w:t>
            </w:r>
          </w:p>
        </w:tc>
        <w:tc>
          <w:tcPr>
            <w:tcW w:w="4394"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支持融合孪生物品、图文，以形成综合展示效果，图片支持JPEG、JPG、PNG格式，适用于需要加载图片的虚拟物体。</w:t>
            </w:r>
          </w:p>
        </w:tc>
      </w:tr>
      <w:tr>
        <w:tblPrEx>
          <w:tblCellMar>
            <w:top w:w="0" w:type="dxa"/>
            <w:left w:w="108" w:type="dxa"/>
            <w:bottom w:w="0" w:type="dxa"/>
            <w:right w:w="108" w:type="dxa"/>
          </w:tblCellMar>
        </w:tblPrEx>
        <w:trPr>
          <w:trHeight w:val="560" w:hRule="atLeast"/>
        </w:trPr>
        <w:tc>
          <w:tcPr>
            <w:tcW w:w="1838"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5"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重要地标3D突出显示</w:t>
            </w:r>
          </w:p>
        </w:tc>
        <w:tc>
          <w:tcPr>
            <w:tcW w:w="4394"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支持部署虚拟三维孪生地标。</w:t>
            </w:r>
          </w:p>
        </w:tc>
      </w:tr>
      <w:tr>
        <w:tblPrEx>
          <w:tblCellMar>
            <w:top w:w="0" w:type="dxa"/>
            <w:left w:w="108" w:type="dxa"/>
            <w:bottom w:w="0" w:type="dxa"/>
            <w:right w:w="108" w:type="dxa"/>
          </w:tblCellMar>
        </w:tblPrEx>
        <w:trPr>
          <w:trHeight w:val="1120" w:hRule="atLeast"/>
        </w:trPr>
        <w:tc>
          <w:tcPr>
            <w:tcW w:w="1838"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5"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重要区域管理</w:t>
            </w:r>
          </w:p>
        </w:tc>
        <w:tc>
          <w:tcPr>
            <w:tcW w:w="4394"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支持通过立方体、圆柱体或自定义多边形的方式来在三维空间中划定重点区域，并支持重点区域的独立交互控制。</w:t>
            </w:r>
          </w:p>
        </w:tc>
      </w:tr>
      <w:tr>
        <w:tblPrEx>
          <w:tblCellMar>
            <w:top w:w="0" w:type="dxa"/>
            <w:left w:w="108" w:type="dxa"/>
            <w:bottom w:w="0" w:type="dxa"/>
            <w:right w:w="108" w:type="dxa"/>
          </w:tblCellMar>
        </w:tblPrEx>
        <w:trPr>
          <w:trHeight w:val="560" w:hRule="atLeast"/>
        </w:trPr>
        <w:tc>
          <w:tcPr>
            <w:tcW w:w="1838"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数据生动展现</w:t>
            </w:r>
          </w:p>
        </w:tc>
        <w:tc>
          <w:tcPr>
            <w:tcW w:w="1985"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热力图展示</w:t>
            </w:r>
          </w:p>
        </w:tc>
        <w:tc>
          <w:tcPr>
            <w:tcW w:w="4394"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以特殊颜色高亮的形式显示监测区域内人员分别、历史事件分布等情况</w:t>
            </w:r>
          </w:p>
        </w:tc>
      </w:tr>
      <w:tr>
        <w:tblPrEx>
          <w:tblCellMar>
            <w:top w:w="0" w:type="dxa"/>
            <w:left w:w="108" w:type="dxa"/>
            <w:bottom w:w="0" w:type="dxa"/>
            <w:right w:w="108" w:type="dxa"/>
          </w:tblCellMar>
        </w:tblPrEx>
        <w:trPr>
          <w:trHeight w:val="1120" w:hRule="atLeast"/>
        </w:trPr>
        <w:tc>
          <w:tcPr>
            <w:tcW w:w="1838"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5"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安防监测展示</w:t>
            </w:r>
          </w:p>
        </w:tc>
        <w:tc>
          <w:tcPr>
            <w:tcW w:w="4394"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支持在三维孪生图层中对监狱安防设施、视频监控设施、物联感知设施进行展示，支持读取监测数据，支持进行控制集成。</w:t>
            </w:r>
          </w:p>
        </w:tc>
      </w:tr>
      <w:tr>
        <w:tblPrEx>
          <w:tblCellMar>
            <w:top w:w="0" w:type="dxa"/>
            <w:left w:w="108" w:type="dxa"/>
            <w:bottom w:w="0" w:type="dxa"/>
            <w:right w:w="108" w:type="dxa"/>
          </w:tblCellMar>
        </w:tblPrEx>
        <w:trPr>
          <w:trHeight w:val="560" w:hRule="atLeast"/>
        </w:trPr>
        <w:tc>
          <w:tcPr>
            <w:tcW w:w="1838"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5"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人员分布情况</w:t>
            </w:r>
          </w:p>
        </w:tc>
        <w:tc>
          <w:tcPr>
            <w:tcW w:w="4394"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支持对警员、罪犯分布情况进行展示。</w:t>
            </w:r>
          </w:p>
        </w:tc>
      </w:tr>
      <w:tr>
        <w:tblPrEx>
          <w:tblCellMar>
            <w:top w:w="0" w:type="dxa"/>
            <w:left w:w="108" w:type="dxa"/>
            <w:bottom w:w="0" w:type="dxa"/>
            <w:right w:w="108" w:type="dxa"/>
          </w:tblCellMar>
        </w:tblPrEx>
        <w:trPr>
          <w:trHeight w:val="840" w:hRule="atLeast"/>
        </w:trPr>
        <w:tc>
          <w:tcPr>
            <w:tcW w:w="1838"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5"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空间筛选</w:t>
            </w:r>
          </w:p>
        </w:tc>
        <w:tc>
          <w:tcPr>
            <w:tcW w:w="4394"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支持根据监狱、监区的不同进行快速的空间筛选，结合多边形电子围栏，定义不同颜色、样式区别展示。</w:t>
            </w:r>
          </w:p>
        </w:tc>
      </w:tr>
      <w:tr>
        <w:tblPrEx>
          <w:tblCellMar>
            <w:top w:w="0" w:type="dxa"/>
            <w:left w:w="108" w:type="dxa"/>
            <w:bottom w:w="0" w:type="dxa"/>
            <w:right w:w="108" w:type="dxa"/>
          </w:tblCellMar>
        </w:tblPrEx>
        <w:trPr>
          <w:trHeight w:val="840" w:hRule="atLeast"/>
        </w:trPr>
        <w:tc>
          <w:tcPr>
            <w:tcW w:w="1838"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5"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动态数据集成</w:t>
            </w:r>
          </w:p>
        </w:tc>
        <w:tc>
          <w:tcPr>
            <w:tcW w:w="4394"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对接物联与系统数据，支持在指挥调度、应急演练等场景中动态展示关联的实时数据信息</w:t>
            </w:r>
          </w:p>
        </w:tc>
      </w:tr>
      <w:tr>
        <w:tblPrEx>
          <w:tblCellMar>
            <w:top w:w="0" w:type="dxa"/>
            <w:left w:w="108" w:type="dxa"/>
            <w:bottom w:w="0" w:type="dxa"/>
            <w:right w:w="108" w:type="dxa"/>
          </w:tblCellMar>
        </w:tblPrEx>
        <w:trPr>
          <w:trHeight w:val="560" w:hRule="atLeast"/>
        </w:trPr>
        <w:tc>
          <w:tcPr>
            <w:tcW w:w="1838"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场景编辑配置</w:t>
            </w:r>
          </w:p>
        </w:tc>
        <w:tc>
          <w:tcPr>
            <w:tcW w:w="1985"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设备设施模型管理</w:t>
            </w:r>
          </w:p>
        </w:tc>
        <w:tc>
          <w:tcPr>
            <w:tcW w:w="4394"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支持对监狱各设备设施模型进行导入与虚拟化安装，1：1构建孪生场景。</w:t>
            </w:r>
          </w:p>
        </w:tc>
      </w:tr>
      <w:tr>
        <w:tblPrEx>
          <w:tblCellMar>
            <w:top w:w="0" w:type="dxa"/>
            <w:left w:w="108" w:type="dxa"/>
            <w:bottom w:w="0" w:type="dxa"/>
            <w:right w:w="108" w:type="dxa"/>
          </w:tblCellMar>
        </w:tblPrEx>
        <w:trPr>
          <w:trHeight w:val="840" w:hRule="atLeast"/>
        </w:trPr>
        <w:tc>
          <w:tcPr>
            <w:tcW w:w="1838"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5"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建筑分层管理</w:t>
            </w:r>
          </w:p>
        </w:tc>
        <w:tc>
          <w:tcPr>
            <w:tcW w:w="4394"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支持分层建模，加载室内场景，室内视频融合查看室内情况，适用于监区管理、人员监控等场景。</w:t>
            </w:r>
          </w:p>
        </w:tc>
      </w:tr>
      <w:tr>
        <w:tblPrEx>
          <w:tblCellMar>
            <w:top w:w="0" w:type="dxa"/>
            <w:left w:w="108" w:type="dxa"/>
            <w:bottom w:w="0" w:type="dxa"/>
            <w:right w:w="108" w:type="dxa"/>
          </w:tblCellMar>
        </w:tblPrEx>
        <w:trPr>
          <w:trHeight w:val="1400" w:hRule="atLeast"/>
        </w:trPr>
        <w:tc>
          <w:tcPr>
            <w:tcW w:w="1838"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5"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天气与时空管理</w:t>
            </w:r>
          </w:p>
        </w:tc>
        <w:tc>
          <w:tcPr>
            <w:tcW w:w="4394"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提供多种天气预报可供选择，包括晴天、多云、阴天、雷雨、暴风等12种预设类型。控制时间影响太阳高度、斜角与日照强度，可以看到一天之内的明显变化。</w:t>
            </w:r>
          </w:p>
        </w:tc>
      </w:tr>
      <w:tr>
        <w:tblPrEx>
          <w:tblCellMar>
            <w:top w:w="0" w:type="dxa"/>
            <w:left w:w="108" w:type="dxa"/>
            <w:bottom w:w="0" w:type="dxa"/>
            <w:right w:w="108" w:type="dxa"/>
          </w:tblCellMar>
        </w:tblPrEx>
        <w:trPr>
          <w:trHeight w:val="1400" w:hRule="atLeast"/>
        </w:trPr>
        <w:tc>
          <w:tcPr>
            <w:tcW w:w="1838"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超写实渲染</w:t>
            </w:r>
          </w:p>
        </w:tc>
        <w:tc>
          <w:tcPr>
            <w:tcW w:w="1985"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精细化孪生场景渲染能力</w:t>
            </w:r>
          </w:p>
        </w:tc>
        <w:tc>
          <w:tcPr>
            <w:tcW w:w="4394"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提供高效的精细化数字孪生场景渲染能力，基于LOD调度技术，实现大场景到精细局部无缝渲染，地上地下一体休，室内室外一体化，静态动态一体化。</w:t>
            </w:r>
          </w:p>
        </w:tc>
      </w:tr>
      <w:tr>
        <w:tblPrEx>
          <w:tblCellMar>
            <w:top w:w="0" w:type="dxa"/>
            <w:left w:w="108" w:type="dxa"/>
            <w:bottom w:w="0" w:type="dxa"/>
            <w:right w:w="108" w:type="dxa"/>
          </w:tblCellMar>
        </w:tblPrEx>
        <w:trPr>
          <w:trHeight w:val="1960" w:hRule="atLeast"/>
        </w:trPr>
        <w:tc>
          <w:tcPr>
            <w:tcW w:w="1838"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5"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多样环境渲染能力</w:t>
            </w:r>
          </w:p>
        </w:tc>
        <w:tc>
          <w:tcPr>
            <w:tcW w:w="4394"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本系统支持一年四季、全天昼夜、各种天气变化情况下的环境渲染，在大范围场景下的云朵、海洋、植被、沙漠等自然环境的渲染，在城市场景下的地形、建筑、道路等全要素场景的渲染，以及在室内场景下的设备设施、生产线、人员等全场景的渲染。</w:t>
            </w:r>
          </w:p>
        </w:tc>
      </w:tr>
      <w:tr>
        <w:tblPrEx>
          <w:tblCellMar>
            <w:top w:w="0" w:type="dxa"/>
            <w:left w:w="108" w:type="dxa"/>
            <w:bottom w:w="0" w:type="dxa"/>
            <w:right w:w="108" w:type="dxa"/>
          </w:tblCellMar>
        </w:tblPrEx>
        <w:trPr>
          <w:trHeight w:val="4200" w:hRule="atLeast"/>
        </w:trPr>
        <w:tc>
          <w:tcPr>
            <w:tcW w:w="1838"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5"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渲染指标要求</w:t>
            </w:r>
          </w:p>
        </w:tc>
        <w:tc>
          <w:tcPr>
            <w:tcW w:w="4394"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1、适配分辨率 ，最高支持 4K 分辨率；</w:t>
            </w:r>
            <w:r>
              <w:rPr>
                <w:rFonts w:hint="eastAsia" w:ascii="宋体" w:hAnsi="宋体" w:eastAsia="宋体" w:cs="宋体"/>
                <w:color w:val="auto"/>
                <w:sz w:val="22"/>
                <w:szCs w:val="22"/>
                <w:highlight w:val="none"/>
              </w:rPr>
              <w:br w:type="textWrapping"/>
            </w:r>
            <w:r>
              <w:rPr>
                <w:rFonts w:hint="eastAsia" w:ascii="宋体" w:hAnsi="宋体" w:eastAsia="宋体" w:cs="宋体"/>
                <w:color w:val="auto"/>
                <w:sz w:val="22"/>
                <w:szCs w:val="22"/>
                <w:highlight w:val="none"/>
              </w:rPr>
              <w:t>2、渲染帧率 ≥45帧（2K分辨率），≥30帧（4K分辨率）；</w:t>
            </w:r>
            <w:r>
              <w:rPr>
                <w:rFonts w:hint="eastAsia" w:ascii="宋体" w:hAnsi="宋体" w:eastAsia="宋体" w:cs="宋体"/>
                <w:color w:val="auto"/>
                <w:sz w:val="22"/>
                <w:szCs w:val="22"/>
                <w:highlight w:val="none"/>
              </w:rPr>
              <w:br w:type="textWrapping"/>
            </w:r>
            <w:r>
              <w:rPr>
                <w:rFonts w:hint="eastAsia" w:ascii="宋体" w:hAnsi="宋体" w:eastAsia="宋体" w:cs="宋体"/>
                <w:color w:val="auto"/>
                <w:sz w:val="22"/>
                <w:szCs w:val="22"/>
                <w:highlight w:val="none"/>
              </w:rPr>
              <w:t>3、渲染延时＜20ms（2K分辨率），＜30ms（4K分辨率）；</w:t>
            </w:r>
            <w:r>
              <w:rPr>
                <w:rFonts w:hint="eastAsia" w:ascii="宋体" w:hAnsi="宋体" w:eastAsia="宋体" w:cs="宋体"/>
                <w:color w:val="auto"/>
                <w:sz w:val="22"/>
                <w:szCs w:val="22"/>
                <w:highlight w:val="none"/>
              </w:rPr>
              <w:br w:type="textWrapping"/>
            </w:r>
            <w:r>
              <w:rPr>
                <w:rFonts w:hint="eastAsia" w:ascii="宋体" w:hAnsi="宋体" w:eastAsia="宋体" w:cs="宋体"/>
                <w:color w:val="auto"/>
                <w:sz w:val="22"/>
                <w:szCs w:val="22"/>
                <w:highlight w:val="none"/>
              </w:rPr>
              <w:t>4、全屏覆盖，一次内容开发支持全平台使用，包括但不仅限于电脑、一体机、LED大屏、投影、PC、移动端等；</w:t>
            </w:r>
            <w:r>
              <w:rPr>
                <w:rFonts w:hint="eastAsia" w:ascii="宋体" w:hAnsi="宋体" w:eastAsia="宋体" w:cs="宋体"/>
                <w:color w:val="auto"/>
                <w:sz w:val="22"/>
                <w:szCs w:val="22"/>
                <w:highlight w:val="none"/>
              </w:rPr>
              <w:br w:type="textWrapping"/>
            </w:r>
            <w:r>
              <w:rPr>
                <w:rFonts w:hint="eastAsia" w:ascii="宋体" w:hAnsi="宋体" w:eastAsia="宋体" w:cs="宋体"/>
                <w:color w:val="auto"/>
                <w:sz w:val="22"/>
                <w:szCs w:val="22"/>
                <w:highlight w:val="none"/>
              </w:rPr>
              <w:t>5、云渲染程序，通过边缘计算和云计算，实现低于20ms的实时云渲染体验；突破终端硬件配置瓶颈，使终端显示顶级实时渲染效果；</w:t>
            </w:r>
            <w:r>
              <w:rPr>
                <w:rFonts w:hint="eastAsia" w:ascii="宋体" w:hAnsi="宋体" w:eastAsia="宋体" w:cs="宋体"/>
                <w:color w:val="auto"/>
                <w:sz w:val="22"/>
                <w:szCs w:val="22"/>
                <w:highlight w:val="none"/>
              </w:rPr>
              <w:br w:type="textWrapping"/>
            </w:r>
            <w:r>
              <w:rPr>
                <w:rFonts w:hint="eastAsia" w:ascii="宋体" w:hAnsi="宋体" w:eastAsia="宋体" w:cs="宋体"/>
                <w:color w:val="auto"/>
                <w:sz w:val="22"/>
                <w:szCs w:val="22"/>
                <w:highlight w:val="none"/>
              </w:rPr>
              <w:t>6、支持 7*24 小时长时间可靠稳定运行。</w:t>
            </w:r>
          </w:p>
        </w:tc>
      </w:tr>
      <w:tr>
        <w:tblPrEx>
          <w:tblCellMar>
            <w:top w:w="0" w:type="dxa"/>
            <w:left w:w="108" w:type="dxa"/>
            <w:bottom w:w="0" w:type="dxa"/>
            <w:right w:w="108" w:type="dxa"/>
          </w:tblCellMar>
        </w:tblPrEx>
        <w:trPr>
          <w:trHeight w:val="840" w:hRule="atLeast"/>
        </w:trPr>
        <w:tc>
          <w:tcPr>
            <w:tcW w:w="1838"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多源视频接入及三维融合</w:t>
            </w:r>
          </w:p>
        </w:tc>
        <w:tc>
          <w:tcPr>
            <w:tcW w:w="1985"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流媒体管理</w:t>
            </w:r>
          </w:p>
        </w:tc>
        <w:tc>
          <w:tcPr>
            <w:tcW w:w="4394"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提供静态视频推流、视频流转码等推流功能。</w:t>
            </w:r>
          </w:p>
        </w:tc>
      </w:tr>
      <w:tr>
        <w:tblPrEx>
          <w:tblCellMar>
            <w:top w:w="0" w:type="dxa"/>
            <w:left w:w="108" w:type="dxa"/>
            <w:bottom w:w="0" w:type="dxa"/>
            <w:right w:w="108" w:type="dxa"/>
          </w:tblCellMar>
        </w:tblPrEx>
        <w:trPr>
          <w:trHeight w:val="840" w:hRule="atLeast"/>
        </w:trPr>
        <w:tc>
          <w:tcPr>
            <w:tcW w:w="1838"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5"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多方式视频接入</w:t>
            </w:r>
          </w:p>
        </w:tc>
        <w:tc>
          <w:tcPr>
            <w:tcW w:w="4394"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可通过上传静态MP4文件、填入视频流地址以及定制获取流地址等方式接入视频，可支持实时监控视频渲染。</w:t>
            </w:r>
          </w:p>
        </w:tc>
      </w:tr>
      <w:tr>
        <w:tblPrEx>
          <w:tblCellMar>
            <w:top w:w="0" w:type="dxa"/>
            <w:left w:w="108" w:type="dxa"/>
            <w:bottom w:w="0" w:type="dxa"/>
            <w:right w:w="108" w:type="dxa"/>
          </w:tblCellMar>
        </w:tblPrEx>
        <w:trPr>
          <w:trHeight w:val="840" w:hRule="atLeast"/>
        </w:trPr>
        <w:tc>
          <w:tcPr>
            <w:tcW w:w="1838"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5"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多格式视频接入</w:t>
            </w:r>
          </w:p>
        </w:tc>
        <w:tc>
          <w:tcPr>
            <w:tcW w:w="4394"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支持RTMP、RTSP、HLS格式视频流以及静态MP4视频，并支持将其转推流为RTMP和HLS格式。</w:t>
            </w:r>
          </w:p>
        </w:tc>
      </w:tr>
      <w:tr>
        <w:tblPrEx>
          <w:tblCellMar>
            <w:top w:w="0" w:type="dxa"/>
            <w:left w:w="108" w:type="dxa"/>
            <w:bottom w:w="0" w:type="dxa"/>
            <w:right w:w="108" w:type="dxa"/>
          </w:tblCellMar>
        </w:tblPrEx>
        <w:trPr>
          <w:trHeight w:val="560" w:hRule="atLeast"/>
        </w:trPr>
        <w:tc>
          <w:tcPr>
            <w:tcW w:w="1838"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5"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视频常驻</w:t>
            </w:r>
          </w:p>
        </w:tc>
        <w:tc>
          <w:tcPr>
            <w:tcW w:w="4394"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支持对视频进行视频常驻，支持对视频秒开效果，达到流畅的观看效果。</w:t>
            </w:r>
          </w:p>
        </w:tc>
      </w:tr>
      <w:tr>
        <w:tblPrEx>
          <w:tblCellMar>
            <w:top w:w="0" w:type="dxa"/>
            <w:left w:w="108" w:type="dxa"/>
            <w:bottom w:w="0" w:type="dxa"/>
            <w:right w:w="108" w:type="dxa"/>
          </w:tblCellMar>
        </w:tblPrEx>
        <w:trPr>
          <w:trHeight w:val="1120" w:hRule="atLeast"/>
        </w:trPr>
        <w:tc>
          <w:tcPr>
            <w:tcW w:w="1838"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1985"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三维视频融合</w:t>
            </w:r>
          </w:p>
        </w:tc>
        <w:tc>
          <w:tcPr>
            <w:tcW w:w="4394"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进行基于三维模型进行视频实时渲染融合。融合画面编码推流到展示平台进行展示，若用户在操控平台进行操控，支持秒级操作反馈。</w:t>
            </w:r>
          </w:p>
        </w:tc>
      </w:tr>
      <w:tr>
        <w:tblPrEx>
          <w:tblCellMar>
            <w:top w:w="0" w:type="dxa"/>
            <w:left w:w="108" w:type="dxa"/>
            <w:bottom w:w="0" w:type="dxa"/>
            <w:right w:w="108" w:type="dxa"/>
          </w:tblCellMar>
        </w:tblPrEx>
        <w:trPr>
          <w:trHeight w:val="2800" w:hRule="atLeast"/>
        </w:trPr>
        <w:tc>
          <w:tcPr>
            <w:tcW w:w="1838" w:type="dxa"/>
            <w:tcBorders>
              <w:top w:val="nil"/>
              <w:left w:val="single" w:color="auto" w:sz="4" w:space="0"/>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GIS管理功能</w:t>
            </w:r>
          </w:p>
        </w:tc>
        <w:tc>
          <w:tcPr>
            <w:tcW w:w="1985"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GIS数据对接与管理</w:t>
            </w:r>
          </w:p>
        </w:tc>
        <w:tc>
          <w:tcPr>
            <w:tcW w:w="4394"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系统应具备GIS地理信息的接入、管理与接口服务能力。通过网络或文件流式请求和动态加载地理数据，载入GIS数据，进行精细化渲染。支持接入、管理、渲染的数据应包括包括：倾斜摄影模型，obj、fbx等3D模型文件，DEM（数字高程模型），DSM（数字地表模型），卫星影像航片，测绘得到的道路、建筑等点线面矢量数据、BIM数据模型等</w:t>
            </w:r>
          </w:p>
        </w:tc>
      </w:tr>
    </w:tbl>
    <w:p>
      <w:pPr>
        <w:pStyle w:val="3"/>
        <w:ind w:firstLine="0" w:firstLineChars="0"/>
        <w:rPr>
          <w:color w:val="auto"/>
          <w:highlight w:val="none"/>
        </w:rPr>
      </w:pPr>
    </w:p>
    <w:p>
      <w:pPr>
        <w:pStyle w:val="7"/>
        <w:rPr>
          <w:color w:val="auto"/>
          <w:highlight w:val="none"/>
        </w:rPr>
      </w:pPr>
      <w:r>
        <w:rPr>
          <w:rFonts w:hint="eastAsia"/>
          <w:color w:val="auto"/>
          <w:highlight w:val="none"/>
        </w:rPr>
        <w:t>智能搜索引擎</w:t>
      </w:r>
    </w:p>
    <w:p>
      <w:pPr>
        <w:pStyle w:val="3"/>
        <w:ind w:firstLine="480"/>
        <w:rPr>
          <w:color w:val="auto"/>
          <w:highlight w:val="none"/>
        </w:rPr>
      </w:pPr>
      <w:r>
        <w:rPr>
          <w:rFonts w:hint="eastAsia"/>
          <w:color w:val="auto"/>
          <w:highlight w:val="none"/>
        </w:rPr>
        <w:t>智能搜索引擎主要服务于上海市监狱管理局各业务成员对于已有数据资源、信息进行便捷的检索，高效获取需求的资源信息。须采购成熟的智能搜索引擎，引擎提供功能须包含以下内容：</w:t>
      </w:r>
    </w:p>
    <w:tbl>
      <w:tblPr>
        <w:tblStyle w:val="35"/>
        <w:tblW w:w="8217" w:type="dxa"/>
        <w:tblInd w:w="0" w:type="dxa"/>
        <w:tblLayout w:type="autofit"/>
        <w:tblCellMar>
          <w:top w:w="0" w:type="dxa"/>
          <w:left w:w="108" w:type="dxa"/>
          <w:bottom w:w="0" w:type="dxa"/>
          <w:right w:w="108" w:type="dxa"/>
        </w:tblCellMar>
      </w:tblPr>
      <w:tblGrid>
        <w:gridCol w:w="1838"/>
        <w:gridCol w:w="1985"/>
        <w:gridCol w:w="4394"/>
      </w:tblGrid>
      <w:tr>
        <w:tblPrEx>
          <w:tblCellMar>
            <w:top w:w="0" w:type="dxa"/>
            <w:left w:w="108" w:type="dxa"/>
            <w:bottom w:w="0" w:type="dxa"/>
            <w:right w:w="108" w:type="dxa"/>
          </w:tblCellMar>
        </w:tblPrEx>
        <w:trPr>
          <w:trHeight w:val="280" w:hRule="atLeast"/>
        </w:trPr>
        <w:tc>
          <w:tcPr>
            <w:tcW w:w="1838" w:type="dxa"/>
            <w:tcBorders>
              <w:top w:val="single" w:color="auto" w:sz="4" w:space="0"/>
              <w:left w:val="single" w:color="auto" w:sz="4" w:space="0"/>
              <w:bottom w:val="single" w:color="auto" w:sz="4" w:space="0"/>
              <w:right w:val="single" w:color="auto" w:sz="4" w:space="0"/>
            </w:tcBorders>
            <w:shd w:val="clear" w:color="000000" w:fill="F2F2F2"/>
            <w:vAlign w:val="center"/>
          </w:tcPr>
          <w:p>
            <w:pPr>
              <w:jc w:val="center"/>
              <w:rPr>
                <w:rFonts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分类</w:t>
            </w:r>
          </w:p>
        </w:tc>
        <w:tc>
          <w:tcPr>
            <w:tcW w:w="1985" w:type="dxa"/>
            <w:tcBorders>
              <w:top w:val="single" w:color="auto" w:sz="4" w:space="0"/>
              <w:left w:val="nil"/>
              <w:bottom w:val="single" w:color="auto" w:sz="4" w:space="0"/>
              <w:right w:val="single" w:color="auto" w:sz="4" w:space="0"/>
            </w:tcBorders>
            <w:shd w:val="clear" w:color="000000" w:fill="F2F2F2"/>
            <w:vAlign w:val="center"/>
          </w:tcPr>
          <w:p>
            <w:pPr>
              <w:jc w:val="center"/>
              <w:rPr>
                <w:rFonts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功能</w:t>
            </w:r>
          </w:p>
        </w:tc>
        <w:tc>
          <w:tcPr>
            <w:tcW w:w="4394" w:type="dxa"/>
            <w:tcBorders>
              <w:top w:val="single" w:color="auto" w:sz="4" w:space="0"/>
              <w:left w:val="nil"/>
              <w:bottom w:val="single" w:color="auto" w:sz="4" w:space="0"/>
              <w:right w:val="single" w:color="auto" w:sz="4" w:space="0"/>
            </w:tcBorders>
            <w:shd w:val="clear" w:color="000000" w:fill="F2F2F2"/>
            <w:vAlign w:val="center"/>
          </w:tcPr>
          <w:p>
            <w:pPr>
              <w:jc w:val="center"/>
              <w:rPr>
                <w:rFonts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功能描述</w:t>
            </w:r>
          </w:p>
        </w:tc>
      </w:tr>
      <w:tr>
        <w:tblPrEx>
          <w:tblCellMar>
            <w:top w:w="0" w:type="dxa"/>
            <w:left w:w="108" w:type="dxa"/>
            <w:bottom w:w="0" w:type="dxa"/>
            <w:right w:w="108" w:type="dxa"/>
          </w:tblCellMar>
        </w:tblPrEx>
        <w:trPr>
          <w:trHeight w:val="1120" w:hRule="atLeast"/>
        </w:trPr>
        <w:tc>
          <w:tcPr>
            <w:tcW w:w="1838" w:type="dxa"/>
            <w:vMerge w:val="restart"/>
            <w:tcBorders>
              <w:top w:val="single" w:color="auto" w:sz="4" w:space="0"/>
              <w:left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智能搜索引擎</w:t>
            </w:r>
          </w:p>
        </w:tc>
        <w:tc>
          <w:tcPr>
            <w:tcW w:w="1985" w:type="dxa"/>
            <w:tcBorders>
              <w:top w:val="single" w:color="auto" w:sz="4" w:space="0"/>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全文检索</w:t>
            </w:r>
          </w:p>
        </w:tc>
        <w:tc>
          <w:tcPr>
            <w:tcW w:w="4394" w:type="dxa"/>
            <w:tcBorders>
              <w:top w:val="single" w:color="auto" w:sz="4" w:space="0"/>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在统一管理平台中搜索相关模块、子功能名称，提取关键字匹配。在搜索结果中显示相关的功能工作单元，民警点击相应功能图标实现快速跳转</w:t>
            </w:r>
          </w:p>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支持对多种信息源进行文件名、文件内容搜索，包含文本文件、0ce 文档、pdf 文档。</w:t>
            </w:r>
          </w:p>
        </w:tc>
      </w:tr>
      <w:tr>
        <w:tblPrEx>
          <w:tblCellMar>
            <w:top w:w="0" w:type="dxa"/>
            <w:left w:w="108" w:type="dxa"/>
            <w:bottom w:w="0" w:type="dxa"/>
            <w:right w:w="108" w:type="dxa"/>
          </w:tblCellMar>
        </w:tblPrEx>
        <w:trPr>
          <w:trHeight w:val="1120" w:hRule="atLeast"/>
        </w:trPr>
        <w:tc>
          <w:tcPr>
            <w:tcW w:w="1838" w:type="dxa"/>
            <w:vMerge w:val="continue"/>
            <w:tcBorders>
              <w:left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p>
        </w:tc>
        <w:tc>
          <w:tcPr>
            <w:tcW w:w="1985" w:type="dxa"/>
            <w:tcBorders>
              <w:top w:val="single" w:color="auto" w:sz="4" w:space="0"/>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搜索统计分析</w:t>
            </w:r>
          </w:p>
        </w:tc>
        <w:tc>
          <w:tcPr>
            <w:tcW w:w="4394" w:type="dxa"/>
            <w:tcBorders>
              <w:top w:val="single" w:color="auto" w:sz="4" w:space="0"/>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对搜索关键词进行搜索频率、搜索结果、搜索命中率进行统计。</w:t>
            </w:r>
          </w:p>
        </w:tc>
      </w:tr>
      <w:tr>
        <w:tblPrEx>
          <w:tblCellMar>
            <w:top w:w="0" w:type="dxa"/>
            <w:left w:w="108" w:type="dxa"/>
            <w:bottom w:w="0" w:type="dxa"/>
            <w:right w:w="108" w:type="dxa"/>
          </w:tblCellMar>
        </w:tblPrEx>
        <w:trPr>
          <w:trHeight w:val="1120" w:hRule="atLeast"/>
        </w:trPr>
        <w:tc>
          <w:tcPr>
            <w:tcW w:w="1838" w:type="dxa"/>
            <w:vMerge w:val="continue"/>
            <w:tcBorders>
              <w:left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p>
        </w:tc>
        <w:tc>
          <w:tcPr>
            <w:tcW w:w="1985" w:type="dxa"/>
            <w:tcBorders>
              <w:top w:val="single" w:color="auto" w:sz="4" w:space="0"/>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词频排序</w:t>
            </w:r>
          </w:p>
        </w:tc>
        <w:tc>
          <w:tcPr>
            <w:tcW w:w="4394" w:type="dxa"/>
            <w:tcBorders>
              <w:top w:val="single" w:color="auto" w:sz="4" w:space="0"/>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对搜索关键词进行统计排序，并在民警搜索时进行推荐搜索关键词，达到提高搜索效率的目的。</w:t>
            </w:r>
          </w:p>
        </w:tc>
      </w:tr>
      <w:tr>
        <w:tblPrEx>
          <w:tblCellMar>
            <w:top w:w="0" w:type="dxa"/>
            <w:left w:w="108" w:type="dxa"/>
            <w:bottom w:w="0" w:type="dxa"/>
            <w:right w:w="108" w:type="dxa"/>
          </w:tblCellMar>
        </w:tblPrEx>
        <w:trPr>
          <w:trHeight w:val="1120" w:hRule="atLeast"/>
        </w:trPr>
        <w:tc>
          <w:tcPr>
            <w:tcW w:w="1838" w:type="dxa"/>
            <w:vMerge w:val="continue"/>
            <w:tcBorders>
              <w:left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p>
        </w:tc>
        <w:tc>
          <w:tcPr>
            <w:tcW w:w="1985" w:type="dxa"/>
            <w:tcBorders>
              <w:top w:val="single" w:color="auto" w:sz="4" w:space="0"/>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复合检索方式</w:t>
            </w:r>
          </w:p>
        </w:tc>
        <w:tc>
          <w:tcPr>
            <w:tcW w:w="4394" w:type="dxa"/>
            <w:tcBorders>
              <w:top w:val="single" w:color="auto" w:sz="4" w:space="0"/>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复合的检索方式能够按类别、关键字、日期等进行检索，支持精确查询、模糊查询，分词查询。</w:t>
            </w:r>
          </w:p>
        </w:tc>
      </w:tr>
      <w:tr>
        <w:tblPrEx>
          <w:tblCellMar>
            <w:top w:w="0" w:type="dxa"/>
            <w:left w:w="108" w:type="dxa"/>
            <w:bottom w:w="0" w:type="dxa"/>
            <w:right w:w="108" w:type="dxa"/>
          </w:tblCellMar>
        </w:tblPrEx>
        <w:trPr>
          <w:trHeight w:val="1120" w:hRule="atLeast"/>
        </w:trPr>
        <w:tc>
          <w:tcPr>
            <w:tcW w:w="1838" w:type="dxa"/>
            <w:vMerge w:val="continue"/>
            <w:tcBorders>
              <w:left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p>
        </w:tc>
        <w:tc>
          <w:tcPr>
            <w:tcW w:w="1985" w:type="dxa"/>
            <w:tcBorders>
              <w:top w:val="single" w:color="auto" w:sz="4" w:space="0"/>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搜索结果多维度排序、过滤</w:t>
            </w:r>
          </w:p>
        </w:tc>
        <w:tc>
          <w:tcPr>
            <w:tcW w:w="4394" w:type="dxa"/>
            <w:tcBorders>
              <w:top w:val="single" w:color="auto" w:sz="4" w:space="0"/>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搜索结果可以按类别、日期等方式进行排序，用户可以自定义根据某特定字段进行结果集过滤。</w:t>
            </w:r>
          </w:p>
        </w:tc>
      </w:tr>
      <w:tr>
        <w:tblPrEx>
          <w:tblCellMar>
            <w:top w:w="0" w:type="dxa"/>
            <w:left w:w="108" w:type="dxa"/>
            <w:bottom w:w="0" w:type="dxa"/>
            <w:right w:w="108" w:type="dxa"/>
          </w:tblCellMar>
        </w:tblPrEx>
        <w:trPr>
          <w:trHeight w:val="1120" w:hRule="atLeast"/>
        </w:trPr>
        <w:tc>
          <w:tcPr>
            <w:tcW w:w="1838" w:type="dxa"/>
            <w:vMerge w:val="continue"/>
            <w:tcBorders>
              <w:left w:val="single" w:color="auto" w:sz="4" w:space="0"/>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p>
        </w:tc>
        <w:tc>
          <w:tcPr>
            <w:tcW w:w="1985" w:type="dxa"/>
            <w:tcBorders>
              <w:top w:val="single" w:color="auto" w:sz="4" w:space="0"/>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支持语音交互搜索</w:t>
            </w:r>
          </w:p>
        </w:tc>
        <w:tc>
          <w:tcPr>
            <w:tcW w:w="4394" w:type="dxa"/>
            <w:tcBorders>
              <w:top w:val="single" w:color="auto" w:sz="4" w:space="0"/>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通过语音识别(Automatic Speech Recognition)技术，对用户的语音信息做出识别后转换成文本信息进行搜索，提高搜索效率。</w:t>
            </w:r>
          </w:p>
        </w:tc>
      </w:tr>
    </w:tbl>
    <w:p>
      <w:pPr>
        <w:pStyle w:val="3"/>
        <w:ind w:firstLine="480"/>
        <w:rPr>
          <w:color w:val="auto"/>
          <w:highlight w:val="none"/>
        </w:rPr>
      </w:pPr>
    </w:p>
    <w:p>
      <w:pPr>
        <w:pStyle w:val="5"/>
        <w:rPr>
          <w:color w:val="auto"/>
          <w:highlight w:val="none"/>
        </w:rPr>
      </w:pPr>
      <w:bookmarkStart w:id="18" w:name="_Toc180570819"/>
      <w:r>
        <w:rPr>
          <w:rFonts w:hint="eastAsia"/>
          <w:color w:val="auto"/>
          <w:highlight w:val="none"/>
        </w:rPr>
        <w:t>业务底座</w:t>
      </w:r>
      <w:bookmarkEnd w:id="18"/>
    </w:p>
    <w:p>
      <w:pPr>
        <w:pStyle w:val="6"/>
        <w:rPr>
          <w:color w:val="auto"/>
          <w:highlight w:val="none"/>
        </w:rPr>
      </w:pPr>
      <w:r>
        <w:rPr>
          <w:rFonts w:hint="eastAsia"/>
          <w:color w:val="auto"/>
          <w:highlight w:val="none"/>
        </w:rPr>
        <w:t>系统功能要求</w:t>
      </w:r>
    </w:p>
    <w:p>
      <w:pPr>
        <w:pStyle w:val="7"/>
        <w:rPr>
          <w:color w:val="auto"/>
          <w:highlight w:val="none"/>
        </w:rPr>
      </w:pPr>
      <w:r>
        <w:rPr>
          <w:rFonts w:hint="eastAsia"/>
          <w:color w:val="auto"/>
          <w:highlight w:val="none"/>
        </w:rPr>
        <w:t>轻应用中心</w:t>
      </w:r>
    </w:p>
    <w:p>
      <w:pPr>
        <w:pStyle w:val="8"/>
        <w:rPr>
          <w:color w:val="auto"/>
          <w:highlight w:val="none"/>
        </w:rPr>
      </w:pPr>
      <w:r>
        <w:rPr>
          <w:rFonts w:hint="eastAsia"/>
          <w:color w:val="auto"/>
          <w:highlight w:val="none"/>
        </w:rPr>
        <w:t>微服务架构</w:t>
      </w:r>
    </w:p>
    <w:p>
      <w:pPr>
        <w:pStyle w:val="3"/>
        <w:ind w:firstLine="480"/>
        <w:rPr>
          <w:color w:val="auto"/>
          <w:highlight w:val="none"/>
        </w:rPr>
      </w:pPr>
      <w:r>
        <w:rPr>
          <w:rFonts w:hint="eastAsia"/>
          <w:color w:val="auto"/>
          <w:highlight w:val="none"/>
        </w:rPr>
        <w:t>采用以SpringCloud等轻应用、微服务架构模式构建本次升级改造项目业务框架，根据“模块化+轻应用”的设计理念将全量问题分而治之，独立设计、独立开发、独立部署。在兼具灵活性的同时支撑系统的高可用性和并发承载量需求。投标人应轻应用注册中心设计开发、服务网关策略设计开发、负载均衡组件策略设计开发、断路器策略设计开发、数据流策略设计开发、分布式配置设计开发、服务跟踪设计开发。通过上述功能共同构成轻应用中心，支撑本次建设各业务功能模块，特别是移动警务综合应用的建设。</w:t>
      </w:r>
    </w:p>
    <w:p>
      <w:pPr>
        <w:pStyle w:val="3"/>
        <w:ind w:firstLine="480"/>
        <w:rPr>
          <w:b/>
          <w:bCs/>
          <w:color w:val="auto"/>
          <w:highlight w:val="none"/>
        </w:rPr>
      </w:pPr>
      <w:r>
        <w:rPr>
          <w:rFonts w:hint="eastAsia"/>
          <w:b/>
          <w:bCs/>
          <w:color w:val="auto"/>
          <w:highlight w:val="none"/>
        </w:rPr>
        <w:t>技术要求：</w:t>
      </w:r>
    </w:p>
    <w:p>
      <w:pPr>
        <w:pStyle w:val="3"/>
        <w:ind w:firstLine="480"/>
        <w:rPr>
          <w:color w:val="auto"/>
          <w:highlight w:val="none"/>
        </w:rPr>
      </w:pPr>
      <w:r>
        <w:rPr>
          <w:rFonts w:hint="eastAsia"/>
          <w:color w:val="auto"/>
          <w:highlight w:val="none"/>
        </w:rPr>
        <w:t>在实际的业务流程中，微服务框架应能完成以下响应流程：</w:t>
      </w:r>
    </w:p>
    <w:p>
      <w:pPr>
        <w:pStyle w:val="3"/>
        <w:numPr>
          <w:ilvl w:val="0"/>
          <w:numId w:val="7"/>
        </w:numPr>
        <w:ind w:firstLineChars="0"/>
        <w:rPr>
          <w:color w:val="auto"/>
          <w:highlight w:val="none"/>
        </w:rPr>
      </w:pPr>
      <w:r>
        <w:rPr>
          <w:rFonts w:hint="eastAsia"/>
          <w:color w:val="auto"/>
          <w:highlight w:val="none"/>
        </w:rPr>
        <w:t>通过反向代理集群转发服务请求至微服务服务网关集群；</w:t>
      </w:r>
    </w:p>
    <w:p>
      <w:pPr>
        <w:pStyle w:val="3"/>
        <w:numPr>
          <w:ilvl w:val="0"/>
          <w:numId w:val="7"/>
        </w:numPr>
        <w:ind w:firstLineChars="0"/>
        <w:rPr>
          <w:color w:val="auto"/>
          <w:highlight w:val="none"/>
        </w:rPr>
      </w:pPr>
      <w:r>
        <w:rPr>
          <w:rFonts w:hint="eastAsia"/>
          <w:color w:val="auto"/>
          <w:highlight w:val="none"/>
        </w:rPr>
        <w:t>微服务网关集群对访问的请求合法性进行甄别，合法的访问会通过服务注册中心获取可用的服务列表。并基于配置分配转发至最优的微服务节点；</w:t>
      </w:r>
    </w:p>
    <w:p>
      <w:pPr>
        <w:pStyle w:val="3"/>
        <w:numPr>
          <w:ilvl w:val="0"/>
          <w:numId w:val="7"/>
        </w:numPr>
        <w:ind w:firstLineChars="0"/>
        <w:rPr>
          <w:color w:val="auto"/>
          <w:highlight w:val="none"/>
        </w:rPr>
      </w:pPr>
      <w:r>
        <w:rPr>
          <w:rFonts w:hint="eastAsia"/>
          <w:color w:val="auto"/>
          <w:highlight w:val="none"/>
        </w:rPr>
        <w:t>应用微服务根据请求内容通过访问注册中心获取可用公用抽象微服务节点、调用消息中心集群服务、调用数据中台服务等手段完成请求工作内容后将工作成果组织成返回值响应用户请求；</w:t>
      </w:r>
    </w:p>
    <w:p>
      <w:pPr>
        <w:pStyle w:val="3"/>
        <w:numPr>
          <w:ilvl w:val="0"/>
          <w:numId w:val="7"/>
        </w:numPr>
        <w:ind w:firstLineChars="0"/>
        <w:rPr>
          <w:color w:val="auto"/>
          <w:highlight w:val="none"/>
        </w:rPr>
      </w:pPr>
      <w:r>
        <w:rPr>
          <w:rFonts w:hint="eastAsia"/>
          <w:color w:val="auto"/>
          <w:highlight w:val="none"/>
        </w:rPr>
        <w:t>全局配置存储所有微服务组件配置信息，做到全局配置统一。当配置需要发生修改时只需要对全局配置进行修改。框架会借由消息中心的能力对微服务组件进行配置变更的全局通知，微服务节点自动刷新配置；</w:t>
      </w:r>
    </w:p>
    <w:p>
      <w:pPr>
        <w:pStyle w:val="3"/>
        <w:numPr>
          <w:ilvl w:val="0"/>
          <w:numId w:val="7"/>
        </w:numPr>
        <w:ind w:firstLineChars="0"/>
        <w:rPr>
          <w:color w:val="auto"/>
          <w:highlight w:val="none"/>
        </w:rPr>
      </w:pPr>
      <w:r>
        <w:rPr>
          <w:rFonts w:hint="eastAsia"/>
          <w:color w:val="auto"/>
          <w:highlight w:val="none"/>
        </w:rPr>
        <w:t>服务跟踪组件跟踪每一次从请求到响应的全过程调用，分析记录服务质量对各服务节点健康状况、性能瓶颈做实时监测。</w:t>
      </w:r>
    </w:p>
    <w:p>
      <w:pPr>
        <w:pStyle w:val="3"/>
        <w:ind w:firstLine="480"/>
        <w:rPr>
          <w:b/>
          <w:bCs/>
          <w:color w:val="auto"/>
          <w:highlight w:val="none"/>
        </w:rPr>
      </w:pPr>
      <w:r>
        <w:rPr>
          <w:rFonts w:hint="eastAsia"/>
          <w:b/>
          <w:bCs/>
          <w:color w:val="auto"/>
          <w:highlight w:val="none"/>
        </w:rPr>
        <w:t>组件功能要求：</w:t>
      </w:r>
    </w:p>
    <w:p>
      <w:pPr>
        <w:pStyle w:val="3"/>
        <w:ind w:firstLine="480"/>
        <w:rPr>
          <w:color w:val="auto"/>
          <w:highlight w:val="none"/>
        </w:rPr>
      </w:pPr>
      <w:r>
        <w:rPr>
          <w:rFonts w:hint="eastAsia"/>
          <w:color w:val="auto"/>
          <w:highlight w:val="none"/>
        </w:rPr>
        <w:t>投标人提供的微服务框架中应具备以下开发组件：</w:t>
      </w:r>
    </w:p>
    <w:p>
      <w:pPr>
        <w:pStyle w:val="3"/>
        <w:numPr>
          <w:ilvl w:val="0"/>
          <w:numId w:val="8"/>
        </w:numPr>
        <w:ind w:firstLineChars="0"/>
        <w:rPr>
          <w:color w:val="auto"/>
          <w:highlight w:val="none"/>
        </w:rPr>
      </w:pPr>
      <w:r>
        <w:rPr>
          <w:rFonts w:hint="eastAsia"/>
          <w:color w:val="auto"/>
          <w:highlight w:val="none"/>
        </w:rPr>
        <w:t>服务注册中心</w:t>
      </w:r>
    </w:p>
    <w:p>
      <w:pPr>
        <w:pStyle w:val="3"/>
        <w:ind w:firstLine="480"/>
        <w:rPr>
          <w:color w:val="auto"/>
          <w:highlight w:val="none"/>
        </w:rPr>
      </w:pPr>
      <w:r>
        <w:rPr>
          <w:rFonts w:hint="eastAsia"/>
          <w:color w:val="auto"/>
          <w:highlight w:val="none"/>
        </w:rPr>
        <w:t>为各微服务提供服务管理中心。</w:t>
      </w:r>
    </w:p>
    <w:p>
      <w:pPr>
        <w:pStyle w:val="3"/>
        <w:numPr>
          <w:ilvl w:val="0"/>
          <w:numId w:val="8"/>
        </w:numPr>
        <w:ind w:firstLineChars="0"/>
        <w:rPr>
          <w:color w:val="auto"/>
          <w:highlight w:val="none"/>
        </w:rPr>
      </w:pPr>
      <w:r>
        <w:rPr>
          <w:rFonts w:hint="eastAsia"/>
          <w:color w:val="auto"/>
          <w:highlight w:val="none"/>
        </w:rPr>
        <w:t>服务网关</w:t>
      </w:r>
    </w:p>
    <w:p>
      <w:pPr>
        <w:pStyle w:val="3"/>
        <w:ind w:firstLine="480"/>
        <w:rPr>
          <w:color w:val="auto"/>
          <w:highlight w:val="none"/>
        </w:rPr>
      </w:pPr>
      <w:r>
        <w:rPr>
          <w:rFonts w:hint="eastAsia"/>
          <w:color w:val="auto"/>
          <w:highlight w:val="none"/>
        </w:rPr>
        <w:t>在整个微服务治理体系钟担当请求合法性验证和请求负载均衡分发的职责。本项目涉及到PC端和移动端服务请求，服务网关需要对来自不同端的服务请求进行合法性验证,并根据下层微服务节点冗余数量均衡分发服务请求。</w:t>
      </w:r>
    </w:p>
    <w:p>
      <w:pPr>
        <w:pStyle w:val="3"/>
        <w:numPr>
          <w:ilvl w:val="0"/>
          <w:numId w:val="8"/>
        </w:numPr>
        <w:ind w:firstLineChars="0"/>
        <w:rPr>
          <w:color w:val="auto"/>
          <w:highlight w:val="none"/>
        </w:rPr>
      </w:pPr>
      <w:r>
        <w:rPr>
          <w:rFonts w:hint="eastAsia"/>
          <w:color w:val="auto"/>
          <w:highlight w:val="none"/>
        </w:rPr>
        <w:t>负载均衡组件</w:t>
      </w:r>
    </w:p>
    <w:p>
      <w:pPr>
        <w:pStyle w:val="3"/>
        <w:ind w:firstLine="480"/>
        <w:rPr>
          <w:color w:val="auto"/>
          <w:highlight w:val="none"/>
        </w:rPr>
      </w:pPr>
      <w:r>
        <w:rPr>
          <w:rFonts w:hint="eastAsia"/>
          <w:color w:val="auto"/>
          <w:highlight w:val="none"/>
        </w:rPr>
        <w:t>提供负载均衡能力。</w:t>
      </w:r>
    </w:p>
    <w:p>
      <w:pPr>
        <w:pStyle w:val="3"/>
        <w:numPr>
          <w:ilvl w:val="0"/>
          <w:numId w:val="8"/>
        </w:numPr>
        <w:ind w:firstLineChars="0"/>
        <w:rPr>
          <w:color w:val="auto"/>
          <w:highlight w:val="none"/>
        </w:rPr>
      </w:pPr>
      <w:r>
        <w:rPr>
          <w:rFonts w:hint="eastAsia"/>
          <w:color w:val="auto"/>
          <w:highlight w:val="none"/>
        </w:rPr>
        <w:t>断路器</w:t>
      </w:r>
    </w:p>
    <w:p>
      <w:pPr>
        <w:pStyle w:val="3"/>
        <w:ind w:firstLine="480"/>
        <w:rPr>
          <w:color w:val="auto"/>
          <w:highlight w:val="none"/>
        </w:rPr>
      </w:pPr>
      <w:r>
        <w:rPr>
          <w:rFonts w:hint="eastAsia"/>
          <w:color w:val="auto"/>
          <w:highlight w:val="none"/>
        </w:rPr>
        <w:t>断路器可以保证在微服务多层级调用时底层微服务节点发生的故障不会传播扩散到上层微服务节点从而阻止故障面积扩大。</w:t>
      </w:r>
    </w:p>
    <w:p>
      <w:pPr>
        <w:pStyle w:val="3"/>
        <w:numPr>
          <w:ilvl w:val="0"/>
          <w:numId w:val="8"/>
        </w:numPr>
        <w:ind w:firstLineChars="0"/>
        <w:rPr>
          <w:color w:val="auto"/>
          <w:highlight w:val="none"/>
        </w:rPr>
      </w:pPr>
      <w:r>
        <w:rPr>
          <w:rFonts w:hint="eastAsia"/>
          <w:color w:val="auto"/>
          <w:highlight w:val="none"/>
        </w:rPr>
        <w:t>远程调用</w:t>
      </w:r>
    </w:p>
    <w:p>
      <w:pPr>
        <w:pStyle w:val="3"/>
        <w:ind w:firstLine="480"/>
        <w:rPr>
          <w:color w:val="auto"/>
          <w:highlight w:val="none"/>
        </w:rPr>
      </w:pPr>
      <w:r>
        <w:rPr>
          <w:rFonts w:hint="eastAsia"/>
          <w:color w:val="auto"/>
          <w:highlight w:val="none"/>
        </w:rPr>
        <w:t>提供服务消费端的调用框架。</w:t>
      </w:r>
    </w:p>
    <w:p>
      <w:pPr>
        <w:pStyle w:val="3"/>
        <w:numPr>
          <w:ilvl w:val="0"/>
          <w:numId w:val="8"/>
        </w:numPr>
        <w:ind w:firstLineChars="0"/>
        <w:rPr>
          <w:color w:val="auto"/>
          <w:highlight w:val="none"/>
        </w:rPr>
      </w:pPr>
      <w:r>
        <w:rPr>
          <w:rFonts w:hint="eastAsia"/>
          <w:color w:val="auto"/>
          <w:highlight w:val="none"/>
        </w:rPr>
        <w:t>数据流</w:t>
      </w:r>
    </w:p>
    <w:p>
      <w:pPr>
        <w:pStyle w:val="3"/>
        <w:ind w:firstLine="480"/>
        <w:rPr>
          <w:color w:val="auto"/>
          <w:highlight w:val="none"/>
        </w:rPr>
      </w:pPr>
      <w:r>
        <w:rPr>
          <w:rFonts w:hint="eastAsia"/>
          <w:color w:val="auto"/>
          <w:highlight w:val="none"/>
        </w:rPr>
        <w:t>提供构建消息驱动机制的框架，通过引入消息驱动机制来对瞬时大量数据进行削峰处理。</w:t>
      </w:r>
    </w:p>
    <w:p>
      <w:pPr>
        <w:pStyle w:val="3"/>
        <w:numPr>
          <w:ilvl w:val="0"/>
          <w:numId w:val="8"/>
        </w:numPr>
        <w:ind w:firstLineChars="0"/>
        <w:rPr>
          <w:color w:val="auto"/>
          <w:highlight w:val="none"/>
        </w:rPr>
      </w:pPr>
      <w:r>
        <w:rPr>
          <w:rFonts w:hint="eastAsia"/>
          <w:color w:val="auto"/>
          <w:highlight w:val="none"/>
        </w:rPr>
        <w:t>分布式配置组件</w:t>
      </w:r>
    </w:p>
    <w:p>
      <w:pPr>
        <w:pStyle w:val="3"/>
        <w:ind w:firstLine="480"/>
        <w:rPr>
          <w:color w:val="auto"/>
          <w:highlight w:val="none"/>
        </w:rPr>
      </w:pPr>
      <w:r>
        <w:rPr>
          <w:rFonts w:hint="eastAsia"/>
          <w:color w:val="auto"/>
          <w:highlight w:val="none"/>
        </w:rPr>
        <w:t>为分布式系统中的外部配置提供统一配置中心，方便部署与运维。</w:t>
      </w:r>
    </w:p>
    <w:p>
      <w:pPr>
        <w:pStyle w:val="3"/>
        <w:numPr>
          <w:ilvl w:val="0"/>
          <w:numId w:val="8"/>
        </w:numPr>
        <w:ind w:firstLineChars="0"/>
        <w:rPr>
          <w:color w:val="auto"/>
          <w:highlight w:val="none"/>
        </w:rPr>
      </w:pPr>
      <w:r>
        <w:rPr>
          <w:rFonts w:hint="eastAsia"/>
          <w:color w:val="auto"/>
          <w:highlight w:val="none"/>
        </w:rPr>
        <w:t>服务跟踪组件</w:t>
      </w:r>
    </w:p>
    <w:p>
      <w:pPr>
        <w:pStyle w:val="3"/>
        <w:ind w:firstLine="480"/>
        <w:rPr>
          <w:color w:val="auto"/>
          <w:highlight w:val="none"/>
        </w:rPr>
      </w:pPr>
      <w:r>
        <w:rPr>
          <w:rFonts w:hint="eastAsia"/>
          <w:color w:val="auto"/>
          <w:highlight w:val="none"/>
        </w:rPr>
        <w:t>提供服务追踪机制，对整个服务提供过程进行监控，方便在发生服务故障时提供故障排查线索。</w:t>
      </w:r>
    </w:p>
    <w:p>
      <w:pPr>
        <w:pStyle w:val="3"/>
        <w:ind w:firstLine="480"/>
        <w:rPr>
          <w:color w:val="auto"/>
          <w:highlight w:val="none"/>
        </w:rPr>
      </w:pPr>
    </w:p>
    <w:p>
      <w:pPr>
        <w:pStyle w:val="8"/>
        <w:rPr>
          <w:color w:val="auto"/>
          <w:highlight w:val="none"/>
        </w:rPr>
      </w:pPr>
      <w:r>
        <w:rPr>
          <w:rFonts w:hint="eastAsia"/>
          <w:color w:val="auto"/>
          <w:highlight w:val="none"/>
        </w:rPr>
        <w:t>统一门户集成</w:t>
      </w:r>
    </w:p>
    <w:p>
      <w:pPr>
        <w:pStyle w:val="3"/>
        <w:ind w:firstLine="480"/>
        <w:rPr>
          <w:color w:val="auto"/>
          <w:highlight w:val="none"/>
        </w:rPr>
      </w:pPr>
      <w:r>
        <w:rPr>
          <w:rFonts w:hint="eastAsia"/>
          <w:color w:val="auto"/>
          <w:highlight w:val="none"/>
        </w:rPr>
        <w:t>提供统一门户集成提供统一用户管理、统一授权管理、统一认证/单点登录管理、统一审计管理。系统应支持对接至市政务平台获取政务人员的身份信息，在此身份信息基础上，支持进一步结合上海监狱业务管理体系，进行角色与权限配置。</w:t>
      </w:r>
    </w:p>
    <w:p>
      <w:pPr>
        <w:pStyle w:val="3"/>
        <w:numPr>
          <w:ilvl w:val="0"/>
          <w:numId w:val="9"/>
        </w:numPr>
        <w:ind w:firstLineChars="0"/>
        <w:rPr>
          <w:b/>
          <w:bCs/>
          <w:color w:val="auto"/>
          <w:highlight w:val="none"/>
        </w:rPr>
      </w:pPr>
      <w:r>
        <w:rPr>
          <w:rFonts w:hint="eastAsia"/>
          <w:b/>
          <w:bCs/>
          <w:color w:val="auto"/>
          <w:highlight w:val="none"/>
        </w:rPr>
        <w:t>统一用户管理</w:t>
      </w:r>
    </w:p>
    <w:p>
      <w:pPr>
        <w:pStyle w:val="3"/>
        <w:ind w:firstLine="480"/>
        <w:rPr>
          <w:color w:val="auto"/>
          <w:highlight w:val="none"/>
        </w:rPr>
      </w:pPr>
      <w:r>
        <w:rPr>
          <w:rFonts w:hint="eastAsia"/>
          <w:color w:val="auto"/>
          <w:highlight w:val="none"/>
        </w:rPr>
        <w:t>建立统一的用户身份标识，统一的信息存储规范，从目前分散管理的各应用系统和主机网络系统中抽取出来,并建立身份信息的统一管理规范和管理流程，并建立用户与各系统中账号的关联关系，保障各系统中资源使用的安全；通过建立统一的访问控制和授权管理机制，有效管理监狱整体数字化资源的访问和使用。应提供功能包括用户信息组成构建、用户信息存储、组织结构管理、用户信息采集、用户信息供给、用户生命周期管理、分级管理、用户资源分配、用户认证授权、用户通行码创建。</w:t>
      </w:r>
    </w:p>
    <w:p>
      <w:pPr>
        <w:pStyle w:val="3"/>
        <w:numPr>
          <w:ilvl w:val="0"/>
          <w:numId w:val="9"/>
        </w:numPr>
        <w:ind w:firstLineChars="0"/>
        <w:rPr>
          <w:b/>
          <w:bCs/>
          <w:color w:val="auto"/>
          <w:highlight w:val="none"/>
        </w:rPr>
      </w:pPr>
      <w:r>
        <w:rPr>
          <w:rFonts w:hint="eastAsia"/>
          <w:b/>
          <w:bCs/>
          <w:color w:val="auto"/>
          <w:highlight w:val="none"/>
        </w:rPr>
        <w:t>统一授权管理</w:t>
      </w:r>
    </w:p>
    <w:p>
      <w:pPr>
        <w:pStyle w:val="3"/>
        <w:ind w:firstLine="480"/>
        <w:rPr>
          <w:color w:val="auto"/>
          <w:highlight w:val="none"/>
        </w:rPr>
      </w:pPr>
      <w:r>
        <w:rPr>
          <w:rFonts w:hint="eastAsia"/>
          <w:color w:val="auto"/>
          <w:highlight w:val="none"/>
        </w:rPr>
        <w:t>统一授权管理面向的主体包括；</w:t>
      </w:r>
    </w:p>
    <w:p>
      <w:pPr>
        <w:pStyle w:val="3"/>
        <w:numPr>
          <w:ilvl w:val="0"/>
          <w:numId w:val="10"/>
        </w:numPr>
        <w:ind w:firstLineChars="0"/>
        <w:rPr>
          <w:color w:val="auto"/>
          <w:highlight w:val="none"/>
        </w:rPr>
      </w:pPr>
      <w:r>
        <w:rPr>
          <w:rFonts w:hint="eastAsia"/>
          <w:color w:val="auto"/>
          <w:highlight w:val="none"/>
        </w:rPr>
        <w:t>用户：用户主账户；</w:t>
      </w:r>
    </w:p>
    <w:p>
      <w:pPr>
        <w:pStyle w:val="3"/>
        <w:numPr>
          <w:ilvl w:val="0"/>
          <w:numId w:val="10"/>
        </w:numPr>
        <w:ind w:firstLineChars="0"/>
        <w:rPr>
          <w:color w:val="auto"/>
          <w:highlight w:val="none"/>
        </w:rPr>
      </w:pPr>
      <w:r>
        <w:rPr>
          <w:rFonts w:hint="eastAsia"/>
          <w:color w:val="auto"/>
          <w:highlight w:val="none"/>
        </w:rPr>
        <w:t>角色：角色，如:监狱长，科长，监区长等；</w:t>
      </w:r>
    </w:p>
    <w:p>
      <w:pPr>
        <w:pStyle w:val="3"/>
        <w:numPr>
          <w:ilvl w:val="0"/>
          <w:numId w:val="10"/>
        </w:numPr>
        <w:ind w:firstLineChars="0"/>
        <w:rPr>
          <w:color w:val="auto"/>
          <w:highlight w:val="none"/>
        </w:rPr>
      </w:pPr>
      <w:r>
        <w:rPr>
          <w:rFonts w:hint="eastAsia"/>
          <w:color w:val="auto"/>
          <w:highlight w:val="none"/>
        </w:rPr>
        <w:t>组(部门):包括按照公司组织架构或特定功能划分的部门、工作组。统一授权管理面向的客体对象是；</w:t>
      </w:r>
    </w:p>
    <w:p>
      <w:pPr>
        <w:pStyle w:val="3"/>
        <w:numPr>
          <w:ilvl w:val="0"/>
          <w:numId w:val="10"/>
        </w:numPr>
        <w:ind w:firstLineChars="0"/>
        <w:rPr>
          <w:color w:val="auto"/>
          <w:highlight w:val="none"/>
        </w:rPr>
      </w:pPr>
      <w:r>
        <w:rPr>
          <w:rFonts w:hint="eastAsia"/>
          <w:color w:val="auto"/>
          <w:highlight w:val="none"/>
        </w:rPr>
        <w:t>资源:在粗粒度授权方式下是应用系统;在细粒度授权方式下是应用系统中的功能组、功能。</w:t>
      </w:r>
    </w:p>
    <w:p>
      <w:pPr>
        <w:pStyle w:val="3"/>
        <w:ind w:firstLine="480"/>
        <w:rPr>
          <w:color w:val="auto"/>
          <w:highlight w:val="none"/>
        </w:rPr>
      </w:pPr>
      <w:r>
        <w:rPr>
          <w:rFonts w:hint="eastAsia"/>
          <w:color w:val="auto"/>
          <w:highlight w:val="none"/>
        </w:rPr>
        <w:t>需提供的功能包括：角色管理、权限管理、授权管理、安全防护。</w:t>
      </w:r>
    </w:p>
    <w:p>
      <w:pPr>
        <w:pStyle w:val="3"/>
        <w:numPr>
          <w:ilvl w:val="0"/>
          <w:numId w:val="9"/>
        </w:numPr>
        <w:ind w:firstLineChars="0"/>
        <w:rPr>
          <w:b/>
          <w:bCs/>
          <w:color w:val="auto"/>
          <w:highlight w:val="none"/>
        </w:rPr>
      </w:pPr>
      <w:r>
        <w:rPr>
          <w:rFonts w:hint="eastAsia"/>
          <w:b/>
          <w:bCs/>
          <w:color w:val="auto"/>
          <w:highlight w:val="none"/>
        </w:rPr>
        <w:t>统一认证/单点登录管理</w:t>
      </w:r>
    </w:p>
    <w:p>
      <w:pPr>
        <w:pStyle w:val="3"/>
        <w:ind w:firstLine="480"/>
        <w:rPr>
          <w:color w:val="auto"/>
          <w:highlight w:val="none"/>
        </w:rPr>
      </w:pPr>
      <w:r>
        <w:rPr>
          <w:rFonts w:hint="eastAsia"/>
          <w:color w:val="auto"/>
          <w:highlight w:val="none"/>
        </w:rPr>
        <w:t>提供统一的在线身份认证入口，并通过安全的身份认证机制确保监狱信息系统的大门不被非法进入。面向的对象包括用户以及接入本次建设内相关系统的所有业务系统、管理系统、应用系统等信息系统。统一认证应支持用户口令、动态口令、通行证、数字证书等多种认证方式；支持数字证书认证的SSL协议、用户名/ 口令、Windows域认证等多种认证协议。同时统一认证应具备对接能力，支持将上海市监狱管理局现有如OA系统、执法证据保全系统、刑罚执行网上协同办案系统等系统以及未来新建业务系统一同纳入统一认证体系内。</w:t>
      </w:r>
    </w:p>
    <w:p>
      <w:pPr>
        <w:pStyle w:val="3"/>
        <w:numPr>
          <w:ilvl w:val="0"/>
          <w:numId w:val="9"/>
        </w:numPr>
        <w:ind w:firstLineChars="0"/>
        <w:rPr>
          <w:b/>
          <w:bCs/>
          <w:color w:val="auto"/>
          <w:highlight w:val="none"/>
        </w:rPr>
      </w:pPr>
      <w:r>
        <w:rPr>
          <w:rFonts w:hint="eastAsia"/>
          <w:b/>
          <w:bCs/>
          <w:color w:val="auto"/>
          <w:highlight w:val="none"/>
        </w:rPr>
        <w:t>统一审计管理</w:t>
      </w:r>
    </w:p>
    <w:p>
      <w:pPr>
        <w:pStyle w:val="3"/>
        <w:ind w:firstLine="480"/>
        <w:rPr>
          <w:color w:val="auto"/>
          <w:highlight w:val="none"/>
        </w:rPr>
      </w:pPr>
      <w:r>
        <w:rPr>
          <w:rFonts w:hint="eastAsia"/>
          <w:color w:val="auto"/>
          <w:highlight w:val="none"/>
        </w:rPr>
        <w:t>提供全方位的用户管理、认证和授权的审计信息，同时也为各种应用系统提供了通用接口，也可以为操作系统、网络设备的日志审计提供通用接口。系统提供的功能应包括：账号分配情况审、账号授权审计、身份认证审计、用户行为审计、日志管理。</w:t>
      </w:r>
    </w:p>
    <w:p>
      <w:pPr>
        <w:pStyle w:val="7"/>
        <w:rPr>
          <w:color w:val="auto"/>
          <w:highlight w:val="none"/>
        </w:rPr>
      </w:pPr>
      <w:bookmarkStart w:id="19" w:name="_Hlk169513879"/>
      <w:r>
        <w:rPr>
          <w:rFonts w:hint="eastAsia"/>
          <w:color w:val="auto"/>
          <w:highlight w:val="none"/>
        </w:rPr>
        <w:t>基于工作流引擎的低代码开发</w:t>
      </w:r>
    </w:p>
    <w:p>
      <w:pPr>
        <w:pStyle w:val="3"/>
        <w:ind w:firstLine="480"/>
        <w:rPr>
          <w:color w:val="auto"/>
          <w:highlight w:val="none"/>
        </w:rPr>
      </w:pPr>
      <w:r>
        <w:rPr>
          <w:rFonts w:hint="eastAsia"/>
          <w:color w:val="auto"/>
          <w:highlight w:val="none"/>
        </w:rPr>
        <w:t>基于数据底座、技术底座能力，以及轻应用中心架构建设成果，通过工作流引擎实现低代码场景开发，应具备的低代码开发能力包括：</w:t>
      </w:r>
    </w:p>
    <w:p>
      <w:pPr>
        <w:numPr>
          <w:ilvl w:val="0"/>
          <w:numId w:val="11"/>
        </w:numPr>
        <w:rPr>
          <w:b/>
          <w:bCs/>
          <w:color w:val="auto"/>
          <w:highlight w:val="none"/>
          <w:lang w:val="zh-CN"/>
        </w:rPr>
      </w:pPr>
      <w:r>
        <w:rPr>
          <w:rFonts w:hint="eastAsia"/>
          <w:b/>
          <w:bCs/>
          <w:color w:val="auto"/>
          <w:highlight w:val="none"/>
          <w:lang w:val="zh-CN"/>
        </w:rPr>
        <w:t>表单设计</w:t>
      </w:r>
    </w:p>
    <w:p>
      <w:pPr>
        <w:pStyle w:val="3"/>
        <w:ind w:firstLine="480"/>
        <w:rPr>
          <w:color w:val="auto"/>
          <w:highlight w:val="none"/>
          <w:lang w:val="zh-CN"/>
        </w:rPr>
      </w:pPr>
      <w:r>
        <w:rPr>
          <w:rFonts w:hint="eastAsia"/>
          <w:color w:val="auto"/>
          <w:highlight w:val="none"/>
        </w:rPr>
        <w:t>需</w:t>
      </w:r>
      <w:r>
        <w:rPr>
          <w:rFonts w:hint="eastAsia"/>
          <w:color w:val="auto"/>
          <w:highlight w:val="none"/>
          <w:lang w:val="zh-CN"/>
        </w:rPr>
        <w:t>提供在线的业务配置环境，以可视化的方式配置出业务表单以及业务查询界面在保存时都编译为JSP代码，运行时直接通过应用服务器生成Java类运行。提供基于浏览器的在线表单配置。提供精细化的授权功能。</w:t>
      </w:r>
    </w:p>
    <w:p>
      <w:pPr>
        <w:numPr>
          <w:ilvl w:val="0"/>
          <w:numId w:val="11"/>
        </w:numPr>
        <w:rPr>
          <w:b/>
          <w:bCs/>
          <w:color w:val="auto"/>
          <w:highlight w:val="none"/>
          <w:lang w:val="zh-CN"/>
        </w:rPr>
      </w:pPr>
      <w:r>
        <w:rPr>
          <w:rFonts w:hint="eastAsia"/>
          <w:b/>
          <w:bCs/>
          <w:color w:val="auto"/>
          <w:highlight w:val="none"/>
          <w:lang w:val="zh-CN"/>
        </w:rPr>
        <w:t>业务化配置表单和流程</w:t>
      </w:r>
    </w:p>
    <w:p>
      <w:pPr>
        <w:pStyle w:val="3"/>
        <w:ind w:firstLine="480"/>
        <w:rPr>
          <w:color w:val="auto"/>
          <w:highlight w:val="none"/>
          <w:lang w:val="zh-CN"/>
        </w:rPr>
      </w:pPr>
      <w:r>
        <w:rPr>
          <w:rFonts w:hint="eastAsia"/>
          <w:color w:val="auto"/>
          <w:highlight w:val="none"/>
        </w:rPr>
        <w:t>需</w:t>
      </w:r>
      <w:r>
        <w:rPr>
          <w:rFonts w:hint="eastAsia"/>
          <w:color w:val="auto"/>
          <w:highlight w:val="none"/>
          <w:lang w:val="zh-CN"/>
        </w:rPr>
        <w:t>提供一个业务化配置表单和流程的在线配置环境。提供包括业务化的表单配置工具和流程配置工具。业务人员通过拖拽方式可视化配置业务表单以及可视化配置业务流程。</w:t>
      </w:r>
    </w:p>
    <w:p>
      <w:pPr>
        <w:numPr>
          <w:ilvl w:val="0"/>
          <w:numId w:val="11"/>
        </w:numPr>
        <w:rPr>
          <w:b/>
          <w:bCs/>
          <w:color w:val="auto"/>
          <w:highlight w:val="none"/>
          <w:lang w:val="zh-CN"/>
        </w:rPr>
      </w:pPr>
      <w:r>
        <w:rPr>
          <w:rFonts w:hint="eastAsia"/>
          <w:b/>
          <w:bCs/>
          <w:color w:val="auto"/>
          <w:highlight w:val="none"/>
          <w:lang w:val="zh-CN"/>
        </w:rPr>
        <w:t>灵活扩展</w:t>
      </w:r>
    </w:p>
    <w:p>
      <w:pPr>
        <w:pStyle w:val="3"/>
        <w:ind w:firstLine="480"/>
        <w:rPr>
          <w:color w:val="auto"/>
          <w:highlight w:val="none"/>
        </w:rPr>
      </w:pPr>
      <w:r>
        <w:rPr>
          <w:rFonts w:hint="eastAsia"/>
          <w:color w:val="auto"/>
          <w:highlight w:val="none"/>
        </w:rPr>
        <w:t>需提供架构级的扩展能力，用户部署扩展配置文件后扩展实现会加载到平台， 而用户卸载扩展配置文件后则同样会卸载扩展配置。</w:t>
      </w:r>
    </w:p>
    <w:p>
      <w:pPr>
        <w:numPr>
          <w:ilvl w:val="0"/>
          <w:numId w:val="11"/>
        </w:numPr>
        <w:rPr>
          <w:b/>
          <w:bCs/>
          <w:color w:val="auto"/>
          <w:highlight w:val="none"/>
          <w:lang w:val="zh-CN"/>
        </w:rPr>
      </w:pPr>
      <w:r>
        <w:rPr>
          <w:rFonts w:hint="eastAsia"/>
          <w:b/>
          <w:bCs/>
          <w:color w:val="auto"/>
          <w:highlight w:val="none"/>
          <w:lang w:val="zh-CN"/>
        </w:rPr>
        <w:t>流程引擎集群管理能力</w:t>
      </w:r>
    </w:p>
    <w:p>
      <w:pPr>
        <w:pStyle w:val="3"/>
        <w:ind w:firstLine="480"/>
        <w:rPr>
          <w:color w:val="auto"/>
          <w:highlight w:val="none"/>
          <w:lang w:val="zh-CN"/>
        </w:rPr>
      </w:pPr>
      <w:r>
        <w:rPr>
          <w:rFonts w:hint="eastAsia"/>
          <w:color w:val="auto"/>
          <w:highlight w:val="none"/>
          <w:lang w:val="zh-CN"/>
        </w:rPr>
        <w:t>需支持良好的分布式集群环境，只需要增加一台机器、修改几个配置，就可以实现集群的拓展。在集群环境下，流程引擎可以维护自身的同步和通知。用户在非集群环境下开发的应用可以直接部署到集群环境。</w:t>
      </w:r>
    </w:p>
    <w:p>
      <w:pPr>
        <w:pStyle w:val="3"/>
        <w:ind w:firstLine="480"/>
        <w:rPr>
          <w:color w:val="auto"/>
          <w:highlight w:val="none"/>
          <w:lang w:val="zh-CN"/>
        </w:rPr>
      </w:pPr>
      <w:r>
        <w:rPr>
          <w:rFonts w:hint="eastAsia"/>
          <w:color w:val="auto"/>
          <w:highlight w:val="none"/>
        </w:rPr>
        <w:t>需支持</w:t>
      </w:r>
      <w:r>
        <w:rPr>
          <w:rFonts w:hint="eastAsia"/>
          <w:color w:val="auto"/>
          <w:highlight w:val="none"/>
          <w:lang w:val="zh-CN"/>
        </w:rPr>
        <w:t>通过</w:t>
      </w:r>
      <w:r>
        <w:rPr>
          <w:color w:val="auto"/>
          <w:highlight w:val="none"/>
          <w:lang w:val="zh-CN"/>
        </w:rPr>
        <w:t>流程</w:t>
      </w:r>
      <w:r>
        <w:rPr>
          <w:rFonts w:hint="eastAsia"/>
          <w:color w:val="auto"/>
          <w:highlight w:val="none"/>
          <w:lang w:val="zh-CN"/>
        </w:rPr>
        <w:t>引擎控制中心，用户可以像管理单一引擎一样管理集群中的多个流程引擎。</w:t>
      </w:r>
    </w:p>
    <w:p>
      <w:pPr>
        <w:numPr>
          <w:ilvl w:val="0"/>
          <w:numId w:val="11"/>
        </w:numPr>
        <w:rPr>
          <w:b/>
          <w:bCs/>
          <w:color w:val="auto"/>
          <w:highlight w:val="none"/>
          <w:lang w:val="zh-CN"/>
        </w:rPr>
      </w:pPr>
      <w:r>
        <w:rPr>
          <w:rFonts w:hint="eastAsia"/>
          <w:b/>
          <w:bCs/>
          <w:color w:val="auto"/>
          <w:highlight w:val="none"/>
          <w:lang w:val="zh-CN"/>
        </w:rPr>
        <w:t>后台流程管理能力</w:t>
      </w:r>
    </w:p>
    <w:p>
      <w:pPr>
        <w:pStyle w:val="3"/>
        <w:ind w:firstLine="480"/>
        <w:rPr>
          <w:color w:val="auto"/>
          <w:highlight w:val="none"/>
          <w:lang w:val="zh-CN"/>
        </w:rPr>
      </w:pPr>
      <w:r>
        <w:rPr>
          <w:rFonts w:hint="eastAsia"/>
          <w:color w:val="auto"/>
          <w:highlight w:val="none"/>
        </w:rPr>
        <w:t>需支持</w:t>
      </w:r>
      <w:r>
        <w:rPr>
          <w:rFonts w:hint="eastAsia"/>
          <w:color w:val="auto"/>
          <w:highlight w:val="none"/>
          <w:lang w:val="zh-CN"/>
        </w:rPr>
        <w:t>通过对流程实行图形化地实时监控，管理者可以及时掌握业务处理的最新动态；及时发现长时间滞留未处理的任务；对发生异常的流程进行及时调整。</w:t>
      </w:r>
    </w:p>
    <w:p>
      <w:pPr>
        <w:pStyle w:val="3"/>
        <w:ind w:firstLine="480"/>
        <w:rPr>
          <w:color w:val="auto"/>
          <w:highlight w:val="none"/>
        </w:rPr>
      </w:pPr>
      <w:r>
        <w:rPr>
          <w:rFonts w:hint="eastAsia"/>
          <w:color w:val="auto"/>
          <w:highlight w:val="none"/>
        </w:rPr>
        <w:t>需</w:t>
      </w:r>
      <w:r>
        <w:rPr>
          <w:rFonts w:hint="eastAsia"/>
          <w:color w:val="auto"/>
          <w:highlight w:val="none"/>
          <w:lang w:val="zh-CN"/>
        </w:rPr>
        <w:t>提供业务目录管理、流程定义管理、流程实例管理、流程异常管理、对审计日志进行监控，跟踪查询历史流程的处理过程</w:t>
      </w:r>
      <w:r>
        <w:rPr>
          <w:rFonts w:hint="eastAsia"/>
          <w:color w:val="auto"/>
          <w:highlight w:val="none"/>
        </w:rPr>
        <w:t>等功能</w:t>
      </w:r>
      <w:r>
        <w:rPr>
          <w:rFonts w:hint="eastAsia"/>
          <w:color w:val="auto"/>
          <w:highlight w:val="none"/>
          <w:lang w:val="zh-CN"/>
        </w:rPr>
        <w:t>。</w:t>
      </w:r>
    </w:p>
    <w:p>
      <w:pPr>
        <w:numPr>
          <w:ilvl w:val="0"/>
          <w:numId w:val="11"/>
        </w:numPr>
        <w:rPr>
          <w:b/>
          <w:bCs/>
          <w:color w:val="auto"/>
          <w:highlight w:val="none"/>
          <w:lang w:val="zh-CN"/>
        </w:rPr>
      </w:pPr>
      <w:r>
        <w:rPr>
          <w:rFonts w:hint="eastAsia"/>
          <w:b/>
          <w:bCs/>
          <w:color w:val="auto"/>
          <w:highlight w:val="none"/>
          <w:lang w:val="zh-CN"/>
        </w:rPr>
        <w:t>日志能力</w:t>
      </w:r>
    </w:p>
    <w:p>
      <w:pPr>
        <w:pStyle w:val="3"/>
        <w:ind w:firstLine="480"/>
        <w:rPr>
          <w:color w:val="auto"/>
          <w:highlight w:val="none"/>
          <w:lang w:val="zh-CN"/>
        </w:rPr>
      </w:pPr>
      <w:r>
        <w:rPr>
          <w:rFonts w:hint="eastAsia"/>
          <w:color w:val="auto"/>
          <w:highlight w:val="none"/>
        </w:rPr>
        <w:t>需</w:t>
      </w:r>
      <w:r>
        <w:rPr>
          <w:rFonts w:hint="eastAsia"/>
          <w:color w:val="auto"/>
          <w:highlight w:val="none"/>
          <w:lang w:val="zh-CN"/>
        </w:rPr>
        <w:t>提供完善详尽的日志体系，包括审计日志、SQL执行日志、服务执行日志。</w:t>
      </w:r>
    </w:p>
    <w:p>
      <w:pPr>
        <w:pStyle w:val="3"/>
        <w:ind w:firstLine="480"/>
        <w:rPr>
          <w:color w:val="auto"/>
          <w:highlight w:val="none"/>
          <w:lang w:val="zh-CN"/>
        </w:rPr>
      </w:pPr>
      <w:r>
        <w:rPr>
          <w:rFonts w:hint="eastAsia"/>
          <w:color w:val="auto"/>
          <w:highlight w:val="none"/>
        </w:rPr>
        <w:t>需提供日志分析工具，</w:t>
      </w:r>
      <w:r>
        <w:rPr>
          <w:rFonts w:hint="eastAsia"/>
          <w:color w:val="auto"/>
          <w:highlight w:val="none"/>
          <w:lang w:val="zh-CN"/>
        </w:rPr>
        <w:t>通过日志分析工具可以得到功能执行情况、用户请求情况、间隔时间数据、访问量分析图、用户量分析图、内存变化图、执行异常的请求等。</w:t>
      </w:r>
    </w:p>
    <w:p>
      <w:pPr>
        <w:numPr>
          <w:ilvl w:val="0"/>
          <w:numId w:val="11"/>
        </w:numPr>
        <w:rPr>
          <w:b/>
          <w:bCs/>
          <w:color w:val="auto"/>
          <w:highlight w:val="none"/>
          <w:lang w:val="zh-CN"/>
        </w:rPr>
      </w:pPr>
      <w:r>
        <w:rPr>
          <w:rFonts w:hint="eastAsia"/>
          <w:b/>
          <w:bCs/>
          <w:color w:val="auto"/>
          <w:highlight w:val="none"/>
          <w:lang w:val="zh-CN"/>
        </w:rPr>
        <w:t>敏捷页面开发</w:t>
      </w:r>
    </w:p>
    <w:p>
      <w:pPr>
        <w:pStyle w:val="3"/>
        <w:ind w:firstLine="480"/>
        <w:rPr>
          <w:color w:val="auto"/>
          <w:highlight w:val="none"/>
          <w:lang w:val="zh-CN"/>
        </w:rPr>
      </w:pPr>
      <w:r>
        <w:rPr>
          <w:rFonts w:hint="eastAsia"/>
          <w:color w:val="auto"/>
          <w:highlight w:val="none"/>
        </w:rPr>
        <w:t>需支持</w:t>
      </w:r>
      <w:r>
        <w:rPr>
          <w:rFonts w:hint="eastAsia"/>
          <w:color w:val="auto"/>
          <w:highlight w:val="none"/>
          <w:lang w:val="zh-CN"/>
        </w:rPr>
        <w:t>基于可视化能力，敏捷开发配套的流程页面。</w:t>
      </w:r>
    </w:p>
    <w:p>
      <w:pPr>
        <w:numPr>
          <w:ilvl w:val="0"/>
          <w:numId w:val="12"/>
        </w:numPr>
        <w:ind w:left="0" w:firstLine="480" w:firstLineChars="200"/>
        <w:rPr>
          <w:color w:val="auto"/>
          <w:highlight w:val="none"/>
          <w:lang w:val="zh-CN"/>
        </w:rPr>
      </w:pPr>
      <w:r>
        <w:rPr>
          <w:rFonts w:hint="eastAsia"/>
          <w:color w:val="auto"/>
          <w:highlight w:val="none"/>
          <w:lang w:val="zh-CN"/>
        </w:rPr>
        <w:t>系统集成</w:t>
      </w:r>
    </w:p>
    <w:p>
      <w:pPr>
        <w:pStyle w:val="3"/>
        <w:ind w:firstLine="480"/>
        <w:rPr>
          <w:color w:val="auto"/>
          <w:highlight w:val="none"/>
          <w:lang w:val="zh-CN"/>
        </w:rPr>
      </w:pPr>
      <w:r>
        <w:rPr>
          <w:rFonts w:hint="eastAsia"/>
          <w:color w:val="auto"/>
          <w:highlight w:val="none"/>
          <w:lang w:val="zh-CN"/>
        </w:rPr>
        <w:t>需支持与第三方系统的集成，实现本系统内部与外部的流程与流程执行系统之间的信息交互。</w:t>
      </w:r>
    </w:p>
    <w:p>
      <w:pPr>
        <w:numPr>
          <w:ilvl w:val="0"/>
          <w:numId w:val="11"/>
        </w:numPr>
        <w:rPr>
          <w:b/>
          <w:bCs/>
          <w:color w:val="auto"/>
          <w:highlight w:val="none"/>
          <w:lang w:val="zh-CN"/>
        </w:rPr>
      </w:pPr>
      <w:r>
        <w:rPr>
          <w:rFonts w:hint="eastAsia"/>
          <w:b/>
          <w:bCs/>
          <w:color w:val="auto"/>
          <w:highlight w:val="none"/>
          <w:lang w:val="zh-CN"/>
        </w:rPr>
        <w:t>规则引擎</w:t>
      </w:r>
    </w:p>
    <w:p>
      <w:pPr>
        <w:pStyle w:val="3"/>
        <w:ind w:firstLine="480"/>
        <w:rPr>
          <w:color w:val="auto"/>
          <w:highlight w:val="none"/>
          <w:lang w:val="zh-CN"/>
        </w:rPr>
      </w:pPr>
      <w:r>
        <w:rPr>
          <w:rFonts w:hint="eastAsia"/>
          <w:color w:val="auto"/>
          <w:highlight w:val="none"/>
        </w:rPr>
        <w:t>需具备</w:t>
      </w:r>
      <w:r>
        <w:rPr>
          <w:rFonts w:hint="eastAsia"/>
          <w:color w:val="auto"/>
          <w:highlight w:val="none"/>
          <w:lang w:val="zh-CN"/>
        </w:rPr>
        <w:t>以下主要特性</w:t>
      </w:r>
      <w:r>
        <w:rPr>
          <w:rFonts w:hint="eastAsia"/>
          <w:color w:val="auto"/>
          <w:highlight w:val="none"/>
        </w:rPr>
        <w:t>：</w:t>
      </w:r>
      <w:r>
        <w:rPr>
          <w:rFonts w:hint="eastAsia"/>
          <w:color w:val="auto"/>
          <w:highlight w:val="none"/>
          <w:lang w:val="zh-CN"/>
        </w:rPr>
        <w:t>和</w:t>
      </w:r>
      <w:r>
        <w:rPr>
          <w:rFonts w:hint="eastAsia"/>
          <w:color w:val="auto"/>
          <w:highlight w:val="none"/>
        </w:rPr>
        <w:t>流程引擎</w:t>
      </w:r>
      <w:r>
        <w:rPr>
          <w:rFonts w:hint="eastAsia"/>
          <w:color w:val="auto"/>
          <w:highlight w:val="none"/>
          <w:lang w:val="zh-CN"/>
        </w:rPr>
        <w:t>无缝集成，高性能的轻量级规则引擎，可以使用流程上下文数据和业务变量，需支持规则的运行期热更新。</w:t>
      </w:r>
    </w:p>
    <w:p>
      <w:pPr>
        <w:pStyle w:val="3"/>
        <w:ind w:firstLine="480"/>
        <w:rPr>
          <w:color w:val="auto"/>
          <w:highlight w:val="none"/>
          <w:lang w:val="zh-CN"/>
        </w:rPr>
      </w:pPr>
      <w:r>
        <w:rPr>
          <w:rFonts w:hint="eastAsia"/>
          <w:color w:val="auto"/>
          <w:highlight w:val="none"/>
          <w:lang w:val="zh-CN"/>
        </w:rPr>
        <w:t>需支持从业务变量以及系统环境数据中获取必要的数据作为决策数据源，通过复杂的计算得出条件判断结果或者参与者结果，然后把结果传递给流程使用，</w:t>
      </w:r>
      <w:r>
        <w:rPr>
          <w:rFonts w:hint="eastAsia"/>
          <w:color w:val="auto"/>
          <w:highlight w:val="none"/>
        </w:rPr>
        <w:t>实现</w:t>
      </w:r>
      <w:r>
        <w:rPr>
          <w:rFonts w:hint="eastAsia"/>
          <w:color w:val="auto"/>
          <w:highlight w:val="none"/>
          <w:lang w:val="zh-CN"/>
        </w:rPr>
        <w:t>业务规则引擎和流程引擎的配合工作。</w:t>
      </w:r>
    </w:p>
    <w:p>
      <w:pPr>
        <w:numPr>
          <w:ilvl w:val="0"/>
          <w:numId w:val="11"/>
        </w:numPr>
        <w:rPr>
          <w:b/>
          <w:bCs/>
          <w:color w:val="auto"/>
          <w:highlight w:val="none"/>
          <w:lang w:val="zh-CN"/>
        </w:rPr>
      </w:pPr>
      <w:r>
        <w:rPr>
          <w:rFonts w:hint="eastAsia"/>
          <w:b/>
          <w:bCs/>
          <w:color w:val="auto"/>
          <w:highlight w:val="none"/>
          <w:lang w:val="zh-CN"/>
        </w:rPr>
        <w:t>流程测试</w:t>
      </w:r>
    </w:p>
    <w:p>
      <w:pPr>
        <w:pStyle w:val="3"/>
        <w:ind w:firstLine="480"/>
        <w:rPr>
          <w:color w:val="auto"/>
          <w:highlight w:val="none"/>
          <w:lang w:val="zh-CN"/>
        </w:rPr>
      </w:pPr>
      <w:r>
        <w:rPr>
          <w:rFonts w:hint="eastAsia"/>
          <w:color w:val="auto"/>
          <w:highlight w:val="none"/>
        </w:rPr>
        <w:t>需</w:t>
      </w:r>
      <w:r>
        <w:rPr>
          <w:rFonts w:hint="eastAsia"/>
          <w:color w:val="auto"/>
          <w:highlight w:val="none"/>
          <w:lang w:val="zh-CN"/>
        </w:rPr>
        <w:t>提供完全基于Web的业务化的流程建模和模拟运行环境，可以由业务分析人员主导进行流程的梳理和建模，提供的表单设置的功能定义用户交互的界面，通过赋值操作的功能模拟服务调用的效果，通过业务规则设置实际可执行的流程流转控制规定和参与者规则。</w:t>
      </w:r>
    </w:p>
    <w:p>
      <w:pPr>
        <w:numPr>
          <w:ilvl w:val="0"/>
          <w:numId w:val="11"/>
        </w:numPr>
        <w:rPr>
          <w:b/>
          <w:bCs/>
          <w:color w:val="auto"/>
          <w:highlight w:val="none"/>
          <w:lang w:val="zh-CN"/>
        </w:rPr>
      </w:pPr>
      <w:r>
        <w:rPr>
          <w:rFonts w:hint="eastAsia"/>
          <w:b/>
          <w:bCs/>
          <w:color w:val="auto"/>
          <w:highlight w:val="none"/>
          <w:lang w:val="zh-CN"/>
        </w:rPr>
        <w:t>流程绩效报表</w:t>
      </w:r>
    </w:p>
    <w:p>
      <w:pPr>
        <w:pStyle w:val="3"/>
        <w:ind w:firstLine="480"/>
        <w:rPr>
          <w:color w:val="auto"/>
          <w:highlight w:val="none"/>
          <w:lang w:val="zh-CN"/>
        </w:rPr>
      </w:pPr>
      <w:r>
        <w:rPr>
          <w:rFonts w:hint="eastAsia"/>
          <w:color w:val="auto"/>
          <w:highlight w:val="none"/>
        </w:rPr>
        <w:t>需具备</w:t>
      </w:r>
      <w:r>
        <w:rPr>
          <w:rFonts w:hint="eastAsia"/>
          <w:color w:val="auto"/>
          <w:highlight w:val="none"/>
          <w:lang w:val="zh-CN"/>
        </w:rPr>
        <w:t>流程统计分析</w:t>
      </w:r>
      <w:r>
        <w:rPr>
          <w:rFonts w:hint="eastAsia"/>
          <w:color w:val="auto"/>
          <w:highlight w:val="none"/>
        </w:rPr>
        <w:t>功能</w:t>
      </w:r>
      <w:r>
        <w:rPr>
          <w:rFonts w:hint="eastAsia"/>
          <w:color w:val="auto"/>
          <w:highlight w:val="none"/>
          <w:lang w:val="zh-CN"/>
        </w:rPr>
        <w:t>，主要包括工作量统计，流程实例统计，活动实例统计，超时统计，退回统计以及流程实例规模等一系统和流程相关的数据的统计。</w:t>
      </w:r>
    </w:p>
    <w:p>
      <w:pPr>
        <w:numPr>
          <w:ilvl w:val="0"/>
          <w:numId w:val="11"/>
        </w:numPr>
        <w:rPr>
          <w:b/>
          <w:bCs/>
          <w:color w:val="auto"/>
          <w:highlight w:val="none"/>
          <w:lang w:val="zh-CN"/>
        </w:rPr>
      </w:pPr>
      <w:r>
        <w:rPr>
          <w:rFonts w:hint="eastAsia"/>
          <w:b/>
          <w:bCs/>
          <w:color w:val="auto"/>
          <w:highlight w:val="none"/>
          <w:lang w:val="zh-CN"/>
        </w:rPr>
        <w:t>移动审批</w:t>
      </w:r>
    </w:p>
    <w:p>
      <w:pPr>
        <w:pStyle w:val="3"/>
        <w:ind w:firstLine="480"/>
        <w:rPr>
          <w:color w:val="auto"/>
          <w:highlight w:val="none"/>
          <w:lang w:val="zh-CN"/>
        </w:rPr>
      </w:pPr>
      <w:r>
        <w:rPr>
          <w:rFonts w:hint="eastAsia"/>
          <w:color w:val="auto"/>
          <w:highlight w:val="none"/>
        </w:rPr>
        <w:t>需</w:t>
      </w:r>
      <w:r>
        <w:rPr>
          <w:rFonts w:hint="eastAsia"/>
          <w:color w:val="auto"/>
          <w:highlight w:val="none"/>
          <w:lang w:val="zh-CN"/>
        </w:rPr>
        <w:t>提供丰富的API，供各类业务系统调用，业务应用包括APP政务微信等，需支持Java、WebService、JMS等几种远程调用方式。</w:t>
      </w:r>
    </w:p>
    <w:p>
      <w:pPr>
        <w:pStyle w:val="3"/>
        <w:ind w:firstLine="480"/>
        <w:rPr>
          <w:color w:val="auto"/>
          <w:highlight w:val="none"/>
          <w:lang w:val="zh-CN"/>
        </w:rPr>
      </w:pPr>
      <w:r>
        <w:rPr>
          <w:rFonts w:hint="eastAsia"/>
          <w:color w:val="auto"/>
          <w:highlight w:val="none"/>
        </w:rPr>
        <w:t>需</w:t>
      </w:r>
      <w:r>
        <w:rPr>
          <w:rFonts w:hint="eastAsia"/>
          <w:color w:val="auto"/>
          <w:highlight w:val="none"/>
          <w:lang w:val="zh-CN"/>
        </w:rPr>
        <w:t>提供在线表单配置，表单由丰富的控件组成，具有良好的浏览器兼容性，并且在手机、平板等移动终端的浏览器也应具备良好的可操作性。</w:t>
      </w:r>
    </w:p>
    <w:p>
      <w:pPr>
        <w:numPr>
          <w:ilvl w:val="0"/>
          <w:numId w:val="11"/>
        </w:numPr>
        <w:rPr>
          <w:b/>
          <w:bCs/>
          <w:color w:val="auto"/>
          <w:highlight w:val="none"/>
          <w:lang w:val="zh-CN"/>
        </w:rPr>
      </w:pPr>
      <w:r>
        <w:rPr>
          <w:rFonts w:hint="eastAsia"/>
          <w:b/>
          <w:bCs/>
          <w:color w:val="auto"/>
          <w:highlight w:val="none"/>
          <w:lang w:val="zh-CN"/>
        </w:rPr>
        <w:t>身份与权限管理</w:t>
      </w:r>
    </w:p>
    <w:p>
      <w:pPr>
        <w:pStyle w:val="3"/>
        <w:ind w:firstLine="480"/>
        <w:rPr>
          <w:color w:val="auto"/>
          <w:highlight w:val="none"/>
        </w:rPr>
      </w:pPr>
      <w:r>
        <w:rPr>
          <w:rFonts w:hint="eastAsia"/>
          <w:color w:val="auto"/>
          <w:highlight w:val="none"/>
        </w:rPr>
        <w:t>需</w:t>
      </w:r>
      <w:r>
        <w:rPr>
          <w:rFonts w:hint="eastAsia"/>
          <w:color w:val="auto"/>
          <w:highlight w:val="none"/>
          <w:lang w:val="zh-CN"/>
        </w:rPr>
        <w:t>提供流程门户组件，提供单点登录、页面集成、内容集成、多级门户、个性人主题等。</w:t>
      </w:r>
    </w:p>
    <w:p>
      <w:pPr>
        <w:pStyle w:val="3"/>
        <w:ind w:firstLine="480"/>
        <w:rPr>
          <w:color w:val="auto"/>
          <w:highlight w:val="none"/>
        </w:rPr>
      </w:pPr>
      <w:r>
        <w:rPr>
          <w:rFonts w:hint="eastAsia"/>
          <w:color w:val="auto"/>
          <w:highlight w:val="none"/>
        </w:rPr>
        <w:t xml:space="preserve">需具备身份权限与登录体系集成能力，支持与上海市监狱管理局统一身份管理体系进行集成对接。 </w:t>
      </w:r>
    </w:p>
    <w:p>
      <w:pPr>
        <w:numPr>
          <w:ilvl w:val="0"/>
          <w:numId w:val="11"/>
        </w:numPr>
        <w:rPr>
          <w:b/>
          <w:bCs/>
          <w:color w:val="auto"/>
          <w:highlight w:val="none"/>
          <w:lang w:val="zh-CN"/>
        </w:rPr>
      </w:pPr>
      <w:r>
        <w:rPr>
          <w:rFonts w:hint="eastAsia"/>
          <w:b/>
          <w:bCs/>
          <w:color w:val="auto"/>
          <w:highlight w:val="none"/>
          <w:lang w:val="zh-CN"/>
        </w:rPr>
        <w:t>个性化</w:t>
      </w:r>
    </w:p>
    <w:p>
      <w:pPr>
        <w:pStyle w:val="3"/>
        <w:ind w:firstLine="480"/>
        <w:rPr>
          <w:color w:val="auto"/>
          <w:highlight w:val="none"/>
        </w:rPr>
      </w:pPr>
      <w:r>
        <w:rPr>
          <w:rFonts w:hint="eastAsia"/>
          <w:color w:val="auto"/>
          <w:highlight w:val="none"/>
        </w:rPr>
        <w:t>需</w:t>
      </w:r>
      <w:r>
        <w:rPr>
          <w:rFonts w:hint="eastAsia"/>
          <w:color w:val="auto"/>
          <w:highlight w:val="none"/>
          <w:lang w:val="zh-CN"/>
        </w:rPr>
        <w:t>提供系统级和用户级的个性化功能，提供主题定制、首选项配置、换肤和布局等个性化服务。</w:t>
      </w:r>
    </w:p>
    <w:p>
      <w:pPr>
        <w:numPr>
          <w:ilvl w:val="0"/>
          <w:numId w:val="11"/>
        </w:numPr>
        <w:rPr>
          <w:b/>
          <w:bCs/>
          <w:color w:val="auto"/>
          <w:highlight w:val="none"/>
          <w:lang w:val="zh-CN"/>
        </w:rPr>
      </w:pPr>
      <w:r>
        <w:rPr>
          <w:rFonts w:hint="eastAsia"/>
          <w:b/>
          <w:bCs/>
          <w:color w:val="auto"/>
          <w:highlight w:val="none"/>
          <w:lang w:val="zh-CN"/>
        </w:rPr>
        <w:t>其他功能</w:t>
      </w:r>
    </w:p>
    <w:p>
      <w:pPr>
        <w:pStyle w:val="3"/>
        <w:tabs>
          <w:tab w:val="left" w:pos="830"/>
        </w:tabs>
        <w:ind w:left="480" w:firstLine="0" w:firstLineChars="0"/>
        <w:rPr>
          <w:color w:val="auto"/>
          <w:highlight w:val="none"/>
        </w:rPr>
      </w:pPr>
      <w:r>
        <w:rPr>
          <w:rFonts w:hint="eastAsia"/>
          <w:color w:val="auto"/>
          <w:highlight w:val="none"/>
        </w:rPr>
        <w:t>需支持流程版本控制，可多版本流程共存。</w:t>
      </w:r>
    </w:p>
    <w:p>
      <w:pPr>
        <w:pStyle w:val="3"/>
        <w:tabs>
          <w:tab w:val="left" w:pos="830"/>
        </w:tabs>
        <w:ind w:left="480" w:firstLine="0" w:firstLineChars="0"/>
        <w:rPr>
          <w:color w:val="auto"/>
          <w:highlight w:val="none"/>
        </w:rPr>
      </w:pPr>
      <w:r>
        <w:rPr>
          <w:rFonts w:hint="eastAsia"/>
          <w:color w:val="auto"/>
          <w:highlight w:val="none"/>
        </w:rPr>
        <w:t>需支持工作日历，工作日与工作时间设定。</w:t>
      </w:r>
    </w:p>
    <w:p>
      <w:pPr>
        <w:pStyle w:val="3"/>
        <w:tabs>
          <w:tab w:val="left" w:pos="830"/>
        </w:tabs>
        <w:ind w:left="480" w:firstLine="0" w:firstLineChars="0"/>
        <w:rPr>
          <w:color w:val="auto"/>
          <w:highlight w:val="none"/>
        </w:rPr>
      </w:pPr>
      <w:r>
        <w:rPr>
          <w:rFonts w:hint="eastAsia"/>
          <w:color w:val="auto"/>
          <w:highlight w:val="none"/>
        </w:rPr>
        <w:t>需支持流程超时提醒。</w:t>
      </w:r>
    </w:p>
    <w:p>
      <w:pPr>
        <w:pStyle w:val="3"/>
        <w:tabs>
          <w:tab w:val="left" w:pos="830"/>
        </w:tabs>
        <w:ind w:left="480" w:firstLine="0" w:firstLineChars="0"/>
        <w:rPr>
          <w:color w:val="auto"/>
          <w:highlight w:val="none"/>
        </w:rPr>
      </w:pPr>
      <w:r>
        <w:rPr>
          <w:rFonts w:hint="eastAsia"/>
          <w:color w:val="auto"/>
          <w:highlight w:val="none"/>
        </w:rPr>
        <w:t>需支持流程异常提醒。</w:t>
      </w:r>
    </w:p>
    <w:p>
      <w:pPr>
        <w:pStyle w:val="3"/>
        <w:tabs>
          <w:tab w:val="left" w:pos="830"/>
        </w:tabs>
        <w:ind w:left="480" w:firstLine="0" w:firstLineChars="0"/>
        <w:rPr>
          <w:color w:val="auto"/>
          <w:highlight w:val="none"/>
        </w:rPr>
      </w:pPr>
      <w:r>
        <w:rPr>
          <w:rFonts w:hint="eastAsia"/>
          <w:color w:val="auto"/>
          <w:highlight w:val="none"/>
        </w:rPr>
        <w:t>需支持批量人员异动处理。</w:t>
      </w:r>
    </w:p>
    <w:p>
      <w:pPr>
        <w:pStyle w:val="3"/>
        <w:tabs>
          <w:tab w:val="left" w:pos="830"/>
        </w:tabs>
        <w:ind w:left="480" w:firstLine="0" w:firstLineChars="0"/>
        <w:rPr>
          <w:color w:val="auto"/>
          <w:highlight w:val="none"/>
        </w:rPr>
      </w:pPr>
      <w:r>
        <w:rPr>
          <w:rFonts w:hint="eastAsia"/>
          <w:color w:val="auto"/>
          <w:highlight w:val="none"/>
        </w:rPr>
        <w:t>需支持动态调整流程。</w:t>
      </w:r>
    </w:p>
    <w:p>
      <w:pPr>
        <w:numPr>
          <w:ilvl w:val="0"/>
          <w:numId w:val="11"/>
        </w:numPr>
        <w:rPr>
          <w:b/>
          <w:bCs/>
          <w:color w:val="auto"/>
          <w:highlight w:val="none"/>
          <w:lang w:val="zh-CN"/>
        </w:rPr>
      </w:pPr>
      <w:r>
        <w:rPr>
          <w:rFonts w:hint="eastAsia"/>
          <w:b/>
          <w:bCs/>
          <w:color w:val="auto"/>
          <w:highlight w:val="none"/>
          <w:lang w:val="zh-CN"/>
        </w:rPr>
        <w:t>流程审批需求</w:t>
      </w:r>
    </w:p>
    <w:p>
      <w:pPr>
        <w:pStyle w:val="3"/>
        <w:ind w:firstLine="480"/>
        <w:rPr>
          <w:color w:val="auto"/>
          <w:highlight w:val="none"/>
        </w:rPr>
      </w:pPr>
      <w:r>
        <w:rPr>
          <w:rFonts w:hint="eastAsia"/>
          <w:color w:val="auto"/>
          <w:highlight w:val="none"/>
        </w:rPr>
        <w:t>需提供流程快速实施能力，可通过简单的配置实现流程引擎平台项目流程审批的需求。</w:t>
      </w:r>
    </w:p>
    <w:p>
      <w:pPr>
        <w:pStyle w:val="3"/>
        <w:ind w:firstLine="480"/>
        <w:rPr>
          <w:color w:val="auto"/>
          <w:highlight w:val="none"/>
        </w:rPr>
      </w:pPr>
      <w:r>
        <w:rPr>
          <w:rFonts w:hint="eastAsia"/>
          <w:color w:val="auto"/>
          <w:highlight w:val="none"/>
        </w:rPr>
        <w:t>需支持新的公共组件的快速开发，实现组件的不断积累和复用。</w:t>
      </w:r>
    </w:p>
    <w:p>
      <w:pPr>
        <w:pStyle w:val="3"/>
        <w:ind w:firstLine="480"/>
        <w:rPr>
          <w:color w:val="auto"/>
          <w:highlight w:val="none"/>
        </w:rPr>
      </w:pPr>
      <w:r>
        <w:rPr>
          <w:rFonts w:hint="eastAsia"/>
          <w:color w:val="auto"/>
          <w:highlight w:val="none"/>
        </w:rPr>
        <w:t>需提供驳回、抄送通知、添加附件及权限控制、选择审批人员、沟通、撤回、审批意见、委托、办理者相同忽略执行、回退、参与者等功能。</w:t>
      </w:r>
    </w:p>
    <w:p>
      <w:pPr>
        <w:numPr>
          <w:ilvl w:val="0"/>
          <w:numId w:val="11"/>
        </w:numPr>
        <w:rPr>
          <w:b/>
          <w:bCs/>
          <w:color w:val="auto"/>
          <w:highlight w:val="none"/>
          <w:lang w:val="zh-CN"/>
        </w:rPr>
      </w:pPr>
      <w:r>
        <w:rPr>
          <w:rFonts w:hint="eastAsia"/>
          <w:b/>
          <w:bCs/>
          <w:color w:val="auto"/>
          <w:highlight w:val="none"/>
          <w:lang w:val="zh-CN"/>
        </w:rPr>
        <w:t>开发要求</w:t>
      </w:r>
    </w:p>
    <w:p>
      <w:pPr>
        <w:pStyle w:val="3"/>
        <w:ind w:firstLine="480"/>
        <w:rPr>
          <w:color w:val="auto"/>
          <w:highlight w:val="none"/>
        </w:rPr>
      </w:pPr>
      <w:r>
        <w:rPr>
          <w:rFonts w:hint="eastAsia"/>
          <w:color w:val="auto"/>
          <w:highlight w:val="none"/>
        </w:rPr>
        <w:t>本次须基于工作流引擎及其他必要的支撑组件，构建场景如下：民警个人综合画像、民警（年度工作）轨迹、民警个人纪律性专项评估、工作绩效专项评估、工作压力专项评估、民警知识技能专项评估、团队重大活动表现评估、罪犯综合画像、罪犯分级处遇方案推荐、罪犯危险性评估、罪犯心理状态评估、罪犯心理危机干预、罪犯惩戒合理性统计分析、罪犯个性化教育改造方案推荐、罪犯减刑/假释方案推荐、罪犯出监评估、“出狱随身盘”、安保等级评估、隐患及风险分析、警力需求评估、廉政风险评估、信访综合统计分析、专项督察线索分析、情报评估分析、设备告警关联合理性评估、安防设备健康度评估、综合智能搜索、重要会见活动全向记录及多维分析。</w:t>
      </w:r>
    </w:p>
    <w:bookmarkEnd w:id="19"/>
    <w:p>
      <w:pPr>
        <w:pStyle w:val="7"/>
        <w:rPr>
          <w:color w:val="auto"/>
          <w:highlight w:val="none"/>
        </w:rPr>
      </w:pPr>
      <w:r>
        <w:rPr>
          <w:rFonts w:hint="eastAsia"/>
          <w:color w:val="auto"/>
          <w:highlight w:val="none"/>
        </w:rPr>
        <w:t>消息中心</w:t>
      </w:r>
    </w:p>
    <w:p>
      <w:pPr>
        <w:pStyle w:val="3"/>
        <w:ind w:firstLine="480"/>
        <w:rPr>
          <w:color w:val="auto"/>
          <w:highlight w:val="none"/>
        </w:rPr>
      </w:pPr>
      <w:r>
        <w:rPr>
          <w:rFonts w:hint="eastAsia"/>
          <w:color w:val="auto"/>
          <w:highlight w:val="none"/>
        </w:rPr>
        <w:t>承载本项目其它业务模块的消息通讯功能需求，提供功能包括：消息类型配置、消息模板配置、消息推送策略、消息缓存与重发、消息群组管理、消息日志、消息订阅、接收消息。</w:t>
      </w:r>
    </w:p>
    <w:p>
      <w:pPr>
        <w:pStyle w:val="7"/>
        <w:rPr>
          <w:color w:val="auto"/>
          <w:highlight w:val="none"/>
        </w:rPr>
      </w:pPr>
      <w:r>
        <w:rPr>
          <w:rFonts w:hint="eastAsia"/>
          <w:color w:val="auto"/>
          <w:highlight w:val="none"/>
        </w:rPr>
        <w:t>缓存服务</w:t>
      </w:r>
    </w:p>
    <w:p>
      <w:pPr>
        <w:pStyle w:val="3"/>
        <w:ind w:firstLine="480"/>
        <w:rPr>
          <w:color w:val="auto"/>
          <w:highlight w:val="none"/>
        </w:rPr>
      </w:pPr>
      <w:r>
        <w:rPr>
          <w:rFonts w:hint="eastAsia"/>
          <w:color w:val="auto"/>
          <w:highlight w:val="none"/>
        </w:rPr>
        <w:t>承载本项目其它业务模块的缓存功能需求，提供以下功能：缓存集群、数据层缓存策略设计开发、业务层缓存策略设计开发、安防感知层缓存策略设计开发。</w:t>
      </w:r>
    </w:p>
    <w:p>
      <w:pPr>
        <w:pStyle w:val="6"/>
        <w:rPr>
          <w:color w:val="auto"/>
          <w:highlight w:val="none"/>
        </w:rPr>
      </w:pPr>
      <w:r>
        <w:rPr>
          <w:rFonts w:hint="eastAsia"/>
          <w:color w:val="auto"/>
          <w:highlight w:val="none"/>
        </w:rPr>
        <w:t>产品选型要求</w:t>
      </w:r>
    </w:p>
    <w:p>
      <w:pPr>
        <w:pStyle w:val="7"/>
        <w:rPr>
          <w:color w:val="auto"/>
          <w:highlight w:val="none"/>
        </w:rPr>
      </w:pPr>
      <w:r>
        <w:rPr>
          <w:rFonts w:hint="eastAsia"/>
          <w:color w:val="auto"/>
          <w:highlight w:val="none"/>
        </w:rPr>
        <w:t>综合运维安全态势感知管理</w:t>
      </w:r>
    </w:p>
    <w:p>
      <w:pPr>
        <w:pStyle w:val="3"/>
        <w:ind w:firstLine="480"/>
        <w:rPr>
          <w:color w:val="auto"/>
          <w:highlight w:val="none"/>
        </w:rPr>
      </w:pPr>
      <w:r>
        <w:rPr>
          <w:rFonts w:hint="eastAsia"/>
          <w:color w:val="auto"/>
          <w:highlight w:val="none"/>
        </w:rPr>
        <w:t>采购成熟的综合运维安全态势感知管理系统，以下产品功能要求中，带“▲”的为重要指标，需提供截图或相关文件证明。投标的产品或模块应满足以下功能要求：</w:t>
      </w:r>
    </w:p>
    <w:p>
      <w:pPr>
        <w:pStyle w:val="3"/>
        <w:ind w:firstLine="480"/>
        <w:rPr>
          <w:color w:val="auto"/>
          <w:highlight w:val="none"/>
        </w:rPr>
      </w:pPr>
    </w:p>
    <w:tbl>
      <w:tblPr>
        <w:tblStyle w:val="35"/>
        <w:tblW w:w="8120" w:type="dxa"/>
        <w:tblInd w:w="0" w:type="dxa"/>
        <w:tblLayout w:type="autofit"/>
        <w:tblCellMar>
          <w:top w:w="0" w:type="dxa"/>
          <w:left w:w="108" w:type="dxa"/>
          <w:bottom w:w="0" w:type="dxa"/>
          <w:right w:w="108" w:type="dxa"/>
        </w:tblCellMar>
      </w:tblPr>
      <w:tblGrid>
        <w:gridCol w:w="1480"/>
        <w:gridCol w:w="2080"/>
        <w:gridCol w:w="4560"/>
      </w:tblGrid>
      <w:tr>
        <w:tblPrEx>
          <w:tblCellMar>
            <w:top w:w="0" w:type="dxa"/>
            <w:left w:w="108" w:type="dxa"/>
            <w:bottom w:w="0" w:type="dxa"/>
            <w:right w:w="108" w:type="dxa"/>
          </w:tblCellMar>
        </w:tblPrEx>
        <w:trPr>
          <w:trHeight w:val="290" w:hRule="atLeast"/>
        </w:trPr>
        <w:tc>
          <w:tcPr>
            <w:tcW w:w="1480" w:type="dxa"/>
            <w:tcBorders>
              <w:top w:val="single" w:color="auto" w:sz="4" w:space="0"/>
              <w:left w:val="single" w:color="auto" w:sz="4" w:space="0"/>
              <w:bottom w:val="single" w:color="auto" w:sz="4" w:space="0"/>
              <w:right w:val="single" w:color="auto" w:sz="4" w:space="0"/>
            </w:tcBorders>
            <w:shd w:val="clear" w:color="000000" w:fill="F2F2F2"/>
            <w:vAlign w:val="center"/>
          </w:tcPr>
          <w:p>
            <w:pPr>
              <w:jc w:val="center"/>
              <w:rPr>
                <w:rFonts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分类</w:t>
            </w:r>
          </w:p>
        </w:tc>
        <w:tc>
          <w:tcPr>
            <w:tcW w:w="2080" w:type="dxa"/>
            <w:tcBorders>
              <w:top w:val="single" w:color="auto" w:sz="4" w:space="0"/>
              <w:left w:val="nil"/>
              <w:bottom w:val="single" w:color="auto" w:sz="4" w:space="0"/>
              <w:right w:val="single" w:color="auto" w:sz="4" w:space="0"/>
            </w:tcBorders>
            <w:shd w:val="clear" w:color="000000" w:fill="F2F2F2"/>
            <w:vAlign w:val="center"/>
          </w:tcPr>
          <w:p>
            <w:pPr>
              <w:jc w:val="center"/>
              <w:rPr>
                <w:rFonts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功能</w:t>
            </w:r>
          </w:p>
        </w:tc>
        <w:tc>
          <w:tcPr>
            <w:tcW w:w="4560" w:type="dxa"/>
            <w:tcBorders>
              <w:top w:val="single" w:color="auto" w:sz="4" w:space="0"/>
              <w:left w:val="nil"/>
              <w:bottom w:val="single" w:color="auto" w:sz="4" w:space="0"/>
              <w:right w:val="single" w:color="auto" w:sz="4" w:space="0"/>
            </w:tcBorders>
            <w:shd w:val="clear" w:color="000000" w:fill="F2F2F2"/>
            <w:vAlign w:val="center"/>
          </w:tcPr>
          <w:p>
            <w:pPr>
              <w:jc w:val="center"/>
              <w:rPr>
                <w:rFonts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功能描述</w:t>
            </w:r>
          </w:p>
        </w:tc>
      </w:tr>
      <w:tr>
        <w:tblPrEx>
          <w:tblCellMar>
            <w:top w:w="0" w:type="dxa"/>
            <w:left w:w="108" w:type="dxa"/>
            <w:bottom w:w="0" w:type="dxa"/>
            <w:right w:w="108" w:type="dxa"/>
          </w:tblCellMar>
        </w:tblPrEx>
        <w:trPr>
          <w:trHeight w:val="1700" w:hRule="atLeast"/>
        </w:trPr>
        <w:tc>
          <w:tcPr>
            <w:tcW w:w="148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jc w:val="center"/>
              <w:rPr>
                <w:rFonts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态势展示</w:t>
            </w:r>
          </w:p>
        </w:tc>
        <w:tc>
          <w:tcPr>
            <w:tcW w:w="2080" w:type="dxa"/>
            <w:vMerge w:val="restart"/>
            <w:tcBorders>
              <w:top w:val="single" w:color="auto" w:sz="8" w:space="0"/>
              <w:left w:val="single" w:color="auto" w:sz="8" w:space="0"/>
              <w:bottom w:val="single" w:color="000000"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综合态势展示</w:t>
            </w:r>
          </w:p>
        </w:tc>
        <w:tc>
          <w:tcPr>
            <w:tcW w:w="4560" w:type="dxa"/>
            <w:tcBorders>
              <w:top w:val="single" w:color="auto" w:sz="8" w:space="0"/>
              <w:left w:val="nil"/>
              <w:bottom w:val="single" w:color="auto"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大屏展示态势，包括漏洞态势、全网态势、威胁态势、恶意程序态势、资产态势、安全底图、攻击态势、安全处置、全域态势、网站监测和态势三屏。大屏展示支持时间设置，并且可以从态势大屏中下钻跳转到相关信息的详细页；</w:t>
            </w:r>
          </w:p>
        </w:tc>
      </w:tr>
      <w:tr>
        <w:tblPrEx>
          <w:tblCellMar>
            <w:top w:w="0" w:type="dxa"/>
            <w:left w:w="108" w:type="dxa"/>
            <w:bottom w:w="0" w:type="dxa"/>
            <w:right w:w="108" w:type="dxa"/>
          </w:tblCellMar>
        </w:tblPrEx>
        <w:trPr>
          <w:trHeight w:val="1440" w:hRule="atLeast"/>
        </w:trPr>
        <w:tc>
          <w:tcPr>
            <w:tcW w:w="1480" w:type="dxa"/>
            <w:vMerge w:val="continue"/>
            <w:tcBorders>
              <w:top w:val="single" w:color="auto" w:sz="8" w:space="0"/>
              <w:left w:val="single" w:color="auto" w:sz="8" w:space="0"/>
              <w:bottom w:val="single" w:color="000000" w:sz="8" w:space="0"/>
              <w:right w:val="single" w:color="auto" w:sz="8" w:space="0"/>
            </w:tcBorders>
            <w:vAlign w:val="center"/>
          </w:tcPr>
          <w:p>
            <w:pPr>
              <w:rPr>
                <w:rFonts w:ascii="宋体" w:hAnsi="宋体" w:eastAsia="宋体" w:cs="宋体"/>
                <w:b/>
                <w:bCs/>
                <w:color w:val="auto"/>
                <w:sz w:val="22"/>
                <w:szCs w:val="22"/>
                <w:highlight w:val="none"/>
              </w:rPr>
            </w:pPr>
          </w:p>
        </w:tc>
        <w:tc>
          <w:tcPr>
            <w:tcW w:w="2080" w:type="dxa"/>
            <w:vMerge w:val="continue"/>
            <w:tcBorders>
              <w:top w:val="single" w:color="auto" w:sz="8" w:space="0"/>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支持通过拖拽方式自定义大屏界面展示顺序，支持多种展示方式，包括但不限于拓扑、全国、世界、上海、实时数据、历史数据等。支持logo、大屏超时设置和介绍文案。大屏展示支持多种地图和拓扑展示方式。</w:t>
            </w:r>
          </w:p>
        </w:tc>
      </w:tr>
      <w:tr>
        <w:tblPrEx>
          <w:tblCellMar>
            <w:top w:w="0" w:type="dxa"/>
            <w:left w:w="108" w:type="dxa"/>
            <w:bottom w:w="0" w:type="dxa"/>
            <w:right w:w="108" w:type="dxa"/>
          </w:tblCellMar>
        </w:tblPrEx>
        <w:trPr>
          <w:trHeight w:val="1430" w:hRule="atLeast"/>
        </w:trPr>
        <w:tc>
          <w:tcPr>
            <w:tcW w:w="1480" w:type="dxa"/>
            <w:vMerge w:val="continue"/>
            <w:tcBorders>
              <w:top w:val="single" w:color="auto" w:sz="8" w:space="0"/>
              <w:left w:val="single" w:color="auto" w:sz="8" w:space="0"/>
              <w:bottom w:val="single" w:color="000000" w:sz="8" w:space="0"/>
              <w:right w:val="single" w:color="auto" w:sz="8" w:space="0"/>
            </w:tcBorders>
            <w:vAlign w:val="center"/>
          </w:tcPr>
          <w:p>
            <w:pPr>
              <w:rPr>
                <w:rFonts w:ascii="宋体" w:hAnsi="宋体" w:eastAsia="宋体" w:cs="宋体"/>
                <w:b/>
                <w:bCs/>
                <w:color w:val="auto"/>
                <w:sz w:val="22"/>
                <w:szCs w:val="22"/>
                <w:highlight w:val="none"/>
              </w:rPr>
            </w:pPr>
          </w:p>
        </w:tc>
        <w:tc>
          <w:tcPr>
            <w:tcW w:w="2080" w:type="dxa"/>
            <w:vMerge w:val="restart"/>
            <w:tcBorders>
              <w:top w:val="nil"/>
              <w:left w:val="single" w:color="auto" w:sz="8" w:space="0"/>
              <w:bottom w:val="single" w:color="000000"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全局总览</w:t>
            </w: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支持展示内容包括全网资产概述、告警趋势、漏洞概况、防护设备日志监测概况、攻击趋势、最新告警、告警统计、安全指数和威胁类型排行等</w:t>
            </w:r>
          </w:p>
        </w:tc>
      </w:tr>
      <w:tr>
        <w:tblPrEx>
          <w:tblCellMar>
            <w:top w:w="0" w:type="dxa"/>
            <w:left w:w="108" w:type="dxa"/>
            <w:bottom w:w="0" w:type="dxa"/>
            <w:right w:w="108" w:type="dxa"/>
          </w:tblCellMar>
        </w:tblPrEx>
        <w:trPr>
          <w:trHeight w:val="870" w:hRule="atLeast"/>
        </w:trPr>
        <w:tc>
          <w:tcPr>
            <w:tcW w:w="1480" w:type="dxa"/>
            <w:vMerge w:val="continue"/>
            <w:tcBorders>
              <w:top w:val="single" w:color="auto" w:sz="8" w:space="0"/>
              <w:left w:val="single" w:color="auto" w:sz="8" w:space="0"/>
              <w:bottom w:val="single" w:color="000000" w:sz="8" w:space="0"/>
              <w:right w:val="single" w:color="auto" w:sz="8" w:space="0"/>
            </w:tcBorders>
            <w:vAlign w:val="center"/>
          </w:tcPr>
          <w:p>
            <w:pPr>
              <w:rPr>
                <w:rFonts w:ascii="宋体" w:hAnsi="宋体" w:eastAsia="宋体" w:cs="宋体"/>
                <w:b/>
                <w:bCs/>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Calibri"/>
                <w:color w:val="auto"/>
                <w:sz w:val="22"/>
                <w:szCs w:val="22"/>
                <w:highlight w:val="none"/>
              </w:rPr>
              <w:t>▲</w:t>
            </w:r>
            <w:r>
              <w:rPr>
                <w:rFonts w:ascii="宋体" w:hAnsi="宋体" w:eastAsia="宋体" w:cs="Calibri"/>
                <w:color w:val="auto"/>
                <w:sz w:val="22"/>
                <w:szCs w:val="22"/>
                <w:highlight w:val="none"/>
              </w:rPr>
              <w:t>17</w:t>
            </w:r>
            <w:r>
              <w:rPr>
                <w:rFonts w:hint="eastAsia" w:ascii="宋体" w:hAnsi="宋体" w:eastAsia="宋体" w:cs="宋体"/>
                <w:color w:val="auto"/>
                <w:sz w:val="22"/>
                <w:szCs w:val="22"/>
                <w:highlight w:val="none"/>
              </w:rPr>
              <w:t>支持</w:t>
            </w:r>
            <w:r>
              <w:rPr>
                <w:rFonts w:ascii="Calibri" w:hAnsi="Calibri" w:eastAsia="宋体" w:cs="Calibri"/>
                <w:color w:val="auto"/>
                <w:sz w:val="22"/>
                <w:szCs w:val="22"/>
                <w:highlight w:val="none"/>
              </w:rPr>
              <w:t>3D</w:t>
            </w:r>
            <w:r>
              <w:rPr>
                <w:rFonts w:hint="eastAsia" w:ascii="宋体" w:hAnsi="宋体" w:eastAsia="宋体" w:cs="宋体"/>
                <w:color w:val="auto"/>
                <w:sz w:val="22"/>
                <w:szCs w:val="22"/>
                <w:highlight w:val="none"/>
              </w:rPr>
              <w:t>地球动态展示攻击过程，支持以不同攻击线颜色区分攻击级别（提供产品截图并加盖厂商公章）。</w:t>
            </w:r>
          </w:p>
        </w:tc>
      </w:tr>
      <w:tr>
        <w:tblPrEx>
          <w:tblCellMar>
            <w:top w:w="0" w:type="dxa"/>
            <w:left w:w="108" w:type="dxa"/>
            <w:bottom w:w="0" w:type="dxa"/>
            <w:right w:w="108" w:type="dxa"/>
          </w:tblCellMar>
        </w:tblPrEx>
        <w:trPr>
          <w:trHeight w:val="2010" w:hRule="atLeast"/>
        </w:trPr>
        <w:tc>
          <w:tcPr>
            <w:tcW w:w="1480" w:type="dxa"/>
            <w:vMerge w:val="continue"/>
            <w:tcBorders>
              <w:top w:val="single" w:color="auto" w:sz="8" w:space="0"/>
              <w:left w:val="single" w:color="auto" w:sz="8" w:space="0"/>
              <w:bottom w:val="single" w:color="000000" w:sz="8" w:space="0"/>
              <w:right w:val="single" w:color="auto" w:sz="8" w:space="0"/>
            </w:tcBorders>
            <w:vAlign w:val="center"/>
          </w:tcPr>
          <w:p>
            <w:pPr>
              <w:rPr>
                <w:rFonts w:ascii="宋体" w:hAnsi="宋体" w:eastAsia="宋体" w:cs="宋体"/>
                <w:b/>
                <w:bCs/>
                <w:color w:val="auto"/>
                <w:sz w:val="22"/>
                <w:szCs w:val="22"/>
                <w:highlight w:val="none"/>
              </w:rPr>
            </w:pPr>
          </w:p>
        </w:tc>
        <w:tc>
          <w:tcPr>
            <w:tcW w:w="2080" w:type="dxa"/>
            <w:tcBorders>
              <w:top w:val="nil"/>
              <w:left w:val="nil"/>
              <w:bottom w:val="single" w:color="auto"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威胁感知</w:t>
            </w: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支持对全网流量的威胁攻击事件按照威胁源总数、境内</w:t>
            </w:r>
            <w:r>
              <w:rPr>
                <w:rFonts w:ascii="Calibri" w:hAnsi="Calibri" w:eastAsia="等线" w:cs="Calibri"/>
                <w:color w:val="auto"/>
                <w:sz w:val="22"/>
                <w:szCs w:val="22"/>
                <w:highlight w:val="none"/>
              </w:rPr>
              <w:t>/</w:t>
            </w:r>
            <w:r>
              <w:rPr>
                <w:rFonts w:hint="eastAsia" w:ascii="宋体" w:hAnsi="宋体" w:eastAsia="宋体" w:cs="Calibri"/>
                <w:color w:val="auto"/>
                <w:sz w:val="22"/>
                <w:szCs w:val="22"/>
                <w:highlight w:val="none"/>
              </w:rPr>
              <w:t>外威胁源、内网威胁源、发起攻击最多威胁源排行、攻击最多威胁类型排行分类统计分析，通过对境外威胁攻击、境内威胁攻击进行全面监控，并按照区域威胁力度生成热力地图。</w:t>
            </w:r>
          </w:p>
        </w:tc>
      </w:tr>
      <w:tr>
        <w:tblPrEx>
          <w:tblCellMar>
            <w:top w:w="0" w:type="dxa"/>
            <w:left w:w="108" w:type="dxa"/>
            <w:bottom w:w="0" w:type="dxa"/>
            <w:right w:w="108" w:type="dxa"/>
          </w:tblCellMar>
        </w:tblPrEx>
        <w:trPr>
          <w:trHeight w:val="2000" w:hRule="atLeast"/>
        </w:trPr>
        <w:tc>
          <w:tcPr>
            <w:tcW w:w="1480" w:type="dxa"/>
            <w:vMerge w:val="continue"/>
            <w:tcBorders>
              <w:top w:val="single" w:color="auto" w:sz="8" w:space="0"/>
              <w:left w:val="single" w:color="auto" w:sz="8" w:space="0"/>
              <w:bottom w:val="single" w:color="000000" w:sz="8" w:space="0"/>
              <w:right w:val="single" w:color="auto" w:sz="8" w:space="0"/>
            </w:tcBorders>
            <w:vAlign w:val="center"/>
          </w:tcPr>
          <w:p>
            <w:pPr>
              <w:rPr>
                <w:rFonts w:ascii="宋体" w:hAnsi="宋体" w:eastAsia="宋体" w:cs="宋体"/>
                <w:b/>
                <w:bCs/>
                <w:color w:val="auto"/>
                <w:sz w:val="22"/>
                <w:szCs w:val="22"/>
                <w:highlight w:val="none"/>
              </w:rPr>
            </w:pPr>
          </w:p>
        </w:tc>
        <w:tc>
          <w:tcPr>
            <w:tcW w:w="2080" w:type="dxa"/>
            <w:vMerge w:val="restart"/>
            <w:tcBorders>
              <w:top w:val="nil"/>
              <w:left w:val="single" w:color="auto" w:sz="8" w:space="0"/>
              <w:bottom w:val="single" w:color="000000"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防护地图</w:t>
            </w:r>
          </w:p>
        </w:tc>
        <w:tc>
          <w:tcPr>
            <w:tcW w:w="4560" w:type="dxa"/>
            <w:tcBorders>
              <w:top w:val="nil"/>
              <w:left w:val="nil"/>
              <w:bottom w:val="single" w:color="auto"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w:t>
            </w:r>
            <w:r>
              <w:rPr>
                <w:rFonts w:ascii="宋体" w:hAnsi="宋体" w:eastAsia="宋体" w:cs="宋体"/>
                <w:color w:val="auto"/>
                <w:sz w:val="22"/>
                <w:szCs w:val="22"/>
                <w:highlight w:val="none"/>
              </w:rPr>
              <w:t>18</w:t>
            </w:r>
            <w:r>
              <w:rPr>
                <w:rFonts w:hint="eastAsia" w:ascii="宋体" w:hAnsi="宋体" w:eastAsia="宋体" w:cs="宋体"/>
                <w:color w:val="auto"/>
                <w:sz w:val="22"/>
                <w:szCs w:val="22"/>
                <w:highlight w:val="none"/>
              </w:rPr>
              <w:t>支持对设备防护地图进行展示，包括但不限于全网的防护设备概况、防护设备安全保障能力概况，支持按类型展现防护设备安全保障能力，包括但不限于攻击流量检测、网络访问控制、脆弱性发现、</w:t>
            </w:r>
            <w:r>
              <w:rPr>
                <w:rFonts w:ascii="Calibri" w:hAnsi="Calibri" w:eastAsia="宋体" w:cs="Calibri"/>
                <w:color w:val="auto"/>
                <w:sz w:val="22"/>
                <w:szCs w:val="22"/>
                <w:highlight w:val="none"/>
              </w:rPr>
              <w:t>VPN</w:t>
            </w:r>
            <w:r>
              <w:rPr>
                <w:rFonts w:hint="eastAsia" w:ascii="宋体" w:hAnsi="宋体" w:eastAsia="宋体" w:cs="宋体"/>
                <w:color w:val="auto"/>
                <w:sz w:val="22"/>
                <w:szCs w:val="22"/>
                <w:highlight w:val="none"/>
              </w:rPr>
              <w:t>接入、终端安全防护等类别。（提供产品截图并加盖厂商公章）；</w:t>
            </w:r>
          </w:p>
        </w:tc>
      </w:tr>
      <w:tr>
        <w:tblPrEx>
          <w:tblCellMar>
            <w:top w:w="0" w:type="dxa"/>
            <w:left w:w="108" w:type="dxa"/>
            <w:bottom w:w="0" w:type="dxa"/>
            <w:right w:w="108" w:type="dxa"/>
          </w:tblCellMar>
        </w:tblPrEx>
        <w:trPr>
          <w:trHeight w:val="870" w:hRule="atLeast"/>
        </w:trPr>
        <w:tc>
          <w:tcPr>
            <w:tcW w:w="1480" w:type="dxa"/>
            <w:vMerge w:val="continue"/>
            <w:tcBorders>
              <w:top w:val="single" w:color="auto" w:sz="8" w:space="0"/>
              <w:left w:val="single" w:color="auto" w:sz="8" w:space="0"/>
              <w:bottom w:val="single" w:color="000000" w:sz="8" w:space="0"/>
              <w:right w:val="single" w:color="auto" w:sz="8" w:space="0"/>
            </w:tcBorders>
            <w:vAlign w:val="center"/>
          </w:tcPr>
          <w:p>
            <w:pPr>
              <w:rPr>
                <w:rFonts w:ascii="宋体" w:hAnsi="宋体" w:eastAsia="宋体" w:cs="宋体"/>
                <w:b/>
                <w:bCs/>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支持对安全人员底图进行展示，包括但不限于安全人员数量、处置告警数量等。</w:t>
            </w:r>
          </w:p>
        </w:tc>
      </w:tr>
      <w:tr>
        <w:tblPrEx>
          <w:tblCellMar>
            <w:top w:w="0" w:type="dxa"/>
            <w:left w:w="108" w:type="dxa"/>
            <w:bottom w:w="0" w:type="dxa"/>
            <w:right w:w="108" w:type="dxa"/>
          </w:tblCellMar>
        </w:tblPrEx>
        <w:trPr>
          <w:trHeight w:val="1150" w:hRule="atLeast"/>
        </w:trPr>
        <w:tc>
          <w:tcPr>
            <w:tcW w:w="1480" w:type="dxa"/>
            <w:vMerge w:val="continue"/>
            <w:tcBorders>
              <w:top w:val="single" w:color="auto" w:sz="8" w:space="0"/>
              <w:left w:val="single" w:color="auto" w:sz="8" w:space="0"/>
              <w:bottom w:val="single" w:color="000000" w:sz="8" w:space="0"/>
              <w:right w:val="single" w:color="auto" w:sz="8" w:space="0"/>
            </w:tcBorders>
            <w:vAlign w:val="center"/>
          </w:tcPr>
          <w:p>
            <w:pPr>
              <w:rPr>
                <w:rFonts w:ascii="宋体" w:hAnsi="宋体" w:eastAsia="宋体" w:cs="宋体"/>
                <w:b/>
                <w:bCs/>
                <w:color w:val="auto"/>
                <w:sz w:val="22"/>
                <w:szCs w:val="22"/>
                <w:highlight w:val="none"/>
              </w:rPr>
            </w:pPr>
          </w:p>
        </w:tc>
        <w:tc>
          <w:tcPr>
            <w:tcW w:w="2080" w:type="dxa"/>
            <w:tcBorders>
              <w:top w:val="nil"/>
              <w:left w:val="nil"/>
              <w:bottom w:val="single" w:color="auto"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处置进展</w:t>
            </w: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支持告警总数、处置率、处置情况、告警类型排行、告警趋势、最新告警、告警处置人分布等信息展示，并支持下钻。</w:t>
            </w:r>
          </w:p>
        </w:tc>
      </w:tr>
      <w:tr>
        <w:tblPrEx>
          <w:tblCellMar>
            <w:top w:w="0" w:type="dxa"/>
            <w:left w:w="108" w:type="dxa"/>
            <w:bottom w:w="0" w:type="dxa"/>
            <w:right w:w="108" w:type="dxa"/>
          </w:tblCellMar>
        </w:tblPrEx>
        <w:trPr>
          <w:trHeight w:val="1710" w:hRule="atLeast"/>
        </w:trPr>
        <w:tc>
          <w:tcPr>
            <w:tcW w:w="1480" w:type="dxa"/>
            <w:vMerge w:val="continue"/>
            <w:tcBorders>
              <w:top w:val="single" w:color="auto" w:sz="8" w:space="0"/>
              <w:left w:val="single" w:color="auto" w:sz="8" w:space="0"/>
              <w:bottom w:val="single" w:color="000000" w:sz="8" w:space="0"/>
              <w:right w:val="single" w:color="auto" w:sz="8" w:space="0"/>
            </w:tcBorders>
            <w:vAlign w:val="center"/>
          </w:tcPr>
          <w:p>
            <w:pPr>
              <w:rPr>
                <w:rFonts w:ascii="宋体" w:hAnsi="宋体" w:eastAsia="宋体" w:cs="宋体"/>
                <w:b/>
                <w:bCs/>
                <w:color w:val="auto"/>
                <w:sz w:val="22"/>
                <w:szCs w:val="22"/>
                <w:highlight w:val="none"/>
              </w:rPr>
            </w:pPr>
          </w:p>
        </w:tc>
        <w:tc>
          <w:tcPr>
            <w:tcW w:w="2080" w:type="dxa"/>
            <w:vMerge w:val="restart"/>
            <w:tcBorders>
              <w:top w:val="nil"/>
              <w:left w:val="single" w:color="auto" w:sz="8" w:space="0"/>
              <w:bottom w:val="single" w:color="000000"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资产态势</w:t>
            </w: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支持通过资产视角或安全域视角查看资产概况，支持对遭受攻击最多资产排行、漏洞最多资产排行、性能异常资产列表、风险资产排行、风险安全域列表、风险业务系统排行等信息进行展示。</w:t>
            </w:r>
          </w:p>
        </w:tc>
      </w:tr>
      <w:tr>
        <w:tblPrEx>
          <w:tblCellMar>
            <w:top w:w="0" w:type="dxa"/>
            <w:left w:w="108" w:type="dxa"/>
            <w:bottom w:w="0" w:type="dxa"/>
            <w:right w:w="108" w:type="dxa"/>
          </w:tblCellMar>
        </w:tblPrEx>
        <w:trPr>
          <w:trHeight w:val="590" w:hRule="atLeast"/>
        </w:trPr>
        <w:tc>
          <w:tcPr>
            <w:tcW w:w="1480" w:type="dxa"/>
            <w:vMerge w:val="continue"/>
            <w:tcBorders>
              <w:top w:val="single" w:color="auto" w:sz="8" w:space="0"/>
              <w:left w:val="single" w:color="auto" w:sz="8" w:space="0"/>
              <w:bottom w:val="single" w:color="000000" w:sz="8" w:space="0"/>
              <w:right w:val="single" w:color="auto" w:sz="8" w:space="0"/>
            </w:tcBorders>
            <w:vAlign w:val="center"/>
          </w:tcPr>
          <w:p>
            <w:pPr>
              <w:rPr>
                <w:rFonts w:ascii="宋体" w:hAnsi="宋体" w:eastAsia="宋体" w:cs="宋体"/>
                <w:b/>
                <w:bCs/>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支持三个角度查看资产的安全情况，包括遭受攻击、现存漏洞、性能异常等；</w:t>
            </w:r>
          </w:p>
        </w:tc>
      </w:tr>
      <w:tr>
        <w:tblPrEx>
          <w:tblCellMar>
            <w:top w:w="0" w:type="dxa"/>
            <w:left w:w="108" w:type="dxa"/>
            <w:bottom w:w="0" w:type="dxa"/>
            <w:right w:w="108" w:type="dxa"/>
          </w:tblCellMar>
        </w:tblPrEx>
        <w:trPr>
          <w:trHeight w:val="1710" w:hRule="atLeast"/>
        </w:trPr>
        <w:tc>
          <w:tcPr>
            <w:tcW w:w="1480" w:type="dxa"/>
            <w:vMerge w:val="continue"/>
            <w:tcBorders>
              <w:top w:val="single" w:color="auto" w:sz="8" w:space="0"/>
              <w:left w:val="single" w:color="auto" w:sz="8" w:space="0"/>
              <w:bottom w:val="single" w:color="000000" w:sz="8" w:space="0"/>
              <w:right w:val="single" w:color="auto" w:sz="8" w:space="0"/>
            </w:tcBorders>
            <w:vAlign w:val="center"/>
          </w:tcPr>
          <w:p>
            <w:pPr>
              <w:rPr>
                <w:rFonts w:ascii="宋体" w:hAnsi="宋体" w:eastAsia="宋体" w:cs="宋体"/>
                <w:b/>
                <w:bCs/>
                <w:color w:val="auto"/>
                <w:sz w:val="22"/>
                <w:szCs w:val="22"/>
                <w:highlight w:val="none"/>
              </w:rPr>
            </w:pPr>
          </w:p>
        </w:tc>
        <w:tc>
          <w:tcPr>
            <w:tcW w:w="2080" w:type="dxa"/>
            <w:vMerge w:val="restart"/>
            <w:tcBorders>
              <w:top w:val="nil"/>
              <w:left w:val="single" w:color="auto" w:sz="8" w:space="0"/>
              <w:bottom w:val="single" w:color="000000"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漏洞感知</w:t>
            </w: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w:t>
            </w:r>
            <w:r>
              <w:rPr>
                <w:rFonts w:ascii="宋体" w:hAnsi="宋体" w:eastAsia="宋体" w:cs="Calibri"/>
                <w:color w:val="auto"/>
                <w:sz w:val="22"/>
                <w:szCs w:val="22"/>
                <w:highlight w:val="none"/>
              </w:rPr>
              <w:t>19</w:t>
            </w:r>
            <w:r>
              <w:rPr>
                <w:rFonts w:hint="eastAsia" w:ascii="宋体" w:hAnsi="宋体" w:eastAsia="宋体" w:cs="Calibri"/>
                <w:color w:val="auto"/>
                <w:sz w:val="22"/>
                <w:szCs w:val="22"/>
                <w:highlight w:val="none"/>
              </w:rPr>
              <w:t>支持查看漏洞概况、漏洞影响安全域数量、漏洞影响资产数量、漏洞影响业务系统数量、漏洞安全域漏洞排行、影响业务系统漏洞排行、影响资产漏洞排行、漏洞类型分布、漏洞级别对比、漏洞发现趋势等漏洞信息展示。（提供产品截图并加盖厂商公章）；</w:t>
            </w:r>
          </w:p>
        </w:tc>
      </w:tr>
      <w:tr>
        <w:tblPrEx>
          <w:tblCellMar>
            <w:top w:w="0" w:type="dxa"/>
            <w:left w:w="108" w:type="dxa"/>
            <w:bottom w:w="0" w:type="dxa"/>
            <w:right w:w="108" w:type="dxa"/>
          </w:tblCellMar>
        </w:tblPrEx>
        <w:trPr>
          <w:trHeight w:val="890" w:hRule="atLeast"/>
        </w:trPr>
        <w:tc>
          <w:tcPr>
            <w:tcW w:w="1480" w:type="dxa"/>
            <w:vMerge w:val="continue"/>
            <w:tcBorders>
              <w:top w:val="single" w:color="auto" w:sz="8" w:space="0"/>
              <w:left w:val="single" w:color="auto" w:sz="8" w:space="0"/>
              <w:bottom w:val="single" w:color="000000" w:sz="8" w:space="0"/>
              <w:right w:val="single" w:color="auto" w:sz="8" w:space="0"/>
            </w:tcBorders>
            <w:vAlign w:val="center"/>
          </w:tcPr>
          <w:p>
            <w:pPr>
              <w:rPr>
                <w:rFonts w:ascii="宋体" w:hAnsi="宋体" w:eastAsia="宋体" w:cs="宋体"/>
                <w:b/>
                <w:bCs/>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支持主动发现内网漏洞功能并关联资产，漏洞分析类型包含通用漏洞、Web安全漏洞和Windows安全漏洞等；</w:t>
            </w:r>
          </w:p>
        </w:tc>
      </w:tr>
      <w:tr>
        <w:tblPrEx>
          <w:tblCellMar>
            <w:top w:w="0" w:type="dxa"/>
            <w:left w:w="108" w:type="dxa"/>
            <w:bottom w:w="0" w:type="dxa"/>
            <w:right w:w="108" w:type="dxa"/>
          </w:tblCellMar>
        </w:tblPrEx>
        <w:trPr>
          <w:trHeight w:val="590" w:hRule="atLeast"/>
        </w:trPr>
        <w:tc>
          <w:tcPr>
            <w:tcW w:w="1480" w:type="dxa"/>
            <w:vMerge w:val="continue"/>
            <w:tcBorders>
              <w:top w:val="single" w:color="auto" w:sz="8" w:space="0"/>
              <w:left w:val="single" w:color="auto" w:sz="8" w:space="0"/>
              <w:bottom w:val="single" w:color="000000" w:sz="8" w:space="0"/>
              <w:right w:val="single" w:color="auto" w:sz="8" w:space="0"/>
            </w:tcBorders>
            <w:vAlign w:val="center"/>
          </w:tcPr>
          <w:p>
            <w:pPr>
              <w:rPr>
                <w:rFonts w:ascii="宋体" w:hAnsi="宋体" w:eastAsia="宋体" w:cs="宋体"/>
                <w:b/>
                <w:bCs/>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支持对重点漏洞、重点高危漏洞影响性分析，支持展示漏洞的名称及影响的资产数量。</w:t>
            </w:r>
          </w:p>
        </w:tc>
      </w:tr>
      <w:tr>
        <w:tblPrEx>
          <w:tblCellMar>
            <w:top w:w="0" w:type="dxa"/>
            <w:left w:w="108" w:type="dxa"/>
            <w:bottom w:w="0" w:type="dxa"/>
            <w:right w:w="108" w:type="dxa"/>
          </w:tblCellMar>
        </w:tblPrEx>
        <w:trPr>
          <w:trHeight w:val="1430" w:hRule="atLeast"/>
        </w:trPr>
        <w:tc>
          <w:tcPr>
            <w:tcW w:w="1480" w:type="dxa"/>
            <w:vMerge w:val="continue"/>
            <w:tcBorders>
              <w:top w:val="single" w:color="auto" w:sz="8" w:space="0"/>
              <w:left w:val="single" w:color="auto" w:sz="8" w:space="0"/>
              <w:bottom w:val="single" w:color="000000" w:sz="8" w:space="0"/>
              <w:right w:val="single" w:color="auto" w:sz="8" w:space="0"/>
            </w:tcBorders>
            <w:vAlign w:val="center"/>
          </w:tcPr>
          <w:p>
            <w:pPr>
              <w:rPr>
                <w:rFonts w:ascii="宋体" w:hAnsi="宋体" w:eastAsia="宋体" w:cs="宋体"/>
                <w:b/>
                <w:bCs/>
                <w:color w:val="auto"/>
                <w:sz w:val="22"/>
                <w:szCs w:val="22"/>
                <w:highlight w:val="none"/>
              </w:rPr>
            </w:pPr>
          </w:p>
        </w:tc>
        <w:tc>
          <w:tcPr>
            <w:tcW w:w="2080" w:type="dxa"/>
            <w:tcBorders>
              <w:top w:val="nil"/>
              <w:left w:val="nil"/>
              <w:bottom w:val="single" w:color="auto"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攻击感知</w:t>
            </w: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支持以全球地图实时展示网络攻击态势，支持以不同颜色攻击线展示攻击过程，支持攻击目的进行光晕显示，支持攻击源和攻击目的国家名称展示；</w:t>
            </w:r>
          </w:p>
        </w:tc>
      </w:tr>
      <w:tr>
        <w:tblPrEx>
          <w:tblCellMar>
            <w:top w:w="0" w:type="dxa"/>
            <w:left w:w="108" w:type="dxa"/>
            <w:bottom w:w="0" w:type="dxa"/>
            <w:right w:w="108" w:type="dxa"/>
          </w:tblCellMar>
        </w:tblPrEx>
        <w:trPr>
          <w:trHeight w:val="1430" w:hRule="atLeast"/>
        </w:trPr>
        <w:tc>
          <w:tcPr>
            <w:tcW w:w="1480" w:type="dxa"/>
            <w:vMerge w:val="continue"/>
            <w:tcBorders>
              <w:top w:val="single" w:color="auto" w:sz="8" w:space="0"/>
              <w:left w:val="single" w:color="auto" w:sz="8" w:space="0"/>
              <w:bottom w:val="single" w:color="000000" w:sz="8" w:space="0"/>
              <w:right w:val="single" w:color="auto" w:sz="8" w:space="0"/>
            </w:tcBorders>
            <w:vAlign w:val="center"/>
          </w:tcPr>
          <w:p>
            <w:pPr>
              <w:rPr>
                <w:rFonts w:ascii="宋体" w:hAnsi="宋体" w:eastAsia="宋体" w:cs="宋体"/>
                <w:b/>
                <w:bCs/>
                <w:color w:val="auto"/>
                <w:sz w:val="22"/>
                <w:szCs w:val="22"/>
                <w:highlight w:val="none"/>
              </w:rPr>
            </w:pPr>
          </w:p>
        </w:tc>
        <w:tc>
          <w:tcPr>
            <w:tcW w:w="2080" w:type="dxa"/>
            <w:vMerge w:val="restart"/>
            <w:tcBorders>
              <w:top w:val="nil"/>
              <w:left w:val="single" w:color="auto" w:sz="8" w:space="0"/>
              <w:bottom w:val="single" w:color="000000"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恶意程序感知</w:t>
            </w: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支持恶意程序类型概况、恶意程序传播源排行、恶意程序趋势、被攻击服务器排行、被攻击终端排行、恶意程序传播次数排行、被感染资产排行等信息展示；</w:t>
            </w:r>
          </w:p>
        </w:tc>
      </w:tr>
      <w:tr>
        <w:tblPrEx>
          <w:tblCellMar>
            <w:top w:w="0" w:type="dxa"/>
            <w:left w:w="108" w:type="dxa"/>
            <w:bottom w:w="0" w:type="dxa"/>
            <w:right w:w="108" w:type="dxa"/>
          </w:tblCellMar>
        </w:tblPrEx>
        <w:trPr>
          <w:trHeight w:val="1990" w:hRule="atLeast"/>
        </w:trPr>
        <w:tc>
          <w:tcPr>
            <w:tcW w:w="1480" w:type="dxa"/>
            <w:vMerge w:val="continue"/>
            <w:tcBorders>
              <w:top w:val="single" w:color="auto" w:sz="8" w:space="0"/>
              <w:left w:val="single" w:color="auto" w:sz="8" w:space="0"/>
              <w:bottom w:val="single" w:color="000000" w:sz="8" w:space="0"/>
              <w:right w:val="single" w:color="auto" w:sz="8" w:space="0"/>
            </w:tcBorders>
            <w:vAlign w:val="center"/>
          </w:tcPr>
          <w:p>
            <w:pPr>
              <w:rPr>
                <w:rFonts w:ascii="宋体" w:hAnsi="宋体" w:eastAsia="宋体" w:cs="宋体"/>
                <w:b/>
                <w:bCs/>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多维度恶意程序感染分析，包括但不限于木马、蠕虫、僵尸程序、勒索软件、挖矿等维度，支持展示各类恶意程序数量和占比，支持多维度轮播展示及开关控制，支持以关系图形式展示恶意程序攻击和感染路径，支持关系图缩放；</w:t>
            </w:r>
          </w:p>
        </w:tc>
      </w:tr>
      <w:tr>
        <w:tblPrEx>
          <w:tblCellMar>
            <w:top w:w="0" w:type="dxa"/>
            <w:left w:w="108" w:type="dxa"/>
            <w:bottom w:w="0" w:type="dxa"/>
            <w:right w:w="108" w:type="dxa"/>
          </w:tblCellMar>
        </w:tblPrEx>
        <w:trPr>
          <w:trHeight w:val="1430" w:hRule="atLeast"/>
        </w:trPr>
        <w:tc>
          <w:tcPr>
            <w:tcW w:w="1480" w:type="dxa"/>
            <w:vMerge w:val="continue"/>
            <w:tcBorders>
              <w:top w:val="single" w:color="auto" w:sz="8" w:space="0"/>
              <w:left w:val="single" w:color="auto" w:sz="8" w:space="0"/>
              <w:bottom w:val="single" w:color="000000" w:sz="8" w:space="0"/>
              <w:right w:val="single" w:color="auto" w:sz="8" w:space="0"/>
            </w:tcBorders>
            <w:vAlign w:val="center"/>
          </w:tcPr>
          <w:p>
            <w:pPr>
              <w:rPr>
                <w:rFonts w:ascii="宋体" w:hAnsi="宋体" w:eastAsia="宋体" w:cs="宋体"/>
                <w:b/>
                <w:bCs/>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支持全网恶意程序趋势动态监测，监测角度包括恶意程序传播源排行、恶意程序趋势、被攻击服务器排行、被攻击终端排行、恶意程序传播次数排行、被感染资产排行等。</w:t>
            </w:r>
          </w:p>
        </w:tc>
      </w:tr>
      <w:tr>
        <w:tblPrEx>
          <w:tblCellMar>
            <w:top w:w="0" w:type="dxa"/>
            <w:left w:w="108" w:type="dxa"/>
            <w:bottom w:w="0" w:type="dxa"/>
            <w:right w:w="108" w:type="dxa"/>
          </w:tblCellMar>
        </w:tblPrEx>
        <w:trPr>
          <w:trHeight w:val="1430" w:hRule="atLeast"/>
        </w:trPr>
        <w:tc>
          <w:tcPr>
            <w:tcW w:w="1480" w:type="dxa"/>
            <w:vMerge w:val="continue"/>
            <w:tcBorders>
              <w:top w:val="single" w:color="auto" w:sz="8" w:space="0"/>
              <w:left w:val="single" w:color="auto" w:sz="8" w:space="0"/>
              <w:bottom w:val="single" w:color="000000" w:sz="8" w:space="0"/>
              <w:right w:val="single" w:color="auto" w:sz="8" w:space="0"/>
            </w:tcBorders>
            <w:vAlign w:val="center"/>
          </w:tcPr>
          <w:p>
            <w:pPr>
              <w:rPr>
                <w:rFonts w:ascii="宋体" w:hAnsi="宋体" w:eastAsia="宋体" w:cs="宋体"/>
                <w:b/>
                <w:bCs/>
                <w:color w:val="auto"/>
                <w:sz w:val="22"/>
                <w:szCs w:val="22"/>
                <w:highlight w:val="none"/>
              </w:rPr>
            </w:pPr>
          </w:p>
        </w:tc>
        <w:tc>
          <w:tcPr>
            <w:tcW w:w="2080" w:type="dxa"/>
            <w:tcBorders>
              <w:top w:val="nil"/>
              <w:left w:val="nil"/>
              <w:bottom w:val="single" w:color="auto"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安全状况总览</w:t>
            </w: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支持以部门视角查看整体安全状况，包括管辖部门信息、部门资产概况、部门日志源监控、部门威胁日志列表、威胁日志总数、威胁来源国家（地区）、部门威胁类型分布排行、遭受威胁部门排行。</w:t>
            </w:r>
          </w:p>
        </w:tc>
      </w:tr>
      <w:tr>
        <w:tblPrEx>
          <w:tblCellMar>
            <w:top w:w="0" w:type="dxa"/>
            <w:left w:w="108" w:type="dxa"/>
            <w:bottom w:w="0" w:type="dxa"/>
            <w:right w:w="108" w:type="dxa"/>
          </w:tblCellMar>
        </w:tblPrEx>
        <w:trPr>
          <w:trHeight w:val="1430" w:hRule="atLeast"/>
        </w:trPr>
        <w:tc>
          <w:tcPr>
            <w:tcW w:w="1480" w:type="dxa"/>
            <w:vMerge w:val="continue"/>
            <w:tcBorders>
              <w:top w:val="single" w:color="auto" w:sz="8" w:space="0"/>
              <w:left w:val="single" w:color="auto" w:sz="8" w:space="0"/>
              <w:bottom w:val="single" w:color="000000" w:sz="8" w:space="0"/>
              <w:right w:val="single" w:color="auto" w:sz="8" w:space="0"/>
            </w:tcBorders>
            <w:vAlign w:val="center"/>
          </w:tcPr>
          <w:p>
            <w:pPr>
              <w:rPr>
                <w:rFonts w:ascii="宋体" w:hAnsi="宋体" w:eastAsia="宋体" w:cs="宋体"/>
                <w:b/>
                <w:bCs/>
                <w:color w:val="auto"/>
                <w:sz w:val="22"/>
                <w:szCs w:val="22"/>
                <w:highlight w:val="none"/>
              </w:rPr>
            </w:pPr>
          </w:p>
        </w:tc>
        <w:tc>
          <w:tcPr>
            <w:tcW w:w="2080" w:type="dxa"/>
            <w:tcBorders>
              <w:top w:val="nil"/>
              <w:left w:val="nil"/>
              <w:bottom w:val="single" w:color="auto"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网站防护</w:t>
            </w: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支持查看网站概况包括网站总数、在线网站、风险网站，支持查看风险网站排行、风险等级分布、风险影响网站统计、风险类型分布、敏感词发现次数排行等，并支持实时风险信息监测。</w:t>
            </w:r>
          </w:p>
        </w:tc>
      </w:tr>
      <w:tr>
        <w:tblPrEx>
          <w:tblCellMar>
            <w:top w:w="0" w:type="dxa"/>
            <w:left w:w="108" w:type="dxa"/>
            <w:bottom w:w="0" w:type="dxa"/>
            <w:right w:w="108" w:type="dxa"/>
          </w:tblCellMar>
        </w:tblPrEx>
        <w:trPr>
          <w:trHeight w:val="1710" w:hRule="atLeast"/>
        </w:trPr>
        <w:tc>
          <w:tcPr>
            <w:tcW w:w="1480" w:type="dxa"/>
            <w:vMerge w:val="continue"/>
            <w:tcBorders>
              <w:top w:val="single" w:color="auto" w:sz="8" w:space="0"/>
              <w:left w:val="single" w:color="auto" w:sz="8" w:space="0"/>
              <w:bottom w:val="single" w:color="000000" w:sz="8" w:space="0"/>
              <w:right w:val="single" w:color="auto" w:sz="8" w:space="0"/>
            </w:tcBorders>
            <w:vAlign w:val="center"/>
          </w:tcPr>
          <w:p>
            <w:pPr>
              <w:rPr>
                <w:rFonts w:ascii="宋体" w:hAnsi="宋体" w:eastAsia="宋体" w:cs="宋体"/>
                <w:b/>
                <w:bCs/>
                <w:color w:val="auto"/>
                <w:sz w:val="22"/>
                <w:szCs w:val="22"/>
                <w:highlight w:val="none"/>
              </w:rPr>
            </w:pPr>
          </w:p>
        </w:tc>
        <w:tc>
          <w:tcPr>
            <w:tcW w:w="2080" w:type="dxa"/>
            <w:tcBorders>
              <w:top w:val="nil"/>
              <w:left w:val="nil"/>
              <w:bottom w:val="single" w:color="auto"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威胁感知驾驶舱</w:t>
            </w: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超宽屏态势展示，威胁态势方面包括威胁趋势、威胁总览、告警统计、威胁分布、告警类型分布、威胁源排名、告警处置人分布等。资产风险方面包括资产失陷情、资产概况、漏洞情况、高危资产排行、业务系统情况、终端情况等。</w:t>
            </w:r>
          </w:p>
        </w:tc>
      </w:tr>
      <w:tr>
        <w:tblPrEx>
          <w:tblCellMar>
            <w:top w:w="0" w:type="dxa"/>
            <w:left w:w="108" w:type="dxa"/>
            <w:bottom w:w="0" w:type="dxa"/>
            <w:right w:w="108" w:type="dxa"/>
          </w:tblCellMar>
        </w:tblPrEx>
        <w:trPr>
          <w:trHeight w:val="1450" w:hRule="atLeast"/>
        </w:trPr>
        <w:tc>
          <w:tcPr>
            <w:tcW w:w="1480" w:type="dxa"/>
            <w:vMerge w:val="restart"/>
            <w:tcBorders>
              <w:top w:val="nil"/>
              <w:left w:val="single" w:color="auto" w:sz="8" w:space="0"/>
              <w:bottom w:val="single" w:color="000000" w:sz="8" w:space="0"/>
              <w:right w:val="single" w:color="auto" w:sz="8"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态势监测</w:t>
            </w:r>
          </w:p>
        </w:tc>
        <w:tc>
          <w:tcPr>
            <w:tcW w:w="2080" w:type="dxa"/>
            <w:tcBorders>
              <w:top w:val="nil"/>
              <w:left w:val="nil"/>
              <w:bottom w:val="single" w:color="auto"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态势管理</w:t>
            </w: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支持拖拽方式自定义大屏界面展示顺序，支持多种地图、拓扑展示方式，包括但不限于世界、全国、省份、拓扑、实时数据、历史数据等，支持</w:t>
            </w:r>
            <w:r>
              <w:rPr>
                <w:rFonts w:ascii="Calibri" w:hAnsi="Calibri" w:eastAsia="等线" w:cs="Calibri"/>
                <w:color w:val="auto"/>
                <w:sz w:val="22"/>
                <w:szCs w:val="22"/>
                <w:highlight w:val="none"/>
              </w:rPr>
              <w:t>logo</w:t>
            </w:r>
            <w:r>
              <w:rPr>
                <w:rFonts w:hint="eastAsia" w:ascii="宋体" w:hAnsi="宋体" w:eastAsia="宋体" w:cs="Calibri"/>
                <w:color w:val="auto"/>
                <w:sz w:val="22"/>
                <w:szCs w:val="22"/>
                <w:highlight w:val="none"/>
              </w:rPr>
              <w:t>、大屏超时设置、介绍文案。</w:t>
            </w:r>
          </w:p>
        </w:tc>
      </w:tr>
      <w:tr>
        <w:tblPrEx>
          <w:tblCellMar>
            <w:top w:w="0" w:type="dxa"/>
            <w:left w:w="108" w:type="dxa"/>
            <w:bottom w:w="0" w:type="dxa"/>
            <w:right w:w="108" w:type="dxa"/>
          </w:tblCellMar>
        </w:tblPrEx>
        <w:trPr>
          <w:trHeight w:val="173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tcBorders>
              <w:top w:val="nil"/>
              <w:left w:val="nil"/>
              <w:bottom w:val="single" w:color="auto"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监测仪表</w:t>
            </w: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仪表盘内部默认设置了总结汇报仪表盘、日常管理仪表盘、日常监测仪表盘、日志仪表盘、告警仪表盘、资产仪表盘、漏洞仪表盘等多种仪表盘，并支持对各种表盘进行自定义排列组合添加删除等操作，并支持</w:t>
            </w:r>
            <w:r>
              <w:rPr>
                <w:rFonts w:ascii="Calibri" w:hAnsi="Calibri" w:eastAsia="等线" w:cs="Calibri"/>
                <w:color w:val="auto"/>
                <w:sz w:val="22"/>
                <w:szCs w:val="22"/>
                <w:highlight w:val="none"/>
              </w:rPr>
              <w:t>PDF</w:t>
            </w:r>
            <w:r>
              <w:rPr>
                <w:rFonts w:hint="eastAsia" w:ascii="宋体" w:hAnsi="宋体" w:eastAsia="宋体" w:cs="Calibri"/>
                <w:color w:val="auto"/>
                <w:sz w:val="22"/>
                <w:szCs w:val="22"/>
                <w:highlight w:val="none"/>
              </w:rPr>
              <w:t>格式导出；</w:t>
            </w:r>
          </w:p>
        </w:tc>
      </w:tr>
      <w:tr>
        <w:tblPrEx>
          <w:tblCellMar>
            <w:top w:w="0" w:type="dxa"/>
            <w:left w:w="108" w:type="dxa"/>
            <w:bottom w:w="0" w:type="dxa"/>
            <w:right w:w="108" w:type="dxa"/>
          </w:tblCellMar>
        </w:tblPrEx>
        <w:trPr>
          <w:trHeight w:val="1470" w:hRule="atLeast"/>
        </w:trPr>
        <w:tc>
          <w:tcPr>
            <w:tcW w:w="1480" w:type="dxa"/>
            <w:vMerge w:val="restart"/>
            <w:tcBorders>
              <w:top w:val="nil"/>
              <w:left w:val="single" w:color="auto" w:sz="8" w:space="0"/>
              <w:bottom w:val="single" w:color="000000" w:sz="8" w:space="0"/>
              <w:right w:val="single" w:color="auto" w:sz="8"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安全处置</w:t>
            </w:r>
          </w:p>
        </w:tc>
        <w:tc>
          <w:tcPr>
            <w:tcW w:w="2080" w:type="dxa"/>
            <w:vMerge w:val="restart"/>
            <w:tcBorders>
              <w:top w:val="nil"/>
              <w:left w:val="single" w:color="auto" w:sz="8" w:space="0"/>
              <w:bottom w:val="single" w:color="000000"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告警管理</w:t>
            </w: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支持查看告警列表，包括最近发生时间、告警名称、告警级别、告警类型、告警源</w:t>
            </w:r>
            <w:r>
              <w:rPr>
                <w:rFonts w:ascii="Calibri" w:hAnsi="Calibri" w:eastAsia="等线" w:cs="Calibri"/>
                <w:color w:val="auto"/>
                <w:sz w:val="22"/>
                <w:szCs w:val="22"/>
                <w:highlight w:val="none"/>
              </w:rPr>
              <w:t>IP</w:t>
            </w:r>
            <w:r>
              <w:rPr>
                <w:rFonts w:hint="eastAsia" w:ascii="宋体" w:hAnsi="宋体" w:eastAsia="宋体" w:cs="Calibri"/>
                <w:color w:val="auto"/>
                <w:sz w:val="22"/>
                <w:szCs w:val="22"/>
                <w:highlight w:val="none"/>
              </w:rPr>
              <w:t>、告警目的</w:t>
            </w:r>
            <w:r>
              <w:rPr>
                <w:rFonts w:ascii="Calibri" w:hAnsi="Calibri" w:eastAsia="等线" w:cs="Calibri"/>
                <w:color w:val="auto"/>
                <w:sz w:val="22"/>
                <w:szCs w:val="22"/>
                <w:highlight w:val="none"/>
              </w:rPr>
              <w:t>IP</w:t>
            </w:r>
            <w:r>
              <w:rPr>
                <w:rFonts w:hint="eastAsia" w:ascii="宋体" w:hAnsi="宋体" w:eastAsia="宋体" w:cs="Calibri"/>
                <w:color w:val="auto"/>
                <w:sz w:val="22"/>
                <w:szCs w:val="22"/>
                <w:highlight w:val="none"/>
              </w:rPr>
              <w:t>、告警目的端口、处置状态、安全状态等，并支持自定义条件查询。</w:t>
            </w:r>
          </w:p>
        </w:tc>
      </w:tr>
      <w:tr>
        <w:tblPrEx>
          <w:tblCellMar>
            <w:top w:w="0" w:type="dxa"/>
            <w:left w:w="108" w:type="dxa"/>
            <w:bottom w:w="0" w:type="dxa"/>
            <w:right w:w="108" w:type="dxa"/>
          </w:tblCellMar>
        </w:tblPrEx>
        <w:trPr>
          <w:trHeight w:val="173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支持对告警进行处置，处置方式包括线下处置、联动处置、标记误报、标记忽略等方式。支持对告警进行详情展开查看告警画像，包括告警概况、攻击端</w:t>
            </w:r>
            <w:r>
              <w:rPr>
                <w:rFonts w:ascii="Calibri" w:hAnsi="Calibri" w:eastAsia="等线" w:cs="Calibri"/>
                <w:color w:val="auto"/>
                <w:sz w:val="22"/>
                <w:szCs w:val="22"/>
                <w:highlight w:val="none"/>
              </w:rPr>
              <w:t>/</w:t>
            </w:r>
            <w:r>
              <w:rPr>
                <w:rFonts w:hint="eastAsia" w:ascii="宋体" w:hAnsi="宋体" w:eastAsia="宋体" w:cs="Calibri"/>
                <w:color w:val="auto"/>
                <w:sz w:val="22"/>
                <w:szCs w:val="22"/>
                <w:highlight w:val="none"/>
              </w:rPr>
              <w:t>受害端分布、攻击关系图、告警溯源等。</w:t>
            </w:r>
          </w:p>
        </w:tc>
      </w:tr>
      <w:tr>
        <w:tblPrEx>
          <w:tblCellMar>
            <w:top w:w="0" w:type="dxa"/>
            <w:left w:w="108" w:type="dxa"/>
            <w:bottom w:w="0" w:type="dxa"/>
            <w:right w:w="108" w:type="dxa"/>
          </w:tblCellMar>
        </w:tblPrEx>
        <w:trPr>
          <w:trHeight w:val="145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restart"/>
            <w:tcBorders>
              <w:top w:val="nil"/>
              <w:left w:val="single" w:color="auto" w:sz="8" w:space="0"/>
              <w:bottom w:val="single" w:color="000000"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漏洞处置</w:t>
            </w: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支持通过漏洞视角进行漏洞的查询展示及处置，展示信息包括时间、漏洞名称、漏洞编号、漏洞级别、漏洞分类、影响范围，支持按照</w:t>
            </w:r>
            <w:r>
              <w:rPr>
                <w:rFonts w:ascii="Calibri" w:hAnsi="Calibri" w:eastAsia="等线" w:cs="Calibri"/>
                <w:color w:val="auto"/>
                <w:sz w:val="22"/>
                <w:szCs w:val="22"/>
                <w:highlight w:val="none"/>
              </w:rPr>
              <w:t>TXT</w:t>
            </w:r>
            <w:r>
              <w:rPr>
                <w:rFonts w:hint="eastAsia" w:ascii="宋体" w:hAnsi="宋体" w:eastAsia="宋体" w:cs="Calibri"/>
                <w:color w:val="auto"/>
                <w:sz w:val="22"/>
                <w:szCs w:val="22"/>
                <w:highlight w:val="none"/>
              </w:rPr>
              <w:t>、</w:t>
            </w:r>
            <w:r>
              <w:rPr>
                <w:rFonts w:ascii="Calibri" w:hAnsi="Calibri" w:eastAsia="等线" w:cs="Calibri"/>
                <w:color w:val="auto"/>
                <w:sz w:val="22"/>
                <w:szCs w:val="22"/>
                <w:highlight w:val="none"/>
              </w:rPr>
              <w:t>CSV</w:t>
            </w:r>
            <w:r>
              <w:rPr>
                <w:rFonts w:hint="eastAsia" w:ascii="宋体" w:hAnsi="宋体" w:eastAsia="宋体" w:cs="Calibri"/>
                <w:color w:val="auto"/>
                <w:sz w:val="22"/>
                <w:szCs w:val="22"/>
                <w:highlight w:val="none"/>
              </w:rPr>
              <w:t>、</w:t>
            </w:r>
            <w:r>
              <w:rPr>
                <w:rFonts w:ascii="Calibri" w:hAnsi="Calibri" w:eastAsia="等线" w:cs="Calibri"/>
                <w:color w:val="auto"/>
                <w:sz w:val="22"/>
                <w:szCs w:val="22"/>
                <w:highlight w:val="none"/>
              </w:rPr>
              <w:t>EXCEL</w:t>
            </w:r>
            <w:r>
              <w:rPr>
                <w:rFonts w:hint="eastAsia" w:ascii="宋体" w:hAnsi="宋体" w:eastAsia="宋体" w:cs="Calibri"/>
                <w:color w:val="auto"/>
                <w:sz w:val="22"/>
                <w:szCs w:val="22"/>
                <w:highlight w:val="none"/>
              </w:rPr>
              <w:t>进行导出；</w:t>
            </w:r>
          </w:p>
        </w:tc>
      </w:tr>
      <w:tr>
        <w:tblPrEx>
          <w:tblCellMar>
            <w:top w:w="0" w:type="dxa"/>
            <w:left w:w="108" w:type="dxa"/>
            <w:bottom w:w="0" w:type="dxa"/>
            <w:right w:w="108" w:type="dxa"/>
          </w:tblCellMar>
        </w:tblPrEx>
        <w:trPr>
          <w:trHeight w:val="201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查看漏洞详情，包括漏洞基本信息及影响范围。影响范围以列表形式展示受影响资产的名称、IP、类型、漏洞状态、所属业务系统等信息。支持按多种方式对漏洞进行处置，处置方式包括重现、误报、已防范、新发现、确认、已消除；</w:t>
            </w:r>
          </w:p>
        </w:tc>
      </w:tr>
      <w:tr>
        <w:tblPrEx>
          <w:tblCellMar>
            <w:top w:w="0" w:type="dxa"/>
            <w:left w:w="108" w:type="dxa"/>
            <w:bottom w:w="0" w:type="dxa"/>
            <w:right w:w="108" w:type="dxa"/>
          </w:tblCellMar>
        </w:tblPrEx>
        <w:trPr>
          <w:trHeight w:val="175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支持通过资产视角进行漏洞的查询展示及处置，展示信息包括资产名称、资产</w:t>
            </w:r>
            <w:r>
              <w:rPr>
                <w:rFonts w:ascii="Calibri" w:hAnsi="Calibri" w:eastAsia="等线" w:cs="Calibri"/>
                <w:color w:val="auto"/>
                <w:sz w:val="22"/>
                <w:szCs w:val="22"/>
                <w:highlight w:val="none"/>
              </w:rPr>
              <w:t>IP</w:t>
            </w:r>
            <w:r>
              <w:rPr>
                <w:rFonts w:hint="eastAsia" w:ascii="宋体" w:hAnsi="宋体" w:eastAsia="宋体" w:cs="Calibri"/>
                <w:color w:val="auto"/>
                <w:sz w:val="22"/>
                <w:szCs w:val="22"/>
                <w:highlight w:val="none"/>
              </w:rPr>
              <w:t>、业务系统、漏洞总数、不处置漏洞、责任人，支持按照</w:t>
            </w:r>
            <w:r>
              <w:rPr>
                <w:rFonts w:ascii="Calibri" w:hAnsi="Calibri" w:eastAsia="等线" w:cs="Calibri"/>
                <w:color w:val="auto"/>
                <w:sz w:val="22"/>
                <w:szCs w:val="22"/>
                <w:highlight w:val="none"/>
              </w:rPr>
              <w:t>TXT</w:t>
            </w:r>
            <w:r>
              <w:rPr>
                <w:rFonts w:hint="eastAsia" w:ascii="宋体" w:hAnsi="宋体" w:eastAsia="宋体" w:cs="Calibri"/>
                <w:color w:val="auto"/>
                <w:sz w:val="22"/>
                <w:szCs w:val="22"/>
                <w:highlight w:val="none"/>
              </w:rPr>
              <w:t>、</w:t>
            </w:r>
            <w:r>
              <w:rPr>
                <w:rFonts w:ascii="Calibri" w:hAnsi="Calibri" w:eastAsia="等线" w:cs="Calibri"/>
                <w:color w:val="auto"/>
                <w:sz w:val="22"/>
                <w:szCs w:val="22"/>
                <w:highlight w:val="none"/>
              </w:rPr>
              <w:t>CSV</w:t>
            </w:r>
            <w:r>
              <w:rPr>
                <w:rFonts w:hint="eastAsia" w:ascii="宋体" w:hAnsi="宋体" w:eastAsia="宋体" w:cs="Calibri"/>
                <w:color w:val="auto"/>
                <w:sz w:val="22"/>
                <w:szCs w:val="22"/>
                <w:highlight w:val="none"/>
              </w:rPr>
              <w:t>、</w:t>
            </w:r>
            <w:r>
              <w:rPr>
                <w:rFonts w:ascii="Calibri" w:hAnsi="Calibri" w:eastAsia="等线" w:cs="Calibri"/>
                <w:color w:val="auto"/>
                <w:sz w:val="22"/>
                <w:szCs w:val="22"/>
                <w:highlight w:val="none"/>
              </w:rPr>
              <w:t>EXCEL</w:t>
            </w:r>
            <w:r>
              <w:rPr>
                <w:rFonts w:hint="eastAsia" w:ascii="宋体" w:hAnsi="宋体" w:eastAsia="宋体" w:cs="Calibri"/>
                <w:color w:val="auto"/>
                <w:sz w:val="22"/>
                <w:szCs w:val="22"/>
                <w:highlight w:val="none"/>
              </w:rPr>
              <w:t>进行导出，支持对资产下所有漏洞进行批量及独立处置；</w:t>
            </w:r>
          </w:p>
        </w:tc>
      </w:tr>
      <w:tr>
        <w:tblPrEx>
          <w:tblCellMar>
            <w:top w:w="0" w:type="dxa"/>
            <w:left w:w="108" w:type="dxa"/>
            <w:bottom w:w="0" w:type="dxa"/>
            <w:right w:w="108" w:type="dxa"/>
          </w:tblCellMar>
        </w:tblPrEx>
        <w:trPr>
          <w:trHeight w:val="199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tcBorders>
              <w:top w:val="nil"/>
              <w:left w:val="nil"/>
              <w:bottom w:val="single" w:color="auto"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通报预警</w:t>
            </w: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w:t>
            </w:r>
            <w:r>
              <w:rPr>
                <w:rFonts w:ascii="宋体" w:hAnsi="宋体" w:eastAsia="宋体" w:cs="Calibri"/>
                <w:color w:val="auto"/>
                <w:sz w:val="22"/>
                <w:szCs w:val="22"/>
                <w:highlight w:val="none"/>
              </w:rPr>
              <w:t>20</w:t>
            </w:r>
            <w:r>
              <w:rPr>
                <w:rFonts w:hint="eastAsia" w:ascii="宋体" w:hAnsi="宋体" w:eastAsia="宋体" w:cs="Calibri"/>
                <w:color w:val="auto"/>
                <w:sz w:val="22"/>
                <w:szCs w:val="22"/>
                <w:highlight w:val="none"/>
              </w:rPr>
              <w:t>支持按照预备预警、正式预警规则进行安全预警规则管理，支持预警规则自定义配置，配置内容包括但不限于预警名称、预警类型、预警级别、预警内容、可能后果、解决方案、发送方式、负责人、资产影响范围等细颗粒度的关联配置（提供产品截图并加盖厂商公章）。</w:t>
            </w:r>
          </w:p>
        </w:tc>
      </w:tr>
      <w:tr>
        <w:tblPrEx>
          <w:tblCellMar>
            <w:top w:w="0" w:type="dxa"/>
            <w:left w:w="108" w:type="dxa"/>
            <w:bottom w:w="0" w:type="dxa"/>
            <w:right w:w="108" w:type="dxa"/>
          </w:tblCellMar>
        </w:tblPrEx>
        <w:trPr>
          <w:trHeight w:val="311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restart"/>
            <w:tcBorders>
              <w:top w:val="nil"/>
              <w:left w:val="single" w:color="auto" w:sz="8" w:space="0"/>
              <w:bottom w:val="single" w:color="000000"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响应编排</w:t>
            </w: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基于场景的安全策略响应编排，支持预案及案例两种场景类型，支持以列表形式展示预案信息，包括预案名称、预案类型、响应动作、关联案例数、来源、创建时间、描述；支持对预案总数、被引用预案总数、未被引用预案总数进行统计；支持对案例进行新增、删除、启用、停用等操作，并支持案例批量处理；支持从告警维度查看案例对告警的响应处置详情，支持集中管控执行联动处置动作后下发给安全设备的策略管理。</w:t>
            </w:r>
          </w:p>
        </w:tc>
      </w:tr>
      <w:tr>
        <w:tblPrEx>
          <w:tblCellMar>
            <w:top w:w="0" w:type="dxa"/>
            <w:left w:w="108" w:type="dxa"/>
            <w:bottom w:w="0" w:type="dxa"/>
            <w:right w:w="108" w:type="dxa"/>
          </w:tblCellMar>
        </w:tblPrEx>
        <w:trPr>
          <w:trHeight w:val="115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支持图形化方式新增预案，支持新增过程向导提示，支持与多种设备进行联动编排，联动策略包括终端隔离、访问控制策略等</w:t>
            </w:r>
          </w:p>
        </w:tc>
      </w:tr>
      <w:tr>
        <w:tblPrEx>
          <w:tblCellMar>
            <w:top w:w="0" w:type="dxa"/>
            <w:left w:w="108" w:type="dxa"/>
            <w:bottom w:w="0" w:type="dxa"/>
            <w:right w:w="108" w:type="dxa"/>
          </w:tblCellMar>
        </w:tblPrEx>
        <w:trPr>
          <w:trHeight w:val="115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支持案例管理，包括设置触发预案、延迟时间、告警类型、告警规则、告警级别、告警发生时间等。</w:t>
            </w:r>
          </w:p>
        </w:tc>
      </w:tr>
      <w:tr>
        <w:tblPrEx>
          <w:tblCellMar>
            <w:top w:w="0" w:type="dxa"/>
            <w:left w:w="108" w:type="dxa"/>
            <w:bottom w:w="0" w:type="dxa"/>
            <w:right w:w="108" w:type="dxa"/>
          </w:tblCellMar>
        </w:tblPrEx>
        <w:trPr>
          <w:trHeight w:val="145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tcBorders>
              <w:top w:val="nil"/>
              <w:left w:val="nil"/>
              <w:bottom w:val="single" w:color="auto"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应急管理</w:t>
            </w: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应急预案库支持以分组的方式进行管理。支持用户可以按自己的要求进行分组；</w:t>
            </w:r>
            <w:r>
              <w:rPr>
                <w:rFonts w:ascii="Calibri" w:hAnsi="Calibri" w:eastAsia="等线" w:cs="Calibri"/>
                <w:color w:val="auto"/>
                <w:sz w:val="22"/>
                <w:szCs w:val="22"/>
                <w:highlight w:val="none"/>
              </w:rPr>
              <w:t xml:space="preserve"> </w:t>
            </w:r>
            <w:r>
              <w:rPr>
                <w:rFonts w:hint="eastAsia" w:ascii="宋体" w:hAnsi="宋体" w:eastAsia="宋体" w:cs="Calibri"/>
                <w:color w:val="auto"/>
                <w:sz w:val="22"/>
                <w:szCs w:val="22"/>
                <w:highlight w:val="none"/>
              </w:rPr>
              <w:t>可以对应急预案组信息和应急预案信息进行相应的增、删、改、查的操作。</w:t>
            </w:r>
          </w:p>
        </w:tc>
      </w:tr>
      <w:tr>
        <w:tblPrEx>
          <w:tblCellMar>
            <w:top w:w="0" w:type="dxa"/>
            <w:left w:w="108" w:type="dxa"/>
            <w:bottom w:w="0" w:type="dxa"/>
            <w:right w:w="108" w:type="dxa"/>
          </w:tblCellMar>
        </w:tblPrEx>
        <w:trPr>
          <w:trHeight w:val="115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restart"/>
            <w:tcBorders>
              <w:top w:val="nil"/>
              <w:left w:val="single" w:color="auto" w:sz="8" w:space="0"/>
              <w:bottom w:val="single" w:color="000000"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工单管理</w:t>
            </w: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支持工单管理，支持指派相关责任人进行处理，支持对工单进行分组管理，分组类型包括工单明细、待处置工单、已处置工单、历史工单；</w:t>
            </w:r>
            <w:r>
              <w:rPr>
                <w:rFonts w:ascii="Calibri" w:hAnsi="Calibri" w:eastAsia="等线" w:cs="Calibri"/>
                <w:color w:val="auto"/>
                <w:sz w:val="22"/>
                <w:szCs w:val="22"/>
                <w:highlight w:val="none"/>
              </w:rPr>
              <w:t xml:space="preserve"> </w:t>
            </w:r>
          </w:p>
        </w:tc>
      </w:tr>
      <w:tr>
        <w:tblPrEx>
          <w:tblCellMar>
            <w:top w:w="0" w:type="dxa"/>
            <w:left w:w="108" w:type="dxa"/>
            <w:bottom w:w="0" w:type="dxa"/>
            <w:right w:w="108" w:type="dxa"/>
          </w:tblCellMar>
        </w:tblPrEx>
        <w:trPr>
          <w:trHeight w:val="143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支持在工单明细分组中进行工单分派、取消、查看详情、查看流程图等操作，支持新建工单，包括工单名称、级别、派单人、业务流程、描述等信息，支持工单统计报表导出。</w:t>
            </w:r>
          </w:p>
        </w:tc>
      </w:tr>
      <w:tr>
        <w:tblPrEx>
          <w:tblCellMar>
            <w:top w:w="0" w:type="dxa"/>
            <w:left w:w="108" w:type="dxa"/>
            <w:bottom w:w="0" w:type="dxa"/>
            <w:right w:w="108" w:type="dxa"/>
          </w:tblCellMar>
        </w:tblPrEx>
        <w:trPr>
          <w:trHeight w:val="115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支持在待处理工单分组中处理、查看流程图等操作，支持处理工单中工单信息查看、日志信息查看、历史处理信息、处理操作。</w:t>
            </w:r>
          </w:p>
        </w:tc>
      </w:tr>
      <w:tr>
        <w:tblPrEx>
          <w:tblCellMar>
            <w:top w:w="0" w:type="dxa"/>
            <w:left w:w="108" w:type="dxa"/>
            <w:bottom w:w="0" w:type="dxa"/>
            <w:right w:w="108" w:type="dxa"/>
          </w:tblCellMar>
        </w:tblPrEx>
        <w:trPr>
          <w:trHeight w:val="87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支持在已处理工单分组中查看处理明细、查看流程图等操作，支持处理明细信息查看。</w:t>
            </w:r>
          </w:p>
        </w:tc>
      </w:tr>
      <w:tr>
        <w:tblPrEx>
          <w:tblCellMar>
            <w:top w:w="0" w:type="dxa"/>
            <w:left w:w="108" w:type="dxa"/>
            <w:bottom w:w="0" w:type="dxa"/>
            <w:right w:w="108" w:type="dxa"/>
          </w:tblCellMar>
        </w:tblPrEx>
        <w:trPr>
          <w:trHeight w:val="147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tcBorders>
              <w:top w:val="nil"/>
              <w:left w:val="nil"/>
              <w:bottom w:val="single" w:color="auto"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封堵审批</w:t>
            </w: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支持查看、审批、删除封堵申请报告，支持以报告名称、报告生成时间、提交人、封堵内容、对应日志名称、发生时间为条件对申请进行检索。支持下载封堵报告，并支持</w:t>
            </w:r>
            <w:r>
              <w:rPr>
                <w:rFonts w:ascii="Calibri" w:hAnsi="Calibri" w:eastAsia="等线" w:cs="Calibri"/>
                <w:color w:val="auto"/>
                <w:sz w:val="22"/>
                <w:szCs w:val="22"/>
                <w:highlight w:val="none"/>
              </w:rPr>
              <w:t>word</w:t>
            </w:r>
            <w:r>
              <w:rPr>
                <w:rFonts w:hint="eastAsia" w:ascii="宋体" w:hAnsi="宋体" w:eastAsia="宋体" w:cs="Calibri"/>
                <w:color w:val="auto"/>
                <w:sz w:val="22"/>
                <w:szCs w:val="22"/>
                <w:highlight w:val="none"/>
              </w:rPr>
              <w:t>与</w:t>
            </w:r>
            <w:r>
              <w:rPr>
                <w:rFonts w:ascii="Calibri" w:hAnsi="Calibri" w:eastAsia="等线" w:cs="Calibri"/>
                <w:color w:val="auto"/>
                <w:sz w:val="22"/>
                <w:szCs w:val="22"/>
                <w:highlight w:val="none"/>
              </w:rPr>
              <w:t>PDF</w:t>
            </w:r>
            <w:r>
              <w:rPr>
                <w:rFonts w:hint="eastAsia" w:ascii="宋体" w:hAnsi="宋体" w:eastAsia="宋体" w:cs="Calibri"/>
                <w:color w:val="auto"/>
                <w:sz w:val="22"/>
                <w:szCs w:val="22"/>
                <w:highlight w:val="none"/>
              </w:rPr>
              <w:t>两种格式。</w:t>
            </w:r>
          </w:p>
        </w:tc>
      </w:tr>
      <w:tr>
        <w:tblPrEx>
          <w:tblCellMar>
            <w:top w:w="0" w:type="dxa"/>
            <w:left w:w="108" w:type="dxa"/>
            <w:bottom w:w="0" w:type="dxa"/>
            <w:right w:w="108" w:type="dxa"/>
          </w:tblCellMar>
        </w:tblPrEx>
        <w:trPr>
          <w:trHeight w:val="3710" w:hRule="atLeast"/>
        </w:trPr>
        <w:tc>
          <w:tcPr>
            <w:tcW w:w="1480" w:type="dxa"/>
            <w:vMerge w:val="restart"/>
            <w:tcBorders>
              <w:top w:val="nil"/>
              <w:left w:val="single" w:color="auto" w:sz="8" w:space="0"/>
              <w:bottom w:val="single" w:color="000000" w:sz="8" w:space="0"/>
              <w:right w:val="single" w:color="auto" w:sz="8"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分析研判</w:t>
            </w:r>
          </w:p>
        </w:tc>
        <w:tc>
          <w:tcPr>
            <w:tcW w:w="2080" w:type="dxa"/>
            <w:vMerge w:val="restart"/>
            <w:tcBorders>
              <w:top w:val="nil"/>
              <w:left w:val="single" w:color="auto" w:sz="8" w:space="0"/>
              <w:bottom w:val="single" w:color="000000"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威胁分析</w:t>
            </w: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资产外联分析，分析维度包括外联资产排名TOP10、外联趋势、访问目的排名TOP10、外联事件列表、资产外联热力地图。支持外联热力地图分析，支持源区域及目的区域按颜色区分展示，支持展示源目的区域间外联连接关系，支持外联热力地图区域缩放。支持对事件列表中的事件进行详情查看、关联日志检索、加入白名单及加入关注名单操作。支持按照目的地域、日志级别、应用协议、时间、日志类型、源地址、目的地址、目的端口进行过滤查询。支持重要资产快速外联分析统计，支持启用关注名单及访问时间段过滤设置。；</w:t>
            </w:r>
          </w:p>
        </w:tc>
      </w:tr>
      <w:tr>
        <w:tblPrEx>
          <w:tblCellMar>
            <w:top w:w="0" w:type="dxa"/>
            <w:left w:w="108" w:type="dxa"/>
            <w:bottom w:w="0" w:type="dxa"/>
            <w:right w:w="108" w:type="dxa"/>
          </w:tblCellMar>
        </w:tblPrEx>
        <w:trPr>
          <w:trHeight w:val="399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支持横向威胁分析，分析维度包括横向威胁的移动轨迹、威胁类型分布、目的端口分布、发起威胁的资产</w:t>
            </w:r>
            <w:r>
              <w:rPr>
                <w:rFonts w:ascii="Calibri" w:hAnsi="Calibri" w:eastAsia="等线" w:cs="Calibri"/>
                <w:color w:val="auto"/>
                <w:sz w:val="22"/>
                <w:szCs w:val="22"/>
                <w:highlight w:val="none"/>
              </w:rPr>
              <w:t>TOP10</w:t>
            </w:r>
            <w:r>
              <w:rPr>
                <w:rFonts w:hint="eastAsia" w:ascii="宋体" w:hAnsi="宋体" w:eastAsia="宋体" w:cs="Calibri"/>
                <w:color w:val="auto"/>
                <w:sz w:val="22"/>
                <w:szCs w:val="22"/>
                <w:highlight w:val="none"/>
              </w:rPr>
              <w:t>、遭受威胁的资产</w:t>
            </w:r>
            <w:r>
              <w:rPr>
                <w:rFonts w:ascii="Calibri" w:hAnsi="Calibri" w:eastAsia="等线" w:cs="Calibri"/>
                <w:color w:val="auto"/>
                <w:sz w:val="22"/>
                <w:szCs w:val="22"/>
                <w:highlight w:val="none"/>
              </w:rPr>
              <w:t>TOP10</w:t>
            </w:r>
            <w:r>
              <w:rPr>
                <w:rFonts w:hint="eastAsia" w:ascii="宋体" w:hAnsi="宋体" w:eastAsia="宋体" w:cs="Calibri"/>
                <w:color w:val="auto"/>
                <w:sz w:val="22"/>
                <w:szCs w:val="22"/>
                <w:highlight w:val="none"/>
              </w:rPr>
              <w:t>等，支持横向威胁移动轨迹分析，支持源、目的、日志数量、攻击类型关系展示，支持移动轨迹图区域缩放，支持通过发起威胁视角、遭受威胁视角、威胁类型等视角进行不同维度威胁日志信息过滤展示，支持对日志进行详情查看、加入白名单、加入关注名单操作，支持按照威胁关系、日志级别、威胁类型、目的端口、时间、源地址、目的地址进行过滤查询，支持重要资产快速横向威胁统计，支持启用关注名单及访问时间段过滤设置；</w:t>
            </w:r>
          </w:p>
        </w:tc>
      </w:tr>
      <w:tr>
        <w:tblPrEx>
          <w:tblCellMar>
            <w:top w:w="0" w:type="dxa"/>
            <w:left w:w="108" w:type="dxa"/>
            <w:bottom w:w="0" w:type="dxa"/>
            <w:right w:w="108" w:type="dxa"/>
          </w:tblCellMar>
        </w:tblPrEx>
        <w:trPr>
          <w:trHeight w:val="295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支持全网流量综合分析，分析维度包括流量设备概况、流量关系图、源</w:t>
            </w:r>
            <w:r>
              <w:rPr>
                <w:rFonts w:ascii="Calibri" w:hAnsi="Calibri" w:eastAsia="等线" w:cs="Calibri"/>
                <w:color w:val="auto"/>
                <w:sz w:val="22"/>
                <w:szCs w:val="22"/>
                <w:highlight w:val="none"/>
              </w:rPr>
              <w:t>IP TOP10</w:t>
            </w:r>
            <w:r>
              <w:rPr>
                <w:rFonts w:hint="eastAsia" w:ascii="宋体" w:hAnsi="宋体" w:eastAsia="宋体" w:cs="Calibri"/>
                <w:color w:val="auto"/>
                <w:sz w:val="22"/>
                <w:szCs w:val="22"/>
                <w:highlight w:val="none"/>
              </w:rPr>
              <w:t>、目的</w:t>
            </w:r>
            <w:r>
              <w:rPr>
                <w:rFonts w:ascii="Calibri" w:hAnsi="Calibri" w:eastAsia="等线" w:cs="Calibri"/>
                <w:color w:val="auto"/>
                <w:sz w:val="22"/>
                <w:szCs w:val="22"/>
                <w:highlight w:val="none"/>
              </w:rPr>
              <w:t>IP TOP10</w:t>
            </w:r>
            <w:r>
              <w:rPr>
                <w:rFonts w:hint="eastAsia" w:ascii="宋体" w:hAnsi="宋体" w:eastAsia="宋体" w:cs="Calibri"/>
                <w:color w:val="auto"/>
                <w:sz w:val="22"/>
                <w:szCs w:val="22"/>
                <w:highlight w:val="none"/>
              </w:rPr>
              <w:t>、流量趋势、目的端口</w:t>
            </w:r>
            <w:r>
              <w:rPr>
                <w:rFonts w:ascii="Calibri" w:hAnsi="Calibri" w:eastAsia="等线" w:cs="Calibri"/>
                <w:color w:val="auto"/>
                <w:sz w:val="22"/>
                <w:szCs w:val="22"/>
                <w:highlight w:val="none"/>
              </w:rPr>
              <w:t>TOP10</w:t>
            </w:r>
            <w:r>
              <w:rPr>
                <w:rFonts w:hint="eastAsia" w:ascii="宋体" w:hAnsi="宋体" w:eastAsia="宋体" w:cs="Calibri"/>
                <w:color w:val="auto"/>
                <w:sz w:val="22"/>
                <w:szCs w:val="22"/>
                <w:highlight w:val="none"/>
              </w:rPr>
              <w:t>、应用协议</w:t>
            </w:r>
            <w:r>
              <w:rPr>
                <w:rFonts w:ascii="Calibri" w:hAnsi="Calibri" w:eastAsia="等线" w:cs="Calibri"/>
                <w:color w:val="auto"/>
                <w:sz w:val="22"/>
                <w:szCs w:val="22"/>
                <w:highlight w:val="none"/>
              </w:rPr>
              <w:t>TOP10</w:t>
            </w:r>
            <w:r>
              <w:rPr>
                <w:rFonts w:hint="eastAsia" w:ascii="宋体" w:hAnsi="宋体" w:eastAsia="宋体" w:cs="Calibri"/>
                <w:color w:val="auto"/>
                <w:sz w:val="22"/>
                <w:szCs w:val="22"/>
                <w:highlight w:val="none"/>
              </w:rPr>
              <w:t>、业务系统</w:t>
            </w:r>
            <w:r>
              <w:rPr>
                <w:rFonts w:ascii="Calibri" w:hAnsi="Calibri" w:eastAsia="等线" w:cs="Calibri"/>
                <w:color w:val="auto"/>
                <w:sz w:val="22"/>
                <w:szCs w:val="22"/>
                <w:highlight w:val="none"/>
              </w:rPr>
              <w:t>TOP10</w:t>
            </w:r>
            <w:r>
              <w:rPr>
                <w:rFonts w:hint="eastAsia" w:ascii="宋体" w:hAnsi="宋体" w:eastAsia="宋体" w:cs="Calibri"/>
                <w:color w:val="auto"/>
                <w:sz w:val="22"/>
                <w:szCs w:val="22"/>
                <w:highlight w:val="none"/>
              </w:rPr>
              <w:t>、省市</w:t>
            </w:r>
            <w:r>
              <w:rPr>
                <w:rFonts w:ascii="Calibri" w:hAnsi="Calibri" w:eastAsia="等线" w:cs="Calibri"/>
                <w:color w:val="auto"/>
                <w:sz w:val="22"/>
                <w:szCs w:val="22"/>
                <w:highlight w:val="none"/>
              </w:rPr>
              <w:t>TOP10</w:t>
            </w:r>
            <w:r>
              <w:rPr>
                <w:rFonts w:hint="eastAsia" w:ascii="宋体" w:hAnsi="宋体" w:eastAsia="宋体" w:cs="Calibri"/>
                <w:color w:val="auto"/>
                <w:sz w:val="22"/>
                <w:szCs w:val="22"/>
                <w:highlight w:val="none"/>
              </w:rPr>
              <w:t>等，支持设置流量关系图设备及节点数量，支持鼠标悬浮显示节点流量信息，显示信息包括节点</w:t>
            </w:r>
            <w:r>
              <w:rPr>
                <w:rFonts w:ascii="Calibri" w:hAnsi="Calibri" w:eastAsia="等线" w:cs="Calibri"/>
                <w:color w:val="auto"/>
                <w:sz w:val="22"/>
                <w:szCs w:val="22"/>
                <w:highlight w:val="none"/>
              </w:rPr>
              <w:t>IP</w:t>
            </w:r>
            <w:r>
              <w:rPr>
                <w:rFonts w:hint="eastAsia" w:ascii="宋体" w:hAnsi="宋体" w:eastAsia="宋体" w:cs="Calibri"/>
                <w:color w:val="auto"/>
                <w:sz w:val="22"/>
                <w:szCs w:val="22"/>
                <w:highlight w:val="none"/>
              </w:rPr>
              <w:t>、设备类型、上下行流量、上下行数据包、上下行速率，支持按照今天、过去</w:t>
            </w:r>
            <w:r>
              <w:rPr>
                <w:rFonts w:ascii="Calibri" w:hAnsi="Calibri" w:eastAsia="等线" w:cs="Calibri"/>
                <w:color w:val="auto"/>
                <w:sz w:val="22"/>
                <w:szCs w:val="22"/>
                <w:highlight w:val="none"/>
              </w:rPr>
              <w:t>7</w:t>
            </w:r>
            <w:r>
              <w:rPr>
                <w:rFonts w:hint="eastAsia" w:ascii="宋体" w:hAnsi="宋体" w:eastAsia="宋体" w:cs="Calibri"/>
                <w:color w:val="auto"/>
                <w:sz w:val="22"/>
                <w:szCs w:val="22"/>
                <w:highlight w:val="none"/>
              </w:rPr>
              <w:t>天、过去</w:t>
            </w:r>
            <w:r>
              <w:rPr>
                <w:rFonts w:ascii="Calibri" w:hAnsi="Calibri" w:eastAsia="等线" w:cs="Calibri"/>
                <w:color w:val="auto"/>
                <w:sz w:val="22"/>
                <w:szCs w:val="22"/>
                <w:highlight w:val="none"/>
              </w:rPr>
              <w:t>14</w:t>
            </w:r>
            <w:r>
              <w:rPr>
                <w:rFonts w:hint="eastAsia" w:ascii="宋体" w:hAnsi="宋体" w:eastAsia="宋体" w:cs="Calibri"/>
                <w:color w:val="auto"/>
                <w:sz w:val="22"/>
                <w:szCs w:val="22"/>
                <w:highlight w:val="none"/>
              </w:rPr>
              <w:t>天、过去</w:t>
            </w:r>
            <w:r>
              <w:rPr>
                <w:rFonts w:ascii="Calibri" w:hAnsi="Calibri" w:eastAsia="等线" w:cs="Calibri"/>
                <w:color w:val="auto"/>
                <w:sz w:val="22"/>
                <w:szCs w:val="22"/>
                <w:highlight w:val="none"/>
              </w:rPr>
              <w:t>30</w:t>
            </w:r>
            <w:r>
              <w:rPr>
                <w:rFonts w:hint="eastAsia" w:ascii="宋体" w:hAnsi="宋体" w:eastAsia="宋体" w:cs="Calibri"/>
                <w:color w:val="auto"/>
                <w:sz w:val="22"/>
                <w:szCs w:val="22"/>
                <w:highlight w:val="none"/>
              </w:rPr>
              <w:t>天等时间段进行过滤查询；</w:t>
            </w:r>
            <w:r>
              <w:rPr>
                <w:rFonts w:ascii="Calibri" w:hAnsi="Calibri" w:eastAsia="等线" w:cs="Calibri"/>
                <w:color w:val="auto"/>
                <w:sz w:val="22"/>
                <w:szCs w:val="22"/>
                <w:highlight w:val="none"/>
              </w:rPr>
              <w:t xml:space="preserve"> </w:t>
            </w:r>
          </w:p>
        </w:tc>
      </w:tr>
      <w:tr>
        <w:tblPrEx>
          <w:tblCellMar>
            <w:top w:w="0" w:type="dxa"/>
            <w:left w:w="108" w:type="dxa"/>
            <w:bottom w:w="0" w:type="dxa"/>
            <w:right w:w="108" w:type="dxa"/>
          </w:tblCellMar>
        </w:tblPrEx>
        <w:trPr>
          <w:trHeight w:val="147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w:t>
            </w:r>
            <w:r>
              <w:rPr>
                <w:rFonts w:ascii="宋体" w:hAnsi="宋体" w:eastAsia="宋体" w:cs="Calibri"/>
                <w:color w:val="auto"/>
                <w:sz w:val="22"/>
                <w:szCs w:val="22"/>
                <w:highlight w:val="none"/>
              </w:rPr>
              <w:t>21</w:t>
            </w:r>
            <w:r>
              <w:rPr>
                <w:rFonts w:hint="eastAsia" w:ascii="宋体" w:hAnsi="宋体" w:eastAsia="宋体" w:cs="Calibri"/>
                <w:color w:val="auto"/>
                <w:sz w:val="22"/>
                <w:szCs w:val="22"/>
                <w:highlight w:val="none"/>
              </w:rPr>
              <w:t>支持专项场景威胁分析，专项分析场景包括但不限于</w:t>
            </w:r>
            <w:r>
              <w:rPr>
                <w:rFonts w:hint="eastAsia" w:ascii="宋体" w:hAnsi="宋体" w:eastAsia="宋体" w:cs="Calibri"/>
                <w:b/>
                <w:bCs/>
                <w:color w:val="auto"/>
                <w:sz w:val="22"/>
                <w:szCs w:val="22"/>
                <w:highlight w:val="none"/>
              </w:rPr>
              <w:t>恶意邮件、恶意挖矿</w:t>
            </w:r>
            <w:r>
              <w:rPr>
                <w:rFonts w:hint="eastAsia" w:ascii="宋体" w:hAnsi="宋体" w:eastAsia="宋体" w:cs="Calibri"/>
                <w:color w:val="auto"/>
                <w:sz w:val="22"/>
                <w:szCs w:val="22"/>
                <w:highlight w:val="none"/>
              </w:rPr>
              <w:t>等，每类场景威胁分析支持按照今天、过去</w:t>
            </w:r>
            <w:r>
              <w:rPr>
                <w:rFonts w:ascii="Calibri" w:hAnsi="Calibri" w:eastAsia="等线" w:cs="Calibri"/>
                <w:color w:val="auto"/>
                <w:sz w:val="22"/>
                <w:szCs w:val="22"/>
                <w:highlight w:val="none"/>
              </w:rPr>
              <w:t>7</w:t>
            </w:r>
            <w:r>
              <w:rPr>
                <w:rFonts w:hint="eastAsia" w:ascii="宋体" w:hAnsi="宋体" w:eastAsia="宋体" w:cs="Calibri"/>
                <w:color w:val="auto"/>
                <w:sz w:val="22"/>
                <w:szCs w:val="22"/>
                <w:highlight w:val="none"/>
              </w:rPr>
              <w:t>天、过去</w:t>
            </w:r>
            <w:r>
              <w:rPr>
                <w:rFonts w:ascii="Calibri" w:hAnsi="Calibri" w:eastAsia="等线" w:cs="Calibri"/>
                <w:color w:val="auto"/>
                <w:sz w:val="22"/>
                <w:szCs w:val="22"/>
                <w:highlight w:val="none"/>
              </w:rPr>
              <w:t>14</w:t>
            </w:r>
            <w:r>
              <w:rPr>
                <w:rFonts w:hint="eastAsia" w:ascii="宋体" w:hAnsi="宋体" w:eastAsia="宋体" w:cs="Calibri"/>
                <w:color w:val="auto"/>
                <w:sz w:val="22"/>
                <w:szCs w:val="22"/>
                <w:highlight w:val="none"/>
              </w:rPr>
              <w:t>天、过去</w:t>
            </w:r>
            <w:r>
              <w:rPr>
                <w:rFonts w:ascii="Calibri" w:hAnsi="Calibri" w:eastAsia="等线" w:cs="Calibri"/>
                <w:color w:val="auto"/>
                <w:sz w:val="22"/>
                <w:szCs w:val="22"/>
                <w:highlight w:val="none"/>
              </w:rPr>
              <w:t>30</w:t>
            </w:r>
            <w:r>
              <w:rPr>
                <w:rFonts w:hint="eastAsia" w:ascii="宋体" w:hAnsi="宋体" w:eastAsia="宋体" w:cs="Calibri"/>
                <w:color w:val="auto"/>
                <w:sz w:val="22"/>
                <w:szCs w:val="22"/>
                <w:highlight w:val="none"/>
              </w:rPr>
              <w:t>天进行时间过滤显示；</w:t>
            </w:r>
          </w:p>
        </w:tc>
      </w:tr>
      <w:tr>
        <w:tblPrEx>
          <w:tblCellMar>
            <w:top w:w="0" w:type="dxa"/>
            <w:left w:w="108" w:type="dxa"/>
            <w:bottom w:w="0" w:type="dxa"/>
            <w:right w:w="108" w:type="dxa"/>
          </w:tblCellMar>
        </w:tblPrEx>
        <w:trPr>
          <w:trHeight w:val="147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w:t>
            </w:r>
            <w:r>
              <w:rPr>
                <w:rFonts w:ascii="Calibri" w:hAnsi="Calibri" w:eastAsia="等线" w:cs="Calibri"/>
                <w:color w:val="auto"/>
                <w:sz w:val="22"/>
                <w:szCs w:val="22"/>
                <w:highlight w:val="none"/>
              </w:rPr>
              <w:t>WEB</w:t>
            </w:r>
            <w:r>
              <w:rPr>
                <w:rFonts w:hint="eastAsia" w:ascii="宋体" w:hAnsi="宋体" w:eastAsia="宋体" w:cs="Calibri"/>
                <w:color w:val="auto"/>
                <w:sz w:val="22"/>
                <w:szCs w:val="22"/>
                <w:highlight w:val="none"/>
              </w:rPr>
              <w:t>攻击分析，分析维度包括威胁源总量、威胁类型数、影响资产数、威胁源</w:t>
            </w:r>
            <w:r>
              <w:rPr>
                <w:rFonts w:ascii="Calibri" w:hAnsi="Calibri" w:eastAsia="等线" w:cs="Calibri"/>
                <w:color w:val="auto"/>
                <w:sz w:val="22"/>
                <w:szCs w:val="22"/>
                <w:highlight w:val="none"/>
              </w:rPr>
              <w:t>TOP5</w:t>
            </w:r>
            <w:r>
              <w:rPr>
                <w:rFonts w:hint="eastAsia" w:ascii="宋体" w:hAnsi="宋体" w:eastAsia="宋体" w:cs="Calibri"/>
                <w:color w:val="auto"/>
                <w:sz w:val="22"/>
                <w:szCs w:val="22"/>
                <w:highlight w:val="none"/>
              </w:rPr>
              <w:t>、威胁类型分布、影响资产</w:t>
            </w:r>
            <w:r>
              <w:rPr>
                <w:rFonts w:ascii="Calibri" w:hAnsi="Calibri" w:eastAsia="等线" w:cs="Calibri"/>
                <w:color w:val="auto"/>
                <w:sz w:val="22"/>
                <w:szCs w:val="22"/>
                <w:highlight w:val="none"/>
              </w:rPr>
              <w:t>TOP5</w:t>
            </w:r>
            <w:r>
              <w:rPr>
                <w:rFonts w:hint="eastAsia" w:ascii="宋体" w:hAnsi="宋体" w:eastAsia="宋体" w:cs="Calibri"/>
                <w:color w:val="auto"/>
                <w:sz w:val="22"/>
                <w:szCs w:val="22"/>
                <w:highlight w:val="none"/>
              </w:rPr>
              <w:t>、威胁趋势、威胁列表等；</w:t>
            </w:r>
          </w:p>
        </w:tc>
      </w:tr>
      <w:tr>
        <w:tblPrEx>
          <w:tblCellMar>
            <w:top w:w="0" w:type="dxa"/>
            <w:left w:w="108" w:type="dxa"/>
            <w:bottom w:w="0" w:type="dxa"/>
            <w:right w:w="108" w:type="dxa"/>
          </w:tblCellMar>
        </w:tblPrEx>
        <w:trPr>
          <w:trHeight w:val="117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w:t>
            </w:r>
            <w:r>
              <w:rPr>
                <w:rFonts w:ascii="Calibri" w:hAnsi="Calibri" w:eastAsia="等线" w:cs="Calibri"/>
                <w:color w:val="auto"/>
                <w:sz w:val="22"/>
                <w:szCs w:val="22"/>
                <w:highlight w:val="none"/>
              </w:rPr>
              <w:t>DDOS</w:t>
            </w:r>
            <w:r>
              <w:rPr>
                <w:rFonts w:hint="eastAsia" w:ascii="宋体" w:hAnsi="宋体" w:eastAsia="宋体" w:cs="Calibri"/>
                <w:color w:val="auto"/>
                <w:sz w:val="22"/>
                <w:szCs w:val="22"/>
                <w:highlight w:val="none"/>
              </w:rPr>
              <w:t>攻击分析，分析维度包括威胁类型数、影响资产数、威胁来源地分布、影响资产</w:t>
            </w:r>
            <w:r>
              <w:rPr>
                <w:rFonts w:ascii="Calibri" w:hAnsi="Calibri" w:eastAsia="等线" w:cs="Calibri"/>
                <w:color w:val="auto"/>
                <w:sz w:val="22"/>
                <w:szCs w:val="22"/>
                <w:highlight w:val="none"/>
              </w:rPr>
              <w:t>TOP5</w:t>
            </w:r>
            <w:r>
              <w:rPr>
                <w:rFonts w:hint="eastAsia" w:ascii="宋体" w:hAnsi="宋体" w:eastAsia="宋体" w:cs="Calibri"/>
                <w:color w:val="auto"/>
                <w:sz w:val="22"/>
                <w:szCs w:val="22"/>
                <w:highlight w:val="none"/>
              </w:rPr>
              <w:t>、威胁趋势、威胁列表等；</w:t>
            </w:r>
          </w:p>
        </w:tc>
      </w:tr>
      <w:tr>
        <w:tblPrEx>
          <w:tblCellMar>
            <w:top w:w="0" w:type="dxa"/>
            <w:left w:w="108" w:type="dxa"/>
            <w:bottom w:w="0" w:type="dxa"/>
            <w:right w:w="108" w:type="dxa"/>
          </w:tblCellMar>
        </w:tblPrEx>
        <w:trPr>
          <w:trHeight w:val="119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支持暴力破解攻击分析，分析维度包括威胁源总量、影响资产数、威胁源</w:t>
            </w:r>
            <w:r>
              <w:rPr>
                <w:rFonts w:ascii="Calibri" w:hAnsi="Calibri" w:eastAsia="等线" w:cs="Calibri"/>
                <w:color w:val="auto"/>
                <w:sz w:val="22"/>
                <w:szCs w:val="22"/>
                <w:highlight w:val="none"/>
              </w:rPr>
              <w:t>TOP5</w:t>
            </w:r>
            <w:r>
              <w:rPr>
                <w:rFonts w:hint="eastAsia" w:ascii="宋体" w:hAnsi="宋体" w:eastAsia="宋体" w:cs="Calibri"/>
                <w:color w:val="auto"/>
                <w:sz w:val="22"/>
                <w:szCs w:val="22"/>
                <w:highlight w:val="none"/>
              </w:rPr>
              <w:t>、影响业务系统</w:t>
            </w:r>
            <w:r>
              <w:rPr>
                <w:rFonts w:ascii="Calibri" w:hAnsi="Calibri" w:eastAsia="等线" w:cs="Calibri"/>
                <w:color w:val="auto"/>
                <w:sz w:val="22"/>
                <w:szCs w:val="22"/>
                <w:highlight w:val="none"/>
              </w:rPr>
              <w:t>TOP5</w:t>
            </w:r>
            <w:r>
              <w:rPr>
                <w:rFonts w:hint="eastAsia" w:ascii="宋体" w:hAnsi="宋体" w:eastAsia="宋体" w:cs="Calibri"/>
                <w:color w:val="auto"/>
                <w:sz w:val="22"/>
                <w:szCs w:val="22"/>
                <w:highlight w:val="none"/>
              </w:rPr>
              <w:t>、破解趋势、威胁列表等；</w:t>
            </w:r>
          </w:p>
        </w:tc>
      </w:tr>
      <w:tr>
        <w:tblPrEx>
          <w:tblCellMar>
            <w:top w:w="0" w:type="dxa"/>
            <w:left w:w="108" w:type="dxa"/>
            <w:bottom w:w="0" w:type="dxa"/>
            <w:right w:w="108" w:type="dxa"/>
          </w:tblCellMar>
        </w:tblPrEx>
        <w:trPr>
          <w:trHeight w:val="147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w:t>
            </w:r>
            <w:r>
              <w:rPr>
                <w:rFonts w:ascii="Calibri" w:hAnsi="Calibri" w:eastAsia="等线" w:cs="Calibri"/>
                <w:color w:val="auto"/>
                <w:sz w:val="22"/>
                <w:szCs w:val="22"/>
                <w:highlight w:val="none"/>
              </w:rPr>
              <w:t>APT</w:t>
            </w:r>
            <w:r>
              <w:rPr>
                <w:rFonts w:hint="eastAsia" w:ascii="宋体" w:hAnsi="宋体" w:eastAsia="宋体" w:cs="Calibri"/>
                <w:color w:val="auto"/>
                <w:sz w:val="22"/>
                <w:szCs w:val="22"/>
                <w:highlight w:val="none"/>
              </w:rPr>
              <w:t>攻击分析，分析维度包括威胁源总量、威胁类型数、影响资产数、威胁源</w:t>
            </w:r>
            <w:r>
              <w:rPr>
                <w:rFonts w:ascii="Calibri" w:hAnsi="Calibri" w:eastAsia="等线" w:cs="Calibri"/>
                <w:color w:val="auto"/>
                <w:sz w:val="22"/>
                <w:szCs w:val="22"/>
                <w:highlight w:val="none"/>
              </w:rPr>
              <w:t>TOP5</w:t>
            </w:r>
            <w:r>
              <w:rPr>
                <w:rFonts w:hint="eastAsia" w:ascii="宋体" w:hAnsi="宋体" w:eastAsia="宋体" w:cs="Calibri"/>
                <w:color w:val="auto"/>
                <w:sz w:val="22"/>
                <w:szCs w:val="22"/>
                <w:highlight w:val="none"/>
              </w:rPr>
              <w:t>、威胁类型分布、影响资产</w:t>
            </w:r>
            <w:r>
              <w:rPr>
                <w:rFonts w:ascii="Calibri" w:hAnsi="Calibri" w:eastAsia="等线" w:cs="Calibri"/>
                <w:color w:val="auto"/>
                <w:sz w:val="22"/>
                <w:szCs w:val="22"/>
                <w:highlight w:val="none"/>
              </w:rPr>
              <w:t>TOP5</w:t>
            </w:r>
            <w:r>
              <w:rPr>
                <w:rFonts w:hint="eastAsia" w:ascii="宋体" w:hAnsi="宋体" w:eastAsia="宋体" w:cs="Calibri"/>
                <w:color w:val="auto"/>
                <w:sz w:val="22"/>
                <w:szCs w:val="22"/>
                <w:highlight w:val="none"/>
              </w:rPr>
              <w:t>、威胁趋势、威胁列表等；</w:t>
            </w:r>
          </w:p>
        </w:tc>
      </w:tr>
      <w:tr>
        <w:tblPrEx>
          <w:tblCellMar>
            <w:top w:w="0" w:type="dxa"/>
            <w:left w:w="108" w:type="dxa"/>
            <w:bottom w:w="0" w:type="dxa"/>
            <w:right w:w="108" w:type="dxa"/>
          </w:tblCellMar>
        </w:tblPrEx>
        <w:trPr>
          <w:trHeight w:val="117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支持恶意程序分析，分析维度包括恶意程序数、影响资产数、恶意程序、被感染资产</w:t>
            </w:r>
            <w:r>
              <w:rPr>
                <w:rFonts w:ascii="Calibri" w:hAnsi="Calibri" w:eastAsia="等线" w:cs="Calibri"/>
                <w:color w:val="auto"/>
                <w:sz w:val="22"/>
                <w:szCs w:val="22"/>
                <w:highlight w:val="none"/>
              </w:rPr>
              <w:t>TOP5</w:t>
            </w:r>
            <w:r>
              <w:rPr>
                <w:rFonts w:hint="eastAsia" w:ascii="宋体" w:hAnsi="宋体" w:eastAsia="宋体" w:cs="Calibri"/>
                <w:color w:val="auto"/>
                <w:sz w:val="22"/>
                <w:szCs w:val="22"/>
                <w:highlight w:val="none"/>
              </w:rPr>
              <w:t>、被感染资产的可疑行为分布、威胁列表等；</w:t>
            </w:r>
          </w:p>
        </w:tc>
      </w:tr>
      <w:tr>
        <w:tblPrEx>
          <w:tblCellMar>
            <w:top w:w="0" w:type="dxa"/>
            <w:left w:w="108" w:type="dxa"/>
            <w:bottom w:w="0" w:type="dxa"/>
            <w:right w:w="108" w:type="dxa"/>
          </w:tblCellMar>
        </w:tblPrEx>
        <w:trPr>
          <w:trHeight w:val="145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支持扫描威胁分析，分析维度包括威胁源总量、扫描类型数、影响资产数、威胁源</w:t>
            </w:r>
            <w:r>
              <w:rPr>
                <w:rFonts w:ascii="Calibri" w:hAnsi="Calibri" w:eastAsia="等线" w:cs="Calibri"/>
                <w:color w:val="auto"/>
                <w:sz w:val="22"/>
                <w:szCs w:val="22"/>
                <w:highlight w:val="none"/>
              </w:rPr>
              <w:t>TOP5</w:t>
            </w:r>
            <w:r>
              <w:rPr>
                <w:rFonts w:hint="eastAsia" w:ascii="宋体" w:hAnsi="宋体" w:eastAsia="宋体" w:cs="Calibri"/>
                <w:color w:val="auto"/>
                <w:sz w:val="22"/>
                <w:szCs w:val="22"/>
                <w:highlight w:val="none"/>
              </w:rPr>
              <w:t>、影响业务系统</w:t>
            </w:r>
            <w:r>
              <w:rPr>
                <w:rFonts w:ascii="Calibri" w:hAnsi="Calibri" w:eastAsia="等线" w:cs="Calibri"/>
                <w:color w:val="auto"/>
                <w:sz w:val="22"/>
                <w:szCs w:val="22"/>
                <w:highlight w:val="none"/>
              </w:rPr>
              <w:t>TOP5</w:t>
            </w:r>
            <w:r>
              <w:rPr>
                <w:rFonts w:hint="eastAsia" w:ascii="宋体" w:hAnsi="宋体" w:eastAsia="宋体" w:cs="Calibri"/>
                <w:color w:val="auto"/>
                <w:sz w:val="22"/>
                <w:szCs w:val="22"/>
                <w:highlight w:val="none"/>
              </w:rPr>
              <w:t>、影响资产</w:t>
            </w:r>
            <w:r>
              <w:rPr>
                <w:rFonts w:ascii="Calibri" w:hAnsi="Calibri" w:eastAsia="等线" w:cs="Calibri"/>
                <w:color w:val="auto"/>
                <w:sz w:val="22"/>
                <w:szCs w:val="22"/>
                <w:highlight w:val="none"/>
              </w:rPr>
              <w:t>TOP5</w:t>
            </w:r>
            <w:r>
              <w:rPr>
                <w:rFonts w:hint="eastAsia" w:ascii="宋体" w:hAnsi="宋体" w:eastAsia="宋体" w:cs="Calibri"/>
                <w:color w:val="auto"/>
                <w:sz w:val="22"/>
                <w:szCs w:val="22"/>
                <w:highlight w:val="none"/>
              </w:rPr>
              <w:t>、扫描趋势、威胁列表等；</w:t>
            </w:r>
          </w:p>
        </w:tc>
      </w:tr>
      <w:tr>
        <w:tblPrEx>
          <w:tblCellMar>
            <w:top w:w="0" w:type="dxa"/>
            <w:left w:w="108" w:type="dxa"/>
            <w:bottom w:w="0" w:type="dxa"/>
            <w:right w:w="108" w:type="dxa"/>
          </w:tblCellMar>
        </w:tblPrEx>
        <w:trPr>
          <w:trHeight w:val="117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支持后门类发现检测分析，分析维度包括发现后门数、影响资产数、后门类型分布、影响资产</w:t>
            </w:r>
            <w:r>
              <w:rPr>
                <w:rFonts w:ascii="Calibri" w:hAnsi="Calibri" w:eastAsia="等线" w:cs="Calibri"/>
                <w:color w:val="auto"/>
                <w:sz w:val="22"/>
                <w:szCs w:val="22"/>
                <w:highlight w:val="none"/>
              </w:rPr>
              <w:t>TOP5</w:t>
            </w:r>
            <w:r>
              <w:rPr>
                <w:rFonts w:hint="eastAsia" w:ascii="宋体" w:hAnsi="宋体" w:eastAsia="宋体" w:cs="Calibri"/>
                <w:color w:val="auto"/>
                <w:sz w:val="22"/>
                <w:szCs w:val="22"/>
                <w:highlight w:val="none"/>
              </w:rPr>
              <w:t>、后门类趋势、威胁列表等；</w:t>
            </w:r>
          </w:p>
        </w:tc>
      </w:tr>
      <w:tr>
        <w:tblPrEx>
          <w:tblCellMar>
            <w:top w:w="0" w:type="dxa"/>
            <w:left w:w="108" w:type="dxa"/>
            <w:bottom w:w="0" w:type="dxa"/>
            <w:right w:w="108" w:type="dxa"/>
          </w:tblCellMar>
        </w:tblPrEx>
        <w:trPr>
          <w:trHeight w:val="117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支持弱密码分析，分析维度包括影响资产数、使用最多的账号</w:t>
            </w:r>
            <w:r>
              <w:rPr>
                <w:rFonts w:ascii="Calibri" w:hAnsi="Calibri" w:eastAsia="等线" w:cs="Calibri"/>
                <w:color w:val="auto"/>
                <w:sz w:val="22"/>
                <w:szCs w:val="22"/>
                <w:highlight w:val="none"/>
              </w:rPr>
              <w:t>&amp;</w:t>
            </w:r>
            <w:r>
              <w:rPr>
                <w:rFonts w:hint="eastAsia" w:ascii="宋体" w:hAnsi="宋体" w:eastAsia="宋体" w:cs="Calibri"/>
                <w:color w:val="auto"/>
                <w:sz w:val="22"/>
                <w:szCs w:val="22"/>
                <w:highlight w:val="none"/>
              </w:rPr>
              <w:t>密码</w:t>
            </w:r>
            <w:r>
              <w:rPr>
                <w:rFonts w:ascii="Calibri" w:hAnsi="Calibri" w:eastAsia="等线" w:cs="Calibri"/>
                <w:color w:val="auto"/>
                <w:sz w:val="22"/>
                <w:szCs w:val="22"/>
                <w:highlight w:val="none"/>
              </w:rPr>
              <w:t>TOP5</w:t>
            </w:r>
            <w:r>
              <w:rPr>
                <w:rFonts w:hint="eastAsia" w:ascii="宋体" w:hAnsi="宋体" w:eastAsia="宋体" w:cs="Calibri"/>
                <w:color w:val="auto"/>
                <w:sz w:val="22"/>
                <w:szCs w:val="22"/>
                <w:highlight w:val="none"/>
              </w:rPr>
              <w:t>、弱密码发现趋势、威胁列表等；</w:t>
            </w:r>
          </w:p>
        </w:tc>
      </w:tr>
      <w:tr>
        <w:tblPrEx>
          <w:tblCellMar>
            <w:top w:w="0" w:type="dxa"/>
            <w:left w:w="108" w:type="dxa"/>
            <w:bottom w:w="0" w:type="dxa"/>
            <w:right w:w="108" w:type="dxa"/>
          </w:tblCellMar>
        </w:tblPrEx>
        <w:trPr>
          <w:trHeight w:val="117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支持高危端口</w:t>
            </w:r>
            <w:r>
              <w:rPr>
                <w:rFonts w:ascii="Calibri" w:hAnsi="Calibri" w:eastAsia="等线" w:cs="Calibri"/>
                <w:color w:val="auto"/>
                <w:sz w:val="22"/>
                <w:szCs w:val="22"/>
                <w:highlight w:val="none"/>
              </w:rPr>
              <w:t>/</w:t>
            </w:r>
            <w:r>
              <w:rPr>
                <w:rFonts w:hint="eastAsia" w:ascii="宋体" w:hAnsi="宋体" w:eastAsia="宋体" w:cs="Calibri"/>
                <w:color w:val="auto"/>
                <w:sz w:val="22"/>
                <w:szCs w:val="22"/>
                <w:highlight w:val="none"/>
              </w:rPr>
              <w:t>服务分析，分析维度包括影响资产数、高危端口</w:t>
            </w:r>
            <w:r>
              <w:rPr>
                <w:rFonts w:ascii="Calibri" w:hAnsi="Calibri" w:eastAsia="等线" w:cs="Calibri"/>
                <w:color w:val="auto"/>
                <w:sz w:val="22"/>
                <w:szCs w:val="22"/>
                <w:highlight w:val="none"/>
              </w:rPr>
              <w:t>TOP5</w:t>
            </w:r>
            <w:r>
              <w:rPr>
                <w:rFonts w:hint="eastAsia" w:ascii="宋体" w:hAnsi="宋体" w:eastAsia="宋体" w:cs="Calibri"/>
                <w:color w:val="auto"/>
                <w:sz w:val="22"/>
                <w:szCs w:val="22"/>
                <w:highlight w:val="none"/>
              </w:rPr>
              <w:t>、日志类型分布、高危端口发现趋势、威胁列表等。</w:t>
            </w:r>
          </w:p>
        </w:tc>
      </w:tr>
      <w:tr>
        <w:tblPrEx>
          <w:tblCellMar>
            <w:top w:w="0" w:type="dxa"/>
            <w:left w:w="108" w:type="dxa"/>
            <w:bottom w:w="0" w:type="dxa"/>
            <w:right w:w="108" w:type="dxa"/>
          </w:tblCellMar>
        </w:tblPrEx>
        <w:trPr>
          <w:trHeight w:val="147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支持恶意邮件分析，分析维度包括恶意邮件总数、威胁源数、影响资产数、遭受邮件威胁资产</w:t>
            </w:r>
            <w:r>
              <w:rPr>
                <w:rFonts w:ascii="Calibri" w:hAnsi="Calibri" w:eastAsia="等线" w:cs="Calibri"/>
                <w:color w:val="auto"/>
                <w:sz w:val="22"/>
                <w:szCs w:val="22"/>
                <w:highlight w:val="none"/>
              </w:rPr>
              <w:t>IP TOP5</w:t>
            </w:r>
            <w:r>
              <w:rPr>
                <w:rFonts w:hint="eastAsia" w:ascii="宋体" w:hAnsi="宋体" w:eastAsia="宋体" w:cs="Calibri"/>
                <w:color w:val="auto"/>
                <w:sz w:val="22"/>
                <w:szCs w:val="22"/>
                <w:highlight w:val="none"/>
              </w:rPr>
              <w:t>、发送恶意邮件</w:t>
            </w:r>
            <w:r>
              <w:rPr>
                <w:rFonts w:ascii="Calibri" w:hAnsi="Calibri" w:eastAsia="等线" w:cs="Calibri"/>
                <w:color w:val="auto"/>
                <w:sz w:val="22"/>
                <w:szCs w:val="22"/>
                <w:highlight w:val="none"/>
              </w:rPr>
              <w:t>IP TOP5</w:t>
            </w:r>
            <w:r>
              <w:rPr>
                <w:rFonts w:hint="eastAsia" w:ascii="宋体" w:hAnsi="宋体" w:eastAsia="宋体" w:cs="Calibri"/>
                <w:color w:val="auto"/>
                <w:sz w:val="22"/>
                <w:szCs w:val="22"/>
                <w:highlight w:val="none"/>
              </w:rPr>
              <w:t>、发送恶意邮件服务器</w:t>
            </w:r>
            <w:r>
              <w:rPr>
                <w:rFonts w:ascii="Calibri" w:hAnsi="Calibri" w:eastAsia="等线" w:cs="Calibri"/>
                <w:color w:val="auto"/>
                <w:sz w:val="22"/>
                <w:szCs w:val="22"/>
                <w:highlight w:val="none"/>
              </w:rPr>
              <w:t>TOP5</w:t>
            </w:r>
            <w:r>
              <w:rPr>
                <w:rFonts w:hint="eastAsia" w:ascii="宋体" w:hAnsi="宋体" w:eastAsia="宋体" w:cs="Calibri"/>
                <w:color w:val="auto"/>
                <w:sz w:val="22"/>
                <w:szCs w:val="22"/>
                <w:highlight w:val="none"/>
              </w:rPr>
              <w:t>、恶意邮件趋势等。</w:t>
            </w:r>
          </w:p>
        </w:tc>
      </w:tr>
      <w:tr>
        <w:tblPrEx>
          <w:tblCellMar>
            <w:top w:w="0" w:type="dxa"/>
            <w:left w:w="108" w:type="dxa"/>
            <w:bottom w:w="0" w:type="dxa"/>
            <w:right w:w="108" w:type="dxa"/>
          </w:tblCellMar>
        </w:tblPrEx>
        <w:trPr>
          <w:trHeight w:val="119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支持恶意挖矿分析，分析维度包括威胁源数、挖矿币种数、影响资产数、威胁源</w:t>
            </w:r>
            <w:r>
              <w:rPr>
                <w:rFonts w:ascii="Calibri" w:hAnsi="Calibri" w:eastAsia="等线" w:cs="Calibri"/>
                <w:color w:val="auto"/>
                <w:sz w:val="22"/>
                <w:szCs w:val="22"/>
                <w:highlight w:val="none"/>
              </w:rPr>
              <w:t>TOP5</w:t>
            </w:r>
            <w:r>
              <w:rPr>
                <w:rFonts w:hint="eastAsia" w:ascii="宋体" w:hAnsi="宋体" w:eastAsia="宋体" w:cs="Calibri"/>
                <w:color w:val="auto"/>
                <w:sz w:val="22"/>
                <w:szCs w:val="22"/>
                <w:highlight w:val="none"/>
              </w:rPr>
              <w:t>、挖矿币种分布、影响资产</w:t>
            </w:r>
            <w:r>
              <w:rPr>
                <w:rFonts w:ascii="Calibri" w:hAnsi="Calibri" w:eastAsia="等线" w:cs="Calibri"/>
                <w:color w:val="auto"/>
                <w:sz w:val="22"/>
                <w:szCs w:val="22"/>
                <w:highlight w:val="none"/>
              </w:rPr>
              <w:t>TOP5</w:t>
            </w:r>
            <w:r>
              <w:rPr>
                <w:rFonts w:hint="eastAsia" w:ascii="宋体" w:hAnsi="宋体" w:eastAsia="宋体" w:cs="Calibri"/>
                <w:color w:val="auto"/>
                <w:sz w:val="22"/>
                <w:szCs w:val="22"/>
                <w:highlight w:val="none"/>
              </w:rPr>
              <w:t>、威胁趋势等；</w:t>
            </w:r>
          </w:p>
        </w:tc>
      </w:tr>
      <w:tr>
        <w:tblPrEx>
          <w:tblCellMar>
            <w:top w:w="0" w:type="dxa"/>
            <w:left w:w="108" w:type="dxa"/>
            <w:bottom w:w="0" w:type="dxa"/>
            <w:right w:w="108" w:type="dxa"/>
          </w:tblCellMar>
        </w:tblPrEx>
        <w:trPr>
          <w:trHeight w:val="373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restart"/>
            <w:tcBorders>
              <w:top w:val="nil"/>
              <w:left w:val="single" w:color="auto" w:sz="8" w:space="0"/>
              <w:bottom w:val="single" w:color="000000"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EBA分析</w:t>
            </w: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支持从日志中发现威胁源，支持以列表形式展示 威胁源相关信息，展示信息包括（区域）</w:t>
            </w:r>
            <w:r>
              <w:rPr>
                <w:rFonts w:ascii="Calibri" w:hAnsi="Calibri" w:eastAsia="等线" w:cs="Calibri"/>
                <w:color w:val="auto"/>
                <w:sz w:val="22"/>
                <w:szCs w:val="22"/>
                <w:highlight w:val="none"/>
              </w:rPr>
              <w:t>IP</w:t>
            </w:r>
            <w:r>
              <w:rPr>
                <w:rFonts w:hint="eastAsia" w:ascii="宋体" w:hAnsi="宋体" w:eastAsia="宋体" w:cs="Calibri"/>
                <w:color w:val="auto"/>
                <w:sz w:val="22"/>
                <w:szCs w:val="22"/>
                <w:highlight w:val="none"/>
              </w:rPr>
              <w:t>、威胁等级、影响资产、威胁类型、威胁数量、首次发现时间、最新发现时间、处置状态等，支持按照日期、</w:t>
            </w:r>
            <w:r>
              <w:rPr>
                <w:rFonts w:ascii="Calibri" w:hAnsi="Calibri" w:eastAsia="等线" w:cs="Calibri"/>
                <w:color w:val="auto"/>
                <w:sz w:val="22"/>
                <w:szCs w:val="22"/>
                <w:highlight w:val="none"/>
              </w:rPr>
              <w:t>IP</w:t>
            </w:r>
            <w:r>
              <w:rPr>
                <w:rFonts w:hint="eastAsia" w:ascii="宋体" w:hAnsi="宋体" w:eastAsia="宋体" w:cs="Calibri"/>
                <w:color w:val="auto"/>
                <w:sz w:val="22"/>
                <w:szCs w:val="22"/>
                <w:highlight w:val="none"/>
              </w:rPr>
              <w:t>、区域、威胁等级、威胁类型、关注名单匹配、是否命中情报、处置状态等条件进行过滤查询，支持威胁加入白名单、关注名单、加入威胁情报库、立即封堵等操作，支持与云端情报进行碰撞，支持按照</w:t>
            </w:r>
            <w:r>
              <w:rPr>
                <w:rFonts w:ascii="Calibri" w:hAnsi="Calibri" w:eastAsia="等线" w:cs="Calibri"/>
                <w:color w:val="auto"/>
                <w:sz w:val="22"/>
                <w:szCs w:val="22"/>
                <w:highlight w:val="none"/>
              </w:rPr>
              <w:t>TXT</w:t>
            </w:r>
            <w:r>
              <w:rPr>
                <w:rFonts w:hint="eastAsia" w:ascii="宋体" w:hAnsi="宋体" w:eastAsia="宋体" w:cs="Calibri"/>
                <w:color w:val="auto"/>
                <w:sz w:val="22"/>
                <w:szCs w:val="22"/>
                <w:highlight w:val="none"/>
              </w:rPr>
              <w:t>、</w:t>
            </w:r>
            <w:r>
              <w:rPr>
                <w:rFonts w:ascii="Calibri" w:hAnsi="Calibri" w:eastAsia="等线" w:cs="Calibri"/>
                <w:color w:val="auto"/>
                <w:sz w:val="22"/>
                <w:szCs w:val="22"/>
                <w:highlight w:val="none"/>
              </w:rPr>
              <w:t>CSV</w:t>
            </w:r>
            <w:r>
              <w:rPr>
                <w:rFonts w:hint="eastAsia" w:ascii="宋体" w:hAnsi="宋体" w:eastAsia="宋体" w:cs="Calibri"/>
                <w:color w:val="auto"/>
                <w:sz w:val="22"/>
                <w:szCs w:val="22"/>
                <w:highlight w:val="none"/>
              </w:rPr>
              <w:t>、</w:t>
            </w:r>
            <w:r>
              <w:rPr>
                <w:rFonts w:ascii="Calibri" w:hAnsi="Calibri" w:eastAsia="等线" w:cs="Calibri"/>
                <w:color w:val="auto"/>
                <w:sz w:val="22"/>
                <w:szCs w:val="22"/>
                <w:highlight w:val="none"/>
              </w:rPr>
              <w:t>EXCEL</w:t>
            </w:r>
            <w:r>
              <w:rPr>
                <w:rFonts w:hint="eastAsia" w:ascii="宋体" w:hAnsi="宋体" w:eastAsia="宋体" w:cs="Calibri"/>
                <w:color w:val="auto"/>
                <w:sz w:val="22"/>
                <w:szCs w:val="22"/>
                <w:highlight w:val="none"/>
              </w:rPr>
              <w:t>等格式进行威胁信息导出，支持影响资产、威胁类型、威胁数量等字段下钻，支持鼠标滑过处置状态悬浮显示封堵信息；</w:t>
            </w:r>
          </w:p>
        </w:tc>
      </w:tr>
      <w:tr>
        <w:tblPrEx>
          <w:tblCellMar>
            <w:top w:w="0" w:type="dxa"/>
            <w:left w:w="108" w:type="dxa"/>
            <w:bottom w:w="0" w:type="dxa"/>
            <w:right w:w="108" w:type="dxa"/>
          </w:tblCellMar>
        </w:tblPrEx>
        <w:trPr>
          <w:trHeight w:val="263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支持对全部资产进行画像分析，支持以列表形式展示资产相关信息，展示信息包括但不限于资产名称、</w:t>
            </w:r>
            <w:r>
              <w:rPr>
                <w:rFonts w:ascii="Calibri" w:hAnsi="Calibri" w:eastAsia="等线" w:cs="Calibri"/>
                <w:color w:val="auto"/>
                <w:sz w:val="22"/>
                <w:szCs w:val="22"/>
                <w:highlight w:val="none"/>
              </w:rPr>
              <w:t>IP</w:t>
            </w:r>
            <w:r>
              <w:rPr>
                <w:rFonts w:hint="eastAsia" w:ascii="宋体" w:hAnsi="宋体" w:eastAsia="宋体" w:cs="Calibri"/>
                <w:color w:val="auto"/>
                <w:sz w:val="22"/>
                <w:szCs w:val="22"/>
                <w:highlight w:val="none"/>
              </w:rPr>
              <w:t>、风险等级、失陷状态、漏洞、告警、遭受攻击阶段等，支持按照日期、</w:t>
            </w:r>
            <w:r>
              <w:rPr>
                <w:rFonts w:ascii="Calibri" w:hAnsi="Calibri" w:eastAsia="等线" w:cs="Calibri"/>
                <w:color w:val="auto"/>
                <w:sz w:val="22"/>
                <w:szCs w:val="22"/>
                <w:highlight w:val="none"/>
              </w:rPr>
              <w:t>IP</w:t>
            </w:r>
            <w:r>
              <w:rPr>
                <w:rFonts w:hint="eastAsia" w:ascii="宋体" w:hAnsi="宋体" w:eastAsia="宋体" w:cs="Calibri"/>
                <w:color w:val="auto"/>
                <w:sz w:val="22"/>
                <w:szCs w:val="22"/>
                <w:highlight w:val="none"/>
              </w:rPr>
              <w:t>地址、风险等级、失陷状态、告警、遭受攻击阶段、资产类型、是否有暴露面等条件进行过滤查询，支持至少</w:t>
            </w:r>
            <w:r>
              <w:rPr>
                <w:rFonts w:ascii="Calibri" w:hAnsi="Calibri" w:eastAsia="等线" w:cs="Calibri"/>
                <w:color w:val="auto"/>
                <w:sz w:val="22"/>
                <w:szCs w:val="22"/>
                <w:highlight w:val="none"/>
              </w:rPr>
              <w:t>10</w:t>
            </w:r>
            <w:r>
              <w:rPr>
                <w:rFonts w:hint="eastAsia" w:ascii="宋体" w:hAnsi="宋体" w:eastAsia="宋体" w:cs="Calibri"/>
                <w:color w:val="auto"/>
                <w:sz w:val="22"/>
                <w:szCs w:val="22"/>
                <w:highlight w:val="none"/>
              </w:rPr>
              <w:t>种展示列自定义，支持按照</w:t>
            </w:r>
            <w:r>
              <w:rPr>
                <w:rFonts w:ascii="Calibri" w:hAnsi="Calibri" w:eastAsia="等线" w:cs="Calibri"/>
                <w:color w:val="auto"/>
                <w:sz w:val="22"/>
                <w:szCs w:val="22"/>
                <w:highlight w:val="none"/>
              </w:rPr>
              <w:t>TXT</w:t>
            </w:r>
            <w:r>
              <w:rPr>
                <w:rFonts w:hint="eastAsia" w:ascii="宋体" w:hAnsi="宋体" w:eastAsia="宋体" w:cs="Calibri"/>
                <w:color w:val="auto"/>
                <w:sz w:val="22"/>
                <w:szCs w:val="22"/>
                <w:highlight w:val="none"/>
              </w:rPr>
              <w:t>、</w:t>
            </w:r>
            <w:r>
              <w:rPr>
                <w:rFonts w:ascii="Calibri" w:hAnsi="Calibri" w:eastAsia="等线" w:cs="Calibri"/>
                <w:color w:val="auto"/>
                <w:sz w:val="22"/>
                <w:szCs w:val="22"/>
                <w:highlight w:val="none"/>
              </w:rPr>
              <w:t>CSV</w:t>
            </w:r>
            <w:r>
              <w:rPr>
                <w:rFonts w:hint="eastAsia" w:ascii="宋体" w:hAnsi="宋体" w:eastAsia="宋体" w:cs="Calibri"/>
                <w:color w:val="auto"/>
                <w:sz w:val="22"/>
                <w:szCs w:val="22"/>
                <w:highlight w:val="none"/>
              </w:rPr>
              <w:t>、</w:t>
            </w:r>
            <w:r>
              <w:rPr>
                <w:rFonts w:ascii="Calibri" w:hAnsi="Calibri" w:eastAsia="等线" w:cs="Calibri"/>
                <w:color w:val="auto"/>
                <w:sz w:val="22"/>
                <w:szCs w:val="22"/>
                <w:highlight w:val="none"/>
              </w:rPr>
              <w:t>EXCEL</w:t>
            </w:r>
            <w:r>
              <w:rPr>
                <w:rFonts w:hint="eastAsia" w:ascii="宋体" w:hAnsi="宋体" w:eastAsia="宋体" w:cs="Calibri"/>
                <w:color w:val="auto"/>
                <w:sz w:val="22"/>
                <w:szCs w:val="22"/>
                <w:highlight w:val="none"/>
              </w:rPr>
              <w:t>等格式进行资产信息导出；</w:t>
            </w:r>
          </w:p>
        </w:tc>
      </w:tr>
      <w:tr>
        <w:tblPrEx>
          <w:tblCellMar>
            <w:top w:w="0" w:type="dxa"/>
            <w:left w:w="108" w:type="dxa"/>
            <w:bottom w:w="0" w:type="dxa"/>
            <w:right w:w="108" w:type="dxa"/>
          </w:tblCellMar>
        </w:tblPrEx>
        <w:trPr>
          <w:trHeight w:val="289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支持对业务系统进行画像、支持以列表形式展示业务系统相关信息，展示信息包括业务系统名称、关注属性、关联资产数</w:t>
            </w:r>
            <w:r>
              <w:rPr>
                <w:rFonts w:ascii="Calibri" w:hAnsi="Calibri" w:eastAsia="等线" w:cs="Calibri"/>
                <w:color w:val="auto"/>
                <w:sz w:val="22"/>
                <w:szCs w:val="22"/>
                <w:highlight w:val="none"/>
              </w:rPr>
              <w:t>/</w:t>
            </w:r>
            <w:r>
              <w:rPr>
                <w:rFonts w:hint="eastAsia" w:ascii="宋体" w:hAnsi="宋体" w:eastAsia="宋体" w:cs="Calibri"/>
                <w:color w:val="auto"/>
                <w:sz w:val="22"/>
                <w:szCs w:val="22"/>
                <w:highlight w:val="none"/>
              </w:rPr>
              <w:t>失陷资产数、漏洞、告警、责任人等，支持按照日期、业务系统名称、业务重要性、是否互联网暴露、等保级别、责任人、业务系统类型进行过滤查询，支持按照</w:t>
            </w:r>
            <w:r>
              <w:rPr>
                <w:rFonts w:ascii="Calibri" w:hAnsi="Calibri" w:eastAsia="等线" w:cs="Calibri"/>
                <w:color w:val="auto"/>
                <w:sz w:val="22"/>
                <w:szCs w:val="22"/>
                <w:highlight w:val="none"/>
              </w:rPr>
              <w:t>TXT</w:t>
            </w:r>
            <w:r>
              <w:rPr>
                <w:rFonts w:hint="eastAsia" w:ascii="宋体" w:hAnsi="宋体" w:eastAsia="宋体" w:cs="Calibri"/>
                <w:color w:val="auto"/>
                <w:sz w:val="22"/>
                <w:szCs w:val="22"/>
                <w:highlight w:val="none"/>
              </w:rPr>
              <w:t>、</w:t>
            </w:r>
            <w:r>
              <w:rPr>
                <w:rFonts w:ascii="Calibri" w:hAnsi="Calibri" w:eastAsia="等线" w:cs="Calibri"/>
                <w:color w:val="auto"/>
                <w:sz w:val="22"/>
                <w:szCs w:val="22"/>
                <w:highlight w:val="none"/>
              </w:rPr>
              <w:t>CSV</w:t>
            </w:r>
            <w:r>
              <w:rPr>
                <w:rFonts w:hint="eastAsia" w:ascii="宋体" w:hAnsi="宋体" w:eastAsia="宋体" w:cs="Calibri"/>
                <w:color w:val="auto"/>
                <w:sz w:val="22"/>
                <w:szCs w:val="22"/>
                <w:highlight w:val="none"/>
              </w:rPr>
              <w:t>、</w:t>
            </w:r>
            <w:r>
              <w:rPr>
                <w:rFonts w:ascii="Calibri" w:hAnsi="Calibri" w:eastAsia="等线" w:cs="Calibri"/>
                <w:color w:val="auto"/>
                <w:sz w:val="22"/>
                <w:szCs w:val="22"/>
                <w:highlight w:val="none"/>
              </w:rPr>
              <w:t>EXCEL</w:t>
            </w:r>
            <w:r>
              <w:rPr>
                <w:rFonts w:hint="eastAsia" w:ascii="宋体" w:hAnsi="宋体" w:eastAsia="宋体" w:cs="Calibri"/>
                <w:color w:val="auto"/>
                <w:sz w:val="22"/>
                <w:szCs w:val="22"/>
                <w:highlight w:val="none"/>
              </w:rPr>
              <w:t>等格式进行业务系统信息到处，支持业务系统名称、关联资产数</w:t>
            </w:r>
            <w:r>
              <w:rPr>
                <w:rFonts w:ascii="Calibri" w:hAnsi="Calibri" w:eastAsia="等线" w:cs="Calibri"/>
                <w:color w:val="auto"/>
                <w:sz w:val="22"/>
                <w:szCs w:val="22"/>
                <w:highlight w:val="none"/>
              </w:rPr>
              <w:t>/</w:t>
            </w:r>
            <w:r>
              <w:rPr>
                <w:rFonts w:hint="eastAsia" w:ascii="宋体" w:hAnsi="宋体" w:eastAsia="宋体" w:cs="Calibri"/>
                <w:color w:val="auto"/>
                <w:sz w:val="22"/>
                <w:szCs w:val="22"/>
                <w:highlight w:val="none"/>
              </w:rPr>
              <w:t>失陷资产数、告警等字段下钻。</w:t>
            </w:r>
          </w:p>
        </w:tc>
      </w:tr>
      <w:tr>
        <w:tblPrEx>
          <w:tblCellMar>
            <w:top w:w="0" w:type="dxa"/>
            <w:left w:w="108" w:type="dxa"/>
            <w:bottom w:w="0" w:type="dxa"/>
            <w:right w:w="108" w:type="dxa"/>
          </w:tblCellMar>
        </w:tblPrEx>
        <w:trPr>
          <w:trHeight w:val="149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restart"/>
            <w:tcBorders>
              <w:top w:val="nil"/>
              <w:left w:val="single" w:color="auto" w:sz="8" w:space="0"/>
              <w:bottom w:val="single" w:color="000000"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调查取证</w:t>
            </w:r>
          </w:p>
        </w:tc>
        <w:tc>
          <w:tcPr>
            <w:tcW w:w="4560" w:type="dxa"/>
            <w:tcBorders>
              <w:top w:val="nil"/>
              <w:left w:val="nil"/>
              <w:bottom w:val="single" w:color="auto" w:sz="8" w:space="0"/>
              <w:right w:val="single" w:color="000000"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支持至少</w:t>
            </w:r>
            <w:r>
              <w:rPr>
                <w:rFonts w:ascii="Calibri" w:hAnsi="Calibri" w:eastAsia="等线" w:cs="Calibri"/>
                <w:color w:val="auto"/>
                <w:sz w:val="22"/>
                <w:szCs w:val="22"/>
                <w:highlight w:val="none"/>
              </w:rPr>
              <w:t>50</w:t>
            </w:r>
            <w:r>
              <w:rPr>
                <w:rFonts w:hint="eastAsia" w:ascii="宋体" w:hAnsi="宋体" w:eastAsia="宋体" w:cs="Calibri"/>
                <w:color w:val="auto"/>
                <w:sz w:val="22"/>
                <w:szCs w:val="22"/>
                <w:highlight w:val="none"/>
              </w:rPr>
              <w:t>种日志展示字段，支持列集分组自定义、保存及快速切换，支持</w:t>
            </w:r>
            <w:r>
              <w:rPr>
                <w:rFonts w:ascii="Calibri" w:hAnsi="Calibri" w:eastAsia="等线" w:cs="Calibri"/>
                <w:color w:val="auto"/>
                <w:sz w:val="22"/>
                <w:szCs w:val="22"/>
                <w:highlight w:val="none"/>
              </w:rPr>
              <w:t>pcap</w:t>
            </w:r>
            <w:r>
              <w:rPr>
                <w:rFonts w:hint="eastAsia" w:ascii="宋体" w:hAnsi="宋体" w:eastAsia="宋体" w:cs="Calibri"/>
                <w:color w:val="auto"/>
                <w:sz w:val="22"/>
                <w:szCs w:val="22"/>
                <w:highlight w:val="none"/>
              </w:rPr>
              <w:t>导出、预览，支持检索日志的导出，包括但不限于</w:t>
            </w:r>
            <w:r>
              <w:rPr>
                <w:rFonts w:ascii="Calibri" w:hAnsi="Calibri" w:eastAsia="等线" w:cs="Calibri"/>
                <w:color w:val="auto"/>
                <w:sz w:val="22"/>
                <w:szCs w:val="22"/>
                <w:highlight w:val="none"/>
              </w:rPr>
              <w:t>txt</w:t>
            </w:r>
            <w:r>
              <w:rPr>
                <w:rFonts w:hint="eastAsia" w:ascii="宋体" w:hAnsi="宋体" w:eastAsia="宋体" w:cs="Calibri"/>
                <w:color w:val="auto"/>
                <w:sz w:val="22"/>
                <w:szCs w:val="22"/>
                <w:highlight w:val="none"/>
              </w:rPr>
              <w:t>、</w:t>
            </w:r>
            <w:r>
              <w:rPr>
                <w:rFonts w:ascii="Calibri" w:hAnsi="Calibri" w:eastAsia="等线" w:cs="Calibri"/>
                <w:color w:val="auto"/>
                <w:sz w:val="22"/>
                <w:szCs w:val="22"/>
                <w:highlight w:val="none"/>
              </w:rPr>
              <w:t>csv</w:t>
            </w:r>
            <w:r>
              <w:rPr>
                <w:rFonts w:hint="eastAsia" w:ascii="宋体" w:hAnsi="宋体" w:eastAsia="宋体" w:cs="Calibri"/>
                <w:color w:val="auto"/>
                <w:sz w:val="22"/>
                <w:szCs w:val="22"/>
                <w:highlight w:val="none"/>
              </w:rPr>
              <w:t>、</w:t>
            </w:r>
            <w:r>
              <w:rPr>
                <w:rFonts w:ascii="Calibri" w:hAnsi="Calibri" w:eastAsia="等线" w:cs="Calibri"/>
                <w:color w:val="auto"/>
                <w:sz w:val="22"/>
                <w:szCs w:val="22"/>
                <w:highlight w:val="none"/>
              </w:rPr>
              <w:t>excel</w:t>
            </w:r>
            <w:r>
              <w:rPr>
                <w:rFonts w:hint="eastAsia" w:ascii="宋体" w:hAnsi="宋体" w:eastAsia="宋体" w:cs="Calibri"/>
                <w:color w:val="auto"/>
                <w:sz w:val="22"/>
                <w:szCs w:val="22"/>
                <w:highlight w:val="none"/>
              </w:rPr>
              <w:t>，支持按时间序列统计日志；</w:t>
            </w:r>
          </w:p>
        </w:tc>
      </w:tr>
      <w:tr>
        <w:tblPrEx>
          <w:tblCellMar>
            <w:top w:w="0" w:type="dxa"/>
            <w:left w:w="108" w:type="dxa"/>
            <w:bottom w:w="0" w:type="dxa"/>
            <w:right w:w="108" w:type="dxa"/>
          </w:tblCellMar>
        </w:tblPrEx>
        <w:trPr>
          <w:trHeight w:val="115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000000"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支持对日志的详情展示，支持日志的详情、溯源、附件、一键封堵、加入白名单、加入关注名单、封堵申请等操作。</w:t>
            </w:r>
          </w:p>
        </w:tc>
      </w:tr>
      <w:tr>
        <w:tblPrEx>
          <w:tblCellMar>
            <w:top w:w="0" w:type="dxa"/>
            <w:left w:w="108" w:type="dxa"/>
            <w:bottom w:w="0" w:type="dxa"/>
            <w:right w:w="108" w:type="dxa"/>
          </w:tblCellMar>
        </w:tblPrEx>
        <w:trPr>
          <w:trHeight w:val="438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000000"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支持对攻击线索追踪溯源分析，攻击线索类型包括</w:t>
            </w:r>
            <w:r>
              <w:rPr>
                <w:rFonts w:ascii="Calibri" w:hAnsi="Calibri" w:eastAsia="宋体" w:cs="Calibri"/>
                <w:color w:val="auto"/>
                <w:sz w:val="22"/>
                <w:szCs w:val="22"/>
                <w:highlight w:val="none"/>
              </w:rPr>
              <w:t>IP</w:t>
            </w:r>
            <w:r>
              <w:rPr>
                <w:rFonts w:hint="eastAsia" w:ascii="宋体" w:hAnsi="宋体" w:eastAsia="宋体" w:cs="宋体"/>
                <w:color w:val="auto"/>
                <w:sz w:val="22"/>
                <w:szCs w:val="22"/>
                <w:highlight w:val="none"/>
              </w:rPr>
              <w:t>、端口、日志名称，支持追溯结果多维度展示，包括</w:t>
            </w:r>
            <w:r>
              <w:rPr>
                <w:rFonts w:ascii="Calibri" w:hAnsi="Calibri" w:eastAsia="宋体" w:cs="Calibri"/>
                <w:color w:val="auto"/>
                <w:sz w:val="22"/>
                <w:szCs w:val="22"/>
                <w:highlight w:val="none"/>
              </w:rPr>
              <w:t>IP</w:t>
            </w:r>
            <w:r>
              <w:rPr>
                <w:rFonts w:hint="eastAsia" w:ascii="宋体" w:hAnsi="宋体" w:eastAsia="宋体" w:cs="宋体"/>
                <w:color w:val="auto"/>
                <w:sz w:val="22"/>
                <w:szCs w:val="22"/>
                <w:highlight w:val="none"/>
              </w:rPr>
              <w:t>地址排行</w:t>
            </w:r>
            <w:r>
              <w:rPr>
                <w:rFonts w:ascii="Calibri" w:hAnsi="Calibri" w:eastAsia="宋体" w:cs="Calibri"/>
                <w:color w:val="auto"/>
                <w:sz w:val="22"/>
                <w:szCs w:val="22"/>
                <w:highlight w:val="none"/>
              </w:rPr>
              <w:t>TOP5</w:t>
            </w:r>
            <w:r>
              <w:rPr>
                <w:rFonts w:hint="eastAsia" w:ascii="宋体" w:hAnsi="宋体" w:eastAsia="宋体" w:cs="宋体"/>
                <w:color w:val="auto"/>
                <w:sz w:val="22"/>
                <w:szCs w:val="22"/>
                <w:highlight w:val="none"/>
              </w:rPr>
              <w:t>、端口</w:t>
            </w:r>
            <w:r>
              <w:rPr>
                <w:rFonts w:ascii="Calibri" w:hAnsi="Calibri" w:eastAsia="宋体" w:cs="Calibri"/>
                <w:color w:val="auto"/>
                <w:sz w:val="22"/>
                <w:szCs w:val="22"/>
                <w:highlight w:val="none"/>
              </w:rPr>
              <w:t>TOP5</w:t>
            </w:r>
            <w:r>
              <w:rPr>
                <w:rFonts w:hint="eastAsia" w:ascii="宋体" w:hAnsi="宋体" w:eastAsia="宋体" w:cs="宋体"/>
                <w:color w:val="auto"/>
                <w:sz w:val="22"/>
                <w:szCs w:val="22"/>
                <w:highlight w:val="none"/>
              </w:rPr>
              <w:t>、日志名称排名</w:t>
            </w:r>
            <w:r>
              <w:rPr>
                <w:rFonts w:ascii="Calibri" w:hAnsi="Calibri" w:eastAsia="宋体" w:cs="Calibri"/>
                <w:color w:val="auto"/>
                <w:sz w:val="22"/>
                <w:szCs w:val="22"/>
                <w:highlight w:val="none"/>
              </w:rPr>
              <w:t>TOP10</w:t>
            </w:r>
            <w:r>
              <w:rPr>
                <w:rFonts w:hint="eastAsia" w:ascii="宋体" w:hAnsi="宋体" w:eastAsia="宋体" w:cs="宋体"/>
                <w:color w:val="auto"/>
                <w:sz w:val="22"/>
                <w:szCs w:val="22"/>
                <w:highlight w:val="none"/>
              </w:rPr>
              <w:t>、攻击关系图、端口相关</w:t>
            </w:r>
            <w:r>
              <w:rPr>
                <w:rFonts w:ascii="Calibri" w:hAnsi="Calibri" w:eastAsia="宋体" w:cs="Calibri"/>
                <w:color w:val="auto"/>
                <w:sz w:val="22"/>
                <w:szCs w:val="22"/>
                <w:highlight w:val="none"/>
              </w:rPr>
              <w:t>IP</w:t>
            </w:r>
            <w:r>
              <w:rPr>
                <w:rFonts w:hint="eastAsia" w:ascii="宋体" w:hAnsi="宋体" w:eastAsia="宋体" w:cs="宋体"/>
                <w:color w:val="auto"/>
                <w:sz w:val="22"/>
                <w:szCs w:val="22"/>
                <w:highlight w:val="none"/>
              </w:rPr>
              <w:t>关系图、日志名称相关</w:t>
            </w:r>
            <w:r>
              <w:rPr>
                <w:rFonts w:ascii="Calibri" w:hAnsi="Calibri" w:eastAsia="宋体" w:cs="Calibri"/>
                <w:color w:val="auto"/>
                <w:sz w:val="22"/>
                <w:szCs w:val="22"/>
                <w:highlight w:val="none"/>
              </w:rPr>
              <w:t>IP</w:t>
            </w:r>
            <w:r>
              <w:rPr>
                <w:rFonts w:hint="eastAsia" w:ascii="宋体" w:hAnsi="宋体" w:eastAsia="宋体" w:cs="宋体"/>
                <w:color w:val="auto"/>
                <w:sz w:val="22"/>
                <w:szCs w:val="22"/>
                <w:highlight w:val="none"/>
              </w:rPr>
              <w:t>关系图、日志列表，攻击关系图包含攻击源、被攻击目标及日志名称之间的关系，端口相关</w:t>
            </w:r>
            <w:r>
              <w:rPr>
                <w:rFonts w:ascii="Calibri" w:hAnsi="Calibri" w:eastAsia="宋体" w:cs="Calibri"/>
                <w:color w:val="auto"/>
                <w:sz w:val="22"/>
                <w:szCs w:val="22"/>
                <w:highlight w:val="none"/>
              </w:rPr>
              <w:t>IP</w:t>
            </w:r>
            <w:r>
              <w:rPr>
                <w:rFonts w:hint="eastAsia" w:ascii="宋体" w:hAnsi="宋体" w:eastAsia="宋体" w:cs="宋体"/>
                <w:color w:val="auto"/>
                <w:sz w:val="22"/>
                <w:szCs w:val="22"/>
                <w:highlight w:val="none"/>
              </w:rPr>
              <w:t>关系图包含攻击源、被攻击目标及日志数量之间的关系，日志名称相关</w:t>
            </w:r>
            <w:r>
              <w:rPr>
                <w:rFonts w:ascii="Calibri" w:hAnsi="Calibri" w:eastAsia="宋体" w:cs="Calibri"/>
                <w:color w:val="auto"/>
                <w:sz w:val="22"/>
                <w:szCs w:val="22"/>
                <w:highlight w:val="none"/>
              </w:rPr>
              <w:t>IP</w:t>
            </w:r>
            <w:r>
              <w:rPr>
                <w:rFonts w:hint="eastAsia" w:ascii="宋体" w:hAnsi="宋体" w:eastAsia="宋体" w:cs="宋体"/>
                <w:color w:val="auto"/>
                <w:sz w:val="22"/>
                <w:szCs w:val="22"/>
                <w:highlight w:val="none"/>
              </w:rPr>
              <w:t>关系图包含攻击源、被攻击目标及日志数量之间的关系，日志列表信息包含开始时间、日志名称、源</w:t>
            </w:r>
            <w:r>
              <w:rPr>
                <w:rFonts w:ascii="Calibri" w:hAnsi="Calibri" w:eastAsia="宋体" w:cs="Calibri"/>
                <w:color w:val="auto"/>
                <w:sz w:val="22"/>
                <w:szCs w:val="22"/>
                <w:highlight w:val="none"/>
              </w:rPr>
              <w:t>IP</w:t>
            </w:r>
            <w:r>
              <w:rPr>
                <w:rFonts w:hint="eastAsia" w:ascii="宋体" w:hAnsi="宋体" w:eastAsia="宋体" w:cs="宋体"/>
                <w:color w:val="auto"/>
                <w:sz w:val="22"/>
                <w:szCs w:val="22"/>
                <w:highlight w:val="none"/>
              </w:rPr>
              <w:t>、源端口、目的</w:t>
            </w:r>
            <w:r>
              <w:rPr>
                <w:rFonts w:ascii="Calibri" w:hAnsi="Calibri" w:eastAsia="宋体" w:cs="Calibri"/>
                <w:color w:val="auto"/>
                <w:sz w:val="22"/>
                <w:szCs w:val="22"/>
                <w:highlight w:val="none"/>
              </w:rPr>
              <w:t>IP</w:t>
            </w:r>
            <w:r>
              <w:rPr>
                <w:rFonts w:hint="eastAsia" w:ascii="宋体" w:hAnsi="宋体" w:eastAsia="宋体" w:cs="宋体"/>
                <w:color w:val="auto"/>
                <w:sz w:val="22"/>
                <w:szCs w:val="22"/>
                <w:highlight w:val="none"/>
              </w:rPr>
              <w:t>、目的端口、日志级别等字段，支持日志详情查看、溯源、附件、一键封堵、加入白名单、加入关注名单、封堵申请等操作；</w:t>
            </w:r>
          </w:p>
        </w:tc>
      </w:tr>
      <w:tr>
        <w:tblPrEx>
          <w:tblCellMar>
            <w:top w:w="0" w:type="dxa"/>
            <w:left w:w="108" w:type="dxa"/>
            <w:bottom w:w="0" w:type="dxa"/>
            <w:right w:w="108" w:type="dxa"/>
          </w:tblCellMar>
        </w:tblPrEx>
        <w:trPr>
          <w:trHeight w:val="285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restart"/>
            <w:tcBorders>
              <w:top w:val="nil"/>
              <w:left w:val="single" w:color="auto" w:sz="8" w:space="0"/>
              <w:bottom w:val="single" w:color="000000"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建模分析</w:t>
            </w:r>
          </w:p>
        </w:tc>
        <w:tc>
          <w:tcPr>
            <w:tcW w:w="4560" w:type="dxa"/>
            <w:tcBorders>
              <w:top w:val="nil"/>
              <w:left w:val="nil"/>
              <w:bottom w:val="single" w:color="auto" w:sz="8" w:space="0"/>
              <w:right w:val="single" w:color="000000"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支持内置至少</w:t>
            </w:r>
            <w:r>
              <w:rPr>
                <w:rFonts w:hint="eastAsia" w:ascii="Calibri" w:hAnsi="Calibri" w:eastAsia="等线" w:cs="Calibri"/>
                <w:color w:val="auto"/>
                <w:sz w:val="22"/>
                <w:szCs w:val="22"/>
                <w:highlight w:val="none"/>
              </w:rPr>
              <w:t>多种</w:t>
            </w:r>
            <w:r>
              <w:rPr>
                <w:rFonts w:hint="eastAsia" w:ascii="宋体" w:hAnsi="宋体" w:eastAsia="宋体" w:cs="Calibri"/>
                <w:color w:val="auto"/>
                <w:sz w:val="22"/>
                <w:szCs w:val="22"/>
                <w:highlight w:val="none"/>
              </w:rPr>
              <w:t>分析模型，包括但不限于失陷状态、</w:t>
            </w:r>
            <w:r>
              <w:rPr>
                <w:rFonts w:ascii="Calibri" w:hAnsi="Calibri" w:eastAsia="等线" w:cs="Calibri"/>
                <w:color w:val="auto"/>
                <w:sz w:val="22"/>
                <w:szCs w:val="22"/>
                <w:highlight w:val="none"/>
              </w:rPr>
              <w:t>FTP</w:t>
            </w:r>
            <w:r>
              <w:rPr>
                <w:rFonts w:hint="eastAsia" w:ascii="宋体" w:hAnsi="宋体" w:eastAsia="宋体" w:cs="Calibri"/>
                <w:color w:val="auto"/>
                <w:sz w:val="22"/>
                <w:szCs w:val="22"/>
                <w:highlight w:val="none"/>
              </w:rPr>
              <w:t>登录失败、敏感文件信息泄露、成功暴力破解、文件上传漏洞等，支持模型新增、编辑、删除、查看、启用、停用、置顶等操作，支持模型批量删除、批量启用、批量停用，支持导入导出自定义模型，支持导入内置模型，状态为启用的模型不允许操作，支持按照模型名称、模式、模型状态、模型分类、关注度进行过滤查询。</w:t>
            </w:r>
          </w:p>
        </w:tc>
      </w:tr>
      <w:tr>
        <w:tblPrEx>
          <w:tblCellMar>
            <w:top w:w="0" w:type="dxa"/>
            <w:left w:w="108" w:type="dxa"/>
            <w:bottom w:w="0" w:type="dxa"/>
            <w:right w:w="108" w:type="dxa"/>
          </w:tblCellMar>
        </w:tblPrEx>
        <w:trPr>
          <w:trHeight w:val="115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000000"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支持自定义添加分析模型，模式类型包括规则模型、关联模型、智能模型、阈值偏离模型、集合偏离模型。</w:t>
            </w:r>
          </w:p>
        </w:tc>
      </w:tr>
      <w:tr>
        <w:tblPrEx>
          <w:tblCellMar>
            <w:top w:w="0" w:type="dxa"/>
            <w:left w:w="108" w:type="dxa"/>
            <w:bottom w:w="0" w:type="dxa"/>
            <w:right w:w="108" w:type="dxa"/>
          </w:tblCellMar>
        </w:tblPrEx>
        <w:trPr>
          <w:trHeight w:val="2290" w:hRule="atLeast"/>
        </w:trPr>
        <w:tc>
          <w:tcPr>
            <w:tcW w:w="1480" w:type="dxa"/>
            <w:vMerge w:val="restart"/>
            <w:tcBorders>
              <w:top w:val="nil"/>
              <w:left w:val="single" w:color="auto" w:sz="8" w:space="0"/>
              <w:bottom w:val="single" w:color="000000" w:sz="8" w:space="0"/>
              <w:right w:val="single" w:color="auto" w:sz="8"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资产管理</w:t>
            </w:r>
          </w:p>
        </w:tc>
        <w:tc>
          <w:tcPr>
            <w:tcW w:w="2080" w:type="dxa"/>
            <w:vMerge w:val="restart"/>
            <w:tcBorders>
              <w:top w:val="nil"/>
              <w:left w:val="single" w:color="auto" w:sz="8" w:space="0"/>
              <w:bottom w:val="single" w:color="000000"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资产发现</w:t>
            </w: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支持资产探测任务管理，支持任务添加、修改、删除、开始扫描、重新扫描等操作，支持任务列表展示，展示信息包括任务名称、扫描范围、类型、状态、更新时间等，扫描范围支持单个</w:t>
            </w:r>
            <w:r>
              <w:rPr>
                <w:rFonts w:eastAsia="等线"/>
                <w:color w:val="auto"/>
                <w:sz w:val="22"/>
                <w:szCs w:val="22"/>
                <w:highlight w:val="none"/>
              </w:rPr>
              <w:t>IP</w:t>
            </w:r>
            <w:r>
              <w:rPr>
                <w:rFonts w:hint="eastAsia" w:ascii="宋体" w:hAnsi="宋体" w:eastAsia="宋体" w:cs="Calibri"/>
                <w:color w:val="auto"/>
                <w:sz w:val="22"/>
                <w:szCs w:val="22"/>
                <w:highlight w:val="none"/>
              </w:rPr>
              <w:t>、</w:t>
            </w:r>
            <w:r>
              <w:rPr>
                <w:rFonts w:eastAsia="等线"/>
                <w:color w:val="auto"/>
                <w:sz w:val="22"/>
                <w:szCs w:val="22"/>
                <w:highlight w:val="none"/>
              </w:rPr>
              <w:t>IP</w:t>
            </w:r>
            <w:r>
              <w:rPr>
                <w:rFonts w:hint="eastAsia" w:ascii="宋体" w:hAnsi="宋体" w:eastAsia="宋体" w:cs="Calibri"/>
                <w:color w:val="auto"/>
                <w:sz w:val="22"/>
                <w:szCs w:val="22"/>
                <w:highlight w:val="none"/>
              </w:rPr>
              <w:t>段、子网范围，支持查看扫描结果，结果信息包括所属任务、设备名称、设备</w:t>
            </w:r>
            <w:r>
              <w:rPr>
                <w:rFonts w:eastAsia="等线"/>
                <w:color w:val="auto"/>
                <w:sz w:val="22"/>
                <w:szCs w:val="22"/>
                <w:highlight w:val="none"/>
              </w:rPr>
              <w:t>IP</w:t>
            </w:r>
            <w:r>
              <w:rPr>
                <w:rFonts w:hint="eastAsia" w:ascii="宋体" w:hAnsi="宋体" w:eastAsia="宋体" w:cs="Calibri"/>
                <w:color w:val="auto"/>
                <w:sz w:val="22"/>
                <w:szCs w:val="22"/>
                <w:highlight w:val="none"/>
              </w:rPr>
              <w:t>、</w:t>
            </w:r>
            <w:r>
              <w:rPr>
                <w:rFonts w:eastAsia="等线"/>
                <w:color w:val="auto"/>
                <w:sz w:val="22"/>
                <w:szCs w:val="22"/>
                <w:highlight w:val="none"/>
              </w:rPr>
              <w:t>MAC</w:t>
            </w:r>
            <w:r>
              <w:rPr>
                <w:rFonts w:hint="eastAsia" w:ascii="宋体" w:hAnsi="宋体" w:eastAsia="宋体" w:cs="Calibri"/>
                <w:color w:val="auto"/>
                <w:sz w:val="22"/>
                <w:szCs w:val="22"/>
                <w:highlight w:val="none"/>
              </w:rPr>
              <w:t>、操作系统、时间、端口服务；</w:t>
            </w:r>
            <w:r>
              <w:rPr>
                <w:rFonts w:ascii="Calibri" w:hAnsi="Calibri" w:eastAsia="等线" w:cs="Calibri"/>
                <w:color w:val="auto"/>
                <w:sz w:val="22"/>
                <w:szCs w:val="22"/>
                <w:highlight w:val="none"/>
              </w:rPr>
              <w:t xml:space="preserve"> </w:t>
            </w:r>
          </w:p>
        </w:tc>
      </w:tr>
      <w:tr>
        <w:tblPrEx>
          <w:tblCellMar>
            <w:top w:w="0" w:type="dxa"/>
            <w:left w:w="108" w:type="dxa"/>
            <w:bottom w:w="0" w:type="dxa"/>
            <w:right w:w="108" w:type="dxa"/>
          </w:tblCellMar>
        </w:tblPrEx>
        <w:trPr>
          <w:trHeight w:val="258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eastAsia="等线"/>
                <w:color w:val="auto"/>
                <w:sz w:val="22"/>
                <w:szCs w:val="22"/>
                <w:highlight w:val="none"/>
              </w:rPr>
            </w:pPr>
            <w:r>
              <w:rPr>
                <w:rFonts w:hint="eastAsia" w:ascii="宋体" w:hAnsi="宋体" w:eastAsia="宋体"/>
                <w:color w:val="auto"/>
                <w:sz w:val="22"/>
                <w:szCs w:val="22"/>
                <w:highlight w:val="none"/>
              </w:rPr>
              <w:t>支持备库管理，支持设备列表展示，展示信息包括设备名称、</w:t>
            </w:r>
            <w:r>
              <w:rPr>
                <w:rFonts w:ascii="Calibri" w:hAnsi="Calibri" w:eastAsia="等线" w:cs="Calibri"/>
                <w:color w:val="auto"/>
                <w:sz w:val="22"/>
                <w:szCs w:val="22"/>
                <w:highlight w:val="none"/>
              </w:rPr>
              <w:t>IP</w:t>
            </w:r>
            <w:r>
              <w:rPr>
                <w:rFonts w:hint="eastAsia" w:ascii="宋体" w:hAnsi="宋体" w:eastAsia="宋体"/>
                <w:color w:val="auto"/>
                <w:sz w:val="22"/>
                <w:szCs w:val="22"/>
                <w:highlight w:val="none"/>
              </w:rPr>
              <w:t>、</w:t>
            </w:r>
            <w:r>
              <w:rPr>
                <w:rFonts w:ascii="Calibri" w:hAnsi="Calibri" w:eastAsia="等线" w:cs="Calibri"/>
                <w:color w:val="auto"/>
                <w:sz w:val="22"/>
                <w:szCs w:val="22"/>
                <w:highlight w:val="none"/>
              </w:rPr>
              <w:t>MAC</w:t>
            </w:r>
            <w:r>
              <w:rPr>
                <w:rFonts w:hint="eastAsia" w:ascii="宋体" w:hAnsi="宋体" w:eastAsia="宋体"/>
                <w:color w:val="auto"/>
                <w:sz w:val="22"/>
                <w:szCs w:val="22"/>
                <w:highlight w:val="none"/>
              </w:rPr>
              <w:t>、所属操作系统、来源、是否添加到主库、所属任务、发现时间，支持对设备进行加入主库、编辑及删除操作，支持批量确认到主库及批量删除，支持按照设备名称、</w:t>
            </w:r>
            <w:r>
              <w:rPr>
                <w:rFonts w:ascii="Calibri" w:hAnsi="Calibri" w:eastAsia="等线" w:cs="Calibri"/>
                <w:color w:val="auto"/>
                <w:sz w:val="22"/>
                <w:szCs w:val="22"/>
                <w:highlight w:val="none"/>
              </w:rPr>
              <w:t>IP</w:t>
            </w:r>
            <w:r>
              <w:rPr>
                <w:rFonts w:hint="eastAsia" w:ascii="宋体" w:hAnsi="宋体" w:eastAsia="宋体"/>
                <w:color w:val="auto"/>
                <w:sz w:val="22"/>
                <w:szCs w:val="22"/>
                <w:highlight w:val="none"/>
              </w:rPr>
              <w:t>、来源、添加主库状态、所属任务进行组合过滤查询，设备来源包括主动探测和被动日志识别；</w:t>
            </w:r>
          </w:p>
        </w:tc>
      </w:tr>
      <w:tr>
        <w:tblPrEx>
          <w:tblCellMar>
            <w:top w:w="0" w:type="dxa"/>
            <w:left w:w="108" w:type="dxa"/>
            <w:bottom w:w="0" w:type="dxa"/>
            <w:right w:w="108" w:type="dxa"/>
          </w:tblCellMar>
        </w:tblPrEx>
        <w:trPr>
          <w:trHeight w:val="255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restart"/>
            <w:tcBorders>
              <w:top w:val="nil"/>
              <w:left w:val="single" w:color="auto" w:sz="8" w:space="0"/>
              <w:bottom w:val="single" w:color="000000"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资产维护</w:t>
            </w: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资产管理，支持资产新增、修改、删除，支持自定义资产信息，包括资产三项等基本信息、资产类型、所属业务系统、所属物理位置、责任人、漏洞、补丁及软硬件信息等，支持资产批量删除、资产导出、资产导入，支持资产模板下载，支持资产详情查看，详情包括资产属性基本信息、资产相关漏洞信息，可视化呈现资产的多维度信息；</w:t>
            </w:r>
          </w:p>
        </w:tc>
      </w:tr>
      <w:tr>
        <w:tblPrEx>
          <w:tblCellMar>
            <w:top w:w="0" w:type="dxa"/>
            <w:left w:w="108" w:type="dxa"/>
            <w:bottom w:w="0" w:type="dxa"/>
            <w:right w:w="108" w:type="dxa"/>
          </w:tblCellMar>
        </w:tblPrEx>
        <w:trPr>
          <w:trHeight w:val="227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业务系统管理，支持业务系统新增、修改、删除，支持自定义业务系统信息，包括业务系统基本信息和等保信息。支持业务系统批量删除、导入、导出，支持业务系统模板下载，支持业务系统详情查看，详情包括资产列表、漏洞列表、按漏洞级别统计资产、按资产统计漏洞信息。；</w:t>
            </w:r>
          </w:p>
        </w:tc>
      </w:tr>
      <w:tr>
        <w:tblPrEx>
          <w:tblCellMar>
            <w:top w:w="0" w:type="dxa"/>
            <w:left w:w="108" w:type="dxa"/>
            <w:bottom w:w="0" w:type="dxa"/>
            <w:right w:w="108" w:type="dxa"/>
          </w:tblCellMar>
        </w:tblPrEx>
        <w:trPr>
          <w:trHeight w:val="173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支持安全域管理，支持安全域新增、修改、删除，支持自定义安全域信息，包括</w:t>
            </w:r>
            <w:r>
              <w:rPr>
                <w:rFonts w:ascii="Calibri" w:hAnsi="Calibri" w:eastAsia="等线" w:cs="Calibri"/>
                <w:color w:val="auto"/>
                <w:sz w:val="22"/>
                <w:szCs w:val="22"/>
                <w:highlight w:val="none"/>
              </w:rPr>
              <w:t>IP</w:t>
            </w:r>
            <w:r>
              <w:rPr>
                <w:rFonts w:hint="eastAsia" w:ascii="宋体" w:hAnsi="宋体" w:eastAsia="宋体" w:cs="Calibri"/>
                <w:color w:val="auto"/>
                <w:sz w:val="22"/>
                <w:szCs w:val="22"/>
                <w:highlight w:val="none"/>
              </w:rPr>
              <w:t>范围、地理位置、所属单位、所属部门、所属用户等，支持安全域批量删除、导入、导出，支持安全域模板下载，支持对安全域中资产管理；</w:t>
            </w:r>
          </w:p>
        </w:tc>
      </w:tr>
      <w:tr>
        <w:tblPrEx>
          <w:tblCellMar>
            <w:top w:w="0" w:type="dxa"/>
            <w:left w:w="108" w:type="dxa"/>
            <w:bottom w:w="0" w:type="dxa"/>
            <w:right w:w="108" w:type="dxa"/>
          </w:tblCellMar>
        </w:tblPrEx>
        <w:trPr>
          <w:trHeight w:val="87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支持综合查询，支持资产基本信息查询、用户基本信息查询、资产漏洞信息查询、资产补丁信息查询。</w:t>
            </w:r>
          </w:p>
        </w:tc>
      </w:tr>
      <w:tr>
        <w:tblPrEx>
          <w:tblCellMar>
            <w:top w:w="0" w:type="dxa"/>
            <w:left w:w="108" w:type="dxa"/>
            <w:bottom w:w="0" w:type="dxa"/>
            <w:right w:w="108" w:type="dxa"/>
          </w:tblCellMar>
        </w:tblPrEx>
        <w:trPr>
          <w:trHeight w:val="115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支持资产属性信息管理，包括资产类型、物理位置、资产负责人、账号管理、服务管理、组件管理、漏洞、补丁。；</w:t>
            </w:r>
          </w:p>
        </w:tc>
      </w:tr>
      <w:tr>
        <w:tblPrEx>
          <w:tblCellMar>
            <w:top w:w="0" w:type="dxa"/>
            <w:left w:w="108" w:type="dxa"/>
            <w:bottom w:w="0" w:type="dxa"/>
            <w:right w:w="108" w:type="dxa"/>
          </w:tblCellMar>
        </w:tblPrEx>
        <w:trPr>
          <w:trHeight w:val="115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tcBorders>
              <w:top w:val="nil"/>
              <w:left w:val="nil"/>
              <w:bottom w:val="single" w:color="auto"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拓扑管理</w:t>
            </w: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支持发现的资产添加到拓扑管理中，拓扑树包括但不限于集中管控、资产拓扑、业务系统，支持查看各分组下的拓扑图，并支持手动编辑拓扑。</w:t>
            </w:r>
          </w:p>
        </w:tc>
      </w:tr>
      <w:tr>
        <w:tblPrEx>
          <w:tblCellMar>
            <w:top w:w="0" w:type="dxa"/>
            <w:left w:w="108" w:type="dxa"/>
            <w:bottom w:w="0" w:type="dxa"/>
            <w:right w:w="108" w:type="dxa"/>
          </w:tblCellMar>
        </w:tblPrEx>
        <w:trPr>
          <w:trHeight w:val="235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tcBorders>
              <w:top w:val="nil"/>
              <w:left w:val="nil"/>
              <w:bottom w:val="single" w:color="auto"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IP资源管理</w:t>
            </w: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w:t>
            </w:r>
            <w:r>
              <w:rPr>
                <w:rFonts w:ascii="Calibri" w:hAnsi="Calibri" w:eastAsia="等线" w:cs="Calibri"/>
                <w:color w:val="auto"/>
                <w:sz w:val="22"/>
                <w:szCs w:val="22"/>
                <w:highlight w:val="none"/>
              </w:rPr>
              <w:t>IP</w:t>
            </w:r>
            <w:r>
              <w:rPr>
                <w:rFonts w:hint="eastAsia" w:ascii="宋体" w:hAnsi="宋体" w:eastAsia="宋体" w:cs="Calibri"/>
                <w:color w:val="auto"/>
                <w:sz w:val="22"/>
                <w:szCs w:val="22"/>
                <w:highlight w:val="none"/>
              </w:rPr>
              <w:t>集合管理，支持</w:t>
            </w:r>
            <w:r>
              <w:rPr>
                <w:rFonts w:ascii="Calibri" w:hAnsi="Calibri" w:eastAsia="等线" w:cs="Calibri"/>
                <w:color w:val="auto"/>
                <w:sz w:val="22"/>
                <w:szCs w:val="22"/>
                <w:highlight w:val="none"/>
              </w:rPr>
              <w:t>IP</w:t>
            </w:r>
            <w:r>
              <w:rPr>
                <w:rFonts w:hint="eastAsia" w:ascii="宋体" w:hAnsi="宋体" w:eastAsia="宋体" w:cs="Calibri"/>
                <w:color w:val="auto"/>
                <w:sz w:val="22"/>
                <w:szCs w:val="22"/>
                <w:highlight w:val="none"/>
              </w:rPr>
              <w:t>集合列表展示，展示信息包括</w:t>
            </w:r>
            <w:r>
              <w:rPr>
                <w:rFonts w:ascii="Calibri" w:hAnsi="Calibri" w:eastAsia="等线" w:cs="Calibri"/>
                <w:color w:val="auto"/>
                <w:sz w:val="22"/>
                <w:szCs w:val="22"/>
                <w:highlight w:val="none"/>
              </w:rPr>
              <w:t>IP</w:t>
            </w:r>
            <w:r>
              <w:rPr>
                <w:rFonts w:hint="eastAsia" w:ascii="宋体" w:hAnsi="宋体" w:eastAsia="宋体" w:cs="Calibri"/>
                <w:color w:val="auto"/>
                <w:sz w:val="22"/>
                <w:szCs w:val="22"/>
                <w:highlight w:val="none"/>
              </w:rPr>
              <w:t>集合总数、</w:t>
            </w:r>
            <w:r>
              <w:rPr>
                <w:rFonts w:ascii="Calibri" w:hAnsi="Calibri" w:eastAsia="等线" w:cs="Calibri"/>
                <w:color w:val="auto"/>
                <w:sz w:val="22"/>
                <w:szCs w:val="22"/>
                <w:highlight w:val="none"/>
              </w:rPr>
              <w:t>IP</w:t>
            </w:r>
            <w:r>
              <w:rPr>
                <w:rFonts w:hint="eastAsia" w:ascii="宋体" w:hAnsi="宋体" w:eastAsia="宋体" w:cs="Calibri"/>
                <w:color w:val="auto"/>
                <w:sz w:val="22"/>
                <w:szCs w:val="22"/>
                <w:highlight w:val="none"/>
              </w:rPr>
              <w:t>集合名称、地址范围、标签、应用情况、时间等，支持对</w:t>
            </w:r>
            <w:r>
              <w:rPr>
                <w:rFonts w:ascii="Calibri" w:hAnsi="Calibri" w:eastAsia="等线" w:cs="Calibri"/>
                <w:color w:val="auto"/>
                <w:sz w:val="22"/>
                <w:szCs w:val="22"/>
                <w:highlight w:val="none"/>
              </w:rPr>
              <w:t>IP</w:t>
            </w:r>
            <w:r>
              <w:rPr>
                <w:rFonts w:hint="eastAsia" w:ascii="宋体" w:hAnsi="宋体" w:eastAsia="宋体" w:cs="Calibri"/>
                <w:color w:val="auto"/>
                <w:sz w:val="22"/>
                <w:szCs w:val="22"/>
                <w:highlight w:val="none"/>
              </w:rPr>
              <w:t>集合进行新增、修改、查看、删除、批量删除、下载模板、导出、导入、定位下发等操作，支持</w:t>
            </w:r>
            <w:r>
              <w:rPr>
                <w:rFonts w:ascii="Calibri" w:hAnsi="Calibri" w:eastAsia="等线" w:cs="Calibri"/>
                <w:color w:val="auto"/>
                <w:sz w:val="22"/>
                <w:szCs w:val="22"/>
                <w:highlight w:val="none"/>
              </w:rPr>
              <w:t>IP</w:t>
            </w:r>
            <w:r>
              <w:rPr>
                <w:rFonts w:hint="eastAsia" w:ascii="宋体" w:hAnsi="宋体" w:eastAsia="宋体" w:cs="Calibri"/>
                <w:color w:val="auto"/>
                <w:sz w:val="22"/>
                <w:szCs w:val="22"/>
                <w:highlight w:val="none"/>
              </w:rPr>
              <w:t>定位库管理，支持</w:t>
            </w:r>
            <w:r>
              <w:rPr>
                <w:rFonts w:ascii="Calibri" w:hAnsi="Calibri" w:eastAsia="等线" w:cs="Calibri"/>
                <w:color w:val="auto"/>
                <w:sz w:val="22"/>
                <w:szCs w:val="22"/>
                <w:highlight w:val="none"/>
              </w:rPr>
              <w:t>IP</w:t>
            </w:r>
            <w:r>
              <w:rPr>
                <w:rFonts w:hint="eastAsia" w:ascii="宋体" w:hAnsi="宋体" w:eastAsia="宋体" w:cs="Calibri"/>
                <w:color w:val="auto"/>
                <w:sz w:val="22"/>
                <w:szCs w:val="22"/>
                <w:highlight w:val="none"/>
              </w:rPr>
              <w:t>定位库上传、</w:t>
            </w:r>
            <w:r>
              <w:rPr>
                <w:rFonts w:ascii="Calibri" w:hAnsi="Calibri" w:eastAsia="等线" w:cs="Calibri"/>
                <w:color w:val="auto"/>
                <w:sz w:val="22"/>
                <w:szCs w:val="22"/>
                <w:highlight w:val="none"/>
              </w:rPr>
              <w:t>IP</w:t>
            </w:r>
            <w:r>
              <w:rPr>
                <w:rFonts w:hint="eastAsia" w:ascii="宋体" w:hAnsi="宋体" w:eastAsia="宋体" w:cs="Calibri"/>
                <w:color w:val="auto"/>
                <w:sz w:val="22"/>
                <w:szCs w:val="22"/>
                <w:highlight w:val="none"/>
              </w:rPr>
              <w:t>定位下发，支持</w:t>
            </w:r>
            <w:r>
              <w:rPr>
                <w:rFonts w:ascii="Calibri" w:hAnsi="Calibri" w:eastAsia="等线" w:cs="Calibri"/>
                <w:color w:val="auto"/>
                <w:sz w:val="22"/>
                <w:szCs w:val="22"/>
                <w:highlight w:val="none"/>
              </w:rPr>
              <w:t>IP</w:t>
            </w:r>
            <w:r>
              <w:rPr>
                <w:rFonts w:hint="eastAsia" w:ascii="宋体" w:hAnsi="宋体" w:eastAsia="宋体" w:cs="Calibri"/>
                <w:color w:val="auto"/>
                <w:sz w:val="22"/>
                <w:szCs w:val="22"/>
                <w:highlight w:val="none"/>
              </w:rPr>
              <w:t>定位库上传；</w:t>
            </w:r>
          </w:p>
        </w:tc>
      </w:tr>
      <w:tr>
        <w:tblPrEx>
          <w:tblCellMar>
            <w:top w:w="0" w:type="dxa"/>
            <w:left w:w="108" w:type="dxa"/>
            <w:bottom w:w="0" w:type="dxa"/>
            <w:right w:w="108" w:type="dxa"/>
          </w:tblCellMar>
        </w:tblPrEx>
        <w:trPr>
          <w:trHeight w:val="1730" w:hRule="atLeast"/>
        </w:trPr>
        <w:tc>
          <w:tcPr>
            <w:tcW w:w="1480" w:type="dxa"/>
            <w:vMerge w:val="restart"/>
            <w:tcBorders>
              <w:top w:val="nil"/>
              <w:left w:val="single" w:color="auto" w:sz="8" w:space="0"/>
              <w:bottom w:val="single" w:color="000000" w:sz="8" w:space="0"/>
              <w:right w:val="single" w:color="auto" w:sz="8"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集中管控</w:t>
            </w:r>
          </w:p>
        </w:tc>
        <w:tc>
          <w:tcPr>
            <w:tcW w:w="2080" w:type="dxa"/>
            <w:vMerge w:val="restart"/>
            <w:tcBorders>
              <w:top w:val="nil"/>
              <w:left w:val="single" w:color="auto" w:sz="8" w:space="0"/>
              <w:bottom w:val="single" w:color="000000"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设备管控</w:t>
            </w: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支持管控设备概览，支持通过界面快速添加集中管控设备，支持至少</w:t>
            </w:r>
            <w:r>
              <w:rPr>
                <w:rFonts w:ascii="Calibri" w:hAnsi="Calibri" w:eastAsia="等线" w:cs="Calibri"/>
                <w:color w:val="auto"/>
                <w:sz w:val="22"/>
                <w:szCs w:val="22"/>
                <w:highlight w:val="none"/>
              </w:rPr>
              <w:t>3</w:t>
            </w:r>
            <w:r>
              <w:rPr>
                <w:rFonts w:hint="eastAsia" w:ascii="宋体" w:hAnsi="宋体" w:eastAsia="宋体" w:cs="Calibri"/>
                <w:color w:val="auto"/>
                <w:sz w:val="22"/>
                <w:szCs w:val="22"/>
                <w:highlight w:val="none"/>
              </w:rPr>
              <w:t>类设备的集中管控能力，支持设备管控情况，包括总数、在线、离线、日志采集、性能监控、策略管控；支持日志采集趋势展示；</w:t>
            </w:r>
          </w:p>
        </w:tc>
      </w:tr>
      <w:tr>
        <w:tblPrEx>
          <w:tblCellMar>
            <w:top w:w="0" w:type="dxa"/>
            <w:left w:w="108" w:type="dxa"/>
            <w:bottom w:w="0" w:type="dxa"/>
            <w:right w:w="108" w:type="dxa"/>
          </w:tblCellMar>
        </w:tblPrEx>
        <w:trPr>
          <w:trHeight w:val="115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w:t>
            </w:r>
            <w:r>
              <w:rPr>
                <w:rFonts w:ascii="宋体" w:hAnsi="宋体" w:eastAsia="宋体" w:cs="Calibri"/>
                <w:color w:val="auto"/>
                <w:sz w:val="22"/>
                <w:szCs w:val="22"/>
                <w:highlight w:val="none"/>
              </w:rPr>
              <w:t>22</w:t>
            </w:r>
            <w:r>
              <w:rPr>
                <w:rFonts w:hint="eastAsia" w:ascii="宋体" w:hAnsi="宋体" w:eastAsia="宋体" w:cs="Calibri"/>
                <w:color w:val="auto"/>
                <w:sz w:val="22"/>
                <w:szCs w:val="22"/>
                <w:highlight w:val="none"/>
              </w:rPr>
              <w:t>支持管控拓扑图展示，支持拓扑动态提示管理设备产生的告警，支持拓扑图右击直接查看选中设备的设备概览、设备详情、告警列表等信息（提供产品截图并加盖厂商公章）；</w:t>
            </w:r>
          </w:p>
        </w:tc>
      </w:tr>
      <w:tr>
        <w:tblPrEx>
          <w:tblCellMar>
            <w:top w:w="0" w:type="dxa"/>
            <w:left w:w="108" w:type="dxa"/>
            <w:bottom w:w="0" w:type="dxa"/>
            <w:right w:w="108" w:type="dxa"/>
          </w:tblCellMar>
        </w:tblPrEx>
        <w:trPr>
          <w:trHeight w:val="171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支持设备概览和安全防御图切换，安全防御拓扑具备网络通信、网络防护、系统防护、用户管控、数据防护、应用防护多个类型的设备的拓扑架构展示，安全防御拓扑图支持在线离线设备标识；</w:t>
            </w:r>
          </w:p>
        </w:tc>
      </w:tr>
      <w:tr>
        <w:tblPrEx>
          <w:tblCellMar>
            <w:top w:w="0" w:type="dxa"/>
            <w:left w:w="108" w:type="dxa"/>
            <w:bottom w:w="0" w:type="dxa"/>
            <w:right w:w="108" w:type="dxa"/>
          </w:tblCellMar>
        </w:tblPrEx>
        <w:trPr>
          <w:trHeight w:val="89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支持被管设备详情管理，支持查看设备性能、近</w:t>
            </w:r>
            <w:r>
              <w:rPr>
                <w:rFonts w:ascii="Calibri" w:hAnsi="Calibri" w:eastAsia="等线" w:cs="Calibri"/>
                <w:color w:val="auto"/>
                <w:sz w:val="22"/>
                <w:szCs w:val="22"/>
                <w:highlight w:val="none"/>
              </w:rPr>
              <w:t>7</w:t>
            </w:r>
            <w:r>
              <w:rPr>
                <w:rFonts w:hint="eastAsia" w:ascii="宋体" w:hAnsi="宋体" w:eastAsia="宋体" w:cs="Calibri"/>
                <w:color w:val="auto"/>
                <w:sz w:val="22"/>
                <w:szCs w:val="22"/>
                <w:highlight w:val="none"/>
              </w:rPr>
              <w:t>日采集日志趋势、最新告警、设备策略等；</w:t>
            </w:r>
          </w:p>
        </w:tc>
      </w:tr>
      <w:tr>
        <w:tblPrEx>
          <w:tblCellMar>
            <w:top w:w="0" w:type="dxa"/>
            <w:left w:w="108" w:type="dxa"/>
            <w:bottom w:w="0" w:type="dxa"/>
            <w:right w:w="108" w:type="dxa"/>
          </w:tblCellMar>
        </w:tblPrEx>
        <w:trPr>
          <w:trHeight w:val="367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设备策略集中管理，包括配置信息、运行配置、配置备份、模块管理、日志外发、升级管理、配置审计，支持展示最新配置审计记录、系统信息、日志外发信息、已有规则库、已启用模块，支持进行运行配置获取、下载及分类展示，支持创建备份、查看备份列表，支持各模块授权到期时间展示，支持日志外发地址、端口、协议配置，支持设备升级的版本号、序列号展示，支持设备操作记录审计，包括审计时间、配置类型、结果状态、执行设备地址、执行设备名称、执行设备类型、操作人、审计内容等；</w:t>
            </w:r>
          </w:p>
        </w:tc>
      </w:tr>
      <w:tr>
        <w:tblPrEx>
          <w:tblCellMar>
            <w:top w:w="0" w:type="dxa"/>
            <w:left w:w="108" w:type="dxa"/>
            <w:bottom w:w="0" w:type="dxa"/>
            <w:right w:w="108" w:type="dxa"/>
          </w:tblCellMar>
        </w:tblPrEx>
        <w:trPr>
          <w:trHeight w:val="145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restart"/>
            <w:tcBorders>
              <w:top w:val="nil"/>
              <w:left w:val="single" w:color="auto" w:sz="8" w:space="0"/>
              <w:bottom w:val="single" w:color="000000"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策略配置</w:t>
            </w: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支持全网策略概览，支持下发策略统计、配置备份统计、活跃策略</w:t>
            </w:r>
            <w:r>
              <w:rPr>
                <w:rFonts w:ascii="Calibri" w:hAnsi="Calibri" w:eastAsia="等线" w:cs="Calibri"/>
                <w:color w:val="auto"/>
                <w:sz w:val="22"/>
                <w:szCs w:val="22"/>
                <w:highlight w:val="none"/>
              </w:rPr>
              <w:t>TOP5</w:t>
            </w:r>
            <w:r>
              <w:rPr>
                <w:rFonts w:hint="eastAsia" w:ascii="宋体" w:hAnsi="宋体" w:eastAsia="宋体" w:cs="Calibri"/>
                <w:color w:val="auto"/>
                <w:sz w:val="22"/>
                <w:szCs w:val="22"/>
                <w:highlight w:val="none"/>
              </w:rPr>
              <w:t>、最新下发策略操作人、最新下发策略设备、最新策略任务、最新配置备份、最新失败审计等监控能力；</w:t>
            </w:r>
          </w:p>
        </w:tc>
      </w:tr>
      <w:tr>
        <w:tblPrEx>
          <w:tblCellMar>
            <w:top w:w="0" w:type="dxa"/>
            <w:left w:w="108" w:type="dxa"/>
            <w:bottom w:w="0" w:type="dxa"/>
            <w:right w:w="108" w:type="dxa"/>
          </w:tblCellMar>
        </w:tblPrEx>
        <w:trPr>
          <w:trHeight w:val="171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策略管理，支持策略新建、删除、查看、编辑、下发、下发记录等，支持策略标签管理，策略内容包括名称、标签、设备类型、执行设备、策略分类、配置项类型、状态、源地址、源端口、目的地址、目的端口、终端地址；</w:t>
            </w:r>
          </w:p>
        </w:tc>
      </w:tr>
      <w:tr>
        <w:tblPrEx>
          <w:tblCellMar>
            <w:top w:w="0" w:type="dxa"/>
            <w:left w:w="108" w:type="dxa"/>
            <w:bottom w:w="0" w:type="dxa"/>
            <w:right w:w="108" w:type="dxa"/>
          </w:tblCellMar>
        </w:tblPrEx>
        <w:trPr>
          <w:trHeight w:val="175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支持多种类型设备策略配置，包括防火墙、僵木蠕、</w:t>
            </w:r>
            <w:r>
              <w:rPr>
                <w:rFonts w:ascii="Calibri" w:hAnsi="Calibri" w:eastAsia="等线" w:cs="Calibri"/>
                <w:color w:val="auto"/>
                <w:sz w:val="22"/>
                <w:szCs w:val="22"/>
                <w:highlight w:val="none"/>
              </w:rPr>
              <w:t>EDR</w:t>
            </w:r>
            <w:r>
              <w:rPr>
                <w:rFonts w:hint="eastAsia" w:ascii="宋体" w:hAnsi="宋体" w:eastAsia="宋体" w:cs="Calibri"/>
                <w:color w:val="auto"/>
                <w:sz w:val="22"/>
                <w:szCs w:val="22"/>
                <w:highlight w:val="none"/>
              </w:rPr>
              <w:t>，支持多种策略配置，包括但不限于访问控制策略、静态黑名单、动态黑名单、安全策略等，支持联动</w:t>
            </w:r>
            <w:r>
              <w:rPr>
                <w:rFonts w:ascii="Calibri" w:hAnsi="Calibri" w:eastAsia="等线" w:cs="Calibri"/>
                <w:color w:val="auto"/>
                <w:sz w:val="22"/>
                <w:szCs w:val="22"/>
                <w:highlight w:val="none"/>
              </w:rPr>
              <w:t>EDR</w:t>
            </w:r>
            <w:r>
              <w:rPr>
                <w:rFonts w:hint="eastAsia" w:ascii="宋体" w:hAnsi="宋体" w:eastAsia="宋体" w:cs="Calibri"/>
                <w:color w:val="auto"/>
                <w:sz w:val="22"/>
                <w:szCs w:val="22"/>
                <w:highlight w:val="none"/>
              </w:rPr>
              <w:t>完成一键扫描、一键隔离；</w:t>
            </w:r>
          </w:p>
        </w:tc>
      </w:tr>
      <w:tr>
        <w:tblPrEx>
          <w:tblCellMar>
            <w:top w:w="0" w:type="dxa"/>
            <w:left w:w="108" w:type="dxa"/>
            <w:bottom w:w="0" w:type="dxa"/>
            <w:right w:w="108" w:type="dxa"/>
          </w:tblCellMar>
        </w:tblPrEx>
        <w:trPr>
          <w:trHeight w:val="87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支持多个策略配置项联动日志参数，包括状态、源地址、源端口、目的地址、目的端口；</w:t>
            </w:r>
          </w:p>
        </w:tc>
      </w:tr>
      <w:tr>
        <w:tblPrEx>
          <w:tblCellMar>
            <w:top w:w="0" w:type="dxa"/>
            <w:left w:w="108" w:type="dxa"/>
            <w:bottom w:w="0" w:type="dxa"/>
            <w:right w:w="108" w:type="dxa"/>
          </w:tblCellMar>
        </w:tblPrEx>
        <w:trPr>
          <w:trHeight w:val="171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restart"/>
            <w:tcBorders>
              <w:top w:val="nil"/>
              <w:left w:val="single" w:color="auto" w:sz="8" w:space="0"/>
              <w:bottom w:val="single" w:color="000000"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配管管理</w:t>
            </w: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支持配置管理，支持获取运行配置、配置备份、备份策略，支持列表展示设备配置备份状态，包括设备名称、设备地址、设备型号、设备状态、最新备份状态、最新备份时间、最新备份成功时间、操作；</w:t>
            </w:r>
          </w:p>
        </w:tc>
      </w:tr>
      <w:tr>
        <w:tblPrEx>
          <w:tblCellMar>
            <w:top w:w="0" w:type="dxa"/>
            <w:left w:w="108" w:type="dxa"/>
            <w:bottom w:w="0" w:type="dxa"/>
            <w:right w:w="108" w:type="dxa"/>
          </w:tblCellMar>
        </w:tblPrEx>
        <w:trPr>
          <w:trHeight w:val="143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支持手动及自动配置备份，支持自动备份参数设置，包括备份设备地址、备份周期、备份状态、历史备份记录保留版本数等，支持历史备份记录，支持查看每次备份状态和备份详细信息；</w:t>
            </w:r>
          </w:p>
        </w:tc>
      </w:tr>
      <w:tr>
        <w:tblPrEx>
          <w:tblCellMar>
            <w:top w:w="0" w:type="dxa"/>
            <w:left w:w="108" w:type="dxa"/>
            <w:bottom w:w="0" w:type="dxa"/>
            <w:right w:w="108" w:type="dxa"/>
          </w:tblCellMar>
        </w:tblPrEx>
        <w:trPr>
          <w:trHeight w:val="87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支持配置版本对比分析，支持选择不同的配置版本系统自动比对，发现策略的异常和不同；</w:t>
            </w:r>
          </w:p>
        </w:tc>
      </w:tr>
      <w:tr>
        <w:tblPrEx>
          <w:tblCellMar>
            <w:top w:w="0" w:type="dxa"/>
            <w:left w:w="108" w:type="dxa"/>
            <w:bottom w:w="0" w:type="dxa"/>
            <w:right w:w="108" w:type="dxa"/>
          </w:tblCellMar>
        </w:tblPrEx>
        <w:trPr>
          <w:trHeight w:val="199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全部被管设备配置集中审计，支持审计查询，包括审计时间、配置类型、结果状态、设备地址、设备名称；支持审计列表展示，包括审计时间、配置类型、结果状态、执行设备地址、执行设备名称、执行设备类型、操作人、审计内容、失败原因等；</w:t>
            </w:r>
          </w:p>
        </w:tc>
      </w:tr>
      <w:tr>
        <w:tblPrEx>
          <w:tblCellMar>
            <w:top w:w="0" w:type="dxa"/>
            <w:left w:w="108" w:type="dxa"/>
            <w:bottom w:w="0" w:type="dxa"/>
            <w:right w:w="108" w:type="dxa"/>
          </w:tblCellMar>
        </w:tblPrEx>
        <w:trPr>
          <w:trHeight w:val="145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restart"/>
            <w:tcBorders>
              <w:top w:val="nil"/>
              <w:left w:val="single" w:color="auto" w:sz="8" w:space="0"/>
              <w:bottom w:val="single" w:color="000000"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漏洞监测</w:t>
            </w: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w:t>
            </w:r>
            <w:r>
              <w:rPr>
                <w:rFonts w:ascii="宋体" w:hAnsi="宋体" w:eastAsia="宋体" w:cs="Calibri"/>
                <w:color w:val="auto"/>
                <w:sz w:val="22"/>
                <w:szCs w:val="22"/>
                <w:highlight w:val="none"/>
              </w:rPr>
              <w:t>23</w:t>
            </w:r>
            <w:r>
              <w:rPr>
                <w:rFonts w:hint="eastAsia" w:ascii="宋体" w:hAnsi="宋体" w:eastAsia="宋体" w:cs="Calibri"/>
                <w:color w:val="auto"/>
                <w:sz w:val="22"/>
                <w:szCs w:val="22"/>
                <w:highlight w:val="none"/>
              </w:rPr>
              <w:t>支持联动漏扫设备、手动导入漏扫报告两种方式实现漏洞数据采集，支持同品牌及第三方漏扫设备联动，支持</w:t>
            </w:r>
            <w:r>
              <w:rPr>
                <w:rFonts w:ascii="Calibri" w:hAnsi="Calibri" w:eastAsia="等线" w:cs="Calibri"/>
                <w:color w:val="auto"/>
                <w:sz w:val="22"/>
                <w:szCs w:val="22"/>
                <w:highlight w:val="none"/>
              </w:rPr>
              <w:t>excel</w:t>
            </w:r>
            <w:r>
              <w:rPr>
                <w:rFonts w:hint="eastAsia" w:ascii="宋体" w:hAnsi="宋体" w:eastAsia="宋体" w:cs="Calibri"/>
                <w:color w:val="auto"/>
                <w:sz w:val="22"/>
                <w:szCs w:val="22"/>
                <w:highlight w:val="none"/>
              </w:rPr>
              <w:t>、</w:t>
            </w:r>
            <w:r>
              <w:rPr>
                <w:rFonts w:ascii="Calibri" w:hAnsi="Calibri" w:eastAsia="等线" w:cs="Calibri"/>
                <w:color w:val="auto"/>
                <w:sz w:val="22"/>
                <w:szCs w:val="22"/>
                <w:highlight w:val="none"/>
              </w:rPr>
              <w:t>zip</w:t>
            </w:r>
            <w:r>
              <w:rPr>
                <w:rFonts w:hint="eastAsia" w:ascii="宋体" w:hAnsi="宋体" w:eastAsia="宋体" w:cs="Calibri"/>
                <w:color w:val="auto"/>
                <w:sz w:val="22"/>
                <w:szCs w:val="22"/>
                <w:highlight w:val="none"/>
              </w:rPr>
              <w:t>等类型的漏扫报告导入（提供产品截图并加盖厂商公章）；</w:t>
            </w:r>
          </w:p>
        </w:tc>
      </w:tr>
      <w:tr>
        <w:tblPrEx>
          <w:tblCellMar>
            <w:top w:w="0" w:type="dxa"/>
            <w:left w:w="108" w:type="dxa"/>
            <w:bottom w:w="0" w:type="dxa"/>
            <w:right w:w="108" w:type="dxa"/>
          </w:tblCellMar>
        </w:tblPrEx>
        <w:trPr>
          <w:trHeight w:val="59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支持漏洞监测任务添加、查询、批量启动、批量删除等操作管理</w:t>
            </w:r>
          </w:p>
        </w:tc>
      </w:tr>
      <w:tr>
        <w:tblPrEx>
          <w:tblCellMar>
            <w:top w:w="0" w:type="dxa"/>
            <w:left w:w="108" w:type="dxa"/>
            <w:bottom w:w="0" w:type="dxa"/>
            <w:right w:w="108" w:type="dxa"/>
          </w:tblCellMar>
        </w:tblPrEx>
        <w:trPr>
          <w:trHeight w:val="293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tcBorders>
              <w:top w:val="nil"/>
              <w:left w:val="nil"/>
              <w:bottom w:val="single" w:color="auto"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性能监测</w:t>
            </w: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支持资产性能监测概览，支持监测设备总数、异常数、主机异常数、网络设备异常数、安全设备异常数展示，支持监控资产性能状态占比、性能告警</w:t>
            </w:r>
            <w:r>
              <w:rPr>
                <w:rFonts w:ascii="Calibri" w:hAnsi="Calibri" w:eastAsia="等线" w:cs="Calibri"/>
                <w:color w:val="auto"/>
                <w:sz w:val="22"/>
                <w:szCs w:val="22"/>
                <w:highlight w:val="none"/>
              </w:rPr>
              <w:t>TOP10</w:t>
            </w:r>
            <w:r>
              <w:rPr>
                <w:rFonts w:hint="eastAsia" w:ascii="宋体" w:hAnsi="宋体" w:eastAsia="宋体" w:cs="Calibri"/>
                <w:color w:val="auto"/>
                <w:sz w:val="22"/>
                <w:szCs w:val="22"/>
                <w:highlight w:val="none"/>
              </w:rPr>
              <w:t>、规则类型事件分布、</w:t>
            </w:r>
            <w:r>
              <w:rPr>
                <w:rFonts w:ascii="Calibri" w:hAnsi="Calibri" w:eastAsia="等线" w:cs="Calibri"/>
                <w:color w:val="auto"/>
                <w:sz w:val="22"/>
                <w:szCs w:val="22"/>
                <w:highlight w:val="none"/>
              </w:rPr>
              <w:t>CPU</w:t>
            </w:r>
            <w:r>
              <w:rPr>
                <w:rFonts w:hint="eastAsia" w:ascii="宋体" w:hAnsi="宋体" w:eastAsia="宋体" w:cs="Calibri"/>
                <w:color w:val="auto"/>
                <w:sz w:val="22"/>
                <w:szCs w:val="22"/>
                <w:highlight w:val="none"/>
              </w:rPr>
              <w:t>使用率</w:t>
            </w:r>
            <w:r>
              <w:rPr>
                <w:rFonts w:ascii="Calibri" w:hAnsi="Calibri" w:eastAsia="等线" w:cs="Calibri"/>
                <w:color w:val="auto"/>
                <w:sz w:val="22"/>
                <w:szCs w:val="22"/>
                <w:highlight w:val="none"/>
              </w:rPr>
              <w:t>TOP10</w:t>
            </w:r>
            <w:r>
              <w:rPr>
                <w:rFonts w:hint="eastAsia" w:ascii="宋体" w:hAnsi="宋体" w:eastAsia="宋体" w:cs="Calibri"/>
                <w:color w:val="auto"/>
                <w:sz w:val="22"/>
                <w:szCs w:val="22"/>
                <w:highlight w:val="none"/>
              </w:rPr>
              <w:t>、内存使用率</w:t>
            </w:r>
            <w:r>
              <w:rPr>
                <w:rFonts w:ascii="Calibri" w:hAnsi="Calibri" w:eastAsia="等线" w:cs="Calibri"/>
                <w:color w:val="auto"/>
                <w:sz w:val="22"/>
                <w:szCs w:val="22"/>
                <w:highlight w:val="none"/>
              </w:rPr>
              <w:t>TOP10</w:t>
            </w:r>
            <w:r>
              <w:rPr>
                <w:rFonts w:hint="eastAsia" w:ascii="宋体" w:hAnsi="宋体" w:eastAsia="宋体" w:cs="Calibri"/>
                <w:color w:val="auto"/>
                <w:sz w:val="22"/>
                <w:szCs w:val="22"/>
                <w:highlight w:val="none"/>
              </w:rPr>
              <w:t>、磁盘使用率</w:t>
            </w:r>
            <w:r>
              <w:rPr>
                <w:rFonts w:ascii="Calibri" w:hAnsi="Calibri" w:eastAsia="等线" w:cs="Calibri"/>
                <w:color w:val="auto"/>
                <w:sz w:val="22"/>
                <w:szCs w:val="22"/>
                <w:highlight w:val="none"/>
              </w:rPr>
              <w:t>TOP10</w:t>
            </w:r>
            <w:r>
              <w:rPr>
                <w:rFonts w:hint="eastAsia" w:ascii="宋体" w:hAnsi="宋体" w:eastAsia="宋体" w:cs="Calibri"/>
                <w:color w:val="auto"/>
                <w:sz w:val="22"/>
                <w:szCs w:val="22"/>
                <w:highlight w:val="none"/>
              </w:rPr>
              <w:t>，支持性能监控详细列表，包括</w:t>
            </w:r>
            <w:r>
              <w:rPr>
                <w:rFonts w:ascii="Calibri" w:hAnsi="Calibri" w:eastAsia="等线" w:cs="Calibri"/>
                <w:color w:val="auto"/>
                <w:sz w:val="22"/>
                <w:szCs w:val="22"/>
                <w:highlight w:val="none"/>
              </w:rPr>
              <w:t>IP</w:t>
            </w:r>
            <w:r>
              <w:rPr>
                <w:rFonts w:hint="eastAsia" w:ascii="宋体" w:hAnsi="宋体" w:eastAsia="宋体" w:cs="Calibri"/>
                <w:color w:val="auto"/>
                <w:sz w:val="22"/>
                <w:szCs w:val="22"/>
                <w:highlight w:val="none"/>
              </w:rPr>
              <w:t>、资产名称、归属安全域、资产类型、性能状态、连通状态、</w:t>
            </w:r>
            <w:r>
              <w:rPr>
                <w:rFonts w:ascii="Calibri" w:hAnsi="Calibri" w:eastAsia="等线" w:cs="Calibri"/>
                <w:color w:val="auto"/>
                <w:sz w:val="22"/>
                <w:szCs w:val="22"/>
                <w:highlight w:val="none"/>
              </w:rPr>
              <w:t>CPU</w:t>
            </w:r>
            <w:r>
              <w:rPr>
                <w:rFonts w:hint="eastAsia" w:ascii="宋体" w:hAnsi="宋体" w:eastAsia="宋体" w:cs="Calibri"/>
                <w:color w:val="auto"/>
                <w:sz w:val="22"/>
                <w:szCs w:val="22"/>
                <w:highlight w:val="none"/>
              </w:rPr>
              <w:t>使用率、内存使用率、磁盘使用率、操作等</w:t>
            </w:r>
          </w:p>
        </w:tc>
      </w:tr>
      <w:tr>
        <w:tblPrEx>
          <w:tblCellMar>
            <w:top w:w="0" w:type="dxa"/>
            <w:left w:w="108" w:type="dxa"/>
            <w:bottom w:w="0" w:type="dxa"/>
            <w:right w:w="108" w:type="dxa"/>
          </w:tblCellMar>
        </w:tblPrEx>
        <w:trPr>
          <w:trHeight w:val="257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tcBorders>
              <w:top w:val="nil"/>
              <w:left w:val="nil"/>
              <w:bottom w:val="single" w:color="auto"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网站监测</w:t>
            </w: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对自建网站、网站联盟、二级站点等网站类型的网站进行监控，支持自定义添加需要监测的网站，包括网站基本信息、网站归属信息等。支持建立监测任务，监测任务支持立即执行、定时执行、每天执行、每周执行、每月执行、每</w:t>
            </w:r>
            <w:r>
              <w:rPr>
                <w:rFonts w:ascii="Calibri" w:hAnsi="Calibri" w:eastAsia="等线" w:cs="Calibri"/>
                <w:color w:val="auto"/>
                <w:sz w:val="22"/>
                <w:szCs w:val="22"/>
                <w:highlight w:val="none"/>
              </w:rPr>
              <w:t>N</w:t>
            </w:r>
            <w:r>
              <w:rPr>
                <w:rFonts w:hint="eastAsia" w:ascii="宋体" w:hAnsi="宋体" w:eastAsia="宋体" w:cs="Calibri"/>
                <w:color w:val="auto"/>
                <w:sz w:val="22"/>
                <w:szCs w:val="22"/>
                <w:highlight w:val="none"/>
              </w:rPr>
              <w:t>小时执行，依托系统内置的网站监测引擎或第三方设备驱动进行网站监测，并在监测结果中展示详细网站风险情况。</w:t>
            </w:r>
          </w:p>
        </w:tc>
      </w:tr>
      <w:tr>
        <w:tblPrEx>
          <w:tblCellMar>
            <w:top w:w="0" w:type="dxa"/>
            <w:left w:w="108" w:type="dxa"/>
            <w:bottom w:w="0" w:type="dxa"/>
            <w:right w:w="108" w:type="dxa"/>
          </w:tblCellMar>
        </w:tblPrEx>
        <w:trPr>
          <w:trHeight w:val="145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tcBorders>
              <w:top w:val="nil"/>
              <w:left w:val="nil"/>
              <w:bottom w:val="single" w:color="auto"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配置核查</w:t>
            </w: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支持查看配置核查标准、核查设备，支持查看核查任务列表，对核查任务进行新建、删除等操作，还支持配置基线管理系统，包括</w:t>
            </w:r>
            <w:r>
              <w:rPr>
                <w:rFonts w:ascii="Calibri" w:hAnsi="Calibri" w:eastAsia="等线" w:cs="Calibri"/>
                <w:color w:val="auto"/>
                <w:sz w:val="22"/>
                <w:szCs w:val="22"/>
                <w:highlight w:val="none"/>
              </w:rPr>
              <w:t>IP</w:t>
            </w:r>
            <w:r>
              <w:rPr>
                <w:rFonts w:hint="eastAsia" w:ascii="宋体" w:hAnsi="宋体" w:eastAsia="宋体" w:cs="Calibri"/>
                <w:color w:val="auto"/>
                <w:sz w:val="22"/>
                <w:szCs w:val="22"/>
                <w:highlight w:val="none"/>
              </w:rPr>
              <w:t>地址和端口号。</w:t>
            </w:r>
          </w:p>
        </w:tc>
      </w:tr>
      <w:tr>
        <w:tblPrEx>
          <w:tblCellMar>
            <w:top w:w="0" w:type="dxa"/>
            <w:left w:w="108" w:type="dxa"/>
            <w:bottom w:w="0" w:type="dxa"/>
            <w:right w:w="108" w:type="dxa"/>
          </w:tblCellMar>
        </w:tblPrEx>
        <w:trPr>
          <w:trHeight w:val="2830" w:hRule="atLeast"/>
        </w:trPr>
        <w:tc>
          <w:tcPr>
            <w:tcW w:w="1480" w:type="dxa"/>
            <w:vMerge w:val="restart"/>
            <w:tcBorders>
              <w:top w:val="nil"/>
              <w:left w:val="single" w:color="auto" w:sz="8" w:space="0"/>
              <w:bottom w:val="single" w:color="000000" w:sz="8" w:space="0"/>
              <w:right w:val="single" w:color="auto" w:sz="8"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安全治理</w:t>
            </w:r>
          </w:p>
        </w:tc>
        <w:tc>
          <w:tcPr>
            <w:tcW w:w="2080" w:type="dxa"/>
            <w:vMerge w:val="restart"/>
            <w:tcBorders>
              <w:top w:val="nil"/>
              <w:left w:val="single" w:color="auto" w:sz="8" w:space="0"/>
              <w:bottom w:val="single" w:color="000000"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安全报告</w:t>
            </w: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安全技术体系建设支持查看纵深防御下的便捷防护设备、漏洞扫描设备、威胁检测设备、终端防护设备、安全审计设备数量，支持下钻查看详细每类设备的具体数量和设备作用，以及当前平台已处理该设备的日志数量，支持查看安全域的数量以及名称、攻击数、防护设备数。支持查看资产总数、防护设备总数。支持查看业务系统的数量以及名称、攻击数、防护设备数。</w:t>
            </w:r>
          </w:p>
        </w:tc>
      </w:tr>
      <w:tr>
        <w:tblPrEx>
          <w:tblCellMar>
            <w:top w:w="0" w:type="dxa"/>
            <w:left w:w="108" w:type="dxa"/>
            <w:bottom w:w="0" w:type="dxa"/>
            <w:right w:w="108" w:type="dxa"/>
          </w:tblCellMar>
        </w:tblPrEx>
        <w:trPr>
          <w:trHeight w:val="537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规范化安全运营通过四大部分配置、处置、监测、分析查看整个网络的安全情况，配置部分可查看资产配置、管控配置、策略配置、备份配置。监测部分可查看监测引擎中的模型数量、告警规则、漏洞监测任务、性能监测任务。还可查看日志数据、资产数据、漏洞数据、情报数据。分析部分可快速查看威胁画像、资产画像、追踪溯源，并支持下钻查看详情，另外还可以查看</w:t>
            </w:r>
            <w:r>
              <w:rPr>
                <w:rFonts w:ascii="Calibri" w:hAnsi="Calibri" w:eastAsia="等线" w:cs="Calibri"/>
                <w:color w:val="auto"/>
                <w:sz w:val="22"/>
                <w:szCs w:val="22"/>
                <w:highlight w:val="none"/>
              </w:rPr>
              <w:t>12</w:t>
            </w:r>
            <w:r>
              <w:rPr>
                <w:rFonts w:hint="eastAsia" w:ascii="宋体" w:hAnsi="宋体" w:eastAsia="宋体" w:cs="Calibri"/>
                <w:color w:val="auto"/>
                <w:sz w:val="22"/>
                <w:szCs w:val="22"/>
                <w:highlight w:val="none"/>
              </w:rPr>
              <w:t>大安全场景的威胁分析结果，并可支持下钻查看详情，处置部分则可查看预置知识、如漏洞知识、安全经验、应急预案、剧本的数量，以及处置视图，包括失陷的资产数量、已处置失陷的数量，告警数量、已处置的告警数量，安全漏洞数量、已处置的安全漏洞数量，安全日志数量、已封堵的安全日志数量。处置手段中可查看封堵策略的数量、已执行的封堵策略，工单数量、已完结的工单数量，剧本数量、剧本响应的数量。</w:t>
            </w:r>
          </w:p>
        </w:tc>
      </w:tr>
      <w:tr>
        <w:tblPrEx>
          <w:tblCellMar>
            <w:top w:w="0" w:type="dxa"/>
            <w:left w:w="108" w:type="dxa"/>
            <w:bottom w:w="0" w:type="dxa"/>
            <w:right w:w="108" w:type="dxa"/>
          </w:tblCellMar>
        </w:tblPrEx>
        <w:trPr>
          <w:trHeight w:val="115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支持报告任务管理，包括新增、删除、暂停、查看，支持报告执行方式管理，执行方式包括但不限于立即执行、日报、周报、月报。</w:t>
            </w:r>
          </w:p>
        </w:tc>
      </w:tr>
      <w:tr>
        <w:tblPrEx>
          <w:tblCellMar>
            <w:top w:w="0" w:type="dxa"/>
            <w:left w:w="108" w:type="dxa"/>
            <w:bottom w:w="0" w:type="dxa"/>
            <w:right w:w="108" w:type="dxa"/>
          </w:tblCellMar>
        </w:tblPrEx>
        <w:trPr>
          <w:trHeight w:val="199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报告模版管理，支持新增、删除报告模版，内置报告模版包括但不限于安全告警分析报告、资产风险评估报告、全网威胁评估报告、外部威胁评估报告、网络安全综合态势评估报告，支持通过上传文件或组合组件的形式扩展报告模版。</w:t>
            </w:r>
          </w:p>
        </w:tc>
      </w:tr>
      <w:tr>
        <w:tblPrEx>
          <w:tblCellMar>
            <w:top w:w="0" w:type="dxa"/>
            <w:left w:w="108" w:type="dxa"/>
            <w:bottom w:w="0" w:type="dxa"/>
            <w:right w:w="108" w:type="dxa"/>
          </w:tblCellMar>
        </w:tblPrEx>
        <w:trPr>
          <w:trHeight w:val="115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支持自定义排列组合饼图、折线图、对叠图、词云图、表格等元素，并可对统计指标、分组唯独、表格字段等进行自定义设置，生成模板组件。</w:t>
            </w:r>
          </w:p>
        </w:tc>
      </w:tr>
      <w:tr>
        <w:tblPrEx>
          <w:tblCellMar>
            <w:top w:w="0" w:type="dxa"/>
            <w:left w:w="108" w:type="dxa"/>
            <w:bottom w:w="0" w:type="dxa"/>
            <w:right w:w="108" w:type="dxa"/>
          </w:tblCellMar>
        </w:tblPrEx>
        <w:trPr>
          <w:trHeight w:val="231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restart"/>
            <w:tcBorders>
              <w:top w:val="nil"/>
              <w:left w:val="single" w:color="auto" w:sz="8" w:space="0"/>
              <w:bottom w:val="single" w:color="000000"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等保管理</w:t>
            </w: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等保概览，包括但不限于统计等保业务系统数、已备案业务系统数、测评通过业务系统数、待整改业务系统数、已测评总次数、已整改总次数等统计信息，支持等保业务系统列表展示、等保业务系统等级分布统计、业务系统整改次数排名</w:t>
            </w:r>
            <w:r>
              <w:rPr>
                <w:rFonts w:ascii="Calibri" w:hAnsi="Calibri" w:eastAsia="等线" w:cs="Calibri"/>
                <w:color w:val="auto"/>
                <w:sz w:val="22"/>
                <w:szCs w:val="22"/>
                <w:highlight w:val="none"/>
              </w:rPr>
              <w:t>TOP5</w:t>
            </w:r>
            <w:r>
              <w:rPr>
                <w:rFonts w:hint="eastAsia" w:ascii="宋体" w:hAnsi="宋体" w:eastAsia="宋体" w:cs="Calibri"/>
                <w:color w:val="auto"/>
                <w:sz w:val="22"/>
                <w:szCs w:val="22"/>
                <w:highlight w:val="none"/>
              </w:rPr>
              <w:t>、业务系统测评次数排名</w:t>
            </w:r>
            <w:r>
              <w:rPr>
                <w:rFonts w:ascii="Calibri" w:hAnsi="Calibri" w:eastAsia="等线" w:cs="Calibri"/>
                <w:color w:val="auto"/>
                <w:sz w:val="22"/>
                <w:szCs w:val="22"/>
                <w:highlight w:val="none"/>
              </w:rPr>
              <w:t>TOP5</w:t>
            </w:r>
            <w:r>
              <w:rPr>
                <w:rFonts w:hint="eastAsia" w:ascii="宋体" w:hAnsi="宋体" w:eastAsia="宋体" w:cs="Calibri"/>
                <w:color w:val="auto"/>
                <w:sz w:val="22"/>
                <w:szCs w:val="22"/>
                <w:highlight w:val="none"/>
              </w:rPr>
              <w:t>、业务系统等保过程记录。</w:t>
            </w:r>
          </w:p>
        </w:tc>
      </w:tr>
      <w:tr>
        <w:tblPrEx>
          <w:tblCellMar>
            <w:top w:w="0" w:type="dxa"/>
            <w:left w:w="108" w:type="dxa"/>
            <w:bottom w:w="0" w:type="dxa"/>
            <w:right w:w="108" w:type="dxa"/>
          </w:tblCellMar>
        </w:tblPrEx>
        <w:trPr>
          <w:trHeight w:val="171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支持对业务系统进行等保定级备案，支持新建、删除、查询，业务系统定级备案信息包括业务系统名称、安全保护等级、定级日期、定级报告、评审意见、系统备案号、备案报告、备案日期。</w:t>
            </w:r>
          </w:p>
        </w:tc>
      </w:tr>
      <w:tr>
        <w:tblPrEx>
          <w:tblCellMar>
            <w:top w:w="0" w:type="dxa"/>
            <w:left w:w="108" w:type="dxa"/>
            <w:bottom w:w="0" w:type="dxa"/>
            <w:right w:w="108" w:type="dxa"/>
          </w:tblCellMar>
        </w:tblPrEx>
        <w:trPr>
          <w:trHeight w:val="201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支持等保检查结果记录，包括测评报告及整改报告上传，支持等保检查结果包括测评名称、业务系统</w:t>
            </w:r>
            <w:r>
              <w:rPr>
                <w:rFonts w:ascii="Calibri" w:hAnsi="Calibri" w:eastAsia="等线" w:cs="Calibri"/>
                <w:color w:val="auto"/>
                <w:sz w:val="22"/>
                <w:szCs w:val="22"/>
                <w:highlight w:val="none"/>
              </w:rPr>
              <w:t xml:space="preserve"> </w:t>
            </w:r>
            <w:r>
              <w:rPr>
                <w:rFonts w:hint="eastAsia" w:ascii="宋体" w:hAnsi="宋体" w:eastAsia="宋体" w:cs="Calibri"/>
                <w:color w:val="auto"/>
                <w:sz w:val="22"/>
                <w:szCs w:val="22"/>
                <w:highlight w:val="none"/>
              </w:rPr>
              <w:t>名称、测评结论、测评结果、测评单位名称、推荐证书编号、联系方式、通讯地址、审核人、审核日期、完成测评日期、完成整改日期等。</w:t>
            </w:r>
          </w:p>
        </w:tc>
      </w:tr>
      <w:tr>
        <w:tblPrEx>
          <w:tblCellMar>
            <w:top w:w="0" w:type="dxa"/>
            <w:left w:w="108" w:type="dxa"/>
            <w:bottom w:w="0" w:type="dxa"/>
            <w:right w:w="108" w:type="dxa"/>
          </w:tblCellMar>
        </w:tblPrEx>
        <w:trPr>
          <w:trHeight w:val="143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tcBorders>
              <w:top w:val="nil"/>
              <w:left w:val="nil"/>
              <w:bottom w:val="single" w:color="auto"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过程管理</w:t>
            </w: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支持应急预案，包括但不限于可疑异常、设备故障、网络攻击、内容安全、有害程序、信息破坏分类；应急预案内容包括名称、别名、分类、描述、应急预案处理、应急预案处理备注、发送电子邮件、发送工单。</w:t>
            </w:r>
          </w:p>
        </w:tc>
      </w:tr>
      <w:tr>
        <w:tblPrEx>
          <w:tblCellMar>
            <w:top w:w="0" w:type="dxa"/>
            <w:left w:w="108" w:type="dxa"/>
            <w:bottom w:w="0" w:type="dxa"/>
            <w:right w:w="108" w:type="dxa"/>
          </w:tblCellMar>
        </w:tblPrEx>
        <w:trPr>
          <w:trHeight w:val="199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restart"/>
            <w:tcBorders>
              <w:top w:val="nil"/>
              <w:left w:val="single" w:color="auto" w:sz="8" w:space="0"/>
              <w:bottom w:val="single" w:color="000000"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重保管理</w:t>
            </w: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针对重保前的准备阶段，系统提供准备任务管理管理，围绕重保目标，重保活动前可对保障业务进行风险评估及安全加固准备工作，具体涉及资产梳理，发现遗漏资产设备并处置风险资产；漏洞分析、告警分析，全面评估重要资产存在的安全隐患。</w:t>
            </w:r>
          </w:p>
        </w:tc>
      </w:tr>
      <w:tr>
        <w:tblPrEx>
          <w:tblCellMar>
            <w:top w:w="0" w:type="dxa"/>
            <w:left w:w="108" w:type="dxa"/>
            <w:bottom w:w="0" w:type="dxa"/>
            <w:right w:w="108" w:type="dxa"/>
          </w:tblCellMar>
        </w:tblPrEx>
        <w:trPr>
          <w:trHeight w:val="143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针对重保过程中，系统提供对抗值守大屏，详细展示活动时间、活动人员、威胁情况、告警情况、资产情况、工作成果等，为重保任务提供可视化研判工具。</w:t>
            </w:r>
          </w:p>
        </w:tc>
      </w:tr>
      <w:tr>
        <w:tblPrEx>
          <w:tblCellMar>
            <w:top w:w="0" w:type="dxa"/>
            <w:left w:w="108" w:type="dxa"/>
            <w:bottom w:w="0" w:type="dxa"/>
            <w:right w:w="108" w:type="dxa"/>
          </w:tblCellMar>
        </w:tblPrEx>
        <w:trPr>
          <w:trHeight w:val="119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针对保障中、保障结束后可生成日报或自定义时间的报告，报告文件类型支持常用的</w:t>
            </w:r>
            <w:r>
              <w:rPr>
                <w:rFonts w:ascii="Calibri" w:hAnsi="Calibri" w:eastAsia="等线" w:cs="Calibri"/>
                <w:color w:val="auto"/>
                <w:sz w:val="22"/>
                <w:szCs w:val="22"/>
                <w:highlight w:val="none"/>
              </w:rPr>
              <w:t>pdf</w:t>
            </w:r>
            <w:r>
              <w:rPr>
                <w:rFonts w:hint="eastAsia" w:ascii="宋体" w:hAnsi="宋体" w:eastAsia="宋体" w:cs="Calibri"/>
                <w:color w:val="auto"/>
                <w:sz w:val="22"/>
                <w:szCs w:val="22"/>
                <w:highlight w:val="none"/>
              </w:rPr>
              <w:t>、</w:t>
            </w:r>
            <w:r>
              <w:rPr>
                <w:rFonts w:ascii="Calibri" w:hAnsi="Calibri" w:eastAsia="等线" w:cs="Calibri"/>
                <w:color w:val="auto"/>
                <w:sz w:val="22"/>
                <w:szCs w:val="22"/>
                <w:highlight w:val="none"/>
              </w:rPr>
              <w:t>docx</w:t>
            </w:r>
            <w:r>
              <w:rPr>
                <w:rFonts w:hint="eastAsia" w:ascii="宋体" w:hAnsi="宋体" w:eastAsia="宋体" w:cs="Calibri"/>
                <w:color w:val="auto"/>
                <w:sz w:val="22"/>
                <w:szCs w:val="22"/>
                <w:highlight w:val="none"/>
              </w:rPr>
              <w:t>，充分满足用户总结汇报需求。</w:t>
            </w:r>
          </w:p>
        </w:tc>
      </w:tr>
      <w:tr>
        <w:tblPrEx>
          <w:tblCellMar>
            <w:top w:w="0" w:type="dxa"/>
            <w:left w:w="108" w:type="dxa"/>
            <w:bottom w:w="0" w:type="dxa"/>
            <w:right w:w="108" w:type="dxa"/>
          </w:tblCellMar>
        </w:tblPrEx>
        <w:trPr>
          <w:trHeight w:val="325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tcBorders>
              <w:top w:val="nil"/>
              <w:left w:val="nil"/>
              <w:bottom w:val="single" w:color="auto"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数据共享</w:t>
            </w: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支持将日志上报给其它平台，上报方式包括</w:t>
            </w:r>
            <w:r>
              <w:rPr>
                <w:rFonts w:ascii="Calibri" w:hAnsi="Calibri" w:eastAsia="等线" w:cs="Calibri"/>
                <w:color w:val="auto"/>
                <w:sz w:val="22"/>
                <w:szCs w:val="22"/>
                <w:highlight w:val="none"/>
              </w:rPr>
              <w:t>JMS</w:t>
            </w:r>
            <w:r>
              <w:rPr>
                <w:rFonts w:hint="eastAsia" w:ascii="宋体" w:hAnsi="宋体" w:eastAsia="宋体" w:cs="Calibri"/>
                <w:color w:val="auto"/>
                <w:sz w:val="22"/>
                <w:szCs w:val="22"/>
                <w:highlight w:val="none"/>
              </w:rPr>
              <w:t>、</w:t>
            </w:r>
            <w:r>
              <w:rPr>
                <w:rFonts w:ascii="Calibri" w:hAnsi="Calibri" w:eastAsia="等线" w:cs="Calibri"/>
                <w:color w:val="auto"/>
                <w:sz w:val="22"/>
                <w:szCs w:val="22"/>
                <w:highlight w:val="none"/>
              </w:rPr>
              <w:t>syslog</w:t>
            </w:r>
            <w:r>
              <w:rPr>
                <w:rFonts w:hint="eastAsia" w:ascii="宋体" w:hAnsi="宋体" w:eastAsia="宋体" w:cs="Calibri"/>
                <w:color w:val="auto"/>
                <w:sz w:val="22"/>
                <w:szCs w:val="22"/>
                <w:highlight w:val="none"/>
              </w:rPr>
              <w:t>、</w:t>
            </w:r>
            <w:r>
              <w:rPr>
                <w:rFonts w:ascii="Calibri" w:hAnsi="Calibri" w:eastAsia="等线" w:cs="Calibri"/>
                <w:color w:val="auto"/>
                <w:sz w:val="22"/>
                <w:szCs w:val="22"/>
                <w:highlight w:val="none"/>
              </w:rPr>
              <w:t>kafka</w:t>
            </w:r>
            <w:r>
              <w:rPr>
                <w:rFonts w:hint="eastAsia" w:ascii="宋体" w:hAnsi="宋体" w:eastAsia="宋体" w:cs="Calibri"/>
                <w:color w:val="auto"/>
                <w:sz w:val="22"/>
                <w:szCs w:val="22"/>
                <w:highlight w:val="none"/>
              </w:rPr>
              <w:t>，</w:t>
            </w:r>
            <w:r>
              <w:rPr>
                <w:rFonts w:ascii="Calibri" w:hAnsi="Calibri" w:eastAsia="等线" w:cs="Calibri"/>
                <w:color w:val="auto"/>
                <w:sz w:val="22"/>
                <w:szCs w:val="22"/>
                <w:highlight w:val="none"/>
              </w:rPr>
              <w:t>JMS</w:t>
            </w:r>
            <w:r>
              <w:rPr>
                <w:rFonts w:hint="eastAsia" w:ascii="宋体" w:hAnsi="宋体" w:eastAsia="宋体" w:cs="Calibri"/>
                <w:color w:val="auto"/>
                <w:sz w:val="22"/>
                <w:szCs w:val="22"/>
                <w:highlight w:val="none"/>
              </w:rPr>
              <w:t>上报参数配置，包括日志转发</w:t>
            </w:r>
            <w:r>
              <w:rPr>
                <w:rFonts w:ascii="Calibri" w:hAnsi="Calibri" w:eastAsia="等线" w:cs="Calibri"/>
                <w:color w:val="auto"/>
                <w:sz w:val="22"/>
                <w:szCs w:val="22"/>
                <w:highlight w:val="none"/>
              </w:rPr>
              <w:t>IP</w:t>
            </w:r>
            <w:r>
              <w:rPr>
                <w:rFonts w:hint="eastAsia" w:ascii="宋体" w:hAnsi="宋体" w:eastAsia="宋体" w:cs="Calibri"/>
                <w:color w:val="auto"/>
                <w:sz w:val="22"/>
                <w:szCs w:val="22"/>
                <w:highlight w:val="none"/>
              </w:rPr>
              <w:t>、端口、最大频率、转发状态、过滤器、用户名密码、</w:t>
            </w:r>
            <w:r>
              <w:rPr>
                <w:rFonts w:ascii="Calibri" w:hAnsi="Calibri" w:eastAsia="等线" w:cs="Calibri"/>
                <w:color w:val="auto"/>
                <w:sz w:val="22"/>
                <w:szCs w:val="22"/>
                <w:highlight w:val="none"/>
              </w:rPr>
              <w:t>Topic</w:t>
            </w:r>
            <w:r>
              <w:rPr>
                <w:rFonts w:hint="eastAsia" w:ascii="宋体" w:hAnsi="宋体" w:eastAsia="宋体" w:cs="Calibri"/>
                <w:color w:val="auto"/>
                <w:sz w:val="22"/>
                <w:szCs w:val="22"/>
                <w:highlight w:val="none"/>
              </w:rPr>
              <w:t>。</w:t>
            </w:r>
            <w:r>
              <w:rPr>
                <w:rFonts w:ascii="Calibri" w:hAnsi="Calibri" w:eastAsia="等线" w:cs="Calibri"/>
                <w:color w:val="auto"/>
                <w:sz w:val="22"/>
                <w:szCs w:val="22"/>
                <w:highlight w:val="none"/>
              </w:rPr>
              <w:t>syslog</w:t>
            </w:r>
            <w:r>
              <w:rPr>
                <w:rFonts w:hint="eastAsia" w:ascii="宋体" w:hAnsi="宋体" w:eastAsia="宋体" w:cs="Calibri"/>
                <w:color w:val="auto"/>
                <w:sz w:val="22"/>
                <w:szCs w:val="22"/>
                <w:highlight w:val="none"/>
              </w:rPr>
              <w:t>上报参数配置，包括日志转发</w:t>
            </w:r>
            <w:r>
              <w:rPr>
                <w:rFonts w:ascii="Calibri" w:hAnsi="Calibri" w:eastAsia="等线" w:cs="Calibri"/>
                <w:color w:val="auto"/>
                <w:sz w:val="22"/>
                <w:szCs w:val="22"/>
                <w:highlight w:val="none"/>
              </w:rPr>
              <w:t>IP</w:t>
            </w:r>
            <w:r>
              <w:rPr>
                <w:rFonts w:hint="eastAsia" w:ascii="宋体" w:hAnsi="宋体" w:eastAsia="宋体" w:cs="Calibri"/>
                <w:color w:val="auto"/>
                <w:sz w:val="22"/>
                <w:szCs w:val="22"/>
                <w:highlight w:val="none"/>
              </w:rPr>
              <w:t>地址、端口、发送最大频率、转发状态、是否仅转发原始日志、是否发送</w:t>
            </w:r>
            <w:r>
              <w:rPr>
                <w:rFonts w:ascii="Calibri" w:hAnsi="Calibri" w:eastAsia="等线" w:cs="Calibri"/>
                <w:color w:val="auto"/>
                <w:sz w:val="22"/>
                <w:szCs w:val="22"/>
                <w:highlight w:val="none"/>
              </w:rPr>
              <w:t>JSON</w:t>
            </w:r>
            <w:r>
              <w:rPr>
                <w:rFonts w:hint="eastAsia" w:ascii="宋体" w:hAnsi="宋体" w:eastAsia="宋体" w:cs="Calibri"/>
                <w:color w:val="auto"/>
                <w:sz w:val="22"/>
                <w:szCs w:val="22"/>
                <w:highlight w:val="none"/>
              </w:rPr>
              <w:t>格式、过滤器、日志转发头信息设置。</w:t>
            </w:r>
            <w:r>
              <w:rPr>
                <w:rFonts w:ascii="Calibri" w:hAnsi="Calibri" w:eastAsia="等线" w:cs="Calibri"/>
                <w:color w:val="auto"/>
                <w:sz w:val="22"/>
                <w:szCs w:val="22"/>
                <w:highlight w:val="none"/>
              </w:rPr>
              <w:t>kafka</w:t>
            </w:r>
            <w:r>
              <w:rPr>
                <w:rFonts w:hint="eastAsia" w:ascii="宋体" w:hAnsi="宋体" w:eastAsia="宋体" w:cs="Calibri"/>
                <w:color w:val="auto"/>
                <w:sz w:val="22"/>
                <w:szCs w:val="22"/>
                <w:highlight w:val="none"/>
              </w:rPr>
              <w:t>配置上报参数配置，包括日志转发</w:t>
            </w:r>
            <w:r>
              <w:rPr>
                <w:rFonts w:ascii="Calibri" w:hAnsi="Calibri" w:eastAsia="等线" w:cs="Calibri"/>
                <w:color w:val="auto"/>
                <w:sz w:val="22"/>
                <w:szCs w:val="22"/>
                <w:highlight w:val="none"/>
              </w:rPr>
              <w:t>IP</w:t>
            </w:r>
            <w:r>
              <w:rPr>
                <w:rFonts w:hint="eastAsia" w:ascii="宋体" w:hAnsi="宋体" w:eastAsia="宋体" w:cs="Calibri"/>
                <w:color w:val="auto"/>
                <w:sz w:val="22"/>
                <w:szCs w:val="22"/>
                <w:highlight w:val="none"/>
              </w:rPr>
              <w:t>地址、端口、</w:t>
            </w:r>
            <w:r>
              <w:rPr>
                <w:rFonts w:ascii="Calibri" w:hAnsi="Calibri" w:eastAsia="等线" w:cs="Calibri"/>
                <w:color w:val="auto"/>
                <w:sz w:val="22"/>
                <w:szCs w:val="22"/>
                <w:highlight w:val="none"/>
              </w:rPr>
              <w:t>Topic</w:t>
            </w:r>
            <w:r>
              <w:rPr>
                <w:rFonts w:hint="eastAsia" w:ascii="宋体" w:hAnsi="宋体" w:eastAsia="宋体" w:cs="Calibri"/>
                <w:color w:val="auto"/>
                <w:sz w:val="22"/>
                <w:szCs w:val="22"/>
                <w:highlight w:val="none"/>
              </w:rPr>
              <w:t>、序列化文件、发送最大频率、转发状态、过滤器。</w:t>
            </w:r>
          </w:p>
        </w:tc>
      </w:tr>
      <w:tr>
        <w:tblPrEx>
          <w:tblCellMar>
            <w:top w:w="0" w:type="dxa"/>
            <w:left w:w="108" w:type="dxa"/>
            <w:bottom w:w="0" w:type="dxa"/>
            <w:right w:w="108" w:type="dxa"/>
          </w:tblCellMar>
        </w:tblPrEx>
        <w:trPr>
          <w:trHeight w:val="1150" w:hRule="atLeast"/>
        </w:trPr>
        <w:tc>
          <w:tcPr>
            <w:tcW w:w="1480" w:type="dxa"/>
            <w:vMerge w:val="restart"/>
            <w:tcBorders>
              <w:top w:val="nil"/>
              <w:left w:val="single" w:color="auto" w:sz="8" w:space="0"/>
              <w:bottom w:val="single" w:color="000000" w:sz="8" w:space="0"/>
              <w:right w:val="single" w:color="auto" w:sz="8"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安全审计</w:t>
            </w:r>
          </w:p>
        </w:tc>
        <w:tc>
          <w:tcPr>
            <w:tcW w:w="2080" w:type="dxa"/>
            <w:vMerge w:val="restart"/>
            <w:tcBorders>
              <w:top w:val="nil"/>
              <w:left w:val="single" w:color="auto" w:sz="8" w:space="0"/>
              <w:bottom w:val="single" w:color="000000"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合规审计</w:t>
            </w: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支持合规审计，审计设备类型包括但不限于主机、安全设备、网络设备、业务应用、中间件、数据库；</w:t>
            </w:r>
          </w:p>
        </w:tc>
      </w:tr>
      <w:tr>
        <w:tblPrEx>
          <w:tblCellMar>
            <w:top w:w="0" w:type="dxa"/>
            <w:left w:w="108" w:type="dxa"/>
            <w:bottom w:w="0" w:type="dxa"/>
            <w:right w:w="108" w:type="dxa"/>
          </w:tblCellMar>
        </w:tblPrEx>
        <w:trPr>
          <w:trHeight w:val="115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支持条件检索模式，查询条件支持</w:t>
            </w:r>
            <w:r>
              <w:rPr>
                <w:rFonts w:ascii="Calibri" w:hAnsi="Calibri" w:eastAsia="等线" w:cs="Calibri"/>
                <w:color w:val="auto"/>
                <w:sz w:val="22"/>
                <w:szCs w:val="22"/>
                <w:highlight w:val="none"/>
              </w:rPr>
              <w:t>10</w:t>
            </w:r>
            <w:r>
              <w:rPr>
                <w:rFonts w:hint="eastAsia" w:ascii="宋体" w:hAnsi="宋体" w:eastAsia="宋体" w:cs="Calibri"/>
                <w:color w:val="auto"/>
                <w:sz w:val="22"/>
                <w:szCs w:val="22"/>
                <w:highlight w:val="none"/>
              </w:rPr>
              <w:t>种以上字段，包括但不限于日志名称、日志级别、传输协议、应用协议，支持查询时间范围设置等；</w:t>
            </w:r>
          </w:p>
        </w:tc>
      </w:tr>
      <w:tr>
        <w:tblPrEx>
          <w:tblCellMar>
            <w:top w:w="0" w:type="dxa"/>
            <w:left w:w="108" w:type="dxa"/>
            <w:bottom w:w="0" w:type="dxa"/>
            <w:right w:w="108" w:type="dxa"/>
          </w:tblCellMar>
        </w:tblPrEx>
        <w:trPr>
          <w:trHeight w:val="87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支持全文检索模式，支持输入关键字进行全文检索，并支持时间范围设置；</w:t>
            </w:r>
          </w:p>
        </w:tc>
      </w:tr>
      <w:tr>
        <w:tblPrEx>
          <w:tblCellMar>
            <w:top w:w="0" w:type="dxa"/>
            <w:left w:w="108" w:type="dxa"/>
            <w:bottom w:w="0" w:type="dxa"/>
            <w:right w:w="108" w:type="dxa"/>
          </w:tblCellMar>
        </w:tblPrEx>
        <w:trPr>
          <w:trHeight w:val="143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restart"/>
            <w:tcBorders>
              <w:top w:val="nil"/>
              <w:left w:val="single" w:color="auto" w:sz="8" w:space="0"/>
              <w:bottom w:val="single" w:color="000000"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日志接收</w:t>
            </w: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支持日志实时监视，支持按照设备</w:t>
            </w:r>
            <w:r>
              <w:rPr>
                <w:rFonts w:ascii="Calibri" w:hAnsi="Calibri" w:eastAsia="等线" w:cs="Calibri"/>
                <w:color w:val="auto"/>
                <w:sz w:val="22"/>
                <w:szCs w:val="22"/>
                <w:highlight w:val="none"/>
              </w:rPr>
              <w:t>IP</w:t>
            </w:r>
            <w:r>
              <w:rPr>
                <w:rFonts w:hint="eastAsia" w:ascii="宋体" w:hAnsi="宋体" w:eastAsia="宋体" w:cs="Calibri"/>
                <w:color w:val="auto"/>
                <w:sz w:val="22"/>
                <w:szCs w:val="22"/>
                <w:highlight w:val="none"/>
              </w:rPr>
              <w:t>、设备类型、事件级别、过滤器等条件进行事件分类监视，支持清空日志显示列表、停止和启动刷新、刷新间隔设置；</w:t>
            </w:r>
          </w:p>
        </w:tc>
      </w:tr>
      <w:tr>
        <w:tblPrEx>
          <w:tblCellMar>
            <w:top w:w="0" w:type="dxa"/>
            <w:left w:w="108" w:type="dxa"/>
            <w:bottom w:w="0" w:type="dxa"/>
            <w:right w:w="108" w:type="dxa"/>
          </w:tblCellMar>
        </w:tblPrEx>
        <w:trPr>
          <w:trHeight w:val="149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支持日志源采集配置包括日志源的新建、批量</w:t>
            </w:r>
            <w:r>
              <w:rPr>
                <w:rFonts w:ascii="Calibri" w:hAnsi="Calibri" w:eastAsia="等线" w:cs="Calibri"/>
                <w:color w:val="auto"/>
                <w:sz w:val="22"/>
                <w:szCs w:val="22"/>
                <w:highlight w:val="none"/>
              </w:rPr>
              <w:t>/</w:t>
            </w:r>
            <w:r>
              <w:rPr>
                <w:rFonts w:hint="eastAsia" w:ascii="宋体" w:hAnsi="宋体" w:eastAsia="宋体" w:cs="Calibri"/>
                <w:color w:val="auto"/>
                <w:sz w:val="22"/>
                <w:szCs w:val="22"/>
                <w:highlight w:val="none"/>
              </w:rPr>
              <w:t>单一删除、启用、禁用，并支持批量导入和导出。新建采集配置包括名称、</w:t>
            </w:r>
            <w:r>
              <w:rPr>
                <w:rFonts w:ascii="Calibri" w:hAnsi="Calibri" w:eastAsia="等线" w:cs="Calibri"/>
                <w:color w:val="auto"/>
                <w:sz w:val="22"/>
                <w:szCs w:val="22"/>
                <w:highlight w:val="none"/>
              </w:rPr>
              <w:t>IP</w:t>
            </w:r>
            <w:r>
              <w:rPr>
                <w:rFonts w:hint="eastAsia" w:ascii="宋体" w:hAnsi="宋体" w:eastAsia="宋体" w:cs="Calibri"/>
                <w:color w:val="auto"/>
                <w:sz w:val="22"/>
                <w:szCs w:val="22"/>
                <w:highlight w:val="none"/>
              </w:rPr>
              <w:t>、设备登录</w:t>
            </w:r>
            <w:r>
              <w:rPr>
                <w:rFonts w:ascii="Calibri" w:hAnsi="Calibri" w:eastAsia="等线" w:cs="Calibri"/>
                <w:color w:val="auto"/>
                <w:sz w:val="22"/>
                <w:szCs w:val="22"/>
                <w:highlight w:val="none"/>
              </w:rPr>
              <w:t>URL</w:t>
            </w:r>
            <w:r>
              <w:rPr>
                <w:rFonts w:hint="eastAsia" w:ascii="宋体" w:hAnsi="宋体" w:eastAsia="宋体" w:cs="Calibri"/>
                <w:color w:val="auto"/>
                <w:sz w:val="22"/>
                <w:szCs w:val="22"/>
                <w:highlight w:val="none"/>
              </w:rPr>
              <w:t>、</w:t>
            </w:r>
            <w:r>
              <w:rPr>
                <w:rFonts w:ascii="Calibri" w:hAnsi="Calibri" w:eastAsia="等线" w:cs="Calibri"/>
                <w:color w:val="auto"/>
                <w:sz w:val="22"/>
                <w:szCs w:val="22"/>
                <w:highlight w:val="none"/>
              </w:rPr>
              <w:t>TCP/UDP</w:t>
            </w:r>
            <w:r>
              <w:rPr>
                <w:rFonts w:hint="eastAsia" w:ascii="宋体" w:hAnsi="宋体" w:eastAsia="宋体" w:cs="Calibri"/>
                <w:color w:val="auto"/>
                <w:sz w:val="22"/>
                <w:szCs w:val="22"/>
                <w:highlight w:val="none"/>
              </w:rPr>
              <w:t>、设备类型。；</w:t>
            </w:r>
          </w:p>
        </w:tc>
      </w:tr>
      <w:tr>
        <w:tblPrEx>
          <w:tblCellMar>
            <w:top w:w="0" w:type="dxa"/>
            <w:left w:w="108" w:type="dxa"/>
            <w:bottom w:w="0" w:type="dxa"/>
            <w:right w:w="108" w:type="dxa"/>
          </w:tblCellMar>
        </w:tblPrEx>
        <w:trPr>
          <w:trHeight w:val="59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支持代理配置管理，包括基本信息、监控状态、组件列表。</w:t>
            </w:r>
          </w:p>
        </w:tc>
      </w:tr>
      <w:tr>
        <w:tblPrEx>
          <w:tblCellMar>
            <w:top w:w="0" w:type="dxa"/>
            <w:left w:w="108" w:type="dxa"/>
            <w:bottom w:w="0" w:type="dxa"/>
            <w:right w:w="108" w:type="dxa"/>
          </w:tblCellMar>
        </w:tblPrEx>
        <w:trPr>
          <w:trHeight w:val="115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支持解析配置管理，提供解析模板的增删改查等操作，并支持模板的导入导出，利用此功能，新增解析模板支持标准模式和高级模式。</w:t>
            </w:r>
          </w:p>
        </w:tc>
      </w:tr>
      <w:tr>
        <w:tblPrEx>
          <w:tblCellMar>
            <w:top w:w="0" w:type="dxa"/>
            <w:left w:w="108" w:type="dxa"/>
            <w:bottom w:w="0" w:type="dxa"/>
            <w:right w:w="108" w:type="dxa"/>
          </w:tblCellMar>
        </w:tblPrEx>
        <w:trPr>
          <w:trHeight w:val="1430" w:hRule="atLeast"/>
        </w:trPr>
        <w:tc>
          <w:tcPr>
            <w:tcW w:w="1480" w:type="dxa"/>
            <w:tcBorders>
              <w:top w:val="nil"/>
              <w:left w:val="single" w:color="auto" w:sz="8" w:space="0"/>
              <w:bottom w:val="single" w:color="auto" w:sz="8" w:space="0"/>
              <w:right w:val="single" w:color="auto" w:sz="8" w:space="0"/>
            </w:tcBorders>
            <w:shd w:val="clear" w:color="auto" w:fill="auto"/>
            <w:vAlign w:val="center"/>
          </w:tcPr>
          <w:p>
            <w:pPr>
              <w:jc w:val="center"/>
              <w:rPr>
                <w:rFonts w:eastAsia="等线"/>
                <w:color w:val="auto"/>
                <w:sz w:val="22"/>
                <w:szCs w:val="22"/>
                <w:highlight w:val="none"/>
              </w:rPr>
            </w:pPr>
            <w:r>
              <w:rPr>
                <w:rFonts w:eastAsia="等线"/>
                <w:color w:val="auto"/>
                <w:sz w:val="22"/>
                <w:szCs w:val="22"/>
                <w:highlight w:val="none"/>
              </w:rPr>
              <w:t>　</w:t>
            </w:r>
          </w:p>
        </w:tc>
        <w:tc>
          <w:tcPr>
            <w:tcW w:w="2080" w:type="dxa"/>
            <w:tcBorders>
              <w:top w:val="nil"/>
              <w:left w:val="nil"/>
              <w:bottom w:val="single" w:color="auto"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过滤器</w:t>
            </w: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过滤器管理，提供过滤器组管理，包括增、删、改、移动等功能，支持过滤器管理，包括增、删、改，支持以列表的形式展示过滤器，包括名称、所有者、创建者、创建时间、最后修改者、最后修改时间、操作。</w:t>
            </w:r>
          </w:p>
        </w:tc>
      </w:tr>
      <w:tr>
        <w:tblPrEx>
          <w:tblCellMar>
            <w:top w:w="0" w:type="dxa"/>
            <w:left w:w="108" w:type="dxa"/>
            <w:bottom w:w="0" w:type="dxa"/>
            <w:right w:w="108" w:type="dxa"/>
          </w:tblCellMar>
        </w:tblPrEx>
        <w:trPr>
          <w:trHeight w:val="1150" w:hRule="atLeast"/>
        </w:trPr>
        <w:tc>
          <w:tcPr>
            <w:tcW w:w="1480" w:type="dxa"/>
            <w:vMerge w:val="restart"/>
            <w:tcBorders>
              <w:top w:val="nil"/>
              <w:left w:val="single" w:color="auto" w:sz="8" w:space="0"/>
              <w:bottom w:val="single" w:color="000000" w:sz="8" w:space="0"/>
              <w:right w:val="single" w:color="auto" w:sz="8"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知识情报</w:t>
            </w:r>
          </w:p>
        </w:tc>
        <w:tc>
          <w:tcPr>
            <w:tcW w:w="2080" w:type="dxa"/>
            <w:vMerge w:val="restart"/>
            <w:tcBorders>
              <w:top w:val="nil"/>
              <w:left w:val="single" w:color="auto" w:sz="8" w:space="0"/>
              <w:bottom w:val="single" w:color="000000"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威胁情报</w:t>
            </w: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支持系统使用云端情报和离线情报，支持对云端威胁情报来源配置包括接口地址、用户名、密码，支持对离线威胁情报进行导入</w:t>
            </w:r>
          </w:p>
        </w:tc>
      </w:tr>
      <w:tr>
        <w:tblPrEx>
          <w:tblCellMar>
            <w:top w:w="0" w:type="dxa"/>
            <w:left w:w="108" w:type="dxa"/>
            <w:bottom w:w="0" w:type="dxa"/>
            <w:right w:w="108" w:type="dxa"/>
          </w:tblCellMar>
        </w:tblPrEx>
        <w:trPr>
          <w:trHeight w:val="145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w:t>
            </w:r>
            <w:r>
              <w:rPr>
                <w:rFonts w:ascii="宋体" w:hAnsi="宋体" w:eastAsia="宋体" w:cs="Calibri"/>
                <w:color w:val="auto"/>
                <w:sz w:val="22"/>
                <w:szCs w:val="22"/>
                <w:highlight w:val="none"/>
              </w:rPr>
              <w:t>2</w:t>
            </w:r>
            <w:r>
              <w:rPr>
                <w:rFonts w:hint="eastAsia" w:ascii="宋体" w:hAnsi="宋体" w:eastAsia="宋体" w:cs="Calibri"/>
                <w:color w:val="auto"/>
                <w:sz w:val="22"/>
                <w:szCs w:val="22"/>
                <w:highlight w:val="none"/>
              </w:rPr>
              <w:t>4</w:t>
            </w:r>
            <w:r>
              <w:rPr>
                <w:rFonts w:hint="eastAsia" w:ascii="宋体" w:hAnsi="宋体" w:eastAsia="宋体" w:cs="Calibri"/>
                <w:b/>
                <w:bCs/>
                <w:color w:val="auto"/>
                <w:sz w:val="22"/>
                <w:szCs w:val="22"/>
                <w:highlight w:val="none"/>
              </w:rPr>
              <w:t>支持威胁情报管理，包括恶意</w:t>
            </w:r>
            <w:r>
              <w:rPr>
                <w:rFonts w:ascii="Calibri" w:hAnsi="Calibri" w:eastAsia="等线" w:cs="Calibri"/>
                <w:b/>
                <w:bCs/>
                <w:color w:val="auto"/>
                <w:sz w:val="22"/>
                <w:szCs w:val="22"/>
                <w:highlight w:val="none"/>
              </w:rPr>
              <w:t>IP</w:t>
            </w:r>
            <w:r>
              <w:rPr>
                <w:rFonts w:hint="eastAsia" w:ascii="宋体" w:hAnsi="宋体" w:eastAsia="宋体" w:cs="Calibri"/>
                <w:b/>
                <w:bCs/>
                <w:color w:val="auto"/>
                <w:sz w:val="22"/>
                <w:szCs w:val="22"/>
                <w:highlight w:val="none"/>
              </w:rPr>
              <w:t>地址、恶意</w:t>
            </w:r>
            <w:r>
              <w:rPr>
                <w:rFonts w:ascii="Calibri" w:hAnsi="Calibri" w:eastAsia="等线" w:cs="Calibri"/>
                <w:b/>
                <w:bCs/>
                <w:color w:val="auto"/>
                <w:sz w:val="22"/>
                <w:szCs w:val="22"/>
                <w:highlight w:val="none"/>
              </w:rPr>
              <w:t>URL</w:t>
            </w:r>
            <w:r>
              <w:rPr>
                <w:rFonts w:hint="eastAsia" w:ascii="宋体" w:hAnsi="宋体" w:eastAsia="宋体" w:cs="Calibri"/>
                <w:b/>
                <w:bCs/>
                <w:color w:val="auto"/>
                <w:sz w:val="22"/>
                <w:szCs w:val="22"/>
                <w:highlight w:val="none"/>
              </w:rPr>
              <w:t>、恶意样本、恶意域名、垃圾邮件等</w:t>
            </w:r>
            <w:r>
              <w:rPr>
                <w:rFonts w:hint="eastAsia" w:ascii="宋体" w:hAnsi="宋体" w:eastAsia="宋体" w:cs="Calibri"/>
                <w:color w:val="auto"/>
                <w:sz w:val="22"/>
                <w:szCs w:val="22"/>
                <w:highlight w:val="none"/>
              </w:rPr>
              <w:t>，支持情报进行分类自定义查询，支持自定义威胁情报信息，支持威胁情报的导入（提供产品截图并加盖厂商公章）；</w:t>
            </w:r>
          </w:p>
        </w:tc>
      </w:tr>
      <w:tr>
        <w:tblPrEx>
          <w:tblCellMar>
            <w:top w:w="0" w:type="dxa"/>
            <w:left w:w="108" w:type="dxa"/>
            <w:bottom w:w="0" w:type="dxa"/>
            <w:right w:w="108" w:type="dxa"/>
          </w:tblCellMar>
        </w:tblPrEx>
        <w:trPr>
          <w:trHeight w:val="117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tcBorders>
              <w:top w:val="nil"/>
              <w:left w:val="nil"/>
              <w:bottom w:val="single" w:color="auto"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漏洞库</w:t>
            </w: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支持以分组的方式对系统中的安全漏洞信息进行管理。自持对安全漏洞信息进行分组；</w:t>
            </w:r>
            <w:r>
              <w:rPr>
                <w:rFonts w:ascii="Calibri" w:hAnsi="Calibri" w:eastAsia="等线" w:cs="Calibri"/>
                <w:color w:val="auto"/>
                <w:sz w:val="22"/>
                <w:szCs w:val="22"/>
                <w:highlight w:val="none"/>
              </w:rPr>
              <w:t xml:space="preserve"> </w:t>
            </w:r>
            <w:r>
              <w:rPr>
                <w:rFonts w:hint="eastAsia" w:ascii="宋体" w:hAnsi="宋体" w:eastAsia="宋体" w:cs="Calibri"/>
                <w:color w:val="auto"/>
                <w:sz w:val="22"/>
                <w:szCs w:val="22"/>
                <w:highlight w:val="none"/>
              </w:rPr>
              <w:t>支持对安全漏洞组信息和安全漏洞信息进行相应的增、删、改、查的操作。</w:t>
            </w:r>
          </w:p>
        </w:tc>
      </w:tr>
      <w:tr>
        <w:tblPrEx>
          <w:tblCellMar>
            <w:top w:w="0" w:type="dxa"/>
            <w:left w:w="108" w:type="dxa"/>
            <w:bottom w:w="0" w:type="dxa"/>
            <w:right w:w="108" w:type="dxa"/>
          </w:tblCellMar>
        </w:tblPrEx>
        <w:trPr>
          <w:trHeight w:val="117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tcBorders>
              <w:top w:val="nil"/>
              <w:left w:val="nil"/>
              <w:bottom w:val="single" w:color="auto"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补丁库</w:t>
            </w: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支持以分组的方式对系统中的补丁信息进行管理。支持按对补丁信息进行分组；</w:t>
            </w:r>
            <w:r>
              <w:rPr>
                <w:rFonts w:ascii="Calibri" w:hAnsi="Calibri" w:eastAsia="等线" w:cs="Calibri"/>
                <w:color w:val="auto"/>
                <w:sz w:val="22"/>
                <w:szCs w:val="22"/>
                <w:highlight w:val="none"/>
              </w:rPr>
              <w:t xml:space="preserve"> </w:t>
            </w:r>
            <w:r>
              <w:rPr>
                <w:rFonts w:hint="eastAsia" w:ascii="宋体" w:hAnsi="宋体" w:eastAsia="宋体" w:cs="Calibri"/>
                <w:color w:val="auto"/>
                <w:sz w:val="22"/>
                <w:szCs w:val="22"/>
                <w:highlight w:val="none"/>
              </w:rPr>
              <w:t>支持对补丁组信息和补丁信息进行相应的增、删、改、查的操作。</w:t>
            </w:r>
          </w:p>
        </w:tc>
      </w:tr>
      <w:tr>
        <w:tblPrEx>
          <w:tblCellMar>
            <w:top w:w="0" w:type="dxa"/>
            <w:left w:w="108" w:type="dxa"/>
            <w:bottom w:w="0" w:type="dxa"/>
            <w:right w:w="108" w:type="dxa"/>
          </w:tblCellMar>
        </w:tblPrEx>
        <w:trPr>
          <w:trHeight w:val="115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tcBorders>
              <w:top w:val="nil"/>
              <w:left w:val="nil"/>
              <w:bottom w:val="single" w:color="auto"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病毒库</w:t>
            </w: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支持以分组的方式对系统中的病毒信息进行管理。支持按对病毒信息进行分组；支持对病毒组信息和病毒信息进行相应的增、删、改、查的操作。</w:t>
            </w:r>
          </w:p>
        </w:tc>
      </w:tr>
      <w:tr>
        <w:tblPrEx>
          <w:tblCellMar>
            <w:top w:w="0" w:type="dxa"/>
            <w:left w:w="108" w:type="dxa"/>
            <w:bottom w:w="0" w:type="dxa"/>
            <w:right w:w="108" w:type="dxa"/>
          </w:tblCellMar>
        </w:tblPrEx>
        <w:trPr>
          <w:trHeight w:val="115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tcBorders>
              <w:top w:val="nil"/>
              <w:left w:val="nil"/>
              <w:bottom w:val="single" w:color="auto"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安全经验</w:t>
            </w: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支持以分组的方式对系统中的安全经验库信息进行管理。支持对安全经验库信息进行分组；支持对安全经验库组信息和安全经验库信息进行相应的增、删、改、查的操作。</w:t>
            </w:r>
          </w:p>
        </w:tc>
      </w:tr>
      <w:tr>
        <w:tblPrEx>
          <w:tblCellMar>
            <w:top w:w="0" w:type="dxa"/>
            <w:left w:w="108" w:type="dxa"/>
            <w:bottom w:w="0" w:type="dxa"/>
            <w:right w:w="108" w:type="dxa"/>
          </w:tblCellMar>
        </w:tblPrEx>
        <w:trPr>
          <w:trHeight w:val="87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tcBorders>
              <w:top w:val="nil"/>
              <w:left w:val="nil"/>
              <w:bottom w:val="single" w:color="auto"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安全要求</w:t>
            </w: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支持对安全要求信息进行管理，支持对安全要求进行分组，支持对安全要求中的信息进行响应的增、删、改、查操作。</w:t>
            </w:r>
          </w:p>
        </w:tc>
      </w:tr>
      <w:tr>
        <w:tblPrEx>
          <w:tblCellMar>
            <w:top w:w="0" w:type="dxa"/>
            <w:left w:w="108" w:type="dxa"/>
            <w:bottom w:w="0" w:type="dxa"/>
            <w:right w:w="108" w:type="dxa"/>
          </w:tblCellMar>
        </w:tblPrEx>
        <w:trPr>
          <w:trHeight w:val="59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tcBorders>
              <w:top w:val="nil"/>
              <w:left w:val="nil"/>
              <w:bottom w:val="single" w:color="auto"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跟踪文档</w:t>
            </w: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支持管理上传的重要文档，针对文档支持上传、下载、删除等操作。</w:t>
            </w:r>
          </w:p>
        </w:tc>
      </w:tr>
      <w:tr>
        <w:tblPrEx>
          <w:tblCellMar>
            <w:top w:w="0" w:type="dxa"/>
            <w:left w:w="108" w:type="dxa"/>
            <w:bottom w:w="0" w:type="dxa"/>
            <w:right w:w="108" w:type="dxa"/>
          </w:tblCellMar>
        </w:tblPrEx>
        <w:trPr>
          <w:trHeight w:val="87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tcBorders>
              <w:top w:val="nil"/>
              <w:left w:val="nil"/>
              <w:bottom w:val="single" w:color="auto"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敏感词库</w:t>
            </w: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系统内置敏感词库，并提供敏感词库管理功能，支持对敏感词进行添加、删除、修改、启用等操作，并支持批量导入和导出。</w:t>
            </w:r>
          </w:p>
        </w:tc>
      </w:tr>
      <w:tr>
        <w:tblPrEx>
          <w:tblCellMar>
            <w:top w:w="0" w:type="dxa"/>
            <w:left w:w="108" w:type="dxa"/>
            <w:bottom w:w="0" w:type="dxa"/>
            <w:right w:w="108" w:type="dxa"/>
          </w:tblCellMar>
        </w:tblPrEx>
        <w:trPr>
          <w:trHeight w:val="89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tcBorders>
              <w:top w:val="nil"/>
              <w:left w:val="nil"/>
              <w:bottom w:val="single" w:color="auto"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自定义知识</w:t>
            </w: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支持以分组的方式对知识信息进行管理，支持对知识信息进行分组</w:t>
            </w:r>
            <w:r>
              <w:rPr>
                <w:rFonts w:ascii="Calibri" w:hAnsi="Calibri" w:eastAsia="等线" w:cs="Calibri"/>
                <w:color w:val="auto"/>
                <w:sz w:val="22"/>
                <w:szCs w:val="22"/>
                <w:highlight w:val="none"/>
              </w:rPr>
              <w:t>;</w:t>
            </w:r>
            <w:r>
              <w:rPr>
                <w:rFonts w:hint="eastAsia" w:ascii="宋体" w:hAnsi="宋体" w:eastAsia="宋体" w:cs="Calibri"/>
                <w:color w:val="auto"/>
                <w:sz w:val="22"/>
                <w:szCs w:val="22"/>
                <w:highlight w:val="none"/>
              </w:rPr>
              <w:t>支持对知识信息进行响应的增、删、改、查操作。</w:t>
            </w:r>
          </w:p>
        </w:tc>
      </w:tr>
      <w:tr>
        <w:tblPrEx>
          <w:tblCellMar>
            <w:top w:w="0" w:type="dxa"/>
            <w:left w:w="108" w:type="dxa"/>
            <w:bottom w:w="0" w:type="dxa"/>
            <w:right w:w="108" w:type="dxa"/>
          </w:tblCellMar>
        </w:tblPrEx>
        <w:trPr>
          <w:trHeight w:val="610" w:hRule="atLeast"/>
        </w:trPr>
        <w:tc>
          <w:tcPr>
            <w:tcW w:w="1480" w:type="dxa"/>
            <w:vMerge w:val="restart"/>
            <w:tcBorders>
              <w:top w:val="nil"/>
              <w:left w:val="single" w:color="auto" w:sz="8" w:space="0"/>
              <w:bottom w:val="single" w:color="000000" w:sz="8" w:space="0"/>
              <w:right w:val="single" w:color="auto" w:sz="8"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系统设置</w:t>
            </w:r>
          </w:p>
        </w:tc>
        <w:tc>
          <w:tcPr>
            <w:tcW w:w="2080" w:type="dxa"/>
            <w:vMerge w:val="restart"/>
            <w:tcBorders>
              <w:top w:val="nil"/>
              <w:left w:val="single" w:color="auto" w:sz="8" w:space="0"/>
              <w:bottom w:val="single" w:color="000000"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系统配置</w:t>
            </w: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支持系统时间设置、</w:t>
            </w:r>
            <w:r>
              <w:rPr>
                <w:rFonts w:ascii="Calibri" w:hAnsi="Calibri" w:eastAsia="等线" w:cs="Calibri"/>
                <w:color w:val="auto"/>
                <w:sz w:val="22"/>
                <w:szCs w:val="22"/>
                <w:highlight w:val="none"/>
              </w:rPr>
              <w:t>NTP</w:t>
            </w:r>
            <w:r>
              <w:rPr>
                <w:rFonts w:hint="eastAsia" w:ascii="宋体" w:hAnsi="宋体" w:eastAsia="宋体" w:cs="Calibri"/>
                <w:color w:val="auto"/>
                <w:sz w:val="22"/>
                <w:szCs w:val="22"/>
                <w:highlight w:val="none"/>
              </w:rPr>
              <w:t>客户端设置，</w:t>
            </w:r>
            <w:r>
              <w:rPr>
                <w:rFonts w:ascii="Calibri" w:hAnsi="Calibri" w:eastAsia="等线" w:cs="Calibri"/>
                <w:color w:val="auto"/>
                <w:sz w:val="22"/>
                <w:szCs w:val="22"/>
                <w:highlight w:val="none"/>
              </w:rPr>
              <w:t>NTP</w:t>
            </w:r>
            <w:r>
              <w:rPr>
                <w:rFonts w:hint="eastAsia" w:ascii="宋体" w:hAnsi="宋体" w:eastAsia="宋体" w:cs="Calibri"/>
                <w:color w:val="auto"/>
                <w:sz w:val="22"/>
                <w:szCs w:val="22"/>
                <w:highlight w:val="none"/>
              </w:rPr>
              <w:t>服务器设置。</w:t>
            </w:r>
          </w:p>
        </w:tc>
      </w:tr>
      <w:tr>
        <w:tblPrEx>
          <w:tblCellMar>
            <w:top w:w="0" w:type="dxa"/>
            <w:left w:w="108" w:type="dxa"/>
            <w:bottom w:w="0" w:type="dxa"/>
            <w:right w:w="108" w:type="dxa"/>
          </w:tblCellMar>
        </w:tblPrEx>
        <w:trPr>
          <w:trHeight w:val="87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支持推送管理。</w:t>
            </w:r>
          </w:p>
        </w:tc>
      </w:tr>
      <w:tr>
        <w:tblPrEx>
          <w:tblCellMar>
            <w:top w:w="0" w:type="dxa"/>
            <w:left w:w="108" w:type="dxa"/>
            <w:bottom w:w="0" w:type="dxa"/>
            <w:right w:w="108" w:type="dxa"/>
          </w:tblCellMar>
        </w:tblPrEx>
        <w:trPr>
          <w:trHeight w:val="115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支持数据存储报警阀值配置，支持达到阀值后数据处置选择，包括删除旧数据、停止入库、停止收集等（提供产品截图并加盖厂商公章）</w:t>
            </w:r>
          </w:p>
        </w:tc>
      </w:tr>
      <w:tr>
        <w:trPr>
          <w:trHeight w:val="91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restart"/>
            <w:tcBorders>
              <w:top w:val="nil"/>
              <w:left w:val="single" w:color="auto" w:sz="8" w:space="0"/>
              <w:bottom w:val="single" w:color="000000"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系统维护</w:t>
            </w: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支持设置日志定时备份任务，运行日志导出，包括</w:t>
            </w:r>
            <w:r>
              <w:rPr>
                <w:rFonts w:ascii="Calibri" w:hAnsi="Calibri" w:eastAsia="等线" w:cs="Calibri"/>
                <w:color w:val="auto"/>
                <w:sz w:val="22"/>
                <w:szCs w:val="22"/>
                <w:highlight w:val="none"/>
              </w:rPr>
              <w:t>postgresql</w:t>
            </w:r>
            <w:r>
              <w:rPr>
                <w:rFonts w:hint="eastAsia" w:ascii="宋体" w:hAnsi="宋体" w:eastAsia="宋体" w:cs="Calibri"/>
                <w:color w:val="auto"/>
                <w:sz w:val="22"/>
                <w:szCs w:val="22"/>
                <w:highlight w:val="none"/>
              </w:rPr>
              <w:t>配置存储服务、</w:t>
            </w:r>
            <w:r>
              <w:rPr>
                <w:rFonts w:ascii="Calibri" w:hAnsi="Calibri" w:eastAsia="等线" w:cs="Calibri"/>
                <w:color w:val="auto"/>
                <w:sz w:val="22"/>
                <w:szCs w:val="22"/>
                <w:highlight w:val="none"/>
              </w:rPr>
              <w:t>redis</w:t>
            </w:r>
            <w:r>
              <w:rPr>
                <w:rFonts w:hint="eastAsia" w:ascii="宋体" w:hAnsi="宋体" w:eastAsia="宋体" w:cs="Calibri"/>
                <w:color w:val="auto"/>
                <w:sz w:val="22"/>
                <w:szCs w:val="22"/>
                <w:highlight w:val="none"/>
              </w:rPr>
              <w:t>内存计算服务、</w:t>
            </w:r>
            <w:r>
              <w:rPr>
                <w:rFonts w:ascii="Calibri" w:hAnsi="Calibri" w:eastAsia="等线" w:cs="Calibri"/>
                <w:color w:val="auto"/>
                <w:sz w:val="22"/>
                <w:szCs w:val="22"/>
                <w:highlight w:val="none"/>
              </w:rPr>
              <w:t>es</w:t>
            </w:r>
            <w:r>
              <w:rPr>
                <w:rFonts w:hint="eastAsia" w:ascii="宋体" w:hAnsi="宋体" w:eastAsia="宋体" w:cs="Calibri"/>
                <w:color w:val="auto"/>
                <w:sz w:val="22"/>
                <w:szCs w:val="22"/>
                <w:highlight w:val="none"/>
              </w:rPr>
              <w:t>数据存储服务等。</w:t>
            </w:r>
          </w:p>
        </w:tc>
      </w:tr>
      <w:tr>
        <w:tblPrEx>
          <w:tblCellMar>
            <w:top w:w="0" w:type="dxa"/>
            <w:left w:w="108" w:type="dxa"/>
            <w:bottom w:w="0" w:type="dxa"/>
            <w:right w:w="108" w:type="dxa"/>
          </w:tblCellMar>
        </w:tblPrEx>
        <w:trPr>
          <w:trHeight w:val="117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w:t>
            </w:r>
            <w:r>
              <w:rPr>
                <w:rFonts w:ascii="Calibri" w:hAnsi="Calibri" w:eastAsia="等线" w:cs="Calibri"/>
                <w:color w:val="auto"/>
                <w:sz w:val="22"/>
                <w:szCs w:val="22"/>
                <w:highlight w:val="none"/>
              </w:rPr>
              <w:t>WEB</w:t>
            </w:r>
            <w:r>
              <w:rPr>
                <w:rFonts w:hint="eastAsia" w:ascii="宋体" w:hAnsi="宋体" w:eastAsia="宋体" w:cs="Calibri"/>
                <w:color w:val="auto"/>
                <w:sz w:val="22"/>
                <w:szCs w:val="22"/>
                <w:highlight w:val="none"/>
              </w:rPr>
              <w:t>页面升级补丁，包括补丁导入、应用、还原、下载、删除、查看等操作，支持</w:t>
            </w:r>
            <w:r>
              <w:rPr>
                <w:rFonts w:ascii="Calibri" w:hAnsi="Calibri" w:eastAsia="等线" w:cs="Calibri"/>
                <w:color w:val="auto"/>
                <w:sz w:val="22"/>
                <w:szCs w:val="22"/>
                <w:highlight w:val="none"/>
              </w:rPr>
              <w:t>WEB</w:t>
            </w:r>
            <w:r>
              <w:rPr>
                <w:rFonts w:hint="eastAsia" w:ascii="宋体" w:hAnsi="宋体" w:eastAsia="宋体" w:cs="Calibri"/>
                <w:color w:val="auto"/>
                <w:sz w:val="22"/>
                <w:szCs w:val="22"/>
                <w:highlight w:val="none"/>
              </w:rPr>
              <w:t>页面重启系统</w:t>
            </w:r>
            <w:r>
              <w:rPr>
                <w:rFonts w:ascii="Calibri" w:hAnsi="Calibri" w:eastAsia="等线" w:cs="Calibri"/>
                <w:color w:val="auto"/>
                <w:sz w:val="22"/>
                <w:szCs w:val="22"/>
                <w:highlight w:val="none"/>
              </w:rPr>
              <w:t xml:space="preserve"> </w:t>
            </w:r>
            <w:r>
              <w:rPr>
                <w:rFonts w:hint="eastAsia" w:ascii="Calibri" w:hAnsi="Calibri" w:eastAsia="等线" w:cs="Calibri"/>
                <w:color w:val="auto"/>
                <w:sz w:val="22"/>
                <w:szCs w:val="22"/>
                <w:highlight w:val="none"/>
              </w:rPr>
              <w:t>。</w:t>
            </w:r>
          </w:p>
        </w:tc>
      </w:tr>
      <w:tr>
        <w:tblPrEx>
          <w:tblCellMar>
            <w:top w:w="0" w:type="dxa"/>
            <w:left w:w="108" w:type="dxa"/>
            <w:bottom w:w="0" w:type="dxa"/>
            <w:right w:w="108" w:type="dxa"/>
          </w:tblCellMar>
        </w:tblPrEx>
        <w:trPr>
          <w:trHeight w:val="590" w:hRule="atLeast"/>
        </w:trPr>
        <w:tc>
          <w:tcPr>
            <w:tcW w:w="1480" w:type="dxa"/>
            <w:vMerge w:val="continue"/>
            <w:tcBorders>
              <w:top w:val="nil"/>
              <w:left w:val="single" w:color="auto" w:sz="8" w:space="0"/>
              <w:bottom w:val="single" w:color="000000" w:sz="8" w:space="0"/>
              <w:right w:val="single" w:color="auto" w:sz="8" w:space="0"/>
            </w:tcBorders>
            <w:vAlign w:val="center"/>
          </w:tcPr>
          <w:p>
            <w:pPr>
              <w:rPr>
                <w:rFonts w:ascii="宋体" w:hAnsi="宋体" w:eastAsia="宋体" w:cs="宋体"/>
                <w:color w:val="auto"/>
                <w:sz w:val="22"/>
                <w:szCs w:val="22"/>
                <w:highlight w:val="none"/>
              </w:rPr>
            </w:pPr>
          </w:p>
        </w:tc>
        <w:tc>
          <w:tcPr>
            <w:tcW w:w="2080" w:type="dxa"/>
            <w:tcBorders>
              <w:top w:val="nil"/>
              <w:left w:val="nil"/>
              <w:bottom w:val="single" w:color="auto" w:sz="8" w:space="0"/>
              <w:right w:val="single" w:color="auto" w:sz="8"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系统设置</w:t>
            </w:r>
          </w:p>
        </w:tc>
        <w:tc>
          <w:tcPr>
            <w:tcW w:w="4560" w:type="dxa"/>
            <w:tcBorders>
              <w:top w:val="nil"/>
              <w:left w:val="nil"/>
              <w:bottom w:val="single" w:color="auto" w:sz="8" w:space="0"/>
              <w:right w:val="single" w:color="auto" w:sz="8" w:space="0"/>
            </w:tcBorders>
            <w:shd w:val="clear" w:color="auto" w:fill="auto"/>
            <w:vAlign w:val="center"/>
          </w:tcPr>
          <w:p>
            <w:pPr>
              <w:rPr>
                <w:rFonts w:ascii="Calibri" w:hAnsi="Calibri" w:eastAsia="等线" w:cs="Calibri"/>
                <w:color w:val="auto"/>
                <w:sz w:val="22"/>
                <w:szCs w:val="22"/>
                <w:highlight w:val="none"/>
              </w:rPr>
            </w:pPr>
            <w:r>
              <w:rPr>
                <w:rFonts w:hint="eastAsia" w:ascii="宋体" w:hAnsi="宋体" w:eastAsia="宋体" w:cs="Calibri"/>
                <w:color w:val="auto"/>
                <w:sz w:val="22"/>
                <w:szCs w:val="22"/>
                <w:highlight w:val="none"/>
              </w:rPr>
              <w:t>支持用户三权分立。</w:t>
            </w:r>
          </w:p>
        </w:tc>
      </w:tr>
    </w:tbl>
    <w:p>
      <w:pPr>
        <w:pStyle w:val="7"/>
        <w:rPr>
          <w:color w:val="auto"/>
          <w:highlight w:val="none"/>
        </w:rPr>
      </w:pPr>
      <w:r>
        <w:rPr>
          <w:rFonts w:hint="eastAsia"/>
          <w:color w:val="auto"/>
          <w:highlight w:val="none"/>
        </w:rPr>
        <w:t>安防智能集成</w:t>
      </w:r>
    </w:p>
    <w:p>
      <w:pPr>
        <w:pStyle w:val="3"/>
        <w:ind w:firstLine="480"/>
        <w:rPr>
          <w:color w:val="auto"/>
          <w:highlight w:val="none"/>
        </w:rPr>
      </w:pPr>
      <w:r>
        <w:rPr>
          <w:rFonts w:hint="eastAsia"/>
          <w:color w:val="auto"/>
          <w:highlight w:val="none"/>
        </w:rPr>
        <w:t>招标人须提供安防智能集成系统，以下产品功能要求中，带“▲”的为重要指标，需提供截图或相关文件证明。投标的产品或模块应满足以下功能要求：</w:t>
      </w:r>
    </w:p>
    <w:p>
      <w:pPr>
        <w:pStyle w:val="3"/>
        <w:ind w:firstLine="480"/>
        <w:rPr>
          <w:color w:val="auto"/>
          <w:highlight w:val="none"/>
        </w:rPr>
      </w:pPr>
      <w:r>
        <w:rPr>
          <w:rFonts w:hint="eastAsia"/>
          <w:color w:val="auto"/>
          <w:highlight w:val="none"/>
        </w:rPr>
        <w:t>投标产品各功能模块涉及的产品需为同一品牌，需提供软件产品著作权或者原厂授权函。</w:t>
      </w:r>
    </w:p>
    <w:p>
      <w:pPr>
        <w:pStyle w:val="3"/>
        <w:ind w:firstLine="480"/>
        <w:rPr>
          <w:color w:val="auto"/>
          <w:highlight w:val="none"/>
        </w:rPr>
      </w:pPr>
      <w:r>
        <w:rPr>
          <w:rFonts w:hint="eastAsia"/>
          <w:color w:val="auto"/>
          <w:highlight w:val="none"/>
        </w:rPr>
        <w:t>此外安防智能集成系统应具备以下功能：</w:t>
      </w:r>
    </w:p>
    <w:tbl>
      <w:tblPr>
        <w:tblStyle w:val="36"/>
        <w:tblW w:w="84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2"/>
        <w:gridCol w:w="1220"/>
        <w:gridCol w:w="65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6" w:hRule="atLeast"/>
          <w:jc w:val="center"/>
        </w:trPr>
        <w:tc>
          <w:tcPr>
            <w:tcW w:w="702" w:type="dxa"/>
            <w:tcBorders>
              <w:top w:val="single" w:color="auto" w:sz="4" w:space="0"/>
              <w:left w:val="single" w:color="auto" w:sz="4" w:space="0"/>
              <w:bottom w:val="single" w:color="auto" w:sz="4" w:space="0"/>
              <w:right w:val="single" w:color="auto" w:sz="4" w:space="0"/>
            </w:tcBorders>
            <w:shd w:val="clear" w:color="auto" w:fill="auto"/>
          </w:tcPr>
          <w:p>
            <w:pPr>
              <w:pStyle w:val="13"/>
              <w:ind w:firstLine="0" w:firstLineChars="0"/>
              <w:rPr>
                <w:rFonts w:cs="仿宋" w:asciiTheme="majorEastAsia" w:hAnsiTheme="majorEastAsia" w:eastAsiaTheme="majorEastAsia"/>
                <w:b/>
                <w:color w:val="auto"/>
                <w:sz w:val="21"/>
                <w:highlight w:val="none"/>
              </w:rPr>
            </w:pPr>
            <w:r>
              <w:rPr>
                <w:rFonts w:hint="eastAsia" w:cs="仿宋" w:asciiTheme="majorEastAsia" w:hAnsiTheme="majorEastAsia" w:eastAsiaTheme="majorEastAsia"/>
                <w:b/>
                <w:color w:val="auto"/>
                <w:sz w:val="21"/>
                <w:highlight w:val="none"/>
              </w:rPr>
              <w:t>序号</w:t>
            </w:r>
          </w:p>
        </w:tc>
        <w:tc>
          <w:tcPr>
            <w:tcW w:w="1220" w:type="dxa"/>
            <w:tcBorders>
              <w:top w:val="single" w:color="auto" w:sz="4" w:space="0"/>
              <w:left w:val="single" w:color="auto" w:sz="4" w:space="0"/>
              <w:bottom w:val="single" w:color="auto" w:sz="4" w:space="0"/>
              <w:right w:val="single" w:color="auto" w:sz="4" w:space="0"/>
            </w:tcBorders>
            <w:shd w:val="clear" w:color="auto" w:fill="auto"/>
          </w:tcPr>
          <w:p>
            <w:pPr>
              <w:pStyle w:val="13"/>
              <w:ind w:firstLine="0" w:firstLineChars="0"/>
              <w:rPr>
                <w:rFonts w:cs="仿宋" w:asciiTheme="majorEastAsia" w:hAnsiTheme="majorEastAsia" w:eastAsiaTheme="majorEastAsia"/>
                <w:b/>
                <w:color w:val="auto"/>
                <w:sz w:val="21"/>
                <w:highlight w:val="none"/>
              </w:rPr>
            </w:pPr>
            <w:r>
              <w:rPr>
                <w:rFonts w:hint="eastAsia" w:cs="仿宋" w:asciiTheme="majorEastAsia" w:hAnsiTheme="majorEastAsia" w:eastAsiaTheme="majorEastAsia"/>
                <w:b/>
                <w:color w:val="auto"/>
                <w:sz w:val="21"/>
                <w:highlight w:val="none"/>
              </w:rPr>
              <w:t>功能名称</w:t>
            </w:r>
          </w:p>
        </w:tc>
        <w:tc>
          <w:tcPr>
            <w:tcW w:w="6534" w:type="dxa"/>
            <w:tcBorders>
              <w:top w:val="single" w:color="auto" w:sz="4" w:space="0"/>
              <w:left w:val="single" w:color="auto" w:sz="4" w:space="0"/>
              <w:bottom w:val="single" w:color="auto" w:sz="4" w:space="0"/>
              <w:right w:val="single" w:color="auto" w:sz="4" w:space="0"/>
            </w:tcBorders>
            <w:shd w:val="clear" w:color="auto" w:fill="auto"/>
          </w:tcPr>
          <w:p>
            <w:pPr>
              <w:pStyle w:val="13"/>
              <w:ind w:firstLine="0" w:firstLineChars="0"/>
              <w:jc w:val="center"/>
              <w:rPr>
                <w:rFonts w:cs="仿宋" w:asciiTheme="majorEastAsia" w:hAnsiTheme="majorEastAsia" w:eastAsiaTheme="majorEastAsia"/>
                <w:b/>
                <w:color w:val="auto"/>
                <w:sz w:val="21"/>
                <w:highlight w:val="none"/>
              </w:rPr>
            </w:pPr>
            <w:r>
              <w:rPr>
                <w:rFonts w:hint="eastAsia" w:cs="仿宋" w:asciiTheme="majorEastAsia" w:hAnsiTheme="majorEastAsia" w:eastAsiaTheme="majorEastAsia"/>
                <w:b/>
                <w:color w:val="auto"/>
                <w:sz w:val="21"/>
                <w:highlight w:val="none"/>
              </w:rPr>
              <w:t>功能描述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tcBorders>
              <w:top w:val="single" w:color="auto" w:sz="4" w:space="0"/>
              <w:left w:val="single" w:color="auto" w:sz="4" w:space="0"/>
              <w:right w:val="single" w:color="auto" w:sz="4" w:space="0"/>
            </w:tcBorders>
            <w:shd w:val="clear" w:color="auto" w:fill="auto"/>
            <w:vAlign w:val="center"/>
          </w:tcPr>
          <w:p>
            <w:pPr>
              <w:jc w:val="center"/>
              <w:rPr>
                <w:rFonts w:cs="仿宋" w:asciiTheme="majorEastAsia" w:hAnsiTheme="majorEastAsia" w:eastAsiaTheme="majorEastAsia"/>
                <w:color w:val="auto"/>
                <w:szCs w:val="21"/>
                <w:highlight w:val="none"/>
              </w:rPr>
            </w:pPr>
            <w:r>
              <w:rPr>
                <w:rFonts w:hint="eastAsia" w:cs="仿宋" w:asciiTheme="majorEastAsia" w:hAnsiTheme="majorEastAsia" w:eastAsiaTheme="majorEastAsia"/>
                <w:color w:val="auto"/>
                <w:sz w:val="21"/>
                <w:szCs w:val="21"/>
                <w:highlight w:val="none"/>
              </w:rPr>
              <w:t>1</w:t>
            </w:r>
          </w:p>
        </w:tc>
        <w:tc>
          <w:tcPr>
            <w:tcW w:w="1220" w:type="dxa"/>
            <w:vMerge w:val="restart"/>
            <w:tcBorders>
              <w:top w:val="single" w:color="auto" w:sz="4" w:space="0"/>
              <w:left w:val="single" w:color="auto" w:sz="4" w:space="0"/>
              <w:right w:val="single" w:color="auto" w:sz="4" w:space="0"/>
            </w:tcBorders>
            <w:shd w:val="clear" w:color="auto" w:fill="auto"/>
            <w:vAlign w:val="center"/>
          </w:tcPr>
          <w:p>
            <w:pPr>
              <w:rPr>
                <w:rFonts w:cs="仿宋" w:asciiTheme="majorEastAsia" w:hAnsiTheme="majorEastAsia" w:eastAsiaTheme="majorEastAsia"/>
                <w:color w:val="auto"/>
                <w:szCs w:val="21"/>
                <w:highlight w:val="none"/>
              </w:rPr>
            </w:pPr>
            <w:r>
              <w:rPr>
                <w:rFonts w:hint="eastAsia" w:cs="仿宋" w:asciiTheme="majorEastAsia" w:hAnsiTheme="majorEastAsia" w:eastAsiaTheme="majorEastAsia"/>
                <w:color w:val="auto"/>
                <w:sz w:val="21"/>
                <w:szCs w:val="21"/>
                <w:highlight w:val="none"/>
              </w:rPr>
              <w:t>统一设备资产管理</w:t>
            </w:r>
          </w:p>
        </w:tc>
        <w:tc>
          <w:tcPr>
            <w:tcW w:w="6534"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cs="仿宋" w:asciiTheme="majorEastAsia" w:hAnsiTheme="majorEastAsia" w:eastAsiaTheme="majorEastAsia"/>
                <w:color w:val="auto"/>
                <w:szCs w:val="21"/>
                <w:highlight w:val="none"/>
              </w:rPr>
            </w:pPr>
            <w:r>
              <w:rPr>
                <w:rFonts w:hint="eastAsia" w:cs="仿宋" w:asciiTheme="majorEastAsia" w:hAnsiTheme="majorEastAsia" w:eastAsiaTheme="majorEastAsia"/>
                <w:color w:val="auto"/>
                <w:sz w:val="21"/>
                <w:szCs w:val="21"/>
                <w:highlight w:val="none"/>
              </w:rPr>
              <w:t>设备导入管理。支持批量导入设备基本信息，并指定组件类库。支持JAR文件上传设备组件信息。组件信息包括组件类型、ID、名称、描述、更新时间等，提供删除设备组件功能。支持组件类型库树状图列表查询。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tcBorders>
              <w:left w:val="single" w:color="auto" w:sz="4" w:space="0"/>
              <w:right w:val="single" w:color="auto" w:sz="4" w:space="0"/>
            </w:tcBorders>
            <w:shd w:val="clear" w:color="auto" w:fill="auto"/>
            <w:vAlign w:val="center"/>
          </w:tcPr>
          <w:p>
            <w:pPr>
              <w:jc w:val="center"/>
              <w:rPr>
                <w:rFonts w:cs="仿宋" w:asciiTheme="majorEastAsia" w:hAnsiTheme="majorEastAsia" w:eastAsiaTheme="majorEastAsia"/>
                <w:color w:val="auto"/>
                <w:szCs w:val="21"/>
                <w:highlight w:val="none"/>
              </w:rPr>
            </w:pPr>
            <w:r>
              <w:rPr>
                <w:rFonts w:hint="eastAsia" w:cs="仿宋" w:asciiTheme="majorEastAsia" w:hAnsiTheme="majorEastAsia" w:eastAsiaTheme="majorEastAsia"/>
                <w:color w:val="auto"/>
                <w:sz w:val="21"/>
                <w:szCs w:val="21"/>
                <w:highlight w:val="none"/>
              </w:rPr>
              <w:t>2</w:t>
            </w:r>
          </w:p>
        </w:tc>
        <w:tc>
          <w:tcPr>
            <w:tcW w:w="1220" w:type="dxa"/>
            <w:vMerge w:val="continue"/>
            <w:tcBorders>
              <w:left w:val="single" w:color="auto" w:sz="4" w:space="0"/>
              <w:right w:val="single" w:color="auto" w:sz="4" w:space="0"/>
            </w:tcBorders>
            <w:shd w:val="clear" w:color="auto" w:fill="auto"/>
            <w:vAlign w:val="center"/>
          </w:tcPr>
          <w:p>
            <w:pPr>
              <w:rPr>
                <w:rFonts w:cs="仿宋" w:asciiTheme="majorEastAsia" w:hAnsiTheme="majorEastAsia" w:eastAsiaTheme="majorEastAsia"/>
                <w:color w:val="auto"/>
                <w:szCs w:val="21"/>
                <w:highlight w:val="none"/>
              </w:rPr>
            </w:pPr>
          </w:p>
        </w:tc>
        <w:tc>
          <w:tcPr>
            <w:tcW w:w="6534"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cs="仿宋" w:asciiTheme="majorEastAsia" w:hAnsiTheme="majorEastAsia" w:eastAsiaTheme="majorEastAsia"/>
                <w:color w:val="auto"/>
                <w:szCs w:val="21"/>
                <w:highlight w:val="none"/>
              </w:rPr>
            </w:pPr>
            <w:r>
              <w:rPr>
                <w:rFonts w:hint="eastAsia" w:cs="仿宋" w:asciiTheme="majorEastAsia" w:hAnsiTheme="majorEastAsia" w:eastAsiaTheme="majorEastAsia"/>
                <w:color w:val="auto"/>
                <w:sz w:val="21"/>
                <w:szCs w:val="21"/>
                <w:highlight w:val="none"/>
              </w:rPr>
              <w:t>设备接入执行列表管理。支持yml、.xls、.xlsx、csv配置文件格式上传功能。支持监测点配置功能。支持对实例的状态进行查询或控制，支持新增和删除功能。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tcBorders>
              <w:left w:val="single" w:color="auto" w:sz="4" w:space="0"/>
              <w:bottom w:val="single" w:color="auto" w:sz="4" w:space="0"/>
              <w:right w:val="single" w:color="auto" w:sz="4" w:space="0"/>
            </w:tcBorders>
            <w:shd w:val="clear" w:color="auto" w:fill="auto"/>
            <w:vAlign w:val="center"/>
          </w:tcPr>
          <w:p>
            <w:pPr>
              <w:jc w:val="center"/>
              <w:rPr>
                <w:rFonts w:cs="仿宋" w:asciiTheme="majorEastAsia" w:hAnsiTheme="majorEastAsia" w:eastAsiaTheme="majorEastAsia"/>
                <w:color w:val="auto"/>
                <w:szCs w:val="21"/>
                <w:highlight w:val="none"/>
              </w:rPr>
            </w:pPr>
            <w:r>
              <w:rPr>
                <w:rFonts w:hint="eastAsia" w:cs="仿宋" w:asciiTheme="majorEastAsia" w:hAnsiTheme="majorEastAsia" w:eastAsiaTheme="majorEastAsia"/>
                <w:color w:val="auto"/>
                <w:sz w:val="21"/>
                <w:szCs w:val="21"/>
                <w:highlight w:val="none"/>
              </w:rPr>
              <w:t>3</w:t>
            </w:r>
          </w:p>
        </w:tc>
        <w:tc>
          <w:tcPr>
            <w:tcW w:w="1220" w:type="dxa"/>
            <w:vMerge w:val="continue"/>
            <w:tcBorders>
              <w:left w:val="single" w:color="auto" w:sz="4" w:space="0"/>
              <w:bottom w:val="single" w:color="auto" w:sz="4" w:space="0"/>
              <w:right w:val="single" w:color="auto" w:sz="4" w:space="0"/>
            </w:tcBorders>
            <w:shd w:val="clear" w:color="auto" w:fill="auto"/>
            <w:vAlign w:val="center"/>
          </w:tcPr>
          <w:p>
            <w:pPr>
              <w:rPr>
                <w:rFonts w:cs="仿宋" w:asciiTheme="majorEastAsia" w:hAnsiTheme="majorEastAsia" w:eastAsiaTheme="majorEastAsia"/>
                <w:color w:val="auto"/>
                <w:szCs w:val="21"/>
                <w:highlight w:val="none"/>
              </w:rPr>
            </w:pPr>
          </w:p>
        </w:tc>
        <w:tc>
          <w:tcPr>
            <w:tcW w:w="6534"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cs="仿宋" w:asciiTheme="majorEastAsia" w:hAnsiTheme="majorEastAsia" w:eastAsiaTheme="majorEastAsia"/>
                <w:color w:val="auto"/>
                <w:szCs w:val="21"/>
                <w:highlight w:val="none"/>
              </w:rPr>
            </w:pPr>
            <w:r>
              <w:rPr>
                <w:rFonts w:hint="eastAsia" w:cs="仿宋" w:asciiTheme="majorEastAsia" w:hAnsiTheme="majorEastAsia" w:eastAsiaTheme="majorEastAsia"/>
                <w:color w:val="auto"/>
                <w:sz w:val="21"/>
                <w:szCs w:val="21"/>
                <w:highlight w:val="none"/>
                <w:shd w:val="clear" w:color="auto" w:fill="FFFFFF"/>
              </w:rPr>
              <w:t>▲</w:t>
            </w:r>
            <w:r>
              <w:rPr>
                <w:rFonts w:cs="仿宋" w:asciiTheme="majorEastAsia" w:hAnsiTheme="majorEastAsia" w:eastAsiaTheme="majorEastAsia"/>
                <w:color w:val="auto"/>
                <w:sz w:val="21"/>
                <w:szCs w:val="21"/>
                <w:highlight w:val="none"/>
                <w:shd w:val="clear" w:color="auto" w:fill="FFFFFF"/>
              </w:rPr>
              <w:t>2</w:t>
            </w:r>
            <w:r>
              <w:rPr>
                <w:rFonts w:hint="eastAsia" w:cs="仿宋" w:asciiTheme="majorEastAsia" w:hAnsiTheme="majorEastAsia" w:eastAsiaTheme="majorEastAsia"/>
                <w:color w:val="auto"/>
                <w:sz w:val="21"/>
                <w:szCs w:val="21"/>
                <w:highlight w:val="none"/>
                <w:shd w:val="clear" w:color="auto" w:fill="FFFFFF"/>
              </w:rPr>
              <w:t>5</w:t>
            </w:r>
            <w:r>
              <w:rPr>
                <w:rFonts w:hint="eastAsia" w:cs="仿宋" w:asciiTheme="majorEastAsia" w:hAnsiTheme="majorEastAsia" w:eastAsiaTheme="majorEastAsia"/>
                <w:color w:val="auto"/>
                <w:sz w:val="21"/>
                <w:szCs w:val="21"/>
                <w:highlight w:val="none"/>
              </w:rPr>
              <w:t>将全域的设备纳入到物理网接入平台进行统一资产管理。支持对接入设备的种类、业务协议等规范化的分类和分组。能够查看和修改设备业务属性和列表。支持设备直连，通过LORA、NB、以太网等无线、有线链路，通过TCP、UDP、MQTT等通信协议直连。需提供截图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tcBorders>
              <w:top w:val="single" w:color="auto" w:sz="4" w:space="0"/>
              <w:left w:val="single" w:color="auto" w:sz="4" w:space="0"/>
              <w:right w:val="single" w:color="auto" w:sz="4" w:space="0"/>
            </w:tcBorders>
            <w:shd w:val="clear" w:color="auto" w:fill="auto"/>
            <w:vAlign w:val="center"/>
          </w:tcPr>
          <w:p>
            <w:pPr>
              <w:jc w:val="center"/>
              <w:rPr>
                <w:rFonts w:cs="仿宋" w:asciiTheme="majorEastAsia" w:hAnsiTheme="majorEastAsia" w:eastAsiaTheme="majorEastAsia"/>
                <w:color w:val="auto"/>
                <w:szCs w:val="21"/>
                <w:highlight w:val="none"/>
              </w:rPr>
            </w:pPr>
            <w:r>
              <w:rPr>
                <w:rFonts w:hint="eastAsia" w:cs="仿宋" w:asciiTheme="majorEastAsia" w:hAnsiTheme="majorEastAsia" w:eastAsiaTheme="majorEastAsia"/>
                <w:color w:val="auto"/>
                <w:sz w:val="21"/>
                <w:szCs w:val="21"/>
                <w:highlight w:val="none"/>
              </w:rPr>
              <w:t>4</w:t>
            </w:r>
          </w:p>
        </w:tc>
        <w:tc>
          <w:tcPr>
            <w:tcW w:w="1220" w:type="dxa"/>
            <w:vMerge w:val="restart"/>
            <w:tcBorders>
              <w:top w:val="single" w:color="auto" w:sz="4" w:space="0"/>
              <w:left w:val="single" w:color="auto" w:sz="4" w:space="0"/>
              <w:right w:val="single" w:color="auto" w:sz="4" w:space="0"/>
            </w:tcBorders>
            <w:shd w:val="clear" w:color="auto" w:fill="auto"/>
            <w:vAlign w:val="center"/>
          </w:tcPr>
          <w:p>
            <w:pPr>
              <w:rPr>
                <w:rFonts w:cs="仿宋" w:asciiTheme="majorEastAsia" w:hAnsiTheme="majorEastAsia" w:eastAsiaTheme="majorEastAsia"/>
                <w:color w:val="auto"/>
                <w:szCs w:val="21"/>
                <w:highlight w:val="none"/>
              </w:rPr>
            </w:pPr>
            <w:r>
              <w:rPr>
                <w:rFonts w:hint="eastAsia" w:cs="仿宋" w:asciiTheme="majorEastAsia" w:hAnsiTheme="majorEastAsia" w:eastAsiaTheme="majorEastAsia"/>
                <w:color w:val="auto"/>
                <w:sz w:val="21"/>
                <w:szCs w:val="21"/>
                <w:highlight w:val="none"/>
              </w:rPr>
              <w:t>设备管理</w:t>
            </w:r>
          </w:p>
        </w:tc>
        <w:tc>
          <w:tcPr>
            <w:tcW w:w="6534"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cs="仿宋" w:asciiTheme="majorEastAsia" w:hAnsiTheme="majorEastAsia" w:eastAsiaTheme="majorEastAsia"/>
                <w:color w:val="auto"/>
                <w:szCs w:val="21"/>
                <w:highlight w:val="none"/>
              </w:rPr>
            </w:pPr>
            <w:r>
              <w:rPr>
                <w:rFonts w:hint="eastAsia" w:cs="仿宋" w:asciiTheme="majorEastAsia" w:hAnsiTheme="majorEastAsia" w:eastAsiaTheme="majorEastAsia"/>
                <w:color w:val="auto"/>
                <w:sz w:val="21"/>
                <w:szCs w:val="21"/>
                <w:highlight w:val="none"/>
              </w:rPr>
              <w:t>产品类别管理。对产品的类别名称、编码、节点类型、联网类型、设备厂商、产品图片、创建时间等信息进行管理，同时能够手动添加新产品。对新产品进行功能属性的定义，包括定义功能名称、标识符、数据类型、数据定义、布尔值、读写类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tcBorders>
              <w:left w:val="single" w:color="auto" w:sz="4" w:space="0"/>
              <w:right w:val="single" w:color="auto" w:sz="4" w:space="0"/>
            </w:tcBorders>
            <w:shd w:val="clear" w:color="auto" w:fill="auto"/>
            <w:vAlign w:val="center"/>
          </w:tcPr>
          <w:p>
            <w:pPr>
              <w:jc w:val="center"/>
              <w:rPr>
                <w:rFonts w:cs="仿宋" w:asciiTheme="majorEastAsia" w:hAnsiTheme="majorEastAsia" w:eastAsiaTheme="majorEastAsia"/>
                <w:color w:val="auto"/>
                <w:szCs w:val="21"/>
                <w:highlight w:val="none"/>
              </w:rPr>
            </w:pPr>
            <w:r>
              <w:rPr>
                <w:rFonts w:hint="eastAsia" w:cs="仿宋" w:asciiTheme="majorEastAsia" w:hAnsiTheme="majorEastAsia" w:eastAsiaTheme="majorEastAsia"/>
                <w:color w:val="auto"/>
                <w:sz w:val="21"/>
                <w:szCs w:val="21"/>
                <w:highlight w:val="none"/>
              </w:rPr>
              <w:t>5</w:t>
            </w:r>
          </w:p>
        </w:tc>
        <w:tc>
          <w:tcPr>
            <w:tcW w:w="1220" w:type="dxa"/>
            <w:vMerge w:val="continue"/>
            <w:tcBorders>
              <w:left w:val="single" w:color="auto" w:sz="4" w:space="0"/>
              <w:right w:val="single" w:color="auto" w:sz="4" w:space="0"/>
            </w:tcBorders>
            <w:shd w:val="clear" w:color="auto" w:fill="auto"/>
            <w:vAlign w:val="center"/>
          </w:tcPr>
          <w:p>
            <w:pPr>
              <w:rPr>
                <w:rFonts w:cs="仿宋" w:asciiTheme="majorEastAsia" w:hAnsiTheme="majorEastAsia" w:eastAsiaTheme="majorEastAsia"/>
                <w:color w:val="auto"/>
                <w:szCs w:val="21"/>
                <w:highlight w:val="none"/>
              </w:rPr>
            </w:pPr>
          </w:p>
        </w:tc>
        <w:tc>
          <w:tcPr>
            <w:tcW w:w="6534"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cs="仿宋" w:asciiTheme="majorEastAsia" w:hAnsiTheme="majorEastAsia" w:eastAsiaTheme="majorEastAsia"/>
                <w:color w:val="auto"/>
                <w:szCs w:val="21"/>
                <w:highlight w:val="none"/>
              </w:rPr>
            </w:pPr>
            <w:r>
              <w:rPr>
                <w:rFonts w:hint="eastAsia" w:cs="仿宋" w:asciiTheme="majorEastAsia" w:hAnsiTheme="majorEastAsia" w:eastAsiaTheme="majorEastAsia"/>
                <w:color w:val="auto"/>
                <w:sz w:val="21"/>
                <w:szCs w:val="21"/>
                <w:highlight w:val="none"/>
              </w:rPr>
              <w:t>设备列表管理。对设备总体的激活状态、在线状态、上线时间、产品类型等提供列表展示查询功能，支持关键字检索。支持设备添加、设备绑定、设备导入、设备的导出功能。支持设备详情的服务调用，实时读取设备参数、实时写入设备参数。支持最近1天或3天的事件管理和运行状态查询。支持设备的物模型数据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tcBorders>
              <w:left w:val="single" w:color="auto" w:sz="4" w:space="0"/>
              <w:right w:val="single" w:color="auto" w:sz="4" w:space="0"/>
            </w:tcBorders>
            <w:shd w:val="clear" w:color="auto" w:fill="auto"/>
            <w:vAlign w:val="center"/>
          </w:tcPr>
          <w:p>
            <w:pPr>
              <w:jc w:val="center"/>
              <w:rPr>
                <w:rFonts w:cs="仿宋" w:asciiTheme="majorEastAsia" w:hAnsiTheme="majorEastAsia" w:eastAsiaTheme="majorEastAsia"/>
                <w:color w:val="auto"/>
                <w:szCs w:val="21"/>
                <w:highlight w:val="none"/>
              </w:rPr>
            </w:pPr>
            <w:r>
              <w:rPr>
                <w:rFonts w:hint="eastAsia" w:cs="仿宋" w:asciiTheme="majorEastAsia" w:hAnsiTheme="majorEastAsia" w:eastAsiaTheme="majorEastAsia"/>
                <w:color w:val="auto"/>
                <w:sz w:val="21"/>
                <w:szCs w:val="21"/>
                <w:highlight w:val="none"/>
              </w:rPr>
              <w:t>6</w:t>
            </w:r>
          </w:p>
        </w:tc>
        <w:tc>
          <w:tcPr>
            <w:tcW w:w="1220" w:type="dxa"/>
            <w:vMerge w:val="continue"/>
            <w:tcBorders>
              <w:left w:val="single" w:color="auto" w:sz="4" w:space="0"/>
              <w:right w:val="single" w:color="auto" w:sz="4" w:space="0"/>
            </w:tcBorders>
            <w:shd w:val="clear" w:color="auto" w:fill="auto"/>
            <w:vAlign w:val="center"/>
          </w:tcPr>
          <w:p>
            <w:pPr>
              <w:rPr>
                <w:rFonts w:cs="仿宋" w:asciiTheme="majorEastAsia" w:hAnsiTheme="majorEastAsia" w:eastAsiaTheme="majorEastAsia"/>
                <w:color w:val="auto"/>
                <w:szCs w:val="21"/>
                <w:highlight w:val="none"/>
              </w:rPr>
            </w:pPr>
          </w:p>
        </w:tc>
        <w:tc>
          <w:tcPr>
            <w:tcW w:w="6534"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cs="仿宋" w:asciiTheme="majorEastAsia" w:hAnsiTheme="majorEastAsia" w:eastAsiaTheme="majorEastAsia"/>
                <w:color w:val="auto"/>
                <w:szCs w:val="21"/>
                <w:highlight w:val="none"/>
              </w:rPr>
            </w:pPr>
            <w:r>
              <w:rPr>
                <w:rFonts w:hint="eastAsia" w:cs="仿宋" w:asciiTheme="majorEastAsia" w:hAnsiTheme="majorEastAsia" w:eastAsiaTheme="majorEastAsia"/>
                <w:color w:val="auto"/>
                <w:sz w:val="21"/>
                <w:szCs w:val="21"/>
                <w:highlight w:val="none"/>
              </w:rPr>
              <w:t>支持设备分组配置。设置设备分组信息，包括添加设备分组、删除设备分组、查看分组、编辑分组、以及添加子分组。支持关键字检索，查询分组列表信息。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tcBorders>
              <w:left w:val="single" w:color="auto" w:sz="4" w:space="0"/>
              <w:bottom w:val="single" w:color="auto" w:sz="4" w:space="0"/>
              <w:right w:val="single" w:color="auto" w:sz="4" w:space="0"/>
            </w:tcBorders>
            <w:shd w:val="clear" w:color="auto" w:fill="auto"/>
            <w:vAlign w:val="center"/>
          </w:tcPr>
          <w:p>
            <w:pPr>
              <w:jc w:val="center"/>
              <w:rPr>
                <w:rFonts w:cs="仿宋" w:asciiTheme="majorEastAsia" w:hAnsiTheme="majorEastAsia" w:eastAsiaTheme="majorEastAsia"/>
                <w:color w:val="auto"/>
                <w:szCs w:val="21"/>
                <w:highlight w:val="none"/>
              </w:rPr>
            </w:pPr>
            <w:r>
              <w:rPr>
                <w:rFonts w:hint="eastAsia" w:cs="仿宋" w:asciiTheme="majorEastAsia" w:hAnsiTheme="majorEastAsia" w:eastAsiaTheme="majorEastAsia"/>
                <w:color w:val="auto"/>
                <w:sz w:val="21"/>
                <w:szCs w:val="21"/>
                <w:highlight w:val="none"/>
              </w:rPr>
              <w:t>7</w:t>
            </w:r>
          </w:p>
        </w:tc>
        <w:tc>
          <w:tcPr>
            <w:tcW w:w="1220" w:type="dxa"/>
            <w:vMerge w:val="continue"/>
            <w:tcBorders>
              <w:left w:val="single" w:color="auto" w:sz="4" w:space="0"/>
              <w:bottom w:val="single" w:color="auto" w:sz="4" w:space="0"/>
              <w:right w:val="single" w:color="auto" w:sz="4" w:space="0"/>
            </w:tcBorders>
            <w:shd w:val="clear" w:color="auto" w:fill="auto"/>
            <w:vAlign w:val="center"/>
          </w:tcPr>
          <w:p>
            <w:pPr>
              <w:rPr>
                <w:rFonts w:cs="仿宋" w:asciiTheme="majorEastAsia" w:hAnsiTheme="majorEastAsia" w:eastAsiaTheme="majorEastAsia"/>
                <w:color w:val="auto"/>
                <w:szCs w:val="21"/>
                <w:highlight w:val="none"/>
              </w:rPr>
            </w:pPr>
          </w:p>
        </w:tc>
        <w:tc>
          <w:tcPr>
            <w:tcW w:w="6534"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cs="仿宋" w:asciiTheme="majorEastAsia" w:hAnsiTheme="majorEastAsia" w:eastAsiaTheme="majorEastAsia"/>
                <w:color w:val="auto"/>
                <w:szCs w:val="21"/>
                <w:highlight w:val="none"/>
              </w:rPr>
            </w:pPr>
            <w:r>
              <w:rPr>
                <w:rFonts w:hint="eastAsia" w:cs="仿宋" w:asciiTheme="majorEastAsia" w:hAnsiTheme="majorEastAsia" w:eastAsiaTheme="majorEastAsia"/>
                <w:color w:val="auto"/>
                <w:sz w:val="21"/>
                <w:szCs w:val="21"/>
                <w:highlight w:val="none"/>
              </w:rPr>
              <w:t>设备标签功能。支持关键字检索设备标签，实现标签列表查询，支持各类标签的设备列表信息查询。支持对设备标签的增删改查功能。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cs="仿宋" w:asciiTheme="majorEastAsia" w:hAnsiTheme="majorEastAsia" w:eastAsiaTheme="majorEastAsia"/>
                <w:color w:val="auto"/>
                <w:szCs w:val="21"/>
                <w:highlight w:val="none"/>
              </w:rPr>
            </w:pPr>
            <w:r>
              <w:rPr>
                <w:rFonts w:hint="eastAsia" w:cs="仿宋" w:asciiTheme="majorEastAsia" w:hAnsiTheme="majorEastAsia" w:eastAsiaTheme="majorEastAsia"/>
                <w:color w:val="auto"/>
                <w:sz w:val="21"/>
                <w:szCs w:val="21"/>
                <w:highlight w:val="none"/>
              </w:rPr>
              <w:t>8</w:t>
            </w:r>
          </w:p>
        </w:tc>
        <w:tc>
          <w:tcPr>
            <w:tcW w:w="122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cs="仿宋" w:asciiTheme="majorEastAsia" w:hAnsiTheme="majorEastAsia" w:eastAsiaTheme="majorEastAsia"/>
                <w:color w:val="auto"/>
                <w:szCs w:val="21"/>
                <w:highlight w:val="none"/>
              </w:rPr>
            </w:pPr>
            <w:r>
              <w:rPr>
                <w:rFonts w:hint="eastAsia" w:cs="仿宋" w:asciiTheme="majorEastAsia" w:hAnsiTheme="majorEastAsia" w:eastAsiaTheme="majorEastAsia"/>
                <w:color w:val="auto"/>
                <w:sz w:val="21"/>
                <w:szCs w:val="21"/>
                <w:highlight w:val="none"/>
              </w:rPr>
              <w:t>设备GIS一张图</w:t>
            </w:r>
          </w:p>
          <w:p>
            <w:pPr>
              <w:rPr>
                <w:rFonts w:cs="仿宋" w:asciiTheme="majorEastAsia" w:hAnsiTheme="majorEastAsia" w:eastAsiaTheme="majorEastAsia"/>
                <w:color w:val="auto"/>
                <w:szCs w:val="21"/>
                <w:highlight w:val="none"/>
              </w:rPr>
            </w:pPr>
            <w:r>
              <w:rPr>
                <w:rFonts w:hint="eastAsia" w:cs="仿宋" w:asciiTheme="majorEastAsia" w:hAnsiTheme="majorEastAsia" w:eastAsiaTheme="majorEastAsia"/>
                <w:color w:val="auto"/>
                <w:sz w:val="21"/>
                <w:szCs w:val="21"/>
                <w:highlight w:val="none"/>
              </w:rPr>
              <w:t>展示</w:t>
            </w:r>
          </w:p>
        </w:tc>
        <w:tc>
          <w:tcPr>
            <w:tcW w:w="6534"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cs="仿宋" w:asciiTheme="majorEastAsia" w:hAnsiTheme="majorEastAsia" w:eastAsiaTheme="majorEastAsia"/>
                <w:color w:val="auto"/>
                <w:szCs w:val="21"/>
                <w:highlight w:val="none"/>
              </w:rPr>
            </w:pPr>
            <w:r>
              <w:rPr>
                <w:rFonts w:hint="eastAsia" w:cs="仿宋" w:asciiTheme="majorEastAsia" w:hAnsiTheme="majorEastAsia" w:eastAsiaTheme="majorEastAsia"/>
                <w:color w:val="auto"/>
                <w:sz w:val="21"/>
                <w:szCs w:val="21"/>
                <w:highlight w:val="none"/>
                <w:shd w:val="clear" w:color="auto" w:fill="FFFFFF"/>
              </w:rPr>
              <w:t>▲</w:t>
            </w:r>
            <w:r>
              <w:rPr>
                <w:rFonts w:cs="仿宋" w:asciiTheme="majorEastAsia" w:hAnsiTheme="majorEastAsia" w:eastAsiaTheme="majorEastAsia"/>
                <w:color w:val="auto"/>
                <w:sz w:val="21"/>
                <w:szCs w:val="21"/>
                <w:highlight w:val="none"/>
                <w:shd w:val="clear" w:color="auto" w:fill="FFFFFF"/>
              </w:rPr>
              <w:t>2</w:t>
            </w:r>
            <w:r>
              <w:rPr>
                <w:rFonts w:hint="eastAsia" w:cs="仿宋" w:asciiTheme="majorEastAsia" w:hAnsiTheme="majorEastAsia" w:eastAsiaTheme="majorEastAsia"/>
                <w:color w:val="auto"/>
                <w:sz w:val="21"/>
                <w:szCs w:val="21"/>
                <w:highlight w:val="none"/>
                <w:shd w:val="clear" w:color="auto" w:fill="FFFFFF"/>
              </w:rPr>
              <w:t>6</w:t>
            </w:r>
            <w:r>
              <w:rPr>
                <w:rFonts w:hint="eastAsia" w:cs="仿宋" w:asciiTheme="majorEastAsia" w:hAnsiTheme="majorEastAsia" w:eastAsiaTheme="majorEastAsia"/>
                <w:color w:val="auto"/>
                <w:sz w:val="21"/>
                <w:szCs w:val="21"/>
                <w:highlight w:val="none"/>
              </w:rPr>
              <w:t>平台支持用户在添加设备信息，特别是批量导入设备基本信息时录入设备的位置信息，该位置信息可以是某个标准的经纬度，也可以是基于CAD图的偏移量。当导入设备具备坐标信息时，平台自动在地图上进行设备撒点展示。并且支持用户进行手动拖、拽微调设备位置等信息。支持基于GIS地图的设备状态及列表查询。需提供截图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tcBorders>
              <w:top w:val="single" w:color="auto" w:sz="4" w:space="0"/>
              <w:left w:val="single" w:color="auto" w:sz="4" w:space="0"/>
              <w:right w:val="single" w:color="auto" w:sz="4" w:space="0"/>
            </w:tcBorders>
            <w:shd w:val="clear" w:color="auto" w:fill="auto"/>
            <w:vAlign w:val="center"/>
          </w:tcPr>
          <w:p>
            <w:pPr>
              <w:jc w:val="center"/>
              <w:rPr>
                <w:rFonts w:cs="仿宋" w:asciiTheme="majorEastAsia" w:hAnsiTheme="majorEastAsia" w:eastAsiaTheme="majorEastAsia"/>
                <w:color w:val="auto"/>
                <w:szCs w:val="21"/>
                <w:highlight w:val="none"/>
              </w:rPr>
            </w:pPr>
            <w:r>
              <w:rPr>
                <w:rFonts w:hint="eastAsia" w:cs="仿宋" w:asciiTheme="majorEastAsia" w:hAnsiTheme="majorEastAsia" w:eastAsiaTheme="majorEastAsia"/>
                <w:color w:val="auto"/>
                <w:sz w:val="21"/>
                <w:szCs w:val="21"/>
                <w:highlight w:val="none"/>
              </w:rPr>
              <w:t>9</w:t>
            </w:r>
          </w:p>
        </w:tc>
        <w:tc>
          <w:tcPr>
            <w:tcW w:w="1220" w:type="dxa"/>
            <w:vMerge w:val="restart"/>
            <w:tcBorders>
              <w:top w:val="single" w:color="auto" w:sz="4" w:space="0"/>
              <w:left w:val="single" w:color="auto" w:sz="4" w:space="0"/>
              <w:right w:val="single" w:color="auto" w:sz="4" w:space="0"/>
            </w:tcBorders>
            <w:shd w:val="clear" w:color="auto" w:fill="auto"/>
            <w:vAlign w:val="center"/>
          </w:tcPr>
          <w:p>
            <w:pPr>
              <w:rPr>
                <w:rFonts w:cs="仿宋" w:asciiTheme="majorEastAsia" w:hAnsiTheme="majorEastAsia" w:eastAsiaTheme="majorEastAsia"/>
                <w:color w:val="auto"/>
                <w:szCs w:val="21"/>
                <w:highlight w:val="none"/>
              </w:rPr>
            </w:pPr>
            <w:r>
              <w:rPr>
                <w:rFonts w:hint="eastAsia" w:cs="仿宋" w:asciiTheme="majorEastAsia" w:hAnsiTheme="majorEastAsia" w:eastAsiaTheme="majorEastAsia"/>
                <w:color w:val="auto"/>
                <w:sz w:val="21"/>
                <w:szCs w:val="21"/>
                <w:highlight w:val="none"/>
              </w:rPr>
              <w:t>告警管理</w:t>
            </w:r>
          </w:p>
        </w:tc>
        <w:tc>
          <w:tcPr>
            <w:tcW w:w="6534"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cs="仿宋" w:asciiTheme="majorEastAsia" w:hAnsiTheme="majorEastAsia" w:eastAsiaTheme="majorEastAsia"/>
                <w:color w:val="auto"/>
                <w:szCs w:val="21"/>
                <w:highlight w:val="none"/>
              </w:rPr>
            </w:pPr>
            <w:r>
              <w:rPr>
                <w:rFonts w:hint="eastAsia" w:cs="仿宋" w:asciiTheme="majorEastAsia" w:hAnsiTheme="majorEastAsia" w:eastAsiaTheme="majorEastAsia"/>
                <w:color w:val="auto"/>
                <w:sz w:val="21"/>
                <w:szCs w:val="21"/>
                <w:highlight w:val="none"/>
              </w:rPr>
              <w:t>支持设备告警管理。能够进行阈值或均值等告警条件设置，当设备发生严重故障或异常时，能够提示告警信息，并在GIS地图上显示告警信息及位置。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tcBorders>
              <w:left w:val="single" w:color="auto" w:sz="4" w:space="0"/>
              <w:right w:val="single" w:color="auto" w:sz="4" w:space="0"/>
            </w:tcBorders>
            <w:shd w:val="clear" w:color="auto" w:fill="auto"/>
            <w:vAlign w:val="center"/>
          </w:tcPr>
          <w:p>
            <w:pPr>
              <w:jc w:val="center"/>
              <w:rPr>
                <w:rFonts w:cs="仿宋" w:asciiTheme="majorEastAsia" w:hAnsiTheme="majorEastAsia" w:eastAsiaTheme="majorEastAsia"/>
                <w:color w:val="auto"/>
                <w:szCs w:val="21"/>
                <w:highlight w:val="none"/>
              </w:rPr>
            </w:pPr>
            <w:r>
              <w:rPr>
                <w:rFonts w:hint="eastAsia" w:cs="仿宋" w:asciiTheme="majorEastAsia" w:hAnsiTheme="majorEastAsia" w:eastAsiaTheme="majorEastAsia"/>
                <w:color w:val="auto"/>
                <w:sz w:val="21"/>
                <w:szCs w:val="21"/>
                <w:highlight w:val="none"/>
              </w:rPr>
              <w:t>10</w:t>
            </w:r>
          </w:p>
        </w:tc>
        <w:tc>
          <w:tcPr>
            <w:tcW w:w="1220" w:type="dxa"/>
            <w:vMerge w:val="continue"/>
            <w:tcBorders>
              <w:left w:val="single" w:color="auto" w:sz="4" w:space="0"/>
              <w:right w:val="single" w:color="auto" w:sz="4" w:space="0"/>
            </w:tcBorders>
            <w:shd w:val="clear" w:color="auto" w:fill="auto"/>
            <w:vAlign w:val="center"/>
          </w:tcPr>
          <w:p>
            <w:pPr>
              <w:rPr>
                <w:rFonts w:cs="仿宋" w:asciiTheme="majorEastAsia" w:hAnsiTheme="majorEastAsia" w:eastAsiaTheme="majorEastAsia"/>
                <w:color w:val="auto"/>
                <w:szCs w:val="21"/>
                <w:highlight w:val="none"/>
              </w:rPr>
            </w:pPr>
          </w:p>
        </w:tc>
        <w:tc>
          <w:tcPr>
            <w:tcW w:w="6534"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cs="仿宋" w:asciiTheme="majorEastAsia" w:hAnsiTheme="majorEastAsia" w:eastAsiaTheme="majorEastAsia"/>
                <w:color w:val="auto"/>
                <w:szCs w:val="21"/>
                <w:highlight w:val="none"/>
              </w:rPr>
            </w:pPr>
            <w:r>
              <w:rPr>
                <w:rFonts w:hint="eastAsia" w:cs="仿宋" w:asciiTheme="majorEastAsia" w:hAnsiTheme="majorEastAsia" w:eastAsiaTheme="majorEastAsia"/>
                <w:color w:val="auto"/>
                <w:sz w:val="21"/>
                <w:szCs w:val="21"/>
                <w:highlight w:val="none"/>
              </w:rPr>
              <w:t>告警列表管理。支持告警级别及状态统计分析。支持按告警级别、告警状态、时间及关键字检索查询告警列表。支持告警列表详情查询、触发设备信息查询、触发联动信息查询。告警信息详情包括告警ID、告警名称、状态、告警级别、告警事件、告警名称，触发设备信息包括产品类别、设备名称、触发属性、触发值。触发联动信息包括联动名称、联动开始时间、联动结束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tcBorders>
              <w:left w:val="single" w:color="auto" w:sz="4" w:space="0"/>
              <w:bottom w:val="single" w:color="auto" w:sz="4" w:space="0"/>
              <w:right w:val="single" w:color="auto" w:sz="4" w:space="0"/>
            </w:tcBorders>
            <w:shd w:val="clear" w:color="auto" w:fill="auto"/>
            <w:vAlign w:val="center"/>
          </w:tcPr>
          <w:p>
            <w:pPr>
              <w:jc w:val="center"/>
              <w:rPr>
                <w:rFonts w:cs="仿宋" w:asciiTheme="majorEastAsia" w:hAnsiTheme="majorEastAsia" w:eastAsiaTheme="majorEastAsia"/>
                <w:color w:val="auto"/>
                <w:szCs w:val="21"/>
                <w:highlight w:val="none"/>
              </w:rPr>
            </w:pPr>
            <w:r>
              <w:rPr>
                <w:rFonts w:hint="eastAsia" w:cs="仿宋" w:asciiTheme="majorEastAsia" w:hAnsiTheme="majorEastAsia" w:eastAsiaTheme="majorEastAsia"/>
                <w:color w:val="auto"/>
                <w:sz w:val="21"/>
                <w:szCs w:val="21"/>
                <w:highlight w:val="none"/>
              </w:rPr>
              <w:t>11</w:t>
            </w:r>
          </w:p>
        </w:tc>
        <w:tc>
          <w:tcPr>
            <w:tcW w:w="1220" w:type="dxa"/>
            <w:vMerge w:val="continue"/>
            <w:tcBorders>
              <w:left w:val="single" w:color="auto" w:sz="4" w:space="0"/>
              <w:bottom w:val="single" w:color="auto" w:sz="4" w:space="0"/>
              <w:right w:val="single" w:color="auto" w:sz="4" w:space="0"/>
            </w:tcBorders>
            <w:shd w:val="clear" w:color="auto" w:fill="auto"/>
            <w:vAlign w:val="center"/>
          </w:tcPr>
          <w:p>
            <w:pPr>
              <w:rPr>
                <w:rFonts w:cs="仿宋" w:asciiTheme="majorEastAsia" w:hAnsiTheme="majorEastAsia" w:eastAsiaTheme="majorEastAsia"/>
                <w:color w:val="auto"/>
                <w:szCs w:val="21"/>
                <w:highlight w:val="none"/>
              </w:rPr>
            </w:pPr>
          </w:p>
        </w:tc>
        <w:tc>
          <w:tcPr>
            <w:tcW w:w="6534"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cs="仿宋" w:asciiTheme="majorEastAsia" w:hAnsiTheme="majorEastAsia" w:eastAsiaTheme="majorEastAsia"/>
                <w:color w:val="auto"/>
                <w:szCs w:val="21"/>
                <w:highlight w:val="none"/>
              </w:rPr>
            </w:pPr>
            <w:r>
              <w:rPr>
                <w:rFonts w:hint="eastAsia" w:cs="仿宋" w:asciiTheme="majorEastAsia" w:hAnsiTheme="majorEastAsia" w:eastAsiaTheme="majorEastAsia"/>
                <w:color w:val="auto"/>
                <w:sz w:val="21"/>
                <w:szCs w:val="21"/>
                <w:highlight w:val="none"/>
                <w:shd w:val="clear" w:color="auto" w:fill="FFFFFF"/>
              </w:rPr>
              <w:t>▲</w:t>
            </w:r>
            <w:r>
              <w:rPr>
                <w:rFonts w:cs="仿宋" w:asciiTheme="majorEastAsia" w:hAnsiTheme="majorEastAsia" w:eastAsiaTheme="majorEastAsia"/>
                <w:color w:val="auto"/>
                <w:sz w:val="21"/>
                <w:szCs w:val="21"/>
                <w:highlight w:val="none"/>
                <w:shd w:val="clear" w:color="auto" w:fill="FFFFFF"/>
              </w:rPr>
              <w:t>2</w:t>
            </w:r>
            <w:r>
              <w:rPr>
                <w:rFonts w:hint="eastAsia" w:cs="仿宋" w:asciiTheme="majorEastAsia" w:hAnsiTheme="majorEastAsia" w:eastAsiaTheme="majorEastAsia"/>
                <w:color w:val="auto"/>
                <w:sz w:val="21"/>
                <w:szCs w:val="21"/>
                <w:highlight w:val="none"/>
                <w:shd w:val="clear" w:color="auto" w:fill="FFFFFF"/>
              </w:rPr>
              <w:t>7</w:t>
            </w:r>
            <w:r>
              <w:rPr>
                <w:rFonts w:hint="eastAsia" w:cs="仿宋" w:asciiTheme="majorEastAsia" w:hAnsiTheme="majorEastAsia" w:eastAsiaTheme="majorEastAsia"/>
                <w:color w:val="auto"/>
                <w:sz w:val="21"/>
                <w:szCs w:val="21"/>
                <w:highlight w:val="none"/>
              </w:rPr>
              <w:t>告警配置管理。支持对告警的条件自定义配置，包括对告警的基本信息、定义告警级别、告警触发条件、告警触发规则、告警收敛规则、消息通知方式、通知时间、指定用户、以及告警联动预案。需提供截图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tcBorders>
              <w:top w:val="single" w:color="auto" w:sz="4" w:space="0"/>
              <w:left w:val="single" w:color="auto" w:sz="4" w:space="0"/>
              <w:right w:val="single" w:color="auto" w:sz="4" w:space="0"/>
            </w:tcBorders>
            <w:shd w:val="clear" w:color="auto" w:fill="auto"/>
            <w:vAlign w:val="center"/>
          </w:tcPr>
          <w:p>
            <w:pPr>
              <w:jc w:val="center"/>
              <w:rPr>
                <w:rFonts w:cs="仿宋" w:asciiTheme="majorEastAsia" w:hAnsiTheme="majorEastAsia" w:eastAsiaTheme="majorEastAsia"/>
                <w:color w:val="auto"/>
                <w:szCs w:val="21"/>
                <w:highlight w:val="none"/>
              </w:rPr>
            </w:pPr>
            <w:r>
              <w:rPr>
                <w:rFonts w:hint="eastAsia" w:cs="仿宋" w:asciiTheme="majorEastAsia" w:hAnsiTheme="majorEastAsia" w:eastAsiaTheme="majorEastAsia"/>
                <w:color w:val="auto"/>
                <w:sz w:val="21"/>
                <w:szCs w:val="21"/>
                <w:highlight w:val="none"/>
              </w:rPr>
              <w:t>12</w:t>
            </w:r>
          </w:p>
        </w:tc>
        <w:tc>
          <w:tcPr>
            <w:tcW w:w="1220" w:type="dxa"/>
            <w:tcBorders>
              <w:top w:val="single" w:color="auto" w:sz="4" w:space="0"/>
              <w:left w:val="single" w:color="auto" w:sz="4" w:space="0"/>
              <w:right w:val="single" w:color="auto" w:sz="4" w:space="0"/>
            </w:tcBorders>
            <w:shd w:val="clear" w:color="auto" w:fill="auto"/>
            <w:vAlign w:val="center"/>
          </w:tcPr>
          <w:p>
            <w:pPr>
              <w:rPr>
                <w:rFonts w:cs="仿宋" w:asciiTheme="majorEastAsia" w:hAnsiTheme="majorEastAsia" w:eastAsiaTheme="majorEastAsia"/>
                <w:color w:val="auto"/>
                <w:szCs w:val="21"/>
                <w:highlight w:val="none"/>
              </w:rPr>
            </w:pPr>
            <w:r>
              <w:rPr>
                <w:rFonts w:hint="eastAsia" w:cs="仿宋" w:asciiTheme="majorEastAsia" w:hAnsiTheme="majorEastAsia" w:eastAsiaTheme="majorEastAsia"/>
                <w:color w:val="auto"/>
                <w:sz w:val="21"/>
                <w:szCs w:val="21"/>
                <w:highlight w:val="none"/>
              </w:rPr>
              <w:t>场景联动</w:t>
            </w:r>
          </w:p>
        </w:tc>
        <w:tc>
          <w:tcPr>
            <w:tcW w:w="6534"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cs="仿宋" w:asciiTheme="majorEastAsia" w:hAnsiTheme="majorEastAsia" w:eastAsiaTheme="majorEastAsia"/>
                <w:color w:val="auto"/>
                <w:szCs w:val="21"/>
                <w:highlight w:val="none"/>
              </w:rPr>
            </w:pPr>
            <w:r>
              <w:rPr>
                <w:rFonts w:hint="eastAsia" w:cs="仿宋" w:asciiTheme="majorEastAsia" w:hAnsiTheme="majorEastAsia" w:eastAsiaTheme="majorEastAsia"/>
                <w:color w:val="auto"/>
                <w:sz w:val="21"/>
                <w:szCs w:val="21"/>
                <w:highlight w:val="none"/>
                <w:shd w:val="clear" w:color="auto" w:fill="FFFFFF"/>
              </w:rPr>
              <w:t>▲28</w:t>
            </w:r>
            <w:r>
              <w:rPr>
                <w:rFonts w:hint="eastAsia" w:cs="仿宋" w:asciiTheme="majorEastAsia" w:hAnsiTheme="majorEastAsia" w:eastAsiaTheme="majorEastAsia"/>
                <w:color w:val="auto"/>
                <w:sz w:val="21"/>
                <w:szCs w:val="21"/>
                <w:highlight w:val="none"/>
              </w:rPr>
              <w:t>支持场景联动可视化配置，对物联设备进行可编排的自动控制。比如消防应急指挥联动场景，可以自定义消防事件发生时，配置应急处置及处理流程，指定各个环节的流程操作。支持按时间范围进行动作链列表信息查询。动作链详情包括ID、名称、类型、描述、操作、启用状态、创建人、创建时间等信息。支持新建动作链，并支持拖拉拽方式配置规则节点，包括支持设备控制、服务调用、短信通知、邮件通知等节点规则配置。需提供截图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cs="仿宋" w:asciiTheme="majorEastAsia" w:hAnsiTheme="majorEastAsia" w:eastAsiaTheme="majorEastAsia"/>
                <w:color w:val="auto"/>
                <w:szCs w:val="21"/>
                <w:highlight w:val="none"/>
              </w:rPr>
            </w:pPr>
            <w:r>
              <w:rPr>
                <w:rFonts w:hint="eastAsia" w:cs="仿宋" w:asciiTheme="majorEastAsia" w:hAnsiTheme="majorEastAsia" w:eastAsiaTheme="majorEastAsia"/>
                <w:color w:val="auto"/>
                <w:sz w:val="21"/>
                <w:szCs w:val="21"/>
                <w:highlight w:val="none"/>
              </w:rPr>
              <w:t>13</w:t>
            </w:r>
          </w:p>
        </w:tc>
        <w:tc>
          <w:tcPr>
            <w:tcW w:w="122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cs="仿宋" w:asciiTheme="majorEastAsia" w:hAnsiTheme="majorEastAsia" w:eastAsiaTheme="majorEastAsia"/>
                <w:color w:val="auto"/>
                <w:szCs w:val="21"/>
                <w:highlight w:val="none"/>
              </w:rPr>
            </w:pPr>
            <w:r>
              <w:rPr>
                <w:rFonts w:hint="eastAsia" w:cs="仿宋" w:asciiTheme="majorEastAsia" w:hAnsiTheme="majorEastAsia" w:eastAsiaTheme="majorEastAsia"/>
                <w:color w:val="auto"/>
                <w:sz w:val="21"/>
                <w:szCs w:val="21"/>
                <w:highlight w:val="none"/>
              </w:rPr>
              <w:t>数据分析</w:t>
            </w:r>
          </w:p>
        </w:tc>
        <w:tc>
          <w:tcPr>
            <w:tcW w:w="6534"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cs="仿宋" w:asciiTheme="majorEastAsia" w:hAnsiTheme="majorEastAsia" w:eastAsiaTheme="majorEastAsia"/>
                <w:color w:val="auto"/>
                <w:szCs w:val="21"/>
                <w:highlight w:val="none"/>
              </w:rPr>
            </w:pPr>
            <w:r>
              <w:rPr>
                <w:rFonts w:hint="eastAsia" w:cs="仿宋" w:asciiTheme="majorEastAsia" w:hAnsiTheme="majorEastAsia" w:eastAsiaTheme="majorEastAsia"/>
                <w:color w:val="auto"/>
                <w:sz w:val="21"/>
                <w:szCs w:val="21"/>
                <w:highlight w:val="none"/>
              </w:rPr>
              <w:t>采集数据进行特征检测，对设备故障检测、预测进行智能化辅助支撑。支持设备实时值的查询，设备状态曲线展示，设备告警情况分析等。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cs="仿宋" w:asciiTheme="majorEastAsia" w:hAnsiTheme="majorEastAsia" w:eastAsiaTheme="majorEastAsia"/>
                <w:color w:val="auto"/>
                <w:szCs w:val="21"/>
                <w:highlight w:val="none"/>
              </w:rPr>
            </w:pPr>
            <w:r>
              <w:rPr>
                <w:rFonts w:hint="eastAsia" w:cs="仿宋" w:asciiTheme="majorEastAsia" w:hAnsiTheme="majorEastAsia" w:eastAsiaTheme="majorEastAsia"/>
                <w:color w:val="auto"/>
                <w:sz w:val="21"/>
                <w:szCs w:val="21"/>
                <w:highlight w:val="none"/>
              </w:rPr>
              <w:t>14</w:t>
            </w:r>
          </w:p>
        </w:tc>
        <w:tc>
          <w:tcPr>
            <w:tcW w:w="122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cs="仿宋" w:asciiTheme="majorEastAsia" w:hAnsiTheme="majorEastAsia" w:eastAsiaTheme="majorEastAsia"/>
                <w:color w:val="auto"/>
                <w:szCs w:val="21"/>
                <w:highlight w:val="none"/>
              </w:rPr>
            </w:pPr>
            <w:r>
              <w:rPr>
                <w:rFonts w:hint="eastAsia" w:cs="仿宋" w:asciiTheme="majorEastAsia" w:hAnsiTheme="majorEastAsia" w:eastAsiaTheme="majorEastAsia"/>
                <w:color w:val="auto"/>
                <w:sz w:val="21"/>
                <w:szCs w:val="21"/>
                <w:highlight w:val="none"/>
              </w:rPr>
              <w:t>监控中心</w:t>
            </w:r>
          </w:p>
        </w:tc>
        <w:tc>
          <w:tcPr>
            <w:tcW w:w="6534"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cs="仿宋" w:asciiTheme="majorEastAsia" w:hAnsiTheme="majorEastAsia" w:eastAsiaTheme="majorEastAsia"/>
                <w:color w:val="auto"/>
                <w:szCs w:val="21"/>
                <w:highlight w:val="none"/>
              </w:rPr>
            </w:pPr>
            <w:r>
              <w:rPr>
                <w:rFonts w:hint="eastAsia" w:cs="仿宋" w:asciiTheme="majorEastAsia" w:hAnsiTheme="majorEastAsia" w:eastAsiaTheme="majorEastAsia"/>
                <w:color w:val="auto"/>
                <w:sz w:val="21"/>
                <w:szCs w:val="21"/>
                <w:highlight w:val="none"/>
              </w:rPr>
              <w:t>对平台正常功能监控，针对平台部署的基础环境，包括操作系统的CPU、内存指标，也包括系统软件，如消息队列、数据库等参数进行监控。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tcBorders>
              <w:top w:val="single" w:color="auto" w:sz="4" w:space="0"/>
              <w:left w:val="single" w:color="auto" w:sz="4" w:space="0"/>
              <w:right w:val="single" w:color="auto" w:sz="4" w:space="0"/>
            </w:tcBorders>
            <w:shd w:val="clear" w:color="auto" w:fill="auto"/>
            <w:vAlign w:val="center"/>
          </w:tcPr>
          <w:p>
            <w:pPr>
              <w:jc w:val="center"/>
              <w:rPr>
                <w:rFonts w:cs="仿宋" w:asciiTheme="majorEastAsia" w:hAnsiTheme="majorEastAsia" w:eastAsiaTheme="majorEastAsia"/>
                <w:color w:val="auto"/>
                <w:szCs w:val="21"/>
                <w:highlight w:val="none"/>
              </w:rPr>
            </w:pPr>
            <w:r>
              <w:rPr>
                <w:rFonts w:hint="eastAsia" w:cs="仿宋" w:asciiTheme="majorEastAsia" w:hAnsiTheme="majorEastAsia" w:eastAsiaTheme="majorEastAsia"/>
                <w:color w:val="auto"/>
                <w:sz w:val="21"/>
                <w:szCs w:val="21"/>
                <w:highlight w:val="none"/>
              </w:rPr>
              <w:t>15</w:t>
            </w:r>
          </w:p>
        </w:tc>
        <w:tc>
          <w:tcPr>
            <w:tcW w:w="1220" w:type="dxa"/>
            <w:vMerge w:val="restart"/>
            <w:tcBorders>
              <w:top w:val="single" w:color="auto" w:sz="4" w:space="0"/>
              <w:left w:val="single" w:color="auto" w:sz="4" w:space="0"/>
              <w:right w:val="single" w:color="auto" w:sz="4" w:space="0"/>
            </w:tcBorders>
            <w:shd w:val="clear" w:color="auto" w:fill="auto"/>
            <w:vAlign w:val="center"/>
          </w:tcPr>
          <w:p>
            <w:pPr>
              <w:rPr>
                <w:rFonts w:cs="仿宋" w:asciiTheme="majorEastAsia" w:hAnsiTheme="majorEastAsia" w:eastAsiaTheme="majorEastAsia"/>
                <w:color w:val="auto"/>
                <w:szCs w:val="21"/>
                <w:highlight w:val="none"/>
              </w:rPr>
            </w:pPr>
          </w:p>
          <w:p>
            <w:pPr>
              <w:rPr>
                <w:rFonts w:cs="仿宋" w:asciiTheme="majorEastAsia" w:hAnsiTheme="majorEastAsia" w:eastAsiaTheme="majorEastAsia"/>
                <w:color w:val="auto"/>
                <w:szCs w:val="21"/>
                <w:highlight w:val="none"/>
              </w:rPr>
            </w:pPr>
          </w:p>
          <w:p>
            <w:pPr>
              <w:rPr>
                <w:rFonts w:cs="仿宋" w:asciiTheme="majorEastAsia" w:hAnsiTheme="majorEastAsia" w:eastAsiaTheme="majorEastAsia"/>
                <w:color w:val="auto"/>
                <w:szCs w:val="21"/>
                <w:highlight w:val="none"/>
              </w:rPr>
            </w:pPr>
            <w:r>
              <w:rPr>
                <w:rFonts w:hint="eastAsia" w:cs="仿宋" w:asciiTheme="majorEastAsia" w:hAnsiTheme="majorEastAsia" w:eastAsiaTheme="majorEastAsia"/>
                <w:color w:val="auto"/>
                <w:sz w:val="21"/>
                <w:szCs w:val="21"/>
                <w:highlight w:val="none"/>
              </w:rPr>
              <w:t>开放中心</w:t>
            </w:r>
          </w:p>
        </w:tc>
        <w:tc>
          <w:tcPr>
            <w:tcW w:w="6534"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cs="仿宋" w:asciiTheme="majorEastAsia" w:hAnsiTheme="majorEastAsia" w:eastAsiaTheme="majorEastAsia"/>
                <w:color w:val="auto"/>
                <w:szCs w:val="21"/>
                <w:highlight w:val="none"/>
              </w:rPr>
            </w:pPr>
            <w:r>
              <w:rPr>
                <w:rFonts w:hint="eastAsia" w:cs="仿宋" w:asciiTheme="majorEastAsia" w:hAnsiTheme="majorEastAsia" w:eastAsiaTheme="majorEastAsia"/>
                <w:color w:val="auto"/>
                <w:sz w:val="21"/>
                <w:szCs w:val="21"/>
                <w:highlight w:val="none"/>
              </w:rPr>
              <w:t>开放中心功能。对已接入数据开放，支持与第三方系统进行安全对接，主要的接口是MQTT风格。应用系统可以在平台注册并获取TOKEN权限，管理员会分配该接入系统允许对接的设备。第三方平台即可在响应的TOPIC地址上监听到需要的数据上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tcBorders>
              <w:left w:val="single" w:color="auto" w:sz="4" w:space="0"/>
              <w:right w:val="single" w:color="auto" w:sz="4" w:space="0"/>
            </w:tcBorders>
            <w:shd w:val="clear" w:color="auto" w:fill="auto"/>
            <w:vAlign w:val="center"/>
          </w:tcPr>
          <w:p>
            <w:pPr>
              <w:jc w:val="center"/>
              <w:rPr>
                <w:rFonts w:cs="仿宋" w:asciiTheme="majorEastAsia" w:hAnsiTheme="majorEastAsia" w:eastAsiaTheme="majorEastAsia"/>
                <w:color w:val="auto"/>
                <w:szCs w:val="21"/>
                <w:highlight w:val="none"/>
              </w:rPr>
            </w:pPr>
            <w:r>
              <w:rPr>
                <w:rFonts w:hint="eastAsia" w:cs="仿宋" w:asciiTheme="majorEastAsia" w:hAnsiTheme="majorEastAsia" w:eastAsiaTheme="majorEastAsia"/>
                <w:color w:val="auto"/>
                <w:sz w:val="21"/>
                <w:szCs w:val="21"/>
                <w:highlight w:val="none"/>
              </w:rPr>
              <w:t>16</w:t>
            </w:r>
          </w:p>
        </w:tc>
        <w:tc>
          <w:tcPr>
            <w:tcW w:w="1220" w:type="dxa"/>
            <w:vMerge w:val="continue"/>
            <w:tcBorders>
              <w:left w:val="single" w:color="auto" w:sz="4" w:space="0"/>
              <w:right w:val="single" w:color="auto" w:sz="4" w:space="0"/>
            </w:tcBorders>
            <w:shd w:val="clear" w:color="auto" w:fill="auto"/>
            <w:vAlign w:val="center"/>
          </w:tcPr>
          <w:p>
            <w:pPr>
              <w:rPr>
                <w:rFonts w:cs="仿宋" w:asciiTheme="majorEastAsia" w:hAnsiTheme="majorEastAsia" w:eastAsiaTheme="majorEastAsia"/>
                <w:color w:val="auto"/>
                <w:szCs w:val="21"/>
                <w:highlight w:val="none"/>
              </w:rPr>
            </w:pPr>
          </w:p>
        </w:tc>
        <w:tc>
          <w:tcPr>
            <w:tcW w:w="6534"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cs="仿宋" w:asciiTheme="majorEastAsia" w:hAnsiTheme="majorEastAsia" w:eastAsiaTheme="majorEastAsia"/>
                <w:color w:val="auto"/>
                <w:szCs w:val="21"/>
                <w:highlight w:val="none"/>
              </w:rPr>
            </w:pPr>
            <w:r>
              <w:rPr>
                <w:rFonts w:hint="eastAsia" w:cs="仿宋" w:asciiTheme="majorEastAsia" w:hAnsiTheme="majorEastAsia" w:eastAsiaTheme="majorEastAsia"/>
                <w:color w:val="auto"/>
                <w:sz w:val="21"/>
                <w:szCs w:val="21"/>
                <w:highlight w:val="none"/>
              </w:rPr>
              <w:t>数据订阅功能。支持关键字检索订阅信息列表，包括状态、所属应用、说明、topic信息等，支持订阅信息的增删改查功能。支持数据订阅的状态禁用或开启。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tcBorders>
              <w:left w:val="single" w:color="auto" w:sz="4" w:space="0"/>
              <w:bottom w:val="single" w:color="auto" w:sz="4" w:space="0"/>
              <w:right w:val="single" w:color="auto" w:sz="4" w:space="0"/>
            </w:tcBorders>
            <w:shd w:val="clear" w:color="auto" w:fill="auto"/>
            <w:vAlign w:val="center"/>
          </w:tcPr>
          <w:p>
            <w:pPr>
              <w:jc w:val="center"/>
              <w:rPr>
                <w:rFonts w:cs="仿宋" w:asciiTheme="majorEastAsia" w:hAnsiTheme="majorEastAsia" w:eastAsiaTheme="majorEastAsia"/>
                <w:color w:val="auto"/>
                <w:szCs w:val="21"/>
                <w:highlight w:val="none"/>
              </w:rPr>
            </w:pPr>
            <w:r>
              <w:rPr>
                <w:rFonts w:hint="eastAsia" w:cs="仿宋" w:asciiTheme="majorEastAsia" w:hAnsiTheme="majorEastAsia" w:eastAsiaTheme="majorEastAsia"/>
                <w:color w:val="auto"/>
                <w:sz w:val="21"/>
                <w:szCs w:val="21"/>
                <w:highlight w:val="none"/>
              </w:rPr>
              <w:t>17</w:t>
            </w:r>
          </w:p>
        </w:tc>
        <w:tc>
          <w:tcPr>
            <w:tcW w:w="1220" w:type="dxa"/>
            <w:vMerge w:val="continue"/>
            <w:tcBorders>
              <w:left w:val="single" w:color="auto" w:sz="4" w:space="0"/>
              <w:bottom w:val="single" w:color="auto" w:sz="4" w:space="0"/>
              <w:right w:val="single" w:color="auto" w:sz="4" w:space="0"/>
            </w:tcBorders>
            <w:shd w:val="clear" w:color="auto" w:fill="auto"/>
            <w:vAlign w:val="center"/>
          </w:tcPr>
          <w:p>
            <w:pPr>
              <w:rPr>
                <w:rFonts w:cs="仿宋" w:asciiTheme="majorEastAsia" w:hAnsiTheme="majorEastAsia" w:eastAsiaTheme="majorEastAsia"/>
                <w:color w:val="auto"/>
                <w:szCs w:val="21"/>
                <w:highlight w:val="none"/>
              </w:rPr>
            </w:pPr>
          </w:p>
        </w:tc>
        <w:tc>
          <w:tcPr>
            <w:tcW w:w="6534"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cs="仿宋" w:asciiTheme="majorEastAsia" w:hAnsiTheme="majorEastAsia" w:eastAsiaTheme="majorEastAsia"/>
                <w:color w:val="auto"/>
                <w:szCs w:val="21"/>
                <w:highlight w:val="none"/>
              </w:rPr>
            </w:pPr>
            <w:r>
              <w:rPr>
                <w:rFonts w:hint="eastAsia" w:cs="仿宋" w:asciiTheme="majorEastAsia" w:hAnsiTheme="majorEastAsia" w:eastAsiaTheme="majorEastAsia"/>
                <w:color w:val="auto"/>
                <w:sz w:val="21"/>
                <w:szCs w:val="21"/>
                <w:highlight w:val="none"/>
              </w:rPr>
              <w:t>应用管理功能。支持关键字检索应用列表，应用列表信息包括应用编码、应用key、应用说明、创建时间、更新时间等，支持应用信息的新增改查功能。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cs="仿宋" w:asciiTheme="majorEastAsia" w:hAnsiTheme="majorEastAsia" w:eastAsiaTheme="majorEastAsia"/>
                <w:color w:val="auto"/>
                <w:szCs w:val="21"/>
                <w:highlight w:val="none"/>
              </w:rPr>
            </w:pPr>
            <w:r>
              <w:rPr>
                <w:rFonts w:hint="eastAsia" w:cs="仿宋" w:asciiTheme="majorEastAsia" w:hAnsiTheme="majorEastAsia" w:eastAsiaTheme="majorEastAsia"/>
                <w:color w:val="auto"/>
                <w:sz w:val="21"/>
                <w:szCs w:val="21"/>
                <w:highlight w:val="none"/>
              </w:rPr>
              <w:t>18</w:t>
            </w:r>
          </w:p>
        </w:tc>
        <w:tc>
          <w:tcPr>
            <w:tcW w:w="122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cs="仿宋" w:asciiTheme="majorEastAsia" w:hAnsiTheme="majorEastAsia" w:eastAsiaTheme="majorEastAsia"/>
                <w:color w:val="auto"/>
                <w:szCs w:val="21"/>
                <w:highlight w:val="none"/>
              </w:rPr>
            </w:pPr>
            <w:r>
              <w:rPr>
                <w:rFonts w:hint="eastAsia" w:cs="仿宋" w:asciiTheme="majorEastAsia" w:hAnsiTheme="majorEastAsia" w:eastAsiaTheme="majorEastAsia"/>
                <w:color w:val="auto"/>
                <w:sz w:val="21"/>
                <w:szCs w:val="21"/>
                <w:highlight w:val="none"/>
              </w:rPr>
              <w:t>系统管理</w:t>
            </w:r>
          </w:p>
        </w:tc>
        <w:tc>
          <w:tcPr>
            <w:tcW w:w="6534"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cs="仿宋" w:asciiTheme="majorEastAsia" w:hAnsiTheme="majorEastAsia" w:eastAsiaTheme="majorEastAsia"/>
                <w:color w:val="auto"/>
                <w:szCs w:val="21"/>
                <w:highlight w:val="none"/>
              </w:rPr>
            </w:pPr>
            <w:r>
              <w:rPr>
                <w:rFonts w:hint="eastAsia" w:cs="仿宋" w:asciiTheme="majorEastAsia" w:hAnsiTheme="majorEastAsia" w:eastAsiaTheme="majorEastAsia"/>
                <w:color w:val="auto"/>
                <w:sz w:val="21"/>
                <w:szCs w:val="21"/>
                <w:highlight w:val="none"/>
              </w:rPr>
              <w:t>系统管理提供平台所具备的基础功能，包括部门管理、用户管理、角色管理、字典管理、日志管理、流程管理等。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2"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cs="仿宋" w:asciiTheme="majorEastAsia" w:hAnsiTheme="majorEastAsia" w:eastAsiaTheme="majorEastAsia"/>
                <w:color w:val="auto"/>
                <w:szCs w:val="21"/>
                <w:highlight w:val="none"/>
              </w:rPr>
            </w:pPr>
            <w:r>
              <w:rPr>
                <w:rFonts w:hint="eastAsia" w:cs="仿宋" w:asciiTheme="majorEastAsia" w:hAnsiTheme="majorEastAsia" w:eastAsiaTheme="majorEastAsia"/>
                <w:color w:val="auto"/>
                <w:sz w:val="21"/>
                <w:szCs w:val="21"/>
                <w:highlight w:val="none"/>
              </w:rPr>
              <w:t>19</w:t>
            </w:r>
          </w:p>
        </w:tc>
        <w:tc>
          <w:tcPr>
            <w:tcW w:w="1220"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cs="仿宋" w:asciiTheme="majorEastAsia" w:hAnsiTheme="majorEastAsia" w:eastAsiaTheme="majorEastAsia"/>
                <w:color w:val="auto"/>
                <w:szCs w:val="21"/>
                <w:highlight w:val="none"/>
              </w:rPr>
            </w:pPr>
            <w:r>
              <w:rPr>
                <w:rFonts w:hint="eastAsia" w:cs="仿宋" w:asciiTheme="majorEastAsia" w:hAnsiTheme="majorEastAsia" w:eastAsiaTheme="majorEastAsia"/>
                <w:color w:val="auto"/>
                <w:sz w:val="21"/>
                <w:szCs w:val="21"/>
                <w:highlight w:val="none"/>
              </w:rPr>
              <w:t>物联网设备接入技术服务</w:t>
            </w:r>
          </w:p>
        </w:tc>
        <w:tc>
          <w:tcPr>
            <w:tcW w:w="6534"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cs="仿宋" w:asciiTheme="majorEastAsia" w:hAnsiTheme="majorEastAsia" w:eastAsiaTheme="majorEastAsia"/>
                <w:color w:val="auto"/>
                <w:szCs w:val="21"/>
                <w:highlight w:val="none"/>
              </w:rPr>
            </w:pPr>
            <w:r>
              <w:rPr>
                <w:rFonts w:hint="eastAsia" w:cs="仿宋" w:asciiTheme="majorEastAsia" w:hAnsiTheme="majorEastAsia" w:eastAsiaTheme="majorEastAsia"/>
                <w:color w:val="auto"/>
                <w:sz w:val="21"/>
                <w:szCs w:val="21"/>
                <w:highlight w:val="none"/>
              </w:rPr>
              <w:t>包括设备协议解析、物模型建设、设备数据接入落地等技术研发工作。</w:t>
            </w:r>
          </w:p>
        </w:tc>
      </w:tr>
    </w:tbl>
    <w:p>
      <w:pPr>
        <w:pStyle w:val="3"/>
        <w:ind w:firstLine="0" w:firstLineChars="0"/>
        <w:rPr>
          <w:color w:val="auto"/>
          <w:highlight w:val="none"/>
        </w:rPr>
      </w:pPr>
    </w:p>
    <w:p>
      <w:pPr>
        <w:pStyle w:val="7"/>
        <w:rPr>
          <w:color w:val="auto"/>
          <w:highlight w:val="none"/>
        </w:rPr>
      </w:pPr>
      <w:r>
        <w:rPr>
          <w:rFonts w:hint="eastAsia"/>
          <w:color w:val="auto"/>
          <w:highlight w:val="none"/>
        </w:rPr>
        <w:t>公文流转</w:t>
      </w:r>
    </w:p>
    <w:p>
      <w:pPr>
        <w:pStyle w:val="3"/>
        <w:ind w:firstLine="480"/>
        <w:rPr>
          <w:color w:val="auto"/>
          <w:highlight w:val="none"/>
        </w:rPr>
      </w:pPr>
      <w:r>
        <w:rPr>
          <w:rFonts w:hint="eastAsia"/>
          <w:color w:val="auto"/>
          <w:highlight w:val="none"/>
        </w:rPr>
        <w:t>采购成熟的公文流转系统，服务于上海市监狱管理局内部的公文流转功能需求，所采购的公文流程系统应符合如下要求：</w:t>
      </w:r>
    </w:p>
    <w:tbl>
      <w:tblPr>
        <w:tblStyle w:val="35"/>
        <w:tblW w:w="8120" w:type="dxa"/>
        <w:tblInd w:w="0" w:type="dxa"/>
        <w:tblLayout w:type="autofit"/>
        <w:tblCellMar>
          <w:top w:w="0" w:type="dxa"/>
          <w:left w:w="108" w:type="dxa"/>
          <w:bottom w:w="0" w:type="dxa"/>
          <w:right w:w="108" w:type="dxa"/>
        </w:tblCellMar>
      </w:tblPr>
      <w:tblGrid>
        <w:gridCol w:w="1480"/>
        <w:gridCol w:w="2080"/>
        <w:gridCol w:w="4560"/>
      </w:tblGrid>
      <w:tr>
        <w:tblPrEx>
          <w:tblCellMar>
            <w:top w:w="0" w:type="dxa"/>
            <w:left w:w="108" w:type="dxa"/>
            <w:bottom w:w="0" w:type="dxa"/>
            <w:right w:w="108" w:type="dxa"/>
          </w:tblCellMar>
        </w:tblPrEx>
        <w:trPr>
          <w:trHeight w:val="280" w:hRule="atLeast"/>
        </w:trPr>
        <w:tc>
          <w:tcPr>
            <w:tcW w:w="1480" w:type="dxa"/>
            <w:tcBorders>
              <w:top w:val="single" w:color="auto" w:sz="4" w:space="0"/>
              <w:left w:val="single" w:color="auto" w:sz="4" w:space="0"/>
              <w:bottom w:val="single" w:color="auto" w:sz="4" w:space="0"/>
              <w:right w:val="single" w:color="auto" w:sz="4" w:space="0"/>
            </w:tcBorders>
            <w:shd w:val="clear" w:color="000000" w:fill="F2F2F2"/>
            <w:vAlign w:val="center"/>
          </w:tcPr>
          <w:p>
            <w:pPr>
              <w:jc w:val="center"/>
              <w:rPr>
                <w:rFonts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分类</w:t>
            </w:r>
          </w:p>
        </w:tc>
        <w:tc>
          <w:tcPr>
            <w:tcW w:w="2080" w:type="dxa"/>
            <w:tcBorders>
              <w:top w:val="single" w:color="auto" w:sz="4" w:space="0"/>
              <w:left w:val="nil"/>
              <w:bottom w:val="single" w:color="auto" w:sz="4" w:space="0"/>
              <w:right w:val="single" w:color="auto" w:sz="4" w:space="0"/>
            </w:tcBorders>
            <w:shd w:val="clear" w:color="000000" w:fill="F2F2F2"/>
            <w:vAlign w:val="center"/>
          </w:tcPr>
          <w:p>
            <w:pPr>
              <w:jc w:val="center"/>
              <w:rPr>
                <w:rFonts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功能</w:t>
            </w:r>
          </w:p>
        </w:tc>
        <w:tc>
          <w:tcPr>
            <w:tcW w:w="4560" w:type="dxa"/>
            <w:tcBorders>
              <w:top w:val="single" w:color="auto" w:sz="4" w:space="0"/>
              <w:left w:val="nil"/>
              <w:bottom w:val="single" w:color="auto" w:sz="4" w:space="0"/>
              <w:right w:val="single" w:color="auto" w:sz="4" w:space="0"/>
            </w:tcBorders>
            <w:shd w:val="clear" w:color="000000" w:fill="F2F2F2"/>
            <w:vAlign w:val="center"/>
          </w:tcPr>
          <w:p>
            <w:pPr>
              <w:jc w:val="center"/>
              <w:rPr>
                <w:rFonts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功能描述</w:t>
            </w:r>
          </w:p>
        </w:tc>
      </w:tr>
      <w:tr>
        <w:tblPrEx>
          <w:tblCellMar>
            <w:top w:w="0" w:type="dxa"/>
            <w:left w:w="108" w:type="dxa"/>
            <w:bottom w:w="0" w:type="dxa"/>
            <w:right w:w="108" w:type="dxa"/>
          </w:tblCellMar>
        </w:tblPrEx>
        <w:trPr>
          <w:trHeight w:val="1120" w:hRule="atLeast"/>
        </w:trPr>
        <w:tc>
          <w:tcPr>
            <w:tcW w:w="1480" w:type="dxa"/>
            <w:vMerge w:val="restart"/>
            <w:tcBorders>
              <w:top w:val="single" w:color="auto" w:sz="4" w:space="0"/>
              <w:left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公文流转</w:t>
            </w:r>
          </w:p>
        </w:tc>
        <w:tc>
          <w:tcPr>
            <w:tcW w:w="208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发文拟稿</w:t>
            </w:r>
          </w:p>
        </w:tc>
        <w:tc>
          <w:tcPr>
            <w:tcW w:w="4560" w:type="dxa"/>
            <w:tcBorders>
              <w:top w:val="single" w:color="auto" w:sz="4" w:space="0"/>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可通过在线编辑和附件上传的方式进行拟稿，在线编辑状态时正文内容可以打开本地的初稿文件，支持 doc/docx/pdf等形式，支持自动编号、手动编号、套红、公文加密等功能。</w:t>
            </w:r>
          </w:p>
        </w:tc>
      </w:tr>
      <w:tr>
        <w:tblPrEx>
          <w:tblCellMar>
            <w:top w:w="0" w:type="dxa"/>
            <w:left w:w="108" w:type="dxa"/>
            <w:bottom w:w="0" w:type="dxa"/>
            <w:right w:w="108" w:type="dxa"/>
          </w:tblCellMar>
        </w:tblPrEx>
        <w:trPr>
          <w:trHeight w:val="1120" w:hRule="atLeast"/>
        </w:trPr>
        <w:tc>
          <w:tcPr>
            <w:tcW w:w="1480" w:type="dxa"/>
            <w:vMerge w:val="continue"/>
            <w:tcBorders>
              <w:left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p>
        </w:tc>
        <w:tc>
          <w:tcPr>
            <w:tcW w:w="208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待办发文</w:t>
            </w:r>
          </w:p>
        </w:tc>
        <w:tc>
          <w:tcPr>
            <w:tcW w:w="4560" w:type="dxa"/>
            <w:tcBorders>
              <w:top w:val="single" w:color="auto" w:sz="4" w:space="0"/>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发文的状态的查看及审批、分发、上报，在公文处理中，核稿、会稿、审稿等环节处理人可对正文内容修改和编辑，并且保留所有的修改记录及留痕，支持文书清稿，清稿后生成留痕文档，支持手写签批、电子签章等方式批复。</w:t>
            </w:r>
          </w:p>
        </w:tc>
      </w:tr>
      <w:tr>
        <w:tblPrEx>
          <w:tblCellMar>
            <w:top w:w="0" w:type="dxa"/>
            <w:left w:w="108" w:type="dxa"/>
            <w:bottom w:w="0" w:type="dxa"/>
            <w:right w:w="108" w:type="dxa"/>
          </w:tblCellMar>
        </w:tblPrEx>
        <w:trPr>
          <w:trHeight w:val="1120" w:hRule="atLeast"/>
        </w:trPr>
        <w:tc>
          <w:tcPr>
            <w:tcW w:w="1480" w:type="dxa"/>
            <w:vMerge w:val="continue"/>
            <w:tcBorders>
              <w:left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p>
        </w:tc>
        <w:tc>
          <w:tcPr>
            <w:tcW w:w="208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发文归档</w:t>
            </w:r>
          </w:p>
        </w:tc>
        <w:tc>
          <w:tcPr>
            <w:tcW w:w="4560" w:type="dxa"/>
            <w:tcBorders>
              <w:top w:val="single" w:color="auto" w:sz="4" w:space="0"/>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分发结束后，对公文进行归档，归档后只能查阅，不能分发、修改等操作。</w:t>
            </w:r>
          </w:p>
        </w:tc>
      </w:tr>
      <w:tr>
        <w:tblPrEx>
          <w:tblCellMar>
            <w:top w:w="0" w:type="dxa"/>
            <w:left w:w="108" w:type="dxa"/>
            <w:bottom w:w="0" w:type="dxa"/>
            <w:right w:w="108" w:type="dxa"/>
          </w:tblCellMar>
        </w:tblPrEx>
        <w:trPr>
          <w:trHeight w:val="1120" w:hRule="atLeast"/>
        </w:trPr>
        <w:tc>
          <w:tcPr>
            <w:tcW w:w="1480" w:type="dxa"/>
            <w:vMerge w:val="continue"/>
            <w:tcBorders>
              <w:left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p>
        </w:tc>
        <w:tc>
          <w:tcPr>
            <w:tcW w:w="208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收文登记</w:t>
            </w:r>
          </w:p>
        </w:tc>
        <w:tc>
          <w:tcPr>
            <w:tcW w:w="4560" w:type="dxa"/>
            <w:tcBorders>
              <w:top w:val="single" w:color="auto" w:sz="4" w:space="0"/>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公文的签收、登记，来文可直接上传扫描件、文档附件等方式。</w:t>
            </w:r>
          </w:p>
        </w:tc>
      </w:tr>
      <w:tr>
        <w:tblPrEx>
          <w:tblCellMar>
            <w:top w:w="0" w:type="dxa"/>
            <w:left w:w="108" w:type="dxa"/>
            <w:bottom w:w="0" w:type="dxa"/>
            <w:right w:w="108" w:type="dxa"/>
          </w:tblCellMar>
        </w:tblPrEx>
        <w:trPr>
          <w:trHeight w:val="1120" w:hRule="atLeast"/>
        </w:trPr>
        <w:tc>
          <w:tcPr>
            <w:tcW w:w="1480" w:type="dxa"/>
            <w:vMerge w:val="continue"/>
            <w:tcBorders>
              <w:left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p>
        </w:tc>
        <w:tc>
          <w:tcPr>
            <w:tcW w:w="208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待办收文</w:t>
            </w:r>
          </w:p>
        </w:tc>
        <w:tc>
          <w:tcPr>
            <w:tcW w:w="4560" w:type="dxa"/>
            <w:tcBorders>
              <w:top w:val="single" w:color="auto" w:sz="4" w:space="0"/>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收文的审批、传阅、分发、上报、修改文号、公文转发文等操作，可设置传阅对象、传阅范围、时效性、通知方式等、支持手写签批、电子签章等功能。</w:t>
            </w:r>
          </w:p>
        </w:tc>
      </w:tr>
      <w:tr>
        <w:tblPrEx>
          <w:tblCellMar>
            <w:top w:w="0" w:type="dxa"/>
            <w:left w:w="108" w:type="dxa"/>
            <w:bottom w:w="0" w:type="dxa"/>
            <w:right w:w="108" w:type="dxa"/>
          </w:tblCellMar>
        </w:tblPrEx>
        <w:trPr>
          <w:trHeight w:val="1120" w:hRule="atLeast"/>
        </w:trPr>
        <w:tc>
          <w:tcPr>
            <w:tcW w:w="1480" w:type="dxa"/>
            <w:vMerge w:val="continue"/>
            <w:tcBorders>
              <w:left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p>
        </w:tc>
        <w:tc>
          <w:tcPr>
            <w:tcW w:w="208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收文归档</w:t>
            </w:r>
          </w:p>
        </w:tc>
        <w:tc>
          <w:tcPr>
            <w:tcW w:w="4560" w:type="dxa"/>
            <w:tcBorders>
              <w:top w:val="single" w:color="auto" w:sz="4" w:space="0"/>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收文审批后进行归档。</w:t>
            </w:r>
          </w:p>
        </w:tc>
      </w:tr>
      <w:tr>
        <w:tblPrEx>
          <w:tblCellMar>
            <w:top w:w="0" w:type="dxa"/>
            <w:left w:w="108" w:type="dxa"/>
            <w:bottom w:w="0" w:type="dxa"/>
            <w:right w:w="108" w:type="dxa"/>
          </w:tblCellMar>
        </w:tblPrEx>
        <w:trPr>
          <w:trHeight w:val="1120" w:hRule="atLeast"/>
        </w:trPr>
        <w:tc>
          <w:tcPr>
            <w:tcW w:w="1480" w:type="dxa"/>
            <w:vMerge w:val="continue"/>
            <w:tcBorders>
              <w:left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p>
        </w:tc>
        <w:tc>
          <w:tcPr>
            <w:tcW w:w="208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公文库</w:t>
            </w:r>
          </w:p>
        </w:tc>
        <w:tc>
          <w:tcPr>
            <w:tcW w:w="4560" w:type="dxa"/>
            <w:tcBorders>
              <w:top w:val="single" w:color="auto" w:sz="4" w:space="0"/>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可以对归档后公文进行查询。</w:t>
            </w:r>
          </w:p>
        </w:tc>
      </w:tr>
      <w:tr>
        <w:tblPrEx>
          <w:tblCellMar>
            <w:top w:w="0" w:type="dxa"/>
            <w:left w:w="108" w:type="dxa"/>
            <w:bottom w:w="0" w:type="dxa"/>
            <w:right w:w="108" w:type="dxa"/>
          </w:tblCellMar>
        </w:tblPrEx>
        <w:trPr>
          <w:trHeight w:val="1120" w:hRule="atLeast"/>
        </w:trPr>
        <w:tc>
          <w:tcPr>
            <w:tcW w:w="1480" w:type="dxa"/>
            <w:vMerge w:val="continue"/>
            <w:tcBorders>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p>
        </w:tc>
        <w:tc>
          <w:tcPr>
            <w:tcW w:w="2080"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权限管理</w:t>
            </w:r>
          </w:p>
        </w:tc>
        <w:tc>
          <w:tcPr>
            <w:tcW w:w="4560" w:type="dxa"/>
            <w:tcBorders>
              <w:top w:val="single" w:color="auto" w:sz="4" w:space="0"/>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对接市大数据中心统一身份管理体系，管理用户发文、收文、编辑审批等权限</w:t>
            </w:r>
          </w:p>
        </w:tc>
      </w:tr>
    </w:tbl>
    <w:p>
      <w:pPr>
        <w:pStyle w:val="3"/>
        <w:ind w:firstLine="0" w:firstLineChars="0"/>
        <w:rPr>
          <w:color w:val="auto"/>
          <w:highlight w:val="none"/>
        </w:rPr>
      </w:pPr>
    </w:p>
    <w:p>
      <w:pPr>
        <w:pStyle w:val="7"/>
        <w:rPr>
          <w:color w:val="auto"/>
          <w:highlight w:val="none"/>
        </w:rPr>
      </w:pPr>
      <w:bookmarkStart w:id="20" w:name="_Hlk169513907"/>
      <w:r>
        <w:rPr>
          <w:rFonts w:hint="eastAsia"/>
          <w:color w:val="auto"/>
          <w:highlight w:val="none"/>
        </w:rPr>
        <w:t>工作流引擎</w:t>
      </w:r>
    </w:p>
    <w:p>
      <w:pPr>
        <w:pStyle w:val="3"/>
        <w:ind w:firstLine="480"/>
        <w:rPr>
          <w:color w:val="auto"/>
          <w:highlight w:val="none"/>
        </w:rPr>
      </w:pPr>
      <w:r>
        <w:rPr>
          <w:rFonts w:hint="eastAsia"/>
          <w:color w:val="auto"/>
          <w:highlight w:val="none"/>
        </w:rPr>
        <w:t>采购成熟的工作流引擎，服务于上海市监狱管理局内部的工作流管理与开发需求，所采购的工作流引擎应符合如下要求：</w:t>
      </w:r>
    </w:p>
    <w:tbl>
      <w:tblPr>
        <w:tblStyle w:val="35"/>
        <w:tblW w:w="8120" w:type="dxa"/>
        <w:tblInd w:w="0" w:type="dxa"/>
        <w:tblLayout w:type="autofit"/>
        <w:tblCellMar>
          <w:top w:w="0" w:type="dxa"/>
          <w:left w:w="108" w:type="dxa"/>
          <w:bottom w:w="0" w:type="dxa"/>
          <w:right w:w="108" w:type="dxa"/>
        </w:tblCellMar>
      </w:tblPr>
      <w:tblGrid>
        <w:gridCol w:w="1480"/>
        <w:gridCol w:w="2080"/>
        <w:gridCol w:w="4560"/>
      </w:tblGrid>
      <w:tr>
        <w:tblPrEx>
          <w:tblCellMar>
            <w:top w:w="0" w:type="dxa"/>
            <w:left w:w="108" w:type="dxa"/>
            <w:bottom w:w="0" w:type="dxa"/>
            <w:right w:w="108" w:type="dxa"/>
          </w:tblCellMar>
        </w:tblPrEx>
        <w:trPr>
          <w:trHeight w:val="280" w:hRule="atLeast"/>
        </w:trPr>
        <w:tc>
          <w:tcPr>
            <w:tcW w:w="1480" w:type="dxa"/>
            <w:tcBorders>
              <w:top w:val="single" w:color="auto" w:sz="4" w:space="0"/>
              <w:left w:val="single" w:color="auto" w:sz="4" w:space="0"/>
              <w:bottom w:val="single" w:color="auto" w:sz="4" w:space="0"/>
              <w:right w:val="single" w:color="auto" w:sz="4" w:space="0"/>
            </w:tcBorders>
            <w:shd w:val="clear" w:color="000000" w:fill="F2F2F2"/>
            <w:vAlign w:val="center"/>
          </w:tcPr>
          <w:p>
            <w:pPr>
              <w:jc w:val="center"/>
              <w:rPr>
                <w:rFonts w:ascii="宋体" w:hAnsi="宋体" w:eastAsia="宋体" w:cs="宋体"/>
                <w:b/>
                <w:bCs/>
                <w:color w:val="auto"/>
                <w:sz w:val="22"/>
                <w:szCs w:val="22"/>
                <w:highlight w:val="none"/>
              </w:rPr>
            </w:pPr>
            <w:bookmarkStart w:id="21" w:name="_Hlk164947461"/>
            <w:r>
              <w:rPr>
                <w:rFonts w:hint="eastAsia" w:ascii="宋体" w:hAnsi="宋体" w:eastAsia="宋体" w:cs="宋体"/>
                <w:b/>
                <w:bCs/>
                <w:color w:val="auto"/>
                <w:sz w:val="22"/>
                <w:szCs w:val="22"/>
                <w:highlight w:val="none"/>
              </w:rPr>
              <w:t>分类</w:t>
            </w:r>
          </w:p>
        </w:tc>
        <w:tc>
          <w:tcPr>
            <w:tcW w:w="2080" w:type="dxa"/>
            <w:tcBorders>
              <w:top w:val="single" w:color="auto" w:sz="4" w:space="0"/>
              <w:left w:val="nil"/>
              <w:bottom w:val="single" w:color="auto" w:sz="4" w:space="0"/>
              <w:right w:val="single" w:color="auto" w:sz="4" w:space="0"/>
            </w:tcBorders>
            <w:shd w:val="clear" w:color="000000" w:fill="F2F2F2"/>
            <w:vAlign w:val="center"/>
          </w:tcPr>
          <w:p>
            <w:pPr>
              <w:jc w:val="center"/>
              <w:rPr>
                <w:rFonts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功能</w:t>
            </w:r>
          </w:p>
        </w:tc>
        <w:tc>
          <w:tcPr>
            <w:tcW w:w="4560" w:type="dxa"/>
            <w:tcBorders>
              <w:top w:val="single" w:color="auto" w:sz="4" w:space="0"/>
              <w:left w:val="nil"/>
              <w:bottom w:val="single" w:color="auto" w:sz="4" w:space="0"/>
              <w:right w:val="single" w:color="auto" w:sz="4" w:space="0"/>
            </w:tcBorders>
            <w:shd w:val="clear" w:color="000000" w:fill="F2F2F2"/>
            <w:vAlign w:val="center"/>
          </w:tcPr>
          <w:p>
            <w:pPr>
              <w:jc w:val="center"/>
              <w:rPr>
                <w:rFonts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功能描述</w:t>
            </w:r>
          </w:p>
        </w:tc>
      </w:tr>
      <w:bookmarkEnd w:id="21"/>
      <w:tr>
        <w:tblPrEx>
          <w:tblCellMar>
            <w:top w:w="0" w:type="dxa"/>
            <w:left w:w="108" w:type="dxa"/>
            <w:bottom w:w="0" w:type="dxa"/>
            <w:right w:w="108" w:type="dxa"/>
          </w:tblCellMar>
        </w:tblPrEx>
        <w:trPr>
          <w:trHeight w:val="1120" w:hRule="atLeast"/>
        </w:trPr>
        <w:tc>
          <w:tcPr>
            <w:tcW w:w="1480" w:type="dxa"/>
            <w:vMerge w:val="restart"/>
            <w:tcBorders>
              <w:top w:val="nil"/>
              <w:left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流程建模、设计、开发功能要求</w:t>
            </w:r>
          </w:p>
        </w:tc>
        <w:tc>
          <w:tcPr>
            <w:tcW w:w="2080" w:type="dxa"/>
            <w:vMerge w:val="restart"/>
            <w:tcBorders>
              <w:top w:val="nil"/>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流程建模环境</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流程平台支持基于WEB浏览器面向业务人员的流程建模，支持业务人员与技术人员在同一个产品的一体化的建模环境中对完整的业务流程进行协同建模</w:t>
            </w:r>
          </w:p>
        </w:tc>
      </w:tr>
      <w:tr>
        <w:tblPrEx>
          <w:tblCellMar>
            <w:top w:w="0" w:type="dxa"/>
            <w:left w:w="108" w:type="dxa"/>
            <w:bottom w:w="0" w:type="dxa"/>
            <w:right w:w="108" w:type="dxa"/>
          </w:tblCellMar>
        </w:tblPrEx>
        <w:trPr>
          <w:trHeight w:val="840" w:hRule="atLeast"/>
        </w:trPr>
        <w:tc>
          <w:tcPr>
            <w:tcW w:w="1480" w:type="dxa"/>
            <w:vMerge w:val="continue"/>
            <w:tcBorders>
              <w:left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支持流程设计环境以PlugIn的方式与应用开发环境和开发框架融合，实现应用与流程一体化集成开发。</w:t>
            </w:r>
          </w:p>
        </w:tc>
      </w:tr>
      <w:tr>
        <w:tblPrEx>
          <w:tblCellMar>
            <w:top w:w="0" w:type="dxa"/>
            <w:left w:w="108" w:type="dxa"/>
            <w:bottom w:w="0" w:type="dxa"/>
            <w:right w:w="108" w:type="dxa"/>
          </w:tblCellMar>
        </w:tblPrEx>
        <w:trPr>
          <w:trHeight w:val="560" w:hRule="atLeast"/>
        </w:trPr>
        <w:tc>
          <w:tcPr>
            <w:tcW w:w="1480" w:type="dxa"/>
            <w:vMerge w:val="continue"/>
            <w:tcBorders>
              <w:left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流程流转模式</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支持灵活的流转模式，如自由流、并行会签、串行会签、流程回退及业务补偿等复杂模式。</w:t>
            </w:r>
          </w:p>
        </w:tc>
      </w:tr>
      <w:tr>
        <w:tblPrEx>
          <w:tblCellMar>
            <w:top w:w="0" w:type="dxa"/>
            <w:left w:w="108" w:type="dxa"/>
            <w:bottom w:w="0" w:type="dxa"/>
            <w:right w:w="108" w:type="dxa"/>
          </w:tblCellMar>
        </w:tblPrEx>
        <w:trPr>
          <w:trHeight w:val="1400" w:hRule="atLeast"/>
        </w:trPr>
        <w:tc>
          <w:tcPr>
            <w:tcW w:w="1480" w:type="dxa"/>
            <w:vMerge w:val="continue"/>
            <w:tcBorders>
              <w:left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restart"/>
            <w:tcBorders>
              <w:top w:val="nil"/>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流程任务分配</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支持灵活的任务分配策略，包括： 在流程定义时基于机构/岗位/角色/人员及其组合分配、流程运行时动态指派任务处理人、通过业务人员配置的业务规则获取任务处理人、通过程序逻辑机制实现更灵活的任务处理人动态计算</w:t>
            </w:r>
          </w:p>
        </w:tc>
      </w:tr>
      <w:tr>
        <w:tblPrEx>
          <w:tblCellMar>
            <w:top w:w="0" w:type="dxa"/>
            <w:left w:w="108" w:type="dxa"/>
            <w:bottom w:w="0" w:type="dxa"/>
            <w:right w:w="108" w:type="dxa"/>
          </w:tblCellMar>
        </w:tblPrEx>
        <w:trPr>
          <w:trHeight w:val="840" w:hRule="atLeast"/>
        </w:trPr>
        <w:tc>
          <w:tcPr>
            <w:tcW w:w="1480" w:type="dxa"/>
            <w:vMerge w:val="continue"/>
            <w:tcBorders>
              <w:left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支持动态多子流程实例分配，无需设计时明确子流程实例的个数，可以在运行时根据上下文数据动态分配子流程实例。</w:t>
            </w:r>
          </w:p>
        </w:tc>
      </w:tr>
      <w:tr>
        <w:tblPrEx>
          <w:tblCellMar>
            <w:top w:w="0" w:type="dxa"/>
            <w:left w:w="108" w:type="dxa"/>
            <w:bottom w:w="0" w:type="dxa"/>
            <w:right w:w="108" w:type="dxa"/>
          </w:tblCellMar>
        </w:tblPrEx>
        <w:trPr>
          <w:trHeight w:val="840" w:hRule="atLeast"/>
        </w:trPr>
        <w:tc>
          <w:tcPr>
            <w:tcW w:w="1480" w:type="dxa"/>
            <w:vMerge w:val="continue"/>
            <w:tcBorders>
              <w:left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restart"/>
            <w:tcBorders>
              <w:top w:val="nil"/>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流程规则配置</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支持通过多种方式设置流程流转规则，可以通过业务规则、脚本等方式进行设置，并能够通过Web界面实时动态调整。</w:t>
            </w:r>
          </w:p>
        </w:tc>
      </w:tr>
      <w:tr>
        <w:tblPrEx>
          <w:tblCellMar>
            <w:top w:w="0" w:type="dxa"/>
            <w:left w:w="108" w:type="dxa"/>
            <w:bottom w:w="0" w:type="dxa"/>
            <w:right w:w="108" w:type="dxa"/>
          </w:tblCellMar>
        </w:tblPrEx>
        <w:trPr>
          <w:trHeight w:val="1120" w:hRule="atLeast"/>
        </w:trPr>
        <w:tc>
          <w:tcPr>
            <w:tcW w:w="1480" w:type="dxa"/>
            <w:vMerge w:val="continue"/>
            <w:tcBorders>
              <w:left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支持灵活的流程、活动、任务超时处理，并且支持运行时动态调整超时限制，可以在超时时刻触发指定的业务逻辑实现灵活的通知以及其它业务扩展。</w:t>
            </w:r>
          </w:p>
        </w:tc>
      </w:tr>
      <w:tr>
        <w:tblPrEx>
          <w:tblCellMar>
            <w:top w:w="0" w:type="dxa"/>
            <w:left w:w="108" w:type="dxa"/>
            <w:bottom w:w="0" w:type="dxa"/>
            <w:right w:w="108" w:type="dxa"/>
          </w:tblCellMar>
        </w:tblPrEx>
        <w:trPr>
          <w:trHeight w:val="1120" w:hRule="atLeast"/>
        </w:trPr>
        <w:tc>
          <w:tcPr>
            <w:tcW w:w="1480" w:type="dxa"/>
            <w:vMerge w:val="continue"/>
            <w:tcBorders>
              <w:left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支持定义灵活的工作日历，可以定义工作日和非工作日，工作日又可以定义工作时段，并且可以针对不同的业务需要或针对不同的机构、角色分别定义工作日历。</w:t>
            </w:r>
          </w:p>
        </w:tc>
      </w:tr>
      <w:tr>
        <w:tblPrEx>
          <w:tblCellMar>
            <w:top w:w="0" w:type="dxa"/>
            <w:left w:w="108" w:type="dxa"/>
            <w:bottom w:w="0" w:type="dxa"/>
            <w:right w:w="108" w:type="dxa"/>
          </w:tblCellMar>
        </w:tblPrEx>
        <w:trPr>
          <w:trHeight w:val="1400" w:hRule="atLeast"/>
        </w:trPr>
        <w:tc>
          <w:tcPr>
            <w:tcW w:w="1480" w:type="dxa"/>
            <w:vMerge w:val="continue"/>
            <w:tcBorders>
              <w:left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支持用户的工作项管理灵活多样，能声明、批准、拒绝或传递。支持多种方式的任务代理与委托机制（全部代理、部分代理、全部＋例外），并支持代理传递与追溯，实现灵活的任务转交/移交。</w:t>
            </w:r>
          </w:p>
        </w:tc>
      </w:tr>
      <w:tr>
        <w:tblPrEx>
          <w:tblCellMar>
            <w:top w:w="0" w:type="dxa"/>
            <w:left w:w="108" w:type="dxa"/>
            <w:bottom w:w="0" w:type="dxa"/>
            <w:right w:w="108" w:type="dxa"/>
          </w:tblCellMar>
        </w:tblPrEx>
        <w:trPr>
          <w:trHeight w:val="560" w:hRule="atLeast"/>
        </w:trPr>
        <w:tc>
          <w:tcPr>
            <w:tcW w:w="1480" w:type="dxa"/>
            <w:vMerge w:val="continue"/>
            <w:tcBorders>
              <w:left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支持流程相关业务规则的建模，包括流程流转规则的建模、任务参与者选择规则的建模等。</w:t>
            </w:r>
          </w:p>
        </w:tc>
      </w:tr>
      <w:tr>
        <w:tblPrEx>
          <w:tblCellMar>
            <w:top w:w="0" w:type="dxa"/>
            <w:left w:w="108" w:type="dxa"/>
            <w:bottom w:w="0" w:type="dxa"/>
            <w:right w:w="108" w:type="dxa"/>
          </w:tblCellMar>
        </w:tblPrEx>
        <w:trPr>
          <w:trHeight w:val="840" w:hRule="atLeast"/>
        </w:trPr>
        <w:tc>
          <w:tcPr>
            <w:tcW w:w="1480" w:type="dxa"/>
            <w:vMerge w:val="continue"/>
            <w:tcBorders>
              <w:left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支持业务规则的业务化调整，以“类自然语言”的方式进行表达，非编码方式响应规则的变更。</w:t>
            </w:r>
          </w:p>
        </w:tc>
      </w:tr>
      <w:tr>
        <w:tblPrEx>
          <w:tblCellMar>
            <w:top w:w="0" w:type="dxa"/>
            <w:left w:w="108" w:type="dxa"/>
            <w:bottom w:w="0" w:type="dxa"/>
            <w:right w:w="108" w:type="dxa"/>
          </w:tblCellMar>
        </w:tblPrEx>
        <w:trPr>
          <w:trHeight w:val="840" w:hRule="atLeast"/>
        </w:trPr>
        <w:tc>
          <w:tcPr>
            <w:tcW w:w="1480" w:type="dxa"/>
            <w:vMerge w:val="continue"/>
            <w:tcBorders>
              <w:left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restart"/>
            <w:tcBorders>
              <w:top w:val="nil"/>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快速流程实施</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提供快速流程实施框架，流程工作台框架、流程框架SDK、流程任务中心和流程配置中心, 能够进行配置化的业务流程开发</w:t>
            </w:r>
          </w:p>
        </w:tc>
      </w:tr>
      <w:tr>
        <w:tblPrEx>
          <w:tblCellMar>
            <w:top w:w="0" w:type="dxa"/>
            <w:left w:w="108" w:type="dxa"/>
            <w:bottom w:w="0" w:type="dxa"/>
            <w:right w:w="108" w:type="dxa"/>
          </w:tblCellMar>
        </w:tblPrEx>
        <w:trPr>
          <w:trHeight w:val="1120" w:hRule="atLeast"/>
        </w:trPr>
        <w:tc>
          <w:tcPr>
            <w:tcW w:w="1480" w:type="dxa"/>
            <w:vMerge w:val="continue"/>
            <w:tcBorders>
              <w:left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具备供灵活的表单配置，提供流程发起表单和流程执行任务执行表单，表单中定义了公共区域，公共区域会提供了流程操作中常用的操作按钮、审批意见、流程操作日志等共性功能。</w:t>
            </w:r>
          </w:p>
        </w:tc>
      </w:tr>
      <w:tr>
        <w:tblPrEx>
          <w:tblCellMar>
            <w:top w:w="0" w:type="dxa"/>
            <w:left w:w="108" w:type="dxa"/>
            <w:bottom w:w="0" w:type="dxa"/>
            <w:right w:w="108" w:type="dxa"/>
          </w:tblCellMar>
        </w:tblPrEx>
        <w:trPr>
          <w:trHeight w:val="560" w:hRule="atLeast"/>
        </w:trPr>
        <w:tc>
          <w:tcPr>
            <w:tcW w:w="1480" w:type="dxa"/>
            <w:vMerge w:val="continue"/>
            <w:tcBorders>
              <w:left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提供配置化流程框架，支持：流程属性配置、流程实例配置、流程权限管理、流程操作配置</w:t>
            </w:r>
          </w:p>
        </w:tc>
      </w:tr>
      <w:tr>
        <w:tblPrEx>
          <w:tblCellMar>
            <w:top w:w="0" w:type="dxa"/>
            <w:left w:w="108" w:type="dxa"/>
            <w:bottom w:w="0" w:type="dxa"/>
            <w:right w:w="108" w:type="dxa"/>
          </w:tblCellMar>
        </w:tblPrEx>
        <w:trPr>
          <w:trHeight w:val="840" w:hRule="atLeast"/>
        </w:trPr>
        <w:tc>
          <w:tcPr>
            <w:tcW w:w="1480" w:type="dxa"/>
            <w:vMerge w:val="continue"/>
            <w:tcBorders>
              <w:left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提供可选的低代码开发组件，能够进行拖拽模式低代码的流程与业务表单开发，方便业务与实施人员进行快速流程开发</w:t>
            </w:r>
          </w:p>
        </w:tc>
      </w:tr>
      <w:tr>
        <w:tblPrEx>
          <w:tblCellMar>
            <w:top w:w="0" w:type="dxa"/>
            <w:left w:w="108" w:type="dxa"/>
            <w:bottom w:w="0" w:type="dxa"/>
            <w:right w:w="108" w:type="dxa"/>
          </w:tblCellMar>
        </w:tblPrEx>
        <w:trPr>
          <w:trHeight w:val="1120" w:hRule="atLeast"/>
        </w:trPr>
        <w:tc>
          <w:tcPr>
            <w:tcW w:w="1480" w:type="dxa"/>
            <w:vMerge w:val="continue"/>
            <w:tcBorders>
              <w:left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异常处理与人工干预</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支持灵活的异常处理策略：在出现异常时可以执行功能逻辑进行补偿；转到人工环节进行人工干预；转到异常监控中由管理员进行干预等。</w:t>
            </w:r>
          </w:p>
        </w:tc>
      </w:tr>
      <w:tr>
        <w:tblPrEx>
          <w:tblCellMar>
            <w:top w:w="0" w:type="dxa"/>
            <w:left w:w="108" w:type="dxa"/>
            <w:bottom w:w="0" w:type="dxa"/>
            <w:right w:w="108" w:type="dxa"/>
          </w:tblCellMar>
        </w:tblPrEx>
        <w:trPr>
          <w:trHeight w:val="1120" w:hRule="atLeast"/>
        </w:trPr>
        <w:tc>
          <w:tcPr>
            <w:tcW w:w="1480" w:type="dxa"/>
            <w:vMerge w:val="continue"/>
            <w:tcBorders>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统一身份与电子签章对接</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对于工作流引擎内的流程，因基于统一身份认证所提供的身份信息进行流程执行。同时应支持对接市大数据中心电子签章的对接，支持“拖拉拽”组件的方式对流程表单进行签章功能配置，提供sms验签集成的能力；提供签章的权限配置管理 自定义扩展的能力。</w:t>
            </w:r>
          </w:p>
        </w:tc>
      </w:tr>
      <w:tr>
        <w:tblPrEx>
          <w:tblCellMar>
            <w:top w:w="0" w:type="dxa"/>
            <w:left w:w="108" w:type="dxa"/>
            <w:bottom w:w="0" w:type="dxa"/>
            <w:right w:w="108" w:type="dxa"/>
          </w:tblCellMar>
        </w:tblPrEx>
        <w:trPr>
          <w:trHeight w:val="560" w:hRule="atLeast"/>
        </w:trPr>
        <w:tc>
          <w:tcPr>
            <w:tcW w:w="148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流程部署与执行功能要求</w:t>
            </w:r>
          </w:p>
        </w:tc>
        <w:tc>
          <w:tcPr>
            <w:tcW w:w="2080" w:type="dxa"/>
            <w:vMerge w:val="restart"/>
            <w:tcBorders>
              <w:top w:val="nil"/>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部署与集群</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支持流程引擎独立部署（统一流程服务）、流程嵌入式部署（专属流程服务）两种方式。</w:t>
            </w:r>
          </w:p>
        </w:tc>
      </w:tr>
      <w:tr>
        <w:tblPrEx>
          <w:tblCellMar>
            <w:top w:w="0" w:type="dxa"/>
            <w:left w:w="108" w:type="dxa"/>
            <w:bottom w:w="0" w:type="dxa"/>
            <w:right w:w="108" w:type="dxa"/>
          </w:tblCellMar>
        </w:tblPrEx>
        <w:trPr>
          <w:trHeight w:val="84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流程平台具有良好的可扩展性，支持多种方式的集群，可以实现服务器级和硬件级的不停机扩展。</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支持流程引擎与业务应用的独立部署和集成部署等多种部署模式。</w:t>
            </w:r>
          </w:p>
        </w:tc>
      </w:tr>
      <w:tr>
        <w:tblPrEx>
          <w:tblCellMar>
            <w:top w:w="0" w:type="dxa"/>
            <w:left w:w="108" w:type="dxa"/>
            <w:bottom w:w="0" w:type="dxa"/>
            <w:right w:w="108" w:type="dxa"/>
          </w:tblCellMar>
        </w:tblPrEx>
        <w:trPr>
          <w:trHeight w:val="112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restart"/>
            <w:tcBorders>
              <w:top w:val="nil"/>
              <w:left w:val="single" w:color="auto" w:sz="4" w:space="0"/>
              <w:bottom w:val="single" w:color="auto" w:sz="4" w:space="0"/>
              <w:right w:val="single" w:color="auto" w:sz="4" w:space="0"/>
            </w:tcBorders>
            <w:shd w:val="clear" w:color="auto" w:fill="auto"/>
            <w:noWrap/>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流程执行</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支持流程及流程活动的同步/异步执行。同步执行的活动，流程需要等待活动完成才能继续，对于异步执行的活动，流程在触发活动运行后，继续进行下一环节。</w:t>
            </w:r>
          </w:p>
        </w:tc>
      </w:tr>
      <w:tr>
        <w:tblPrEx>
          <w:tblCellMar>
            <w:top w:w="0" w:type="dxa"/>
            <w:left w:w="108" w:type="dxa"/>
            <w:bottom w:w="0" w:type="dxa"/>
            <w:right w:w="108" w:type="dxa"/>
          </w:tblCellMar>
        </w:tblPrEx>
        <w:trPr>
          <w:trHeight w:val="84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支持流程活动灵活的启动和完成策略，可以自动启动和自动完成，也可以人工启动/完成，或根据业务规则判断启动和完成策略。</w:t>
            </w:r>
          </w:p>
        </w:tc>
      </w:tr>
      <w:tr>
        <w:tblPrEx>
          <w:tblCellMar>
            <w:top w:w="0" w:type="dxa"/>
            <w:left w:w="108" w:type="dxa"/>
            <w:bottom w:w="0" w:type="dxa"/>
            <w:right w:w="108" w:type="dxa"/>
          </w:tblCellMar>
        </w:tblPrEx>
        <w:trPr>
          <w:trHeight w:val="84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支持流程运行库和历史库分离，使得对历史数据的查询和分析不会影响当前流程执行，有效提升当前流程执行的效率。</w:t>
            </w:r>
          </w:p>
        </w:tc>
      </w:tr>
      <w:tr>
        <w:tblPrEx>
          <w:tblCellMar>
            <w:top w:w="0" w:type="dxa"/>
            <w:left w:w="108" w:type="dxa"/>
            <w:bottom w:w="0" w:type="dxa"/>
            <w:right w:w="108" w:type="dxa"/>
          </w:tblCellMar>
        </w:tblPrEx>
        <w:trPr>
          <w:trHeight w:val="1120" w:hRule="atLeast"/>
        </w:trPr>
        <w:tc>
          <w:tcPr>
            <w:tcW w:w="148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流程管理与监控功能要求</w:t>
            </w:r>
          </w:p>
        </w:tc>
        <w:tc>
          <w:tcPr>
            <w:tcW w:w="2080" w:type="dxa"/>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图形化管理工作台</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流程平台包含可客户化的图形操作界面，提供启动、管理和监视流程的功能，并能够很好的与用户应用集成，提供整套API供用户或第三方开发管理界面。</w:t>
            </w:r>
          </w:p>
        </w:tc>
      </w:tr>
      <w:tr>
        <w:tblPrEx>
          <w:tblCellMar>
            <w:top w:w="0" w:type="dxa"/>
            <w:left w:w="108" w:type="dxa"/>
            <w:bottom w:w="0" w:type="dxa"/>
            <w:right w:w="108" w:type="dxa"/>
          </w:tblCellMar>
        </w:tblPrEx>
        <w:trPr>
          <w:trHeight w:val="16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端到端流程管控</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流程平台需具备端到端的流程控制能力，不仅可以实现端到端流程“自始至终”和“自顶向下”的贯通监控，而且能够对流程进行运行时的控制，可以启动、停止、暂停和恢复执行流程实例，可以通过人性化的方式实时修改运行数据。</w:t>
            </w:r>
          </w:p>
        </w:tc>
      </w:tr>
      <w:tr>
        <w:tblPrEx>
          <w:tblCellMar>
            <w:top w:w="0" w:type="dxa"/>
            <w:left w:w="108" w:type="dxa"/>
            <w:bottom w:w="0" w:type="dxa"/>
            <w:right w:w="108" w:type="dxa"/>
          </w:tblCellMar>
        </w:tblPrEx>
        <w:trPr>
          <w:trHeight w:val="112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流程监控处理</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流程平台要能够实现正常执行的流程的审计监控和非正常执行流程的异常监控，并且可以在监控功能中实现对流程及活动实例的终止/挂起/恢复等人工干预。</w:t>
            </w:r>
          </w:p>
        </w:tc>
      </w:tr>
      <w:tr>
        <w:tblPrEx>
          <w:tblCellMar>
            <w:top w:w="0" w:type="dxa"/>
            <w:left w:w="108" w:type="dxa"/>
            <w:bottom w:w="0" w:type="dxa"/>
            <w:right w:w="108" w:type="dxa"/>
          </w:tblCellMar>
        </w:tblPrEx>
        <w:trPr>
          <w:trHeight w:val="84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管理权限配置</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支持指定不同的角色/人员对不同业务模块下的流程或实例进行分域管理、监控、调整等，清晰划分管控职责。</w:t>
            </w:r>
          </w:p>
        </w:tc>
      </w:tr>
      <w:tr>
        <w:tblPrEx>
          <w:tblCellMar>
            <w:top w:w="0" w:type="dxa"/>
            <w:left w:w="108" w:type="dxa"/>
            <w:bottom w:w="0" w:type="dxa"/>
            <w:right w:w="108" w:type="dxa"/>
          </w:tblCellMar>
        </w:tblPrEx>
        <w:trPr>
          <w:trHeight w:val="84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流程统计与开放</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流程平台要能够支持接口开放和数据库开放的统计分析，方便实现业务应用数据与流程执行数据紧密结合的统计分析。</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异常告警与处置</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提供异常告警功能，出现异常后具有相应的补偿操作机制。</w:t>
            </w:r>
          </w:p>
        </w:tc>
      </w:tr>
      <w:tr>
        <w:tblPrEx>
          <w:tblCellMar>
            <w:top w:w="0" w:type="dxa"/>
            <w:left w:w="108" w:type="dxa"/>
            <w:bottom w:w="0" w:type="dxa"/>
            <w:right w:w="108" w:type="dxa"/>
          </w:tblCellMar>
        </w:tblPrEx>
        <w:trPr>
          <w:trHeight w:val="1400" w:hRule="atLeast"/>
        </w:trPr>
        <w:tc>
          <w:tcPr>
            <w:tcW w:w="148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流程优化与调整功能要求</w:t>
            </w:r>
          </w:p>
        </w:tc>
        <w:tc>
          <w:tcPr>
            <w:tcW w:w="2080" w:type="dxa"/>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流程优化工具</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流程平台需要提供基于浏览器的良好的流程业务化流程调整工具支持，不但要与流程设计建模开发一体化，而且要求能够实现业务人员的流程调整和模拟测试，非编码方式快速响应流程变更。</w:t>
            </w:r>
          </w:p>
        </w:tc>
      </w:tr>
      <w:tr>
        <w:tblPrEx>
          <w:tblCellMar>
            <w:top w:w="0" w:type="dxa"/>
            <w:left w:w="108" w:type="dxa"/>
            <w:bottom w:w="0" w:type="dxa"/>
            <w:right w:w="108" w:type="dxa"/>
          </w:tblCellMar>
        </w:tblPrEx>
        <w:trPr>
          <w:trHeight w:val="84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流程变更缓存</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流程平台要能够支持业务流程和调整后进行临时存储、非即时生效，而是待统一调整完毕并验证后统一发布才生效，降低变更的风险。</w:t>
            </w:r>
          </w:p>
        </w:tc>
      </w:tr>
      <w:tr>
        <w:tblPrEx>
          <w:tblCellMar>
            <w:top w:w="0" w:type="dxa"/>
            <w:left w:w="108" w:type="dxa"/>
            <w:bottom w:w="0" w:type="dxa"/>
            <w:right w:w="108" w:type="dxa"/>
          </w:tblCellMar>
        </w:tblPrEx>
        <w:trPr>
          <w:trHeight w:val="112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流程版本管理</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要求流程变更时，支持灵活的版本管理和流程热部署，既可以支持同时多个版本运行，又可以将新发起流程实例和原来运行的流程实例都按照新版本运行。</w:t>
            </w:r>
          </w:p>
        </w:tc>
      </w:tr>
      <w:tr>
        <w:tblPrEx>
          <w:tblCellMar>
            <w:top w:w="0" w:type="dxa"/>
            <w:left w:w="108" w:type="dxa"/>
            <w:bottom w:w="0" w:type="dxa"/>
            <w:right w:w="108" w:type="dxa"/>
          </w:tblCellMar>
        </w:tblPrEx>
        <w:trPr>
          <w:trHeight w:val="840" w:hRule="atLeast"/>
        </w:trPr>
        <w:tc>
          <w:tcPr>
            <w:tcW w:w="148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对标准规范的支持要求</w:t>
            </w:r>
          </w:p>
        </w:tc>
        <w:tc>
          <w:tcPr>
            <w:tcW w:w="2080" w:type="dxa"/>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Java标准</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基于J2EE架构，支持基础的Java、JSP、XML、XSLT、XML Schema、XPATH、HTTP、EJB等规范与标准。</w:t>
            </w:r>
          </w:p>
        </w:tc>
      </w:tr>
      <w:tr>
        <w:tblPrEx>
          <w:tblCellMar>
            <w:top w:w="0" w:type="dxa"/>
            <w:left w:w="108" w:type="dxa"/>
            <w:bottom w:w="0" w:type="dxa"/>
            <w:right w:w="108" w:type="dxa"/>
          </w:tblCellMar>
        </w:tblPrEx>
        <w:trPr>
          <w:trHeight w:val="56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微服务架构</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 支持面向微服务体系架构，能够提供国内大型应用案例。</w:t>
            </w:r>
          </w:p>
        </w:tc>
      </w:tr>
      <w:tr>
        <w:tblPrEx>
          <w:tblCellMar>
            <w:top w:w="0" w:type="dxa"/>
            <w:left w:w="108" w:type="dxa"/>
            <w:bottom w:w="0" w:type="dxa"/>
            <w:right w:w="108" w:type="dxa"/>
          </w:tblCellMar>
        </w:tblPrEx>
        <w:trPr>
          <w:trHeight w:val="28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流程规范</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流程平台要求支持WfMC规范和标准。</w:t>
            </w:r>
          </w:p>
        </w:tc>
      </w:tr>
      <w:tr>
        <w:tblPrEx>
          <w:tblCellMar>
            <w:top w:w="0" w:type="dxa"/>
            <w:left w:w="108" w:type="dxa"/>
            <w:bottom w:w="0" w:type="dxa"/>
            <w:right w:w="108" w:type="dxa"/>
          </w:tblCellMar>
        </w:tblPrEx>
        <w:trPr>
          <w:trHeight w:val="840" w:hRule="atLeast"/>
        </w:trPr>
        <w:tc>
          <w:tcPr>
            <w:tcW w:w="148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对平台环境的支持要求</w:t>
            </w:r>
          </w:p>
        </w:tc>
        <w:tc>
          <w:tcPr>
            <w:tcW w:w="2080" w:type="dxa"/>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操作系统兼容</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支持广阔的系统平台，能运行在包括Windows、Linux、AIX、Solaris、HPUX、国产(信创)操作系统等系统之上。</w:t>
            </w:r>
          </w:p>
        </w:tc>
      </w:tr>
      <w:tr>
        <w:tblPrEx>
          <w:tblCellMar>
            <w:top w:w="0" w:type="dxa"/>
            <w:left w:w="108" w:type="dxa"/>
            <w:bottom w:w="0" w:type="dxa"/>
            <w:right w:w="108" w:type="dxa"/>
          </w:tblCellMar>
        </w:tblPrEx>
        <w:trPr>
          <w:trHeight w:val="84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数据库兼容</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支持目前流行的数据库平台，包括DB2，Oracle，Informix、Sybase、SQL Server、国产(信创)数据库等。</w:t>
            </w:r>
          </w:p>
        </w:tc>
      </w:tr>
      <w:tr>
        <w:tblPrEx>
          <w:tblCellMar>
            <w:top w:w="0" w:type="dxa"/>
            <w:left w:w="108" w:type="dxa"/>
            <w:bottom w:w="0" w:type="dxa"/>
            <w:right w:w="108" w:type="dxa"/>
          </w:tblCellMar>
        </w:tblPrEx>
        <w:trPr>
          <w:trHeight w:val="112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运行服务器兼容</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运行的应用服务器支持J2EE1.5以上规范，支持EJB、JMS等规范，包括IBM WebSphere，Oracle WebLogic Server、JBoss、Tomcat、国产(信创)应用服务器等。</w:t>
            </w:r>
          </w:p>
        </w:tc>
      </w:tr>
      <w:tr>
        <w:tblPrEx>
          <w:tblCellMar>
            <w:top w:w="0" w:type="dxa"/>
            <w:left w:w="108" w:type="dxa"/>
            <w:bottom w:w="0" w:type="dxa"/>
            <w:right w:w="108" w:type="dxa"/>
          </w:tblCellMar>
        </w:tblPrEx>
        <w:trPr>
          <w:trHeight w:val="1120" w:hRule="atLeast"/>
        </w:trPr>
        <w:tc>
          <w:tcPr>
            <w:tcW w:w="148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产品性能和稳定性要求</w:t>
            </w:r>
          </w:p>
        </w:tc>
        <w:tc>
          <w:tcPr>
            <w:tcW w:w="2080" w:type="dxa"/>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高并发与集群</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 xml:space="preserve"> 流程平台要支持集群，承受大量用户的并发访问和大量流程的并发运行。并且为了性能考虑，可以支持不依赖应用服务器集群的BPM服务器集群。</w:t>
            </w:r>
          </w:p>
        </w:tc>
      </w:tr>
      <w:tr>
        <w:tblPrEx>
          <w:tblCellMar>
            <w:top w:w="0" w:type="dxa"/>
            <w:left w:w="108" w:type="dxa"/>
            <w:bottom w:w="0" w:type="dxa"/>
            <w:right w:w="108" w:type="dxa"/>
          </w:tblCellMar>
        </w:tblPrEx>
        <w:trPr>
          <w:trHeight w:val="840" w:hRule="atLeast"/>
        </w:trPr>
        <w:tc>
          <w:tcPr>
            <w:tcW w:w="148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c>
          <w:tcPr>
            <w:tcW w:w="2080" w:type="dxa"/>
            <w:tcBorders>
              <w:top w:val="nil"/>
              <w:left w:val="nil"/>
              <w:bottom w:val="single" w:color="auto" w:sz="4" w:space="0"/>
              <w:right w:val="single" w:color="auto" w:sz="4" w:space="0"/>
            </w:tcBorders>
            <w:shd w:val="clear" w:color="auto" w:fill="auto"/>
            <w:noWrap/>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稳定运行</w:t>
            </w:r>
          </w:p>
        </w:tc>
        <w:tc>
          <w:tcPr>
            <w:tcW w:w="456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流程平台要能够满足长时间运行的稳定性，即使长时间高压力下运行释放压力后，各种资源能够顺利回收，系统一切运行指标正常。</w:t>
            </w:r>
          </w:p>
        </w:tc>
      </w:tr>
      <w:bookmarkEnd w:id="20"/>
    </w:tbl>
    <w:p>
      <w:pPr>
        <w:pStyle w:val="6"/>
        <w:rPr>
          <w:color w:val="auto"/>
          <w:highlight w:val="none"/>
        </w:rPr>
      </w:pPr>
      <w:r>
        <w:rPr>
          <w:rFonts w:hint="eastAsia"/>
          <w:color w:val="auto"/>
          <w:highlight w:val="none"/>
        </w:rPr>
        <w:t>轻应用标准建设要求</w:t>
      </w:r>
    </w:p>
    <w:p>
      <w:pPr>
        <w:pStyle w:val="7"/>
        <w:rPr>
          <w:color w:val="auto"/>
          <w:highlight w:val="none"/>
        </w:rPr>
      </w:pPr>
      <w:r>
        <w:rPr>
          <w:rFonts w:hint="eastAsia"/>
          <w:color w:val="auto"/>
          <w:highlight w:val="none"/>
        </w:rPr>
        <w:t>可视化界面设计</w:t>
      </w:r>
    </w:p>
    <w:p>
      <w:pPr>
        <w:pStyle w:val="3"/>
        <w:ind w:firstLine="480"/>
        <w:rPr>
          <w:color w:val="auto"/>
          <w:highlight w:val="none"/>
        </w:rPr>
      </w:pPr>
      <w:r>
        <w:rPr>
          <w:rFonts w:hint="eastAsia"/>
          <w:color w:val="auto"/>
          <w:highlight w:val="none"/>
        </w:rPr>
        <w:t>投标人应提供统一可视化界面设计，包括但不限于：设计原则、设计语言、组件库、原则设计理论、文字规范、网格系统、交互和可用性、视觉层次、反馈性等。</w:t>
      </w:r>
    </w:p>
    <w:p>
      <w:pPr>
        <w:pStyle w:val="3"/>
        <w:ind w:firstLine="480"/>
        <w:rPr>
          <w:color w:val="auto"/>
          <w:highlight w:val="none"/>
        </w:rPr>
      </w:pPr>
      <w:r>
        <w:rPr>
          <w:rFonts w:hint="eastAsia"/>
          <w:color w:val="auto"/>
          <w:highlight w:val="none"/>
        </w:rPr>
        <w:t>投标人应在投标文件中给出设计样例，并在实施过程中深化设计，在经由上海市监狱管理局确认后，形成最终可视化界面设计。并在本次平台建设内的各轻应用开发部署过程中，保持系统全局的可视化界面一致性。</w:t>
      </w:r>
    </w:p>
    <w:p>
      <w:pPr>
        <w:pStyle w:val="3"/>
        <w:ind w:firstLine="480"/>
        <w:rPr>
          <w:color w:val="auto"/>
          <w:highlight w:val="none"/>
        </w:rPr>
      </w:pPr>
      <w:r>
        <w:rPr>
          <w:rFonts w:hint="eastAsia"/>
          <w:color w:val="auto"/>
          <w:highlight w:val="none"/>
        </w:rPr>
        <w:t>此外，为保障上海市监狱管理局全体系数据流、信息流、指挥流的一体贯通，同时赋能各层级业务人员的指挥调度、分析研判的业务需求，投标人在可视化界面设计过程中应充分考虑大屏、中屏、小屏的统合需求，通过合理的逻辑与指标考量，支持分指挥中心层、基层监狱层、移动警务轻应用层多场景、多端以清晰、明确的方式提供业务数据，支撑分析研判工作。</w:t>
      </w:r>
    </w:p>
    <w:p>
      <w:pPr>
        <w:pStyle w:val="3"/>
        <w:ind w:firstLine="480"/>
        <w:rPr>
          <w:color w:val="auto"/>
          <w:highlight w:val="none"/>
        </w:rPr>
      </w:pPr>
    </w:p>
    <w:p>
      <w:pPr>
        <w:pStyle w:val="3"/>
        <w:ind w:firstLine="480"/>
        <w:rPr>
          <w:color w:val="auto"/>
          <w:highlight w:val="none"/>
        </w:rPr>
      </w:pPr>
    </w:p>
    <w:p>
      <w:pPr>
        <w:pStyle w:val="7"/>
        <w:rPr>
          <w:color w:val="auto"/>
          <w:highlight w:val="none"/>
        </w:rPr>
      </w:pPr>
      <w:r>
        <w:rPr>
          <w:rFonts w:hint="eastAsia"/>
          <w:color w:val="auto"/>
          <w:highlight w:val="none"/>
        </w:rPr>
        <w:t>轻应用开发技术规范</w:t>
      </w:r>
    </w:p>
    <w:p>
      <w:pPr>
        <w:pStyle w:val="3"/>
        <w:ind w:firstLine="480"/>
        <w:rPr>
          <w:color w:val="auto"/>
          <w:highlight w:val="none"/>
        </w:rPr>
      </w:pPr>
      <w:r>
        <w:rPr>
          <w:rFonts w:hint="eastAsia"/>
          <w:color w:val="auto"/>
          <w:highlight w:val="none"/>
        </w:rPr>
        <w:t>为保障本次项目内的智慧警务轻应用，以及未来新建轻应用的一致性、集约性、经济性、安全性，投标人应在投标文件中提供轻应用开发标准样例，并在实施过程中深化设计，在经由上海市监狱管理局确认后，形成可推行的轻应用开发技术规范。用以规范轻应用开发过程中的技术选型、命名规范、依赖管理、安全认证等规程。</w:t>
      </w:r>
    </w:p>
    <w:p>
      <w:pPr>
        <w:pStyle w:val="3"/>
        <w:ind w:firstLine="480"/>
        <w:rPr>
          <w:color w:val="auto"/>
          <w:highlight w:val="none"/>
        </w:rPr>
      </w:pPr>
      <w:r>
        <w:rPr>
          <w:rFonts w:hint="eastAsia"/>
          <w:color w:val="auto"/>
          <w:highlight w:val="none"/>
        </w:rPr>
        <w:t>相关轻应用开发标准规范应包括但不限于：轻应用架构协同架构定义、技术栈标准、统一命名规范、服务拆分原则、API设计规范、数据交互规范、安全与认证、监控和调试等。</w:t>
      </w:r>
    </w:p>
    <w:p>
      <w:pPr>
        <w:pStyle w:val="7"/>
        <w:rPr>
          <w:color w:val="auto"/>
          <w:highlight w:val="none"/>
        </w:rPr>
      </w:pPr>
      <w:r>
        <w:rPr>
          <w:rFonts w:hint="eastAsia"/>
          <w:color w:val="auto"/>
          <w:highlight w:val="none"/>
        </w:rPr>
        <w:t>轻应用开发管理规范</w:t>
      </w:r>
    </w:p>
    <w:p>
      <w:pPr>
        <w:pStyle w:val="3"/>
        <w:ind w:firstLine="480"/>
        <w:rPr>
          <w:color w:val="auto"/>
          <w:highlight w:val="none"/>
        </w:rPr>
      </w:pPr>
      <w:r>
        <w:rPr>
          <w:rFonts w:hint="eastAsia"/>
          <w:color w:val="auto"/>
          <w:highlight w:val="none"/>
        </w:rPr>
        <w:t>为保障轻应用开发成果的一致性、可维护性和最佳实践，应制定一套轻应用开发管理规范，用以完善上海市监狱管理局当前与未来软件开发管理工作的管理效能。投标人应在投标文件中提供轻应用开发管理规范，结合上海市监狱管理局技术与业务需求，以及轻应用开发工作的特征，选取合适的软件开发项目管理办法，并提供完整的开发过程管理规范，包括但不限于：项目管理过程、项目管理流程图、风险管理、需求管理、方案设计、软件实现、软件测试、资料编写等。</w:t>
      </w:r>
    </w:p>
    <w:p>
      <w:pPr>
        <w:pStyle w:val="3"/>
        <w:ind w:firstLine="480"/>
        <w:rPr>
          <w:color w:val="auto"/>
          <w:highlight w:val="none"/>
        </w:rPr>
      </w:pPr>
      <w:r>
        <w:rPr>
          <w:rFonts w:hint="eastAsia"/>
          <w:color w:val="auto"/>
          <w:highlight w:val="none"/>
        </w:rPr>
        <w:t>在此基础上于实施过程中深化设计，在经由上海市监狱管理局确认后，形成可推行的轻应用开发管理规范。</w:t>
      </w:r>
    </w:p>
    <w:p>
      <w:pPr>
        <w:pStyle w:val="3"/>
        <w:ind w:firstLine="480"/>
        <w:rPr>
          <w:color w:val="auto"/>
          <w:highlight w:val="none"/>
        </w:rPr>
      </w:pPr>
    </w:p>
    <w:p>
      <w:pPr>
        <w:pStyle w:val="5"/>
        <w:rPr>
          <w:color w:val="auto"/>
          <w:highlight w:val="none"/>
        </w:rPr>
      </w:pPr>
      <w:bookmarkStart w:id="22" w:name="_Toc180570820"/>
      <w:r>
        <w:rPr>
          <w:rFonts w:hint="eastAsia"/>
          <w:color w:val="auto"/>
          <w:highlight w:val="none"/>
        </w:rPr>
        <w:t>数字化底座集成要求</w:t>
      </w:r>
      <w:bookmarkEnd w:id="22"/>
    </w:p>
    <w:p>
      <w:pPr>
        <w:pStyle w:val="3"/>
        <w:ind w:firstLine="480"/>
        <w:rPr>
          <w:color w:val="auto"/>
          <w:highlight w:val="none"/>
        </w:rPr>
      </w:pPr>
      <w:r>
        <w:rPr>
          <w:rFonts w:hint="eastAsia"/>
          <w:color w:val="auto"/>
          <w:highlight w:val="none"/>
        </w:rPr>
        <w:t>对于本次“上海市监狱管理局信息化系统升级改造项目”中所涉及数据底座、技术底座、业务底座中的各产品化组件，投标人应具备相关平台组件的集成能力，并在交付过程中按照统一的规范要求，集成数据、技术、业务底座中的各组件，实现整体上海监狱数字化底座业务流程、组织架构、用户和角色管理体系的统一。</w:t>
      </w:r>
    </w:p>
    <w:p>
      <w:pPr>
        <w:pStyle w:val="4"/>
        <w:rPr>
          <w:color w:val="auto"/>
          <w:highlight w:val="none"/>
        </w:rPr>
      </w:pPr>
      <w:bookmarkStart w:id="23" w:name="_Toc180570821"/>
      <w:r>
        <w:rPr>
          <w:rFonts w:hint="eastAsia"/>
          <w:color w:val="auto"/>
          <w:highlight w:val="none"/>
        </w:rPr>
        <w:t>安防指挥协同系统</w:t>
      </w:r>
      <w:bookmarkEnd w:id="23"/>
    </w:p>
    <w:p>
      <w:pPr>
        <w:pStyle w:val="3"/>
        <w:ind w:firstLine="480"/>
        <w:rPr>
          <w:color w:val="auto"/>
          <w:highlight w:val="none"/>
        </w:rPr>
      </w:pPr>
      <w:r>
        <w:rPr>
          <w:rFonts w:hint="eastAsia"/>
          <w:color w:val="auto"/>
          <w:highlight w:val="none"/>
        </w:rPr>
        <w:t>应围绕“一基九实”做实做强安防指挥协同体系，强化监狱工作“预测、预警、预防”和“检查、监督、考核”；实现通过融合安防物联设备信息资源、民警信息资源、罪犯信息资源、业务管理数据信息资源，实现可视化融合指挥、全连接检测预警、全融合语音调度、全融合视频调度、指挥资源可视化、指挥过程可视化。可视化融合指挥等功能依赖于融合指挥信息交互体系。</w:t>
      </w:r>
    </w:p>
    <w:p>
      <w:pPr>
        <w:pStyle w:val="3"/>
        <w:ind w:firstLine="480"/>
        <w:rPr>
          <w:color w:val="auto"/>
          <w:highlight w:val="none"/>
        </w:rPr>
      </w:pPr>
    </w:p>
    <w:p>
      <w:pPr>
        <w:pStyle w:val="5"/>
        <w:rPr>
          <w:color w:val="auto"/>
          <w:highlight w:val="none"/>
        </w:rPr>
      </w:pPr>
      <w:bookmarkStart w:id="24" w:name="_Toc180570822"/>
      <w:r>
        <w:rPr>
          <w:rFonts w:hint="eastAsia"/>
          <w:color w:val="auto"/>
          <w:highlight w:val="none"/>
        </w:rPr>
        <w:t>安防基本信息</w:t>
      </w:r>
      <w:bookmarkEnd w:id="24"/>
    </w:p>
    <w:p>
      <w:pPr>
        <w:pStyle w:val="3"/>
        <w:ind w:firstLine="480"/>
        <w:rPr>
          <w:color w:val="auto"/>
          <w:highlight w:val="none"/>
        </w:rPr>
      </w:pPr>
      <w:r>
        <w:rPr>
          <w:rFonts w:hint="eastAsia"/>
          <w:color w:val="auto"/>
          <w:highlight w:val="none"/>
        </w:rPr>
        <w:t>应支持聚焦呈现监狱监管安全和日常管理相关的人、事、物的基本信息、状态信息、告警信息、事件信息，并对信息数据进行统计分析，可视化呈现，包括滚动展示；交互式、模糊查询；数据交叉链接、钻取、订阅、推送等，实现智能预测、预警、预防。提供安防设备信息统计、分析、装备系统、后勤保障、网络系统、警力信息、罪犯信息、安防数据分析智能预测。</w:t>
      </w:r>
    </w:p>
    <w:p>
      <w:pPr>
        <w:pStyle w:val="3"/>
        <w:ind w:firstLine="480"/>
        <w:rPr>
          <w:color w:val="auto"/>
          <w:highlight w:val="none"/>
        </w:rPr>
      </w:pPr>
      <w:r>
        <w:rPr>
          <w:rFonts w:hint="eastAsia"/>
          <w:color w:val="auto"/>
          <w:highlight w:val="none"/>
        </w:rPr>
        <w:t>安防基本信息数据主要来源于基层监狱，由基层监狱各物联感知设备或系统采集或录入原始数据，进一步由本次系统升级改造项目所建设数据底座完成同各基层监狱数据对接，进一步形成数据服务提供至本模块使用。</w:t>
      </w:r>
    </w:p>
    <w:p>
      <w:pPr>
        <w:pStyle w:val="5"/>
        <w:rPr>
          <w:color w:val="auto"/>
          <w:highlight w:val="none"/>
        </w:rPr>
      </w:pPr>
      <w:bookmarkStart w:id="25" w:name="_Toc180570823"/>
      <w:r>
        <w:rPr>
          <w:rFonts w:hint="eastAsia"/>
          <w:color w:val="auto"/>
          <w:highlight w:val="none"/>
        </w:rPr>
        <w:t>实时GIS图现</w:t>
      </w:r>
      <w:bookmarkEnd w:id="25"/>
    </w:p>
    <w:p>
      <w:pPr>
        <w:pStyle w:val="3"/>
        <w:ind w:firstLine="480"/>
        <w:rPr>
          <w:color w:val="auto"/>
          <w:highlight w:val="none"/>
        </w:rPr>
      </w:pPr>
      <w:r>
        <w:rPr>
          <w:rFonts w:hint="eastAsia"/>
          <w:color w:val="auto"/>
          <w:highlight w:val="none"/>
        </w:rPr>
        <w:t>本模块主要GIS地图数据、三维数据主要来源于基层监狱已有数据资源，由本次数据底座同基层监狱完成对接后，提供至三维实景GIS平台软件部分进行GIS数据加工或GIS数据服务，结合业务需求提供至本模块形成GIS图现。</w:t>
      </w:r>
    </w:p>
    <w:p>
      <w:pPr>
        <w:pStyle w:val="3"/>
        <w:ind w:firstLine="480"/>
        <w:rPr>
          <w:color w:val="auto"/>
          <w:highlight w:val="none"/>
        </w:rPr>
      </w:pPr>
      <w:r>
        <w:rPr>
          <w:rFonts w:hint="eastAsia"/>
          <w:color w:val="auto"/>
          <w:highlight w:val="none"/>
        </w:rPr>
        <w:t>应支持基于三维建模服务成果，融合安防设备基本信息、狱政信息、空间信息、实时告警数据、实时动态信息，多层次、全方位直观展示，提供如下GIS图现：</w:t>
      </w:r>
    </w:p>
    <w:p>
      <w:pPr>
        <w:pStyle w:val="6"/>
        <w:rPr>
          <w:color w:val="auto"/>
          <w:highlight w:val="none"/>
        </w:rPr>
      </w:pPr>
      <w:r>
        <w:rPr>
          <w:rFonts w:hint="eastAsia"/>
          <w:color w:val="auto"/>
          <w:highlight w:val="none"/>
        </w:rPr>
        <w:t>专题图层</w:t>
      </w:r>
    </w:p>
    <w:p>
      <w:pPr>
        <w:pStyle w:val="3"/>
        <w:ind w:firstLine="480"/>
        <w:rPr>
          <w:color w:val="auto"/>
          <w:highlight w:val="none"/>
        </w:rPr>
      </w:pPr>
      <w:r>
        <w:rPr>
          <w:rFonts w:hint="eastAsia"/>
          <w:color w:val="auto"/>
          <w:highlight w:val="none"/>
        </w:rPr>
        <w:t>主要包含以下图层：建筑物信息、区域管控、警力分布、监控视频、监听对讲、门禁、固定报警点、消防设备、危险源、地下管网；</w:t>
      </w:r>
    </w:p>
    <w:p>
      <w:pPr>
        <w:pStyle w:val="6"/>
        <w:rPr>
          <w:color w:val="auto"/>
          <w:highlight w:val="none"/>
        </w:rPr>
      </w:pPr>
      <w:r>
        <w:rPr>
          <w:rFonts w:hint="eastAsia"/>
          <w:color w:val="auto"/>
          <w:highlight w:val="none"/>
        </w:rPr>
        <w:t>GIS应用</w:t>
      </w:r>
    </w:p>
    <w:p>
      <w:pPr>
        <w:pStyle w:val="3"/>
        <w:ind w:firstLine="480"/>
        <w:rPr>
          <w:color w:val="auto"/>
          <w:highlight w:val="none"/>
        </w:rPr>
      </w:pPr>
      <w:r>
        <w:rPr>
          <w:rFonts w:hint="eastAsia"/>
          <w:color w:val="auto"/>
          <w:highlight w:val="none"/>
        </w:rPr>
        <w:t>基于三维地图实现空间漫游、视频监控、监听对讲、语音通讯、应急广播、门禁管理、一键戒严、一键启闭、隐蔽设备状态巡查、新进民警业务培训。</w:t>
      </w:r>
    </w:p>
    <w:p>
      <w:pPr>
        <w:pStyle w:val="6"/>
        <w:rPr>
          <w:color w:val="auto"/>
          <w:highlight w:val="none"/>
        </w:rPr>
      </w:pPr>
      <w:r>
        <w:rPr>
          <w:rFonts w:hint="eastAsia"/>
          <w:color w:val="auto"/>
          <w:highlight w:val="none"/>
        </w:rPr>
        <w:t>可视化指挥</w:t>
      </w:r>
    </w:p>
    <w:p>
      <w:pPr>
        <w:pStyle w:val="3"/>
        <w:ind w:firstLine="480"/>
        <w:rPr>
          <w:color w:val="auto"/>
          <w:highlight w:val="none"/>
        </w:rPr>
      </w:pPr>
      <w:r>
        <w:rPr>
          <w:rFonts w:hint="eastAsia"/>
          <w:color w:val="auto"/>
          <w:highlight w:val="none"/>
        </w:rPr>
        <w:t>应集成通信平台，整合监控视频、广播、电话、集群调度等通信能力，与监狱内部、武警部队、公安各综治部门等实现互联互通。在集成的各种通讯手段的支持下，构成调度指挥通信系统、预案管理与视频系统、事件相关图像调度、报警信息发布等系统。</w:t>
      </w:r>
    </w:p>
    <w:p>
      <w:pPr>
        <w:pStyle w:val="6"/>
        <w:rPr>
          <w:color w:val="auto"/>
          <w:highlight w:val="none"/>
        </w:rPr>
      </w:pPr>
      <w:r>
        <w:rPr>
          <w:rFonts w:hint="eastAsia"/>
          <w:color w:val="auto"/>
          <w:highlight w:val="none"/>
        </w:rPr>
        <w:t>通讯调度</w:t>
      </w:r>
    </w:p>
    <w:p>
      <w:pPr>
        <w:pStyle w:val="3"/>
        <w:ind w:firstLine="480"/>
        <w:rPr>
          <w:color w:val="auto"/>
          <w:highlight w:val="none"/>
        </w:rPr>
      </w:pPr>
      <w:r>
        <w:rPr>
          <w:rFonts w:hint="eastAsia"/>
          <w:color w:val="auto"/>
          <w:highlight w:val="none"/>
        </w:rPr>
        <w:t>应集成监听对讲、视频监控、视频智能分析、综合报警、移动执法平台、监外押解等系统，上下级平台通过级联，上级平台用户或同一专网的用户可远程登录下级平台访问报警点附近的视频，并在三维GIS系统定位报警点位具体位置。提供语音调度、视频调度、录音录像。</w:t>
      </w:r>
    </w:p>
    <w:p>
      <w:pPr>
        <w:pStyle w:val="6"/>
        <w:rPr>
          <w:color w:val="auto"/>
          <w:highlight w:val="none"/>
        </w:rPr>
      </w:pPr>
      <w:r>
        <w:rPr>
          <w:rFonts w:hint="eastAsia"/>
          <w:color w:val="auto"/>
          <w:highlight w:val="none"/>
        </w:rPr>
        <w:t>指挥管理</w:t>
      </w:r>
    </w:p>
    <w:p>
      <w:pPr>
        <w:pStyle w:val="3"/>
        <w:ind w:firstLine="480"/>
        <w:rPr>
          <w:color w:val="auto"/>
          <w:highlight w:val="none"/>
        </w:rPr>
      </w:pPr>
      <w:r>
        <w:rPr>
          <w:rFonts w:hint="eastAsia"/>
          <w:color w:val="auto"/>
          <w:highlight w:val="none"/>
        </w:rPr>
        <w:t>应围绕上海监狱安防指挥体系的建设与管理需求，提供信息管理、指挥协调、视频督察、安全复核、重点排查、证据固定、应急联动功能。</w:t>
      </w:r>
    </w:p>
    <w:p>
      <w:pPr>
        <w:pStyle w:val="6"/>
        <w:rPr>
          <w:color w:val="auto"/>
          <w:highlight w:val="none"/>
        </w:rPr>
      </w:pPr>
      <w:r>
        <w:rPr>
          <w:rFonts w:hint="eastAsia"/>
          <w:color w:val="auto"/>
          <w:highlight w:val="none"/>
        </w:rPr>
        <w:t>三维GIS地图</w:t>
      </w:r>
    </w:p>
    <w:p>
      <w:pPr>
        <w:pStyle w:val="3"/>
        <w:ind w:firstLine="480"/>
        <w:rPr>
          <w:color w:val="auto"/>
          <w:highlight w:val="none"/>
        </w:rPr>
      </w:pPr>
      <w:r>
        <w:rPr>
          <w:rFonts w:hint="eastAsia"/>
          <w:color w:val="auto"/>
          <w:highlight w:val="none"/>
        </w:rPr>
        <w:t>应基于三维实景服务建设成果，地图放大、缩小、拖拽、框选、测距等基本地图操作功能。</w:t>
      </w:r>
    </w:p>
    <w:p>
      <w:pPr>
        <w:pStyle w:val="3"/>
        <w:ind w:firstLine="480"/>
        <w:rPr>
          <w:color w:val="auto"/>
          <w:highlight w:val="none"/>
        </w:rPr>
      </w:pPr>
      <w:r>
        <w:rPr>
          <w:rFonts w:hint="eastAsia"/>
          <w:color w:val="auto"/>
          <w:highlight w:val="none"/>
        </w:rPr>
        <w:t>地图浏览：通过鼠标实现对地图的放大、缩小、拖拽功能，辅助调度人员查看地理信息。</w:t>
      </w:r>
    </w:p>
    <w:p>
      <w:pPr>
        <w:pStyle w:val="3"/>
        <w:ind w:firstLine="480"/>
        <w:rPr>
          <w:color w:val="auto"/>
          <w:highlight w:val="none"/>
        </w:rPr>
      </w:pPr>
      <w:r>
        <w:rPr>
          <w:rFonts w:hint="eastAsia"/>
          <w:color w:val="auto"/>
          <w:highlight w:val="none"/>
        </w:rPr>
        <w:t>坐标拾取：地图实时显示鼠标所在地图的经纬度，辅助调度人员分析。</w:t>
      </w:r>
    </w:p>
    <w:p>
      <w:pPr>
        <w:pStyle w:val="3"/>
        <w:ind w:firstLine="480"/>
        <w:rPr>
          <w:color w:val="auto"/>
          <w:highlight w:val="none"/>
        </w:rPr>
      </w:pPr>
      <w:r>
        <w:rPr>
          <w:rFonts w:hint="eastAsia"/>
          <w:color w:val="auto"/>
          <w:highlight w:val="none"/>
        </w:rPr>
        <w:t>图例管理：标注各类资源图标所表示的含义，辅助调度人员了解宏观态势。</w:t>
      </w:r>
    </w:p>
    <w:p>
      <w:pPr>
        <w:pStyle w:val="3"/>
        <w:ind w:firstLine="480"/>
        <w:rPr>
          <w:color w:val="auto"/>
          <w:highlight w:val="none"/>
        </w:rPr>
      </w:pPr>
      <w:r>
        <w:rPr>
          <w:rFonts w:hint="eastAsia"/>
          <w:color w:val="auto"/>
          <w:highlight w:val="none"/>
        </w:rPr>
        <w:t>框选搜索：通过框选地图某一块区域后，将框选内区域的机构单位、应急资源、设备设施、自定义点位等内容以列表方式呈现；支持地图快速定位和详细信息展示功能。</w:t>
      </w:r>
    </w:p>
    <w:p>
      <w:pPr>
        <w:pStyle w:val="3"/>
        <w:ind w:firstLine="480"/>
        <w:rPr>
          <w:color w:val="auto"/>
          <w:highlight w:val="none"/>
        </w:rPr>
      </w:pPr>
      <w:r>
        <w:rPr>
          <w:rFonts w:hint="eastAsia"/>
          <w:color w:val="auto"/>
          <w:highlight w:val="none"/>
        </w:rPr>
        <w:t>地图量算：系统支持距离测量、面积测量，具体呈现方式依据地图服务接口实现。</w:t>
      </w:r>
    </w:p>
    <w:p>
      <w:pPr>
        <w:pStyle w:val="3"/>
        <w:ind w:firstLine="480"/>
        <w:rPr>
          <w:color w:val="auto"/>
          <w:highlight w:val="none"/>
        </w:rPr>
      </w:pPr>
      <w:r>
        <w:rPr>
          <w:rFonts w:hint="eastAsia"/>
          <w:color w:val="auto"/>
          <w:highlight w:val="none"/>
        </w:rPr>
        <w:t>地图切换：系统支持切换地图主题颜色和地图类型；主题颜色包括白色、黑色、灰色；地图类型包括瓦片地图、卫星地图；地图默认展示瓦片地图。</w:t>
      </w:r>
    </w:p>
    <w:p>
      <w:pPr>
        <w:pStyle w:val="3"/>
        <w:ind w:firstLine="480"/>
        <w:rPr>
          <w:color w:val="auto"/>
          <w:highlight w:val="none"/>
        </w:rPr>
      </w:pPr>
      <w:r>
        <w:rPr>
          <w:rFonts w:hint="eastAsia"/>
          <w:color w:val="auto"/>
          <w:highlight w:val="none"/>
        </w:rPr>
        <w:t>点位标注：系统支持地图上标注点位，包括机构单位点位、设备设施点位、自定义点位。</w:t>
      </w:r>
    </w:p>
    <w:p>
      <w:pPr>
        <w:pStyle w:val="5"/>
        <w:rPr>
          <w:color w:val="auto"/>
          <w:highlight w:val="none"/>
        </w:rPr>
      </w:pPr>
      <w:bookmarkStart w:id="26" w:name="_Toc180570824"/>
      <w:r>
        <w:rPr>
          <w:rFonts w:hint="eastAsia"/>
          <w:color w:val="auto"/>
          <w:highlight w:val="none"/>
        </w:rPr>
        <w:t>实时视频监控</w:t>
      </w:r>
      <w:bookmarkEnd w:id="26"/>
    </w:p>
    <w:p>
      <w:pPr>
        <w:pStyle w:val="3"/>
        <w:ind w:firstLine="480"/>
        <w:rPr>
          <w:color w:val="auto"/>
          <w:highlight w:val="none"/>
        </w:rPr>
      </w:pPr>
      <w:r>
        <w:rPr>
          <w:rFonts w:hint="eastAsia"/>
          <w:color w:val="auto"/>
          <w:highlight w:val="none"/>
        </w:rPr>
        <w:t>应支持通过集成视频监控系统，基于GIS三维实景对监狱周界、操场等需要多角度查看大场景区域进行视频拼接。支持民警通过视频监控对日常监管中发现违纪行为进行视频截屏、标记、人员关联、上报、入库。提供视频融合与视频证据采集推送功能。</w:t>
      </w:r>
    </w:p>
    <w:p>
      <w:pPr>
        <w:pStyle w:val="3"/>
        <w:ind w:firstLine="480"/>
        <w:rPr>
          <w:color w:val="auto"/>
          <w:highlight w:val="none"/>
        </w:rPr>
      </w:pPr>
      <w:r>
        <w:rPr>
          <w:rFonts w:hint="eastAsia"/>
          <w:color w:val="auto"/>
          <w:highlight w:val="none"/>
        </w:rPr>
        <w:t>其中视频点位主要来源于各基层监狱等已有视频点位，同时系统应支持对未来新增的视频监控点位进行接入。</w:t>
      </w:r>
    </w:p>
    <w:p>
      <w:pPr>
        <w:pStyle w:val="5"/>
        <w:rPr>
          <w:color w:val="auto"/>
          <w:highlight w:val="none"/>
        </w:rPr>
      </w:pPr>
      <w:bookmarkStart w:id="27" w:name="_Toc180570825"/>
      <w:r>
        <w:rPr>
          <w:rFonts w:hint="eastAsia"/>
          <w:color w:val="auto"/>
          <w:highlight w:val="none"/>
        </w:rPr>
        <w:t>实时动态信息</w:t>
      </w:r>
      <w:bookmarkEnd w:id="27"/>
    </w:p>
    <w:p>
      <w:pPr>
        <w:pStyle w:val="3"/>
        <w:ind w:firstLine="480"/>
        <w:rPr>
          <w:color w:val="auto"/>
          <w:highlight w:val="none"/>
        </w:rPr>
      </w:pPr>
      <w:r>
        <w:rPr>
          <w:rFonts w:hint="eastAsia"/>
          <w:color w:val="auto"/>
          <w:highlight w:val="none"/>
        </w:rPr>
        <w:t>实时动态信息数据主要来源于各基层监狱以及本次建设局信息化系统的核心业务模块，通过数据底座对相关数据进行统一归集、治理，进一步形成数据服务供本模块调用。</w:t>
      </w:r>
    </w:p>
    <w:p>
      <w:pPr>
        <w:pStyle w:val="3"/>
        <w:ind w:firstLine="480"/>
        <w:rPr>
          <w:color w:val="auto"/>
          <w:highlight w:val="none"/>
        </w:rPr>
      </w:pPr>
      <w:r>
        <w:rPr>
          <w:rFonts w:hint="eastAsia"/>
          <w:color w:val="auto"/>
          <w:highlight w:val="none"/>
        </w:rPr>
        <w:t>应支持实时展示监狱在押罪犯、离监罪犯、外来人员、外来车辆、实时就诊、重点关注等重点信息，实现重要关键数据的动态展示、实时下钻、统计分析和智能辅助，数据更新周期不高于60秒。提供：在押罪犯实时数据、离监罪犯实时数据、外来人员实时数据、外来车辆实时数据、就诊罪犯实时数据、重点关注罪犯实时数势、实时动态信息分析智能预测。</w:t>
      </w:r>
    </w:p>
    <w:p>
      <w:pPr>
        <w:pStyle w:val="5"/>
        <w:rPr>
          <w:color w:val="auto"/>
          <w:highlight w:val="none"/>
        </w:rPr>
      </w:pPr>
      <w:bookmarkStart w:id="28" w:name="_Toc180570826"/>
      <w:r>
        <w:rPr>
          <w:rFonts w:hint="eastAsia"/>
          <w:color w:val="auto"/>
          <w:highlight w:val="none"/>
        </w:rPr>
        <w:t>实时报警处置</w:t>
      </w:r>
      <w:bookmarkEnd w:id="28"/>
    </w:p>
    <w:p>
      <w:pPr>
        <w:pStyle w:val="3"/>
        <w:ind w:firstLine="480"/>
        <w:rPr>
          <w:color w:val="auto"/>
          <w:highlight w:val="none"/>
        </w:rPr>
      </w:pPr>
      <w:r>
        <w:rPr>
          <w:rFonts w:hint="eastAsia"/>
          <w:color w:val="auto"/>
          <w:highlight w:val="none"/>
        </w:rPr>
        <w:t>报警信息主要分为两类，一方面为基层监狱与本次项目建设局信息化系统安防业务模块所直接产生的报警信息；另一方面为自定义基于数据指标分析所产生的告警信息，该类型数据主要用于预测、预警、预防。</w:t>
      </w:r>
    </w:p>
    <w:p>
      <w:pPr>
        <w:pStyle w:val="3"/>
        <w:ind w:firstLine="480"/>
        <w:rPr>
          <w:color w:val="auto"/>
          <w:highlight w:val="none"/>
        </w:rPr>
      </w:pPr>
      <w:r>
        <w:rPr>
          <w:rFonts w:hint="eastAsia"/>
          <w:color w:val="auto"/>
          <w:highlight w:val="none"/>
        </w:rPr>
        <w:t>应支持整合、集成接入视频监控系统、手动报警按钮系统、监区门禁系统、AB门系统、高压电网等周界控制系统、电子巡更系统、在押人员呼叫报告系统及监听对讲系统、监舍对讲系统、数字广播系统、监听对讲系统、综合和紧急报警系统等各种安防业务系统，实现对各业务系统的关键业务数据的实时接入和部分设备及软件的控制指令的实时推送。提供报警等级管理、报警类型管理、报警过滤、告警查询、报警处置、智能预测、智能预警、智能预防功能。</w:t>
      </w:r>
    </w:p>
    <w:p>
      <w:pPr>
        <w:pStyle w:val="5"/>
        <w:rPr>
          <w:color w:val="auto"/>
          <w:highlight w:val="none"/>
        </w:rPr>
      </w:pPr>
      <w:bookmarkStart w:id="29" w:name="_Toc180570827"/>
      <w:r>
        <w:rPr>
          <w:rFonts w:hint="eastAsia"/>
          <w:color w:val="auto"/>
          <w:highlight w:val="none"/>
        </w:rPr>
        <w:t>实时事件处置</w:t>
      </w:r>
      <w:bookmarkEnd w:id="29"/>
    </w:p>
    <w:p>
      <w:pPr>
        <w:pStyle w:val="3"/>
        <w:ind w:firstLine="480"/>
        <w:rPr>
          <w:color w:val="auto"/>
          <w:highlight w:val="none"/>
        </w:rPr>
      </w:pPr>
      <w:r>
        <w:rPr>
          <w:rFonts w:hint="eastAsia"/>
          <w:color w:val="auto"/>
          <w:highlight w:val="none"/>
        </w:rPr>
        <w:t>实时事件处置的数据应对接包括基层监狱各业务平台、模块所产生的事件，该部分主要由数据底座进行对接提供服务至本平台进行使用；以及本次局信息化平台所上报、分析产生的事件。</w:t>
      </w:r>
    </w:p>
    <w:p>
      <w:pPr>
        <w:pStyle w:val="3"/>
        <w:ind w:firstLine="480"/>
        <w:rPr>
          <w:color w:val="auto"/>
          <w:highlight w:val="none"/>
        </w:rPr>
      </w:pPr>
      <w:r>
        <w:rPr>
          <w:rFonts w:hint="eastAsia"/>
          <w:color w:val="auto"/>
          <w:highlight w:val="none"/>
        </w:rPr>
        <w:t>应支持对监狱当天需处置的事件总数和已完成处置情况进行分析统计，对监狱发生的各类事件分类进行实时推送显示，并可对相关流程(如审批)等进行实时操作。监狱产生的实时数据，如：实时审批、实时就诊、报警事件、设备故障等事件进行审核、跟踪、督办。提供事件类型配置、事件等级配置、事件接入、事件处置配置、事件处置统计、智能预测、智能预警、智能预防功能。</w:t>
      </w:r>
    </w:p>
    <w:p>
      <w:pPr>
        <w:pStyle w:val="5"/>
        <w:rPr>
          <w:color w:val="auto"/>
          <w:highlight w:val="none"/>
        </w:rPr>
      </w:pPr>
      <w:bookmarkStart w:id="30" w:name="_Toc180570828"/>
      <w:r>
        <w:rPr>
          <w:rFonts w:hint="eastAsia"/>
          <w:color w:val="auto"/>
          <w:highlight w:val="none"/>
        </w:rPr>
        <w:t>实时智能推送</w:t>
      </w:r>
      <w:bookmarkEnd w:id="30"/>
    </w:p>
    <w:p>
      <w:pPr>
        <w:pStyle w:val="3"/>
        <w:ind w:firstLine="480"/>
        <w:rPr>
          <w:color w:val="auto"/>
          <w:highlight w:val="none"/>
        </w:rPr>
      </w:pPr>
      <w:r>
        <w:rPr>
          <w:rFonts w:hint="eastAsia"/>
          <w:color w:val="auto"/>
          <w:highlight w:val="none"/>
        </w:rPr>
        <w:t>本功能模块支持推送的方式应支持系统对系统以及系统对移动端。支持对已建设的相关PC端或民警移动端进数据对接或系统部署的方式完成信息推送，支持对未来新增的设备设施以同样的方式完成推送。</w:t>
      </w:r>
    </w:p>
    <w:p>
      <w:pPr>
        <w:pStyle w:val="3"/>
        <w:ind w:firstLine="480"/>
        <w:rPr>
          <w:color w:val="auto"/>
          <w:highlight w:val="none"/>
        </w:rPr>
      </w:pPr>
      <w:r>
        <w:rPr>
          <w:rFonts w:hint="eastAsia"/>
          <w:color w:val="auto"/>
          <w:highlight w:val="none"/>
        </w:rPr>
        <w:t>应支持通过罪犯管理、民警队伍、综合保障和其它事项类型的异常情况推送数据进行统计，推送方式主要包含自动推送和人工推送，根据时间维度分析推送的变化趋势；并可实时查看推送数据的基本信息和处置进度的实时跟踪，基于处置事件情况进行统计分析，包括各监区的一日规范的执行情况和业务审批事项分类。依托视频智能分析，对异常视频图像进行实时推送，并实现问题下发、督办的全流程闭环管理。此外，实现指挥中心对基层单位、业务科室、监区、民警个人的通知提醒、情况报送等功能，实现信息流的双向推送。</w:t>
      </w:r>
    </w:p>
    <w:p>
      <w:pPr>
        <w:pStyle w:val="3"/>
        <w:ind w:firstLine="480"/>
        <w:rPr>
          <w:color w:val="auto"/>
          <w:highlight w:val="none"/>
        </w:rPr>
      </w:pPr>
      <w:r>
        <w:rPr>
          <w:rFonts w:hint="eastAsia"/>
          <w:color w:val="auto"/>
          <w:highlight w:val="none"/>
        </w:rPr>
        <w:t>关联智能视频分析系统数据，对产出的异常行文进行统一汇聚与告警推送。</w:t>
      </w:r>
    </w:p>
    <w:p>
      <w:pPr>
        <w:pStyle w:val="3"/>
        <w:ind w:firstLine="480"/>
        <w:rPr>
          <w:color w:val="auto"/>
          <w:highlight w:val="none"/>
        </w:rPr>
      </w:pPr>
      <w:r>
        <w:rPr>
          <w:rFonts w:hint="eastAsia"/>
          <w:color w:val="auto"/>
          <w:highlight w:val="none"/>
        </w:rPr>
        <w:t>提供推送类型配置、自动推送、人工推送功能。</w:t>
      </w:r>
    </w:p>
    <w:p>
      <w:pPr>
        <w:pStyle w:val="5"/>
        <w:rPr>
          <w:color w:val="auto"/>
          <w:highlight w:val="none"/>
        </w:rPr>
      </w:pPr>
      <w:bookmarkStart w:id="31" w:name="_Toc180570829"/>
      <w:r>
        <w:rPr>
          <w:rFonts w:hint="eastAsia"/>
          <w:color w:val="auto"/>
          <w:highlight w:val="none"/>
        </w:rPr>
        <w:t>实时警力运行</w:t>
      </w:r>
      <w:bookmarkEnd w:id="31"/>
    </w:p>
    <w:p>
      <w:pPr>
        <w:pStyle w:val="3"/>
        <w:ind w:firstLine="480"/>
        <w:rPr>
          <w:color w:val="auto"/>
          <w:highlight w:val="none"/>
        </w:rPr>
      </w:pPr>
      <w:r>
        <w:rPr>
          <w:rFonts w:hint="eastAsia"/>
          <w:color w:val="auto"/>
          <w:highlight w:val="none"/>
        </w:rPr>
        <w:t>应支持基于警力类型、警力状态、实时人数、专业素养、装备保障对民警进行分类统计，联动GIS系统，提供警员分布、状态情况，对警力安排的运行情况动态提示和调配，根据警务活动及安保等级要求提供警力运行预安排等辅助决策。提供警力分类配置、警力专业配置、场所配比情况分析、智能预测、智能预警、智能预防、综合统计分析。</w:t>
      </w:r>
    </w:p>
    <w:p>
      <w:pPr>
        <w:pStyle w:val="3"/>
        <w:ind w:firstLine="480"/>
        <w:rPr>
          <w:color w:val="auto"/>
          <w:highlight w:val="none"/>
        </w:rPr>
      </w:pPr>
      <w:r>
        <w:rPr>
          <w:rFonts w:hint="eastAsia"/>
          <w:color w:val="auto"/>
          <w:highlight w:val="none"/>
        </w:rPr>
        <w:t>实时警力运行数据应通过排班数据、移动警务端在线数据等基础数据进行综合分析。其中基层监狱数据首先通过数据底座归集，后通过服务形式供给本模块。</w:t>
      </w:r>
    </w:p>
    <w:p>
      <w:pPr>
        <w:pStyle w:val="5"/>
        <w:rPr>
          <w:color w:val="auto"/>
          <w:highlight w:val="none"/>
        </w:rPr>
      </w:pPr>
      <w:bookmarkStart w:id="32" w:name="_Toc180570830"/>
      <w:r>
        <w:rPr>
          <w:rFonts w:hint="eastAsia"/>
          <w:color w:val="auto"/>
          <w:highlight w:val="none"/>
        </w:rPr>
        <w:t>实时检查监督</w:t>
      </w:r>
      <w:bookmarkEnd w:id="32"/>
    </w:p>
    <w:p>
      <w:pPr>
        <w:pStyle w:val="3"/>
        <w:ind w:firstLine="480"/>
        <w:rPr>
          <w:color w:val="auto"/>
          <w:highlight w:val="none"/>
        </w:rPr>
      </w:pPr>
      <w:r>
        <w:rPr>
          <w:rFonts w:hint="eastAsia"/>
          <w:color w:val="auto"/>
          <w:highlight w:val="none"/>
        </w:rPr>
        <w:t>应支持集成展示对民警的作息、着装、在岗履职等情况进行随机抽查的结果情况，并实现对相关情况上报、分析、预测预警，以及对问题数、整改数等关键指标进行统计追踪。应提供功能包括：督查登记上报、督查问题统计分析、智能预测、智能预警、智能预防。</w:t>
      </w:r>
    </w:p>
    <w:p>
      <w:pPr>
        <w:pStyle w:val="3"/>
        <w:ind w:firstLine="480"/>
        <w:rPr>
          <w:color w:val="auto"/>
          <w:highlight w:val="none"/>
        </w:rPr>
      </w:pPr>
      <w:r>
        <w:rPr>
          <w:rFonts w:hint="eastAsia"/>
          <w:color w:val="auto"/>
          <w:highlight w:val="none"/>
        </w:rPr>
        <w:t>本系统相关数据由本系统自行录入产生，相关数据结果存入数据底座。</w:t>
      </w:r>
    </w:p>
    <w:p>
      <w:pPr>
        <w:pStyle w:val="5"/>
        <w:rPr>
          <w:color w:val="auto"/>
          <w:highlight w:val="none"/>
        </w:rPr>
      </w:pPr>
      <w:bookmarkStart w:id="33" w:name="_Toc180570831"/>
      <w:r>
        <w:rPr>
          <w:rFonts w:hint="eastAsia"/>
          <w:color w:val="auto"/>
          <w:highlight w:val="none"/>
        </w:rPr>
        <w:t>实时协同联动</w:t>
      </w:r>
      <w:bookmarkEnd w:id="33"/>
    </w:p>
    <w:p>
      <w:pPr>
        <w:pStyle w:val="3"/>
        <w:ind w:firstLine="480"/>
        <w:rPr>
          <w:color w:val="auto"/>
          <w:highlight w:val="none"/>
        </w:rPr>
      </w:pPr>
      <w:r>
        <w:rPr>
          <w:rFonts w:hint="eastAsia"/>
          <w:color w:val="auto"/>
          <w:highlight w:val="none"/>
        </w:rPr>
        <w:t>应支持对接驻监武警智慧磐石系统，实现与民警、武警、公安单位等联动单位的实时通讯和联动协同。在GIS地图上实现与武警智慧磐石系统的安防信息交换、监控视频交换、报警信息联动，对武警作战指挥室和岗哨楼实现信息互通、实时监控视频共享和安防设备的报警信息共享。提供即时通信、视频监控共享、联动报警、联动调度、应急处突、安保等级评估功能。</w:t>
      </w:r>
    </w:p>
    <w:p>
      <w:pPr>
        <w:pStyle w:val="4"/>
        <w:rPr>
          <w:color w:val="auto"/>
          <w:highlight w:val="none"/>
        </w:rPr>
      </w:pPr>
      <w:bookmarkStart w:id="34" w:name="_Toc180570832"/>
      <w:r>
        <w:rPr>
          <w:rFonts w:hint="eastAsia"/>
          <w:color w:val="auto"/>
          <w:highlight w:val="none"/>
        </w:rPr>
        <w:t>五大工作赋能场景</w:t>
      </w:r>
      <w:bookmarkEnd w:id="34"/>
    </w:p>
    <w:p>
      <w:pPr>
        <w:pStyle w:val="3"/>
        <w:ind w:firstLine="480"/>
        <w:rPr>
          <w:color w:val="auto"/>
          <w:highlight w:val="none"/>
        </w:rPr>
      </w:pPr>
      <w:r>
        <w:rPr>
          <w:rFonts w:hint="eastAsia"/>
          <w:color w:val="auto"/>
          <w:highlight w:val="none"/>
        </w:rPr>
        <w:t>以数据为基础，充分融合物联网、云计算、人工智能、大数据等技术，基于分析模型提供特定群体、罪犯个体、监管安全的分析、评估、趋势性研判、风险预警、解决方案并通过安全治理中的隐患排查统计分析、风险预警统计分析、诊断政治改造效果评估统计分析、密切接触分析、重点人员数据统计分析、情报数据统计分析；罪犯管理中的政治改造效果评估、罪犯危险性评估、教育改造效果评估、技能评估及职业规划、讲师队伍评估、就业适应性评估；执法管理中的分级处遇智能推荐、罪犯奖惩智能推荐、罪犯奖惩智能推荐、减刑假释数字化全息评估、谈话综合评估；队伍建设中的绩效评估等数据分析研判功能模块的建设，为监狱工作的决策与行动提供技术支撑。</w:t>
      </w:r>
    </w:p>
    <w:p>
      <w:pPr>
        <w:pStyle w:val="5"/>
        <w:rPr>
          <w:color w:val="auto"/>
          <w:highlight w:val="none"/>
        </w:rPr>
      </w:pPr>
      <w:bookmarkStart w:id="35" w:name="_Toc180570833"/>
      <w:r>
        <w:rPr>
          <w:rFonts w:hint="eastAsia"/>
          <w:color w:val="auto"/>
          <w:highlight w:val="none"/>
        </w:rPr>
        <w:t>安全治理</w:t>
      </w:r>
      <w:bookmarkEnd w:id="35"/>
    </w:p>
    <w:p>
      <w:pPr>
        <w:pStyle w:val="3"/>
        <w:ind w:firstLine="480"/>
        <w:rPr>
          <w:color w:val="auto"/>
          <w:highlight w:val="none"/>
        </w:rPr>
      </w:pPr>
      <w:r>
        <w:rPr>
          <w:rFonts w:hint="eastAsia"/>
          <w:color w:val="auto"/>
          <w:highlight w:val="none"/>
        </w:rPr>
        <w:t>安全治理模块应包括隐患排查系统、风险预警、重点人员防控系统、情报信息系统、重点人员防控系统和隐患知识库等功能。从而满足上海市监狱管理局上下协同一体化的安全治理工作体系需求。</w:t>
      </w:r>
    </w:p>
    <w:p>
      <w:pPr>
        <w:pStyle w:val="6"/>
        <w:rPr>
          <w:color w:val="auto"/>
          <w:highlight w:val="none"/>
        </w:rPr>
      </w:pPr>
      <w:r>
        <w:rPr>
          <w:rFonts w:hint="eastAsia"/>
          <w:color w:val="auto"/>
          <w:highlight w:val="none"/>
        </w:rPr>
        <w:t>隐患排查</w:t>
      </w:r>
    </w:p>
    <w:p>
      <w:pPr>
        <w:pStyle w:val="3"/>
        <w:ind w:firstLine="480"/>
        <w:rPr>
          <w:color w:val="auto"/>
          <w:highlight w:val="none"/>
        </w:rPr>
      </w:pPr>
      <w:r>
        <w:rPr>
          <w:rFonts w:hint="eastAsia"/>
          <w:color w:val="auto"/>
          <w:highlight w:val="none"/>
        </w:rPr>
        <w:t>应提供隐患类型管理、排查任务管理、隐患推送管理、隐患处置管理、隐患统计分析功能。隐患排查数据包括本功能模块自身产生数据，由该功能模块排布的排查任务完成后进行录入，同时支持接入已有的隐患排查数据，相关数据由数据底座做统一的接入、处理。</w:t>
      </w:r>
    </w:p>
    <w:p>
      <w:pPr>
        <w:pStyle w:val="6"/>
        <w:rPr>
          <w:color w:val="auto"/>
          <w:highlight w:val="none"/>
        </w:rPr>
      </w:pPr>
      <w:r>
        <w:rPr>
          <w:rFonts w:hint="eastAsia"/>
          <w:color w:val="auto"/>
          <w:highlight w:val="none"/>
        </w:rPr>
        <w:t>风险预警</w:t>
      </w:r>
    </w:p>
    <w:p>
      <w:pPr>
        <w:pStyle w:val="3"/>
        <w:ind w:firstLine="480"/>
        <w:rPr>
          <w:color w:val="auto"/>
          <w:highlight w:val="none"/>
        </w:rPr>
      </w:pPr>
      <w:r>
        <w:rPr>
          <w:rFonts w:hint="eastAsia"/>
          <w:color w:val="auto"/>
          <w:highlight w:val="none"/>
        </w:rPr>
        <w:t>应集成上海市监狱管理局安全风险预警系统，对于监狱、监区的预测、预警、预防动态感知，包含安全基础、日常管理、专项检查功能模块，实现功能包括：风险识别、风险模型管理、预警处理、风险预警统计分析。</w:t>
      </w:r>
    </w:p>
    <w:p>
      <w:pPr>
        <w:pStyle w:val="3"/>
        <w:ind w:firstLine="480"/>
        <w:rPr>
          <w:color w:val="auto"/>
          <w:highlight w:val="none"/>
        </w:rPr>
      </w:pPr>
      <w:r>
        <w:rPr>
          <w:rFonts w:hint="eastAsia"/>
          <w:color w:val="auto"/>
          <w:highlight w:val="none"/>
        </w:rPr>
        <w:t>该功能模块数据一方面由本功能模块进行录入维护各风险排查数据或基于指标分析产生的风险数据；另一方面由数据底座对接基层监狱系统，获取基层监狱风险预警数据。</w:t>
      </w:r>
    </w:p>
    <w:p>
      <w:pPr>
        <w:pStyle w:val="6"/>
        <w:rPr>
          <w:color w:val="auto"/>
          <w:highlight w:val="none"/>
        </w:rPr>
      </w:pPr>
      <w:r>
        <w:rPr>
          <w:rFonts w:hint="eastAsia"/>
          <w:color w:val="auto"/>
          <w:highlight w:val="none"/>
        </w:rPr>
        <w:t>重点对象非接触式智能监护</w:t>
      </w:r>
    </w:p>
    <w:p>
      <w:pPr>
        <w:pStyle w:val="3"/>
        <w:ind w:firstLine="480"/>
        <w:rPr>
          <w:color w:val="auto"/>
          <w:highlight w:val="none"/>
        </w:rPr>
      </w:pPr>
      <w:r>
        <w:rPr>
          <w:rFonts w:hint="eastAsia"/>
          <w:color w:val="auto"/>
          <w:highlight w:val="none"/>
        </w:rPr>
        <w:t>应利用先进的非接触式智能监护技术，结合专业的(远程)分析、监护和医疗服务，可实现对罪犯的生理和心理评估、重点对象的疾病高风险预警，减少非正常死亡，体现人性化关怀。建设内容主要包括：实时数据查看、监护报表、数据快照、异常报警、动作报警、生理报警、设备报警。</w:t>
      </w:r>
    </w:p>
    <w:p>
      <w:pPr>
        <w:pStyle w:val="3"/>
        <w:ind w:firstLine="480"/>
        <w:rPr>
          <w:color w:val="auto"/>
          <w:highlight w:val="none"/>
        </w:rPr>
      </w:pPr>
      <w:r>
        <w:rPr>
          <w:rFonts w:hint="eastAsia"/>
          <w:color w:val="auto"/>
          <w:highlight w:val="none"/>
        </w:rPr>
        <w:t>该系统需要对接基层监狱部署的如会见管理、场所视频、音频管理、罪犯手环等各类型物联感知采集设备。本平台需要由数据底座，对接至各基层监狱获取相关系统原始数据以及系统分析数据，再提供服务至本模块进行统一业务分析。</w:t>
      </w:r>
    </w:p>
    <w:p>
      <w:pPr>
        <w:pStyle w:val="6"/>
        <w:rPr>
          <w:color w:val="auto"/>
          <w:highlight w:val="none"/>
        </w:rPr>
      </w:pPr>
      <w:r>
        <w:rPr>
          <w:rFonts w:hint="eastAsia"/>
          <w:color w:val="auto"/>
          <w:highlight w:val="none"/>
        </w:rPr>
        <w:t>重点人员防控</w:t>
      </w:r>
    </w:p>
    <w:p>
      <w:pPr>
        <w:pStyle w:val="7"/>
        <w:rPr>
          <w:color w:val="auto"/>
          <w:highlight w:val="none"/>
        </w:rPr>
      </w:pPr>
      <w:r>
        <w:rPr>
          <w:rFonts w:hint="eastAsia"/>
          <w:color w:val="auto"/>
          <w:highlight w:val="none"/>
        </w:rPr>
        <w:t>重点人员智能管理</w:t>
      </w:r>
    </w:p>
    <w:p>
      <w:pPr>
        <w:pStyle w:val="3"/>
        <w:ind w:firstLine="480"/>
        <w:rPr>
          <w:color w:val="auto"/>
          <w:highlight w:val="none"/>
        </w:rPr>
      </w:pPr>
      <w:r>
        <w:rPr>
          <w:rFonts w:hint="eastAsia"/>
          <w:color w:val="auto"/>
          <w:highlight w:val="none"/>
        </w:rPr>
        <w:t>应根据数据底座对于罪犯信息资源库中罪犯的犯因、案由、分管等级、职业等基础信息数据分析，自动生成分类名单，人工审核确认。</w:t>
      </w:r>
    </w:p>
    <w:p>
      <w:pPr>
        <w:pStyle w:val="7"/>
        <w:rPr>
          <w:color w:val="auto"/>
          <w:highlight w:val="none"/>
        </w:rPr>
      </w:pPr>
      <w:r>
        <w:rPr>
          <w:rFonts w:hint="eastAsia"/>
          <w:color w:val="auto"/>
          <w:highlight w:val="none"/>
        </w:rPr>
        <w:t>重点人员数据统计分析</w:t>
      </w:r>
    </w:p>
    <w:p>
      <w:pPr>
        <w:pStyle w:val="3"/>
        <w:ind w:firstLine="480"/>
        <w:rPr>
          <w:color w:val="auto"/>
          <w:highlight w:val="none"/>
        </w:rPr>
      </w:pPr>
      <w:r>
        <w:rPr>
          <w:rFonts w:hint="eastAsia"/>
          <w:color w:val="auto"/>
          <w:highlight w:val="none"/>
        </w:rPr>
        <w:t>应通过数据底座获取狱政管理系统的重要罪犯、特定岗位罪犯、专控罪犯(含评估极高危罪犯)、立管罪犯(含评估高危罪犯)、严重违纪罪犯的人数、构成情况、分布监狱、奖惩情况、违纪类别、违纪处理方式等数据的统计及详情查看，实现重点人员趋势性评估分析，为民警对重点人员的防控提供辅助决策。</w:t>
      </w:r>
    </w:p>
    <w:p>
      <w:pPr>
        <w:pStyle w:val="6"/>
        <w:rPr>
          <w:color w:val="auto"/>
          <w:highlight w:val="none"/>
        </w:rPr>
      </w:pPr>
      <w:r>
        <w:rPr>
          <w:rFonts w:hint="eastAsia"/>
          <w:color w:val="auto"/>
          <w:highlight w:val="none"/>
        </w:rPr>
        <w:t>情报信息</w:t>
      </w:r>
    </w:p>
    <w:p>
      <w:pPr>
        <w:pStyle w:val="3"/>
        <w:ind w:firstLine="480"/>
        <w:rPr>
          <w:color w:val="auto"/>
          <w:highlight w:val="none"/>
        </w:rPr>
      </w:pPr>
      <w:r>
        <w:rPr>
          <w:rFonts w:hint="eastAsia"/>
          <w:color w:val="auto"/>
          <w:highlight w:val="none"/>
        </w:rPr>
        <w:t>应提供情报数据管理、情报获取及推送、情报评估及认定、情报数据统计分析功能。提升对情报获取、传达与追踪的工作效能。</w:t>
      </w:r>
    </w:p>
    <w:p>
      <w:pPr>
        <w:pStyle w:val="6"/>
        <w:rPr>
          <w:color w:val="auto"/>
          <w:highlight w:val="none"/>
        </w:rPr>
      </w:pPr>
      <w:r>
        <w:rPr>
          <w:rFonts w:hint="eastAsia"/>
          <w:color w:val="auto"/>
          <w:highlight w:val="none"/>
        </w:rPr>
        <w:t>隐患知识库</w:t>
      </w:r>
    </w:p>
    <w:p>
      <w:pPr>
        <w:pStyle w:val="3"/>
        <w:ind w:firstLine="480"/>
        <w:rPr>
          <w:color w:val="auto"/>
          <w:highlight w:val="none"/>
        </w:rPr>
      </w:pPr>
      <w:r>
        <w:rPr>
          <w:rFonts w:hint="eastAsia"/>
          <w:color w:val="auto"/>
          <w:highlight w:val="none"/>
        </w:rPr>
        <w:t>应建立隐患类型知识库，提供：</w:t>
      </w:r>
    </w:p>
    <w:p>
      <w:pPr>
        <w:pStyle w:val="3"/>
        <w:ind w:firstLine="480"/>
        <w:rPr>
          <w:color w:val="auto"/>
          <w:highlight w:val="none"/>
        </w:rPr>
      </w:pPr>
      <w:r>
        <w:rPr>
          <w:rFonts w:hint="eastAsia"/>
          <w:color w:val="auto"/>
          <w:highlight w:val="none"/>
        </w:rPr>
        <w:t>1)隐患知识库访问接口：为全系统提供隐患知识的访问接口；</w:t>
      </w:r>
    </w:p>
    <w:p>
      <w:pPr>
        <w:pStyle w:val="3"/>
        <w:ind w:firstLine="480"/>
        <w:rPr>
          <w:color w:val="auto"/>
          <w:highlight w:val="none"/>
        </w:rPr>
      </w:pPr>
      <w:r>
        <w:rPr>
          <w:rFonts w:hint="eastAsia"/>
          <w:color w:val="auto"/>
          <w:highlight w:val="none"/>
        </w:rPr>
        <w:t>2)隐患知识建模：风险(含隐患)模型的建立、修正和验证。</w:t>
      </w:r>
    </w:p>
    <w:p>
      <w:pPr>
        <w:pStyle w:val="5"/>
        <w:rPr>
          <w:color w:val="auto"/>
          <w:highlight w:val="none"/>
        </w:rPr>
      </w:pPr>
      <w:bookmarkStart w:id="36" w:name="_Toc180570834"/>
      <w:r>
        <w:rPr>
          <w:rFonts w:hint="eastAsia"/>
          <w:color w:val="auto"/>
          <w:highlight w:val="none"/>
        </w:rPr>
        <w:t>罪犯改造</w:t>
      </w:r>
      <w:bookmarkEnd w:id="36"/>
    </w:p>
    <w:p>
      <w:pPr>
        <w:pStyle w:val="3"/>
        <w:ind w:firstLine="480"/>
        <w:rPr>
          <w:color w:val="auto"/>
          <w:highlight w:val="none"/>
        </w:rPr>
      </w:pPr>
      <w:r>
        <w:rPr>
          <w:rFonts w:hint="eastAsia"/>
          <w:color w:val="auto"/>
          <w:highlight w:val="none"/>
        </w:rPr>
        <w:t>罪犯改造旨在通过信息化技术，打破数据壁垒，实现多源系统的罪犯信息全维度归集。在此基础上通过数据融合分析，实现对政治、监管、教育、文化、劳动改造等多维度的信息分析，进一步为减刑假释、分级处遇等工作提供数据依据。</w:t>
      </w:r>
    </w:p>
    <w:p>
      <w:pPr>
        <w:pStyle w:val="6"/>
        <w:rPr>
          <w:color w:val="auto"/>
          <w:highlight w:val="none"/>
        </w:rPr>
      </w:pPr>
      <w:r>
        <w:rPr>
          <w:rFonts w:hint="eastAsia"/>
          <w:color w:val="auto"/>
          <w:highlight w:val="none"/>
        </w:rPr>
        <w:t>罪犯改造管理</w:t>
      </w:r>
    </w:p>
    <w:p>
      <w:pPr>
        <w:pStyle w:val="3"/>
        <w:ind w:firstLine="480"/>
        <w:rPr>
          <w:color w:val="auto"/>
          <w:highlight w:val="none"/>
        </w:rPr>
      </w:pPr>
      <w:r>
        <w:rPr>
          <w:rFonts w:hint="eastAsia"/>
          <w:color w:val="auto"/>
          <w:highlight w:val="none"/>
        </w:rPr>
        <w:t>应提供罪犯在政治、监管、教育、文化、劳动改造中数据全息呈现及评估研判等功能，包括：个性化改造计划、政治改造、监管改造、教育改造、文化改造、劳动改造。</w:t>
      </w:r>
    </w:p>
    <w:p>
      <w:pPr>
        <w:pStyle w:val="6"/>
        <w:rPr>
          <w:color w:val="auto"/>
          <w:highlight w:val="none"/>
        </w:rPr>
      </w:pPr>
      <w:r>
        <w:rPr>
          <w:rFonts w:hint="eastAsia"/>
          <w:color w:val="auto"/>
          <w:highlight w:val="none"/>
        </w:rPr>
        <w:t>全数字化罪犯档案管理</w:t>
      </w:r>
    </w:p>
    <w:p>
      <w:pPr>
        <w:pStyle w:val="3"/>
        <w:ind w:firstLine="480"/>
        <w:rPr>
          <w:color w:val="auto"/>
          <w:highlight w:val="none"/>
        </w:rPr>
      </w:pPr>
      <w:r>
        <w:rPr>
          <w:rFonts w:hint="eastAsia"/>
          <w:color w:val="auto"/>
          <w:highlight w:val="none"/>
        </w:rPr>
        <w:t>该功能模块数据由数据底座统一进行处理与维护，展示的各项分析指标主要由业务数据智能分析中心提供。</w:t>
      </w:r>
    </w:p>
    <w:p>
      <w:pPr>
        <w:pStyle w:val="3"/>
        <w:ind w:firstLine="480"/>
        <w:rPr>
          <w:color w:val="auto"/>
          <w:highlight w:val="none"/>
        </w:rPr>
      </w:pPr>
      <w:r>
        <w:rPr>
          <w:rFonts w:hint="eastAsia"/>
          <w:color w:val="auto"/>
          <w:highlight w:val="none"/>
        </w:rPr>
        <w:t>运用知识图谱、大数据处理、和数据安全技术，实现在监期间罪犯全量信息的多渠道采集、多维度存储和智能化组织，以及在狱外受控使用中的加密、脱敏和跟踪审计。应提供功能包括：</w:t>
      </w:r>
    </w:p>
    <w:p>
      <w:pPr>
        <w:pStyle w:val="3"/>
        <w:ind w:firstLine="480"/>
        <w:rPr>
          <w:color w:val="auto"/>
          <w:highlight w:val="none"/>
        </w:rPr>
      </w:pPr>
      <w:r>
        <w:rPr>
          <w:rFonts w:hint="eastAsia"/>
          <w:color w:val="auto"/>
          <w:highlight w:val="none"/>
        </w:rPr>
        <w:t>1)档案浏览器</w:t>
      </w:r>
    </w:p>
    <w:p>
      <w:pPr>
        <w:pStyle w:val="3"/>
        <w:ind w:firstLine="480"/>
        <w:rPr>
          <w:color w:val="auto"/>
          <w:highlight w:val="none"/>
        </w:rPr>
      </w:pPr>
      <w:r>
        <w:rPr>
          <w:rFonts w:hint="eastAsia"/>
          <w:color w:val="auto"/>
          <w:highlight w:val="none"/>
        </w:rPr>
        <w:t>2)档案抓取和打包工具</w:t>
      </w:r>
    </w:p>
    <w:p>
      <w:pPr>
        <w:pStyle w:val="3"/>
        <w:ind w:firstLine="480"/>
        <w:rPr>
          <w:color w:val="auto"/>
          <w:highlight w:val="none"/>
        </w:rPr>
      </w:pPr>
      <w:r>
        <w:rPr>
          <w:rFonts w:hint="eastAsia"/>
          <w:color w:val="auto"/>
          <w:highlight w:val="none"/>
        </w:rPr>
        <w:t>3)档案编辑工具</w:t>
      </w:r>
    </w:p>
    <w:p>
      <w:pPr>
        <w:pStyle w:val="3"/>
        <w:ind w:firstLine="480"/>
        <w:rPr>
          <w:color w:val="auto"/>
          <w:highlight w:val="none"/>
        </w:rPr>
      </w:pPr>
      <w:r>
        <w:rPr>
          <w:rFonts w:hint="eastAsia"/>
          <w:color w:val="auto"/>
          <w:highlight w:val="none"/>
        </w:rPr>
        <w:t>4)档案脱敏模块</w:t>
      </w:r>
    </w:p>
    <w:p>
      <w:pPr>
        <w:pStyle w:val="3"/>
        <w:ind w:firstLine="480"/>
        <w:rPr>
          <w:color w:val="auto"/>
          <w:highlight w:val="none"/>
        </w:rPr>
      </w:pPr>
      <w:r>
        <w:rPr>
          <w:rFonts w:hint="eastAsia"/>
          <w:color w:val="auto"/>
          <w:highlight w:val="none"/>
        </w:rPr>
        <w:t>5)档案加、解密模块</w:t>
      </w:r>
    </w:p>
    <w:p>
      <w:pPr>
        <w:pStyle w:val="5"/>
        <w:rPr>
          <w:color w:val="auto"/>
          <w:highlight w:val="none"/>
        </w:rPr>
      </w:pPr>
      <w:bookmarkStart w:id="37" w:name="_Toc180570835"/>
      <w:r>
        <w:rPr>
          <w:rFonts w:hint="eastAsia"/>
          <w:color w:val="auto"/>
          <w:highlight w:val="none"/>
        </w:rPr>
        <w:t>执法管理</w:t>
      </w:r>
      <w:bookmarkEnd w:id="37"/>
    </w:p>
    <w:p>
      <w:pPr>
        <w:pStyle w:val="3"/>
        <w:ind w:firstLine="480"/>
        <w:rPr>
          <w:color w:val="auto"/>
          <w:highlight w:val="none"/>
        </w:rPr>
      </w:pPr>
      <w:r>
        <w:rPr>
          <w:rFonts w:hint="eastAsia"/>
          <w:color w:val="auto"/>
          <w:highlight w:val="none"/>
        </w:rPr>
        <w:t>该部分数据主要由基层监狱以及局已有各执法系统以及执法记录中产生，由数据底座进行统一的汇聚与处理，产生相关指标服务于本模块。从而支撑对上海市监狱管理局全局范围内执法管理的高效与合规。</w:t>
      </w:r>
    </w:p>
    <w:p>
      <w:pPr>
        <w:pStyle w:val="3"/>
        <w:ind w:firstLine="480"/>
        <w:rPr>
          <w:color w:val="auto"/>
          <w:highlight w:val="none"/>
        </w:rPr>
      </w:pPr>
      <w:r>
        <w:rPr>
          <w:rFonts w:hint="eastAsia"/>
          <w:color w:val="auto"/>
          <w:highlight w:val="none"/>
        </w:rPr>
        <w:t>执法管理包括狱务公开、分级处遇、罪犯奖惩、刑罚变更、释前谈话等执法数据可视化呈现，及评估研判等功能及多维度行为分析系统。</w:t>
      </w:r>
    </w:p>
    <w:p>
      <w:pPr>
        <w:pStyle w:val="6"/>
        <w:rPr>
          <w:color w:val="auto"/>
          <w:highlight w:val="none"/>
        </w:rPr>
      </w:pPr>
      <w:r>
        <w:rPr>
          <w:rFonts w:hint="eastAsia"/>
          <w:color w:val="auto"/>
          <w:highlight w:val="none"/>
        </w:rPr>
        <w:t>狱务公开数据统计分析</w:t>
      </w:r>
    </w:p>
    <w:p>
      <w:pPr>
        <w:pStyle w:val="3"/>
        <w:ind w:firstLine="480"/>
        <w:rPr>
          <w:color w:val="auto"/>
          <w:highlight w:val="none"/>
        </w:rPr>
      </w:pPr>
      <w:r>
        <w:rPr>
          <w:rFonts w:hint="eastAsia"/>
          <w:color w:val="auto"/>
          <w:highlight w:val="none"/>
        </w:rPr>
        <w:t>实现对狱务公开数据的统一统计分析，应提供功能包括：狱务公开、开放日、执法情况、罪犯一卡通、家属公众参加开放日、执法监督员执法监督。</w:t>
      </w:r>
    </w:p>
    <w:p>
      <w:pPr>
        <w:pStyle w:val="6"/>
        <w:rPr>
          <w:color w:val="auto"/>
          <w:highlight w:val="none"/>
        </w:rPr>
      </w:pPr>
      <w:r>
        <w:rPr>
          <w:rFonts w:hint="eastAsia"/>
          <w:color w:val="auto"/>
          <w:highlight w:val="none"/>
        </w:rPr>
        <w:t>分级处遇数据统计分析</w:t>
      </w:r>
    </w:p>
    <w:p>
      <w:pPr>
        <w:pStyle w:val="3"/>
        <w:ind w:firstLine="480"/>
        <w:rPr>
          <w:color w:val="auto"/>
          <w:highlight w:val="none"/>
        </w:rPr>
      </w:pPr>
      <w:r>
        <w:rPr>
          <w:rFonts w:hint="eastAsia"/>
          <w:color w:val="auto"/>
          <w:highlight w:val="none"/>
        </w:rPr>
        <w:t>建立分级处遇模型，实现对基于罪犯数据分析的分级处遇情况的智能分析推荐，并对分级处遇数据进行统计分析。应提供功能包括：分级处遇模型、分级处遇智能推荐、统计分析。</w:t>
      </w:r>
    </w:p>
    <w:p>
      <w:pPr>
        <w:pStyle w:val="6"/>
        <w:rPr>
          <w:color w:val="auto"/>
          <w:highlight w:val="none"/>
        </w:rPr>
      </w:pPr>
      <w:r>
        <w:rPr>
          <w:rFonts w:hint="eastAsia"/>
          <w:color w:val="auto"/>
          <w:highlight w:val="none"/>
        </w:rPr>
        <w:t>罪犯奖惩数据统计分析</w:t>
      </w:r>
    </w:p>
    <w:p>
      <w:pPr>
        <w:pStyle w:val="3"/>
        <w:ind w:firstLine="480"/>
        <w:rPr>
          <w:color w:val="auto"/>
          <w:highlight w:val="none"/>
        </w:rPr>
      </w:pPr>
      <w:r>
        <w:rPr>
          <w:rFonts w:hint="eastAsia"/>
          <w:color w:val="auto"/>
          <w:highlight w:val="none"/>
        </w:rPr>
        <w:t>实现基于数据分析的罪犯奖惩智能推荐，并对相关数据信息进行统计管理，应提供：罪犯奖惩智能推荐、奖惩数据统计分析。</w:t>
      </w:r>
    </w:p>
    <w:p>
      <w:pPr>
        <w:pStyle w:val="6"/>
        <w:rPr>
          <w:color w:val="auto"/>
          <w:highlight w:val="none"/>
        </w:rPr>
      </w:pPr>
      <w:r>
        <w:rPr>
          <w:rFonts w:hint="eastAsia"/>
          <w:color w:val="auto"/>
          <w:highlight w:val="none"/>
        </w:rPr>
        <w:t>刑罚变更数据统计分析</w:t>
      </w:r>
    </w:p>
    <w:p>
      <w:pPr>
        <w:pStyle w:val="3"/>
        <w:ind w:firstLine="480"/>
        <w:rPr>
          <w:color w:val="auto"/>
          <w:highlight w:val="none"/>
        </w:rPr>
      </w:pPr>
      <w:r>
        <w:rPr>
          <w:rFonts w:hint="eastAsia"/>
          <w:color w:val="auto"/>
          <w:highlight w:val="none"/>
        </w:rPr>
        <w:t>针对罪犯假释等场景，基于数据分析提供决策依据，应提供功能包括：减刑假释数字化全息评估、数据统计分析。</w:t>
      </w:r>
    </w:p>
    <w:p>
      <w:pPr>
        <w:pStyle w:val="6"/>
        <w:rPr>
          <w:color w:val="auto"/>
          <w:highlight w:val="none"/>
        </w:rPr>
      </w:pPr>
      <w:r>
        <w:rPr>
          <w:rFonts w:hint="eastAsia"/>
          <w:color w:val="auto"/>
          <w:highlight w:val="none"/>
        </w:rPr>
        <w:t>释前谈话数据统计分析</w:t>
      </w:r>
    </w:p>
    <w:p>
      <w:pPr>
        <w:pStyle w:val="3"/>
        <w:ind w:firstLine="480"/>
        <w:rPr>
          <w:color w:val="auto"/>
          <w:highlight w:val="none"/>
        </w:rPr>
      </w:pPr>
      <w:r>
        <w:rPr>
          <w:rFonts w:hint="eastAsia"/>
          <w:color w:val="auto"/>
          <w:highlight w:val="none"/>
        </w:rPr>
        <w:t>综合服务于释前谈话工作，为分析评估罪犯情况提供依据。应提供功能包括：谈话计划、谈话综合评估、数据统计分析。</w:t>
      </w:r>
    </w:p>
    <w:p>
      <w:pPr>
        <w:pStyle w:val="6"/>
        <w:rPr>
          <w:color w:val="auto"/>
          <w:highlight w:val="none"/>
        </w:rPr>
      </w:pPr>
      <w:r>
        <w:rPr>
          <w:rFonts w:hint="eastAsia"/>
          <w:color w:val="auto"/>
          <w:highlight w:val="none"/>
        </w:rPr>
        <w:t>多维度行为分析</w:t>
      </w:r>
    </w:p>
    <w:p>
      <w:pPr>
        <w:pStyle w:val="3"/>
        <w:ind w:firstLine="480"/>
        <w:rPr>
          <w:color w:val="auto"/>
          <w:highlight w:val="none"/>
        </w:rPr>
      </w:pPr>
      <w:r>
        <w:rPr>
          <w:rFonts w:hint="eastAsia"/>
          <w:color w:val="auto"/>
          <w:highlight w:val="none"/>
        </w:rPr>
        <w:t>实现业务现场调度和后台技术分析的隐蔽、实时互动，以及事后的分析、标注和回溯，为罪犯改造、案件侦查、培训教学提供素材，提高业务的科技水平和信息资源利用水平。应提供内容主要包括：实时互动管理、分析回顾、行为分析研判建模工具。</w:t>
      </w:r>
    </w:p>
    <w:p>
      <w:pPr>
        <w:pStyle w:val="5"/>
        <w:rPr>
          <w:color w:val="auto"/>
          <w:highlight w:val="none"/>
        </w:rPr>
      </w:pPr>
      <w:bookmarkStart w:id="38" w:name="_Toc180570836"/>
      <w:r>
        <w:rPr>
          <w:rFonts w:hint="eastAsia"/>
          <w:color w:val="auto"/>
          <w:highlight w:val="none"/>
        </w:rPr>
        <w:t>队伍建设</w:t>
      </w:r>
      <w:bookmarkEnd w:id="38"/>
    </w:p>
    <w:p>
      <w:pPr>
        <w:pStyle w:val="3"/>
        <w:ind w:firstLine="480"/>
        <w:rPr>
          <w:color w:val="auto"/>
          <w:highlight w:val="none"/>
        </w:rPr>
      </w:pPr>
      <w:r>
        <w:rPr>
          <w:rFonts w:hint="eastAsia"/>
          <w:color w:val="auto"/>
          <w:highlight w:val="none"/>
        </w:rPr>
        <w:t>该部分数据主要由基层监狱以及局已有各队伍建设管理系统以及相关队伍建设业务记录中产生，由数据底座进行统一的汇聚与处理，产生相关指标服务于本模块。</w:t>
      </w:r>
    </w:p>
    <w:p>
      <w:pPr>
        <w:pStyle w:val="3"/>
        <w:ind w:firstLine="480"/>
        <w:rPr>
          <w:color w:val="auto"/>
          <w:highlight w:val="none"/>
        </w:rPr>
      </w:pPr>
      <w:r>
        <w:rPr>
          <w:rFonts w:hint="eastAsia"/>
          <w:color w:val="auto"/>
          <w:highlight w:val="none"/>
        </w:rPr>
        <w:t>民警队伍建设从支部建设、队伍动态、绩效评估、教育培训、警务督察等维度数据智能化综合评估，整合警务资源、优化警务流程、创新警务模式、提升警务效能。主要实现以下功能：</w:t>
      </w:r>
    </w:p>
    <w:p>
      <w:pPr>
        <w:pStyle w:val="6"/>
        <w:rPr>
          <w:color w:val="auto"/>
          <w:highlight w:val="none"/>
        </w:rPr>
      </w:pPr>
      <w:r>
        <w:rPr>
          <w:rFonts w:hint="eastAsia"/>
          <w:color w:val="auto"/>
          <w:highlight w:val="none"/>
        </w:rPr>
        <w:t>支部建设</w:t>
      </w:r>
    </w:p>
    <w:p>
      <w:pPr>
        <w:pStyle w:val="3"/>
        <w:ind w:firstLine="480"/>
        <w:rPr>
          <w:color w:val="auto"/>
          <w:highlight w:val="none"/>
        </w:rPr>
      </w:pPr>
      <w:r>
        <w:rPr>
          <w:rFonts w:hint="eastAsia"/>
          <w:color w:val="auto"/>
          <w:highlight w:val="none"/>
        </w:rPr>
        <w:t>应提供支部建设数据类型管理、支部建设数据录入、支部建设数据统计分析。</w:t>
      </w:r>
    </w:p>
    <w:p>
      <w:pPr>
        <w:pStyle w:val="6"/>
        <w:rPr>
          <w:color w:val="auto"/>
          <w:highlight w:val="none"/>
        </w:rPr>
      </w:pPr>
      <w:r>
        <w:rPr>
          <w:rFonts w:hint="eastAsia"/>
          <w:color w:val="auto"/>
          <w:highlight w:val="none"/>
        </w:rPr>
        <w:t>队伍动态</w:t>
      </w:r>
    </w:p>
    <w:p>
      <w:pPr>
        <w:pStyle w:val="3"/>
        <w:ind w:firstLine="480"/>
        <w:rPr>
          <w:color w:val="auto"/>
          <w:highlight w:val="none"/>
        </w:rPr>
      </w:pPr>
      <w:r>
        <w:rPr>
          <w:rFonts w:hint="eastAsia"/>
          <w:color w:val="auto"/>
          <w:highlight w:val="none"/>
        </w:rPr>
        <w:t>应提供队伍动态数据类型管理、队伍动态数据录入、队伍动态数据统计分析。</w:t>
      </w:r>
    </w:p>
    <w:p>
      <w:pPr>
        <w:pStyle w:val="6"/>
        <w:rPr>
          <w:color w:val="auto"/>
          <w:highlight w:val="none"/>
        </w:rPr>
      </w:pPr>
      <w:r>
        <w:rPr>
          <w:rFonts w:hint="eastAsia"/>
          <w:color w:val="auto"/>
          <w:highlight w:val="none"/>
        </w:rPr>
        <w:t>绩效评估</w:t>
      </w:r>
    </w:p>
    <w:p>
      <w:pPr>
        <w:pStyle w:val="3"/>
        <w:ind w:firstLine="480"/>
        <w:rPr>
          <w:color w:val="auto"/>
          <w:highlight w:val="none"/>
        </w:rPr>
      </w:pPr>
      <w:r>
        <w:rPr>
          <w:rFonts w:hint="eastAsia"/>
          <w:color w:val="auto"/>
          <w:highlight w:val="none"/>
        </w:rPr>
        <w:t>应提供绩效评估方案(模型)设计、评估执行、评估结果推送、绩效评估数据统计分析。</w:t>
      </w:r>
    </w:p>
    <w:p>
      <w:pPr>
        <w:pStyle w:val="6"/>
        <w:rPr>
          <w:color w:val="auto"/>
          <w:highlight w:val="none"/>
        </w:rPr>
      </w:pPr>
      <w:r>
        <w:rPr>
          <w:rFonts w:hint="eastAsia"/>
          <w:color w:val="auto"/>
          <w:highlight w:val="none"/>
        </w:rPr>
        <w:t>教育培训</w:t>
      </w:r>
    </w:p>
    <w:p>
      <w:pPr>
        <w:pStyle w:val="3"/>
        <w:ind w:firstLine="480"/>
        <w:rPr>
          <w:color w:val="auto"/>
          <w:highlight w:val="none"/>
        </w:rPr>
      </w:pPr>
      <w:r>
        <w:rPr>
          <w:rFonts w:hint="eastAsia"/>
          <w:color w:val="auto"/>
          <w:highlight w:val="none"/>
        </w:rPr>
        <w:t>应提供教育培训类型管理、专题教育数字化内容管理、培训考核、教育培训数据统计分析。</w:t>
      </w:r>
    </w:p>
    <w:p>
      <w:pPr>
        <w:pStyle w:val="6"/>
        <w:rPr>
          <w:color w:val="auto"/>
          <w:highlight w:val="none"/>
        </w:rPr>
      </w:pPr>
      <w:r>
        <w:rPr>
          <w:rFonts w:hint="eastAsia"/>
          <w:color w:val="auto"/>
          <w:highlight w:val="none"/>
        </w:rPr>
        <w:t>警务督察</w:t>
      </w:r>
    </w:p>
    <w:p>
      <w:pPr>
        <w:pStyle w:val="3"/>
        <w:ind w:firstLine="480"/>
        <w:rPr>
          <w:color w:val="auto"/>
          <w:highlight w:val="none"/>
        </w:rPr>
      </w:pPr>
      <w:r>
        <w:rPr>
          <w:rFonts w:hint="eastAsia"/>
          <w:color w:val="auto"/>
          <w:highlight w:val="none"/>
        </w:rPr>
        <w:t>应实现警务督察数据对接、整合、警务督察数据统计分析。</w:t>
      </w:r>
    </w:p>
    <w:p>
      <w:pPr>
        <w:pStyle w:val="5"/>
        <w:rPr>
          <w:color w:val="auto"/>
          <w:highlight w:val="none"/>
        </w:rPr>
      </w:pPr>
      <w:bookmarkStart w:id="39" w:name="_Toc180570837"/>
      <w:r>
        <w:rPr>
          <w:rFonts w:hint="eastAsia"/>
          <w:color w:val="auto"/>
          <w:highlight w:val="none"/>
        </w:rPr>
        <w:t>综合保障</w:t>
      </w:r>
      <w:bookmarkEnd w:id="39"/>
    </w:p>
    <w:p>
      <w:pPr>
        <w:pStyle w:val="3"/>
        <w:ind w:firstLine="480"/>
        <w:rPr>
          <w:color w:val="auto"/>
          <w:highlight w:val="none"/>
        </w:rPr>
      </w:pPr>
      <w:r>
        <w:rPr>
          <w:rFonts w:hint="eastAsia"/>
          <w:color w:val="auto"/>
          <w:highlight w:val="none"/>
        </w:rPr>
        <w:t>本模块的各项数据应由数据底座相关数据服务单位进行统一维护，须在数据底座内维护上海市监狱管理局范围内各项预算、项目、合同、装备、资产、电网、隔离网等信息，并提供至本模块进行使用。同时随着系统的逐步运营，应逐步推广本模块所覆盖的智能化线上填报能力取代传统纸质填报，提升业务管理能效。</w:t>
      </w:r>
    </w:p>
    <w:p>
      <w:pPr>
        <w:pStyle w:val="3"/>
        <w:ind w:firstLine="480"/>
        <w:rPr>
          <w:color w:val="auto"/>
          <w:highlight w:val="none"/>
        </w:rPr>
      </w:pPr>
      <w:r>
        <w:rPr>
          <w:rFonts w:hint="eastAsia"/>
          <w:color w:val="auto"/>
          <w:highlight w:val="none"/>
        </w:rPr>
        <w:t>综合保障提供包含但不限于以下功能：</w:t>
      </w:r>
    </w:p>
    <w:p>
      <w:pPr>
        <w:pStyle w:val="6"/>
        <w:rPr>
          <w:color w:val="auto"/>
          <w:highlight w:val="none"/>
        </w:rPr>
      </w:pPr>
      <w:r>
        <w:rPr>
          <w:rFonts w:hint="eastAsia"/>
          <w:color w:val="auto"/>
          <w:highlight w:val="none"/>
        </w:rPr>
        <w:t>预算执行</w:t>
      </w:r>
    </w:p>
    <w:p>
      <w:pPr>
        <w:pStyle w:val="3"/>
        <w:ind w:firstLine="480"/>
        <w:rPr>
          <w:color w:val="auto"/>
          <w:highlight w:val="none"/>
        </w:rPr>
      </w:pPr>
      <w:r>
        <w:rPr>
          <w:rFonts w:hint="eastAsia"/>
          <w:color w:val="auto"/>
          <w:highlight w:val="none"/>
        </w:rPr>
        <w:t>应对接数据底座获取运用“三公”经费；公用经费预算支出；全局各监狱年度罪犯改造经费；劳务加工收入；各监狱劳动报酬发放月度；企业所得税缴纳统计分析应收账款账龄等数据进行统计分析和信息可视化配置呈现，交互式逐级钻取数据交叉链接、模糊查询；智能推送工作指导和决策辅助。</w:t>
      </w:r>
    </w:p>
    <w:p>
      <w:pPr>
        <w:pStyle w:val="6"/>
        <w:rPr>
          <w:color w:val="auto"/>
          <w:highlight w:val="none"/>
        </w:rPr>
      </w:pPr>
      <w:r>
        <w:rPr>
          <w:rFonts w:hint="eastAsia"/>
          <w:color w:val="auto"/>
          <w:highlight w:val="none"/>
        </w:rPr>
        <w:t>项目管理</w:t>
      </w:r>
    </w:p>
    <w:p>
      <w:pPr>
        <w:pStyle w:val="3"/>
        <w:ind w:firstLine="480"/>
        <w:rPr>
          <w:color w:val="auto"/>
          <w:highlight w:val="none"/>
        </w:rPr>
      </w:pPr>
      <w:r>
        <w:rPr>
          <w:rFonts w:hint="eastAsia"/>
          <w:color w:val="auto"/>
          <w:highlight w:val="none"/>
        </w:rPr>
        <w:t>应对接数据底座获取运用项目经费；分析项目预算执行率；各单位项目经费分类等数据进行统计分析和信息可视化配置呈现，交互式逐级钻取，数据交叉链接、模糊查询；智能推送工作指导和决策辅助。</w:t>
      </w:r>
    </w:p>
    <w:p>
      <w:pPr>
        <w:pStyle w:val="6"/>
        <w:rPr>
          <w:color w:val="auto"/>
          <w:highlight w:val="none"/>
        </w:rPr>
      </w:pPr>
      <w:r>
        <w:rPr>
          <w:rFonts w:hint="eastAsia"/>
          <w:color w:val="auto"/>
          <w:highlight w:val="none"/>
        </w:rPr>
        <w:t>合同管理</w:t>
      </w:r>
    </w:p>
    <w:p>
      <w:pPr>
        <w:pStyle w:val="3"/>
        <w:ind w:firstLine="480"/>
        <w:rPr>
          <w:color w:val="auto"/>
          <w:highlight w:val="none"/>
        </w:rPr>
      </w:pPr>
      <w:r>
        <w:rPr>
          <w:rFonts w:hint="eastAsia"/>
          <w:color w:val="auto"/>
          <w:highlight w:val="none"/>
        </w:rPr>
        <w:t>应对接数据底座获取合同类型配置、合同执行率等数据进行统计分析和信息可视化配置呈现，智能推送工作指导和决策辅助。</w:t>
      </w:r>
    </w:p>
    <w:p>
      <w:pPr>
        <w:pStyle w:val="6"/>
        <w:rPr>
          <w:color w:val="auto"/>
          <w:highlight w:val="none"/>
        </w:rPr>
      </w:pPr>
      <w:r>
        <w:rPr>
          <w:rFonts w:hint="eastAsia"/>
          <w:color w:val="auto"/>
          <w:highlight w:val="none"/>
        </w:rPr>
        <w:t>装备管理</w:t>
      </w:r>
    </w:p>
    <w:p>
      <w:pPr>
        <w:pStyle w:val="3"/>
        <w:ind w:firstLine="480"/>
        <w:rPr>
          <w:color w:val="auto"/>
          <w:highlight w:val="none"/>
        </w:rPr>
      </w:pPr>
      <w:r>
        <w:rPr>
          <w:rFonts w:hint="eastAsia"/>
          <w:color w:val="auto"/>
          <w:highlight w:val="none"/>
        </w:rPr>
        <w:t>应对接数据底座，对被服类、警械类、警用配饰类等数据进行统计分析和信息视化配置呈现，智能推送工作指导和决策辅助。</w:t>
      </w:r>
    </w:p>
    <w:p>
      <w:pPr>
        <w:pStyle w:val="6"/>
        <w:rPr>
          <w:color w:val="auto"/>
          <w:highlight w:val="none"/>
        </w:rPr>
      </w:pPr>
      <w:r>
        <w:rPr>
          <w:rFonts w:hint="eastAsia"/>
          <w:color w:val="auto"/>
          <w:highlight w:val="none"/>
        </w:rPr>
        <w:t>资产管理</w:t>
      </w:r>
    </w:p>
    <w:p>
      <w:pPr>
        <w:pStyle w:val="3"/>
        <w:ind w:firstLine="480"/>
        <w:rPr>
          <w:color w:val="auto"/>
          <w:highlight w:val="none"/>
        </w:rPr>
      </w:pPr>
      <w:r>
        <w:rPr>
          <w:rFonts w:hint="eastAsia"/>
          <w:color w:val="auto"/>
          <w:highlight w:val="none"/>
        </w:rPr>
        <w:t>实现警用资产管理，应提供：资产配置、资产类型分类统计、资产处置申请统计、资产报废智能提示、资产维修情况统计。</w:t>
      </w:r>
    </w:p>
    <w:p>
      <w:pPr>
        <w:pStyle w:val="6"/>
        <w:rPr>
          <w:color w:val="auto"/>
          <w:highlight w:val="none"/>
        </w:rPr>
      </w:pPr>
      <w:r>
        <w:rPr>
          <w:rFonts w:hint="eastAsia"/>
          <w:color w:val="auto"/>
          <w:highlight w:val="none"/>
        </w:rPr>
        <w:t>电网管理</w:t>
      </w:r>
    </w:p>
    <w:p>
      <w:pPr>
        <w:pStyle w:val="3"/>
        <w:ind w:firstLine="480"/>
        <w:rPr>
          <w:color w:val="auto"/>
          <w:highlight w:val="none"/>
        </w:rPr>
      </w:pPr>
      <w:r>
        <w:rPr>
          <w:rFonts w:hint="eastAsia"/>
          <w:color w:val="auto"/>
          <w:highlight w:val="none"/>
        </w:rPr>
        <w:t>实现对监狱电网的立体化管理，应提供功能包括：基本信息录入、日常管理、系统管理。</w:t>
      </w:r>
    </w:p>
    <w:p>
      <w:pPr>
        <w:pStyle w:val="6"/>
        <w:rPr>
          <w:color w:val="auto"/>
          <w:highlight w:val="none"/>
        </w:rPr>
      </w:pPr>
      <w:r>
        <w:rPr>
          <w:rFonts w:hint="eastAsia"/>
          <w:color w:val="auto"/>
          <w:highlight w:val="none"/>
        </w:rPr>
        <w:t>隔离网管理</w:t>
      </w:r>
    </w:p>
    <w:p>
      <w:pPr>
        <w:pStyle w:val="3"/>
        <w:ind w:firstLine="480"/>
        <w:rPr>
          <w:color w:val="auto"/>
          <w:highlight w:val="none"/>
        </w:rPr>
      </w:pPr>
      <w:r>
        <w:rPr>
          <w:rFonts w:hint="eastAsia"/>
          <w:color w:val="auto"/>
          <w:highlight w:val="none"/>
        </w:rPr>
        <w:t>实现对监狱隔离网的立体化管理，应提供功能包括：基本信息录入、日常管理、系统管理。</w:t>
      </w:r>
    </w:p>
    <w:p>
      <w:pPr>
        <w:pStyle w:val="4"/>
        <w:rPr>
          <w:color w:val="auto"/>
          <w:highlight w:val="none"/>
        </w:rPr>
      </w:pPr>
      <w:bookmarkStart w:id="40" w:name="_Toc180570838"/>
      <w:r>
        <w:rPr>
          <w:rFonts w:hint="eastAsia"/>
          <w:color w:val="auto"/>
          <w:highlight w:val="none"/>
        </w:rPr>
        <w:t>智慧警务轻应用</w:t>
      </w:r>
      <w:bookmarkEnd w:id="40"/>
    </w:p>
    <w:p>
      <w:pPr>
        <w:pStyle w:val="5"/>
        <w:rPr>
          <w:color w:val="auto"/>
          <w:highlight w:val="none"/>
        </w:rPr>
      </w:pPr>
      <w:bookmarkStart w:id="41" w:name="_Toc180570839"/>
      <w:r>
        <w:rPr>
          <w:rFonts w:hint="eastAsia"/>
          <w:color w:val="auto"/>
          <w:highlight w:val="none"/>
        </w:rPr>
        <w:t>移动警务轻应用</w:t>
      </w:r>
      <w:bookmarkEnd w:id="41"/>
    </w:p>
    <w:p>
      <w:pPr>
        <w:pStyle w:val="3"/>
        <w:ind w:firstLine="480"/>
        <w:rPr>
          <w:color w:val="auto"/>
          <w:highlight w:val="none"/>
        </w:rPr>
      </w:pPr>
      <w:r>
        <w:rPr>
          <w:rFonts w:hint="eastAsia"/>
          <w:color w:val="auto"/>
          <w:highlight w:val="none"/>
        </w:rPr>
        <w:t>本次建设移动警务轻应用将参照“高效办成一件事”的开发理念，围绕前端业务场景为基层民警实现数字化赋能。该功能模块核心通过移动警务端提供服务，相关关联的业务数据由数据底座从原始业务系统或来源进行统一采集与维护，并通过移动端进行展示。此外，本模块各场景功能也支持围绕场景需求由民警在警务端录入数据，完成相关业务场景闭环。</w:t>
      </w:r>
    </w:p>
    <w:p>
      <w:pPr>
        <w:pStyle w:val="6"/>
        <w:rPr>
          <w:color w:val="auto"/>
          <w:highlight w:val="none"/>
        </w:rPr>
      </w:pPr>
      <w:r>
        <w:rPr>
          <w:rFonts w:hint="eastAsia"/>
          <w:color w:val="auto"/>
          <w:highlight w:val="none"/>
        </w:rPr>
        <w:t>移动应用门户</w:t>
      </w:r>
    </w:p>
    <w:p>
      <w:pPr>
        <w:pStyle w:val="3"/>
        <w:ind w:firstLine="480"/>
        <w:rPr>
          <w:color w:val="auto"/>
          <w:highlight w:val="none"/>
        </w:rPr>
      </w:pPr>
      <w:r>
        <w:rPr>
          <w:rFonts w:hint="eastAsia"/>
          <w:color w:val="auto"/>
          <w:highlight w:val="none"/>
        </w:rPr>
        <w:t>移动应用门户属于业务底座中统一集成门户模块，是部署在移动端的应用。为加强移动警务轻应用集约化管理，便于基层民警快速定位所需的业务场景应用须开发移动应用门户。移动应用门户位于警务移动端。各类警务轻应用支持以图标+名称的形式在该门户现实，警员可点击对应图标快速跳转至对应的轻应用功能。在此基础上门户提供搜索功能，可通过模糊匹配的方式，检索所需要的应用。此外，系统须支持常用功能推荐，对于每一个账户常用的轻应用功能，支持在门户内进行优先展示。</w:t>
      </w:r>
    </w:p>
    <w:p>
      <w:pPr>
        <w:pStyle w:val="6"/>
        <w:rPr>
          <w:color w:val="auto"/>
          <w:highlight w:val="none"/>
        </w:rPr>
      </w:pPr>
      <w:r>
        <w:rPr>
          <w:rFonts w:hint="eastAsia"/>
          <w:color w:val="auto"/>
          <w:highlight w:val="none"/>
        </w:rPr>
        <w:t>犯情分析</w:t>
      </w:r>
    </w:p>
    <w:p>
      <w:pPr>
        <w:pStyle w:val="3"/>
        <w:ind w:firstLine="480"/>
        <w:rPr>
          <w:color w:val="auto"/>
          <w:highlight w:val="none"/>
        </w:rPr>
      </w:pPr>
      <w:r>
        <w:rPr>
          <w:rFonts w:hint="eastAsia"/>
          <w:color w:val="auto"/>
          <w:highlight w:val="none"/>
        </w:rPr>
        <w:t>在当前工作模式中民警进行犯情分析工作时，往往需要在特定PC终端上在多个分支系统之间来回切换从而获取犯情分析的支撑数据。基于此背景，开发犯情分析移动应用功能模块，供民警对管辖罪犯的犯情梳理，提供犯情的快捷录入端，犯情数据接入数据分析研判模块，为分析研判提供数据基础。从而赋能基层民警实现便捷化、一站式、自闭环的犯情分析工作。</w:t>
      </w:r>
    </w:p>
    <w:p>
      <w:pPr>
        <w:pStyle w:val="3"/>
        <w:ind w:firstLine="480"/>
        <w:rPr>
          <w:color w:val="auto"/>
          <w:highlight w:val="none"/>
        </w:rPr>
      </w:pPr>
      <w:r>
        <w:rPr>
          <w:rFonts w:hint="eastAsia"/>
          <w:color w:val="auto"/>
          <w:highlight w:val="none"/>
        </w:rPr>
        <w:t>该部分数据主要来源于数据底座。</w:t>
      </w:r>
    </w:p>
    <w:p>
      <w:pPr>
        <w:pStyle w:val="6"/>
        <w:rPr>
          <w:color w:val="auto"/>
          <w:highlight w:val="none"/>
        </w:rPr>
      </w:pPr>
      <w:r>
        <w:rPr>
          <w:rFonts w:hint="eastAsia"/>
          <w:color w:val="auto"/>
          <w:highlight w:val="none"/>
        </w:rPr>
        <w:t>罪犯计分考评</w:t>
      </w:r>
    </w:p>
    <w:p>
      <w:pPr>
        <w:pStyle w:val="3"/>
        <w:ind w:firstLine="480"/>
        <w:rPr>
          <w:color w:val="auto"/>
          <w:highlight w:val="none"/>
        </w:rPr>
      </w:pPr>
      <w:r>
        <w:rPr>
          <w:rFonts w:hint="eastAsia"/>
          <w:color w:val="auto"/>
          <w:highlight w:val="none"/>
        </w:rPr>
        <w:t>罪罚计分考评旨在通过数字化手段，将民警从繁杂的数据录入工作中解放。通过在警务通上建设罪犯计分考评功能模块，使民警在日常工作中，发现罪犯有影响计分考评的行为，通过警务通快捷记录该行为，利用摄像功能将罪犯现场检查认错情况进行拍摄上传保存，并提供罪犯个体计分考评详细内容的查询功能。保障罪犯计分考评工作的高效化与规范化。</w:t>
      </w:r>
    </w:p>
    <w:p>
      <w:pPr>
        <w:pStyle w:val="3"/>
        <w:ind w:firstLine="480"/>
        <w:rPr>
          <w:color w:val="auto"/>
          <w:highlight w:val="none"/>
        </w:rPr>
      </w:pPr>
      <w:r>
        <w:rPr>
          <w:rFonts w:hint="eastAsia"/>
          <w:color w:val="auto"/>
          <w:highlight w:val="none"/>
        </w:rPr>
        <w:t>该部分数据主要来源于数据底座，支持数据录入。</w:t>
      </w:r>
    </w:p>
    <w:p>
      <w:pPr>
        <w:pStyle w:val="6"/>
        <w:rPr>
          <w:color w:val="auto"/>
          <w:highlight w:val="none"/>
        </w:rPr>
      </w:pPr>
      <w:r>
        <w:rPr>
          <w:rFonts w:hint="eastAsia"/>
          <w:color w:val="auto"/>
          <w:highlight w:val="none"/>
        </w:rPr>
        <w:t>特定岗位罪犯审批</w:t>
      </w:r>
    </w:p>
    <w:p>
      <w:pPr>
        <w:pStyle w:val="3"/>
        <w:ind w:firstLine="480"/>
        <w:rPr>
          <w:color w:val="auto"/>
          <w:highlight w:val="none"/>
        </w:rPr>
      </w:pPr>
      <w:r>
        <w:rPr>
          <w:rFonts w:hint="eastAsia"/>
          <w:color w:val="auto"/>
          <w:highlight w:val="none"/>
        </w:rPr>
        <w:t>线下审批存在审批流程耗时长、审批过程研判数据获取困难、审批结果统计分析困难等问题。通过特定岗位罪犯审批模块驱动原本线下的审批流程转化为线上化，从而实现高效、精准、可留痕的特定岗位罪犯审批工作。</w:t>
      </w:r>
    </w:p>
    <w:p>
      <w:pPr>
        <w:pStyle w:val="3"/>
        <w:ind w:firstLine="480"/>
        <w:rPr>
          <w:color w:val="auto"/>
          <w:highlight w:val="none"/>
        </w:rPr>
      </w:pPr>
      <w:r>
        <w:rPr>
          <w:rFonts w:hint="eastAsia"/>
          <w:color w:val="auto"/>
          <w:highlight w:val="none"/>
        </w:rPr>
        <w:t>建设特定岗位罪犯审批移动轻应用，同时同步建设PC管理后台，其中移动应用提供特岗犯教育、考核等信息录入；PC管理后台提供特定岗位配置、审批流程（工作流接入）、特岗犯异常数据分析、提醒。</w:t>
      </w:r>
    </w:p>
    <w:p>
      <w:pPr>
        <w:pStyle w:val="3"/>
        <w:ind w:firstLine="480"/>
        <w:rPr>
          <w:color w:val="auto"/>
          <w:highlight w:val="none"/>
        </w:rPr>
      </w:pPr>
      <w:r>
        <w:rPr>
          <w:rFonts w:hint="eastAsia"/>
          <w:color w:val="auto"/>
          <w:highlight w:val="none"/>
        </w:rPr>
        <w:t>该部分数据主要来源于数据底座，支持数据录入。</w:t>
      </w:r>
    </w:p>
    <w:p>
      <w:pPr>
        <w:pStyle w:val="3"/>
        <w:ind w:firstLine="480"/>
        <w:rPr>
          <w:color w:val="auto"/>
          <w:highlight w:val="none"/>
        </w:rPr>
      </w:pPr>
    </w:p>
    <w:p>
      <w:pPr>
        <w:pStyle w:val="6"/>
        <w:rPr>
          <w:color w:val="auto"/>
          <w:highlight w:val="none"/>
        </w:rPr>
      </w:pPr>
      <w:r>
        <w:rPr>
          <w:rFonts w:hint="eastAsia"/>
          <w:color w:val="auto"/>
          <w:highlight w:val="none"/>
        </w:rPr>
        <w:t>改造情况综合查询</w:t>
      </w:r>
    </w:p>
    <w:p>
      <w:pPr>
        <w:pStyle w:val="3"/>
        <w:ind w:firstLine="480"/>
        <w:rPr>
          <w:color w:val="auto"/>
          <w:highlight w:val="none"/>
        </w:rPr>
      </w:pPr>
      <w:r>
        <w:rPr>
          <w:rFonts w:hint="eastAsia"/>
          <w:color w:val="auto"/>
          <w:highlight w:val="none"/>
        </w:rPr>
        <w:t>受限于早期信息化系统建设时统一规划的缺乏，当前各信息化系统之间往往存在数据壁垒，影响数据综合查询分析。改造情况综合查询模块旨在通过移动端，一站式向民警提供全量、全方位、全时段的数据资源，从而满足基层民警在改造情况查询工作中便捷化、精准化、高效化的需求。</w:t>
      </w:r>
    </w:p>
    <w:p>
      <w:pPr>
        <w:pStyle w:val="3"/>
        <w:ind w:firstLine="480"/>
        <w:rPr>
          <w:color w:val="auto"/>
          <w:highlight w:val="none"/>
        </w:rPr>
      </w:pPr>
      <w:r>
        <w:rPr>
          <w:rFonts w:hint="eastAsia"/>
          <w:color w:val="auto"/>
          <w:highlight w:val="none"/>
        </w:rPr>
        <w:t>在警务通中开发“改造情况综合查询”移动应用，应提供以下功能:</w:t>
      </w:r>
    </w:p>
    <w:p>
      <w:pPr>
        <w:pStyle w:val="3"/>
        <w:ind w:firstLine="480"/>
        <w:rPr>
          <w:color w:val="auto"/>
          <w:highlight w:val="none"/>
        </w:rPr>
      </w:pPr>
      <w:r>
        <w:rPr>
          <w:rFonts w:hint="eastAsia"/>
          <w:color w:val="auto"/>
          <w:highlight w:val="none"/>
        </w:rPr>
        <w:t>1)移动应用并对接狱政管理系统:提供非敏感改造情况信息；</w:t>
      </w:r>
    </w:p>
    <w:p>
      <w:pPr>
        <w:pStyle w:val="3"/>
        <w:ind w:firstLine="480"/>
        <w:rPr>
          <w:color w:val="auto"/>
          <w:highlight w:val="none"/>
        </w:rPr>
      </w:pPr>
      <w:r>
        <w:rPr>
          <w:rFonts w:hint="eastAsia"/>
          <w:color w:val="auto"/>
          <w:highlight w:val="none"/>
        </w:rPr>
        <w:t>2)在罪犯信息中建设分类明细入口，支持不同民警的按权限查询；</w:t>
      </w:r>
    </w:p>
    <w:p>
      <w:pPr>
        <w:pStyle w:val="3"/>
        <w:ind w:firstLine="480"/>
        <w:rPr>
          <w:color w:val="auto"/>
          <w:highlight w:val="none"/>
        </w:rPr>
      </w:pPr>
      <w:r>
        <w:rPr>
          <w:rFonts w:hint="eastAsia"/>
          <w:color w:val="auto"/>
          <w:highlight w:val="none"/>
        </w:rPr>
        <w:t>3)在警务通中民警使用其他应用，支持基于罪犯姓名的关联查询。</w:t>
      </w:r>
    </w:p>
    <w:p>
      <w:pPr>
        <w:pStyle w:val="3"/>
        <w:ind w:firstLine="480"/>
        <w:rPr>
          <w:color w:val="auto"/>
          <w:highlight w:val="none"/>
        </w:rPr>
      </w:pPr>
      <w:r>
        <w:rPr>
          <w:rFonts w:hint="eastAsia"/>
          <w:color w:val="auto"/>
          <w:highlight w:val="none"/>
        </w:rPr>
        <w:t>在PC管理端开放“改造情况综合查询管理”功能模块，应提供以下功能:</w:t>
      </w:r>
    </w:p>
    <w:p>
      <w:pPr>
        <w:pStyle w:val="3"/>
        <w:ind w:firstLine="480"/>
        <w:rPr>
          <w:color w:val="auto"/>
          <w:highlight w:val="none"/>
        </w:rPr>
      </w:pPr>
      <w:r>
        <w:rPr>
          <w:rFonts w:hint="eastAsia"/>
          <w:color w:val="auto"/>
          <w:highlight w:val="none"/>
        </w:rPr>
        <w:t>1)改造情况查看:通过对接狱政管理系统，可快速搜索罪犯并查看其对应的改造情况信息；</w:t>
      </w:r>
    </w:p>
    <w:p>
      <w:pPr>
        <w:pStyle w:val="3"/>
        <w:ind w:firstLine="480"/>
        <w:rPr>
          <w:color w:val="auto"/>
          <w:highlight w:val="none"/>
        </w:rPr>
      </w:pPr>
      <w:r>
        <w:rPr>
          <w:rFonts w:hint="eastAsia"/>
          <w:color w:val="auto"/>
          <w:highlight w:val="none"/>
        </w:rPr>
        <w:t>2)日志查看:对民警的查询动作记录日志，对查询民警、查询内容、查询时间做记录以供追溯。</w:t>
      </w:r>
    </w:p>
    <w:p>
      <w:pPr>
        <w:pStyle w:val="3"/>
        <w:ind w:firstLine="480"/>
        <w:rPr>
          <w:color w:val="auto"/>
          <w:highlight w:val="none"/>
        </w:rPr>
      </w:pPr>
      <w:r>
        <w:rPr>
          <w:rFonts w:hint="eastAsia"/>
          <w:color w:val="auto"/>
          <w:highlight w:val="none"/>
        </w:rPr>
        <w:t>该部分数据主要来源于数据底座。</w:t>
      </w:r>
    </w:p>
    <w:p>
      <w:pPr>
        <w:pStyle w:val="3"/>
        <w:ind w:firstLine="480"/>
        <w:rPr>
          <w:color w:val="auto"/>
          <w:highlight w:val="none"/>
        </w:rPr>
      </w:pPr>
    </w:p>
    <w:p>
      <w:pPr>
        <w:pStyle w:val="6"/>
        <w:rPr>
          <w:color w:val="auto"/>
          <w:highlight w:val="none"/>
        </w:rPr>
      </w:pPr>
      <w:r>
        <w:rPr>
          <w:rFonts w:hint="eastAsia"/>
          <w:color w:val="auto"/>
          <w:highlight w:val="none"/>
        </w:rPr>
        <w:t>医生巡诊</w:t>
      </w:r>
    </w:p>
    <w:p>
      <w:pPr>
        <w:pStyle w:val="3"/>
        <w:ind w:firstLine="480"/>
        <w:rPr>
          <w:color w:val="auto"/>
          <w:highlight w:val="none"/>
        </w:rPr>
      </w:pPr>
      <w:r>
        <w:rPr>
          <w:rFonts w:hint="eastAsia"/>
          <w:color w:val="auto"/>
          <w:highlight w:val="none"/>
        </w:rPr>
        <w:t>医生巡诊模块旨在保障罪犯就医过程中各项信息的准确录入采集与统合数据分析。在警务通建立医生巡检模块通过狱内VPN对接HIS(医院信息管理系统)、狱政管理系统，在医生巡检过程中通过手写输入的方式，录入罪犯病例信息，并通过警务通将罪犯的病例数据实时传输至HIS(医院信息管理系统)，并在警务通端提供快速查询罪犯病例信息功能。</w:t>
      </w:r>
    </w:p>
    <w:p>
      <w:pPr>
        <w:pStyle w:val="3"/>
        <w:ind w:firstLine="480"/>
        <w:rPr>
          <w:color w:val="auto"/>
          <w:highlight w:val="none"/>
        </w:rPr>
      </w:pPr>
      <w:r>
        <w:rPr>
          <w:rFonts w:hint="eastAsia"/>
          <w:color w:val="auto"/>
          <w:highlight w:val="none"/>
        </w:rPr>
        <w:t>该部分数据主要来源于数据底座对接HIS等系统，后提供数据服务至本模块，支持数据录入。</w:t>
      </w:r>
    </w:p>
    <w:p>
      <w:pPr>
        <w:pStyle w:val="6"/>
        <w:rPr>
          <w:color w:val="auto"/>
          <w:highlight w:val="none"/>
        </w:rPr>
      </w:pPr>
      <w:r>
        <w:rPr>
          <w:rFonts w:hint="eastAsia"/>
          <w:color w:val="auto"/>
          <w:highlight w:val="none"/>
        </w:rPr>
        <w:t>罪犯服药管理</w:t>
      </w:r>
    </w:p>
    <w:p>
      <w:pPr>
        <w:pStyle w:val="3"/>
        <w:ind w:firstLine="480"/>
        <w:rPr>
          <w:color w:val="auto"/>
          <w:highlight w:val="none"/>
        </w:rPr>
      </w:pPr>
      <w:r>
        <w:rPr>
          <w:rFonts w:hint="eastAsia"/>
          <w:color w:val="auto"/>
          <w:highlight w:val="none"/>
        </w:rPr>
        <w:t>在基层监狱改造中，为保障罪犯按时、按量、安全用药，部署了基层监狱服药管理设施。而本功能模块部分依赖于基层监狱服药管理设施，本模块完成软件系统开发并预留对接接口。</w:t>
      </w:r>
    </w:p>
    <w:p>
      <w:pPr>
        <w:pStyle w:val="3"/>
        <w:ind w:firstLine="480"/>
        <w:rPr>
          <w:color w:val="auto"/>
          <w:highlight w:val="none"/>
        </w:rPr>
      </w:pPr>
      <w:r>
        <w:rPr>
          <w:rFonts w:hint="eastAsia"/>
          <w:color w:val="auto"/>
          <w:highlight w:val="none"/>
        </w:rPr>
        <w:t>在警务通中开发“服药管理”移动应用，应提供功能包括：人药比对、服药记录、报表管理。</w:t>
      </w:r>
    </w:p>
    <w:p>
      <w:pPr>
        <w:pStyle w:val="3"/>
        <w:ind w:firstLine="480"/>
        <w:rPr>
          <w:color w:val="auto"/>
          <w:highlight w:val="none"/>
        </w:rPr>
      </w:pPr>
      <w:r>
        <w:rPr>
          <w:rFonts w:hint="eastAsia"/>
          <w:color w:val="auto"/>
          <w:highlight w:val="none"/>
        </w:rPr>
        <w:t>在PC管理端开发“罪犯服药管理”功能模块，应提供功能包括：服药记录、药毕预警。</w:t>
      </w:r>
    </w:p>
    <w:p>
      <w:pPr>
        <w:pStyle w:val="6"/>
        <w:rPr>
          <w:color w:val="auto"/>
          <w:highlight w:val="none"/>
        </w:rPr>
      </w:pPr>
      <w:r>
        <w:rPr>
          <w:rFonts w:hint="eastAsia"/>
          <w:color w:val="auto"/>
          <w:highlight w:val="none"/>
        </w:rPr>
        <w:t>危险源巡查与安全检查</w:t>
      </w:r>
    </w:p>
    <w:p>
      <w:pPr>
        <w:pStyle w:val="3"/>
        <w:ind w:firstLine="480"/>
        <w:rPr>
          <w:color w:val="auto"/>
          <w:highlight w:val="none"/>
        </w:rPr>
      </w:pPr>
      <w:r>
        <w:rPr>
          <w:rFonts w:hint="eastAsia"/>
          <w:color w:val="auto"/>
          <w:highlight w:val="none"/>
        </w:rPr>
        <w:t>在监狱管理中常态化的危险源巡查与安全检查是保障监狱安全的重中之重。通过开发相关功能模块，可建立体系化的危险源管理体系，结合配套巡检与安全检查工作实现对危险源的及时发现，提前处置，保障监狱工作的安全推进。</w:t>
      </w:r>
    </w:p>
    <w:p>
      <w:pPr>
        <w:pStyle w:val="3"/>
        <w:ind w:firstLine="480"/>
        <w:rPr>
          <w:color w:val="auto"/>
          <w:highlight w:val="none"/>
        </w:rPr>
      </w:pPr>
      <w:r>
        <w:rPr>
          <w:rFonts w:hint="eastAsia"/>
          <w:color w:val="auto"/>
          <w:highlight w:val="none"/>
        </w:rPr>
        <w:t>在警务通中开发“危险源巡查与安全检查”移动应用，应提供功能包括：巡检、年检预警、统计分析。</w:t>
      </w:r>
    </w:p>
    <w:p>
      <w:pPr>
        <w:pStyle w:val="3"/>
        <w:ind w:firstLine="480"/>
        <w:rPr>
          <w:color w:val="auto"/>
          <w:highlight w:val="none"/>
        </w:rPr>
      </w:pPr>
      <w:r>
        <w:rPr>
          <w:rFonts w:hint="eastAsia"/>
          <w:color w:val="auto"/>
          <w:highlight w:val="none"/>
        </w:rPr>
        <w:t>在PC管理平台中建立“危险源巡查与安全检查”功能模块，应提供功能包括：设备数据传输、告警提醒、危险源配置、巡查记录、年检预警、巡检计划、统计分析。</w:t>
      </w:r>
    </w:p>
    <w:p>
      <w:pPr>
        <w:pStyle w:val="3"/>
        <w:ind w:firstLine="480"/>
        <w:rPr>
          <w:color w:val="auto"/>
          <w:highlight w:val="none"/>
        </w:rPr>
      </w:pPr>
      <w:r>
        <w:rPr>
          <w:rFonts w:hint="eastAsia"/>
          <w:color w:val="auto"/>
          <w:highlight w:val="none"/>
        </w:rPr>
        <w:t>该部分数据主要来源于数据底座。</w:t>
      </w:r>
    </w:p>
    <w:p>
      <w:pPr>
        <w:pStyle w:val="3"/>
        <w:ind w:firstLine="480"/>
        <w:rPr>
          <w:color w:val="auto"/>
          <w:highlight w:val="none"/>
        </w:rPr>
      </w:pPr>
    </w:p>
    <w:p>
      <w:pPr>
        <w:pStyle w:val="6"/>
        <w:rPr>
          <w:color w:val="auto"/>
          <w:highlight w:val="none"/>
        </w:rPr>
      </w:pPr>
      <w:r>
        <w:rPr>
          <w:rFonts w:hint="eastAsia"/>
          <w:color w:val="auto"/>
          <w:highlight w:val="none"/>
        </w:rPr>
        <w:t>规章制度查询</w:t>
      </w:r>
    </w:p>
    <w:p>
      <w:pPr>
        <w:pStyle w:val="3"/>
        <w:ind w:firstLine="480"/>
        <w:rPr>
          <w:color w:val="auto"/>
          <w:highlight w:val="none"/>
        </w:rPr>
      </w:pPr>
      <w:r>
        <w:rPr>
          <w:rFonts w:hint="eastAsia"/>
          <w:color w:val="auto"/>
          <w:highlight w:val="none"/>
        </w:rPr>
        <w:t>为保障基层民警日常工作的规范，相关规章制度的宣传与教育必不可少。而规章制度查询模块为基层民警提供了随手、随时可获取的最准确的规章制度信息。从而驱动上海市监狱管理局工作的规范化。</w:t>
      </w:r>
    </w:p>
    <w:p>
      <w:pPr>
        <w:pStyle w:val="3"/>
        <w:ind w:firstLine="480"/>
        <w:rPr>
          <w:color w:val="auto"/>
          <w:highlight w:val="none"/>
        </w:rPr>
      </w:pPr>
      <w:r>
        <w:rPr>
          <w:rFonts w:hint="eastAsia"/>
          <w:color w:val="auto"/>
          <w:highlight w:val="none"/>
        </w:rPr>
        <w:t>在警务通中开发“规章制度”移动应用，应具备以下功能：规章制度检索、业务应用跳转、自测自评。</w:t>
      </w:r>
    </w:p>
    <w:p>
      <w:pPr>
        <w:pStyle w:val="3"/>
        <w:ind w:firstLine="480"/>
        <w:rPr>
          <w:color w:val="auto"/>
          <w:highlight w:val="none"/>
        </w:rPr>
      </w:pPr>
      <w:r>
        <w:rPr>
          <w:rFonts w:hint="eastAsia"/>
          <w:color w:val="auto"/>
          <w:highlight w:val="none"/>
        </w:rPr>
        <w:t>在PC管理平台中建立“规章制度管理”功能模块，应实现以下功能：密级配置、有效期配置、掌握程度测试、统计分析。</w:t>
      </w:r>
    </w:p>
    <w:p>
      <w:pPr>
        <w:pStyle w:val="3"/>
        <w:ind w:firstLine="480"/>
        <w:rPr>
          <w:color w:val="auto"/>
          <w:highlight w:val="none"/>
        </w:rPr>
      </w:pPr>
      <w:r>
        <w:rPr>
          <w:rFonts w:hint="eastAsia"/>
          <w:color w:val="auto"/>
          <w:highlight w:val="none"/>
        </w:rPr>
        <w:t>该部分数据主要来源于数据底座。</w:t>
      </w:r>
    </w:p>
    <w:p>
      <w:pPr>
        <w:pStyle w:val="3"/>
        <w:ind w:firstLine="480"/>
        <w:rPr>
          <w:color w:val="auto"/>
          <w:highlight w:val="none"/>
        </w:rPr>
      </w:pPr>
    </w:p>
    <w:p>
      <w:pPr>
        <w:pStyle w:val="6"/>
        <w:rPr>
          <w:color w:val="auto"/>
          <w:highlight w:val="none"/>
        </w:rPr>
      </w:pPr>
      <w:r>
        <w:rPr>
          <w:rFonts w:hint="eastAsia"/>
          <w:color w:val="auto"/>
          <w:highlight w:val="none"/>
        </w:rPr>
        <w:t>车辆使用网上审批</w:t>
      </w:r>
    </w:p>
    <w:p>
      <w:pPr>
        <w:pStyle w:val="3"/>
        <w:ind w:firstLine="480"/>
        <w:rPr>
          <w:color w:val="auto"/>
          <w:highlight w:val="none"/>
        </w:rPr>
      </w:pPr>
      <w:r>
        <w:rPr>
          <w:rFonts w:hint="eastAsia"/>
          <w:color w:val="auto"/>
          <w:highlight w:val="none"/>
        </w:rPr>
        <w:t>车辆使用网上审批工作提供车辆审批使用的全流程赋能，使得民警可便捷、高效的完成公车的使用审批，避免了传统审批过程耗时过长、可用车辆情况不清晰、车辆使用情况难以统计等问题。</w:t>
      </w:r>
    </w:p>
    <w:p>
      <w:pPr>
        <w:pStyle w:val="3"/>
        <w:ind w:firstLine="480"/>
        <w:rPr>
          <w:color w:val="auto"/>
          <w:highlight w:val="none"/>
        </w:rPr>
      </w:pPr>
      <w:r>
        <w:rPr>
          <w:rFonts w:hint="eastAsia"/>
          <w:color w:val="auto"/>
          <w:highlight w:val="none"/>
        </w:rPr>
        <w:t>在警务通上开发车辆审批功能模块，民警通过该模块进行用车的申请、审批等操作，包含以下功能：</w:t>
      </w:r>
    </w:p>
    <w:p>
      <w:pPr>
        <w:pStyle w:val="3"/>
        <w:ind w:firstLine="480"/>
        <w:rPr>
          <w:color w:val="auto"/>
          <w:highlight w:val="none"/>
        </w:rPr>
      </w:pPr>
      <w:r>
        <w:rPr>
          <w:rFonts w:hint="eastAsia"/>
          <w:color w:val="auto"/>
          <w:highlight w:val="none"/>
        </w:rPr>
        <w:t>1)公务用车和执法执勤车的车辆信息配置功能；</w:t>
      </w:r>
    </w:p>
    <w:p>
      <w:pPr>
        <w:pStyle w:val="3"/>
        <w:ind w:firstLine="480"/>
        <w:rPr>
          <w:color w:val="auto"/>
          <w:highlight w:val="none"/>
        </w:rPr>
      </w:pPr>
      <w:r>
        <w:rPr>
          <w:rFonts w:hint="eastAsia"/>
          <w:color w:val="auto"/>
          <w:highlight w:val="none"/>
        </w:rPr>
        <w:t>2)公务用车审批流程；</w:t>
      </w:r>
    </w:p>
    <w:p>
      <w:pPr>
        <w:pStyle w:val="3"/>
        <w:ind w:firstLine="480"/>
        <w:rPr>
          <w:color w:val="auto"/>
          <w:highlight w:val="none"/>
        </w:rPr>
      </w:pPr>
      <w:r>
        <w:rPr>
          <w:rFonts w:hint="eastAsia"/>
          <w:color w:val="auto"/>
          <w:highlight w:val="none"/>
        </w:rPr>
        <w:t>3)执法执勤车辆用车审批流程；</w:t>
      </w:r>
    </w:p>
    <w:p>
      <w:pPr>
        <w:pStyle w:val="3"/>
        <w:ind w:firstLine="480"/>
        <w:rPr>
          <w:color w:val="auto"/>
          <w:highlight w:val="none"/>
        </w:rPr>
      </w:pPr>
      <w:r>
        <w:rPr>
          <w:rFonts w:hint="eastAsia"/>
          <w:color w:val="auto"/>
          <w:highlight w:val="none"/>
        </w:rPr>
        <w:t>4)公务用车、执法用车历史使用情况查询；</w:t>
      </w:r>
    </w:p>
    <w:p>
      <w:pPr>
        <w:pStyle w:val="3"/>
        <w:ind w:firstLine="480"/>
        <w:rPr>
          <w:color w:val="auto"/>
          <w:highlight w:val="none"/>
        </w:rPr>
      </w:pPr>
      <w:r>
        <w:rPr>
          <w:rFonts w:hint="eastAsia"/>
          <w:color w:val="auto"/>
          <w:highlight w:val="none"/>
        </w:rPr>
        <w:t>5)公务用车、执法用车当前使用状态查询(当前是否在用，使用人信息等等)；</w:t>
      </w:r>
    </w:p>
    <w:p>
      <w:pPr>
        <w:pStyle w:val="3"/>
        <w:ind w:firstLine="480"/>
        <w:rPr>
          <w:color w:val="auto"/>
          <w:highlight w:val="none"/>
        </w:rPr>
      </w:pPr>
      <w:r>
        <w:rPr>
          <w:rFonts w:hint="eastAsia"/>
          <w:color w:val="auto"/>
          <w:highlight w:val="none"/>
        </w:rPr>
        <w:t>6)公务用车、执法用车未来使用预约情况查询；</w:t>
      </w:r>
    </w:p>
    <w:p>
      <w:pPr>
        <w:pStyle w:val="3"/>
        <w:ind w:firstLine="480"/>
        <w:rPr>
          <w:color w:val="auto"/>
          <w:highlight w:val="none"/>
        </w:rPr>
      </w:pPr>
      <w:r>
        <w:rPr>
          <w:rFonts w:hint="eastAsia"/>
          <w:color w:val="auto"/>
          <w:highlight w:val="none"/>
        </w:rPr>
        <w:t>7)车辆维度，车辆申请使用情况统计报表；</w:t>
      </w:r>
    </w:p>
    <w:p>
      <w:pPr>
        <w:pStyle w:val="3"/>
        <w:ind w:firstLine="480"/>
        <w:rPr>
          <w:color w:val="auto"/>
          <w:highlight w:val="none"/>
        </w:rPr>
      </w:pPr>
      <w:r>
        <w:rPr>
          <w:rFonts w:hint="eastAsia"/>
          <w:color w:val="auto"/>
          <w:highlight w:val="none"/>
        </w:rPr>
        <w:t>8)用车申请人维度，车辆申请使用情况统计报表；</w:t>
      </w:r>
    </w:p>
    <w:p>
      <w:pPr>
        <w:pStyle w:val="3"/>
        <w:ind w:firstLine="480"/>
        <w:rPr>
          <w:color w:val="auto"/>
          <w:highlight w:val="none"/>
        </w:rPr>
      </w:pPr>
      <w:r>
        <w:rPr>
          <w:rFonts w:hint="eastAsia"/>
          <w:color w:val="auto"/>
          <w:highlight w:val="none"/>
        </w:rPr>
        <w:t>9)车辆使用后评价，记录到车辆信息中供后续查阅。</w:t>
      </w:r>
    </w:p>
    <w:p>
      <w:pPr>
        <w:pStyle w:val="6"/>
        <w:rPr>
          <w:color w:val="auto"/>
          <w:highlight w:val="none"/>
        </w:rPr>
      </w:pPr>
      <w:r>
        <w:rPr>
          <w:rFonts w:hint="eastAsia"/>
          <w:color w:val="auto"/>
          <w:highlight w:val="none"/>
        </w:rPr>
        <w:t>设施设备检修</w:t>
      </w:r>
    </w:p>
    <w:p>
      <w:pPr>
        <w:pStyle w:val="3"/>
        <w:ind w:firstLine="480"/>
        <w:rPr>
          <w:color w:val="auto"/>
          <w:highlight w:val="none"/>
        </w:rPr>
      </w:pPr>
      <w:r>
        <w:rPr>
          <w:rFonts w:hint="eastAsia"/>
          <w:color w:val="auto"/>
          <w:highlight w:val="none"/>
        </w:rPr>
        <w:t>设备设施检修模块旨在打造线上化无纸运维体系，保障设备门禁、周界、监控等各设备设施的高效运维、稳定运行。</w:t>
      </w:r>
    </w:p>
    <w:p>
      <w:pPr>
        <w:pStyle w:val="3"/>
        <w:ind w:firstLine="480"/>
        <w:rPr>
          <w:color w:val="auto"/>
          <w:highlight w:val="none"/>
        </w:rPr>
      </w:pPr>
      <w:r>
        <w:rPr>
          <w:rFonts w:hint="eastAsia"/>
          <w:color w:val="auto"/>
          <w:highlight w:val="none"/>
        </w:rPr>
        <w:t>在警务通中开发“设备设施检修”移动应用，实现以下功能：</w:t>
      </w:r>
    </w:p>
    <w:p>
      <w:pPr>
        <w:pStyle w:val="3"/>
        <w:ind w:firstLine="480"/>
        <w:rPr>
          <w:color w:val="auto"/>
          <w:highlight w:val="none"/>
        </w:rPr>
      </w:pPr>
      <w:r>
        <w:rPr>
          <w:rFonts w:hint="eastAsia"/>
          <w:color w:val="auto"/>
          <w:highlight w:val="none"/>
        </w:rPr>
        <w:t>检修流程管理：民警通过警务通发起检修，通过扫描设施设备二维码进行本次检修并进行相关记录，并上传照片留证；检修记录查询、统计展示；检修消息提醒。</w:t>
      </w:r>
    </w:p>
    <w:p>
      <w:pPr>
        <w:pStyle w:val="3"/>
        <w:ind w:firstLine="480"/>
        <w:rPr>
          <w:color w:val="auto"/>
          <w:highlight w:val="none"/>
        </w:rPr>
      </w:pPr>
      <w:r>
        <w:rPr>
          <w:rFonts w:hint="eastAsia"/>
          <w:color w:val="auto"/>
          <w:highlight w:val="none"/>
        </w:rPr>
        <w:t>在PC管理平台中建立“设备设施检修管理”功能模块，实现以下功能：</w:t>
      </w:r>
    </w:p>
    <w:p>
      <w:pPr>
        <w:pStyle w:val="3"/>
        <w:ind w:firstLine="480"/>
        <w:rPr>
          <w:color w:val="auto"/>
          <w:highlight w:val="none"/>
        </w:rPr>
      </w:pPr>
      <w:r>
        <w:rPr>
          <w:rFonts w:hint="eastAsia"/>
          <w:color w:val="auto"/>
          <w:highlight w:val="none"/>
        </w:rPr>
        <w:t>1)设施设备的管理功能；</w:t>
      </w:r>
    </w:p>
    <w:p>
      <w:pPr>
        <w:pStyle w:val="3"/>
        <w:ind w:firstLine="480"/>
        <w:rPr>
          <w:color w:val="auto"/>
          <w:highlight w:val="none"/>
        </w:rPr>
      </w:pPr>
      <w:r>
        <w:rPr>
          <w:rFonts w:hint="eastAsia"/>
          <w:color w:val="auto"/>
          <w:highlight w:val="none"/>
        </w:rPr>
        <w:t>2)电梯、燃气设备、变电所高低压设施设备检修周期的设置功能；</w:t>
      </w:r>
    </w:p>
    <w:p>
      <w:pPr>
        <w:pStyle w:val="3"/>
        <w:ind w:firstLine="480"/>
        <w:rPr>
          <w:color w:val="auto"/>
          <w:highlight w:val="none"/>
        </w:rPr>
      </w:pPr>
      <w:r>
        <w:rPr>
          <w:rFonts w:hint="eastAsia"/>
          <w:color w:val="auto"/>
          <w:highlight w:val="none"/>
        </w:rPr>
        <w:t>3)电梯、燃气设备、变电所高低压设施设备的检修预告功能；</w:t>
      </w:r>
    </w:p>
    <w:p>
      <w:pPr>
        <w:pStyle w:val="3"/>
        <w:ind w:firstLine="480"/>
        <w:rPr>
          <w:color w:val="auto"/>
          <w:highlight w:val="none"/>
        </w:rPr>
      </w:pPr>
      <w:r>
        <w:rPr>
          <w:color w:val="auto"/>
          <w:highlight w:val="none"/>
        </w:rPr>
        <w:t>4)</w:t>
      </w:r>
      <w:r>
        <w:rPr>
          <w:rFonts w:hint="eastAsia"/>
          <w:color w:val="auto"/>
          <w:highlight w:val="none"/>
        </w:rPr>
        <w:t>设施设备检修人员、检修时间、检修结果的登记和文件上传功能；</w:t>
      </w:r>
    </w:p>
    <w:p>
      <w:pPr>
        <w:pStyle w:val="3"/>
        <w:ind w:firstLine="480"/>
        <w:rPr>
          <w:color w:val="auto"/>
          <w:highlight w:val="none"/>
        </w:rPr>
      </w:pPr>
      <w:r>
        <w:rPr>
          <w:rFonts w:hint="eastAsia"/>
          <w:color w:val="auto"/>
          <w:highlight w:val="none"/>
        </w:rPr>
        <w:t>5)设施设备检修结果的查看、统计功能；</w:t>
      </w:r>
    </w:p>
    <w:p>
      <w:pPr>
        <w:pStyle w:val="3"/>
        <w:ind w:firstLine="480"/>
        <w:rPr>
          <w:color w:val="auto"/>
          <w:highlight w:val="none"/>
        </w:rPr>
      </w:pPr>
      <w:r>
        <w:rPr>
          <w:color w:val="auto"/>
          <w:highlight w:val="none"/>
        </w:rPr>
        <w:t>6)</w:t>
      </w:r>
      <w:r>
        <w:rPr>
          <w:rFonts w:hint="eastAsia"/>
          <w:color w:val="auto"/>
          <w:highlight w:val="none"/>
        </w:rPr>
        <w:t>设施设备检修记录的导出功能。</w:t>
      </w:r>
    </w:p>
    <w:p>
      <w:pPr>
        <w:pStyle w:val="3"/>
        <w:ind w:firstLine="480"/>
        <w:rPr>
          <w:color w:val="auto"/>
          <w:highlight w:val="none"/>
        </w:rPr>
      </w:pPr>
      <w:r>
        <w:rPr>
          <w:rFonts w:hint="eastAsia"/>
          <w:color w:val="auto"/>
          <w:highlight w:val="none"/>
        </w:rPr>
        <w:t>该部分数据主要来源于数据底座对接基层监狱等各类设备设施管理平台或直接对接设备设施（如需）。相关二维码巡检功能的部署与使用依赖基层监狱数字化改造。</w:t>
      </w:r>
    </w:p>
    <w:p>
      <w:pPr>
        <w:pStyle w:val="3"/>
        <w:ind w:firstLine="480"/>
        <w:rPr>
          <w:color w:val="auto"/>
          <w:highlight w:val="none"/>
        </w:rPr>
      </w:pPr>
    </w:p>
    <w:p>
      <w:pPr>
        <w:pStyle w:val="6"/>
        <w:rPr>
          <w:color w:val="auto"/>
          <w:highlight w:val="none"/>
        </w:rPr>
      </w:pPr>
      <w:r>
        <w:rPr>
          <w:rFonts w:hint="eastAsia"/>
          <w:color w:val="auto"/>
          <w:highlight w:val="none"/>
        </w:rPr>
        <w:t>办会管理</w:t>
      </w:r>
    </w:p>
    <w:p>
      <w:pPr>
        <w:pStyle w:val="3"/>
        <w:ind w:firstLine="480"/>
        <w:rPr>
          <w:color w:val="auto"/>
          <w:highlight w:val="none"/>
        </w:rPr>
      </w:pPr>
      <w:r>
        <w:rPr>
          <w:rFonts w:hint="eastAsia"/>
          <w:color w:val="auto"/>
          <w:highlight w:val="none"/>
        </w:rPr>
        <w:t>办会管理旨在提供更规范、有序的会议室预约管理体系。</w:t>
      </w:r>
    </w:p>
    <w:p>
      <w:pPr>
        <w:pStyle w:val="3"/>
        <w:ind w:firstLine="480"/>
        <w:rPr>
          <w:color w:val="auto"/>
          <w:highlight w:val="none"/>
        </w:rPr>
      </w:pPr>
      <w:r>
        <w:rPr>
          <w:rFonts w:hint="eastAsia"/>
          <w:color w:val="auto"/>
          <w:highlight w:val="none"/>
        </w:rPr>
        <w:t>该部分功能的实现依赖于以下会议设备，本模块开发主要完成系统功能开发，并预留对接接口：</w:t>
      </w:r>
    </w:p>
    <w:p>
      <w:pPr>
        <w:pStyle w:val="3"/>
        <w:ind w:firstLine="480"/>
        <w:rPr>
          <w:color w:val="auto"/>
          <w:highlight w:val="none"/>
        </w:rPr>
      </w:pPr>
      <w:r>
        <w:rPr>
          <w:rFonts w:hint="eastAsia"/>
          <w:color w:val="auto"/>
          <w:highlight w:val="none"/>
        </w:rPr>
        <w:t>1) 在会议室门口安装警务通读卡器。</w:t>
      </w:r>
    </w:p>
    <w:p>
      <w:pPr>
        <w:pStyle w:val="3"/>
        <w:ind w:firstLine="480"/>
        <w:rPr>
          <w:color w:val="auto"/>
          <w:highlight w:val="none"/>
        </w:rPr>
      </w:pPr>
      <w:r>
        <w:rPr>
          <w:rFonts w:hint="eastAsia"/>
          <w:color w:val="auto"/>
          <w:highlight w:val="none"/>
        </w:rPr>
        <w:t>2) 在每个席位安装一个双面液晶显示电子席卡(带触摸功能)。</w:t>
      </w:r>
    </w:p>
    <w:p>
      <w:pPr>
        <w:pStyle w:val="3"/>
        <w:ind w:firstLine="480"/>
        <w:rPr>
          <w:color w:val="auto"/>
          <w:highlight w:val="none"/>
        </w:rPr>
      </w:pPr>
      <w:r>
        <w:rPr>
          <w:rFonts w:hint="eastAsia"/>
          <w:color w:val="auto"/>
          <w:highlight w:val="none"/>
        </w:rPr>
        <w:t>提供警务通读卡器：用于会议签到，统计人员。</w:t>
      </w:r>
    </w:p>
    <w:p>
      <w:pPr>
        <w:pStyle w:val="3"/>
        <w:ind w:firstLine="480"/>
        <w:rPr>
          <w:color w:val="auto"/>
          <w:highlight w:val="none"/>
        </w:rPr>
      </w:pPr>
      <w:r>
        <w:rPr>
          <w:rFonts w:hint="eastAsia"/>
          <w:color w:val="auto"/>
          <w:highlight w:val="none"/>
        </w:rPr>
        <w:t>提供电子席卡：</w:t>
      </w:r>
    </w:p>
    <w:p>
      <w:pPr>
        <w:pStyle w:val="3"/>
        <w:ind w:firstLine="480"/>
        <w:rPr>
          <w:color w:val="auto"/>
          <w:highlight w:val="none"/>
        </w:rPr>
      </w:pPr>
      <w:r>
        <w:rPr>
          <w:rFonts w:hint="eastAsia"/>
          <w:color w:val="auto"/>
          <w:highlight w:val="none"/>
        </w:rPr>
        <w:t>1)会议签到，看点击会议签到按钮，实现签到功能。</w:t>
      </w:r>
    </w:p>
    <w:p>
      <w:pPr>
        <w:pStyle w:val="3"/>
        <w:ind w:firstLine="480"/>
        <w:rPr>
          <w:color w:val="auto"/>
          <w:highlight w:val="none"/>
        </w:rPr>
      </w:pPr>
      <w:r>
        <w:rPr>
          <w:rFonts w:hint="eastAsia"/>
          <w:color w:val="auto"/>
          <w:highlight w:val="none"/>
        </w:rPr>
        <w:t>2)投票表决，可以控制选择投票模式：记名/不记名等。</w:t>
      </w:r>
    </w:p>
    <w:p>
      <w:pPr>
        <w:pStyle w:val="3"/>
        <w:ind w:firstLine="480"/>
        <w:rPr>
          <w:color w:val="auto"/>
          <w:highlight w:val="none"/>
        </w:rPr>
      </w:pPr>
      <w:r>
        <w:rPr>
          <w:rFonts w:hint="eastAsia"/>
          <w:color w:val="auto"/>
          <w:highlight w:val="none"/>
        </w:rPr>
        <w:t>3)显示与会者信息，后台可调节控制显示与会者的单位、人名、职务等信息。可编辑背景图案。</w:t>
      </w:r>
    </w:p>
    <w:p>
      <w:pPr>
        <w:pStyle w:val="3"/>
        <w:ind w:firstLine="480"/>
        <w:rPr>
          <w:color w:val="auto"/>
          <w:highlight w:val="none"/>
        </w:rPr>
      </w:pPr>
      <w:r>
        <w:rPr>
          <w:rFonts w:hint="eastAsia"/>
          <w:color w:val="auto"/>
          <w:highlight w:val="none"/>
        </w:rPr>
        <w:t>在移动警务端建设“办会管理”功能模块，实现：会议签到、投票表决、会场申请、会议记录查询。</w:t>
      </w:r>
    </w:p>
    <w:p>
      <w:pPr>
        <w:pStyle w:val="3"/>
        <w:ind w:firstLine="480"/>
        <w:rPr>
          <w:color w:val="auto"/>
          <w:highlight w:val="none"/>
        </w:rPr>
      </w:pPr>
      <w:r>
        <w:rPr>
          <w:rFonts w:hint="eastAsia"/>
          <w:color w:val="auto"/>
          <w:highlight w:val="none"/>
        </w:rPr>
        <w:t>在PC管理端“办会管理”功能模块，包含以下功能：</w:t>
      </w:r>
    </w:p>
    <w:p>
      <w:pPr>
        <w:pStyle w:val="3"/>
        <w:ind w:firstLine="480"/>
        <w:rPr>
          <w:color w:val="auto"/>
          <w:highlight w:val="none"/>
        </w:rPr>
      </w:pPr>
      <w:r>
        <w:rPr>
          <w:rFonts w:hint="eastAsia"/>
          <w:color w:val="auto"/>
          <w:highlight w:val="none"/>
        </w:rPr>
        <w:t>1) 会议室预约状况的查看功能，如预约科室、预约时间、预约人等；</w:t>
      </w:r>
    </w:p>
    <w:p>
      <w:pPr>
        <w:pStyle w:val="3"/>
        <w:ind w:firstLine="480"/>
        <w:rPr>
          <w:color w:val="auto"/>
          <w:highlight w:val="none"/>
        </w:rPr>
      </w:pPr>
      <w:r>
        <w:rPr>
          <w:rFonts w:hint="eastAsia"/>
          <w:color w:val="auto"/>
          <w:highlight w:val="none"/>
        </w:rPr>
        <w:t>2) 会议室的预约功能，</w:t>
      </w:r>
    </w:p>
    <w:p>
      <w:pPr>
        <w:pStyle w:val="3"/>
        <w:ind w:firstLine="480"/>
        <w:rPr>
          <w:color w:val="auto"/>
          <w:highlight w:val="none"/>
        </w:rPr>
      </w:pPr>
      <w:r>
        <w:rPr>
          <w:rFonts w:hint="eastAsia"/>
          <w:color w:val="auto"/>
          <w:highlight w:val="none"/>
        </w:rPr>
        <w:t>3) 会议室席位与录音设备的绑定功能，方便会后区分发言人员的发言内容；</w:t>
      </w:r>
    </w:p>
    <w:p>
      <w:pPr>
        <w:pStyle w:val="3"/>
        <w:ind w:firstLine="480"/>
        <w:rPr>
          <w:color w:val="auto"/>
          <w:highlight w:val="none"/>
        </w:rPr>
      </w:pPr>
      <w:r>
        <w:rPr>
          <w:rFonts w:hint="eastAsia"/>
          <w:color w:val="auto"/>
          <w:highlight w:val="none"/>
        </w:rPr>
        <w:t>4) 会议录音、录音转文字后的保存功能，方便会后记录人员对会议内容的</w:t>
      </w:r>
    </w:p>
    <w:p>
      <w:pPr>
        <w:pStyle w:val="3"/>
        <w:ind w:firstLine="480"/>
        <w:rPr>
          <w:color w:val="auto"/>
          <w:highlight w:val="none"/>
        </w:rPr>
      </w:pPr>
      <w:r>
        <w:rPr>
          <w:rFonts w:hint="eastAsia"/>
          <w:color w:val="auto"/>
          <w:highlight w:val="none"/>
        </w:rPr>
        <w:t>复听、确认；</w:t>
      </w:r>
    </w:p>
    <w:p>
      <w:pPr>
        <w:pStyle w:val="3"/>
        <w:ind w:firstLine="480"/>
        <w:rPr>
          <w:color w:val="auto"/>
          <w:highlight w:val="none"/>
        </w:rPr>
      </w:pPr>
      <w:r>
        <w:rPr>
          <w:rFonts w:hint="eastAsia"/>
          <w:color w:val="auto"/>
          <w:highlight w:val="none"/>
        </w:rPr>
        <w:t>5)在会议室平面图上对电子席卡显示内容的编辑功能；</w:t>
      </w:r>
    </w:p>
    <w:p>
      <w:pPr>
        <w:pStyle w:val="3"/>
        <w:ind w:firstLine="480"/>
        <w:rPr>
          <w:color w:val="auto"/>
          <w:highlight w:val="none"/>
        </w:rPr>
      </w:pPr>
      <w:r>
        <w:rPr>
          <w:color w:val="auto"/>
          <w:highlight w:val="none"/>
        </w:rPr>
        <w:t>6)</w:t>
      </w:r>
      <w:r>
        <w:rPr>
          <w:rFonts w:hint="eastAsia"/>
          <w:color w:val="auto"/>
          <w:highlight w:val="none"/>
        </w:rPr>
        <w:t xml:space="preserve"> 周期性大型会议参会人、发言顺序、议程等信息的配置功能；</w:t>
      </w:r>
    </w:p>
    <w:p>
      <w:pPr>
        <w:pStyle w:val="3"/>
        <w:ind w:firstLine="480"/>
        <w:rPr>
          <w:color w:val="auto"/>
          <w:highlight w:val="none"/>
        </w:rPr>
      </w:pPr>
      <w:r>
        <w:rPr>
          <w:rFonts w:hint="eastAsia"/>
          <w:color w:val="auto"/>
          <w:highlight w:val="none"/>
        </w:rPr>
        <w:t>7) 过往会议流程记录的查询功能，方便再次举办该类会议时参考；</w:t>
      </w:r>
    </w:p>
    <w:p>
      <w:pPr>
        <w:pStyle w:val="3"/>
        <w:ind w:firstLine="480"/>
        <w:rPr>
          <w:color w:val="auto"/>
          <w:highlight w:val="none"/>
        </w:rPr>
      </w:pPr>
      <w:r>
        <w:rPr>
          <w:rFonts w:hint="eastAsia"/>
          <w:color w:val="auto"/>
          <w:highlight w:val="none"/>
        </w:rPr>
        <w:t>8) 会议室使用记录的查询功能，如会议时间、科室、人员等；</w:t>
      </w:r>
    </w:p>
    <w:p>
      <w:pPr>
        <w:pStyle w:val="3"/>
        <w:ind w:firstLine="480"/>
        <w:rPr>
          <w:color w:val="auto"/>
          <w:highlight w:val="none"/>
        </w:rPr>
      </w:pPr>
      <w:r>
        <w:rPr>
          <w:rFonts w:hint="eastAsia"/>
          <w:color w:val="auto"/>
          <w:highlight w:val="none"/>
        </w:rPr>
        <w:t>9) 会议签到人员的查询功能；</w:t>
      </w:r>
    </w:p>
    <w:p>
      <w:pPr>
        <w:pStyle w:val="3"/>
        <w:ind w:firstLine="480"/>
        <w:rPr>
          <w:color w:val="auto"/>
          <w:highlight w:val="none"/>
        </w:rPr>
      </w:pPr>
      <w:r>
        <w:rPr>
          <w:rFonts w:hint="eastAsia"/>
          <w:color w:val="auto"/>
          <w:highlight w:val="none"/>
        </w:rPr>
        <w:t>10)会议室使用的自动统计功能。</w:t>
      </w:r>
    </w:p>
    <w:p>
      <w:pPr>
        <w:pStyle w:val="6"/>
        <w:rPr>
          <w:color w:val="auto"/>
          <w:highlight w:val="none"/>
        </w:rPr>
      </w:pPr>
      <w:r>
        <w:rPr>
          <w:rFonts w:hint="eastAsia"/>
          <w:color w:val="auto"/>
          <w:highlight w:val="none"/>
        </w:rPr>
        <w:t>罪犯清抄监</w:t>
      </w:r>
    </w:p>
    <w:p>
      <w:pPr>
        <w:pStyle w:val="3"/>
        <w:ind w:firstLine="480"/>
        <w:rPr>
          <w:color w:val="auto"/>
          <w:highlight w:val="none"/>
        </w:rPr>
      </w:pPr>
      <w:r>
        <w:rPr>
          <w:rFonts w:hint="eastAsia"/>
          <w:color w:val="auto"/>
          <w:highlight w:val="none"/>
        </w:rPr>
        <w:t>在警务通中开发“清抄监”移动应用，应实现：抄监类型选择、违禁品查验、查抄录像上传、抄监提醒。从而保障相关工作的规范化，并对全过程进行留痕，固定相关记录。</w:t>
      </w:r>
    </w:p>
    <w:p>
      <w:pPr>
        <w:pStyle w:val="3"/>
        <w:ind w:firstLine="480"/>
        <w:rPr>
          <w:color w:val="auto"/>
          <w:highlight w:val="none"/>
        </w:rPr>
      </w:pPr>
      <w:r>
        <w:rPr>
          <w:rFonts w:hint="eastAsia"/>
          <w:color w:val="auto"/>
          <w:highlight w:val="none"/>
        </w:rPr>
        <w:t>在PC管理端建立“清抄监”功能模块，应实现以下功能：清抄监计划配置、抄监记录、违禁物品清单配置。</w:t>
      </w:r>
    </w:p>
    <w:p>
      <w:pPr>
        <w:pStyle w:val="3"/>
        <w:ind w:firstLine="480"/>
        <w:rPr>
          <w:color w:val="auto"/>
          <w:highlight w:val="none"/>
        </w:rPr>
      </w:pPr>
      <w:r>
        <w:rPr>
          <w:rFonts w:hint="eastAsia"/>
          <w:color w:val="auto"/>
          <w:highlight w:val="none"/>
        </w:rPr>
        <w:t>该部分数据主要来源于数据底座，支持数据录入。</w:t>
      </w:r>
    </w:p>
    <w:p>
      <w:pPr>
        <w:pStyle w:val="3"/>
        <w:ind w:firstLine="480"/>
        <w:rPr>
          <w:color w:val="auto"/>
          <w:highlight w:val="none"/>
        </w:rPr>
      </w:pPr>
    </w:p>
    <w:p>
      <w:pPr>
        <w:pStyle w:val="6"/>
        <w:rPr>
          <w:color w:val="auto"/>
          <w:highlight w:val="none"/>
        </w:rPr>
      </w:pPr>
      <w:r>
        <w:rPr>
          <w:rFonts w:hint="eastAsia"/>
          <w:color w:val="auto"/>
          <w:highlight w:val="none"/>
        </w:rPr>
        <w:t>个别教育</w:t>
      </w:r>
    </w:p>
    <w:p>
      <w:pPr>
        <w:pStyle w:val="3"/>
        <w:ind w:firstLine="480"/>
        <w:rPr>
          <w:color w:val="auto"/>
          <w:highlight w:val="none"/>
        </w:rPr>
      </w:pPr>
      <w:r>
        <w:rPr>
          <w:rFonts w:hint="eastAsia"/>
          <w:color w:val="auto"/>
          <w:highlight w:val="none"/>
        </w:rPr>
        <w:t>通过该模块可实现个别教育工作过程中语音信息的全自动纪要，极大简化了民警信息记录工作的繁杂度。</w:t>
      </w:r>
    </w:p>
    <w:p>
      <w:pPr>
        <w:pStyle w:val="3"/>
        <w:ind w:firstLine="480"/>
        <w:rPr>
          <w:color w:val="auto"/>
          <w:highlight w:val="none"/>
        </w:rPr>
      </w:pPr>
      <w:r>
        <w:rPr>
          <w:rFonts w:hint="eastAsia"/>
          <w:color w:val="auto"/>
          <w:highlight w:val="none"/>
        </w:rPr>
        <w:t>在警务通中开发“个别教育”移动应用，应实现以下功能：音视频自动上载、要素登记、消息提醒。</w:t>
      </w:r>
    </w:p>
    <w:p>
      <w:pPr>
        <w:pStyle w:val="3"/>
        <w:ind w:firstLine="480"/>
        <w:rPr>
          <w:color w:val="auto"/>
          <w:highlight w:val="none"/>
        </w:rPr>
      </w:pPr>
      <w:r>
        <w:rPr>
          <w:rFonts w:hint="eastAsia"/>
          <w:color w:val="auto"/>
          <w:highlight w:val="none"/>
        </w:rPr>
        <w:t>在PC管理端建立“个别教育”功能模块，应实现以下功能：个别教育类别配置、角色权限配置、个别教育信息统计、消息提醒、语音转文字、高级检索、个别教育记录详情查看。</w:t>
      </w:r>
    </w:p>
    <w:p>
      <w:pPr>
        <w:pStyle w:val="3"/>
        <w:ind w:firstLine="480"/>
        <w:rPr>
          <w:color w:val="auto"/>
          <w:highlight w:val="none"/>
        </w:rPr>
      </w:pPr>
      <w:r>
        <w:rPr>
          <w:rFonts w:hint="eastAsia"/>
          <w:color w:val="auto"/>
          <w:highlight w:val="none"/>
        </w:rPr>
        <w:t>该部分数据主要来源于数据底座，支持数据录入。</w:t>
      </w:r>
    </w:p>
    <w:p>
      <w:pPr>
        <w:pStyle w:val="3"/>
        <w:ind w:firstLine="480"/>
        <w:rPr>
          <w:color w:val="auto"/>
          <w:highlight w:val="none"/>
        </w:rPr>
      </w:pPr>
    </w:p>
    <w:p>
      <w:pPr>
        <w:pStyle w:val="6"/>
        <w:rPr>
          <w:color w:val="auto"/>
          <w:highlight w:val="none"/>
        </w:rPr>
      </w:pPr>
      <w:r>
        <w:rPr>
          <w:rFonts w:hint="eastAsia"/>
          <w:color w:val="auto"/>
          <w:highlight w:val="none"/>
        </w:rPr>
        <w:t>监狱外来人员、车辆出入监门审批</w:t>
      </w:r>
    </w:p>
    <w:p>
      <w:pPr>
        <w:pStyle w:val="3"/>
        <w:ind w:firstLineChars="0"/>
        <w:rPr>
          <w:color w:val="auto"/>
          <w:highlight w:val="none"/>
        </w:rPr>
      </w:pPr>
      <w:r>
        <w:rPr>
          <w:rFonts w:hint="eastAsia"/>
          <w:color w:val="auto"/>
          <w:highlight w:val="none"/>
        </w:rPr>
        <w:t>为加强上海市监狱管理局体系内的安全管理，实现对外来人员、车辆的体系化管理与统计分析，建设本模块。支持提供高效化的审批服务，并通过线上系统采集来访人员、车辆的基础信息，形成台账化管理，助力构建安全防线。</w:t>
      </w:r>
    </w:p>
    <w:p>
      <w:pPr>
        <w:pStyle w:val="3"/>
        <w:ind w:left="480" w:leftChars="200" w:firstLine="0" w:firstLineChars="0"/>
        <w:rPr>
          <w:color w:val="auto"/>
          <w:highlight w:val="none"/>
        </w:rPr>
      </w:pPr>
      <w:r>
        <w:rPr>
          <w:rFonts w:hint="eastAsia"/>
          <w:color w:val="auto"/>
          <w:highlight w:val="none"/>
        </w:rPr>
        <w:t xml:space="preserve">1)实现核查精准化，快速准确完成对外来人员、车辆核查，排除安全隐患； </w:t>
      </w:r>
    </w:p>
    <w:p>
      <w:pPr>
        <w:pStyle w:val="3"/>
        <w:ind w:firstLine="480"/>
        <w:rPr>
          <w:color w:val="auto"/>
          <w:highlight w:val="none"/>
        </w:rPr>
      </w:pPr>
      <w:r>
        <w:rPr>
          <w:color w:val="auto"/>
          <w:highlight w:val="none"/>
        </w:rPr>
        <w:t>2)</w:t>
      </w:r>
      <w:r>
        <w:rPr>
          <w:rFonts w:hint="eastAsia"/>
          <w:color w:val="auto"/>
          <w:highlight w:val="none"/>
        </w:rPr>
        <w:t>实现审批移动化，审批在警务移动智能终端上完成，避免民警多次“跑腿”审批，切实为民警减负；</w:t>
      </w:r>
    </w:p>
    <w:p>
      <w:pPr>
        <w:pStyle w:val="3"/>
        <w:ind w:firstLine="480"/>
        <w:rPr>
          <w:color w:val="auto"/>
          <w:highlight w:val="none"/>
        </w:rPr>
      </w:pPr>
      <w:r>
        <w:rPr>
          <w:rFonts w:hint="eastAsia"/>
          <w:color w:val="auto"/>
          <w:highlight w:val="none"/>
        </w:rPr>
        <w:t>3)实现数据实时化，在办理审批过程中完成外来人员、车辆信息记录，自动生成台账，“安全最后一公里”实时掌握外来人员、车辆情况。</w:t>
      </w:r>
    </w:p>
    <w:p>
      <w:pPr>
        <w:pStyle w:val="3"/>
        <w:ind w:firstLine="480"/>
        <w:rPr>
          <w:color w:val="auto"/>
          <w:highlight w:val="none"/>
        </w:rPr>
      </w:pPr>
      <w:r>
        <w:rPr>
          <w:rFonts w:hint="eastAsia"/>
          <w:color w:val="auto"/>
          <w:highlight w:val="none"/>
        </w:rPr>
        <w:t>该部分数据主要来源于数据底座，支持数据录入。</w:t>
      </w:r>
    </w:p>
    <w:p>
      <w:pPr>
        <w:pStyle w:val="3"/>
        <w:ind w:firstLine="480"/>
        <w:rPr>
          <w:color w:val="auto"/>
          <w:highlight w:val="none"/>
        </w:rPr>
      </w:pPr>
    </w:p>
    <w:p>
      <w:pPr>
        <w:pStyle w:val="5"/>
        <w:rPr>
          <w:color w:val="auto"/>
          <w:highlight w:val="none"/>
        </w:rPr>
      </w:pPr>
      <w:bookmarkStart w:id="42" w:name="_Toc180570840"/>
      <w:r>
        <w:rPr>
          <w:rFonts w:hint="eastAsia"/>
          <w:color w:val="auto"/>
          <w:highlight w:val="none"/>
        </w:rPr>
        <w:t>便民服务轻应用</w:t>
      </w:r>
      <w:bookmarkEnd w:id="42"/>
    </w:p>
    <w:p>
      <w:pPr>
        <w:pStyle w:val="6"/>
        <w:rPr>
          <w:color w:val="auto"/>
          <w:highlight w:val="none"/>
        </w:rPr>
      </w:pPr>
      <w:r>
        <w:rPr>
          <w:rFonts w:hint="eastAsia"/>
          <w:color w:val="auto"/>
          <w:highlight w:val="none"/>
        </w:rPr>
        <w:t>律师会见、罪犯提审</w:t>
      </w:r>
    </w:p>
    <w:p>
      <w:pPr>
        <w:pStyle w:val="3"/>
        <w:ind w:firstLine="480"/>
        <w:rPr>
          <w:color w:val="auto"/>
          <w:highlight w:val="none"/>
        </w:rPr>
      </w:pPr>
      <w:r>
        <w:rPr>
          <w:rFonts w:hint="eastAsia"/>
          <w:color w:val="auto"/>
          <w:highlight w:val="none"/>
        </w:rPr>
        <w:t>该模块部分功能依赖于基层监狱一卡通终端建设与改造。</w:t>
      </w:r>
    </w:p>
    <w:p>
      <w:pPr>
        <w:pStyle w:val="3"/>
        <w:ind w:firstLine="480"/>
        <w:rPr>
          <w:color w:val="auto"/>
          <w:highlight w:val="none"/>
        </w:rPr>
      </w:pPr>
      <w:r>
        <w:rPr>
          <w:rFonts w:hint="eastAsia"/>
          <w:color w:val="auto"/>
          <w:highlight w:val="none"/>
        </w:rPr>
        <w:t>针对“律师会见”场景，在对外服务移动端、狱政管理系统、一卡通终端三处地方建设相关功能。</w:t>
      </w:r>
    </w:p>
    <w:p>
      <w:pPr>
        <w:pStyle w:val="3"/>
        <w:ind w:firstLine="480"/>
        <w:rPr>
          <w:color w:val="auto"/>
          <w:highlight w:val="none"/>
        </w:rPr>
      </w:pPr>
      <w:r>
        <w:rPr>
          <w:rFonts w:hint="eastAsia"/>
          <w:color w:val="auto"/>
          <w:highlight w:val="none"/>
        </w:rPr>
        <w:t>在对外服务移动端中建设“律师会见”模块，应包含如下功能：会见申请、会见记录。</w:t>
      </w:r>
    </w:p>
    <w:p>
      <w:pPr>
        <w:pStyle w:val="3"/>
        <w:ind w:firstLine="480"/>
        <w:rPr>
          <w:color w:val="auto"/>
          <w:highlight w:val="none"/>
        </w:rPr>
      </w:pPr>
      <w:r>
        <w:rPr>
          <w:rFonts w:hint="eastAsia"/>
          <w:color w:val="auto"/>
          <w:highlight w:val="none"/>
        </w:rPr>
        <w:t>在“上海市监狱管理局信息化系统”系统中新建“律师会见”管理模块，应包含功能如下：会见管理、会见记录。</w:t>
      </w:r>
    </w:p>
    <w:p>
      <w:pPr>
        <w:pStyle w:val="3"/>
        <w:ind w:firstLine="480"/>
        <w:rPr>
          <w:color w:val="auto"/>
          <w:highlight w:val="none"/>
        </w:rPr>
      </w:pPr>
      <w:r>
        <w:rPr>
          <w:rFonts w:hint="eastAsia"/>
          <w:color w:val="auto"/>
          <w:highlight w:val="none"/>
        </w:rPr>
        <w:t>在一卡通终端建设“律师会见”模块：罪犯在一卡通终端的该界面，将能看到律师提交的会见相关信息。罪犯可根据自己的实际需要，手动点击拒绝、确认按钮，并在一卡通终端上实行电子签名。终端将结果发送至“狱政管理”系统中，并对该条会见申请的状态进行变更。若罪犯同意，律师将在约定日期进行会见；若罪犯拒绝，律师将在对外服务移动端中收到罪犯拒绝会见的消息通知。</w:t>
      </w:r>
    </w:p>
    <w:p>
      <w:pPr>
        <w:pStyle w:val="3"/>
        <w:ind w:firstLine="480"/>
        <w:rPr>
          <w:color w:val="auto"/>
          <w:highlight w:val="none"/>
        </w:rPr>
      </w:pPr>
      <w:r>
        <w:rPr>
          <w:rFonts w:hint="eastAsia"/>
          <w:color w:val="auto"/>
          <w:highlight w:val="none"/>
        </w:rPr>
        <w:t>针对“罪犯提审”场景，对对外服务移动端、狱政管理进行相关功能建设。</w:t>
      </w:r>
    </w:p>
    <w:p>
      <w:pPr>
        <w:pStyle w:val="3"/>
        <w:ind w:firstLine="480"/>
        <w:rPr>
          <w:color w:val="auto"/>
          <w:highlight w:val="none"/>
        </w:rPr>
      </w:pPr>
      <w:r>
        <w:rPr>
          <w:rFonts w:hint="eastAsia"/>
          <w:color w:val="auto"/>
          <w:highlight w:val="none"/>
        </w:rPr>
        <w:t>在对外服务移动端中建设“罪犯提审”模块，应包含如下功能：提审申请、提审记录。</w:t>
      </w:r>
    </w:p>
    <w:p>
      <w:pPr>
        <w:pStyle w:val="3"/>
        <w:ind w:firstLine="480"/>
        <w:rPr>
          <w:color w:val="auto"/>
          <w:highlight w:val="none"/>
        </w:rPr>
      </w:pPr>
      <w:r>
        <w:rPr>
          <w:rFonts w:hint="eastAsia"/>
          <w:color w:val="auto"/>
          <w:highlight w:val="none"/>
        </w:rPr>
        <w:t>在“上海市监狱管理局信息化系统”系统中新建“提审办案”管理模块，应包含功能如下：提审管理、提审记录。</w:t>
      </w:r>
    </w:p>
    <w:p>
      <w:pPr>
        <w:pStyle w:val="6"/>
        <w:rPr>
          <w:color w:val="auto"/>
          <w:highlight w:val="none"/>
        </w:rPr>
      </w:pPr>
      <w:r>
        <w:rPr>
          <w:rFonts w:hint="eastAsia"/>
          <w:color w:val="auto"/>
          <w:highlight w:val="none"/>
        </w:rPr>
        <w:t>狱务公开</w:t>
      </w:r>
    </w:p>
    <w:p>
      <w:pPr>
        <w:pStyle w:val="3"/>
        <w:ind w:firstLine="480"/>
        <w:rPr>
          <w:color w:val="auto"/>
          <w:highlight w:val="none"/>
        </w:rPr>
      </w:pPr>
      <w:r>
        <w:rPr>
          <w:rFonts w:hint="eastAsia"/>
          <w:color w:val="auto"/>
          <w:highlight w:val="none"/>
        </w:rPr>
        <w:t>该部分功能依赖于基层监狱会见室各类预约设备与展示大屏等基础设备。</w:t>
      </w:r>
    </w:p>
    <w:p>
      <w:pPr>
        <w:pStyle w:val="3"/>
        <w:ind w:firstLine="480"/>
        <w:rPr>
          <w:color w:val="auto"/>
          <w:highlight w:val="none"/>
        </w:rPr>
      </w:pPr>
      <w:r>
        <w:rPr>
          <w:rFonts w:hint="eastAsia"/>
          <w:color w:val="auto"/>
          <w:highlight w:val="none"/>
        </w:rPr>
        <w:t>在对外服务移动端中建设“狱务公开”应用，实现以下功能：</w:t>
      </w:r>
    </w:p>
    <w:p>
      <w:pPr>
        <w:pStyle w:val="3"/>
        <w:ind w:firstLine="480"/>
        <w:rPr>
          <w:color w:val="auto"/>
          <w:highlight w:val="none"/>
        </w:rPr>
      </w:pPr>
      <w:r>
        <w:rPr>
          <w:rFonts w:hint="eastAsia"/>
          <w:color w:val="auto"/>
          <w:highlight w:val="none"/>
        </w:rPr>
        <w:t>1) 罪犯家属第一次需在监狱现场进行人脸数据采集及与罪犯绑定。</w:t>
      </w:r>
    </w:p>
    <w:p>
      <w:pPr>
        <w:pStyle w:val="3"/>
        <w:ind w:firstLine="480"/>
        <w:rPr>
          <w:color w:val="auto"/>
          <w:highlight w:val="none"/>
        </w:rPr>
      </w:pPr>
      <w:r>
        <w:rPr>
          <w:rFonts w:hint="eastAsia"/>
          <w:color w:val="auto"/>
          <w:highlight w:val="none"/>
        </w:rPr>
        <w:t>2) 生物验证：罪犯家属通过对外服务移动端查询罪犯信息时，将先进行人脸识别验证，系统将在数据库中进行比对，对比是否为某个罪犯的家属。</w:t>
      </w:r>
    </w:p>
    <w:p>
      <w:pPr>
        <w:pStyle w:val="3"/>
        <w:ind w:firstLine="480"/>
        <w:rPr>
          <w:color w:val="auto"/>
          <w:highlight w:val="none"/>
        </w:rPr>
      </w:pPr>
      <w:r>
        <w:rPr>
          <w:rFonts w:hint="eastAsia"/>
          <w:color w:val="auto"/>
          <w:highlight w:val="none"/>
        </w:rPr>
        <w:t>3) 罪犯信息查询：亲属验证通过后，输入罪犯番号等信息进行二次校验，再次核对成功，将展示该罪犯的相关信息，如加减分情况、计分等级、处遇等级等。</w:t>
      </w:r>
    </w:p>
    <w:p>
      <w:pPr>
        <w:pStyle w:val="3"/>
        <w:ind w:firstLine="480"/>
        <w:rPr>
          <w:color w:val="auto"/>
          <w:highlight w:val="none"/>
        </w:rPr>
      </w:pPr>
      <w:r>
        <w:rPr>
          <w:rFonts w:hint="eastAsia"/>
          <w:color w:val="auto"/>
          <w:highlight w:val="none"/>
        </w:rPr>
        <w:t>在PC管理平台中建立“狱务公开管理”功能模块，实现以下功能：</w:t>
      </w:r>
    </w:p>
    <w:p>
      <w:pPr>
        <w:pStyle w:val="3"/>
        <w:ind w:firstLine="480"/>
        <w:rPr>
          <w:color w:val="auto"/>
          <w:highlight w:val="none"/>
        </w:rPr>
      </w:pPr>
      <w:r>
        <w:rPr>
          <w:rFonts w:hint="eastAsia"/>
          <w:color w:val="auto"/>
          <w:highlight w:val="none"/>
        </w:rPr>
        <w:t>1) 后台定期从狱政管理系统及生活卫生系统抽取数据。</w:t>
      </w:r>
    </w:p>
    <w:p>
      <w:pPr>
        <w:pStyle w:val="3"/>
        <w:ind w:firstLine="480"/>
        <w:rPr>
          <w:color w:val="auto"/>
          <w:highlight w:val="none"/>
        </w:rPr>
      </w:pPr>
      <w:r>
        <w:rPr>
          <w:rFonts w:hint="eastAsia"/>
          <w:color w:val="auto"/>
          <w:highlight w:val="none"/>
        </w:rPr>
        <w:t>2) 建设“罪犯亲属狱务公开”前端页面。页面以监区为划分单位，读取会见系统中的会见罪犯名单，页面信息呈现罪犯的相关可公开信息，并定时轮播(30秒或可自由设定)。</w:t>
      </w:r>
    </w:p>
    <w:p>
      <w:pPr>
        <w:pStyle w:val="3"/>
        <w:ind w:firstLine="480"/>
        <w:rPr>
          <w:color w:val="auto"/>
          <w:highlight w:val="none"/>
        </w:rPr>
      </w:pPr>
      <w:r>
        <w:rPr>
          <w:rFonts w:hint="eastAsia"/>
          <w:color w:val="auto"/>
          <w:highlight w:val="none"/>
        </w:rPr>
        <w:t>3) 会见日民警可选择对应的会见监区页面，投放至会见大厅中的显示屏。</w:t>
      </w:r>
    </w:p>
    <w:p>
      <w:pPr>
        <w:pStyle w:val="5"/>
        <w:rPr>
          <w:color w:val="auto"/>
          <w:highlight w:val="none"/>
        </w:rPr>
      </w:pPr>
      <w:bookmarkStart w:id="43" w:name="_Toc180570841"/>
      <w:r>
        <w:rPr>
          <w:rFonts w:hint="eastAsia"/>
          <w:color w:val="auto"/>
          <w:highlight w:val="none"/>
        </w:rPr>
        <w:t>综合管理轻应用</w:t>
      </w:r>
      <w:bookmarkEnd w:id="43"/>
    </w:p>
    <w:p>
      <w:pPr>
        <w:pStyle w:val="6"/>
        <w:rPr>
          <w:color w:val="auto"/>
          <w:highlight w:val="none"/>
        </w:rPr>
      </w:pPr>
      <w:r>
        <w:rPr>
          <w:rFonts w:hint="eastAsia"/>
          <w:color w:val="auto"/>
          <w:highlight w:val="none"/>
        </w:rPr>
        <w:t>周界电网智能管理</w:t>
      </w:r>
    </w:p>
    <w:p>
      <w:pPr>
        <w:pStyle w:val="3"/>
        <w:ind w:firstLine="480"/>
        <w:rPr>
          <w:color w:val="auto"/>
          <w:highlight w:val="none"/>
        </w:rPr>
      </w:pPr>
      <w:r>
        <w:rPr>
          <w:rFonts w:hint="eastAsia"/>
          <w:color w:val="auto"/>
          <w:highlight w:val="none"/>
        </w:rPr>
        <w:t>该部分功能须对接至基层监狱，获取其周界电网的数据，以及相关视频点位及视频流数据。从而实现对周界电网的集约化管理，保障周界电网的稳定运行。具体对接工作由本系统数据底座部分完成。</w:t>
      </w:r>
    </w:p>
    <w:p>
      <w:pPr>
        <w:pStyle w:val="3"/>
        <w:ind w:firstLine="480"/>
        <w:rPr>
          <w:color w:val="auto"/>
          <w:highlight w:val="none"/>
        </w:rPr>
      </w:pPr>
      <w:r>
        <w:rPr>
          <w:rFonts w:hint="eastAsia"/>
          <w:color w:val="auto"/>
          <w:highlight w:val="none"/>
        </w:rPr>
        <w:t>在PC管理端建立“周界电网管理”功能模块，应包含以下功能：</w:t>
      </w:r>
    </w:p>
    <w:p>
      <w:pPr>
        <w:pStyle w:val="3"/>
        <w:ind w:firstLine="480"/>
        <w:rPr>
          <w:color w:val="auto"/>
          <w:highlight w:val="none"/>
        </w:rPr>
      </w:pPr>
      <w:r>
        <w:rPr>
          <w:rFonts w:hint="eastAsia"/>
          <w:color w:val="auto"/>
          <w:highlight w:val="none"/>
        </w:rPr>
        <w:t>1)周界电网设备的配置管理功能；</w:t>
      </w:r>
    </w:p>
    <w:p>
      <w:pPr>
        <w:pStyle w:val="3"/>
        <w:ind w:firstLine="480"/>
        <w:rPr>
          <w:color w:val="auto"/>
          <w:highlight w:val="none"/>
        </w:rPr>
      </w:pPr>
      <w:r>
        <w:rPr>
          <w:rFonts w:hint="eastAsia"/>
          <w:color w:val="auto"/>
          <w:highlight w:val="none"/>
        </w:rPr>
        <w:t>2)接收周界电网设备报警的功能；</w:t>
      </w:r>
    </w:p>
    <w:p>
      <w:pPr>
        <w:pStyle w:val="3"/>
        <w:ind w:firstLine="480"/>
        <w:rPr>
          <w:color w:val="auto"/>
          <w:highlight w:val="none"/>
        </w:rPr>
      </w:pPr>
      <w:r>
        <w:rPr>
          <w:rFonts w:hint="eastAsia"/>
          <w:color w:val="auto"/>
          <w:highlight w:val="none"/>
        </w:rPr>
        <w:t>3)周界电网报警对应设备的具体位置，自动调取附近监控画面，方便接警人员定位问题；</w:t>
      </w:r>
    </w:p>
    <w:p>
      <w:pPr>
        <w:pStyle w:val="3"/>
        <w:ind w:firstLine="480"/>
        <w:rPr>
          <w:color w:val="auto"/>
          <w:highlight w:val="none"/>
        </w:rPr>
      </w:pPr>
      <w:r>
        <w:rPr>
          <w:color w:val="auto"/>
          <w:highlight w:val="none"/>
        </w:rPr>
        <w:t>4)</w:t>
      </w:r>
      <w:r>
        <w:rPr>
          <w:rFonts w:hint="eastAsia"/>
          <w:color w:val="auto"/>
          <w:highlight w:val="none"/>
        </w:rPr>
        <w:t>周界电网报警记录以及处理状况的查看功能；</w:t>
      </w:r>
    </w:p>
    <w:p>
      <w:pPr>
        <w:pStyle w:val="3"/>
        <w:ind w:firstLine="480"/>
        <w:rPr>
          <w:color w:val="auto"/>
          <w:highlight w:val="none"/>
        </w:rPr>
      </w:pPr>
      <w:r>
        <w:rPr>
          <w:rFonts w:hint="eastAsia"/>
          <w:color w:val="auto"/>
          <w:highlight w:val="none"/>
        </w:rPr>
        <w:t>5)停电、送电的申请、审批、签发功能；</w:t>
      </w:r>
    </w:p>
    <w:p>
      <w:pPr>
        <w:pStyle w:val="3"/>
        <w:ind w:firstLine="480"/>
        <w:rPr>
          <w:color w:val="auto"/>
          <w:highlight w:val="none"/>
        </w:rPr>
      </w:pPr>
      <w:r>
        <w:rPr>
          <w:rFonts w:hint="eastAsia"/>
          <w:color w:val="auto"/>
          <w:highlight w:val="none"/>
        </w:rPr>
        <w:t>6)停电、送电记录的查看功能；</w:t>
      </w:r>
    </w:p>
    <w:p>
      <w:pPr>
        <w:pStyle w:val="3"/>
        <w:ind w:firstLine="480"/>
        <w:rPr>
          <w:color w:val="auto"/>
          <w:highlight w:val="none"/>
        </w:rPr>
      </w:pPr>
      <w:r>
        <w:rPr>
          <w:rFonts w:hint="eastAsia"/>
          <w:color w:val="auto"/>
          <w:highlight w:val="none"/>
        </w:rPr>
        <w:t>7)周界电网、停电、送电的统计功能。</w:t>
      </w:r>
    </w:p>
    <w:p>
      <w:pPr>
        <w:pStyle w:val="3"/>
        <w:ind w:firstLine="480"/>
        <w:rPr>
          <w:color w:val="auto"/>
          <w:highlight w:val="none"/>
        </w:rPr>
      </w:pPr>
    </w:p>
    <w:p>
      <w:pPr>
        <w:pStyle w:val="6"/>
        <w:rPr>
          <w:color w:val="auto"/>
          <w:highlight w:val="none"/>
        </w:rPr>
      </w:pPr>
      <w:r>
        <w:rPr>
          <w:rFonts w:hint="eastAsia"/>
          <w:color w:val="auto"/>
          <w:highlight w:val="none"/>
        </w:rPr>
        <w:t>消防GIS应用</w:t>
      </w:r>
    </w:p>
    <w:p>
      <w:pPr>
        <w:pStyle w:val="3"/>
        <w:ind w:firstLine="480"/>
        <w:rPr>
          <w:color w:val="auto"/>
          <w:highlight w:val="none"/>
        </w:rPr>
      </w:pPr>
      <w:r>
        <w:rPr>
          <w:rFonts w:hint="eastAsia"/>
          <w:color w:val="auto"/>
          <w:highlight w:val="none"/>
        </w:rPr>
        <w:t>应在统一平台GIS地图中建设“消防应用”功能图层，应实现以下功能：设施配置、巡检记录、告警记录、联动配置、统计分析。实现消防信息的统一化管理，加强对各类消防隐患的敏捷响应能力。</w:t>
      </w:r>
    </w:p>
    <w:p>
      <w:pPr>
        <w:pStyle w:val="3"/>
        <w:ind w:firstLine="480"/>
        <w:rPr>
          <w:color w:val="auto"/>
          <w:highlight w:val="none"/>
        </w:rPr>
      </w:pPr>
      <w:r>
        <w:rPr>
          <w:rFonts w:hint="eastAsia"/>
          <w:color w:val="auto"/>
          <w:highlight w:val="none"/>
        </w:rPr>
        <w:t>本模块数据需对接基层监狱及局相关消防设施数据，具体对接由数据底座完成。</w:t>
      </w:r>
    </w:p>
    <w:p>
      <w:pPr>
        <w:pStyle w:val="6"/>
        <w:rPr>
          <w:color w:val="auto"/>
          <w:highlight w:val="none"/>
        </w:rPr>
      </w:pPr>
      <w:r>
        <w:rPr>
          <w:rFonts w:hint="eastAsia"/>
          <w:color w:val="auto"/>
          <w:highlight w:val="none"/>
        </w:rPr>
        <w:t>民警动态警力分布GIS应用</w:t>
      </w:r>
    </w:p>
    <w:p>
      <w:pPr>
        <w:pStyle w:val="3"/>
        <w:ind w:firstLine="480"/>
        <w:rPr>
          <w:color w:val="auto"/>
          <w:highlight w:val="none"/>
        </w:rPr>
      </w:pPr>
      <w:r>
        <w:rPr>
          <w:rFonts w:hint="eastAsia"/>
          <w:color w:val="auto"/>
          <w:highlight w:val="none"/>
        </w:rPr>
        <w:t>为加强警力资源的综合管控与调度能力，应在GIS地图上开发相应图层，应达成以下功能目标：</w:t>
      </w:r>
    </w:p>
    <w:p>
      <w:pPr>
        <w:pStyle w:val="3"/>
        <w:ind w:firstLine="480"/>
        <w:rPr>
          <w:color w:val="auto"/>
          <w:highlight w:val="none"/>
        </w:rPr>
      </w:pPr>
      <w:r>
        <w:rPr>
          <w:rFonts w:hint="eastAsia"/>
          <w:color w:val="auto"/>
          <w:highlight w:val="none"/>
        </w:rPr>
        <w:t>1)获取民警实时分布位置，即时显示于指挥中心。</w:t>
      </w:r>
    </w:p>
    <w:p>
      <w:pPr>
        <w:pStyle w:val="3"/>
        <w:ind w:firstLine="480"/>
        <w:rPr>
          <w:color w:val="auto"/>
          <w:highlight w:val="none"/>
        </w:rPr>
      </w:pPr>
      <w:r>
        <w:rPr>
          <w:rFonts w:hint="eastAsia"/>
          <w:color w:val="auto"/>
          <w:highlight w:val="none"/>
        </w:rPr>
        <w:t>2)判定民警位置后可便捷获取选定民警基本信息。</w:t>
      </w:r>
    </w:p>
    <w:p>
      <w:pPr>
        <w:pStyle w:val="3"/>
        <w:ind w:firstLine="480"/>
        <w:rPr>
          <w:color w:val="auto"/>
          <w:highlight w:val="none"/>
        </w:rPr>
      </w:pPr>
      <w:r>
        <w:rPr>
          <w:rFonts w:hint="eastAsia"/>
          <w:color w:val="auto"/>
          <w:highlight w:val="none"/>
        </w:rPr>
        <w:t>3)可通过便捷操作，依托广播系统或对讲机、警务通之类个人通讯系统向选定民警智能定向推送语音、文字信息。</w:t>
      </w:r>
    </w:p>
    <w:p>
      <w:pPr>
        <w:pStyle w:val="3"/>
        <w:ind w:firstLine="480"/>
        <w:rPr>
          <w:color w:val="auto"/>
          <w:highlight w:val="none"/>
        </w:rPr>
      </w:pPr>
      <w:r>
        <w:rPr>
          <w:rFonts w:hint="eastAsia"/>
          <w:color w:val="auto"/>
          <w:highlight w:val="none"/>
        </w:rPr>
        <w:t>相关警力分布数据通过排班数据、移动警务端在线数据等基础数据进行综合分析。其中基层监狱数据首先通过数据底座归集，后通过服务形式供给本模块。</w:t>
      </w:r>
    </w:p>
    <w:p>
      <w:pPr>
        <w:pStyle w:val="3"/>
        <w:ind w:firstLine="480"/>
        <w:rPr>
          <w:color w:val="auto"/>
          <w:highlight w:val="none"/>
        </w:rPr>
      </w:pPr>
    </w:p>
    <w:p>
      <w:pPr>
        <w:pStyle w:val="6"/>
        <w:rPr>
          <w:color w:val="auto"/>
          <w:highlight w:val="none"/>
        </w:rPr>
      </w:pPr>
      <w:r>
        <w:rPr>
          <w:rFonts w:hint="eastAsia"/>
          <w:color w:val="auto"/>
          <w:highlight w:val="none"/>
        </w:rPr>
        <w:t>值班管理信息</w:t>
      </w:r>
    </w:p>
    <w:p>
      <w:pPr>
        <w:pStyle w:val="3"/>
        <w:ind w:firstLine="480"/>
        <w:rPr>
          <w:color w:val="auto"/>
          <w:highlight w:val="none"/>
        </w:rPr>
      </w:pPr>
      <w:r>
        <w:rPr>
          <w:rFonts w:hint="eastAsia"/>
          <w:color w:val="auto"/>
          <w:highlight w:val="none"/>
        </w:rPr>
        <w:t>在PC管理端中建立“值班管理”功能模块，应实现以下功能：加值班人员池配置、加值班班组警力配置功能、非工作日配置、加值班频次配置、班次配置、人员属性与班次关联配置、加班计划生成、换班调整、加值班费用公式配置、统计分析。</w:t>
      </w:r>
    </w:p>
    <w:p>
      <w:pPr>
        <w:pStyle w:val="3"/>
        <w:ind w:firstLine="480"/>
        <w:rPr>
          <w:color w:val="auto"/>
          <w:highlight w:val="none"/>
        </w:rPr>
      </w:pPr>
      <w:r>
        <w:rPr>
          <w:rFonts w:hint="eastAsia"/>
          <w:color w:val="auto"/>
          <w:highlight w:val="none"/>
        </w:rPr>
        <w:t>相关值班数据支持对接现已有值班管理系统进行数据采集，同时进一步在项目运行过程中通过本模块提供的排班能力与值班录入能力逐步替换。</w:t>
      </w:r>
    </w:p>
    <w:p>
      <w:pPr>
        <w:pStyle w:val="6"/>
        <w:rPr>
          <w:rStyle w:val="48"/>
          <w:b w:val="0"/>
          <w:bCs w:val="0"/>
          <w:color w:val="auto"/>
          <w:highlight w:val="none"/>
        </w:rPr>
      </w:pPr>
      <w:r>
        <w:rPr>
          <w:rFonts w:hint="eastAsia"/>
          <w:color w:val="auto"/>
          <w:highlight w:val="none"/>
        </w:rPr>
        <w:t>文件消息推送</w:t>
      </w:r>
    </w:p>
    <w:p>
      <w:pPr>
        <w:pStyle w:val="3"/>
        <w:ind w:firstLine="480"/>
        <w:rPr>
          <w:color w:val="auto"/>
          <w:highlight w:val="none"/>
        </w:rPr>
      </w:pPr>
      <w:r>
        <w:rPr>
          <w:rFonts w:hint="eastAsia"/>
          <w:color w:val="auto"/>
          <w:highlight w:val="none"/>
        </w:rPr>
        <w:t>在PC管理平台中建立文件流转消息推送机制，该机制是上海监狱统一管理平台消息推送机制下的一个消息推送触发项，文件消息推送触发条件如下。</w:t>
      </w:r>
    </w:p>
    <w:p>
      <w:pPr>
        <w:pStyle w:val="3"/>
        <w:ind w:firstLine="480"/>
        <w:rPr>
          <w:color w:val="auto"/>
          <w:highlight w:val="none"/>
        </w:rPr>
      </w:pPr>
      <w:r>
        <w:rPr>
          <w:rFonts w:hint="eastAsia"/>
          <w:color w:val="auto"/>
          <w:highlight w:val="none"/>
        </w:rPr>
        <w:t>1) 提醒文件需要当前用户审批</w:t>
      </w:r>
    </w:p>
    <w:p>
      <w:pPr>
        <w:pStyle w:val="3"/>
        <w:ind w:firstLine="480"/>
        <w:rPr>
          <w:color w:val="auto"/>
          <w:highlight w:val="none"/>
        </w:rPr>
      </w:pPr>
      <w:r>
        <w:rPr>
          <w:rFonts w:hint="eastAsia"/>
          <w:color w:val="auto"/>
          <w:highlight w:val="none"/>
        </w:rPr>
        <w:t>2) 提醒当前用户发起的文件被某位审批人审批通过</w:t>
      </w:r>
    </w:p>
    <w:p>
      <w:pPr>
        <w:pStyle w:val="3"/>
        <w:ind w:firstLine="480"/>
        <w:rPr>
          <w:color w:val="auto"/>
          <w:highlight w:val="none"/>
        </w:rPr>
      </w:pPr>
      <w:r>
        <w:rPr>
          <w:color w:val="auto"/>
          <w:highlight w:val="none"/>
        </w:rPr>
        <w:t>3)</w:t>
      </w:r>
      <w:r>
        <w:rPr>
          <w:rFonts w:hint="eastAsia"/>
          <w:color w:val="auto"/>
          <w:highlight w:val="none"/>
        </w:rPr>
        <w:t xml:space="preserve"> 提醒当前用户发起的文件被某位审批人审批拒绝</w:t>
      </w:r>
    </w:p>
    <w:p>
      <w:pPr>
        <w:pStyle w:val="3"/>
        <w:ind w:firstLine="480"/>
        <w:rPr>
          <w:color w:val="auto"/>
          <w:highlight w:val="none"/>
        </w:rPr>
      </w:pPr>
      <w:r>
        <w:rPr>
          <w:rFonts w:hint="eastAsia"/>
          <w:color w:val="auto"/>
          <w:highlight w:val="none"/>
        </w:rPr>
        <w:t>4) 提醒当前用户发起的文件审批结束</w:t>
      </w:r>
    </w:p>
    <w:p>
      <w:pPr>
        <w:pStyle w:val="3"/>
        <w:ind w:firstLine="480"/>
        <w:rPr>
          <w:color w:val="auto"/>
          <w:highlight w:val="none"/>
        </w:rPr>
      </w:pPr>
      <w:r>
        <w:rPr>
          <w:rFonts w:hint="eastAsia"/>
          <w:color w:val="auto"/>
          <w:highlight w:val="none"/>
        </w:rPr>
        <w:t>5) 提醒当前用户有抄送他的文件</w:t>
      </w:r>
    </w:p>
    <w:p>
      <w:pPr>
        <w:pStyle w:val="3"/>
        <w:ind w:firstLine="480"/>
        <w:rPr>
          <w:color w:val="auto"/>
          <w:highlight w:val="none"/>
        </w:rPr>
      </w:pPr>
      <w:r>
        <w:rPr>
          <w:rFonts w:hint="eastAsia"/>
          <w:color w:val="auto"/>
          <w:highlight w:val="none"/>
        </w:rPr>
        <w:t>6) 消息通过PC端和警务通同步推送。</w:t>
      </w:r>
    </w:p>
    <w:p>
      <w:pPr>
        <w:pStyle w:val="6"/>
        <w:rPr>
          <w:color w:val="auto"/>
          <w:highlight w:val="none"/>
        </w:rPr>
      </w:pPr>
      <w:r>
        <w:rPr>
          <w:rFonts w:hint="eastAsia"/>
          <w:color w:val="auto"/>
          <w:highlight w:val="none"/>
        </w:rPr>
        <w:t>“互联网+”运维保障知识、技能库</w:t>
      </w:r>
    </w:p>
    <w:p>
      <w:pPr>
        <w:pStyle w:val="3"/>
        <w:ind w:firstLine="480"/>
        <w:rPr>
          <w:color w:val="auto"/>
          <w:highlight w:val="none"/>
        </w:rPr>
      </w:pPr>
      <w:r>
        <w:rPr>
          <w:rFonts w:hint="eastAsia"/>
          <w:color w:val="auto"/>
          <w:highlight w:val="none"/>
        </w:rPr>
        <w:t>部署维基知识库系统，提升上海市监狱管理局运维保障知识的综合水平，加强运维管理工作水平，包含以下功能：</w:t>
      </w:r>
    </w:p>
    <w:p>
      <w:pPr>
        <w:pStyle w:val="3"/>
        <w:ind w:firstLine="480"/>
        <w:rPr>
          <w:color w:val="auto"/>
          <w:highlight w:val="none"/>
        </w:rPr>
      </w:pPr>
      <w:r>
        <w:rPr>
          <w:rFonts w:hint="eastAsia"/>
          <w:color w:val="auto"/>
          <w:highlight w:val="none"/>
        </w:rPr>
        <w:t>1) 实现运维知识技能的分类及收集录入，可对内容进行快速编辑、发布；</w:t>
      </w:r>
    </w:p>
    <w:p>
      <w:pPr>
        <w:pStyle w:val="3"/>
        <w:ind w:firstLine="480"/>
        <w:rPr>
          <w:color w:val="auto"/>
          <w:highlight w:val="none"/>
        </w:rPr>
      </w:pPr>
      <w:r>
        <w:rPr>
          <w:rFonts w:hint="eastAsia"/>
          <w:color w:val="auto"/>
          <w:highlight w:val="none"/>
        </w:rPr>
        <w:t>2) 对全知识库内容进行汇聚、组织，自动判别知识内容中是否包含了知识库标题的文字、添加链接；实现知识内容之间的快速跳转；</w:t>
      </w:r>
    </w:p>
    <w:p>
      <w:pPr>
        <w:pStyle w:val="3"/>
        <w:ind w:firstLine="480"/>
        <w:rPr>
          <w:color w:val="auto"/>
          <w:highlight w:val="none"/>
        </w:rPr>
      </w:pPr>
      <w:r>
        <w:rPr>
          <w:rFonts w:hint="eastAsia"/>
          <w:color w:val="auto"/>
          <w:highlight w:val="none"/>
        </w:rPr>
        <w:t>3)对运维知识技能建立索引，实现关键字快速检索、及内容查看；</w:t>
      </w:r>
    </w:p>
    <w:p>
      <w:pPr>
        <w:pStyle w:val="3"/>
        <w:ind w:firstLine="480"/>
        <w:rPr>
          <w:color w:val="auto"/>
          <w:highlight w:val="none"/>
        </w:rPr>
      </w:pPr>
      <w:r>
        <w:rPr>
          <w:rFonts w:hint="eastAsia"/>
          <w:color w:val="auto"/>
          <w:highlight w:val="none"/>
        </w:rPr>
        <w:t>4)可导出、下载知识库为本地文件，方便警务通外网查看，导出范围可选择单个知识内容、某个类别内容或全库内容；</w:t>
      </w:r>
    </w:p>
    <w:p>
      <w:pPr>
        <w:pStyle w:val="3"/>
        <w:ind w:firstLine="480"/>
        <w:rPr>
          <w:color w:val="auto"/>
          <w:highlight w:val="none"/>
        </w:rPr>
      </w:pPr>
      <w:r>
        <w:rPr>
          <w:rFonts w:hint="eastAsia"/>
          <w:color w:val="auto"/>
          <w:highlight w:val="none"/>
        </w:rPr>
        <w:t>5)开放API与报修系统进行对接，实现在报修系统中检索问题快速跳转至相应知识内容页；</w:t>
      </w:r>
    </w:p>
    <w:p>
      <w:pPr>
        <w:pStyle w:val="3"/>
        <w:ind w:firstLine="480"/>
        <w:rPr>
          <w:color w:val="auto"/>
          <w:highlight w:val="none"/>
        </w:rPr>
      </w:pPr>
      <w:r>
        <w:rPr>
          <w:rFonts w:hint="eastAsia"/>
          <w:color w:val="auto"/>
          <w:highlight w:val="none"/>
        </w:rPr>
        <w:t>6)建立日志功能，记录单个知识页面的修订历史，并可获取历史版本，追溯以前的内容。</w:t>
      </w:r>
    </w:p>
    <w:p>
      <w:pPr>
        <w:pStyle w:val="3"/>
        <w:ind w:firstLine="480"/>
        <w:rPr>
          <w:color w:val="auto"/>
          <w:highlight w:val="none"/>
        </w:rPr>
      </w:pPr>
    </w:p>
    <w:p>
      <w:pPr>
        <w:pStyle w:val="5"/>
        <w:rPr>
          <w:color w:val="auto"/>
          <w:highlight w:val="none"/>
        </w:rPr>
      </w:pPr>
      <w:bookmarkStart w:id="44" w:name="_Toc180570842"/>
      <w:r>
        <w:rPr>
          <w:rFonts w:hint="eastAsia"/>
          <w:color w:val="auto"/>
          <w:highlight w:val="none"/>
        </w:rPr>
        <w:t>罪犯网上购物</w:t>
      </w:r>
      <w:bookmarkEnd w:id="44"/>
    </w:p>
    <w:p>
      <w:pPr>
        <w:pStyle w:val="3"/>
        <w:ind w:firstLine="480"/>
        <w:rPr>
          <w:color w:val="auto"/>
          <w:highlight w:val="none"/>
        </w:rPr>
      </w:pPr>
      <w:r>
        <w:rPr>
          <w:rFonts w:hint="eastAsia"/>
          <w:color w:val="auto"/>
          <w:highlight w:val="none"/>
        </w:rPr>
        <w:t>该模块的功能实现应结合基层监狱升级改造项目中一卡通升级相关内容适时推进，本项目建设相关软件功能，并预留对接接口。具体功能描述如下：</w:t>
      </w:r>
    </w:p>
    <w:p>
      <w:pPr>
        <w:pStyle w:val="3"/>
        <w:ind w:firstLine="480"/>
        <w:rPr>
          <w:color w:val="auto"/>
          <w:highlight w:val="none"/>
        </w:rPr>
      </w:pPr>
      <w:r>
        <w:rPr>
          <w:rFonts w:hint="eastAsia"/>
          <w:color w:val="auto"/>
          <w:highlight w:val="none"/>
        </w:rPr>
        <w:t>对一卡通设备进行升级改造，账户系统在原有功能基础上进行重建并增加新功能，将账户系统、狱政管理系统、被服管理系统数据进行互通。同时，需要一卡通终端设备配合升级才能实现业务要求，其功能升级如下：</w:t>
      </w:r>
    </w:p>
    <w:p>
      <w:pPr>
        <w:pStyle w:val="3"/>
        <w:ind w:firstLine="480"/>
        <w:rPr>
          <w:color w:val="auto"/>
          <w:highlight w:val="none"/>
        </w:rPr>
      </w:pPr>
      <w:r>
        <w:rPr>
          <w:rFonts w:hint="eastAsia"/>
          <w:color w:val="auto"/>
          <w:highlight w:val="none"/>
        </w:rPr>
        <w:t>一卡通终端设备：</w:t>
      </w:r>
    </w:p>
    <w:p>
      <w:pPr>
        <w:pStyle w:val="3"/>
        <w:ind w:firstLine="480"/>
        <w:rPr>
          <w:color w:val="auto"/>
          <w:highlight w:val="none"/>
        </w:rPr>
      </w:pPr>
      <w:r>
        <w:rPr>
          <w:rFonts w:hint="eastAsia"/>
          <w:color w:val="auto"/>
          <w:highlight w:val="none"/>
        </w:rPr>
        <w:t>1) 终端设备配置为触摸屏并配备摄像头、指纹识别装置，可供罪犯进行面部识别登录、指纹识别登录，同时提供一卡通刷卡、“账号、密码”型登录方式，以应对摄像头、指纹识别装置故障、无法识别的情况。</w:t>
      </w:r>
    </w:p>
    <w:p>
      <w:pPr>
        <w:pStyle w:val="3"/>
        <w:ind w:firstLine="480"/>
        <w:rPr>
          <w:color w:val="auto"/>
          <w:highlight w:val="none"/>
        </w:rPr>
      </w:pPr>
      <w:r>
        <w:rPr>
          <w:rFonts w:hint="eastAsia"/>
          <w:color w:val="auto"/>
          <w:highlight w:val="none"/>
        </w:rPr>
        <w:t>2) 终端设备购物界面及购买流程将以社会主流电商作为参照，以让罪犯刑释后更好的适应社会。</w:t>
      </w:r>
    </w:p>
    <w:p>
      <w:pPr>
        <w:pStyle w:val="3"/>
        <w:ind w:firstLine="480"/>
        <w:rPr>
          <w:color w:val="auto"/>
          <w:highlight w:val="none"/>
        </w:rPr>
      </w:pPr>
      <w:r>
        <w:rPr>
          <w:rFonts w:hint="eastAsia"/>
          <w:color w:val="auto"/>
          <w:highlight w:val="none"/>
        </w:rPr>
        <w:t>3) 终端设备将根据后台系统的设定，在大帐开放日期在首页显示提示信息“大帐以开放”，告知罪犯可以使用系统开始购物。</w:t>
      </w:r>
    </w:p>
    <w:p>
      <w:pPr>
        <w:pStyle w:val="3"/>
        <w:ind w:firstLine="480"/>
        <w:rPr>
          <w:color w:val="auto"/>
          <w:highlight w:val="none"/>
        </w:rPr>
      </w:pPr>
      <w:r>
        <w:rPr>
          <w:rFonts w:hint="eastAsia"/>
          <w:color w:val="auto"/>
          <w:highlight w:val="none"/>
        </w:rPr>
        <w:t>4) 通过对接狱政管理系统，罪犯登录终端后将自动获取罪犯的物质奖励信息，并弹出消息框“你有一次物质奖励尚未使用，是否使用?”提示罪犯使用。</w:t>
      </w:r>
    </w:p>
    <w:p>
      <w:pPr>
        <w:pStyle w:val="3"/>
        <w:ind w:firstLine="480"/>
        <w:rPr>
          <w:color w:val="auto"/>
          <w:highlight w:val="none"/>
        </w:rPr>
      </w:pPr>
      <w:r>
        <w:rPr>
          <w:rFonts w:hint="eastAsia"/>
          <w:color w:val="auto"/>
          <w:highlight w:val="none"/>
        </w:rPr>
        <w:t>5) 通过对接狱政管理系统，根据后台设定的预计到货日期，系统将校验登录罪犯的刑释日期是否有冲突。民警可对相应的订单进行修改、撤销。</w:t>
      </w:r>
    </w:p>
    <w:p>
      <w:pPr>
        <w:pStyle w:val="3"/>
        <w:ind w:firstLine="480"/>
        <w:rPr>
          <w:color w:val="auto"/>
          <w:highlight w:val="none"/>
        </w:rPr>
      </w:pPr>
      <w:r>
        <w:rPr>
          <w:rFonts w:hint="eastAsia"/>
          <w:color w:val="auto"/>
          <w:highlight w:val="none"/>
        </w:rPr>
        <w:t>6) 通过对接账户系统，罪犯在终端设备能查询到其下的历史购物数据及其他财务历史数据。罪犯可在对账版块中确认对账无误，实现电子签名确认。</w:t>
      </w:r>
    </w:p>
    <w:p>
      <w:pPr>
        <w:pStyle w:val="3"/>
        <w:ind w:firstLine="480"/>
        <w:rPr>
          <w:color w:val="auto"/>
          <w:highlight w:val="none"/>
        </w:rPr>
      </w:pPr>
      <w:r>
        <w:rPr>
          <w:rFonts w:hint="eastAsia"/>
          <w:color w:val="auto"/>
          <w:highlight w:val="none"/>
        </w:rPr>
        <w:t>7) 通过对接账户系统，当罪犯的购物额度超过账户余额或超出可支配额度，将弹出相应的提示信息“你的余额/可支配额度不足，请对商品进行删减”。</w:t>
      </w:r>
    </w:p>
    <w:p>
      <w:pPr>
        <w:pStyle w:val="3"/>
        <w:ind w:firstLine="480"/>
        <w:rPr>
          <w:color w:val="auto"/>
          <w:highlight w:val="none"/>
        </w:rPr>
      </w:pPr>
      <w:r>
        <w:rPr>
          <w:rFonts w:hint="eastAsia"/>
          <w:color w:val="auto"/>
          <w:highlight w:val="none"/>
        </w:rPr>
        <w:t>8) 罪犯提交购物订单将进行2次密码验证，验证成功将冻结钱款，并逐级向上审核(管辖民警&gt;监区-&gt;生卫科)。在管辖民警审核完成之前，罪犯可以自行取消本次订单，钱款解冻。在审核的过程中，审核民警、监区、生卫科相应人员可对订单进行商品数量修改或直接撤销。</w:t>
      </w:r>
    </w:p>
    <w:p>
      <w:pPr>
        <w:pStyle w:val="3"/>
        <w:ind w:firstLine="480"/>
        <w:rPr>
          <w:color w:val="auto"/>
          <w:highlight w:val="none"/>
        </w:rPr>
      </w:pPr>
      <w:r>
        <w:rPr>
          <w:rFonts w:hint="eastAsia"/>
          <w:color w:val="auto"/>
          <w:highlight w:val="none"/>
        </w:rPr>
        <w:t>9)终端设备加入反馈版块，开放权限给监区罪犯组长。组长将在此板块中集中反馈购物的相关内容，如少货、丢货、质量差等。监区审核相关内容的事实情况，若事实存在，将上报至生卫科；若不存在，则忽略本次反馈。</w:t>
      </w:r>
    </w:p>
    <w:p>
      <w:pPr>
        <w:pStyle w:val="3"/>
        <w:ind w:firstLine="480"/>
        <w:rPr>
          <w:color w:val="auto"/>
          <w:highlight w:val="none"/>
        </w:rPr>
      </w:pPr>
      <w:r>
        <w:rPr>
          <w:rFonts w:hint="eastAsia"/>
          <w:color w:val="auto"/>
          <w:highlight w:val="none"/>
        </w:rPr>
        <w:t>一卡通系统后台：</w:t>
      </w:r>
    </w:p>
    <w:p>
      <w:pPr>
        <w:pStyle w:val="3"/>
        <w:ind w:firstLine="480"/>
        <w:rPr>
          <w:color w:val="auto"/>
          <w:highlight w:val="none"/>
        </w:rPr>
      </w:pPr>
      <w:r>
        <w:rPr>
          <w:rFonts w:hint="eastAsia"/>
          <w:color w:val="auto"/>
          <w:highlight w:val="none"/>
        </w:rPr>
        <w:t>1) 后台新增大帐开放日期设定功能，民警可自由调控不同时间、类型的规则，并保存为不同的方案。方案包括常规大帐及临时增开，其中临时增开方案需要从商品列表中选择对应的商品分组，也可临时勾选添加对应的商品。</w:t>
      </w:r>
    </w:p>
    <w:p>
      <w:pPr>
        <w:pStyle w:val="3"/>
        <w:ind w:firstLine="480"/>
        <w:rPr>
          <w:color w:val="auto"/>
          <w:highlight w:val="none"/>
        </w:rPr>
      </w:pPr>
      <w:r>
        <w:rPr>
          <w:rFonts w:hint="eastAsia"/>
          <w:color w:val="auto"/>
          <w:highlight w:val="none"/>
        </w:rPr>
        <w:t>2) 商品导入将实现一键导入功能， 按一定的规则填写在excel表格中，系统将自动根据上传的表格进行商品上架。同时商品图片的命名名称与商品的编号一致，实行批量图片上传将自动匹配至相应的商品信息中。可对商品进行自定义分组，并保存为不同的分组方案，以方便对应不同的大帐方案。</w:t>
      </w:r>
    </w:p>
    <w:p>
      <w:pPr>
        <w:pStyle w:val="3"/>
        <w:ind w:firstLine="480"/>
        <w:rPr>
          <w:color w:val="auto"/>
          <w:highlight w:val="none"/>
        </w:rPr>
      </w:pPr>
      <w:r>
        <w:rPr>
          <w:rFonts w:hint="eastAsia"/>
          <w:color w:val="auto"/>
          <w:highlight w:val="none"/>
        </w:rPr>
        <w:t>3) 商品可做自定义的购买限制，如根据处遇等级有数量限制、类别限制等。</w:t>
      </w:r>
    </w:p>
    <w:p>
      <w:pPr>
        <w:pStyle w:val="3"/>
        <w:ind w:firstLine="480"/>
        <w:rPr>
          <w:color w:val="auto"/>
          <w:highlight w:val="none"/>
        </w:rPr>
      </w:pPr>
      <w:r>
        <w:rPr>
          <w:rFonts w:hint="eastAsia"/>
          <w:color w:val="auto"/>
          <w:highlight w:val="none"/>
        </w:rPr>
        <w:t>4) 商品可对购买数量进行异常告警配置，对于不同的商品可配置不同的预警值。当罪犯购买数量异常时，将向民警发出告警提示信息。</w:t>
      </w:r>
    </w:p>
    <w:p>
      <w:pPr>
        <w:pStyle w:val="3"/>
        <w:ind w:firstLine="480"/>
        <w:rPr>
          <w:color w:val="auto"/>
          <w:highlight w:val="none"/>
        </w:rPr>
      </w:pPr>
      <w:r>
        <w:rPr>
          <w:color w:val="auto"/>
          <w:highlight w:val="none"/>
        </w:rPr>
        <w:t>5)</w:t>
      </w:r>
      <w:r>
        <w:rPr>
          <w:rFonts w:hint="eastAsia"/>
          <w:color w:val="auto"/>
          <w:highlight w:val="none"/>
        </w:rPr>
        <w:t xml:space="preserve"> 通过对接被服系统，罪犯自购衣服将自动读取罪犯相应的尺码信息。当罪犯购买的尺码变更幅度过大时，将向民警发出告警提示信息。</w:t>
      </w:r>
    </w:p>
    <w:p>
      <w:pPr>
        <w:pStyle w:val="3"/>
        <w:ind w:firstLine="480"/>
        <w:rPr>
          <w:color w:val="auto"/>
          <w:highlight w:val="none"/>
        </w:rPr>
      </w:pPr>
      <w:r>
        <w:rPr>
          <w:rFonts w:hint="eastAsia"/>
          <w:color w:val="auto"/>
          <w:highlight w:val="none"/>
        </w:rPr>
        <w:t>6) 订单模块升级，可按监区、监舍、个人三个维度导出相应的分配明细。同时，在购物后到货分配前这段时间内的罪犯监舍调动，将在后台自动进行分配变更。提供订单查询功能，将能根据罪犯姓名、商品名称等条件查询对应的分配明细。</w:t>
      </w:r>
    </w:p>
    <w:p>
      <w:pPr>
        <w:pStyle w:val="3"/>
        <w:ind w:firstLine="480"/>
        <w:rPr>
          <w:color w:val="auto"/>
          <w:highlight w:val="none"/>
        </w:rPr>
      </w:pPr>
      <w:r>
        <w:rPr>
          <w:rFonts w:hint="eastAsia"/>
          <w:color w:val="auto"/>
          <w:highlight w:val="none"/>
        </w:rPr>
        <w:t>7) 一卡通增加金额将能实现负值，并在确定后给民警相应的提示信息。</w:t>
      </w:r>
    </w:p>
    <w:p>
      <w:pPr>
        <w:pStyle w:val="3"/>
        <w:ind w:firstLine="480"/>
        <w:rPr>
          <w:color w:val="auto"/>
          <w:highlight w:val="none"/>
        </w:rPr>
      </w:pPr>
      <w:r>
        <w:rPr>
          <w:rFonts w:hint="eastAsia"/>
          <w:color w:val="auto"/>
          <w:highlight w:val="none"/>
        </w:rPr>
        <w:t>8) 接入BI系统，民警可组合多种不同的多维度、高自由度的业务数据看板，并根据最后内容导出成对应的报表。</w:t>
      </w:r>
    </w:p>
    <w:p>
      <w:pPr>
        <w:pStyle w:val="3"/>
        <w:ind w:firstLine="480"/>
        <w:rPr>
          <w:color w:val="auto"/>
          <w:highlight w:val="none"/>
        </w:rPr>
      </w:pPr>
      <w:r>
        <w:rPr>
          <w:rFonts w:hint="eastAsia"/>
          <w:color w:val="auto"/>
          <w:highlight w:val="none"/>
        </w:rPr>
        <w:t>账户系统：</w:t>
      </w:r>
    </w:p>
    <w:p>
      <w:pPr>
        <w:pStyle w:val="3"/>
        <w:ind w:firstLine="480"/>
        <w:rPr>
          <w:color w:val="auto"/>
          <w:highlight w:val="none"/>
        </w:rPr>
      </w:pPr>
      <w:r>
        <w:rPr>
          <w:rFonts w:hint="eastAsia"/>
          <w:color w:val="auto"/>
          <w:highlight w:val="none"/>
        </w:rPr>
        <w:t>提供并增加功能如下：</w:t>
      </w:r>
    </w:p>
    <w:p>
      <w:pPr>
        <w:pStyle w:val="3"/>
        <w:ind w:firstLine="480"/>
        <w:rPr>
          <w:color w:val="auto"/>
          <w:highlight w:val="none"/>
        </w:rPr>
      </w:pPr>
      <w:r>
        <w:rPr>
          <w:rFonts w:hint="eastAsia"/>
          <w:color w:val="auto"/>
          <w:highlight w:val="none"/>
        </w:rPr>
        <w:t>1) 账户系统数据与其他各业务系统保持数据实时更新(至少每日更新)</w:t>
      </w:r>
    </w:p>
    <w:p>
      <w:pPr>
        <w:pStyle w:val="3"/>
        <w:ind w:firstLine="480"/>
        <w:rPr>
          <w:color w:val="auto"/>
          <w:highlight w:val="none"/>
        </w:rPr>
      </w:pPr>
      <w:r>
        <w:rPr>
          <w:rFonts w:hint="eastAsia"/>
          <w:color w:val="auto"/>
          <w:highlight w:val="none"/>
        </w:rPr>
        <w:t>2) 对应各类支出，可配置不同类别账户的扣款顺序。</w:t>
      </w:r>
    </w:p>
    <w:p>
      <w:pPr>
        <w:pStyle w:val="3"/>
        <w:ind w:firstLine="480"/>
        <w:rPr>
          <w:color w:val="auto"/>
          <w:highlight w:val="none"/>
        </w:rPr>
      </w:pPr>
      <w:r>
        <w:rPr>
          <w:rFonts w:hint="eastAsia"/>
          <w:color w:val="auto"/>
          <w:highlight w:val="none"/>
        </w:rPr>
        <w:t>3) 对应临时增开的收入/支出项目，可根据处遇等级增加不同的额度及调整对应的扣款顺序。</w:t>
      </w:r>
    </w:p>
    <w:p>
      <w:pPr>
        <w:pStyle w:val="3"/>
        <w:ind w:firstLine="480"/>
        <w:rPr>
          <w:color w:val="auto"/>
          <w:highlight w:val="none"/>
        </w:rPr>
      </w:pPr>
      <w:r>
        <w:rPr>
          <w:rFonts w:hint="eastAsia"/>
          <w:color w:val="auto"/>
          <w:highlight w:val="none"/>
        </w:rPr>
        <w:t>4) 加入修收权限总开关，在特定日期系统管理员可以关闭系统数据修改权限。</w:t>
      </w:r>
    </w:p>
    <w:p>
      <w:pPr>
        <w:pStyle w:val="3"/>
        <w:ind w:firstLine="480"/>
        <w:rPr>
          <w:color w:val="auto"/>
          <w:highlight w:val="none"/>
        </w:rPr>
      </w:pPr>
    </w:p>
    <w:p>
      <w:pPr>
        <w:pStyle w:val="5"/>
        <w:rPr>
          <w:color w:val="auto"/>
          <w:highlight w:val="none"/>
        </w:rPr>
      </w:pPr>
      <w:bookmarkStart w:id="45" w:name="_Toc180570843"/>
      <w:r>
        <w:rPr>
          <w:rFonts w:hint="eastAsia"/>
          <w:color w:val="auto"/>
          <w:highlight w:val="none"/>
        </w:rPr>
        <w:t>物联感知应用接入</w:t>
      </w:r>
      <w:bookmarkEnd w:id="45"/>
    </w:p>
    <w:p>
      <w:pPr>
        <w:pStyle w:val="3"/>
        <w:ind w:firstLine="480"/>
        <w:rPr>
          <w:color w:val="auto"/>
          <w:highlight w:val="none"/>
        </w:rPr>
      </w:pPr>
      <w:r>
        <w:rPr>
          <w:rFonts w:hint="eastAsia"/>
          <w:color w:val="auto"/>
          <w:highlight w:val="none"/>
        </w:rPr>
        <w:t>该部分内容主要实现对基层监狱各物联感知应用进行接入，投标人应结合各基层监狱情况，尽可能完整的对相关感知数据资源进行接入。</w:t>
      </w:r>
    </w:p>
    <w:p>
      <w:pPr>
        <w:pStyle w:val="3"/>
        <w:ind w:firstLine="480"/>
        <w:rPr>
          <w:color w:val="auto"/>
          <w:highlight w:val="none"/>
        </w:rPr>
      </w:pPr>
      <w:r>
        <w:rPr>
          <w:rFonts w:hint="eastAsia"/>
          <w:color w:val="auto"/>
          <w:highlight w:val="none"/>
        </w:rPr>
        <w:t>通过物联网技术整合智能安防设备，设备的数据采集、控制服务根据业务属性归集至对应的信息资源库和系统，实现数据采集、传输和控制实时交互。在此基础上对部分应用场景及其设备功能进行可视化界面定制开发。该类应用注重多技术的融合运用和多维度的出成效叠加，其主要技术路径包含：行为识别分析、视频人脸识别、智能语音分析、目标跟踪识别、物联感知等。</w:t>
      </w:r>
    </w:p>
    <w:p>
      <w:pPr>
        <w:pStyle w:val="3"/>
        <w:ind w:firstLine="480"/>
        <w:rPr>
          <w:color w:val="auto"/>
          <w:highlight w:val="none"/>
        </w:rPr>
      </w:pPr>
      <w:r>
        <w:rPr>
          <w:rFonts w:hint="eastAsia"/>
          <w:color w:val="auto"/>
          <w:highlight w:val="none"/>
        </w:rPr>
        <w:t>34个物联感知接入类应用，按业务内容分类包括：狱政管理(10个)、刑罚执行(1个)、生活卫生(4个)、劳动管理(3个)、指挥中心(11个)、教育改造(3个)、综合保障(2个)共计七大类。具体如下表：</w:t>
      </w:r>
    </w:p>
    <w:tbl>
      <w:tblPr>
        <w:tblStyle w:val="35"/>
        <w:tblW w:w="6760" w:type="dxa"/>
        <w:jc w:val="center"/>
        <w:tblLayout w:type="autofit"/>
        <w:tblCellMar>
          <w:top w:w="0" w:type="dxa"/>
          <w:left w:w="108" w:type="dxa"/>
          <w:bottom w:w="0" w:type="dxa"/>
          <w:right w:w="108" w:type="dxa"/>
        </w:tblCellMar>
      </w:tblPr>
      <w:tblGrid>
        <w:gridCol w:w="1420"/>
        <w:gridCol w:w="3520"/>
        <w:gridCol w:w="1820"/>
      </w:tblGrid>
      <w:tr>
        <w:tblPrEx>
          <w:tblCellMar>
            <w:top w:w="0" w:type="dxa"/>
            <w:left w:w="108" w:type="dxa"/>
            <w:bottom w:w="0" w:type="dxa"/>
            <w:right w:w="108" w:type="dxa"/>
          </w:tblCellMar>
        </w:tblPrEx>
        <w:trPr>
          <w:trHeight w:val="280" w:hRule="atLeast"/>
          <w:jc w:val="center"/>
        </w:trPr>
        <w:tc>
          <w:tcPr>
            <w:tcW w:w="142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序号</w:t>
            </w:r>
          </w:p>
        </w:tc>
        <w:tc>
          <w:tcPr>
            <w:tcW w:w="3520" w:type="dxa"/>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应用场景</w:t>
            </w:r>
          </w:p>
        </w:tc>
        <w:tc>
          <w:tcPr>
            <w:tcW w:w="1820" w:type="dxa"/>
            <w:tcBorders>
              <w:top w:val="single" w:color="auto" w:sz="4" w:space="0"/>
              <w:left w:val="nil"/>
              <w:bottom w:val="single" w:color="auto" w:sz="4" w:space="0"/>
              <w:right w:val="single" w:color="auto" w:sz="4" w:space="0"/>
            </w:tcBorders>
            <w:shd w:val="clear" w:color="auto" w:fill="auto"/>
            <w:vAlign w:val="center"/>
          </w:tcPr>
          <w:p>
            <w:pPr>
              <w:jc w:val="center"/>
              <w:rPr>
                <w:rFonts w:ascii="宋体" w:hAnsi="宋体" w:eastAsia="宋体" w:cs="宋体"/>
                <w:b/>
                <w:bCs/>
                <w:color w:val="auto"/>
                <w:sz w:val="22"/>
                <w:szCs w:val="22"/>
                <w:highlight w:val="none"/>
              </w:rPr>
            </w:pPr>
            <w:r>
              <w:rPr>
                <w:rFonts w:hint="eastAsia" w:ascii="宋体" w:hAnsi="宋体" w:eastAsia="宋体" w:cs="宋体"/>
                <w:b/>
                <w:bCs/>
                <w:color w:val="auto"/>
                <w:sz w:val="22"/>
                <w:szCs w:val="22"/>
                <w:highlight w:val="none"/>
              </w:rPr>
              <w:t>业务分类</w:t>
            </w:r>
          </w:p>
        </w:tc>
      </w:tr>
      <w:tr>
        <w:tblPrEx>
          <w:tblCellMar>
            <w:top w:w="0" w:type="dxa"/>
            <w:left w:w="108" w:type="dxa"/>
            <w:bottom w:w="0" w:type="dxa"/>
            <w:right w:w="108" w:type="dxa"/>
          </w:tblCellMar>
        </w:tblPrEx>
        <w:trPr>
          <w:trHeight w:val="300" w:hRule="atLeast"/>
          <w:jc w:val="center"/>
        </w:trPr>
        <w:tc>
          <w:tcPr>
            <w:tcW w:w="142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1</w:t>
            </w:r>
          </w:p>
        </w:tc>
        <w:tc>
          <w:tcPr>
            <w:tcW w:w="352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highlight w:val="none"/>
              </w:rPr>
            </w:pPr>
            <w:r>
              <w:rPr>
                <w:rFonts w:hint="eastAsia" w:ascii="宋体" w:hAnsi="宋体" w:eastAsia="宋体" w:cs="宋体"/>
                <w:color w:val="auto"/>
                <w:highlight w:val="none"/>
              </w:rPr>
              <w:t>罪犯私人物品管理</w:t>
            </w:r>
          </w:p>
        </w:tc>
        <w:tc>
          <w:tcPr>
            <w:tcW w:w="182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狱政管理(10)</w:t>
            </w:r>
          </w:p>
        </w:tc>
      </w:tr>
      <w:tr>
        <w:tblPrEx>
          <w:tblCellMar>
            <w:top w:w="0" w:type="dxa"/>
            <w:left w:w="108" w:type="dxa"/>
            <w:bottom w:w="0" w:type="dxa"/>
            <w:right w:w="108" w:type="dxa"/>
          </w:tblCellMar>
        </w:tblPrEx>
        <w:trPr>
          <w:trHeight w:val="300" w:hRule="atLeast"/>
          <w:jc w:val="center"/>
        </w:trPr>
        <w:tc>
          <w:tcPr>
            <w:tcW w:w="142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2</w:t>
            </w:r>
          </w:p>
        </w:tc>
        <w:tc>
          <w:tcPr>
            <w:tcW w:w="352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highlight w:val="none"/>
              </w:rPr>
            </w:pPr>
            <w:r>
              <w:rPr>
                <w:rFonts w:hint="eastAsia" w:ascii="宋体" w:hAnsi="宋体" w:eastAsia="宋体" w:cs="宋体"/>
                <w:color w:val="auto"/>
                <w:highlight w:val="none"/>
              </w:rPr>
              <w:t>罪犯法律援助</w:t>
            </w:r>
          </w:p>
        </w:tc>
        <w:tc>
          <w:tcPr>
            <w:tcW w:w="18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r>
      <w:tr>
        <w:tblPrEx>
          <w:tblCellMar>
            <w:top w:w="0" w:type="dxa"/>
            <w:left w:w="108" w:type="dxa"/>
            <w:bottom w:w="0" w:type="dxa"/>
            <w:right w:w="108" w:type="dxa"/>
          </w:tblCellMar>
        </w:tblPrEx>
        <w:trPr>
          <w:trHeight w:val="300" w:hRule="atLeast"/>
          <w:jc w:val="center"/>
        </w:trPr>
        <w:tc>
          <w:tcPr>
            <w:tcW w:w="142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3</w:t>
            </w:r>
          </w:p>
        </w:tc>
        <w:tc>
          <w:tcPr>
            <w:tcW w:w="352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highlight w:val="none"/>
              </w:rPr>
            </w:pPr>
            <w:r>
              <w:rPr>
                <w:rFonts w:hint="eastAsia" w:ascii="宋体" w:hAnsi="宋体" w:eastAsia="宋体" w:cs="宋体"/>
                <w:color w:val="auto"/>
                <w:highlight w:val="none"/>
              </w:rPr>
              <w:t>防罪犯夜间病亡或自杀</w:t>
            </w:r>
          </w:p>
        </w:tc>
        <w:tc>
          <w:tcPr>
            <w:tcW w:w="18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r>
      <w:tr>
        <w:tblPrEx>
          <w:tblCellMar>
            <w:top w:w="0" w:type="dxa"/>
            <w:left w:w="108" w:type="dxa"/>
            <w:bottom w:w="0" w:type="dxa"/>
            <w:right w:w="108" w:type="dxa"/>
          </w:tblCellMar>
        </w:tblPrEx>
        <w:trPr>
          <w:trHeight w:val="300" w:hRule="atLeast"/>
          <w:jc w:val="center"/>
        </w:trPr>
        <w:tc>
          <w:tcPr>
            <w:tcW w:w="142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4</w:t>
            </w:r>
          </w:p>
        </w:tc>
        <w:tc>
          <w:tcPr>
            <w:tcW w:w="352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highlight w:val="none"/>
              </w:rPr>
            </w:pPr>
            <w:r>
              <w:rPr>
                <w:rFonts w:hint="eastAsia" w:ascii="宋体" w:hAnsi="宋体" w:eastAsia="宋体" w:cs="宋体"/>
                <w:color w:val="auto"/>
                <w:highlight w:val="none"/>
              </w:rPr>
              <w:t>罪犯开收封</w:t>
            </w:r>
          </w:p>
        </w:tc>
        <w:tc>
          <w:tcPr>
            <w:tcW w:w="18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r>
      <w:tr>
        <w:tblPrEx>
          <w:tblCellMar>
            <w:top w:w="0" w:type="dxa"/>
            <w:left w:w="108" w:type="dxa"/>
            <w:bottom w:w="0" w:type="dxa"/>
            <w:right w:w="108" w:type="dxa"/>
          </w:tblCellMar>
        </w:tblPrEx>
        <w:trPr>
          <w:trHeight w:val="300" w:hRule="atLeast"/>
          <w:jc w:val="center"/>
        </w:trPr>
        <w:tc>
          <w:tcPr>
            <w:tcW w:w="142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5</w:t>
            </w:r>
          </w:p>
        </w:tc>
        <w:tc>
          <w:tcPr>
            <w:tcW w:w="352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highlight w:val="none"/>
              </w:rPr>
            </w:pPr>
            <w:r>
              <w:rPr>
                <w:rFonts w:hint="eastAsia" w:ascii="宋体" w:hAnsi="宋体" w:eastAsia="宋体" w:cs="宋体"/>
                <w:color w:val="auto"/>
                <w:highlight w:val="none"/>
              </w:rPr>
              <w:t>罪犯出收工</w:t>
            </w:r>
          </w:p>
        </w:tc>
        <w:tc>
          <w:tcPr>
            <w:tcW w:w="18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r>
      <w:tr>
        <w:tblPrEx>
          <w:tblCellMar>
            <w:top w:w="0" w:type="dxa"/>
            <w:left w:w="108" w:type="dxa"/>
            <w:bottom w:w="0" w:type="dxa"/>
            <w:right w:w="108" w:type="dxa"/>
          </w:tblCellMar>
        </w:tblPrEx>
        <w:trPr>
          <w:trHeight w:val="300" w:hRule="atLeast"/>
          <w:jc w:val="center"/>
        </w:trPr>
        <w:tc>
          <w:tcPr>
            <w:tcW w:w="142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6</w:t>
            </w:r>
          </w:p>
        </w:tc>
        <w:tc>
          <w:tcPr>
            <w:tcW w:w="352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highlight w:val="none"/>
              </w:rPr>
            </w:pPr>
            <w:r>
              <w:rPr>
                <w:rFonts w:hint="eastAsia" w:ascii="宋体" w:hAnsi="宋体" w:eastAsia="宋体" w:cs="宋体"/>
                <w:color w:val="auto"/>
                <w:highlight w:val="none"/>
              </w:rPr>
              <w:t>罪犯亲情电话语音智能分析</w:t>
            </w:r>
          </w:p>
        </w:tc>
        <w:tc>
          <w:tcPr>
            <w:tcW w:w="18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r>
      <w:tr>
        <w:tblPrEx>
          <w:tblCellMar>
            <w:top w:w="0" w:type="dxa"/>
            <w:left w:w="108" w:type="dxa"/>
            <w:bottom w:w="0" w:type="dxa"/>
            <w:right w:w="108" w:type="dxa"/>
          </w:tblCellMar>
        </w:tblPrEx>
        <w:trPr>
          <w:trHeight w:val="300" w:hRule="atLeast"/>
          <w:jc w:val="center"/>
        </w:trPr>
        <w:tc>
          <w:tcPr>
            <w:tcW w:w="142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7</w:t>
            </w:r>
          </w:p>
        </w:tc>
        <w:tc>
          <w:tcPr>
            <w:tcW w:w="352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highlight w:val="none"/>
              </w:rPr>
            </w:pPr>
            <w:r>
              <w:rPr>
                <w:rFonts w:hint="eastAsia" w:ascii="宋体" w:hAnsi="宋体" w:eastAsia="宋体" w:cs="宋体"/>
                <w:color w:val="auto"/>
                <w:highlight w:val="none"/>
              </w:rPr>
              <w:t>会见语音智能辅助研判</w:t>
            </w:r>
          </w:p>
        </w:tc>
        <w:tc>
          <w:tcPr>
            <w:tcW w:w="18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r>
      <w:tr>
        <w:tblPrEx>
          <w:tblCellMar>
            <w:top w:w="0" w:type="dxa"/>
            <w:left w:w="108" w:type="dxa"/>
            <w:bottom w:w="0" w:type="dxa"/>
            <w:right w:w="108" w:type="dxa"/>
          </w:tblCellMar>
        </w:tblPrEx>
        <w:trPr>
          <w:trHeight w:val="300" w:hRule="atLeast"/>
          <w:jc w:val="center"/>
        </w:trPr>
        <w:tc>
          <w:tcPr>
            <w:tcW w:w="142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8</w:t>
            </w:r>
          </w:p>
        </w:tc>
        <w:tc>
          <w:tcPr>
            <w:tcW w:w="352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highlight w:val="none"/>
              </w:rPr>
            </w:pPr>
            <w:r>
              <w:rPr>
                <w:rFonts w:hint="eastAsia" w:ascii="宋体" w:hAnsi="宋体" w:eastAsia="宋体" w:cs="宋体"/>
                <w:color w:val="auto"/>
                <w:highlight w:val="none"/>
              </w:rPr>
              <w:t>重点人员识别控制</w:t>
            </w:r>
          </w:p>
        </w:tc>
        <w:tc>
          <w:tcPr>
            <w:tcW w:w="18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r>
      <w:tr>
        <w:tblPrEx>
          <w:tblCellMar>
            <w:top w:w="0" w:type="dxa"/>
            <w:left w:w="108" w:type="dxa"/>
            <w:bottom w:w="0" w:type="dxa"/>
            <w:right w:w="108" w:type="dxa"/>
          </w:tblCellMar>
        </w:tblPrEx>
        <w:trPr>
          <w:trHeight w:val="300" w:hRule="atLeast"/>
          <w:jc w:val="center"/>
        </w:trPr>
        <w:tc>
          <w:tcPr>
            <w:tcW w:w="142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9</w:t>
            </w:r>
          </w:p>
        </w:tc>
        <w:tc>
          <w:tcPr>
            <w:tcW w:w="352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highlight w:val="none"/>
              </w:rPr>
            </w:pPr>
            <w:r>
              <w:rPr>
                <w:rFonts w:hint="eastAsia" w:ascii="宋体" w:hAnsi="宋体" w:eastAsia="宋体" w:cs="宋体"/>
                <w:color w:val="auto"/>
                <w:highlight w:val="none"/>
              </w:rPr>
              <w:t>智能巡更管理</w:t>
            </w:r>
          </w:p>
        </w:tc>
        <w:tc>
          <w:tcPr>
            <w:tcW w:w="18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r>
      <w:tr>
        <w:tblPrEx>
          <w:tblCellMar>
            <w:top w:w="0" w:type="dxa"/>
            <w:left w:w="108" w:type="dxa"/>
            <w:bottom w:w="0" w:type="dxa"/>
            <w:right w:w="108" w:type="dxa"/>
          </w:tblCellMar>
        </w:tblPrEx>
        <w:trPr>
          <w:trHeight w:val="300" w:hRule="atLeast"/>
          <w:jc w:val="center"/>
        </w:trPr>
        <w:tc>
          <w:tcPr>
            <w:tcW w:w="142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10</w:t>
            </w:r>
          </w:p>
        </w:tc>
        <w:tc>
          <w:tcPr>
            <w:tcW w:w="352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highlight w:val="none"/>
              </w:rPr>
            </w:pPr>
            <w:r>
              <w:rPr>
                <w:rFonts w:hint="eastAsia" w:ascii="宋体" w:hAnsi="宋体" w:eastAsia="宋体" w:cs="宋体"/>
                <w:color w:val="auto"/>
                <w:highlight w:val="none"/>
              </w:rPr>
              <w:t>智能会见排队系统</w:t>
            </w:r>
          </w:p>
        </w:tc>
        <w:tc>
          <w:tcPr>
            <w:tcW w:w="18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r>
      <w:tr>
        <w:tblPrEx>
          <w:tblCellMar>
            <w:top w:w="0" w:type="dxa"/>
            <w:left w:w="108" w:type="dxa"/>
            <w:bottom w:w="0" w:type="dxa"/>
            <w:right w:w="108" w:type="dxa"/>
          </w:tblCellMar>
        </w:tblPrEx>
        <w:trPr>
          <w:trHeight w:val="300" w:hRule="atLeast"/>
          <w:jc w:val="center"/>
        </w:trPr>
        <w:tc>
          <w:tcPr>
            <w:tcW w:w="142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11</w:t>
            </w:r>
          </w:p>
        </w:tc>
        <w:tc>
          <w:tcPr>
            <w:tcW w:w="352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highlight w:val="none"/>
              </w:rPr>
            </w:pPr>
            <w:r>
              <w:rPr>
                <w:rFonts w:hint="eastAsia" w:ascii="宋体" w:hAnsi="宋体" w:eastAsia="宋体" w:cs="宋体"/>
                <w:color w:val="auto"/>
                <w:highlight w:val="none"/>
              </w:rPr>
              <w:t>刑罚执行评审会全程音视频留痕</w:t>
            </w:r>
          </w:p>
        </w:tc>
        <w:tc>
          <w:tcPr>
            <w:tcW w:w="1820" w:type="dxa"/>
            <w:tcBorders>
              <w:top w:val="nil"/>
              <w:left w:val="nil"/>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刑罚执行(1)</w:t>
            </w:r>
          </w:p>
        </w:tc>
      </w:tr>
      <w:tr>
        <w:tblPrEx>
          <w:tblCellMar>
            <w:top w:w="0" w:type="dxa"/>
            <w:left w:w="108" w:type="dxa"/>
            <w:bottom w:w="0" w:type="dxa"/>
            <w:right w:w="108" w:type="dxa"/>
          </w:tblCellMar>
        </w:tblPrEx>
        <w:trPr>
          <w:trHeight w:val="300" w:hRule="atLeast"/>
          <w:jc w:val="center"/>
        </w:trPr>
        <w:tc>
          <w:tcPr>
            <w:tcW w:w="142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12</w:t>
            </w:r>
          </w:p>
        </w:tc>
        <w:tc>
          <w:tcPr>
            <w:tcW w:w="352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highlight w:val="none"/>
              </w:rPr>
            </w:pPr>
            <w:r>
              <w:rPr>
                <w:rFonts w:hint="eastAsia" w:ascii="宋体" w:hAnsi="宋体" w:eastAsia="宋体" w:cs="宋体"/>
                <w:color w:val="auto"/>
                <w:highlight w:val="none"/>
              </w:rPr>
              <w:t>罪犯远程医疗</w:t>
            </w:r>
          </w:p>
        </w:tc>
        <w:tc>
          <w:tcPr>
            <w:tcW w:w="182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生活卫生(4)</w:t>
            </w:r>
          </w:p>
        </w:tc>
      </w:tr>
      <w:tr>
        <w:tblPrEx>
          <w:tblCellMar>
            <w:top w:w="0" w:type="dxa"/>
            <w:left w:w="108" w:type="dxa"/>
            <w:bottom w:w="0" w:type="dxa"/>
            <w:right w:w="108" w:type="dxa"/>
          </w:tblCellMar>
        </w:tblPrEx>
        <w:trPr>
          <w:trHeight w:val="300" w:hRule="atLeast"/>
          <w:jc w:val="center"/>
        </w:trPr>
        <w:tc>
          <w:tcPr>
            <w:tcW w:w="142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13</w:t>
            </w:r>
          </w:p>
        </w:tc>
        <w:tc>
          <w:tcPr>
            <w:tcW w:w="352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highlight w:val="none"/>
              </w:rPr>
            </w:pPr>
            <w:r>
              <w:rPr>
                <w:rFonts w:hint="eastAsia" w:ascii="宋体" w:hAnsi="宋体" w:eastAsia="宋体" w:cs="宋体"/>
                <w:color w:val="auto"/>
                <w:highlight w:val="none"/>
              </w:rPr>
              <w:t>无感知测温</w:t>
            </w:r>
          </w:p>
        </w:tc>
        <w:tc>
          <w:tcPr>
            <w:tcW w:w="18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r>
      <w:tr>
        <w:tblPrEx>
          <w:tblCellMar>
            <w:top w:w="0" w:type="dxa"/>
            <w:left w:w="108" w:type="dxa"/>
            <w:bottom w:w="0" w:type="dxa"/>
            <w:right w:w="108" w:type="dxa"/>
          </w:tblCellMar>
        </w:tblPrEx>
        <w:trPr>
          <w:trHeight w:val="300" w:hRule="atLeast"/>
          <w:jc w:val="center"/>
        </w:trPr>
        <w:tc>
          <w:tcPr>
            <w:tcW w:w="142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14</w:t>
            </w:r>
          </w:p>
        </w:tc>
        <w:tc>
          <w:tcPr>
            <w:tcW w:w="352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highlight w:val="none"/>
              </w:rPr>
            </w:pPr>
            <w:r>
              <w:rPr>
                <w:rFonts w:hint="eastAsia" w:ascii="宋体" w:hAnsi="宋体" w:eastAsia="宋体" w:cs="宋体"/>
                <w:color w:val="auto"/>
                <w:highlight w:val="none"/>
              </w:rPr>
              <w:t>戴口罩人脸识别</w:t>
            </w:r>
          </w:p>
        </w:tc>
        <w:tc>
          <w:tcPr>
            <w:tcW w:w="18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r>
      <w:tr>
        <w:tblPrEx>
          <w:tblCellMar>
            <w:top w:w="0" w:type="dxa"/>
            <w:left w:w="108" w:type="dxa"/>
            <w:bottom w:w="0" w:type="dxa"/>
            <w:right w:w="108" w:type="dxa"/>
          </w:tblCellMar>
        </w:tblPrEx>
        <w:trPr>
          <w:trHeight w:val="300" w:hRule="atLeast"/>
          <w:jc w:val="center"/>
        </w:trPr>
        <w:tc>
          <w:tcPr>
            <w:tcW w:w="142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15</w:t>
            </w:r>
          </w:p>
        </w:tc>
        <w:tc>
          <w:tcPr>
            <w:tcW w:w="352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highlight w:val="none"/>
              </w:rPr>
            </w:pPr>
            <w:r>
              <w:rPr>
                <w:rFonts w:hint="eastAsia" w:ascii="宋体" w:hAnsi="宋体" w:eastAsia="宋体" w:cs="宋体"/>
                <w:color w:val="auto"/>
                <w:highlight w:val="none"/>
              </w:rPr>
              <w:t>卫生所药品管理</w:t>
            </w:r>
          </w:p>
        </w:tc>
        <w:tc>
          <w:tcPr>
            <w:tcW w:w="18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r>
      <w:tr>
        <w:tblPrEx>
          <w:tblCellMar>
            <w:top w:w="0" w:type="dxa"/>
            <w:left w:w="108" w:type="dxa"/>
            <w:bottom w:w="0" w:type="dxa"/>
            <w:right w:w="108" w:type="dxa"/>
          </w:tblCellMar>
        </w:tblPrEx>
        <w:trPr>
          <w:trHeight w:val="300" w:hRule="atLeast"/>
          <w:jc w:val="center"/>
        </w:trPr>
        <w:tc>
          <w:tcPr>
            <w:tcW w:w="142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16</w:t>
            </w:r>
          </w:p>
        </w:tc>
        <w:tc>
          <w:tcPr>
            <w:tcW w:w="352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highlight w:val="none"/>
              </w:rPr>
            </w:pPr>
            <w:r>
              <w:rPr>
                <w:rFonts w:hint="eastAsia" w:ascii="宋体" w:hAnsi="宋体" w:eastAsia="宋体" w:cs="宋体"/>
                <w:color w:val="auto"/>
                <w:highlight w:val="none"/>
              </w:rPr>
              <w:t>劳动工具收发</w:t>
            </w:r>
          </w:p>
        </w:tc>
        <w:tc>
          <w:tcPr>
            <w:tcW w:w="182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劳动管理(3)</w:t>
            </w:r>
          </w:p>
        </w:tc>
      </w:tr>
      <w:tr>
        <w:tblPrEx>
          <w:tblCellMar>
            <w:top w:w="0" w:type="dxa"/>
            <w:left w:w="108" w:type="dxa"/>
            <w:bottom w:w="0" w:type="dxa"/>
            <w:right w:w="108" w:type="dxa"/>
          </w:tblCellMar>
        </w:tblPrEx>
        <w:trPr>
          <w:trHeight w:val="300" w:hRule="atLeast"/>
          <w:jc w:val="center"/>
        </w:trPr>
        <w:tc>
          <w:tcPr>
            <w:tcW w:w="142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17</w:t>
            </w:r>
          </w:p>
        </w:tc>
        <w:tc>
          <w:tcPr>
            <w:tcW w:w="352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highlight w:val="none"/>
              </w:rPr>
            </w:pPr>
            <w:r>
              <w:rPr>
                <w:rFonts w:hint="eastAsia" w:ascii="宋体" w:hAnsi="宋体" w:eastAsia="宋体" w:cs="宋体"/>
                <w:color w:val="auto"/>
                <w:highlight w:val="none"/>
              </w:rPr>
              <w:t>劳动工时管理</w:t>
            </w:r>
          </w:p>
        </w:tc>
        <w:tc>
          <w:tcPr>
            <w:tcW w:w="18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r>
      <w:tr>
        <w:tblPrEx>
          <w:tblCellMar>
            <w:top w:w="0" w:type="dxa"/>
            <w:left w:w="108" w:type="dxa"/>
            <w:bottom w:w="0" w:type="dxa"/>
            <w:right w:w="108" w:type="dxa"/>
          </w:tblCellMar>
        </w:tblPrEx>
        <w:trPr>
          <w:trHeight w:val="300" w:hRule="atLeast"/>
          <w:jc w:val="center"/>
        </w:trPr>
        <w:tc>
          <w:tcPr>
            <w:tcW w:w="142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18</w:t>
            </w:r>
          </w:p>
        </w:tc>
        <w:tc>
          <w:tcPr>
            <w:tcW w:w="352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highlight w:val="none"/>
              </w:rPr>
            </w:pPr>
            <w:r>
              <w:rPr>
                <w:rFonts w:hint="eastAsia" w:ascii="宋体" w:hAnsi="宋体" w:eastAsia="宋体" w:cs="宋体"/>
                <w:color w:val="auto"/>
                <w:highlight w:val="none"/>
              </w:rPr>
              <w:t>“五关”、三十分钟回头看</w:t>
            </w:r>
          </w:p>
        </w:tc>
        <w:tc>
          <w:tcPr>
            <w:tcW w:w="18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r>
      <w:tr>
        <w:tblPrEx>
          <w:tblCellMar>
            <w:top w:w="0" w:type="dxa"/>
            <w:left w:w="108" w:type="dxa"/>
            <w:bottom w:w="0" w:type="dxa"/>
            <w:right w:w="108" w:type="dxa"/>
          </w:tblCellMar>
        </w:tblPrEx>
        <w:trPr>
          <w:trHeight w:val="300" w:hRule="atLeast"/>
          <w:jc w:val="center"/>
        </w:trPr>
        <w:tc>
          <w:tcPr>
            <w:tcW w:w="142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19</w:t>
            </w:r>
          </w:p>
        </w:tc>
        <w:tc>
          <w:tcPr>
            <w:tcW w:w="352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highlight w:val="none"/>
              </w:rPr>
            </w:pPr>
            <w:r>
              <w:rPr>
                <w:rFonts w:hint="eastAsia" w:ascii="宋体" w:hAnsi="宋体" w:eastAsia="宋体" w:cs="宋体"/>
                <w:color w:val="auto"/>
                <w:highlight w:val="none"/>
              </w:rPr>
              <w:t>防范罪犯混出人行门脱逃</w:t>
            </w:r>
          </w:p>
        </w:tc>
        <w:tc>
          <w:tcPr>
            <w:tcW w:w="182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指挥中心(11)</w:t>
            </w:r>
          </w:p>
        </w:tc>
      </w:tr>
      <w:tr>
        <w:tblPrEx>
          <w:tblCellMar>
            <w:top w:w="0" w:type="dxa"/>
            <w:left w:w="108" w:type="dxa"/>
            <w:bottom w:w="0" w:type="dxa"/>
            <w:right w:w="108" w:type="dxa"/>
          </w:tblCellMar>
        </w:tblPrEx>
        <w:trPr>
          <w:trHeight w:val="600" w:hRule="atLeast"/>
          <w:jc w:val="center"/>
        </w:trPr>
        <w:tc>
          <w:tcPr>
            <w:tcW w:w="142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20</w:t>
            </w:r>
          </w:p>
        </w:tc>
        <w:tc>
          <w:tcPr>
            <w:tcW w:w="352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highlight w:val="none"/>
              </w:rPr>
            </w:pPr>
            <w:r>
              <w:rPr>
                <w:rFonts w:hint="eastAsia" w:ascii="宋体" w:hAnsi="宋体" w:eastAsia="宋体" w:cs="宋体"/>
                <w:color w:val="auto"/>
                <w:highlight w:val="none"/>
              </w:rPr>
              <w:t>监狱内隔离网外围警戒区域异常行为事件智能分析报警</w:t>
            </w:r>
          </w:p>
        </w:tc>
        <w:tc>
          <w:tcPr>
            <w:tcW w:w="18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r>
      <w:tr>
        <w:tblPrEx>
          <w:tblCellMar>
            <w:top w:w="0" w:type="dxa"/>
            <w:left w:w="108" w:type="dxa"/>
            <w:bottom w:w="0" w:type="dxa"/>
            <w:right w:w="108" w:type="dxa"/>
          </w:tblCellMar>
        </w:tblPrEx>
        <w:trPr>
          <w:trHeight w:val="300" w:hRule="atLeast"/>
          <w:jc w:val="center"/>
        </w:trPr>
        <w:tc>
          <w:tcPr>
            <w:tcW w:w="142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21</w:t>
            </w:r>
          </w:p>
        </w:tc>
        <w:tc>
          <w:tcPr>
            <w:tcW w:w="352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highlight w:val="none"/>
              </w:rPr>
            </w:pPr>
            <w:r>
              <w:rPr>
                <w:rFonts w:hint="eastAsia" w:ascii="宋体" w:hAnsi="宋体" w:eastAsia="宋体" w:cs="宋体"/>
                <w:color w:val="auto"/>
                <w:highlight w:val="none"/>
              </w:rPr>
              <w:t>视频点名</w:t>
            </w:r>
          </w:p>
        </w:tc>
        <w:tc>
          <w:tcPr>
            <w:tcW w:w="18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r>
      <w:tr>
        <w:tblPrEx>
          <w:tblCellMar>
            <w:top w:w="0" w:type="dxa"/>
            <w:left w:w="108" w:type="dxa"/>
            <w:bottom w:w="0" w:type="dxa"/>
            <w:right w:w="108" w:type="dxa"/>
          </w:tblCellMar>
        </w:tblPrEx>
        <w:trPr>
          <w:trHeight w:val="300" w:hRule="atLeast"/>
          <w:jc w:val="center"/>
        </w:trPr>
        <w:tc>
          <w:tcPr>
            <w:tcW w:w="142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22</w:t>
            </w:r>
          </w:p>
        </w:tc>
        <w:tc>
          <w:tcPr>
            <w:tcW w:w="352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highlight w:val="none"/>
              </w:rPr>
            </w:pPr>
            <w:r>
              <w:rPr>
                <w:rFonts w:hint="eastAsia" w:ascii="宋体" w:hAnsi="宋体" w:eastAsia="宋体" w:cs="宋体"/>
                <w:color w:val="auto"/>
                <w:highlight w:val="none"/>
              </w:rPr>
              <w:t>车辆轨迹</w:t>
            </w:r>
          </w:p>
        </w:tc>
        <w:tc>
          <w:tcPr>
            <w:tcW w:w="18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r>
      <w:tr>
        <w:tblPrEx>
          <w:tblCellMar>
            <w:top w:w="0" w:type="dxa"/>
            <w:left w:w="108" w:type="dxa"/>
            <w:bottom w:w="0" w:type="dxa"/>
            <w:right w:w="108" w:type="dxa"/>
          </w:tblCellMar>
        </w:tblPrEx>
        <w:trPr>
          <w:trHeight w:val="300" w:hRule="atLeast"/>
          <w:jc w:val="center"/>
        </w:trPr>
        <w:tc>
          <w:tcPr>
            <w:tcW w:w="142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23</w:t>
            </w:r>
          </w:p>
        </w:tc>
        <w:tc>
          <w:tcPr>
            <w:tcW w:w="352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highlight w:val="none"/>
              </w:rPr>
            </w:pPr>
            <w:r>
              <w:rPr>
                <w:rFonts w:hint="eastAsia" w:ascii="宋体" w:hAnsi="宋体" w:eastAsia="宋体" w:cs="宋体"/>
                <w:color w:val="auto"/>
                <w:highlight w:val="none"/>
              </w:rPr>
              <w:t>人员轨迹</w:t>
            </w:r>
          </w:p>
        </w:tc>
        <w:tc>
          <w:tcPr>
            <w:tcW w:w="18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r>
      <w:tr>
        <w:tblPrEx>
          <w:tblCellMar>
            <w:top w:w="0" w:type="dxa"/>
            <w:left w:w="108" w:type="dxa"/>
            <w:bottom w:w="0" w:type="dxa"/>
            <w:right w:w="108" w:type="dxa"/>
          </w:tblCellMar>
        </w:tblPrEx>
        <w:trPr>
          <w:trHeight w:val="300" w:hRule="atLeast"/>
          <w:jc w:val="center"/>
        </w:trPr>
        <w:tc>
          <w:tcPr>
            <w:tcW w:w="142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24</w:t>
            </w:r>
          </w:p>
        </w:tc>
        <w:tc>
          <w:tcPr>
            <w:tcW w:w="352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highlight w:val="none"/>
              </w:rPr>
            </w:pPr>
            <w:r>
              <w:rPr>
                <w:rFonts w:hint="eastAsia" w:ascii="宋体" w:hAnsi="宋体" w:eastAsia="宋体" w:cs="宋体"/>
                <w:color w:val="auto"/>
                <w:highlight w:val="none"/>
              </w:rPr>
              <w:t>罪犯集中外出就诊现场管控</w:t>
            </w:r>
          </w:p>
        </w:tc>
        <w:tc>
          <w:tcPr>
            <w:tcW w:w="18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r>
      <w:tr>
        <w:tblPrEx>
          <w:tblCellMar>
            <w:top w:w="0" w:type="dxa"/>
            <w:left w:w="108" w:type="dxa"/>
            <w:bottom w:w="0" w:type="dxa"/>
            <w:right w:w="108" w:type="dxa"/>
          </w:tblCellMar>
        </w:tblPrEx>
        <w:trPr>
          <w:trHeight w:val="300" w:hRule="atLeast"/>
          <w:jc w:val="center"/>
        </w:trPr>
        <w:tc>
          <w:tcPr>
            <w:tcW w:w="142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25</w:t>
            </w:r>
          </w:p>
        </w:tc>
        <w:tc>
          <w:tcPr>
            <w:tcW w:w="352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highlight w:val="none"/>
              </w:rPr>
            </w:pPr>
            <w:r>
              <w:rPr>
                <w:rFonts w:hint="eastAsia" w:ascii="宋体" w:hAnsi="宋体" w:eastAsia="宋体" w:cs="宋体"/>
                <w:color w:val="auto"/>
                <w:highlight w:val="none"/>
              </w:rPr>
              <w:t>严管罪犯生命体征</w:t>
            </w:r>
          </w:p>
        </w:tc>
        <w:tc>
          <w:tcPr>
            <w:tcW w:w="18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r>
      <w:tr>
        <w:tblPrEx>
          <w:tblCellMar>
            <w:top w:w="0" w:type="dxa"/>
            <w:left w:w="108" w:type="dxa"/>
            <w:bottom w:w="0" w:type="dxa"/>
            <w:right w:w="108" w:type="dxa"/>
          </w:tblCellMar>
        </w:tblPrEx>
        <w:trPr>
          <w:trHeight w:val="300" w:hRule="atLeast"/>
          <w:jc w:val="center"/>
        </w:trPr>
        <w:tc>
          <w:tcPr>
            <w:tcW w:w="142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26</w:t>
            </w:r>
          </w:p>
        </w:tc>
        <w:tc>
          <w:tcPr>
            <w:tcW w:w="352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highlight w:val="none"/>
              </w:rPr>
            </w:pPr>
            <w:r>
              <w:rPr>
                <w:rFonts w:hint="eastAsia" w:ascii="宋体" w:hAnsi="宋体" w:eastAsia="宋体" w:cs="宋体"/>
                <w:color w:val="auto"/>
                <w:highlight w:val="none"/>
              </w:rPr>
              <w:t>监测监狱门禁智能管理</w:t>
            </w:r>
          </w:p>
        </w:tc>
        <w:tc>
          <w:tcPr>
            <w:tcW w:w="18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r>
      <w:tr>
        <w:tblPrEx>
          <w:tblCellMar>
            <w:top w:w="0" w:type="dxa"/>
            <w:left w:w="108" w:type="dxa"/>
            <w:bottom w:w="0" w:type="dxa"/>
            <w:right w:w="108" w:type="dxa"/>
          </w:tblCellMar>
        </w:tblPrEx>
        <w:trPr>
          <w:trHeight w:val="300" w:hRule="atLeast"/>
          <w:jc w:val="center"/>
        </w:trPr>
        <w:tc>
          <w:tcPr>
            <w:tcW w:w="142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27</w:t>
            </w:r>
          </w:p>
        </w:tc>
        <w:tc>
          <w:tcPr>
            <w:tcW w:w="352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highlight w:val="none"/>
              </w:rPr>
            </w:pPr>
            <w:r>
              <w:rPr>
                <w:rFonts w:hint="eastAsia" w:ascii="宋体" w:hAnsi="宋体" w:eastAsia="宋体" w:cs="宋体"/>
                <w:color w:val="auto"/>
                <w:highlight w:val="none"/>
              </w:rPr>
              <w:t>监区视频智慧调度</w:t>
            </w:r>
          </w:p>
        </w:tc>
        <w:tc>
          <w:tcPr>
            <w:tcW w:w="18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r>
      <w:tr>
        <w:tblPrEx>
          <w:tblCellMar>
            <w:top w:w="0" w:type="dxa"/>
            <w:left w:w="108" w:type="dxa"/>
            <w:bottom w:w="0" w:type="dxa"/>
            <w:right w:w="108" w:type="dxa"/>
          </w:tblCellMar>
        </w:tblPrEx>
        <w:trPr>
          <w:trHeight w:val="300" w:hRule="atLeast"/>
          <w:jc w:val="center"/>
        </w:trPr>
        <w:tc>
          <w:tcPr>
            <w:tcW w:w="142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28</w:t>
            </w:r>
          </w:p>
        </w:tc>
        <w:tc>
          <w:tcPr>
            <w:tcW w:w="352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highlight w:val="none"/>
              </w:rPr>
            </w:pPr>
            <w:r>
              <w:rPr>
                <w:rFonts w:hint="eastAsia" w:ascii="宋体" w:hAnsi="宋体" w:eastAsia="宋体" w:cs="宋体"/>
                <w:color w:val="auto"/>
                <w:highlight w:val="none"/>
              </w:rPr>
              <w:t>视颊监控智能巡检</w:t>
            </w:r>
          </w:p>
        </w:tc>
        <w:tc>
          <w:tcPr>
            <w:tcW w:w="18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r>
      <w:tr>
        <w:tblPrEx>
          <w:tblCellMar>
            <w:top w:w="0" w:type="dxa"/>
            <w:left w:w="108" w:type="dxa"/>
            <w:bottom w:w="0" w:type="dxa"/>
            <w:right w:w="108" w:type="dxa"/>
          </w:tblCellMar>
        </w:tblPrEx>
        <w:trPr>
          <w:trHeight w:val="300" w:hRule="atLeast"/>
          <w:jc w:val="center"/>
        </w:trPr>
        <w:tc>
          <w:tcPr>
            <w:tcW w:w="142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29</w:t>
            </w:r>
          </w:p>
        </w:tc>
        <w:tc>
          <w:tcPr>
            <w:tcW w:w="352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highlight w:val="none"/>
              </w:rPr>
            </w:pPr>
            <w:r>
              <w:rPr>
                <w:rFonts w:hint="eastAsia" w:ascii="宋体" w:hAnsi="宋体" w:eastAsia="宋体" w:cs="宋体"/>
                <w:color w:val="auto"/>
                <w:highlight w:val="none"/>
              </w:rPr>
              <w:t>手机管控</w:t>
            </w:r>
          </w:p>
        </w:tc>
        <w:tc>
          <w:tcPr>
            <w:tcW w:w="18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r>
      <w:tr>
        <w:tblPrEx>
          <w:tblCellMar>
            <w:top w:w="0" w:type="dxa"/>
            <w:left w:w="108" w:type="dxa"/>
            <w:bottom w:w="0" w:type="dxa"/>
            <w:right w:w="108" w:type="dxa"/>
          </w:tblCellMar>
        </w:tblPrEx>
        <w:trPr>
          <w:trHeight w:val="300" w:hRule="atLeast"/>
          <w:jc w:val="center"/>
        </w:trPr>
        <w:tc>
          <w:tcPr>
            <w:tcW w:w="142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30</w:t>
            </w:r>
          </w:p>
        </w:tc>
        <w:tc>
          <w:tcPr>
            <w:tcW w:w="352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highlight w:val="none"/>
              </w:rPr>
            </w:pPr>
            <w:r>
              <w:rPr>
                <w:rFonts w:hint="eastAsia" w:ascii="宋体" w:hAnsi="宋体" w:eastAsia="宋体" w:cs="宋体"/>
                <w:color w:val="auto"/>
                <w:highlight w:val="none"/>
              </w:rPr>
              <w:t>罪犯课堂行为监测</w:t>
            </w:r>
          </w:p>
        </w:tc>
        <w:tc>
          <w:tcPr>
            <w:tcW w:w="182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教育改造(3)</w:t>
            </w:r>
          </w:p>
        </w:tc>
      </w:tr>
      <w:tr>
        <w:tblPrEx>
          <w:tblCellMar>
            <w:top w:w="0" w:type="dxa"/>
            <w:left w:w="108" w:type="dxa"/>
            <w:bottom w:w="0" w:type="dxa"/>
            <w:right w:w="108" w:type="dxa"/>
          </w:tblCellMar>
        </w:tblPrEx>
        <w:trPr>
          <w:trHeight w:val="300" w:hRule="atLeast"/>
          <w:jc w:val="center"/>
        </w:trPr>
        <w:tc>
          <w:tcPr>
            <w:tcW w:w="142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31</w:t>
            </w:r>
          </w:p>
        </w:tc>
        <w:tc>
          <w:tcPr>
            <w:tcW w:w="352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highlight w:val="none"/>
              </w:rPr>
            </w:pPr>
            <w:r>
              <w:rPr>
                <w:rFonts w:hint="eastAsia" w:ascii="宋体" w:hAnsi="宋体" w:eastAsia="宋体" w:cs="宋体"/>
                <w:color w:val="auto"/>
                <w:highlight w:val="none"/>
              </w:rPr>
              <w:t>集体讲评教育</w:t>
            </w:r>
          </w:p>
        </w:tc>
        <w:tc>
          <w:tcPr>
            <w:tcW w:w="18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r>
      <w:tr>
        <w:tblPrEx>
          <w:tblCellMar>
            <w:top w:w="0" w:type="dxa"/>
            <w:left w:w="108" w:type="dxa"/>
            <w:bottom w:w="0" w:type="dxa"/>
            <w:right w:w="108" w:type="dxa"/>
          </w:tblCellMar>
        </w:tblPrEx>
        <w:trPr>
          <w:trHeight w:val="300" w:hRule="atLeast"/>
          <w:jc w:val="center"/>
        </w:trPr>
        <w:tc>
          <w:tcPr>
            <w:tcW w:w="142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32</w:t>
            </w:r>
          </w:p>
        </w:tc>
        <w:tc>
          <w:tcPr>
            <w:tcW w:w="352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highlight w:val="none"/>
              </w:rPr>
            </w:pPr>
            <w:r>
              <w:rPr>
                <w:rFonts w:hint="eastAsia" w:ascii="宋体" w:hAnsi="宋体" w:eastAsia="宋体" w:cs="宋体"/>
                <w:color w:val="auto"/>
                <w:highlight w:val="none"/>
              </w:rPr>
              <w:t>虚拟出监教育</w:t>
            </w:r>
          </w:p>
        </w:tc>
        <w:tc>
          <w:tcPr>
            <w:tcW w:w="18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r>
      <w:tr>
        <w:tblPrEx>
          <w:tblCellMar>
            <w:top w:w="0" w:type="dxa"/>
            <w:left w:w="108" w:type="dxa"/>
            <w:bottom w:w="0" w:type="dxa"/>
            <w:right w:w="108" w:type="dxa"/>
          </w:tblCellMar>
        </w:tblPrEx>
        <w:trPr>
          <w:trHeight w:val="300" w:hRule="atLeast"/>
          <w:jc w:val="center"/>
        </w:trPr>
        <w:tc>
          <w:tcPr>
            <w:tcW w:w="142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33</w:t>
            </w:r>
          </w:p>
        </w:tc>
        <w:tc>
          <w:tcPr>
            <w:tcW w:w="352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highlight w:val="none"/>
              </w:rPr>
            </w:pPr>
            <w:r>
              <w:rPr>
                <w:rFonts w:hint="eastAsia" w:ascii="宋体" w:hAnsi="宋体" w:eastAsia="宋体" w:cs="宋体"/>
                <w:color w:val="auto"/>
                <w:highlight w:val="none"/>
              </w:rPr>
              <w:t>自动化运维保障、预警</w:t>
            </w:r>
          </w:p>
        </w:tc>
        <w:tc>
          <w:tcPr>
            <w:tcW w:w="1820" w:type="dxa"/>
            <w:vMerge w:val="restart"/>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综合保障(2)</w:t>
            </w:r>
          </w:p>
        </w:tc>
      </w:tr>
      <w:tr>
        <w:tblPrEx>
          <w:tblCellMar>
            <w:top w:w="0" w:type="dxa"/>
            <w:left w:w="108" w:type="dxa"/>
            <w:bottom w:w="0" w:type="dxa"/>
            <w:right w:w="108" w:type="dxa"/>
          </w:tblCellMar>
        </w:tblPrEx>
        <w:trPr>
          <w:trHeight w:val="300" w:hRule="atLeast"/>
          <w:jc w:val="center"/>
        </w:trPr>
        <w:tc>
          <w:tcPr>
            <w:tcW w:w="1420" w:type="dxa"/>
            <w:tcBorders>
              <w:top w:val="nil"/>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auto"/>
                <w:sz w:val="22"/>
                <w:szCs w:val="22"/>
                <w:highlight w:val="none"/>
              </w:rPr>
            </w:pPr>
            <w:r>
              <w:rPr>
                <w:rFonts w:hint="eastAsia" w:ascii="宋体" w:hAnsi="宋体" w:eastAsia="宋体" w:cs="宋体"/>
                <w:color w:val="auto"/>
                <w:sz w:val="22"/>
                <w:szCs w:val="22"/>
                <w:highlight w:val="none"/>
              </w:rPr>
              <w:t>34</w:t>
            </w:r>
          </w:p>
        </w:tc>
        <w:tc>
          <w:tcPr>
            <w:tcW w:w="3520" w:type="dxa"/>
            <w:tcBorders>
              <w:top w:val="nil"/>
              <w:left w:val="nil"/>
              <w:bottom w:val="single" w:color="auto" w:sz="4" w:space="0"/>
              <w:right w:val="single" w:color="auto" w:sz="4" w:space="0"/>
            </w:tcBorders>
            <w:shd w:val="clear" w:color="auto" w:fill="auto"/>
            <w:vAlign w:val="center"/>
          </w:tcPr>
          <w:p>
            <w:pPr>
              <w:rPr>
                <w:rFonts w:ascii="宋体" w:hAnsi="宋体" w:eastAsia="宋体" w:cs="宋体"/>
                <w:color w:val="auto"/>
                <w:highlight w:val="none"/>
              </w:rPr>
            </w:pPr>
            <w:r>
              <w:rPr>
                <w:rFonts w:hint="eastAsia" w:ascii="宋体" w:hAnsi="宋体" w:eastAsia="宋体" w:cs="宋体"/>
                <w:color w:val="auto"/>
                <w:highlight w:val="none"/>
              </w:rPr>
              <w:t>信息安全志势感知</w:t>
            </w:r>
          </w:p>
        </w:tc>
        <w:tc>
          <w:tcPr>
            <w:tcW w:w="1820"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color w:val="auto"/>
                <w:sz w:val="22"/>
                <w:szCs w:val="22"/>
                <w:highlight w:val="none"/>
              </w:rPr>
            </w:pPr>
          </w:p>
        </w:tc>
      </w:tr>
    </w:tbl>
    <w:p>
      <w:pPr>
        <w:pStyle w:val="3"/>
        <w:ind w:firstLine="480"/>
        <w:rPr>
          <w:color w:val="auto"/>
          <w:highlight w:val="none"/>
        </w:rPr>
      </w:pPr>
    </w:p>
    <w:p>
      <w:pPr>
        <w:pStyle w:val="4"/>
        <w:rPr>
          <w:color w:val="auto"/>
          <w:highlight w:val="none"/>
        </w:rPr>
      </w:pPr>
      <w:bookmarkStart w:id="46" w:name="_Toc180570844"/>
      <w:r>
        <w:rPr>
          <w:rFonts w:hint="eastAsia"/>
          <w:color w:val="auto"/>
          <w:highlight w:val="none"/>
        </w:rPr>
        <w:t>局平台统一对接集成要求</w:t>
      </w:r>
      <w:bookmarkEnd w:id="46"/>
    </w:p>
    <w:p>
      <w:pPr>
        <w:pStyle w:val="3"/>
        <w:ind w:firstLine="480"/>
        <w:rPr>
          <w:color w:val="auto"/>
          <w:highlight w:val="none"/>
        </w:rPr>
      </w:pPr>
      <w:r>
        <w:rPr>
          <w:rFonts w:hint="eastAsia"/>
          <w:color w:val="auto"/>
          <w:highlight w:val="none"/>
        </w:rPr>
        <w:t>此次上海市监狱管理局信息化系统旨在从标准规范、系统架构、业务应用等多维度实现上海市监狱管理局数据流、信息流、指挥流的全域贯通。因此，除本项目所规划建设、升级的上海市监狱管理局信息化系统本身功能的开发、安装、部署实施外，系统应具备与上海市监狱管理局下属监所的物联感知、视频等监测数据的对接能力。特别的，宝山监狱正深入推进安防警戒设施升级改造项目，预计于2024年内完成升级改造。本平台需在验收前完成对宝山监狱安防警戒设施升级改造项目中的设备与系统进行接入。其中，宝山监狱改造内容包括，</w:t>
      </w:r>
      <w:r>
        <w:rPr>
          <w:rFonts w:hint="eastAsia"/>
          <w:b/>
          <w:bCs/>
          <w:color w:val="auto"/>
          <w:highlight w:val="none"/>
        </w:rPr>
        <w:t>视频监控系统、音视频采集系统、音视频分析系统、物联感知系统、网络与安全系统、设备间配套工程、综合布线系统、三维实景GIS测绘建模等。</w:t>
      </w:r>
    </w:p>
    <w:p>
      <w:pPr>
        <w:pStyle w:val="3"/>
        <w:ind w:firstLine="480"/>
        <w:rPr>
          <w:color w:val="auto"/>
          <w:highlight w:val="none"/>
        </w:rPr>
      </w:pPr>
      <w:r>
        <w:rPr>
          <w:rFonts w:hint="eastAsia"/>
          <w:color w:val="auto"/>
          <w:highlight w:val="none"/>
        </w:rPr>
        <w:t>同时投标人应在系统交付过程及维保服务过程中，应对进行、完成相关安防警戒设施升级改造等项目中的硬件设备、系统平台进行接入，实现局平台与基层监狱的数据流、信息流、指挥流等的全域贯。预计需接入的基层监狱包括但不限于：提篮桥监狱、青浦监狱、新收犯监狱、军天湖监狱等。</w:t>
      </w:r>
    </w:p>
    <w:p>
      <w:pPr>
        <w:pStyle w:val="2"/>
        <w:rPr>
          <w:color w:val="auto"/>
          <w:highlight w:val="none"/>
        </w:rPr>
      </w:pPr>
      <w:bookmarkStart w:id="47" w:name="_Toc180570845"/>
      <w:r>
        <w:rPr>
          <w:rFonts w:hint="eastAsia"/>
          <w:color w:val="auto"/>
          <w:highlight w:val="none"/>
        </w:rPr>
        <w:t>平台性能需求</w:t>
      </w:r>
      <w:bookmarkEnd w:id="47"/>
    </w:p>
    <w:p>
      <w:pPr>
        <w:pStyle w:val="4"/>
        <w:rPr>
          <w:color w:val="auto"/>
          <w:highlight w:val="none"/>
        </w:rPr>
      </w:pPr>
      <w:bookmarkStart w:id="48" w:name="_Toc180570846"/>
      <w:r>
        <w:rPr>
          <w:rFonts w:hint="eastAsia"/>
          <w:color w:val="auto"/>
          <w:highlight w:val="none"/>
        </w:rPr>
        <w:t>数据底座处理能性能需求</w:t>
      </w:r>
      <w:bookmarkEnd w:id="48"/>
    </w:p>
    <w:p>
      <w:pPr>
        <w:pStyle w:val="3"/>
        <w:ind w:firstLine="480"/>
        <w:rPr>
          <w:color w:val="auto"/>
          <w:highlight w:val="none"/>
          <w:lang w:val="zh-CN"/>
        </w:rPr>
      </w:pPr>
      <w:r>
        <w:rPr>
          <w:rFonts w:hint="eastAsia"/>
          <w:color w:val="auto"/>
          <w:highlight w:val="none"/>
          <w:lang w:val="zh-CN"/>
        </w:rPr>
        <w:t>关系型分析引擎应满足以下性能指标要求：</w:t>
      </w:r>
    </w:p>
    <w:p>
      <w:pPr>
        <w:pStyle w:val="3"/>
        <w:ind w:firstLine="480"/>
        <w:rPr>
          <w:color w:val="auto"/>
          <w:highlight w:val="none"/>
          <w:lang w:val="zh-CN"/>
        </w:rPr>
      </w:pPr>
      <w:r>
        <w:rPr>
          <w:rFonts w:hint="eastAsia"/>
          <w:color w:val="auto"/>
          <w:highlight w:val="none"/>
          <w:lang w:val="zh-CN"/>
        </w:rPr>
        <w:t>（1）具备完整的TPC-DS能力。</w:t>
      </w:r>
    </w:p>
    <w:p>
      <w:pPr>
        <w:pStyle w:val="3"/>
        <w:ind w:firstLine="480"/>
        <w:rPr>
          <w:color w:val="auto"/>
          <w:highlight w:val="none"/>
          <w:lang w:val="zh-CN"/>
        </w:rPr>
      </w:pPr>
      <w:r>
        <w:rPr>
          <w:rFonts w:hint="eastAsia"/>
          <w:color w:val="auto"/>
          <w:highlight w:val="none"/>
          <w:lang w:val="zh-CN"/>
        </w:rPr>
        <w:t>（2）平均每个CPU core不低于每秒1000万记录的扫描速度，不低于每秒100万记录的聚合速度。</w:t>
      </w:r>
    </w:p>
    <w:p>
      <w:pPr>
        <w:pStyle w:val="3"/>
        <w:ind w:firstLine="480"/>
        <w:rPr>
          <w:color w:val="auto"/>
          <w:highlight w:val="none"/>
          <w:lang w:val="zh-CN"/>
        </w:rPr>
      </w:pPr>
      <w:r>
        <w:rPr>
          <w:rFonts w:hint="eastAsia"/>
          <w:color w:val="auto"/>
          <w:highlight w:val="none"/>
          <w:lang w:val="zh-CN"/>
        </w:rPr>
        <w:t>（3）具备批处理能力，提供7*24稳定高效的计算引擎，满足大数据量处理和复杂逻辑运算需求。</w:t>
      </w:r>
    </w:p>
    <w:p>
      <w:pPr>
        <w:pStyle w:val="3"/>
        <w:ind w:firstLine="480"/>
        <w:rPr>
          <w:color w:val="auto"/>
          <w:highlight w:val="none"/>
          <w:lang w:val="zh-CN"/>
        </w:rPr>
      </w:pPr>
      <w:r>
        <w:rPr>
          <w:rFonts w:hint="eastAsia"/>
          <w:color w:val="auto"/>
          <w:highlight w:val="none"/>
          <w:lang w:val="zh-CN"/>
        </w:rPr>
        <w:t>NoSQL数据库应满足以下性能指标要求：</w:t>
      </w:r>
    </w:p>
    <w:p>
      <w:pPr>
        <w:pStyle w:val="3"/>
        <w:ind w:firstLine="480"/>
        <w:rPr>
          <w:color w:val="auto"/>
          <w:highlight w:val="none"/>
          <w:lang w:val="zh-CN"/>
        </w:rPr>
      </w:pPr>
      <w:r>
        <w:rPr>
          <w:rFonts w:hint="eastAsia"/>
          <w:color w:val="auto"/>
          <w:highlight w:val="none"/>
          <w:lang w:val="zh-CN"/>
        </w:rPr>
        <w:t>（1）按关键字检索单表记录延时小于200ms，支持实时数据1000个以上的并发查询。</w:t>
      </w:r>
    </w:p>
    <w:p>
      <w:pPr>
        <w:pStyle w:val="3"/>
        <w:ind w:firstLine="480"/>
        <w:rPr>
          <w:color w:val="auto"/>
          <w:highlight w:val="none"/>
        </w:rPr>
      </w:pPr>
      <w:r>
        <w:rPr>
          <w:rFonts w:hint="eastAsia"/>
          <w:color w:val="auto"/>
          <w:highlight w:val="none"/>
          <w:lang w:val="zh-CN"/>
        </w:rPr>
        <w:t>（2）按关键字检索多表关联记录延时小于1s，支持数据1000个以上的并发查询。</w:t>
      </w:r>
    </w:p>
    <w:p>
      <w:pPr>
        <w:pStyle w:val="4"/>
        <w:rPr>
          <w:color w:val="auto"/>
          <w:highlight w:val="none"/>
        </w:rPr>
      </w:pPr>
      <w:bookmarkStart w:id="49" w:name="_Toc180570847"/>
      <w:r>
        <w:rPr>
          <w:rFonts w:hint="eastAsia"/>
          <w:color w:val="auto"/>
          <w:highlight w:val="none"/>
        </w:rPr>
        <w:t>物联感知数据实时性要求</w:t>
      </w:r>
      <w:bookmarkEnd w:id="49"/>
    </w:p>
    <w:p>
      <w:pPr>
        <w:pStyle w:val="3"/>
        <w:ind w:firstLine="480"/>
        <w:rPr>
          <w:color w:val="auto"/>
          <w:highlight w:val="none"/>
        </w:rPr>
      </w:pPr>
      <w:r>
        <w:rPr>
          <w:rFonts w:hint="eastAsia"/>
          <w:color w:val="auto"/>
          <w:highlight w:val="none"/>
        </w:rPr>
        <w:t>为最大程度保障基层监狱各物联感知设备采集数据的时效性，安防指挥协同系统、五大工作赋能场景、指挥警务轻应用、指挥中心研判驾驶舱等模块中同物联感知数据关联的各项监测数据，以及基于相关监测数据所产生的分析指标，应支持以不低于每60秒1次的频率进行更新。</w:t>
      </w:r>
    </w:p>
    <w:p>
      <w:pPr>
        <w:pStyle w:val="3"/>
        <w:ind w:firstLine="480"/>
        <w:rPr>
          <w:color w:val="auto"/>
          <w:highlight w:val="none"/>
        </w:rPr>
      </w:pPr>
    </w:p>
    <w:p>
      <w:pPr>
        <w:pStyle w:val="4"/>
        <w:rPr>
          <w:color w:val="auto"/>
          <w:highlight w:val="none"/>
        </w:rPr>
      </w:pPr>
      <w:bookmarkStart w:id="50" w:name="_Toc180570848"/>
      <w:r>
        <w:rPr>
          <w:rFonts w:hint="eastAsia"/>
          <w:color w:val="auto"/>
          <w:highlight w:val="none"/>
        </w:rPr>
        <w:t>平台整体响应能力性能需求</w:t>
      </w:r>
      <w:bookmarkEnd w:id="50"/>
    </w:p>
    <w:p>
      <w:pPr>
        <w:pStyle w:val="3"/>
        <w:ind w:firstLine="480"/>
        <w:rPr>
          <w:color w:val="auto"/>
          <w:highlight w:val="none"/>
        </w:rPr>
      </w:pPr>
      <w:r>
        <w:rPr>
          <w:rFonts w:hint="eastAsia"/>
          <w:color w:val="auto"/>
          <w:highlight w:val="none"/>
        </w:rPr>
        <w:t>（1）系统对用户注册授权数量不限制，保障系统用户管理和权限控制可靠运行，系统应具备在</w:t>
      </w:r>
      <w:r>
        <w:rPr>
          <w:color w:val="auto"/>
          <w:highlight w:val="none"/>
        </w:rPr>
        <w:t>10000</w:t>
      </w:r>
      <w:r>
        <w:rPr>
          <w:rFonts w:hint="eastAsia"/>
          <w:color w:val="auto"/>
          <w:highlight w:val="none"/>
        </w:rPr>
        <w:t>注册用户，2000用户并发的情况下提供稳定的页面访问与数据访问能力。</w:t>
      </w:r>
    </w:p>
    <w:p>
      <w:pPr>
        <w:pStyle w:val="3"/>
        <w:ind w:firstLine="480"/>
        <w:rPr>
          <w:color w:val="auto"/>
          <w:highlight w:val="none"/>
        </w:rPr>
      </w:pPr>
      <w:r>
        <w:rPr>
          <w:rFonts w:hint="eastAsia"/>
          <w:color w:val="auto"/>
          <w:highlight w:val="none"/>
        </w:rPr>
        <w:t>（2）系统确保7*24小时全天候高效、稳定运转，系统可靠性A&gt;=99.9%（MTBF（平均无故障工作时间）/ MTBF+ MTTR（平均维修时间）），数据库应做好相应的备份和恢复策略。</w:t>
      </w:r>
    </w:p>
    <w:p>
      <w:pPr>
        <w:pStyle w:val="3"/>
        <w:ind w:firstLine="480"/>
        <w:rPr>
          <w:color w:val="auto"/>
          <w:highlight w:val="none"/>
        </w:rPr>
      </w:pPr>
      <w:r>
        <w:rPr>
          <w:rFonts w:hint="eastAsia"/>
          <w:color w:val="auto"/>
          <w:highlight w:val="none"/>
        </w:rPr>
        <w:t>（3）满足上海监狱管理局总体安全需求，特别对于外部网络（如互联网段）数据交互应严格遵照上海监狱管理局有关管理规范。</w:t>
      </w:r>
    </w:p>
    <w:p>
      <w:pPr>
        <w:pStyle w:val="3"/>
        <w:ind w:firstLine="480"/>
        <w:rPr>
          <w:color w:val="auto"/>
          <w:highlight w:val="none"/>
        </w:rPr>
      </w:pPr>
      <w:r>
        <w:rPr>
          <w:rFonts w:hint="eastAsia"/>
          <w:color w:val="auto"/>
          <w:highlight w:val="none"/>
        </w:rPr>
        <w:t>（4）局域网测试环境下，从点击链接到完整呈现在客户端所需时间稳定小于5秒。</w:t>
      </w:r>
    </w:p>
    <w:p>
      <w:pPr>
        <w:pStyle w:val="3"/>
        <w:ind w:firstLine="480"/>
        <w:rPr>
          <w:color w:val="auto"/>
          <w:highlight w:val="none"/>
        </w:rPr>
      </w:pPr>
      <w:r>
        <w:rPr>
          <w:rFonts w:hint="eastAsia"/>
          <w:color w:val="auto"/>
          <w:highlight w:val="none"/>
        </w:rPr>
        <w:t>（5）在系统崩溃时，确保在24小时内及时响应，并启动应急响应方案，在最短时间内恢复和启动。在一般系统错误情况下，能自重启恢复系统；在系统断电、断网等情况下，恢复系统供电和网络后，能在人工干预下进行数据的恢复。</w:t>
      </w:r>
    </w:p>
    <w:p>
      <w:pPr>
        <w:pStyle w:val="3"/>
        <w:ind w:firstLine="480"/>
        <w:rPr>
          <w:color w:val="auto"/>
          <w:highlight w:val="none"/>
        </w:rPr>
      </w:pPr>
      <w:r>
        <w:rPr>
          <w:rFonts w:hint="eastAsia"/>
          <w:color w:val="auto"/>
          <w:highlight w:val="none"/>
        </w:rPr>
        <w:t>（6）支持数据定期备份，自动将业务数据备份到设备中，根据上正常作息时间和业务办理时间，每天凌晨2：00备份前一天数据到备份设备。</w:t>
      </w:r>
    </w:p>
    <w:p>
      <w:pPr>
        <w:pStyle w:val="3"/>
        <w:ind w:firstLine="480"/>
        <w:rPr>
          <w:color w:val="auto"/>
          <w:highlight w:val="none"/>
        </w:rPr>
      </w:pPr>
      <w:r>
        <w:rPr>
          <w:rFonts w:hint="eastAsia"/>
          <w:color w:val="auto"/>
          <w:highlight w:val="none"/>
        </w:rPr>
        <w:t>（7）在网络畅通的情况下，系统运行综合响应时间不超过3秒；同时从外场设备采集数据、设备状态数据到管理支撑服务平台上，时间不超过3秒；从中心平台下发的指令及数据到外场设备，时间不超过5秒。详细情况如下：</w:t>
      </w:r>
    </w:p>
    <w:p>
      <w:pPr>
        <w:pStyle w:val="3"/>
        <w:numPr>
          <w:ilvl w:val="1"/>
          <w:numId w:val="13"/>
        </w:numPr>
        <w:ind w:firstLineChars="0"/>
        <w:rPr>
          <w:color w:val="auto"/>
          <w:highlight w:val="none"/>
        </w:rPr>
      </w:pPr>
      <w:r>
        <w:rPr>
          <w:rFonts w:hint="eastAsia"/>
          <w:color w:val="auto"/>
          <w:highlight w:val="none"/>
        </w:rPr>
        <w:t>非统计性查询响应时间≤2秒；</w:t>
      </w:r>
    </w:p>
    <w:p>
      <w:pPr>
        <w:pStyle w:val="3"/>
        <w:numPr>
          <w:ilvl w:val="1"/>
          <w:numId w:val="13"/>
        </w:numPr>
        <w:ind w:firstLineChars="0"/>
        <w:rPr>
          <w:color w:val="auto"/>
          <w:highlight w:val="none"/>
        </w:rPr>
      </w:pPr>
      <w:r>
        <w:rPr>
          <w:rFonts w:hint="eastAsia"/>
          <w:color w:val="auto"/>
          <w:highlight w:val="none"/>
        </w:rPr>
        <w:t>统计性查询响应时间十万条记录响应时间≤30秒；</w:t>
      </w:r>
    </w:p>
    <w:p>
      <w:pPr>
        <w:pStyle w:val="3"/>
        <w:numPr>
          <w:ilvl w:val="1"/>
          <w:numId w:val="13"/>
        </w:numPr>
        <w:ind w:firstLineChars="0"/>
        <w:rPr>
          <w:color w:val="auto"/>
          <w:highlight w:val="none"/>
        </w:rPr>
      </w:pPr>
      <w:r>
        <w:rPr>
          <w:rFonts w:hint="eastAsia"/>
          <w:color w:val="auto"/>
          <w:highlight w:val="none"/>
        </w:rPr>
        <w:t>系统数据平均保存响应时间≤2秒；高峰时≤6秒；</w:t>
      </w:r>
    </w:p>
    <w:p>
      <w:pPr>
        <w:pStyle w:val="3"/>
        <w:numPr>
          <w:ilvl w:val="1"/>
          <w:numId w:val="13"/>
        </w:numPr>
        <w:ind w:firstLineChars="0"/>
        <w:rPr>
          <w:color w:val="auto"/>
          <w:highlight w:val="none"/>
        </w:rPr>
      </w:pPr>
      <w:r>
        <w:rPr>
          <w:rFonts w:hint="eastAsia"/>
          <w:color w:val="auto"/>
          <w:highlight w:val="none"/>
        </w:rPr>
        <w:t>系统在线数据存储时间应≥2年。</w:t>
      </w:r>
    </w:p>
    <w:p>
      <w:pPr>
        <w:pStyle w:val="3"/>
        <w:numPr>
          <w:ilvl w:val="1"/>
          <w:numId w:val="13"/>
        </w:numPr>
        <w:ind w:firstLineChars="0"/>
        <w:rPr>
          <w:color w:val="auto"/>
          <w:highlight w:val="none"/>
        </w:rPr>
      </w:pPr>
      <w:r>
        <w:rPr>
          <w:rFonts w:hint="eastAsia"/>
          <w:color w:val="auto"/>
          <w:highlight w:val="none"/>
        </w:rPr>
        <w:t>系统页面平均显示响应时间≤2秒；高峰时≤6秒；</w:t>
      </w:r>
    </w:p>
    <w:p>
      <w:pPr>
        <w:pStyle w:val="3"/>
        <w:numPr>
          <w:ilvl w:val="1"/>
          <w:numId w:val="13"/>
        </w:numPr>
        <w:ind w:firstLineChars="0"/>
        <w:rPr>
          <w:color w:val="auto"/>
          <w:highlight w:val="none"/>
        </w:rPr>
      </w:pPr>
      <w:r>
        <w:rPr>
          <w:rFonts w:hint="eastAsia"/>
          <w:color w:val="auto"/>
          <w:highlight w:val="none"/>
        </w:rPr>
        <w:t>系统流程审批平均响应时间≤2秒；高峰时≤6秒；</w:t>
      </w:r>
    </w:p>
    <w:p>
      <w:pPr>
        <w:pStyle w:val="3"/>
        <w:numPr>
          <w:ilvl w:val="1"/>
          <w:numId w:val="13"/>
        </w:numPr>
        <w:ind w:firstLineChars="0"/>
        <w:rPr>
          <w:color w:val="auto"/>
          <w:highlight w:val="none"/>
        </w:rPr>
      </w:pPr>
      <w:r>
        <w:rPr>
          <w:rFonts w:hint="eastAsia"/>
          <w:color w:val="auto"/>
          <w:highlight w:val="none"/>
        </w:rPr>
        <w:t>系统登陆平均响应时间≤2秒;高峰时≤5秒；</w:t>
      </w:r>
    </w:p>
    <w:p>
      <w:pPr>
        <w:pStyle w:val="3"/>
        <w:numPr>
          <w:ilvl w:val="1"/>
          <w:numId w:val="13"/>
        </w:numPr>
        <w:ind w:firstLineChars="0"/>
        <w:rPr>
          <w:color w:val="auto"/>
          <w:highlight w:val="none"/>
        </w:rPr>
      </w:pPr>
      <w:r>
        <w:rPr>
          <w:rFonts w:hint="eastAsia"/>
          <w:color w:val="auto"/>
          <w:highlight w:val="none"/>
        </w:rPr>
        <w:t>系统中的点击、选中操作响应时间≤0.5秒，不能出现卡、等待的现象。</w:t>
      </w:r>
    </w:p>
    <w:p>
      <w:pPr>
        <w:pStyle w:val="2"/>
        <w:rPr>
          <w:color w:val="auto"/>
          <w:highlight w:val="none"/>
        </w:rPr>
      </w:pPr>
      <w:bookmarkStart w:id="51" w:name="_Toc180570849"/>
      <w:r>
        <w:rPr>
          <w:rFonts w:hint="eastAsia"/>
          <w:color w:val="auto"/>
          <w:highlight w:val="none"/>
          <w:lang w:val="en-US"/>
        </w:rPr>
        <w:t>其他</w:t>
      </w:r>
      <w:r>
        <w:rPr>
          <w:rFonts w:hint="eastAsia"/>
          <w:color w:val="auto"/>
          <w:highlight w:val="none"/>
        </w:rPr>
        <w:t>需求</w:t>
      </w:r>
      <w:bookmarkEnd w:id="51"/>
    </w:p>
    <w:p>
      <w:pPr>
        <w:pStyle w:val="4"/>
        <w:rPr>
          <w:color w:val="auto"/>
          <w:highlight w:val="none"/>
          <w:lang w:val="zh-CN"/>
        </w:rPr>
      </w:pPr>
      <w:bookmarkStart w:id="52" w:name="_Toc180570850"/>
      <w:r>
        <w:rPr>
          <w:rFonts w:hint="eastAsia"/>
          <w:color w:val="auto"/>
          <w:highlight w:val="none"/>
          <w:lang w:val="zh-CN"/>
        </w:rPr>
        <w:t>软件测试配合要求</w:t>
      </w:r>
      <w:bookmarkEnd w:id="52"/>
    </w:p>
    <w:p>
      <w:pPr>
        <w:pStyle w:val="3"/>
        <w:ind w:firstLine="480"/>
        <w:rPr>
          <w:color w:val="auto"/>
          <w:highlight w:val="none"/>
          <w:lang w:val="zh-CN"/>
        </w:rPr>
      </w:pPr>
      <w:r>
        <w:rPr>
          <w:rFonts w:hint="eastAsia"/>
          <w:color w:val="auto"/>
          <w:highlight w:val="none"/>
          <w:lang w:val="zh-CN"/>
        </w:rPr>
        <w:t>投标人应在验收前配合上海市监狱管理局及有关单位，推动项目建设成果通过国家认可的第三方机构的软件测试，获取软件测试报告。</w:t>
      </w:r>
    </w:p>
    <w:p>
      <w:pPr>
        <w:pStyle w:val="4"/>
        <w:rPr>
          <w:color w:val="auto"/>
          <w:highlight w:val="none"/>
          <w:lang w:val="zh-CN"/>
        </w:rPr>
      </w:pPr>
      <w:bookmarkStart w:id="53" w:name="_Toc180570851"/>
      <w:r>
        <w:rPr>
          <w:rFonts w:hint="eastAsia"/>
          <w:color w:val="auto"/>
          <w:highlight w:val="none"/>
          <w:lang w:val="zh-CN"/>
        </w:rPr>
        <w:t>等保测试配合要求</w:t>
      </w:r>
      <w:bookmarkEnd w:id="53"/>
    </w:p>
    <w:p>
      <w:pPr>
        <w:pStyle w:val="3"/>
        <w:ind w:firstLine="480"/>
        <w:rPr>
          <w:color w:val="auto"/>
          <w:highlight w:val="none"/>
          <w:lang w:val="zh-CN"/>
        </w:rPr>
      </w:pPr>
      <w:r>
        <w:rPr>
          <w:rFonts w:hint="eastAsia"/>
          <w:color w:val="auto"/>
          <w:highlight w:val="none"/>
          <w:lang w:val="zh-CN"/>
        </w:rPr>
        <w:t>按照信息安全检测依据DB31/T272-2008《计算机信息系统安全测评通用技术规范》，参考GB/T 18336.2-2015《信息技术 安全技术信息技术安全评估准则 第2部分：安全功能组件》、GB/T 22239-2019《信息安全技术信息系统安全等级保护基本要求》中的相关要求进行测评。投标人应配合上海市监狱管理局及有关单位，推动所建设系统在验收前完成等保三级测评。</w:t>
      </w:r>
    </w:p>
    <w:p>
      <w:pPr>
        <w:pStyle w:val="4"/>
        <w:rPr>
          <w:color w:val="auto"/>
          <w:highlight w:val="none"/>
          <w:lang w:val="zh-CN"/>
        </w:rPr>
      </w:pPr>
      <w:bookmarkStart w:id="54" w:name="_Toc180570852"/>
      <w:r>
        <w:rPr>
          <w:rFonts w:hint="eastAsia"/>
          <w:color w:val="auto"/>
          <w:highlight w:val="none"/>
          <w:lang w:val="zh-CN"/>
        </w:rPr>
        <w:t>商用密码应用安全性评估配合要求</w:t>
      </w:r>
      <w:bookmarkEnd w:id="54"/>
    </w:p>
    <w:p>
      <w:pPr>
        <w:pStyle w:val="3"/>
        <w:ind w:firstLine="480"/>
        <w:rPr>
          <w:color w:val="auto"/>
          <w:highlight w:val="none"/>
          <w:lang w:val="zh-CN"/>
        </w:rPr>
      </w:pPr>
      <w:r>
        <w:rPr>
          <w:rFonts w:hint="eastAsia"/>
          <w:color w:val="auto"/>
          <w:highlight w:val="none"/>
          <w:lang w:val="zh-CN"/>
        </w:rPr>
        <w:t>《中华人民共和国密码法》第二十七条规定，法律、行政法规和国家有关规定要求使用商用密码进行保护的关键信息基础设施，其运营者应当使用商用密码进行保护，自行或者委托商用密码检测机构开展商用密码应用安全性评估。投标人应配合上海市监狱管理局及有关单位，在系统验收前完成密评，获取评估报告。</w:t>
      </w:r>
    </w:p>
    <w:p>
      <w:pPr>
        <w:pStyle w:val="4"/>
        <w:rPr>
          <w:color w:val="auto"/>
          <w:highlight w:val="none"/>
          <w:lang w:val="zh-CN"/>
        </w:rPr>
      </w:pPr>
      <w:bookmarkStart w:id="55" w:name="_Toc180570853"/>
      <w:r>
        <w:rPr>
          <w:rFonts w:hint="eastAsia"/>
          <w:color w:val="auto"/>
          <w:highlight w:val="none"/>
          <w:lang w:val="zh-CN"/>
        </w:rPr>
        <w:t>信创技术应用要求</w:t>
      </w:r>
      <w:bookmarkEnd w:id="55"/>
    </w:p>
    <w:p>
      <w:pPr>
        <w:pStyle w:val="3"/>
        <w:ind w:firstLine="480"/>
        <w:rPr>
          <w:color w:val="auto"/>
          <w:highlight w:val="none"/>
          <w:lang w:val="zh-CN"/>
        </w:rPr>
      </w:pPr>
      <w:r>
        <w:rPr>
          <w:rFonts w:hint="eastAsia"/>
          <w:color w:val="auto"/>
          <w:highlight w:val="none"/>
          <w:lang w:val="zh-CN"/>
        </w:rPr>
        <w:t>本项目建设所需的基础运行环境应符合信创要求。</w:t>
      </w:r>
    </w:p>
    <w:p>
      <w:pPr>
        <w:pStyle w:val="3"/>
        <w:ind w:firstLine="480"/>
        <w:rPr>
          <w:color w:val="auto"/>
          <w:highlight w:val="none"/>
        </w:rPr>
      </w:pPr>
      <w:r>
        <w:rPr>
          <w:rFonts w:hint="eastAsia"/>
          <w:color w:val="auto"/>
          <w:highlight w:val="none"/>
        </w:rPr>
        <w:t>本项目主要涉及的软件系统包括操作系统、数据库、中间件，以及应用系统。本系统建设应满足统一信创要求，相关数据库、应用系统建设满足上海市监狱管理局对安全的统一需求。总体需求如下：</w:t>
      </w:r>
    </w:p>
    <w:p>
      <w:pPr>
        <w:pStyle w:val="3"/>
        <w:ind w:firstLine="480"/>
        <w:rPr>
          <w:color w:val="auto"/>
          <w:highlight w:val="none"/>
        </w:rPr>
      </w:pPr>
      <w:r>
        <w:rPr>
          <w:rFonts w:hint="eastAsia"/>
          <w:color w:val="auto"/>
          <w:highlight w:val="none"/>
        </w:rPr>
        <w:t>(1)</w:t>
      </w:r>
      <w:r>
        <w:rPr>
          <w:rFonts w:hint="eastAsia"/>
          <w:color w:val="auto"/>
          <w:highlight w:val="none"/>
        </w:rPr>
        <w:tab/>
      </w:r>
      <w:r>
        <w:rPr>
          <w:rFonts w:hint="eastAsia"/>
          <w:color w:val="auto"/>
          <w:highlight w:val="none"/>
        </w:rPr>
        <w:t>操作系统需求</w:t>
      </w:r>
    </w:p>
    <w:p>
      <w:pPr>
        <w:pStyle w:val="3"/>
        <w:ind w:firstLine="480"/>
        <w:rPr>
          <w:color w:val="auto"/>
          <w:highlight w:val="none"/>
        </w:rPr>
      </w:pPr>
      <w:r>
        <w:rPr>
          <w:rFonts w:hint="eastAsia"/>
          <w:color w:val="auto"/>
          <w:highlight w:val="none"/>
        </w:rPr>
        <w:t>项目建设采用操作系统将以保证平台稳定、安全运行为基本需求，建议采用信创操作系统。</w:t>
      </w:r>
    </w:p>
    <w:p>
      <w:pPr>
        <w:pStyle w:val="3"/>
        <w:ind w:firstLine="480"/>
        <w:rPr>
          <w:color w:val="auto"/>
          <w:highlight w:val="none"/>
        </w:rPr>
      </w:pPr>
      <w:r>
        <w:rPr>
          <w:rFonts w:hint="eastAsia"/>
          <w:color w:val="auto"/>
          <w:highlight w:val="none"/>
        </w:rPr>
        <w:t>(2)</w:t>
      </w:r>
      <w:r>
        <w:rPr>
          <w:rFonts w:hint="eastAsia"/>
          <w:color w:val="auto"/>
          <w:highlight w:val="none"/>
        </w:rPr>
        <w:tab/>
      </w:r>
      <w:r>
        <w:rPr>
          <w:rFonts w:hint="eastAsia"/>
          <w:color w:val="auto"/>
          <w:highlight w:val="none"/>
        </w:rPr>
        <w:t>结构化数据库软件需求</w:t>
      </w:r>
    </w:p>
    <w:p>
      <w:pPr>
        <w:pStyle w:val="3"/>
        <w:ind w:firstLine="480"/>
        <w:rPr>
          <w:color w:val="auto"/>
          <w:highlight w:val="none"/>
        </w:rPr>
      </w:pPr>
      <w:r>
        <w:rPr>
          <w:rFonts w:hint="eastAsia"/>
          <w:color w:val="auto"/>
          <w:highlight w:val="none"/>
        </w:rPr>
        <w:t>本系统结构化数据库软件要满足以下要求：</w:t>
      </w:r>
    </w:p>
    <w:p>
      <w:pPr>
        <w:pStyle w:val="3"/>
        <w:ind w:firstLine="480"/>
        <w:rPr>
          <w:color w:val="auto"/>
          <w:highlight w:val="none"/>
        </w:rPr>
      </w:pPr>
      <w:r>
        <w:rPr>
          <w:rFonts w:hint="eastAsia"/>
          <w:color w:val="auto"/>
          <w:highlight w:val="none"/>
        </w:rPr>
        <w:t>保证数据库连续、高效，在硬件、软件两个方面做到容错和冗余，实现数据库系统的高可用性；</w:t>
      </w:r>
    </w:p>
    <w:p>
      <w:pPr>
        <w:pStyle w:val="3"/>
        <w:ind w:firstLine="480"/>
        <w:rPr>
          <w:color w:val="auto"/>
          <w:highlight w:val="none"/>
        </w:rPr>
      </w:pPr>
      <w:r>
        <w:rPr>
          <w:rFonts w:hint="eastAsia"/>
          <w:color w:val="auto"/>
          <w:highlight w:val="none"/>
        </w:rPr>
        <w:t>可以承受长时间、大用户量的并发访问；</w:t>
      </w:r>
    </w:p>
    <w:p>
      <w:pPr>
        <w:pStyle w:val="3"/>
        <w:ind w:firstLine="480"/>
        <w:rPr>
          <w:color w:val="auto"/>
          <w:highlight w:val="none"/>
        </w:rPr>
      </w:pPr>
      <w:r>
        <w:rPr>
          <w:rFonts w:hint="eastAsia"/>
          <w:color w:val="auto"/>
          <w:highlight w:val="none"/>
        </w:rPr>
        <w:t>数据库系统能够需支持服务器数量、CPU、内存等的平滑扩容和升级，具有高伸缩性；</w:t>
      </w:r>
    </w:p>
    <w:p>
      <w:pPr>
        <w:pStyle w:val="3"/>
        <w:ind w:firstLine="480"/>
        <w:rPr>
          <w:color w:val="auto"/>
          <w:highlight w:val="none"/>
        </w:rPr>
      </w:pPr>
      <w:r>
        <w:rPr>
          <w:rFonts w:hint="eastAsia"/>
          <w:color w:val="auto"/>
          <w:highlight w:val="none"/>
        </w:rPr>
        <w:t>数据库需支持开放系统、国际技术标准、有良好的性价比；</w:t>
      </w:r>
    </w:p>
    <w:p>
      <w:pPr>
        <w:pStyle w:val="3"/>
        <w:ind w:firstLine="480"/>
        <w:rPr>
          <w:color w:val="auto"/>
          <w:highlight w:val="none"/>
        </w:rPr>
      </w:pPr>
      <w:r>
        <w:rPr>
          <w:rFonts w:hint="eastAsia"/>
          <w:color w:val="auto"/>
          <w:highlight w:val="none"/>
        </w:rPr>
        <w:t>数据库应采用开源数据库或信创数据库。</w:t>
      </w:r>
    </w:p>
    <w:p>
      <w:pPr>
        <w:pStyle w:val="3"/>
        <w:ind w:firstLine="480"/>
        <w:rPr>
          <w:color w:val="auto"/>
          <w:highlight w:val="none"/>
        </w:rPr>
      </w:pPr>
      <w:r>
        <w:rPr>
          <w:rFonts w:hint="eastAsia"/>
          <w:color w:val="auto"/>
          <w:highlight w:val="none"/>
        </w:rPr>
        <w:t>(3)</w:t>
      </w:r>
      <w:r>
        <w:rPr>
          <w:rFonts w:hint="eastAsia"/>
          <w:color w:val="auto"/>
          <w:highlight w:val="none"/>
        </w:rPr>
        <w:tab/>
      </w:r>
      <w:r>
        <w:rPr>
          <w:rFonts w:hint="eastAsia"/>
          <w:color w:val="auto"/>
          <w:highlight w:val="none"/>
        </w:rPr>
        <w:t>应用中间件需求</w:t>
      </w:r>
    </w:p>
    <w:p>
      <w:pPr>
        <w:pStyle w:val="3"/>
        <w:ind w:firstLine="480"/>
        <w:rPr>
          <w:color w:val="auto"/>
          <w:highlight w:val="none"/>
        </w:rPr>
      </w:pPr>
      <w:r>
        <w:rPr>
          <w:rFonts w:hint="eastAsia"/>
          <w:color w:val="auto"/>
          <w:highlight w:val="none"/>
        </w:rPr>
        <w:t>本系统的应用中间件需满足以下需求：</w:t>
      </w:r>
    </w:p>
    <w:p>
      <w:pPr>
        <w:pStyle w:val="3"/>
        <w:ind w:firstLine="480"/>
        <w:rPr>
          <w:color w:val="auto"/>
          <w:highlight w:val="none"/>
        </w:rPr>
      </w:pPr>
      <w:r>
        <w:rPr>
          <w:rFonts w:hint="eastAsia"/>
          <w:color w:val="auto"/>
          <w:highlight w:val="none"/>
        </w:rPr>
        <w:t>具有良好的跨平台性，需支持市场上的各种主流操作平台；</w:t>
      </w:r>
    </w:p>
    <w:p>
      <w:pPr>
        <w:pStyle w:val="3"/>
        <w:ind w:firstLine="480"/>
        <w:rPr>
          <w:color w:val="auto"/>
          <w:highlight w:val="none"/>
        </w:rPr>
      </w:pPr>
      <w:r>
        <w:rPr>
          <w:rFonts w:hint="eastAsia"/>
          <w:color w:val="auto"/>
          <w:highlight w:val="none"/>
        </w:rPr>
        <w:t>提供对数据库种类的广泛需支持；</w:t>
      </w:r>
    </w:p>
    <w:p>
      <w:pPr>
        <w:pStyle w:val="3"/>
        <w:ind w:firstLine="480"/>
        <w:rPr>
          <w:color w:val="auto"/>
          <w:highlight w:val="none"/>
        </w:rPr>
      </w:pPr>
      <w:r>
        <w:rPr>
          <w:rFonts w:hint="eastAsia"/>
          <w:color w:val="auto"/>
          <w:highlight w:val="none"/>
        </w:rPr>
        <w:t>提供高效、稳定的存取方式，保证应用程序可以快速地和数据库进行交互，需支持多个用户并发的环境下最大限度地重复利用系统资源；</w:t>
      </w:r>
    </w:p>
    <w:p>
      <w:pPr>
        <w:pStyle w:val="3"/>
        <w:ind w:firstLine="480"/>
        <w:rPr>
          <w:color w:val="auto"/>
          <w:highlight w:val="none"/>
        </w:rPr>
      </w:pPr>
      <w:r>
        <w:rPr>
          <w:rFonts w:hint="eastAsia"/>
          <w:color w:val="auto"/>
          <w:highlight w:val="none"/>
        </w:rPr>
        <w:t>需支持主流的WEB服务器。</w:t>
      </w:r>
    </w:p>
    <w:p>
      <w:pPr>
        <w:pStyle w:val="3"/>
        <w:ind w:firstLine="480"/>
        <w:rPr>
          <w:color w:val="auto"/>
          <w:highlight w:val="none"/>
        </w:rPr>
      </w:pPr>
      <w:r>
        <w:rPr>
          <w:rFonts w:hint="eastAsia"/>
          <w:color w:val="auto"/>
          <w:highlight w:val="none"/>
        </w:rPr>
        <w:t>(4)</w:t>
      </w:r>
      <w:r>
        <w:rPr>
          <w:rFonts w:hint="eastAsia"/>
          <w:color w:val="auto"/>
          <w:highlight w:val="none"/>
        </w:rPr>
        <w:tab/>
      </w:r>
      <w:r>
        <w:rPr>
          <w:rFonts w:hint="eastAsia"/>
          <w:color w:val="auto"/>
          <w:highlight w:val="none"/>
        </w:rPr>
        <w:t>信息创新软件需求</w:t>
      </w:r>
    </w:p>
    <w:p>
      <w:pPr>
        <w:pStyle w:val="3"/>
        <w:ind w:firstLine="480"/>
        <w:rPr>
          <w:color w:val="auto"/>
          <w:highlight w:val="none"/>
        </w:rPr>
      </w:pPr>
      <w:r>
        <w:rPr>
          <w:rFonts w:hint="eastAsia"/>
          <w:color w:val="auto"/>
          <w:highlight w:val="none"/>
        </w:rPr>
        <w:t>需要搭建基于国产服务器、操作系统、数据库、中间件到应用系统的安全产品链条。产品中进行的所有操作运算，均能够达到国家和相应行业的安全标准和可信需求，保障信息安全。</w:t>
      </w:r>
    </w:p>
    <w:p>
      <w:pPr>
        <w:pStyle w:val="4"/>
        <w:rPr>
          <w:color w:val="auto"/>
          <w:highlight w:val="none"/>
        </w:rPr>
      </w:pPr>
      <w:bookmarkStart w:id="56" w:name="_Toc180570854"/>
      <w:r>
        <w:rPr>
          <w:rFonts w:hint="eastAsia"/>
          <w:color w:val="auto"/>
          <w:highlight w:val="none"/>
        </w:rPr>
        <w:t>安全管理要求</w:t>
      </w:r>
      <w:bookmarkEnd w:id="56"/>
    </w:p>
    <w:p>
      <w:pPr>
        <w:pStyle w:val="3"/>
        <w:ind w:firstLine="480"/>
        <w:rPr>
          <w:color w:val="auto"/>
          <w:highlight w:val="none"/>
        </w:rPr>
      </w:pPr>
      <w:r>
        <w:rPr>
          <w:rFonts w:hint="eastAsia"/>
          <w:color w:val="auto"/>
          <w:highlight w:val="none"/>
        </w:rPr>
        <w:t>投标人应在招标文件中提供整体安全防护方案，从物理安全、网络安全、应用安全、数据安全等角度分析项目所面临的风险，并提供风险控制、规避方案与策略。</w:t>
      </w:r>
    </w:p>
    <w:p>
      <w:pPr>
        <w:pStyle w:val="3"/>
        <w:ind w:firstLine="480"/>
        <w:rPr>
          <w:color w:val="auto"/>
          <w:highlight w:val="none"/>
        </w:rPr>
      </w:pPr>
      <w:r>
        <w:rPr>
          <w:rFonts w:hint="eastAsia"/>
          <w:color w:val="auto"/>
          <w:highlight w:val="none"/>
        </w:rPr>
        <w:t>投标人应在招标文件中提供安全管理体系、安全组织体系、安全制度体系、应急预案与演练方案。在实际项目建设过程中投标人应依据相关安全管理方案，并结合上海市监狱管理局统一安全保障要求进行项目安全管理工作，保障项目建设过程中的安全要求。</w:t>
      </w:r>
    </w:p>
    <w:p>
      <w:pPr>
        <w:pStyle w:val="4"/>
        <w:rPr>
          <w:color w:val="auto"/>
          <w:highlight w:val="none"/>
        </w:rPr>
      </w:pPr>
      <w:bookmarkStart w:id="57" w:name="_Toc180570855"/>
      <w:r>
        <w:rPr>
          <w:rFonts w:hint="eastAsia"/>
          <w:color w:val="auto"/>
          <w:highlight w:val="none"/>
        </w:rPr>
        <w:t>项目资源申请要求</w:t>
      </w:r>
      <w:bookmarkEnd w:id="57"/>
    </w:p>
    <w:p>
      <w:pPr>
        <w:pStyle w:val="3"/>
        <w:ind w:firstLine="480"/>
        <w:rPr>
          <w:color w:val="auto"/>
          <w:highlight w:val="none"/>
        </w:rPr>
      </w:pPr>
      <w:r>
        <w:rPr>
          <w:rFonts w:hint="eastAsia"/>
          <w:color w:val="auto"/>
          <w:highlight w:val="none"/>
        </w:rPr>
        <w:t>本项目建设所需的基础运行环境，包括服务器硬件资源，存储，操作系统,数据库，中间件资源等均由上海市电子政务云提供。</w:t>
      </w:r>
    </w:p>
    <w:p>
      <w:pPr>
        <w:pStyle w:val="3"/>
        <w:ind w:firstLine="480"/>
        <w:rPr>
          <w:color w:val="auto"/>
          <w:highlight w:val="none"/>
        </w:rPr>
      </w:pPr>
      <w:r>
        <w:rPr>
          <w:rFonts w:hint="eastAsia"/>
          <w:color w:val="auto"/>
          <w:highlight w:val="none"/>
        </w:rPr>
        <w:t>投标人应结合现有数据资源情况，并充分考上海市监狱管理局在工作中所面临的数据存储、计算、分析需求，给出合理的政务云资源申请资源清单。</w:t>
      </w:r>
    </w:p>
    <w:p>
      <w:pPr>
        <w:pStyle w:val="4"/>
        <w:rPr>
          <w:color w:val="auto"/>
          <w:highlight w:val="none"/>
        </w:rPr>
      </w:pPr>
      <w:bookmarkStart w:id="58" w:name="_Toc180570856"/>
      <w:r>
        <w:rPr>
          <w:rFonts w:hint="eastAsia"/>
          <w:color w:val="auto"/>
          <w:highlight w:val="none"/>
        </w:rPr>
        <w:t>非功能交付需求</w:t>
      </w:r>
      <w:bookmarkEnd w:id="58"/>
    </w:p>
    <w:p>
      <w:pPr>
        <w:pStyle w:val="3"/>
        <w:ind w:firstLine="480"/>
        <w:rPr>
          <w:color w:val="auto"/>
          <w:highlight w:val="none"/>
        </w:rPr>
      </w:pPr>
      <w:r>
        <w:rPr>
          <w:rFonts w:hint="eastAsia"/>
          <w:color w:val="auto"/>
          <w:highlight w:val="none"/>
        </w:rPr>
        <w:t>本次上海市监狱局信息化系统升级改造项目除了系统本身的升级改造外，需配合上海市监狱管理局打造信息化、数字化转型运营管理体系，从而保障上海市监狱管理局数字化转型工作长效而稳定地推进。因此投标人须配合上海市监狱管理局设计相关的管理体系、规范体系，包括但不限于：上海市监狱管理局数据管理规范、数据治理规范、系统接口标准、可视化界面设计标准、轻应用开发技术规范、轻应用开发管理规范、数字化项目管理规范、安防设备接入标准等。</w:t>
      </w:r>
    </w:p>
    <w:p>
      <w:pPr>
        <w:pStyle w:val="2"/>
        <w:rPr>
          <w:color w:val="auto"/>
          <w:highlight w:val="none"/>
        </w:rPr>
      </w:pPr>
      <w:bookmarkStart w:id="59" w:name="_Toc180570857"/>
      <w:r>
        <w:rPr>
          <w:rFonts w:hint="eastAsia"/>
          <w:color w:val="auto"/>
          <w:highlight w:val="none"/>
        </w:rPr>
        <w:t>项目</w:t>
      </w:r>
      <w:r>
        <w:rPr>
          <w:rFonts w:hint="eastAsia"/>
          <w:color w:val="auto"/>
          <w:highlight w:val="none"/>
          <w:lang w:val="en-US"/>
        </w:rPr>
        <w:t>管理</w:t>
      </w:r>
      <w:r>
        <w:rPr>
          <w:rFonts w:hint="eastAsia"/>
          <w:color w:val="auto"/>
          <w:highlight w:val="none"/>
        </w:rPr>
        <w:t>需求</w:t>
      </w:r>
      <w:bookmarkEnd w:id="59"/>
    </w:p>
    <w:p>
      <w:pPr>
        <w:pStyle w:val="4"/>
        <w:rPr>
          <w:color w:val="auto"/>
          <w:highlight w:val="none"/>
        </w:rPr>
      </w:pPr>
      <w:bookmarkStart w:id="60" w:name="_Toc180570858"/>
      <w:r>
        <w:rPr>
          <w:rFonts w:hint="eastAsia"/>
          <w:color w:val="auto"/>
          <w:highlight w:val="none"/>
        </w:rPr>
        <w:t>项目实施要求</w:t>
      </w:r>
      <w:bookmarkEnd w:id="60"/>
    </w:p>
    <w:p>
      <w:pPr>
        <w:pStyle w:val="3"/>
        <w:ind w:firstLine="480"/>
        <w:rPr>
          <w:color w:val="auto"/>
          <w:highlight w:val="none"/>
        </w:rPr>
      </w:pPr>
      <w:r>
        <w:rPr>
          <w:rFonts w:hint="eastAsia"/>
          <w:color w:val="auto"/>
          <w:highlight w:val="none"/>
        </w:rPr>
        <w:t>1、本项目工期：2025年9月30日前，包含三个月试运行。</w:t>
      </w:r>
    </w:p>
    <w:p>
      <w:pPr>
        <w:pStyle w:val="3"/>
        <w:ind w:firstLine="480"/>
        <w:rPr>
          <w:color w:val="auto"/>
          <w:highlight w:val="none"/>
        </w:rPr>
      </w:pPr>
      <w:r>
        <w:rPr>
          <w:rFonts w:hint="eastAsia"/>
          <w:color w:val="auto"/>
          <w:highlight w:val="none"/>
        </w:rPr>
        <w:t>2、投标单位应基于项目理解投标文件中提供详细的实施方案，应包括项目组织机构、项目实施流程、项目实施进度、项目实施安排。特别的，因本次项目建设系统繁杂，投标人</w:t>
      </w:r>
      <w:bookmarkStart w:id="61" w:name="_Hlk176874312"/>
      <w:r>
        <w:rPr>
          <w:rFonts w:hint="eastAsia"/>
          <w:color w:val="auto"/>
          <w:highlight w:val="none"/>
        </w:rPr>
        <w:t>应合理规划实施进度，应在2024年内优先进行数字化赋能底座相关建设工作，夯实平台数据治理管理、工作流引擎、智能搜索引擎等基础能力，并在此基础上完成数据资源体系与业务轻应用架构搭建，初步实现改造情况查询、车辆使用审批等简单轻应用场景搭建。</w:t>
      </w:r>
      <w:bookmarkEnd w:id="61"/>
      <w:r>
        <w:rPr>
          <w:rFonts w:hint="eastAsia"/>
          <w:color w:val="auto"/>
          <w:highlight w:val="none"/>
        </w:rPr>
        <w:t>具体建设实施安排应在中标后同采购人沟通确认，中标方应按最终确认结果执行。</w:t>
      </w:r>
    </w:p>
    <w:p>
      <w:pPr>
        <w:pStyle w:val="3"/>
        <w:ind w:firstLine="480"/>
        <w:rPr>
          <w:color w:val="auto"/>
          <w:highlight w:val="none"/>
        </w:rPr>
      </w:pPr>
      <w:r>
        <w:rPr>
          <w:rFonts w:hint="eastAsia"/>
          <w:color w:val="auto"/>
          <w:highlight w:val="none"/>
        </w:rPr>
        <w:t>3、项目开发过程中，中标方必须提供项目管理文档，以便采购人及时了解项目进展情况。</w:t>
      </w:r>
    </w:p>
    <w:p>
      <w:pPr>
        <w:pStyle w:val="3"/>
        <w:ind w:firstLine="480"/>
        <w:rPr>
          <w:color w:val="auto"/>
          <w:highlight w:val="none"/>
        </w:rPr>
      </w:pPr>
      <w:r>
        <w:rPr>
          <w:rFonts w:hint="eastAsia"/>
          <w:color w:val="auto"/>
          <w:highlight w:val="none"/>
        </w:rPr>
        <w:t>4、中标方应与采购人相关业务与技术人员一同完成本应用系统的深化调研分析阶段的工作；需求分析结束后，采购人将再进一步提出应用系统的设计、开发、测试等详细要求，中标方应按要求编制有关说明书。</w:t>
      </w:r>
    </w:p>
    <w:p>
      <w:pPr>
        <w:pStyle w:val="3"/>
        <w:ind w:firstLine="480"/>
        <w:rPr>
          <w:color w:val="auto"/>
          <w:highlight w:val="none"/>
        </w:rPr>
      </w:pPr>
      <w:r>
        <w:rPr>
          <w:rFonts w:hint="eastAsia"/>
          <w:color w:val="auto"/>
          <w:highlight w:val="none"/>
        </w:rPr>
        <w:t>5、本招标文件提出项目需求，是投标方编制投标文件和报价的主要依据，但采购人有权根据实际业务需求，对招标文件规定的需求进行细化和优化，最终的需求以各方确认的细化和优化需求规格说明书为准，并以此需求规格说明书作为验收依据。</w:t>
      </w:r>
    </w:p>
    <w:p>
      <w:pPr>
        <w:pStyle w:val="3"/>
        <w:ind w:firstLine="480"/>
        <w:rPr>
          <w:color w:val="auto"/>
          <w:highlight w:val="none"/>
        </w:rPr>
      </w:pPr>
      <w:r>
        <w:rPr>
          <w:rFonts w:hint="eastAsia"/>
          <w:color w:val="auto"/>
          <w:highlight w:val="none"/>
        </w:rPr>
        <w:t>6、投标单位具有ISO20000IT信息技术服务管理体系认证、ISO27001信息安全管理体系认证、信息系统建设和服务能力证书二级（CS2）及以上的优先考虑。</w:t>
      </w:r>
    </w:p>
    <w:p>
      <w:pPr>
        <w:pStyle w:val="4"/>
        <w:rPr>
          <w:color w:val="auto"/>
          <w:highlight w:val="none"/>
        </w:rPr>
      </w:pPr>
      <w:bookmarkStart w:id="62" w:name="_Toc180570859"/>
      <w:r>
        <w:rPr>
          <w:rFonts w:hint="eastAsia"/>
          <w:color w:val="auto"/>
          <w:highlight w:val="none"/>
        </w:rPr>
        <w:t>项目人员要求</w:t>
      </w:r>
      <w:bookmarkEnd w:id="62"/>
    </w:p>
    <w:p>
      <w:pPr>
        <w:pStyle w:val="3"/>
        <w:ind w:firstLine="480"/>
        <w:rPr>
          <w:color w:val="auto"/>
          <w:highlight w:val="none"/>
        </w:rPr>
      </w:pPr>
      <w:r>
        <w:rPr>
          <w:rFonts w:hint="eastAsia"/>
          <w:color w:val="auto"/>
          <w:highlight w:val="none"/>
        </w:rPr>
        <w:t>1、在项目实施过程中，需对项目进行规范化管理，要有项目管理组织、项目管理计划、项目进度计划、项目验收计划等方案，确保工程实施质量。</w:t>
      </w:r>
    </w:p>
    <w:p>
      <w:pPr>
        <w:pStyle w:val="3"/>
        <w:ind w:firstLine="480"/>
        <w:rPr>
          <w:color w:val="auto"/>
          <w:highlight w:val="none"/>
        </w:rPr>
      </w:pPr>
      <w:r>
        <w:rPr>
          <w:rFonts w:hint="eastAsia"/>
          <w:color w:val="auto"/>
          <w:highlight w:val="none"/>
        </w:rPr>
        <w:t>2、成立软件功能实施团队，并指定一名专职的项目经理，负责项目协调和调度工作。除项目负责人，项目组须配备专职的技术负责人，同时应按照项目实施的要求，提供核心项目团队不少于6人，配置相应的系统设计、开发、测试、集成、数据开发、数据测试、培训、质量保证等人员。实施团队人数不得低于</w:t>
      </w:r>
      <w:r>
        <w:rPr>
          <w:rFonts w:hint="eastAsia"/>
          <w:color w:val="auto"/>
          <w:highlight w:val="none"/>
          <w:lang w:val="en-US" w:eastAsia="zh-CN"/>
        </w:rPr>
        <w:t>120</w:t>
      </w:r>
      <w:bookmarkStart w:id="68" w:name="_GoBack"/>
      <w:bookmarkEnd w:id="68"/>
      <w:r>
        <w:rPr>
          <w:rFonts w:hint="eastAsia"/>
          <w:color w:val="auto"/>
          <w:highlight w:val="none"/>
        </w:rPr>
        <w:t>人。投标人需随投标文件提供相关人员清单、学历、资质证书以及近一季度任意一个月的社保缴纳证明。同时投标人须提供承诺，应配合上海市监狱管理局的需求提供驻场开发人员，驻场地点包括但不限于上海市监狱管理局与基层监狱办公场所，具体的驻场人员数量与驻场地点应以中标后同上海市监狱管理局确认为准。</w:t>
      </w:r>
    </w:p>
    <w:p>
      <w:pPr>
        <w:pStyle w:val="3"/>
        <w:ind w:firstLine="480"/>
        <w:rPr>
          <w:color w:val="auto"/>
          <w:highlight w:val="none"/>
        </w:rPr>
      </w:pPr>
      <w:r>
        <w:rPr>
          <w:rFonts w:hint="eastAsia"/>
          <w:color w:val="auto"/>
          <w:highlight w:val="none"/>
        </w:rPr>
        <w:t>3、所提供项目负责人需具备信息系统项目管理师资质证书或信息化相关高级职称、十年（含）以上信息系统行业从业经历、承担过类似业绩负责人职务；所提供技术负责人需具备计算机技术与软件专业技术资格（水平）考试系统分析师或系统架构设计师证书、承担过类似业绩负责人。</w:t>
      </w:r>
    </w:p>
    <w:p>
      <w:pPr>
        <w:pStyle w:val="3"/>
        <w:ind w:firstLine="480"/>
        <w:rPr>
          <w:color w:val="auto"/>
          <w:highlight w:val="none"/>
        </w:rPr>
      </w:pPr>
      <w:r>
        <w:rPr>
          <w:rFonts w:hint="eastAsia"/>
          <w:color w:val="auto"/>
          <w:highlight w:val="none"/>
        </w:rPr>
        <w:t>4、参与此项目的核心技术人员必须具有信息化或大数据相关项目经验或专业背景，具备中高级技术职称为宜，能够与用户进行良好的沟通，掌握相关领域的相关基础知识，具备相关产品集成、应用和开发的能力。投标人所提供的核心技术人员应在项目建设期间提供驻场服务。</w:t>
      </w:r>
    </w:p>
    <w:p>
      <w:pPr>
        <w:pStyle w:val="3"/>
        <w:ind w:firstLine="480"/>
        <w:rPr>
          <w:color w:val="auto"/>
          <w:highlight w:val="none"/>
        </w:rPr>
      </w:pPr>
      <w:r>
        <w:rPr>
          <w:rFonts w:hint="eastAsia"/>
          <w:color w:val="auto"/>
          <w:highlight w:val="none"/>
        </w:rPr>
        <w:t>5、投标人中标后应提供项目实施人员清单，并交由上海市监狱管理局确定形成最终的服务实施团队，项目实施团队一经确认不可擅自更换。</w:t>
      </w:r>
    </w:p>
    <w:p>
      <w:pPr>
        <w:pStyle w:val="4"/>
        <w:rPr>
          <w:color w:val="auto"/>
          <w:highlight w:val="none"/>
        </w:rPr>
      </w:pPr>
      <w:bookmarkStart w:id="63" w:name="_Toc180570860"/>
      <w:r>
        <w:rPr>
          <w:rFonts w:hint="eastAsia"/>
          <w:color w:val="auto"/>
          <w:highlight w:val="none"/>
        </w:rPr>
        <w:t>安装和调试</w:t>
      </w:r>
      <w:bookmarkEnd w:id="63"/>
    </w:p>
    <w:p>
      <w:pPr>
        <w:pStyle w:val="3"/>
        <w:ind w:firstLine="480"/>
        <w:rPr>
          <w:color w:val="auto"/>
          <w:highlight w:val="none"/>
        </w:rPr>
      </w:pPr>
      <w:r>
        <w:rPr>
          <w:rFonts w:hint="eastAsia"/>
          <w:color w:val="auto"/>
          <w:highlight w:val="none"/>
        </w:rPr>
        <w:t>1、负责本项目范围内应用软件的现场安装部署、集成、测试和调试，保证系统功能、性能要求的实现。在安装、配置和测试、调试过程中，中标方应对最终用户技术人员所提出的技术问题，给予满意的答复。</w:t>
      </w:r>
    </w:p>
    <w:p>
      <w:pPr>
        <w:pStyle w:val="3"/>
        <w:ind w:firstLine="480"/>
        <w:rPr>
          <w:color w:val="auto"/>
          <w:highlight w:val="none"/>
        </w:rPr>
      </w:pPr>
      <w:r>
        <w:rPr>
          <w:rFonts w:hint="eastAsia"/>
          <w:color w:val="auto"/>
          <w:highlight w:val="none"/>
        </w:rPr>
        <w:t>2、要求有完整的安装和配置程序，具有详细的系统安装配置说明手册、用户使用说明书和系统维护说明书。系统实际安装与操作必须与说明书描述一致。</w:t>
      </w:r>
    </w:p>
    <w:p>
      <w:pPr>
        <w:pStyle w:val="3"/>
        <w:ind w:firstLine="480"/>
        <w:rPr>
          <w:color w:val="auto"/>
          <w:highlight w:val="none"/>
        </w:rPr>
      </w:pPr>
      <w:r>
        <w:rPr>
          <w:rFonts w:hint="eastAsia"/>
          <w:color w:val="auto"/>
          <w:highlight w:val="none"/>
        </w:rPr>
        <w:t>3、要求具有完整的系统测试计划，包括根据用户需求编写的遍及系统95%以上功能、性能的测试用例，合理的测试方案和测试方法。要求保留完整的测试报告。</w:t>
      </w:r>
    </w:p>
    <w:p>
      <w:pPr>
        <w:pStyle w:val="3"/>
        <w:ind w:firstLine="480"/>
        <w:rPr>
          <w:color w:val="auto"/>
          <w:highlight w:val="none"/>
        </w:rPr>
      </w:pPr>
      <w:r>
        <w:rPr>
          <w:rFonts w:hint="eastAsia"/>
          <w:color w:val="auto"/>
          <w:highlight w:val="none"/>
        </w:rPr>
        <w:t>4、中标方负责解决系统集成中全部技术问题，对用户单位项目建设中碰到的其他技术问题，有责任和义务提供咨询和帮助。</w:t>
      </w:r>
    </w:p>
    <w:p>
      <w:pPr>
        <w:pStyle w:val="4"/>
        <w:rPr>
          <w:color w:val="auto"/>
          <w:highlight w:val="none"/>
        </w:rPr>
      </w:pPr>
      <w:bookmarkStart w:id="64" w:name="_Toc180570861"/>
      <w:r>
        <w:rPr>
          <w:rFonts w:hint="eastAsia"/>
          <w:color w:val="auto"/>
          <w:highlight w:val="none"/>
        </w:rPr>
        <w:t>项目验收</w:t>
      </w:r>
      <w:bookmarkEnd w:id="64"/>
    </w:p>
    <w:p>
      <w:pPr>
        <w:pStyle w:val="3"/>
        <w:ind w:firstLine="480"/>
        <w:rPr>
          <w:color w:val="auto"/>
          <w:highlight w:val="none"/>
        </w:rPr>
      </w:pPr>
      <w:r>
        <w:rPr>
          <w:rFonts w:hint="eastAsia"/>
          <w:color w:val="auto"/>
          <w:highlight w:val="none"/>
        </w:rPr>
        <w:t>1、模块验收合格条件为：</w:t>
      </w:r>
    </w:p>
    <w:p>
      <w:pPr>
        <w:pStyle w:val="3"/>
        <w:ind w:firstLine="480"/>
        <w:rPr>
          <w:color w:val="auto"/>
          <w:highlight w:val="none"/>
        </w:rPr>
      </w:pPr>
      <w:r>
        <w:rPr>
          <w:rFonts w:hint="eastAsia"/>
          <w:color w:val="auto"/>
          <w:highlight w:val="none"/>
        </w:rPr>
        <w:t>a)</w:t>
      </w:r>
      <w:r>
        <w:rPr>
          <w:rFonts w:hint="eastAsia"/>
          <w:color w:val="auto"/>
          <w:highlight w:val="none"/>
        </w:rPr>
        <w:tab/>
      </w:r>
      <w:r>
        <w:rPr>
          <w:rFonts w:hint="eastAsia"/>
          <w:color w:val="auto"/>
          <w:highlight w:val="none"/>
        </w:rPr>
        <w:t>试运行时性能满足合同要求；</w:t>
      </w:r>
    </w:p>
    <w:p>
      <w:pPr>
        <w:pStyle w:val="3"/>
        <w:ind w:firstLine="480"/>
        <w:rPr>
          <w:color w:val="auto"/>
          <w:highlight w:val="none"/>
        </w:rPr>
      </w:pPr>
      <w:r>
        <w:rPr>
          <w:rFonts w:hint="eastAsia"/>
          <w:color w:val="auto"/>
          <w:highlight w:val="none"/>
        </w:rPr>
        <w:t>b)</w:t>
      </w:r>
      <w:r>
        <w:rPr>
          <w:rFonts w:hint="eastAsia"/>
          <w:color w:val="auto"/>
          <w:highlight w:val="none"/>
        </w:rPr>
        <w:tab/>
      </w:r>
      <w:r>
        <w:rPr>
          <w:rFonts w:hint="eastAsia"/>
          <w:color w:val="auto"/>
          <w:highlight w:val="none"/>
        </w:rPr>
        <w:t>性能测试和试运行验收时出现的问题已被解决；</w:t>
      </w:r>
    </w:p>
    <w:p>
      <w:pPr>
        <w:pStyle w:val="3"/>
        <w:ind w:firstLine="480"/>
        <w:rPr>
          <w:color w:val="auto"/>
          <w:highlight w:val="none"/>
        </w:rPr>
      </w:pPr>
      <w:r>
        <w:rPr>
          <w:rFonts w:hint="eastAsia"/>
          <w:color w:val="auto"/>
          <w:highlight w:val="none"/>
        </w:rPr>
        <w:t>c)</w:t>
      </w:r>
      <w:r>
        <w:rPr>
          <w:rFonts w:hint="eastAsia"/>
          <w:color w:val="auto"/>
          <w:highlight w:val="none"/>
        </w:rPr>
        <w:tab/>
      </w:r>
      <w:r>
        <w:rPr>
          <w:rFonts w:hint="eastAsia"/>
          <w:color w:val="auto"/>
          <w:highlight w:val="none"/>
        </w:rPr>
        <w:t>平台各模块通过信息委指定的第三方适配测试和密保测试；</w:t>
      </w:r>
    </w:p>
    <w:p>
      <w:pPr>
        <w:pStyle w:val="3"/>
        <w:ind w:firstLine="480"/>
        <w:rPr>
          <w:color w:val="auto"/>
          <w:highlight w:val="none"/>
        </w:rPr>
      </w:pPr>
      <w:r>
        <w:rPr>
          <w:rFonts w:hint="eastAsia"/>
          <w:color w:val="auto"/>
          <w:highlight w:val="none"/>
        </w:rPr>
        <w:t>d)</w:t>
      </w:r>
      <w:r>
        <w:rPr>
          <w:rFonts w:hint="eastAsia"/>
          <w:color w:val="auto"/>
          <w:highlight w:val="none"/>
        </w:rPr>
        <w:tab/>
      </w:r>
      <w:r>
        <w:rPr>
          <w:rFonts w:hint="eastAsia"/>
          <w:color w:val="auto"/>
          <w:highlight w:val="none"/>
        </w:rPr>
        <w:t>已提供了合同的全部功能和文档资料（包括需求文档、模块设计文档、数据库表结构等）。</w:t>
      </w:r>
    </w:p>
    <w:p>
      <w:pPr>
        <w:pStyle w:val="3"/>
        <w:ind w:firstLine="480"/>
        <w:rPr>
          <w:color w:val="auto"/>
          <w:highlight w:val="none"/>
        </w:rPr>
      </w:pPr>
      <w:r>
        <w:rPr>
          <w:rFonts w:hint="eastAsia"/>
          <w:color w:val="auto"/>
          <w:highlight w:val="none"/>
        </w:rPr>
        <w:t>2、验收方式</w:t>
      </w:r>
    </w:p>
    <w:p>
      <w:pPr>
        <w:pStyle w:val="3"/>
        <w:ind w:firstLine="480"/>
        <w:rPr>
          <w:color w:val="auto"/>
          <w:highlight w:val="none"/>
        </w:rPr>
      </w:pPr>
      <w:r>
        <w:rPr>
          <w:rFonts w:hint="eastAsia"/>
          <w:color w:val="auto"/>
          <w:highlight w:val="none"/>
        </w:rPr>
        <w:t>项目验收分初步验收和最终验收。</w:t>
      </w:r>
    </w:p>
    <w:p>
      <w:pPr>
        <w:pStyle w:val="3"/>
        <w:ind w:firstLine="480"/>
        <w:rPr>
          <w:color w:val="auto"/>
          <w:highlight w:val="none"/>
        </w:rPr>
      </w:pPr>
      <w:r>
        <w:rPr>
          <w:rFonts w:hint="eastAsia"/>
          <w:color w:val="auto"/>
          <w:highlight w:val="none"/>
        </w:rPr>
        <w:t>1）系统开发调试完毕后，中标方应对系统的整体性能和功能进行自检，自检结果必须符合招标文件要求及合同中的相关条款，中标方应负责组织专业技术人员进行系统的安装调试，解决安装中出现的问题。系统功能开发完成、自检无误后，中标方向采购人提交初验收申请，经采购人初验合格同意后，系统进入试运行。</w:t>
      </w:r>
    </w:p>
    <w:p>
      <w:pPr>
        <w:pStyle w:val="3"/>
        <w:ind w:firstLine="480"/>
        <w:rPr>
          <w:color w:val="auto"/>
          <w:highlight w:val="none"/>
        </w:rPr>
      </w:pPr>
      <w:r>
        <w:rPr>
          <w:rFonts w:hint="eastAsia"/>
          <w:color w:val="auto"/>
          <w:highlight w:val="none"/>
        </w:rPr>
        <w:t>2）在试运行期间，由于软件系统功能质量等造成某些指标达不到要求，允许中标方更换、修复、修改等，在全部达到要求时可进行最终验收。</w:t>
      </w:r>
    </w:p>
    <w:p>
      <w:pPr>
        <w:pStyle w:val="3"/>
        <w:ind w:firstLine="480"/>
        <w:rPr>
          <w:color w:val="auto"/>
          <w:highlight w:val="none"/>
        </w:rPr>
      </w:pPr>
      <w:r>
        <w:rPr>
          <w:rFonts w:hint="eastAsia"/>
          <w:color w:val="auto"/>
          <w:highlight w:val="none"/>
        </w:rPr>
        <w:t>3）最终验收</w:t>
      </w:r>
    </w:p>
    <w:p>
      <w:pPr>
        <w:pStyle w:val="3"/>
        <w:ind w:firstLine="480"/>
        <w:rPr>
          <w:color w:val="auto"/>
          <w:highlight w:val="none"/>
        </w:rPr>
      </w:pPr>
      <w:r>
        <w:rPr>
          <w:rFonts w:hint="eastAsia"/>
          <w:color w:val="auto"/>
          <w:highlight w:val="none"/>
        </w:rPr>
        <w:t>项目终验前，由中标方提交验收申请，经采购人同意后，组织进行终验，验收结果必须符合招标文件要求及合同中的相关条款。终验期间，如有发现系统运行有问题，中标方应无条件重新检测并调试系统直至最终验收合格交付使用。</w:t>
      </w:r>
    </w:p>
    <w:p>
      <w:pPr>
        <w:pStyle w:val="3"/>
        <w:ind w:firstLine="480"/>
        <w:rPr>
          <w:color w:val="auto"/>
          <w:highlight w:val="none"/>
        </w:rPr>
      </w:pPr>
      <w:r>
        <w:rPr>
          <w:rFonts w:hint="eastAsia"/>
          <w:color w:val="auto"/>
          <w:highlight w:val="none"/>
        </w:rPr>
        <w:t>3、验收内容</w:t>
      </w:r>
    </w:p>
    <w:p>
      <w:pPr>
        <w:pStyle w:val="3"/>
        <w:ind w:firstLine="480"/>
        <w:rPr>
          <w:color w:val="auto"/>
          <w:highlight w:val="none"/>
        </w:rPr>
      </w:pPr>
      <w:r>
        <w:rPr>
          <w:rFonts w:hint="eastAsia"/>
          <w:color w:val="auto"/>
          <w:highlight w:val="none"/>
        </w:rPr>
        <w:t>根据建设要求，信息化项目相关的技术验收内容应包括软件功能、性能的验收。包括软件功能的可用性及可扩展性；软件架构、技术框架的稳定性及可扩展性，所用自主产品的是否安全可靠等内容。</w:t>
      </w:r>
    </w:p>
    <w:p>
      <w:pPr>
        <w:pStyle w:val="3"/>
        <w:ind w:firstLine="480"/>
        <w:rPr>
          <w:color w:val="auto"/>
          <w:highlight w:val="none"/>
        </w:rPr>
      </w:pPr>
      <w:r>
        <w:rPr>
          <w:rFonts w:hint="eastAsia"/>
          <w:color w:val="auto"/>
          <w:highlight w:val="none"/>
        </w:rPr>
        <w:t>根据项目建设要求，项目验收相关的文档如下，媒介为纸质或电子：</w:t>
      </w:r>
    </w:p>
    <w:p>
      <w:pPr>
        <w:pStyle w:val="3"/>
        <w:numPr>
          <w:ilvl w:val="0"/>
          <w:numId w:val="14"/>
        </w:numPr>
        <w:ind w:firstLineChars="0"/>
        <w:rPr>
          <w:color w:val="auto"/>
          <w:highlight w:val="none"/>
        </w:rPr>
      </w:pPr>
      <w:r>
        <w:rPr>
          <w:rFonts w:hint="eastAsia"/>
          <w:color w:val="auto"/>
          <w:highlight w:val="none"/>
        </w:rPr>
        <w:t>《需求规格说明书》</w:t>
      </w:r>
    </w:p>
    <w:p>
      <w:pPr>
        <w:pStyle w:val="3"/>
        <w:numPr>
          <w:ilvl w:val="0"/>
          <w:numId w:val="14"/>
        </w:numPr>
        <w:ind w:firstLineChars="0"/>
        <w:rPr>
          <w:color w:val="auto"/>
          <w:highlight w:val="none"/>
        </w:rPr>
      </w:pPr>
      <w:r>
        <w:rPr>
          <w:rFonts w:hint="eastAsia"/>
          <w:color w:val="auto"/>
          <w:highlight w:val="none"/>
        </w:rPr>
        <w:t>《需求调研结论表》</w:t>
      </w:r>
    </w:p>
    <w:p>
      <w:pPr>
        <w:pStyle w:val="3"/>
        <w:numPr>
          <w:ilvl w:val="0"/>
          <w:numId w:val="14"/>
        </w:numPr>
        <w:ind w:firstLineChars="0"/>
        <w:rPr>
          <w:color w:val="auto"/>
          <w:highlight w:val="none"/>
        </w:rPr>
      </w:pPr>
      <w:r>
        <w:rPr>
          <w:rFonts w:hint="eastAsia"/>
          <w:color w:val="auto"/>
          <w:highlight w:val="none"/>
        </w:rPr>
        <w:t>《项目总体开发时间表》</w:t>
      </w:r>
    </w:p>
    <w:p>
      <w:pPr>
        <w:pStyle w:val="3"/>
        <w:numPr>
          <w:ilvl w:val="0"/>
          <w:numId w:val="14"/>
        </w:numPr>
        <w:ind w:firstLineChars="0"/>
        <w:rPr>
          <w:color w:val="auto"/>
          <w:highlight w:val="none"/>
        </w:rPr>
      </w:pPr>
      <w:r>
        <w:rPr>
          <w:rFonts w:hint="eastAsia"/>
          <w:color w:val="auto"/>
          <w:highlight w:val="none"/>
        </w:rPr>
        <w:t>《项目总体设计概要说明书》</w:t>
      </w:r>
    </w:p>
    <w:p>
      <w:pPr>
        <w:pStyle w:val="3"/>
        <w:numPr>
          <w:ilvl w:val="0"/>
          <w:numId w:val="14"/>
        </w:numPr>
        <w:ind w:firstLineChars="0"/>
        <w:rPr>
          <w:color w:val="auto"/>
          <w:highlight w:val="none"/>
        </w:rPr>
      </w:pPr>
      <w:r>
        <w:rPr>
          <w:rFonts w:hint="eastAsia"/>
          <w:color w:val="auto"/>
          <w:highlight w:val="none"/>
        </w:rPr>
        <w:t>《项目界面设计说明书》（及界面DEMO）</w:t>
      </w:r>
    </w:p>
    <w:p>
      <w:pPr>
        <w:pStyle w:val="3"/>
        <w:numPr>
          <w:ilvl w:val="0"/>
          <w:numId w:val="14"/>
        </w:numPr>
        <w:ind w:firstLineChars="0"/>
        <w:rPr>
          <w:color w:val="auto"/>
          <w:highlight w:val="none"/>
        </w:rPr>
      </w:pPr>
      <w:r>
        <w:rPr>
          <w:rFonts w:hint="eastAsia"/>
          <w:color w:val="auto"/>
          <w:highlight w:val="none"/>
        </w:rPr>
        <w:t>《测试计划》</w:t>
      </w:r>
    </w:p>
    <w:p>
      <w:pPr>
        <w:pStyle w:val="3"/>
        <w:numPr>
          <w:ilvl w:val="0"/>
          <w:numId w:val="14"/>
        </w:numPr>
        <w:ind w:firstLineChars="0"/>
        <w:rPr>
          <w:color w:val="auto"/>
          <w:highlight w:val="none"/>
        </w:rPr>
      </w:pPr>
      <w:r>
        <w:rPr>
          <w:rFonts w:hint="eastAsia"/>
          <w:color w:val="auto"/>
          <w:highlight w:val="none"/>
        </w:rPr>
        <w:t>《测试方案》</w:t>
      </w:r>
    </w:p>
    <w:p>
      <w:pPr>
        <w:pStyle w:val="3"/>
        <w:numPr>
          <w:ilvl w:val="0"/>
          <w:numId w:val="14"/>
        </w:numPr>
        <w:ind w:firstLineChars="0"/>
        <w:rPr>
          <w:color w:val="auto"/>
          <w:highlight w:val="none"/>
        </w:rPr>
      </w:pPr>
      <w:r>
        <w:rPr>
          <w:rFonts w:hint="eastAsia"/>
          <w:color w:val="auto"/>
          <w:highlight w:val="none"/>
        </w:rPr>
        <w:t>《测试报告》</w:t>
      </w:r>
      <w:r>
        <w:rPr>
          <w:rFonts w:hint="eastAsia"/>
          <w:color w:val="auto"/>
          <w:highlight w:val="none"/>
        </w:rPr>
        <w:tab/>
      </w:r>
    </w:p>
    <w:p>
      <w:pPr>
        <w:pStyle w:val="3"/>
        <w:numPr>
          <w:ilvl w:val="0"/>
          <w:numId w:val="14"/>
        </w:numPr>
        <w:ind w:firstLineChars="0"/>
        <w:rPr>
          <w:color w:val="auto"/>
          <w:highlight w:val="none"/>
        </w:rPr>
      </w:pPr>
      <w:r>
        <w:rPr>
          <w:rFonts w:hint="eastAsia"/>
          <w:color w:val="auto"/>
          <w:highlight w:val="none"/>
        </w:rPr>
        <w:t>《用户手册》</w:t>
      </w:r>
    </w:p>
    <w:p>
      <w:pPr>
        <w:pStyle w:val="3"/>
        <w:numPr>
          <w:ilvl w:val="0"/>
          <w:numId w:val="14"/>
        </w:numPr>
        <w:ind w:firstLineChars="0"/>
        <w:rPr>
          <w:color w:val="auto"/>
          <w:highlight w:val="none"/>
        </w:rPr>
      </w:pPr>
      <w:r>
        <w:rPr>
          <w:rFonts w:hint="eastAsia"/>
          <w:color w:val="auto"/>
          <w:highlight w:val="none"/>
        </w:rPr>
        <w:t>《培训计划》</w:t>
      </w:r>
    </w:p>
    <w:p>
      <w:pPr>
        <w:pStyle w:val="3"/>
        <w:numPr>
          <w:ilvl w:val="0"/>
          <w:numId w:val="14"/>
        </w:numPr>
        <w:ind w:firstLineChars="0"/>
        <w:rPr>
          <w:color w:val="auto"/>
          <w:highlight w:val="none"/>
        </w:rPr>
      </w:pPr>
      <w:r>
        <w:rPr>
          <w:rFonts w:hint="eastAsia"/>
          <w:color w:val="auto"/>
          <w:highlight w:val="none"/>
        </w:rPr>
        <w:t>《培训记录》</w:t>
      </w:r>
    </w:p>
    <w:p>
      <w:pPr>
        <w:pStyle w:val="3"/>
        <w:numPr>
          <w:ilvl w:val="0"/>
          <w:numId w:val="14"/>
        </w:numPr>
        <w:ind w:firstLineChars="0"/>
        <w:rPr>
          <w:color w:val="auto"/>
          <w:highlight w:val="none"/>
        </w:rPr>
      </w:pPr>
      <w:r>
        <w:rPr>
          <w:rFonts w:hint="eastAsia"/>
          <w:color w:val="auto"/>
          <w:highlight w:val="none"/>
        </w:rPr>
        <w:t>《模块试运行/上线方案》</w:t>
      </w:r>
      <w:r>
        <w:rPr>
          <w:rFonts w:hint="eastAsia"/>
          <w:color w:val="auto"/>
          <w:highlight w:val="none"/>
        </w:rPr>
        <w:tab/>
      </w:r>
    </w:p>
    <w:p>
      <w:pPr>
        <w:pStyle w:val="3"/>
        <w:numPr>
          <w:ilvl w:val="0"/>
          <w:numId w:val="14"/>
        </w:numPr>
        <w:ind w:firstLineChars="0"/>
        <w:rPr>
          <w:color w:val="auto"/>
          <w:highlight w:val="none"/>
        </w:rPr>
      </w:pPr>
      <w:r>
        <w:rPr>
          <w:rFonts w:hint="eastAsia"/>
          <w:color w:val="auto"/>
          <w:highlight w:val="none"/>
        </w:rPr>
        <w:t>《模块软件配置指南》</w:t>
      </w:r>
    </w:p>
    <w:p>
      <w:pPr>
        <w:pStyle w:val="3"/>
        <w:numPr>
          <w:ilvl w:val="0"/>
          <w:numId w:val="14"/>
        </w:numPr>
        <w:ind w:firstLineChars="0"/>
        <w:rPr>
          <w:color w:val="auto"/>
          <w:highlight w:val="none"/>
        </w:rPr>
      </w:pPr>
      <w:r>
        <w:rPr>
          <w:rFonts w:hint="eastAsia"/>
          <w:color w:val="auto"/>
          <w:highlight w:val="none"/>
        </w:rPr>
        <w:t>《项目总结报告》</w:t>
      </w:r>
      <w:r>
        <w:rPr>
          <w:rFonts w:hint="eastAsia"/>
          <w:color w:val="auto"/>
          <w:highlight w:val="none"/>
        </w:rPr>
        <w:tab/>
      </w:r>
    </w:p>
    <w:p>
      <w:pPr>
        <w:pStyle w:val="3"/>
        <w:numPr>
          <w:ilvl w:val="0"/>
          <w:numId w:val="14"/>
        </w:numPr>
        <w:ind w:firstLineChars="0"/>
        <w:rPr>
          <w:color w:val="auto"/>
          <w:highlight w:val="none"/>
        </w:rPr>
      </w:pPr>
      <w:r>
        <w:rPr>
          <w:rFonts w:hint="eastAsia"/>
          <w:color w:val="auto"/>
          <w:highlight w:val="none"/>
        </w:rPr>
        <w:t>《售后服务规范》</w:t>
      </w:r>
      <w:r>
        <w:rPr>
          <w:rFonts w:hint="eastAsia"/>
          <w:color w:val="auto"/>
          <w:highlight w:val="none"/>
        </w:rPr>
        <w:tab/>
      </w:r>
    </w:p>
    <w:p>
      <w:pPr>
        <w:pStyle w:val="3"/>
        <w:numPr>
          <w:ilvl w:val="0"/>
          <w:numId w:val="14"/>
        </w:numPr>
        <w:ind w:firstLineChars="0"/>
        <w:rPr>
          <w:color w:val="auto"/>
          <w:highlight w:val="none"/>
        </w:rPr>
      </w:pPr>
      <w:r>
        <w:rPr>
          <w:rFonts w:hint="eastAsia"/>
          <w:color w:val="auto"/>
          <w:highlight w:val="none"/>
        </w:rPr>
        <w:t>《上海市监狱管理局数据管理规范》</w:t>
      </w:r>
    </w:p>
    <w:p>
      <w:pPr>
        <w:pStyle w:val="3"/>
        <w:numPr>
          <w:ilvl w:val="0"/>
          <w:numId w:val="14"/>
        </w:numPr>
        <w:ind w:firstLineChars="0"/>
        <w:rPr>
          <w:color w:val="auto"/>
          <w:highlight w:val="none"/>
        </w:rPr>
      </w:pPr>
      <w:r>
        <w:rPr>
          <w:rFonts w:hint="eastAsia"/>
          <w:color w:val="auto"/>
          <w:highlight w:val="none"/>
        </w:rPr>
        <w:t>《上海市监狱管理局数据治理规范》</w:t>
      </w:r>
    </w:p>
    <w:p>
      <w:pPr>
        <w:pStyle w:val="3"/>
        <w:numPr>
          <w:ilvl w:val="0"/>
          <w:numId w:val="14"/>
        </w:numPr>
        <w:ind w:firstLineChars="0"/>
        <w:rPr>
          <w:color w:val="auto"/>
          <w:highlight w:val="none"/>
        </w:rPr>
      </w:pPr>
      <w:r>
        <w:rPr>
          <w:rFonts w:hint="eastAsia"/>
          <w:color w:val="auto"/>
          <w:highlight w:val="none"/>
        </w:rPr>
        <w:t>《上海市监狱管理局系统接口标准》</w:t>
      </w:r>
    </w:p>
    <w:p>
      <w:pPr>
        <w:pStyle w:val="3"/>
        <w:numPr>
          <w:ilvl w:val="0"/>
          <w:numId w:val="14"/>
        </w:numPr>
        <w:ind w:firstLineChars="0"/>
        <w:rPr>
          <w:color w:val="auto"/>
          <w:highlight w:val="none"/>
        </w:rPr>
      </w:pPr>
      <w:r>
        <w:rPr>
          <w:rFonts w:hint="eastAsia"/>
          <w:color w:val="auto"/>
          <w:highlight w:val="none"/>
        </w:rPr>
        <w:t>《上海市监狱管理局可视化界面设计标准》</w:t>
      </w:r>
    </w:p>
    <w:p>
      <w:pPr>
        <w:pStyle w:val="3"/>
        <w:numPr>
          <w:ilvl w:val="0"/>
          <w:numId w:val="14"/>
        </w:numPr>
        <w:ind w:firstLineChars="0"/>
        <w:rPr>
          <w:color w:val="auto"/>
          <w:highlight w:val="none"/>
        </w:rPr>
      </w:pPr>
      <w:r>
        <w:rPr>
          <w:rFonts w:hint="eastAsia"/>
          <w:color w:val="auto"/>
          <w:highlight w:val="none"/>
        </w:rPr>
        <w:t>《上海市监狱管理局轻应用开发技术规范》</w:t>
      </w:r>
    </w:p>
    <w:p>
      <w:pPr>
        <w:pStyle w:val="3"/>
        <w:numPr>
          <w:ilvl w:val="0"/>
          <w:numId w:val="14"/>
        </w:numPr>
        <w:ind w:firstLineChars="0"/>
        <w:rPr>
          <w:color w:val="auto"/>
          <w:highlight w:val="none"/>
        </w:rPr>
      </w:pPr>
      <w:r>
        <w:rPr>
          <w:rFonts w:hint="eastAsia"/>
          <w:color w:val="auto"/>
          <w:highlight w:val="none"/>
        </w:rPr>
        <w:t>《上海市监狱管理局轻应用开发管理规范》</w:t>
      </w:r>
    </w:p>
    <w:p>
      <w:pPr>
        <w:pStyle w:val="3"/>
        <w:numPr>
          <w:ilvl w:val="0"/>
          <w:numId w:val="14"/>
        </w:numPr>
        <w:ind w:firstLineChars="0"/>
        <w:rPr>
          <w:color w:val="auto"/>
          <w:highlight w:val="none"/>
        </w:rPr>
      </w:pPr>
      <w:r>
        <w:rPr>
          <w:rFonts w:hint="eastAsia"/>
          <w:color w:val="auto"/>
          <w:highlight w:val="none"/>
        </w:rPr>
        <w:t>《上海市监狱管理局数字化项目管理规范》</w:t>
      </w:r>
    </w:p>
    <w:p>
      <w:pPr>
        <w:pStyle w:val="3"/>
        <w:numPr>
          <w:ilvl w:val="0"/>
          <w:numId w:val="14"/>
        </w:numPr>
        <w:ind w:firstLineChars="0"/>
        <w:rPr>
          <w:color w:val="auto"/>
          <w:highlight w:val="none"/>
        </w:rPr>
      </w:pPr>
      <w:r>
        <w:rPr>
          <w:rFonts w:hint="eastAsia"/>
          <w:color w:val="auto"/>
          <w:highlight w:val="none"/>
        </w:rPr>
        <w:t>《上海市监狱管理局安防设备接入标准》</w:t>
      </w:r>
    </w:p>
    <w:p>
      <w:pPr>
        <w:pStyle w:val="4"/>
        <w:rPr>
          <w:color w:val="auto"/>
          <w:highlight w:val="none"/>
        </w:rPr>
      </w:pPr>
      <w:bookmarkStart w:id="65" w:name="_Toc180570862"/>
      <w:r>
        <w:rPr>
          <w:rFonts w:hint="eastAsia"/>
          <w:color w:val="auto"/>
          <w:highlight w:val="none"/>
        </w:rPr>
        <w:t>售后服务要求</w:t>
      </w:r>
      <w:bookmarkEnd w:id="65"/>
    </w:p>
    <w:p>
      <w:pPr>
        <w:pStyle w:val="3"/>
        <w:ind w:firstLine="480"/>
        <w:rPr>
          <w:color w:val="auto"/>
          <w:highlight w:val="none"/>
        </w:rPr>
      </w:pPr>
      <w:r>
        <w:rPr>
          <w:rFonts w:hint="eastAsia"/>
          <w:color w:val="auto"/>
          <w:highlight w:val="none"/>
        </w:rPr>
        <w:t>1、中标方应提供至少</w:t>
      </w:r>
      <w:r>
        <w:rPr>
          <w:rFonts w:hint="eastAsia"/>
          <w:b/>
          <w:bCs/>
          <w:color w:val="auto"/>
          <w:highlight w:val="none"/>
        </w:rPr>
        <w:t>1</w:t>
      </w:r>
      <w:r>
        <w:rPr>
          <w:rFonts w:hint="eastAsia"/>
          <w:color w:val="auto"/>
          <w:highlight w:val="none"/>
        </w:rPr>
        <w:t>年的项目免费维保服务，要求提供不少于1名驻场维护人员并具备独立承担本系统日常维护的技术能力。维保期从项目最终验收合格之日算起。在维保期内，出现软件系统的故障，中标方应研究其故障原因，并迅速修复，直至满足采购人原定的要求为止。</w:t>
      </w:r>
    </w:p>
    <w:p>
      <w:pPr>
        <w:pStyle w:val="3"/>
        <w:ind w:firstLine="480"/>
        <w:rPr>
          <w:color w:val="auto"/>
          <w:highlight w:val="none"/>
        </w:rPr>
      </w:pPr>
      <w:r>
        <w:rPr>
          <w:rFonts w:hint="eastAsia"/>
          <w:color w:val="auto"/>
          <w:highlight w:val="none"/>
        </w:rPr>
        <w:t>在开发和维护期间中标单位人员发生变动时必须经过采购方的同意，否则按每人以合同总价2%的标准在项目费用中扣除。</w:t>
      </w:r>
    </w:p>
    <w:p>
      <w:pPr>
        <w:pStyle w:val="3"/>
        <w:ind w:firstLine="480"/>
        <w:rPr>
          <w:color w:val="auto"/>
          <w:highlight w:val="none"/>
        </w:rPr>
      </w:pPr>
      <w:r>
        <w:rPr>
          <w:rFonts w:hint="eastAsia"/>
          <w:color w:val="auto"/>
          <w:highlight w:val="none"/>
        </w:rPr>
        <w:t>2、维保服务的响应时间。若采购人提出故障申请，中标方须提供7×24小时电话服务，维保服务响应时间为30分钟，并在2小时内派专业技术人员到达现场进行免费维保服务。故障原因在8小时内无法排除的，中标方在1个工作日内提交解决软件系统故障的方案。通过与用户交涉承诺将以最快的时间将故障排除。中标方还须提供系统应用软件的故障处理、维护和现场巡检等服务，以及其他的技术需支持工作。在维保期内，与软件系统维保等相关的费用由中标方负责。</w:t>
      </w:r>
    </w:p>
    <w:p>
      <w:pPr>
        <w:pStyle w:val="3"/>
        <w:ind w:firstLine="480"/>
        <w:rPr>
          <w:color w:val="auto"/>
          <w:highlight w:val="none"/>
        </w:rPr>
      </w:pPr>
      <w:r>
        <w:rPr>
          <w:rFonts w:hint="eastAsia"/>
          <w:color w:val="auto"/>
          <w:highlight w:val="none"/>
        </w:rPr>
        <w:t>3、维保期后的服务要求。维保期结束后，中标方仍应提供与维保期内相同质量的售后服务，其维保的相关费用由采购方自行承担。</w:t>
      </w:r>
    </w:p>
    <w:p>
      <w:pPr>
        <w:pStyle w:val="3"/>
        <w:ind w:firstLine="480"/>
        <w:rPr>
          <w:color w:val="auto"/>
          <w:highlight w:val="none"/>
        </w:rPr>
      </w:pPr>
      <w:r>
        <w:rPr>
          <w:rFonts w:hint="eastAsia"/>
          <w:color w:val="auto"/>
          <w:highlight w:val="none"/>
        </w:rPr>
        <w:t>4、投标人可视自身能力在投标文件中提供更优、更合理的维保服务承诺。</w:t>
      </w:r>
    </w:p>
    <w:p>
      <w:pPr>
        <w:pStyle w:val="3"/>
        <w:ind w:firstLine="480"/>
        <w:rPr>
          <w:color w:val="auto"/>
          <w:highlight w:val="none"/>
        </w:rPr>
      </w:pPr>
      <w:r>
        <w:rPr>
          <w:rFonts w:hint="eastAsia"/>
          <w:color w:val="auto"/>
          <w:highlight w:val="none"/>
        </w:rPr>
        <w:t>5、投标人在其投标文件中须对售后服务作出明确的承诺，包括服务时限、故障响应处理时限、应用恢复处理时限等。</w:t>
      </w:r>
    </w:p>
    <w:p>
      <w:pPr>
        <w:pStyle w:val="4"/>
        <w:rPr>
          <w:color w:val="auto"/>
          <w:highlight w:val="none"/>
        </w:rPr>
      </w:pPr>
      <w:bookmarkStart w:id="66" w:name="_Toc180570863"/>
      <w:r>
        <w:rPr>
          <w:rFonts w:hint="eastAsia"/>
          <w:color w:val="auto"/>
          <w:highlight w:val="none"/>
        </w:rPr>
        <w:t>项目培训要求</w:t>
      </w:r>
      <w:bookmarkEnd w:id="66"/>
    </w:p>
    <w:p>
      <w:pPr>
        <w:pStyle w:val="3"/>
        <w:ind w:firstLine="480"/>
        <w:rPr>
          <w:color w:val="auto"/>
          <w:highlight w:val="none"/>
        </w:rPr>
      </w:pPr>
      <w:r>
        <w:rPr>
          <w:rFonts w:hint="eastAsia"/>
          <w:color w:val="auto"/>
          <w:highlight w:val="none"/>
        </w:rPr>
        <w:t>1、本项目的培训，是指投标单位对上海监狱管理局使用和维护本次“上海市监狱管理局信息化系统升级改造项目”建设标的的人员进行培训。</w:t>
      </w:r>
    </w:p>
    <w:p>
      <w:pPr>
        <w:pStyle w:val="3"/>
        <w:ind w:firstLine="480"/>
        <w:rPr>
          <w:color w:val="auto"/>
          <w:highlight w:val="none"/>
        </w:rPr>
      </w:pPr>
      <w:r>
        <w:rPr>
          <w:rFonts w:hint="eastAsia"/>
          <w:color w:val="auto"/>
          <w:highlight w:val="none"/>
        </w:rPr>
        <w:t>2、培训由投标单位负责师资及教材，并负责组织实施。投标单位方必须派出具有相关专业资格和实际工作经验的教师及辅导人员授课。</w:t>
      </w:r>
    </w:p>
    <w:p>
      <w:pPr>
        <w:pStyle w:val="3"/>
        <w:ind w:firstLine="480"/>
        <w:rPr>
          <w:color w:val="auto"/>
          <w:highlight w:val="none"/>
        </w:rPr>
      </w:pPr>
      <w:r>
        <w:rPr>
          <w:rFonts w:hint="eastAsia"/>
          <w:color w:val="auto"/>
          <w:highlight w:val="none"/>
        </w:rPr>
        <w:t>3、投标单位应详细制定人员培训方案，包括培训目的、培训时间安排、人数、次数、教材编写（列出教材基本内容）、培训课程（包括课程介绍）、培训师资情况（包括教师简历）、培训组织方式等。</w:t>
      </w:r>
    </w:p>
    <w:p>
      <w:pPr>
        <w:pStyle w:val="3"/>
        <w:ind w:firstLine="480"/>
        <w:rPr>
          <w:color w:val="auto"/>
          <w:highlight w:val="none"/>
        </w:rPr>
      </w:pPr>
      <w:r>
        <w:rPr>
          <w:rFonts w:hint="eastAsia"/>
          <w:color w:val="auto"/>
          <w:highlight w:val="none"/>
        </w:rPr>
        <w:t>4、培训费用计入总报价。</w:t>
      </w:r>
    </w:p>
    <w:p>
      <w:pPr>
        <w:pStyle w:val="4"/>
        <w:rPr>
          <w:color w:val="auto"/>
          <w:highlight w:val="none"/>
        </w:rPr>
      </w:pPr>
      <w:bookmarkStart w:id="67" w:name="_Toc180570864"/>
      <w:r>
        <w:rPr>
          <w:rFonts w:hint="eastAsia"/>
          <w:color w:val="auto"/>
          <w:highlight w:val="none"/>
        </w:rPr>
        <w:t>项目保密管理要求</w:t>
      </w:r>
      <w:bookmarkEnd w:id="67"/>
    </w:p>
    <w:p>
      <w:pPr>
        <w:pStyle w:val="3"/>
        <w:ind w:firstLine="480"/>
        <w:rPr>
          <w:color w:val="auto"/>
          <w:highlight w:val="none"/>
        </w:rPr>
      </w:pPr>
      <w:r>
        <w:rPr>
          <w:rFonts w:hint="eastAsia"/>
          <w:color w:val="auto"/>
          <w:highlight w:val="none"/>
        </w:rPr>
        <w:t>投标人须提供项目保密管理方案，参与项目人员须签署项目保密承诺书，并按照保密管理方案进行项目管理，保障项目核心信息、数据安全不泄密。</w:t>
      </w:r>
    </w:p>
    <w:p>
      <w:pPr>
        <w:rPr>
          <w:rFonts w:ascii="宋体" w:hAnsi="宋体" w:eastAsia="宋体"/>
          <w:color w:val="auto"/>
          <w:kern w:val="2"/>
          <w:szCs w:val="28"/>
          <w:highlight w:val="none"/>
        </w:rPr>
      </w:pPr>
    </w:p>
    <w:sectPr>
      <w:footerReference r:id="rId4" w:type="default"/>
      <w:pgSz w:w="11900" w:h="16840"/>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alibri Light">
    <w:altName w:val="DejaVu Sans"/>
    <w:panose1 w:val="020F0302020204030204"/>
    <w:charset w:val="00"/>
    <w:family w:val="swiss"/>
    <w:pitch w:val="default"/>
    <w:sig w:usb0="00000000" w:usb1="00000000" w:usb2="00000000" w:usb3="00000000" w:csb0="0000019F" w:csb1="00000000"/>
  </w:font>
  <w:font w:name="方正黑体_GBK">
    <w:panose1 w:val="02000000000000000000"/>
    <w:charset w:val="86"/>
    <w:family w:val="auto"/>
    <w:pitch w:val="default"/>
    <w:sig w:usb0="00000001" w:usb1="08000000" w:usb2="00000000" w:usb3="00000000" w:csb0="00040000" w:csb1="00000000"/>
  </w:font>
  <w:font w:name="Courier">
    <w:altName w:val="DejaVu Math TeX Gyre"/>
    <w:panose1 w:val="02000500000000000000"/>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Arial Unicode MS">
    <w:altName w:val="DejaVu Sans"/>
    <w:panose1 w:val="020B0604020202020204"/>
    <w:charset w:val="00"/>
    <w:family w:val="swiss"/>
    <w:pitch w:val="default"/>
    <w:sig w:usb0="00000000" w:usb1="00000000" w:usb2="0000003F" w:usb3="00000000" w:csb0="003F01FF" w:csb1="00000000"/>
  </w:font>
  <w:font w:name="Cambria">
    <w:altName w:val="Noto Sans Syriac Eastern"/>
    <w:panose1 w:val="02040503050406030204"/>
    <w:charset w:val="00"/>
    <w:family w:val="roman"/>
    <w:pitch w:val="default"/>
    <w:sig w:usb0="00000000" w:usb1="00000000" w:usb2="00000000" w:usb3="00000000" w:csb0="0000019F" w:csb1="00000000"/>
  </w:font>
  <w:font w:name="Noto Sans Syriac Eastern">
    <w:panose1 w:val="02040503050306020203"/>
    <w:charset w:val="86"/>
    <w:family w:val="auto"/>
    <w:pitch w:val="default"/>
    <w:sig w:usb0="00000000" w:usb1="00000000" w:usb2="00000080" w:usb3="00000000" w:csb0="203E0161" w:csb1="D7FF0000"/>
  </w:font>
  <w:font w:name="仿宋_GB2312">
    <w:panose1 w:val="02010609030101010101"/>
    <w:charset w:val="86"/>
    <w:family w:val="modern"/>
    <w:pitch w:val="default"/>
    <w:sig w:usb0="00000001" w:usb1="080E0000" w:usb2="00000000" w:usb3="00000000" w:csb0="00040000" w:csb1="00000000"/>
  </w:font>
  <w:font w:name="Songti SC">
    <w:altName w:val="华文中宋"/>
    <w:panose1 w:val="02010600040101010101"/>
    <w:charset w:val="86"/>
    <w:family w:val="roman"/>
    <w:pitch w:val="default"/>
    <w:sig w:usb0="00000000" w:usb1="00000000" w:usb2="00000010" w:usb3="00000000" w:csb0="0004009F" w:csb1="00000000"/>
  </w:font>
  <w:font w:name="华文中宋">
    <w:panose1 w:val="02010600040101010101"/>
    <w:charset w:val="86"/>
    <w:family w:val="auto"/>
    <w:pitch w:val="default"/>
    <w:sig w:usb0="00000287" w:usb1="080F0000" w:usb2="00000000" w:usb3="00000000" w:csb0="0004009F" w:csb1="DFD70000"/>
  </w:font>
  <w:font w:name="微软雅黑">
    <w:altName w:val="方正黑体_GBK"/>
    <w:panose1 w:val="00000000000000000000"/>
    <w:charset w:val="86"/>
    <w:family w:val="swiss"/>
    <w:pitch w:val="default"/>
    <w:sig w:usb0="00000000" w:usb1="00000000" w:usb2="00000016" w:usb3="00000000" w:csb0="0004001F" w:csb1="00000000"/>
  </w:font>
  <w:font w:name="仿宋">
    <w:altName w:val="方正仿宋_GBK"/>
    <w:panose1 w:val="00000000000000000000"/>
    <w:charset w:val="86"/>
    <w:family w:val="auto"/>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阿里巴巴普惠体 L">
    <w:altName w:val="仿宋_GB2312"/>
    <w:panose1 w:val="00000000000000000000"/>
    <w:charset w:val="86"/>
    <w:family w:val="roman"/>
    <w:pitch w:val="default"/>
    <w:sig w:usb0="00000000" w:usb1="00000000" w:usb2="0000001E" w:usb3="00000000" w:csb0="0004009F" w:csb1="00000000"/>
  </w:font>
  <w:font w:name="华文细黑">
    <w:altName w:val="文泉驿微米黑"/>
    <w:panose1 w:val="00000000000000000000"/>
    <w:charset w:val="86"/>
    <w:family w:val="auto"/>
    <w:pitch w:val="default"/>
    <w:sig w:usb0="00000000" w:usb1="00000000" w:usb2="00000010" w:usb3="00000000" w:csb0="0004009F" w:csb1="00000000"/>
  </w:font>
  <w:font w:name="文泉驿微米黑">
    <w:panose1 w:val="020B0606030804020204"/>
    <w:charset w:val="86"/>
    <w:family w:val="auto"/>
    <w:pitch w:val="default"/>
    <w:sig w:usb0="E10002EF" w:usb1="6BDFFCFB" w:usb2="00800036" w:usb3="00000000" w:csb0="603E019F" w:csb1="DFD70000"/>
  </w:font>
  <w:font w:name="等线">
    <w:altName w:val="仿宋_GB2312"/>
    <w:panose1 w:val="00000000000000000000"/>
    <w:charset w:val="86"/>
    <w:family w:val="script"/>
    <w:pitch w:val="default"/>
    <w:sig w:usb0="00000000" w:usb1="00000000" w:usb2="00000016" w:usb3="00000000" w:csb0="0004000F" w:csb1="00000000"/>
  </w:font>
  <w:font w:name="FreeSerif">
    <w:altName w:val="仿宋_GB2312"/>
    <w:panose1 w:val="00000000000000000000"/>
    <w:charset w:val="00"/>
    <w:family w:val="roman"/>
    <w:pitch w:val="default"/>
    <w:sig w:usb0="00000000" w:usb1="00000000" w:usb2="00000000" w:usb3="00000000" w:csb0="00000000" w:csb1="00000000"/>
  </w:font>
  <w:font w:name="宋?">
    <w:altName w:val="方正书宋_GBK"/>
    <w:panose1 w:val="00000000000000000000"/>
    <w:charset w:val="81"/>
    <w:family w:val="roman"/>
    <w:pitch w:val="default"/>
    <w:sig w:usb0="00000000" w:usb1="00000000" w:usb2="00000000" w:usb3="00000000" w:csb0="00080000" w:csb1="00000000"/>
  </w:font>
  <w:font w:name="Liberation Serif">
    <w:panose1 w:val="02020603050405020304"/>
    <w:charset w:val="00"/>
    <w:family w:val="auto"/>
    <w:pitch w:val="default"/>
    <w:sig w:usb0="A00002AF" w:usb1="500078FB" w:usb2="00000000" w:usb3="00000000" w:csb0="6000009F" w:csb1="DFD70000"/>
  </w:font>
  <w:font w:name="微软雅黑">
    <w:altName w:val="方正黑体_GBK"/>
    <w:panose1 w:val="00000000000000000000"/>
    <w:charset w:val="00"/>
    <w:family w:val="auto"/>
    <w:pitch w:val="default"/>
    <w:sig w:usb0="00000000" w:usb1="00000000" w:usb2="00000000" w:usb3="00000000" w:csb0="00000000" w:csb1="00000000"/>
  </w:font>
  <w:font w:name="Tahoma">
    <w:altName w:val="DejaVu Sans"/>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30355628"/>
    </w:sdtPr>
    <w:sdtContent>
      <w:p>
        <w:pPr>
          <w:pStyle w:val="23"/>
          <w:jc w:val="center"/>
        </w:pPr>
        <w:r>
          <w:fldChar w:fldCharType="begin"/>
        </w:r>
        <w:r>
          <w:instrText xml:space="preserve">PAGE   \* MERGEFORMAT</w:instrText>
        </w:r>
        <w:r>
          <w:fldChar w:fldCharType="separate"/>
        </w:r>
        <w:r>
          <w:rPr>
            <w:lang w:val="zh-CN"/>
          </w:rPr>
          <w:t>ii</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88073267"/>
    </w:sdtPr>
    <w:sdtContent>
      <w:p>
        <w:pPr>
          <w:pStyle w:val="23"/>
          <w:jc w:val="center"/>
        </w:pPr>
        <w:r>
          <w:fldChar w:fldCharType="begin"/>
        </w:r>
        <w:r>
          <w:instrText xml:space="preserve">PAGE   \* MERGEFORMAT</w:instrText>
        </w:r>
        <w:r>
          <w:fldChar w:fldCharType="separate"/>
        </w:r>
        <w:r>
          <w:rPr>
            <w:lang w:val="zh-CN"/>
          </w:rPr>
          <w:t>75</w:t>
        </w:r>
        <w: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E69488"/>
    <w:multiLevelType w:val="singleLevel"/>
    <w:tmpl w:val="BDE69488"/>
    <w:lvl w:ilvl="0" w:tentative="0">
      <w:start w:val="1"/>
      <w:numFmt w:val="bullet"/>
      <w:lvlText w:val=""/>
      <w:lvlJc w:val="left"/>
      <w:pPr>
        <w:tabs>
          <w:tab w:val="left" w:pos="420"/>
        </w:tabs>
        <w:ind w:left="420" w:hanging="420"/>
      </w:pPr>
      <w:rPr>
        <w:rFonts w:hint="default" w:ascii="Wingdings" w:hAnsi="Wingdings"/>
      </w:rPr>
    </w:lvl>
  </w:abstractNum>
  <w:abstractNum w:abstractNumId="1">
    <w:nsid w:val="0BA3201E"/>
    <w:multiLevelType w:val="multilevel"/>
    <w:tmpl w:val="0BA3201E"/>
    <w:lvl w:ilvl="0" w:tentative="0">
      <w:start w:val="1"/>
      <w:numFmt w:val="decimal"/>
      <w:lvlText w:val="%1)"/>
      <w:lvlJc w:val="left"/>
      <w:pPr>
        <w:ind w:left="920" w:hanging="440"/>
      </w:p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2">
    <w:nsid w:val="10E5613E"/>
    <w:multiLevelType w:val="multilevel"/>
    <w:tmpl w:val="10E5613E"/>
    <w:lvl w:ilvl="0" w:tentative="0">
      <w:start w:val="1"/>
      <w:numFmt w:val="decimal"/>
      <w:suff w:val="nothing"/>
      <w:lvlText w:val="%1."/>
      <w:lvlJc w:val="left"/>
      <w:pPr>
        <w:ind w:left="905" w:hanging="905"/>
      </w:pPr>
      <w:rPr>
        <w:rFonts w:hint="default" w:eastAsia="宋体" w:asciiTheme="minorHAnsi" w:hAnsiTheme="minorHAnsi"/>
        <w:b/>
        <w:i w:val="0"/>
        <w:sz w:val="52"/>
        <w:szCs w:val="52"/>
      </w:rPr>
    </w:lvl>
    <w:lvl w:ilvl="1" w:tentative="0">
      <w:start w:val="1"/>
      <w:numFmt w:val="decimal"/>
      <w:suff w:val="nothing"/>
      <w:lvlText w:val="%1.%2."/>
      <w:lvlJc w:val="left"/>
      <w:pPr>
        <w:ind w:left="1615" w:hanging="1047"/>
      </w:pPr>
      <w:rPr>
        <w:rFonts w:hint="default" w:eastAsia="宋体" w:asciiTheme="minorHAnsi" w:hAnsiTheme="minorHAnsi"/>
        <w:b/>
        <w:i w:val="0"/>
        <w:sz w:val="44"/>
        <w:szCs w:val="44"/>
      </w:rPr>
    </w:lvl>
    <w:lvl w:ilvl="2" w:tentative="0">
      <w:start w:val="1"/>
      <w:numFmt w:val="decimal"/>
      <w:suff w:val="nothing"/>
      <w:lvlText w:val="%1.%2.%3."/>
      <w:lvlJc w:val="left"/>
      <w:pPr>
        <w:ind w:left="2608" w:hanging="2608"/>
      </w:pPr>
      <w:rPr>
        <w:rFonts w:hint="default" w:eastAsia="宋体" w:asciiTheme="minorHAnsi" w:hAnsiTheme="minorHAnsi"/>
        <w:b/>
        <w:i w:val="0"/>
        <w:sz w:val="32"/>
      </w:rPr>
    </w:lvl>
    <w:lvl w:ilvl="3" w:tentative="0">
      <w:start w:val="1"/>
      <w:numFmt w:val="decimal"/>
      <w:suff w:val="nothing"/>
      <w:lvlText w:val="%1.%2.%3.%4."/>
      <w:lvlJc w:val="left"/>
      <w:pPr>
        <w:ind w:left="1331" w:hanging="1331"/>
      </w:pPr>
      <w:rPr>
        <w:rFonts w:hint="default" w:eastAsia="宋体" w:asciiTheme="minorHAnsi" w:hAnsiTheme="minorHAnsi"/>
        <w:b/>
        <w:i w:val="0"/>
        <w:sz w:val="30"/>
      </w:rPr>
    </w:lvl>
    <w:lvl w:ilvl="4" w:tentative="0">
      <w:start w:val="1"/>
      <w:numFmt w:val="decimal"/>
      <w:suff w:val="nothing"/>
      <w:lvlText w:val="%1.%2.%3.%4.%5."/>
      <w:lvlJc w:val="left"/>
      <w:pPr>
        <w:ind w:left="1472" w:hanging="1472"/>
      </w:pPr>
      <w:rPr>
        <w:rFonts w:hint="default" w:eastAsia="宋体" w:asciiTheme="minorHAnsi" w:hAnsiTheme="minorHAnsi"/>
        <w:b/>
        <w:i w:val="0"/>
        <w:sz w:val="28"/>
      </w:rPr>
    </w:lvl>
    <w:lvl w:ilvl="5" w:tentative="0">
      <w:start w:val="1"/>
      <w:numFmt w:val="decimal"/>
      <w:pStyle w:val="121"/>
      <w:suff w:val="nothing"/>
      <w:lvlText w:val="%1.%2.%3.%4.%5.%6."/>
      <w:lvlJc w:val="left"/>
      <w:pPr>
        <w:ind w:left="1614" w:hanging="1614"/>
      </w:pPr>
      <w:rPr>
        <w:rFonts w:hint="default" w:eastAsia="宋体" w:asciiTheme="minorHAnsi" w:hAnsiTheme="minorHAnsi"/>
        <w:b/>
        <w:i w:val="0"/>
        <w:sz w:val="28"/>
      </w:rPr>
    </w:lvl>
    <w:lvl w:ilvl="6" w:tentative="0">
      <w:start w:val="1"/>
      <w:numFmt w:val="decimal"/>
      <w:lvlText w:val="%1.%2.%3.%4.%5.%6.%7."/>
      <w:lvlJc w:val="left"/>
      <w:pPr>
        <w:ind w:left="1588" w:hanging="1588"/>
      </w:pPr>
      <w:rPr>
        <w:rFonts w:hint="eastAsia" w:eastAsia="宋体"/>
        <w:b/>
        <w:i w:val="0"/>
        <w:sz w:val="24"/>
      </w:rPr>
    </w:lvl>
    <w:lvl w:ilvl="7" w:tentative="0">
      <w:start w:val="1"/>
      <w:numFmt w:val="decimal"/>
      <w:lvlText w:val="%1.%2.%3.%4.%5.%6.%7.%8."/>
      <w:lvlJc w:val="left"/>
      <w:pPr>
        <w:ind w:left="1898" w:hanging="1418"/>
      </w:pPr>
      <w:rPr>
        <w:rFonts w:hint="eastAsia" w:eastAsia="宋体"/>
        <w:b/>
        <w:i w:val="0"/>
        <w:sz w:val="21"/>
      </w:rPr>
    </w:lvl>
    <w:lvl w:ilvl="8" w:tentative="0">
      <w:start w:val="1"/>
      <w:numFmt w:val="decimal"/>
      <w:lvlText w:val="%1.%2.%3.%4.%5.%6.%7.%8.%9."/>
      <w:lvlJc w:val="left"/>
      <w:pPr>
        <w:ind w:left="2039" w:hanging="1559"/>
      </w:pPr>
      <w:rPr>
        <w:rFonts w:hint="eastAsia"/>
      </w:rPr>
    </w:lvl>
  </w:abstractNum>
  <w:abstractNum w:abstractNumId="3">
    <w:nsid w:val="1C080EBD"/>
    <w:multiLevelType w:val="multilevel"/>
    <w:tmpl w:val="1C080EBD"/>
    <w:lvl w:ilvl="0" w:tentative="0">
      <w:start w:val="1"/>
      <w:numFmt w:val="decimal"/>
      <w:lvlText w:val="%1)"/>
      <w:lvlJc w:val="left"/>
      <w:pPr>
        <w:ind w:left="920" w:hanging="440"/>
      </w:p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4">
    <w:nsid w:val="21BA16E5"/>
    <w:multiLevelType w:val="multilevel"/>
    <w:tmpl w:val="21BA16E5"/>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5">
    <w:nsid w:val="3AC31472"/>
    <w:multiLevelType w:val="multilevel"/>
    <w:tmpl w:val="3AC31472"/>
    <w:lvl w:ilvl="0" w:tentative="0">
      <w:start w:val="1"/>
      <w:numFmt w:val="bullet"/>
      <w:lvlText w:val=""/>
      <w:lvlJc w:val="left"/>
      <w:pPr>
        <w:ind w:left="920" w:hanging="440"/>
      </w:pPr>
      <w:rPr>
        <w:rFonts w:hint="default" w:ascii="Wingdings" w:hAnsi="Wingdings"/>
      </w:rPr>
    </w:lvl>
    <w:lvl w:ilvl="1" w:tentative="0">
      <w:start w:val="1"/>
      <w:numFmt w:val="bullet"/>
      <w:lvlText w:val=""/>
      <w:lvlJc w:val="left"/>
      <w:pPr>
        <w:ind w:left="1360" w:hanging="440"/>
      </w:pPr>
      <w:rPr>
        <w:rFonts w:hint="default" w:ascii="Wingdings" w:hAnsi="Wingdings"/>
      </w:rPr>
    </w:lvl>
    <w:lvl w:ilvl="2" w:tentative="0">
      <w:start w:val="1"/>
      <w:numFmt w:val="bullet"/>
      <w:lvlText w:val=""/>
      <w:lvlJc w:val="left"/>
      <w:pPr>
        <w:ind w:left="1800" w:hanging="440"/>
      </w:pPr>
      <w:rPr>
        <w:rFonts w:hint="default" w:ascii="Wingdings" w:hAnsi="Wingdings"/>
      </w:rPr>
    </w:lvl>
    <w:lvl w:ilvl="3" w:tentative="0">
      <w:start w:val="1"/>
      <w:numFmt w:val="bullet"/>
      <w:lvlText w:val=""/>
      <w:lvlJc w:val="left"/>
      <w:pPr>
        <w:ind w:left="2240" w:hanging="440"/>
      </w:pPr>
      <w:rPr>
        <w:rFonts w:hint="default" w:ascii="Wingdings" w:hAnsi="Wingdings"/>
      </w:rPr>
    </w:lvl>
    <w:lvl w:ilvl="4" w:tentative="0">
      <w:start w:val="1"/>
      <w:numFmt w:val="bullet"/>
      <w:lvlText w:val=""/>
      <w:lvlJc w:val="left"/>
      <w:pPr>
        <w:ind w:left="2680" w:hanging="440"/>
      </w:pPr>
      <w:rPr>
        <w:rFonts w:hint="default" w:ascii="Wingdings" w:hAnsi="Wingdings"/>
      </w:rPr>
    </w:lvl>
    <w:lvl w:ilvl="5" w:tentative="0">
      <w:start w:val="1"/>
      <w:numFmt w:val="bullet"/>
      <w:lvlText w:val=""/>
      <w:lvlJc w:val="left"/>
      <w:pPr>
        <w:ind w:left="3120" w:hanging="440"/>
      </w:pPr>
      <w:rPr>
        <w:rFonts w:hint="default" w:ascii="Wingdings" w:hAnsi="Wingdings"/>
      </w:rPr>
    </w:lvl>
    <w:lvl w:ilvl="6" w:tentative="0">
      <w:start w:val="1"/>
      <w:numFmt w:val="bullet"/>
      <w:lvlText w:val=""/>
      <w:lvlJc w:val="left"/>
      <w:pPr>
        <w:ind w:left="3560" w:hanging="440"/>
      </w:pPr>
      <w:rPr>
        <w:rFonts w:hint="default" w:ascii="Wingdings" w:hAnsi="Wingdings"/>
      </w:rPr>
    </w:lvl>
    <w:lvl w:ilvl="7" w:tentative="0">
      <w:start w:val="1"/>
      <w:numFmt w:val="bullet"/>
      <w:lvlText w:val=""/>
      <w:lvlJc w:val="left"/>
      <w:pPr>
        <w:ind w:left="4000" w:hanging="440"/>
      </w:pPr>
      <w:rPr>
        <w:rFonts w:hint="default" w:ascii="Wingdings" w:hAnsi="Wingdings"/>
      </w:rPr>
    </w:lvl>
    <w:lvl w:ilvl="8" w:tentative="0">
      <w:start w:val="1"/>
      <w:numFmt w:val="bullet"/>
      <w:lvlText w:val=""/>
      <w:lvlJc w:val="left"/>
      <w:pPr>
        <w:ind w:left="4440" w:hanging="440"/>
      </w:pPr>
      <w:rPr>
        <w:rFonts w:hint="default" w:ascii="Wingdings" w:hAnsi="Wingdings"/>
      </w:rPr>
    </w:lvl>
  </w:abstractNum>
  <w:abstractNum w:abstractNumId="6">
    <w:nsid w:val="3DB212BF"/>
    <w:multiLevelType w:val="multilevel"/>
    <w:tmpl w:val="3DB212BF"/>
    <w:lvl w:ilvl="0" w:tentative="0">
      <w:start w:val="1"/>
      <w:numFmt w:val="bullet"/>
      <w:lvlText w:val=""/>
      <w:lvlJc w:val="left"/>
      <w:pPr>
        <w:ind w:left="920" w:hanging="440"/>
      </w:pPr>
      <w:rPr>
        <w:rFonts w:hint="default" w:ascii="Wingdings" w:hAnsi="Wingdings"/>
      </w:rPr>
    </w:lvl>
    <w:lvl w:ilvl="1" w:tentative="0">
      <w:start w:val="1"/>
      <w:numFmt w:val="bullet"/>
      <w:lvlText w:val=""/>
      <w:lvlJc w:val="left"/>
      <w:pPr>
        <w:ind w:left="1360" w:hanging="440"/>
      </w:pPr>
      <w:rPr>
        <w:rFonts w:hint="default" w:ascii="Wingdings" w:hAnsi="Wingdings"/>
      </w:rPr>
    </w:lvl>
    <w:lvl w:ilvl="2" w:tentative="0">
      <w:start w:val="1"/>
      <w:numFmt w:val="bullet"/>
      <w:lvlText w:val=""/>
      <w:lvlJc w:val="left"/>
      <w:pPr>
        <w:ind w:left="1800" w:hanging="440"/>
      </w:pPr>
      <w:rPr>
        <w:rFonts w:hint="default" w:ascii="Wingdings" w:hAnsi="Wingdings"/>
      </w:rPr>
    </w:lvl>
    <w:lvl w:ilvl="3" w:tentative="0">
      <w:start w:val="1"/>
      <w:numFmt w:val="bullet"/>
      <w:lvlText w:val=""/>
      <w:lvlJc w:val="left"/>
      <w:pPr>
        <w:ind w:left="2240" w:hanging="440"/>
      </w:pPr>
      <w:rPr>
        <w:rFonts w:hint="default" w:ascii="Wingdings" w:hAnsi="Wingdings"/>
      </w:rPr>
    </w:lvl>
    <w:lvl w:ilvl="4" w:tentative="0">
      <w:start w:val="1"/>
      <w:numFmt w:val="bullet"/>
      <w:lvlText w:val=""/>
      <w:lvlJc w:val="left"/>
      <w:pPr>
        <w:ind w:left="2680" w:hanging="440"/>
      </w:pPr>
      <w:rPr>
        <w:rFonts w:hint="default" w:ascii="Wingdings" w:hAnsi="Wingdings"/>
      </w:rPr>
    </w:lvl>
    <w:lvl w:ilvl="5" w:tentative="0">
      <w:start w:val="1"/>
      <w:numFmt w:val="bullet"/>
      <w:lvlText w:val=""/>
      <w:lvlJc w:val="left"/>
      <w:pPr>
        <w:ind w:left="3120" w:hanging="440"/>
      </w:pPr>
      <w:rPr>
        <w:rFonts w:hint="default" w:ascii="Wingdings" w:hAnsi="Wingdings"/>
      </w:rPr>
    </w:lvl>
    <w:lvl w:ilvl="6" w:tentative="0">
      <w:start w:val="1"/>
      <w:numFmt w:val="bullet"/>
      <w:lvlText w:val=""/>
      <w:lvlJc w:val="left"/>
      <w:pPr>
        <w:ind w:left="3560" w:hanging="440"/>
      </w:pPr>
      <w:rPr>
        <w:rFonts w:hint="default" w:ascii="Wingdings" w:hAnsi="Wingdings"/>
      </w:rPr>
    </w:lvl>
    <w:lvl w:ilvl="7" w:tentative="0">
      <w:start w:val="1"/>
      <w:numFmt w:val="bullet"/>
      <w:lvlText w:val=""/>
      <w:lvlJc w:val="left"/>
      <w:pPr>
        <w:ind w:left="4000" w:hanging="440"/>
      </w:pPr>
      <w:rPr>
        <w:rFonts w:hint="default" w:ascii="Wingdings" w:hAnsi="Wingdings"/>
      </w:rPr>
    </w:lvl>
    <w:lvl w:ilvl="8" w:tentative="0">
      <w:start w:val="1"/>
      <w:numFmt w:val="bullet"/>
      <w:lvlText w:val=""/>
      <w:lvlJc w:val="left"/>
      <w:pPr>
        <w:ind w:left="4440" w:hanging="440"/>
      </w:pPr>
      <w:rPr>
        <w:rFonts w:hint="default" w:ascii="Wingdings" w:hAnsi="Wingdings"/>
      </w:rPr>
    </w:lvl>
  </w:abstractNum>
  <w:abstractNum w:abstractNumId="7">
    <w:nsid w:val="54DD6E3A"/>
    <w:multiLevelType w:val="multilevel"/>
    <w:tmpl w:val="54DD6E3A"/>
    <w:lvl w:ilvl="0" w:tentative="0">
      <w:start w:val="1"/>
      <w:numFmt w:val="decimal"/>
      <w:lvlText w:val="%1)"/>
      <w:lvlJc w:val="left"/>
      <w:pPr>
        <w:ind w:left="920" w:hanging="440"/>
      </w:pPr>
    </w:lvl>
    <w:lvl w:ilvl="1" w:tentative="0">
      <w:start w:val="1"/>
      <w:numFmt w:val="decimal"/>
      <w:lvlText w:val="（%2）"/>
      <w:lvlJc w:val="left"/>
      <w:pPr>
        <w:ind w:left="1640" w:hanging="720"/>
      </w:pPr>
      <w:rPr>
        <w:rFonts w:hint="default"/>
      </w:r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8">
    <w:nsid w:val="5FD3642F"/>
    <w:multiLevelType w:val="multilevel"/>
    <w:tmpl w:val="5FD3642F"/>
    <w:lvl w:ilvl="0" w:tentative="0">
      <w:start w:val="1"/>
      <w:numFmt w:val="bullet"/>
      <w:lvlText w:val=""/>
      <w:lvlJc w:val="left"/>
      <w:pPr>
        <w:ind w:left="900" w:hanging="420"/>
      </w:pPr>
      <w:rPr>
        <w:rFonts w:hint="default" w:ascii="Wingdings" w:hAnsi="Wingdings"/>
      </w:rPr>
    </w:lvl>
    <w:lvl w:ilvl="1" w:tentative="0">
      <w:start w:val="1"/>
      <w:numFmt w:val="bullet"/>
      <w:pStyle w:val="117"/>
      <w:lvlText w:val=""/>
      <w:lvlJc w:val="left"/>
      <w:pPr>
        <w:ind w:left="1320" w:hanging="420"/>
      </w:pPr>
      <w:rPr>
        <w:rFonts w:hint="default" w:ascii="Wingdings" w:hAnsi="Wingdings"/>
      </w:rPr>
    </w:lvl>
    <w:lvl w:ilvl="2" w:tentative="0">
      <w:start w:val="1"/>
      <w:numFmt w:val="bullet"/>
      <w:lvlText w:val=""/>
      <w:lvlJc w:val="left"/>
      <w:pPr>
        <w:ind w:left="1740" w:hanging="420"/>
      </w:pPr>
      <w:rPr>
        <w:rFonts w:hint="default" w:ascii="Wingdings" w:hAnsi="Wingdings"/>
      </w:rPr>
    </w:lvl>
    <w:lvl w:ilvl="3" w:tentative="0">
      <w:start w:val="1"/>
      <w:numFmt w:val="bullet"/>
      <w:lvlText w:val=""/>
      <w:lvlJc w:val="left"/>
      <w:pPr>
        <w:ind w:left="2160" w:hanging="420"/>
      </w:pPr>
      <w:rPr>
        <w:rFonts w:hint="default" w:ascii="Wingdings" w:hAnsi="Wingdings"/>
      </w:rPr>
    </w:lvl>
    <w:lvl w:ilvl="4" w:tentative="0">
      <w:start w:val="1"/>
      <w:numFmt w:val="bullet"/>
      <w:lvlText w:val=""/>
      <w:lvlJc w:val="left"/>
      <w:pPr>
        <w:ind w:left="2580" w:hanging="420"/>
      </w:pPr>
      <w:rPr>
        <w:rFonts w:hint="default" w:ascii="Wingdings" w:hAnsi="Wingdings"/>
      </w:rPr>
    </w:lvl>
    <w:lvl w:ilvl="5" w:tentative="0">
      <w:start w:val="1"/>
      <w:numFmt w:val="bullet"/>
      <w:lvlText w:val=""/>
      <w:lvlJc w:val="left"/>
      <w:pPr>
        <w:ind w:left="3000" w:hanging="420"/>
      </w:pPr>
      <w:rPr>
        <w:rFonts w:hint="default" w:ascii="Wingdings" w:hAnsi="Wingdings"/>
      </w:rPr>
    </w:lvl>
    <w:lvl w:ilvl="6" w:tentative="0">
      <w:start w:val="1"/>
      <w:numFmt w:val="bullet"/>
      <w:lvlText w:val=""/>
      <w:lvlJc w:val="left"/>
      <w:pPr>
        <w:ind w:left="3420" w:hanging="420"/>
      </w:pPr>
      <w:rPr>
        <w:rFonts w:hint="default" w:ascii="Wingdings" w:hAnsi="Wingdings"/>
      </w:rPr>
    </w:lvl>
    <w:lvl w:ilvl="7" w:tentative="0">
      <w:start w:val="1"/>
      <w:numFmt w:val="bullet"/>
      <w:lvlText w:val=""/>
      <w:lvlJc w:val="left"/>
      <w:pPr>
        <w:ind w:left="3840" w:hanging="420"/>
      </w:pPr>
      <w:rPr>
        <w:rFonts w:hint="default" w:ascii="Wingdings" w:hAnsi="Wingdings"/>
      </w:rPr>
    </w:lvl>
    <w:lvl w:ilvl="8" w:tentative="0">
      <w:start w:val="1"/>
      <w:numFmt w:val="bullet"/>
      <w:lvlText w:val=""/>
      <w:lvlJc w:val="left"/>
      <w:pPr>
        <w:ind w:left="4260" w:hanging="420"/>
      </w:pPr>
      <w:rPr>
        <w:rFonts w:hint="default" w:ascii="Wingdings" w:hAnsi="Wingdings"/>
      </w:rPr>
    </w:lvl>
  </w:abstractNum>
  <w:abstractNum w:abstractNumId="9">
    <w:nsid w:val="6571735B"/>
    <w:multiLevelType w:val="multilevel"/>
    <w:tmpl w:val="6571735B"/>
    <w:lvl w:ilvl="0" w:tentative="0">
      <w:start w:val="1"/>
      <w:numFmt w:val="bullet"/>
      <w:lvlText w:val=""/>
      <w:lvlJc w:val="left"/>
      <w:pPr>
        <w:ind w:left="920" w:hanging="440"/>
      </w:pPr>
      <w:rPr>
        <w:rFonts w:hint="default" w:ascii="Wingdings" w:hAnsi="Wingdings"/>
      </w:rPr>
    </w:lvl>
    <w:lvl w:ilvl="1" w:tentative="0">
      <w:start w:val="1"/>
      <w:numFmt w:val="bullet"/>
      <w:lvlText w:val=""/>
      <w:lvlJc w:val="left"/>
      <w:pPr>
        <w:ind w:left="1360" w:hanging="440"/>
      </w:pPr>
      <w:rPr>
        <w:rFonts w:hint="default" w:ascii="Wingdings" w:hAnsi="Wingdings"/>
      </w:rPr>
    </w:lvl>
    <w:lvl w:ilvl="2" w:tentative="0">
      <w:start w:val="1"/>
      <w:numFmt w:val="bullet"/>
      <w:lvlText w:val=""/>
      <w:lvlJc w:val="left"/>
      <w:pPr>
        <w:ind w:left="1800" w:hanging="440"/>
      </w:pPr>
      <w:rPr>
        <w:rFonts w:hint="default" w:ascii="Wingdings" w:hAnsi="Wingdings"/>
      </w:rPr>
    </w:lvl>
    <w:lvl w:ilvl="3" w:tentative="0">
      <w:start w:val="1"/>
      <w:numFmt w:val="bullet"/>
      <w:lvlText w:val=""/>
      <w:lvlJc w:val="left"/>
      <w:pPr>
        <w:ind w:left="2240" w:hanging="440"/>
      </w:pPr>
      <w:rPr>
        <w:rFonts w:hint="default" w:ascii="Wingdings" w:hAnsi="Wingdings"/>
      </w:rPr>
    </w:lvl>
    <w:lvl w:ilvl="4" w:tentative="0">
      <w:start w:val="1"/>
      <w:numFmt w:val="bullet"/>
      <w:lvlText w:val=""/>
      <w:lvlJc w:val="left"/>
      <w:pPr>
        <w:ind w:left="2680" w:hanging="440"/>
      </w:pPr>
      <w:rPr>
        <w:rFonts w:hint="default" w:ascii="Wingdings" w:hAnsi="Wingdings"/>
      </w:rPr>
    </w:lvl>
    <w:lvl w:ilvl="5" w:tentative="0">
      <w:start w:val="1"/>
      <w:numFmt w:val="bullet"/>
      <w:lvlText w:val=""/>
      <w:lvlJc w:val="left"/>
      <w:pPr>
        <w:ind w:left="3120" w:hanging="440"/>
      </w:pPr>
      <w:rPr>
        <w:rFonts w:hint="default" w:ascii="Wingdings" w:hAnsi="Wingdings"/>
      </w:rPr>
    </w:lvl>
    <w:lvl w:ilvl="6" w:tentative="0">
      <w:start w:val="1"/>
      <w:numFmt w:val="bullet"/>
      <w:lvlText w:val=""/>
      <w:lvlJc w:val="left"/>
      <w:pPr>
        <w:ind w:left="3560" w:hanging="440"/>
      </w:pPr>
      <w:rPr>
        <w:rFonts w:hint="default" w:ascii="Wingdings" w:hAnsi="Wingdings"/>
      </w:rPr>
    </w:lvl>
    <w:lvl w:ilvl="7" w:tentative="0">
      <w:start w:val="1"/>
      <w:numFmt w:val="bullet"/>
      <w:lvlText w:val=""/>
      <w:lvlJc w:val="left"/>
      <w:pPr>
        <w:ind w:left="4000" w:hanging="440"/>
      </w:pPr>
      <w:rPr>
        <w:rFonts w:hint="default" w:ascii="Wingdings" w:hAnsi="Wingdings"/>
      </w:rPr>
    </w:lvl>
    <w:lvl w:ilvl="8" w:tentative="0">
      <w:start w:val="1"/>
      <w:numFmt w:val="bullet"/>
      <w:lvlText w:val=""/>
      <w:lvlJc w:val="left"/>
      <w:pPr>
        <w:ind w:left="4440" w:hanging="440"/>
      </w:pPr>
      <w:rPr>
        <w:rFonts w:hint="default" w:ascii="Wingdings" w:hAnsi="Wingdings"/>
      </w:rPr>
    </w:lvl>
  </w:abstractNum>
  <w:abstractNum w:abstractNumId="10">
    <w:nsid w:val="67F74D63"/>
    <w:multiLevelType w:val="multilevel"/>
    <w:tmpl w:val="67F74D63"/>
    <w:lvl w:ilvl="0" w:tentative="0">
      <w:start w:val="1"/>
      <w:numFmt w:val="decimal"/>
      <w:pStyle w:val="2"/>
      <w:lvlText w:val="%1"/>
      <w:lvlJc w:val="left"/>
      <w:rPr>
        <w:rFonts w:hint="default" w:ascii="Times New Roman" w:hAnsi="Times New Roman" w:cs="Times New Roman"/>
        <w:bCs w:val="0"/>
        <w:i w:val="0"/>
        <w:iCs w:val="0"/>
        <w:caps w:val="0"/>
        <w:smallCaps w:val="0"/>
        <w:strike w:val="0"/>
        <w:dstrike w:val="0"/>
        <w:vanish w:val="0"/>
        <w:color w:val="000000"/>
        <w:spacing w:val="0"/>
        <w:position w:val="0"/>
        <w:u w:val="none"/>
        <w:vertAlign w:val="baseline"/>
        <w:lang w:val="en-US"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decimal"/>
      <w:pStyle w:val="4"/>
      <w:lvlText w:val="%1.%2"/>
      <w:lvlJc w:val="left"/>
      <w:pPr>
        <w:ind w:left="576" w:hanging="576"/>
      </w:pPr>
      <w:rPr>
        <w:rFonts w:hint="default" w:ascii="Times New Roman" w:hAnsi="Times New Roman" w:cs="Times New Roman"/>
        <w:sz w:val="30"/>
        <w:szCs w:val="30"/>
      </w:rPr>
    </w:lvl>
    <w:lvl w:ilvl="2" w:tentative="0">
      <w:start w:val="1"/>
      <w:numFmt w:val="decimal"/>
      <w:pStyle w:val="5"/>
      <w:lvlText w:val="%1.%2.%3"/>
      <w:lvlJc w:val="left"/>
      <w:pPr>
        <w:ind w:left="720" w:hanging="720"/>
      </w:pPr>
      <w:rPr>
        <w:rFonts w:hint="default" w:ascii="Times New Roman" w:hAnsi="Times New Roman" w:cs="Times New Roman"/>
        <w:sz w:val="30"/>
        <w:szCs w:val="30"/>
      </w:rPr>
    </w:lvl>
    <w:lvl w:ilvl="3" w:tentative="0">
      <w:start w:val="1"/>
      <w:numFmt w:val="decimal"/>
      <w:pStyle w:val="6"/>
      <w:lvlText w:val="%1.%2.%3.%4"/>
      <w:lvlJc w:val="left"/>
      <w:pPr>
        <w:ind w:left="864" w:hanging="864"/>
      </w:pPr>
      <w:rPr>
        <w:rFonts w:hint="default" w:ascii="Times New Roman" w:hAnsi="Times New Roman" w:cs="Times New Roman"/>
        <w:b/>
        <w:bCs/>
      </w:rPr>
    </w:lvl>
    <w:lvl w:ilvl="4" w:tentative="0">
      <w:start w:val="1"/>
      <w:numFmt w:val="decimal"/>
      <w:pStyle w:val="7"/>
      <w:lvlText w:val="%1.%2.%3.%4.%5"/>
      <w:lvlJc w:val="left"/>
      <w:pPr>
        <w:ind w:left="1008" w:hanging="1008"/>
      </w:pPr>
    </w:lvl>
    <w:lvl w:ilvl="5" w:tentative="0">
      <w:start w:val="1"/>
      <w:numFmt w:val="decimal"/>
      <w:pStyle w:val="8"/>
      <w:lvlText w:val="%1.%2.%3.%4.%5.%6"/>
      <w:lvlJc w:val="left"/>
      <w:pPr>
        <w:ind w:left="1152" w:hanging="1152"/>
      </w:pPr>
      <w:rPr>
        <w:rFonts w:hint="default" w:ascii="Times New Roman" w:hAnsi="Times New Roman" w:cs="Times New Roman"/>
      </w:r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3001" w:hanging="1584"/>
      </w:pPr>
    </w:lvl>
  </w:abstractNum>
  <w:abstractNum w:abstractNumId="11">
    <w:nsid w:val="702333F4"/>
    <w:multiLevelType w:val="multilevel"/>
    <w:tmpl w:val="702333F4"/>
    <w:lvl w:ilvl="0" w:tentative="0">
      <w:start w:val="1"/>
      <w:numFmt w:val="decimal"/>
      <w:lvlText w:val="%1."/>
      <w:lvlJc w:val="left"/>
      <w:pPr>
        <w:ind w:left="840" w:hanging="360"/>
      </w:pPr>
      <w:rPr>
        <w:rFonts w:hint="default"/>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12">
    <w:nsid w:val="72667E23"/>
    <w:multiLevelType w:val="multilevel"/>
    <w:tmpl w:val="72667E23"/>
    <w:lvl w:ilvl="0" w:tentative="0">
      <w:start w:val="1"/>
      <w:numFmt w:val="bullet"/>
      <w:lvlText w:val=""/>
      <w:lvlJc w:val="left"/>
      <w:pPr>
        <w:ind w:left="920" w:hanging="440"/>
      </w:pPr>
      <w:rPr>
        <w:rFonts w:hint="default" w:ascii="Wingdings" w:hAnsi="Wingdings"/>
      </w:rPr>
    </w:lvl>
    <w:lvl w:ilvl="1" w:tentative="0">
      <w:start w:val="1"/>
      <w:numFmt w:val="bullet"/>
      <w:lvlText w:val=""/>
      <w:lvlJc w:val="left"/>
      <w:pPr>
        <w:ind w:left="1360" w:hanging="440"/>
      </w:pPr>
      <w:rPr>
        <w:rFonts w:hint="default" w:ascii="Wingdings" w:hAnsi="Wingdings"/>
      </w:rPr>
    </w:lvl>
    <w:lvl w:ilvl="2" w:tentative="0">
      <w:start w:val="1"/>
      <w:numFmt w:val="bullet"/>
      <w:lvlText w:val=""/>
      <w:lvlJc w:val="left"/>
      <w:pPr>
        <w:ind w:left="1800" w:hanging="440"/>
      </w:pPr>
      <w:rPr>
        <w:rFonts w:hint="default" w:ascii="Wingdings" w:hAnsi="Wingdings"/>
      </w:rPr>
    </w:lvl>
    <w:lvl w:ilvl="3" w:tentative="0">
      <w:start w:val="1"/>
      <w:numFmt w:val="bullet"/>
      <w:lvlText w:val=""/>
      <w:lvlJc w:val="left"/>
      <w:pPr>
        <w:ind w:left="2240" w:hanging="440"/>
      </w:pPr>
      <w:rPr>
        <w:rFonts w:hint="default" w:ascii="Wingdings" w:hAnsi="Wingdings"/>
      </w:rPr>
    </w:lvl>
    <w:lvl w:ilvl="4" w:tentative="0">
      <w:start w:val="1"/>
      <w:numFmt w:val="bullet"/>
      <w:lvlText w:val=""/>
      <w:lvlJc w:val="left"/>
      <w:pPr>
        <w:ind w:left="2680" w:hanging="440"/>
      </w:pPr>
      <w:rPr>
        <w:rFonts w:hint="default" w:ascii="Wingdings" w:hAnsi="Wingdings"/>
      </w:rPr>
    </w:lvl>
    <w:lvl w:ilvl="5" w:tentative="0">
      <w:start w:val="1"/>
      <w:numFmt w:val="bullet"/>
      <w:lvlText w:val=""/>
      <w:lvlJc w:val="left"/>
      <w:pPr>
        <w:ind w:left="3120" w:hanging="440"/>
      </w:pPr>
      <w:rPr>
        <w:rFonts w:hint="default" w:ascii="Wingdings" w:hAnsi="Wingdings"/>
      </w:rPr>
    </w:lvl>
    <w:lvl w:ilvl="6" w:tentative="0">
      <w:start w:val="1"/>
      <w:numFmt w:val="bullet"/>
      <w:lvlText w:val=""/>
      <w:lvlJc w:val="left"/>
      <w:pPr>
        <w:ind w:left="3560" w:hanging="440"/>
      </w:pPr>
      <w:rPr>
        <w:rFonts w:hint="default" w:ascii="Wingdings" w:hAnsi="Wingdings"/>
      </w:rPr>
    </w:lvl>
    <w:lvl w:ilvl="7" w:tentative="0">
      <w:start w:val="1"/>
      <w:numFmt w:val="bullet"/>
      <w:lvlText w:val=""/>
      <w:lvlJc w:val="left"/>
      <w:pPr>
        <w:ind w:left="4000" w:hanging="440"/>
      </w:pPr>
      <w:rPr>
        <w:rFonts w:hint="default" w:ascii="Wingdings" w:hAnsi="Wingdings"/>
      </w:rPr>
    </w:lvl>
    <w:lvl w:ilvl="8" w:tentative="0">
      <w:start w:val="1"/>
      <w:numFmt w:val="bullet"/>
      <w:lvlText w:val=""/>
      <w:lvlJc w:val="left"/>
      <w:pPr>
        <w:ind w:left="4440" w:hanging="440"/>
      </w:pPr>
      <w:rPr>
        <w:rFonts w:hint="default" w:ascii="Wingdings" w:hAnsi="Wingdings"/>
      </w:rPr>
    </w:lvl>
  </w:abstractNum>
  <w:abstractNum w:abstractNumId="13">
    <w:nsid w:val="77F25944"/>
    <w:multiLevelType w:val="multilevel"/>
    <w:tmpl w:val="77F25944"/>
    <w:lvl w:ilvl="0" w:tentative="0">
      <w:start w:val="1"/>
      <w:numFmt w:val="bullet"/>
      <w:lvlText w:val=""/>
      <w:lvlJc w:val="left"/>
      <w:pPr>
        <w:ind w:left="920" w:hanging="440"/>
      </w:pPr>
      <w:rPr>
        <w:rFonts w:hint="default" w:ascii="Wingdings" w:hAnsi="Wingdings"/>
      </w:rPr>
    </w:lvl>
    <w:lvl w:ilvl="1" w:tentative="0">
      <w:start w:val="1"/>
      <w:numFmt w:val="bullet"/>
      <w:lvlText w:val=""/>
      <w:lvlJc w:val="left"/>
      <w:pPr>
        <w:ind w:left="920" w:hanging="440"/>
      </w:pPr>
      <w:rPr>
        <w:rFonts w:hint="default" w:ascii="Wingdings" w:hAnsi="Wingdings"/>
      </w:rPr>
    </w:lvl>
    <w:lvl w:ilvl="2" w:tentative="0">
      <w:start w:val="1"/>
      <w:numFmt w:val="bullet"/>
      <w:lvlText w:val=""/>
      <w:lvlJc w:val="left"/>
      <w:pPr>
        <w:ind w:left="1800" w:hanging="440"/>
      </w:pPr>
      <w:rPr>
        <w:rFonts w:hint="default" w:ascii="Wingdings" w:hAnsi="Wingdings"/>
      </w:rPr>
    </w:lvl>
    <w:lvl w:ilvl="3" w:tentative="0">
      <w:start w:val="1"/>
      <w:numFmt w:val="bullet"/>
      <w:lvlText w:val=""/>
      <w:lvlJc w:val="left"/>
      <w:pPr>
        <w:ind w:left="2240" w:hanging="440"/>
      </w:pPr>
      <w:rPr>
        <w:rFonts w:hint="default" w:ascii="Wingdings" w:hAnsi="Wingdings"/>
      </w:rPr>
    </w:lvl>
    <w:lvl w:ilvl="4" w:tentative="0">
      <w:start w:val="1"/>
      <w:numFmt w:val="bullet"/>
      <w:lvlText w:val=""/>
      <w:lvlJc w:val="left"/>
      <w:pPr>
        <w:ind w:left="2680" w:hanging="440"/>
      </w:pPr>
      <w:rPr>
        <w:rFonts w:hint="default" w:ascii="Wingdings" w:hAnsi="Wingdings"/>
      </w:rPr>
    </w:lvl>
    <w:lvl w:ilvl="5" w:tentative="0">
      <w:start w:val="1"/>
      <w:numFmt w:val="bullet"/>
      <w:lvlText w:val=""/>
      <w:lvlJc w:val="left"/>
      <w:pPr>
        <w:ind w:left="3120" w:hanging="440"/>
      </w:pPr>
      <w:rPr>
        <w:rFonts w:hint="default" w:ascii="Wingdings" w:hAnsi="Wingdings"/>
      </w:rPr>
    </w:lvl>
    <w:lvl w:ilvl="6" w:tentative="0">
      <w:start w:val="1"/>
      <w:numFmt w:val="bullet"/>
      <w:lvlText w:val=""/>
      <w:lvlJc w:val="left"/>
      <w:pPr>
        <w:ind w:left="3560" w:hanging="440"/>
      </w:pPr>
      <w:rPr>
        <w:rFonts w:hint="default" w:ascii="Wingdings" w:hAnsi="Wingdings"/>
      </w:rPr>
    </w:lvl>
    <w:lvl w:ilvl="7" w:tentative="0">
      <w:start w:val="1"/>
      <w:numFmt w:val="bullet"/>
      <w:lvlText w:val=""/>
      <w:lvlJc w:val="left"/>
      <w:pPr>
        <w:ind w:left="4000" w:hanging="440"/>
      </w:pPr>
      <w:rPr>
        <w:rFonts w:hint="default" w:ascii="Wingdings" w:hAnsi="Wingdings"/>
      </w:rPr>
    </w:lvl>
    <w:lvl w:ilvl="8" w:tentative="0">
      <w:start w:val="1"/>
      <w:numFmt w:val="bullet"/>
      <w:lvlText w:val=""/>
      <w:lvlJc w:val="left"/>
      <w:pPr>
        <w:ind w:left="4440" w:hanging="440"/>
      </w:pPr>
      <w:rPr>
        <w:rFonts w:hint="default" w:ascii="Wingdings" w:hAnsi="Wingdings"/>
      </w:rPr>
    </w:lvl>
  </w:abstractNum>
  <w:num w:numId="1">
    <w:abstractNumId w:val="10"/>
  </w:num>
  <w:num w:numId="2">
    <w:abstractNumId w:val="8"/>
  </w:num>
  <w:num w:numId="3">
    <w:abstractNumId w:val="2"/>
  </w:num>
  <w:num w:numId="4">
    <w:abstractNumId w:val="9"/>
  </w:num>
  <w:num w:numId="5">
    <w:abstractNumId w:val="5"/>
  </w:num>
  <w:num w:numId="6">
    <w:abstractNumId w:val="1"/>
  </w:num>
  <w:num w:numId="7">
    <w:abstractNumId w:val="11"/>
  </w:num>
  <w:num w:numId="8">
    <w:abstractNumId w:val="3"/>
  </w:num>
  <w:num w:numId="9">
    <w:abstractNumId w:val="7"/>
  </w:num>
  <w:num w:numId="10">
    <w:abstractNumId w:val="6"/>
  </w:num>
  <w:num w:numId="11">
    <w:abstractNumId w:val="4"/>
  </w:num>
  <w:num w:numId="12">
    <w:abstractNumId w:val="0"/>
  </w:num>
  <w:num w:numId="13">
    <w:abstractNumId w:val="13"/>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HorizontalSpacing w:val="120"/>
  <w:drawingGridVerticalSpacing w:val="163"/>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ViY2JkMjU3NGYzZTEwMzZmMGFkZWViYmNkYWU3NDIifQ=="/>
  </w:docVars>
  <w:rsids>
    <w:rsidRoot w:val="00172A27"/>
    <w:rsid w:val="00001023"/>
    <w:rsid w:val="0000545C"/>
    <w:rsid w:val="00013BE4"/>
    <w:rsid w:val="000146F3"/>
    <w:rsid w:val="00020555"/>
    <w:rsid w:val="000218D5"/>
    <w:rsid w:val="00022ADF"/>
    <w:rsid w:val="00024C15"/>
    <w:rsid w:val="00026EA5"/>
    <w:rsid w:val="000314FB"/>
    <w:rsid w:val="00032A75"/>
    <w:rsid w:val="00033269"/>
    <w:rsid w:val="00044CD8"/>
    <w:rsid w:val="000452EA"/>
    <w:rsid w:val="0004731A"/>
    <w:rsid w:val="00053DC2"/>
    <w:rsid w:val="00054063"/>
    <w:rsid w:val="00056D04"/>
    <w:rsid w:val="00057B9E"/>
    <w:rsid w:val="000612AA"/>
    <w:rsid w:val="000612DB"/>
    <w:rsid w:val="00062E08"/>
    <w:rsid w:val="00063B2A"/>
    <w:rsid w:val="00073606"/>
    <w:rsid w:val="00073EDD"/>
    <w:rsid w:val="000744DB"/>
    <w:rsid w:val="000745CA"/>
    <w:rsid w:val="00076096"/>
    <w:rsid w:val="00076F13"/>
    <w:rsid w:val="000820AB"/>
    <w:rsid w:val="000835FE"/>
    <w:rsid w:val="00084196"/>
    <w:rsid w:val="00086732"/>
    <w:rsid w:val="000915CA"/>
    <w:rsid w:val="000954DC"/>
    <w:rsid w:val="000A52B5"/>
    <w:rsid w:val="000A564E"/>
    <w:rsid w:val="000A7AFF"/>
    <w:rsid w:val="000A7F1B"/>
    <w:rsid w:val="000B15B6"/>
    <w:rsid w:val="000B41B8"/>
    <w:rsid w:val="000B771A"/>
    <w:rsid w:val="000B783A"/>
    <w:rsid w:val="000C0C07"/>
    <w:rsid w:val="000C1157"/>
    <w:rsid w:val="000C2C7F"/>
    <w:rsid w:val="000C41D2"/>
    <w:rsid w:val="000C4872"/>
    <w:rsid w:val="000C560B"/>
    <w:rsid w:val="000C6847"/>
    <w:rsid w:val="000D2F7E"/>
    <w:rsid w:val="000D43B4"/>
    <w:rsid w:val="000D4634"/>
    <w:rsid w:val="000D5232"/>
    <w:rsid w:val="000D55BF"/>
    <w:rsid w:val="000D5D1C"/>
    <w:rsid w:val="000D633E"/>
    <w:rsid w:val="000E2E1F"/>
    <w:rsid w:val="000E38D9"/>
    <w:rsid w:val="000E79EA"/>
    <w:rsid w:val="000F0061"/>
    <w:rsid w:val="000F0B5C"/>
    <w:rsid w:val="000F1E59"/>
    <w:rsid w:val="000F28A8"/>
    <w:rsid w:val="000F3557"/>
    <w:rsid w:val="000F406D"/>
    <w:rsid w:val="000F65FF"/>
    <w:rsid w:val="001063D7"/>
    <w:rsid w:val="001069AF"/>
    <w:rsid w:val="00106C55"/>
    <w:rsid w:val="00111C8E"/>
    <w:rsid w:val="00112EC9"/>
    <w:rsid w:val="00115E12"/>
    <w:rsid w:val="0011724F"/>
    <w:rsid w:val="00117BC1"/>
    <w:rsid w:val="00122A9F"/>
    <w:rsid w:val="00123D0A"/>
    <w:rsid w:val="00124063"/>
    <w:rsid w:val="0012517B"/>
    <w:rsid w:val="00125352"/>
    <w:rsid w:val="001259E8"/>
    <w:rsid w:val="001267E6"/>
    <w:rsid w:val="00127398"/>
    <w:rsid w:val="0013477A"/>
    <w:rsid w:val="00134A09"/>
    <w:rsid w:val="00136241"/>
    <w:rsid w:val="0013725B"/>
    <w:rsid w:val="00142F9F"/>
    <w:rsid w:val="00143745"/>
    <w:rsid w:val="0014615F"/>
    <w:rsid w:val="00152FEC"/>
    <w:rsid w:val="00153719"/>
    <w:rsid w:val="00154020"/>
    <w:rsid w:val="00155CFB"/>
    <w:rsid w:val="00160FE6"/>
    <w:rsid w:val="001612B8"/>
    <w:rsid w:val="00161A4B"/>
    <w:rsid w:val="00161BBF"/>
    <w:rsid w:val="00164A09"/>
    <w:rsid w:val="00165DD9"/>
    <w:rsid w:val="00171D14"/>
    <w:rsid w:val="00172A27"/>
    <w:rsid w:val="0017426E"/>
    <w:rsid w:val="00175A53"/>
    <w:rsid w:val="001769E2"/>
    <w:rsid w:val="001862AC"/>
    <w:rsid w:val="0019290B"/>
    <w:rsid w:val="00193F5E"/>
    <w:rsid w:val="00194BBE"/>
    <w:rsid w:val="00195CFF"/>
    <w:rsid w:val="001974B6"/>
    <w:rsid w:val="001A3ACE"/>
    <w:rsid w:val="001A3FE3"/>
    <w:rsid w:val="001A46B3"/>
    <w:rsid w:val="001A6172"/>
    <w:rsid w:val="001B1C06"/>
    <w:rsid w:val="001B1D21"/>
    <w:rsid w:val="001B4275"/>
    <w:rsid w:val="001B46C0"/>
    <w:rsid w:val="001B7CCF"/>
    <w:rsid w:val="001C2176"/>
    <w:rsid w:val="001D02E1"/>
    <w:rsid w:val="001D0D1F"/>
    <w:rsid w:val="001D1FD1"/>
    <w:rsid w:val="001D36D4"/>
    <w:rsid w:val="001D4D95"/>
    <w:rsid w:val="001D521D"/>
    <w:rsid w:val="001E3406"/>
    <w:rsid w:val="001E3A70"/>
    <w:rsid w:val="001E3B1F"/>
    <w:rsid w:val="001E5A00"/>
    <w:rsid w:val="001E6C2E"/>
    <w:rsid w:val="001E6CCC"/>
    <w:rsid w:val="001F6B27"/>
    <w:rsid w:val="001F799F"/>
    <w:rsid w:val="001F7B73"/>
    <w:rsid w:val="002000C7"/>
    <w:rsid w:val="00201C0D"/>
    <w:rsid w:val="00204046"/>
    <w:rsid w:val="00206E9D"/>
    <w:rsid w:val="00207A7B"/>
    <w:rsid w:val="0021216E"/>
    <w:rsid w:val="002132A0"/>
    <w:rsid w:val="00216A5A"/>
    <w:rsid w:val="00216DCE"/>
    <w:rsid w:val="00217295"/>
    <w:rsid w:val="00221F46"/>
    <w:rsid w:val="0022568B"/>
    <w:rsid w:val="00227EE0"/>
    <w:rsid w:val="00231250"/>
    <w:rsid w:val="00232BE4"/>
    <w:rsid w:val="00233806"/>
    <w:rsid w:val="00234430"/>
    <w:rsid w:val="00236260"/>
    <w:rsid w:val="002378E7"/>
    <w:rsid w:val="00243654"/>
    <w:rsid w:val="00243962"/>
    <w:rsid w:val="00245080"/>
    <w:rsid w:val="00245159"/>
    <w:rsid w:val="002452DA"/>
    <w:rsid w:val="00252027"/>
    <w:rsid w:val="002539D0"/>
    <w:rsid w:val="0025443F"/>
    <w:rsid w:val="00254F07"/>
    <w:rsid w:val="00255564"/>
    <w:rsid w:val="002563C0"/>
    <w:rsid w:val="002602C5"/>
    <w:rsid w:val="00261561"/>
    <w:rsid w:val="00261677"/>
    <w:rsid w:val="00267C28"/>
    <w:rsid w:val="002744E5"/>
    <w:rsid w:val="00276B3B"/>
    <w:rsid w:val="00277133"/>
    <w:rsid w:val="00281302"/>
    <w:rsid w:val="002826EE"/>
    <w:rsid w:val="00283B7B"/>
    <w:rsid w:val="00285230"/>
    <w:rsid w:val="00286065"/>
    <w:rsid w:val="0029147D"/>
    <w:rsid w:val="002A1CC0"/>
    <w:rsid w:val="002A2773"/>
    <w:rsid w:val="002A3ABE"/>
    <w:rsid w:val="002A72BB"/>
    <w:rsid w:val="002B7B16"/>
    <w:rsid w:val="002C02C3"/>
    <w:rsid w:val="002C05F8"/>
    <w:rsid w:val="002C5C06"/>
    <w:rsid w:val="002C739D"/>
    <w:rsid w:val="002C7AF6"/>
    <w:rsid w:val="002D0259"/>
    <w:rsid w:val="002D17B9"/>
    <w:rsid w:val="002D37F6"/>
    <w:rsid w:val="002D4142"/>
    <w:rsid w:val="002D53E3"/>
    <w:rsid w:val="002D561D"/>
    <w:rsid w:val="002D6C24"/>
    <w:rsid w:val="002D724D"/>
    <w:rsid w:val="002E1CCE"/>
    <w:rsid w:val="002E20FD"/>
    <w:rsid w:val="002E255F"/>
    <w:rsid w:val="002E4867"/>
    <w:rsid w:val="002E6C9B"/>
    <w:rsid w:val="002E7E7B"/>
    <w:rsid w:val="002F1534"/>
    <w:rsid w:val="002F3964"/>
    <w:rsid w:val="002F7957"/>
    <w:rsid w:val="00302A54"/>
    <w:rsid w:val="00305A96"/>
    <w:rsid w:val="00306263"/>
    <w:rsid w:val="00306804"/>
    <w:rsid w:val="003110A7"/>
    <w:rsid w:val="0031234F"/>
    <w:rsid w:val="003155D5"/>
    <w:rsid w:val="00322F6E"/>
    <w:rsid w:val="003250CA"/>
    <w:rsid w:val="0032599E"/>
    <w:rsid w:val="00325BD2"/>
    <w:rsid w:val="0032639A"/>
    <w:rsid w:val="00332927"/>
    <w:rsid w:val="0033327C"/>
    <w:rsid w:val="00334511"/>
    <w:rsid w:val="00337834"/>
    <w:rsid w:val="003378D8"/>
    <w:rsid w:val="0034041A"/>
    <w:rsid w:val="00346320"/>
    <w:rsid w:val="0034775D"/>
    <w:rsid w:val="00347B15"/>
    <w:rsid w:val="0035180F"/>
    <w:rsid w:val="00352A95"/>
    <w:rsid w:val="00353870"/>
    <w:rsid w:val="003561C3"/>
    <w:rsid w:val="00365EAA"/>
    <w:rsid w:val="00367C0C"/>
    <w:rsid w:val="003716AB"/>
    <w:rsid w:val="003731F2"/>
    <w:rsid w:val="0037354A"/>
    <w:rsid w:val="003769F0"/>
    <w:rsid w:val="0037793D"/>
    <w:rsid w:val="00384CF4"/>
    <w:rsid w:val="003851D8"/>
    <w:rsid w:val="00387F67"/>
    <w:rsid w:val="00391ECA"/>
    <w:rsid w:val="00392351"/>
    <w:rsid w:val="00393422"/>
    <w:rsid w:val="00394873"/>
    <w:rsid w:val="00396207"/>
    <w:rsid w:val="003B0D72"/>
    <w:rsid w:val="003B4829"/>
    <w:rsid w:val="003B6190"/>
    <w:rsid w:val="003C036B"/>
    <w:rsid w:val="003C236C"/>
    <w:rsid w:val="003C3C0D"/>
    <w:rsid w:val="003C53C0"/>
    <w:rsid w:val="003D2762"/>
    <w:rsid w:val="003D3538"/>
    <w:rsid w:val="003D50F3"/>
    <w:rsid w:val="003D5C74"/>
    <w:rsid w:val="003D6354"/>
    <w:rsid w:val="003E0788"/>
    <w:rsid w:val="003E3486"/>
    <w:rsid w:val="003E4851"/>
    <w:rsid w:val="003E606F"/>
    <w:rsid w:val="003F27E7"/>
    <w:rsid w:val="003F317B"/>
    <w:rsid w:val="003F3E73"/>
    <w:rsid w:val="003F474F"/>
    <w:rsid w:val="003F48FB"/>
    <w:rsid w:val="003F4EDF"/>
    <w:rsid w:val="003F6E9F"/>
    <w:rsid w:val="003F7D58"/>
    <w:rsid w:val="00400869"/>
    <w:rsid w:val="00401D5F"/>
    <w:rsid w:val="00401F6B"/>
    <w:rsid w:val="004042ED"/>
    <w:rsid w:val="00404C37"/>
    <w:rsid w:val="004053B4"/>
    <w:rsid w:val="004072E2"/>
    <w:rsid w:val="004129CF"/>
    <w:rsid w:val="0041406A"/>
    <w:rsid w:val="004215D9"/>
    <w:rsid w:val="00421E7C"/>
    <w:rsid w:val="00423B8C"/>
    <w:rsid w:val="00424BF6"/>
    <w:rsid w:val="00425535"/>
    <w:rsid w:val="00425F24"/>
    <w:rsid w:val="00427A79"/>
    <w:rsid w:val="0043038D"/>
    <w:rsid w:val="004306C3"/>
    <w:rsid w:val="00430C2D"/>
    <w:rsid w:val="004316AE"/>
    <w:rsid w:val="00436524"/>
    <w:rsid w:val="00441954"/>
    <w:rsid w:val="004428E4"/>
    <w:rsid w:val="00444F03"/>
    <w:rsid w:val="00445ED7"/>
    <w:rsid w:val="00446047"/>
    <w:rsid w:val="00446447"/>
    <w:rsid w:val="00446BDD"/>
    <w:rsid w:val="004515E3"/>
    <w:rsid w:val="00452EE3"/>
    <w:rsid w:val="00453C8F"/>
    <w:rsid w:val="00453E97"/>
    <w:rsid w:val="00454D43"/>
    <w:rsid w:val="00455531"/>
    <w:rsid w:val="00460AD1"/>
    <w:rsid w:val="0046128A"/>
    <w:rsid w:val="004613D0"/>
    <w:rsid w:val="004616DB"/>
    <w:rsid w:val="0046579B"/>
    <w:rsid w:val="00465DBC"/>
    <w:rsid w:val="00466038"/>
    <w:rsid w:val="00466717"/>
    <w:rsid w:val="004703BD"/>
    <w:rsid w:val="00470E4B"/>
    <w:rsid w:val="00471490"/>
    <w:rsid w:val="00471971"/>
    <w:rsid w:val="00471D6D"/>
    <w:rsid w:val="004734BD"/>
    <w:rsid w:val="004754C4"/>
    <w:rsid w:val="00477DCA"/>
    <w:rsid w:val="004809E2"/>
    <w:rsid w:val="0048347B"/>
    <w:rsid w:val="0048353E"/>
    <w:rsid w:val="00485980"/>
    <w:rsid w:val="00490021"/>
    <w:rsid w:val="00490779"/>
    <w:rsid w:val="00490ABA"/>
    <w:rsid w:val="004925C8"/>
    <w:rsid w:val="00497657"/>
    <w:rsid w:val="00497BB5"/>
    <w:rsid w:val="004A00C6"/>
    <w:rsid w:val="004A106E"/>
    <w:rsid w:val="004A12E1"/>
    <w:rsid w:val="004A24B6"/>
    <w:rsid w:val="004A3B08"/>
    <w:rsid w:val="004A6B0E"/>
    <w:rsid w:val="004A750B"/>
    <w:rsid w:val="004A79FC"/>
    <w:rsid w:val="004A7A00"/>
    <w:rsid w:val="004A7D13"/>
    <w:rsid w:val="004B65C6"/>
    <w:rsid w:val="004C23CC"/>
    <w:rsid w:val="004C37A9"/>
    <w:rsid w:val="004C7E7C"/>
    <w:rsid w:val="004D0CD5"/>
    <w:rsid w:val="004D11A6"/>
    <w:rsid w:val="004D1BC4"/>
    <w:rsid w:val="004D1EE4"/>
    <w:rsid w:val="004D545B"/>
    <w:rsid w:val="004E0FE6"/>
    <w:rsid w:val="004E36F0"/>
    <w:rsid w:val="004E3844"/>
    <w:rsid w:val="004F2C1F"/>
    <w:rsid w:val="004F31F8"/>
    <w:rsid w:val="004F466A"/>
    <w:rsid w:val="004F51FC"/>
    <w:rsid w:val="00502269"/>
    <w:rsid w:val="00505E01"/>
    <w:rsid w:val="0050632C"/>
    <w:rsid w:val="00506384"/>
    <w:rsid w:val="00514867"/>
    <w:rsid w:val="005158DB"/>
    <w:rsid w:val="00516DA9"/>
    <w:rsid w:val="005223FA"/>
    <w:rsid w:val="00522898"/>
    <w:rsid w:val="005241BE"/>
    <w:rsid w:val="0052459B"/>
    <w:rsid w:val="00526883"/>
    <w:rsid w:val="00526ADC"/>
    <w:rsid w:val="00532391"/>
    <w:rsid w:val="005323B6"/>
    <w:rsid w:val="00534830"/>
    <w:rsid w:val="005358B8"/>
    <w:rsid w:val="00540F82"/>
    <w:rsid w:val="00541C8D"/>
    <w:rsid w:val="005422B7"/>
    <w:rsid w:val="0054242F"/>
    <w:rsid w:val="005455AE"/>
    <w:rsid w:val="00546430"/>
    <w:rsid w:val="00547439"/>
    <w:rsid w:val="0055135C"/>
    <w:rsid w:val="00551CA7"/>
    <w:rsid w:val="00553301"/>
    <w:rsid w:val="00553804"/>
    <w:rsid w:val="00553D36"/>
    <w:rsid w:val="00554C46"/>
    <w:rsid w:val="00555356"/>
    <w:rsid w:val="005562E8"/>
    <w:rsid w:val="00556898"/>
    <w:rsid w:val="005610BE"/>
    <w:rsid w:val="005631E9"/>
    <w:rsid w:val="00563DF9"/>
    <w:rsid w:val="00566BD7"/>
    <w:rsid w:val="00566D09"/>
    <w:rsid w:val="0057170E"/>
    <w:rsid w:val="00573210"/>
    <w:rsid w:val="00573C3E"/>
    <w:rsid w:val="005742FF"/>
    <w:rsid w:val="00575855"/>
    <w:rsid w:val="00576589"/>
    <w:rsid w:val="00583D87"/>
    <w:rsid w:val="005861B7"/>
    <w:rsid w:val="00586305"/>
    <w:rsid w:val="00593F05"/>
    <w:rsid w:val="00595620"/>
    <w:rsid w:val="0059780D"/>
    <w:rsid w:val="005A508A"/>
    <w:rsid w:val="005A747B"/>
    <w:rsid w:val="005B1B5F"/>
    <w:rsid w:val="005B3B02"/>
    <w:rsid w:val="005B54C3"/>
    <w:rsid w:val="005B5B58"/>
    <w:rsid w:val="005B7BED"/>
    <w:rsid w:val="005C099F"/>
    <w:rsid w:val="005D0615"/>
    <w:rsid w:val="005D2D3E"/>
    <w:rsid w:val="005D3D56"/>
    <w:rsid w:val="005D50E3"/>
    <w:rsid w:val="005D5505"/>
    <w:rsid w:val="005D7FCC"/>
    <w:rsid w:val="005E1A73"/>
    <w:rsid w:val="005E293C"/>
    <w:rsid w:val="005E4260"/>
    <w:rsid w:val="005E50C1"/>
    <w:rsid w:val="005E5988"/>
    <w:rsid w:val="005E6132"/>
    <w:rsid w:val="005F0161"/>
    <w:rsid w:val="005F6819"/>
    <w:rsid w:val="006005CA"/>
    <w:rsid w:val="006033A7"/>
    <w:rsid w:val="00603A78"/>
    <w:rsid w:val="00605704"/>
    <w:rsid w:val="00607640"/>
    <w:rsid w:val="006165C7"/>
    <w:rsid w:val="006167CD"/>
    <w:rsid w:val="00622E77"/>
    <w:rsid w:val="00624438"/>
    <w:rsid w:val="006257CA"/>
    <w:rsid w:val="006266C4"/>
    <w:rsid w:val="006269B9"/>
    <w:rsid w:val="006342A6"/>
    <w:rsid w:val="006357D5"/>
    <w:rsid w:val="006364EB"/>
    <w:rsid w:val="00641005"/>
    <w:rsid w:val="0064532D"/>
    <w:rsid w:val="00645BE3"/>
    <w:rsid w:val="00647FB5"/>
    <w:rsid w:val="00647FC5"/>
    <w:rsid w:val="00650BEE"/>
    <w:rsid w:val="00656977"/>
    <w:rsid w:val="00657625"/>
    <w:rsid w:val="00660282"/>
    <w:rsid w:val="00660B9F"/>
    <w:rsid w:val="00661A30"/>
    <w:rsid w:val="00663264"/>
    <w:rsid w:val="00664944"/>
    <w:rsid w:val="006668E3"/>
    <w:rsid w:val="00671B48"/>
    <w:rsid w:val="006743F8"/>
    <w:rsid w:val="00681EA8"/>
    <w:rsid w:val="006833A9"/>
    <w:rsid w:val="00684506"/>
    <w:rsid w:val="00691771"/>
    <w:rsid w:val="006A2162"/>
    <w:rsid w:val="006B0EE2"/>
    <w:rsid w:val="006B10DE"/>
    <w:rsid w:val="006B2AF9"/>
    <w:rsid w:val="006B2B20"/>
    <w:rsid w:val="006B4479"/>
    <w:rsid w:val="006B64F9"/>
    <w:rsid w:val="006B7C4F"/>
    <w:rsid w:val="006C3F9D"/>
    <w:rsid w:val="006C4AF1"/>
    <w:rsid w:val="006C7463"/>
    <w:rsid w:val="006D190C"/>
    <w:rsid w:val="006D3F3F"/>
    <w:rsid w:val="006D3FD5"/>
    <w:rsid w:val="006E212C"/>
    <w:rsid w:val="006E33B2"/>
    <w:rsid w:val="006E508B"/>
    <w:rsid w:val="006E52CD"/>
    <w:rsid w:val="006E5B9C"/>
    <w:rsid w:val="006F04B4"/>
    <w:rsid w:val="006F1487"/>
    <w:rsid w:val="006F16B3"/>
    <w:rsid w:val="007023B5"/>
    <w:rsid w:val="00702934"/>
    <w:rsid w:val="007100AD"/>
    <w:rsid w:val="00711FFF"/>
    <w:rsid w:val="00713F63"/>
    <w:rsid w:val="0071540C"/>
    <w:rsid w:val="00716D95"/>
    <w:rsid w:val="00721F15"/>
    <w:rsid w:val="0072562D"/>
    <w:rsid w:val="00725A41"/>
    <w:rsid w:val="0072764D"/>
    <w:rsid w:val="00730E4F"/>
    <w:rsid w:val="00731506"/>
    <w:rsid w:val="00731DCF"/>
    <w:rsid w:val="00732804"/>
    <w:rsid w:val="00733697"/>
    <w:rsid w:val="00741885"/>
    <w:rsid w:val="00743818"/>
    <w:rsid w:val="00745CD2"/>
    <w:rsid w:val="00747C2F"/>
    <w:rsid w:val="007505C4"/>
    <w:rsid w:val="00750A9F"/>
    <w:rsid w:val="00752D10"/>
    <w:rsid w:val="00752E99"/>
    <w:rsid w:val="00754443"/>
    <w:rsid w:val="007561B0"/>
    <w:rsid w:val="007606AB"/>
    <w:rsid w:val="0076235B"/>
    <w:rsid w:val="00762A95"/>
    <w:rsid w:val="00762FDD"/>
    <w:rsid w:val="00764095"/>
    <w:rsid w:val="00767C76"/>
    <w:rsid w:val="0077111C"/>
    <w:rsid w:val="00771310"/>
    <w:rsid w:val="00772007"/>
    <w:rsid w:val="007759DB"/>
    <w:rsid w:val="00781409"/>
    <w:rsid w:val="0078155C"/>
    <w:rsid w:val="0078383D"/>
    <w:rsid w:val="00785DF3"/>
    <w:rsid w:val="00786AD4"/>
    <w:rsid w:val="00787511"/>
    <w:rsid w:val="007878F3"/>
    <w:rsid w:val="00791135"/>
    <w:rsid w:val="00792532"/>
    <w:rsid w:val="007A4903"/>
    <w:rsid w:val="007A7B8F"/>
    <w:rsid w:val="007B116D"/>
    <w:rsid w:val="007B118C"/>
    <w:rsid w:val="007B25A9"/>
    <w:rsid w:val="007B37A7"/>
    <w:rsid w:val="007B4157"/>
    <w:rsid w:val="007B5387"/>
    <w:rsid w:val="007B5DE1"/>
    <w:rsid w:val="007B66F6"/>
    <w:rsid w:val="007C0D65"/>
    <w:rsid w:val="007C1137"/>
    <w:rsid w:val="007C2973"/>
    <w:rsid w:val="007C49A5"/>
    <w:rsid w:val="007C4B60"/>
    <w:rsid w:val="007C6CDC"/>
    <w:rsid w:val="007C7874"/>
    <w:rsid w:val="007D253A"/>
    <w:rsid w:val="007D2725"/>
    <w:rsid w:val="007D4368"/>
    <w:rsid w:val="007D55C0"/>
    <w:rsid w:val="007D6CA1"/>
    <w:rsid w:val="007E0A9B"/>
    <w:rsid w:val="007E28C2"/>
    <w:rsid w:val="007E3317"/>
    <w:rsid w:val="007E52AF"/>
    <w:rsid w:val="007E7B52"/>
    <w:rsid w:val="007F02BB"/>
    <w:rsid w:val="007F0B6B"/>
    <w:rsid w:val="007F72F3"/>
    <w:rsid w:val="007F75AF"/>
    <w:rsid w:val="00801126"/>
    <w:rsid w:val="00802BE9"/>
    <w:rsid w:val="00803D68"/>
    <w:rsid w:val="00804559"/>
    <w:rsid w:val="008047FB"/>
    <w:rsid w:val="00806B21"/>
    <w:rsid w:val="00807F05"/>
    <w:rsid w:val="00807F53"/>
    <w:rsid w:val="00811D58"/>
    <w:rsid w:val="00814195"/>
    <w:rsid w:val="00814233"/>
    <w:rsid w:val="0082641F"/>
    <w:rsid w:val="00826CD4"/>
    <w:rsid w:val="00831F42"/>
    <w:rsid w:val="008329D7"/>
    <w:rsid w:val="00833F30"/>
    <w:rsid w:val="0084030F"/>
    <w:rsid w:val="0084263A"/>
    <w:rsid w:val="00843C8F"/>
    <w:rsid w:val="00846D0F"/>
    <w:rsid w:val="00853765"/>
    <w:rsid w:val="00854102"/>
    <w:rsid w:val="0085429E"/>
    <w:rsid w:val="008553B5"/>
    <w:rsid w:val="0085552D"/>
    <w:rsid w:val="00855999"/>
    <w:rsid w:val="00855FC3"/>
    <w:rsid w:val="008563A2"/>
    <w:rsid w:val="00861053"/>
    <w:rsid w:val="00866529"/>
    <w:rsid w:val="00870928"/>
    <w:rsid w:val="008736C7"/>
    <w:rsid w:val="00880183"/>
    <w:rsid w:val="0088018C"/>
    <w:rsid w:val="00881A1D"/>
    <w:rsid w:val="00885DFE"/>
    <w:rsid w:val="00890A71"/>
    <w:rsid w:val="008916B1"/>
    <w:rsid w:val="008951B1"/>
    <w:rsid w:val="00895F3C"/>
    <w:rsid w:val="008A0CF0"/>
    <w:rsid w:val="008A10A1"/>
    <w:rsid w:val="008A30BF"/>
    <w:rsid w:val="008B0F45"/>
    <w:rsid w:val="008B30CE"/>
    <w:rsid w:val="008B56C5"/>
    <w:rsid w:val="008B5A07"/>
    <w:rsid w:val="008B756B"/>
    <w:rsid w:val="008C2E62"/>
    <w:rsid w:val="008C69C2"/>
    <w:rsid w:val="008D22F4"/>
    <w:rsid w:val="008D239E"/>
    <w:rsid w:val="008D34A6"/>
    <w:rsid w:val="008D6BF0"/>
    <w:rsid w:val="008D6F2E"/>
    <w:rsid w:val="008E6072"/>
    <w:rsid w:val="008F1688"/>
    <w:rsid w:val="008F314A"/>
    <w:rsid w:val="008F350F"/>
    <w:rsid w:val="008F478C"/>
    <w:rsid w:val="008F671C"/>
    <w:rsid w:val="008F7E7D"/>
    <w:rsid w:val="00901030"/>
    <w:rsid w:val="00904E55"/>
    <w:rsid w:val="00906B40"/>
    <w:rsid w:val="00907AE3"/>
    <w:rsid w:val="00910439"/>
    <w:rsid w:val="00910CBA"/>
    <w:rsid w:val="009115FF"/>
    <w:rsid w:val="00913E7F"/>
    <w:rsid w:val="00920960"/>
    <w:rsid w:val="00922225"/>
    <w:rsid w:val="00922A14"/>
    <w:rsid w:val="0092349E"/>
    <w:rsid w:val="0092739F"/>
    <w:rsid w:val="009277DB"/>
    <w:rsid w:val="00927B98"/>
    <w:rsid w:val="00930E63"/>
    <w:rsid w:val="009336B8"/>
    <w:rsid w:val="00934954"/>
    <w:rsid w:val="00935341"/>
    <w:rsid w:val="009354EF"/>
    <w:rsid w:val="00935A52"/>
    <w:rsid w:val="00937B6A"/>
    <w:rsid w:val="0094173C"/>
    <w:rsid w:val="00941ACE"/>
    <w:rsid w:val="00942473"/>
    <w:rsid w:val="00945765"/>
    <w:rsid w:val="0094654A"/>
    <w:rsid w:val="009577DD"/>
    <w:rsid w:val="00961090"/>
    <w:rsid w:val="00962FB1"/>
    <w:rsid w:val="009642D1"/>
    <w:rsid w:val="00966E1E"/>
    <w:rsid w:val="009735C2"/>
    <w:rsid w:val="00977650"/>
    <w:rsid w:val="00984244"/>
    <w:rsid w:val="00985103"/>
    <w:rsid w:val="009862AA"/>
    <w:rsid w:val="009935E1"/>
    <w:rsid w:val="00995CA5"/>
    <w:rsid w:val="0099669C"/>
    <w:rsid w:val="00997560"/>
    <w:rsid w:val="009A04BF"/>
    <w:rsid w:val="009A04F3"/>
    <w:rsid w:val="009A0ACB"/>
    <w:rsid w:val="009A251D"/>
    <w:rsid w:val="009A30EB"/>
    <w:rsid w:val="009A468B"/>
    <w:rsid w:val="009A5194"/>
    <w:rsid w:val="009A6A3D"/>
    <w:rsid w:val="009B15DF"/>
    <w:rsid w:val="009B5BB5"/>
    <w:rsid w:val="009B5BDA"/>
    <w:rsid w:val="009B7D6E"/>
    <w:rsid w:val="009C1B25"/>
    <w:rsid w:val="009C56B1"/>
    <w:rsid w:val="009C6632"/>
    <w:rsid w:val="009D51B8"/>
    <w:rsid w:val="009D7E06"/>
    <w:rsid w:val="009E01FB"/>
    <w:rsid w:val="009E0C19"/>
    <w:rsid w:val="009E17A5"/>
    <w:rsid w:val="009E5719"/>
    <w:rsid w:val="009E5F34"/>
    <w:rsid w:val="009F1990"/>
    <w:rsid w:val="009F5E90"/>
    <w:rsid w:val="009F6228"/>
    <w:rsid w:val="009F7236"/>
    <w:rsid w:val="00A00A82"/>
    <w:rsid w:val="00A01815"/>
    <w:rsid w:val="00A073A4"/>
    <w:rsid w:val="00A0741B"/>
    <w:rsid w:val="00A11728"/>
    <w:rsid w:val="00A13783"/>
    <w:rsid w:val="00A17D8F"/>
    <w:rsid w:val="00A21828"/>
    <w:rsid w:val="00A22436"/>
    <w:rsid w:val="00A22CAE"/>
    <w:rsid w:val="00A2662E"/>
    <w:rsid w:val="00A26D80"/>
    <w:rsid w:val="00A3455A"/>
    <w:rsid w:val="00A36DF3"/>
    <w:rsid w:val="00A425EB"/>
    <w:rsid w:val="00A4305D"/>
    <w:rsid w:val="00A44A1E"/>
    <w:rsid w:val="00A44EE6"/>
    <w:rsid w:val="00A45E06"/>
    <w:rsid w:val="00A460AC"/>
    <w:rsid w:val="00A54F5F"/>
    <w:rsid w:val="00A54F79"/>
    <w:rsid w:val="00A55111"/>
    <w:rsid w:val="00A57DD7"/>
    <w:rsid w:val="00A601FF"/>
    <w:rsid w:val="00A61D21"/>
    <w:rsid w:val="00A61F4A"/>
    <w:rsid w:val="00A62967"/>
    <w:rsid w:val="00A653E0"/>
    <w:rsid w:val="00A65BBA"/>
    <w:rsid w:val="00A7019A"/>
    <w:rsid w:val="00A717E0"/>
    <w:rsid w:val="00A726AB"/>
    <w:rsid w:val="00A72A17"/>
    <w:rsid w:val="00A72C9F"/>
    <w:rsid w:val="00A7400B"/>
    <w:rsid w:val="00A748EA"/>
    <w:rsid w:val="00A762BA"/>
    <w:rsid w:val="00A82D63"/>
    <w:rsid w:val="00A92C2B"/>
    <w:rsid w:val="00A93B6E"/>
    <w:rsid w:val="00A96E04"/>
    <w:rsid w:val="00AA18AA"/>
    <w:rsid w:val="00AA3559"/>
    <w:rsid w:val="00AA4769"/>
    <w:rsid w:val="00AA58C3"/>
    <w:rsid w:val="00AA696E"/>
    <w:rsid w:val="00AA7176"/>
    <w:rsid w:val="00AB165E"/>
    <w:rsid w:val="00AB16AA"/>
    <w:rsid w:val="00AB177A"/>
    <w:rsid w:val="00AC0762"/>
    <w:rsid w:val="00AC26EB"/>
    <w:rsid w:val="00AC33D3"/>
    <w:rsid w:val="00AC68B8"/>
    <w:rsid w:val="00AD05AB"/>
    <w:rsid w:val="00AD11AF"/>
    <w:rsid w:val="00AD13BA"/>
    <w:rsid w:val="00AD74EA"/>
    <w:rsid w:val="00AD78CE"/>
    <w:rsid w:val="00AD7AB5"/>
    <w:rsid w:val="00AE2419"/>
    <w:rsid w:val="00AE2C34"/>
    <w:rsid w:val="00AE3BFD"/>
    <w:rsid w:val="00AE6BBB"/>
    <w:rsid w:val="00AF2348"/>
    <w:rsid w:val="00AF35A2"/>
    <w:rsid w:val="00AF46D0"/>
    <w:rsid w:val="00AF4DD7"/>
    <w:rsid w:val="00AF75EC"/>
    <w:rsid w:val="00B00365"/>
    <w:rsid w:val="00B0116D"/>
    <w:rsid w:val="00B01A72"/>
    <w:rsid w:val="00B05A73"/>
    <w:rsid w:val="00B05E78"/>
    <w:rsid w:val="00B10930"/>
    <w:rsid w:val="00B11FB6"/>
    <w:rsid w:val="00B12809"/>
    <w:rsid w:val="00B17481"/>
    <w:rsid w:val="00B17F90"/>
    <w:rsid w:val="00B20BBA"/>
    <w:rsid w:val="00B21FEA"/>
    <w:rsid w:val="00B22BED"/>
    <w:rsid w:val="00B23AE7"/>
    <w:rsid w:val="00B27808"/>
    <w:rsid w:val="00B30BF7"/>
    <w:rsid w:val="00B330E0"/>
    <w:rsid w:val="00B354D9"/>
    <w:rsid w:val="00B359A4"/>
    <w:rsid w:val="00B36A61"/>
    <w:rsid w:val="00B400AF"/>
    <w:rsid w:val="00B4221D"/>
    <w:rsid w:val="00B43761"/>
    <w:rsid w:val="00B467EC"/>
    <w:rsid w:val="00B4717E"/>
    <w:rsid w:val="00B47C5C"/>
    <w:rsid w:val="00B47FB3"/>
    <w:rsid w:val="00B507E3"/>
    <w:rsid w:val="00B50BF9"/>
    <w:rsid w:val="00B52946"/>
    <w:rsid w:val="00B535FD"/>
    <w:rsid w:val="00B55FF2"/>
    <w:rsid w:val="00B57451"/>
    <w:rsid w:val="00B63855"/>
    <w:rsid w:val="00B65167"/>
    <w:rsid w:val="00B66B2B"/>
    <w:rsid w:val="00B677D5"/>
    <w:rsid w:val="00B74189"/>
    <w:rsid w:val="00B7521C"/>
    <w:rsid w:val="00B753DD"/>
    <w:rsid w:val="00B75DCA"/>
    <w:rsid w:val="00B81621"/>
    <w:rsid w:val="00B81F30"/>
    <w:rsid w:val="00B85394"/>
    <w:rsid w:val="00B85C92"/>
    <w:rsid w:val="00B879D0"/>
    <w:rsid w:val="00B94CAB"/>
    <w:rsid w:val="00B9578D"/>
    <w:rsid w:val="00B9645A"/>
    <w:rsid w:val="00BA30B3"/>
    <w:rsid w:val="00BA4F3D"/>
    <w:rsid w:val="00BB0C8B"/>
    <w:rsid w:val="00BC030C"/>
    <w:rsid w:val="00BC04D2"/>
    <w:rsid w:val="00BC0E2D"/>
    <w:rsid w:val="00BC2517"/>
    <w:rsid w:val="00BC2E82"/>
    <w:rsid w:val="00BC3103"/>
    <w:rsid w:val="00BD09AF"/>
    <w:rsid w:val="00BD31FB"/>
    <w:rsid w:val="00BD486F"/>
    <w:rsid w:val="00BD4A11"/>
    <w:rsid w:val="00BD5595"/>
    <w:rsid w:val="00BE0608"/>
    <w:rsid w:val="00BE4BAD"/>
    <w:rsid w:val="00BF0A5F"/>
    <w:rsid w:val="00BF1AD2"/>
    <w:rsid w:val="00BF3AEF"/>
    <w:rsid w:val="00BF4C90"/>
    <w:rsid w:val="00BF5F7B"/>
    <w:rsid w:val="00C002A6"/>
    <w:rsid w:val="00C01014"/>
    <w:rsid w:val="00C027D0"/>
    <w:rsid w:val="00C04143"/>
    <w:rsid w:val="00C060D6"/>
    <w:rsid w:val="00C100AD"/>
    <w:rsid w:val="00C12994"/>
    <w:rsid w:val="00C23C55"/>
    <w:rsid w:val="00C24861"/>
    <w:rsid w:val="00C25145"/>
    <w:rsid w:val="00C262B9"/>
    <w:rsid w:val="00C26DA7"/>
    <w:rsid w:val="00C278A3"/>
    <w:rsid w:val="00C305FE"/>
    <w:rsid w:val="00C30AFE"/>
    <w:rsid w:val="00C34AE7"/>
    <w:rsid w:val="00C35F47"/>
    <w:rsid w:val="00C36886"/>
    <w:rsid w:val="00C36B80"/>
    <w:rsid w:val="00C374AA"/>
    <w:rsid w:val="00C401B4"/>
    <w:rsid w:val="00C5191C"/>
    <w:rsid w:val="00C5306C"/>
    <w:rsid w:val="00C5344C"/>
    <w:rsid w:val="00C54B6D"/>
    <w:rsid w:val="00C5598E"/>
    <w:rsid w:val="00C57160"/>
    <w:rsid w:val="00C578EA"/>
    <w:rsid w:val="00C607B3"/>
    <w:rsid w:val="00C6695C"/>
    <w:rsid w:val="00C72D62"/>
    <w:rsid w:val="00C73119"/>
    <w:rsid w:val="00C735EE"/>
    <w:rsid w:val="00C7379E"/>
    <w:rsid w:val="00C74D1A"/>
    <w:rsid w:val="00C80200"/>
    <w:rsid w:val="00C85ECD"/>
    <w:rsid w:val="00C8674D"/>
    <w:rsid w:val="00C8678E"/>
    <w:rsid w:val="00C87581"/>
    <w:rsid w:val="00C92D75"/>
    <w:rsid w:val="00C93385"/>
    <w:rsid w:val="00C9341E"/>
    <w:rsid w:val="00C93BF5"/>
    <w:rsid w:val="00C93C03"/>
    <w:rsid w:val="00C97305"/>
    <w:rsid w:val="00CA15EB"/>
    <w:rsid w:val="00CA2530"/>
    <w:rsid w:val="00CA274A"/>
    <w:rsid w:val="00CA546E"/>
    <w:rsid w:val="00CA6295"/>
    <w:rsid w:val="00CA6A63"/>
    <w:rsid w:val="00CA7A31"/>
    <w:rsid w:val="00CB57B7"/>
    <w:rsid w:val="00CB67BE"/>
    <w:rsid w:val="00CB6BFE"/>
    <w:rsid w:val="00CC123D"/>
    <w:rsid w:val="00CC1A8C"/>
    <w:rsid w:val="00CC2307"/>
    <w:rsid w:val="00CC24E3"/>
    <w:rsid w:val="00CD02D0"/>
    <w:rsid w:val="00CD1D41"/>
    <w:rsid w:val="00CD3DC8"/>
    <w:rsid w:val="00CD5185"/>
    <w:rsid w:val="00CD602F"/>
    <w:rsid w:val="00CD6040"/>
    <w:rsid w:val="00CD6B6F"/>
    <w:rsid w:val="00CD726B"/>
    <w:rsid w:val="00CE0A16"/>
    <w:rsid w:val="00CE0A6F"/>
    <w:rsid w:val="00CE2021"/>
    <w:rsid w:val="00CE4D65"/>
    <w:rsid w:val="00CE7AE5"/>
    <w:rsid w:val="00CF057A"/>
    <w:rsid w:val="00CF089A"/>
    <w:rsid w:val="00CF1574"/>
    <w:rsid w:val="00CF34C8"/>
    <w:rsid w:val="00CF3844"/>
    <w:rsid w:val="00CF5003"/>
    <w:rsid w:val="00CF59B1"/>
    <w:rsid w:val="00D0020A"/>
    <w:rsid w:val="00D00C84"/>
    <w:rsid w:val="00D0354F"/>
    <w:rsid w:val="00D0508E"/>
    <w:rsid w:val="00D0528B"/>
    <w:rsid w:val="00D067CC"/>
    <w:rsid w:val="00D10CB5"/>
    <w:rsid w:val="00D13375"/>
    <w:rsid w:val="00D20372"/>
    <w:rsid w:val="00D210C9"/>
    <w:rsid w:val="00D211CC"/>
    <w:rsid w:val="00D21368"/>
    <w:rsid w:val="00D22299"/>
    <w:rsid w:val="00D23E88"/>
    <w:rsid w:val="00D301EF"/>
    <w:rsid w:val="00D309B6"/>
    <w:rsid w:val="00D347B8"/>
    <w:rsid w:val="00D34F3C"/>
    <w:rsid w:val="00D4160A"/>
    <w:rsid w:val="00D42DF9"/>
    <w:rsid w:val="00D43665"/>
    <w:rsid w:val="00D44D81"/>
    <w:rsid w:val="00D45A5F"/>
    <w:rsid w:val="00D45C2D"/>
    <w:rsid w:val="00D45E08"/>
    <w:rsid w:val="00D464DA"/>
    <w:rsid w:val="00D514BA"/>
    <w:rsid w:val="00D5166A"/>
    <w:rsid w:val="00D559D8"/>
    <w:rsid w:val="00D561E1"/>
    <w:rsid w:val="00D563CA"/>
    <w:rsid w:val="00D57FFE"/>
    <w:rsid w:val="00D63AC3"/>
    <w:rsid w:val="00D644B9"/>
    <w:rsid w:val="00D6457F"/>
    <w:rsid w:val="00D64E96"/>
    <w:rsid w:val="00D65A74"/>
    <w:rsid w:val="00D67CAB"/>
    <w:rsid w:val="00D70D4C"/>
    <w:rsid w:val="00D72693"/>
    <w:rsid w:val="00D73560"/>
    <w:rsid w:val="00D76D7D"/>
    <w:rsid w:val="00D81063"/>
    <w:rsid w:val="00D86636"/>
    <w:rsid w:val="00D8716D"/>
    <w:rsid w:val="00D90798"/>
    <w:rsid w:val="00D90EB5"/>
    <w:rsid w:val="00D916AF"/>
    <w:rsid w:val="00D92F11"/>
    <w:rsid w:val="00D93B0D"/>
    <w:rsid w:val="00D952E8"/>
    <w:rsid w:val="00D971AA"/>
    <w:rsid w:val="00DA0B17"/>
    <w:rsid w:val="00DA0D70"/>
    <w:rsid w:val="00DA1CD9"/>
    <w:rsid w:val="00DA2474"/>
    <w:rsid w:val="00DA4535"/>
    <w:rsid w:val="00DA7721"/>
    <w:rsid w:val="00DC21AA"/>
    <w:rsid w:val="00DC2A10"/>
    <w:rsid w:val="00DC623F"/>
    <w:rsid w:val="00DD0EEF"/>
    <w:rsid w:val="00DD1750"/>
    <w:rsid w:val="00DD37AB"/>
    <w:rsid w:val="00DD3B65"/>
    <w:rsid w:val="00DD4B08"/>
    <w:rsid w:val="00DD4DE2"/>
    <w:rsid w:val="00DE22CD"/>
    <w:rsid w:val="00DE4B0F"/>
    <w:rsid w:val="00DE4CC5"/>
    <w:rsid w:val="00DE5F94"/>
    <w:rsid w:val="00DE6BF8"/>
    <w:rsid w:val="00DE7F75"/>
    <w:rsid w:val="00DF3FBD"/>
    <w:rsid w:val="00DF7DAD"/>
    <w:rsid w:val="00DF7E5C"/>
    <w:rsid w:val="00E01EC1"/>
    <w:rsid w:val="00E02F5B"/>
    <w:rsid w:val="00E03945"/>
    <w:rsid w:val="00E06B32"/>
    <w:rsid w:val="00E0714C"/>
    <w:rsid w:val="00E0723E"/>
    <w:rsid w:val="00E07240"/>
    <w:rsid w:val="00E113D7"/>
    <w:rsid w:val="00E1554C"/>
    <w:rsid w:val="00E16876"/>
    <w:rsid w:val="00E17A49"/>
    <w:rsid w:val="00E20F20"/>
    <w:rsid w:val="00E22972"/>
    <w:rsid w:val="00E24001"/>
    <w:rsid w:val="00E27C7B"/>
    <w:rsid w:val="00E30A45"/>
    <w:rsid w:val="00E318A5"/>
    <w:rsid w:val="00E347E3"/>
    <w:rsid w:val="00E35B44"/>
    <w:rsid w:val="00E360AD"/>
    <w:rsid w:val="00E4048C"/>
    <w:rsid w:val="00E43628"/>
    <w:rsid w:val="00E43E2F"/>
    <w:rsid w:val="00E44E8E"/>
    <w:rsid w:val="00E468C4"/>
    <w:rsid w:val="00E46F34"/>
    <w:rsid w:val="00E51126"/>
    <w:rsid w:val="00E54231"/>
    <w:rsid w:val="00E6401F"/>
    <w:rsid w:val="00E641F9"/>
    <w:rsid w:val="00E64A8B"/>
    <w:rsid w:val="00E662C1"/>
    <w:rsid w:val="00E6652E"/>
    <w:rsid w:val="00E73902"/>
    <w:rsid w:val="00E74919"/>
    <w:rsid w:val="00E7615F"/>
    <w:rsid w:val="00E76FB8"/>
    <w:rsid w:val="00E837C8"/>
    <w:rsid w:val="00E85688"/>
    <w:rsid w:val="00E879A6"/>
    <w:rsid w:val="00E92122"/>
    <w:rsid w:val="00E96160"/>
    <w:rsid w:val="00EA324B"/>
    <w:rsid w:val="00EA55FC"/>
    <w:rsid w:val="00EA5D7E"/>
    <w:rsid w:val="00EA7143"/>
    <w:rsid w:val="00EC018E"/>
    <w:rsid w:val="00EC2A7E"/>
    <w:rsid w:val="00EC4F0A"/>
    <w:rsid w:val="00EC57B5"/>
    <w:rsid w:val="00ED7169"/>
    <w:rsid w:val="00EE2114"/>
    <w:rsid w:val="00EE398E"/>
    <w:rsid w:val="00EE4F21"/>
    <w:rsid w:val="00EF0EEF"/>
    <w:rsid w:val="00EF65C0"/>
    <w:rsid w:val="00F00914"/>
    <w:rsid w:val="00F0148D"/>
    <w:rsid w:val="00F018EC"/>
    <w:rsid w:val="00F02870"/>
    <w:rsid w:val="00F03497"/>
    <w:rsid w:val="00F03D32"/>
    <w:rsid w:val="00F04796"/>
    <w:rsid w:val="00F04E6F"/>
    <w:rsid w:val="00F05925"/>
    <w:rsid w:val="00F06142"/>
    <w:rsid w:val="00F06414"/>
    <w:rsid w:val="00F10DB2"/>
    <w:rsid w:val="00F122C2"/>
    <w:rsid w:val="00F12EC6"/>
    <w:rsid w:val="00F132BC"/>
    <w:rsid w:val="00F169ED"/>
    <w:rsid w:val="00F201C1"/>
    <w:rsid w:val="00F214A3"/>
    <w:rsid w:val="00F2259A"/>
    <w:rsid w:val="00F230AE"/>
    <w:rsid w:val="00F26B34"/>
    <w:rsid w:val="00F26DDC"/>
    <w:rsid w:val="00F27C55"/>
    <w:rsid w:val="00F3468B"/>
    <w:rsid w:val="00F362C2"/>
    <w:rsid w:val="00F36A66"/>
    <w:rsid w:val="00F43E30"/>
    <w:rsid w:val="00F45690"/>
    <w:rsid w:val="00F46BEB"/>
    <w:rsid w:val="00F47438"/>
    <w:rsid w:val="00F47C9A"/>
    <w:rsid w:val="00F53F30"/>
    <w:rsid w:val="00F57ED9"/>
    <w:rsid w:val="00F631AD"/>
    <w:rsid w:val="00F63B63"/>
    <w:rsid w:val="00F6448E"/>
    <w:rsid w:val="00F6570E"/>
    <w:rsid w:val="00F6740B"/>
    <w:rsid w:val="00F70D9A"/>
    <w:rsid w:val="00F75914"/>
    <w:rsid w:val="00F82C45"/>
    <w:rsid w:val="00F82E4C"/>
    <w:rsid w:val="00F84C21"/>
    <w:rsid w:val="00F909CE"/>
    <w:rsid w:val="00FA12F3"/>
    <w:rsid w:val="00FA1D4F"/>
    <w:rsid w:val="00FA1F61"/>
    <w:rsid w:val="00FA2F20"/>
    <w:rsid w:val="00FA35D0"/>
    <w:rsid w:val="00FA5BB7"/>
    <w:rsid w:val="00FA5D0F"/>
    <w:rsid w:val="00FA5D71"/>
    <w:rsid w:val="00FB2BD5"/>
    <w:rsid w:val="00FB5B51"/>
    <w:rsid w:val="00FB70B1"/>
    <w:rsid w:val="00FC0410"/>
    <w:rsid w:val="00FC0541"/>
    <w:rsid w:val="00FC2421"/>
    <w:rsid w:val="00FC2D55"/>
    <w:rsid w:val="00FC30D2"/>
    <w:rsid w:val="00FC3EAF"/>
    <w:rsid w:val="00FC3FD5"/>
    <w:rsid w:val="00FC6EEC"/>
    <w:rsid w:val="00FC7717"/>
    <w:rsid w:val="00FD1075"/>
    <w:rsid w:val="00FD417A"/>
    <w:rsid w:val="00FD6FF0"/>
    <w:rsid w:val="00FD77EA"/>
    <w:rsid w:val="00FE2392"/>
    <w:rsid w:val="00FE2694"/>
    <w:rsid w:val="00FE4375"/>
    <w:rsid w:val="00FE469F"/>
    <w:rsid w:val="00FE5B1A"/>
    <w:rsid w:val="00FE71FC"/>
    <w:rsid w:val="00FE74CD"/>
    <w:rsid w:val="00FF2264"/>
    <w:rsid w:val="00FF360A"/>
    <w:rsid w:val="00FF4F00"/>
    <w:rsid w:val="00FF6AA1"/>
    <w:rsid w:val="00FF6DEF"/>
    <w:rsid w:val="016A5229"/>
    <w:rsid w:val="02497534"/>
    <w:rsid w:val="02BD2705"/>
    <w:rsid w:val="03551F13"/>
    <w:rsid w:val="041004C7"/>
    <w:rsid w:val="05924C0F"/>
    <w:rsid w:val="07176075"/>
    <w:rsid w:val="07651298"/>
    <w:rsid w:val="08F81FA6"/>
    <w:rsid w:val="09CE6BD2"/>
    <w:rsid w:val="0A6401C1"/>
    <w:rsid w:val="0BA800FC"/>
    <w:rsid w:val="0DFC7A6B"/>
    <w:rsid w:val="0E764F60"/>
    <w:rsid w:val="0FC95811"/>
    <w:rsid w:val="11E6378E"/>
    <w:rsid w:val="127618C9"/>
    <w:rsid w:val="13031039"/>
    <w:rsid w:val="14302696"/>
    <w:rsid w:val="16C24871"/>
    <w:rsid w:val="16F40267"/>
    <w:rsid w:val="171C0894"/>
    <w:rsid w:val="17435DA4"/>
    <w:rsid w:val="17523998"/>
    <w:rsid w:val="17575DF8"/>
    <w:rsid w:val="1780534F"/>
    <w:rsid w:val="17D172BB"/>
    <w:rsid w:val="180749BB"/>
    <w:rsid w:val="18156E0D"/>
    <w:rsid w:val="189D1272"/>
    <w:rsid w:val="18F8792B"/>
    <w:rsid w:val="19EF43B9"/>
    <w:rsid w:val="1A3969F1"/>
    <w:rsid w:val="1A554870"/>
    <w:rsid w:val="1D353C90"/>
    <w:rsid w:val="1EC46BB9"/>
    <w:rsid w:val="1F6A7452"/>
    <w:rsid w:val="1FFE4D29"/>
    <w:rsid w:val="1FFF66A6"/>
    <w:rsid w:val="20373B08"/>
    <w:rsid w:val="22C93B42"/>
    <w:rsid w:val="23656DA4"/>
    <w:rsid w:val="239C706C"/>
    <w:rsid w:val="25E27205"/>
    <w:rsid w:val="261310D6"/>
    <w:rsid w:val="267D2340"/>
    <w:rsid w:val="26B70348"/>
    <w:rsid w:val="26CB663D"/>
    <w:rsid w:val="26F171AF"/>
    <w:rsid w:val="27267A13"/>
    <w:rsid w:val="274719E5"/>
    <w:rsid w:val="28145CF4"/>
    <w:rsid w:val="286E4D4F"/>
    <w:rsid w:val="28FA0BC4"/>
    <w:rsid w:val="2AA25699"/>
    <w:rsid w:val="2AF6684F"/>
    <w:rsid w:val="2BA17954"/>
    <w:rsid w:val="2EFC3D05"/>
    <w:rsid w:val="2F5F25EC"/>
    <w:rsid w:val="2FBB6ACC"/>
    <w:rsid w:val="30AB4F67"/>
    <w:rsid w:val="31A57A65"/>
    <w:rsid w:val="32080898"/>
    <w:rsid w:val="333E7B8B"/>
    <w:rsid w:val="3397632B"/>
    <w:rsid w:val="340B2524"/>
    <w:rsid w:val="36AF4EB1"/>
    <w:rsid w:val="36EE1A34"/>
    <w:rsid w:val="38673C95"/>
    <w:rsid w:val="39534219"/>
    <w:rsid w:val="39A65AEE"/>
    <w:rsid w:val="39B83ECA"/>
    <w:rsid w:val="3AB77C43"/>
    <w:rsid w:val="3B1874C8"/>
    <w:rsid w:val="3C027A62"/>
    <w:rsid w:val="3CF8784D"/>
    <w:rsid w:val="3F6C467D"/>
    <w:rsid w:val="3FCE0AEC"/>
    <w:rsid w:val="40FC6F44"/>
    <w:rsid w:val="418A0CAA"/>
    <w:rsid w:val="41D61543"/>
    <w:rsid w:val="42927B60"/>
    <w:rsid w:val="42D24401"/>
    <w:rsid w:val="437A1BE1"/>
    <w:rsid w:val="43A01F56"/>
    <w:rsid w:val="46FE6560"/>
    <w:rsid w:val="48E56510"/>
    <w:rsid w:val="48E761F0"/>
    <w:rsid w:val="497F4FF8"/>
    <w:rsid w:val="4ACE1A85"/>
    <w:rsid w:val="4B1F5476"/>
    <w:rsid w:val="4B331F2B"/>
    <w:rsid w:val="4C453E95"/>
    <w:rsid w:val="4C5B6836"/>
    <w:rsid w:val="4C8D4122"/>
    <w:rsid w:val="4D3138D5"/>
    <w:rsid w:val="4E263853"/>
    <w:rsid w:val="4E555EE6"/>
    <w:rsid w:val="4EC7459B"/>
    <w:rsid w:val="4ECB1A44"/>
    <w:rsid w:val="4EFE6575"/>
    <w:rsid w:val="4EFF51E4"/>
    <w:rsid w:val="4F195165"/>
    <w:rsid w:val="4F3F8824"/>
    <w:rsid w:val="5048204A"/>
    <w:rsid w:val="50AD025B"/>
    <w:rsid w:val="530423E6"/>
    <w:rsid w:val="534A1D91"/>
    <w:rsid w:val="53F474BB"/>
    <w:rsid w:val="548E5376"/>
    <w:rsid w:val="54FE8C77"/>
    <w:rsid w:val="55C51BA3"/>
    <w:rsid w:val="55D32DD0"/>
    <w:rsid w:val="568B0B83"/>
    <w:rsid w:val="568F468B"/>
    <w:rsid w:val="56D46FB3"/>
    <w:rsid w:val="583354EA"/>
    <w:rsid w:val="587161BF"/>
    <w:rsid w:val="59F12F67"/>
    <w:rsid w:val="5A7C4F26"/>
    <w:rsid w:val="5B490B80"/>
    <w:rsid w:val="5BB667F6"/>
    <w:rsid w:val="5BF458BF"/>
    <w:rsid w:val="5C1C575F"/>
    <w:rsid w:val="5CAC469D"/>
    <w:rsid w:val="5D336AD1"/>
    <w:rsid w:val="5DE7218C"/>
    <w:rsid w:val="5E8D5D7F"/>
    <w:rsid w:val="5E9F5687"/>
    <w:rsid w:val="5EDADEF9"/>
    <w:rsid w:val="5FFA68EF"/>
    <w:rsid w:val="60FA2170"/>
    <w:rsid w:val="63E92F01"/>
    <w:rsid w:val="64CC3C57"/>
    <w:rsid w:val="64F0231B"/>
    <w:rsid w:val="657B210E"/>
    <w:rsid w:val="65D2176A"/>
    <w:rsid w:val="66042274"/>
    <w:rsid w:val="66F525A7"/>
    <w:rsid w:val="68E0657E"/>
    <w:rsid w:val="68EF02FB"/>
    <w:rsid w:val="69EA90B8"/>
    <w:rsid w:val="6AE111A6"/>
    <w:rsid w:val="6DB7BC5D"/>
    <w:rsid w:val="6F5731E9"/>
    <w:rsid w:val="6FDC5699"/>
    <w:rsid w:val="71360D19"/>
    <w:rsid w:val="72A746B3"/>
    <w:rsid w:val="72EA5653"/>
    <w:rsid w:val="73ED2599"/>
    <w:rsid w:val="758962F1"/>
    <w:rsid w:val="770D6B41"/>
    <w:rsid w:val="77B9B400"/>
    <w:rsid w:val="7857355E"/>
    <w:rsid w:val="79D164E7"/>
    <w:rsid w:val="7B5D0004"/>
    <w:rsid w:val="7BF9365C"/>
    <w:rsid w:val="7BFE1B12"/>
    <w:rsid w:val="7C907F65"/>
    <w:rsid w:val="7D331597"/>
    <w:rsid w:val="7D5D1D41"/>
    <w:rsid w:val="7DCB5EDE"/>
    <w:rsid w:val="7DF104BC"/>
    <w:rsid w:val="7DFDD63F"/>
    <w:rsid w:val="7EBF1AF7"/>
    <w:rsid w:val="7F5858A1"/>
    <w:rsid w:val="7F779C95"/>
    <w:rsid w:val="7FFE25A9"/>
    <w:rsid w:val="7FFFA5B9"/>
    <w:rsid w:val="A9FDACA1"/>
    <w:rsid w:val="BBF7D084"/>
    <w:rsid w:val="BF9D4B75"/>
    <w:rsid w:val="D54F5E2C"/>
    <w:rsid w:val="DCBB4FF6"/>
    <w:rsid w:val="DE5D541F"/>
    <w:rsid w:val="DF2B32A1"/>
    <w:rsid w:val="DFE9B70D"/>
    <w:rsid w:val="EEFB1F52"/>
    <w:rsid w:val="EF172529"/>
    <w:rsid w:val="F3EB9391"/>
    <w:rsid w:val="F692B4F4"/>
    <w:rsid w:val="FE9FF51A"/>
    <w:rsid w:val="FFBF7BF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0" w:semiHidden="0" w:name="heading 2" w:locked="1"/>
    <w:lsdException w:qFormat="1" w:unhideWhenUsed="0" w:uiPriority="0" w:semiHidden="0" w:name="heading 3" w:locked="1"/>
    <w:lsdException w:qFormat="1" w:unhideWhenUsed="0" w:uiPriority="0" w:semiHidden="0" w:name="heading 4" w:locked="1"/>
    <w:lsdException w:qFormat="1" w:unhideWhenUsed="0" w:uiPriority="0" w:semiHidden="0" w:name="heading 5" w:locked="1"/>
    <w:lsdException w:qFormat="1" w:unhideWhenUsed="0" w:uiPriority="0" w:semiHidden="0" w:name="heading 6" w:locked="1"/>
    <w:lsdException w:qFormat="1" w:uiPriority="1" w:semiHidden="0" w:name="heading 7" w:locked="1"/>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ocked="1"/>
    <w:lsdException w:qFormat="1" w:uiPriority="39" w:semiHidden="0" w:name="toc 2" w:locked="1"/>
    <w:lsdException w:qFormat="1" w:uiPriority="39" w:semiHidden="0" w:name="toc 3" w:locked="1"/>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99" w:semiHidden="0" w:name="Normal Indent" w:locked="1"/>
    <w:lsdException w:uiPriority="99" w:name="footnote text"/>
    <w:lsdException w:qFormat="1" w:uiPriority="99" w:semiHidden="0" w:name="annotation text" w:locked="1"/>
    <w:lsdException w:qFormat="1" w:uiPriority="99" w:semiHidden="0" w:name="header" w:locked="1"/>
    <w:lsdException w:qFormat="1" w:uiPriority="99" w:semiHidden="0" w:name="footer" w:locked="1"/>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ocked="1"/>
    <w:lsdException w:uiPriority="99" w:name="line number"/>
    <w:lsdException w:qFormat="1" w:uiPriority="0" w:semiHidden="0" w:name="page number" w:locked="1"/>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name="Title" w:locked="1"/>
    <w:lsdException w:uiPriority="99" w:name="Closing"/>
    <w:lsdException w:uiPriority="99" w:name="Signature"/>
    <w:lsdException w:qFormat="1" w:uiPriority="1" w:name="Default Paragraph Font"/>
    <w:lsdException w:qFormat="1" w:uiPriority="0" w:semiHidden="0" w:name="Body Text" w:locked="1"/>
    <w:lsdException w:uiPriority="99" w:name="Body Text Indent" w:locked="1"/>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0" w:semiHidden="0" w:name="Subtitle" w:locked="1"/>
    <w:lsdException w:uiPriority="99" w:name="Salutation"/>
    <w:lsdException w:qFormat="1" w:uiPriority="0" w:semiHidden="0" w:name="Date" w:locked="1"/>
    <w:lsdException w:qFormat="1" w:unhideWhenUsed="0" w:uiPriority="0" w:semiHidden="0" w:name="Body Text First Indent" w:locked="1"/>
    <w:lsdException w:uiPriority="99" w:name="Body Text First Indent 2"/>
    <w:lsdException w:uiPriority="99" w:name="Note Heading"/>
    <w:lsdException w:uiPriority="99" w:name="Body Text 2"/>
    <w:lsdException w:uiPriority="99" w:name="Body Text 3"/>
    <w:lsdException w:qFormat="1" w:uiPriority="0" w:semiHidden="0" w:name="Body Text Indent 2"/>
    <w:lsdException w:uiPriority="99" w:name="Body Text Indent 3"/>
    <w:lsdException w:uiPriority="99" w:name="Block Text"/>
    <w:lsdException w:qFormat="1" w:uiPriority="99" w:semiHidden="0" w:name="Hyperlink" w:locked="1"/>
    <w:lsdException w:qFormat="1" w:uiPriority="99" w:name="FollowedHyperlink"/>
    <w:lsdException w:qFormat="1" w:unhideWhenUsed="0" w:uiPriority="22" w:semiHidden="0" w:name="Strong" w:locked="1"/>
    <w:lsdException w:qFormat="1" w:unhideWhenUsed="0" w:uiPriority="20" w:semiHidden="0" w:name="Emphasis" w:locked="1"/>
    <w:lsdException w:uiPriority="0" w:name="Document Map" w:locked="1"/>
    <w:lsdException w:uiPriority="0" w:name="Plain Text" w:locked="1"/>
    <w:lsdException w:uiPriority="99" w:name="E-mail Signature"/>
    <w:lsdException w:qFormat="1" w:uiPriority="0" w:semiHidden="0" w:name="Normal (Web)" w:locked="1"/>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ocked="1"/>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ocked="1"/>
    <w:lsdException w:uiPriority="99" w:name="Table Web 1"/>
    <w:lsdException w:uiPriority="99" w:name="Table Web 2"/>
    <w:lsdException w:uiPriority="99" w:name="Table Web 3" w:locked="1"/>
    <w:lsdException w:qFormat="1" w:uiPriority="99" w:semiHidden="0" w:name="Balloon Text" w:locked="1"/>
    <w:lsdException w:qFormat="1" w:unhideWhenUsed="0" w:uiPriority="59"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ocked="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3"/>
    <w:link w:val="45"/>
    <w:qFormat/>
    <w:locked/>
    <w:uiPriority w:val="0"/>
    <w:pPr>
      <w:keepNext/>
      <w:keepLines/>
      <w:widowControl w:val="0"/>
      <w:numPr>
        <w:ilvl w:val="0"/>
        <w:numId w:val="1"/>
      </w:numPr>
      <w:adjustRightInd w:val="0"/>
      <w:spacing w:before="120" w:after="120"/>
      <w:outlineLvl w:val="0"/>
    </w:pPr>
    <w:rPr>
      <w:rFonts w:asciiTheme="majorEastAsia" w:hAnsiTheme="majorEastAsia" w:eastAsiaTheme="majorEastAsia"/>
      <w:b/>
      <w:kern w:val="44"/>
      <w:sz w:val="32"/>
      <w:szCs w:val="32"/>
      <w:lang w:val="zh-CN"/>
    </w:rPr>
  </w:style>
  <w:style w:type="paragraph" w:styleId="4">
    <w:name w:val="heading 2"/>
    <w:basedOn w:val="1"/>
    <w:next w:val="3"/>
    <w:link w:val="46"/>
    <w:qFormat/>
    <w:locked/>
    <w:uiPriority w:val="0"/>
    <w:pPr>
      <w:keepNext/>
      <w:keepLines/>
      <w:widowControl w:val="0"/>
      <w:numPr>
        <w:ilvl w:val="1"/>
        <w:numId w:val="1"/>
      </w:numPr>
      <w:tabs>
        <w:tab w:val="left" w:pos="567"/>
      </w:tabs>
      <w:spacing w:before="120" w:after="120" w:line="415" w:lineRule="auto"/>
      <w:jc w:val="both"/>
      <w:outlineLvl w:val="1"/>
    </w:pPr>
    <w:rPr>
      <w:rFonts w:asciiTheme="majorHAnsi" w:hAnsiTheme="majorHAnsi" w:eastAsiaTheme="majorEastAsia" w:cstheme="majorBidi"/>
      <w:b/>
      <w:bCs/>
      <w:sz w:val="30"/>
      <w:szCs w:val="30"/>
    </w:rPr>
  </w:style>
  <w:style w:type="paragraph" w:styleId="5">
    <w:name w:val="heading 3"/>
    <w:basedOn w:val="1"/>
    <w:next w:val="3"/>
    <w:link w:val="47"/>
    <w:qFormat/>
    <w:locked/>
    <w:uiPriority w:val="0"/>
    <w:pPr>
      <w:keepNext/>
      <w:keepLines/>
      <w:widowControl w:val="0"/>
      <w:numPr>
        <w:ilvl w:val="2"/>
        <w:numId w:val="1"/>
      </w:numPr>
      <w:adjustRightInd w:val="0"/>
      <w:spacing w:before="260" w:after="260" w:line="416" w:lineRule="atLeast"/>
      <w:jc w:val="both"/>
      <w:outlineLvl w:val="2"/>
    </w:pPr>
    <w:rPr>
      <w:rFonts w:asciiTheme="majorEastAsia" w:hAnsiTheme="majorEastAsia" w:eastAsiaTheme="majorEastAsia"/>
      <w:b/>
      <w:bCs/>
      <w:sz w:val="30"/>
      <w:szCs w:val="30"/>
    </w:rPr>
  </w:style>
  <w:style w:type="paragraph" w:styleId="6">
    <w:name w:val="heading 4"/>
    <w:basedOn w:val="1"/>
    <w:next w:val="3"/>
    <w:link w:val="48"/>
    <w:qFormat/>
    <w:locked/>
    <w:uiPriority w:val="0"/>
    <w:pPr>
      <w:keepNext/>
      <w:keepLines/>
      <w:numPr>
        <w:ilvl w:val="3"/>
        <w:numId w:val="1"/>
      </w:numPr>
      <w:spacing w:before="280" w:after="290" w:line="376" w:lineRule="atLeast"/>
      <w:outlineLvl w:val="3"/>
    </w:pPr>
    <w:rPr>
      <w:rFonts w:asciiTheme="majorHAnsi" w:hAnsiTheme="majorHAnsi" w:eastAsiaTheme="majorEastAsia" w:cstheme="majorBidi"/>
      <w:b/>
      <w:bCs/>
      <w:sz w:val="28"/>
      <w:szCs w:val="28"/>
    </w:rPr>
  </w:style>
  <w:style w:type="paragraph" w:styleId="7">
    <w:name w:val="heading 5"/>
    <w:basedOn w:val="1"/>
    <w:next w:val="3"/>
    <w:link w:val="49"/>
    <w:qFormat/>
    <w:locked/>
    <w:uiPriority w:val="0"/>
    <w:pPr>
      <w:keepNext/>
      <w:keepLines/>
      <w:numPr>
        <w:ilvl w:val="4"/>
        <w:numId w:val="1"/>
      </w:numPr>
      <w:spacing w:before="280" w:after="290" w:line="376" w:lineRule="atLeast"/>
      <w:outlineLvl w:val="4"/>
    </w:pPr>
    <w:rPr>
      <w:b/>
      <w:bCs/>
      <w:sz w:val="28"/>
      <w:szCs w:val="28"/>
    </w:rPr>
  </w:style>
  <w:style w:type="paragraph" w:styleId="8">
    <w:name w:val="heading 6"/>
    <w:basedOn w:val="1"/>
    <w:next w:val="3"/>
    <w:link w:val="50"/>
    <w:qFormat/>
    <w:locked/>
    <w:uiPriority w:val="0"/>
    <w:pPr>
      <w:keepNext/>
      <w:keepLines/>
      <w:numPr>
        <w:ilvl w:val="5"/>
        <w:numId w:val="1"/>
      </w:numPr>
      <w:spacing w:before="240" w:after="64" w:line="320" w:lineRule="atLeast"/>
      <w:outlineLvl w:val="5"/>
    </w:pPr>
    <w:rPr>
      <w:rFonts w:asciiTheme="majorHAnsi" w:hAnsiTheme="majorHAnsi" w:eastAsiaTheme="majorEastAsia" w:cstheme="majorBidi"/>
      <w:b/>
      <w:bCs/>
      <w:sz w:val="28"/>
      <w:szCs w:val="28"/>
    </w:rPr>
  </w:style>
  <w:style w:type="paragraph" w:styleId="9">
    <w:name w:val="heading 7"/>
    <w:basedOn w:val="1"/>
    <w:next w:val="3"/>
    <w:link w:val="51"/>
    <w:unhideWhenUsed/>
    <w:qFormat/>
    <w:locked/>
    <w:uiPriority w:val="1"/>
    <w:pPr>
      <w:keepNext/>
      <w:keepLines/>
      <w:numPr>
        <w:ilvl w:val="6"/>
        <w:numId w:val="1"/>
      </w:numPr>
      <w:spacing w:before="240" w:after="64" w:line="320" w:lineRule="atLeast"/>
      <w:outlineLvl w:val="6"/>
    </w:pPr>
    <w:rPr>
      <w:sz w:val="28"/>
      <w:szCs w:val="28"/>
    </w:rPr>
  </w:style>
  <w:style w:type="paragraph" w:styleId="10">
    <w:name w:val="heading 8"/>
    <w:basedOn w:val="1"/>
    <w:next w:val="1"/>
    <w:link w:val="52"/>
    <w:unhideWhenUsed/>
    <w:qFormat/>
    <w:uiPriority w:val="9"/>
    <w:pPr>
      <w:keepNext/>
      <w:keepLines/>
      <w:numPr>
        <w:ilvl w:val="7"/>
        <w:numId w:val="1"/>
      </w:numPr>
      <w:spacing w:before="240" w:after="64" w:line="320" w:lineRule="atLeast"/>
      <w:outlineLvl w:val="7"/>
    </w:pPr>
    <w:rPr>
      <w:rFonts w:asciiTheme="majorHAnsi" w:hAnsiTheme="majorHAnsi" w:eastAsiaTheme="majorEastAsia" w:cstheme="majorBidi"/>
      <w:sz w:val="28"/>
      <w:szCs w:val="28"/>
    </w:rPr>
  </w:style>
  <w:style w:type="paragraph" w:styleId="11">
    <w:name w:val="heading 9"/>
    <w:basedOn w:val="1"/>
    <w:next w:val="1"/>
    <w:link w:val="53"/>
    <w:unhideWhenUsed/>
    <w:qFormat/>
    <w:uiPriority w:val="9"/>
    <w:pPr>
      <w:keepNext/>
      <w:keepLines/>
      <w:numPr>
        <w:ilvl w:val="8"/>
        <w:numId w:val="1"/>
      </w:numPr>
      <w:spacing w:before="240" w:after="64" w:line="320" w:lineRule="atLeast"/>
      <w:ind w:left="0" w:firstLine="0"/>
      <w:outlineLvl w:val="8"/>
    </w:pPr>
    <w:rPr>
      <w:rFonts w:asciiTheme="majorHAnsi" w:hAnsiTheme="majorHAnsi" w:eastAsiaTheme="majorEastAsia" w:cstheme="majorBidi"/>
      <w:szCs w:val="21"/>
    </w:r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customStyle="1" w:styleId="3">
    <w:name w:val="H0正文2"/>
    <w:basedOn w:val="1"/>
    <w:link w:val="44"/>
    <w:qFormat/>
    <w:uiPriority w:val="0"/>
    <w:pPr>
      <w:spacing w:line="360" w:lineRule="auto"/>
      <w:ind w:firstLine="200" w:firstLineChars="200"/>
      <w:jc w:val="both"/>
    </w:pPr>
    <w:rPr>
      <w:rFonts w:ascii="宋体" w:hAnsi="宋体" w:eastAsia="宋体"/>
      <w:kern w:val="2"/>
      <w:szCs w:val="28"/>
    </w:rPr>
  </w:style>
  <w:style w:type="paragraph" w:styleId="12">
    <w:name w:val="toc 7"/>
    <w:basedOn w:val="1"/>
    <w:next w:val="1"/>
    <w:unhideWhenUsed/>
    <w:qFormat/>
    <w:uiPriority w:val="39"/>
    <w:pPr>
      <w:ind w:left="1440"/>
    </w:pPr>
    <w:rPr>
      <w:rFonts w:asciiTheme="minorHAnsi" w:hAnsiTheme="minorHAnsi" w:cstheme="minorHAnsi"/>
      <w:sz w:val="18"/>
      <w:szCs w:val="18"/>
    </w:rPr>
  </w:style>
  <w:style w:type="paragraph" w:styleId="13">
    <w:name w:val="Normal Indent"/>
    <w:basedOn w:val="1"/>
    <w:link w:val="87"/>
    <w:unhideWhenUsed/>
    <w:qFormat/>
    <w:locked/>
    <w:uiPriority w:val="99"/>
    <w:pPr>
      <w:spacing w:line="360" w:lineRule="auto"/>
      <w:ind w:firstLine="420" w:firstLineChars="200"/>
      <w:jc w:val="both"/>
    </w:pPr>
    <w:rPr>
      <w:rFonts w:ascii="宋体" w:hAnsi="宋体" w:eastAsia="宋体" w:cstheme="minorBidi"/>
      <w:kern w:val="2"/>
      <w:szCs w:val="21"/>
    </w:rPr>
  </w:style>
  <w:style w:type="paragraph" w:styleId="14">
    <w:name w:val="caption"/>
    <w:basedOn w:val="1"/>
    <w:next w:val="1"/>
    <w:unhideWhenUsed/>
    <w:qFormat/>
    <w:uiPriority w:val="35"/>
    <w:rPr>
      <w:rFonts w:eastAsia="黑体" w:asciiTheme="majorHAnsi" w:hAnsiTheme="majorHAnsi" w:cstheme="majorBidi"/>
      <w:sz w:val="20"/>
      <w:szCs w:val="20"/>
    </w:rPr>
  </w:style>
  <w:style w:type="paragraph" w:styleId="15">
    <w:name w:val="annotation text"/>
    <w:basedOn w:val="1"/>
    <w:link w:val="74"/>
    <w:unhideWhenUsed/>
    <w:qFormat/>
    <w:locked/>
    <w:uiPriority w:val="99"/>
  </w:style>
  <w:style w:type="paragraph" w:styleId="16">
    <w:name w:val="Body Text"/>
    <w:basedOn w:val="1"/>
    <w:link w:val="69"/>
    <w:unhideWhenUsed/>
    <w:qFormat/>
    <w:locked/>
    <w:uiPriority w:val="0"/>
    <w:pPr>
      <w:spacing w:after="120"/>
    </w:pPr>
  </w:style>
  <w:style w:type="paragraph" w:styleId="17">
    <w:name w:val="toc 5"/>
    <w:basedOn w:val="1"/>
    <w:next w:val="1"/>
    <w:unhideWhenUsed/>
    <w:qFormat/>
    <w:uiPriority w:val="39"/>
    <w:pPr>
      <w:ind w:left="960"/>
    </w:pPr>
    <w:rPr>
      <w:rFonts w:asciiTheme="minorHAnsi" w:hAnsiTheme="minorHAnsi" w:cstheme="minorHAnsi"/>
      <w:sz w:val="18"/>
      <w:szCs w:val="18"/>
    </w:rPr>
  </w:style>
  <w:style w:type="paragraph" w:styleId="18">
    <w:name w:val="toc 3"/>
    <w:basedOn w:val="1"/>
    <w:next w:val="1"/>
    <w:unhideWhenUsed/>
    <w:qFormat/>
    <w:locked/>
    <w:uiPriority w:val="39"/>
    <w:pPr>
      <w:ind w:left="480"/>
    </w:pPr>
    <w:rPr>
      <w:rFonts w:asciiTheme="minorHAnsi" w:hAnsiTheme="minorHAnsi" w:cstheme="minorHAnsi"/>
      <w:i/>
      <w:iCs/>
      <w:sz w:val="20"/>
      <w:szCs w:val="20"/>
    </w:rPr>
  </w:style>
  <w:style w:type="paragraph" w:styleId="19">
    <w:name w:val="toc 8"/>
    <w:basedOn w:val="1"/>
    <w:next w:val="1"/>
    <w:unhideWhenUsed/>
    <w:qFormat/>
    <w:uiPriority w:val="39"/>
    <w:pPr>
      <w:ind w:left="1680"/>
    </w:pPr>
    <w:rPr>
      <w:rFonts w:asciiTheme="minorHAnsi" w:hAnsiTheme="minorHAnsi" w:cstheme="minorHAnsi"/>
      <w:sz w:val="18"/>
      <w:szCs w:val="18"/>
    </w:rPr>
  </w:style>
  <w:style w:type="paragraph" w:styleId="20">
    <w:name w:val="Date"/>
    <w:basedOn w:val="1"/>
    <w:next w:val="1"/>
    <w:link w:val="58"/>
    <w:unhideWhenUsed/>
    <w:qFormat/>
    <w:locked/>
    <w:uiPriority w:val="0"/>
    <w:pPr>
      <w:ind w:left="100" w:leftChars="2500"/>
    </w:pPr>
  </w:style>
  <w:style w:type="paragraph" w:styleId="21">
    <w:name w:val="Body Text Indent 2"/>
    <w:basedOn w:val="1"/>
    <w:link w:val="109"/>
    <w:unhideWhenUsed/>
    <w:qFormat/>
    <w:uiPriority w:val="0"/>
    <w:pPr>
      <w:widowControl w:val="0"/>
      <w:spacing w:after="120" w:line="480" w:lineRule="auto"/>
      <w:ind w:left="420" w:leftChars="200" w:firstLine="200" w:firstLineChars="200"/>
      <w:jc w:val="both"/>
    </w:pPr>
    <w:rPr>
      <w:rFonts w:eastAsia="宋体"/>
      <w:kern w:val="2"/>
      <w:szCs w:val="21"/>
    </w:rPr>
  </w:style>
  <w:style w:type="paragraph" w:styleId="22">
    <w:name w:val="Balloon Text"/>
    <w:basedOn w:val="1"/>
    <w:link w:val="67"/>
    <w:unhideWhenUsed/>
    <w:qFormat/>
    <w:locked/>
    <w:uiPriority w:val="99"/>
    <w:rPr>
      <w:rFonts w:ascii="宋体" w:eastAsia="宋体"/>
      <w:sz w:val="18"/>
      <w:szCs w:val="18"/>
    </w:rPr>
  </w:style>
  <w:style w:type="paragraph" w:styleId="23">
    <w:name w:val="footer"/>
    <w:basedOn w:val="1"/>
    <w:link w:val="60"/>
    <w:unhideWhenUsed/>
    <w:qFormat/>
    <w:locked/>
    <w:uiPriority w:val="99"/>
    <w:pPr>
      <w:tabs>
        <w:tab w:val="center" w:pos="4153"/>
        <w:tab w:val="right" w:pos="8306"/>
      </w:tabs>
      <w:snapToGrid w:val="0"/>
    </w:pPr>
    <w:rPr>
      <w:sz w:val="18"/>
      <w:szCs w:val="18"/>
    </w:rPr>
  </w:style>
  <w:style w:type="paragraph" w:styleId="24">
    <w:name w:val="header"/>
    <w:basedOn w:val="1"/>
    <w:link w:val="59"/>
    <w:unhideWhenUsed/>
    <w:qFormat/>
    <w:locked/>
    <w:uiPriority w:val="99"/>
    <w:pPr>
      <w:pBdr>
        <w:bottom w:val="single" w:color="auto" w:sz="6" w:space="1"/>
      </w:pBdr>
      <w:tabs>
        <w:tab w:val="center" w:pos="4153"/>
        <w:tab w:val="right" w:pos="8306"/>
      </w:tabs>
      <w:snapToGrid w:val="0"/>
      <w:jc w:val="center"/>
    </w:pPr>
    <w:rPr>
      <w:sz w:val="18"/>
      <w:szCs w:val="18"/>
    </w:rPr>
  </w:style>
  <w:style w:type="paragraph" w:styleId="25">
    <w:name w:val="toc 1"/>
    <w:basedOn w:val="1"/>
    <w:next w:val="1"/>
    <w:unhideWhenUsed/>
    <w:qFormat/>
    <w:locked/>
    <w:uiPriority w:val="39"/>
    <w:pPr>
      <w:spacing w:before="120" w:after="120"/>
    </w:pPr>
    <w:rPr>
      <w:rFonts w:asciiTheme="minorHAnsi" w:hAnsiTheme="minorHAnsi" w:cstheme="minorHAnsi"/>
      <w:b/>
      <w:bCs/>
      <w:caps/>
      <w:sz w:val="20"/>
      <w:szCs w:val="20"/>
    </w:rPr>
  </w:style>
  <w:style w:type="paragraph" w:styleId="26">
    <w:name w:val="toc 4"/>
    <w:basedOn w:val="1"/>
    <w:next w:val="1"/>
    <w:unhideWhenUsed/>
    <w:qFormat/>
    <w:uiPriority w:val="39"/>
    <w:pPr>
      <w:ind w:left="720"/>
    </w:pPr>
    <w:rPr>
      <w:rFonts w:asciiTheme="minorHAnsi" w:hAnsiTheme="minorHAnsi" w:cstheme="minorHAnsi"/>
      <w:sz w:val="18"/>
      <w:szCs w:val="18"/>
    </w:rPr>
  </w:style>
  <w:style w:type="paragraph" w:styleId="27">
    <w:name w:val="toc 6"/>
    <w:basedOn w:val="1"/>
    <w:next w:val="1"/>
    <w:unhideWhenUsed/>
    <w:qFormat/>
    <w:uiPriority w:val="39"/>
    <w:pPr>
      <w:ind w:left="1200"/>
    </w:pPr>
    <w:rPr>
      <w:rFonts w:asciiTheme="minorHAnsi" w:hAnsiTheme="minorHAnsi" w:cstheme="minorHAnsi"/>
      <w:sz w:val="18"/>
      <w:szCs w:val="18"/>
    </w:rPr>
  </w:style>
  <w:style w:type="paragraph" w:styleId="28">
    <w:name w:val="toc 2"/>
    <w:basedOn w:val="1"/>
    <w:next w:val="1"/>
    <w:unhideWhenUsed/>
    <w:qFormat/>
    <w:locked/>
    <w:uiPriority w:val="39"/>
    <w:pPr>
      <w:ind w:left="240"/>
    </w:pPr>
    <w:rPr>
      <w:rFonts w:asciiTheme="minorHAnsi" w:hAnsiTheme="minorHAnsi" w:cstheme="minorHAnsi"/>
      <w:smallCaps/>
      <w:sz w:val="20"/>
      <w:szCs w:val="20"/>
    </w:rPr>
  </w:style>
  <w:style w:type="paragraph" w:styleId="29">
    <w:name w:val="toc 9"/>
    <w:basedOn w:val="1"/>
    <w:next w:val="1"/>
    <w:unhideWhenUsed/>
    <w:qFormat/>
    <w:uiPriority w:val="39"/>
    <w:pPr>
      <w:ind w:left="1920"/>
    </w:pPr>
    <w:rPr>
      <w:rFonts w:asciiTheme="minorHAnsi" w:hAnsiTheme="minorHAnsi" w:cstheme="minorHAnsi"/>
      <w:sz w:val="18"/>
      <w:szCs w:val="18"/>
    </w:rPr>
  </w:style>
  <w:style w:type="paragraph" w:styleId="30">
    <w:name w:val="HTML Preformatted"/>
    <w:basedOn w:val="1"/>
    <w:link w:val="88"/>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pPr>
    <w:rPr>
      <w:rFonts w:ascii="Courier" w:hAnsi="Courier" w:eastAsia="宋体" w:cs="Courier"/>
      <w:sz w:val="20"/>
      <w:szCs w:val="20"/>
    </w:rPr>
  </w:style>
  <w:style w:type="paragraph" w:styleId="31">
    <w:name w:val="Normal (Web)"/>
    <w:basedOn w:val="1"/>
    <w:unhideWhenUsed/>
    <w:qFormat/>
    <w:locked/>
    <w:uiPriority w:val="0"/>
    <w:pPr>
      <w:spacing w:before="100" w:beforeAutospacing="1" w:after="100" w:afterAutospacing="1"/>
    </w:pPr>
    <w:rPr>
      <w:rFonts w:ascii="Arial Unicode MS" w:hAnsi="Arial Unicode MS" w:eastAsia="Arial Unicode MS"/>
    </w:rPr>
  </w:style>
  <w:style w:type="paragraph" w:styleId="32">
    <w:name w:val="Title"/>
    <w:basedOn w:val="1"/>
    <w:next w:val="1"/>
    <w:link w:val="55"/>
    <w:semiHidden/>
    <w:qFormat/>
    <w:locked/>
    <w:uiPriority w:val="0"/>
    <w:pPr>
      <w:widowControl w:val="0"/>
      <w:spacing w:after="200" w:afterLines="200"/>
      <w:jc w:val="center"/>
      <w:outlineLvl w:val="0"/>
    </w:pPr>
    <w:rPr>
      <w:rFonts w:ascii="Cambria" w:hAnsi="Cambria" w:cstheme="minorBidi"/>
      <w:b/>
      <w:bCs/>
      <w:kern w:val="2"/>
      <w:sz w:val="44"/>
      <w:szCs w:val="32"/>
    </w:rPr>
  </w:style>
  <w:style w:type="paragraph" w:styleId="33">
    <w:name w:val="annotation subject"/>
    <w:basedOn w:val="15"/>
    <w:next w:val="15"/>
    <w:link w:val="75"/>
    <w:unhideWhenUsed/>
    <w:qFormat/>
    <w:locked/>
    <w:uiPriority w:val="99"/>
    <w:rPr>
      <w:b/>
      <w:bCs/>
    </w:rPr>
  </w:style>
  <w:style w:type="paragraph" w:styleId="34">
    <w:name w:val="Body Text First Indent"/>
    <w:basedOn w:val="1"/>
    <w:link w:val="70"/>
    <w:qFormat/>
    <w:locked/>
    <w:uiPriority w:val="0"/>
    <w:pPr>
      <w:widowControl w:val="0"/>
      <w:spacing w:line="360" w:lineRule="auto"/>
      <w:ind w:firstLine="200" w:firstLineChars="200"/>
      <w:jc w:val="both"/>
    </w:pPr>
    <w:rPr>
      <w:rFonts w:eastAsia="仿宋_GB2312"/>
      <w:kern w:val="2"/>
    </w:rPr>
  </w:style>
  <w:style w:type="table" w:styleId="36">
    <w:name w:val="Table Grid"/>
    <w:basedOn w:val="35"/>
    <w:qFormat/>
    <w:locked/>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8">
    <w:name w:val="Strong"/>
    <w:qFormat/>
    <w:locked/>
    <w:uiPriority w:val="22"/>
    <w:rPr>
      <w:b/>
      <w:bCs/>
    </w:rPr>
  </w:style>
  <w:style w:type="character" w:styleId="39">
    <w:name w:val="page number"/>
    <w:basedOn w:val="37"/>
    <w:unhideWhenUsed/>
    <w:qFormat/>
    <w:locked/>
    <w:uiPriority w:val="0"/>
  </w:style>
  <w:style w:type="character" w:styleId="40">
    <w:name w:val="FollowedHyperlink"/>
    <w:basedOn w:val="37"/>
    <w:semiHidden/>
    <w:unhideWhenUsed/>
    <w:qFormat/>
    <w:uiPriority w:val="99"/>
    <w:rPr>
      <w:color w:val="954F72"/>
      <w:u w:val="single"/>
    </w:rPr>
  </w:style>
  <w:style w:type="character" w:styleId="41">
    <w:name w:val="Emphasis"/>
    <w:qFormat/>
    <w:locked/>
    <w:uiPriority w:val="20"/>
    <w:rPr>
      <w:i/>
      <w:iCs/>
    </w:rPr>
  </w:style>
  <w:style w:type="character" w:styleId="42">
    <w:name w:val="Hyperlink"/>
    <w:basedOn w:val="37"/>
    <w:unhideWhenUsed/>
    <w:qFormat/>
    <w:locked/>
    <w:uiPriority w:val="99"/>
    <w:rPr>
      <w:color w:val="0563C1" w:themeColor="hyperlink"/>
      <w:u w:val="single"/>
      <w14:textFill>
        <w14:solidFill>
          <w14:schemeClr w14:val="hlink"/>
        </w14:solidFill>
      </w14:textFill>
    </w:rPr>
  </w:style>
  <w:style w:type="character" w:styleId="43">
    <w:name w:val="annotation reference"/>
    <w:basedOn w:val="37"/>
    <w:unhideWhenUsed/>
    <w:qFormat/>
    <w:locked/>
    <w:uiPriority w:val="99"/>
    <w:rPr>
      <w:sz w:val="21"/>
      <w:szCs w:val="21"/>
    </w:rPr>
  </w:style>
  <w:style w:type="character" w:customStyle="1" w:styleId="44">
    <w:name w:val="H0正文2 字符"/>
    <w:basedOn w:val="37"/>
    <w:link w:val="3"/>
    <w:qFormat/>
    <w:uiPriority w:val="0"/>
    <w:rPr>
      <w:rFonts w:ascii="宋体" w:hAnsi="宋体"/>
      <w:kern w:val="2"/>
      <w:sz w:val="24"/>
      <w:szCs w:val="28"/>
    </w:rPr>
  </w:style>
  <w:style w:type="character" w:customStyle="1" w:styleId="45">
    <w:name w:val="Heading 1 Char"/>
    <w:basedOn w:val="37"/>
    <w:link w:val="2"/>
    <w:qFormat/>
    <w:uiPriority w:val="9"/>
    <w:rPr>
      <w:rFonts w:asciiTheme="majorEastAsia" w:hAnsiTheme="majorEastAsia" w:eastAsiaTheme="majorEastAsia"/>
      <w:b/>
      <w:kern w:val="44"/>
      <w:sz w:val="32"/>
      <w:szCs w:val="32"/>
      <w:lang w:val="zh-CN"/>
    </w:rPr>
  </w:style>
  <w:style w:type="character" w:customStyle="1" w:styleId="46">
    <w:name w:val="Heading 2 Char"/>
    <w:basedOn w:val="37"/>
    <w:link w:val="4"/>
    <w:qFormat/>
    <w:uiPriority w:val="9"/>
    <w:rPr>
      <w:rFonts w:asciiTheme="majorHAnsi" w:hAnsiTheme="majorHAnsi" w:eastAsiaTheme="majorEastAsia" w:cstheme="majorBidi"/>
      <w:b/>
      <w:bCs/>
      <w:sz w:val="30"/>
      <w:szCs w:val="30"/>
    </w:rPr>
  </w:style>
  <w:style w:type="character" w:customStyle="1" w:styleId="47">
    <w:name w:val="Heading 3 Char"/>
    <w:basedOn w:val="37"/>
    <w:link w:val="5"/>
    <w:qFormat/>
    <w:uiPriority w:val="9"/>
    <w:rPr>
      <w:rFonts w:asciiTheme="majorEastAsia" w:hAnsiTheme="majorEastAsia" w:eastAsiaTheme="majorEastAsia"/>
      <w:b/>
      <w:bCs/>
      <w:sz w:val="30"/>
      <w:szCs w:val="30"/>
    </w:rPr>
  </w:style>
  <w:style w:type="character" w:customStyle="1" w:styleId="48">
    <w:name w:val="Heading 4 Char"/>
    <w:basedOn w:val="37"/>
    <w:link w:val="6"/>
    <w:qFormat/>
    <w:uiPriority w:val="9"/>
    <w:rPr>
      <w:rFonts w:asciiTheme="majorHAnsi" w:hAnsiTheme="majorHAnsi" w:eastAsiaTheme="majorEastAsia" w:cstheme="majorBidi"/>
      <w:b/>
      <w:bCs/>
      <w:sz w:val="28"/>
      <w:szCs w:val="28"/>
    </w:rPr>
  </w:style>
  <w:style w:type="character" w:customStyle="1" w:styleId="49">
    <w:name w:val="Heading 5 Char"/>
    <w:basedOn w:val="37"/>
    <w:link w:val="7"/>
    <w:qFormat/>
    <w:uiPriority w:val="0"/>
    <w:rPr>
      <w:rFonts w:eastAsiaTheme="minorEastAsia"/>
      <w:b/>
      <w:bCs/>
      <w:sz w:val="28"/>
      <w:szCs w:val="28"/>
    </w:rPr>
  </w:style>
  <w:style w:type="character" w:customStyle="1" w:styleId="50">
    <w:name w:val="Heading 6 Char"/>
    <w:basedOn w:val="37"/>
    <w:link w:val="8"/>
    <w:qFormat/>
    <w:uiPriority w:val="9"/>
    <w:rPr>
      <w:rFonts w:asciiTheme="majorHAnsi" w:hAnsiTheme="majorHAnsi" w:eastAsiaTheme="majorEastAsia" w:cstheme="majorBidi"/>
      <w:b/>
      <w:bCs/>
      <w:sz w:val="28"/>
      <w:szCs w:val="28"/>
    </w:rPr>
  </w:style>
  <w:style w:type="character" w:customStyle="1" w:styleId="51">
    <w:name w:val="Heading 7 Char"/>
    <w:basedOn w:val="37"/>
    <w:link w:val="9"/>
    <w:qFormat/>
    <w:uiPriority w:val="0"/>
    <w:rPr>
      <w:rFonts w:eastAsiaTheme="minorEastAsia"/>
      <w:sz w:val="28"/>
      <w:szCs w:val="28"/>
    </w:rPr>
  </w:style>
  <w:style w:type="character" w:customStyle="1" w:styleId="52">
    <w:name w:val="Heading 8 Char"/>
    <w:basedOn w:val="37"/>
    <w:link w:val="10"/>
    <w:qFormat/>
    <w:uiPriority w:val="0"/>
    <w:rPr>
      <w:rFonts w:asciiTheme="majorHAnsi" w:hAnsiTheme="majorHAnsi" w:eastAsiaTheme="majorEastAsia" w:cstheme="majorBidi"/>
      <w:sz w:val="28"/>
      <w:szCs w:val="28"/>
    </w:rPr>
  </w:style>
  <w:style w:type="character" w:customStyle="1" w:styleId="53">
    <w:name w:val="Heading 9 Char"/>
    <w:basedOn w:val="37"/>
    <w:link w:val="11"/>
    <w:qFormat/>
    <w:uiPriority w:val="0"/>
    <w:rPr>
      <w:rFonts w:asciiTheme="majorHAnsi" w:hAnsiTheme="majorHAnsi" w:eastAsiaTheme="majorEastAsia" w:cstheme="majorBidi"/>
      <w:sz w:val="24"/>
      <w:szCs w:val="21"/>
    </w:rPr>
  </w:style>
  <w:style w:type="character" w:customStyle="1" w:styleId="54">
    <w:name w:val="H0正文2字符"/>
    <w:basedOn w:val="44"/>
    <w:qFormat/>
    <w:uiPriority w:val="1"/>
    <w:rPr>
      <w:rFonts w:ascii="Times New Roman" w:hAnsi="Times New Roman" w:eastAsia="仿宋_GB2312" w:cs="Times New Roman"/>
      <w:kern w:val="0"/>
      <w:sz w:val="28"/>
      <w:szCs w:val="24"/>
    </w:rPr>
  </w:style>
  <w:style w:type="character" w:customStyle="1" w:styleId="55">
    <w:name w:val="Title Char"/>
    <w:link w:val="32"/>
    <w:semiHidden/>
    <w:qFormat/>
    <w:uiPriority w:val="0"/>
    <w:rPr>
      <w:rFonts w:ascii="Cambria" w:hAnsi="Cambria"/>
      <w:b/>
      <w:bCs/>
      <w:sz w:val="44"/>
      <w:szCs w:val="32"/>
    </w:rPr>
  </w:style>
  <w:style w:type="paragraph" w:customStyle="1" w:styleId="56">
    <w:name w:val="正文不缩进"/>
    <w:basedOn w:val="1"/>
    <w:link w:val="57"/>
    <w:qFormat/>
    <w:uiPriority w:val="0"/>
    <w:pPr>
      <w:spacing w:line="360" w:lineRule="auto"/>
      <w:jc w:val="both"/>
    </w:pPr>
    <w:rPr>
      <w:lang w:val="zh-CN"/>
    </w:rPr>
  </w:style>
  <w:style w:type="character" w:customStyle="1" w:styleId="57">
    <w:name w:val="正文不缩进 字符"/>
    <w:basedOn w:val="44"/>
    <w:link w:val="56"/>
    <w:qFormat/>
    <w:uiPriority w:val="0"/>
    <w:rPr>
      <w:rFonts w:ascii="Times New Roman" w:hAnsi="Times New Roman" w:eastAsia="仿宋_GB2312" w:cs="Times New Roman"/>
      <w:kern w:val="0"/>
      <w:sz w:val="28"/>
      <w:szCs w:val="24"/>
      <w:lang w:val="zh-CN"/>
    </w:rPr>
  </w:style>
  <w:style w:type="character" w:customStyle="1" w:styleId="58">
    <w:name w:val="Date Char"/>
    <w:basedOn w:val="37"/>
    <w:link w:val="20"/>
    <w:semiHidden/>
    <w:qFormat/>
    <w:uiPriority w:val="0"/>
    <w:rPr>
      <w:rFonts w:ascii="Times New Roman" w:hAnsi="Times New Roman" w:cs="Times New Roman"/>
      <w:kern w:val="0"/>
    </w:rPr>
  </w:style>
  <w:style w:type="character" w:customStyle="1" w:styleId="59">
    <w:name w:val="Header Char"/>
    <w:basedOn w:val="37"/>
    <w:link w:val="24"/>
    <w:qFormat/>
    <w:uiPriority w:val="99"/>
    <w:rPr>
      <w:rFonts w:ascii="Times New Roman" w:hAnsi="Times New Roman" w:cs="Times New Roman"/>
      <w:kern w:val="0"/>
      <w:sz w:val="18"/>
      <w:szCs w:val="18"/>
    </w:rPr>
  </w:style>
  <w:style w:type="character" w:customStyle="1" w:styleId="60">
    <w:name w:val="Footer Char"/>
    <w:basedOn w:val="37"/>
    <w:link w:val="23"/>
    <w:qFormat/>
    <w:uiPriority w:val="99"/>
    <w:rPr>
      <w:rFonts w:ascii="Times New Roman" w:hAnsi="Times New Roman" w:cs="Times New Roman"/>
      <w:kern w:val="0"/>
      <w:sz w:val="18"/>
      <w:szCs w:val="18"/>
    </w:rPr>
  </w:style>
  <w:style w:type="paragraph" w:customStyle="1" w:styleId="61">
    <w:name w:val="一级标题"/>
    <w:basedOn w:val="2"/>
    <w:link w:val="62"/>
    <w:qFormat/>
    <w:uiPriority w:val="0"/>
    <w:pPr>
      <w:numPr>
        <w:numId w:val="0"/>
      </w:numPr>
      <w:adjustRightInd/>
      <w:spacing w:after="0" w:line="360" w:lineRule="auto"/>
      <w:ind w:firstLine="200" w:firstLineChars="200"/>
      <w:jc w:val="both"/>
    </w:pPr>
    <w:rPr>
      <w:rFonts w:ascii="宋体" w:hAnsi="宋体" w:eastAsia="宋体"/>
      <w:szCs w:val="36"/>
    </w:rPr>
  </w:style>
  <w:style w:type="character" w:customStyle="1" w:styleId="62">
    <w:name w:val="一级标题 字符"/>
    <w:basedOn w:val="45"/>
    <w:link w:val="61"/>
    <w:qFormat/>
    <w:uiPriority w:val="0"/>
    <w:rPr>
      <w:rFonts w:ascii="宋体" w:hAnsi="宋体" w:eastAsia="宋体" w:cs="Times New Roman"/>
      <w:kern w:val="44"/>
      <w:sz w:val="32"/>
      <w:szCs w:val="36"/>
      <w:lang w:val="zh-CN"/>
    </w:rPr>
  </w:style>
  <w:style w:type="paragraph" w:customStyle="1" w:styleId="63">
    <w:name w:val="二级标题"/>
    <w:basedOn w:val="1"/>
    <w:link w:val="64"/>
    <w:qFormat/>
    <w:uiPriority w:val="0"/>
    <w:pPr>
      <w:widowControl w:val="0"/>
      <w:spacing w:line="360" w:lineRule="auto"/>
      <w:ind w:firstLine="200" w:firstLineChars="200"/>
      <w:jc w:val="both"/>
      <w:outlineLvl w:val="1"/>
    </w:pPr>
    <w:rPr>
      <w:rFonts w:ascii="宋体" w:hAnsi="宋体" w:eastAsia="宋体" w:cstheme="minorBidi"/>
      <w:b/>
      <w:bCs/>
      <w:kern w:val="2"/>
      <w:sz w:val="28"/>
      <w:szCs w:val="32"/>
    </w:rPr>
  </w:style>
  <w:style w:type="character" w:customStyle="1" w:styleId="64">
    <w:name w:val="二级标题 字符"/>
    <w:basedOn w:val="37"/>
    <w:link w:val="63"/>
    <w:qFormat/>
    <w:uiPriority w:val="0"/>
    <w:rPr>
      <w:rFonts w:ascii="宋体" w:hAnsi="宋体" w:eastAsia="宋体"/>
      <w:b/>
      <w:bCs/>
      <w:sz w:val="28"/>
      <w:szCs w:val="32"/>
    </w:rPr>
  </w:style>
  <w:style w:type="paragraph" w:styleId="65">
    <w:name w:val="List Paragraph"/>
    <w:basedOn w:val="1"/>
    <w:link w:val="66"/>
    <w:qFormat/>
    <w:locked/>
    <w:uiPriority w:val="34"/>
    <w:pPr>
      <w:widowControl w:val="0"/>
      <w:spacing w:line="360" w:lineRule="auto"/>
      <w:ind w:firstLine="420" w:firstLineChars="200"/>
      <w:jc w:val="both"/>
    </w:pPr>
    <w:rPr>
      <w:rFonts w:eastAsia="宋体" w:cstheme="minorBidi"/>
      <w:kern w:val="2"/>
      <w:szCs w:val="22"/>
    </w:rPr>
  </w:style>
  <w:style w:type="character" w:customStyle="1" w:styleId="66">
    <w:name w:val="List Paragraph Char"/>
    <w:link w:val="65"/>
    <w:qFormat/>
    <w:uiPriority w:val="34"/>
    <w:rPr>
      <w:rFonts w:ascii="Times New Roman" w:hAnsi="Times New Roman" w:eastAsia="宋体"/>
      <w:szCs w:val="22"/>
    </w:rPr>
  </w:style>
  <w:style w:type="character" w:customStyle="1" w:styleId="67">
    <w:name w:val="Balloon Text Char"/>
    <w:basedOn w:val="37"/>
    <w:link w:val="22"/>
    <w:semiHidden/>
    <w:qFormat/>
    <w:uiPriority w:val="99"/>
    <w:rPr>
      <w:rFonts w:ascii="宋体" w:hAnsi="Times New Roman" w:eastAsia="宋体" w:cs="Times New Roman"/>
      <w:kern w:val="0"/>
      <w:sz w:val="18"/>
      <w:szCs w:val="18"/>
    </w:rPr>
  </w:style>
  <w:style w:type="paragraph" w:customStyle="1" w:styleId="68">
    <w:name w:val="TOC 标题1"/>
    <w:basedOn w:val="2"/>
    <w:next w:val="1"/>
    <w:unhideWhenUsed/>
    <w:qFormat/>
    <w:locked/>
    <w:uiPriority w:val="39"/>
    <w:pPr>
      <w:widowControl/>
      <w:numPr>
        <w:numId w:val="0"/>
      </w:numPr>
      <w:adjustRightInd/>
      <w:spacing w:before="480" w:after="0" w:line="276" w:lineRule="auto"/>
      <w:outlineLvl w:val="9"/>
    </w:pPr>
    <w:rPr>
      <w:rFonts w:asciiTheme="majorHAnsi" w:hAnsiTheme="majorHAnsi" w:cstheme="majorBidi"/>
      <w:bCs/>
      <w:color w:val="2E75B6" w:themeColor="accent1" w:themeShade="BF"/>
      <w:kern w:val="0"/>
      <w:sz w:val="28"/>
      <w:szCs w:val="28"/>
      <w:lang w:val="en-US"/>
    </w:rPr>
  </w:style>
  <w:style w:type="character" w:customStyle="1" w:styleId="69">
    <w:name w:val="Body Text Char"/>
    <w:basedOn w:val="37"/>
    <w:link w:val="16"/>
    <w:qFormat/>
    <w:uiPriority w:val="0"/>
    <w:rPr>
      <w:rFonts w:ascii="Times New Roman" w:hAnsi="Times New Roman" w:cs="Times New Roman"/>
      <w:kern w:val="0"/>
    </w:rPr>
  </w:style>
  <w:style w:type="character" w:customStyle="1" w:styleId="70">
    <w:name w:val="Body Text First Indent Char"/>
    <w:basedOn w:val="69"/>
    <w:link w:val="34"/>
    <w:qFormat/>
    <w:uiPriority w:val="0"/>
    <w:rPr>
      <w:rFonts w:ascii="Times New Roman" w:hAnsi="Times New Roman" w:eastAsia="仿宋_GB2312" w:cs="Times New Roman"/>
      <w:kern w:val="0"/>
    </w:rPr>
  </w:style>
  <w:style w:type="paragraph" w:customStyle="1" w:styleId="71">
    <w:name w:val="正文缩进2字符"/>
    <w:basedOn w:val="1"/>
    <w:link w:val="72"/>
    <w:qFormat/>
    <w:uiPriority w:val="0"/>
    <w:pPr>
      <w:widowControl w:val="0"/>
      <w:adjustRightInd w:val="0"/>
      <w:snapToGrid w:val="0"/>
      <w:spacing w:line="360" w:lineRule="auto"/>
      <w:ind w:firstLine="480" w:firstLineChars="200"/>
      <w:jc w:val="both"/>
    </w:pPr>
    <w:rPr>
      <w:rFonts w:eastAsia="宋体"/>
      <w:kern w:val="2"/>
    </w:rPr>
  </w:style>
  <w:style w:type="character" w:customStyle="1" w:styleId="72">
    <w:name w:val="正文缩进2字符 Char"/>
    <w:basedOn w:val="37"/>
    <w:link w:val="71"/>
    <w:qFormat/>
    <w:uiPriority w:val="0"/>
    <w:rPr>
      <w:rFonts w:ascii="Times New Roman" w:hAnsi="Times New Roman" w:eastAsia="宋体" w:cs="Times New Roman"/>
    </w:rPr>
  </w:style>
  <w:style w:type="table" w:customStyle="1" w:styleId="73">
    <w:name w:val="清单表 31"/>
    <w:basedOn w:val="35"/>
    <w:qFormat/>
    <w:uiPriority w:val="48"/>
    <w:tblPr>
      <w:tblBorders>
        <w:top w:val="single" w:color="000000" w:themeColor="text1" w:sz="4" w:space="0"/>
        <w:left w:val="single" w:color="000000" w:themeColor="text1" w:sz="4" w:space="0"/>
        <w:bottom w:val="single" w:color="000000" w:themeColor="text1" w:sz="4" w:space="0"/>
        <w:right w:val="single" w:color="000000" w:themeColor="text1"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shd w:val="clear" w:color="auto" w:fill="000000" w:themeFill="text1"/>
      </w:tcPr>
    </w:tblStylePr>
    <w:tblStylePr w:type="lastRow">
      <w:rPr>
        <w:b/>
        <w:bCs/>
      </w:rPr>
      <w:tcPr>
        <w:tcBorders>
          <w:top w:val="double" w:color="000000" w:themeColor="tex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0000" w:themeColor="text1" w:sz="4" w:space="0"/>
          <w:left w:val="nil"/>
        </w:tcBorders>
      </w:tcPr>
    </w:tblStylePr>
    <w:tblStylePr w:type="swCell">
      <w:tcPr>
        <w:tcBorders>
          <w:top w:val="double" w:color="000000" w:themeColor="text1" w:sz="4" w:space="0"/>
          <w:right w:val="nil"/>
        </w:tcBorders>
      </w:tcPr>
    </w:tblStylePr>
  </w:style>
  <w:style w:type="character" w:customStyle="1" w:styleId="74">
    <w:name w:val="Comment Text Char"/>
    <w:basedOn w:val="37"/>
    <w:link w:val="15"/>
    <w:qFormat/>
    <w:uiPriority w:val="99"/>
    <w:rPr>
      <w:rFonts w:ascii="Times New Roman" w:hAnsi="Times New Roman" w:cs="Times New Roman"/>
      <w:kern w:val="0"/>
    </w:rPr>
  </w:style>
  <w:style w:type="character" w:customStyle="1" w:styleId="75">
    <w:name w:val="Comment Subject Char"/>
    <w:basedOn w:val="74"/>
    <w:link w:val="33"/>
    <w:semiHidden/>
    <w:qFormat/>
    <w:uiPriority w:val="99"/>
    <w:rPr>
      <w:rFonts w:ascii="Times New Roman" w:hAnsi="Times New Roman" w:cs="Times New Roman"/>
      <w:b/>
      <w:bCs/>
      <w:kern w:val="0"/>
    </w:rPr>
  </w:style>
  <w:style w:type="paragraph" w:customStyle="1" w:styleId="76">
    <w:name w:val="表注"/>
    <w:basedOn w:val="56"/>
    <w:link w:val="77"/>
    <w:qFormat/>
    <w:uiPriority w:val="1"/>
    <w:pPr>
      <w:adjustRightInd w:val="0"/>
      <w:snapToGrid w:val="0"/>
      <w:jc w:val="left"/>
    </w:pPr>
    <w:rPr>
      <w:sz w:val="21"/>
      <w:szCs w:val="21"/>
    </w:rPr>
  </w:style>
  <w:style w:type="character" w:customStyle="1" w:styleId="77">
    <w:name w:val="表注 字符"/>
    <w:basedOn w:val="57"/>
    <w:link w:val="76"/>
    <w:qFormat/>
    <w:uiPriority w:val="1"/>
    <w:rPr>
      <w:rFonts w:ascii="Times New Roman" w:hAnsi="Times New Roman" w:eastAsia="仿宋_GB2312" w:cs="Times New Roman"/>
      <w:kern w:val="0"/>
      <w:sz w:val="21"/>
      <w:szCs w:val="21"/>
      <w:lang w:val="zh-CN"/>
    </w:rPr>
  </w:style>
  <w:style w:type="paragraph" w:customStyle="1" w:styleId="78">
    <w:name w:val="表格文字5号"/>
    <w:basedOn w:val="56"/>
    <w:link w:val="79"/>
    <w:qFormat/>
    <w:uiPriority w:val="1"/>
    <w:pPr>
      <w:adjustRightInd w:val="0"/>
      <w:snapToGrid w:val="0"/>
      <w:jc w:val="left"/>
    </w:pPr>
    <w:rPr>
      <w:sz w:val="21"/>
      <w:szCs w:val="21"/>
    </w:rPr>
  </w:style>
  <w:style w:type="character" w:customStyle="1" w:styleId="79">
    <w:name w:val="表格文字5号 字符"/>
    <w:basedOn w:val="57"/>
    <w:link w:val="78"/>
    <w:qFormat/>
    <w:uiPriority w:val="1"/>
    <w:rPr>
      <w:rFonts w:ascii="Times New Roman" w:hAnsi="Times New Roman" w:eastAsia="仿宋_GB2312" w:cs="Times New Roman"/>
      <w:kern w:val="0"/>
      <w:sz w:val="21"/>
      <w:szCs w:val="21"/>
      <w:lang w:val="zh-CN"/>
    </w:rPr>
  </w:style>
  <w:style w:type="paragraph" w:customStyle="1" w:styleId="80">
    <w:name w:val="图注"/>
    <w:basedOn w:val="78"/>
    <w:link w:val="81"/>
    <w:qFormat/>
    <w:uiPriority w:val="1"/>
    <w:pPr>
      <w:spacing w:after="156" w:afterLines="50"/>
      <w:jc w:val="center"/>
    </w:pPr>
    <w:rPr>
      <w:b/>
    </w:rPr>
  </w:style>
  <w:style w:type="character" w:customStyle="1" w:styleId="81">
    <w:name w:val="图注 字符"/>
    <w:basedOn w:val="79"/>
    <w:link w:val="80"/>
    <w:qFormat/>
    <w:uiPriority w:val="1"/>
    <w:rPr>
      <w:rFonts w:ascii="Times New Roman" w:hAnsi="Times New Roman" w:eastAsia="仿宋_GB2312" w:cs="Times New Roman"/>
      <w:b/>
      <w:kern w:val="0"/>
      <w:sz w:val="21"/>
      <w:szCs w:val="21"/>
      <w:lang w:val="zh-CN"/>
    </w:rPr>
  </w:style>
  <w:style w:type="paragraph" w:customStyle="1" w:styleId="82">
    <w:name w:val="*正文"/>
    <w:basedOn w:val="1"/>
    <w:link w:val="83"/>
    <w:qFormat/>
    <w:uiPriority w:val="0"/>
    <w:pPr>
      <w:spacing w:line="360" w:lineRule="auto"/>
      <w:ind w:firstLine="200" w:firstLineChars="200"/>
      <w:jc w:val="both"/>
    </w:pPr>
    <w:rPr>
      <w:rFonts w:ascii="宋体" w:hAnsi="宋体" w:eastAsia="Songti SC" w:cstheme="minorBidi"/>
    </w:rPr>
  </w:style>
  <w:style w:type="character" w:customStyle="1" w:styleId="83">
    <w:name w:val="*正文 Char"/>
    <w:link w:val="82"/>
    <w:qFormat/>
    <w:uiPriority w:val="0"/>
    <w:rPr>
      <w:rFonts w:ascii="宋体" w:hAnsi="宋体" w:eastAsia="Songti SC"/>
      <w:kern w:val="0"/>
    </w:rPr>
  </w:style>
  <w:style w:type="paragraph" w:customStyle="1" w:styleId="84">
    <w:name w:val="Default"/>
    <w:qFormat/>
    <w:uiPriority w:val="0"/>
    <w:pPr>
      <w:widowControl w:val="0"/>
      <w:autoSpaceDE w:val="0"/>
      <w:autoSpaceDN w:val="0"/>
      <w:adjustRightInd w:val="0"/>
    </w:pPr>
    <w:rPr>
      <w:rFonts w:ascii="微软雅黑" w:hAnsi="Times New Roman" w:eastAsia="微软雅黑" w:cs="微软雅黑"/>
      <w:color w:val="000000"/>
      <w:sz w:val="24"/>
      <w:szCs w:val="24"/>
      <w:lang w:val="en-US" w:eastAsia="zh-CN" w:bidi="ar-SA"/>
    </w:rPr>
  </w:style>
  <w:style w:type="paragraph" w:customStyle="1" w:styleId="85">
    <w:name w:val="沈阳工可正文"/>
    <w:basedOn w:val="1"/>
    <w:qFormat/>
    <w:uiPriority w:val="0"/>
    <w:pPr>
      <w:ind w:firstLine="480"/>
    </w:pPr>
  </w:style>
  <w:style w:type="character" w:customStyle="1" w:styleId="86">
    <w:name w:val="*正文 Char Char"/>
    <w:qFormat/>
    <w:uiPriority w:val="0"/>
    <w:rPr>
      <w:rFonts w:ascii="Times New Roman" w:hAnsi="Times New Roman" w:eastAsia="仿宋" w:cs="Times New Roman"/>
      <w:sz w:val="28"/>
      <w:szCs w:val="28"/>
    </w:rPr>
  </w:style>
  <w:style w:type="character" w:customStyle="1" w:styleId="87">
    <w:name w:val="Normal Indent Char"/>
    <w:link w:val="13"/>
    <w:qFormat/>
    <w:locked/>
    <w:uiPriority w:val="0"/>
    <w:rPr>
      <w:rFonts w:ascii="宋体" w:hAnsi="宋体" w:eastAsia="宋体"/>
      <w:szCs w:val="21"/>
    </w:rPr>
  </w:style>
  <w:style w:type="character" w:customStyle="1" w:styleId="88">
    <w:name w:val="HTML Preformatted Char"/>
    <w:link w:val="30"/>
    <w:semiHidden/>
    <w:qFormat/>
    <w:locked/>
    <w:uiPriority w:val="99"/>
    <w:rPr>
      <w:rFonts w:ascii="Courier" w:hAnsi="Courier" w:eastAsia="宋体" w:cs="Courier"/>
      <w:kern w:val="0"/>
      <w:sz w:val="20"/>
      <w:szCs w:val="20"/>
    </w:rPr>
  </w:style>
  <w:style w:type="character" w:customStyle="1" w:styleId="89">
    <w:name w:val="HTML 预设格式 字符"/>
    <w:basedOn w:val="37"/>
    <w:semiHidden/>
    <w:qFormat/>
    <w:uiPriority w:val="99"/>
    <w:rPr>
      <w:rFonts w:ascii="Courier New" w:hAnsi="Courier New" w:cs="Courier New"/>
      <w:kern w:val="0"/>
      <w:sz w:val="20"/>
      <w:szCs w:val="20"/>
    </w:rPr>
  </w:style>
  <w:style w:type="character" w:customStyle="1" w:styleId="90">
    <w:name w:val="hljs-keyword"/>
    <w:basedOn w:val="37"/>
    <w:qFormat/>
    <w:uiPriority w:val="0"/>
  </w:style>
  <w:style w:type="character" w:customStyle="1" w:styleId="91">
    <w:name w:val="hljs-comment"/>
    <w:basedOn w:val="37"/>
    <w:qFormat/>
    <w:uiPriority w:val="0"/>
  </w:style>
  <w:style w:type="character" w:customStyle="1" w:styleId="92">
    <w:name w:val="hljs-string"/>
    <w:basedOn w:val="37"/>
    <w:qFormat/>
    <w:uiPriority w:val="0"/>
  </w:style>
  <w:style w:type="character" w:customStyle="1" w:styleId="93">
    <w:name w:val="图 Char"/>
    <w:link w:val="94"/>
    <w:qFormat/>
    <w:locked/>
    <w:uiPriority w:val="0"/>
    <w:rPr>
      <w:rFonts w:ascii="Calibri" w:hAnsi="Calibri" w:eastAsia="宋体" w:cs="Times New Roman"/>
      <w:szCs w:val="21"/>
    </w:rPr>
  </w:style>
  <w:style w:type="paragraph" w:customStyle="1" w:styleId="94">
    <w:name w:val="图"/>
    <w:basedOn w:val="1"/>
    <w:link w:val="93"/>
    <w:qFormat/>
    <w:uiPriority w:val="0"/>
    <w:pPr>
      <w:widowControl w:val="0"/>
      <w:adjustRightInd w:val="0"/>
      <w:ind w:left="840" w:leftChars="400"/>
      <w:jc w:val="both"/>
    </w:pPr>
    <w:rPr>
      <w:rFonts w:ascii="Calibri" w:hAnsi="Calibri" w:eastAsia="宋体"/>
      <w:kern w:val="2"/>
      <w:szCs w:val="21"/>
    </w:rPr>
  </w:style>
  <w:style w:type="paragraph" w:customStyle="1" w:styleId="95">
    <w:name w:val="表内容"/>
    <w:basedOn w:val="1"/>
    <w:qFormat/>
    <w:uiPriority w:val="0"/>
    <w:pPr>
      <w:widowControl w:val="0"/>
      <w:adjustRightInd w:val="0"/>
      <w:spacing w:line="400" w:lineRule="exact"/>
      <w:jc w:val="both"/>
    </w:pPr>
    <w:rPr>
      <w:rFonts w:ascii="Arial" w:hAnsi="Arial" w:eastAsia="阿里巴巴普惠体 L"/>
      <w:kern w:val="2"/>
      <w:szCs w:val="21"/>
    </w:rPr>
  </w:style>
  <w:style w:type="paragraph" w:customStyle="1" w:styleId="96">
    <w:name w:val="8.4表样式"/>
    <w:basedOn w:val="1"/>
    <w:qFormat/>
    <w:uiPriority w:val="0"/>
    <w:pPr>
      <w:widowControl w:val="0"/>
      <w:autoSpaceDE w:val="0"/>
      <w:autoSpaceDN w:val="0"/>
      <w:adjustRightInd w:val="0"/>
      <w:spacing w:line="400" w:lineRule="exact"/>
      <w:jc w:val="both"/>
    </w:pPr>
    <w:rPr>
      <w:rFonts w:ascii="Arial" w:hAnsi="Arial" w:eastAsia="华文细黑"/>
      <w:b/>
      <w:szCs w:val="21"/>
      <w:lang w:eastAsia="en-US"/>
    </w:rPr>
  </w:style>
  <w:style w:type="paragraph" w:customStyle="1" w:styleId="97">
    <w:name w:val="命令行"/>
    <w:basedOn w:val="1"/>
    <w:qFormat/>
    <w:uiPriority w:val="0"/>
    <w:pPr>
      <w:widowControl w:val="0"/>
      <w:shd w:val="pct10" w:color="auto" w:fill="FFFFFF"/>
      <w:adjustRightInd w:val="0"/>
      <w:spacing w:line="240" w:lineRule="atLeast"/>
      <w:ind w:left="840" w:leftChars="400"/>
      <w:jc w:val="both"/>
    </w:pPr>
    <w:rPr>
      <w:rFonts w:ascii="Arial" w:hAnsi="Arial" w:eastAsia="华文细黑"/>
      <w:i/>
      <w:kern w:val="2"/>
      <w:sz w:val="21"/>
      <w:szCs w:val="21"/>
    </w:rPr>
  </w:style>
  <w:style w:type="paragraph" w:customStyle="1" w:styleId="98">
    <w:name w:val="H8.1"/>
    <w:basedOn w:val="10"/>
    <w:link w:val="99"/>
    <w:qFormat/>
    <w:uiPriority w:val="0"/>
    <w:pPr>
      <w:adjustRightInd w:val="0"/>
      <w:snapToGrid w:val="0"/>
      <w:spacing w:before="120" w:after="120" w:line="360" w:lineRule="auto"/>
    </w:pPr>
    <w:rPr>
      <w:b/>
      <w:bCs/>
    </w:rPr>
  </w:style>
  <w:style w:type="character" w:customStyle="1" w:styleId="99">
    <w:name w:val="H8.1 字符"/>
    <w:basedOn w:val="52"/>
    <w:link w:val="98"/>
    <w:qFormat/>
    <w:uiPriority w:val="0"/>
    <w:rPr>
      <w:rFonts w:asciiTheme="majorHAnsi" w:hAnsiTheme="majorHAnsi" w:eastAsiaTheme="majorEastAsia" w:cstheme="majorBidi"/>
      <w:b/>
      <w:bCs/>
      <w:sz w:val="28"/>
      <w:szCs w:val="28"/>
    </w:rPr>
  </w:style>
  <w:style w:type="character" w:customStyle="1" w:styleId="100">
    <w:name w:val="可研正文 Char"/>
    <w:link w:val="101"/>
    <w:qFormat/>
    <w:locked/>
    <w:uiPriority w:val="0"/>
    <w:rPr>
      <w:rFonts w:ascii="仿宋_GB2312" w:hAnsi="宋体" w:eastAsia="仿宋_GB2312" w:cs="宋体"/>
      <w:sz w:val="28"/>
    </w:rPr>
  </w:style>
  <w:style w:type="paragraph" w:customStyle="1" w:styleId="101">
    <w:name w:val="可研正文"/>
    <w:basedOn w:val="1"/>
    <w:link w:val="100"/>
    <w:qFormat/>
    <w:uiPriority w:val="0"/>
    <w:pPr>
      <w:spacing w:line="440" w:lineRule="exact"/>
      <w:ind w:firstLine="567"/>
    </w:pPr>
    <w:rPr>
      <w:rFonts w:ascii="仿宋_GB2312" w:hAnsi="宋体" w:eastAsia="仿宋_GB2312" w:cs="宋体"/>
      <w:kern w:val="2"/>
      <w:sz w:val="28"/>
    </w:rPr>
  </w:style>
  <w:style w:type="paragraph" w:customStyle="1" w:styleId="102">
    <w:name w:val="图表名称居中"/>
    <w:basedOn w:val="14"/>
    <w:link w:val="103"/>
    <w:qFormat/>
    <w:uiPriority w:val="0"/>
    <w:pPr>
      <w:spacing w:line="360" w:lineRule="auto"/>
      <w:jc w:val="center"/>
    </w:pPr>
    <w:rPr>
      <w:rFonts w:ascii="黑体" w:hAnsi="黑体"/>
      <w:b/>
      <w:bCs/>
      <w:kern w:val="2"/>
    </w:rPr>
  </w:style>
  <w:style w:type="character" w:customStyle="1" w:styleId="103">
    <w:name w:val="图表名称居中 字符"/>
    <w:basedOn w:val="37"/>
    <w:link w:val="102"/>
    <w:qFormat/>
    <w:uiPriority w:val="0"/>
    <w:rPr>
      <w:rFonts w:ascii="黑体" w:hAnsi="黑体" w:eastAsia="黑体" w:cstheme="majorBidi"/>
      <w:b/>
      <w:bCs/>
      <w:sz w:val="20"/>
      <w:szCs w:val="20"/>
    </w:rPr>
  </w:style>
  <w:style w:type="paragraph" w:customStyle="1" w:styleId="104">
    <w:name w:val="1正文"/>
    <w:basedOn w:val="1"/>
    <w:qFormat/>
    <w:uiPriority w:val="0"/>
    <w:pPr>
      <w:widowControl w:val="0"/>
      <w:spacing w:line="360" w:lineRule="auto"/>
      <w:ind w:firstLine="200" w:firstLineChars="200"/>
      <w:jc w:val="both"/>
    </w:pPr>
    <w:rPr>
      <w:rFonts w:ascii="仿宋_GB2312" w:hAnsi="Arial"/>
      <w:kern w:val="2"/>
      <w:szCs w:val="28"/>
    </w:rPr>
  </w:style>
  <w:style w:type="paragraph" w:customStyle="1" w:styleId="105">
    <w:name w:val="!正文"/>
    <w:basedOn w:val="1"/>
    <w:link w:val="106"/>
    <w:qFormat/>
    <w:uiPriority w:val="0"/>
    <w:pPr>
      <w:widowControl w:val="0"/>
      <w:spacing w:line="360" w:lineRule="auto"/>
      <w:ind w:left="420" w:leftChars="200"/>
    </w:pPr>
    <w:rPr>
      <w:rFonts w:ascii="宋体" w:hAnsi="宋体" w:eastAsia="宋体"/>
      <w:sz w:val="21"/>
      <w:szCs w:val="21"/>
    </w:rPr>
  </w:style>
  <w:style w:type="character" w:customStyle="1" w:styleId="106">
    <w:name w:val="!正文 Char"/>
    <w:link w:val="105"/>
    <w:qFormat/>
    <w:uiPriority w:val="0"/>
    <w:rPr>
      <w:rFonts w:ascii="宋体" w:hAnsi="宋体" w:eastAsia="宋体" w:cs="Times New Roman"/>
      <w:kern w:val="0"/>
      <w:sz w:val="21"/>
      <w:szCs w:val="21"/>
    </w:rPr>
  </w:style>
  <w:style w:type="paragraph" w:customStyle="1" w:styleId="107">
    <w:name w:val="**正文"/>
    <w:basedOn w:val="1"/>
    <w:link w:val="108"/>
    <w:qFormat/>
    <w:uiPriority w:val="0"/>
    <w:pPr>
      <w:widowControl w:val="0"/>
      <w:ind w:firstLine="480" w:firstLineChars="200"/>
      <w:jc w:val="both"/>
    </w:pPr>
    <w:rPr>
      <w:rFonts w:eastAsia="宋体"/>
      <w:sz w:val="20"/>
      <w:szCs w:val="20"/>
    </w:rPr>
  </w:style>
  <w:style w:type="character" w:customStyle="1" w:styleId="108">
    <w:name w:val="**正文 Char"/>
    <w:link w:val="107"/>
    <w:qFormat/>
    <w:uiPriority w:val="0"/>
    <w:rPr>
      <w:rFonts w:ascii="Times New Roman" w:hAnsi="Times New Roman" w:eastAsia="宋体" w:cs="Times New Roman"/>
      <w:kern w:val="0"/>
      <w:sz w:val="20"/>
      <w:szCs w:val="20"/>
    </w:rPr>
  </w:style>
  <w:style w:type="character" w:customStyle="1" w:styleId="109">
    <w:name w:val="Body Text Indent 2 Char"/>
    <w:basedOn w:val="37"/>
    <w:link w:val="21"/>
    <w:qFormat/>
    <w:uiPriority w:val="0"/>
    <w:rPr>
      <w:rFonts w:ascii="Times New Roman" w:hAnsi="Times New Roman" w:eastAsia="宋体" w:cs="Times New Roman"/>
      <w:szCs w:val="21"/>
    </w:rPr>
  </w:style>
  <w:style w:type="paragraph" w:customStyle="1" w:styleId="110">
    <w:name w:val="ALT+1正文"/>
    <w:basedOn w:val="1"/>
    <w:qFormat/>
    <w:uiPriority w:val="0"/>
    <w:pPr>
      <w:widowControl w:val="0"/>
      <w:spacing w:line="360" w:lineRule="auto"/>
      <w:jc w:val="center"/>
    </w:pPr>
    <w:rPr>
      <w:rFonts w:ascii="宋体" w:hAnsi="宋体" w:eastAsia="宋体"/>
      <w:b/>
      <w:kern w:val="2"/>
      <w:sz w:val="32"/>
      <w:szCs w:val="32"/>
    </w:rPr>
  </w:style>
  <w:style w:type="character" w:customStyle="1" w:styleId="111">
    <w:name w:val="未处理的提及1"/>
    <w:semiHidden/>
    <w:unhideWhenUsed/>
    <w:qFormat/>
    <w:uiPriority w:val="99"/>
    <w:rPr>
      <w:color w:val="605E5C"/>
      <w:shd w:val="clear" w:color="auto" w:fill="E1DFDD"/>
    </w:rPr>
  </w:style>
  <w:style w:type="character" w:customStyle="1" w:styleId="112">
    <w:name w:val="ksfind_class"/>
    <w:basedOn w:val="37"/>
    <w:qFormat/>
    <w:uiPriority w:val="0"/>
  </w:style>
  <w:style w:type="paragraph" w:customStyle="1" w:styleId="113">
    <w:name w:val="表头"/>
    <w:basedOn w:val="1"/>
    <w:qFormat/>
    <w:uiPriority w:val="0"/>
    <w:pPr>
      <w:widowControl w:val="0"/>
      <w:spacing w:line="400" w:lineRule="exact"/>
      <w:jc w:val="both"/>
    </w:pPr>
    <w:rPr>
      <w:rFonts w:ascii="Arial" w:hAnsi="Arial" w:eastAsia="华文细黑"/>
      <w:kern w:val="2"/>
      <w:szCs w:val="21"/>
    </w:rPr>
  </w:style>
  <w:style w:type="paragraph" w:customStyle="1" w:styleId="114">
    <w:name w:val="rc正文"/>
    <w:basedOn w:val="1"/>
    <w:qFormat/>
    <w:uiPriority w:val="0"/>
    <w:pPr>
      <w:widowControl w:val="0"/>
      <w:spacing w:line="360" w:lineRule="auto"/>
      <w:ind w:firstLine="200" w:firstLineChars="200"/>
      <w:jc w:val="both"/>
    </w:pPr>
    <w:rPr>
      <w:rFonts w:eastAsia="宋体" w:asciiTheme="minorHAnsi" w:hAnsiTheme="minorHAnsi" w:cstheme="minorBidi"/>
      <w:kern w:val="2"/>
      <w:sz w:val="21"/>
      <w:szCs w:val="22"/>
    </w:rPr>
  </w:style>
  <w:style w:type="paragraph" w:customStyle="1" w:styleId="115">
    <w:name w:val="列表段落1"/>
    <w:basedOn w:val="1"/>
    <w:qFormat/>
    <w:locked/>
    <w:uiPriority w:val="34"/>
    <w:pPr>
      <w:widowControl w:val="0"/>
      <w:ind w:firstLine="420" w:firstLineChars="200"/>
      <w:jc w:val="both"/>
    </w:pPr>
    <w:rPr>
      <w:rFonts w:ascii="Calibri" w:hAnsi="Calibri" w:eastAsia="仿宋"/>
      <w:kern w:val="2"/>
      <w:szCs w:val="22"/>
    </w:rPr>
  </w:style>
  <w:style w:type="character" w:customStyle="1" w:styleId="116">
    <w:name w:val="未处理的提及11"/>
    <w:unhideWhenUsed/>
    <w:qFormat/>
    <w:uiPriority w:val="99"/>
    <w:rPr>
      <w:color w:val="605E5C"/>
      <w:shd w:val="clear" w:color="auto" w:fill="E1DFDD"/>
    </w:rPr>
  </w:style>
  <w:style w:type="paragraph" w:customStyle="1" w:styleId="117">
    <w:name w:val="_Style 7"/>
    <w:basedOn w:val="1"/>
    <w:qFormat/>
    <w:uiPriority w:val="34"/>
    <w:pPr>
      <w:widowControl w:val="0"/>
      <w:numPr>
        <w:ilvl w:val="1"/>
        <w:numId w:val="2"/>
      </w:numPr>
      <w:spacing w:beforeLines="50" w:afterLines="50" w:line="360" w:lineRule="auto"/>
      <w:ind w:left="2640" w:firstLine="0"/>
      <w:jc w:val="both"/>
    </w:pPr>
    <w:rPr>
      <w:rFonts w:ascii="宋体" w:hAnsi="宋体" w:eastAsia="宋体" w:cs="宋体"/>
      <w:kern w:val="2"/>
      <w:lang w:bidi="en-US"/>
    </w:rPr>
  </w:style>
  <w:style w:type="paragraph" w:customStyle="1" w:styleId="118">
    <w:name w:val="rc标题3"/>
    <w:basedOn w:val="5"/>
    <w:next w:val="114"/>
    <w:qFormat/>
    <w:uiPriority w:val="0"/>
    <w:pPr>
      <w:keepNext w:val="0"/>
      <w:numPr>
        <w:ilvl w:val="0"/>
        <w:numId w:val="0"/>
      </w:numPr>
      <w:snapToGrid w:val="0"/>
      <w:spacing w:line="415" w:lineRule="auto"/>
      <w:ind w:left="2608" w:hanging="2608"/>
    </w:pPr>
    <w:rPr>
      <w:rFonts w:eastAsia="宋体" w:asciiTheme="minorHAnsi" w:hAnsiTheme="minorHAnsi" w:cstheme="minorBidi"/>
      <w:szCs w:val="32"/>
    </w:rPr>
  </w:style>
  <w:style w:type="paragraph" w:customStyle="1" w:styleId="119">
    <w:name w:val="rc标题4"/>
    <w:basedOn w:val="6"/>
    <w:next w:val="114"/>
    <w:qFormat/>
    <w:uiPriority w:val="0"/>
    <w:pPr>
      <w:numPr>
        <w:ilvl w:val="0"/>
        <w:numId w:val="0"/>
      </w:numPr>
      <w:adjustRightInd w:val="0"/>
      <w:snapToGrid w:val="0"/>
      <w:spacing w:line="376" w:lineRule="auto"/>
      <w:ind w:left="1331" w:hanging="1331"/>
    </w:pPr>
    <w:rPr>
      <w:rFonts w:eastAsia="宋体" w:asciiTheme="minorHAnsi" w:hAnsiTheme="minorHAnsi"/>
    </w:rPr>
  </w:style>
  <w:style w:type="paragraph" w:customStyle="1" w:styleId="120">
    <w:name w:val="rc标题5"/>
    <w:basedOn w:val="7"/>
    <w:next w:val="114"/>
    <w:qFormat/>
    <w:uiPriority w:val="0"/>
    <w:pPr>
      <w:numPr>
        <w:ilvl w:val="0"/>
        <w:numId w:val="0"/>
      </w:numPr>
      <w:adjustRightInd w:val="0"/>
      <w:snapToGrid w:val="0"/>
      <w:spacing w:line="376" w:lineRule="auto"/>
      <w:ind w:left="1472" w:hanging="1472"/>
    </w:pPr>
    <w:rPr>
      <w:rFonts w:eastAsia="宋体" w:asciiTheme="minorHAnsi" w:hAnsiTheme="minorHAnsi" w:cstheme="minorBidi"/>
    </w:rPr>
  </w:style>
  <w:style w:type="paragraph" w:customStyle="1" w:styleId="121">
    <w:name w:val="rc标题6"/>
    <w:basedOn w:val="8"/>
    <w:next w:val="114"/>
    <w:qFormat/>
    <w:uiPriority w:val="0"/>
    <w:pPr>
      <w:numPr>
        <w:numId w:val="3"/>
      </w:numPr>
      <w:adjustRightInd w:val="0"/>
      <w:snapToGrid w:val="0"/>
      <w:spacing w:before="120" w:after="120" w:line="360" w:lineRule="auto"/>
    </w:pPr>
    <w:rPr>
      <w:rFonts w:ascii="Calibri Light" w:hAnsi="Calibri Light" w:eastAsia="宋体" w:cs="Times New Roman"/>
    </w:rPr>
  </w:style>
  <w:style w:type="paragraph" w:customStyle="1" w:styleId="122">
    <w:name w:val="QB正文"/>
    <w:basedOn w:val="1"/>
    <w:qFormat/>
    <w:uiPriority w:val="0"/>
    <w:pPr>
      <w:autoSpaceDE w:val="0"/>
      <w:autoSpaceDN w:val="0"/>
    </w:pPr>
    <w:rPr>
      <w:rFonts w:ascii="宋体" w:eastAsia="宋体"/>
      <w:lang w:val="zh-CN"/>
    </w:rPr>
  </w:style>
  <w:style w:type="paragraph" w:customStyle="1" w:styleId="123">
    <w:name w:val="z_Text"/>
    <w:qFormat/>
    <w:uiPriority w:val="0"/>
    <w:pPr>
      <w:spacing w:beforeLines="100" w:afterLines="100" w:line="360" w:lineRule="auto"/>
      <w:ind w:left="851"/>
      <w:jc w:val="both"/>
    </w:pPr>
    <w:rPr>
      <w:rFonts w:ascii="Arial" w:hAnsi="Arial" w:cs="Arial" w:eastAsiaTheme="minorEastAsia"/>
      <w:kern w:val="2"/>
      <w:sz w:val="21"/>
      <w:szCs w:val="22"/>
      <w:lang w:val="en-US" w:eastAsia="zh-CN" w:bidi="ar-SA"/>
    </w:rPr>
  </w:style>
  <w:style w:type="paragraph" w:customStyle="1" w:styleId="124">
    <w:name w:val="rc标题7"/>
    <w:basedOn w:val="9"/>
    <w:next w:val="114"/>
    <w:qFormat/>
    <w:uiPriority w:val="0"/>
    <w:pPr>
      <w:numPr>
        <w:ilvl w:val="0"/>
        <w:numId w:val="0"/>
      </w:numPr>
      <w:adjustRightInd w:val="0"/>
      <w:snapToGrid w:val="0"/>
      <w:spacing w:before="120" w:after="120" w:line="319" w:lineRule="auto"/>
      <w:ind w:left="1588" w:hanging="1588"/>
    </w:pPr>
    <w:rPr>
      <w:rFonts w:eastAsia="宋体"/>
    </w:rPr>
  </w:style>
  <w:style w:type="paragraph" w:customStyle="1" w:styleId="125">
    <w:name w:val="rc标题1"/>
    <w:basedOn w:val="2"/>
    <w:next w:val="114"/>
    <w:qFormat/>
    <w:uiPriority w:val="0"/>
    <w:pPr>
      <w:numPr>
        <w:numId w:val="0"/>
      </w:numPr>
      <w:adjustRightInd/>
      <w:snapToGrid w:val="0"/>
      <w:spacing w:line="415" w:lineRule="auto"/>
      <w:ind w:left="905" w:hanging="905"/>
    </w:pPr>
    <w:rPr>
      <w:rFonts w:eastAsia="宋体" w:asciiTheme="minorHAnsi" w:hAnsiTheme="minorHAnsi" w:cstheme="minorBidi"/>
      <w:bCs/>
      <w:sz w:val="36"/>
      <w:lang w:val="en-US"/>
    </w:rPr>
  </w:style>
  <w:style w:type="paragraph" w:customStyle="1" w:styleId="126">
    <w:name w:val="标题8"/>
    <w:basedOn w:val="1"/>
    <w:qFormat/>
    <w:uiPriority w:val="0"/>
    <w:pPr>
      <w:ind w:left="1898" w:hanging="1418"/>
    </w:pPr>
    <w:rPr>
      <w:rFonts w:eastAsia="宋体"/>
    </w:rPr>
  </w:style>
  <w:style w:type="paragraph" w:customStyle="1" w:styleId="127">
    <w:name w:val="列出段落2"/>
    <w:basedOn w:val="1"/>
    <w:qFormat/>
    <w:uiPriority w:val="34"/>
    <w:pPr>
      <w:ind w:firstLine="420" w:firstLineChars="200"/>
    </w:pPr>
    <w:rPr>
      <w:rFonts w:eastAsia="宋体"/>
    </w:rPr>
  </w:style>
  <w:style w:type="table" w:customStyle="1" w:styleId="128">
    <w:name w:val="!我的表格1"/>
    <w:basedOn w:val="35"/>
    <w:qFormat/>
    <w:locked/>
    <w:uiPriority w:val="39"/>
    <w:pPr>
      <w:widowControl w:val="0"/>
      <w:spacing w:line="560" w:lineRule="atLeast"/>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9">
    <w:name w:val="表格正文"/>
    <w:basedOn w:val="1"/>
    <w:qFormat/>
    <w:uiPriority w:val="0"/>
    <w:pPr>
      <w:widowControl w:val="0"/>
      <w:spacing w:line="360" w:lineRule="auto"/>
    </w:pPr>
    <w:rPr>
      <w:rFonts w:ascii="Arial" w:hAnsi="Arial" w:eastAsia="宋体" w:cs="宋体"/>
      <w:kern w:val="2"/>
      <w:sz w:val="21"/>
      <w:szCs w:val="20"/>
    </w:rPr>
  </w:style>
  <w:style w:type="table" w:customStyle="1" w:styleId="130">
    <w:name w:val="网格型1"/>
    <w:basedOn w:val="3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31">
    <w:name w:val="TOC 标题2"/>
    <w:basedOn w:val="2"/>
    <w:next w:val="1"/>
    <w:unhideWhenUsed/>
    <w:qFormat/>
    <w:uiPriority w:val="39"/>
    <w:pPr>
      <w:widowControl/>
      <w:numPr>
        <w:numId w:val="0"/>
      </w:numPr>
      <w:adjustRightInd/>
      <w:spacing w:before="240" w:after="0" w:line="259" w:lineRule="auto"/>
      <w:outlineLvl w:val="9"/>
    </w:pPr>
    <w:rPr>
      <w:rFonts w:asciiTheme="majorHAnsi" w:hAnsiTheme="majorHAnsi" w:cstheme="majorBidi"/>
      <w:b w:val="0"/>
      <w:color w:val="2E75B6" w:themeColor="accent1" w:themeShade="BF"/>
      <w:kern w:val="0"/>
      <w:lang w:val="en-US"/>
    </w:rPr>
  </w:style>
  <w:style w:type="character" w:customStyle="1" w:styleId="132">
    <w:name w:val="未处理的提及2"/>
    <w:basedOn w:val="37"/>
    <w:semiHidden/>
    <w:unhideWhenUsed/>
    <w:qFormat/>
    <w:uiPriority w:val="99"/>
    <w:rPr>
      <w:color w:val="605E5C"/>
      <w:shd w:val="clear" w:color="auto" w:fill="E1DFDD"/>
    </w:rPr>
  </w:style>
  <w:style w:type="paragraph" w:customStyle="1" w:styleId="133">
    <w:name w:val="msonormal"/>
    <w:basedOn w:val="1"/>
    <w:qFormat/>
    <w:uiPriority w:val="0"/>
    <w:pPr>
      <w:spacing w:before="100" w:beforeAutospacing="1" w:after="100" w:afterAutospacing="1"/>
    </w:pPr>
    <w:rPr>
      <w:rFonts w:ascii="宋体" w:hAnsi="宋体" w:eastAsia="宋体" w:cs="宋体"/>
    </w:rPr>
  </w:style>
  <w:style w:type="paragraph" w:customStyle="1" w:styleId="134">
    <w:name w:val="font5"/>
    <w:basedOn w:val="1"/>
    <w:qFormat/>
    <w:uiPriority w:val="0"/>
    <w:pPr>
      <w:spacing w:before="100" w:beforeAutospacing="1" w:after="100" w:afterAutospacing="1"/>
    </w:pPr>
    <w:rPr>
      <w:rFonts w:ascii="等线" w:hAnsi="等线" w:eastAsia="等线" w:cs="宋体"/>
      <w:sz w:val="18"/>
      <w:szCs w:val="18"/>
    </w:rPr>
  </w:style>
  <w:style w:type="paragraph" w:customStyle="1" w:styleId="135">
    <w:name w:val="xl63"/>
    <w:basedOn w:val="1"/>
    <w:qFormat/>
    <w:uiPriority w:val="0"/>
    <w:pPr>
      <w:spacing w:before="100" w:beforeAutospacing="1" w:after="100" w:afterAutospacing="1"/>
      <w:jc w:val="center"/>
    </w:pPr>
    <w:rPr>
      <w:rFonts w:ascii="宋体" w:hAnsi="宋体" w:eastAsia="宋体" w:cs="宋体"/>
    </w:rPr>
  </w:style>
  <w:style w:type="paragraph" w:customStyle="1" w:styleId="136">
    <w:name w:val="xl64"/>
    <w:basedOn w:val="1"/>
    <w:qFormat/>
    <w:uiPriority w:val="0"/>
    <w:pPr>
      <w:pBdr>
        <w:top w:val="single" w:color="auto" w:sz="4" w:space="0"/>
        <w:left w:val="single" w:color="auto" w:sz="4" w:space="0"/>
        <w:bottom w:val="single" w:color="auto" w:sz="4" w:space="0"/>
        <w:right w:val="single" w:color="auto" w:sz="4" w:space="0"/>
      </w:pBdr>
      <w:shd w:val="clear" w:color="000000" w:fill="AEAAAA"/>
      <w:spacing w:before="100" w:beforeAutospacing="1" w:after="100" w:afterAutospacing="1"/>
      <w:jc w:val="center"/>
    </w:pPr>
    <w:rPr>
      <w:rFonts w:ascii="黑体" w:hAnsi="黑体" w:eastAsia="黑体" w:cs="宋体"/>
      <w:b/>
      <w:bCs/>
      <w:sz w:val="28"/>
      <w:szCs w:val="28"/>
    </w:rPr>
  </w:style>
  <w:style w:type="paragraph" w:customStyle="1" w:styleId="137">
    <w:name w:val="xl65"/>
    <w:basedOn w:val="1"/>
    <w:qFormat/>
    <w:uiPriority w:val="0"/>
    <w:pPr>
      <w:pBdr>
        <w:top w:val="single" w:color="auto" w:sz="4" w:space="0"/>
        <w:left w:val="single" w:color="auto" w:sz="4" w:space="0"/>
        <w:bottom w:val="single" w:color="auto" w:sz="4" w:space="0"/>
        <w:right w:val="single" w:color="auto" w:sz="4" w:space="0"/>
      </w:pBdr>
      <w:shd w:val="clear" w:color="000000" w:fill="AEAAAA"/>
      <w:spacing w:before="100" w:beforeAutospacing="1" w:after="100" w:afterAutospacing="1"/>
      <w:jc w:val="center"/>
    </w:pPr>
    <w:rPr>
      <w:rFonts w:ascii="宋体" w:hAnsi="宋体" w:eastAsia="宋体" w:cs="宋体"/>
    </w:rPr>
  </w:style>
  <w:style w:type="paragraph" w:customStyle="1" w:styleId="138">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rPr>
  </w:style>
  <w:style w:type="paragraph" w:customStyle="1" w:styleId="139">
    <w:name w:val="xl6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rPr>
  </w:style>
  <w:style w:type="paragraph" w:customStyle="1" w:styleId="140">
    <w:name w:val="xl68"/>
    <w:basedOn w:val="1"/>
    <w:qFormat/>
    <w:uiPriority w:val="0"/>
    <w:pPr>
      <w:pBdr>
        <w:left w:val="single" w:color="auto" w:sz="4" w:space="0"/>
        <w:right w:val="single" w:color="auto" w:sz="4" w:space="0"/>
      </w:pBdr>
      <w:spacing w:before="100" w:beforeAutospacing="1" w:after="100" w:afterAutospacing="1"/>
      <w:jc w:val="center"/>
    </w:pPr>
    <w:rPr>
      <w:rFonts w:ascii="宋体" w:hAnsi="宋体" w:eastAsia="宋体" w:cs="宋体"/>
    </w:rPr>
  </w:style>
  <w:style w:type="paragraph" w:customStyle="1" w:styleId="141">
    <w:name w:val="xl69"/>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rPr>
  </w:style>
  <w:style w:type="character" w:customStyle="1" w:styleId="142">
    <w:name w:val="fontstyle01"/>
    <w:basedOn w:val="37"/>
    <w:qFormat/>
    <w:uiPriority w:val="0"/>
    <w:rPr>
      <w:rFonts w:hint="eastAsia" w:ascii="宋体" w:hAnsi="宋体" w:eastAsia="宋体"/>
      <w:color w:val="000000"/>
      <w:sz w:val="22"/>
      <w:szCs w:val="22"/>
    </w:rPr>
  </w:style>
  <w:style w:type="character" w:customStyle="1" w:styleId="143">
    <w:name w:val="fontstyle21"/>
    <w:basedOn w:val="37"/>
    <w:qFormat/>
    <w:uiPriority w:val="0"/>
    <w:rPr>
      <w:rFonts w:hint="default" w:ascii="FreeSerif" w:hAnsi="FreeSerif"/>
      <w:color w:val="000000"/>
      <w:sz w:val="18"/>
      <w:szCs w:val="18"/>
    </w:rPr>
  </w:style>
  <w:style w:type="table" w:customStyle="1" w:styleId="144">
    <w:name w:val="网格型2"/>
    <w:basedOn w:val="35"/>
    <w:qFormat/>
    <w:uiPriority w:val="59"/>
    <w:rPr>
      <w:rFonts w:ascii="Calibri" w:hAnsi="Calibri"/>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145">
    <w:name w:val="TOC 标题3"/>
    <w:basedOn w:val="2"/>
    <w:next w:val="1"/>
    <w:unhideWhenUsed/>
    <w:qFormat/>
    <w:uiPriority w:val="39"/>
    <w:pPr>
      <w:widowControl/>
      <w:numPr>
        <w:numId w:val="0"/>
      </w:numPr>
      <w:adjustRightInd/>
      <w:spacing w:before="240" w:after="0" w:line="259" w:lineRule="auto"/>
      <w:outlineLvl w:val="9"/>
    </w:pPr>
    <w:rPr>
      <w:rFonts w:asciiTheme="majorHAnsi" w:hAnsiTheme="majorHAnsi" w:cstheme="majorBidi"/>
      <w:b w:val="0"/>
      <w:color w:val="2E75B6" w:themeColor="accent1" w:themeShade="BF"/>
      <w:kern w:val="0"/>
      <w:lang w:val="en-US"/>
    </w:rPr>
  </w:style>
  <w:style w:type="paragraph" w:customStyle="1" w:styleId="146">
    <w:name w:val="表格-文字"/>
    <w:basedOn w:val="1"/>
    <w:qFormat/>
    <w:uiPriority w:val="0"/>
    <w:pPr>
      <w:widowControl w:val="0"/>
      <w:spacing w:line="276" w:lineRule="auto"/>
      <w:jc w:val="both"/>
    </w:pPr>
    <w:rPr>
      <w:rFonts w:asciiTheme="minorEastAsia" w:hAnsiTheme="minorEastAsia"/>
      <w:kern w:val="2"/>
      <w:sz w:val="21"/>
      <w:szCs w:val="22"/>
    </w:rPr>
  </w:style>
  <w:style w:type="paragraph" w:customStyle="1" w:styleId="147">
    <w:name w:val="Body Text First Indent 21"/>
    <w:basedOn w:val="148"/>
    <w:qFormat/>
    <w:uiPriority w:val="0"/>
    <w:pPr>
      <w:ind w:left="420" w:firstLine="420" w:firstLineChars="200"/>
    </w:pPr>
    <w:rPr>
      <w:rFonts w:eastAsia="宋?"/>
    </w:rPr>
  </w:style>
  <w:style w:type="paragraph" w:customStyle="1" w:styleId="148">
    <w:name w:val="Body Text Indent1"/>
    <w:basedOn w:val="1"/>
    <w:next w:val="149"/>
    <w:qFormat/>
    <w:uiPriority w:val="0"/>
    <w:pPr>
      <w:widowControl w:val="0"/>
      <w:spacing w:line="360" w:lineRule="auto"/>
      <w:ind w:left="200" w:leftChars="200"/>
      <w:jc w:val="both"/>
    </w:pPr>
    <w:rPr>
      <w:rFonts w:ascii="宋体" w:eastAsia="宋体" w:hAnsiTheme="minorHAnsi" w:cstheme="minorBidi"/>
      <w:kern w:val="2"/>
      <w:szCs w:val="22"/>
    </w:rPr>
  </w:style>
  <w:style w:type="paragraph" w:customStyle="1" w:styleId="149">
    <w:name w:val="envelope return1"/>
    <w:basedOn w:val="1"/>
    <w:qFormat/>
    <w:uiPriority w:val="0"/>
    <w:pPr>
      <w:widowControl w:val="0"/>
      <w:spacing w:line="360" w:lineRule="auto"/>
      <w:jc w:val="both"/>
    </w:pPr>
    <w:rPr>
      <w:rFonts w:ascii="Arial" w:hAnsi="Arial" w:eastAsia="宋体" w:cstheme="minorBidi"/>
      <w:kern w:val="2"/>
      <w:szCs w:val="22"/>
    </w:rPr>
  </w:style>
  <w:style w:type="paragraph" w:customStyle="1" w:styleId="150">
    <w:name w:val="列出段落1"/>
    <w:basedOn w:val="1"/>
    <w:qFormat/>
    <w:uiPriority w:val="0"/>
    <w:pPr>
      <w:spacing w:line="360" w:lineRule="auto"/>
      <w:ind w:left="720" w:firstLine="360"/>
    </w:pPr>
    <w:rPr>
      <w:rFonts w:ascii="Calibri" w:hAnsi="Calibri" w:eastAsia="宋体" w:cstheme="minorBidi"/>
      <w:kern w:val="2"/>
      <w:sz w:val="22"/>
      <w:szCs w:val="20"/>
      <w:lang w:eastAsia="en-US"/>
    </w:rPr>
  </w:style>
  <w:style w:type="paragraph" w:customStyle="1" w:styleId="151">
    <w:name w:val="Char1 Char Char Char"/>
    <w:basedOn w:val="1"/>
    <w:qFormat/>
    <w:uiPriority w:val="0"/>
    <w:pPr>
      <w:widowControl w:val="0"/>
      <w:jc w:val="both"/>
    </w:pPr>
    <w:rPr>
      <w:rFonts w:ascii="仿宋_GB2312" w:hAnsi="宋体" w:eastAsia="仿宋_GB2312"/>
      <w:bCs/>
      <w:sz w:val="20"/>
    </w:rPr>
  </w:style>
  <w:style w:type="paragraph" w:customStyle="1" w:styleId="152">
    <w:name w:val="文章"/>
    <w:qFormat/>
    <w:uiPriority w:val="0"/>
    <w:pPr>
      <w:spacing w:line="600" w:lineRule="exact"/>
      <w:ind w:firstLine="560" w:firstLineChars="200"/>
    </w:pPr>
    <w:rPr>
      <w:rFonts w:ascii="Times New Roman" w:hAnsi="Times New Roman" w:eastAsia="仿宋_GB2312" w:cs="Times New Roman"/>
      <w:kern w:val="2"/>
      <w:sz w:val="28"/>
      <w:szCs w:val="28"/>
      <w:lang w:val="en-US" w:eastAsia="zh-CN" w:bidi="ar-SA"/>
    </w:rPr>
  </w:style>
  <w:style w:type="character" w:customStyle="1" w:styleId="153">
    <w:name w:val="未处理的提及3"/>
    <w:basedOn w:val="37"/>
    <w:semiHidden/>
    <w:unhideWhenUsed/>
    <w:qFormat/>
    <w:uiPriority w:val="99"/>
    <w:rPr>
      <w:color w:val="605E5C"/>
      <w:shd w:val="clear" w:color="auto" w:fill="E1DFDD"/>
    </w:rPr>
  </w:style>
  <w:style w:type="table" w:customStyle="1" w:styleId="154">
    <w:name w:val="网格型3"/>
    <w:basedOn w:val="35"/>
    <w:qFormat/>
    <w:uiPriority w:val="39"/>
    <w:rPr>
      <w:rFonts w:ascii="等线" w:hAnsi="等线"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55">
    <w:name w:val="font6"/>
    <w:basedOn w:val="1"/>
    <w:qFormat/>
    <w:uiPriority w:val="0"/>
    <w:pPr>
      <w:spacing w:before="100" w:beforeAutospacing="1" w:after="100" w:afterAutospacing="1"/>
    </w:pPr>
    <w:rPr>
      <w:rFonts w:eastAsia="宋体"/>
      <w:color w:val="000000"/>
    </w:rPr>
  </w:style>
  <w:style w:type="paragraph" w:customStyle="1" w:styleId="156">
    <w:name w:val="font7"/>
    <w:basedOn w:val="1"/>
    <w:qFormat/>
    <w:uiPriority w:val="0"/>
    <w:pPr>
      <w:spacing w:before="100" w:beforeAutospacing="1" w:after="100" w:afterAutospacing="1"/>
    </w:pPr>
    <w:rPr>
      <w:rFonts w:ascii="宋体" w:hAnsi="宋体" w:eastAsia="宋体" w:cs="宋体"/>
      <w:color w:val="000000"/>
    </w:rPr>
  </w:style>
  <w:style w:type="paragraph" w:customStyle="1" w:styleId="157">
    <w:name w:val="xl70"/>
    <w:basedOn w:val="1"/>
    <w:qFormat/>
    <w:uiPriority w:val="0"/>
    <w:pPr>
      <w:pBdr>
        <w:top w:val="single" w:color="auto" w:sz="12" w:space="0"/>
        <w:right w:val="single" w:color="auto" w:sz="12" w:space="0"/>
      </w:pBdr>
      <w:spacing w:before="100" w:beforeAutospacing="1" w:after="100" w:afterAutospacing="1"/>
      <w:jc w:val="center"/>
    </w:pPr>
    <w:rPr>
      <w:rFonts w:ascii="宋体" w:hAnsi="宋体" w:eastAsia="宋体" w:cs="宋体"/>
    </w:rPr>
  </w:style>
  <w:style w:type="paragraph" w:customStyle="1" w:styleId="158">
    <w:name w:val="xl71"/>
    <w:basedOn w:val="1"/>
    <w:qFormat/>
    <w:uiPriority w:val="0"/>
    <w:pPr>
      <w:pBdr>
        <w:left w:val="single" w:color="auto" w:sz="12" w:space="0"/>
        <w:bottom w:val="single" w:color="auto" w:sz="8" w:space="0"/>
        <w:right w:val="single" w:color="auto" w:sz="8" w:space="0"/>
      </w:pBdr>
      <w:spacing w:before="100" w:beforeAutospacing="1" w:after="100" w:afterAutospacing="1"/>
      <w:jc w:val="center"/>
    </w:pPr>
    <w:rPr>
      <w:rFonts w:ascii="宋体" w:hAnsi="宋体" w:eastAsia="宋体" w:cs="宋体"/>
    </w:rPr>
  </w:style>
  <w:style w:type="paragraph" w:customStyle="1" w:styleId="159">
    <w:name w:val="xl72"/>
    <w:basedOn w:val="1"/>
    <w:qFormat/>
    <w:uiPriority w:val="0"/>
    <w:pPr>
      <w:pBdr>
        <w:left w:val="single" w:color="auto" w:sz="8" w:space="0"/>
        <w:bottom w:val="single" w:color="auto" w:sz="8" w:space="0"/>
      </w:pBdr>
      <w:spacing w:before="100" w:beforeAutospacing="1" w:after="100" w:afterAutospacing="1"/>
      <w:jc w:val="center"/>
    </w:pPr>
    <w:rPr>
      <w:rFonts w:ascii="宋体" w:hAnsi="宋体" w:eastAsia="宋体" w:cs="宋体"/>
    </w:rPr>
  </w:style>
  <w:style w:type="paragraph" w:customStyle="1" w:styleId="160">
    <w:name w:val="xl73"/>
    <w:basedOn w:val="1"/>
    <w:qFormat/>
    <w:uiPriority w:val="0"/>
    <w:pPr>
      <w:pBdr>
        <w:bottom w:val="single" w:color="auto" w:sz="8" w:space="0"/>
        <w:right w:val="single" w:color="auto" w:sz="8" w:space="0"/>
      </w:pBdr>
      <w:spacing w:before="100" w:beforeAutospacing="1" w:after="100" w:afterAutospacing="1"/>
      <w:jc w:val="center"/>
    </w:pPr>
    <w:rPr>
      <w:rFonts w:ascii="宋体" w:hAnsi="宋体" w:eastAsia="宋体" w:cs="宋体"/>
    </w:rPr>
  </w:style>
  <w:style w:type="paragraph" w:customStyle="1" w:styleId="161">
    <w:name w:val="xl74"/>
    <w:basedOn w:val="1"/>
    <w:qFormat/>
    <w:uiPriority w:val="0"/>
    <w:pPr>
      <w:pBdr>
        <w:left w:val="single" w:color="auto" w:sz="8" w:space="0"/>
        <w:bottom w:val="single" w:color="auto" w:sz="8" w:space="0"/>
        <w:right w:val="single" w:color="auto" w:sz="8" w:space="0"/>
      </w:pBdr>
      <w:spacing w:before="100" w:beforeAutospacing="1" w:after="100" w:afterAutospacing="1"/>
      <w:jc w:val="center"/>
    </w:pPr>
    <w:rPr>
      <w:rFonts w:ascii="宋体" w:hAnsi="宋体" w:eastAsia="宋体" w:cs="宋体"/>
    </w:rPr>
  </w:style>
  <w:style w:type="paragraph" w:customStyle="1" w:styleId="162">
    <w:name w:val="xl75"/>
    <w:basedOn w:val="1"/>
    <w:qFormat/>
    <w:uiPriority w:val="0"/>
    <w:pPr>
      <w:pBdr>
        <w:bottom w:val="single" w:color="auto" w:sz="8" w:space="0"/>
        <w:right w:val="single" w:color="auto" w:sz="12" w:space="0"/>
      </w:pBdr>
      <w:spacing w:before="100" w:beforeAutospacing="1" w:after="100" w:afterAutospacing="1"/>
      <w:jc w:val="center"/>
    </w:pPr>
    <w:rPr>
      <w:rFonts w:ascii="宋体" w:hAnsi="宋体" w:eastAsia="宋体" w:cs="宋体"/>
    </w:rPr>
  </w:style>
  <w:style w:type="paragraph" w:customStyle="1" w:styleId="163">
    <w:name w:val="xl76"/>
    <w:basedOn w:val="1"/>
    <w:qFormat/>
    <w:uiPriority w:val="0"/>
    <w:pPr>
      <w:pBdr>
        <w:top w:val="single" w:color="auto" w:sz="8" w:space="0"/>
        <w:left w:val="single" w:color="auto" w:sz="8" w:space="0"/>
        <w:bottom w:val="single" w:color="auto" w:sz="8" w:space="0"/>
      </w:pBdr>
      <w:spacing w:before="100" w:beforeAutospacing="1" w:after="100" w:afterAutospacing="1"/>
      <w:jc w:val="center"/>
    </w:pPr>
    <w:rPr>
      <w:rFonts w:ascii="宋体" w:hAnsi="宋体" w:eastAsia="宋体" w:cs="宋体"/>
      <w:b/>
      <w:bCs/>
    </w:rPr>
  </w:style>
  <w:style w:type="paragraph" w:customStyle="1" w:styleId="164">
    <w:name w:val="xl77"/>
    <w:basedOn w:val="1"/>
    <w:qFormat/>
    <w:uiPriority w:val="0"/>
    <w:pPr>
      <w:pBdr>
        <w:top w:val="single" w:color="auto" w:sz="8" w:space="0"/>
        <w:bottom w:val="single" w:color="auto" w:sz="8" w:space="0"/>
      </w:pBdr>
      <w:spacing w:before="100" w:beforeAutospacing="1" w:after="100" w:afterAutospacing="1"/>
      <w:jc w:val="center"/>
    </w:pPr>
    <w:rPr>
      <w:rFonts w:ascii="宋体" w:hAnsi="宋体" w:eastAsia="宋体" w:cs="宋体"/>
      <w:b/>
      <w:bCs/>
    </w:rPr>
  </w:style>
  <w:style w:type="paragraph" w:customStyle="1" w:styleId="165">
    <w:name w:val="xl78"/>
    <w:basedOn w:val="1"/>
    <w:qFormat/>
    <w:uiPriority w:val="0"/>
    <w:pPr>
      <w:pBdr>
        <w:top w:val="single" w:color="auto" w:sz="8" w:space="0"/>
        <w:bottom w:val="single" w:color="auto" w:sz="8" w:space="0"/>
        <w:right w:val="single" w:color="auto" w:sz="8" w:space="0"/>
      </w:pBdr>
      <w:spacing w:before="100" w:beforeAutospacing="1" w:after="100" w:afterAutospacing="1"/>
      <w:jc w:val="center"/>
    </w:pPr>
    <w:rPr>
      <w:rFonts w:ascii="宋体" w:hAnsi="宋体" w:eastAsia="宋体" w:cs="宋体"/>
      <w:b/>
      <w:bCs/>
    </w:rPr>
  </w:style>
  <w:style w:type="paragraph" w:customStyle="1" w:styleId="166">
    <w:name w:val="xl79"/>
    <w:basedOn w:val="1"/>
    <w:qFormat/>
    <w:uiPriority w:val="0"/>
    <w:pPr>
      <w:pBdr>
        <w:bottom w:val="single" w:color="auto" w:sz="8" w:space="0"/>
        <w:right w:val="single" w:color="auto" w:sz="8" w:space="0"/>
      </w:pBdr>
      <w:spacing w:before="100" w:beforeAutospacing="1" w:after="100" w:afterAutospacing="1"/>
      <w:jc w:val="center"/>
    </w:pPr>
    <w:rPr>
      <w:rFonts w:ascii="宋体" w:hAnsi="宋体" w:eastAsia="宋体" w:cs="宋体"/>
      <w:b/>
      <w:bCs/>
      <w:color w:val="FF0000"/>
    </w:rPr>
  </w:style>
  <w:style w:type="paragraph" w:customStyle="1" w:styleId="167">
    <w:name w:val="xl80"/>
    <w:basedOn w:val="1"/>
    <w:qFormat/>
    <w:uiPriority w:val="0"/>
    <w:pPr>
      <w:pBdr>
        <w:bottom w:val="single" w:color="auto" w:sz="8" w:space="0"/>
        <w:right w:val="single" w:color="auto" w:sz="12" w:space="0"/>
      </w:pBdr>
      <w:spacing w:before="100" w:beforeAutospacing="1" w:after="100" w:afterAutospacing="1"/>
      <w:jc w:val="center"/>
    </w:pPr>
    <w:rPr>
      <w:rFonts w:eastAsia="宋体"/>
      <w:b/>
      <w:bCs/>
    </w:rPr>
  </w:style>
  <w:style w:type="paragraph" w:customStyle="1" w:styleId="168">
    <w:name w:val="xl81"/>
    <w:basedOn w:val="1"/>
    <w:qFormat/>
    <w:uiPriority w:val="0"/>
    <w:pPr>
      <w:pBdr>
        <w:left w:val="single" w:color="auto" w:sz="12" w:space="0"/>
        <w:bottom w:val="single" w:color="auto" w:sz="8" w:space="0"/>
        <w:right w:val="single" w:color="auto" w:sz="8" w:space="0"/>
      </w:pBdr>
      <w:spacing w:before="100" w:beforeAutospacing="1" w:after="100" w:afterAutospacing="1"/>
      <w:jc w:val="center"/>
    </w:pPr>
    <w:rPr>
      <w:rFonts w:ascii="宋体" w:hAnsi="宋体" w:eastAsia="宋体" w:cs="宋体"/>
      <w:b/>
      <w:bCs/>
    </w:rPr>
  </w:style>
  <w:style w:type="paragraph" w:customStyle="1" w:styleId="169">
    <w:name w:val="xl82"/>
    <w:basedOn w:val="1"/>
    <w:qFormat/>
    <w:uiPriority w:val="0"/>
    <w:pPr>
      <w:pBdr>
        <w:top w:val="single" w:color="auto" w:sz="8" w:space="0"/>
        <w:left w:val="single" w:color="auto" w:sz="12" w:space="0"/>
        <w:right w:val="single" w:color="auto" w:sz="8" w:space="0"/>
      </w:pBdr>
      <w:spacing w:before="100" w:beforeAutospacing="1" w:after="100" w:afterAutospacing="1"/>
      <w:jc w:val="center"/>
    </w:pPr>
    <w:rPr>
      <w:rFonts w:eastAsia="宋体"/>
    </w:rPr>
  </w:style>
  <w:style w:type="paragraph" w:customStyle="1" w:styleId="170">
    <w:name w:val="xl83"/>
    <w:basedOn w:val="1"/>
    <w:qFormat/>
    <w:uiPriority w:val="0"/>
    <w:pPr>
      <w:pBdr>
        <w:top w:val="single" w:color="auto" w:sz="8" w:space="0"/>
        <w:left w:val="single" w:color="auto" w:sz="8" w:space="0"/>
        <w:right w:val="single" w:color="auto" w:sz="8" w:space="0"/>
      </w:pBdr>
      <w:spacing w:before="100" w:beforeAutospacing="1" w:after="100" w:afterAutospacing="1"/>
      <w:jc w:val="center"/>
    </w:pPr>
    <w:rPr>
      <w:rFonts w:ascii="宋体" w:hAnsi="宋体" w:eastAsia="宋体" w:cs="宋体"/>
    </w:rPr>
  </w:style>
  <w:style w:type="paragraph" w:customStyle="1" w:styleId="171">
    <w:name w:val="xl84"/>
    <w:basedOn w:val="1"/>
    <w:qFormat/>
    <w:uiPriority w:val="0"/>
    <w:pPr>
      <w:pBdr>
        <w:left w:val="single" w:color="auto" w:sz="12" w:space="0"/>
        <w:right w:val="single" w:color="auto" w:sz="8" w:space="0"/>
      </w:pBdr>
      <w:spacing w:before="100" w:beforeAutospacing="1" w:after="100" w:afterAutospacing="1"/>
      <w:jc w:val="center"/>
    </w:pPr>
    <w:rPr>
      <w:rFonts w:eastAsia="宋体"/>
    </w:rPr>
  </w:style>
  <w:style w:type="paragraph" w:customStyle="1" w:styleId="172">
    <w:name w:val="xl85"/>
    <w:basedOn w:val="1"/>
    <w:qFormat/>
    <w:uiPriority w:val="0"/>
    <w:pPr>
      <w:pBdr>
        <w:left w:val="single" w:color="auto" w:sz="8" w:space="0"/>
        <w:right w:val="single" w:color="auto" w:sz="8" w:space="0"/>
      </w:pBdr>
      <w:spacing w:before="100" w:beforeAutospacing="1" w:after="100" w:afterAutospacing="1"/>
      <w:jc w:val="center"/>
    </w:pPr>
    <w:rPr>
      <w:rFonts w:ascii="宋体" w:hAnsi="宋体" w:eastAsia="宋体" w:cs="宋体"/>
    </w:rPr>
  </w:style>
  <w:style w:type="paragraph" w:customStyle="1" w:styleId="173">
    <w:name w:val="xl86"/>
    <w:basedOn w:val="1"/>
    <w:qFormat/>
    <w:uiPriority w:val="0"/>
    <w:pPr>
      <w:pBdr>
        <w:left w:val="single" w:color="auto" w:sz="12" w:space="0"/>
        <w:bottom w:val="single" w:color="auto" w:sz="8" w:space="0"/>
        <w:right w:val="single" w:color="auto" w:sz="8" w:space="0"/>
      </w:pBdr>
      <w:spacing w:before="100" w:beforeAutospacing="1" w:after="100" w:afterAutospacing="1"/>
      <w:jc w:val="center"/>
    </w:pPr>
    <w:rPr>
      <w:rFonts w:eastAsia="宋体"/>
    </w:rPr>
  </w:style>
  <w:style w:type="paragraph" w:customStyle="1" w:styleId="174">
    <w:name w:val="xl87"/>
    <w:basedOn w:val="1"/>
    <w:qFormat/>
    <w:uiPriority w:val="0"/>
    <w:pPr>
      <w:pBdr>
        <w:top w:val="single" w:color="auto" w:sz="8" w:space="0"/>
        <w:left w:val="single" w:color="auto" w:sz="8" w:space="0"/>
        <w:bottom w:val="single" w:color="auto" w:sz="8" w:space="0"/>
      </w:pBdr>
      <w:spacing w:before="100" w:beforeAutospacing="1" w:after="100" w:afterAutospacing="1"/>
      <w:jc w:val="center"/>
    </w:pPr>
    <w:rPr>
      <w:rFonts w:ascii="宋体" w:hAnsi="宋体" w:eastAsia="宋体" w:cs="宋体"/>
    </w:rPr>
  </w:style>
  <w:style w:type="paragraph" w:customStyle="1" w:styleId="175">
    <w:name w:val="xl88"/>
    <w:basedOn w:val="1"/>
    <w:qFormat/>
    <w:uiPriority w:val="0"/>
    <w:pPr>
      <w:pBdr>
        <w:top w:val="single" w:color="auto" w:sz="8" w:space="0"/>
        <w:bottom w:val="single" w:color="auto" w:sz="8" w:space="0"/>
        <w:right w:val="single" w:color="auto" w:sz="8" w:space="0"/>
      </w:pBdr>
      <w:spacing w:before="100" w:beforeAutospacing="1" w:after="100" w:afterAutospacing="1"/>
      <w:jc w:val="center"/>
    </w:pPr>
    <w:rPr>
      <w:rFonts w:ascii="宋体" w:hAnsi="宋体" w:eastAsia="宋体" w:cs="宋体"/>
    </w:rPr>
  </w:style>
  <w:style w:type="paragraph" w:customStyle="1" w:styleId="176">
    <w:name w:val="xl89"/>
    <w:basedOn w:val="1"/>
    <w:qFormat/>
    <w:uiPriority w:val="0"/>
    <w:pPr>
      <w:pBdr>
        <w:top w:val="single" w:color="auto" w:sz="8" w:space="0"/>
        <w:left w:val="single" w:color="auto" w:sz="12" w:space="0"/>
        <w:bottom w:val="single" w:color="auto" w:sz="12" w:space="0"/>
      </w:pBdr>
      <w:spacing w:before="100" w:beforeAutospacing="1" w:after="100" w:afterAutospacing="1"/>
      <w:jc w:val="center"/>
    </w:pPr>
    <w:rPr>
      <w:rFonts w:ascii="宋体" w:hAnsi="宋体" w:eastAsia="宋体" w:cs="宋体"/>
      <w:b/>
      <w:bCs/>
    </w:rPr>
  </w:style>
  <w:style w:type="paragraph" w:customStyle="1" w:styleId="177">
    <w:name w:val="xl90"/>
    <w:basedOn w:val="1"/>
    <w:qFormat/>
    <w:uiPriority w:val="0"/>
    <w:pPr>
      <w:pBdr>
        <w:top w:val="single" w:color="auto" w:sz="8" w:space="0"/>
        <w:bottom w:val="single" w:color="auto" w:sz="12" w:space="0"/>
      </w:pBdr>
      <w:spacing w:before="100" w:beforeAutospacing="1" w:after="100" w:afterAutospacing="1"/>
      <w:jc w:val="center"/>
    </w:pPr>
    <w:rPr>
      <w:rFonts w:ascii="宋体" w:hAnsi="宋体" w:eastAsia="宋体" w:cs="宋体"/>
      <w:b/>
      <w:bCs/>
    </w:rPr>
  </w:style>
  <w:style w:type="paragraph" w:customStyle="1" w:styleId="178">
    <w:name w:val="xl91"/>
    <w:basedOn w:val="1"/>
    <w:qFormat/>
    <w:uiPriority w:val="0"/>
    <w:pPr>
      <w:pBdr>
        <w:top w:val="single" w:color="auto" w:sz="8" w:space="0"/>
        <w:bottom w:val="single" w:color="auto" w:sz="12" w:space="0"/>
        <w:right w:val="single" w:color="auto" w:sz="8" w:space="0"/>
      </w:pBdr>
      <w:spacing w:before="100" w:beforeAutospacing="1" w:after="100" w:afterAutospacing="1"/>
      <w:jc w:val="center"/>
    </w:pPr>
    <w:rPr>
      <w:rFonts w:ascii="宋体" w:hAnsi="宋体" w:eastAsia="宋体" w:cs="宋体"/>
      <w:b/>
      <w:bCs/>
    </w:rPr>
  </w:style>
  <w:style w:type="paragraph" w:customStyle="1" w:styleId="179">
    <w:name w:val="xl92"/>
    <w:basedOn w:val="1"/>
    <w:qFormat/>
    <w:uiPriority w:val="0"/>
    <w:pPr>
      <w:pBdr>
        <w:top w:val="single" w:color="auto" w:sz="8" w:space="0"/>
        <w:left w:val="single" w:color="auto" w:sz="8" w:space="0"/>
        <w:bottom w:val="single" w:color="auto" w:sz="12" w:space="0"/>
      </w:pBdr>
      <w:spacing w:before="100" w:beforeAutospacing="1" w:after="100" w:afterAutospacing="1"/>
      <w:jc w:val="center"/>
    </w:pPr>
    <w:rPr>
      <w:rFonts w:ascii="宋体" w:hAnsi="宋体" w:eastAsia="宋体" w:cs="宋体"/>
      <w:b/>
      <w:bCs/>
    </w:rPr>
  </w:style>
  <w:style w:type="paragraph" w:customStyle="1" w:styleId="180">
    <w:name w:val="xl93"/>
    <w:basedOn w:val="1"/>
    <w:qFormat/>
    <w:uiPriority w:val="0"/>
    <w:pPr>
      <w:pBdr>
        <w:bottom w:val="single" w:color="auto" w:sz="12" w:space="0"/>
        <w:right w:val="single" w:color="auto" w:sz="12" w:space="0"/>
      </w:pBdr>
      <w:spacing w:before="100" w:beforeAutospacing="1" w:after="100" w:afterAutospacing="1"/>
      <w:jc w:val="center"/>
    </w:pPr>
    <w:rPr>
      <w:rFonts w:eastAsia="宋体"/>
      <w:b/>
      <w:bCs/>
    </w:rPr>
  </w:style>
  <w:style w:type="paragraph" w:customStyle="1" w:styleId="181">
    <w:name w:val="xl94"/>
    <w:basedOn w:val="1"/>
    <w:qFormat/>
    <w:uiPriority w:val="0"/>
    <w:pPr>
      <w:pBdr>
        <w:top w:val="single" w:color="auto" w:sz="8" w:space="0"/>
        <w:right w:val="single" w:color="auto" w:sz="8" w:space="0"/>
      </w:pBdr>
      <w:spacing w:before="100" w:beforeAutospacing="1" w:after="100" w:afterAutospacing="1"/>
      <w:jc w:val="center"/>
    </w:pPr>
    <w:rPr>
      <w:rFonts w:ascii="宋体" w:hAnsi="宋体" w:eastAsia="宋体" w:cs="宋体"/>
    </w:rPr>
  </w:style>
  <w:style w:type="paragraph" w:customStyle="1" w:styleId="182">
    <w:name w:val="xl95"/>
    <w:basedOn w:val="1"/>
    <w:qFormat/>
    <w:uiPriority w:val="0"/>
    <w:pPr>
      <w:pBdr>
        <w:right w:val="single" w:color="auto" w:sz="8" w:space="0"/>
      </w:pBdr>
      <w:spacing w:before="100" w:beforeAutospacing="1" w:after="100" w:afterAutospacing="1"/>
      <w:jc w:val="center"/>
    </w:pPr>
    <w:rPr>
      <w:rFonts w:ascii="宋体" w:hAnsi="宋体" w:eastAsia="宋体" w:cs="宋体"/>
    </w:rPr>
  </w:style>
  <w:style w:type="paragraph" w:customStyle="1" w:styleId="183">
    <w:name w:val="xl96"/>
    <w:basedOn w:val="1"/>
    <w:qFormat/>
    <w:uiPriority w:val="0"/>
    <w:pPr>
      <w:pBdr>
        <w:top w:val="single" w:color="auto" w:sz="8" w:space="0"/>
        <w:bottom w:val="single" w:color="auto" w:sz="8" w:space="0"/>
      </w:pBdr>
      <w:spacing w:before="100" w:beforeAutospacing="1" w:after="100" w:afterAutospacing="1"/>
      <w:jc w:val="center"/>
    </w:pPr>
    <w:rPr>
      <w:rFonts w:ascii="宋体" w:hAnsi="宋体" w:eastAsia="宋体" w:cs="宋体"/>
    </w:rPr>
  </w:style>
  <w:style w:type="paragraph" w:customStyle="1" w:styleId="184">
    <w:name w:val="font8"/>
    <w:basedOn w:val="1"/>
    <w:qFormat/>
    <w:uiPriority w:val="0"/>
    <w:pPr>
      <w:spacing w:before="100" w:beforeAutospacing="1" w:after="100" w:afterAutospacing="1"/>
    </w:pPr>
    <w:rPr>
      <w:rFonts w:ascii="宋体" w:hAnsi="宋体" w:eastAsia="宋体" w:cs="宋体"/>
      <w:color w:val="000000"/>
    </w:rPr>
  </w:style>
  <w:style w:type="paragraph" w:customStyle="1" w:styleId="185">
    <w:name w:val="TOC 标题4"/>
    <w:basedOn w:val="2"/>
    <w:next w:val="1"/>
    <w:unhideWhenUsed/>
    <w:qFormat/>
    <w:uiPriority w:val="39"/>
    <w:pPr>
      <w:widowControl/>
      <w:numPr>
        <w:numId w:val="0"/>
      </w:numPr>
      <w:adjustRightInd/>
      <w:spacing w:before="240" w:after="0" w:line="259" w:lineRule="auto"/>
      <w:outlineLvl w:val="9"/>
    </w:pPr>
    <w:rPr>
      <w:rFonts w:asciiTheme="majorHAnsi" w:hAnsiTheme="majorHAnsi" w:cstheme="majorBidi"/>
      <w:b w:val="0"/>
      <w:color w:val="2E75B6" w:themeColor="accent1" w:themeShade="BF"/>
      <w:kern w:val="0"/>
      <w:lang w:val="en-US"/>
    </w:rPr>
  </w:style>
  <w:style w:type="paragraph" w:customStyle="1" w:styleId="186">
    <w:name w:val="Revision1"/>
    <w:hidden/>
    <w:unhideWhenUsed/>
    <w:qFormat/>
    <w:uiPriority w:val="99"/>
    <w:rPr>
      <w:rFonts w:ascii="Times New Roman" w:hAnsi="Times New Roman" w:cs="Times New Roman" w:eastAsiaTheme="minorEastAsia"/>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Version="6" StyleName="APA"/>
</file>

<file path=customXml/itemProps1.xml><?xml version="1.0" encoding="utf-8"?>
<ds:datastoreItem xmlns:ds="http://schemas.openxmlformats.org/officeDocument/2006/customXml" ds:itemID="{551CB968-DE06-3F45-BBB1-561D7ADDB66A}">
  <ds:schemaRefs/>
</ds:datastoreItem>
</file>

<file path=docProps/app.xml><?xml version="1.0" encoding="utf-8"?>
<Properties xmlns="http://schemas.openxmlformats.org/officeDocument/2006/extended-properties" xmlns:vt="http://schemas.openxmlformats.org/officeDocument/2006/docPropsVTypes">
  <Template>Normal.dotm</Template>
  <Pages>157</Pages>
  <Words>11058</Words>
  <Characters>63033</Characters>
  <Lines>525</Lines>
  <Paragraphs>147</Paragraphs>
  <TotalTime>36</TotalTime>
  <ScaleCrop>false</ScaleCrop>
  <LinksUpToDate>false</LinksUpToDate>
  <CharactersWithSpaces>73944</CharactersWithSpaces>
  <Application>WPS Office_12.8.2.1113_F1E327BC-269C-435d-A152-05C5408002CA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2024-11-01T19:38:00Z</dcterms:created>
  <dc:creator>taly</dc:creator>
  <cp:lastModifiedBy>user</cp:lastModifiedBy>
  <dcterms:modified xsi:type="dcterms:W3CDTF">2024-11-04T11:44:31Z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2052-12.8.2.1113</vt:lpwstr>
  </property>
  <property fmtid="{D5CDD505-2E9C-101B-9397-08002B2CF9AE}" pid="3" name="ICV">
    <vt:lpwstr>CCA99D65969441AC6B9424675B12E99A</vt:lpwstr>
  </property>
</Properties>
</file>