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A8ED5">
      <w:pPr>
        <w:widowControl/>
        <w:jc w:val="center"/>
        <w:rPr>
          <w:rFonts w:eastAsia="方正小标宋简体"/>
          <w:bCs/>
          <w:kern w:val="0"/>
          <w:sz w:val="44"/>
          <w:szCs w:val="44"/>
        </w:rPr>
      </w:pPr>
      <w:r>
        <w:rPr>
          <w:rFonts w:hint="eastAsia" w:eastAsia="方正小标宋简体"/>
          <w:bCs/>
          <w:kern w:val="0"/>
          <w:sz w:val="44"/>
          <w:szCs w:val="44"/>
        </w:rPr>
        <w:t>用户需求</w:t>
      </w:r>
    </w:p>
    <w:p w14:paraId="3F05AEE3">
      <w:pPr>
        <w:widowControl/>
        <w:spacing w:before="100" w:beforeAutospacing="1" w:after="100" w:afterAutospacing="1"/>
        <w:ind w:firstLine="640" w:firstLineChars="200"/>
        <w:jc w:val="left"/>
        <w:rPr>
          <w:rFonts w:eastAsia="黑体"/>
          <w:kern w:val="0"/>
          <w:sz w:val="32"/>
          <w:szCs w:val="32"/>
        </w:rPr>
      </w:pPr>
      <w:r>
        <w:rPr>
          <w:rFonts w:hint="eastAsia" w:eastAsia="黑体"/>
          <w:bCs/>
          <w:kern w:val="0"/>
          <w:sz w:val="32"/>
          <w:szCs w:val="32"/>
        </w:rPr>
        <w:t>一、封面</w:t>
      </w:r>
    </w:p>
    <w:tbl>
      <w:tblPr>
        <w:tblStyle w:val="23"/>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5594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0" w:hRule="atLeast"/>
        </w:trPr>
        <w:tc>
          <w:tcPr>
            <w:tcW w:w="8100" w:type="dxa"/>
            <w:tcBorders>
              <w:top w:val="single" w:color="auto" w:sz="4" w:space="0"/>
              <w:left w:val="single" w:color="auto" w:sz="4" w:space="0"/>
              <w:bottom w:val="single" w:color="auto" w:sz="4" w:space="0"/>
              <w:right w:val="single" w:color="auto" w:sz="4" w:space="0"/>
            </w:tcBorders>
          </w:tcPr>
          <w:p w14:paraId="3B897112">
            <w:pPr>
              <w:widowControl/>
              <w:spacing w:before="100" w:beforeAutospacing="1" w:after="100" w:afterAutospacing="1"/>
              <w:ind w:firstLine="640" w:firstLineChars="200"/>
              <w:jc w:val="left"/>
              <w:rPr>
                <w:rFonts w:eastAsia="仿宋_GB2312"/>
                <w:kern w:val="0"/>
                <w:sz w:val="32"/>
                <w:szCs w:val="32"/>
              </w:rPr>
            </w:pPr>
          </w:p>
          <w:p w14:paraId="59522CBB">
            <w:pPr>
              <w:widowControl/>
              <w:spacing w:before="100" w:beforeAutospacing="1" w:after="100" w:afterAutospacing="1"/>
              <w:ind w:firstLine="640" w:firstLineChars="200"/>
              <w:jc w:val="left"/>
              <w:rPr>
                <w:rFonts w:eastAsia="仿宋_GB2312"/>
                <w:kern w:val="0"/>
                <w:sz w:val="32"/>
                <w:szCs w:val="32"/>
              </w:rPr>
            </w:pPr>
            <w:r>
              <w:rPr>
                <w:rFonts w:hint="eastAsia" w:eastAsia="仿宋_GB2312"/>
                <w:kern w:val="0"/>
                <w:sz w:val="32"/>
                <w:szCs w:val="32"/>
              </w:rPr>
              <w:t>用户需求书</w:t>
            </w:r>
          </w:p>
          <w:p w14:paraId="4A4ABF8E">
            <w:pPr>
              <w:widowControl/>
              <w:spacing w:before="100" w:beforeAutospacing="1" w:after="100" w:afterAutospacing="1"/>
              <w:ind w:firstLine="640" w:firstLineChars="200"/>
              <w:jc w:val="left"/>
              <w:rPr>
                <w:rFonts w:eastAsia="仿宋_GB2312"/>
                <w:kern w:val="0"/>
                <w:sz w:val="32"/>
                <w:szCs w:val="32"/>
              </w:rPr>
            </w:pPr>
          </w:p>
          <w:p w14:paraId="011BE7E4">
            <w:pPr>
              <w:widowControl/>
              <w:spacing w:before="100" w:beforeAutospacing="1" w:after="100" w:afterAutospacing="1"/>
              <w:ind w:firstLine="640" w:firstLineChars="200"/>
              <w:jc w:val="left"/>
              <w:rPr>
                <w:rFonts w:eastAsia="仿宋_GB2312"/>
                <w:kern w:val="0"/>
                <w:sz w:val="32"/>
                <w:szCs w:val="32"/>
              </w:rPr>
            </w:pPr>
          </w:p>
          <w:p w14:paraId="611572CD">
            <w:pPr>
              <w:widowControl/>
              <w:spacing w:before="100" w:beforeAutospacing="1" w:after="100" w:afterAutospacing="1"/>
              <w:ind w:firstLine="640" w:firstLineChars="200"/>
              <w:jc w:val="left"/>
              <w:rPr>
                <w:rFonts w:eastAsia="仿宋_GB2312"/>
                <w:kern w:val="0"/>
                <w:sz w:val="32"/>
                <w:szCs w:val="32"/>
              </w:rPr>
            </w:pPr>
          </w:p>
          <w:p w14:paraId="24453A91">
            <w:pPr>
              <w:widowControl/>
              <w:spacing w:before="100" w:beforeAutospacing="1" w:after="100" w:afterAutospacing="1"/>
              <w:ind w:firstLine="640" w:firstLineChars="200"/>
              <w:jc w:val="left"/>
              <w:rPr>
                <w:rFonts w:eastAsia="仿宋_GB2312"/>
                <w:kern w:val="0"/>
                <w:sz w:val="32"/>
                <w:szCs w:val="32"/>
              </w:rPr>
            </w:pPr>
          </w:p>
          <w:p w14:paraId="05E9E5BD">
            <w:pPr>
              <w:widowControl/>
              <w:spacing w:before="100" w:beforeAutospacing="1" w:after="100" w:afterAutospacing="1"/>
              <w:ind w:firstLine="640" w:firstLineChars="200"/>
              <w:jc w:val="left"/>
              <w:rPr>
                <w:rFonts w:eastAsia="仿宋_GB2312"/>
                <w:kern w:val="0"/>
                <w:sz w:val="32"/>
                <w:szCs w:val="32"/>
              </w:rPr>
            </w:pPr>
          </w:p>
          <w:p w14:paraId="4BCBC922">
            <w:pPr>
              <w:widowControl/>
              <w:spacing w:before="100" w:beforeAutospacing="1" w:after="100" w:afterAutospacing="1"/>
              <w:ind w:firstLine="640" w:firstLineChars="200"/>
              <w:jc w:val="left"/>
              <w:rPr>
                <w:rFonts w:eastAsia="仿宋_GB2312"/>
                <w:kern w:val="0"/>
                <w:sz w:val="32"/>
                <w:szCs w:val="32"/>
              </w:rPr>
            </w:pPr>
          </w:p>
          <w:p w14:paraId="58519C89">
            <w:pPr>
              <w:widowControl/>
              <w:spacing w:before="100" w:beforeAutospacing="1" w:after="100" w:afterAutospacing="1"/>
              <w:ind w:firstLine="640" w:firstLineChars="200"/>
              <w:jc w:val="left"/>
              <w:rPr>
                <w:rFonts w:eastAsia="仿宋_GB2312"/>
                <w:kern w:val="0"/>
                <w:sz w:val="32"/>
                <w:szCs w:val="32"/>
              </w:rPr>
            </w:pPr>
          </w:p>
          <w:p w14:paraId="0854453B">
            <w:pPr>
              <w:widowControl/>
              <w:spacing w:before="100" w:beforeAutospacing="1" w:after="100" w:afterAutospacing="1"/>
              <w:ind w:firstLine="640" w:firstLineChars="200"/>
              <w:rPr>
                <w:rFonts w:eastAsia="仿宋_GB2312"/>
                <w:kern w:val="0"/>
                <w:sz w:val="32"/>
                <w:szCs w:val="32"/>
              </w:rPr>
            </w:pPr>
            <w:r>
              <w:rPr>
                <w:rFonts w:hint="eastAsia" w:eastAsia="仿宋_GB2312"/>
                <w:kern w:val="0"/>
                <w:sz w:val="32"/>
                <w:szCs w:val="32"/>
              </w:rPr>
              <w:t>项目名称：</w:t>
            </w:r>
            <w:r>
              <w:rPr>
                <w:rFonts w:hint="eastAsia" w:eastAsia="仿宋_GB2312"/>
                <w:kern w:val="0"/>
                <w:sz w:val="32"/>
                <w:szCs w:val="32"/>
                <w:u w:val="single"/>
              </w:rPr>
              <w:t>上海公安政治工作综合服务网（升级改造）</w:t>
            </w:r>
          </w:p>
          <w:p w14:paraId="1C0F0ADC">
            <w:pPr>
              <w:widowControl/>
              <w:spacing w:before="100" w:beforeAutospacing="1" w:after="100" w:afterAutospacing="1"/>
              <w:ind w:firstLine="640" w:firstLineChars="200"/>
              <w:rPr>
                <w:rFonts w:eastAsia="仿宋_GB2312"/>
                <w:kern w:val="0"/>
                <w:sz w:val="32"/>
                <w:szCs w:val="32"/>
              </w:rPr>
            </w:pPr>
            <w:r>
              <w:rPr>
                <w:rFonts w:hint="eastAsia" w:eastAsia="仿宋_GB2312"/>
                <w:kern w:val="0"/>
                <w:sz w:val="32"/>
                <w:szCs w:val="32"/>
              </w:rPr>
              <w:t>责任单位：</w:t>
            </w:r>
            <w:r>
              <w:rPr>
                <w:rFonts w:hint="eastAsia" w:eastAsia="仿宋_GB2312"/>
                <w:kern w:val="0"/>
                <w:sz w:val="32"/>
                <w:szCs w:val="32"/>
                <w:u w:val="single"/>
              </w:rPr>
              <w:t xml:space="preserve">        上海市公安局            </w:t>
            </w:r>
          </w:p>
        </w:tc>
      </w:tr>
    </w:tbl>
    <w:p w14:paraId="026CC6FC">
      <w:pPr>
        <w:widowControl/>
        <w:adjustRightInd w:val="0"/>
        <w:snapToGrid w:val="0"/>
        <w:spacing w:line="360" w:lineRule="auto"/>
        <w:ind w:firstLine="636" w:firstLineChars="198"/>
        <w:rPr>
          <w:rFonts w:eastAsia="仿宋_GB2312"/>
          <w:b/>
          <w:bCs/>
          <w:kern w:val="0"/>
          <w:sz w:val="32"/>
          <w:szCs w:val="32"/>
        </w:rPr>
      </w:pPr>
    </w:p>
    <w:p w14:paraId="33BC6301">
      <w:pPr>
        <w:widowControl/>
        <w:adjustRightInd w:val="0"/>
        <w:snapToGrid w:val="0"/>
        <w:spacing w:line="360" w:lineRule="auto"/>
        <w:ind w:firstLine="636" w:firstLineChars="198"/>
        <w:rPr>
          <w:rFonts w:eastAsia="仿宋_GB2312"/>
          <w:b/>
          <w:bCs/>
          <w:kern w:val="0"/>
          <w:sz w:val="32"/>
          <w:szCs w:val="32"/>
        </w:rPr>
      </w:pPr>
    </w:p>
    <w:p w14:paraId="5E9080B2">
      <w:pPr>
        <w:widowControl/>
        <w:adjustRightInd w:val="0"/>
        <w:snapToGrid w:val="0"/>
        <w:spacing w:line="360" w:lineRule="auto"/>
        <w:ind w:firstLine="636" w:firstLineChars="198"/>
        <w:rPr>
          <w:rFonts w:eastAsia="仿宋_GB2312"/>
          <w:b/>
          <w:bCs/>
          <w:kern w:val="0"/>
          <w:sz w:val="32"/>
          <w:szCs w:val="32"/>
        </w:rPr>
      </w:pPr>
    </w:p>
    <w:p w14:paraId="5215E54E">
      <w:pPr>
        <w:widowControl/>
        <w:adjustRightInd w:val="0"/>
        <w:snapToGrid w:val="0"/>
        <w:spacing w:line="360" w:lineRule="auto"/>
        <w:ind w:firstLine="636" w:firstLineChars="198"/>
        <w:rPr>
          <w:rFonts w:eastAsia="仿宋_GB2312"/>
          <w:b/>
          <w:bCs/>
          <w:kern w:val="0"/>
          <w:sz w:val="32"/>
          <w:szCs w:val="32"/>
        </w:rPr>
      </w:pPr>
    </w:p>
    <w:p w14:paraId="7F05ACA9">
      <w:pPr>
        <w:widowControl/>
        <w:adjustRightInd w:val="0"/>
        <w:snapToGrid w:val="0"/>
        <w:spacing w:line="360" w:lineRule="auto"/>
        <w:ind w:firstLine="636" w:firstLineChars="198"/>
        <w:rPr>
          <w:rFonts w:eastAsia="仿宋_GB2312"/>
          <w:b/>
          <w:bCs/>
          <w:kern w:val="0"/>
          <w:sz w:val="32"/>
          <w:szCs w:val="32"/>
        </w:rPr>
      </w:pPr>
    </w:p>
    <w:p w14:paraId="77E94949">
      <w:pPr>
        <w:widowControl/>
        <w:adjustRightInd w:val="0"/>
        <w:snapToGrid w:val="0"/>
        <w:spacing w:line="560" w:lineRule="exact"/>
        <w:ind w:firstLine="640" w:firstLineChars="200"/>
        <w:rPr>
          <w:rFonts w:eastAsia="黑体"/>
          <w:bCs/>
          <w:kern w:val="0"/>
          <w:sz w:val="32"/>
          <w:szCs w:val="32"/>
        </w:rPr>
      </w:pPr>
      <w:r>
        <w:rPr>
          <w:rFonts w:hint="eastAsia" w:eastAsia="黑体"/>
          <w:bCs/>
          <w:kern w:val="0"/>
          <w:sz w:val="32"/>
          <w:szCs w:val="32"/>
        </w:rPr>
        <w:t>二、主要内容</w:t>
      </w:r>
    </w:p>
    <w:p w14:paraId="5114ACDD">
      <w:pPr>
        <w:widowControl/>
        <w:adjustRightInd w:val="0"/>
        <w:snapToGrid w:val="0"/>
        <w:spacing w:line="560" w:lineRule="exact"/>
        <w:ind w:firstLine="640" w:firstLineChars="200"/>
        <w:rPr>
          <w:rFonts w:eastAsia="楷体_GB2312"/>
          <w:bCs/>
          <w:kern w:val="0"/>
          <w:sz w:val="32"/>
          <w:szCs w:val="32"/>
        </w:rPr>
      </w:pPr>
      <w:r>
        <w:rPr>
          <w:rFonts w:hint="eastAsia" w:eastAsia="楷体_GB2312"/>
          <w:bCs/>
          <w:kern w:val="0"/>
          <w:sz w:val="32"/>
          <w:szCs w:val="32"/>
        </w:rPr>
        <w:t>（一）背景与现状概述</w:t>
      </w:r>
    </w:p>
    <w:p w14:paraId="113D1C57">
      <w:pPr>
        <w:adjustRightInd w:val="0"/>
        <w:snapToGrid w:val="0"/>
        <w:spacing w:line="560" w:lineRule="exact"/>
        <w:ind w:firstLine="640" w:firstLineChars="200"/>
        <w:rPr>
          <w:rFonts w:eastAsia="仿宋_GB2312"/>
          <w:sz w:val="32"/>
          <w:szCs w:val="32"/>
        </w:rPr>
      </w:pPr>
      <w:r>
        <w:rPr>
          <w:rFonts w:hint="eastAsia" w:eastAsia="仿宋_GB2312"/>
          <w:sz w:val="32"/>
          <w:szCs w:val="32"/>
        </w:rPr>
        <w:t>习近平总书记在主持中共中央政治局就实施网络强国战略进行第三十六次集体学习时强调“要紧紧牵住核心技术自主创新这个牛鼻子，抓紧突破网络发展的前沿技术和具有国际竞争力的关键核心技术，加快推进国产自主可控替代计划、构建安全可控的信息技术体系”。为贯彻落实习总书记重要指示精神，加快推进全市公安机关国产替代工程，确保按期保质完成替代任务，在上海公安政治工作综合服务网建设的基础上，根据实际需求建设部分功能，并开展</w:t>
      </w:r>
      <w:r>
        <w:rPr>
          <w:rFonts w:hint="eastAsia" w:eastAsia="仿宋_GB2312"/>
          <w:sz w:val="32"/>
          <w:szCs w:val="32"/>
          <w:lang w:eastAsia="zh-CN"/>
        </w:rPr>
        <w:t>XC</w:t>
      </w:r>
      <w:r>
        <w:rPr>
          <w:rFonts w:hint="eastAsia" w:eastAsia="仿宋_GB2312"/>
          <w:sz w:val="32"/>
          <w:szCs w:val="32"/>
        </w:rPr>
        <w:t>改造。</w:t>
      </w:r>
    </w:p>
    <w:p w14:paraId="190D24F9">
      <w:pPr>
        <w:adjustRightInd w:val="0"/>
        <w:snapToGrid w:val="0"/>
        <w:spacing w:line="560" w:lineRule="exact"/>
        <w:ind w:firstLine="640" w:firstLineChars="200"/>
        <w:rPr>
          <w:rFonts w:eastAsia="仿宋_GB2312"/>
          <w:sz w:val="32"/>
          <w:szCs w:val="32"/>
        </w:rPr>
      </w:pPr>
      <w:r>
        <w:rPr>
          <w:rFonts w:hint="eastAsia" w:eastAsia="仿宋_GB2312"/>
          <w:sz w:val="32"/>
          <w:szCs w:val="32"/>
        </w:rPr>
        <w:t>目前，市局现有的政工应用系统主要包括上海公安政治工作综合服务网。为了深入贯彻习近平总书记考察上海重要讲话精神，聚焦建设“五个中心”重要使命，锚定“世界一流平安城市、世界一流警务模式、世界一流警察形象”奋斗目标，需要对全局公安队伍管理类信息化项目进行优化整合。本项目采用系统适配的方式进行</w:t>
      </w:r>
      <w:r>
        <w:rPr>
          <w:rFonts w:hint="eastAsia" w:eastAsia="仿宋_GB2312"/>
          <w:sz w:val="32"/>
          <w:szCs w:val="32"/>
          <w:lang w:eastAsia="zh-CN"/>
        </w:rPr>
        <w:t>XC</w:t>
      </w:r>
      <w:r>
        <w:rPr>
          <w:rFonts w:hint="eastAsia" w:eastAsia="仿宋_GB2312"/>
          <w:sz w:val="32"/>
          <w:szCs w:val="32"/>
        </w:rPr>
        <w:t>改造，并在原系统基础上新增部分功能。上海公安政治工作综合服务网适配对应的客户运行环境供用户使用。改造后的系统可以满足当前的业务工作要求，对当前工作没有任何影响。</w:t>
      </w:r>
    </w:p>
    <w:p w14:paraId="737B4910">
      <w:pPr>
        <w:widowControl/>
        <w:adjustRightInd w:val="0"/>
        <w:snapToGrid w:val="0"/>
        <w:spacing w:line="560" w:lineRule="exact"/>
        <w:ind w:firstLine="640" w:firstLineChars="200"/>
        <w:rPr>
          <w:rFonts w:eastAsia="楷体_GB2312"/>
          <w:bCs/>
          <w:kern w:val="0"/>
          <w:sz w:val="32"/>
          <w:szCs w:val="32"/>
        </w:rPr>
      </w:pPr>
      <w:r>
        <w:rPr>
          <w:rFonts w:hint="eastAsia" w:eastAsia="楷体_GB2312"/>
          <w:bCs/>
          <w:kern w:val="0"/>
          <w:sz w:val="32"/>
          <w:szCs w:val="32"/>
        </w:rPr>
        <w:t>（二）目标与任务</w:t>
      </w:r>
    </w:p>
    <w:p w14:paraId="0E47B23A">
      <w:pPr>
        <w:spacing w:line="560" w:lineRule="exact"/>
        <w:ind w:firstLine="640" w:firstLineChars="200"/>
        <w:rPr>
          <w:rFonts w:eastAsia="楷体_GB2312"/>
          <w:sz w:val="32"/>
          <w:szCs w:val="32"/>
        </w:rPr>
      </w:pPr>
      <w:r>
        <w:rPr>
          <w:rFonts w:eastAsia="楷体_GB2312"/>
          <w:sz w:val="32"/>
          <w:szCs w:val="32"/>
        </w:rPr>
        <w:t>1.</w:t>
      </w:r>
      <w:r>
        <w:rPr>
          <w:rFonts w:hint="eastAsia" w:eastAsia="楷体_GB2312"/>
          <w:sz w:val="32"/>
          <w:szCs w:val="32"/>
        </w:rPr>
        <w:t>总体目标</w:t>
      </w:r>
    </w:p>
    <w:p w14:paraId="5061D611">
      <w:pPr>
        <w:spacing w:line="560" w:lineRule="exact"/>
        <w:ind w:firstLine="640" w:firstLineChars="200"/>
        <w:rPr>
          <w:rFonts w:eastAsia="仿宋_GB2312"/>
          <w:sz w:val="32"/>
          <w:szCs w:val="32"/>
        </w:rPr>
      </w:pPr>
      <w:r>
        <w:rPr>
          <w:rFonts w:hint="eastAsia" w:eastAsia="仿宋_GB2312"/>
          <w:sz w:val="32"/>
          <w:szCs w:val="32"/>
        </w:rPr>
        <w:t>项目采用系统适配的方式进行</w:t>
      </w:r>
      <w:r>
        <w:rPr>
          <w:rFonts w:hint="eastAsia" w:eastAsia="仿宋_GB2312"/>
          <w:sz w:val="32"/>
          <w:szCs w:val="32"/>
          <w:lang w:eastAsia="zh-CN"/>
        </w:rPr>
        <w:t>XC</w:t>
      </w:r>
      <w:r>
        <w:rPr>
          <w:rFonts w:hint="eastAsia" w:eastAsia="仿宋_GB2312"/>
          <w:sz w:val="32"/>
          <w:szCs w:val="32"/>
        </w:rPr>
        <w:t>改造，并在原系统基础上新增部分功能。上海公安政治工作综合服务网适配对应的客户运行环境供用户使用。改造后的系统可以满足当前的业务工作要求，对当前工作没有任何影响。</w:t>
      </w:r>
    </w:p>
    <w:p w14:paraId="22B282AC">
      <w:pPr>
        <w:spacing w:line="560" w:lineRule="exact"/>
        <w:ind w:firstLine="640" w:firstLineChars="200"/>
        <w:rPr>
          <w:rFonts w:eastAsia="楷体_GB2312"/>
          <w:sz w:val="32"/>
          <w:szCs w:val="32"/>
        </w:rPr>
      </w:pPr>
      <w:r>
        <w:rPr>
          <w:rFonts w:eastAsia="楷体_GB2312"/>
          <w:sz w:val="32"/>
          <w:szCs w:val="32"/>
        </w:rPr>
        <w:t>2.</w:t>
      </w:r>
      <w:r>
        <w:rPr>
          <w:rFonts w:hint="eastAsia" w:eastAsia="楷体_GB2312"/>
          <w:sz w:val="32"/>
          <w:szCs w:val="32"/>
        </w:rPr>
        <w:t>建设任务</w:t>
      </w:r>
    </w:p>
    <w:p w14:paraId="799977F0">
      <w:pPr>
        <w:spacing w:line="560" w:lineRule="exact"/>
        <w:ind w:firstLine="640" w:firstLineChars="200"/>
        <w:rPr>
          <w:rFonts w:eastAsia="仿宋_GB2312"/>
          <w:sz w:val="32"/>
          <w:szCs w:val="32"/>
        </w:rPr>
      </w:pPr>
      <w:r>
        <w:rPr>
          <w:rFonts w:hint="eastAsia" w:eastAsia="仿宋_GB2312"/>
          <w:sz w:val="32"/>
          <w:szCs w:val="32"/>
        </w:rPr>
        <w:t>本次项目建设主要包括</w:t>
      </w:r>
      <w:r>
        <w:rPr>
          <w:rFonts w:hint="eastAsia" w:eastAsia="仿宋_GB2312"/>
          <w:sz w:val="32"/>
          <w:szCs w:val="32"/>
          <w:lang w:eastAsia="zh-CN"/>
        </w:rPr>
        <w:t>XC</w:t>
      </w:r>
      <w:r>
        <w:rPr>
          <w:rFonts w:hint="eastAsia" w:eastAsia="仿宋_GB2312"/>
          <w:sz w:val="32"/>
          <w:szCs w:val="32"/>
        </w:rPr>
        <w:t>适配改造和系统功能升级两部分。</w:t>
      </w:r>
    </w:p>
    <w:p w14:paraId="394DE2CA">
      <w:pPr>
        <w:spacing w:line="560" w:lineRule="exact"/>
        <w:ind w:firstLine="640" w:firstLineChars="200"/>
        <w:rPr>
          <w:rFonts w:eastAsia="仿宋_GB2312"/>
          <w:sz w:val="32"/>
          <w:szCs w:val="32"/>
        </w:rPr>
      </w:pPr>
      <w:r>
        <w:rPr>
          <w:rFonts w:hint="eastAsia" w:eastAsia="仿宋_GB2312"/>
          <w:sz w:val="32"/>
          <w:szCs w:val="32"/>
          <w:lang w:eastAsia="zh-CN"/>
        </w:rPr>
        <w:t>XC</w:t>
      </w:r>
      <w:r>
        <w:rPr>
          <w:rFonts w:hint="eastAsia" w:eastAsia="仿宋_GB2312"/>
          <w:sz w:val="32"/>
          <w:szCs w:val="32"/>
        </w:rPr>
        <w:t>适配改造主要是将当前的政治工作综合服务网项目通过环境搭建和应用迁移、现有系统升级改造、缓存服务支撑组件改造、日志服务支撑组件改造、工作流程支撑组件改造、应用部署和数据迁移等一系列步骤后，实现政治工作综合服务网民警管理业务子系统的</w:t>
      </w:r>
      <w:r>
        <w:rPr>
          <w:rFonts w:hint="eastAsia" w:eastAsia="仿宋_GB2312"/>
          <w:sz w:val="32"/>
          <w:szCs w:val="32"/>
          <w:lang w:eastAsia="zh-CN"/>
        </w:rPr>
        <w:t>XC</w:t>
      </w:r>
      <w:r>
        <w:rPr>
          <w:rFonts w:hint="eastAsia" w:eastAsia="仿宋_GB2312"/>
          <w:sz w:val="32"/>
          <w:szCs w:val="32"/>
        </w:rPr>
        <w:t>改造，使系统能够在</w:t>
      </w:r>
      <w:r>
        <w:rPr>
          <w:rFonts w:hint="eastAsia" w:eastAsia="仿宋_GB2312"/>
          <w:sz w:val="32"/>
          <w:szCs w:val="32"/>
          <w:lang w:eastAsia="zh-CN"/>
        </w:rPr>
        <w:t>XC</w:t>
      </w:r>
      <w:r>
        <w:rPr>
          <w:rFonts w:hint="eastAsia" w:eastAsia="仿宋_GB2312"/>
          <w:sz w:val="32"/>
          <w:szCs w:val="32"/>
        </w:rPr>
        <w:t>环境下平稳运行。</w:t>
      </w:r>
    </w:p>
    <w:p w14:paraId="6E8505CE">
      <w:pPr>
        <w:spacing w:line="560" w:lineRule="exact"/>
        <w:ind w:firstLine="640" w:firstLineChars="200"/>
        <w:rPr>
          <w:rFonts w:eastAsia="楷体_GB2312"/>
          <w:bCs/>
          <w:kern w:val="0"/>
          <w:sz w:val="32"/>
          <w:szCs w:val="32"/>
        </w:rPr>
      </w:pPr>
      <w:r>
        <w:rPr>
          <w:rFonts w:hint="eastAsia" w:eastAsia="仿宋_GB2312"/>
          <w:sz w:val="32"/>
          <w:szCs w:val="32"/>
        </w:rPr>
        <w:t>系统功能升级主要涵盖系统水印、民警平时考核、库档一致审核“一屏比对”、运维预警、主题教育网专栏、报表功能、批量数据导入、出入境证照备案管理、辅警党员管理、年度</w:t>
      </w:r>
      <w:r>
        <w:rPr>
          <w:rFonts w:eastAsia="仿宋_GB2312"/>
          <w:sz w:val="32"/>
          <w:szCs w:val="32"/>
        </w:rPr>
        <w:t>/</w:t>
      </w:r>
      <w:r>
        <w:rPr>
          <w:rFonts w:hint="eastAsia" w:eastAsia="仿宋_GB2312"/>
          <w:sz w:val="32"/>
          <w:szCs w:val="32"/>
        </w:rPr>
        <w:t>季度队伍分析报告等功能的建设，通过这些新增功能的建设，实现对原政治工作综合服务网项目的查漏补缺，使政治综合服务网项目更加符合民警日常工作所需。</w:t>
      </w:r>
    </w:p>
    <w:p w14:paraId="4F3FDE4E">
      <w:pPr>
        <w:spacing w:line="560" w:lineRule="exact"/>
        <w:ind w:firstLine="640" w:firstLineChars="200"/>
        <w:rPr>
          <w:rFonts w:eastAsia="楷体_GB2312"/>
          <w:kern w:val="0"/>
          <w:sz w:val="32"/>
          <w:szCs w:val="32"/>
        </w:rPr>
      </w:pPr>
      <w:r>
        <w:rPr>
          <w:rFonts w:hint="eastAsia" w:eastAsia="楷体_GB2312"/>
          <w:bCs/>
          <w:kern w:val="0"/>
          <w:sz w:val="32"/>
          <w:szCs w:val="32"/>
        </w:rPr>
        <w:t>（三）设计方案</w:t>
      </w:r>
    </w:p>
    <w:p w14:paraId="02FE995A">
      <w:pPr>
        <w:spacing w:line="560" w:lineRule="exact"/>
        <w:ind w:firstLine="640" w:firstLineChars="200"/>
        <w:rPr>
          <w:rFonts w:eastAsia="仿宋_GB2312"/>
          <w:sz w:val="32"/>
          <w:szCs w:val="32"/>
        </w:rPr>
      </w:pPr>
      <w:r>
        <w:rPr>
          <w:rFonts w:eastAsia="楷体_GB2312"/>
          <w:kern w:val="0"/>
          <w:sz w:val="32"/>
          <w:szCs w:val="32"/>
        </w:rPr>
        <w:t>1</w:t>
      </w:r>
      <w:r>
        <w:rPr>
          <w:rFonts w:hint="eastAsia" w:eastAsia="楷体_GB2312"/>
          <w:kern w:val="0"/>
          <w:sz w:val="32"/>
          <w:szCs w:val="32"/>
        </w:rPr>
        <w:t>、业务流程、数据和数据流分析</w:t>
      </w:r>
    </w:p>
    <w:p w14:paraId="46C1DD14">
      <w:pPr>
        <w:spacing w:line="560" w:lineRule="exact"/>
        <w:ind w:firstLine="640" w:firstLineChars="200"/>
        <w:rPr>
          <w:rFonts w:eastAsia="仿宋_GB2312"/>
          <w:sz w:val="32"/>
          <w:szCs w:val="32"/>
        </w:rPr>
      </w:pPr>
      <w:r>
        <w:rPr>
          <w:rFonts w:hint="eastAsia" w:eastAsia="仿宋_GB2312"/>
          <w:sz w:val="32"/>
          <w:szCs w:val="32"/>
        </w:rPr>
        <w:t>本次建设内容主要为原有系统的</w:t>
      </w:r>
      <w:r>
        <w:rPr>
          <w:rFonts w:hint="eastAsia" w:eastAsia="仿宋_GB2312"/>
          <w:sz w:val="32"/>
          <w:szCs w:val="32"/>
          <w:lang w:eastAsia="zh-CN"/>
        </w:rPr>
        <w:t>XC</w:t>
      </w:r>
      <w:r>
        <w:rPr>
          <w:rFonts w:hint="eastAsia" w:eastAsia="仿宋_GB2312"/>
          <w:sz w:val="32"/>
          <w:szCs w:val="32"/>
        </w:rPr>
        <w:t>改造，以及在原系统上新增功能流程。以下为主要新增功能的业务流程。</w:t>
      </w:r>
    </w:p>
    <w:p w14:paraId="7CA6142E">
      <w:pPr>
        <w:spacing w:line="560" w:lineRule="exact"/>
        <w:ind w:firstLine="640"/>
        <w:rPr>
          <w:rFonts w:eastAsia="楷体_GB2312"/>
          <w:sz w:val="32"/>
          <w:szCs w:val="32"/>
        </w:rPr>
      </w:pPr>
      <w:r>
        <w:drawing>
          <wp:anchor distT="0" distB="0" distL="114300" distR="114300" simplePos="0" relativeHeight="251659264" behindDoc="0" locked="0" layoutInCell="1" allowOverlap="1">
            <wp:simplePos x="0" y="0"/>
            <wp:positionH relativeFrom="column">
              <wp:posOffset>380365</wp:posOffset>
            </wp:positionH>
            <wp:positionV relativeFrom="paragraph">
              <wp:posOffset>602615</wp:posOffset>
            </wp:positionV>
            <wp:extent cx="5064125" cy="5908675"/>
            <wp:effectExtent l="19050" t="0" r="3175" b="0"/>
            <wp:wrapTopAndBottom/>
            <wp:docPr id="4" name="图片 4"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流程图"/>
                    <pic:cNvPicPr>
                      <a:picLocks noChangeAspect="1" noChangeArrowheads="1"/>
                    </pic:cNvPicPr>
                  </pic:nvPicPr>
                  <pic:blipFill>
                    <a:blip r:embed="rId5"/>
                    <a:srcRect/>
                    <a:stretch>
                      <a:fillRect/>
                    </a:stretch>
                  </pic:blipFill>
                  <pic:spPr>
                    <a:xfrm>
                      <a:off x="0" y="0"/>
                      <a:ext cx="5064125" cy="5908675"/>
                    </a:xfrm>
                    <a:prstGeom prst="rect">
                      <a:avLst/>
                    </a:prstGeom>
                    <a:noFill/>
                    <a:ln w="9525" cmpd="sng">
                      <a:noFill/>
                      <a:miter lim="800000"/>
                      <a:headEnd/>
                      <a:tailEnd/>
                    </a:ln>
                  </pic:spPr>
                </pic:pic>
              </a:graphicData>
            </a:graphic>
          </wp:anchor>
        </w:drawing>
      </w:r>
      <w:r>
        <w:rPr>
          <w:rFonts w:hint="eastAsia" w:eastAsia="楷体_GB2312"/>
          <w:sz w:val="32"/>
          <w:szCs w:val="32"/>
        </w:rPr>
        <w:t>（</w:t>
      </w:r>
      <w:r>
        <w:rPr>
          <w:rFonts w:eastAsia="楷体_GB2312"/>
          <w:sz w:val="32"/>
          <w:szCs w:val="32"/>
        </w:rPr>
        <w:t>1</w:t>
      </w:r>
      <w:r>
        <w:rPr>
          <w:rFonts w:hint="eastAsia" w:eastAsia="楷体_GB2312"/>
          <w:sz w:val="32"/>
          <w:szCs w:val="32"/>
        </w:rPr>
        <w:t>）民警平时考核</w:t>
      </w:r>
    </w:p>
    <w:p w14:paraId="6D26994C">
      <w:pPr>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）库档一致审核“一屏比对”流程</w:t>
      </w:r>
    </w:p>
    <w:p w14:paraId="761FEEEE">
      <w:pPr>
        <w:ind w:firstLine="640" w:firstLineChars="200"/>
        <w:jc w:val="center"/>
        <w:rPr>
          <w:rFonts w:eastAsia="仿宋_GB2312"/>
          <w:sz w:val="32"/>
          <w:szCs w:val="32"/>
        </w:rPr>
      </w:pPr>
      <w:r>
        <w:rPr>
          <w:rFonts w:eastAsia="仿宋_GB2312"/>
          <w:sz w:val="32"/>
          <w:szCs w:val="32"/>
        </w:rPr>
        <w:drawing>
          <wp:inline distT="0" distB="0" distL="0" distR="0">
            <wp:extent cx="1510030" cy="42957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1510030" cy="4295775"/>
                    </a:xfrm>
                    <a:prstGeom prst="rect">
                      <a:avLst/>
                    </a:prstGeom>
                    <a:noFill/>
                    <a:ln w="9525" cmpd="sng">
                      <a:noFill/>
                      <a:miter lim="800000"/>
                      <a:headEnd/>
                      <a:tailEnd/>
                    </a:ln>
                  </pic:spPr>
                </pic:pic>
              </a:graphicData>
            </a:graphic>
          </wp:inline>
        </w:drawing>
      </w:r>
    </w:p>
    <w:p w14:paraId="1A2AF001">
      <w:pPr>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）出入境证照备案管理流程</w:t>
      </w:r>
    </w:p>
    <w:p w14:paraId="665C5AA2">
      <w:pPr>
        <w:ind w:firstLine="640" w:firstLineChars="200"/>
        <w:jc w:val="center"/>
        <w:rPr>
          <w:rFonts w:eastAsia="仿宋_GB2312"/>
          <w:sz w:val="32"/>
          <w:szCs w:val="32"/>
        </w:rPr>
      </w:pPr>
      <w:r>
        <w:rPr>
          <w:rFonts w:eastAsia="仿宋_GB2312"/>
          <w:sz w:val="32"/>
          <w:szCs w:val="32"/>
        </w:rPr>
        <w:drawing>
          <wp:inline distT="0" distB="0" distL="0" distR="0">
            <wp:extent cx="1658620" cy="2966720"/>
            <wp:effectExtent l="19050" t="0" r="0" b="0"/>
            <wp:docPr id="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2"/>
                    <pic:cNvPicPr>
                      <a:picLocks noChangeAspect="1" noChangeArrowheads="1"/>
                    </pic:cNvPicPr>
                  </pic:nvPicPr>
                  <pic:blipFill>
                    <a:blip r:embed="rId7"/>
                    <a:srcRect/>
                    <a:stretch>
                      <a:fillRect/>
                    </a:stretch>
                  </pic:blipFill>
                  <pic:spPr>
                    <a:xfrm>
                      <a:off x="0" y="0"/>
                      <a:ext cx="1658620" cy="2966720"/>
                    </a:xfrm>
                    <a:prstGeom prst="rect">
                      <a:avLst/>
                    </a:prstGeom>
                    <a:noFill/>
                    <a:ln w="9525" cmpd="sng">
                      <a:noFill/>
                      <a:miter lim="800000"/>
                      <a:headEnd/>
                      <a:tailEnd/>
                    </a:ln>
                  </pic:spPr>
                </pic:pic>
              </a:graphicData>
            </a:graphic>
          </wp:inline>
        </w:drawing>
      </w:r>
    </w:p>
    <w:p w14:paraId="07499C14">
      <w:pPr>
        <w:spacing w:line="560" w:lineRule="exact"/>
        <w:ind w:firstLine="640" w:firstLineChars="200"/>
        <w:rPr>
          <w:rFonts w:eastAsia="仿宋_GB2312"/>
          <w:sz w:val="32"/>
          <w:szCs w:val="32"/>
        </w:rPr>
      </w:pPr>
    </w:p>
    <w:p w14:paraId="4A52EFD0">
      <w:pPr>
        <w:widowControl/>
        <w:adjustRightInd w:val="0"/>
        <w:snapToGrid w:val="0"/>
        <w:spacing w:line="560" w:lineRule="exact"/>
        <w:ind w:firstLine="624"/>
        <w:rPr>
          <w:rFonts w:eastAsia="仿宋_GB2312"/>
          <w:kern w:val="0"/>
          <w:sz w:val="32"/>
          <w:szCs w:val="32"/>
        </w:rPr>
      </w:pPr>
      <w:r>
        <w:rPr>
          <w:rFonts w:eastAsia="楷体_GB2312"/>
          <w:kern w:val="0"/>
          <w:sz w:val="32"/>
          <w:szCs w:val="32"/>
        </w:rPr>
        <w:t>2</w:t>
      </w:r>
      <w:r>
        <w:rPr>
          <w:rFonts w:hint="eastAsia" w:eastAsia="楷体_GB2312"/>
          <w:kern w:val="0"/>
          <w:sz w:val="32"/>
          <w:szCs w:val="32"/>
        </w:rPr>
        <w:t>、总体框架</w:t>
      </w:r>
    </w:p>
    <w:p w14:paraId="40EBD08D">
      <w:pPr>
        <w:spacing w:line="560" w:lineRule="exact"/>
        <w:ind w:firstLine="640" w:firstLineChars="200"/>
        <w:rPr>
          <w:rFonts w:eastAsia="仿宋_GB2312"/>
          <w:sz w:val="32"/>
          <w:szCs w:val="32"/>
        </w:rPr>
      </w:pPr>
      <w:r>
        <w:rPr>
          <w:rFonts w:eastAsia="仿宋_GB2312"/>
          <w:sz w:val="32"/>
          <w:szCs w:val="32"/>
        </w:rPr>
        <w:drawing>
          <wp:anchor distT="0" distB="0" distL="114300" distR="114300" simplePos="0" relativeHeight="251660288" behindDoc="0" locked="0" layoutInCell="1" allowOverlap="1">
            <wp:simplePos x="0" y="0"/>
            <wp:positionH relativeFrom="column">
              <wp:posOffset>-441960</wp:posOffset>
            </wp:positionH>
            <wp:positionV relativeFrom="paragraph">
              <wp:posOffset>1210945</wp:posOffset>
            </wp:positionV>
            <wp:extent cx="6710045" cy="3678555"/>
            <wp:effectExtent l="0" t="0" r="0" b="0"/>
            <wp:wrapSquare wrapText="bothSides"/>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noChangeArrowheads="1"/>
                    </pic:cNvPicPr>
                  </pic:nvPicPr>
                  <pic:blipFill>
                    <a:blip r:embed="rId8"/>
                    <a:srcRect/>
                    <a:stretch>
                      <a:fillRect/>
                    </a:stretch>
                  </pic:blipFill>
                  <pic:spPr>
                    <a:xfrm>
                      <a:off x="0" y="0"/>
                      <a:ext cx="6710045" cy="3678555"/>
                    </a:xfrm>
                    <a:prstGeom prst="rect">
                      <a:avLst/>
                    </a:prstGeom>
                    <a:noFill/>
                    <a:ln w="9525" cmpd="sng">
                      <a:noFill/>
                      <a:miter lim="800000"/>
                      <a:headEnd/>
                      <a:tailEnd/>
                    </a:ln>
                  </pic:spPr>
                </pic:pic>
              </a:graphicData>
            </a:graphic>
          </wp:anchor>
        </w:drawing>
      </w:r>
      <w:r>
        <w:rPr>
          <w:rFonts w:hint="eastAsia" w:eastAsia="仿宋_GB2312"/>
          <w:sz w:val="32"/>
          <w:szCs w:val="32"/>
        </w:rPr>
        <w:t>本项目核心工作是将政治工作综合服务网进行</w:t>
      </w:r>
      <w:r>
        <w:rPr>
          <w:rFonts w:hint="eastAsia" w:eastAsia="仿宋_GB2312"/>
          <w:sz w:val="32"/>
          <w:szCs w:val="32"/>
          <w:lang w:eastAsia="zh-CN"/>
        </w:rPr>
        <w:t>XC</w:t>
      </w:r>
      <w:r>
        <w:rPr>
          <w:rFonts w:hint="eastAsia" w:eastAsia="仿宋_GB2312"/>
          <w:sz w:val="32"/>
          <w:szCs w:val="32"/>
        </w:rPr>
        <w:t>适配改造，不对软件的整体框架进行变动。保持原有框架，并新增部分业务功能。</w:t>
      </w:r>
    </w:p>
    <w:p w14:paraId="43E36C24">
      <w:pPr>
        <w:widowControl/>
        <w:adjustRightInd w:val="0"/>
        <w:snapToGrid w:val="0"/>
        <w:spacing w:line="560" w:lineRule="exact"/>
        <w:ind w:firstLine="624"/>
        <w:rPr>
          <w:rFonts w:eastAsia="楷体_GB2312"/>
          <w:kern w:val="0"/>
          <w:sz w:val="32"/>
          <w:szCs w:val="32"/>
          <w:u w:val="single"/>
        </w:rPr>
      </w:pPr>
      <w:r>
        <w:rPr>
          <w:rFonts w:eastAsia="楷体_GB2312"/>
          <w:kern w:val="0"/>
          <w:sz w:val="32"/>
          <w:szCs w:val="32"/>
        </w:rPr>
        <w:t>3</w:t>
      </w:r>
      <w:r>
        <w:rPr>
          <w:rFonts w:hint="eastAsia" w:eastAsia="楷体_GB2312"/>
          <w:kern w:val="0"/>
          <w:sz w:val="32"/>
          <w:szCs w:val="32"/>
        </w:rPr>
        <w:t>、功能和性能需求</w:t>
      </w:r>
    </w:p>
    <w:p w14:paraId="277B9FC8">
      <w:pPr>
        <w:spacing w:line="560" w:lineRule="exact"/>
        <w:ind w:firstLine="640" w:firstLineChars="200"/>
        <w:rPr>
          <w:rFonts w:eastAsia="楷体_GB2312"/>
          <w:sz w:val="32"/>
          <w:szCs w:val="32"/>
        </w:rPr>
      </w:pPr>
      <w:r>
        <w:rPr>
          <w:rFonts w:hint="eastAsia" w:eastAsia="楷体_GB2312"/>
          <w:sz w:val="32"/>
          <w:szCs w:val="32"/>
        </w:rPr>
        <w:t>（</w:t>
      </w:r>
      <w:r>
        <w:rPr>
          <w:rFonts w:eastAsia="楷体_GB2312"/>
          <w:sz w:val="32"/>
          <w:szCs w:val="32"/>
        </w:rPr>
        <w:t>1</w:t>
      </w:r>
      <w:r>
        <w:rPr>
          <w:rFonts w:hint="eastAsia" w:eastAsia="楷体_GB2312"/>
          <w:sz w:val="32"/>
          <w:szCs w:val="32"/>
        </w:rPr>
        <w:t>）</w:t>
      </w:r>
      <w:r>
        <w:rPr>
          <w:rFonts w:hint="eastAsia" w:eastAsia="楷体_GB2312"/>
          <w:sz w:val="32"/>
          <w:szCs w:val="32"/>
          <w:lang w:eastAsia="zh-CN"/>
        </w:rPr>
        <w:t>XC</w:t>
      </w:r>
      <w:r>
        <w:rPr>
          <w:rFonts w:hint="eastAsia" w:eastAsia="楷体_GB2312"/>
          <w:sz w:val="32"/>
          <w:szCs w:val="32"/>
        </w:rPr>
        <w:t>适配改造需求</w:t>
      </w:r>
    </w:p>
    <w:p w14:paraId="1A327212">
      <w:pPr>
        <w:numPr>
          <w:ilvl w:val="0"/>
          <w:numId w:val="1"/>
        </w:numPr>
        <w:spacing w:line="560" w:lineRule="exact"/>
        <w:ind w:left="0" w:firstLine="640" w:firstLineChars="200"/>
        <w:rPr>
          <w:rFonts w:eastAsia="仿宋_GB2312"/>
          <w:sz w:val="32"/>
          <w:szCs w:val="32"/>
        </w:rPr>
      </w:pPr>
      <w:r>
        <w:rPr>
          <w:rFonts w:hint="eastAsia" w:eastAsia="仿宋_GB2312"/>
          <w:sz w:val="32"/>
          <w:szCs w:val="32"/>
        </w:rPr>
        <w:t>现有民警管理业务子系统升级改造</w:t>
      </w:r>
    </w:p>
    <w:p w14:paraId="1E54EFAC">
      <w:pPr>
        <w:spacing w:line="560" w:lineRule="exact"/>
        <w:ind w:firstLine="640" w:firstLineChars="200"/>
        <w:rPr>
          <w:rFonts w:eastAsia="仿宋_GB2312"/>
          <w:sz w:val="32"/>
          <w:szCs w:val="32"/>
        </w:rPr>
      </w:pPr>
      <w:r>
        <w:rPr>
          <w:rFonts w:hint="eastAsia" w:eastAsia="仿宋_GB2312"/>
          <w:sz w:val="32"/>
          <w:szCs w:val="32"/>
        </w:rPr>
        <w:t>需在项目</w:t>
      </w:r>
      <w:r>
        <w:rPr>
          <w:rFonts w:hint="eastAsia" w:eastAsia="仿宋_GB2312"/>
          <w:sz w:val="32"/>
          <w:szCs w:val="32"/>
          <w:lang w:eastAsia="zh-CN"/>
        </w:rPr>
        <w:t>XC</w:t>
      </w:r>
      <w:r>
        <w:rPr>
          <w:rFonts w:hint="eastAsia" w:eastAsia="仿宋_GB2312"/>
          <w:sz w:val="32"/>
          <w:szCs w:val="32"/>
        </w:rPr>
        <w:t>适配迁移过程中完成迁移工作。智慧政工平台</w:t>
      </w:r>
      <w:r>
        <w:rPr>
          <w:rFonts w:hint="eastAsia" w:eastAsia="仿宋_GB2312"/>
          <w:sz w:val="32"/>
          <w:szCs w:val="32"/>
          <w:lang w:eastAsia="zh-CN"/>
        </w:rPr>
        <w:t>XC</w:t>
      </w:r>
      <w:r>
        <w:rPr>
          <w:rFonts w:hint="eastAsia" w:eastAsia="仿宋_GB2312"/>
          <w:sz w:val="32"/>
          <w:szCs w:val="32"/>
        </w:rPr>
        <w:t>适配工作，在软件层面还需对现有的系统进行框架代码层面上的适配改造，具体功能如下：</w:t>
      </w:r>
    </w:p>
    <w:tbl>
      <w:tblPr>
        <w:tblStyle w:val="23"/>
        <w:tblW w:w="8805" w:type="dxa"/>
        <w:tblInd w:w="93" w:type="dxa"/>
        <w:tblLayout w:type="autofit"/>
        <w:tblCellMar>
          <w:top w:w="0" w:type="dxa"/>
          <w:left w:w="108" w:type="dxa"/>
          <w:bottom w:w="0" w:type="dxa"/>
          <w:right w:w="108" w:type="dxa"/>
        </w:tblCellMar>
      </w:tblPr>
      <w:tblGrid>
        <w:gridCol w:w="2445"/>
        <w:gridCol w:w="6360"/>
      </w:tblGrid>
      <w:tr w14:paraId="4C4139C7">
        <w:trPr>
          <w:trHeight w:val="487"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63D171FA">
            <w:pPr>
              <w:widowControl/>
              <w:jc w:val="center"/>
              <w:textAlignment w:val="center"/>
              <w:rPr>
                <w:rFonts w:eastAsia="黑体"/>
                <w:color w:val="000000"/>
                <w:kern w:val="0"/>
                <w:sz w:val="20"/>
                <w:szCs w:val="20"/>
              </w:rPr>
            </w:pPr>
            <w:r>
              <w:rPr>
                <w:rFonts w:hint="eastAsia" w:hAnsi="黑体" w:eastAsia="黑体"/>
                <w:color w:val="000000"/>
                <w:kern w:val="0"/>
                <w:sz w:val="20"/>
                <w:szCs w:val="20"/>
              </w:rPr>
              <w:t>功能所属类别</w:t>
            </w:r>
          </w:p>
        </w:tc>
        <w:tc>
          <w:tcPr>
            <w:tcW w:w="6360" w:type="dxa"/>
            <w:tcBorders>
              <w:top w:val="single" w:color="000000" w:sz="4" w:space="0"/>
              <w:left w:val="single" w:color="000000" w:sz="4" w:space="0"/>
              <w:bottom w:val="single" w:color="000000" w:sz="4" w:space="0"/>
              <w:right w:val="single" w:color="000000" w:sz="4" w:space="0"/>
            </w:tcBorders>
            <w:vAlign w:val="center"/>
          </w:tcPr>
          <w:p w14:paraId="56BF7C36">
            <w:pPr>
              <w:widowControl/>
              <w:jc w:val="center"/>
              <w:textAlignment w:val="center"/>
              <w:rPr>
                <w:rFonts w:eastAsia="黑体"/>
                <w:color w:val="000000"/>
                <w:kern w:val="0"/>
                <w:sz w:val="20"/>
                <w:szCs w:val="20"/>
              </w:rPr>
            </w:pPr>
            <w:r>
              <w:rPr>
                <w:rFonts w:hint="eastAsia" w:hAnsi="黑体" w:eastAsia="黑体"/>
                <w:color w:val="000000"/>
                <w:kern w:val="0"/>
                <w:sz w:val="20"/>
                <w:szCs w:val="20"/>
              </w:rPr>
              <w:t>改造适配功能详情</w:t>
            </w:r>
          </w:p>
        </w:tc>
      </w:tr>
      <w:tr w14:paraId="75FE8032">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5621E747">
            <w:pPr>
              <w:widowControl/>
              <w:jc w:val="center"/>
              <w:textAlignment w:val="center"/>
              <w:rPr>
                <w:rFonts w:eastAsia="仿宋_GB2312"/>
                <w:color w:val="000000"/>
                <w:kern w:val="0"/>
                <w:sz w:val="20"/>
                <w:szCs w:val="20"/>
              </w:rPr>
            </w:pPr>
            <w:r>
              <w:rPr>
                <w:rFonts w:hint="eastAsia" w:eastAsia="仿宋_GB2312"/>
                <w:color w:val="000000"/>
                <w:kern w:val="0"/>
                <w:sz w:val="20"/>
                <w:szCs w:val="20"/>
              </w:rPr>
              <w:t>综合性工作</w:t>
            </w:r>
          </w:p>
        </w:tc>
        <w:tc>
          <w:tcPr>
            <w:tcW w:w="6360" w:type="dxa"/>
            <w:tcBorders>
              <w:top w:val="single" w:color="000000" w:sz="4" w:space="0"/>
              <w:left w:val="single" w:color="000000" w:sz="4" w:space="0"/>
              <w:bottom w:val="single" w:color="000000" w:sz="4" w:space="0"/>
              <w:right w:val="single" w:color="000000" w:sz="4" w:space="0"/>
            </w:tcBorders>
            <w:vAlign w:val="center"/>
          </w:tcPr>
          <w:p w14:paraId="368C82ED">
            <w:pPr>
              <w:widowControl/>
              <w:jc w:val="center"/>
              <w:textAlignment w:val="center"/>
              <w:rPr>
                <w:rFonts w:eastAsia="仿宋_GB2312"/>
                <w:color w:val="000000"/>
                <w:sz w:val="20"/>
                <w:szCs w:val="20"/>
              </w:rPr>
            </w:pPr>
            <w:r>
              <w:rPr>
                <w:rFonts w:hint="eastAsia" w:eastAsia="仿宋_GB2312"/>
                <w:color w:val="000000"/>
                <w:kern w:val="0"/>
                <w:sz w:val="20"/>
                <w:szCs w:val="20"/>
              </w:rPr>
              <w:t>主要对协同办公子系统进行适配改造</w:t>
            </w:r>
          </w:p>
        </w:tc>
      </w:tr>
      <w:tr w14:paraId="2BF4A605">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24A780D4">
            <w:pPr>
              <w:widowControl/>
              <w:jc w:val="center"/>
              <w:textAlignment w:val="center"/>
              <w:rPr>
                <w:rFonts w:eastAsia="仿宋_GB2312"/>
                <w:color w:val="000000"/>
                <w:kern w:val="0"/>
                <w:sz w:val="20"/>
                <w:szCs w:val="20"/>
              </w:rPr>
            </w:pPr>
            <w:r>
              <w:rPr>
                <w:rFonts w:hint="eastAsia" w:eastAsia="仿宋_GB2312"/>
                <w:color w:val="000000"/>
                <w:kern w:val="0"/>
                <w:sz w:val="20"/>
                <w:szCs w:val="20"/>
              </w:rPr>
              <w:t>网站群</w:t>
            </w:r>
          </w:p>
        </w:tc>
        <w:tc>
          <w:tcPr>
            <w:tcW w:w="6360" w:type="dxa"/>
            <w:tcBorders>
              <w:top w:val="single" w:color="000000" w:sz="4" w:space="0"/>
              <w:left w:val="single" w:color="000000" w:sz="4" w:space="0"/>
              <w:bottom w:val="single" w:color="000000" w:sz="4" w:space="0"/>
              <w:right w:val="single" w:color="000000" w:sz="4" w:space="0"/>
            </w:tcBorders>
            <w:vAlign w:val="center"/>
          </w:tcPr>
          <w:p w14:paraId="6CC6655B">
            <w:pPr>
              <w:widowControl/>
              <w:jc w:val="center"/>
              <w:textAlignment w:val="center"/>
              <w:rPr>
                <w:rFonts w:eastAsia="仿宋_GB2312"/>
                <w:color w:val="000000"/>
                <w:sz w:val="20"/>
                <w:szCs w:val="20"/>
              </w:rPr>
            </w:pPr>
            <w:r>
              <w:rPr>
                <w:rFonts w:hint="eastAsia" w:eastAsia="仿宋_GB2312"/>
                <w:color w:val="000000"/>
                <w:kern w:val="0"/>
                <w:sz w:val="20"/>
                <w:szCs w:val="20"/>
              </w:rPr>
              <w:t>主要对政治部网站群进行适配改造</w:t>
            </w:r>
          </w:p>
        </w:tc>
      </w:tr>
      <w:tr w14:paraId="1147B0C7">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00CDA273">
            <w:pPr>
              <w:widowControl/>
              <w:jc w:val="center"/>
              <w:textAlignment w:val="center"/>
              <w:rPr>
                <w:rFonts w:eastAsia="仿宋_GB2312"/>
                <w:color w:val="000000"/>
                <w:kern w:val="0"/>
                <w:sz w:val="20"/>
                <w:szCs w:val="20"/>
              </w:rPr>
            </w:pPr>
            <w:r>
              <w:rPr>
                <w:rFonts w:hint="eastAsia" w:eastAsia="仿宋_GB2312"/>
                <w:color w:val="000000"/>
                <w:kern w:val="0"/>
                <w:sz w:val="20"/>
                <w:szCs w:val="20"/>
              </w:rPr>
              <w:t>请假</w:t>
            </w:r>
          </w:p>
        </w:tc>
        <w:tc>
          <w:tcPr>
            <w:tcW w:w="6360" w:type="dxa"/>
            <w:tcBorders>
              <w:top w:val="single" w:color="000000" w:sz="4" w:space="0"/>
              <w:left w:val="single" w:color="000000" w:sz="4" w:space="0"/>
              <w:bottom w:val="single" w:color="000000" w:sz="4" w:space="0"/>
              <w:right w:val="single" w:color="000000" w:sz="4" w:space="0"/>
            </w:tcBorders>
            <w:vAlign w:val="center"/>
          </w:tcPr>
          <w:p w14:paraId="0231195E">
            <w:pPr>
              <w:widowControl/>
              <w:jc w:val="left"/>
              <w:textAlignment w:val="center"/>
              <w:rPr>
                <w:rFonts w:eastAsia="仿宋_GB2312"/>
                <w:color w:val="000000"/>
                <w:sz w:val="20"/>
                <w:szCs w:val="20"/>
              </w:rPr>
            </w:pPr>
            <w:r>
              <w:rPr>
                <w:rFonts w:hint="eastAsia" w:eastAsia="仿宋_GB2312"/>
                <w:color w:val="000000"/>
                <w:kern w:val="0"/>
                <w:sz w:val="20"/>
                <w:szCs w:val="20"/>
              </w:rPr>
              <w:t>改造范围包括：请假申请、请假管理、请假审核、请假统计分析等功能</w:t>
            </w:r>
          </w:p>
        </w:tc>
      </w:tr>
      <w:tr w14:paraId="6F0F23AC">
        <w:trPr>
          <w:trHeight w:val="63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07DEAFAA">
            <w:pPr>
              <w:widowControl/>
              <w:jc w:val="center"/>
              <w:textAlignment w:val="center"/>
              <w:rPr>
                <w:rFonts w:eastAsia="仿宋_GB2312"/>
                <w:color w:val="000000"/>
                <w:kern w:val="0"/>
                <w:sz w:val="20"/>
                <w:szCs w:val="20"/>
              </w:rPr>
            </w:pPr>
            <w:r>
              <w:rPr>
                <w:rFonts w:hint="eastAsia" w:eastAsia="仿宋_GB2312"/>
                <w:color w:val="000000"/>
                <w:kern w:val="0"/>
                <w:sz w:val="20"/>
                <w:szCs w:val="20"/>
              </w:rPr>
              <w:t>团建管理</w:t>
            </w:r>
          </w:p>
        </w:tc>
        <w:tc>
          <w:tcPr>
            <w:tcW w:w="6360" w:type="dxa"/>
            <w:tcBorders>
              <w:top w:val="single" w:color="000000" w:sz="4" w:space="0"/>
              <w:left w:val="single" w:color="000000" w:sz="4" w:space="0"/>
              <w:bottom w:val="single" w:color="000000" w:sz="4" w:space="0"/>
              <w:right w:val="single" w:color="000000" w:sz="4" w:space="0"/>
            </w:tcBorders>
            <w:vAlign w:val="center"/>
          </w:tcPr>
          <w:p w14:paraId="399D7B11">
            <w:pPr>
              <w:widowControl/>
              <w:jc w:val="left"/>
              <w:textAlignment w:val="center"/>
              <w:rPr>
                <w:rFonts w:eastAsia="仿宋_GB2312"/>
                <w:color w:val="000000"/>
                <w:sz w:val="20"/>
                <w:szCs w:val="20"/>
              </w:rPr>
            </w:pPr>
            <w:r>
              <w:rPr>
                <w:rFonts w:hint="eastAsia" w:eastAsia="仿宋_GB2312"/>
                <w:color w:val="000000"/>
                <w:kern w:val="0"/>
                <w:sz w:val="20"/>
                <w:szCs w:val="20"/>
              </w:rPr>
              <w:t>改造范围包括：团组织管理（团组织管理、团组织奖惩、青年集体奖励、年度计划、结对帮扶活动、组织生活、团费管理）、团员管理（团员管理、团员奖惩、青年个人奖励、团组织关系转出、团组织关系转入、团员发展）等功能</w:t>
            </w:r>
          </w:p>
        </w:tc>
      </w:tr>
      <w:tr w14:paraId="784921C1">
        <w:trPr>
          <w:trHeight w:val="63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75335D3E">
            <w:pPr>
              <w:widowControl/>
              <w:jc w:val="center"/>
              <w:textAlignment w:val="center"/>
              <w:rPr>
                <w:rFonts w:eastAsia="仿宋_GB2312"/>
                <w:color w:val="000000"/>
                <w:kern w:val="0"/>
                <w:sz w:val="20"/>
                <w:szCs w:val="20"/>
              </w:rPr>
            </w:pPr>
            <w:r>
              <w:rPr>
                <w:rFonts w:hint="eastAsia" w:eastAsia="仿宋_GB2312"/>
                <w:color w:val="000000"/>
                <w:kern w:val="0"/>
                <w:sz w:val="20"/>
                <w:szCs w:val="20"/>
              </w:rPr>
              <w:t>人事工作</w:t>
            </w:r>
          </w:p>
        </w:tc>
        <w:tc>
          <w:tcPr>
            <w:tcW w:w="6360" w:type="dxa"/>
            <w:tcBorders>
              <w:top w:val="single" w:color="000000" w:sz="4" w:space="0"/>
              <w:left w:val="single" w:color="000000" w:sz="4" w:space="0"/>
              <w:bottom w:val="single" w:color="000000" w:sz="4" w:space="0"/>
              <w:right w:val="single" w:color="000000" w:sz="4" w:space="0"/>
            </w:tcBorders>
            <w:vAlign w:val="center"/>
          </w:tcPr>
          <w:p w14:paraId="26D47BC6">
            <w:pPr>
              <w:widowControl/>
              <w:jc w:val="left"/>
              <w:textAlignment w:val="center"/>
              <w:rPr>
                <w:rFonts w:eastAsia="仿宋_GB2312"/>
                <w:color w:val="000000"/>
                <w:sz w:val="20"/>
                <w:szCs w:val="20"/>
              </w:rPr>
            </w:pPr>
            <w:r>
              <w:rPr>
                <w:rFonts w:hint="eastAsia" w:eastAsia="仿宋_GB2312"/>
                <w:color w:val="000000"/>
                <w:kern w:val="0"/>
                <w:sz w:val="20"/>
                <w:szCs w:val="20"/>
              </w:rPr>
              <w:t>改造范围包括：警衔晋升（警衔变动计算、警衔变动审核、警衔变动数据准备、警衔统计、月度警司变动计算、月度警司变动审核、月度警司变动数据准备、月度警司统计、警衔回填列表、警衔校验、警衔警戒配置、警衔命令下载）、公务员信息登记（待登记人员、登记管理、登记归档）、警察证（通知公告、自动生成名册、手动生成名册、制证名册、导出名册、已回填记录删除）、事项报告（事项报告管理、默认报告）等功能</w:t>
            </w:r>
          </w:p>
        </w:tc>
      </w:tr>
      <w:tr w14:paraId="2E61B983">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73E9DFC7">
            <w:pPr>
              <w:widowControl/>
              <w:jc w:val="center"/>
              <w:textAlignment w:val="center"/>
              <w:rPr>
                <w:rFonts w:eastAsia="仿宋_GB2312"/>
                <w:color w:val="000000"/>
                <w:kern w:val="0"/>
                <w:sz w:val="20"/>
                <w:szCs w:val="20"/>
              </w:rPr>
            </w:pPr>
            <w:r>
              <w:rPr>
                <w:rFonts w:hint="eastAsia" w:eastAsia="仿宋_GB2312"/>
                <w:color w:val="000000"/>
                <w:kern w:val="0"/>
                <w:sz w:val="20"/>
                <w:szCs w:val="20"/>
              </w:rPr>
              <w:t>机构编制工作</w:t>
            </w:r>
          </w:p>
        </w:tc>
        <w:tc>
          <w:tcPr>
            <w:tcW w:w="6360" w:type="dxa"/>
            <w:tcBorders>
              <w:top w:val="single" w:color="000000" w:sz="4" w:space="0"/>
              <w:left w:val="single" w:color="000000" w:sz="4" w:space="0"/>
              <w:bottom w:val="single" w:color="000000" w:sz="4" w:space="0"/>
              <w:right w:val="single" w:color="000000" w:sz="4" w:space="0"/>
            </w:tcBorders>
            <w:vAlign w:val="center"/>
          </w:tcPr>
          <w:p w14:paraId="1D4A4ED1">
            <w:pPr>
              <w:widowControl/>
              <w:jc w:val="left"/>
              <w:textAlignment w:val="center"/>
              <w:rPr>
                <w:rFonts w:eastAsia="仿宋_GB2312"/>
                <w:color w:val="000000"/>
                <w:sz w:val="20"/>
                <w:szCs w:val="20"/>
              </w:rPr>
            </w:pPr>
            <w:r>
              <w:rPr>
                <w:rFonts w:hint="eastAsia" w:eastAsia="仿宋_GB2312"/>
                <w:color w:val="000000"/>
                <w:kern w:val="0"/>
                <w:sz w:val="20"/>
                <w:szCs w:val="20"/>
              </w:rPr>
              <w:t>改造范围包括：编制机构（机构首页、新增、更名、撤销）、非编制机构（机构首页、新增、更名、撤销）、角色创建、角色用户配置、批量增加、批量修改等功能</w:t>
            </w:r>
          </w:p>
        </w:tc>
      </w:tr>
      <w:tr w14:paraId="295DA5BF">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0AAD2619">
            <w:pPr>
              <w:widowControl/>
              <w:jc w:val="center"/>
              <w:textAlignment w:val="center"/>
              <w:rPr>
                <w:rFonts w:eastAsia="仿宋_GB2312"/>
                <w:color w:val="000000"/>
                <w:kern w:val="0"/>
                <w:sz w:val="20"/>
                <w:szCs w:val="20"/>
              </w:rPr>
            </w:pPr>
            <w:r>
              <w:rPr>
                <w:rFonts w:hint="eastAsia" w:eastAsia="仿宋_GB2312"/>
                <w:color w:val="000000"/>
                <w:kern w:val="0"/>
                <w:sz w:val="20"/>
                <w:szCs w:val="20"/>
              </w:rPr>
              <w:t>警力调配</w:t>
            </w:r>
          </w:p>
        </w:tc>
        <w:tc>
          <w:tcPr>
            <w:tcW w:w="6360" w:type="dxa"/>
            <w:tcBorders>
              <w:top w:val="single" w:color="000000" w:sz="4" w:space="0"/>
              <w:left w:val="single" w:color="000000" w:sz="4" w:space="0"/>
              <w:bottom w:val="single" w:color="000000" w:sz="4" w:space="0"/>
              <w:right w:val="single" w:color="000000" w:sz="4" w:space="0"/>
            </w:tcBorders>
            <w:vAlign w:val="center"/>
          </w:tcPr>
          <w:p w14:paraId="63D088E1">
            <w:pPr>
              <w:widowControl/>
              <w:jc w:val="left"/>
              <w:textAlignment w:val="center"/>
              <w:rPr>
                <w:rFonts w:eastAsia="仿宋_GB2312"/>
                <w:color w:val="000000"/>
                <w:sz w:val="20"/>
                <w:szCs w:val="20"/>
              </w:rPr>
            </w:pPr>
            <w:r>
              <w:rPr>
                <w:rFonts w:hint="eastAsia" w:eastAsia="仿宋_GB2312"/>
                <w:color w:val="000000"/>
                <w:kern w:val="0"/>
                <w:sz w:val="20"/>
                <w:szCs w:val="20"/>
              </w:rPr>
              <w:t>改造范围包括：工作调动（单位内部调动、跨单位调动、调动配置）、减员管理、新进人员等功能</w:t>
            </w:r>
          </w:p>
        </w:tc>
      </w:tr>
      <w:tr w14:paraId="6AAD8981">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14377424">
            <w:pPr>
              <w:widowControl/>
              <w:jc w:val="center"/>
              <w:textAlignment w:val="center"/>
              <w:rPr>
                <w:rFonts w:eastAsia="仿宋_GB2312"/>
                <w:color w:val="000000"/>
                <w:kern w:val="0"/>
                <w:sz w:val="20"/>
                <w:szCs w:val="20"/>
              </w:rPr>
            </w:pPr>
            <w:r>
              <w:rPr>
                <w:rFonts w:hint="eastAsia" w:eastAsia="仿宋_GB2312"/>
                <w:color w:val="000000"/>
                <w:kern w:val="0"/>
                <w:sz w:val="20"/>
                <w:szCs w:val="20"/>
              </w:rPr>
              <w:t>福利优抚工作</w:t>
            </w:r>
          </w:p>
        </w:tc>
        <w:tc>
          <w:tcPr>
            <w:tcW w:w="6360" w:type="dxa"/>
            <w:tcBorders>
              <w:top w:val="single" w:color="000000" w:sz="4" w:space="0"/>
              <w:left w:val="single" w:color="000000" w:sz="4" w:space="0"/>
              <w:bottom w:val="single" w:color="000000" w:sz="4" w:space="0"/>
              <w:right w:val="single" w:color="000000" w:sz="4" w:space="0"/>
            </w:tcBorders>
            <w:vAlign w:val="center"/>
          </w:tcPr>
          <w:p w14:paraId="2BF5BFF6">
            <w:pPr>
              <w:widowControl/>
              <w:jc w:val="left"/>
              <w:textAlignment w:val="center"/>
              <w:rPr>
                <w:rFonts w:eastAsia="仿宋_GB2312"/>
                <w:color w:val="000000"/>
                <w:sz w:val="20"/>
                <w:szCs w:val="20"/>
              </w:rPr>
            </w:pPr>
            <w:r>
              <w:rPr>
                <w:rFonts w:hint="eastAsia" w:eastAsia="仿宋_GB2312"/>
                <w:color w:val="000000"/>
                <w:kern w:val="0"/>
                <w:sz w:val="20"/>
                <w:szCs w:val="20"/>
              </w:rPr>
              <w:t>改造范围包括：疗休养、福利优抚、即时慰问、因公负伤、抚恤金、过渡住房、就医协助等功能</w:t>
            </w:r>
          </w:p>
        </w:tc>
      </w:tr>
      <w:tr w14:paraId="0F76DE6C">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2061F742">
            <w:pPr>
              <w:widowControl/>
              <w:jc w:val="center"/>
              <w:textAlignment w:val="center"/>
              <w:rPr>
                <w:rFonts w:eastAsia="仿宋_GB2312"/>
                <w:color w:val="000000"/>
                <w:kern w:val="0"/>
                <w:sz w:val="20"/>
                <w:szCs w:val="20"/>
              </w:rPr>
            </w:pPr>
            <w:r>
              <w:rPr>
                <w:rFonts w:hint="eastAsia" w:eastAsia="仿宋_GB2312"/>
                <w:color w:val="000000"/>
                <w:kern w:val="0"/>
                <w:sz w:val="20"/>
                <w:szCs w:val="20"/>
              </w:rPr>
              <w:t>因私出国（境）</w:t>
            </w:r>
          </w:p>
        </w:tc>
        <w:tc>
          <w:tcPr>
            <w:tcW w:w="6360" w:type="dxa"/>
            <w:tcBorders>
              <w:top w:val="single" w:color="000000" w:sz="4" w:space="0"/>
              <w:left w:val="single" w:color="000000" w:sz="4" w:space="0"/>
              <w:bottom w:val="single" w:color="000000" w:sz="4" w:space="0"/>
              <w:right w:val="single" w:color="000000" w:sz="4" w:space="0"/>
            </w:tcBorders>
            <w:vAlign w:val="center"/>
          </w:tcPr>
          <w:p w14:paraId="5F1948A3">
            <w:pPr>
              <w:widowControl/>
              <w:jc w:val="left"/>
              <w:textAlignment w:val="center"/>
              <w:rPr>
                <w:rFonts w:eastAsia="仿宋_GB2312"/>
                <w:color w:val="000000"/>
                <w:sz w:val="20"/>
                <w:szCs w:val="20"/>
              </w:rPr>
            </w:pPr>
            <w:r>
              <w:rPr>
                <w:rFonts w:hint="eastAsia" w:eastAsia="仿宋_GB2312"/>
                <w:color w:val="000000"/>
                <w:kern w:val="0"/>
                <w:sz w:val="20"/>
                <w:szCs w:val="20"/>
              </w:rPr>
              <w:t>改造范围包括：我的申请、我的待办、我的查询、我的管理等功能</w:t>
            </w:r>
          </w:p>
        </w:tc>
      </w:tr>
      <w:tr w14:paraId="332078CD">
        <w:trPr>
          <w:trHeight w:val="302"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0DD2C9BD">
            <w:pPr>
              <w:widowControl/>
              <w:jc w:val="center"/>
              <w:textAlignment w:val="center"/>
              <w:rPr>
                <w:rFonts w:eastAsia="仿宋_GB2312"/>
                <w:color w:val="000000"/>
                <w:kern w:val="0"/>
                <w:sz w:val="20"/>
                <w:szCs w:val="20"/>
              </w:rPr>
            </w:pPr>
            <w:r>
              <w:rPr>
                <w:rFonts w:hint="eastAsia" w:eastAsia="仿宋_GB2312"/>
                <w:color w:val="000000"/>
                <w:kern w:val="0"/>
                <w:sz w:val="20"/>
                <w:szCs w:val="20"/>
              </w:rPr>
              <w:t>宣传工作</w:t>
            </w:r>
          </w:p>
        </w:tc>
        <w:tc>
          <w:tcPr>
            <w:tcW w:w="6360" w:type="dxa"/>
            <w:tcBorders>
              <w:top w:val="single" w:color="000000" w:sz="4" w:space="0"/>
              <w:left w:val="single" w:color="000000" w:sz="4" w:space="0"/>
              <w:bottom w:val="single" w:color="000000" w:sz="4" w:space="0"/>
              <w:right w:val="single" w:color="000000" w:sz="4" w:space="0"/>
            </w:tcBorders>
            <w:vAlign w:val="center"/>
          </w:tcPr>
          <w:p w14:paraId="5FB48774">
            <w:pPr>
              <w:widowControl/>
              <w:jc w:val="left"/>
              <w:textAlignment w:val="center"/>
              <w:rPr>
                <w:rFonts w:eastAsia="仿宋_GB2312"/>
                <w:color w:val="000000"/>
                <w:sz w:val="20"/>
                <w:szCs w:val="20"/>
              </w:rPr>
            </w:pPr>
            <w:r>
              <w:rPr>
                <w:rFonts w:hint="eastAsia" w:eastAsia="仿宋_GB2312"/>
                <w:color w:val="000000"/>
                <w:kern w:val="0"/>
                <w:sz w:val="20"/>
                <w:szCs w:val="20"/>
              </w:rPr>
              <w:t>改造范围包括：表彰奖励（个人表彰奖励、集体表彰奖励、表彰奖励配置、表彰奖励查询）、典型库、外宣稿件（外宣稿件申报、外宣稿件审核、通知公告、个人公告、已处理稿件）、案例库（优秀案例申报、审核、管理、共享交流、工作简报申报、工作简报审核）等功能</w:t>
            </w:r>
          </w:p>
        </w:tc>
      </w:tr>
      <w:tr w14:paraId="23580EC3">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0E814F74">
            <w:pPr>
              <w:widowControl/>
              <w:jc w:val="center"/>
              <w:textAlignment w:val="center"/>
              <w:rPr>
                <w:rFonts w:eastAsia="仿宋_GB2312"/>
                <w:color w:val="000000"/>
                <w:kern w:val="0"/>
                <w:sz w:val="20"/>
                <w:szCs w:val="20"/>
              </w:rPr>
            </w:pPr>
            <w:r>
              <w:rPr>
                <w:rFonts w:hint="eastAsia" w:eastAsia="仿宋_GB2312"/>
                <w:color w:val="000000"/>
                <w:kern w:val="0"/>
                <w:sz w:val="20"/>
                <w:szCs w:val="20"/>
              </w:rPr>
              <w:t>干部工作</w:t>
            </w:r>
          </w:p>
        </w:tc>
        <w:tc>
          <w:tcPr>
            <w:tcW w:w="6360" w:type="dxa"/>
            <w:tcBorders>
              <w:top w:val="single" w:color="000000" w:sz="4" w:space="0"/>
              <w:left w:val="single" w:color="000000" w:sz="4" w:space="0"/>
              <w:bottom w:val="single" w:color="000000" w:sz="4" w:space="0"/>
              <w:right w:val="single" w:color="000000" w:sz="4" w:space="0"/>
            </w:tcBorders>
            <w:vAlign w:val="center"/>
          </w:tcPr>
          <w:p w14:paraId="3F6B4D11">
            <w:pPr>
              <w:widowControl/>
              <w:jc w:val="left"/>
              <w:textAlignment w:val="center"/>
              <w:rPr>
                <w:rFonts w:eastAsia="仿宋_GB2312"/>
                <w:color w:val="000000"/>
                <w:kern w:val="0"/>
                <w:sz w:val="20"/>
                <w:szCs w:val="20"/>
              </w:rPr>
            </w:pPr>
            <w:r>
              <w:rPr>
                <w:rFonts w:hint="eastAsia" w:eastAsia="仿宋_GB2312"/>
                <w:color w:val="000000"/>
                <w:kern w:val="0"/>
                <w:sz w:val="20"/>
                <w:szCs w:val="20"/>
              </w:rPr>
              <w:t>改造范围包括：后备干部（管理、统计、查询）、实践锻炼（管理、统计、评价）、一报告两评议（账号管理、评议管理、情况汇总、干部选拔评议、明细统计）等功能</w:t>
            </w:r>
          </w:p>
        </w:tc>
      </w:tr>
      <w:tr w14:paraId="10B1C12C">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1EF45A9A">
            <w:pPr>
              <w:widowControl/>
              <w:jc w:val="center"/>
              <w:textAlignment w:val="center"/>
              <w:rPr>
                <w:rFonts w:eastAsia="仿宋_GB2312"/>
                <w:color w:val="000000"/>
                <w:kern w:val="0"/>
                <w:sz w:val="20"/>
                <w:szCs w:val="20"/>
              </w:rPr>
            </w:pPr>
            <w:r>
              <w:rPr>
                <w:rFonts w:hint="eastAsia" w:eastAsia="仿宋_GB2312"/>
                <w:color w:val="000000"/>
                <w:kern w:val="0"/>
                <w:sz w:val="20"/>
                <w:szCs w:val="20"/>
              </w:rPr>
              <w:t>党建管理</w:t>
            </w:r>
          </w:p>
        </w:tc>
        <w:tc>
          <w:tcPr>
            <w:tcW w:w="6360" w:type="dxa"/>
            <w:tcBorders>
              <w:top w:val="single" w:color="000000" w:sz="4" w:space="0"/>
              <w:left w:val="single" w:color="000000" w:sz="4" w:space="0"/>
              <w:bottom w:val="single" w:color="000000" w:sz="4" w:space="0"/>
              <w:right w:val="single" w:color="000000" w:sz="4" w:space="0"/>
            </w:tcBorders>
            <w:vAlign w:val="center"/>
          </w:tcPr>
          <w:p w14:paraId="0A4BA84A">
            <w:pPr>
              <w:widowControl/>
              <w:jc w:val="left"/>
              <w:textAlignment w:val="center"/>
              <w:rPr>
                <w:rFonts w:eastAsia="仿宋_GB2312"/>
                <w:color w:val="000000"/>
                <w:kern w:val="0"/>
                <w:sz w:val="20"/>
                <w:szCs w:val="20"/>
              </w:rPr>
            </w:pPr>
            <w:r>
              <w:rPr>
                <w:rFonts w:hint="eastAsia" w:eastAsia="仿宋_GB2312"/>
                <w:color w:val="000000"/>
                <w:kern w:val="0"/>
                <w:sz w:val="20"/>
                <w:szCs w:val="20"/>
              </w:rPr>
              <w:t>改造范围包括：党组织管理、党员管理、人员管理、信息上报等功能</w:t>
            </w:r>
          </w:p>
        </w:tc>
      </w:tr>
      <w:tr w14:paraId="28BD6365">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6BF665C7">
            <w:pPr>
              <w:widowControl/>
              <w:jc w:val="center"/>
              <w:textAlignment w:val="center"/>
              <w:rPr>
                <w:rFonts w:eastAsia="仿宋_GB2312"/>
                <w:color w:val="000000"/>
                <w:kern w:val="0"/>
                <w:sz w:val="20"/>
                <w:szCs w:val="20"/>
              </w:rPr>
            </w:pPr>
            <w:r>
              <w:rPr>
                <w:rFonts w:hint="eastAsia" w:eastAsia="仿宋_GB2312"/>
                <w:color w:val="000000"/>
                <w:kern w:val="0"/>
                <w:sz w:val="20"/>
                <w:szCs w:val="20"/>
              </w:rPr>
              <w:t>工会模块</w:t>
            </w:r>
          </w:p>
        </w:tc>
        <w:tc>
          <w:tcPr>
            <w:tcW w:w="6360" w:type="dxa"/>
            <w:tcBorders>
              <w:top w:val="single" w:color="000000" w:sz="4" w:space="0"/>
              <w:left w:val="single" w:color="000000" w:sz="4" w:space="0"/>
              <w:bottom w:val="single" w:color="000000" w:sz="4" w:space="0"/>
              <w:right w:val="single" w:color="000000" w:sz="4" w:space="0"/>
            </w:tcBorders>
            <w:vAlign w:val="center"/>
          </w:tcPr>
          <w:p w14:paraId="2C3F6DB5">
            <w:pPr>
              <w:widowControl/>
              <w:jc w:val="left"/>
              <w:textAlignment w:val="center"/>
              <w:rPr>
                <w:rFonts w:eastAsia="仿宋_GB2312"/>
                <w:color w:val="000000"/>
                <w:kern w:val="0"/>
                <w:sz w:val="20"/>
                <w:szCs w:val="20"/>
              </w:rPr>
            </w:pPr>
            <w:r>
              <w:rPr>
                <w:rFonts w:hint="eastAsia" w:eastAsia="仿宋_GB2312"/>
                <w:color w:val="000000"/>
                <w:kern w:val="0"/>
                <w:sz w:val="20"/>
                <w:szCs w:val="20"/>
              </w:rPr>
              <w:t>改造范围包括：工会管理（我的公会、活动发布）功能</w:t>
            </w:r>
          </w:p>
        </w:tc>
      </w:tr>
      <w:tr w14:paraId="4A056F3D">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6C5D8264">
            <w:pPr>
              <w:widowControl/>
              <w:jc w:val="center"/>
              <w:textAlignment w:val="center"/>
              <w:rPr>
                <w:rFonts w:eastAsia="仿宋_GB2312"/>
                <w:color w:val="000000"/>
                <w:kern w:val="0"/>
                <w:sz w:val="20"/>
                <w:szCs w:val="20"/>
              </w:rPr>
            </w:pPr>
            <w:r>
              <w:rPr>
                <w:rFonts w:hint="eastAsia" w:eastAsia="仿宋_GB2312"/>
                <w:color w:val="000000"/>
                <w:kern w:val="0"/>
                <w:sz w:val="20"/>
                <w:szCs w:val="20"/>
              </w:rPr>
              <w:t>警营文化</w:t>
            </w:r>
          </w:p>
        </w:tc>
        <w:tc>
          <w:tcPr>
            <w:tcW w:w="6360" w:type="dxa"/>
            <w:tcBorders>
              <w:top w:val="single" w:color="000000" w:sz="4" w:space="0"/>
              <w:left w:val="single" w:color="000000" w:sz="4" w:space="0"/>
              <w:bottom w:val="single" w:color="000000" w:sz="4" w:space="0"/>
              <w:right w:val="single" w:color="000000" w:sz="4" w:space="0"/>
            </w:tcBorders>
            <w:vAlign w:val="center"/>
          </w:tcPr>
          <w:p w14:paraId="3508F353">
            <w:pPr>
              <w:widowControl/>
              <w:jc w:val="left"/>
              <w:textAlignment w:val="center"/>
              <w:rPr>
                <w:rFonts w:eastAsia="仿宋_GB2312"/>
                <w:color w:val="000000"/>
                <w:kern w:val="0"/>
                <w:sz w:val="20"/>
                <w:szCs w:val="20"/>
              </w:rPr>
            </w:pPr>
            <w:r>
              <w:rPr>
                <w:rFonts w:hint="eastAsia" w:eastAsia="仿宋_GB2312"/>
                <w:color w:val="000000"/>
                <w:kern w:val="0"/>
                <w:sz w:val="20"/>
                <w:szCs w:val="20"/>
              </w:rPr>
              <w:t>改造范围包括：网上公博馆（实物征集，包括我要捐赠、审核、捐赠管理）、文博资源（录入、展示、人才管理、人才录入）、书刊社（《人民警察》投稿，包括我的投稿、投稿审核、本单位投稿信息、编辑单位关联设置、各单位投发稿统计、本单位投发稿统计）等功能</w:t>
            </w:r>
          </w:p>
        </w:tc>
      </w:tr>
      <w:tr w14:paraId="5123AE70">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140FE4E2">
            <w:pPr>
              <w:widowControl/>
              <w:jc w:val="center"/>
              <w:textAlignment w:val="center"/>
              <w:rPr>
                <w:rFonts w:eastAsia="仿宋_GB2312"/>
                <w:color w:val="000000"/>
                <w:kern w:val="0"/>
                <w:sz w:val="20"/>
                <w:szCs w:val="20"/>
              </w:rPr>
            </w:pPr>
            <w:r>
              <w:rPr>
                <w:rFonts w:hint="eastAsia" w:eastAsia="仿宋_GB2312"/>
                <w:color w:val="000000"/>
                <w:kern w:val="0"/>
                <w:sz w:val="20"/>
                <w:szCs w:val="20"/>
              </w:rPr>
              <w:t>离退休工作</w:t>
            </w:r>
          </w:p>
        </w:tc>
        <w:tc>
          <w:tcPr>
            <w:tcW w:w="6360" w:type="dxa"/>
            <w:tcBorders>
              <w:top w:val="single" w:color="000000" w:sz="4" w:space="0"/>
              <w:left w:val="single" w:color="000000" w:sz="4" w:space="0"/>
              <w:bottom w:val="single" w:color="000000" w:sz="4" w:space="0"/>
              <w:right w:val="single" w:color="000000" w:sz="4" w:space="0"/>
            </w:tcBorders>
            <w:vAlign w:val="center"/>
          </w:tcPr>
          <w:p w14:paraId="6836E6E6">
            <w:pPr>
              <w:widowControl/>
              <w:jc w:val="left"/>
              <w:textAlignment w:val="center"/>
              <w:rPr>
                <w:rFonts w:eastAsia="仿宋_GB2312"/>
                <w:color w:val="000000"/>
                <w:kern w:val="0"/>
                <w:sz w:val="20"/>
                <w:szCs w:val="20"/>
              </w:rPr>
            </w:pPr>
            <w:r>
              <w:rPr>
                <w:rFonts w:hint="eastAsia" w:eastAsia="仿宋_GB2312"/>
                <w:color w:val="000000"/>
                <w:kern w:val="0"/>
                <w:sz w:val="20"/>
                <w:szCs w:val="20"/>
              </w:rPr>
              <w:t>改造范围包括：基础信息管理、出国境管理、福利优抚等功能</w:t>
            </w:r>
          </w:p>
        </w:tc>
      </w:tr>
      <w:tr w14:paraId="7301C625">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5EF5E09F">
            <w:pPr>
              <w:widowControl/>
              <w:jc w:val="center"/>
              <w:textAlignment w:val="center"/>
              <w:rPr>
                <w:rFonts w:eastAsia="仿宋_GB2312"/>
                <w:color w:val="000000"/>
                <w:kern w:val="0"/>
                <w:sz w:val="20"/>
                <w:szCs w:val="20"/>
              </w:rPr>
            </w:pPr>
            <w:r>
              <w:rPr>
                <w:rFonts w:hint="eastAsia" w:eastAsia="仿宋_GB2312"/>
                <w:color w:val="000000"/>
                <w:kern w:val="0"/>
                <w:sz w:val="20"/>
                <w:szCs w:val="20"/>
              </w:rPr>
              <w:t>妇委会工作</w:t>
            </w:r>
          </w:p>
        </w:tc>
        <w:tc>
          <w:tcPr>
            <w:tcW w:w="6360" w:type="dxa"/>
            <w:tcBorders>
              <w:top w:val="single" w:color="000000" w:sz="4" w:space="0"/>
              <w:left w:val="single" w:color="000000" w:sz="4" w:space="0"/>
              <w:bottom w:val="single" w:color="000000" w:sz="4" w:space="0"/>
              <w:right w:val="single" w:color="000000" w:sz="4" w:space="0"/>
            </w:tcBorders>
            <w:vAlign w:val="center"/>
          </w:tcPr>
          <w:p w14:paraId="60ABF29D">
            <w:pPr>
              <w:widowControl/>
              <w:jc w:val="left"/>
              <w:textAlignment w:val="center"/>
              <w:rPr>
                <w:rFonts w:eastAsia="仿宋_GB2312"/>
                <w:color w:val="000000"/>
                <w:kern w:val="0"/>
                <w:sz w:val="20"/>
                <w:szCs w:val="20"/>
              </w:rPr>
            </w:pPr>
            <w:r>
              <w:rPr>
                <w:rFonts w:hint="eastAsia" w:eastAsia="仿宋_GB2312"/>
                <w:color w:val="000000"/>
                <w:kern w:val="0"/>
                <w:sz w:val="20"/>
                <w:szCs w:val="20"/>
              </w:rPr>
              <w:t>改造范围包括：妇委会(妇女组织、组织成员、个人表彰、集体表彰、数据统计、分类信息申报、分类信息审批、通知公告)功能</w:t>
            </w:r>
          </w:p>
        </w:tc>
      </w:tr>
      <w:tr w14:paraId="063AEFC3">
        <w:trPr>
          <w:trHeight w:val="604"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5CBA1333">
            <w:pPr>
              <w:widowControl/>
              <w:jc w:val="center"/>
              <w:textAlignment w:val="center"/>
              <w:rPr>
                <w:rFonts w:eastAsia="仿宋_GB2312"/>
                <w:color w:val="000000"/>
                <w:kern w:val="0"/>
                <w:sz w:val="20"/>
                <w:szCs w:val="20"/>
              </w:rPr>
            </w:pPr>
            <w:r>
              <w:rPr>
                <w:rFonts w:hint="eastAsia" w:eastAsia="仿宋_GB2312"/>
                <w:color w:val="000000"/>
                <w:kern w:val="0"/>
                <w:sz w:val="20"/>
                <w:szCs w:val="20"/>
              </w:rPr>
              <w:t>基金会</w:t>
            </w:r>
          </w:p>
        </w:tc>
        <w:tc>
          <w:tcPr>
            <w:tcW w:w="6360" w:type="dxa"/>
            <w:tcBorders>
              <w:top w:val="single" w:color="000000" w:sz="4" w:space="0"/>
              <w:left w:val="single" w:color="000000" w:sz="4" w:space="0"/>
              <w:bottom w:val="single" w:color="000000" w:sz="4" w:space="0"/>
              <w:right w:val="single" w:color="000000" w:sz="4" w:space="0"/>
            </w:tcBorders>
            <w:vAlign w:val="center"/>
          </w:tcPr>
          <w:p w14:paraId="5C9B70B0">
            <w:pPr>
              <w:widowControl/>
              <w:jc w:val="left"/>
              <w:textAlignment w:val="center"/>
              <w:rPr>
                <w:rFonts w:eastAsia="仿宋_GB2312"/>
                <w:color w:val="000000"/>
                <w:kern w:val="0"/>
                <w:sz w:val="20"/>
                <w:szCs w:val="20"/>
              </w:rPr>
            </w:pPr>
            <w:r>
              <w:rPr>
                <w:rFonts w:hint="eastAsia" w:eastAsia="仿宋_GB2312"/>
                <w:color w:val="000000"/>
                <w:kern w:val="0"/>
                <w:sz w:val="20"/>
                <w:szCs w:val="20"/>
              </w:rPr>
              <w:t>改造范围包括：即时慰问（申报、管理、统计）、通知公告、反馈信息等功能</w:t>
            </w:r>
          </w:p>
        </w:tc>
      </w:tr>
      <w:tr w14:paraId="49EAAF8C">
        <w:trPr>
          <w:trHeight w:val="312" w:hRule="atLeast"/>
        </w:trPr>
        <w:tc>
          <w:tcPr>
            <w:tcW w:w="2445" w:type="dxa"/>
            <w:tcBorders>
              <w:top w:val="single" w:color="000000" w:sz="4" w:space="0"/>
              <w:left w:val="single" w:color="000000" w:sz="4" w:space="0"/>
              <w:bottom w:val="single" w:color="000000" w:sz="4" w:space="0"/>
              <w:right w:val="single" w:color="000000" w:sz="4" w:space="0"/>
            </w:tcBorders>
            <w:vAlign w:val="center"/>
          </w:tcPr>
          <w:p w14:paraId="109CB5C3">
            <w:pPr>
              <w:widowControl/>
              <w:jc w:val="center"/>
              <w:textAlignment w:val="center"/>
              <w:rPr>
                <w:rFonts w:eastAsia="仿宋_GB2312"/>
                <w:color w:val="000000"/>
                <w:kern w:val="0"/>
                <w:sz w:val="20"/>
                <w:szCs w:val="20"/>
              </w:rPr>
            </w:pPr>
            <w:r>
              <w:rPr>
                <w:rFonts w:hint="eastAsia" w:eastAsia="仿宋_GB2312"/>
                <w:color w:val="000000"/>
                <w:kern w:val="0"/>
                <w:sz w:val="20"/>
                <w:szCs w:val="20"/>
              </w:rPr>
              <w:t>教育训练工作</w:t>
            </w:r>
          </w:p>
        </w:tc>
        <w:tc>
          <w:tcPr>
            <w:tcW w:w="6360" w:type="dxa"/>
            <w:tcBorders>
              <w:top w:val="single" w:color="000000" w:sz="4" w:space="0"/>
              <w:left w:val="single" w:color="000000" w:sz="4" w:space="0"/>
              <w:bottom w:val="single" w:color="000000" w:sz="4" w:space="0"/>
              <w:right w:val="single" w:color="000000" w:sz="4" w:space="0"/>
            </w:tcBorders>
            <w:vAlign w:val="center"/>
          </w:tcPr>
          <w:p w14:paraId="121BDB1B">
            <w:pPr>
              <w:widowControl/>
              <w:jc w:val="left"/>
              <w:textAlignment w:val="center"/>
              <w:rPr>
                <w:rFonts w:eastAsia="仿宋_GB2312"/>
                <w:color w:val="000000"/>
                <w:kern w:val="0"/>
                <w:sz w:val="20"/>
                <w:szCs w:val="20"/>
              </w:rPr>
            </w:pPr>
            <w:r>
              <w:rPr>
                <w:rFonts w:hint="eastAsia" w:eastAsia="仿宋_GB2312"/>
                <w:color w:val="000000"/>
                <w:kern w:val="0"/>
                <w:sz w:val="20"/>
                <w:szCs w:val="20"/>
              </w:rPr>
              <w:t>改造范围包括：学习足迹、学习超市、学分银行、学习任务、培训管理、考试管理、基地管理、课程管理、师资管理、积分管理、标签管理、直播预约、练兵管理等功能</w:t>
            </w:r>
          </w:p>
        </w:tc>
      </w:tr>
    </w:tbl>
    <w:p w14:paraId="648AB16F">
      <w:pPr>
        <w:numPr>
          <w:ilvl w:val="0"/>
          <w:numId w:val="1"/>
        </w:numPr>
        <w:spacing w:line="560" w:lineRule="exact"/>
        <w:ind w:left="0" w:firstLine="640" w:firstLineChars="200"/>
        <w:rPr>
          <w:rFonts w:eastAsia="仿宋_GB2312"/>
          <w:sz w:val="32"/>
          <w:szCs w:val="32"/>
        </w:rPr>
      </w:pPr>
      <w:r>
        <w:rPr>
          <w:rFonts w:hint="eastAsia" w:ascii="Times New Roman" w:hAnsi="Times New Roman" w:eastAsia="仿宋_GB2312" w:cs="Times New Roman"/>
          <w:color w:val="auto"/>
          <w:kern w:val="2"/>
          <w:sz w:val="32"/>
          <w:szCs w:val="32"/>
        </w:rPr>
        <w:t>应用服务适配改造</w:t>
      </w:r>
    </w:p>
    <w:p w14:paraId="6F61AAE8">
      <w:pPr>
        <w:spacing w:line="560" w:lineRule="exact"/>
        <w:ind w:firstLine="640" w:firstLineChars="200"/>
        <w:rPr>
          <w:rFonts w:eastAsia="仿宋_GB2312"/>
          <w:sz w:val="32"/>
          <w:szCs w:val="32"/>
        </w:rPr>
      </w:pPr>
      <w:r>
        <w:rPr>
          <w:rFonts w:hint="eastAsia" w:ascii="Times New Roman" w:hAnsi="Times New Roman" w:eastAsia="仿宋_GB2312" w:cs="Times New Roman"/>
          <w:color w:val="auto"/>
          <w:kern w:val="2"/>
          <w:sz w:val="32"/>
          <w:szCs w:val="32"/>
        </w:rPr>
        <w:t>缓存服务支撑组件改造。提供统一的缓存服务，并直接封装</w:t>
      </w:r>
      <w:r>
        <w:rPr>
          <w:rFonts w:ascii="Times New Roman" w:hAnsi="Times New Roman" w:eastAsia="仿宋_GB2312" w:cs="Times New Roman"/>
          <w:color w:val="auto"/>
          <w:kern w:val="2"/>
          <w:sz w:val="32"/>
          <w:szCs w:val="32"/>
        </w:rPr>
        <w:t>SDK</w:t>
      </w:r>
      <w:r>
        <w:rPr>
          <w:rFonts w:hint="eastAsia" w:ascii="Times New Roman" w:hAnsi="Times New Roman" w:eastAsia="仿宋_GB2312" w:cs="Times New Roman"/>
          <w:color w:val="auto"/>
          <w:kern w:val="2"/>
          <w:sz w:val="32"/>
          <w:szCs w:val="32"/>
        </w:rPr>
        <w:t>，供各类应用系统使用。提供多数据库的登记管理，将数据库编号与应用系统关联起来，应用系统在调用缓存时，自动对应到指定的缓存数据库，并且提供数据缓存监控</w:t>
      </w:r>
      <w:r>
        <w:rPr>
          <w:rFonts w:hint="eastAsia" w:eastAsia="仿宋_GB2312"/>
          <w:sz w:val="32"/>
          <w:szCs w:val="32"/>
        </w:rPr>
        <w:t>。</w:t>
      </w:r>
    </w:p>
    <w:p w14:paraId="17AC0600">
      <w:pPr>
        <w:spacing w:line="560" w:lineRule="exact"/>
        <w:ind w:firstLine="640" w:firstLineChars="20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日志服务支撑组件改造。</w:t>
      </w:r>
      <w:r>
        <w:rPr>
          <w:rFonts w:hint="eastAsia" w:eastAsia="仿宋_GB2312"/>
          <w:sz w:val="32"/>
          <w:szCs w:val="32"/>
        </w:rPr>
        <w:t>包括</w:t>
      </w:r>
      <w:r>
        <w:rPr>
          <w:rFonts w:hint="eastAsia" w:ascii="Times New Roman" w:hAnsi="Times New Roman" w:eastAsia="仿宋_GB2312" w:cs="Times New Roman"/>
          <w:color w:val="auto"/>
          <w:kern w:val="2"/>
          <w:sz w:val="32"/>
          <w:szCs w:val="32"/>
        </w:rPr>
        <w:t>对日志进行查看，通过日志服务的接口获取实时日志，并且通过大数据技术可以对日志进行快速分析。</w:t>
      </w:r>
    </w:p>
    <w:p w14:paraId="52001D6B">
      <w:pPr>
        <w:spacing w:line="560" w:lineRule="exact"/>
        <w:ind w:firstLine="640" w:firstLineChars="20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工作流程支撑组件改造。</w:t>
      </w:r>
      <w:r>
        <w:rPr>
          <w:rFonts w:hint="eastAsia" w:eastAsia="仿宋_GB2312"/>
          <w:sz w:val="32"/>
          <w:szCs w:val="32"/>
        </w:rPr>
        <w:t>包括</w:t>
      </w:r>
      <w:r>
        <w:rPr>
          <w:rFonts w:hint="eastAsia" w:ascii="Times New Roman" w:hAnsi="Times New Roman" w:eastAsia="仿宋_GB2312" w:cs="Times New Roman"/>
          <w:color w:val="auto"/>
          <w:kern w:val="2"/>
          <w:sz w:val="32"/>
          <w:szCs w:val="32"/>
        </w:rPr>
        <w:t>可视化工作流引擎、表单及文本编辑的功能，提供后台可定制流程支持，满足流程修改、删除、新增需要；对流程的调整和增加不需要重新开发，实现快速设置，快速使用；提供后台可定制表单支持，满足表单修改、删除、新增需要</w:t>
      </w:r>
    </w:p>
    <w:p w14:paraId="1D2DCC2E">
      <w:pPr>
        <w:spacing w:line="560" w:lineRule="exact"/>
        <w:ind w:firstLine="640" w:firstLineChars="200"/>
        <w:rPr>
          <w:rFonts w:eastAsia="仿宋_GB2312"/>
          <w:color w:val="auto"/>
          <w:kern w:val="2"/>
          <w:sz w:val="32"/>
          <w:szCs w:val="32"/>
        </w:rPr>
      </w:pPr>
      <w:r>
        <w:rPr>
          <w:rFonts w:hint="eastAsia" w:ascii="Times New Roman" w:hAnsi="Times New Roman" w:eastAsia="仿宋_GB2312" w:cs="Times New Roman"/>
          <w:color w:val="auto"/>
          <w:kern w:val="2"/>
          <w:sz w:val="32"/>
          <w:szCs w:val="32"/>
        </w:rPr>
        <w:t>数据迁移</w:t>
      </w:r>
      <w:r>
        <w:rPr>
          <w:rFonts w:hint="eastAsia" w:eastAsia="仿宋_GB2312"/>
          <w:sz w:val="32"/>
          <w:szCs w:val="32"/>
        </w:rPr>
        <w:t>包括</w:t>
      </w:r>
      <w:r>
        <w:rPr>
          <w:rFonts w:hint="eastAsia" w:ascii="Times New Roman" w:hAnsi="Times New Roman" w:eastAsia="仿宋_GB2312" w:cs="Times New Roman"/>
          <w:color w:val="auto"/>
          <w:kern w:val="2"/>
          <w:sz w:val="32"/>
          <w:szCs w:val="32"/>
        </w:rPr>
        <w:t>组织架构、用户、角色、权限、配置信息的数据迁移；民警管理业务子系统的业务数据迁移；数据迁移验证</w:t>
      </w:r>
      <w:r>
        <w:rPr>
          <w:rFonts w:hint="eastAsia" w:eastAsia="仿宋_GB2312"/>
          <w:sz w:val="32"/>
          <w:szCs w:val="32"/>
        </w:rPr>
        <w:t>。</w:t>
      </w:r>
    </w:p>
    <w:p w14:paraId="63AF3A05">
      <w:pPr>
        <w:numPr>
          <w:ilvl w:val="0"/>
          <w:numId w:val="1"/>
        </w:numPr>
        <w:spacing w:line="560" w:lineRule="exact"/>
        <w:ind w:left="0" w:firstLine="640" w:firstLineChars="200"/>
        <w:rPr>
          <w:rFonts w:eastAsia="仿宋_GB2312"/>
          <w:sz w:val="32"/>
          <w:szCs w:val="32"/>
        </w:rPr>
      </w:pPr>
      <w:r>
        <w:rPr>
          <w:rFonts w:hint="eastAsia" w:eastAsia="仿宋_GB2312"/>
          <w:sz w:val="32"/>
          <w:szCs w:val="32"/>
        </w:rPr>
        <w:t>适配改造、应用部署和数据迁移、适配验证，此项为建设工作基础要求，不包含在本项目报价中。</w:t>
      </w:r>
    </w:p>
    <w:p w14:paraId="65E8B758">
      <w:pPr>
        <w:spacing w:line="560" w:lineRule="exact"/>
        <w:ind w:firstLine="640" w:firstLineChars="200"/>
        <w:rPr>
          <w:rFonts w:eastAsia="仿宋_GB2312"/>
          <w:sz w:val="32"/>
          <w:szCs w:val="32"/>
        </w:rPr>
      </w:pPr>
      <w:r>
        <w:rPr>
          <w:rFonts w:hint="eastAsia" w:eastAsia="仿宋_GB2312"/>
          <w:sz w:val="32"/>
          <w:szCs w:val="32"/>
        </w:rPr>
        <w:t>需完成</w:t>
      </w:r>
      <w:r>
        <w:rPr>
          <w:rFonts w:hint="eastAsia" w:eastAsia="仿宋_GB2312"/>
          <w:sz w:val="32"/>
          <w:szCs w:val="32"/>
          <w:lang w:eastAsia="zh-CN"/>
        </w:rPr>
        <w:t>XC</w:t>
      </w:r>
      <w:r>
        <w:rPr>
          <w:rFonts w:hint="eastAsia" w:eastAsia="仿宋_GB2312"/>
          <w:sz w:val="32"/>
          <w:szCs w:val="32"/>
        </w:rPr>
        <w:t>客户端操作系统和不同种类浏览器的适配。</w:t>
      </w:r>
    </w:p>
    <w:p w14:paraId="675CC4E8">
      <w:pPr>
        <w:spacing w:line="560" w:lineRule="exact"/>
        <w:ind w:firstLine="640" w:firstLineChars="200"/>
        <w:rPr>
          <w:rFonts w:eastAsia="仿宋_GB2312"/>
          <w:sz w:val="32"/>
          <w:szCs w:val="32"/>
        </w:rPr>
      </w:pPr>
      <w:r>
        <w:rPr>
          <w:rFonts w:hint="eastAsia" w:eastAsia="仿宋_GB2312"/>
          <w:sz w:val="32"/>
          <w:szCs w:val="32"/>
        </w:rPr>
        <w:t>需适配</w:t>
      </w:r>
      <w:r>
        <w:rPr>
          <w:rFonts w:hint="eastAsia" w:eastAsia="仿宋_GB2312"/>
          <w:sz w:val="32"/>
          <w:szCs w:val="32"/>
          <w:lang w:eastAsia="zh-CN"/>
        </w:rPr>
        <w:t>XC</w:t>
      </w:r>
      <w:r>
        <w:rPr>
          <w:rFonts w:hint="eastAsia" w:eastAsia="仿宋_GB2312"/>
          <w:sz w:val="32"/>
          <w:szCs w:val="32"/>
        </w:rPr>
        <w:t>操作系统、适配</w:t>
      </w:r>
      <w:r>
        <w:rPr>
          <w:rFonts w:hint="eastAsia" w:eastAsia="仿宋_GB2312"/>
          <w:sz w:val="32"/>
          <w:szCs w:val="32"/>
          <w:lang w:eastAsia="zh-CN"/>
        </w:rPr>
        <w:t>XC</w:t>
      </w:r>
      <w:r>
        <w:rPr>
          <w:rFonts w:hint="eastAsia" w:eastAsia="仿宋_GB2312"/>
          <w:sz w:val="32"/>
          <w:szCs w:val="32"/>
        </w:rPr>
        <w:t>数据库、适配</w:t>
      </w:r>
      <w:r>
        <w:rPr>
          <w:rFonts w:hint="eastAsia" w:eastAsia="仿宋_GB2312"/>
          <w:sz w:val="32"/>
          <w:szCs w:val="32"/>
          <w:lang w:eastAsia="zh-CN"/>
        </w:rPr>
        <w:t>XC</w:t>
      </w:r>
      <w:r>
        <w:rPr>
          <w:rFonts w:hint="eastAsia" w:eastAsia="仿宋_GB2312"/>
          <w:sz w:val="32"/>
          <w:szCs w:val="32"/>
        </w:rPr>
        <w:t>中间件。需适配负载均衡、缓存存储服务等，适配</w:t>
      </w:r>
      <w:r>
        <w:rPr>
          <w:rFonts w:eastAsia="仿宋_GB2312"/>
          <w:sz w:val="32"/>
          <w:szCs w:val="32"/>
        </w:rPr>
        <w:t>SM2/SM3</w:t>
      </w:r>
      <w:r>
        <w:rPr>
          <w:rFonts w:hint="eastAsia" w:eastAsia="仿宋_GB2312"/>
          <w:sz w:val="32"/>
          <w:szCs w:val="32"/>
        </w:rPr>
        <w:t>加密算法改造，包括登录认证、数据存储加解密、请求响应加解密等。需提供应用部署、数据迁移、数据比对。</w:t>
      </w:r>
    </w:p>
    <w:p w14:paraId="02152A0F">
      <w:pPr>
        <w:spacing w:line="560" w:lineRule="exact"/>
        <w:ind w:firstLine="640" w:firstLineChars="200"/>
        <w:rPr>
          <w:rFonts w:eastAsia="仿宋_GB2312"/>
          <w:sz w:val="32"/>
          <w:szCs w:val="32"/>
        </w:rPr>
      </w:pPr>
      <w:r>
        <w:rPr>
          <w:rFonts w:hint="eastAsia" w:eastAsia="仿宋_GB2312"/>
          <w:sz w:val="32"/>
          <w:szCs w:val="32"/>
        </w:rPr>
        <w:t>原有上海公安政治工作综合服务网部署运行在非</w:t>
      </w:r>
      <w:r>
        <w:rPr>
          <w:rFonts w:hint="eastAsia" w:eastAsia="仿宋_GB2312"/>
          <w:sz w:val="32"/>
          <w:szCs w:val="32"/>
          <w:lang w:eastAsia="zh-CN"/>
        </w:rPr>
        <w:t>XC</w:t>
      </w:r>
      <w:r>
        <w:rPr>
          <w:rFonts w:hint="eastAsia" w:eastAsia="仿宋_GB2312"/>
          <w:sz w:val="32"/>
          <w:szCs w:val="32"/>
        </w:rPr>
        <w:t>环境中，其对操作系统、数据库、中间库、办公套件兼容性都较为良好，一旦迁移至</w:t>
      </w:r>
      <w:r>
        <w:rPr>
          <w:rFonts w:hint="eastAsia" w:eastAsia="仿宋_GB2312"/>
          <w:sz w:val="32"/>
          <w:szCs w:val="32"/>
          <w:lang w:eastAsia="zh-CN"/>
        </w:rPr>
        <w:t>XC</w:t>
      </w:r>
      <w:r>
        <w:rPr>
          <w:rFonts w:hint="eastAsia" w:eastAsia="仿宋_GB2312"/>
          <w:sz w:val="32"/>
          <w:szCs w:val="32"/>
        </w:rPr>
        <w:t>环境中，从系统的技术架构、功能、流程、接口都要进行适配改造，在经过应用迁移部署、数据迁移工作后，需要对部署在安全可靠环境中的系统进行全面的适配验证工作。</w:t>
      </w:r>
    </w:p>
    <w:p w14:paraId="3B38D928">
      <w:pPr>
        <w:spacing w:line="560" w:lineRule="exact"/>
        <w:ind w:firstLine="640" w:firstLineChars="200"/>
        <w:rPr>
          <w:rFonts w:eastAsia="仿宋_GB2312"/>
          <w:sz w:val="32"/>
          <w:szCs w:val="32"/>
        </w:rPr>
      </w:pPr>
      <w:r>
        <w:rPr>
          <w:rFonts w:hint="eastAsia" w:eastAsia="仿宋_GB2312"/>
          <w:sz w:val="32"/>
          <w:szCs w:val="32"/>
        </w:rPr>
        <w:t>为了保障迁移后智慧政工平台操作的流畅度，需对迁移后的智慧政工平台进行全面适配测试，对比迁移前后应用服务的特性功能是否几乎相同，并根据性能审核和健康检查的结果动态调整资源分配。</w:t>
      </w:r>
    </w:p>
    <w:p w14:paraId="0C51EF63">
      <w:pPr>
        <w:spacing w:line="560" w:lineRule="exact"/>
        <w:ind w:firstLine="640" w:firstLineChars="200"/>
        <w:rPr>
          <w:rFonts w:eastAsia="楷体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w:t>
      </w:r>
      <w:r>
        <w:rPr>
          <w:rFonts w:hint="eastAsia" w:eastAsia="楷体_GB2312"/>
          <w:sz w:val="32"/>
          <w:szCs w:val="32"/>
        </w:rPr>
        <w:t>系统功能升级需求</w:t>
      </w:r>
    </w:p>
    <w:p w14:paraId="7E1C4BDE">
      <w:pPr>
        <w:numPr>
          <w:ilvl w:val="0"/>
          <w:numId w:val="2"/>
        </w:numPr>
        <w:spacing w:line="560" w:lineRule="exact"/>
        <w:ind w:left="0" w:firstLine="640" w:firstLineChars="200"/>
        <w:rPr>
          <w:rFonts w:eastAsia="仿宋_GB2312"/>
          <w:sz w:val="32"/>
          <w:szCs w:val="32"/>
        </w:rPr>
      </w:pPr>
      <w:r>
        <w:rPr>
          <w:rFonts w:hint="eastAsia" w:eastAsia="仿宋_GB2312"/>
          <w:sz w:val="32"/>
          <w:szCs w:val="32"/>
        </w:rPr>
        <w:t>系统水印设置</w:t>
      </w:r>
    </w:p>
    <w:p w14:paraId="058EBD8F">
      <w:pPr>
        <w:spacing w:line="560" w:lineRule="exact"/>
        <w:ind w:firstLine="640" w:firstLineChars="200"/>
        <w:rPr>
          <w:rFonts w:eastAsia="仿宋_GB2312"/>
          <w:sz w:val="32"/>
          <w:szCs w:val="32"/>
        </w:rPr>
      </w:pPr>
      <w:r>
        <w:rPr>
          <w:rFonts w:hint="eastAsia" w:eastAsia="仿宋_GB2312"/>
          <w:sz w:val="32"/>
          <w:szCs w:val="32"/>
        </w:rPr>
        <w:t>需在系统中增加水印，具体水印内容可灵活配置。</w:t>
      </w:r>
    </w:p>
    <w:p w14:paraId="242B39F3">
      <w:pPr>
        <w:numPr>
          <w:ilvl w:val="0"/>
          <w:numId w:val="2"/>
        </w:numPr>
        <w:spacing w:line="560" w:lineRule="exact"/>
        <w:ind w:left="0" w:firstLine="640" w:firstLineChars="200"/>
        <w:rPr>
          <w:rFonts w:eastAsia="仿宋_GB2312"/>
          <w:sz w:val="32"/>
          <w:szCs w:val="32"/>
        </w:rPr>
      </w:pPr>
      <w:r>
        <w:rPr>
          <w:rFonts w:hint="eastAsia" w:eastAsia="仿宋_GB2312"/>
          <w:sz w:val="32"/>
          <w:szCs w:val="32"/>
        </w:rPr>
        <w:t>民警平时考核</w:t>
      </w:r>
    </w:p>
    <w:p w14:paraId="69DA80A3">
      <w:pPr>
        <w:spacing w:line="560" w:lineRule="exact"/>
        <w:ind w:firstLine="640" w:firstLineChars="200"/>
        <w:rPr>
          <w:rFonts w:eastAsia="仿宋_GB2312"/>
          <w:sz w:val="32"/>
          <w:szCs w:val="32"/>
        </w:rPr>
      </w:pPr>
      <w:r>
        <w:rPr>
          <w:rFonts w:hint="eastAsia" w:eastAsia="仿宋_GB2312"/>
          <w:sz w:val="32"/>
          <w:szCs w:val="32"/>
        </w:rPr>
        <w:t>由全局管理员设置考核开始时间、结束时间后，个人角色或者三级单位管理员、二级单位管理员都可以提交考核申请，考核结果由上级管理员审核确认无误后，回填到民警考核信息集。</w:t>
      </w:r>
    </w:p>
    <w:p w14:paraId="5B25B72C">
      <w:pPr>
        <w:spacing w:line="560" w:lineRule="exact"/>
        <w:ind w:firstLine="640" w:firstLineChars="200"/>
        <w:rPr>
          <w:rFonts w:eastAsia="仿宋_GB2312"/>
          <w:sz w:val="32"/>
          <w:szCs w:val="32"/>
        </w:rPr>
      </w:pPr>
      <w:r>
        <w:rPr>
          <w:rFonts w:hint="eastAsia" w:eastAsia="仿宋_GB2312"/>
          <w:sz w:val="32"/>
          <w:szCs w:val="32"/>
        </w:rPr>
        <w:t>主要功能需包括指标计算工具、指标库管理、考核模板管理、考核配置、考核管理、考核审批管理、考核评分管理、考核查看。</w:t>
      </w:r>
    </w:p>
    <w:p w14:paraId="63BE61CF">
      <w:pPr>
        <w:numPr>
          <w:ilvl w:val="0"/>
          <w:numId w:val="2"/>
        </w:numPr>
        <w:spacing w:line="560" w:lineRule="exact"/>
        <w:ind w:left="0" w:firstLine="640" w:firstLineChars="200"/>
        <w:rPr>
          <w:rFonts w:eastAsia="仿宋_GB2312"/>
          <w:sz w:val="32"/>
          <w:szCs w:val="32"/>
        </w:rPr>
      </w:pPr>
      <w:r>
        <w:rPr>
          <w:rFonts w:hint="eastAsia" w:eastAsia="仿宋_GB2312"/>
          <w:sz w:val="32"/>
          <w:szCs w:val="32"/>
        </w:rPr>
        <w:t>库档一致审核“一屏比对”</w:t>
      </w:r>
    </w:p>
    <w:p w14:paraId="31B6FF48">
      <w:pPr>
        <w:spacing w:line="560" w:lineRule="exact"/>
        <w:ind w:firstLine="640" w:firstLineChars="200"/>
        <w:rPr>
          <w:rFonts w:eastAsia="仿宋_GB2312"/>
          <w:sz w:val="32"/>
          <w:szCs w:val="32"/>
        </w:rPr>
      </w:pPr>
      <w:r>
        <w:rPr>
          <w:rFonts w:hint="eastAsia" w:eastAsia="仿宋_GB2312"/>
          <w:sz w:val="32"/>
          <w:szCs w:val="32"/>
        </w:rPr>
        <w:t>主要功能需包括档案信息集调整、文件上传、库档一致审核、数据更新。</w:t>
      </w:r>
    </w:p>
    <w:p w14:paraId="5273F6EA">
      <w:pPr>
        <w:numPr>
          <w:ilvl w:val="0"/>
          <w:numId w:val="2"/>
        </w:numPr>
        <w:spacing w:line="560" w:lineRule="exact"/>
        <w:ind w:left="0" w:firstLine="640" w:firstLineChars="200"/>
        <w:rPr>
          <w:rFonts w:eastAsia="仿宋_GB2312"/>
          <w:sz w:val="32"/>
          <w:szCs w:val="32"/>
        </w:rPr>
      </w:pPr>
      <w:r>
        <w:rPr>
          <w:rFonts w:hint="eastAsia" w:eastAsia="仿宋_GB2312"/>
          <w:sz w:val="32"/>
          <w:szCs w:val="32"/>
        </w:rPr>
        <w:t>运维预警</w:t>
      </w:r>
    </w:p>
    <w:p w14:paraId="2D8B2306">
      <w:pPr>
        <w:spacing w:line="560" w:lineRule="exact"/>
        <w:ind w:firstLine="640" w:firstLineChars="200"/>
        <w:rPr>
          <w:rFonts w:eastAsia="仿宋_GB2312"/>
          <w:sz w:val="32"/>
          <w:szCs w:val="32"/>
        </w:rPr>
      </w:pPr>
      <w:r>
        <w:rPr>
          <w:rFonts w:hint="eastAsia" w:eastAsia="仿宋_GB2312"/>
          <w:sz w:val="32"/>
          <w:szCs w:val="32"/>
        </w:rPr>
        <w:t>显示监控所有定时任务执行情况，并对执行报错的定时任务进行预警。</w:t>
      </w:r>
    </w:p>
    <w:p w14:paraId="6EBAEE48">
      <w:pPr>
        <w:numPr>
          <w:ilvl w:val="0"/>
          <w:numId w:val="2"/>
        </w:numPr>
        <w:spacing w:line="560" w:lineRule="exact"/>
        <w:ind w:left="0" w:firstLine="640" w:firstLineChars="200"/>
        <w:rPr>
          <w:rFonts w:eastAsia="仿宋_GB2312"/>
          <w:sz w:val="32"/>
          <w:szCs w:val="32"/>
        </w:rPr>
      </w:pPr>
      <w:r>
        <w:rPr>
          <w:rFonts w:hint="eastAsia" w:eastAsia="仿宋_GB2312"/>
          <w:sz w:val="32"/>
          <w:szCs w:val="32"/>
        </w:rPr>
        <w:t>主题教育网站专栏</w:t>
      </w:r>
    </w:p>
    <w:p w14:paraId="4C3AA7FC">
      <w:pPr>
        <w:spacing w:line="560" w:lineRule="exact"/>
        <w:ind w:firstLine="640" w:firstLineChars="200"/>
        <w:rPr>
          <w:rFonts w:eastAsia="仿宋_GB2312"/>
          <w:sz w:val="32"/>
          <w:szCs w:val="32"/>
        </w:rPr>
      </w:pPr>
      <w:r>
        <w:rPr>
          <w:rFonts w:hint="eastAsia" w:eastAsia="仿宋_GB2312"/>
          <w:sz w:val="32"/>
          <w:szCs w:val="32"/>
        </w:rPr>
        <w:t>专栏飘窗展示在原本的全警实战大练兵飘窗上方。</w:t>
      </w:r>
    </w:p>
    <w:p w14:paraId="6A03AE81">
      <w:pPr>
        <w:spacing w:line="560" w:lineRule="exact"/>
        <w:ind w:firstLine="640" w:firstLineChars="200"/>
        <w:rPr>
          <w:rFonts w:eastAsia="仿宋_GB2312"/>
          <w:sz w:val="32"/>
          <w:szCs w:val="32"/>
        </w:rPr>
      </w:pPr>
      <w:r>
        <w:rPr>
          <w:rFonts w:hint="eastAsia" w:eastAsia="仿宋_GB2312"/>
          <w:sz w:val="32"/>
          <w:szCs w:val="32"/>
        </w:rPr>
        <w:t>顶部轮播栏目展示要闻信息；</w:t>
      </w:r>
    </w:p>
    <w:p w14:paraId="72836D02">
      <w:pPr>
        <w:spacing w:line="560" w:lineRule="exact"/>
        <w:ind w:firstLine="640" w:firstLineChars="200"/>
        <w:rPr>
          <w:rFonts w:eastAsia="仿宋_GB2312"/>
          <w:sz w:val="32"/>
          <w:szCs w:val="32"/>
        </w:rPr>
      </w:pPr>
      <w:r>
        <w:rPr>
          <w:rFonts w:hint="eastAsia" w:eastAsia="仿宋_GB2312"/>
          <w:sz w:val="32"/>
          <w:szCs w:val="32"/>
        </w:rPr>
        <w:t>下面四个栏目从左到右从上到下分别为工作部署、学习动态、工作简报、学习园地，展示专题内容。</w:t>
      </w:r>
    </w:p>
    <w:p w14:paraId="3E6D3F66">
      <w:pPr>
        <w:spacing w:line="560" w:lineRule="exact"/>
        <w:ind w:firstLine="640" w:firstLineChars="200"/>
        <w:rPr>
          <w:rFonts w:eastAsia="仿宋_GB2312"/>
          <w:sz w:val="32"/>
          <w:szCs w:val="32"/>
        </w:rPr>
      </w:pPr>
      <w:r>
        <w:rPr>
          <w:rFonts w:hint="eastAsia" w:eastAsia="仿宋_GB2312"/>
          <w:sz w:val="32"/>
          <w:szCs w:val="32"/>
        </w:rPr>
        <w:t>栏目都是红底白字，且首页显示的时候每个栏目下信息最多</w:t>
      </w:r>
      <w:r>
        <w:rPr>
          <w:rFonts w:eastAsia="仿宋_GB2312"/>
          <w:sz w:val="32"/>
          <w:szCs w:val="32"/>
        </w:rPr>
        <w:t>6</w:t>
      </w:r>
      <w:r>
        <w:rPr>
          <w:rFonts w:hint="eastAsia" w:eastAsia="仿宋_GB2312"/>
          <w:sz w:val="32"/>
          <w:szCs w:val="32"/>
        </w:rPr>
        <w:t>个。</w:t>
      </w:r>
    </w:p>
    <w:p w14:paraId="16DD0BA0">
      <w:pPr>
        <w:numPr>
          <w:ilvl w:val="0"/>
          <w:numId w:val="2"/>
        </w:numPr>
        <w:spacing w:line="560" w:lineRule="exact"/>
        <w:ind w:left="0" w:firstLine="640" w:firstLineChars="200"/>
        <w:rPr>
          <w:rFonts w:eastAsia="仿宋_GB2312"/>
          <w:sz w:val="32"/>
          <w:szCs w:val="32"/>
        </w:rPr>
      </w:pPr>
      <w:r>
        <w:rPr>
          <w:rFonts w:hint="eastAsia" w:eastAsia="仿宋_GB2312"/>
          <w:sz w:val="32"/>
          <w:szCs w:val="32"/>
        </w:rPr>
        <w:t>报表功能新增</w:t>
      </w:r>
    </w:p>
    <w:p w14:paraId="03B27A2A">
      <w:pPr>
        <w:spacing w:line="560" w:lineRule="exact"/>
        <w:ind w:firstLine="640" w:firstLineChars="200"/>
        <w:rPr>
          <w:rFonts w:eastAsia="仿宋_GB2312"/>
          <w:sz w:val="32"/>
          <w:szCs w:val="32"/>
        </w:rPr>
      </w:pPr>
      <w:r>
        <w:rPr>
          <w:rFonts w:hint="eastAsia" w:eastAsia="仿宋_GB2312"/>
          <w:sz w:val="32"/>
          <w:szCs w:val="32"/>
        </w:rPr>
        <w:t>需在报表中按照业务需求展示上海公安政治工作综合服务网中的业务办理量、队伍各维度统计数据展示，对统计项进行自定义编辑和增改，能够以月、季或年为维度或各级单位为维度进行报表统计展示。</w:t>
      </w:r>
    </w:p>
    <w:p w14:paraId="52968D4D">
      <w:pPr>
        <w:numPr>
          <w:ilvl w:val="0"/>
          <w:numId w:val="2"/>
        </w:numPr>
        <w:spacing w:line="560" w:lineRule="exact"/>
        <w:ind w:left="0" w:firstLine="640" w:firstLineChars="200"/>
        <w:rPr>
          <w:rFonts w:eastAsia="仿宋_GB2312"/>
          <w:sz w:val="32"/>
          <w:szCs w:val="32"/>
        </w:rPr>
      </w:pPr>
      <w:r>
        <w:rPr>
          <w:rFonts w:hint="eastAsia" w:eastAsia="仿宋_GB2312"/>
          <w:sz w:val="32"/>
          <w:szCs w:val="32"/>
        </w:rPr>
        <w:t>批量数据导入</w:t>
      </w:r>
    </w:p>
    <w:p w14:paraId="4D62361E">
      <w:pPr>
        <w:spacing w:line="560" w:lineRule="exact"/>
        <w:ind w:firstLine="640" w:firstLineChars="200"/>
        <w:rPr>
          <w:rFonts w:eastAsia="仿宋_GB2312"/>
          <w:sz w:val="32"/>
          <w:szCs w:val="32"/>
        </w:rPr>
      </w:pPr>
      <w:r>
        <w:rPr>
          <w:rFonts w:hint="eastAsia" w:eastAsia="仿宋_GB2312"/>
          <w:sz w:val="32"/>
          <w:szCs w:val="32"/>
        </w:rPr>
        <w:t>需根据配置的表结构，自动生成相应的导入模板，用户完善数据后可以导入对应的业务功能模块或表格中。</w:t>
      </w:r>
    </w:p>
    <w:p w14:paraId="66EB91C9">
      <w:pPr>
        <w:numPr>
          <w:ilvl w:val="0"/>
          <w:numId w:val="2"/>
        </w:numPr>
        <w:spacing w:line="560" w:lineRule="exact"/>
        <w:ind w:left="0" w:firstLine="640" w:firstLineChars="200"/>
        <w:rPr>
          <w:rFonts w:eastAsia="仿宋_GB2312"/>
          <w:sz w:val="32"/>
          <w:szCs w:val="32"/>
        </w:rPr>
      </w:pPr>
      <w:r>
        <w:rPr>
          <w:rFonts w:hint="eastAsia" w:eastAsia="仿宋_GB2312"/>
          <w:sz w:val="32"/>
          <w:szCs w:val="32"/>
        </w:rPr>
        <w:t>出入境证照备案管理</w:t>
      </w:r>
    </w:p>
    <w:p w14:paraId="3E259F8C">
      <w:pPr>
        <w:spacing w:line="560" w:lineRule="exact"/>
        <w:ind w:firstLine="640" w:firstLineChars="200"/>
        <w:rPr>
          <w:rFonts w:eastAsia="仿宋_GB2312"/>
          <w:sz w:val="32"/>
          <w:szCs w:val="32"/>
        </w:rPr>
      </w:pPr>
      <w:r>
        <w:rPr>
          <w:rFonts w:hint="eastAsia" w:eastAsia="仿宋_GB2312"/>
          <w:sz w:val="32"/>
          <w:szCs w:val="32"/>
        </w:rPr>
        <w:t>需新增撤销出入境人员备案功能，主要需包括减员管理功能调整、备案撤销、备案撤销审核、备案管理。</w:t>
      </w:r>
    </w:p>
    <w:p w14:paraId="042FE187">
      <w:pPr>
        <w:numPr>
          <w:ilvl w:val="0"/>
          <w:numId w:val="2"/>
        </w:numPr>
        <w:spacing w:line="560" w:lineRule="exact"/>
        <w:ind w:left="0" w:firstLine="640" w:firstLineChars="200"/>
        <w:rPr>
          <w:rFonts w:eastAsia="仿宋_GB2312"/>
          <w:sz w:val="32"/>
          <w:szCs w:val="32"/>
        </w:rPr>
      </w:pPr>
      <w:r>
        <w:rPr>
          <w:rFonts w:hint="eastAsia" w:eastAsia="仿宋_GB2312"/>
          <w:sz w:val="32"/>
          <w:szCs w:val="32"/>
        </w:rPr>
        <w:t>辅警党员管理</w:t>
      </w:r>
    </w:p>
    <w:p w14:paraId="07D5960B">
      <w:pPr>
        <w:spacing w:line="560" w:lineRule="exact"/>
        <w:ind w:firstLine="640" w:firstLineChars="200"/>
        <w:rPr>
          <w:rFonts w:eastAsia="仿宋_GB2312"/>
          <w:sz w:val="32"/>
          <w:szCs w:val="32"/>
        </w:rPr>
      </w:pPr>
      <w:r>
        <w:rPr>
          <w:rFonts w:hint="eastAsia" w:eastAsia="仿宋_GB2312"/>
          <w:sz w:val="32"/>
          <w:szCs w:val="32"/>
        </w:rPr>
        <w:t>建立定时同步机制，每天从上海公安政治工作综合服务网党建管理模块中抽取辅警党员、发展党员信息同步到辅警管理系统，展示在辅警党员管理模块中，供辅警党员管理员进行查询统计。需包括党员管理、发展辅警党员管理。</w:t>
      </w:r>
    </w:p>
    <w:p w14:paraId="161FF263">
      <w:pPr>
        <w:numPr>
          <w:ilvl w:val="0"/>
          <w:numId w:val="2"/>
        </w:numPr>
        <w:spacing w:line="560" w:lineRule="exact"/>
        <w:ind w:left="0" w:firstLine="640" w:firstLineChars="200"/>
        <w:rPr>
          <w:rFonts w:eastAsia="仿宋_GB2312"/>
          <w:sz w:val="32"/>
          <w:szCs w:val="32"/>
        </w:rPr>
      </w:pPr>
      <w:r>
        <w:rPr>
          <w:rFonts w:hint="eastAsia" w:eastAsia="仿宋_GB2312"/>
          <w:sz w:val="32"/>
          <w:szCs w:val="32"/>
        </w:rPr>
        <w:t>年度</w:t>
      </w:r>
      <w:r>
        <w:rPr>
          <w:rFonts w:eastAsia="仿宋_GB2312"/>
          <w:sz w:val="32"/>
          <w:szCs w:val="32"/>
        </w:rPr>
        <w:t>/</w:t>
      </w:r>
      <w:r>
        <w:rPr>
          <w:rFonts w:hint="eastAsia" w:eastAsia="仿宋_GB2312"/>
          <w:sz w:val="32"/>
          <w:szCs w:val="32"/>
        </w:rPr>
        <w:t>季度队伍分析报告</w:t>
      </w:r>
    </w:p>
    <w:p w14:paraId="21C22B16">
      <w:pPr>
        <w:spacing w:line="560" w:lineRule="exact"/>
        <w:ind w:firstLine="640" w:firstLineChars="200"/>
        <w:rPr>
          <w:rFonts w:eastAsia="仿宋_GB2312"/>
          <w:sz w:val="32"/>
          <w:szCs w:val="32"/>
        </w:rPr>
      </w:pPr>
      <w:r>
        <w:rPr>
          <w:rFonts w:hint="eastAsia" w:eastAsia="仿宋_GB2312"/>
          <w:sz w:val="32"/>
          <w:szCs w:val="32"/>
        </w:rPr>
        <w:t>每季度、年度自动根据现有队伍数据进行数据统计，用户对统计项进行自定义编辑选择，上传报告文本后系统自动补充相关数据项生成队伍分析报告。</w:t>
      </w:r>
    </w:p>
    <w:p w14:paraId="0743B4E7">
      <w:pPr>
        <w:spacing w:line="560" w:lineRule="exact"/>
        <w:ind w:firstLine="640" w:firstLineChars="200"/>
        <w:rPr>
          <w:rFonts w:eastAsia="楷体_GB2312"/>
          <w:sz w:val="32"/>
          <w:szCs w:val="32"/>
        </w:rPr>
      </w:pPr>
      <w:r>
        <w:rPr>
          <w:rFonts w:hint="eastAsia" w:eastAsia="仿宋_GB2312"/>
          <w:sz w:val="32"/>
          <w:szCs w:val="32"/>
        </w:rPr>
        <w:t>需支持根据所选时间段人工点击计算生成对应时间段的分析报告。</w:t>
      </w:r>
    </w:p>
    <w:p w14:paraId="6E7DA217">
      <w:pPr>
        <w:widowControl/>
        <w:adjustRightInd w:val="0"/>
        <w:snapToGrid w:val="0"/>
        <w:spacing w:line="560" w:lineRule="exact"/>
        <w:ind w:firstLine="624"/>
        <w:rPr>
          <w:rFonts w:eastAsia="楷体_GB2312"/>
          <w:kern w:val="0"/>
          <w:sz w:val="32"/>
          <w:szCs w:val="32"/>
        </w:rPr>
      </w:pPr>
      <w:r>
        <w:rPr>
          <w:rFonts w:eastAsia="楷体_GB2312"/>
          <w:kern w:val="0"/>
          <w:sz w:val="32"/>
          <w:szCs w:val="32"/>
        </w:rPr>
        <w:t>4</w:t>
      </w:r>
      <w:r>
        <w:rPr>
          <w:rFonts w:hint="eastAsia" w:eastAsia="楷体_GB2312"/>
          <w:kern w:val="0"/>
          <w:sz w:val="32"/>
          <w:szCs w:val="32"/>
        </w:rPr>
        <w:t>、信息安全保障需求</w:t>
      </w:r>
    </w:p>
    <w:p w14:paraId="03B6FEF1">
      <w:pPr>
        <w:spacing w:line="560" w:lineRule="exact"/>
        <w:ind w:firstLine="640" w:firstLineChars="200"/>
        <w:rPr>
          <w:rFonts w:eastAsia="仿宋_GB2312"/>
          <w:sz w:val="32"/>
          <w:szCs w:val="32"/>
        </w:rPr>
      </w:pPr>
      <w:r>
        <w:rPr>
          <w:rFonts w:hint="eastAsia" w:eastAsia="仿宋_GB2312"/>
          <w:sz w:val="32"/>
          <w:szCs w:val="32"/>
        </w:rPr>
        <w:t>按照公安部及市委组织部的业务数据对接规范要求，完成各类数据对接工作，并通过各级数据核验考核，确保数据质量。系统建设不仅要提供稳定可靠、优质高效的服务，还要最大限度的保障数据信息资源的安全，保障系统平台运行的安全。</w:t>
      </w:r>
    </w:p>
    <w:p w14:paraId="45C3F0DC">
      <w:pPr>
        <w:spacing w:line="560" w:lineRule="exact"/>
        <w:ind w:firstLine="640" w:firstLineChars="200"/>
        <w:rPr>
          <w:rFonts w:eastAsia="仿宋_GB2312"/>
          <w:sz w:val="32"/>
          <w:szCs w:val="32"/>
        </w:rPr>
      </w:pPr>
      <w:r>
        <w:rPr>
          <w:rFonts w:hint="eastAsia" w:eastAsia="仿宋_GB2312"/>
          <w:sz w:val="32"/>
          <w:szCs w:val="32"/>
        </w:rPr>
        <w:t>对于数据安全的考虑在于防止机密数据泄露或人为恶意破坏，需要采用严格的用户管理机制和使用统一的防病毒软件。为防止数据丢失，需要进行有效的数据备份，包括对操作系统、应用软件和数据库定期停机备份、在线联机备份、日志备份、升级备份等。</w:t>
      </w:r>
    </w:p>
    <w:p w14:paraId="45CD647D">
      <w:pPr>
        <w:spacing w:line="560" w:lineRule="exact"/>
        <w:ind w:firstLine="640" w:firstLineChars="200"/>
        <w:rPr>
          <w:rFonts w:eastAsia="仿宋_GB2312"/>
          <w:sz w:val="32"/>
          <w:szCs w:val="32"/>
        </w:rPr>
      </w:pPr>
      <w:r>
        <w:rPr>
          <w:rFonts w:hint="eastAsia" w:eastAsia="仿宋_GB2312"/>
          <w:sz w:val="32"/>
          <w:szCs w:val="32"/>
        </w:rPr>
        <w:t>本项目建设应遵循上海市公安局信息化建设各类规范性文件及建设标准要求，主要包括但不限于：</w:t>
      </w:r>
    </w:p>
    <w:p w14:paraId="2465B9AB">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、符合《关于全面启用“上海公安反馈总线”的通知》内容要求。</w:t>
      </w:r>
    </w:p>
    <w:p w14:paraId="713E8D75">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、符合《上海公安信息系统应用日志安全审计技术规范》相关要求。</w:t>
      </w:r>
    </w:p>
    <w:p w14:paraId="43E564D9">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、符合上海市公安局《公安网系统整合技术规范</w:t>
      </w:r>
      <w:r>
        <w:rPr>
          <w:rFonts w:eastAsia="仿宋_GB2312"/>
          <w:sz w:val="32"/>
          <w:szCs w:val="32"/>
        </w:rPr>
        <w:t>v1.0</w:t>
      </w:r>
      <w:r>
        <w:rPr>
          <w:rFonts w:hint="eastAsia" w:eastAsia="仿宋_GB2312"/>
          <w:sz w:val="32"/>
          <w:szCs w:val="32"/>
        </w:rPr>
        <w:t>》标准要求。</w:t>
      </w:r>
    </w:p>
    <w:p w14:paraId="169A703B">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、符合上海市公安局</w:t>
      </w:r>
      <w:r>
        <w:rPr>
          <w:rFonts w:hint="eastAsia" w:eastAsia="仿宋_GB2312"/>
          <w:sz w:val="32"/>
          <w:szCs w:val="32"/>
          <w:lang w:eastAsia="zh-CN"/>
        </w:rPr>
        <w:t>XC</w:t>
      </w:r>
      <w:r>
        <w:rPr>
          <w:rFonts w:hint="eastAsia" w:eastAsia="仿宋_GB2312"/>
          <w:sz w:val="32"/>
          <w:szCs w:val="32"/>
        </w:rPr>
        <w:t>项目相关建设要求。</w:t>
      </w:r>
    </w:p>
    <w:p w14:paraId="4872B8C3">
      <w:pPr>
        <w:spacing w:line="560" w:lineRule="exact"/>
        <w:ind w:firstLine="640" w:firstLineChars="200"/>
        <w:rPr>
          <w:rFonts w:eastAsia="仿宋_GB2312"/>
          <w:sz w:val="32"/>
          <w:szCs w:val="32"/>
        </w:rPr>
      </w:pPr>
      <w:r>
        <w:rPr>
          <w:rFonts w:hint="eastAsia" w:eastAsia="仿宋_GB2312"/>
          <w:sz w:val="32"/>
          <w:szCs w:val="32"/>
        </w:rPr>
        <w:t>在系统基础软件性能及相应的系统管理保障基础上，</w:t>
      </w:r>
      <w:r>
        <w:rPr>
          <w:rFonts w:eastAsia="仿宋_GB2312"/>
          <w:sz w:val="32"/>
          <w:szCs w:val="32"/>
        </w:rPr>
        <w:t>1500</w:t>
      </w:r>
      <w:r>
        <w:rPr>
          <w:rFonts w:hint="eastAsia" w:eastAsia="仿宋_GB2312"/>
          <w:sz w:val="32"/>
          <w:szCs w:val="32"/>
        </w:rPr>
        <w:t>用户并发登陆系统，响应时间不超过</w:t>
      </w:r>
      <w:r>
        <w:rPr>
          <w:rFonts w:eastAsia="仿宋_GB2312"/>
          <w:sz w:val="32"/>
          <w:szCs w:val="32"/>
        </w:rPr>
        <w:t>2</w:t>
      </w:r>
      <w:r>
        <w:rPr>
          <w:rFonts w:hint="eastAsia" w:eastAsia="仿宋_GB2312"/>
          <w:sz w:val="32"/>
          <w:szCs w:val="32"/>
        </w:rPr>
        <w:t>秒；</w:t>
      </w:r>
      <w:r>
        <w:rPr>
          <w:rFonts w:eastAsia="仿宋_GB2312"/>
          <w:sz w:val="32"/>
          <w:szCs w:val="32"/>
        </w:rPr>
        <w:t>1500</w:t>
      </w:r>
      <w:r>
        <w:rPr>
          <w:rFonts w:hint="eastAsia" w:eastAsia="仿宋_GB2312"/>
          <w:sz w:val="32"/>
          <w:szCs w:val="32"/>
        </w:rPr>
        <w:t>用户一般操作，响应时间不超过</w:t>
      </w:r>
      <w:r>
        <w:rPr>
          <w:rFonts w:eastAsia="仿宋_GB2312"/>
          <w:sz w:val="32"/>
          <w:szCs w:val="32"/>
        </w:rPr>
        <w:t>3</w:t>
      </w:r>
      <w:r>
        <w:rPr>
          <w:rFonts w:hint="eastAsia" w:eastAsia="仿宋_GB2312"/>
          <w:sz w:val="32"/>
          <w:szCs w:val="32"/>
        </w:rPr>
        <w:t>秒；</w:t>
      </w:r>
      <w:r>
        <w:rPr>
          <w:rFonts w:eastAsia="仿宋_GB2312"/>
          <w:sz w:val="32"/>
          <w:szCs w:val="32"/>
        </w:rPr>
        <w:t>100</w:t>
      </w:r>
      <w:r>
        <w:rPr>
          <w:rFonts w:hint="eastAsia" w:eastAsia="仿宋_GB2312"/>
          <w:sz w:val="32"/>
          <w:szCs w:val="32"/>
        </w:rPr>
        <w:t>用户统计汇总，响应时间不超过</w:t>
      </w:r>
      <w:r>
        <w:rPr>
          <w:rFonts w:eastAsia="仿宋_GB2312"/>
          <w:sz w:val="32"/>
          <w:szCs w:val="32"/>
        </w:rPr>
        <w:t>5</w:t>
      </w:r>
      <w:r>
        <w:rPr>
          <w:rFonts w:hint="eastAsia" w:eastAsia="仿宋_GB2312"/>
          <w:sz w:val="32"/>
          <w:szCs w:val="32"/>
        </w:rPr>
        <w:t>秒。</w:t>
      </w:r>
    </w:p>
    <w:p w14:paraId="78CD6540">
      <w:pPr>
        <w:spacing w:line="560" w:lineRule="exact"/>
        <w:ind w:firstLine="640" w:firstLineChars="200"/>
        <w:rPr>
          <w:rFonts w:eastAsia="仿宋_GB2312"/>
          <w:sz w:val="32"/>
          <w:szCs w:val="32"/>
        </w:rPr>
      </w:pPr>
      <w:r>
        <w:rPr>
          <w:rFonts w:hint="eastAsia" w:eastAsia="仿宋_GB2312"/>
          <w:sz w:val="32"/>
          <w:szCs w:val="32"/>
        </w:rPr>
        <w:t>系统应提供7×24小时的连续运行，平均年故障时间小于</w:t>
      </w:r>
      <w:r>
        <w:rPr>
          <w:rFonts w:eastAsia="仿宋_GB2312"/>
          <w:sz w:val="32"/>
          <w:szCs w:val="32"/>
        </w:rPr>
        <w:t>1</w:t>
      </w:r>
      <w:r>
        <w:rPr>
          <w:rFonts w:hint="eastAsia" w:eastAsia="仿宋_GB2312"/>
          <w:sz w:val="32"/>
          <w:szCs w:val="32"/>
        </w:rPr>
        <w:t>天，平均故障修复时间小于</w:t>
      </w:r>
      <w:r>
        <w:rPr>
          <w:rFonts w:eastAsia="仿宋_GB2312"/>
          <w:sz w:val="32"/>
          <w:szCs w:val="32"/>
        </w:rPr>
        <w:t>1</w:t>
      </w:r>
      <w:r>
        <w:rPr>
          <w:rFonts w:hint="eastAsia" w:eastAsia="仿宋_GB2312"/>
          <w:sz w:val="32"/>
          <w:szCs w:val="32"/>
        </w:rPr>
        <w:t>小时。</w:t>
      </w:r>
    </w:p>
    <w:p w14:paraId="15632568">
      <w:pPr>
        <w:widowControl/>
        <w:adjustRightInd w:val="0"/>
        <w:snapToGrid w:val="0"/>
        <w:spacing w:line="560" w:lineRule="exact"/>
        <w:ind w:firstLine="624"/>
        <w:rPr>
          <w:rFonts w:eastAsia="黑体"/>
          <w:bCs/>
          <w:kern w:val="0"/>
          <w:sz w:val="32"/>
          <w:szCs w:val="32"/>
        </w:rPr>
      </w:pPr>
      <w:r>
        <w:rPr>
          <w:rFonts w:hint="eastAsia" w:eastAsia="黑体"/>
          <w:bCs/>
          <w:kern w:val="0"/>
          <w:sz w:val="32"/>
          <w:szCs w:val="32"/>
        </w:rPr>
        <w:t>（四）技术性能指标及配置要求</w:t>
      </w:r>
    </w:p>
    <w:p w14:paraId="4FA8197F">
      <w:pPr>
        <w:widowControl/>
        <w:adjustRightInd w:val="0"/>
        <w:snapToGrid w:val="0"/>
        <w:spacing w:line="560" w:lineRule="exact"/>
        <w:ind w:firstLine="624"/>
        <w:rPr>
          <w:rFonts w:eastAsia="黑体"/>
          <w:bCs/>
          <w:kern w:val="0"/>
          <w:sz w:val="32"/>
          <w:szCs w:val="32"/>
        </w:rPr>
      </w:pPr>
      <w:r>
        <w:rPr>
          <w:rFonts w:hint="eastAsia" w:eastAsia="黑体"/>
          <w:sz w:val="32"/>
          <w:szCs w:val="32"/>
        </w:rPr>
        <w:t>一是</w:t>
      </w:r>
      <w:r>
        <w:rPr>
          <w:rFonts w:hint="eastAsia" w:eastAsia="仿宋_GB2312"/>
          <w:sz w:val="32"/>
          <w:szCs w:val="32"/>
        </w:rPr>
        <w:t>项目需符合国家信息技术创新要求。</w:t>
      </w:r>
    </w:p>
    <w:p w14:paraId="438203AC">
      <w:pPr>
        <w:spacing w:line="560" w:lineRule="exact"/>
        <w:ind w:firstLine="640" w:firstLineChars="200"/>
        <w:rPr>
          <w:rFonts w:eastAsia="仿宋_GB2312"/>
          <w:sz w:val="32"/>
          <w:szCs w:val="32"/>
        </w:rPr>
      </w:pPr>
      <w:r>
        <w:rPr>
          <w:rFonts w:hint="eastAsia" w:eastAsia="黑体"/>
          <w:sz w:val="32"/>
          <w:szCs w:val="32"/>
        </w:rPr>
        <w:t>二是</w:t>
      </w:r>
      <w:r>
        <w:rPr>
          <w:rFonts w:hint="eastAsia" w:eastAsia="仿宋_GB2312"/>
          <w:sz w:val="32"/>
          <w:szCs w:val="32"/>
        </w:rPr>
        <w:t>系统构件化设计、面向对象等方面可做到灵活扩展，系统应采用三层架构体系，并充分考虑到以后纵向和横向的发展在网络稳定的环境下操作性界面的系统响应时间：在系统基础软件性能及相应的系统管理保障基础上，</w:t>
      </w:r>
      <w:r>
        <w:rPr>
          <w:rFonts w:eastAsia="仿宋_GB2312"/>
          <w:sz w:val="32"/>
          <w:szCs w:val="32"/>
        </w:rPr>
        <w:t>1500</w:t>
      </w:r>
      <w:r>
        <w:rPr>
          <w:rFonts w:hint="eastAsia" w:eastAsia="仿宋_GB2312"/>
          <w:sz w:val="32"/>
          <w:szCs w:val="32"/>
        </w:rPr>
        <w:t>用户并发登陆系统，响应时间不超过</w:t>
      </w:r>
      <w:r>
        <w:rPr>
          <w:rFonts w:eastAsia="仿宋_GB2312"/>
          <w:sz w:val="32"/>
          <w:szCs w:val="32"/>
        </w:rPr>
        <w:t>2</w:t>
      </w:r>
      <w:r>
        <w:rPr>
          <w:rFonts w:hint="eastAsia" w:eastAsia="仿宋_GB2312"/>
          <w:sz w:val="32"/>
          <w:szCs w:val="32"/>
        </w:rPr>
        <w:t>秒；</w:t>
      </w:r>
      <w:r>
        <w:rPr>
          <w:rFonts w:eastAsia="仿宋_GB2312"/>
          <w:sz w:val="32"/>
          <w:szCs w:val="32"/>
        </w:rPr>
        <w:t>1500</w:t>
      </w:r>
      <w:r>
        <w:rPr>
          <w:rFonts w:hint="eastAsia" w:eastAsia="仿宋_GB2312"/>
          <w:sz w:val="32"/>
          <w:szCs w:val="32"/>
        </w:rPr>
        <w:t>用户一般操作，响应时间不超过</w:t>
      </w:r>
      <w:r>
        <w:rPr>
          <w:rFonts w:eastAsia="仿宋_GB2312"/>
          <w:sz w:val="32"/>
          <w:szCs w:val="32"/>
        </w:rPr>
        <w:t>3</w:t>
      </w:r>
      <w:r>
        <w:rPr>
          <w:rFonts w:hint="eastAsia" w:eastAsia="仿宋_GB2312"/>
          <w:sz w:val="32"/>
          <w:szCs w:val="32"/>
        </w:rPr>
        <w:t>秒；</w:t>
      </w:r>
      <w:r>
        <w:rPr>
          <w:rFonts w:eastAsia="仿宋_GB2312"/>
          <w:sz w:val="32"/>
          <w:szCs w:val="32"/>
        </w:rPr>
        <w:t>100</w:t>
      </w:r>
      <w:r>
        <w:rPr>
          <w:rFonts w:hint="eastAsia" w:eastAsia="仿宋_GB2312"/>
          <w:sz w:val="32"/>
          <w:szCs w:val="32"/>
        </w:rPr>
        <w:t>用户统计汇总，响应时间不超过</w:t>
      </w:r>
      <w:r>
        <w:rPr>
          <w:rFonts w:eastAsia="仿宋_GB2312"/>
          <w:sz w:val="32"/>
          <w:szCs w:val="32"/>
        </w:rPr>
        <w:t>5</w:t>
      </w:r>
      <w:r>
        <w:rPr>
          <w:rFonts w:hint="eastAsia" w:eastAsia="仿宋_GB2312"/>
          <w:sz w:val="32"/>
          <w:szCs w:val="32"/>
        </w:rPr>
        <w:t>秒。</w:t>
      </w:r>
    </w:p>
    <w:p w14:paraId="710D652E">
      <w:pPr>
        <w:pStyle w:val="7"/>
        <w:spacing w:line="560" w:lineRule="exact"/>
        <w:ind w:firstLine="640"/>
        <w:rPr>
          <w:rFonts w:ascii="Times New Roman" w:hAnsi="Times New Roman" w:eastAsia="仿宋_GB2312"/>
          <w:sz w:val="32"/>
          <w:szCs w:val="32"/>
        </w:rPr>
      </w:pPr>
      <w:r>
        <w:rPr>
          <w:rFonts w:hint="eastAsia" w:ascii="Times New Roman" w:hAnsi="Times New Roman" w:eastAsia="黑体"/>
          <w:sz w:val="32"/>
          <w:szCs w:val="32"/>
        </w:rPr>
        <w:t>三是</w:t>
      </w:r>
      <w:r>
        <w:rPr>
          <w:rFonts w:hint="eastAsia" w:ascii="Times New Roman" w:hAnsi="Times New Roman" w:eastAsia="仿宋_GB2312"/>
          <w:sz w:val="32"/>
          <w:szCs w:val="32"/>
        </w:rPr>
        <w:t>系统应提供</w:t>
      </w:r>
      <w:r>
        <w:rPr>
          <w:rFonts w:ascii="Times New Roman" w:hAnsi="Times New Roman" w:eastAsia="仿宋_GB2312"/>
          <w:sz w:val="32"/>
          <w:szCs w:val="32"/>
        </w:rPr>
        <w:t>7×24</w:t>
      </w:r>
      <w:r>
        <w:rPr>
          <w:rFonts w:hint="eastAsia" w:ascii="Times New Roman" w:hAnsi="Times New Roman" w:eastAsia="仿宋_GB2312"/>
          <w:sz w:val="32"/>
          <w:szCs w:val="32"/>
        </w:rPr>
        <w:t>小时的连续运行，平均年故障时间小于</w:t>
      </w:r>
      <w:r>
        <w:rPr>
          <w:rFonts w:ascii="Times New Roman" w:hAnsi="Times New Roman" w:eastAsia="仿宋_GB2312"/>
          <w:sz w:val="32"/>
          <w:szCs w:val="32"/>
        </w:rPr>
        <w:t>1</w:t>
      </w:r>
      <w:r>
        <w:rPr>
          <w:rFonts w:hint="eastAsia" w:ascii="Times New Roman" w:hAnsi="Times New Roman" w:eastAsia="仿宋_GB2312"/>
          <w:sz w:val="32"/>
          <w:szCs w:val="32"/>
        </w:rPr>
        <w:t>天，平均故障修复时间小于</w:t>
      </w:r>
      <w:r>
        <w:rPr>
          <w:rFonts w:ascii="Times New Roman" w:hAnsi="Times New Roman" w:eastAsia="仿宋_GB2312"/>
          <w:sz w:val="32"/>
          <w:szCs w:val="32"/>
        </w:rPr>
        <w:t>1</w:t>
      </w:r>
      <w:r>
        <w:rPr>
          <w:rFonts w:hint="eastAsia" w:ascii="Times New Roman" w:hAnsi="Times New Roman" w:eastAsia="仿宋_GB2312"/>
          <w:sz w:val="32"/>
          <w:szCs w:val="32"/>
        </w:rPr>
        <w:t>小时。</w:t>
      </w:r>
    </w:p>
    <w:p w14:paraId="7C0CD9E2">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本系统配置的硬件设备资源具体配置、数量等如下，由市公安局统一调拨虚拟资源，不包含在本项目报价中。供应商需根据下述硬件资源合理配置软件系统。</w:t>
      </w:r>
    </w:p>
    <w:tbl>
      <w:tblPr>
        <w:tblStyle w:val="23"/>
        <w:tblW w:w="5000" w:type="pct"/>
        <w:tblInd w:w="0" w:type="dxa"/>
        <w:tblLayout w:type="fixed"/>
        <w:tblCellMar>
          <w:top w:w="0" w:type="dxa"/>
          <w:left w:w="108" w:type="dxa"/>
          <w:bottom w:w="0" w:type="dxa"/>
          <w:right w:w="108" w:type="dxa"/>
        </w:tblCellMar>
      </w:tblPr>
      <w:tblGrid>
        <w:gridCol w:w="1006"/>
        <w:gridCol w:w="1524"/>
        <w:gridCol w:w="5123"/>
        <w:gridCol w:w="869"/>
      </w:tblGrid>
      <w:tr w14:paraId="4B2C2187">
        <w:trPr>
          <w:trHeight w:val="570"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1F0E">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序号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0730">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产品分类</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6A9B">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产品配置</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49AF">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数量</w:t>
            </w:r>
          </w:p>
        </w:tc>
      </w:tr>
      <w:tr w14:paraId="5DC7596E">
        <w:trPr>
          <w:trHeight w:val="270"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24B8">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1</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997EE">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PC服务器</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037D">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数据库服务器数据库服务器</w:t>
            </w:r>
            <w:r>
              <w:rPr>
                <w:rFonts w:hAnsi="微软雅黑" w:eastAsia="微软雅黑"/>
                <w:color w:val="000000"/>
                <w:kern w:val="0"/>
                <w:sz w:val="18"/>
                <w:szCs w:val="18"/>
              </w:rPr>
              <w:br w:type="textWrapping"/>
            </w:r>
            <w:r>
              <w:rPr>
                <w:rFonts w:hAnsi="微软雅黑" w:eastAsia="微软雅黑"/>
                <w:color w:val="000000"/>
                <w:kern w:val="0"/>
                <w:sz w:val="18"/>
                <w:szCs w:val="18"/>
              </w:rPr>
              <w:t>CPU: 32核</w:t>
            </w:r>
            <w:r>
              <w:rPr>
                <w:rFonts w:hAnsi="微软雅黑" w:eastAsia="微软雅黑"/>
                <w:color w:val="000000"/>
                <w:kern w:val="0"/>
                <w:sz w:val="18"/>
                <w:szCs w:val="18"/>
              </w:rPr>
              <w:br w:type="textWrapping"/>
            </w:r>
            <w:r>
              <w:rPr>
                <w:rFonts w:hAnsi="微软雅黑" w:eastAsia="微软雅黑"/>
                <w:color w:val="000000"/>
                <w:kern w:val="0"/>
                <w:sz w:val="18"/>
                <w:szCs w:val="18"/>
              </w:rPr>
              <w:t>内存：128G</w:t>
            </w:r>
            <w:r>
              <w:rPr>
                <w:rFonts w:hAnsi="微软雅黑" w:eastAsia="微软雅黑"/>
                <w:color w:val="000000"/>
                <w:kern w:val="0"/>
                <w:sz w:val="18"/>
                <w:szCs w:val="18"/>
              </w:rPr>
              <w:br w:type="textWrapping"/>
            </w:r>
            <w:r>
              <w:rPr>
                <w:rFonts w:hAnsi="微软雅黑" w:eastAsia="微软雅黑"/>
                <w:color w:val="000000"/>
                <w:kern w:val="0"/>
                <w:sz w:val="18"/>
                <w:szCs w:val="18"/>
              </w:rPr>
              <w:t>磁盘空间：4T SSD</w:t>
            </w:r>
            <w:r>
              <w:rPr>
                <w:rFonts w:hAnsi="微软雅黑" w:eastAsia="微软雅黑"/>
                <w:color w:val="000000"/>
                <w:kern w:val="0"/>
                <w:sz w:val="18"/>
                <w:szCs w:val="18"/>
              </w:rPr>
              <w:br w:type="textWrapping"/>
            </w:r>
            <w:r>
              <w:rPr>
                <w:rFonts w:hAnsi="微软雅黑" w:eastAsia="微软雅黑"/>
                <w:color w:val="000000"/>
                <w:kern w:val="0"/>
                <w:sz w:val="18"/>
                <w:szCs w:val="18"/>
              </w:rPr>
              <w:t>IOPS：不低于5000</w:t>
            </w:r>
            <w:r>
              <w:rPr>
                <w:rFonts w:hAnsi="微软雅黑" w:eastAsia="微软雅黑"/>
                <w:color w:val="000000"/>
                <w:kern w:val="0"/>
                <w:sz w:val="18"/>
                <w:szCs w:val="18"/>
              </w:rPr>
              <w:br w:type="textWrapping"/>
            </w:r>
            <w:r>
              <w:rPr>
                <w:rFonts w:hAnsi="微软雅黑" w:eastAsia="微软雅黑"/>
                <w:color w:val="000000"/>
                <w:kern w:val="0"/>
                <w:sz w:val="18"/>
                <w:szCs w:val="18"/>
              </w:rPr>
              <w:t>CPU: 32核</w:t>
            </w:r>
            <w:r>
              <w:rPr>
                <w:rFonts w:hAnsi="微软雅黑" w:eastAsia="微软雅黑"/>
                <w:color w:val="000000"/>
                <w:kern w:val="0"/>
                <w:sz w:val="18"/>
                <w:szCs w:val="18"/>
              </w:rPr>
              <w:br w:type="textWrapping"/>
            </w:r>
            <w:r>
              <w:rPr>
                <w:rFonts w:hAnsi="微软雅黑" w:eastAsia="微软雅黑"/>
                <w:color w:val="000000"/>
                <w:kern w:val="0"/>
                <w:sz w:val="18"/>
                <w:szCs w:val="18"/>
              </w:rPr>
              <w:t>内存：128G</w:t>
            </w:r>
            <w:r>
              <w:rPr>
                <w:rFonts w:hAnsi="微软雅黑" w:eastAsia="微软雅黑"/>
                <w:color w:val="000000"/>
                <w:kern w:val="0"/>
                <w:sz w:val="18"/>
                <w:szCs w:val="18"/>
              </w:rPr>
              <w:br w:type="textWrapping"/>
            </w:r>
            <w:r>
              <w:rPr>
                <w:rFonts w:hAnsi="微软雅黑" w:eastAsia="微软雅黑"/>
                <w:color w:val="000000"/>
                <w:kern w:val="0"/>
                <w:sz w:val="18"/>
                <w:szCs w:val="18"/>
              </w:rPr>
              <w:t>磁盘空间：4T SSD</w:t>
            </w:r>
            <w:r>
              <w:rPr>
                <w:rFonts w:hAnsi="微软雅黑" w:eastAsia="微软雅黑"/>
                <w:color w:val="000000"/>
                <w:kern w:val="0"/>
                <w:sz w:val="18"/>
                <w:szCs w:val="18"/>
              </w:rPr>
              <w:br w:type="textWrapping"/>
            </w:r>
            <w:r>
              <w:rPr>
                <w:rFonts w:hAnsi="微软雅黑" w:eastAsia="微软雅黑"/>
                <w:color w:val="000000"/>
                <w:kern w:val="0"/>
                <w:sz w:val="18"/>
                <w:szCs w:val="18"/>
              </w:rPr>
              <w:t>IOPS：不低于5000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BB49">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2</w:t>
            </w:r>
          </w:p>
        </w:tc>
      </w:tr>
      <w:tr w14:paraId="0CED0CBD">
        <w:trPr>
          <w:trHeight w:val="270"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91AE2">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2</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5C28C">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PC服务器</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BEC92">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应用服务器</w:t>
            </w:r>
            <w:r>
              <w:rPr>
                <w:rFonts w:hAnsi="微软雅黑" w:eastAsia="微软雅黑"/>
                <w:color w:val="000000"/>
                <w:kern w:val="0"/>
                <w:sz w:val="18"/>
                <w:szCs w:val="18"/>
              </w:rPr>
              <w:br w:type="textWrapping"/>
            </w:r>
            <w:r>
              <w:rPr>
                <w:rFonts w:hAnsi="微软雅黑" w:eastAsia="微软雅黑"/>
                <w:color w:val="000000"/>
                <w:kern w:val="0"/>
                <w:sz w:val="18"/>
                <w:szCs w:val="18"/>
              </w:rPr>
              <w:t>CPU: 32核</w:t>
            </w:r>
            <w:r>
              <w:rPr>
                <w:rFonts w:hAnsi="微软雅黑" w:eastAsia="微软雅黑"/>
                <w:color w:val="000000"/>
                <w:kern w:val="0"/>
                <w:sz w:val="18"/>
                <w:szCs w:val="18"/>
              </w:rPr>
              <w:br w:type="textWrapping"/>
            </w:r>
            <w:r>
              <w:rPr>
                <w:rFonts w:hAnsi="微软雅黑" w:eastAsia="微软雅黑"/>
                <w:color w:val="000000"/>
                <w:kern w:val="0"/>
                <w:sz w:val="18"/>
                <w:szCs w:val="18"/>
              </w:rPr>
              <w:t>内存：64G</w:t>
            </w:r>
            <w:r>
              <w:rPr>
                <w:rFonts w:hAnsi="微软雅黑" w:eastAsia="微软雅黑"/>
                <w:color w:val="000000"/>
                <w:kern w:val="0"/>
                <w:sz w:val="18"/>
                <w:szCs w:val="18"/>
              </w:rPr>
              <w:br w:type="textWrapping"/>
            </w:r>
            <w:r>
              <w:rPr>
                <w:rFonts w:hAnsi="微软雅黑" w:eastAsia="微软雅黑"/>
                <w:color w:val="000000"/>
                <w:kern w:val="0"/>
                <w:sz w:val="18"/>
                <w:szCs w:val="18"/>
              </w:rPr>
              <w:t>磁盘空间：1T</w:t>
            </w:r>
            <w:r>
              <w:rPr>
                <w:rFonts w:hAnsi="微软雅黑" w:eastAsia="微软雅黑"/>
                <w:color w:val="000000"/>
                <w:kern w:val="0"/>
                <w:sz w:val="18"/>
                <w:szCs w:val="18"/>
              </w:rPr>
              <w:br w:type="textWrapping"/>
            </w:r>
            <w:r>
              <w:rPr>
                <w:rFonts w:hAnsi="微软雅黑" w:eastAsia="微软雅黑"/>
                <w:color w:val="000000"/>
                <w:kern w:val="0"/>
                <w:sz w:val="18"/>
                <w:szCs w:val="18"/>
              </w:rPr>
              <w:t>IOPS：不低于5000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9E70">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1</w:t>
            </w:r>
          </w:p>
        </w:tc>
      </w:tr>
      <w:tr w14:paraId="7F168E2A">
        <w:trPr>
          <w:trHeight w:val="270"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90A3">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3</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9013">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PC服务器</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BCAC">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应用服务器</w:t>
            </w:r>
            <w:r>
              <w:rPr>
                <w:rFonts w:hAnsi="微软雅黑" w:eastAsia="微软雅黑"/>
                <w:color w:val="000000"/>
                <w:kern w:val="0"/>
                <w:sz w:val="18"/>
                <w:szCs w:val="18"/>
              </w:rPr>
              <w:br w:type="textWrapping"/>
            </w:r>
            <w:r>
              <w:rPr>
                <w:rFonts w:hAnsi="微软雅黑" w:eastAsia="微软雅黑"/>
                <w:color w:val="000000"/>
                <w:kern w:val="0"/>
                <w:sz w:val="18"/>
                <w:szCs w:val="18"/>
              </w:rPr>
              <w:t>CPU: 32核</w:t>
            </w:r>
            <w:r>
              <w:rPr>
                <w:rFonts w:hAnsi="微软雅黑" w:eastAsia="微软雅黑"/>
                <w:color w:val="000000"/>
                <w:kern w:val="0"/>
                <w:sz w:val="18"/>
                <w:szCs w:val="18"/>
              </w:rPr>
              <w:br w:type="textWrapping"/>
            </w:r>
            <w:r>
              <w:rPr>
                <w:rFonts w:hAnsi="微软雅黑" w:eastAsia="微软雅黑"/>
                <w:color w:val="000000"/>
                <w:kern w:val="0"/>
                <w:sz w:val="18"/>
                <w:szCs w:val="18"/>
              </w:rPr>
              <w:t>内存：32G</w:t>
            </w:r>
            <w:r>
              <w:rPr>
                <w:rFonts w:hAnsi="微软雅黑" w:eastAsia="微软雅黑"/>
                <w:color w:val="000000"/>
                <w:kern w:val="0"/>
                <w:sz w:val="18"/>
                <w:szCs w:val="18"/>
              </w:rPr>
              <w:br w:type="textWrapping"/>
            </w:r>
            <w:r>
              <w:rPr>
                <w:rFonts w:hAnsi="微软雅黑" w:eastAsia="微软雅黑"/>
                <w:color w:val="000000"/>
                <w:kern w:val="0"/>
                <w:sz w:val="18"/>
                <w:szCs w:val="18"/>
              </w:rPr>
              <w:t>磁盘空间：500G</w:t>
            </w:r>
            <w:r>
              <w:rPr>
                <w:rFonts w:hAnsi="微软雅黑" w:eastAsia="微软雅黑"/>
                <w:color w:val="000000"/>
                <w:kern w:val="0"/>
                <w:sz w:val="18"/>
                <w:szCs w:val="18"/>
              </w:rPr>
              <w:br w:type="textWrapping"/>
            </w:r>
            <w:r>
              <w:rPr>
                <w:rFonts w:hAnsi="微软雅黑" w:eastAsia="微软雅黑"/>
                <w:color w:val="000000"/>
                <w:kern w:val="0"/>
                <w:sz w:val="18"/>
                <w:szCs w:val="18"/>
              </w:rPr>
              <w:t>IOPS：不低于2000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D7A5">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2</w:t>
            </w:r>
          </w:p>
        </w:tc>
      </w:tr>
      <w:tr w14:paraId="7E2E16F2">
        <w:trPr>
          <w:trHeight w:val="270"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EE1AC">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4</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490BF">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PC服务器</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2FB7">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应用服务器</w:t>
            </w:r>
            <w:r>
              <w:rPr>
                <w:rFonts w:hAnsi="微软雅黑" w:eastAsia="微软雅黑"/>
                <w:color w:val="000000"/>
                <w:kern w:val="0"/>
                <w:sz w:val="18"/>
                <w:szCs w:val="18"/>
              </w:rPr>
              <w:br w:type="textWrapping"/>
            </w:r>
            <w:r>
              <w:rPr>
                <w:rFonts w:hAnsi="微软雅黑" w:eastAsia="微软雅黑"/>
                <w:color w:val="000000"/>
                <w:kern w:val="0"/>
                <w:sz w:val="18"/>
                <w:szCs w:val="18"/>
              </w:rPr>
              <w:t>CPU: 16核</w:t>
            </w:r>
            <w:r>
              <w:rPr>
                <w:rFonts w:hAnsi="微软雅黑" w:eastAsia="微软雅黑"/>
                <w:color w:val="000000"/>
                <w:kern w:val="0"/>
                <w:sz w:val="18"/>
                <w:szCs w:val="18"/>
              </w:rPr>
              <w:br w:type="textWrapping"/>
            </w:r>
            <w:r>
              <w:rPr>
                <w:rFonts w:hAnsi="微软雅黑" w:eastAsia="微软雅黑"/>
                <w:color w:val="000000"/>
                <w:kern w:val="0"/>
                <w:sz w:val="18"/>
                <w:szCs w:val="18"/>
              </w:rPr>
              <w:t>内存：32G</w:t>
            </w:r>
            <w:r>
              <w:rPr>
                <w:rFonts w:hAnsi="微软雅黑" w:eastAsia="微软雅黑"/>
                <w:color w:val="000000"/>
                <w:kern w:val="0"/>
                <w:sz w:val="18"/>
                <w:szCs w:val="18"/>
              </w:rPr>
              <w:br w:type="textWrapping"/>
            </w:r>
            <w:r>
              <w:rPr>
                <w:rFonts w:hAnsi="微软雅黑" w:eastAsia="微软雅黑"/>
                <w:color w:val="000000"/>
                <w:kern w:val="0"/>
                <w:sz w:val="18"/>
                <w:szCs w:val="18"/>
              </w:rPr>
              <w:t>磁盘空间：500G</w:t>
            </w:r>
            <w:r>
              <w:rPr>
                <w:rFonts w:hAnsi="微软雅黑" w:eastAsia="微软雅黑"/>
                <w:color w:val="000000"/>
                <w:kern w:val="0"/>
                <w:sz w:val="18"/>
                <w:szCs w:val="18"/>
              </w:rPr>
              <w:br w:type="textWrapping"/>
            </w:r>
            <w:r>
              <w:rPr>
                <w:rFonts w:hAnsi="微软雅黑" w:eastAsia="微软雅黑"/>
                <w:color w:val="000000"/>
                <w:kern w:val="0"/>
                <w:sz w:val="18"/>
                <w:szCs w:val="18"/>
              </w:rPr>
              <w:t>IOPS：不低于2000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F5B0">
            <w:pPr>
              <w:widowControl/>
              <w:jc w:val="center"/>
              <w:textAlignment w:val="center"/>
              <w:rPr>
                <w:rFonts w:hAnsi="微软雅黑" w:eastAsia="微软雅黑"/>
                <w:color w:val="000000"/>
                <w:kern w:val="0"/>
                <w:sz w:val="18"/>
                <w:szCs w:val="18"/>
              </w:rPr>
            </w:pPr>
            <w:r>
              <w:rPr>
                <w:rFonts w:hAnsi="微软雅黑" w:eastAsia="微软雅黑"/>
                <w:color w:val="000000"/>
                <w:kern w:val="0"/>
                <w:sz w:val="18"/>
                <w:szCs w:val="18"/>
              </w:rPr>
              <w:t>1</w:t>
            </w:r>
          </w:p>
        </w:tc>
      </w:tr>
    </w:tbl>
    <w:p w14:paraId="24A6F558">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本项目项目所需配置产品软件要求如下。供应商需根据项目实际需求和硬件配置情况等合理选用相应产品软件并进行报价，产品软件总价不得超过招标文件规定的对应最高限价。</w:t>
      </w:r>
    </w:p>
    <w:tbl>
      <w:tblPr>
        <w:tblStyle w:val="23"/>
        <w:tblW w:w="5000" w:type="pct"/>
        <w:tblInd w:w="0" w:type="dxa"/>
        <w:tblLayout w:type="autofit"/>
        <w:tblCellMar>
          <w:top w:w="0" w:type="dxa"/>
          <w:left w:w="108" w:type="dxa"/>
          <w:bottom w:w="0" w:type="dxa"/>
          <w:right w:w="108" w:type="dxa"/>
        </w:tblCellMar>
      </w:tblPr>
      <w:tblGrid>
        <w:gridCol w:w="1244"/>
        <w:gridCol w:w="1841"/>
        <w:gridCol w:w="3402"/>
        <w:gridCol w:w="994"/>
        <w:gridCol w:w="1041"/>
      </w:tblGrid>
      <w:tr w14:paraId="5287CDBA">
        <w:trPr>
          <w:trHeight w:val="285" w:hRule="atLeast"/>
        </w:trPr>
        <w:tc>
          <w:tcPr>
            <w:tcW w:w="730" w:type="pct"/>
            <w:tcBorders>
              <w:top w:val="single" w:color="000000" w:sz="4" w:space="0"/>
              <w:left w:val="single" w:color="000000" w:sz="4" w:space="0"/>
              <w:bottom w:val="single" w:color="000000" w:sz="4" w:space="0"/>
              <w:right w:val="single" w:color="000000" w:sz="4" w:space="0"/>
            </w:tcBorders>
            <w:vAlign w:val="center"/>
          </w:tcPr>
          <w:p w14:paraId="34D4978D">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序号</w:t>
            </w:r>
          </w:p>
        </w:tc>
        <w:tc>
          <w:tcPr>
            <w:tcW w:w="1080" w:type="pct"/>
            <w:tcBorders>
              <w:top w:val="single" w:color="000000" w:sz="4" w:space="0"/>
              <w:left w:val="single" w:color="000000" w:sz="4" w:space="0"/>
              <w:bottom w:val="single" w:color="000000" w:sz="4" w:space="0"/>
              <w:right w:val="single" w:color="000000" w:sz="4" w:space="0"/>
            </w:tcBorders>
            <w:vAlign w:val="center"/>
          </w:tcPr>
          <w:p w14:paraId="7A7C4A9A">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产品名称</w:t>
            </w:r>
          </w:p>
        </w:tc>
        <w:tc>
          <w:tcPr>
            <w:tcW w:w="1996" w:type="pct"/>
            <w:tcBorders>
              <w:top w:val="single" w:color="000000" w:sz="4" w:space="0"/>
              <w:left w:val="single" w:color="000000" w:sz="4" w:space="0"/>
              <w:bottom w:val="single" w:color="000000" w:sz="4" w:space="0"/>
              <w:right w:val="single" w:color="000000" w:sz="4" w:space="0"/>
            </w:tcBorders>
            <w:vAlign w:val="center"/>
          </w:tcPr>
          <w:p w14:paraId="76C0C6B0">
            <w:pPr>
              <w:widowControl/>
              <w:jc w:val="center"/>
              <w:textAlignment w:val="center"/>
              <w:rPr>
                <w:rFonts w:hAnsi="微软雅黑" w:eastAsia="微软雅黑"/>
                <w:color w:val="000000"/>
                <w:kern w:val="0"/>
                <w:sz w:val="18"/>
                <w:szCs w:val="18"/>
              </w:rPr>
            </w:pPr>
            <w:r>
              <w:rPr>
                <w:rFonts w:hint="eastAsia" w:ascii="Times New Roman" w:hAnsi="微软雅黑" w:eastAsia="微软雅黑" w:cs="Times New Roman"/>
                <w:color w:val="000000"/>
                <w:kern w:val="0"/>
                <w:sz w:val="18"/>
                <w:szCs w:val="18"/>
              </w:rPr>
              <w:t>产品品牌要求</w:t>
            </w:r>
          </w:p>
        </w:tc>
        <w:tc>
          <w:tcPr>
            <w:tcW w:w="583" w:type="pct"/>
            <w:tcBorders>
              <w:top w:val="single" w:color="000000" w:sz="4" w:space="0"/>
              <w:left w:val="single" w:color="000000" w:sz="4" w:space="0"/>
              <w:bottom w:val="single" w:color="000000" w:sz="4" w:space="0"/>
              <w:right w:val="single" w:color="000000" w:sz="4" w:space="0"/>
            </w:tcBorders>
            <w:vAlign w:val="center"/>
          </w:tcPr>
          <w:p w14:paraId="1E3DD6BF">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核定数量</w:t>
            </w:r>
          </w:p>
        </w:tc>
        <w:tc>
          <w:tcPr>
            <w:tcW w:w="611" w:type="pct"/>
            <w:tcBorders>
              <w:top w:val="single" w:color="000000" w:sz="4" w:space="0"/>
              <w:left w:val="single" w:color="000000" w:sz="4" w:space="0"/>
              <w:bottom w:val="single" w:color="000000" w:sz="4" w:space="0"/>
              <w:right w:val="single" w:color="000000" w:sz="4" w:space="0"/>
            </w:tcBorders>
            <w:vAlign w:val="center"/>
          </w:tcPr>
          <w:p w14:paraId="45EA6E1A">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供货时间</w:t>
            </w:r>
          </w:p>
        </w:tc>
      </w:tr>
      <w:tr w14:paraId="4D19615D">
        <w:trPr>
          <w:trHeight w:val="810" w:hRule="atLeast"/>
        </w:trPr>
        <w:tc>
          <w:tcPr>
            <w:tcW w:w="730" w:type="pct"/>
            <w:tcBorders>
              <w:top w:val="single" w:color="000000" w:sz="4" w:space="0"/>
              <w:left w:val="single" w:color="000000" w:sz="4" w:space="0"/>
              <w:bottom w:val="single" w:color="000000" w:sz="4" w:space="0"/>
              <w:right w:val="single" w:color="000000" w:sz="4" w:space="0"/>
            </w:tcBorders>
            <w:vAlign w:val="center"/>
          </w:tcPr>
          <w:p w14:paraId="2307F0B0">
            <w:pPr>
              <w:widowControl/>
              <w:jc w:val="center"/>
              <w:textAlignment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080" w:type="pct"/>
            <w:tcBorders>
              <w:top w:val="single" w:color="000000" w:sz="4" w:space="0"/>
              <w:left w:val="single" w:color="000000" w:sz="4" w:space="0"/>
              <w:bottom w:val="single" w:color="000000" w:sz="4" w:space="0"/>
              <w:right w:val="single" w:color="000000" w:sz="4" w:space="0"/>
            </w:tcBorders>
            <w:vAlign w:val="center"/>
          </w:tcPr>
          <w:p w14:paraId="2308FDEF">
            <w:pPr>
              <w:widowControl/>
              <w:jc w:val="center"/>
              <w:textAlignment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服务器操作系统</w:t>
            </w:r>
          </w:p>
        </w:tc>
        <w:tc>
          <w:tcPr>
            <w:tcW w:w="1996" w:type="pct"/>
            <w:tcBorders>
              <w:top w:val="single" w:color="000000" w:sz="4" w:space="0"/>
              <w:left w:val="single" w:color="000000" w:sz="4" w:space="0"/>
              <w:bottom w:val="single" w:color="000000" w:sz="4" w:space="0"/>
              <w:right w:val="single" w:color="000000" w:sz="4" w:space="0"/>
            </w:tcBorders>
            <w:vAlign w:val="center"/>
          </w:tcPr>
          <w:p w14:paraId="3ED97769">
            <w:pPr>
              <w:widowControl/>
              <w:jc w:val="both"/>
              <w:textAlignment w:val="center"/>
              <w:rPr>
                <w:rFonts w:asciiTheme="minorEastAsia" w:hAnsiTheme="minorEastAsia" w:eastAsiaTheme="minorEastAsia"/>
                <w:color w:val="000000"/>
                <w:kern w:val="0"/>
                <w:sz w:val="18"/>
                <w:szCs w:val="18"/>
              </w:rPr>
            </w:pPr>
            <w:r>
              <w:rPr>
                <w:rFonts w:cs="Times New Roman" w:asciiTheme="minorEastAsia" w:hAnsiTheme="minorEastAsia" w:eastAsiaTheme="minorEastAsia"/>
                <w:color w:val="000000"/>
                <w:kern w:val="0"/>
                <w:sz w:val="20"/>
                <w:szCs w:val="20"/>
              </w:rPr>
              <w:t>1、操作系统支持同源兼容 ARM、LoongArch、MIPS、SW64、x86架构的CPU。</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2、操作系统支持系统增量升级功能，对系统部件、安全补丁等升级。</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3、操作系统支持安装界面文种设置、逻辑分区配置（如 LVM）、自定义分区设置、安装组件设置、时区设置、键盘布局设置、初始用户设置、计算机名设置和网络设置，支持通过 USB 闪存盘等方式加载硬件驱动、支持设置加密文件系统。</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4、操作系统支持 XFS、EXT3、EXT4、NTFS、FAT32 等文件系统，支持相应格式分区创建、删除、格式化等。</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5、操作系统通过内置、软件仓库或附加光盘等方式提供开发库，包括 GNU C、GNU、C++、Java、Qt 、Gtk+、Cairo、OpenGL、Perl、Python、Ruby、Rust、Golang、JS 等。</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6、支持自研的容器云管理平台、支持Docker，KVM等虚拟化技术，可以实现虚拟化管理。</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7、支持人大金仓、达梦 、神舟通用、南大通用、瀚高、GodenDB、OpenGauss等国产数据库；支持MySQL、Redis、MonogDB、PostgreSQL及Oracle等数据库。</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8、操作系统预装自研浏览器，支持账号云同步、国密SSL通信等功能，满足GM/T 0087《浏览器密码应用接口规范》、GB/T 38636《信息安全技术 传输层密码协议（TLCP)》、GM/T 0028《密码模块安全技术要求》第二级要求，获得浏览器商用密码产品认证。</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9、操作系统应当符合安全可靠测评要求。</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10、为满足后期业务系统运行环境性能测试需求，需支持自研国产Linux系统通用性能评分软件和压力分析软件。</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11、具备自研图形化仓库更新提醒软件，提供系统更新和仅安全更新功能。</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2574B26E">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6</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219551A5">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2025年</w:t>
            </w:r>
          </w:p>
        </w:tc>
      </w:tr>
      <w:tr w14:paraId="3B54E120">
        <w:trPr>
          <w:trHeight w:val="540" w:hRule="atLeast"/>
        </w:trPr>
        <w:tc>
          <w:tcPr>
            <w:tcW w:w="730" w:type="pct"/>
            <w:tcBorders>
              <w:top w:val="single" w:color="000000" w:sz="4" w:space="0"/>
              <w:left w:val="single" w:color="000000" w:sz="4" w:space="0"/>
              <w:bottom w:val="single" w:color="000000" w:sz="4" w:space="0"/>
              <w:right w:val="single" w:color="000000" w:sz="4" w:space="0"/>
            </w:tcBorders>
            <w:vAlign w:val="center"/>
          </w:tcPr>
          <w:p w14:paraId="0791098E">
            <w:pPr>
              <w:widowControl/>
              <w:jc w:val="center"/>
              <w:textAlignment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080" w:type="pct"/>
            <w:tcBorders>
              <w:top w:val="single" w:color="000000" w:sz="4" w:space="0"/>
              <w:left w:val="single" w:color="000000" w:sz="4" w:space="0"/>
              <w:bottom w:val="single" w:color="000000" w:sz="4" w:space="0"/>
              <w:right w:val="single" w:color="000000" w:sz="4" w:space="0"/>
            </w:tcBorders>
            <w:vAlign w:val="center"/>
          </w:tcPr>
          <w:p w14:paraId="0A56ADEC">
            <w:pPr>
              <w:widowControl/>
              <w:jc w:val="center"/>
              <w:textAlignment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应用服务器中间件</w:t>
            </w:r>
          </w:p>
        </w:tc>
        <w:tc>
          <w:tcPr>
            <w:tcW w:w="1996" w:type="pct"/>
            <w:tcBorders>
              <w:top w:val="single" w:color="000000" w:sz="4" w:space="0"/>
              <w:left w:val="single" w:color="000000" w:sz="4" w:space="0"/>
              <w:bottom w:val="single" w:color="000000" w:sz="4" w:space="0"/>
              <w:right w:val="single" w:color="000000" w:sz="4" w:space="0"/>
            </w:tcBorders>
            <w:vAlign w:val="center"/>
          </w:tcPr>
          <w:p w14:paraId="2162BF8E">
            <w:pPr>
              <w:widowControl/>
              <w:jc w:val="both"/>
              <w:textAlignment w:val="center"/>
              <w:rPr>
                <w:rFonts w:asciiTheme="minorEastAsia" w:hAnsiTheme="minorEastAsia" w:eastAsiaTheme="minorEastAsia"/>
                <w:color w:val="000000"/>
                <w:kern w:val="0"/>
                <w:sz w:val="18"/>
                <w:szCs w:val="18"/>
              </w:rPr>
            </w:pPr>
            <w:r>
              <w:rPr>
                <w:rFonts w:cs="Times New Roman" w:asciiTheme="minorEastAsia" w:hAnsiTheme="minorEastAsia" w:eastAsiaTheme="minorEastAsia"/>
                <w:color w:val="000000"/>
                <w:kern w:val="0"/>
                <w:sz w:val="20"/>
                <w:szCs w:val="20"/>
              </w:rPr>
              <w:t>1</w:t>
            </w:r>
            <w:r>
              <w:rPr>
                <w:rFonts w:hint="eastAsia" w:cs="Times New Roman" w:asciiTheme="minorEastAsia" w:hAnsiTheme="minorEastAsia" w:eastAsiaTheme="minorEastAsia"/>
                <w:color w:val="000000"/>
                <w:kern w:val="0"/>
                <w:sz w:val="20"/>
                <w:szCs w:val="20"/>
              </w:rPr>
              <w:t>、应用中间件产品具有国内自主知识产权，具备良好的生态环境适应能力，支持多种主流国产操作系统、主流国产数据库系统；</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2</w:t>
            </w:r>
            <w:r>
              <w:rPr>
                <w:rFonts w:hint="eastAsia" w:cs="Times New Roman" w:asciiTheme="minorEastAsia" w:hAnsiTheme="minorEastAsia" w:eastAsiaTheme="minorEastAsia"/>
                <w:color w:val="000000"/>
                <w:kern w:val="0"/>
                <w:sz w:val="20"/>
                <w:szCs w:val="20"/>
              </w:rPr>
              <w:t>、内置</w:t>
            </w:r>
            <w:r>
              <w:rPr>
                <w:rFonts w:cs="Times New Roman" w:asciiTheme="minorEastAsia" w:hAnsiTheme="minorEastAsia" w:eastAsiaTheme="minorEastAsia"/>
                <w:color w:val="000000"/>
                <w:kern w:val="0"/>
                <w:sz w:val="20"/>
                <w:szCs w:val="20"/>
              </w:rPr>
              <w:t>APM</w:t>
            </w:r>
            <w:r>
              <w:rPr>
                <w:rFonts w:hint="eastAsia" w:cs="Times New Roman" w:asciiTheme="minorEastAsia" w:hAnsiTheme="minorEastAsia" w:eastAsiaTheme="minorEastAsia"/>
                <w:color w:val="000000"/>
                <w:kern w:val="0"/>
                <w:sz w:val="20"/>
                <w:szCs w:val="20"/>
              </w:rPr>
              <w:t>工具，能对线程进行细颗粒度剖析，支持采用双因子认证鉴别技术对用户身份进行鉴别，支持集群部署，提供集群管理工具，内置支持国密算法（</w:t>
            </w:r>
            <w:r>
              <w:rPr>
                <w:rFonts w:cs="Times New Roman" w:asciiTheme="minorEastAsia" w:hAnsiTheme="minorEastAsia" w:eastAsiaTheme="minorEastAsia"/>
                <w:color w:val="000000"/>
                <w:kern w:val="0"/>
                <w:sz w:val="20"/>
                <w:szCs w:val="20"/>
              </w:rPr>
              <w:t>SM2/3/4</w:t>
            </w:r>
            <w:r>
              <w:rPr>
                <w:rFonts w:hint="eastAsia" w:cs="Times New Roman" w:asciiTheme="minorEastAsia" w:hAnsiTheme="minorEastAsia" w:eastAsiaTheme="minorEastAsia"/>
                <w:color w:val="000000"/>
                <w:kern w:val="0"/>
                <w:sz w:val="20"/>
                <w:szCs w:val="20"/>
              </w:rPr>
              <w:t>）的负载均衡模块；</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3</w:t>
            </w:r>
            <w:r>
              <w:rPr>
                <w:rFonts w:hint="eastAsia" w:cs="Times New Roman" w:asciiTheme="minorEastAsia" w:hAnsiTheme="minorEastAsia" w:eastAsiaTheme="minorEastAsia"/>
                <w:color w:val="000000"/>
                <w:kern w:val="0"/>
                <w:sz w:val="20"/>
                <w:szCs w:val="20"/>
              </w:rPr>
              <w:t>、支持动态更新</w:t>
            </w:r>
            <w:r>
              <w:rPr>
                <w:rFonts w:cs="Times New Roman" w:asciiTheme="minorEastAsia" w:hAnsiTheme="minorEastAsia" w:eastAsiaTheme="minorEastAsia"/>
                <w:color w:val="000000"/>
                <w:kern w:val="0"/>
                <w:sz w:val="20"/>
                <w:szCs w:val="20"/>
              </w:rPr>
              <w:t>license</w:t>
            </w:r>
            <w:r>
              <w:rPr>
                <w:rFonts w:hint="eastAsia" w:cs="Times New Roman" w:asciiTheme="minorEastAsia" w:hAnsiTheme="minorEastAsia" w:eastAsiaTheme="minorEastAsia"/>
                <w:color w:val="000000"/>
                <w:kern w:val="0"/>
                <w:sz w:val="20"/>
                <w:szCs w:val="20"/>
              </w:rPr>
              <w:t>以及集中管理替换</w:t>
            </w:r>
            <w:r>
              <w:rPr>
                <w:rFonts w:cs="Times New Roman" w:asciiTheme="minorEastAsia" w:hAnsiTheme="minorEastAsia" w:eastAsiaTheme="minorEastAsia"/>
                <w:color w:val="000000"/>
                <w:kern w:val="0"/>
                <w:sz w:val="20"/>
                <w:szCs w:val="20"/>
              </w:rPr>
              <w:t>license</w:t>
            </w:r>
            <w:r>
              <w:rPr>
                <w:rFonts w:hint="eastAsia" w:cs="Times New Roman" w:asciiTheme="minorEastAsia" w:hAnsiTheme="minorEastAsia" w:eastAsiaTheme="minorEastAsia"/>
                <w:color w:val="000000"/>
                <w:kern w:val="0"/>
                <w:sz w:val="20"/>
                <w:szCs w:val="20"/>
              </w:rPr>
              <w:t>；</w:t>
            </w:r>
            <w:r>
              <w:rPr>
                <w:rFonts w:cs="Times New Roman" w:asciiTheme="minorEastAsia" w:hAnsiTheme="minorEastAsia" w:eastAsiaTheme="minorEastAsia"/>
                <w:color w:val="000000"/>
                <w:kern w:val="0"/>
                <w:sz w:val="20"/>
                <w:szCs w:val="20"/>
              </w:rPr>
              <w:br w:type="textWrapping"/>
            </w:r>
            <w:r>
              <w:rPr>
                <w:rFonts w:cs="Times New Roman" w:asciiTheme="minorEastAsia" w:hAnsiTheme="minorEastAsia" w:eastAsiaTheme="minorEastAsia"/>
                <w:color w:val="000000"/>
                <w:kern w:val="0"/>
                <w:sz w:val="20"/>
                <w:szCs w:val="20"/>
              </w:rPr>
              <w:t>4</w:t>
            </w:r>
            <w:r>
              <w:rPr>
                <w:rFonts w:hint="eastAsia" w:cs="Times New Roman" w:asciiTheme="minorEastAsia" w:hAnsiTheme="minorEastAsia" w:eastAsiaTheme="minorEastAsia"/>
                <w:color w:val="000000"/>
                <w:kern w:val="0"/>
                <w:sz w:val="20"/>
                <w:szCs w:val="20"/>
              </w:rPr>
              <w:t>、内置快照功能，能够对服务器及应用程序的运行时信息进行捕获。</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5757D6E1">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4</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15910B8D">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2025年</w:t>
            </w:r>
          </w:p>
        </w:tc>
      </w:tr>
      <w:tr w14:paraId="4E67D97E">
        <w:trPr>
          <w:trHeight w:val="810" w:hRule="atLeast"/>
        </w:trPr>
        <w:tc>
          <w:tcPr>
            <w:tcW w:w="730" w:type="pct"/>
            <w:tcBorders>
              <w:top w:val="single" w:color="000000" w:sz="4" w:space="0"/>
              <w:left w:val="single" w:color="000000" w:sz="4" w:space="0"/>
              <w:bottom w:val="single" w:color="000000" w:sz="4" w:space="0"/>
              <w:right w:val="single" w:color="000000" w:sz="4" w:space="0"/>
            </w:tcBorders>
            <w:vAlign w:val="center"/>
          </w:tcPr>
          <w:p w14:paraId="15751431">
            <w:pPr>
              <w:widowControl/>
              <w:jc w:val="center"/>
              <w:textAlignment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1080" w:type="pct"/>
            <w:tcBorders>
              <w:top w:val="single" w:color="000000" w:sz="4" w:space="0"/>
              <w:left w:val="single" w:color="000000" w:sz="4" w:space="0"/>
              <w:bottom w:val="single" w:color="000000" w:sz="4" w:space="0"/>
              <w:right w:val="single" w:color="000000" w:sz="4" w:space="0"/>
            </w:tcBorders>
            <w:vAlign w:val="center"/>
          </w:tcPr>
          <w:p w14:paraId="2DC42730">
            <w:pPr>
              <w:widowControl/>
              <w:jc w:val="center"/>
              <w:textAlignment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集中式数据库</w:t>
            </w:r>
          </w:p>
        </w:tc>
        <w:tc>
          <w:tcPr>
            <w:tcW w:w="1996" w:type="pct"/>
            <w:tcBorders>
              <w:top w:val="single" w:color="000000" w:sz="4" w:space="0"/>
              <w:left w:val="single" w:color="000000" w:sz="4" w:space="0"/>
              <w:bottom w:val="single" w:color="000000" w:sz="4" w:space="0"/>
              <w:right w:val="single" w:color="000000" w:sz="4" w:space="0"/>
            </w:tcBorders>
            <w:vAlign w:val="center"/>
          </w:tcPr>
          <w:p w14:paraId="57FB9383">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w:t>
            </w:r>
            <w:r>
              <w:rPr>
                <w:rFonts w:hint="eastAsia" w:asciiTheme="minorEastAsia" w:hAnsiTheme="minorEastAsia" w:eastAsiaTheme="minorEastAsia"/>
                <w:color w:val="000000"/>
                <w:kern w:val="0"/>
                <w:sz w:val="20"/>
                <w:szCs w:val="20"/>
              </w:rPr>
              <w:t>、产品拥有自主知识产权，完全自主可控；</w:t>
            </w:r>
          </w:p>
          <w:p w14:paraId="764DFB2F">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w:t>
            </w:r>
            <w:r>
              <w:rPr>
                <w:rFonts w:hint="eastAsia" w:asciiTheme="minorEastAsia" w:hAnsiTheme="minorEastAsia" w:eastAsiaTheme="minorEastAsia"/>
                <w:color w:val="000000"/>
                <w:kern w:val="0"/>
                <w:sz w:val="20"/>
                <w:szCs w:val="20"/>
              </w:rPr>
              <w:t>、支持命令行或图形化的安装，支持命令行或图形化的可配置安装能力，依据安装环境提供相应的初始化参数配置值具；</w:t>
            </w:r>
          </w:p>
          <w:p w14:paraId="4AF40608">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w:t>
            </w:r>
            <w:r>
              <w:rPr>
                <w:rFonts w:hint="eastAsia" w:asciiTheme="minorEastAsia" w:hAnsiTheme="minorEastAsia" w:eastAsiaTheme="minorEastAsia"/>
                <w:color w:val="000000"/>
                <w:kern w:val="0"/>
                <w:sz w:val="20"/>
                <w:szCs w:val="20"/>
              </w:rPr>
              <w:t>、支持用户的创建、删除、修改；支持角色的创建、删除、修改；</w:t>
            </w:r>
          </w:p>
          <w:p w14:paraId="2FDA9754">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4</w:t>
            </w:r>
            <w:r>
              <w:rPr>
                <w:rFonts w:hint="eastAsia" w:asciiTheme="minorEastAsia" w:hAnsiTheme="minorEastAsia" w:eastAsiaTheme="minorEastAsia"/>
                <w:color w:val="000000"/>
                <w:kern w:val="0"/>
                <w:sz w:val="20"/>
                <w:szCs w:val="20"/>
              </w:rPr>
              <w:t>、支持存储过程的创建、删除、修改；</w:t>
            </w:r>
          </w:p>
          <w:p w14:paraId="01FD32BD">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5</w:t>
            </w:r>
            <w:r>
              <w:rPr>
                <w:rFonts w:hint="eastAsia" w:asciiTheme="minorEastAsia" w:hAnsiTheme="minorEastAsia" w:eastAsiaTheme="minorEastAsia"/>
                <w:color w:val="000000"/>
                <w:kern w:val="0"/>
                <w:sz w:val="20"/>
                <w:szCs w:val="20"/>
              </w:rPr>
              <w:t>、支持表操作功能，支持自增序列，支持主键约束、外键约束、唯一性</w:t>
            </w:r>
            <w:r>
              <w:rPr>
                <w:rFonts w:asciiTheme="minorEastAsia" w:hAnsiTheme="minorEastAsia" w:eastAsiaTheme="minorEastAsia"/>
                <w:color w:val="000000"/>
                <w:kern w:val="0"/>
                <w:sz w:val="20"/>
                <w:szCs w:val="20"/>
              </w:rPr>
              <w:t xml:space="preserve"> </w:t>
            </w:r>
            <w:r>
              <w:rPr>
                <w:rFonts w:hint="eastAsia" w:asciiTheme="minorEastAsia" w:hAnsiTheme="minorEastAsia" w:eastAsiaTheme="minorEastAsia"/>
                <w:color w:val="000000"/>
                <w:kern w:val="0"/>
                <w:sz w:val="20"/>
                <w:szCs w:val="20"/>
              </w:rPr>
              <w:t>约束、检查约束和联合主键约束；</w:t>
            </w:r>
          </w:p>
          <w:p w14:paraId="1915950A">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6</w:t>
            </w:r>
            <w:r>
              <w:rPr>
                <w:rFonts w:hint="eastAsia" w:asciiTheme="minorEastAsia" w:hAnsiTheme="minorEastAsia" w:eastAsiaTheme="minorEastAsia"/>
                <w:color w:val="000000"/>
                <w:kern w:val="0"/>
                <w:sz w:val="20"/>
                <w:szCs w:val="20"/>
              </w:rPr>
              <w:t>、支持游标功能；支持视图的创建、删除、修改；</w:t>
            </w:r>
          </w:p>
          <w:p w14:paraId="32BF9AB2">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7</w:t>
            </w:r>
            <w:r>
              <w:rPr>
                <w:rFonts w:hint="eastAsia" w:asciiTheme="minorEastAsia" w:hAnsiTheme="minorEastAsia" w:eastAsiaTheme="minorEastAsia"/>
                <w:color w:val="000000"/>
                <w:kern w:val="0"/>
                <w:sz w:val="20"/>
                <w:szCs w:val="20"/>
              </w:rPr>
              <w:t>、单表支持创建2048列；支持分区表，包括范围分区、哈希分区、列表分区、间隔分区等；支持组合分区，如可以实现列表、范围组合分区等；支持单表分区数量为65535个；支持分区键包含多列，列数最多达到16列；支持增加、删除、合并、拆分、交换、截断、重命名等分区操作；支持分区表迁移；</w:t>
            </w:r>
          </w:p>
          <w:p w14:paraId="2F0050E6">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8</w:t>
            </w:r>
            <w:r>
              <w:rPr>
                <w:rFonts w:hint="eastAsia" w:asciiTheme="minorEastAsia" w:hAnsiTheme="minorEastAsia" w:eastAsiaTheme="minorEastAsia"/>
                <w:color w:val="000000"/>
                <w:kern w:val="0"/>
                <w:sz w:val="20"/>
                <w:szCs w:val="20"/>
              </w:rPr>
              <w:t>、产品支持在</w:t>
            </w:r>
            <w:r>
              <w:rPr>
                <w:rFonts w:asciiTheme="minorEastAsia" w:hAnsiTheme="minorEastAsia" w:eastAsiaTheme="minorEastAsia"/>
                <w:color w:val="000000"/>
                <w:kern w:val="0"/>
                <w:sz w:val="20"/>
                <w:szCs w:val="20"/>
              </w:rPr>
              <w:t>Docker</w:t>
            </w:r>
            <w:r>
              <w:rPr>
                <w:rFonts w:hint="eastAsia" w:asciiTheme="minorEastAsia" w:hAnsiTheme="minorEastAsia" w:eastAsiaTheme="minorEastAsia"/>
                <w:color w:val="000000"/>
                <w:kern w:val="0"/>
                <w:sz w:val="20"/>
                <w:szCs w:val="20"/>
              </w:rPr>
              <w:t>容器上运行，并且符合</w:t>
            </w:r>
            <w:r>
              <w:rPr>
                <w:rFonts w:asciiTheme="minorEastAsia" w:hAnsiTheme="minorEastAsia" w:eastAsiaTheme="minorEastAsia"/>
                <w:color w:val="000000"/>
                <w:kern w:val="0"/>
                <w:sz w:val="20"/>
                <w:szCs w:val="20"/>
              </w:rPr>
              <w:t>SQL92</w:t>
            </w:r>
            <w:r>
              <w:rPr>
                <w:rFonts w:hint="eastAsia" w:asciiTheme="minorEastAsia" w:hAnsiTheme="minorEastAsia" w:eastAsiaTheme="minorEastAsia"/>
                <w:color w:val="000000"/>
                <w:kern w:val="0"/>
                <w:sz w:val="20"/>
                <w:szCs w:val="20"/>
              </w:rPr>
              <w:t>及以上标准；</w:t>
            </w:r>
          </w:p>
          <w:p w14:paraId="4A2EB669">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9</w:t>
            </w:r>
            <w:r>
              <w:rPr>
                <w:rFonts w:hint="eastAsia" w:asciiTheme="minorEastAsia" w:hAnsiTheme="minorEastAsia" w:eastAsiaTheme="minorEastAsia"/>
                <w:color w:val="000000"/>
                <w:kern w:val="0"/>
                <w:sz w:val="20"/>
                <w:szCs w:val="20"/>
              </w:rPr>
              <w:t>、兼容</w:t>
            </w:r>
            <w:r>
              <w:rPr>
                <w:rFonts w:asciiTheme="minorEastAsia" w:hAnsiTheme="minorEastAsia" w:eastAsiaTheme="minorEastAsia"/>
                <w:color w:val="000000"/>
                <w:kern w:val="0"/>
                <w:sz w:val="20"/>
                <w:szCs w:val="20"/>
              </w:rPr>
              <w:t>Oracle</w:t>
            </w:r>
            <w:r>
              <w:rPr>
                <w:rFonts w:hint="eastAsia" w:asciiTheme="minorEastAsia" w:hAnsiTheme="minorEastAsia" w:eastAsiaTheme="minorEastAsia"/>
                <w:color w:val="000000"/>
                <w:kern w:val="0"/>
                <w:sz w:val="20"/>
                <w:szCs w:val="20"/>
              </w:rPr>
              <w:t>的</w:t>
            </w:r>
            <w:r>
              <w:rPr>
                <w:rFonts w:asciiTheme="minorEastAsia" w:hAnsiTheme="minorEastAsia" w:eastAsiaTheme="minorEastAsia"/>
                <w:color w:val="000000"/>
                <w:kern w:val="0"/>
                <w:sz w:val="20"/>
                <w:szCs w:val="20"/>
              </w:rPr>
              <w:t>DBA_*</w:t>
            </w:r>
            <w:r>
              <w:rPr>
                <w:rFonts w:hint="eastAsia" w:asciiTheme="minorEastAsia" w:hAnsiTheme="minorEastAsia" w:eastAsiaTheme="minorEastAsia"/>
                <w:color w:val="000000"/>
                <w:kern w:val="0"/>
                <w:sz w:val="20"/>
                <w:szCs w:val="20"/>
              </w:rPr>
              <w:t>、</w:t>
            </w:r>
            <w:r>
              <w:rPr>
                <w:rFonts w:asciiTheme="minorEastAsia" w:hAnsiTheme="minorEastAsia" w:eastAsiaTheme="minorEastAsia"/>
                <w:color w:val="000000"/>
                <w:kern w:val="0"/>
                <w:sz w:val="20"/>
                <w:szCs w:val="20"/>
              </w:rPr>
              <w:t>ALL_*</w:t>
            </w:r>
            <w:r>
              <w:rPr>
                <w:rFonts w:hint="eastAsia" w:asciiTheme="minorEastAsia" w:hAnsiTheme="minorEastAsia" w:eastAsiaTheme="minorEastAsia"/>
                <w:color w:val="000000"/>
                <w:kern w:val="0"/>
                <w:sz w:val="20"/>
                <w:szCs w:val="20"/>
              </w:rPr>
              <w:t>和</w:t>
            </w:r>
            <w:r>
              <w:rPr>
                <w:rFonts w:asciiTheme="minorEastAsia" w:hAnsiTheme="minorEastAsia" w:eastAsiaTheme="minorEastAsia"/>
                <w:color w:val="000000"/>
                <w:kern w:val="0"/>
                <w:sz w:val="20"/>
                <w:szCs w:val="20"/>
              </w:rPr>
              <w:t>USER_*</w:t>
            </w:r>
            <w:r>
              <w:rPr>
                <w:rFonts w:hint="eastAsia" w:asciiTheme="minorEastAsia" w:hAnsiTheme="minorEastAsia" w:eastAsiaTheme="minorEastAsia"/>
                <w:color w:val="000000"/>
                <w:kern w:val="0"/>
                <w:sz w:val="20"/>
                <w:szCs w:val="20"/>
              </w:rPr>
              <w:t>开头的数据字典视图、系统包；兼容</w:t>
            </w:r>
            <w:r>
              <w:rPr>
                <w:rFonts w:asciiTheme="minorEastAsia" w:hAnsiTheme="minorEastAsia" w:eastAsiaTheme="minorEastAsia"/>
                <w:color w:val="000000"/>
                <w:kern w:val="0"/>
                <w:sz w:val="20"/>
                <w:szCs w:val="20"/>
              </w:rPr>
              <w:t>PL/SQL</w:t>
            </w:r>
            <w:r>
              <w:rPr>
                <w:rFonts w:hint="eastAsia" w:asciiTheme="minorEastAsia" w:hAnsiTheme="minorEastAsia" w:eastAsiaTheme="minorEastAsia"/>
                <w:color w:val="000000"/>
                <w:kern w:val="0"/>
                <w:sz w:val="20"/>
                <w:szCs w:val="20"/>
              </w:rPr>
              <w:t>语法和数据操作；兼容</w:t>
            </w:r>
            <w:r>
              <w:rPr>
                <w:rFonts w:asciiTheme="minorEastAsia" w:hAnsiTheme="minorEastAsia" w:eastAsiaTheme="minorEastAsia"/>
                <w:color w:val="000000"/>
                <w:kern w:val="0"/>
                <w:sz w:val="20"/>
                <w:szCs w:val="20"/>
              </w:rPr>
              <w:t>Oracle</w:t>
            </w:r>
            <w:r>
              <w:rPr>
                <w:rFonts w:hint="eastAsia" w:asciiTheme="minorEastAsia" w:hAnsiTheme="minorEastAsia" w:eastAsiaTheme="minorEastAsia"/>
                <w:color w:val="000000"/>
                <w:kern w:val="0"/>
                <w:sz w:val="20"/>
                <w:szCs w:val="20"/>
              </w:rPr>
              <w:t>、</w:t>
            </w:r>
            <w:r>
              <w:rPr>
                <w:rFonts w:asciiTheme="minorEastAsia" w:hAnsiTheme="minorEastAsia" w:eastAsiaTheme="minorEastAsia"/>
                <w:color w:val="000000"/>
                <w:kern w:val="0"/>
                <w:sz w:val="20"/>
                <w:szCs w:val="20"/>
              </w:rPr>
              <w:t>Mysql</w:t>
            </w:r>
            <w:r>
              <w:rPr>
                <w:rFonts w:hint="eastAsia" w:asciiTheme="minorEastAsia" w:hAnsiTheme="minorEastAsia" w:eastAsiaTheme="minorEastAsia"/>
                <w:color w:val="000000"/>
                <w:kern w:val="0"/>
                <w:sz w:val="20"/>
                <w:szCs w:val="20"/>
              </w:rPr>
              <w:t>、</w:t>
            </w:r>
            <w:r>
              <w:rPr>
                <w:rFonts w:asciiTheme="minorEastAsia" w:hAnsiTheme="minorEastAsia" w:eastAsiaTheme="minorEastAsia"/>
                <w:color w:val="000000"/>
                <w:kern w:val="0"/>
                <w:sz w:val="20"/>
                <w:szCs w:val="20"/>
              </w:rPr>
              <w:t>SQLServer</w:t>
            </w:r>
            <w:r>
              <w:rPr>
                <w:rFonts w:hint="eastAsia" w:asciiTheme="minorEastAsia" w:hAnsiTheme="minorEastAsia" w:eastAsiaTheme="minorEastAsia"/>
                <w:color w:val="000000"/>
                <w:kern w:val="0"/>
                <w:sz w:val="20"/>
                <w:szCs w:val="20"/>
              </w:rPr>
              <w:t>、</w:t>
            </w:r>
            <w:r>
              <w:rPr>
                <w:rFonts w:asciiTheme="minorEastAsia" w:hAnsiTheme="minorEastAsia" w:eastAsiaTheme="minorEastAsia"/>
                <w:color w:val="000000"/>
                <w:kern w:val="0"/>
                <w:sz w:val="20"/>
                <w:szCs w:val="20"/>
              </w:rPr>
              <w:t>DB2</w:t>
            </w:r>
            <w:r>
              <w:rPr>
                <w:rFonts w:hint="eastAsia" w:asciiTheme="minorEastAsia" w:hAnsiTheme="minorEastAsia" w:eastAsiaTheme="minorEastAsia"/>
                <w:color w:val="000000"/>
                <w:kern w:val="0"/>
                <w:sz w:val="20"/>
                <w:szCs w:val="20"/>
              </w:rPr>
              <w:t>、</w:t>
            </w:r>
            <w:r>
              <w:rPr>
                <w:rFonts w:asciiTheme="minorEastAsia" w:hAnsiTheme="minorEastAsia" w:eastAsiaTheme="minorEastAsia"/>
                <w:color w:val="000000"/>
                <w:kern w:val="0"/>
                <w:sz w:val="20"/>
                <w:szCs w:val="20"/>
              </w:rPr>
              <w:t>PostgreSQL</w:t>
            </w:r>
            <w:r>
              <w:rPr>
                <w:rFonts w:hint="eastAsia" w:asciiTheme="minorEastAsia" w:hAnsiTheme="minorEastAsia" w:eastAsiaTheme="minorEastAsia"/>
                <w:color w:val="000000"/>
                <w:kern w:val="0"/>
                <w:sz w:val="20"/>
                <w:szCs w:val="20"/>
              </w:rPr>
              <w:t>的常用系统函数；</w:t>
            </w:r>
          </w:p>
          <w:p w14:paraId="51CA9FA2">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10</w:t>
            </w:r>
            <w:r>
              <w:rPr>
                <w:rFonts w:hint="eastAsia" w:asciiTheme="minorEastAsia" w:hAnsiTheme="minorEastAsia" w:eastAsiaTheme="minorEastAsia"/>
                <w:color w:val="000000"/>
                <w:kern w:val="0"/>
                <w:sz w:val="20"/>
                <w:szCs w:val="20"/>
              </w:rPr>
              <w:t>、支持基于</w:t>
            </w:r>
            <w:r>
              <w:rPr>
                <w:rFonts w:asciiTheme="minorEastAsia" w:hAnsiTheme="minorEastAsia" w:eastAsiaTheme="minorEastAsia"/>
                <w:color w:val="000000"/>
                <w:kern w:val="0"/>
                <w:sz w:val="20"/>
                <w:szCs w:val="20"/>
              </w:rPr>
              <w:t>SM4</w:t>
            </w:r>
            <w:r>
              <w:rPr>
                <w:rFonts w:hint="eastAsia" w:asciiTheme="minorEastAsia" w:hAnsiTheme="minorEastAsia" w:eastAsiaTheme="minorEastAsia"/>
                <w:color w:val="000000"/>
                <w:kern w:val="0"/>
                <w:sz w:val="20"/>
                <w:szCs w:val="20"/>
              </w:rPr>
              <w:t>算法的存储加密，支持数据加密存储，支持国密算法加密，支持全面加密，数据文件、日志文件、备份文件、导入导出文件等均支持透明加密；支持数据库级、表级、列级等不同级别加密，支持不同用户、不同列设置不同密钥；</w:t>
            </w:r>
          </w:p>
          <w:p w14:paraId="64F49871">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11</w:t>
            </w:r>
            <w:r>
              <w:rPr>
                <w:rFonts w:hint="eastAsia" w:asciiTheme="minorEastAsia" w:hAnsiTheme="minorEastAsia" w:eastAsiaTheme="minorEastAsia"/>
                <w:color w:val="000000"/>
                <w:kern w:val="0"/>
                <w:sz w:val="20"/>
                <w:szCs w:val="20"/>
              </w:rPr>
              <w:t>、支持表空间自动扩展，并允许调整其扩展参数，包含支持修改扩展值：</w:t>
            </w:r>
            <w:r>
              <w:rPr>
                <w:rFonts w:asciiTheme="minorEastAsia" w:hAnsiTheme="minorEastAsia" w:eastAsiaTheme="minorEastAsia"/>
                <w:color w:val="000000"/>
                <w:kern w:val="0"/>
                <w:sz w:val="20"/>
                <w:szCs w:val="20"/>
              </w:rPr>
              <w:t>next_size</w:t>
            </w:r>
            <w:r>
              <w:rPr>
                <w:rFonts w:hint="eastAsia" w:asciiTheme="minorEastAsia" w:hAnsiTheme="minorEastAsia" w:eastAsiaTheme="minorEastAsia"/>
                <w:color w:val="000000"/>
                <w:kern w:val="0"/>
                <w:sz w:val="20"/>
                <w:szCs w:val="20"/>
              </w:rPr>
              <w:t>值、扩展上限；</w:t>
            </w:r>
          </w:p>
          <w:p w14:paraId="26DB7D09">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12</w:t>
            </w:r>
            <w:r>
              <w:rPr>
                <w:rFonts w:hint="eastAsia" w:asciiTheme="minorEastAsia" w:hAnsiTheme="minorEastAsia" w:eastAsiaTheme="minorEastAsia"/>
                <w:color w:val="000000"/>
                <w:kern w:val="0"/>
                <w:sz w:val="20"/>
                <w:szCs w:val="20"/>
              </w:rPr>
              <w:t>、提供数据页级恢复功能，允许从备份中还原并恢复指定的数据页；</w:t>
            </w:r>
          </w:p>
          <w:p w14:paraId="5623D10D">
            <w:pPr>
              <w:widowControl/>
              <w:jc w:val="both"/>
              <w:textAlignment w:val="center"/>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13</w:t>
            </w:r>
            <w:r>
              <w:rPr>
                <w:rFonts w:hint="eastAsia" w:asciiTheme="minorEastAsia" w:hAnsiTheme="minorEastAsia" w:eastAsiaTheme="minorEastAsia"/>
                <w:color w:val="000000"/>
                <w:kern w:val="0"/>
                <w:sz w:val="20"/>
                <w:szCs w:val="20"/>
              </w:rPr>
              <w:t>、兼容</w:t>
            </w:r>
            <w:r>
              <w:rPr>
                <w:rFonts w:asciiTheme="minorEastAsia" w:hAnsiTheme="minorEastAsia" w:eastAsiaTheme="minorEastAsia"/>
                <w:color w:val="000000"/>
                <w:kern w:val="0"/>
                <w:sz w:val="20"/>
                <w:szCs w:val="20"/>
              </w:rPr>
              <w:t>Oracle</w:t>
            </w:r>
            <w:r>
              <w:rPr>
                <w:rFonts w:hint="eastAsia" w:asciiTheme="minorEastAsia" w:hAnsiTheme="minorEastAsia" w:eastAsiaTheme="minorEastAsia"/>
                <w:color w:val="000000"/>
                <w:kern w:val="0"/>
                <w:sz w:val="20"/>
                <w:szCs w:val="20"/>
              </w:rPr>
              <w:t>语法功能，包括支持单</w:t>
            </w:r>
            <w:r>
              <w:rPr>
                <w:rFonts w:asciiTheme="minorEastAsia" w:hAnsiTheme="minorEastAsia" w:eastAsiaTheme="minorEastAsia"/>
                <w:color w:val="000000"/>
                <w:kern w:val="0"/>
                <w:sz w:val="20"/>
                <w:szCs w:val="20"/>
              </w:rPr>
              <w:t>SQL</w:t>
            </w:r>
            <w:r>
              <w:rPr>
                <w:rFonts w:hint="eastAsia" w:asciiTheme="minorEastAsia" w:hAnsiTheme="minorEastAsia" w:eastAsiaTheme="minorEastAsia"/>
                <w:color w:val="000000"/>
                <w:kern w:val="0"/>
                <w:sz w:val="20"/>
                <w:szCs w:val="20"/>
              </w:rPr>
              <w:t>支持多个</w:t>
            </w:r>
            <w:r>
              <w:rPr>
                <w:rFonts w:asciiTheme="minorEastAsia" w:hAnsiTheme="minorEastAsia" w:eastAsiaTheme="minorEastAsia"/>
                <w:color w:val="000000"/>
                <w:kern w:val="0"/>
                <w:sz w:val="20"/>
                <w:szCs w:val="20"/>
              </w:rPr>
              <w:t>unpivot</w:t>
            </w:r>
            <w:r>
              <w:rPr>
                <w:rFonts w:hint="eastAsia" w:asciiTheme="minorEastAsia" w:hAnsiTheme="minorEastAsia" w:eastAsiaTheme="minorEastAsia"/>
                <w:color w:val="000000"/>
                <w:kern w:val="0"/>
                <w:sz w:val="20"/>
                <w:szCs w:val="20"/>
              </w:rPr>
              <w:t>子句、支持</w:t>
            </w:r>
            <w:r>
              <w:rPr>
                <w:rFonts w:asciiTheme="minorEastAsia" w:hAnsiTheme="minorEastAsia" w:eastAsiaTheme="minorEastAsia"/>
                <w:color w:val="000000"/>
                <w:kern w:val="0"/>
                <w:sz w:val="20"/>
                <w:szCs w:val="20"/>
              </w:rPr>
              <w:t>for update</w:t>
            </w:r>
            <w:r>
              <w:rPr>
                <w:rFonts w:hint="eastAsia" w:asciiTheme="minorEastAsia" w:hAnsiTheme="minorEastAsia" w:eastAsiaTheme="minorEastAsia"/>
                <w:color w:val="000000"/>
                <w:kern w:val="0"/>
                <w:sz w:val="20"/>
                <w:szCs w:val="20"/>
              </w:rPr>
              <w:t>子句及</w:t>
            </w:r>
            <w:r>
              <w:rPr>
                <w:rFonts w:asciiTheme="minorEastAsia" w:hAnsiTheme="minorEastAsia" w:eastAsiaTheme="minorEastAsia"/>
                <w:color w:val="000000"/>
                <w:kern w:val="0"/>
                <w:sz w:val="20"/>
                <w:szCs w:val="20"/>
              </w:rPr>
              <w:t>for update nowait</w:t>
            </w:r>
            <w:r>
              <w:rPr>
                <w:rFonts w:hint="eastAsia" w:asciiTheme="minorEastAsia" w:hAnsiTheme="minorEastAsia" w:eastAsiaTheme="minorEastAsia"/>
                <w:color w:val="000000"/>
                <w:kern w:val="0"/>
                <w:sz w:val="20"/>
                <w:szCs w:val="20"/>
              </w:rPr>
              <w:t>语法、支持外连接操作符（</w:t>
            </w:r>
            <w:r>
              <w:rPr>
                <w:rFonts w:asciiTheme="minorEastAsia" w:hAnsiTheme="minorEastAsia" w:eastAsiaTheme="minorEastAsia"/>
                <w:color w:val="000000"/>
                <w:kern w:val="0"/>
                <w:sz w:val="20"/>
                <w:szCs w:val="20"/>
              </w:rPr>
              <w:t>+</w:t>
            </w:r>
            <w:r>
              <w:rPr>
                <w:rFonts w:hint="eastAsia" w:asciiTheme="minorEastAsia" w:hAnsiTheme="minorEastAsia" w:eastAsiaTheme="minorEastAsia"/>
                <w:color w:val="000000"/>
                <w:kern w:val="0"/>
                <w:sz w:val="20"/>
                <w:szCs w:val="20"/>
              </w:rPr>
              <w:t>）来替代</w:t>
            </w:r>
            <w:r>
              <w:rPr>
                <w:rFonts w:asciiTheme="minorEastAsia" w:hAnsiTheme="minorEastAsia" w:eastAsiaTheme="minorEastAsia"/>
                <w:color w:val="000000"/>
                <w:kern w:val="0"/>
                <w:sz w:val="20"/>
                <w:szCs w:val="20"/>
              </w:rPr>
              <w:t>join</w:t>
            </w:r>
            <w:r>
              <w:rPr>
                <w:rFonts w:hint="eastAsia" w:asciiTheme="minorEastAsia" w:hAnsiTheme="minorEastAsia" w:eastAsiaTheme="minorEastAsia"/>
                <w:color w:val="000000"/>
                <w:kern w:val="0"/>
                <w:sz w:val="20"/>
                <w:szCs w:val="20"/>
              </w:rPr>
              <w:t>外连接语法、支持</w:t>
            </w:r>
            <w:r>
              <w:rPr>
                <w:rFonts w:asciiTheme="minorEastAsia" w:hAnsiTheme="minorEastAsia" w:eastAsiaTheme="minorEastAsia"/>
                <w:color w:val="000000"/>
                <w:kern w:val="0"/>
                <w:sz w:val="20"/>
                <w:szCs w:val="20"/>
              </w:rPr>
              <w:t>default on null</w:t>
            </w:r>
            <w:r>
              <w:rPr>
                <w:rFonts w:hint="eastAsia" w:asciiTheme="minorEastAsia" w:hAnsiTheme="minorEastAsia" w:eastAsiaTheme="minorEastAsia"/>
                <w:color w:val="000000"/>
                <w:kern w:val="0"/>
                <w:sz w:val="20"/>
                <w:szCs w:val="20"/>
              </w:rPr>
              <w:t>语法；</w:t>
            </w:r>
          </w:p>
          <w:p w14:paraId="330AB350">
            <w:pPr>
              <w:widowControl/>
              <w:jc w:val="both"/>
              <w:textAlignment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20"/>
                <w:szCs w:val="20"/>
              </w:rPr>
              <w:t>14</w:t>
            </w:r>
            <w:r>
              <w:rPr>
                <w:rFonts w:hint="eastAsia" w:asciiTheme="minorEastAsia" w:hAnsiTheme="minorEastAsia" w:eastAsiaTheme="minorEastAsia"/>
                <w:color w:val="000000"/>
                <w:kern w:val="0"/>
                <w:sz w:val="20"/>
                <w:szCs w:val="20"/>
              </w:rPr>
              <w:t>、兼容</w:t>
            </w:r>
            <w:r>
              <w:rPr>
                <w:rFonts w:asciiTheme="minorEastAsia" w:hAnsiTheme="minorEastAsia" w:eastAsiaTheme="minorEastAsia"/>
                <w:color w:val="000000"/>
                <w:kern w:val="0"/>
                <w:sz w:val="20"/>
                <w:szCs w:val="20"/>
              </w:rPr>
              <w:t>MySQL</w:t>
            </w:r>
            <w:r>
              <w:rPr>
                <w:rFonts w:hint="eastAsia" w:asciiTheme="minorEastAsia" w:hAnsiTheme="minorEastAsia" w:eastAsiaTheme="minorEastAsia"/>
                <w:color w:val="000000"/>
                <w:kern w:val="0"/>
                <w:sz w:val="20"/>
                <w:szCs w:val="20"/>
              </w:rPr>
              <w:t>语法功能，包括支持自增列</w:t>
            </w:r>
            <w:r>
              <w:rPr>
                <w:rFonts w:asciiTheme="minorEastAsia" w:hAnsiTheme="minorEastAsia" w:eastAsiaTheme="minorEastAsia"/>
                <w:color w:val="000000"/>
                <w:kern w:val="0"/>
                <w:sz w:val="20"/>
                <w:szCs w:val="20"/>
              </w:rPr>
              <w:t>auto_increment</w:t>
            </w:r>
            <w:r>
              <w:rPr>
                <w:rFonts w:hint="eastAsia" w:asciiTheme="minorEastAsia" w:hAnsiTheme="minorEastAsia" w:eastAsiaTheme="minorEastAsia"/>
                <w:color w:val="000000"/>
                <w:kern w:val="0"/>
                <w:sz w:val="20"/>
                <w:szCs w:val="20"/>
              </w:rPr>
              <w:t>语法、支持</w:t>
            </w:r>
            <w:r>
              <w:rPr>
                <w:rFonts w:asciiTheme="minorEastAsia" w:hAnsiTheme="minorEastAsia" w:eastAsiaTheme="minorEastAsia"/>
                <w:color w:val="000000"/>
                <w:kern w:val="0"/>
                <w:sz w:val="20"/>
                <w:szCs w:val="20"/>
              </w:rPr>
              <w:t>BINARY</w:t>
            </w:r>
            <w:r>
              <w:rPr>
                <w:rFonts w:hint="eastAsia" w:asciiTheme="minorEastAsia" w:hAnsiTheme="minorEastAsia" w:eastAsiaTheme="minorEastAsia"/>
                <w:color w:val="000000"/>
                <w:kern w:val="0"/>
                <w:sz w:val="20"/>
                <w:szCs w:val="20"/>
              </w:rPr>
              <w:t>操作符查询、支持</w:t>
            </w:r>
            <w:r>
              <w:rPr>
                <w:rFonts w:asciiTheme="minorEastAsia" w:hAnsiTheme="minorEastAsia" w:eastAsiaTheme="minorEastAsia"/>
                <w:color w:val="000000"/>
                <w:kern w:val="0"/>
                <w:sz w:val="20"/>
                <w:szCs w:val="20"/>
              </w:rPr>
              <w:t>order by</w:t>
            </w:r>
            <w:r>
              <w:rPr>
                <w:rFonts w:hint="eastAsia" w:asciiTheme="minorEastAsia" w:hAnsiTheme="minorEastAsia" w:eastAsiaTheme="minorEastAsia"/>
                <w:color w:val="000000"/>
                <w:kern w:val="0"/>
                <w:sz w:val="20"/>
                <w:szCs w:val="20"/>
              </w:rPr>
              <w:t>列名是</w:t>
            </w:r>
            <w:r>
              <w:rPr>
                <w:rFonts w:asciiTheme="minorEastAsia" w:hAnsiTheme="minorEastAsia" w:eastAsiaTheme="minorEastAsia"/>
                <w:color w:val="000000"/>
                <w:kern w:val="0"/>
                <w:sz w:val="20"/>
                <w:szCs w:val="20"/>
              </w:rPr>
              <w:t>select distinct</w:t>
            </w:r>
            <w:r>
              <w:rPr>
                <w:rFonts w:hint="eastAsia" w:asciiTheme="minorEastAsia" w:hAnsiTheme="minorEastAsia" w:eastAsiaTheme="minorEastAsia"/>
                <w:color w:val="000000"/>
                <w:kern w:val="0"/>
                <w:sz w:val="20"/>
                <w:szCs w:val="20"/>
              </w:rPr>
              <w:t>查询项中没有的字段。</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4973FED8">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2</w:t>
            </w:r>
          </w:p>
        </w:tc>
        <w:tc>
          <w:tcPr>
            <w:tcW w:w="611" w:type="pct"/>
            <w:tcBorders>
              <w:top w:val="single" w:color="000000" w:sz="4" w:space="0"/>
              <w:left w:val="single" w:color="000000" w:sz="4" w:space="0"/>
              <w:bottom w:val="single" w:color="000000" w:sz="4" w:space="0"/>
              <w:right w:val="single" w:color="000000" w:sz="4" w:space="0"/>
            </w:tcBorders>
            <w:noWrap/>
            <w:vAlign w:val="center"/>
          </w:tcPr>
          <w:p w14:paraId="79D39C7C">
            <w:pPr>
              <w:widowControl/>
              <w:jc w:val="center"/>
              <w:textAlignment w:val="center"/>
              <w:rPr>
                <w:rFonts w:hAnsi="微软雅黑" w:eastAsia="微软雅黑"/>
                <w:color w:val="000000"/>
                <w:kern w:val="0"/>
                <w:sz w:val="18"/>
                <w:szCs w:val="18"/>
              </w:rPr>
            </w:pPr>
            <w:r>
              <w:rPr>
                <w:rFonts w:hint="eastAsia" w:hAnsi="微软雅黑" w:eastAsia="微软雅黑"/>
                <w:color w:val="000000"/>
                <w:kern w:val="0"/>
                <w:sz w:val="18"/>
                <w:szCs w:val="18"/>
              </w:rPr>
              <w:t>2025年</w:t>
            </w:r>
          </w:p>
        </w:tc>
      </w:tr>
    </w:tbl>
    <w:p w14:paraId="362E5A1B">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项目软件开发功能模块具体明细如下</w:t>
      </w:r>
      <w:r>
        <w:rPr>
          <w:rFonts w:hint="eastAsia" w:ascii="Times New Roman" w:hAnsi="Times New Roman" w:eastAsia="仿宋_GB2312"/>
          <w:b/>
          <w:sz w:val="32"/>
          <w:szCs w:val="32"/>
        </w:rPr>
        <w:t>（投标时请以此表为准进行投标）</w:t>
      </w:r>
      <w:r>
        <w:rPr>
          <w:rFonts w:hint="eastAsia" w:ascii="Times New Roman" w:hAnsi="Times New Roman" w:eastAsia="仿宋_GB2312"/>
          <w:sz w:val="32"/>
          <w:szCs w:val="32"/>
        </w:rPr>
        <w:t>：</w:t>
      </w:r>
    </w:p>
    <w:tbl>
      <w:tblPr>
        <w:tblStyle w:val="23"/>
        <w:tblW w:w="5000" w:type="pct"/>
        <w:tblInd w:w="0" w:type="dxa"/>
        <w:tblLayout w:type="autofit"/>
        <w:tblCellMar>
          <w:top w:w="0" w:type="dxa"/>
          <w:left w:w="108" w:type="dxa"/>
          <w:bottom w:w="0" w:type="dxa"/>
          <w:right w:w="108" w:type="dxa"/>
        </w:tblCellMar>
      </w:tblPr>
      <w:tblGrid>
        <w:gridCol w:w="622"/>
        <w:gridCol w:w="1094"/>
        <w:gridCol w:w="1704"/>
        <w:gridCol w:w="5102"/>
      </w:tblGrid>
      <w:tr w14:paraId="5687F9B2">
        <w:tblPrEx>
          <w:tblCellMar>
            <w:top w:w="0" w:type="dxa"/>
            <w:left w:w="108" w:type="dxa"/>
            <w:bottom w:w="0" w:type="dxa"/>
            <w:right w:w="108" w:type="dxa"/>
          </w:tblCellMar>
        </w:tblPrEx>
        <w:trPr>
          <w:trHeight w:val="270" w:hRule="atLeast"/>
        </w:trPr>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6A08BD0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42" w:type="pct"/>
            <w:tcBorders>
              <w:top w:val="single" w:color="auto" w:sz="4" w:space="0"/>
              <w:left w:val="nil"/>
              <w:bottom w:val="single" w:color="auto" w:sz="4" w:space="0"/>
              <w:right w:val="single" w:color="auto" w:sz="4" w:space="0"/>
            </w:tcBorders>
            <w:shd w:val="clear" w:color="auto" w:fill="auto"/>
            <w:vAlign w:val="center"/>
          </w:tcPr>
          <w:p w14:paraId="621FA8E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建设内容</w:t>
            </w:r>
          </w:p>
        </w:tc>
        <w:tc>
          <w:tcPr>
            <w:tcW w:w="1000" w:type="pct"/>
            <w:tcBorders>
              <w:top w:val="single" w:color="auto" w:sz="4" w:space="0"/>
              <w:left w:val="nil"/>
              <w:bottom w:val="single" w:color="auto" w:sz="4" w:space="0"/>
              <w:right w:val="single" w:color="auto" w:sz="4" w:space="0"/>
            </w:tcBorders>
            <w:shd w:val="clear" w:color="auto" w:fill="auto"/>
            <w:vAlign w:val="center"/>
          </w:tcPr>
          <w:p w14:paraId="7E30C88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功能模块</w:t>
            </w:r>
          </w:p>
        </w:tc>
        <w:tc>
          <w:tcPr>
            <w:tcW w:w="2993" w:type="pct"/>
            <w:tcBorders>
              <w:top w:val="single" w:color="auto" w:sz="4" w:space="0"/>
              <w:left w:val="nil"/>
              <w:bottom w:val="single" w:color="auto" w:sz="4" w:space="0"/>
              <w:right w:val="single" w:color="auto" w:sz="4" w:space="0"/>
            </w:tcBorders>
            <w:shd w:val="clear" w:color="auto" w:fill="auto"/>
            <w:vAlign w:val="center"/>
          </w:tcPr>
          <w:p w14:paraId="610D33C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二级模块</w:t>
            </w:r>
          </w:p>
        </w:tc>
      </w:tr>
      <w:tr w14:paraId="528C1FF1">
        <w:tblPrEx>
          <w:tblCellMar>
            <w:top w:w="0" w:type="dxa"/>
            <w:left w:w="108" w:type="dxa"/>
            <w:bottom w:w="0" w:type="dxa"/>
            <w:right w:w="108" w:type="dxa"/>
          </w:tblCellMar>
        </w:tblPrEx>
        <w:trPr>
          <w:trHeight w:val="270" w:hRule="atLeast"/>
        </w:trPr>
        <w:tc>
          <w:tcPr>
            <w:tcW w:w="365" w:type="pct"/>
            <w:vMerge w:val="restart"/>
            <w:tcBorders>
              <w:top w:val="nil"/>
              <w:left w:val="single" w:color="auto" w:sz="4" w:space="0"/>
              <w:bottom w:val="single" w:color="auto" w:sz="4" w:space="0"/>
              <w:right w:val="single" w:color="auto" w:sz="4" w:space="0"/>
            </w:tcBorders>
            <w:shd w:val="clear" w:color="auto" w:fill="auto"/>
            <w:vAlign w:val="center"/>
          </w:tcPr>
          <w:p w14:paraId="0DCD3162">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642" w:type="pct"/>
            <w:vMerge w:val="restart"/>
            <w:tcBorders>
              <w:top w:val="nil"/>
              <w:left w:val="single" w:color="auto" w:sz="4" w:space="0"/>
              <w:bottom w:val="single" w:color="auto" w:sz="4" w:space="0"/>
              <w:right w:val="single" w:color="auto" w:sz="4" w:space="0"/>
            </w:tcBorders>
            <w:shd w:val="clear" w:color="auto" w:fill="auto"/>
            <w:vAlign w:val="center"/>
          </w:tcPr>
          <w:p w14:paraId="5162489D">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XC</w:t>
            </w:r>
            <w:r>
              <w:rPr>
                <w:rFonts w:hint="eastAsia" w:ascii="宋体" w:hAnsi="宋体" w:cs="宋体"/>
                <w:color w:val="000000"/>
                <w:kern w:val="0"/>
                <w:sz w:val="22"/>
                <w:szCs w:val="22"/>
              </w:rPr>
              <w:t>改造-民警管理业务子系统</w:t>
            </w:r>
          </w:p>
        </w:tc>
        <w:tc>
          <w:tcPr>
            <w:tcW w:w="1000" w:type="pct"/>
            <w:tcBorders>
              <w:top w:val="nil"/>
              <w:left w:val="nil"/>
              <w:bottom w:val="single" w:color="auto" w:sz="4" w:space="0"/>
              <w:right w:val="single" w:color="auto" w:sz="4" w:space="0"/>
            </w:tcBorders>
            <w:shd w:val="clear" w:color="auto" w:fill="auto"/>
            <w:vAlign w:val="center"/>
          </w:tcPr>
          <w:p w14:paraId="1C2736B7">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综合性工作</w:t>
            </w:r>
          </w:p>
        </w:tc>
        <w:tc>
          <w:tcPr>
            <w:tcW w:w="2993" w:type="pct"/>
            <w:tcBorders>
              <w:top w:val="nil"/>
              <w:left w:val="nil"/>
              <w:bottom w:val="single" w:color="auto" w:sz="4" w:space="0"/>
              <w:right w:val="single" w:color="auto" w:sz="4" w:space="0"/>
            </w:tcBorders>
            <w:shd w:val="clear" w:color="auto" w:fill="auto"/>
            <w:vAlign w:val="center"/>
          </w:tcPr>
          <w:p w14:paraId="156FA6D0">
            <w:pPr>
              <w:widowControl/>
              <w:jc w:val="center"/>
              <w:rPr>
                <w:rFonts w:ascii="宋体" w:hAnsi="宋体" w:cs="宋体"/>
                <w:color w:val="000000"/>
                <w:kern w:val="0"/>
                <w:sz w:val="22"/>
                <w:szCs w:val="22"/>
              </w:rPr>
            </w:pPr>
            <w:r>
              <w:rPr>
                <w:rFonts w:hint="eastAsia" w:ascii="宋体" w:hAnsi="宋体" w:cs="宋体"/>
                <w:color w:val="000000"/>
                <w:kern w:val="0"/>
                <w:sz w:val="22"/>
                <w:szCs w:val="22"/>
              </w:rPr>
              <w:t>主要对协同办公系统进行适配改造</w:t>
            </w:r>
          </w:p>
        </w:tc>
      </w:tr>
      <w:tr w14:paraId="35450A1E">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70BC9B37">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64713F58">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00B28B48">
            <w:pPr>
              <w:widowControl/>
              <w:jc w:val="center"/>
              <w:rPr>
                <w:rFonts w:ascii="宋体" w:hAnsi="宋体" w:cs="宋体"/>
                <w:color w:val="000000"/>
                <w:kern w:val="0"/>
                <w:sz w:val="22"/>
                <w:szCs w:val="22"/>
              </w:rPr>
            </w:pPr>
            <w:r>
              <w:rPr>
                <w:rFonts w:hint="eastAsia" w:ascii="宋体" w:hAnsi="宋体" w:cs="宋体"/>
                <w:color w:val="000000"/>
                <w:kern w:val="0"/>
                <w:sz w:val="22"/>
                <w:szCs w:val="22"/>
              </w:rPr>
              <w:t>网站群</w:t>
            </w:r>
          </w:p>
        </w:tc>
        <w:tc>
          <w:tcPr>
            <w:tcW w:w="2993" w:type="pct"/>
            <w:tcBorders>
              <w:top w:val="nil"/>
              <w:left w:val="nil"/>
              <w:bottom w:val="single" w:color="auto" w:sz="4" w:space="0"/>
              <w:right w:val="single" w:color="auto" w:sz="4" w:space="0"/>
            </w:tcBorders>
            <w:shd w:val="clear" w:color="auto" w:fill="auto"/>
            <w:vAlign w:val="center"/>
          </w:tcPr>
          <w:p w14:paraId="4EDEFB48">
            <w:pPr>
              <w:widowControl/>
              <w:jc w:val="center"/>
              <w:rPr>
                <w:rFonts w:ascii="宋体" w:hAnsi="宋体" w:cs="宋体"/>
                <w:color w:val="000000"/>
                <w:kern w:val="0"/>
                <w:sz w:val="22"/>
                <w:szCs w:val="22"/>
              </w:rPr>
            </w:pPr>
            <w:r>
              <w:rPr>
                <w:rFonts w:hint="eastAsia" w:ascii="宋体" w:hAnsi="宋体" w:cs="宋体"/>
                <w:color w:val="000000"/>
                <w:kern w:val="0"/>
                <w:sz w:val="22"/>
                <w:szCs w:val="22"/>
              </w:rPr>
              <w:t>主要对网站群进行适配改造</w:t>
            </w:r>
          </w:p>
        </w:tc>
      </w:tr>
      <w:tr w14:paraId="5F1D0A3D">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0015BFE8">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396A80B0">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60486FE6">
            <w:pPr>
              <w:widowControl/>
              <w:jc w:val="center"/>
              <w:rPr>
                <w:rFonts w:ascii="宋体" w:hAnsi="宋体" w:cs="宋体"/>
                <w:color w:val="000000"/>
                <w:kern w:val="0"/>
                <w:sz w:val="22"/>
                <w:szCs w:val="22"/>
              </w:rPr>
            </w:pPr>
            <w:r>
              <w:rPr>
                <w:rFonts w:hint="eastAsia" w:ascii="宋体" w:hAnsi="宋体" w:cs="宋体"/>
                <w:color w:val="000000"/>
                <w:kern w:val="0"/>
                <w:sz w:val="22"/>
                <w:szCs w:val="22"/>
              </w:rPr>
              <w:t>请假模块</w:t>
            </w:r>
          </w:p>
        </w:tc>
        <w:tc>
          <w:tcPr>
            <w:tcW w:w="2993" w:type="pct"/>
            <w:tcBorders>
              <w:top w:val="nil"/>
              <w:left w:val="nil"/>
              <w:bottom w:val="single" w:color="auto" w:sz="4" w:space="0"/>
              <w:right w:val="single" w:color="auto" w:sz="4" w:space="0"/>
            </w:tcBorders>
            <w:shd w:val="clear" w:color="auto" w:fill="auto"/>
            <w:vAlign w:val="center"/>
          </w:tcPr>
          <w:p w14:paraId="0DEF7110">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改造范围包括：请假申请、请假管理、请假审核、请假统计分析等功能</w:t>
            </w:r>
          </w:p>
        </w:tc>
      </w:tr>
      <w:tr w14:paraId="46E33925">
        <w:tblPrEx>
          <w:tblCellMar>
            <w:top w:w="0" w:type="dxa"/>
            <w:left w:w="108" w:type="dxa"/>
            <w:bottom w:w="0" w:type="dxa"/>
            <w:right w:w="108" w:type="dxa"/>
          </w:tblCellMar>
        </w:tblPrEx>
        <w:trPr>
          <w:trHeight w:val="810" w:hRule="atLeast"/>
        </w:trPr>
        <w:tc>
          <w:tcPr>
            <w:tcW w:w="365" w:type="pct"/>
            <w:vMerge w:val="continue"/>
            <w:tcBorders>
              <w:top w:val="nil"/>
              <w:left w:val="single" w:color="auto" w:sz="4" w:space="0"/>
              <w:bottom w:val="single" w:color="auto" w:sz="4" w:space="0"/>
              <w:right w:val="single" w:color="auto" w:sz="4" w:space="0"/>
            </w:tcBorders>
            <w:vAlign w:val="center"/>
          </w:tcPr>
          <w:p w14:paraId="25F89462">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21E6555C">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30337D1C">
            <w:pPr>
              <w:widowControl/>
              <w:jc w:val="center"/>
              <w:rPr>
                <w:rFonts w:ascii="宋体" w:hAnsi="宋体" w:cs="宋体"/>
                <w:color w:val="000000"/>
                <w:kern w:val="0"/>
                <w:sz w:val="22"/>
                <w:szCs w:val="22"/>
              </w:rPr>
            </w:pPr>
            <w:r>
              <w:rPr>
                <w:rFonts w:hint="eastAsia" w:ascii="宋体" w:hAnsi="宋体" w:cs="宋体"/>
                <w:color w:val="000000"/>
                <w:kern w:val="0"/>
                <w:sz w:val="22"/>
                <w:szCs w:val="22"/>
              </w:rPr>
              <w:t>团建管理</w:t>
            </w:r>
          </w:p>
        </w:tc>
        <w:tc>
          <w:tcPr>
            <w:tcW w:w="2993" w:type="pct"/>
            <w:tcBorders>
              <w:top w:val="nil"/>
              <w:left w:val="nil"/>
              <w:bottom w:val="single" w:color="auto" w:sz="4" w:space="0"/>
              <w:right w:val="single" w:color="auto" w:sz="4" w:space="0"/>
            </w:tcBorders>
            <w:shd w:val="clear" w:color="auto" w:fill="auto"/>
            <w:vAlign w:val="center"/>
          </w:tcPr>
          <w:p w14:paraId="1A33F9A8">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团组织管理（团组织管理、团组织奖惩、青年集体奖励、年度计划、结对帮扶活动、组织生活、团费管理）、团员管理（团员管理、团员奖惩、青年个人奖励、团组织关系转出、团组织关系转入、团员发展）等功能</w:t>
            </w:r>
          </w:p>
        </w:tc>
      </w:tr>
      <w:tr w14:paraId="3C2C32B0">
        <w:tblPrEx>
          <w:tblCellMar>
            <w:top w:w="0" w:type="dxa"/>
            <w:left w:w="108" w:type="dxa"/>
            <w:bottom w:w="0" w:type="dxa"/>
            <w:right w:w="108" w:type="dxa"/>
          </w:tblCellMar>
        </w:tblPrEx>
        <w:trPr>
          <w:trHeight w:val="810" w:hRule="atLeast"/>
        </w:trPr>
        <w:tc>
          <w:tcPr>
            <w:tcW w:w="365" w:type="pct"/>
            <w:vMerge w:val="continue"/>
            <w:tcBorders>
              <w:top w:val="nil"/>
              <w:left w:val="single" w:color="auto" w:sz="4" w:space="0"/>
              <w:bottom w:val="single" w:color="auto" w:sz="4" w:space="0"/>
              <w:right w:val="single" w:color="auto" w:sz="4" w:space="0"/>
            </w:tcBorders>
            <w:vAlign w:val="center"/>
          </w:tcPr>
          <w:p w14:paraId="5DDB0CC5">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34A194B5">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34EDFC11">
            <w:pPr>
              <w:widowControl/>
              <w:jc w:val="center"/>
              <w:rPr>
                <w:rFonts w:ascii="宋体" w:hAnsi="宋体" w:cs="宋体"/>
                <w:color w:val="000000"/>
                <w:kern w:val="0"/>
                <w:sz w:val="22"/>
                <w:szCs w:val="22"/>
              </w:rPr>
            </w:pPr>
            <w:r>
              <w:rPr>
                <w:rFonts w:hint="eastAsia" w:ascii="宋体" w:hAnsi="宋体" w:cs="宋体"/>
                <w:color w:val="000000"/>
                <w:kern w:val="0"/>
                <w:sz w:val="22"/>
                <w:szCs w:val="22"/>
              </w:rPr>
              <w:t>人事工作</w:t>
            </w:r>
          </w:p>
        </w:tc>
        <w:tc>
          <w:tcPr>
            <w:tcW w:w="2993" w:type="pct"/>
            <w:tcBorders>
              <w:top w:val="nil"/>
              <w:left w:val="nil"/>
              <w:bottom w:val="single" w:color="auto" w:sz="4" w:space="0"/>
              <w:right w:val="single" w:color="auto" w:sz="4" w:space="0"/>
            </w:tcBorders>
            <w:shd w:val="clear" w:color="auto" w:fill="auto"/>
            <w:vAlign w:val="center"/>
          </w:tcPr>
          <w:p w14:paraId="32539275">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警衔晋升（警衔季度管理、警衔回填列表、警衔校验、警衔警戒配置、警衔命令下载）、公务员登记（待登记人员、登记管理、登记归档）、警察证（通知公告、自动生成名册、手动生成名册、制证名册、导出名册、已回填记录删除）等功能</w:t>
            </w:r>
          </w:p>
        </w:tc>
      </w:tr>
      <w:tr w14:paraId="3FAE81C3">
        <w:tblPrEx>
          <w:tblCellMar>
            <w:top w:w="0" w:type="dxa"/>
            <w:left w:w="108" w:type="dxa"/>
            <w:bottom w:w="0" w:type="dxa"/>
            <w:right w:w="108" w:type="dxa"/>
          </w:tblCellMar>
        </w:tblPrEx>
        <w:trPr>
          <w:trHeight w:val="540" w:hRule="atLeast"/>
        </w:trPr>
        <w:tc>
          <w:tcPr>
            <w:tcW w:w="365" w:type="pct"/>
            <w:vMerge w:val="continue"/>
            <w:tcBorders>
              <w:top w:val="nil"/>
              <w:left w:val="single" w:color="auto" w:sz="4" w:space="0"/>
              <w:bottom w:val="single" w:color="auto" w:sz="4" w:space="0"/>
              <w:right w:val="single" w:color="auto" w:sz="4" w:space="0"/>
            </w:tcBorders>
            <w:vAlign w:val="center"/>
          </w:tcPr>
          <w:p w14:paraId="267BA2E0">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0042011A">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0A1D45C3">
            <w:pPr>
              <w:widowControl/>
              <w:jc w:val="center"/>
              <w:rPr>
                <w:rFonts w:ascii="宋体" w:hAnsi="宋体" w:cs="宋体"/>
                <w:color w:val="000000"/>
                <w:kern w:val="0"/>
                <w:sz w:val="22"/>
                <w:szCs w:val="22"/>
              </w:rPr>
            </w:pPr>
            <w:r>
              <w:rPr>
                <w:rFonts w:hint="eastAsia" w:ascii="宋体" w:hAnsi="宋体" w:cs="宋体"/>
                <w:color w:val="000000"/>
                <w:kern w:val="0"/>
                <w:sz w:val="22"/>
                <w:szCs w:val="22"/>
              </w:rPr>
              <w:t>机构编制工作</w:t>
            </w:r>
          </w:p>
        </w:tc>
        <w:tc>
          <w:tcPr>
            <w:tcW w:w="2993" w:type="pct"/>
            <w:tcBorders>
              <w:top w:val="nil"/>
              <w:left w:val="nil"/>
              <w:bottom w:val="single" w:color="auto" w:sz="4" w:space="0"/>
              <w:right w:val="single" w:color="auto" w:sz="4" w:space="0"/>
            </w:tcBorders>
            <w:shd w:val="clear" w:color="auto" w:fill="auto"/>
            <w:vAlign w:val="center"/>
          </w:tcPr>
          <w:p w14:paraId="4AC2631A">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改造范围包括：编制机构、非编制机构、角色创建、角色用户配置、批量增加、批量修改等功能</w:t>
            </w:r>
          </w:p>
        </w:tc>
      </w:tr>
      <w:tr w14:paraId="4A876A84">
        <w:tblPrEx>
          <w:tblCellMar>
            <w:top w:w="0" w:type="dxa"/>
            <w:left w:w="108" w:type="dxa"/>
            <w:bottom w:w="0" w:type="dxa"/>
            <w:right w:w="108" w:type="dxa"/>
          </w:tblCellMar>
        </w:tblPrEx>
        <w:trPr>
          <w:trHeight w:val="540" w:hRule="atLeast"/>
        </w:trPr>
        <w:tc>
          <w:tcPr>
            <w:tcW w:w="365" w:type="pct"/>
            <w:vMerge w:val="continue"/>
            <w:tcBorders>
              <w:top w:val="nil"/>
              <w:left w:val="single" w:color="auto" w:sz="4" w:space="0"/>
              <w:bottom w:val="single" w:color="auto" w:sz="4" w:space="0"/>
              <w:right w:val="single" w:color="auto" w:sz="4" w:space="0"/>
            </w:tcBorders>
            <w:vAlign w:val="center"/>
          </w:tcPr>
          <w:p w14:paraId="15D92BE0">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483461EE">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7D327F6C">
            <w:pPr>
              <w:widowControl/>
              <w:jc w:val="center"/>
              <w:rPr>
                <w:rFonts w:ascii="宋体" w:hAnsi="宋体" w:cs="宋体"/>
                <w:color w:val="000000"/>
                <w:kern w:val="0"/>
                <w:sz w:val="22"/>
                <w:szCs w:val="22"/>
              </w:rPr>
            </w:pPr>
            <w:r>
              <w:rPr>
                <w:rFonts w:hint="eastAsia" w:ascii="宋体" w:hAnsi="宋体" w:cs="宋体"/>
                <w:color w:val="000000"/>
                <w:kern w:val="0"/>
                <w:sz w:val="22"/>
                <w:szCs w:val="22"/>
              </w:rPr>
              <w:t>警力调配</w:t>
            </w:r>
          </w:p>
        </w:tc>
        <w:tc>
          <w:tcPr>
            <w:tcW w:w="2993" w:type="pct"/>
            <w:tcBorders>
              <w:top w:val="nil"/>
              <w:left w:val="nil"/>
              <w:bottom w:val="single" w:color="auto" w:sz="4" w:space="0"/>
              <w:right w:val="single" w:color="auto" w:sz="4" w:space="0"/>
            </w:tcBorders>
            <w:shd w:val="clear" w:color="auto" w:fill="auto"/>
            <w:vAlign w:val="center"/>
          </w:tcPr>
          <w:p w14:paraId="1119F98D">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改造范围包括：选调交流、工作调动（单位内部调动、跨单位调动、调动配置）、减员管理、新进人员等功能</w:t>
            </w:r>
          </w:p>
        </w:tc>
      </w:tr>
      <w:tr w14:paraId="7CD48D74">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17C6329F">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528204DC">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4A169CC8">
            <w:pPr>
              <w:widowControl/>
              <w:jc w:val="center"/>
              <w:rPr>
                <w:rFonts w:ascii="宋体" w:hAnsi="宋体" w:cs="宋体"/>
                <w:color w:val="000000"/>
                <w:kern w:val="0"/>
                <w:sz w:val="22"/>
                <w:szCs w:val="22"/>
              </w:rPr>
            </w:pPr>
            <w:r>
              <w:rPr>
                <w:rFonts w:hint="eastAsia" w:ascii="宋体" w:hAnsi="宋体" w:cs="宋体"/>
                <w:color w:val="000000"/>
                <w:kern w:val="0"/>
                <w:sz w:val="22"/>
                <w:szCs w:val="22"/>
              </w:rPr>
              <w:t>福利优抚工作</w:t>
            </w:r>
          </w:p>
        </w:tc>
        <w:tc>
          <w:tcPr>
            <w:tcW w:w="2993" w:type="pct"/>
            <w:tcBorders>
              <w:top w:val="nil"/>
              <w:left w:val="nil"/>
              <w:bottom w:val="single" w:color="auto" w:sz="4" w:space="0"/>
              <w:right w:val="single" w:color="auto" w:sz="4" w:space="0"/>
            </w:tcBorders>
            <w:shd w:val="clear" w:color="auto" w:fill="auto"/>
            <w:vAlign w:val="center"/>
          </w:tcPr>
          <w:p w14:paraId="3A9CE077">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改造范围包括：疗休养、福利优抚等功能</w:t>
            </w:r>
          </w:p>
        </w:tc>
      </w:tr>
      <w:tr w14:paraId="42518298">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028D9FA3">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2D67B2A0">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75D4F165">
            <w:pPr>
              <w:widowControl/>
              <w:jc w:val="center"/>
              <w:rPr>
                <w:rFonts w:ascii="宋体" w:hAnsi="宋体" w:cs="宋体"/>
                <w:color w:val="000000"/>
                <w:kern w:val="0"/>
                <w:sz w:val="22"/>
                <w:szCs w:val="22"/>
              </w:rPr>
            </w:pPr>
            <w:r>
              <w:rPr>
                <w:rFonts w:hint="eastAsia" w:ascii="宋体" w:hAnsi="宋体" w:cs="宋体"/>
                <w:color w:val="000000"/>
                <w:kern w:val="0"/>
                <w:sz w:val="22"/>
                <w:szCs w:val="22"/>
              </w:rPr>
              <w:t>出国境</w:t>
            </w:r>
          </w:p>
        </w:tc>
        <w:tc>
          <w:tcPr>
            <w:tcW w:w="2993" w:type="pct"/>
            <w:tcBorders>
              <w:top w:val="nil"/>
              <w:left w:val="nil"/>
              <w:bottom w:val="single" w:color="auto" w:sz="4" w:space="0"/>
              <w:right w:val="single" w:color="auto" w:sz="4" w:space="0"/>
            </w:tcBorders>
            <w:shd w:val="clear" w:color="auto" w:fill="auto"/>
            <w:vAlign w:val="center"/>
          </w:tcPr>
          <w:p w14:paraId="790A3A8F">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改造范围包括：我的申请、我的待</w:t>
            </w:r>
            <w:bookmarkStart w:id="6" w:name="_GoBack"/>
            <w:bookmarkEnd w:id="6"/>
            <w:r>
              <w:rPr>
                <w:rFonts w:hint="eastAsia" w:ascii="宋体" w:hAnsi="宋体" w:cs="宋体"/>
                <w:color w:val="000000"/>
                <w:kern w:val="0"/>
                <w:sz w:val="22"/>
                <w:szCs w:val="22"/>
              </w:rPr>
              <w:t>办、我的查询、我的管理等功能</w:t>
            </w:r>
          </w:p>
        </w:tc>
      </w:tr>
      <w:tr w14:paraId="163905FE">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7F8C3BD8">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1A63D1FE">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6B7677CD">
            <w:pPr>
              <w:widowControl/>
              <w:jc w:val="center"/>
              <w:rPr>
                <w:rFonts w:ascii="宋体" w:hAnsi="宋体" w:cs="宋体"/>
                <w:color w:val="000000"/>
                <w:kern w:val="0"/>
                <w:sz w:val="22"/>
                <w:szCs w:val="22"/>
              </w:rPr>
            </w:pPr>
            <w:r>
              <w:rPr>
                <w:rFonts w:hint="eastAsia" w:ascii="宋体" w:hAnsi="宋体" w:cs="宋体"/>
                <w:color w:val="000000"/>
                <w:kern w:val="0"/>
                <w:sz w:val="22"/>
                <w:szCs w:val="22"/>
              </w:rPr>
              <w:t>宣传工作</w:t>
            </w:r>
          </w:p>
        </w:tc>
        <w:tc>
          <w:tcPr>
            <w:tcW w:w="2993" w:type="pct"/>
            <w:tcBorders>
              <w:top w:val="nil"/>
              <w:left w:val="nil"/>
              <w:bottom w:val="single" w:color="auto" w:sz="4" w:space="0"/>
              <w:right w:val="single" w:color="auto" w:sz="4" w:space="0"/>
            </w:tcBorders>
            <w:shd w:val="clear" w:color="auto" w:fill="auto"/>
            <w:vAlign w:val="center"/>
          </w:tcPr>
          <w:p w14:paraId="2C3FC460">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改造范围包括：表彰奖励、典型库、外宣稿件、</w:t>
            </w:r>
            <w:r>
              <w:rPr>
                <w:rFonts w:hint="eastAsia" w:ascii="宋体" w:hAnsi="宋体" w:cs="宋体"/>
                <w:color w:val="000000"/>
                <w:kern w:val="0"/>
                <w:sz w:val="22"/>
                <w:szCs w:val="22"/>
                <w:lang w:val="en-US" w:eastAsia="zh-CN"/>
              </w:rPr>
              <w:t>YQ</w:t>
            </w:r>
            <w:r>
              <w:rPr>
                <w:rFonts w:hint="eastAsia" w:ascii="宋体" w:hAnsi="宋体" w:cs="宋体"/>
                <w:color w:val="000000"/>
                <w:kern w:val="0"/>
                <w:sz w:val="22"/>
                <w:szCs w:val="22"/>
              </w:rPr>
              <w:t>案例库等功能</w:t>
            </w:r>
          </w:p>
        </w:tc>
      </w:tr>
      <w:tr w14:paraId="3026D706">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26165EC9">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29FF6B67">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43051E8A">
            <w:pPr>
              <w:widowControl/>
              <w:jc w:val="center"/>
              <w:rPr>
                <w:rFonts w:ascii="宋体" w:hAnsi="宋体" w:cs="宋体"/>
                <w:color w:val="000000"/>
                <w:kern w:val="0"/>
                <w:sz w:val="22"/>
                <w:szCs w:val="22"/>
              </w:rPr>
            </w:pPr>
            <w:r>
              <w:rPr>
                <w:rFonts w:hint="eastAsia" w:ascii="宋体" w:hAnsi="宋体" w:cs="宋体"/>
                <w:color w:val="000000"/>
                <w:kern w:val="0"/>
                <w:sz w:val="22"/>
                <w:szCs w:val="22"/>
              </w:rPr>
              <w:t>党建管理</w:t>
            </w:r>
          </w:p>
        </w:tc>
        <w:tc>
          <w:tcPr>
            <w:tcW w:w="2993" w:type="pct"/>
            <w:tcBorders>
              <w:top w:val="nil"/>
              <w:left w:val="nil"/>
              <w:bottom w:val="single" w:color="auto" w:sz="4" w:space="0"/>
              <w:right w:val="single" w:color="auto" w:sz="4" w:space="0"/>
            </w:tcBorders>
            <w:shd w:val="clear" w:color="auto" w:fill="auto"/>
            <w:vAlign w:val="center"/>
          </w:tcPr>
          <w:p w14:paraId="67FFAB63">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改造范围包括：党组织管理、党员管理等功能。</w:t>
            </w:r>
          </w:p>
        </w:tc>
      </w:tr>
      <w:tr w14:paraId="6E07ED1F">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741C50AC">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0AABA352">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6739DE80">
            <w:pPr>
              <w:widowControl/>
              <w:jc w:val="center"/>
              <w:rPr>
                <w:rFonts w:ascii="宋体" w:hAnsi="宋体" w:cs="宋体"/>
                <w:color w:val="000000"/>
                <w:kern w:val="0"/>
                <w:sz w:val="22"/>
                <w:szCs w:val="22"/>
              </w:rPr>
            </w:pPr>
            <w:r>
              <w:rPr>
                <w:rFonts w:hint="eastAsia" w:ascii="宋体" w:hAnsi="宋体" w:cs="宋体"/>
                <w:color w:val="000000"/>
                <w:kern w:val="0"/>
                <w:sz w:val="22"/>
                <w:szCs w:val="22"/>
              </w:rPr>
              <w:t>工会模块</w:t>
            </w:r>
          </w:p>
        </w:tc>
        <w:tc>
          <w:tcPr>
            <w:tcW w:w="2993" w:type="pct"/>
            <w:tcBorders>
              <w:top w:val="nil"/>
              <w:left w:val="nil"/>
              <w:bottom w:val="single" w:color="auto" w:sz="4" w:space="0"/>
              <w:right w:val="single" w:color="auto" w:sz="4" w:space="0"/>
            </w:tcBorders>
            <w:shd w:val="clear" w:color="auto" w:fill="auto"/>
            <w:vAlign w:val="center"/>
          </w:tcPr>
          <w:p w14:paraId="06BCA313">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改造范围包括：工会管理功能。</w:t>
            </w:r>
          </w:p>
        </w:tc>
      </w:tr>
      <w:tr w14:paraId="0F1BA4A0">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4551F51E">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7AA49BA0">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679037A1">
            <w:pPr>
              <w:widowControl/>
              <w:jc w:val="center"/>
              <w:rPr>
                <w:rFonts w:ascii="宋体" w:hAnsi="宋体" w:cs="宋体"/>
                <w:color w:val="000000"/>
                <w:kern w:val="0"/>
                <w:sz w:val="22"/>
                <w:szCs w:val="22"/>
              </w:rPr>
            </w:pPr>
            <w:r>
              <w:rPr>
                <w:rFonts w:hint="eastAsia" w:ascii="宋体" w:hAnsi="宋体" w:cs="宋体"/>
                <w:color w:val="000000"/>
                <w:kern w:val="0"/>
                <w:sz w:val="22"/>
                <w:szCs w:val="22"/>
              </w:rPr>
              <w:t>警营文化</w:t>
            </w:r>
          </w:p>
        </w:tc>
        <w:tc>
          <w:tcPr>
            <w:tcW w:w="2993" w:type="pct"/>
            <w:tcBorders>
              <w:top w:val="nil"/>
              <w:left w:val="nil"/>
              <w:bottom w:val="single" w:color="auto" w:sz="4" w:space="0"/>
              <w:right w:val="single" w:color="auto" w:sz="4" w:space="0"/>
            </w:tcBorders>
            <w:shd w:val="clear" w:color="auto" w:fill="auto"/>
            <w:vAlign w:val="center"/>
          </w:tcPr>
          <w:p w14:paraId="7B9F6CC5">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改造范围包括：网上公博馆、实物征集、文博资源、书刊社等功能</w:t>
            </w:r>
          </w:p>
        </w:tc>
      </w:tr>
      <w:tr w14:paraId="4A8EDD2B">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010E7146">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3788A4C2">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74E250A1">
            <w:pPr>
              <w:widowControl/>
              <w:jc w:val="center"/>
              <w:rPr>
                <w:rFonts w:ascii="宋体" w:hAnsi="宋体" w:cs="宋体"/>
                <w:color w:val="000000"/>
                <w:kern w:val="0"/>
                <w:sz w:val="22"/>
                <w:szCs w:val="22"/>
              </w:rPr>
            </w:pPr>
            <w:r>
              <w:rPr>
                <w:rFonts w:hint="eastAsia" w:ascii="宋体" w:hAnsi="宋体" w:cs="宋体"/>
                <w:color w:val="000000"/>
                <w:kern w:val="0"/>
                <w:sz w:val="22"/>
                <w:szCs w:val="22"/>
              </w:rPr>
              <w:t>离退休工作</w:t>
            </w:r>
          </w:p>
        </w:tc>
        <w:tc>
          <w:tcPr>
            <w:tcW w:w="2993" w:type="pct"/>
            <w:tcBorders>
              <w:top w:val="nil"/>
              <w:left w:val="nil"/>
              <w:bottom w:val="single" w:color="auto" w:sz="4" w:space="0"/>
              <w:right w:val="single" w:color="auto" w:sz="4" w:space="0"/>
            </w:tcBorders>
            <w:shd w:val="clear" w:color="auto" w:fill="auto"/>
            <w:vAlign w:val="center"/>
          </w:tcPr>
          <w:p w14:paraId="565B4D0D">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改造范围包括：基础信息管理、出国境管理、福利优抚等功能</w:t>
            </w:r>
          </w:p>
        </w:tc>
      </w:tr>
      <w:tr w14:paraId="39F7715C">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2996A928">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646C679A">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33AFE323">
            <w:pPr>
              <w:widowControl/>
              <w:jc w:val="center"/>
              <w:rPr>
                <w:rFonts w:ascii="宋体" w:hAnsi="宋体" w:cs="宋体"/>
                <w:color w:val="000000"/>
                <w:kern w:val="0"/>
                <w:sz w:val="22"/>
                <w:szCs w:val="22"/>
              </w:rPr>
            </w:pPr>
            <w:r>
              <w:rPr>
                <w:rFonts w:hint="eastAsia" w:ascii="宋体" w:hAnsi="宋体" w:cs="宋体"/>
                <w:color w:val="000000"/>
                <w:kern w:val="0"/>
                <w:sz w:val="22"/>
                <w:szCs w:val="22"/>
              </w:rPr>
              <w:t>妇委会工作</w:t>
            </w:r>
          </w:p>
        </w:tc>
        <w:tc>
          <w:tcPr>
            <w:tcW w:w="2993" w:type="pct"/>
            <w:tcBorders>
              <w:top w:val="nil"/>
              <w:left w:val="nil"/>
              <w:bottom w:val="single" w:color="auto" w:sz="4" w:space="0"/>
              <w:right w:val="single" w:color="auto" w:sz="4" w:space="0"/>
            </w:tcBorders>
            <w:shd w:val="clear" w:color="auto" w:fill="auto"/>
            <w:vAlign w:val="center"/>
          </w:tcPr>
          <w:p w14:paraId="7BCC64EC">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改造范围包括：妇委会功能</w:t>
            </w:r>
          </w:p>
        </w:tc>
      </w:tr>
      <w:tr w14:paraId="35BE1167">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6FDF79A5">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67FAE1FF">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0520794B">
            <w:pPr>
              <w:widowControl/>
              <w:jc w:val="center"/>
              <w:rPr>
                <w:rFonts w:ascii="宋体" w:hAnsi="宋体" w:cs="宋体"/>
                <w:color w:val="000000"/>
                <w:kern w:val="0"/>
                <w:sz w:val="22"/>
                <w:szCs w:val="22"/>
              </w:rPr>
            </w:pPr>
            <w:r>
              <w:rPr>
                <w:rFonts w:hint="eastAsia" w:ascii="宋体" w:hAnsi="宋体" w:cs="宋体"/>
                <w:color w:val="000000"/>
                <w:kern w:val="0"/>
                <w:sz w:val="22"/>
                <w:szCs w:val="22"/>
              </w:rPr>
              <w:t>基金会</w:t>
            </w:r>
          </w:p>
        </w:tc>
        <w:tc>
          <w:tcPr>
            <w:tcW w:w="2993" w:type="pct"/>
            <w:tcBorders>
              <w:top w:val="nil"/>
              <w:left w:val="nil"/>
              <w:bottom w:val="single" w:color="auto" w:sz="4" w:space="0"/>
              <w:right w:val="single" w:color="auto" w:sz="4" w:space="0"/>
            </w:tcBorders>
            <w:shd w:val="clear" w:color="auto" w:fill="auto"/>
            <w:vAlign w:val="center"/>
          </w:tcPr>
          <w:p w14:paraId="5B2E2C07">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改造范围包括：即时慰问、公益活动经费报销等功能</w:t>
            </w:r>
          </w:p>
        </w:tc>
      </w:tr>
      <w:tr w14:paraId="38D618B9">
        <w:tblPrEx>
          <w:tblCellMar>
            <w:top w:w="0" w:type="dxa"/>
            <w:left w:w="108" w:type="dxa"/>
            <w:bottom w:w="0" w:type="dxa"/>
            <w:right w:w="108" w:type="dxa"/>
          </w:tblCellMar>
        </w:tblPrEx>
        <w:trPr>
          <w:trHeight w:val="540" w:hRule="atLeast"/>
        </w:trPr>
        <w:tc>
          <w:tcPr>
            <w:tcW w:w="365" w:type="pct"/>
            <w:vMerge w:val="continue"/>
            <w:tcBorders>
              <w:top w:val="nil"/>
              <w:left w:val="single" w:color="auto" w:sz="4" w:space="0"/>
              <w:bottom w:val="single" w:color="auto" w:sz="4" w:space="0"/>
              <w:right w:val="single" w:color="auto" w:sz="4" w:space="0"/>
            </w:tcBorders>
            <w:vAlign w:val="center"/>
          </w:tcPr>
          <w:p w14:paraId="7BB17548">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6737A6EE">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37C57082">
            <w:pPr>
              <w:widowControl/>
              <w:jc w:val="center"/>
              <w:rPr>
                <w:rFonts w:ascii="宋体" w:hAnsi="宋体" w:cs="宋体"/>
                <w:color w:val="000000"/>
                <w:kern w:val="0"/>
                <w:sz w:val="22"/>
                <w:szCs w:val="22"/>
              </w:rPr>
            </w:pPr>
            <w:r>
              <w:rPr>
                <w:rFonts w:hint="eastAsia" w:ascii="宋体" w:hAnsi="宋体" w:cs="宋体"/>
                <w:color w:val="000000"/>
                <w:kern w:val="0"/>
                <w:sz w:val="22"/>
                <w:szCs w:val="22"/>
              </w:rPr>
              <w:t>教育训练工作</w:t>
            </w:r>
          </w:p>
        </w:tc>
        <w:tc>
          <w:tcPr>
            <w:tcW w:w="2993" w:type="pct"/>
            <w:tcBorders>
              <w:top w:val="nil"/>
              <w:left w:val="nil"/>
              <w:bottom w:val="single" w:color="auto" w:sz="4" w:space="0"/>
              <w:right w:val="single" w:color="auto" w:sz="4" w:space="0"/>
            </w:tcBorders>
            <w:shd w:val="clear" w:color="auto" w:fill="auto"/>
            <w:vAlign w:val="center"/>
          </w:tcPr>
          <w:p w14:paraId="6872AC89">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改造范围包括：学习足迹、学习超市、学分银行、学习任务、培训管理、考试管理、基地管理、课程管理、师资管理、实习管理等功能</w:t>
            </w:r>
          </w:p>
        </w:tc>
      </w:tr>
      <w:tr w14:paraId="6E9F6F5B">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6BFFDB71">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313EB579">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20122DBC">
            <w:pPr>
              <w:widowControl/>
              <w:jc w:val="center"/>
              <w:rPr>
                <w:rFonts w:ascii="宋体" w:hAnsi="宋体" w:cs="宋体"/>
                <w:color w:val="000000"/>
                <w:kern w:val="0"/>
                <w:sz w:val="22"/>
                <w:szCs w:val="22"/>
              </w:rPr>
            </w:pPr>
            <w:r>
              <w:rPr>
                <w:rFonts w:hint="eastAsia" w:ascii="宋体" w:hAnsi="宋体" w:cs="宋体"/>
                <w:color w:val="000000"/>
                <w:kern w:val="0"/>
                <w:sz w:val="22"/>
                <w:szCs w:val="22"/>
              </w:rPr>
              <w:t>干部工作</w:t>
            </w:r>
          </w:p>
        </w:tc>
        <w:tc>
          <w:tcPr>
            <w:tcW w:w="2993" w:type="pct"/>
            <w:tcBorders>
              <w:top w:val="nil"/>
              <w:left w:val="nil"/>
              <w:bottom w:val="single" w:color="auto" w:sz="4" w:space="0"/>
              <w:right w:val="single" w:color="auto" w:sz="4" w:space="0"/>
            </w:tcBorders>
            <w:shd w:val="clear" w:color="auto" w:fill="auto"/>
            <w:vAlign w:val="center"/>
          </w:tcPr>
          <w:p w14:paraId="65928F47">
            <w:pPr>
              <w:widowControl/>
              <w:jc w:val="center"/>
              <w:rPr>
                <w:rFonts w:ascii="宋体" w:hAnsi="宋体" w:cs="宋体"/>
                <w:color w:val="000000"/>
                <w:kern w:val="0"/>
                <w:sz w:val="22"/>
                <w:szCs w:val="22"/>
              </w:rPr>
            </w:pPr>
            <w:r>
              <w:rPr>
                <w:rFonts w:hint="eastAsia" w:ascii="宋体" w:hAnsi="宋体" w:cs="宋体"/>
                <w:color w:val="000000"/>
                <w:kern w:val="0"/>
                <w:sz w:val="22"/>
                <w:szCs w:val="22"/>
              </w:rPr>
              <w:t>改造范围包括：后备干部、实践锻炼、出国境管理、一报告两评议、干部选拔等功能</w:t>
            </w:r>
          </w:p>
        </w:tc>
      </w:tr>
      <w:tr w14:paraId="1C8F5660">
        <w:tblPrEx>
          <w:tblCellMar>
            <w:top w:w="0" w:type="dxa"/>
            <w:left w:w="108" w:type="dxa"/>
            <w:bottom w:w="0" w:type="dxa"/>
            <w:right w:w="108" w:type="dxa"/>
          </w:tblCellMar>
        </w:tblPrEx>
        <w:trPr>
          <w:trHeight w:val="540" w:hRule="atLeast"/>
        </w:trPr>
        <w:tc>
          <w:tcPr>
            <w:tcW w:w="365" w:type="pct"/>
            <w:tcBorders>
              <w:top w:val="nil"/>
              <w:left w:val="single" w:color="auto" w:sz="4" w:space="0"/>
              <w:bottom w:val="single" w:color="auto" w:sz="4" w:space="0"/>
              <w:right w:val="single" w:color="auto" w:sz="4" w:space="0"/>
            </w:tcBorders>
            <w:shd w:val="clear" w:color="auto" w:fill="auto"/>
            <w:vAlign w:val="center"/>
          </w:tcPr>
          <w:p w14:paraId="1B896D45">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642" w:type="pct"/>
            <w:tcBorders>
              <w:top w:val="nil"/>
              <w:left w:val="nil"/>
              <w:bottom w:val="single" w:color="auto" w:sz="4" w:space="0"/>
              <w:right w:val="single" w:color="auto" w:sz="4" w:space="0"/>
            </w:tcBorders>
            <w:shd w:val="clear" w:color="auto" w:fill="auto"/>
            <w:vAlign w:val="center"/>
          </w:tcPr>
          <w:p w14:paraId="2A8729B3">
            <w:pPr>
              <w:widowControl/>
              <w:jc w:val="center"/>
              <w:rPr>
                <w:rFonts w:ascii="宋体" w:hAnsi="宋体" w:cs="宋体"/>
                <w:color w:val="000000"/>
                <w:kern w:val="0"/>
                <w:sz w:val="22"/>
                <w:szCs w:val="22"/>
              </w:rPr>
            </w:pPr>
            <w:r>
              <w:rPr>
                <w:rFonts w:hint="eastAsia" w:ascii="宋体" w:hAnsi="宋体" w:cs="宋体"/>
                <w:color w:val="000000"/>
                <w:kern w:val="0"/>
                <w:sz w:val="22"/>
                <w:szCs w:val="22"/>
              </w:rPr>
              <w:t>新功能-系统水印设置</w:t>
            </w:r>
          </w:p>
        </w:tc>
        <w:tc>
          <w:tcPr>
            <w:tcW w:w="1000" w:type="pct"/>
            <w:tcBorders>
              <w:top w:val="nil"/>
              <w:left w:val="nil"/>
              <w:bottom w:val="single" w:color="auto" w:sz="4" w:space="0"/>
              <w:right w:val="single" w:color="auto" w:sz="4" w:space="0"/>
            </w:tcBorders>
            <w:shd w:val="clear" w:color="auto" w:fill="auto"/>
            <w:vAlign w:val="center"/>
          </w:tcPr>
          <w:p w14:paraId="1E018B8A">
            <w:pPr>
              <w:widowControl/>
              <w:jc w:val="center"/>
              <w:rPr>
                <w:rFonts w:ascii="宋体" w:hAnsi="宋体" w:cs="宋体"/>
                <w:color w:val="000000"/>
                <w:kern w:val="0"/>
                <w:sz w:val="22"/>
                <w:szCs w:val="22"/>
              </w:rPr>
            </w:pPr>
            <w:r>
              <w:rPr>
                <w:rFonts w:hint="eastAsia" w:ascii="宋体" w:hAnsi="宋体" w:cs="宋体"/>
                <w:color w:val="000000"/>
                <w:kern w:val="0"/>
                <w:sz w:val="22"/>
                <w:szCs w:val="22"/>
              </w:rPr>
              <w:t>系统水印设置</w:t>
            </w:r>
          </w:p>
        </w:tc>
        <w:tc>
          <w:tcPr>
            <w:tcW w:w="2993" w:type="pct"/>
            <w:tcBorders>
              <w:top w:val="nil"/>
              <w:left w:val="nil"/>
              <w:bottom w:val="single" w:color="auto" w:sz="4" w:space="0"/>
              <w:right w:val="single" w:color="auto" w:sz="4" w:space="0"/>
            </w:tcBorders>
            <w:shd w:val="clear" w:color="auto" w:fill="auto"/>
            <w:vAlign w:val="center"/>
          </w:tcPr>
          <w:p w14:paraId="4308B082">
            <w:pPr>
              <w:widowControl/>
              <w:jc w:val="center"/>
              <w:rPr>
                <w:rFonts w:ascii="宋体" w:hAnsi="宋体" w:cs="宋体"/>
                <w:color w:val="000000"/>
                <w:kern w:val="0"/>
                <w:sz w:val="22"/>
                <w:szCs w:val="22"/>
              </w:rPr>
            </w:pPr>
            <w:r>
              <w:rPr>
                <w:rFonts w:hint="eastAsia" w:ascii="宋体" w:hAnsi="宋体" w:cs="宋体"/>
                <w:color w:val="000000"/>
                <w:kern w:val="0"/>
                <w:sz w:val="22"/>
                <w:szCs w:val="22"/>
              </w:rPr>
              <w:t>系统水印设置</w:t>
            </w:r>
          </w:p>
        </w:tc>
      </w:tr>
      <w:tr w14:paraId="5AC0CC70">
        <w:tblPrEx>
          <w:tblCellMar>
            <w:top w:w="0" w:type="dxa"/>
            <w:left w:w="108" w:type="dxa"/>
            <w:bottom w:w="0" w:type="dxa"/>
            <w:right w:w="108" w:type="dxa"/>
          </w:tblCellMar>
        </w:tblPrEx>
        <w:trPr>
          <w:trHeight w:val="270" w:hRule="atLeast"/>
        </w:trPr>
        <w:tc>
          <w:tcPr>
            <w:tcW w:w="365" w:type="pct"/>
            <w:vMerge w:val="restart"/>
            <w:tcBorders>
              <w:top w:val="nil"/>
              <w:left w:val="single" w:color="auto" w:sz="4" w:space="0"/>
              <w:bottom w:val="single" w:color="auto" w:sz="4" w:space="0"/>
              <w:right w:val="single" w:color="auto" w:sz="4" w:space="0"/>
            </w:tcBorders>
            <w:shd w:val="clear" w:color="auto" w:fill="auto"/>
            <w:vAlign w:val="center"/>
          </w:tcPr>
          <w:p w14:paraId="71C86BD1">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642" w:type="pct"/>
            <w:vMerge w:val="restart"/>
            <w:tcBorders>
              <w:top w:val="nil"/>
              <w:left w:val="single" w:color="auto" w:sz="4" w:space="0"/>
              <w:bottom w:val="single" w:color="auto" w:sz="4" w:space="0"/>
              <w:right w:val="single" w:color="auto" w:sz="4" w:space="0"/>
            </w:tcBorders>
            <w:shd w:val="clear" w:color="auto" w:fill="auto"/>
            <w:vAlign w:val="center"/>
          </w:tcPr>
          <w:p w14:paraId="6A8D009E">
            <w:pPr>
              <w:widowControl/>
              <w:jc w:val="center"/>
              <w:rPr>
                <w:rFonts w:ascii="宋体" w:hAnsi="宋体" w:cs="宋体"/>
                <w:color w:val="000000"/>
                <w:kern w:val="0"/>
                <w:sz w:val="22"/>
                <w:szCs w:val="22"/>
              </w:rPr>
            </w:pPr>
            <w:r>
              <w:rPr>
                <w:rFonts w:hint="eastAsia" w:ascii="宋体" w:hAnsi="宋体" w:cs="宋体"/>
                <w:color w:val="000000"/>
                <w:kern w:val="0"/>
                <w:sz w:val="22"/>
                <w:szCs w:val="22"/>
              </w:rPr>
              <w:t>新功能-民警平时考核</w:t>
            </w:r>
          </w:p>
        </w:tc>
        <w:tc>
          <w:tcPr>
            <w:tcW w:w="1000" w:type="pct"/>
            <w:tcBorders>
              <w:top w:val="nil"/>
              <w:left w:val="nil"/>
              <w:bottom w:val="single" w:color="auto" w:sz="4" w:space="0"/>
              <w:right w:val="single" w:color="auto" w:sz="4" w:space="0"/>
            </w:tcBorders>
            <w:shd w:val="clear" w:color="auto" w:fill="auto"/>
            <w:vAlign w:val="center"/>
          </w:tcPr>
          <w:p w14:paraId="56BFD0B9">
            <w:pPr>
              <w:widowControl/>
              <w:jc w:val="center"/>
              <w:rPr>
                <w:rFonts w:ascii="宋体" w:hAnsi="宋体" w:cs="宋体"/>
                <w:color w:val="000000"/>
                <w:kern w:val="0"/>
                <w:sz w:val="22"/>
                <w:szCs w:val="22"/>
              </w:rPr>
            </w:pPr>
            <w:r>
              <w:rPr>
                <w:rFonts w:hint="eastAsia" w:ascii="宋体" w:hAnsi="宋体" w:cs="宋体"/>
                <w:color w:val="000000"/>
                <w:kern w:val="0"/>
                <w:sz w:val="22"/>
                <w:szCs w:val="22"/>
              </w:rPr>
              <w:t>指标计算工具</w:t>
            </w:r>
          </w:p>
        </w:tc>
        <w:tc>
          <w:tcPr>
            <w:tcW w:w="2993" w:type="pct"/>
            <w:tcBorders>
              <w:top w:val="nil"/>
              <w:left w:val="nil"/>
              <w:bottom w:val="single" w:color="auto" w:sz="4" w:space="0"/>
              <w:right w:val="single" w:color="auto" w:sz="4" w:space="0"/>
            </w:tcBorders>
            <w:shd w:val="clear" w:color="auto" w:fill="auto"/>
            <w:vAlign w:val="center"/>
          </w:tcPr>
          <w:p w14:paraId="3F0CE5E4">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考核类型管理、汇总类型管理</w:t>
            </w:r>
          </w:p>
        </w:tc>
      </w:tr>
      <w:tr w14:paraId="77CE29FB">
        <w:tblPrEx>
          <w:tblCellMar>
            <w:top w:w="0" w:type="dxa"/>
            <w:left w:w="108" w:type="dxa"/>
            <w:bottom w:w="0" w:type="dxa"/>
            <w:right w:w="108" w:type="dxa"/>
          </w:tblCellMar>
        </w:tblPrEx>
        <w:trPr>
          <w:trHeight w:val="540" w:hRule="atLeast"/>
        </w:trPr>
        <w:tc>
          <w:tcPr>
            <w:tcW w:w="365" w:type="pct"/>
            <w:vMerge w:val="continue"/>
            <w:tcBorders>
              <w:top w:val="nil"/>
              <w:left w:val="single" w:color="auto" w:sz="4" w:space="0"/>
              <w:bottom w:val="single" w:color="auto" w:sz="4" w:space="0"/>
              <w:right w:val="single" w:color="auto" w:sz="4" w:space="0"/>
            </w:tcBorders>
            <w:vAlign w:val="center"/>
          </w:tcPr>
          <w:p w14:paraId="12B46D6E">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423934DC">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37FA875E">
            <w:pPr>
              <w:widowControl/>
              <w:jc w:val="center"/>
              <w:rPr>
                <w:rFonts w:ascii="宋体" w:hAnsi="宋体" w:cs="宋体"/>
                <w:color w:val="000000"/>
                <w:kern w:val="0"/>
                <w:sz w:val="22"/>
                <w:szCs w:val="22"/>
              </w:rPr>
            </w:pPr>
            <w:r>
              <w:rPr>
                <w:rFonts w:hint="eastAsia" w:ascii="宋体" w:hAnsi="宋体" w:cs="宋体"/>
                <w:color w:val="000000"/>
                <w:kern w:val="0"/>
                <w:sz w:val="22"/>
                <w:szCs w:val="22"/>
              </w:rPr>
              <w:t>指标库管理</w:t>
            </w:r>
          </w:p>
        </w:tc>
        <w:tc>
          <w:tcPr>
            <w:tcW w:w="2993" w:type="pct"/>
            <w:tcBorders>
              <w:top w:val="nil"/>
              <w:left w:val="nil"/>
              <w:bottom w:val="single" w:color="auto" w:sz="4" w:space="0"/>
              <w:right w:val="single" w:color="auto" w:sz="4" w:space="0"/>
            </w:tcBorders>
            <w:shd w:val="clear" w:color="auto" w:fill="auto"/>
            <w:vAlign w:val="center"/>
          </w:tcPr>
          <w:p w14:paraId="7E58093A">
            <w:pPr>
              <w:widowControl/>
              <w:jc w:val="center"/>
              <w:rPr>
                <w:rFonts w:ascii="宋体" w:hAnsi="宋体" w:cs="宋体"/>
                <w:color w:val="000000"/>
                <w:kern w:val="0"/>
                <w:sz w:val="22"/>
                <w:szCs w:val="22"/>
              </w:rPr>
            </w:pPr>
            <w:r>
              <w:rPr>
                <w:rFonts w:hint="eastAsia" w:ascii="宋体" w:hAnsi="宋体" w:cs="宋体"/>
                <w:color w:val="000000"/>
                <w:kern w:val="0"/>
                <w:sz w:val="22"/>
                <w:szCs w:val="22"/>
              </w:rPr>
              <w:t>指标类别管理、指标管理</w:t>
            </w:r>
          </w:p>
        </w:tc>
      </w:tr>
      <w:tr w14:paraId="14DDCC01">
        <w:tblPrEx>
          <w:tblCellMar>
            <w:top w:w="0" w:type="dxa"/>
            <w:left w:w="108" w:type="dxa"/>
            <w:bottom w:w="0" w:type="dxa"/>
            <w:right w:w="108" w:type="dxa"/>
          </w:tblCellMar>
        </w:tblPrEx>
        <w:trPr>
          <w:trHeight w:val="540" w:hRule="atLeast"/>
        </w:trPr>
        <w:tc>
          <w:tcPr>
            <w:tcW w:w="365" w:type="pct"/>
            <w:vMerge w:val="continue"/>
            <w:tcBorders>
              <w:top w:val="nil"/>
              <w:left w:val="single" w:color="auto" w:sz="4" w:space="0"/>
              <w:bottom w:val="single" w:color="auto" w:sz="4" w:space="0"/>
              <w:right w:val="single" w:color="auto" w:sz="4" w:space="0"/>
            </w:tcBorders>
            <w:vAlign w:val="center"/>
          </w:tcPr>
          <w:p w14:paraId="2901E3CA">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77ACF506">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5CBC8A46">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考核配置</w:t>
            </w:r>
          </w:p>
        </w:tc>
        <w:tc>
          <w:tcPr>
            <w:tcW w:w="2993" w:type="pct"/>
            <w:tcBorders>
              <w:top w:val="nil"/>
              <w:left w:val="nil"/>
              <w:bottom w:val="single" w:color="auto" w:sz="4" w:space="0"/>
              <w:right w:val="single" w:color="auto" w:sz="4" w:space="0"/>
            </w:tcBorders>
            <w:shd w:val="clear" w:color="auto" w:fill="auto"/>
            <w:vAlign w:val="center"/>
          </w:tcPr>
          <w:p w14:paraId="4D070401">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考核等次比例配置、用户领导管理、用户/单位小组配置</w:t>
            </w:r>
          </w:p>
        </w:tc>
      </w:tr>
      <w:tr w14:paraId="41BEF54A">
        <w:tblPrEx>
          <w:tblCellMar>
            <w:top w:w="0" w:type="dxa"/>
            <w:left w:w="108" w:type="dxa"/>
            <w:bottom w:w="0" w:type="dxa"/>
            <w:right w:w="108" w:type="dxa"/>
          </w:tblCellMar>
        </w:tblPrEx>
        <w:trPr>
          <w:trHeight w:val="1080" w:hRule="atLeast"/>
        </w:trPr>
        <w:tc>
          <w:tcPr>
            <w:tcW w:w="365" w:type="pct"/>
            <w:vMerge w:val="continue"/>
            <w:tcBorders>
              <w:top w:val="nil"/>
              <w:left w:val="single" w:color="auto" w:sz="4" w:space="0"/>
              <w:bottom w:val="single" w:color="auto" w:sz="4" w:space="0"/>
              <w:right w:val="single" w:color="auto" w:sz="4" w:space="0"/>
            </w:tcBorders>
            <w:vAlign w:val="center"/>
          </w:tcPr>
          <w:p w14:paraId="415BEDE6">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551BCCA9">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431C5051">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考核管理</w:t>
            </w:r>
          </w:p>
        </w:tc>
        <w:tc>
          <w:tcPr>
            <w:tcW w:w="2993" w:type="pct"/>
            <w:tcBorders>
              <w:top w:val="nil"/>
              <w:left w:val="nil"/>
              <w:bottom w:val="single" w:color="auto" w:sz="4" w:space="0"/>
              <w:right w:val="single" w:color="auto" w:sz="4" w:space="0"/>
            </w:tcBorders>
            <w:shd w:val="clear" w:color="auto" w:fill="auto"/>
            <w:vAlign w:val="center"/>
          </w:tcPr>
          <w:p w14:paraId="709DFA19">
            <w:pPr>
              <w:widowControl/>
              <w:jc w:val="center"/>
              <w:rPr>
                <w:rFonts w:ascii="宋体" w:hAnsi="宋体" w:cs="宋体"/>
                <w:color w:val="000000"/>
                <w:kern w:val="0"/>
                <w:sz w:val="22"/>
                <w:szCs w:val="22"/>
              </w:rPr>
            </w:pPr>
            <w:r>
              <w:rPr>
                <w:rFonts w:hint="eastAsia" w:ascii="宋体" w:hAnsi="宋体" w:cs="宋体"/>
                <w:color w:val="000000"/>
                <w:kern w:val="0"/>
                <w:sz w:val="22"/>
                <w:szCs w:val="22"/>
              </w:rPr>
              <w:t>新增考核、删除选定、复制考核、终止考核、发布考核、取消发布考核、发布成绩、取消发布成绩、搜索、高级搜索、修改对象、查看、当前算分、全周期算分、微调分值、当前定级、全周期定级、综合查看</w:t>
            </w:r>
          </w:p>
        </w:tc>
      </w:tr>
      <w:tr w14:paraId="5AFB4C22">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5A2D8388">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0C0E74AF">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0AD82A4E">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考核审批管理</w:t>
            </w:r>
          </w:p>
        </w:tc>
        <w:tc>
          <w:tcPr>
            <w:tcW w:w="2993" w:type="pct"/>
            <w:tcBorders>
              <w:top w:val="nil"/>
              <w:left w:val="nil"/>
              <w:bottom w:val="single" w:color="auto" w:sz="4" w:space="0"/>
              <w:right w:val="single" w:color="auto" w:sz="4" w:space="0"/>
            </w:tcBorders>
            <w:shd w:val="clear" w:color="auto" w:fill="auto"/>
            <w:vAlign w:val="center"/>
          </w:tcPr>
          <w:p w14:paraId="716CC51B">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考核审批管理</w:t>
            </w:r>
          </w:p>
        </w:tc>
      </w:tr>
      <w:tr w14:paraId="5CC9C47C">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5EC74E1C">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546369AC">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41B7DDAD">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考核评分管理</w:t>
            </w:r>
          </w:p>
        </w:tc>
        <w:tc>
          <w:tcPr>
            <w:tcW w:w="2993" w:type="pct"/>
            <w:tcBorders>
              <w:top w:val="nil"/>
              <w:left w:val="nil"/>
              <w:bottom w:val="single" w:color="auto" w:sz="4" w:space="0"/>
              <w:right w:val="single" w:color="auto" w:sz="4" w:space="0"/>
            </w:tcBorders>
            <w:shd w:val="clear" w:color="auto" w:fill="auto"/>
            <w:vAlign w:val="center"/>
          </w:tcPr>
          <w:p w14:paraId="59B50C5D">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考核评分管理</w:t>
            </w:r>
          </w:p>
        </w:tc>
      </w:tr>
      <w:tr w14:paraId="31BBDEFA">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7CB531B7">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5D450A53">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29D05DA2">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考核查看</w:t>
            </w:r>
          </w:p>
        </w:tc>
        <w:tc>
          <w:tcPr>
            <w:tcW w:w="2993" w:type="pct"/>
            <w:tcBorders>
              <w:top w:val="nil"/>
              <w:left w:val="nil"/>
              <w:bottom w:val="single" w:color="auto" w:sz="4" w:space="0"/>
              <w:right w:val="single" w:color="auto" w:sz="4" w:space="0"/>
            </w:tcBorders>
            <w:shd w:val="clear" w:color="auto" w:fill="auto"/>
            <w:vAlign w:val="center"/>
          </w:tcPr>
          <w:p w14:paraId="2D6F7180">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考核查看</w:t>
            </w:r>
          </w:p>
        </w:tc>
      </w:tr>
      <w:tr w14:paraId="08FC6C63">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19E0DB4A">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3C804920">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50051788">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考核模板管理</w:t>
            </w:r>
          </w:p>
        </w:tc>
        <w:tc>
          <w:tcPr>
            <w:tcW w:w="2993" w:type="pct"/>
            <w:tcBorders>
              <w:top w:val="nil"/>
              <w:left w:val="nil"/>
              <w:bottom w:val="single" w:color="auto" w:sz="4" w:space="0"/>
              <w:right w:val="single" w:color="auto" w:sz="4" w:space="0"/>
            </w:tcBorders>
            <w:shd w:val="clear" w:color="auto" w:fill="auto"/>
            <w:vAlign w:val="center"/>
          </w:tcPr>
          <w:p w14:paraId="0AFE2F9A">
            <w:pPr>
              <w:widowControl/>
              <w:jc w:val="center"/>
              <w:rPr>
                <w:rFonts w:ascii="宋体" w:hAnsi="宋体" w:cs="宋体"/>
                <w:color w:val="000000"/>
                <w:kern w:val="0"/>
                <w:sz w:val="22"/>
                <w:szCs w:val="22"/>
              </w:rPr>
            </w:pPr>
            <w:r>
              <w:rPr>
                <w:rFonts w:hint="eastAsia" w:ascii="宋体" w:hAnsi="宋体" w:cs="宋体"/>
                <w:color w:val="000000"/>
                <w:kern w:val="0"/>
                <w:sz w:val="22"/>
                <w:szCs w:val="22"/>
              </w:rPr>
              <w:t>考核模板管理</w:t>
            </w:r>
          </w:p>
        </w:tc>
      </w:tr>
      <w:tr w14:paraId="7CCEB208">
        <w:tblPrEx>
          <w:tblCellMar>
            <w:top w:w="0" w:type="dxa"/>
            <w:left w:w="108" w:type="dxa"/>
            <w:bottom w:w="0" w:type="dxa"/>
            <w:right w:w="108" w:type="dxa"/>
          </w:tblCellMar>
        </w:tblPrEx>
        <w:trPr>
          <w:trHeight w:val="270" w:hRule="atLeast"/>
        </w:trPr>
        <w:tc>
          <w:tcPr>
            <w:tcW w:w="365" w:type="pct"/>
            <w:vMerge w:val="restart"/>
            <w:tcBorders>
              <w:top w:val="nil"/>
              <w:left w:val="single" w:color="auto" w:sz="4" w:space="0"/>
              <w:bottom w:val="single" w:color="auto" w:sz="4" w:space="0"/>
              <w:right w:val="single" w:color="auto" w:sz="4" w:space="0"/>
            </w:tcBorders>
            <w:shd w:val="clear" w:color="auto" w:fill="auto"/>
            <w:vAlign w:val="center"/>
          </w:tcPr>
          <w:p w14:paraId="726A27D4">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642" w:type="pct"/>
            <w:vMerge w:val="restart"/>
            <w:tcBorders>
              <w:top w:val="nil"/>
              <w:left w:val="single" w:color="auto" w:sz="4" w:space="0"/>
              <w:bottom w:val="single" w:color="000000" w:sz="4" w:space="0"/>
              <w:right w:val="single" w:color="auto" w:sz="4" w:space="0"/>
            </w:tcBorders>
            <w:shd w:val="clear" w:color="auto" w:fill="auto"/>
            <w:vAlign w:val="center"/>
          </w:tcPr>
          <w:p w14:paraId="68D52296">
            <w:pPr>
              <w:widowControl/>
              <w:jc w:val="center"/>
              <w:rPr>
                <w:rFonts w:ascii="宋体" w:hAnsi="宋体" w:cs="宋体"/>
                <w:color w:val="000000"/>
                <w:kern w:val="0"/>
                <w:sz w:val="22"/>
                <w:szCs w:val="22"/>
              </w:rPr>
            </w:pPr>
            <w:r>
              <w:rPr>
                <w:rFonts w:hint="eastAsia" w:ascii="宋体" w:hAnsi="宋体" w:cs="宋体"/>
                <w:color w:val="000000"/>
                <w:kern w:val="0"/>
                <w:sz w:val="22"/>
                <w:szCs w:val="22"/>
              </w:rPr>
              <w:t>新功能-库档一致审核“一屏比对”</w:t>
            </w:r>
          </w:p>
        </w:tc>
        <w:tc>
          <w:tcPr>
            <w:tcW w:w="1000" w:type="pct"/>
            <w:tcBorders>
              <w:top w:val="nil"/>
              <w:left w:val="nil"/>
              <w:bottom w:val="single" w:color="auto" w:sz="4" w:space="0"/>
              <w:right w:val="single" w:color="auto" w:sz="4" w:space="0"/>
            </w:tcBorders>
            <w:shd w:val="clear" w:color="auto" w:fill="auto"/>
            <w:vAlign w:val="center"/>
          </w:tcPr>
          <w:p w14:paraId="3FB38B65">
            <w:pPr>
              <w:widowControl/>
              <w:jc w:val="center"/>
              <w:rPr>
                <w:rFonts w:ascii="宋体" w:hAnsi="宋体" w:cs="宋体"/>
                <w:color w:val="000000"/>
                <w:kern w:val="0"/>
                <w:sz w:val="22"/>
                <w:szCs w:val="22"/>
              </w:rPr>
            </w:pPr>
            <w:r>
              <w:rPr>
                <w:rFonts w:hint="eastAsia" w:ascii="宋体" w:hAnsi="宋体" w:cs="宋体"/>
                <w:color w:val="000000"/>
                <w:kern w:val="0"/>
                <w:sz w:val="22"/>
                <w:szCs w:val="22"/>
              </w:rPr>
              <w:t>档案信息集调整</w:t>
            </w:r>
          </w:p>
        </w:tc>
        <w:tc>
          <w:tcPr>
            <w:tcW w:w="2993" w:type="pct"/>
            <w:tcBorders>
              <w:top w:val="nil"/>
              <w:left w:val="nil"/>
              <w:bottom w:val="single" w:color="auto" w:sz="4" w:space="0"/>
              <w:right w:val="single" w:color="auto" w:sz="4" w:space="0"/>
            </w:tcBorders>
            <w:shd w:val="clear" w:color="auto" w:fill="auto"/>
            <w:vAlign w:val="center"/>
          </w:tcPr>
          <w:p w14:paraId="60D1BDB3">
            <w:pPr>
              <w:widowControl/>
              <w:jc w:val="center"/>
              <w:rPr>
                <w:rFonts w:ascii="宋体" w:hAnsi="宋体" w:cs="宋体"/>
                <w:color w:val="000000"/>
                <w:kern w:val="0"/>
                <w:sz w:val="22"/>
                <w:szCs w:val="22"/>
              </w:rPr>
            </w:pPr>
            <w:r>
              <w:rPr>
                <w:rFonts w:hint="eastAsia" w:ascii="宋体" w:hAnsi="宋体" w:cs="宋体"/>
                <w:color w:val="000000"/>
                <w:kern w:val="0"/>
                <w:sz w:val="22"/>
                <w:szCs w:val="22"/>
              </w:rPr>
              <w:t>档案信息集调整</w:t>
            </w:r>
          </w:p>
        </w:tc>
      </w:tr>
      <w:tr w14:paraId="119F0867">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05F809D9">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000000" w:sz="4" w:space="0"/>
              <w:right w:val="single" w:color="auto" w:sz="4" w:space="0"/>
            </w:tcBorders>
            <w:vAlign w:val="center"/>
          </w:tcPr>
          <w:p w14:paraId="46200881">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3875F428">
            <w:pPr>
              <w:widowControl/>
              <w:jc w:val="center"/>
              <w:rPr>
                <w:rFonts w:ascii="宋体" w:hAnsi="宋体" w:cs="宋体"/>
                <w:color w:val="000000"/>
                <w:kern w:val="0"/>
                <w:sz w:val="22"/>
                <w:szCs w:val="22"/>
              </w:rPr>
            </w:pPr>
            <w:r>
              <w:rPr>
                <w:rFonts w:hint="eastAsia" w:ascii="宋体" w:hAnsi="宋体" w:cs="宋体"/>
                <w:color w:val="000000"/>
                <w:kern w:val="0"/>
                <w:sz w:val="22"/>
                <w:szCs w:val="22"/>
              </w:rPr>
              <w:t>文件上传</w:t>
            </w:r>
          </w:p>
        </w:tc>
        <w:tc>
          <w:tcPr>
            <w:tcW w:w="2993" w:type="pct"/>
            <w:tcBorders>
              <w:top w:val="nil"/>
              <w:left w:val="nil"/>
              <w:bottom w:val="single" w:color="auto" w:sz="4" w:space="0"/>
              <w:right w:val="single" w:color="auto" w:sz="4" w:space="0"/>
            </w:tcBorders>
            <w:shd w:val="clear" w:color="auto" w:fill="auto"/>
            <w:vAlign w:val="center"/>
          </w:tcPr>
          <w:p w14:paraId="6B302E6A">
            <w:pPr>
              <w:widowControl/>
              <w:jc w:val="center"/>
              <w:rPr>
                <w:rFonts w:ascii="宋体" w:hAnsi="宋体" w:cs="宋体"/>
                <w:color w:val="000000"/>
                <w:kern w:val="0"/>
                <w:sz w:val="22"/>
                <w:szCs w:val="22"/>
              </w:rPr>
            </w:pPr>
            <w:r>
              <w:rPr>
                <w:rFonts w:hint="eastAsia" w:ascii="宋体" w:hAnsi="宋体" w:cs="宋体"/>
                <w:color w:val="000000"/>
                <w:kern w:val="0"/>
                <w:sz w:val="22"/>
                <w:szCs w:val="22"/>
              </w:rPr>
              <w:t>文件上传</w:t>
            </w:r>
          </w:p>
        </w:tc>
      </w:tr>
      <w:tr w14:paraId="0CCE7A13">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4DFC7F75">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000000" w:sz="4" w:space="0"/>
              <w:right w:val="single" w:color="auto" w:sz="4" w:space="0"/>
            </w:tcBorders>
            <w:vAlign w:val="center"/>
          </w:tcPr>
          <w:p w14:paraId="4AAC8759">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3779CFEB">
            <w:pPr>
              <w:widowControl/>
              <w:jc w:val="center"/>
              <w:rPr>
                <w:rFonts w:ascii="宋体" w:hAnsi="宋体" w:cs="宋体"/>
                <w:color w:val="000000"/>
                <w:kern w:val="0"/>
                <w:sz w:val="22"/>
                <w:szCs w:val="22"/>
              </w:rPr>
            </w:pPr>
            <w:r>
              <w:rPr>
                <w:rFonts w:hint="eastAsia" w:ascii="宋体" w:hAnsi="宋体" w:cs="宋体"/>
                <w:color w:val="000000"/>
                <w:kern w:val="0"/>
                <w:sz w:val="22"/>
                <w:szCs w:val="22"/>
              </w:rPr>
              <w:t>库档一致审核</w:t>
            </w:r>
          </w:p>
        </w:tc>
        <w:tc>
          <w:tcPr>
            <w:tcW w:w="2993" w:type="pct"/>
            <w:tcBorders>
              <w:top w:val="nil"/>
              <w:left w:val="nil"/>
              <w:bottom w:val="single" w:color="auto" w:sz="4" w:space="0"/>
              <w:right w:val="single" w:color="auto" w:sz="4" w:space="0"/>
            </w:tcBorders>
            <w:shd w:val="clear" w:color="auto" w:fill="auto"/>
            <w:vAlign w:val="center"/>
          </w:tcPr>
          <w:p w14:paraId="1F83BD56">
            <w:pPr>
              <w:widowControl/>
              <w:jc w:val="center"/>
              <w:rPr>
                <w:rFonts w:ascii="宋体" w:hAnsi="宋体" w:cs="宋体"/>
                <w:color w:val="000000"/>
                <w:kern w:val="0"/>
                <w:sz w:val="22"/>
                <w:szCs w:val="22"/>
              </w:rPr>
            </w:pPr>
            <w:r>
              <w:rPr>
                <w:rFonts w:hint="eastAsia" w:ascii="宋体" w:hAnsi="宋体" w:cs="宋体"/>
                <w:color w:val="000000"/>
                <w:kern w:val="0"/>
                <w:sz w:val="22"/>
                <w:szCs w:val="22"/>
              </w:rPr>
              <w:t>库档一致审核</w:t>
            </w:r>
          </w:p>
        </w:tc>
      </w:tr>
      <w:tr w14:paraId="076B35A3">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54908FF8">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000000" w:sz="4" w:space="0"/>
              <w:right w:val="single" w:color="auto" w:sz="4" w:space="0"/>
            </w:tcBorders>
            <w:vAlign w:val="center"/>
          </w:tcPr>
          <w:p w14:paraId="676B376D">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234AD4D0">
            <w:pPr>
              <w:widowControl/>
              <w:jc w:val="center"/>
              <w:rPr>
                <w:rFonts w:ascii="宋体" w:hAnsi="宋体" w:cs="宋体"/>
                <w:color w:val="000000"/>
                <w:kern w:val="0"/>
                <w:sz w:val="22"/>
                <w:szCs w:val="22"/>
              </w:rPr>
            </w:pPr>
            <w:r>
              <w:rPr>
                <w:rFonts w:hint="eastAsia" w:ascii="宋体" w:hAnsi="宋体" w:cs="宋体"/>
                <w:color w:val="000000"/>
                <w:kern w:val="0"/>
                <w:sz w:val="22"/>
                <w:szCs w:val="22"/>
              </w:rPr>
              <w:t>数据更新</w:t>
            </w:r>
          </w:p>
        </w:tc>
        <w:tc>
          <w:tcPr>
            <w:tcW w:w="2993" w:type="pct"/>
            <w:tcBorders>
              <w:top w:val="nil"/>
              <w:left w:val="nil"/>
              <w:bottom w:val="single" w:color="auto" w:sz="4" w:space="0"/>
              <w:right w:val="single" w:color="auto" w:sz="4" w:space="0"/>
            </w:tcBorders>
            <w:shd w:val="clear" w:color="auto" w:fill="auto"/>
            <w:vAlign w:val="center"/>
          </w:tcPr>
          <w:p w14:paraId="42574846">
            <w:pPr>
              <w:widowControl/>
              <w:jc w:val="center"/>
              <w:rPr>
                <w:rFonts w:ascii="宋体" w:hAnsi="宋体" w:cs="宋体"/>
                <w:color w:val="000000"/>
                <w:kern w:val="0"/>
                <w:sz w:val="22"/>
                <w:szCs w:val="22"/>
              </w:rPr>
            </w:pPr>
            <w:r>
              <w:rPr>
                <w:rFonts w:hint="eastAsia" w:ascii="宋体" w:hAnsi="宋体" w:cs="宋体"/>
                <w:color w:val="000000"/>
                <w:kern w:val="0"/>
                <w:sz w:val="22"/>
                <w:szCs w:val="22"/>
              </w:rPr>
              <w:t>数据更新</w:t>
            </w:r>
          </w:p>
        </w:tc>
      </w:tr>
      <w:tr w14:paraId="69C52C0E">
        <w:tblPrEx>
          <w:tblCellMar>
            <w:top w:w="0" w:type="dxa"/>
            <w:left w:w="108" w:type="dxa"/>
            <w:bottom w:w="0" w:type="dxa"/>
            <w:right w:w="108" w:type="dxa"/>
          </w:tblCellMar>
        </w:tblPrEx>
        <w:trPr>
          <w:trHeight w:val="270" w:hRule="atLeast"/>
        </w:trPr>
        <w:tc>
          <w:tcPr>
            <w:tcW w:w="365" w:type="pct"/>
            <w:tcBorders>
              <w:top w:val="nil"/>
              <w:left w:val="single" w:color="auto" w:sz="4" w:space="0"/>
              <w:bottom w:val="single" w:color="auto" w:sz="4" w:space="0"/>
              <w:right w:val="single" w:color="auto" w:sz="4" w:space="0"/>
            </w:tcBorders>
            <w:shd w:val="clear" w:color="auto" w:fill="auto"/>
            <w:vAlign w:val="center"/>
          </w:tcPr>
          <w:p w14:paraId="00B57B01">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642" w:type="pct"/>
            <w:tcBorders>
              <w:top w:val="nil"/>
              <w:left w:val="nil"/>
              <w:bottom w:val="single" w:color="auto" w:sz="4" w:space="0"/>
              <w:right w:val="single" w:color="auto" w:sz="4" w:space="0"/>
            </w:tcBorders>
            <w:shd w:val="clear" w:color="auto" w:fill="auto"/>
            <w:vAlign w:val="center"/>
          </w:tcPr>
          <w:p w14:paraId="174A2FDC">
            <w:pPr>
              <w:widowControl/>
              <w:jc w:val="center"/>
              <w:rPr>
                <w:rFonts w:ascii="宋体" w:hAnsi="宋体" w:cs="宋体"/>
                <w:color w:val="000000"/>
                <w:kern w:val="0"/>
                <w:sz w:val="22"/>
                <w:szCs w:val="22"/>
              </w:rPr>
            </w:pPr>
            <w:r>
              <w:rPr>
                <w:rFonts w:hint="eastAsia" w:ascii="宋体" w:hAnsi="宋体" w:cs="宋体"/>
                <w:color w:val="000000"/>
                <w:kern w:val="0"/>
                <w:sz w:val="22"/>
                <w:szCs w:val="22"/>
              </w:rPr>
              <w:t>新功能-运维预警</w:t>
            </w:r>
          </w:p>
        </w:tc>
        <w:tc>
          <w:tcPr>
            <w:tcW w:w="1000" w:type="pct"/>
            <w:tcBorders>
              <w:top w:val="nil"/>
              <w:left w:val="nil"/>
              <w:bottom w:val="single" w:color="auto" w:sz="4" w:space="0"/>
              <w:right w:val="single" w:color="auto" w:sz="4" w:space="0"/>
            </w:tcBorders>
            <w:shd w:val="clear" w:color="auto" w:fill="auto"/>
            <w:vAlign w:val="center"/>
          </w:tcPr>
          <w:p w14:paraId="4F6AC502">
            <w:pPr>
              <w:widowControl/>
              <w:jc w:val="center"/>
              <w:rPr>
                <w:rFonts w:ascii="宋体" w:hAnsi="宋体" w:cs="宋体"/>
                <w:color w:val="000000"/>
                <w:kern w:val="0"/>
                <w:sz w:val="22"/>
                <w:szCs w:val="22"/>
              </w:rPr>
            </w:pPr>
            <w:r>
              <w:rPr>
                <w:rFonts w:hint="eastAsia" w:ascii="宋体" w:hAnsi="宋体" w:cs="宋体"/>
                <w:color w:val="000000"/>
                <w:kern w:val="0"/>
                <w:sz w:val="22"/>
                <w:szCs w:val="22"/>
              </w:rPr>
              <w:t>运维预警</w:t>
            </w:r>
          </w:p>
        </w:tc>
        <w:tc>
          <w:tcPr>
            <w:tcW w:w="2993" w:type="pct"/>
            <w:tcBorders>
              <w:top w:val="nil"/>
              <w:left w:val="nil"/>
              <w:bottom w:val="single" w:color="auto" w:sz="4" w:space="0"/>
              <w:right w:val="single" w:color="auto" w:sz="4" w:space="0"/>
            </w:tcBorders>
            <w:shd w:val="clear" w:color="auto" w:fill="auto"/>
            <w:vAlign w:val="center"/>
          </w:tcPr>
          <w:p w14:paraId="3CBDFB44">
            <w:pPr>
              <w:widowControl/>
              <w:jc w:val="center"/>
              <w:rPr>
                <w:rFonts w:ascii="宋体" w:hAnsi="宋体" w:cs="宋体"/>
                <w:color w:val="000000"/>
                <w:kern w:val="0"/>
                <w:sz w:val="22"/>
                <w:szCs w:val="22"/>
              </w:rPr>
            </w:pPr>
            <w:r>
              <w:rPr>
                <w:rFonts w:hint="eastAsia" w:ascii="宋体" w:hAnsi="宋体" w:cs="宋体"/>
                <w:color w:val="000000"/>
                <w:kern w:val="0"/>
                <w:sz w:val="22"/>
                <w:szCs w:val="22"/>
              </w:rPr>
              <w:t>运维预警</w:t>
            </w:r>
          </w:p>
        </w:tc>
      </w:tr>
      <w:tr w14:paraId="5FB456BF">
        <w:tblPrEx>
          <w:tblCellMar>
            <w:top w:w="0" w:type="dxa"/>
            <w:left w:w="108" w:type="dxa"/>
            <w:bottom w:w="0" w:type="dxa"/>
            <w:right w:w="108" w:type="dxa"/>
          </w:tblCellMar>
        </w:tblPrEx>
        <w:trPr>
          <w:trHeight w:val="810" w:hRule="atLeast"/>
        </w:trPr>
        <w:tc>
          <w:tcPr>
            <w:tcW w:w="365" w:type="pct"/>
            <w:tcBorders>
              <w:top w:val="nil"/>
              <w:left w:val="single" w:color="auto" w:sz="4" w:space="0"/>
              <w:bottom w:val="single" w:color="auto" w:sz="4" w:space="0"/>
              <w:right w:val="single" w:color="auto" w:sz="4" w:space="0"/>
            </w:tcBorders>
            <w:shd w:val="clear" w:color="auto" w:fill="auto"/>
            <w:vAlign w:val="center"/>
          </w:tcPr>
          <w:p w14:paraId="381DD723">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642" w:type="pct"/>
            <w:tcBorders>
              <w:top w:val="nil"/>
              <w:left w:val="nil"/>
              <w:bottom w:val="single" w:color="auto" w:sz="4" w:space="0"/>
              <w:right w:val="single" w:color="auto" w:sz="4" w:space="0"/>
            </w:tcBorders>
            <w:shd w:val="clear" w:color="auto" w:fill="auto"/>
            <w:vAlign w:val="center"/>
          </w:tcPr>
          <w:p w14:paraId="289FDA59">
            <w:pPr>
              <w:widowControl/>
              <w:jc w:val="center"/>
              <w:rPr>
                <w:rFonts w:ascii="宋体" w:hAnsi="宋体" w:cs="宋体"/>
                <w:color w:val="000000"/>
                <w:kern w:val="0"/>
                <w:sz w:val="22"/>
                <w:szCs w:val="22"/>
              </w:rPr>
            </w:pPr>
            <w:r>
              <w:rPr>
                <w:rFonts w:hint="eastAsia" w:ascii="宋体" w:hAnsi="宋体" w:cs="宋体"/>
                <w:color w:val="000000"/>
                <w:kern w:val="0"/>
                <w:sz w:val="22"/>
                <w:szCs w:val="22"/>
              </w:rPr>
              <w:t>新功能-主题教育网站专栏新增</w:t>
            </w:r>
          </w:p>
        </w:tc>
        <w:tc>
          <w:tcPr>
            <w:tcW w:w="1000" w:type="pct"/>
            <w:tcBorders>
              <w:top w:val="nil"/>
              <w:left w:val="nil"/>
              <w:bottom w:val="single" w:color="auto" w:sz="4" w:space="0"/>
              <w:right w:val="single" w:color="auto" w:sz="4" w:space="0"/>
            </w:tcBorders>
            <w:shd w:val="clear" w:color="auto" w:fill="auto"/>
            <w:vAlign w:val="center"/>
          </w:tcPr>
          <w:p w14:paraId="4787C8A2">
            <w:pPr>
              <w:widowControl/>
              <w:jc w:val="center"/>
              <w:rPr>
                <w:rFonts w:ascii="宋体" w:hAnsi="宋体" w:cs="宋体"/>
                <w:color w:val="000000"/>
                <w:kern w:val="0"/>
                <w:sz w:val="22"/>
                <w:szCs w:val="22"/>
              </w:rPr>
            </w:pPr>
            <w:r>
              <w:rPr>
                <w:rFonts w:hint="eastAsia" w:ascii="宋体" w:hAnsi="宋体" w:cs="宋体"/>
                <w:color w:val="000000"/>
                <w:kern w:val="0"/>
                <w:sz w:val="22"/>
                <w:szCs w:val="22"/>
              </w:rPr>
              <w:t>主题教育网站专栏新增</w:t>
            </w:r>
          </w:p>
        </w:tc>
        <w:tc>
          <w:tcPr>
            <w:tcW w:w="2993" w:type="pct"/>
            <w:tcBorders>
              <w:top w:val="nil"/>
              <w:left w:val="nil"/>
              <w:bottom w:val="single" w:color="auto" w:sz="4" w:space="0"/>
              <w:right w:val="single" w:color="auto" w:sz="4" w:space="0"/>
            </w:tcBorders>
            <w:shd w:val="clear" w:color="auto" w:fill="auto"/>
            <w:vAlign w:val="center"/>
          </w:tcPr>
          <w:p w14:paraId="3BD4A667">
            <w:pPr>
              <w:widowControl/>
              <w:jc w:val="center"/>
              <w:rPr>
                <w:rFonts w:ascii="宋体" w:hAnsi="宋体" w:cs="宋体"/>
                <w:color w:val="000000"/>
                <w:kern w:val="0"/>
                <w:sz w:val="22"/>
                <w:szCs w:val="22"/>
              </w:rPr>
            </w:pPr>
            <w:r>
              <w:rPr>
                <w:rFonts w:hint="eastAsia" w:ascii="宋体" w:hAnsi="宋体" w:cs="宋体"/>
                <w:color w:val="000000"/>
                <w:kern w:val="0"/>
                <w:sz w:val="22"/>
                <w:szCs w:val="22"/>
              </w:rPr>
              <w:t>主题教育网站专栏新增</w:t>
            </w:r>
          </w:p>
        </w:tc>
      </w:tr>
      <w:tr w14:paraId="79017013">
        <w:tblPrEx>
          <w:tblCellMar>
            <w:top w:w="0" w:type="dxa"/>
            <w:left w:w="108" w:type="dxa"/>
            <w:bottom w:w="0" w:type="dxa"/>
            <w:right w:w="108" w:type="dxa"/>
          </w:tblCellMar>
        </w:tblPrEx>
        <w:trPr>
          <w:trHeight w:val="540" w:hRule="atLeast"/>
        </w:trPr>
        <w:tc>
          <w:tcPr>
            <w:tcW w:w="365" w:type="pct"/>
            <w:tcBorders>
              <w:top w:val="nil"/>
              <w:left w:val="single" w:color="auto" w:sz="4" w:space="0"/>
              <w:bottom w:val="single" w:color="auto" w:sz="4" w:space="0"/>
              <w:right w:val="single" w:color="auto" w:sz="4" w:space="0"/>
            </w:tcBorders>
            <w:shd w:val="clear" w:color="auto" w:fill="auto"/>
            <w:vAlign w:val="center"/>
          </w:tcPr>
          <w:p w14:paraId="7ACEC00E">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642" w:type="pct"/>
            <w:tcBorders>
              <w:top w:val="nil"/>
              <w:left w:val="nil"/>
              <w:bottom w:val="single" w:color="auto" w:sz="4" w:space="0"/>
              <w:right w:val="single" w:color="auto" w:sz="4" w:space="0"/>
            </w:tcBorders>
            <w:shd w:val="clear" w:color="auto" w:fill="auto"/>
            <w:vAlign w:val="center"/>
          </w:tcPr>
          <w:p w14:paraId="124D32F0">
            <w:pPr>
              <w:widowControl/>
              <w:jc w:val="center"/>
              <w:rPr>
                <w:rFonts w:ascii="宋体" w:hAnsi="宋体" w:cs="宋体"/>
                <w:color w:val="000000"/>
                <w:kern w:val="0"/>
                <w:sz w:val="22"/>
                <w:szCs w:val="22"/>
              </w:rPr>
            </w:pPr>
            <w:r>
              <w:rPr>
                <w:rFonts w:hint="eastAsia" w:ascii="宋体" w:hAnsi="宋体" w:cs="宋体"/>
                <w:color w:val="000000"/>
                <w:kern w:val="0"/>
                <w:sz w:val="22"/>
                <w:szCs w:val="22"/>
              </w:rPr>
              <w:t>新功能-报表功能新增</w:t>
            </w:r>
          </w:p>
        </w:tc>
        <w:tc>
          <w:tcPr>
            <w:tcW w:w="1000" w:type="pct"/>
            <w:tcBorders>
              <w:top w:val="nil"/>
              <w:left w:val="nil"/>
              <w:bottom w:val="single" w:color="auto" w:sz="4" w:space="0"/>
              <w:right w:val="single" w:color="auto" w:sz="4" w:space="0"/>
            </w:tcBorders>
            <w:shd w:val="clear" w:color="auto" w:fill="auto"/>
            <w:vAlign w:val="center"/>
          </w:tcPr>
          <w:p w14:paraId="16ADEFDF">
            <w:pPr>
              <w:widowControl/>
              <w:jc w:val="center"/>
              <w:rPr>
                <w:rFonts w:ascii="宋体" w:hAnsi="宋体" w:cs="宋体"/>
                <w:color w:val="000000"/>
                <w:kern w:val="0"/>
                <w:sz w:val="22"/>
                <w:szCs w:val="22"/>
              </w:rPr>
            </w:pPr>
            <w:r>
              <w:rPr>
                <w:rFonts w:hint="eastAsia" w:ascii="宋体" w:hAnsi="宋体" w:cs="宋体"/>
                <w:color w:val="000000"/>
                <w:kern w:val="0"/>
                <w:sz w:val="22"/>
                <w:szCs w:val="22"/>
              </w:rPr>
              <w:t>报表功能新增</w:t>
            </w:r>
          </w:p>
        </w:tc>
        <w:tc>
          <w:tcPr>
            <w:tcW w:w="2993" w:type="pct"/>
            <w:tcBorders>
              <w:top w:val="nil"/>
              <w:left w:val="nil"/>
              <w:bottom w:val="single" w:color="auto" w:sz="4" w:space="0"/>
              <w:right w:val="single" w:color="auto" w:sz="4" w:space="0"/>
            </w:tcBorders>
            <w:shd w:val="clear" w:color="auto" w:fill="auto"/>
            <w:vAlign w:val="center"/>
          </w:tcPr>
          <w:p w14:paraId="61EE1EF5">
            <w:pPr>
              <w:widowControl/>
              <w:jc w:val="center"/>
              <w:rPr>
                <w:rFonts w:ascii="宋体" w:hAnsi="宋体" w:cs="宋体"/>
                <w:color w:val="000000"/>
                <w:kern w:val="0"/>
                <w:sz w:val="22"/>
                <w:szCs w:val="22"/>
              </w:rPr>
            </w:pPr>
            <w:r>
              <w:rPr>
                <w:rFonts w:hint="eastAsia" w:ascii="宋体" w:hAnsi="宋体" w:cs="宋体"/>
                <w:color w:val="000000"/>
                <w:kern w:val="0"/>
                <w:sz w:val="22"/>
                <w:szCs w:val="22"/>
              </w:rPr>
              <w:t>报表功能新增</w:t>
            </w:r>
          </w:p>
        </w:tc>
      </w:tr>
      <w:tr w14:paraId="02081844">
        <w:tblPrEx>
          <w:tblCellMar>
            <w:top w:w="0" w:type="dxa"/>
            <w:left w:w="108" w:type="dxa"/>
            <w:bottom w:w="0" w:type="dxa"/>
            <w:right w:w="108" w:type="dxa"/>
          </w:tblCellMar>
        </w:tblPrEx>
        <w:trPr>
          <w:trHeight w:val="540" w:hRule="atLeast"/>
        </w:trPr>
        <w:tc>
          <w:tcPr>
            <w:tcW w:w="365" w:type="pct"/>
            <w:tcBorders>
              <w:top w:val="nil"/>
              <w:left w:val="single" w:color="auto" w:sz="4" w:space="0"/>
              <w:bottom w:val="single" w:color="auto" w:sz="4" w:space="0"/>
              <w:right w:val="single" w:color="auto" w:sz="4" w:space="0"/>
            </w:tcBorders>
            <w:shd w:val="clear" w:color="auto" w:fill="auto"/>
            <w:vAlign w:val="center"/>
          </w:tcPr>
          <w:p w14:paraId="6E6D917D">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642" w:type="pct"/>
            <w:tcBorders>
              <w:top w:val="nil"/>
              <w:left w:val="nil"/>
              <w:bottom w:val="single" w:color="auto" w:sz="4" w:space="0"/>
              <w:right w:val="single" w:color="auto" w:sz="4" w:space="0"/>
            </w:tcBorders>
            <w:shd w:val="clear" w:color="auto" w:fill="auto"/>
            <w:vAlign w:val="center"/>
          </w:tcPr>
          <w:p w14:paraId="5A4793C4">
            <w:pPr>
              <w:widowControl/>
              <w:jc w:val="center"/>
              <w:rPr>
                <w:rFonts w:ascii="宋体" w:hAnsi="宋体" w:cs="宋体"/>
                <w:color w:val="000000"/>
                <w:kern w:val="0"/>
                <w:sz w:val="22"/>
                <w:szCs w:val="22"/>
              </w:rPr>
            </w:pPr>
            <w:r>
              <w:rPr>
                <w:rFonts w:hint="eastAsia" w:ascii="宋体" w:hAnsi="宋体" w:cs="宋体"/>
                <w:color w:val="000000"/>
                <w:kern w:val="0"/>
                <w:sz w:val="22"/>
                <w:szCs w:val="22"/>
              </w:rPr>
              <w:t>新功能-批量数据导入</w:t>
            </w:r>
          </w:p>
        </w:tc>
        <w:tc>
          <w:tcPr>
            <w:tcW w:w="1000" w:type="pct"/>
            <w:tcBorders>
              <w:top w:val="nil"/>
              <w:left w:val="nil"/>
              <w:bottom w:val="single" w:color="auto" w:sz="4" w:space="0"/>
              <w:right w:val="single" w:color="auto" w:sz="4" w:space="0"/>
            </w:tcBorders>
            <w:shd w:val="clear" w:color="auto" w:fill="auto"/>
            <w:vAlign w:val="center"/>
          </w:tcPr>
          <w:p w14:paraId="04DCB926">
            <w:pPr>
              <w:widowControl/>
              <w:jc w:val="center"/>
              <w:rPr>
                <w:rFonts w:ascii="宋体" w:hAnsi="宋体" w:cs="宋体"/>
                <w:color w:val="000000"/>
                <w:kern w:val="0"/>
                <w:sz w:val="22"/>
                <w:szCs w:val="22"/>
              </w:rPr>
            </w:pPr>
            <w:r>
              <w:rPr>
                <w:rFonts w:hint="eastAsia" w:ascii="宋体" w:hAnsi="宋体" w:cs="宋体"/>
                <w:color w:val="000000"/>
                <w:kern w:val="0"/>
                <w:sz w:val="22"/>
                <w:szCs w:val="22"/>
              </w:rPr>
              <w:t>批量数据导入</w:t>
            </w:r>
          </w:p>
        </w:tc>
        <w:tc>
          <w:tcPr>
            <w:tcW w:w="2993" w:type="pct"/>
            <w:tcBorders>
              <w:top w:val="nil"/>
              <w:left w:val="nil"/>
              <w:bottom w:val="single" w:color="auto" w:sz="4" w:space="0"/>
              <w:right w:val="single" w:color="auto" w:sz="4" w:space="0"/>
            </w:tcBorders>
            <w:shd w:val="clear" w:color="auto" w:fill="auto"/>
            <w:vAlign w:val="center"/>
          </w:tcPr>
          <w:p w14:paraId="006D5140">
            <w:pPr>
              <w:widowControl/>
              <w:jc w:val="center"/>
              <w:rPr>
                <w:rFonts w:ascii="宋体" w:hAnsi="宋体" w:cs="宋体"/>
                <w:color w:val="000000"/>
                <w:kern w:val="0"/>
                <w:sz w:val="22"/>
                <w:szCs w:val="22"/>
              </w:rPr>
            </w:pPr>
            <w:r>
              <w:rPr>
                <w:rFonts w:hint="eastAsia" w:ascii="宋体" w:hAnsi="宋体" w:cs="宋体"/>
                <w:color w:val="000000"/>
                <w:kern w:val="0"/>
                <w:sz w:val="22"/>
                <w:szCs w:val="22"/>
              </w:rPr>
              <w:t>根据配置的表结构，自动生成相应的导入模板，用户根据各功能的个性化模板完善数据后可以导入对应的业务功能模块或表格中</w:t>
            </w:r>
          </w:p>
        </w:tc>
      </w:tr>
      <w:tr w14:paraId="022A6FCC">
        <w:tblPrEx>
          <w:tblCellMar>
            <w:top w:w="0" w:type="dxa"/>
            <w:left w:w="108" w:type="dxa"/>
            <w:bottom w:w="0" w:type="dxa"/>
            <w:right w:w="108" w:type="dxa"/>
          </w:tblCellMar>
        </w:tblPrEx>
        <w:trPr>
          <w:trHeight w:val="270" w:hRule="atLeast"/>
        </w:trPr>
        <w:tc>
          <w:tcPr>
            <w:tcW w:w="365" w:type="pct"/>
            <w:vMerge w:val="restart"/>
            <w:tcBorders>
              <w:top w:val="nil"/>
              <w:left w:val="single" w:color="auto" w:sz="4" w:space="0"/>
              <w:bottom w:val="single" w:color="auto" w:sz="4" w:space="0"/>
              <w:right w:val="single" w:color="auto" w:sz="4" w:space="0"/>
            </w:tcBorders>
            <w:shd w:val="clear" w:color="auto" w:fill="auto"/>
            <w:vAlign w:val="center"/>
          </w:tcPr>
          <w:p w14:paraId="7CA53D66">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642" w:type="pct"/>
            <w:vMerge w:val="restart"/>
            <w:tcBorders>
              <w:top w:val="nil"/>
              <w:left w:val="single" w:color="auto" w:sz="4" w:space="0"/>
              <w:bottom w:val="single" w:color="auto" w:sz="4" w:space="0"/>
              <w:right w:val="single" w:color="auto" w:sz="4" w:space="0"/>
            </w:tcBorders>
            <w:shd w:val="clear" w:color="auto" w:fill="auto"/>
            <w:vAlign w:val="center"/>
          </w:tcPr>
          <w:p w14:paraId="0DFD16E8">
            <w:pPr>
              <w:widowControl/>
              <w:jc w:val="center"/>
              <w:rPr>
                <w:rFonts w:ascii="宋体" w:hAnsi="宋体" w:cs="宋体"/>
                <w:color w:val="000000"/>
                <w:kern w:val="0"/>
                <w:sz w:val="22"/>
                <w:szCs w:val="22"/>
              </w:rPr>
            </w:pPr>
            <w:r>
              <w:rPr>
                <w:rFonts w:hint="eastAsia" w:ascii="宋体" w:hAnsi="宋体" w:cs="宋体"/>
                <w:color w:val="000000"/>
                <w:kern w:val="0"/>
                <w:sz w:val="22"/>
                <w:szCs w:val="22"/>
              </w:rPr>
              <w:t>新功能-出入境证照备案管理</w:t>
            </w:r>
          </w:p>
        </w:tc>
        <w:tc>
          <w:tcPr>
            <w:tcW w:w="1000" w:type="pct"/>
            <w:tcBorders>
              <w:top w:val="nil"/>
              <w:left w:val="nil"/>
              <w:bottom w:val="single" w:color="auto" w:sz="4" w:space="0"/>
              <w:right w:val="single" w:color="auto" w:sz="4" w:space="0"/>
            </w:tcBorders>
            <w:shd w:val="clear" w:color="auto" w:fill="auto"/>
            <w:vAlign w:val="center"/>
          </w:tcPr>
          <w:p w14:paraId="224C87DC">
            <w:pPr>
              <w:widowControl/>
              <w:jc w:val="center"/>
              <w:rPr>
                <w:rFonts w:ascii="宋体" w:hAnsi="宋体" w:cs="宋体"/>
                <w:color w:val="000000"/>
                <w:kern w:val="0"/>
                <w:sz w:val="22"/>
                <w:szCs w:val="22"/>
              </w:rPr>
            </w:pPr>
            <w:r>
              <w:rPr>
                <w:rFonts w:hint="eastAsia" w:ascii="宋体" w:hAnsi="宋体" w:cs="宋体"/>
                <w:color w:val="000000"/>
                <w:kern w:val="0"/>
                <w:sz w:val="22"/>
                <w:szCs w:val="22"/>
              </w:rPr>
              <w:t>减员管理功能调整</w:t>
            </w:r>
          </w:p>
        </w:tc>
        <w:tc>
          <w:tcPr>
            <w:tcW w:w="2993" w:type="pct"/>
            <w:tcBorders>
              <w:top w:val="nil"/>
              <w:left w:val="nil"/>
              <w:bottom w:val="single" w:color="auto" w:sz="4" w:space="0"/>
              <w:right w:val="single" w:color="auto" w:sz="4" w:space="0"/>
            </w:tcBorders>
            <w:shd w:val="clear" w:color="auto" w:fill="auto"/>
            <w:vAlign w:val="center"/>
          </w:tcPr>
          <w:p w14:paraId="17BC350D">
            <w:pPr>
              <w:widowControl/>
              <w:jc w:val="center"/>
              <w:rPr>
                <w:rFonts w:ascii="宋体" w:hAnsi="宋体" w:cs="宋体"/>
                <w:color w:val="000000"/>
                <w:kern w:val="0"/>
                <w:sz w:val="22"/>
                <w:szCs w:val="22"/>
              </w:rPr>
            </w:pPr>
            <w:r>
              <w:rPr>
                <w:rFonts w:hint="eastAsia" w:ascii="宋体" w:hAnsi="宋体" w:cs="宋体"/>
                <w:color w:val="000000"/>
                <w:kern w:val="0"/>
                <w:sz w:val="22"/>
                <w:szCs w:val="22"/>
              </w:rPr>
              <w:t>减员管理功能调整</w:t>
            </w:r>
          </w:p>
        </w:tc>
      </w:tr>
      <w:tr w14:paraId="340BA706">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6C1340A8">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787AC6D8">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0E655029">
            <w:pPr>
              <w:widowControl/>
              <w:jc w:val="center"/>
              <w:rPr>
                <w:rFonts w:ascii="宋体" w:hAnsi="宋体" w:cs="宋体"/>
                <w:color w:val="000000"/>
                <w:kern w:val="0"/>
                <w:sz w:val="22"/>
                <w:szCs w:val="22"/>
              </w:rPr>
            </w:pPr>
            <w:r>
              <w:rPr>
                <w:rFonts w:hint="eastAsia" w:ascii="宋体" w:hAnsi="宋体" w:cs="宋体"/>
                <w:color w:val="000000"/>
                <w:kern w:val="0"/>
                <w:sz w:val="22"/>
                <w:szCs w:val="22"/>
              </w:rPr>
              <w:t>备案撤销</w:t>
            </w:r>
          </w:p>
        </w:tc>
        <w:tc>
          <w:tcPr>
            <w:tcW w:w="2993" w:type="pct"/>
            <w:tcBorders>
              <w:top w:val="nil"/>
              <w:left w:val="nil"/>
              <w:bottom w:val="single" w:color="auto" w:sz="4" w:space="0"/>
              <w:right w:val="single" w:color="auto" w:sz="4" w:space="0"/>
            </w:tcBorders>
            <w:shd w:val="clear" w:color="auto" w:fill="auto"/>
            <w:vAlign w:val="center"/>
          </w:tcPr>
          <w:p w14:paraId="500AD1D8">
            <w:pPr>
              <w:widowControl/>
              <w:jc w:val="center"/>
              <w:rPr>
                <w:rFonts w:ascii="宋体" w:hAnsi="宋体" w:cs="宋体"/>
                <w:color w:val="000000"/>
                <w:kern w:val="0"/>
                <w:sz w:val="22"/>
                <w:szCs w:val="22"/>
              </w:rPr>
            </w:pPr>
            <w:r>
              <w:rPr>
                <w:rFonts w:hint="eastAsia" w:ascii="宋体" w:hAnsi="宋体" w:cs="宋体"/>
                <w:color w:val="000000"/>
                <w:kern w:val="0"/>
                <w:sz w:val="22"/>
                <w:szCs w:val="22"/>
              </w:rPr>
              <w:t>备案撤销</w:t>
            </w:r>
          </w:p>
        </w:tc>
      </w:tr>
      <w:tr w14:paraId="39C48068">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54B0F8BB">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61D79E66">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77EF5F24">
            <w:pPr>
              <w:widowControl/>
              <w:jc w:val="center"/>
              <w:rPr>
                <w:rFonts w:ascii="宋体" w:hAnsi="宋体" w:cs="宋体"/>
                <w:color w:val="000000"/>
                <w:kern w:val="0"/>
                <w:sz w:val="22"/>
                <w:szCs w:val="22"/>
              </w:rPr>
            </w:pPr>
            <w:r>
              <w:rPr>
                <w:rFonts w:hint="eastAsia" w:ascii="宋体" w:hAnsi="宋体" w:cs="宋体"/>
                <w:color w:val="000000"/>
                <w:kern w:val="0"/>
                <w:sz w:val="22"/>
                <w:szCs w:val="22"/>
              </w:rPr>
              <w:t>备案撤销审核</w:t>
            </w:r>
          </w:p>
        </w:tc>
        <w:tc>
          <w:tcPr>
            <w:tcW w:w="2993" w:type="pct"/>
            <w:tcBorders>
              <w:top w:val="nil"/>
              <w:left w:val="nil"/>
              <w:bottom w:val="single" w:color="auto" w:sz="4" w:space="0"/>
              <w:right w:val="single" w:color="auto" w:sz="4" w:space="0"/>
            </w:tcBorders>
            <w:shd w:val="clear" w:color="auto" w:fill="auto"/>
            <w:vAlign w:val="center"/>
          </w:tcPr>
          <w:p w14:paraId="640A0693">
            <w:pPr>
              <w:widowControl/>
              <w:jc w:val="center"/>
              <w:rPr>
                <w:rFonts w:ascii="宋体" w:hAnsi="宋体" w:cs="宋体"/>
                <w:color w:val="000000"/>
                <w:kern w:val="0"/>
                <w:sz w:val="22"/>
                <w:szCs w:val="22"/>
              </w:rPr>
            </w:pPr>
            <w:r>
              <w:rPr>
                <w:rFonts w:hint="eastAsia" w:ascii="宋体" w:hAnsi="宋体" w:cs="宋体"/>
                <w:color w:val="000000"/>
                <w:kern w:val="0"/>
                <w:sz w:val="22"/>
                <w:szCs w:val="22"/>
              </w:rPr>
              <w:t>备案撤销审核</w:t>
            </w:r>
          </w:p>
        </w:tc>
      </w:tr>
      <w:tr w14:paraId="1DD784F4">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69FBF8E4">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7CC7D776">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7DF36467">
            <w:pPr>
              <w:widowControl/>
              <w:jc w:val="center"/>
              <w:rPr>
                <w:rFonts w:ascii="宋体" w:hAnsi="宋体" w:cs="宋体"/>
                <w:color w:val="000000"/>
                <w:kern w:val="0"/>
                <w:sz w:val="22"/>
                <w:szCs w:val="22"/>
              </w:rPr>
            </w:pPr>
            <w:r>
              <w:rPr>
                <w:rFonts w:hint="eastAsia" w:ascii="宋体" w:hAnsi="宋体" w:cs="宋体"/>
                <w:color w:val="000000"/>
                <w:kern w:val="0"/>
                <w:sz w:val="22"/>
                <w:szCs w:val="22"/>
              </w:rPr>
              <w:t>备案管理</w:t>
            </w:r>
          </w:p>
        </w:tc>
        <w:tc>
          <w:tcPr>
            <w:tcW w:w="2993" w:type="pct"/>
            <w:tcBorders>
              <w:top w:val="nil"/>
              <w:left w:val="nil"/>
              <w:bottom w:val="single" w:color="auto" w:sz="4" w:space="0"/>
              <w:right w:val="single" w:color="auto" w:sz="4" w:space="0"/>
            </w:tcBorders>
            <w:shd w:val="clear" w:color="auto" w:fill="auto"/>
            <w:vAlign w:val="center"/>
          </w:tcPr>
          <w:p w14:paraId="4F6D9EF5">
            <w:pPr>
              <w:widowControl/>
              <w:jc w:val="center"/>
              <w:rPr>
                <w:rFonts w:ascii="宋体" w:hAnsi="宋体" w:cs="宋体"/>
                <w:color w:val="000000"/>
                <w:kern w:val="0"/>
                <w:sz w:val="22"/>
                <w:szCs w:val="22"/>
              </w:rPr>
            </w:pPr>
            <w:r>
              <w:rPr>
                <w:rFonts w:hint="eastAsia" w:ascii="宋体" w:hAnsi="宋体" w:cs="宋体"/>
                <w:color w:val="000000"/>
                <w:kern w:val="0"/>
                <w:sz w:val="22"/>
                <w:szCs w:val="22"/>
              </w:rPr>
              <w:t>备案管理</w:t>
            </w:r>
          </w:p>
        </w:tc>
      </w:tr>
      <w:tr w14:paraId="557C1DE0">
        <w:tblPrEx>
          <w:tblCellMar>
            <w:top w:w="0" w:type="dxa"/>
            <w:left w:w="108" w:type="dxa"/>
            <w:bottom w:w="0" w:type="dxa"/>
            <w:right w:w="108" w:type="dxa"/>
          </w:tblCellMar>
        </w:tblPrEx>
        <w:trPr>
          <w:trHeight w:val="270" w:hRule="atLeast"/>
        </w:trPr>
        <w:tc>
          <w:tcPr>
            <w:tcW w:w="365" w:type="pct"/>
            <w:vMerge w:val="restart"/>
            <w:tcBorders>
              <w:top w:val="nil"/>
              <w:left w:val="single" w:color="auto" w:sz="4" w:space="0"/>
              <w:bottom w:val="single" w:color="auto" w:sz="4" w:space="0"/>
              <w:right w:val="single" w:color="auto" w:sz="4" w:space="0"/>
            </w:tcBorders>
            <w:shd w:val="clear" w:color="auto" w:fill="auto"/>
            <w:vAlign w:val="center"/>
          </w:tcPr>
          <w:p w14:paraId="550844DC">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642" w:type="pct"/>
            <w:vMerge w:val="restart"/>
            <w:tcBorders>
              <w:top w:val="nil"/>
              <w:left w:val="single" w:color="auto" w:sz="4" w:space="0"/>
              <w:bottom w:val="single" w:color="auto" w:sz="4" w:space="0"/>
              <w:right w:val="single" w:color="auto" w:sz="4" w:space="0"/>
            </w:tcBorders>
            <w:shd w:val="clear" w:color="auto" w:fill="auto"/>
            <w:vAlign w:val="center"/>
          </w:tcPr>
          <w:p w14:paraId="022410F4">
            <w:pPr>
              <w:widowControl/>
              <w:jc w:val="center"/>
              <w:rPr>
                <w:rFonts w:ascii="宋体" w:hAnsi="宋体" w:cs="宋体"/>
                <w:color w:val="000000"/>
                <w:kern w:val="0"/>
                <w:sz w:val="22"/>
                <w:szCs w:val="22"/>
              </w:rPr>
            </w:pPr>
            <w:r>
              <w:rPr>
                <w:rFonts w:hint="eastAsia" w:ascii="宋体" w:hAnsi="宋体" w:cs="宋体"/>
                <w:color w:val="000000"/>
                <w:kern w:val="0"/>
                <w:sz w:val="22"/>
                <w:szCs w:val="22"/>
              </w:rPr>
              <w:t>新功能-辅警党员管理</w:t>
            </w:r>
          </w:p>
        </w:tc>
        <w:tc>
          <w:tcPr>
            <w:tcW w:w="1000" w:type="pct"/>
            <w:tcBorders>
              <w:top w:val="nil"/>
              <w:left w:val="nil"/>
              <w:bottom w:val="single" w:color="auto" w:sz="4" w:space="0"/>
              <w:right w:val="single" w:color="auto" w:sz="4" w:space="0"/>
            </w:tcBorders>
            <w:shd w:val="clear" w:color="auto" w:fill="auto"/>
            <w:vAlign w:val="center"/>
          </w:tcPr>
          <w:p w14:paraId="221316AA">
            <w:pPr>
              <w:widowControl/>
              <w:jc w:val="center"/>
              <w:rPr>
                <w:rFonts w:ascii="宋体" w:hAnsi="宋体" w:cs="宋体"/>
                <w:color w:val="000000"/>
                <w:kern w:val="0"/>
                <w:sz w:val="22"/>
                <w:szCs w:val="22"/>
              </w:rPr>
            </w:pPr>
            <w:r>
              <w:rPr>
                <w:rFonts w:hint="eastAsia" w:ascii="宋体" w:hAnsi="宋体" w:cs="宋体"/>
                <w:color w:val="000000"/>
                <w:kern w:val="0"/>
                <w:sz w:val="22"/>
                <w:szCs w:val="22"/>
              </w:rPr>
              <w:t>党员管理</w:t>
            </w:r>
          </w:p>
        </w:tc>
        <w:tc>
          <w:tcPr>
            <w:tcW w:w="2993" w:type="pct"/>
            <w:tcBorders>
              <w:top w:val="nil"/>
              <w:left w:val="nil"/>
              <w:bottom w:val="single" w:color="auto" w:sz="4" w:space="0"/>
              <w:right w:val="single" w:color="auto" w:sz="4" w:space="0"/>
            </w:tcBorders>
            <w:shd w:val="clear" w:color="auto" w:fill="auto"/>
            <w:vAlign w:val="center"/>
          </w:tcPr>
          <w:p w14:paraId="551F75A8">
            <w:pPr>
              <w:widowControl/>
              <w:jc w:val="center"/>
              <w:rPr>
                <w:rFonts w:ascii="宋体" w:hAnsi="宋体" w:cs="宋体"/>
                <w:color w:val="000000"/>
                <w:kern w:val="0"/>
                <w:sz w:val="22"/>
                <w:szCs w:val="22"/>
              </w:rPr>
            </w:pPr>
            <w:r>
              <w:rPr>
                <w:rFonts w:hint="eastAsia" w:ascii="宋体" w:hAnsi="宋体" w:cs="宋体"/>
                <w:color w:val="000000"/>
                <w:kern w:val="0"/>
                <w:sz w:val="22"/>
                <w:szCs w:val="22"/>
              </w:rPr>
              <w:t>党员管理</w:t>
            </w:r>
          </w:p>
        </w:tc>
      </w:tr>
      <w:tr w14:paraId="5B16F508">
        <w:tblPrEx>
          <w:tblCellMar>
            <w:top w:w="0" w:type="dxa"/>
            <w:left w:w="108" w:type="dxa"/>
            <w:bottom w:w="0" w:type="dxa"/>
            <w:right w:w="108" w:type="dxa"/>
          </w:tblCellMar>
        </w:tblPrEx>
        <w:trPr>
          <w:trHeight w:val="270" w:hRule="atLeast"/>
        </w:trPr>
        <w:tc>
          <w:tcPr>
            <w:tcW w:w="365" w:type="pct"/>
            <w:vMerge w:val="continue"/>
            <w:tcBorders>
              <w:top w:val="nil"/>
              <w:left w:val="single" w:color="auto" w:sz="4" w:space="0"/>
              <w:bottom w:val="single" w:color="auto" w:sz="4" w:space="0"/>
              <w:right w:val="single" w:color="auto" w:sz="4" w:space="0"/>
            </w:tcBorders>
            <w:vAlign w:val="center"/>
          </w:tcPr>
          <w:p w14:paraId="160E72C0">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46213A31">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184A37B5">
            <w:pPr>
              <w:widowControl/>
              <w:jc w:val="center"/>
              <w:rPr>
                <w:rFonts w:ascii="宋体" w:hAnsi="宋体" w:cs="宋体"/>
                <w:color w:val="000000"/>
                <w:kern w:val="0"/>
                <w:sz w:val="22"/>
                <w:szCs w:val="22"/>
              </w:rPr>
            </w:pPr>
            <w:r>
              <w:rPr>
                <w:rFonts w:hint="eastAsia" w:ascii="宋体" w:hAnsi="宋体" w:cs="宋体"/>
                <w:color w:val="000000"/>
                <w:kern w:val="0"/>
                <w:sz w:val="22"/>
                <w:szCs w:val="22"/>
              </w:rPr>
              <w:t>发展辅警党员管理</w:t>
            </w:r>
          </w:p>
        </w:tc>
        <w:tc>
          <w:tcPr>
            <w:tcW w:w="2993" w:type="pct"/>
            <w:tcBorders>
              <w:top w:val="nil"/>
              <w:left w:val="nil"/>
              <w:bottom w:val="single" w:color="auto" w:sz="4" w:space="0"/>
              <w:right w:val="single" w:color="auto" w:sz="4" w:space="0"/>
            </w:tcBorders>
            <w:shd w:val="clear" w:color="auto" w:fill="auto"/>
            <w:vAlign w:val="center"/>
          </w:tcPr>
          <w:p w14:paraId="7E25B402">
            <w:pPr>
              <w:widowControl/>
              <w:jc w:val="center"/>
              <w:rPr>
                <w:rFonts w:ascii="宋体" w:hAnsi="宋体" w:cs="宋体"/>
                <w:color w:val="000000"/>
                <w:kern w:val="0"/>
                <w:sz w:val="22"/>
                <w:szCs w:val="22"/>
              </w:rPr>
            </w:pPr>
            <w:r>
              <w:rPr>
                <w:rFonts w:hint="eastAsia" w:ascii="宋体" w:hAnsi="宋体" w:cs="宋体"/>
                <w:color w:val="000000"/>
                <w:kern w:val="0"/>
                <w:sz w:val="22"/>
                <w:szCs w:val="22"/>
              </w:rPr>
              <w:t>发展辅警党员管理</w:t>
            </w:r>
          </w:p>
        </w:tc>
      </w:tr>
      <w:tr w14:paraId="18559E58">
        <w:tblPrEx>
          <w:tblCellMar>
            <w:top w:w="0" w:type="dxa"/>
            <w:left w:w="108" w:type="dxa"/>
            <w:bottom w:w="0" w:type="dxa"/>
            <w:right w:w="108" w:type="dxa"/>
          </w:tblCellMar>
        </w:tblPrEx>
        <w:trPr>
          <w:trHeight w:val="540" w:hRule="atLeast"/>
        </w:trPr>
        <w:tc>
          <w:tcPr>
            <w:tcW w:w="365" w:type="pct"/>
            <w:tcBorders>
              <w:top w:val="nil"/>
              <w:left w:val="single" w:color="auto" w:sz="4" w:space="0"/>
              <w:bottom w:val="single" w:color="auto" w:sz="4" w:space="0"/>
              <w:right w:val="single" w:color="auto" w:sz="4" w:space="0"/>
            </w:tcBorders>
            <w:shd w:val="clear" w:color="auto" w:fill="auto"/>
            <w:vAlign w:val="center"/>
          </w:tcPr>
          <w:p w14:paraId="3FF49EDE">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642" w:type="pct"/>
            <w:tcBorders>
              <w:top w:val="nil"/>
              <w:left w:val="nil"/>
              <w:bottom w:val="single" w:color="auto" w:sz="4" w:space="0"/>
              <w:right w:val="single" w:color="auto" w:sz="4" w:space="0"/>
            </w:tcBorders>
            <w:shd w:val="clear" w:color="auto" w:fill="auto"/>
            <w:vAlign w:val="center"/>
          </w:tcPr>
          <w:p w14:paraId="15EACE54">
            <w:pPr>
              <w:widowControl/>
              <w:jc w:val="center"/>
              <w:rPr>
                <w:rFonts w:ascii="宋体" w:hAnsi="宋体" w:cs="宋体"/>
                <w:color w:val="000000"/>
                <w:kern w:val="0"/>
                <w:sz w:val="22"/>
                <w:szCs w:val="22"/>
              </w:rPr>
            </w:pPr>
            <w:r>
              <w:rPr>
                <w:rFonts w:hint="eastAsia" w:ascii="宋体" w:hAnsi="宋体" w:cs="宋体"/>
                <w:color w:val="000000"/>
                <w:kern w:val="0"/>
                <w:sz w:val="22"/>
                <w:szCs w:val="22"/>
              </w:rPr>
              <w:t>新功能-年度\季度队伍分析报告</w:t>
            </w:r>
          </w:p>
        </w:tc>
        <w:tc>
          <w:tcPr>
            <w:tcW w:w="1000" w:type="pct"/>
            <w:tcBorders>
              <w:top w:val="nil"/>
              <w:left w:val="nil"/>
              <w:bottom w:val="single" w:color="auto" w:sz="4" w:space="0"/>
              <w:right w:val="single" w:color="auto" w:sz="4" w:space="0"/>
            </w:tcBorders>
            <w:shd w:val="clear" w:color="auto" w:fill="auto"/>
            <w:vAlign w:val="center"/>
          </w:tcPr>
          <w:p w14:paraId="44F9FB6E">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年度\季度队伍分析报告</w:t>
            </w:r>
          </w:p>
        </w:tc>
        <w:tc>
          <w:tcPr>
            <w:tcW w:w="2993" w:type="pct"/>
            <w:tcBorders>
              <w:top w:val="nil"/>
              <w:left w:val="nil"/>
              <w:bottom w:val="single" w:color="auto" w:sz="4" w:space="0"/>
              <w:right w:val="single" w:color="auto" w:sz="4" w:space="0"/>
            </w:tcBorders>
            <w:shd w:val="clear" w:color="auto" w:fill="auto"/>
            <w:vAlign w:val="center"/>
          </w:tcPr>
          <w:p w14:paraId="6DDDA10C">
            <w:pPr>
              <w:widowControl/>
              <w:jc w:val="center"/>
              <w:rPr>
                <w:rFonts w:ascii="宋体" w:hAnsi="宋体" w:cs="宋体"/>
                <w:color w:val="000000"/>
                <w:kern w:val="0"/>
                <w:sz w:val="22"/>
                <w:szCs w:val="22"/>
              </w:rPr>
            </w:pPr>
            <w:r>
              <w:rPr>
                <w:rFonts w:hint="eastAsia" w:ascii="宋体" w:hAnsi="宋体" w:cs="宋体"/>
                <w:color w:val="000000"/>
                <w:kern w:val="0"/>
                <w:sz w:val="22"/>
                <w:szCs w:val="22"/>
              </w:rPr>
              <w:t>每季度、年度自动根据现有队伍数据进行数据统计，生成队伍分析报告。支持根据所选时间段人工点击计算生成对应时间段的分析报告。</w:t>
            </w:r>
          </w:p>
        </w:tc>
      </w:tr>
      <w:tr w14:paraId="1B4246C2">
        <w:tblPrEx>
          <w:tblCellMar>
            <w:top w:w="0" w:type="dxa"/>
            <w:left w:w="108" w:type="dxa"/>
            <w:bottom w:w="0" w:type="dxa"/>
            <w:right w:w="108" w:type="dxa"/>
          </w:tblCellMar>
        </w:tblPrEx>
        <w:trPr>
          <w:trHeight w:val="810" w:hRule="atLeast"/>
        </w:trPr>
        <w:tc>
          <w:tcPr>
            <w:tcW w:w="365" w:type="pct"/>
            <w:vMerge w:val="restart"/>
            <w:tcBorders>
              <w:top w:val="nil"/>
              <w:left w:val="single" w:color="auto" w:sz="4" w:space="0"/>
              <w:bottom w:val="single" w:color="auto" w:sz="4" w:space="0"/>
              <w:right w:val="single" w:color="auto" w:sz="4" w:space="0"/>
            </w:tcBorders>
            <w:shd w:val="clear" w:color="auto" w:fill="auto"/>
            <w:vAlign w:val="center"/>
          </w:tcPr>
          <w:p w14:paraId="04BDFD58">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642" w:type="pct"/>
            <w:vMerge w:val="restart"/>
            <w:tcBorders>
              <w:top w:val="nil"/>
              <w:left w:val="single" w:color="auto" w:sz="4" w:space="0"/>
              <w:bottom w:val="single" w:color="auto" w:sz="4" w:space="0"/>
              <w:right w:val="single" w:color="auto" w:sz="4" w:space="0"/>
            </w:tcBorders>
            <w:shd w:val="clear" w:color="auto" w:fill="auto"/>
            <w:vAlign w:val="center"/>
          </w:tcPr>
          <w:p w14:paraId="2E4E59AE">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XC</w:t>
            </w:r>
            <w:r>
              <w:rPr>
                <w:rFonts w:hint="eastAsia" w:ascii="宋体" w:hAnsi="宋体" w:cs="宋体"/>
                <w:color w:val="000000"/>
                <w:kern w:val="0"/>
                <w:sz w:val="22"/>
                <w:szCs w:val="22"/>
              </w:rPr>
              <w:t>改造-应用服务适配改造</w:t>
            </w:r>
          </w:p>
        </w:tc>
        <w:tc>
          <w:tcPr>
            <w:tcW w:w="1000" w:type="pct"/>
            <w:tcBorders>
              <w:top w:val="nil"/>
              <w:left w:val="nil"/>
              <w:bottom w:val="single" w:color="auto" w:sz="4" w:space="0"/>
              <w:right w:val="single" w:color="auto" w:sz="4" w:space="0"/>
            </w:tcBorders>
            <w:shd w:val="clear" w:color="auto" w:fill="auto"/>
            <w:vAlign w:val="center"/>
          </w:tcPr>
          <w:p w14:paraId="1F0FCB6D">
            <w:pPr>
              <w:widowControl/>
              <w:jc w:val="center"/>
              <w:rPr>
                <w:rFonts w:ascii="宋体" w:hAnsi="宋体" w:cs="宋体"/>
                <w:color w:val="000000"/>
                <w:kern w:val="0"/>
                <w:sz w:val="22"/>
                <w:szCs w:val="22"/>
              </w:rPr>
            </w:pPr>
            <w:r>
              <w:rPr>
                <w:rFonts w:hint="eastAsia" w:ascii="宋体" w:hAnsi="宋体" w:cs="宋体"/>
                <w:color w:val="000000"/>
                <w:kern w:val="0"/>
                <w:sz w:val="22"/>
                <w:szCs w:val="22"/>
              </w:rPr>
              <w:t>缓存服务支撑组件改造</w:t>
            </w:r>
          </w:p>
        </w:tc>
        <w:tc>
          <w:tcPr>
            <w:tcW w:w="2993" w:type="pct"/>
            <w:tcBorders>
              <w:top w:val="nil"/>
              <w:left w:val="nil"/>
              <w:bottom w:val="single" w:color="auto" w:sz="4" w:space="0"/>
              <w:right w:val="single" w:color="auto" w:sz="4" w:space="0"/>
            </w:tcBorders>
            <w:shd w:val="clear" w:color="auto" w:fill="auto"/>
            <w:vAlign w:val="center"/>
          </w:tcPr>
          <w:p w14:paraId="50A55CAC">
            <w:pPr>
              <w:widowControl/>
              <w:jc w:val="center"/>
              <w:rPr>
                <w:rFonts w:ascii="宋体" w:hAnsi="宋体" w:cs="宋体"/>
                <w:color w:val="000000"/>
                <w:kern w:val="0"/>
                <w:sz w:val="22"/>
                <w:szCs w:val="22"/>
              </w:rPr>
            </w:pPr>
            <w:r>
              <w:rPr>
                <w:rFonts w:hint="eastAsia" w:ascii="宋体" w:hAnsi="宋体" w:cs="宋体"/>
                <w:color w:val="000000"/>
                <w:kern w:val="0"/>
                <w:sz w:val="22"/>
                <w:szCs w:val="22"/>
              </w:rPr>
              <w:t>提供统一的缓存服务，并直接封装SDK，供各类应用系统使用。提供多数据库的登记管理，将数据库编号与应用系统关联起来，应用系统在调用缓存时，自动对应到指定的缓存数据库，并且提供数据缓存监控</w:t>
            </w:r>
          </w:p>
        </w:tc>
      </w:tr>
      <w:tr w14:paraId="2F9718A0">
        <w:tblPrEx>
          <w:tblCellMar>
            <w:top w:w="0" w:type="dxa"/>
            <w:left w:w="108" w:type="dxa"/>
            <w:bottom w:w="0" w:type="dxa"/>
            <w:right w:w="108" w:type="dxa"/>
          </w:tblCellMar>
        </w:tblPrEx>
        <w:trPr>
          <w:trHeight w:val="540" w:hRule="atLeast"/>
        </w:trPr>
        <w:tc>
          <w:tcPr>
            <w:tcW w:w="365" w:type="pct"/>
            <w:vMerge w:val="continue"/>
            <w:tcBorders>
              <w:top w:val="nil"/>
              <w:left w:val="single" w:color="auto" w:sz="4" w:space="0"/>
              <w:bottom w:val="single" w:color="auto" w:sz="4" w:space="0"/>
              <w:right w:val="single" w:color="auto" w:sz="4" w:space="0"/>
            </w:tcBorders>
            <w:vAlign w:val="center"/>
          </w:tcPr>
          <w:p w14:paraId="4A7F3267">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0C5A4B69">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07A95338">
            <w:pPr>
              <w:widowControl/>
              <w:jc w:val="center"/>
              <w:rPr>
                <w:rFonts w:ascii="宋体" w:hAnsi="宋体" w:cs="宋体"/>
                <w:color w:val="000000"/>
                <w:kern w:val="0"/>
                <w:sz w:val="22"/>
                <w:szCs w:val="22"/>
              </w:rPr>
            </w:pPr>
            <w:r>
              <w:rPr>
                <w:rFonts w:hint="eastAsia" w:ascii="宋体" w:hAnsi="宋体" w:cs="宋体"/>
                <w:color w:val="000000"/>
                <w:kern w:val="0"/>
                <w:sz w:val="22"/>
                <w:szCs w:val="22"/>
              </w:rPr>
              <w:t>日志服务支撑组件改造</w:t>
            </w:r>
          </w:p>
        </w:tc>
        <w:tc>
          <w:tcPr>
            <w:tcW w:w="2993" w:type="pct"/>
            <w:tcBorders>
              <w:top w:val="nil"/>
              <w:left w:val="nil"/>
              <w:bottom w:val="single" w:color="auto" w:sz="4" w:space="0"/>
              <w:right w:val="single" w:color="auto" w:sz="4" w:space="0"/>
            </w:tcBorders>
            <w:shd w:val="clear" w:color="auto" w:fill="auto"/>
            <w:vAlign w:val="center"/>
          </w:tcPr>
          <w:p w14:paraId="2ED717AB">
            <w:pPr>
              <w:widowControl/>
              <w:jc w:val="center"/>
              <w:rPr>
                <w:rFonts w:ascii="宋体" w:hAnsi="宋体" w:cs="宋体"/>
                <w:color w:val="000000"/>
                <w:kern w:val="0"/>
                <w:sz w:val="22"/>
                <w:szCs w:val="22"/>
              </w:rPr>
            </w:pPr>
            <w:r>
              <w:rPr>
                <w:rFonts w:hint="eastAsia" w:ascii="宋体" w:hAnsi="宋体" w:cs="宋体"/>
                <w:color w:val="000000"/>
                <w:kern w:val="0"/>
                <w:sz w:val="22"/>
                <w:szCs w:val="22"/>
              </w:rPr>
              <w:t>对日志进行查看，通过日志服务的接口获取实时日志，并且通过大数据技术可以对日志进行快速分析</w:t>
            </w:r>
          </w:p>
        </w:tc>
      </w:tr>
      <w:tr w14:paraId="50B321AA">
        <w:tblPrEx>
          <w:tblCellMar>
            <w:top w:w="0" w:type="dxa"/>
            <w:left w:w="108" w:type="dxa"/>
            <w:bottom w:w="0" w:type="dxa"/>
            <w:right w:w="108" w:type="dxa"/>
          </w:tblCellMar>
        </w:tblPrEx>
        <w:trPr>
          <w:trHeight w:val="810" w:hRule="atLeast"/>
        </w:trPr>
        <w:tc>
          <w:tcPr>
            <w:tcW w:w="365" w:type="pct"/>
            <w:vMerge w:val="continue"/>
            <w:tcBorders>
              <w:top w:val="nil"/>
              <w:left w:val="single" w:color="auto" w:sz="4" w:space="0"/>
              <w:bottom w:val="single" w:color="auto" w:sz="4" w:space="0"/>
              <w:right w:val="single" w:color="auto" w:sz="4" w:space="0"/>
            </w:tcBorders>
            <w:vAlign w:val="center"/>
          </w:tcPr>
          <w:p w14:paraId="342E8917">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6EFE0F65">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290412E3">
            <w:pPr>
              <w:widowControl/>
              <w:jc w:val="center"/>
              <w:rPr>
                <w:rFonts w:ascii="宋体" w:hAnsi="宋体" w:cs="宋体"/>
                <w:color w:val="000000"/>
                <w:kern w:val="0"/>
                <w:sz w:val="22"/>
                <w:szCs w:val="22"/>
              </w:rPr>
            </w:pPr>
            <w:r>
              <w:rPr>
                <w:rFonts w:hint="eastAsia" w:ascii="宋体" w:hAnsi="宋体" w:cs="宋体"/>
                <w:color w:val="000000"/>
                <w:kern w:val="0"/>
                <w:sz w:val="22"/>
                <w:szCs w:val="22"/>
              </w:rPr>
              <w:t>工作流程支撑组件改造</w:t>
            </w:r>
          </w:p>
        </w:tc>
        <w:tc>
          <w:tcPr>
            <w:tcW w:w="2993" w:type="pct"/>
            <w:tcBorders>
              <w:top w:val="nil"/>
              <w:left w:val="nil"/>
              <w:bottom w:val="single" w:color="auto" w:sz="4" w:space="0"/>
              <w:right w:val="single" w:color="auto" w:sz="4" w:space="0"/>
            </w:tcBorders>
            <w:shd w:val="clear" w:color="auto" w:fill="auto"/>
            <w:vAlign w:val="center"/>
          </w:tcPr>
          <w:p w14:paraId="3A8879B9">
            <w:pPr>
              <w:widowControl/>
              <w:jc w:val="center"/>
              <w:rPr>
                <w:rFonts w:ascii="宋体" w:hAnsi="宋体" w:cs="宋体"/>
                <w:color w:val="000000"/>
                <w:kern w:val="0"/>
                <w:sz w:val="22"/>
                <w:szCs w:val="22"/>
              </w:rPr>
            </w:pPr>
            <w:r>
              <w:rPr>
                <w:rFonts w:hint="eastAsia" w:ascii="宋体" w:hAnsi="宋体" w:cs="宋体"/>
                <w:color w:val="000000"/>
                <w:kern w:val="0"/>
                <w:sz w:val="22"/>
                <w:szCs w:val="22"/>
              </w:rPr>
              <w:t>可视化工作流引擎、表单及文本编辑的功能，提供后台可定制流程支持，满足流程修改、删除、新增需要；对流程的调整和增加不需要重新开发，实现快速设置，快速使用；提供后台可定制表单支持，满足表单修改、删除、新增需要</w:t>
            </w:r>
          </w:p>
        </w:tc>
      </w:tr>
      <w:tr w14:paraId="2C8B18F9">
        <w:tblPrEx>
          <w:tblCellMar>
            <w:top w:w="0" w:type="dxa"/>
            <w:left w:w="108" w:type="dxa"/>
            <w:bottom w:w="0" w:type="dxa"/>
            <w:right w:w="108" w:type="dxa"/>
          </w:tblCellMar>
        </w:tblPrEx>
        <w:trPr>
          <w:trHeight w:val="540" w:hRule="atLeast"/>
        </w:trPr>
        <w:tc>
          <w:tcPr>
            <w:tcW w:w="365" w:type="pct"/>
            <w:vMerge w:val="continue"/>
            <w:tcBorders>
              <w:top w:val="nil"/>
              <w:left w:val="single" w:color="auto" w:sz="4" w:space="0"/>
              <w:bottom w:val="single" w:color="auto" w:sz="4" w:space="0"/>
              <w:right w:val="single" w:color="auto" w:sz="4" w:space="0"/>
            </w:tcBorders>
            <w:vAlign w:val="center"/>
          </w:tcPr>
          <w:p w14:paraId="46522426">
            <w:pPr>
              <w:widowControl/>
              <w:jc w:val="left"/>
              <w:rPr>
                <w:rFonts w:ascii="宋体" w:hAnsi="宋体" w:cs="宋体"/>
                <w:color w:val="000000"/>
                <w:kern w:val="0"/>
                <w:sz w:val="22"/>
                <w:szCs w:val="22"/>
              </w:rPr>
            </w:pPr>
          </w:p>
        </w:tc>
        <w:tc>
          <w:tcPr>
            <w:tcW w:w="642" w:type="pct"/>
            <w:vMerge w:val="continue"/>
            <w:tcBorders>
              <w:top w:val="nil"/>
              <w:left w:val="single" w:color="auto" w:sz="4" w:space="0"/>
              <w:bottom w:val="single" w:color="auto" w:sz="4" w:space="0"/>
              <w:right w:val="single" w:color="auto" w:sz="4" w:space="0"/>
            </w:tcBorders>
            <w:vAlign w:val="center"/>
          </w:tcPr>
          <w:p w14:paraId="2E5C69A4">
            <w:pPr>
              <w:widowControl/>
              <w:jc w:val="left"/>
              <w:rPr>
                <w:rFonts w:ascii="宋体" w:hAnsi="宋体" w:cs="宋体"/>
                <w:color w:val="000000"/>
                <w:kern w:val="0"/>
                <w:sz w:val="22"/>
                <w:szCs w:val="22"/>
              </w:rPr>
            </w:pPr>
          </w:p>
        </w:tc>
        <w:tc>
          <w:tcPr>
            <w:tcW w:w="1000" w:type="pct"/>
            <w:tcBorders>
              <w:top w:val="nil"/>
              <w:left w:val="nil"/>
              <w:bottom w:val="single" w:color="auto" w:sz="4" w:space="0"/>
              <w:right w:val="single" w:color="auto" w:sz="4" w:space="0"/>
            </w:tcBorders>
            <w:shd w:val="clear" w:color="auto" w:fill="auto"/>
            <w:vAlign w:val="center"/>
          </w:tcPr>
          <w:p w14:paraId="4F023454">
            <w:pPr>
              <w:widowControl/>
              <w:jc w:val="center"/>
              <w:rPr>
                <w:rFonts w:ascii="宋体" w:hAnsi="宋体" w:cs="宋体"/>
                <w:color w:val="000000"/>
                <w:kern w:val="0"/>
                <w:sz w:val="22"/>
                <w:szCs w:val="22"/>
              </w:rPr>
            </w:pPr>
            <w:r>
              <w:rPr>
                <w:rFonts w:hint="eastAsia" w:ascii="宋体" w:hAnsi="宋体" w:cs="宋体"/>
                <w:color w:val="000000"/>
                <w:kern w:val="0"/>
                <w:sz w:val="22"/>
                <w:szCs w:val="22"/>
              </w:rPr>
              <w:t>数据迁移</w:t>
            </w:r>
          </w:p>
        </w:tc>
        <w:tc>
          <w:tcPr>
            <w:tcW w:w="2993" w:type="pct"/>
            <w:tcBorders>
              <w:top w:val="nil"/>
              <w:left w:val="nil"/>
              <w:bottom w:val="single" w:color="auto" w:sz="4" w:space="0"/>
              <w:right w:val="single" w:color="auto" w:sz="4" w:space="0"/>
            </w:tcBorders>
            <w:shd w:val="clear" w:color="auto" w:fill="auto"/>
            <w:vAlign w:val="center"/>
          </w:tcPr>
          <w:p w14:paraId="22071C19">
            <w:pPr>
              <w:widowControl/>
              <w:jc w:val="center"/>
              <w:rPr>
                <w:rFonts w:ascii="宋体" w:hAnsi="宋体" w:cs="宋体"/>
                <w:color w:val="000000"/>
                <w:kern w:val="0"/>
                <w:sz w:val="22"/>
                <w:szCs w:val="22"/>
              </w:rPr>
            </w:pPr>
            <w:r>
              <w:rPr>
                <w:rFonts w:hint="eastAsia" w:ascii="宋体" w:hAnsi="宋体" w:cs="宋体"/>
                <w:color w:val="000000"/>
                <w:kern w:val="0"/>
                <w:sz w:val="22"/>
                <w:szCs w:val="22"/>
              </w:rPr>
              <w:t>组织架构、用户、角色、权限、配置信息的数据迁移；民警管理业务子系统的业务数据迁移；数据迁移验证</w:t>
            </w:r>
          </w:p>
        </w:tc>
      </w:tr>
    </w:tbl>
    <w:p w14:paraId="1B8D054E">
      <w:pPr>
        <w:pStyle w:val="7"/>
        <w:spacing w:line="560" w:lineRule="exact"/>
        <w:ind w:firstLine="640"/>
        <w:rPr>
          <w:rFonts w:ascii="仿宋_GB2312" w:hAnsi="Verdana" w:eastAsia="仿宋_GB2312" w:cs="宋体"/>
          <w:kern w:val="0"/>
          <w:sz w:val="32"/>
          <w:szCs w:val="32"/>
          <w:highlight w:val="yellow"/>
        </w:rPr>
      </w:pPr>
    </w:p>
    <w:p w14:paraId="3C87E754">
      <w:pPr>
        <w:widowControl/>
        <w:adjustRightInd w:val="0"/>
        <w:snapToGrid w:val="0"/>
        <w:spacing w:line="560" w:lineRule="exact"/>
        <w:ind w:firstLine="624"/>
        <w:rPr>
          <w:rFonts w:eastAsia="黑体"/>
          <w:bCs/>
          <w:kern w:val="0"/>
          <w:sz w:val="32"/>
          <w:szCs w:val="32"/>
        </w:rPr>
      </w:pPr>
      <w:r>
        <w:rPr>
          <w:rFonts w:hint="eastAsia" w:eastAsia="黑体"/>
          <w:bCs/>
          <w:kern w:val="0"/>
          <w:sz w:val="32"/>
          <w:szCs w:val="32"/>
        </w:rPr>
        <w:t>（五）进度安排</w:t>
      </w:r>
    </w:p>
    <w:p w14:paraId="1705DA8E">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一是合同签订后尽快完成应用系统设计、应用系统开发、数据准备和迁移等工作，通过初步验收，进入试运行。</w:t>
      </w:r>
    </w:p>
    <w:p w14:paraId="0151F061">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二是试运行期连续</w:t>
      </w:r>
      <w:r>
        <w:rPr>
          <w:rFonts w:ascii="Times New Roman" w:hAnsi="Times New Roman" w:eastAsia="仿宋_GB2312"/>
          <w:sz w:val="32"/>
          <w:szCs w:val="32"/>
        </w:rPr>
        <w:t>1</w:t>
      </w:r>
      <w:r>
        <w:rPr>
          <w:rFonts w:hint="eastAsia" w:ascii="Times New Roman" w:hAnsi="Times New Roman" w:eastAsia="仿宋_GB2312"/>
          <w:sz w:val="32"/>
          <w:szCs w:val="32"/>
        </w:rPr>
        <w:t>个月无重大故障方可通过验收。</w:t>
      </w:r>
    </w:p>
    <w:p w14:paraId="3E3B23B6">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三是2025年10月31日前通过最终验收。</w:t>
      </w:r>
    </w:p>
    <w:p w14:paraId="53696813">
      <w:pPr>
        <w:widowControl/>
        <w:adjustRightInd w:val="0"/>
        <w:snapToGrid w:val="0"/>
        <w:spacing w:line="560" w:lineRule="exact"/>
        <w:ind w:firstLine="600"/>
        <w:rPr>
          <w:rFonts w:eastAsia="黑体"/>
          <w:bCs/>
          <w:kern w:val="0"/>
          <w:sz w:val="32"/>
          <w:szCs w:val="32"/>
        </w:rPr>
      </w:pPr>
      <w:r>
        <w:rPr>
          <w:rFonts w:hint="eastAsia" w:eastAsia="黑体"/>
          <w:bCs/>
          <w:kern w:val="0"/>
          <w:sz w:val="32"/>
          <w:szCs w:val="32"/>
        </w:rPr>
        <w:t>（六）实施要求和技术服务要求</w:t>
      </w:r>
      <w:bookmarkStart w:id="0" w:name="_Toc10816495"/>
      <w:bookmarkStart w:id="1" w:name="_Toc522114568"/>
      <w:bookmarkStart w:id="2" w:name="_Toc522698680"/>
    </w:p>
    <w:p w14:paraId="5724C46C">
      <w:pPr>
        <w:widowControl/>
        <w:adjustRightInd w:val="0"/>
        <w:snapToGrid w:val="0"/>
        <w:spacing w:line="560" w:lineRule="exact"/>
        <w:ind w:firstLine="600"/>
        <w:rPr>
          <w:rFonts w:eastAsia="黑体"/>
          <w:bCs/>
          <w:kern w:val="0"/>
          <w:sz w:val="32"/>
          <w:szCs w:val="32"/>
        </w:rPr>
      </w:pPr>
      <w:r>
        <w:rPr>
          <w:rFonts w:eastAsia="楷体_GB2312"/>
          <w:kern w:val="0"/>
          <w:sz w:val="32"/>
          <w:szCs w:val="32"/>
        </w:rPr>
        <w:t>1.</w:t>
      </w:r>
      <w:r>
        <w:rPr>
          <w:rFonts w:hint="eastAsia" w:eastAsia="楷体_GB2312"/>
          <w:kern w:val="0"/>
          <w:sz w:val="32"/>
          <w:szCs w:val="32"/>
        </w:rPr>
        <w:t>实施要求</w:t>
      </w:r>
      <w:bookmarkEnd w:id="0"/>
      <w:bookmarkEnd w:id="1"/>
      <w:bookmarkEnd w:id="2"/>
    </w:p>
    <w:p w14:paraId="224CD458">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在项目正式实施前，中标人应会同采购人明确相关的实施方案、实施进度安排、过渡迁移对接方案和应急处置方案等内容，确保相关业务的正常有序运行。</w:t>
      </w:r>
    </w:p>
    <w:p w14:paraId="47810237">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系统设计、开发和安装部署过程中所需要的软件、工具、配件、线缆、各类器件辅材、设备端口的使用许可等均由中标人负责提供。</w:t>
      </w:r>
    </w:p>
    <w:p w14:paraId="5926C1BC">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中标人负责协调解决本项目集成过程中出现的各类问题，对集成的进度、质量负总责，并牵头负责与既有软件供应商、集成商、运维服务供应商的沟通协调以及配合其他项目的建设实施。</w:t>
      </w:r>
    </w:p>
    <w:p w14:paraId="73B8C621">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中标人需提供与现有网络、安全、服务器、存储等设备的联调工作。</w:t>
      </w:r>
    </w:p>
    <w:p w14:paraId="1A6F9018">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招标文件中相关招标要求中出现不合理或不完整的问题时，投标人有责任和义务提出补充修改方案并征得采购人的同意后付与实施。</w:t>
      </w:r>
    </w:p>
    <w:p w14:paraId="7FA2FCC5">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中标人应成立项目管理组织，严格遵守相关的业务管控、架构管控、项目管控的要求。</w:t>
      </w:r>
    </w:p>
    <w:p w14:paraId="0C6125D1">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中标人各阶段产出物采用特殊格式的，中标人需提供相应的打开、编译、运行、修改、打印等工具，并确保采购人无限制的使用；不受版权和知识产权限制，采购人不对工具额外付费。</w:t>
      </w:r>
    </w:p>
    <w:p w14:paraId="061AE43B">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中标人应提供合理的技术力量配置。</w:t>
      </w:r>
    </w:p>
    <w:p w14:paraId="3949B3C2">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中标人应依据合同（含招标文件、投标文件等）完成最终验收文档的编制和收集，接受采购方的审核。</w:t>
      </w:r>
    </w:p>
    <w:p w14:paraId="5A3142B8">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项目建设期间，采购方将对中标人各项工作进行全程指导监督。</w:t>
      </w:r>
    </w:p>
    <w:p w14:paraId="4A2CA314">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项目实施过程中建设单位需要派出资深的培训师进行系统使用人员的培训。</w:t>
      </w:r>
    </w:p>
    <w:p w14:paraId="2DC114FA">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此次涉及到的系统使用人员比较多，包括工作人员、技术人员、领导等，需要按不同对象分步式开展培训，对系统涉及到的各类使用人员全面展开培训工作。</w:t>
      </w:r>
    </w:p>
    <w:p w14:paraId="1C3A3240">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需要指定各单位系统管理员，对其进行相关业务培训、软件操作培训、后台管理员培训、常见问题处理方法培训等；需要对领导用户点对点培训。</w:t>
      </w:r>
    </w:p>
    <w:p w14:paraId="137BBE86">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需要寻找合适的单位先期试用及试运行。</w:t>
      </w:r>
    </w:p>
    <w:p w14:paraId="6AB84E26">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培训方式需要包括大课培训和点对点培训。</w:t>
      </w:r>
    </w:p>
    <w:p w14:paraId="5AE5B71B">
      <w:pPr>
        <w:pStyle w:val="7"/>
        <w:spacing w:line="560" w:lineRule="exact"/>
        <w:ind w:firstLine="640"/>
        <w:rPr>
          <w:rFonts w:ascii="Times New Roman" w:hAnsi="Times New Roman" w:eastAsia="仿宋_GB2312"/>
          <w:sz w:val="32"/>
          <w:szCs w:val="32"/>
          <w:highlight w:val="yellow"/>
        </w:rPr>
      </w:pPr>
      <w:r>
        <w:rPr>
          <w:rFonts w:hint="eastAsia" w:ascii="Times New Roman" w:hAnsi="Times New Roman" w:eastAsia="仿宋_GB2312"/>
          <w:sz w:val="32"/>
          <w:szCs w:val="32"/>
        </w:rPr>
        <w:t>培训资料包括但不限于操作手册、系统设计方案、技术文档、系统部署手册等。</w:t>
      </w:r>
    </w:p>
    <w:p w14:paraId="26CC9AE8">
      <w:pPr>
        <w:widowControl/>
        <w:adjustRightInd w:val="0"/>
        <w:snapToGrid w:val="0"/>
        <w:spacing w:line="560" w:lineRule="exact"/>
        <w:outlineLvl w:val="1"/>
        <w:rPr>
          <w:rFonts w:eastAsia="楷体_GB2312"/>
          <w:kern w:val="0"/>
          <w:sz w:val="32"/>
          <w:szCs w:val="32"/>
        </w:rPr>
      </w:pPr>
      <w:r>
        <w:rPr>
          <w:rFonts w:eastAsia="楷体_GB2312"/>
          <w:kern w:val="0"/>
          <w:sz w:val="32"/>
          <w:szCs w:val="32"/>
        </w:rPr>
        <w:t xml:space="preserve">    2.</w:t>
      </w:r>
      <w:r>
        <w:rPr>
          <w:rFonts w:hint="eastAsia" w:eastAsia="楷体_GB2312"/>
          <w:kern w:val="0"/>
          <w:sz w:val="32"/>
          <w:szCs w:val="32"/>
        </w:rPr>
        <w:t>售后要求</w:t>
      </w:r>
    </w:p>
    <w:p w14:paraId="02349D41">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是本项目技术支持与售后服务的主要承担者和责任人。在服务的实施过程中，要求中标人应能提供及时、高效的技术支持与售后服务，确保工程能按设计方案的各项指标要求和实施计划顺利完成，并在工程验收合格后，系统能长期稳定运行。</w:t>
      </w:r>
    </w:p>
    <w:p w14:paraId="54C9543A">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技术支持与售后服务的范围包括本项目所涉及的所有软硬件产品。质量保障期从系统通过最终验收之日起计算，中标人提供至少3年的免费保修和免费维护服务。</w:t>
      </w:r>
    </w:p>
    <w:p w14:paraId="5788FB76">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中标人应提供</w:t>
      </w:r>
      <w:r>
        <w:rPr>
          <w:rFonts w:ascii="Times New Roman" w:hAnsi="Times New Roman" w:eastAsia="仿宋_GB2312"/>
          <w:sz w:val="32"/>
          <w:szCs w:val="32"/>
        </w:rPr>
        <w:t>7×24</w:t>
      </w:r>
      <w:r>
        <w:rPr>
          <w:rFonts w:hint="eastAsia" w:ascii="Times New Roman" w:hAnsi="Times New Roman" w:eastAsia="仿宋_GB2312"/>
          <w:sz w:val="32"/>
          <w:szCs w:val="32"/>
        </w:rPr>
        <w:t>小时的运维服务，应在接到用户通知后</w:t>
      </w:r>
      <w:r>
        <w:rPr>
          <w:rFonts w:ascii="Times New Roman" w:hAnsi="Times New Roman" w:eastAsia="仿宋_GB2312"/>
          <w:sz w:val="32"/>
          <w:szCs w:val="32"/>
        </w:rPr>
        <w:t>30</w:t>
      </w:r>
      <w:r>
        <w:rPr>
          <w:rFonts w:hint="eastAsia" w:ascii="Times New Roman" w:hAnsi="Times New Roman" w:eastAsia="仿宋_GB2312"/>
          <w:sz w:val="32"/>
          <w:szCs w:val="32"/>
        </w:rPr>
        <w:t>分钟内响应，对于电话方式无法解决的问题，中标人应</w:t>
      </w:r>
      <w:r>
        <w:rPr>
          <w:rFonts w:ascii="Times New Roman" w:hAnsi="Times New Roman" w:eastAsia="仿宋_GB2312"/>
          <w:sz w:val="32"/>
          <w:szCs w:val="32"/>
        </w:rPr>
        <w:t>1</w:t>
      </w:r>
      <w:r>
        <w:rPr>
          <w:rFonts w:hint="eastAsia" w:ascii="Times New Roman" w:hAnsi="Times New Roman" w:eastAsia="仿宋_GB2312"/>
          <w:sz w:val="32"/>
          <w:szCs w:val="32"/>
        </w:rPr>
        <w:t>小时内派员到现场处理，分析排查及解决问题时间不得超过</w:t>
      </w:r>
      <w:r>
        <w:rPr>
          <w:rFonts w:ascii="Times New Roman" w:hAnsi="Times New Roman" w:eastAsia="仿宋_GB2312"/>
          <w:sz w:val="32"/>
          <w:szCs w:val="32"/>
        </w:rPr>
        <w:t>2</w:t>
      </w:r>
      <w:r>
        <w:rPr>
          <w:rFonts w:hint="eastAsia" w:ascii="Times New Roman" w:hAnsi="Times New Roman" w:eastAsia="仿宋_GB2312"/>
          <w:sz w:val="32"/>
          <w:szCs w:val="32"/>
        </w:rPr>
        <w:t>小时。</w:t>
      </w:r>
    </w:p>
    <w:p w14:paraId="434B0287">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中标人需配备至少</w:t>
      </w:r>
      <w:r>
        <w:rPr>
          <w:rFonts w:ascii="Times New Roman" w:hAnsi="Times New Roman" w:eastAsia="仿宋_GB2312"/>
          <w:sz w:val="32"/>
          <w:szCs w:val="32"/>
        </w:rPr>
        <w:t>1</w:t>
      </w:r>
      <w:r>
        <w:rPr>
          <w:rFonts w:hint="eastAsia" w:ascii="Times New Roman" w:hAnsi="Times New Roman" w:eastAsia="仿宋_GB2312"/>
          <w:sz w:val="32"/>
          <w:szCs w:val="32"/>
        </w:rPr>
        <w:t>名指定技术服务人员为用户提供</w:t>
      </w:r>
      <w:r>
        <w:rPr>
          <w:rFonts w:ascii="Times New Roman" w:hAnsi="Times New Roman" w:eastAsia="仿宋_GB2312"/>
          <w:sz w:val="32"/>
          <w:szCs w:val="32"/>
        </w:rPr>
        <w:t>3</w:t>
      </w:r>
      <w:r>
        <w:rPr>
          <w:rFonts w:hint="eastAsia" w:ascii="Times New Roman" w:hAnsi="Times New Roman" w:eastAsia="仿宋_GB2312"/>
          <w:sz w:val="32"/>
          <w:szCs w:val="32"/>
        </w:rPr>
        <w:t>年免费售后运维服务，现场及时响应用户运维需求。免费维护期间，中标人须承诺提供定期巡检（每月</w:t>
      </w:r>
      <w:r>
        <w:rPr>
          <w:rFonts w:ascii="Times New Roman" w:hAnsi="Times New Roman" w:eastAsia="仿宋_GB2312"/>
          <w:sz w:val="32"/>
          <w:szCs w:val="32"/>
        </w:rPr>
        <w:t>1</w:t>
      </w:r>
      <w:r>
        <w:rPr>
          <w:rFonts w:hint="eastAsia" w:ascii="Times New Roman" w:hAnsi="Times New Roman" w:eastAsia="仿宋_GB2312"/>
          <w:sz w:val="32"/>
          <w:szCs w:val="32"/>
        </w:rPr>
        <w:t>次），并协助用户对隐患和故障进行解决和追查，最终以报告形式提交用户。安全设备每月巡检一次，并出具月度分析报告。</w:t>
      </w:r>
    </w:p>
    <w:p w14:paraId="424CBEC3">
      <w:pPr>
        <w:widowControl/>
        <w:adjustRightInd w:val="0"/>
        <w:snapToGrid w:val="0"/>
        <w:spacing w:line="560" w:lineRule="exact"/>
        <w:ind w:firstLine="600"/>
        <w:rPr>
          <w:rFonts w:eastAsia="黑体"/>
          <w:kern w:val="0"/>
          <w:sz w:val="32"/>
          <w:szCs w:val="32"/>
        </w:rPr>
      </w:pPr>
      <w:r>
        <w:rPr>
          <w:rFonts w:hint="eastAsia" w:eastAsia="黑体"/>
          <w:kern w:val="0"/>
          <w:sz w:val="32"/>
          <w:szCs w:val="32"/>
        </w:rPr>
        <w:t>（七）供应商及服务人员要求</w:t>
      </w:r>
    </w:p>
    <w:p w14:paraId="0A885530">
      <w:pPr>
        <w:widowControl/>
        <w:adjustRightInd w:val="0"/>
        <w:snapToGrid w:val="0"/>
        <w:spacing w:line="560" w:lineRule="exact"/>
        <w:outlineLvl w:val="1"/>
        <w:rPr>
          <w:rFonts w:eastAsia="楷体_GB2312"/>
          <w:kern w:val="0"/>
          <w:sz w:val="32"/>
          <w:szCs w:val="32"/>
        </w:rPr>
      </w:pPr>
      <w:r>
        <w:rPr>
          <w:rFonts w:eastAsia="楷体_GB2312"/>
          <w:kern w:val="0"/>
          <w:sz w:val="32"/>
          <w:szCs w:val="32"/>
        </w:rPr>
        <w:t xml:space="preserve">    1.</w:t>
      </w:r>
      <w:r>
        <w:rPr>
          <w:rFonts w:hint="eastAsia" w:eastAsia="楷体_GB2312"/>
          <w:kern w:val="0"/>
          <w:sz w:val="32"/>
          <w:szCs w:val="32"/>
        </w:rPr>
        <w:t>供应商要求</w:t>
      </w:r>
    </w:p>
    <w:p w14:paraId="56E9DD18">
      <w:pPr>
        <w:pStyle w:val="7"/>
        <w:spacing w:line="560" w:lineRule="exact"/>
        <w:ind w:firstLine="640" w:firstLineChars="0"/>
        <w:rPr>
          <w:rFonts w:ascii="Times New Roman" w:hAnsi="Times New Roman" w:eastAsia="仿宋_GB2312"/>
          <w:sz w:val="32"/>
          <w:szCs w:val="32"/>
        </w:rPr>
      </w:pPr>
      <w:r>
        <w:rPr>
          <w:rFonts w:hint="eastAsia" w:ascii="Times New Roman" w:hAnsi="Times New Roman" w:eastAsia="仿宋_GB2312"/>
          <w:sz w:val="32"/>
          <w:szCs w:val="32"/>
        </w:rPr>
        <w:t>供应商应当具有类似项目建设经验，通过</w:t>
      </w:r>
      <w:r>
        <w:rPr>
          <w:rFonts w:ascii="Times New Roman" w:hAnsi="Times New Roman" w:eastAsia="仿宋_GB2312"/>
          <w:sz w:val="32"/>
          <w:szCs w:val="32"/>
        </w:rPr>
        <w:t>ISO9001</w:t>
      </w:r>
      <w:r>
        <w:rPr>
          <w:rFonts w:hint="eastAsia" w:ascii="Times New Roman" w:hAnsi="Times New Roman" w:eastAsia="仿宋_GB2312"/>
          <w:sz w:val="32"/>
          <w:szCs w:val="32"/>
        </w:rPr>
        <w:t>质量管理体系认证、</w:t>
      </w:r>
      <w:r>
        <w:rPr>
          <w:rFonts w:ascii="Times New Roman" w:hAnsi="Times New Roman" w:eastAsia="仿宋_GB2312"/>
          <w:sz w:val="32"/>
          <w:szCs w:val="32"/>
        </w:rPr>
        <w:t>ISO20000</w:t>
      </w:r>
      <w:r>
        <w:rPr>
          <w:rFonts w:hint="eastAsia" w:ascii="Times New Roman" w:hAnsi="Times New Roman" w:eastAsia="仿宋_GB2312"/>
          <w:sz w:val="32"/>
          <w:szCs w:val="32"/>
        </w:rPr>
        <w:t>信息技术服务管理体系认证、</w:t>
      </w:r>
      <w:r>
        <w:rPr>
          <w:rFonts w:ascii="Times New Roman" w:hAnsi="Times New Roman" w:eastAsia="仿宋_GB2312"/>
          <w:sz w:val="32"/>
          <w:szCs w:val="32"/>
        </w:rPr>
        <w:t>ISO27001</w:t>
      </w:r>
      <w:r>
        <w:rPr>
          <w:rFonts w:hint="eastAsia" w:ascii="Times New Roman" w:hAnsi="Times New Roman" w:eastAsia="仿宋_GB2312"/>
          <w:sz w:val="32"/>
          <w:szCs w:val="32"/>
        </w:rPr>
        <w:t>信息安全管理体系认证。</w:t>
      </w:r>
    </w:p>
    <w:p w14:paraId="3F37ABE0">
      <w:pPr>
        <w:widowControl/>
        <w:adjustRightInd w:val="0"/>
        <w:snapToGrid w:val="0"/>
        <w:spacing w:line="560" w:lineRule="exact"/>
        <w:outlineLvl w:val="1"/>
        <w:rPr>
          <w:rFonts w:eastAsia="楷体_GB2312"/>
          <w:kern w:val="0"/>
          <w:sz w:val="32"/>
          <w:szCs w:val="32"/>
        </w:rPr>
      </w:pPr>
      <w:bookmarkStart w:id="3" w:name="_Toc10816497"/>
      <w:bookmarkStart w:id="4" w:name="_Toc522698682"/>
      <w:bookmarkStart w:id="5" w:name="_Toc522114569"/>
      <w:r>
        <w:rPr>
          <w:rFonts w:eastAsia="楷体_GB2312"/>
          <w:kern w:val="0"/>
          <w:sz w:val="32"/>
          <w:szCs w:val="32"/>
        </w:rPr>
        <w:t xml:space="preserve"> 2.</w:t>
      </w:r>
      <w:r>
        <w:rPr>
          <w:rFonts w:hint="eastAsia" w:eastAsia="楷体_GB2312"/>
          <w:kern w:val="0"/>
          <w:sz w:val="32"/>
          <w:szCs w:val="32"/>
        </w:rPr>
        <w:t>人力资源要求</w:t>
      </w:r>
      <w:bookmarkEnd w:id="3"/>
      <w:bookmarkEnd w:id="4"/>
      <w:bookmarkEnd w:id="5"/>
    </w:p>
    <w:p w14:paraId="544E401E">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1）项目建设期间应针对本项目提供不少于</w:t>
      </w:r>
      <w:r>
        <w:rPr>
          <w:rFonts w:ascii="Times New Roman" w:hAnsi="Times New Roman" w:eastAsia="仿宋_GB2312"/>
          <w:sz w:val="32"/>
          <w:szCs w:val="32"/>
        </w:rPr>
        <w:t>25</w:t>
      </w:r>
      <w:r>
        <w:rPr>
          <w:rFonts w:hint="eastAsia" w:ascii="Times New Roman" w:hAnsi="Times New Roman" w:eastAsia="仿宋_GB2312"/>
          <w:sz w:val="32"/>
          <w:szCs w:val="32"/>
        </w:rPr>
        <w:t>人的项目服务团队（包括项目经理、产品经理、技术负责人、安全工程师、研发、实施、测试等）。具体人员要求如下：</w:t>
      </w:r>
    </w:p>
    <w:tbl>
      <w:tblPr>
        <w:tblStyle w:val="2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491"/>
        <w:gridCol w:w="1265"/>
        <w:gridCol w:w="3402"/>
        <w:gridCol w:w="709"/>
      </w:tblGrid>
      <w:tr w14:paraId="7124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5F16E6E6">
            <w:pPr>
              <w:widowControl/>
              <w:jc w:val="center"/>
              <w:rPr>
                <w:b/>
              </w:rPr>
            </w:pPr>
            <w:r>
              <w:rPr>
                <w:rFonts w:hint="eastAsia"/>
                <w:b/>
              </w:rPr>
              <w:t>角色</w:t>
            </w:r>
          </w:p>
        </w:tc>
        <w:tc>
          <w:tcPr>
            <w:tcW w:w="2491" w:type="dxa"/>
            <w:shd w:val="clear" w:color="auto" w:fill="auto"/>
            <w:noWrap/>
            <w:vAlign w:val="center"/>
          </w:tcPr>
          <w:p w14:paraId="114D0848">
            <w:pPr>
              <w:widowControl/>
              <w:jc w:val="center"/>
              <w:rPr>
                <w:b/>
              </w:rPr>
            </w:pPr>
            <w:r>
              <w:rPr>
                <w:rFonts w:hint="eastAsia"/>
                <w:b/>
              </w:rPr>
              <w:t>主要职责</w:t>
            </w:r>
          </w:p>
        </w:tc>
        <w:tc>
          <w:tcPr>
            <w:tcW w:w="1265" w:type="dxa"/>
            <w:shd w:val="clear" w:color="auto" w:fill="auto"/>
            <w:noWrap/>
            <w:vAlign w:val="center"/>
          </w:tcPr>
          <w:p w14:paraId="7AA8CCCD">
            <w:pPr>
              <w:widowControl/>
              <w:jc w:val="center"/>
              <w:rPr>
                <w:b/>
              </w:rPr>
            </w:pPr>
            <w:r>
              <w:rPr>
                <w:rFonts w:hint="eastAsia"/>
                <w:b/>
              </w:rPr>
              <w:t>人员数量下限</w:t>
            </w:r>
          </w:p>
        </w:tc>
        <w:tc>
          <w:tcPr>
            <w:tcW w:w="3402" w:type="dxa"/>
            <w:vAlign w:val="center"/>
          </w:tcPr>
          <w:p w14:paraId="5265D10B">
            <w:pPr>
              <w:widowControl/>
              <w:jc w:val="center"/>
              <w:rPr>
                <w:b/>
              </w:rPr>
            </w:pPr>
            <w:r>
              <w:rPr>
                <w:rFonts w:hint="eastAsia"/>
                <w:b/>
              </w:rPr>
              <w:t>人员要求</w:t>
            </w:r>
          </w:p>
        </w:tc>
        <w:tc>
          <w:tcPr>
            <w:tcW w:w="709" w:type="dxa"/>
            <w:shd w:val="clear" w:color="auto" w:fill="auto"/>
            <w:noWrap/>
            <w:vAlign w:val="center"/>
          </w:tcPr>
          <w:p w14:paraId="2B8680E7">
            <w:pPr>
              <w:widowControl/>
              <w:jc w:val="center"/>
              <w:rPr>
                <w:b/>
              </w:rPr>
            </w:pPr>
            <w:r>
              <w:rPr>
                <w:rFonts w:hint="eastAsia"/>
                <w:b/>
              </w:rPr>
              <w:t>驻场要求</w:t>
            </w:r>
          </w:p>
        </w:tc>
      </w:tr>
      <w:tr w14:paraId="07D7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43652FA2">
            <w:pPr>
              <w:widowControl/>
            </w:pPr>
            <w:r>
              <w:rPr>
                <w:rFonts w:hint="eastAsia"/>
              </w:rPr>
              <w:t>项目经理</w:t>
            </w:r>
          </w:p>
        </w:tc>
        <w:tc>
          <w:tcPr>
            <w:tcW w:w="2491" w:type="dxa"/>
            <w:shd w:val="clear" w:color="auto" w:fill="auto"/>
            <w:vAlign w:val="center"/>
          </w:tcPr>
          <w:p w14:paraId="612A58FD">
            <w:pPr>
              <w:widowControl/>
            </w:pPr>
            <w:r>
              <w:rPr>
                <w:rFonts w:hint="eastAsia"/>
              </w:rPr>
              <w:t>项目服务人员的总体组织和管理，与用户及时沟通，对服务团队进行内部考核。</w:t>
            </w:r>
          </w:p>
        </w:tc>
        <w:tc>
          <w:tcPr>
            <w:tcW w:w="1265" w:type="dxa"/>
            <w:shd w:val="clear" w:color="auto" w:fill="auto"/>
            <w:noWrap/>
            <w:vAlign w:val="center"/>
          </w:tcPr>
          <w:p w14:paraId="2E7A5060">
            <w:pPr>
              <w:widowControl/>
              <w:jc w:val="center"/>
            </w:pPr>
            <w:r>
              <w:t>1</w:t>
            </w:r>
            <w:r>
              <w:rPr>
                <w:rFonts w:hint="eastAsia"/>
              </w:rPr>
              <w:t>人</w:t>
            </w:r>
          </w:p>
        </w:tc>
        <w:tc>
          <w:tcPr>
            <w:tcW w:w="3402" w:type="dxa"/>
            <w:vAlign w:val="center"/>
          </w:tcPr>
          <w:p w14:paraId="2CAF074C">
            <w:pPr>
              <w:pStyle w:val="16"/>
              <w:spacing w:after="0"/>
              <w:rPr>
                <w:sz w:val="24"/>
              </w:rPr>
            </w:pPr>
            <w:r>
              <w:rPr>
                <w:rFonts w:hint="eastAsia"/>
                <w:sz w:val="24"/>
              </w:rPr>
              <w:t>1、本科及以上学历，电子信息、计算机、数学等相关理工科专业；</w:t>
            </w:r>
          </w:p>
          <w:p w14:paraId="32D72618">
            <w:pPr>
              <w:pStyle w:val="16"/>
              <w:spacing w:after="0"/>
              <w:rPr>
                <w:sz w:val="24"/>
              </w:rPr>
            </w:pPr>
            <w:r>
              <w:rPr>
                <w:rFonts w:hint="eastAsia"/>
                <w:sz w:val="24"/>
              </w:rPr>
              <w:t>2、具有3年及以上政府信息系统项目且担任项目经理职务的工作经验；</w:t>
            </w:r>
          </w:p>
          <w:p w14:paraId="4256C2C1">
            <w:pPr>
              <w:pStyle w:val="16"/>
              <w:spacing w:after="0"/>
              <w:rPr>
                <w:sz w:val="24"/>
              </w:rPr>
            </w:pPr>
            <w:r>
              <w:rPr>
                <w:rFonts w:hint="eastAsia"/>
                <w:sz w:val="24"/>
              </w:rPr>
              <w:t>3、且具有类似项目管理经验。</w:t>
            </w:r>
          </w:p>
        </w:tc>
        <w:tc>
          <w:tcPr>
            <w:tcW w:w="709" w:type="dxa"/>
            <w:shd w:val="clear" w:color="auto" w:fill="auto"/>
            <w:noWrap/>
            <w:vAlign w:val="center"/>
          </w:tcPr>
          <w:p w14:paraId="22CC9620">
            <w:pPr>
              <w:widowControl/>
              <w:jc w:val="center"/>
            </w:pPr>
            <w:r>
              <w:rPr>
                <w:rFonts w:hint="eastAsia"/>
              </w:rPr>
              <w:t>驻场</w:t>
            </w:r>
          </w:p>
        </w:tc>
      </w:tr>
      <w:tr w14:paraId="0D30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6FFFE7EF">
            <w:pPr>
              <w:widowControl/>
            </w:pPr>
            <w:r>
              <w:rPr>
                <w:rFonts w:hint="eastAsia"/>
              </w:rPr>
              <w:t>需求经理</w:t>
            </w:r>
          </w:p>
        </w:tc>
        <w:tc>
          <w:tcPr>
            <w:tcW w:w="2491" w:type="dxa"/>
            <w:shd w:val="clear" w:color="auto" w:fill="auto"/>
            <w:vAlign w:val="center"/>
          </w:tcPr>
          <w:p w14:paraId="7F67F0DB">
            <w:pPr>
              <w:widowControl/>
            </w:pPr>
            <w:r>
              <w:rPr>
                <w:rFonts w:hint="eastAsia"/>
              </w:rPr>
              <w:t>负责项目需求评估与产品设计。</w:t>
            </w:r>
          </w:p>
        </w:tc>
        <w:tc>
          <w:tcPr>
            <w:tcW w:w="1265" w:type="dxa"/>
            <w:shd w:val="clear" w:color="auto" w:fill="auto"/>
            <w:noWrap/>
            <w:vAlign w:val="center"/>
          </w:tcPr>
          <w:p w14:paraId="2CA06D03">
            <w:pPr>
              <w:widowControl/>
              <w:jc w:val="center"/>
            </w:pPr>
            <w:r>
              <w:t>1</w:t>
            </w:r>
            <w:r>
              <w:rPr>
                <w:rFonts w:hint="eastAsia"/>
              </w:rPr>
              <w:t>人</w:t>
            </w:r>
          </w:p>
        </w:tc>
        <w:tc>
          <w:tcPr>
            <w:tcW w:w="3402" w:type="dxa"/>
            <w:vAlign w:val="center"/>
          </w:tcPr>
          <w:p w14:paraId="2AFD5312">
            <w:pPr>
              <w:widowControl/>
            </w:pPr>
            <w:r>
              <w:rPr>
                <w:rFonts w:hint="eastAsia"/>
              </w:rPr>
              <w:t>1、本科及以上学历，电子信息、计算机、数学等相关理工科专业；</w:t>
            </w:r>
          </w:p>
          <w:p w14:paraId="318EBA79">
            <w:pPr>
              <w:widowControl/>
            </w:pPr>
            <w:r>
              <w:rPr>
                <w:rFonts w:hint="eastAsia"/>
              </w:rPr>
              <w:t>2、具备3年以上</w:t>
            </w:r>
            <w:r>
              <w:rPr>
                <w:rFonts w:hint="eastAsia"/>
                <w:sz w:val="24"/>
              </w:rPr>
              <w:t>政府信息系统项目设计</w:t>
            </w:r>
            <w:r>
              <w:rPr>
                <w:rFonts w:hint="eastAsia"/>
              </w:rPr>
              <w:t>经验。</w:t>
            </w:r>
          </w:p>
        </w:tc>
        <w:tc>
          <w:tcPr>
            <w:tcW w:w="709" w:type="dxa"/>
            <w:shd w:val="clear" w:color="auto" w:fill="auto"/>
            <w:noWrap/>
            <w:vAlign w:val="center"/>
          </w:tcPr>
          <w:p w14:paraId="7A0E4273">
            <w:pPr>
              <w:widowControl/>
              <w:jc w:val="center"/>
            </w:pPr>
            <w:r>
              <w:rPr>
                <w:rFonts w:hint="eastAsia"/>
              </w:rPr>
              <w:t>驻场</w:t>
            </w:r>
          </w:p>
        </w:tc>
      </w:tr>
      <w:tr w14:paraId="21BB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0FFB47B0">
            <w:pPr>
              <w:widowControl/>
            </w:pPr>
            <w:r>
              <w:rPr>
                <w:rFonts w:hint="eastAsia"/>
              </w:rPr>
              <w:t>技术经理</w:t>
            </w:r>
          </w:p>
        </w:tc>
        <w:tc>
          <w:tcPr>
            <w:tcW w:w="2491" w:type="dxa"/>
            <w:shd w:val="clear" w:color="auto" w:fill="auto"/>
            <w:vAlign w:val="center"/>
          </w:tcPr>
          <w:p w14:paraId="5FC95B3A">
            <w:pPr>
              <w:widowControl/>
            </w:pPr>
            <w:r>
              <w:rPr>
                <w:rFonts w:hint="eastAsia"/>
              </w:rPr>
              <w:t>提供项目技术服务，协助项目经理管理项目服务人员，与用户及时沟通；</w:t>
            </w:r>
          </w:p>
          <w:p w14:paraId="04A034D2">
            <w:pPr>
              <w:widowControl/>
            </w:pPr>
            <w:r>
              <w:rPr>
                <w:rFonts w:hint="eastAsia"/>
              </w:rPr>
              <w:t>界定各系统功能边界，负责平台系统架构，系统设计，并及时与用户单位进行设计确认。</w:t>
            </w:r>
          </w:p>
        </w:tc>
        <w:tc>
          <w:tcPr>
            <w:tcW w:w="1265" w:type="dxa"/>
            <w:shd w:val="clear" w:color="auto" w:fill="auto"/>
            <w:noWrap/>
            <w:vAlign w:val="center"/>
          </w:tcPr>
          <w:p w14:paraId="40D82C75">
            <w:pPr>
              <w:widowControl/>
              <w:jc w:val="center"/>
            </w:pPr>
            <w:r>
              <w:t>1人</w:t>
            </w:r>
          </w:p>
        </w:tc>
        <w:tc>
          <w:tcPr>
            <w:tcW w:w="3402" w:type="dxa"/>
            <w:vAlign w:val="center"/>
          </w:tcPr>
          <w:p w14:paraId="2FD22B15">
            <w:pPr>
              <w:widowControl/>
            </w:pPr>
            <w:r>
              <w:rPr>
                <w:rFonts w:hint="eastAsia"/>
              </w:rPr>
              <w:t>1、本科及以上学历，电子信息、计算机、数学等相关理工科专业；</w:t>
            </w:r>
          </w:p>
          <w:p w14:paraId="644226A1">
            <w:pPr>
              <w:widowControl/>
            </w:pPr>
            <w:r>
              <w:rPr>
                <w:rFonts w:hint="eastAsia"/>
              </w:rPr>
              <w:t>2、具备3年以上</w:t>
            </w:r>
            <w:r>
              <w:rPr>
                <w:rFonts w:hint="eastAsia"/>
                <w:sz w:val="24"/>
              </w:rPr>
              <w:t>政府信息系统项目开发</w:t>
            </w:r>
            <w:r>
              <w:rPr>
                <w:rFonts w:hint="eastAsia"/>
              </w:rPr>
              <w:t>经验；</w:t>
            </w:r>
          </w:p>
          <w:p w14:paraId="420A0862">
            <w:pPr>
              <w:widowControl/>
              <w:numPr>
                <w:ilvl w:val="0"/>
                <w:numId w:val="3"/>
              </w:numPr>
            </w:pPr>
            <w:r>
              <w:rPr>
                <w:rFonts w:hint="eastAsia"/>
              </w:rPr>
              <w:t>且具有类似项目管理经验。</w:t>
            </w:r>
          </w:p>
        </w:tc>
        <w:tc>
          <w:tcPr>
            <w:tcW w:w="709" w:type="dxa"/>
            <w:shd w:val="clear" w:color="auto" w:fill="auto"/>
            <w:noWrap/>
            <w:vAlign w:val="center"/>
          </w:tcPr>
          <w:p w14:paraId="2765EE2E">
            <w:pPr>
              <w:widowControl/>
              <w:jc w:val="center"/>
            </w:pPr>
            <w:r>
              <w:rPr>
                <w:rFonts w:hint="eastAsia"/>
              </w:rPr>
              <w:t>驻场</w:t>
            </w:r>
          </w:p>
        </w:tc>
      </w:tr>
      <w:tr w14:paraId="6A01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4C62FDF9">
            <w:pPr>
              <w:pStyle w:val="60"/>
              <w:ind w:firstLine="0"/>
              <w:jc w:val="both"/>
              <w:rPr>
                <w:rFonts w:hAnsi="Times New Roman"/>
                <w:bCs w:val="0"/>
                <w:szCs w:val="24"/>
              </w:rPr>
            </w:pPr>
            <w:r>
              <w:rPr>
                <w:rFonts w:hint="eastAsia" w:hAnsi="Times New Roman"/>
                <w:bCs w:val="0"/>
                <w:szCs w:val="24"/>
              </w:rPr>
              <w:t>安全工程师</w:t>
            </w:r>
          </w:p>
        </w:tc>
        <w:tc>
          <w:tcPr>
            <w:tcW w:w="2491" w:type="dxa"/>
            <w:shd w:val="clear" w:color="auto" w:fill="auto"/>
            <w:vAlign w:val="center"/>
          </w:tcPr>
          <w:p w14:paraId="3453C897">
            <w:pPr>
              <w:pStyle w:val="60"/>
              <w:ind w:firstLine="0"/>
              <w:rPr>
                <w:rFonts w:hAnsi="Times New Roman"/>
                <w:bCs w:val="0"/>
                <w:szCs w:val="24"/>
              </w:rPr>
            </w:pPr>
            <w:r>
              <w:rPr>
                <w:rFonts w:hint="eastAsia" w:hAnsi="Times New Roman"/>
                <w:bCs w:val="0"/>
                <w:szCs w:val="24"/>
              </w:rPr>
              <w:t>负责项目安全评估及策略制定</w:t>
            </w:r>
          </w:p>
        </w:tc>
        <w:tc>
          <w:tcPr>
            <w:tcW w:w="1265" w:type="dxa"/>
            <w:shd w:val="clear" w:color="auto" w:fill="auto"/>
            <w:noWrap/>
            <w:vAlign w:val="center"/>
          </w:tcPr>
          <w:p w14:paraId="257C4EAF">
            <w:pPr>
              <w:pStyle w:val="60"/>
              <w:ind w:firstLine="0"/>
              <w:jc w:val="center"/>
              <w:rPr>
                <w:rFonts w:hAnsi="Times New Roman"/>
                <w:szCs w:val="24"/>
              </w:rPr>
            </w:pPr>
            <w:r>
              <w:rPr>
                <w:rFonts w:hint="eastAsia" w:hAnsi="Times New Roman"/>
                <w:bCs w:val="0"/>
                <w:szCs w:val="24"/>
              </w:rPr>
              <w:t>1人</w:t>
            </w:r>
          </w:p>
        </w:tc>
        <w:tc>
          <w:tcPr>
            <w:tcW w:w="3402" w:type="dxa"/>
            <w:shd w:val="clear" w:color="auto" w:fill="auto"/>
            <w:vAlign w:val="center"/>
          </w:tcPr>
          <w:p w14:paraId="61A5D402">
            <w:pPr>
              <w:pStyle w:val="60"/>
              <w:numPr>
                <w:ilvl w:val="0"/>
                <w:numId w:val="4"/>
              </w:numPr>
              <w:ind w:firstLine="0"/>
              <w:rPr>
                <w:rFonts w:hAnsi="Times New Roman"/>
                <w:bCs w:val="0"/>
                <w:szCs w:val="24"/>
              </w:rPr>
            </w:pPr>
            <w:r>
              <w:rPr>
                <w:rFonts w:hint="eastAsia" w:hAnsi="Times New Roman"/>
                <w:bCs w:val="0"/>
                <w:szCs w:val="24"/>
              </w:rPr>
              <w:t>本科及以上；</w:t>
            </w:r>
          </w:p>
          <w:p w14:paraId="01712AD6">
            <w:pPr>
              <w:pStyle w:val="60"/>
              <w:numPr>
                <w:ilvl w:val="0"/>
                <w:numId w:val="4"/>
              </w:numPr>
              <w:ind w:firstLine="0"/>
              <w:rPr>
                <w:rFonts w:hAnsi="Times New Roman"/>
                <w:bCs w:val="0"/>
                <w:szCs w:val="24"/>
              </w:rPr>
            </w:pPr>
            <w:r>
              <w:rPr>
                <w:rFonts w:hint="eastAsia" w:hAnsi="Times New Roman"/>
                <w:bCs w:val="0"/>
                <w:szCs w:val="24"/>
              </w:rPr>
              <w:t>具备3年以上</w:t>
            </w:r>
            <w:r>
              <w:rPr>
                <w:rFonts w:hint="eastAsia"/>
                <w:sz w:val="24"/>
              </w:rPr>
              <w:t>政府信息系统项目</w:t>
            </w:r>
            <w:r>
              <w:rPr>
                <w:rFonts w:hint="eastAsia" w:hAnsi="Times New Roman"/>
                <w:bCs w:val="0"/>
                <w:szCs w:val="24"/>
              </w:rPr>
              <w:t>安全维护经验。</w:t>
            </w:r>
          </w:p>
        </w:tc>
        <w:tc>
          <w:tcPr>
            <w:tcW w:w="709" w:type="dxa"/>
            <w:shd w:val="clear" w:color="auto" w:fill="auto"/>
            <w:noWrap/>
            <w:vAlign w:val="center"/>
          </w:tcPr>
          <w:p w14:paraId="388972E9">
            <w:pPr>
              <w:pStyle w:val="60"/>
              <w:ind w:firstLine="0"/>
              <w:jc w:val="center"/>
              <w:rPr>
                <w:rFonts w:hAnsi="Times New Roman"/>
                <w:bCs w:val="0"/>
                <w:szCs w:val="24"/>
              </w:rPr>
            </w:pPr>
            <w:r>
              <w:rPr>
                <w:rFonts w:hint="eastAsia" w:hAnsi="Times New Roman"/>
                <w:bCs w:val="0"/>
                <w:szCs w:val="24"/>
              </w:rPr>
              <w:t>驻场</w:t>
            </w:r>
          </w:p>
        </w:tc>
      </w:tr>
      <w:tr w14:paraId="5F59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63F0AC16">
            <w:pPr>
              <w:widowControl/>
            </w:pPr>
            <w:r>
              <w:rPr>
                <w:rFonts w:hint="eastAsia"/>
              </w:rPr>
              <w:t>研发人员</w:t>
            </w:r>
          </w:p>
        </w:tc>
        <w:tc>
          <w:tcPr>
            <w:tcW w:w="2491" w:type="dxa"/>
            <w:shd w:val="clear" w:color="auto" w:fill="auto"/>
            <w:noWrap/>
            <w:vAlign w:val="center"/>
          </w:tcPr>
          <w:p w14:paraId="1AD291CD">
            <w:pPr>
              <w:widowControl/>
            </w:pPr>
            <w:r>
              <w:rPr>
                <w:rFonts w:hint="eastAsia"/>
              </w:rPr>
              <w:t>协助开发负责人和项目开发团队完成产品测试；</w:t>
            </w:r>
          </w:p>
          <w:p w14:paraId="547D5DAB">
            <w:pPr>
              <w:widowControl/>
            </w:pPr>
            <w:r>
              <w:rPr>
                <w:rFonts w:hint="eastAsia"/>
              </w:rPr>
              <w:t>协助开发负责人完成产品开发设计，并及时与用户单位进行设计确认。</w:t>
            </w:r>
          </w:p>
        </w:tc>
        <w:tc>
          <w:tcPr>
            <w:tcW w:w="1265" w:type="dxa"/>
            <w:shd w:val="clear" w:color="auto" w:fill="auto"/>
            <w:noWrap/>
            <w:vAlign w:val="center"/>
          </w:tcPr>
          <w:p w14:paraId="1B6E51A1">
            <w:pPr>
              <w:widowControl/>
              <w:jc w:val="center"/>
            </w:pPr>
            <w:r>
              <w:rPr>
                <w:rFonts w:hint="eastAsia"/>
              </w:rPr>
              <w:t>17人</w:t>
            </w:r>
          </w:p>
        </w:tc>
        <w:tc>
          <w:tcPr>
            <w:tcW w:w="3402" w:type="dxa"/>
            <w:vAlign w:val="center"/>
          </w:tcPr>
          <w:p w14:paraId="2C7A99E6">
            <w:pPr>
              <w:widowControl/>
            </w:pPr>
            <w:r>
              <w:rPr>
                <w:rFonts w:hint="eastAsia"/>
              </w:rPr>
              <w:t>1、本科及以上学历，计算机、软件工程等相关专业；</w:t>
            </w:r>
          </w:p>
          <w:p w14:paraId="65FFA69A">
            <w:pPr>
              <w:widowControl/>
            </w:pPr>
            <w:r>
              <w:rPr>
                <w:rFonts w:hint="eastAsia"/>
              </w:rPr>
              <w:t>2、具有2年以上</w:t>
            </w:r>
            <w:r>
              <w:rPr>
                <w:rFonts w:hint="eastAsia"/>
                <w:sz w:val="24"/>
              </w:rPr>
              <w:t>政府信息系统项目</w:t>
            </w:r>
            <w:r>
              <w:rPr>
                <w:rFonts w:hint="eastAsia"/>
              </w:rPr>
              <w:t>研发经验；</w:t>
            </w:r>
          </w:p>
        </w:tc>
        <w:tc>
          <w:tcPr>
            <w:tcW w:w="709" w:type="dxa"/>
            <w:shd w:val="clear" w:color="auto" w:fill="auto"/>
            <w:noWrap/>
            <w:vAlign w:val="center"/>
          </w:tcPr>
          <w:p w14:paraId="669CFE00">
            <w:pPr>
              <w:widowControl/>
              <w:jc w:val="center"/>
            </w:pPr>
          </w:p>
        </w:tc>
      </w:tr>
      <w:tr w14:paraId="1142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04C1264D">
            <w:pPr>
              <w:widowControl/>
            </w:pPr>
            <w:r>
              <w:rPr>
                <w:rFonts w:hint="eastAsia"/>
              </w:rPr>
              <w:t>测试人员</w:t>
            </w:r>
          </w:p>
        </w:tc>
        <w:tc>
          <w:tcPr>
            <w:tcW w:w="2491" w:type="dxa"/>
            <w:shd w:val="clear" w:color="auto" w:fill="auto"/>
            <w:noWrap/>
            <w:vAlign w:val="center"/>
          </w:tcPr>
          <w:p w14:paraId="7D1F8E73">
            <w:pPr>
              <w:widowControl/>
            </w:pPr>
            <w:r>
              <w:rPr>
                <w:rFonts w:hint="eastAsia"/>
              </w:rPr>
              <w:t>负责项目整体测试工作的开展。</w:t>
            </w:r>
          </w:p>
        </w:tc>
        <w:tc>
          <w:tcPr>
            <w:tcW w:w="1265" w:type="dxa"/>
            <w:shd w:val="clear" w:color="auto" w:fill="auto"/>
            <w:noWrap/>
            <w:vAlign w:val="center"/>
          </w:tcPr>
          <w:p w14:paraId="086AA392">
            <w:pPr>
              <w:widowControl/>
              <w:jc w:val="center"/>
            </w:pPr>
            <w:r>
              <w:rPr>
                <w:rFonts w:hint="eastAsia"/>
              </w:rPr>
              <w:t>3人</w:t>
            </w:r>
          </w:p>
        </w:tc>
        <w:tc>
          <w:tcPr>
            <w:tcW w:w="3402" w:type="dxa"/>
            <w:vAlign w:val="center"/>
          </w:tcPr>
          <w:p w14:paraId="579429FC">
            <w:pPr>
              <w:widowControl/>
            </w:pPr>
            <w:r>
              <w:rPr>
                <w:rFonts w:hint="eastAsia"/>
              </w:rPr>
              <w:t>1、本科及以上学历，计算机、软件工程等相关专业；</w:t>
            </w:r>
          </w:p>
          <w:p w14:paraId="6A374E3C">
            <w:pPr>
              <w:widowControl/>
            </w:pPr>
            <w:r>
              <w:rPr>
                <w:rFonts w:hint="eastAsia"/>
              </w:rPr>
              <w:t>2、具有2年以上</w:t>
            </w:r>
            <w:r>
              <w:rPr>
                <w:rFonts w:hint="eastAsia"/>
                <w:sz w:val="24"/>
              </w:rPr>
              <w:t>政府信息系统项目</w:t>
            </w:r>
            <w:r>
              <w:rPr>
                <w:rFonts w:hint="eastAsia"/>
              </w:rPr>
              <w:t>实施经验。</w:t>
            </w:r>
          </w:p>
        </w:tc>
        <w:tc>
          <w:tcPr>
            <w:tcW w:w="709" w:type="dxa"/>
            <w:shd w:val="clear" w:color="auto" w:fill="auto"/>
            <w:noWrap/>
            <w:vAlign w:val="center"/>
          </w:tcPr>
          <w:p w14:paraId="4EE1BAC8">
            <w:pPr>
              <w:widowControl/>
              <w:jc w:val="center"/>
            </w:pPr>
          </w:p>
        </w:tc>
      </w:tr>
      <w:tr w14:paraId="4796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6711F2E2">
            <w:pPr>
              <w:widowControl/>
            </w:pPr>
            <w:r>
              <w:rPr>
                <w:rFonts w:hint="eastAsia"/>
              </w:rPr>
              <w:t>质量保证人员</w:t>
            </w:r>
          </w:p>
        </w:tc>
        <w:tc>
          <w:tcPr>
            <w:tcW w:w="2491" w:type="dxa"/>
            <w:shd w:val="clear" w:color="auto" w:fill="auto"/>
            <w:noWrap/>
            <w:vAlign w:val="center"/>
          </w:tcPr>
          <w:p w14:paraId="07115A2B">
            <w:pPr>
              <w:widowControl/>
            </w:pPr>
            <w:r>
              <w:rPr>
                <w:rFonts w:hint="eastAsia"/>
              </w:rPr>
              <w:t>负责项目整体质量工作的开展与监督。</w:t>
            </w:r>
          </w:p>
        </w:tc>
        <w:tc>
          <w:tcPr>
            <w:tcW w:w="1265" w:type="dxa"/>
            <w:shd w:val="clear" w:color="auto" w:fill="auto"/>
            <w:noWrap/>
            <w:vAlign w:val="center"/>
          </w:tcPr>
          <w:p w14:paraId="62ADDF23">
            <w:pPr>
              <w:widowControl/>
              <w:jc w:val="center"/>
            </w:pPr>
            <w:r>
              <w:rPr>
                <w:rFonts w:hint="eastAsia"/>
              </w:rPr>
              <w:t>1人</w:t>
            </w:r>
          </w:p>
        </w:tc>
        <w:tc>
          <w:tcPr>
            <w:tcW w:w="3402" w:type="dxa"/>
            <w:vAlign w:val="center"/>
          </w:tcPr>
          <w:p w14:paraId="506BCFF6">
            <w:pPr>
              <w:widowControl/>
            </w:pPr>
            <w:r>
              <w:rPr>
                <w:rFonts w:hint="eastAsia"/>
              </w:rPr>
              <w:t>1、本科及以上学历，计算机、软件工程等相关专业；</w:t>
            </w:r>
          </w:p>
          <w:p w14:paraId="33E5B47C">
            <w:pPr>
              <w:widowControl/>
            </w:pPr>
            <w:r>
              <w:rPr>
                <w:rFonts w:hint="eastAsia"/>
              </w:rPr>
              <w:t>2、具有2年以上</w:t>
            </w:r>
            <w:r>
              <w:rPr>
                <w:rFonts w:hint="eastAsia"/>
                <w:sz w:val="24"/>
              </w:rPr>
              <w:t>政府信息系统项目</w:t>
            </w:r>
            <w:r>
              <w:rPr>
                <w:rFonts w:hint="eastAsia"/>
              </w:rPr>
              <w:t>实施经验。</w:t>
            </w:r>
          </w:p>
        </w:tc>
        <w:tc>
          <w:tcPr>
            <w:tcW w:w="709" w:type="dxa"/>
            <w:shd w:val="clear" w:color="auto" w:fill="auto"/>
            <w:noWrap/>
            <w:vAlign w:val="center"/>
          </w:tcPr>
          <w:p w14:paraId="7DB55283">
            <w:pPr>
              <w:widowControl/>
              <w:jc w:val="center"/>
            </w:pPr>
          </w:p>
        </w:tc>
      </w:tr>
    </w:tbl>
    <w:p w14:paraId="2389CDDF">
      <w:pPr>
        <w:pStyle w:val="7"/>
        <w:spacing w:line="560" w:lineRule="exact"/>
        <w:ind w:firstLine="0" w:firstLineChars="0"/>
        <w:rPr>
          <w:rFonts w:ascii="Times New Roman" w:hAnsi="Times New Roman" w:eastAsia="仿宋_GB2312"/>
          <w:sz w:val="32"/>
          <w:szCs w:val="32"/>
        </w:rPr>
      </w:pPr>
    </w:p>
    <w:p w14:paraId="76FDA322">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2）项目质保期间应针对本项目提供不少于4人的项目服务团队（包括项目经理、需求设计工程师、研发人员、测试人员等）。具体人员要求如下：</w:t>
      </w:r>
    </w:p>
    <w:tbl>
      <w:tblPr>
        <w:tblStyle w:val="2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491"/>
        <w:gridCol w:w="1265"/>
        <w:gridCol w:w="3402"/>
        <w:gridCol w:w="709"/>
      </w:tblGrid>
      <w:tr w14:paraId="5C61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14:paraId="4FB99B8C">
            <w:pPr>
              <w:widowControl/>
              <w:jc w:val="center"/>
              <w:rPr>
                <w:b/>
              </w:rPr>
            </w:pPr>
            <w:r>
              <w:rPr>
                <w:rFonts w:hint="eastAsia"/>
                <w:b/>
              </w:rPr>
              <w:t>角色</w:t>
            </w:r>
          </w:p>
        </w:tc>
        <w:tc>
          <w:tcPr>
            <w:tcW w:w="2491" w:type="dxa"/>
            <w:shd w:val="clear" w:color="auto" w:fill="auto"/>
            <w:noWrap/>
            <w:vAlign w:val="center"/>
          </w:tcPr>
          <w:p w14:paraId="4D08C52A">
            <w:pPr>
              <w:widowControl/>
              <w:jc w:val="center"/>
              <w:rPr>
                <w:b/>
              </w:rPr>
            </w:pPr>
            <w:r>
              <w:rPr>
                <w:rFonts w:hint="eastAsia"/>
                <w:b/>
              </w:rPr>
              <w:t>主要职责</w:t>
            </w:r>
          </w:p>
        </w:tc>
        <w:tc>
          <w:tcPr>
            <w:tcW w:w="1265" w:type="dxa"/>
            <w:shd w:val="clear" w:color="auto" w:fill="auto"/>
            <w:noWrap/>
            <w:vAlign w:val="center"/>
          </w:tcPr>
          <w:p w14:paraId="05792519">
            <w:pPr>
              <w:widowControl/>
              <w:jc w:val="center"/>
              <w:rPr>
                <w:b/>
              </w:rPr>
            </w:pPr>
            <w:r>
              <w:rPr>
                <w:rFonts w:hint="eastAsia"/>
                <w:b/>
              </w:rPr>
              <w:t>人员数量下限</w:t>
            </w:r>
          </w:p>
        </w:tc>
        <w:tc>
          <w:tcPr>
            <w:tcW w:w="3402" w:type="dxa"/>
            <w:vAlign w:val="center"/>
          </w:tcPr>
          <w:p w14:paraId="4AE54D04">
            <w:pPr>
              <w:widowControl/>
              <w:jc w:val="center"/>
              <w:rPr>
                <w:b/>
              </w:rPr>
            </w:pPr>
            <w:r>
              <w:rPr>
                <w:rFonts w:hint="eastAsia"/>
                <w:b/>
              </w:rPr>
              <w:t>人员要求</w:t>
            </w:r>
          </w:p>
        </w:tc>
        <w:tc>
          <w:tcPr>
            <w:tcW w:w="709" w:type="dxa"/>
            <w:shd w:val="clear" w:color="auto" w:fill="auto"/>
            <w:noWrap/>
            <w:vAlign w:val="center"/>
          </w:tcPr>
          <w:p w14:paraId="4A9C008D">
            <w:pPr>
              <w:widowControl/>
              <w:jc w:val="center"/>
              <w:rPr>
                <w:b/>
              </w:rPr>
            </w:pPr>
            <w:r>
              <w:rPr>
                <w:rFonts w:hint="eastAsia"/>
                <w:b/>
              </w:rPr>
              <w:t>驻场要求</w:t>
            </w:r>
          </w:p>
        </w:tc>
      </w:tr>
      <w:tr w14:paraId="710A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14:paraId="75A92876">
            <w:pPr>
              <w:widowControl/>
            </w:pPr>
            <w:r>
              <w:rPr>
                <w:rFonts w:hint="eastAsia"/>
              </w:rPr>
              <w:t>项目经理</w:t>
            </w:r>
          </w:p>
        </w:tc>
        <w:tc>
          <w:tcPr>
            <w:tcW w:w="2491" w:type="dxa"/>
            <w:shd w:val="clear" w:color="auto" w:fill="auto"/>
            <w:vAlign w:val="center"/>
          </w:tcPr>
          <w:p w14:paraId="0AFBF748">
            <w:pPr>
              <w:widowControl/>
            </w:pPr>
            <w:r>
              <w:rPr>
                <w:rFonts w:hint="eastAsia"/>
              </w:rPr>
              <w:t>项目服务人员的总体组织和管理，与用户及时沟通，对服务团队进行内部考核。</w:t>
            </w:r>
          </w:p>
        </w:tc>
        <w:tc>
          <w:tcPr>
            <w:tcW w:w="1265" w:type="dxa"/>
            <w:shd w:val="clear" w:color="auto" w:fill="auto"/>
            <w:noWrap/>
            <w:vAlign w:val="center"/>
          </w:tcPr>
          <w:p w14:paraId="58BC21F6">
            <w:pPr>
              <w:widowControl/>
              <w:jc w:val="center"/>
            </w:pPr>
            <w:r>
              <w:t>1</w:t>
            </w:r>
            <w:r>
              <w:rPr>
                <w:rFonts w:hint="eastAsia"/>
              </w:rPr>
              <w:t>人</w:t>
            </w:r>
          </w:p>
        </w:tc>
        <w:tc>
          <w:tcPr>
            <w:tcW w:w="3402" w:type="dxa"/>
            <w:vAlign w:val="center"/>
          </w:tcPr>
          <w:p w14:paraId="03621F3F">
            <w:pPr>
              <w:pStyle w:val="16"/>
              <w:spacing w:after="0"/>
              <w:rPr>
                <w:sz w:val="24"/>
              </w:rPr>
            </w:pPr>
            <w:r>
              <w:rPr>
                <w:rFonts w:hint="eastAsia"/>
                <w:sz w:val="24"/>
              </w:rPr>
              <w:t>1、本科以上学历，电子信息、计算机、数学等相关理工科专业；</w:t>
            </w:r>
          </w:p>
          <w:p w14:paraId="7FA03C04">
            <w:pPr>
              <w:pStyle w:val="16"/>
              <w:spacing w:after="0"/>
              <w:rPr>
                <w:sz w:val="24"/>
              </w:rPr>
            </w:pPr>
            <w:r>
              <w:rPr>
                <w:rFonts w:hint="eastAsia"/>
                <w:sz w:val="24"/>
              </w:rPr>
              <w:t>2、具有政府信息系统项目工作经验；</w:t>
            </w:r>
          </w:p>
          <w:p w14:paraId="683EA2A8">
            <w:pPr>
              <w:pStyle w:val="16"/>
              <w:spacing w:after="0"/>
              <w:rPr>
                <w:sz w:val="24"/>
              </w:rPr>
            </w:pPr>
            <w:r>
              <w:rPr>
                <w:rFonts w:hint="eastAsia"/>
                <w:sz w:val="24"/>
              </w:rPr>
              <w:t>3、具有类似管理经验的优先。</w:t>
            </w:r>
          </w:p>
        </w:tc>
        <w:tc>
          <w:tcPr>
            <w:tcW w:w="709" w:type="dxa"/>
            <w:shd w:val="clear" w:color="auto" w:fill="auto"/>
            <w:noWrap/>
            <w:vAlign w:val="center"/>
          </w:tcPr>
          <w:p w14:paraId="0FE98D9E">
            <w:pPr>
              <w:widowControl/>
              <w:jc w:val="center"/>
            </w:pPr>
            <w:r>
              <w:rPr>
                <w:rFonts w:hint="eastAsia"/>
              </w:rPr>
              <w:t>驻场</w:t>
            </w:r>
          </w:p>
        </w:tc>
      </w:tr>
      <w:tr w14:paraId="5F94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14:paraId="18201ED7">
            <w:pPr>
              <w:widowControl/>
            </w:pPr>
            <w:r>
              <w:rPr>
                <w:rFonts w:hint="eastAsia"/>
              </w:rPr>
              <w:t>需求设计工程师</w:t>
            </w:r>
          </w:p>
        </w:tc>
        <w:tc>
          <w:tcPr>
            <w:tcW w:w="2491" w:type="dxa"/>
            <w:shd w:val="clear" w:color="auto" w:fill="auto"/>
            <w:vAlign w:val="center"/>
          </w:tcPr>
          <w:p w14:paraId="4DC15869">
            <w:pPr>
              <w:widowControl/>
            </w:pPr>
            <w:r>
              <w:rPr>
                <w:rFonts w:hint="eastAsia"/>
              </w:rPr>
              <w:t>负责项目需求分析、评估与产品设计。</w:t>
            </w:r>
          </w:p>
        </w:tc>
        <w:tc>
          <w:tcPr>
            <w:tcW w:w="1265" w:type="dxa"/>
            <w:shd w:val="clear" w:color="auto" w:fill="auto"/>
            <w:noWrap/>
            <w:vAlign w:val="center"/>
          </w:tcPr>
          <w:p w14:paraId="26E5AB13">
            <w:pPr>
              <w:widowControl/>
              <w:jc w:val="center"/>
            </w:pPr>
            <w:r>
              <w:rPr>
                <w:rFonts w:hint="eastAsia"/>
              </w:rPr>
              <w:t>1人</w:t>
            </w:r>
          </w:p>
        </w:tc>
        <w:tc>
          <w:tcPr>
            <w:tcW w:w="3402" w:type="dxa"/>
            <w:vAlign w:val="center"/>
          </w:tcPr>
          <w:p w14:paraId="4AE262E9">
            <w:pPr>
              <w:widowControl/>
            </w:pPr>
            <w:r>
              <w:rPr>
                <w:rFonts w:hint="eastAsia"/>
              </w:rPr>
              <w:t>1、本科以上学历，电子信息、计算机、数学等相关理工科专业；</w:t>
            </w:r>
          </w:p>
          <w:p w14:paraId="3E589BF7">
            <w:pPr>
              <w:widowControl/>
            </w:pPr>
            <w:r>
              <w:rPr>
                <w:rFonts w:hint="eastAsia"/>
              </w:rPr>
              <w:t>2、具备</w:t>
            </w:r>
            <w:r>
              <w:rPr>
                <w:rFonts w:hint="eastAsia"/>
                <w:sz w:val="24"/>
              </w:rPr>
              <w:t>政府信息系统项目</w:t>
            </w:r>
            <w:r>
              <w:rPr>
                <w:rFonts w:hint="eastAsia"/>
              </w:rPr>
              <w:t>开发经验。</w:t>
            </w:r>
          </w:p>
        </w:tc>
        <w:tc>
          <w:tcPr>
            <w:tcW w:w="709" w:type="dxa"/>
            <w:shd w:val="clear" w:color="auto" w:fill="auto"/>
            <w:noWrap/>
            <w:vAlign w:val="center"/>
          </w:tcPr>
          <w:p w14:paraId="4B3E1740">
            <w:pPr>
              <w:widowControl/>
              <w:jc w:val="center"/>
            </w:pPr>
          </w:p>
        </w:tc>
      </w:tr>
      <w:tr w14:paraId="5CFB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59" w:type="dxa"/>
            <w:shd w:val="clear" w:color="auto" w:fill="auto"/>
            <w:noWrap/>
            <w:vAlign w:val="center"/>
          </w:tcPr>
          <w:p w14:paraId="001D7330">
            <w:pPr>
              <w:widowControl/>
            </w:pPr>
            <w:r>
              <w:rPr>
                <w:rFonts w:hint="eastAsia"/>
              </w:rPr>
              <w:t>研发人员</w:t>
            </w:r>
          </w:p>
        </w:tc>
        <w:tc>
          <w:tcPr>
            <w:tcW w:w="2491" w:type="dxa"/>
            <w:shd w:val="clear" w:color="auto" w:fill="auto"/>
            <w:noWrap/>
            <w:vAlign w:val="center"/>
          </w:tcPr>
          <w:p w14:paraId="2A3385AB">
            <w:pPr>
              <w:widowControl/>
            </w:pPr>
            <w:r>
              <w:rPr>
                <w:rFonts w:hint="eastAsia"/>
              </w:rPr>
              <w:t>协助开发负责人和项目开发团队完成产品测试；</w:t>
            </w:r>
          </w:p>
          <w:p w14:paraId="3F3F82B2">
            <w:pPr>
              <w:widowControl/>
            </w:pPr>
            <w:r>
              <w:rPr>
                <w:rFonts w:hint="eastAsia"/>
              </w:rPr>
              <w:t>协助开发负责人完成产品开发设计，并及时与用户单位进行设计确认。</w:t>
            </w:r>
          </w:p>
        </w:tc>
        <w:tc>
          <w:tcPr>
            <w:tcW w:w="1265" w:type="dxa"/>
            <w:shd w:val="clear" w:color="auto" w:fill="auto"/>
            <w:noWrap/>
            <w:vAlign w:val="center"/>
          </w:tcPr>
          <w:p w14:paraId="02946D81">
            <w:pPr>
              <w:widowControl/>
              <w:jc w:val="center"/>
            </w:pPr>
            <w:r>
              <w:rPr>
                <w:rFonts w:hint="eastAsia"/>
              </w:rPr>
              <w:t>1人</w:t>
            </w:r>
          </w:p>
        </w:tc>
        <w:tc>
          <w:tcPr>
            <w:tcW w:w="3402" w:type="dxa"/>
            <w:vAlign w:val="center"/>
          </w:tcPr>
          <w:p w14:paraId="55BADCED">
            <w:pPr>
              <w:widowControl/>
            </w:pPr>
            <w:r>
              <w:rPr>
                <w:rFonts w:hint="eastAsia"/>
              </w:rPr>
              <w:t>1、本科以上学历，计算机、软件工程等相关专业；</w:t>
            </w:r>
          </w:p>
          <w:p w14:paraId="7034EEC7">
            <w:pPr>
              <w:widowControl/>
            </w:pPr>
            <w:r>
              <w:rPr>
                <w:rFonts w:hint="eastAsia"/>
              </w:rPr>
              <w:t>2、具有</w:t>
            </w:r>
            <w:r>
              <w:rPr>
                <w:rFonts w:hint="eastAsia"/>
                <w:sz w:val="24"/>
              </w:rPr>
              <w:t>政府信息系统项目</w:t>
            </w:r>
            <w:r>
              <w:rPr>
                <w:rFonts w:hint="eastAsia"/>
              </w:rPr>
              <w:t>研发经验。</w:t>
            </w:r>
          </w:p>
        </w:tc>
        <w:tc>
          <w:tcPr>
            <w:tcW w:w="709" w:type="dxa"/>
            <w:shd w:val="clear" w:color="auto" w:fill="auto"/>
            <w:noWrap/>
            <w:vAlign w:val="center"/>
          </w:tcPr>
          <w:p w14:paraId="6451077F">
            <w:pPr>
              <w:widowControl/>
              <w:jc w:val="center"/>
            </w:pPr>
          </w:p>
        </w:tc>
      </w:tr>
      <w:tr w14:paraId="15BB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9" w:type="dxa"/>
            <w:shd w:val="clear" w:color="auto" w:fill="auto"/>
            <w:noWrap/>
            <w:vAlign w:val="center"/>
          </w:tcPr>
          <w:p w14:paraId="340948F2">
            <w:pPr>
              <w:widowControl/>
            </w:pPr>
            <w:r>
              <w:rPr>
                <w:rFonts w:hint="eastAsia"/>
              </w:rPr>
              <w:t>测试人员</w:t>
            </w:r>
          </w:p>
        </w:tc>
        <w:tc>
          <w:tcPr>
            <w:tcW w:w="2491" w:type="dxa"/>
            <w:shd w:val="clear" w:color="auto" w:fill="auto"/>
            <w:noWrap/>
            <w:vAlign w:val="center"/>
          </w:tcPr>
          <w:p w14:paraId="5E25EE9B">
            <w:pPr>
              <w:widowControl/>
            </w:pPr>
            <w:r>
              <w:rPr>
                <w:rFonts w:hint="eastAsia"/>
              </w:rPr>
              <w:t>负责项目整体测试工作的开展。</w:t>
            </w:r>
          </w:p>
        </w:tc>
        <w:tc>
          <w:tcPr>
            <w:tcW w:w="1265" w:type="dxa"/>
            <w:shd w:val="clear" w:color="auto" w:fill="auto"/>
            <w:noWrap/>
            <w:vAlign w:val="center"/>
          </w:tcPr>
          <w:p w14:paraId="3EEB5E07">
            <w:pPr>
              <w:widowControl/>
              <w:jc w:val="center"/>
            </w:pPr>
            <w:r>
              <w:rPr>
                <w:rFonts w:hint="eastAsia"/>
              </w:rPr>
              <w:t>1人</w:t>
            </w:r>
          </w:p>
        </w:tc>
        <w:tc>
          <w:tcPr>
            <w:tcW w:w="3402" w:type="dxa"/>
            <w:vAlign w:val="center"/>
          </w:tcPr>
          <w:p w14:paraId="06D62A13">
            <w:pPr>
              <w:widowControl/>
            </w:pPr>
            <w:r>
              <w:rPr>
                <w:rFonts w:hint="eastAsia"/>
              </w:rPr>
              <w:t>1、本科以上学历，计算机、软件工程等相关专业；</w:t>
            </w:r>
          </w:p>
          <w:p w14:paraId="59911098">
            <w:pPr>
              <w:widowControl/>
            </w:pPr>
            <w:r>
              <w:rPr>
                <w:rFonts w:hint="eastAsia"/>
              </w:rPr>
              <w:t>2、具有</w:t>
            </w:r>
            <w:r>
              <w:rPr>
                <w:rFonts w:hint="eastAsia"/>
                <w:sz w:val="24"/>
              </w:rPr>
              <w:t>政府信息系统项目</w:t>
            </w:r>
            <w:r>
              <w:rPr>
                <w:rFonts w:hint="eastAsia"/>
              </w:rPr>
              <w:t>实施经验。</w:t>
            </w:r>
          </w:p>
        </w:tc>
        <w:tc>
          <w:tcPr>
            <w:tcW w:w="709" w:type="dxa"/>
            <w:shd w:val="clear" w:color="auto" w:fill="auto"/>
            <w:noWrap/>
            <w:vAlign w:val="center"/>
          </w:tcPr>
          <w:p w14:paraId="34F10249">
            <w:pPr>
              <w:widowControl/>
              <w:jc w:val="center"/>
            </w:pPr>
          </w:p>
        </w:tc>
      </w:tr>
    </w:tbl>
    <w:p w14:paraId="57B97174">
      <w:pPr>
        <w:pStyle w:val="7"/>
        <w:spacing w:line="560" w:lineRule="exact"/>
        <w:ind w:firstLine="0" w:firstLineChars="0"/>
        <w:rPr>
          <w:rFonts w:ascii="Times New Roman" w:hAnsi="Times New Roman" w:eastAsia="仿宋_GB2312"/>
          <w:sz w:val="32"/>
          <w:szCs w:val="32"/>
        </w:rPr>
      </w:pPr>
    </w:p>
    <w:p w14:paraId="78E75A16">
      <w:pPr>
        <w:pStyle w:val="7"/>
        <w:spacing w:line="560" w:lineRule="exact"/>
        <w:ind w:firstLine="640"/>
        <w:rPr>
          <w:rFonts w:ascii="Times New Roman" w:hAnsi="Times New Roman" w:eastAsia="仿宋_GB2312"/>
          <w:sz w:val="32"/>
          <w:szCs w:val="32"/>
        </w:rPr>
      </w:pPr>
    </w:p>
    <w:p w14:paraId="15950EA8">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技术服务团队的人员构成应涵盖本项目涉及的各个技术领域，具备相关的经验和专业技能，并通过公安部背景审查。</w:t>
      </w:r>
    </w:p>
    <w:p w14:paraId="6BA98416">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项目实施人员应与投标文件中所提供的人员名单相符，中标人应保证项目组成员的稳定性，如特殊情况需要调整项目组成员的，应提前一个月书面通知采购人，并获得采购人的确认后才能安排调整。未经采购人书面同意，不得随意更换项目经理和技术负责人。未经采购人许可随意变更实施团队成员，采购人有权追究中标人的违约责任。</w:t>
      </w:r>
    </w:p>
    <w:p w14:paraId="634E9D4D">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采购人如认为中标人的项目组成员达不到要求、不能胜任实施工作、影响实施进度或质量的，有权要求中标人更换，中标人应负责在一周之内调换符合采购人要求的项目成员或者增加人员。</w:t>
      </w:r>
    </w:p>
    <w:p w14:paraId="4387F778">
      <w:pPr>
        <w:widowControl/>
        <w:adjustRightInd w:val="0"/>
        <w:snapToGrid w:val="0"/>
        <w:spacing w:line="560" w:lineRule="exact"/>
        <w:outlineLvl w:val="1"/>
        <w:rPr>
          <w:rFonts w:eastAsia="楷体_GB2312"/>
          <w:kern w:val="0"/>
          <w:sz w:val="32"/>
          <w:szCs w:val="32"/>
        </w:rPr>
      </w:pPr>
      <w:r>
        <w:rPr>
          <w:rFonts w:eastAsia="楷体_GB2312"/>
          <w:kern w:val="0"/>
          <w:sz w:val="32"/>
          <w:szCs w:val="32"/>
        </w:rPr>
        <w:t xml:space="preserve">    3.</w:t>
      </w:r>
      <w:r>
        <w:rPr>
          <w:rFonts w:hint="eastAsia" w:eastAsia="楷体_GB2312"/>
          <w:kern w:val="0"/>
          <w:sz w:val="32"/>
          <w:szCs w:val="32"/>
        </w:rPr>
        <w:t>其他要求</w:t>
      </w:r>
    </w:p>
    <w:p w14:paraId="2C3FA71F">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中标人及参与项目的所有人员应严格遵守采购人的保密要求签订保密协议，参与人员由中标人担保。保密期限不受本项目期限的限制，在本项目履行完毕后，保密信息接受方仍应按照国家有关规定承担保密义务。</w:t>
      </w:r>
    </w:p>
    <w:p w14:paraId="41E2E27E">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中标人自行配备必要的硬件设备和软件工具，如开发所需的计算机、工具软件等。</w:t>
      </w:r>
    </w:p>
    <w:p w14:paraId="4F9A06E8">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中标人协助用户制定本项目所建设系统相关运行、维护、管理规范，并提供相关咨询、建议服务。</w:t>
      </w:r>
    </w:p>
    <w:p w14:paraId="0E5E0E9E">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中标人在合同约定的时间内提供本项目中规定的全部内容，承诺与本项目的相关单位进行积极主动的合作。</w:t>
      </w:r>
    </w:p>
    <w:p w14:paraId="406CCE31">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中标人在实施过程中应服从采购人的统一协调，采购人有权裁决项目执行各方的责任范围，中标人应无条件执行，并在规定的时间内解决问题。如果任意一方不配合采购人工作，严重影响工程进度、造成严重后果，采购人有权退货、索赔或拒付款项。</w:t>
      </w:r>
    </w:p>
    <w:p w14:paraId="0E45B92C">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投标人熟悉公安部相关业务系统数据标准以及本市公安信息化发展要求，并具备公安系统类似信息化建设项目实际经验。</w:t>
      </w:r>
    </w:p>
    <w:p w14:paraId="51DC09EB">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投标人需承诺在进行系统安装调试、系统迁移等工作时，应编制相应的工作计划及应急预案，在征得采购人书面同意后方可开展相关工作，同时应尽可能减少对正常在用系统的影响。</w:t>
      </w:r>
    </w:p>
    <w:p w14:paraId="1B9B7093">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投标人应在投标文件中说明免费保修期后的收费服务标准。</w:t>
      </w:r>
    </w:p>
    <w:p w14:paraId="4A81E379">
      <w:pPr>
        <w:widowControl/>
        <w:adjustRightInd w:val="0"/>
        <w:snapToGrid w:val="0"/>
        <w:spacing w:line="560" w:lineRule="exact"/>
        <w:ind w:firstLine="600"/>
        <w:rPr>
          <w:rFonts w:eastAsia="黑体"/>
          <w:kern w:val="0"/>
          <w:sz w:val="32"/>
          <w:szCs w:val="32"/>
        </w:rPr>
      </w:pPr>
      <w:r>
        <w:rPr>
          <w:rFonts w:hint="eastAsia" w:eastAsia="黑体"/>
          <w:kern w:val="0"/>
          <w:sz w:val="32"/>
          <w:szCs w:val="32"/>
        </w:rPr>
        <w:t>（八）项目验收</w:t>
      </w:r>
    </w:p>
    <w:p w14:paraId="10FA1662">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在建设及验收期间，中标人负责保质保量、按整体解决方案如期完成该项目全部工作，并满足相关要求。</w:t>
      </w:r>
    </w:p>
    <w:p w14:paraId="266B0D5E">
      <w:pPr>
        <w:pStyle w:val="7"/>
        <w:spacing w:line="560" w:lineRule="exact"/>
        <w:ind w:firstLine="640"/>
        <w:rPr>
          <w:rFonts w:ascii="Times New Roman" w:hAnsi="Times New Roman" w:eastAsia="仿宋_GB2312"/>
          <w:sz w:val="32"/>
          <w:szCs w:val="32"/>
        </w:rPr>
      </w:pPr>
      <w:r>
        <w:rPr>
          <w:rFonts w:eastAsia="仿宋_GB2312"/>
          <w:kern w:val="0"/>
          <w:sz w:val="32"/>
          <w:szCs w:val="32"/>
        </w:rPr>
        <w:t>项目建成</w:t>
      </w:r>
      <w:r>
        <w:rPr>
          <w:rFonts w:hint="eastAsia" w:eastAsia="仿宋_GB2312"/>
          <w:kern w:val="0"/>
          <w:sz w:val="32"/>
          <w:szCs w:val="32"/>
        </w:rPr>
        <w:t>后，</w:t>
      </w:r>
      <w:r>
        <w:rPr>
          <w:rFonts w:hint="eastAsia" w:ascii="Times New Roman" w:hAnsi="Times New Roman" w:eastAsia="仿宋_GB2312"/>
          <w:sz w:val="32"/>
          <w:szCs w:val="32"/>
        </w:rPr>
        <w:t>采购人</w:t>
      </w:r>
      <w:r>
        <w:rPr>
          <w:rFonts w:ascii="Times New Roman" w:hAnsi="Times New Roman" w:eastAsia="仿宋_GB2312"/>
          <w:sz w:val="32"/>
          <w:szCs w:val="32"/>
        </w:rPr>
        <w:t>会同</w:t>
      </w:r>
      <w:r>
        <w:rPr>
          <w:rFonts w:hint="eastAsia" w:ascii="Times New Roman" w:hAnsi="Times New Roman" w:eastAsia="仿宋_GB2312"/>
          <w:sz w:val="32"/>
          <w:szCs w:val="32"/>
        </w:rPr>
        <w:t>中标人</w:t>
      </w:r>
      <w:r>
        <w:rPr>
          <w:rFonts w:ascii="Times New Roman" w:hAnsi="Times New Roman" w:eastAsia="仿宋_GB2312"/>
          <w:sz w:val="32"/>
          <w:szCs w:val="32"/>
        </w:rPr>
        <w:t>依据用户需求及合同，对项目的功能、</w:t>
      </w:r>
      <w:r>
        <w:rPr>
          <w:rFonts w:eastAsia="仿宋_GB2312"/>
          <w:kern w:val="0"/>
          <w:sz w:val="32"/>
          <w:szCs w:val="32"/>
        </w:rPr>
        <w:t>性能、兼容性、安全性指标进行测试，形成测试报告</w:t>
      </w:r>
      <w:r>
        <w:rPr>
          <w:rFonts w:hint="eastAsia" w:eastAsia="仿宋_GB2312"/>
          <w:kern w:val="0"/>
          <w:sz w:val="32"/>
          <w:szCs w:val="32"/>
        </w:rPr>
        <w:t>。</w:t>
      </w:r>
    </w:p>
    <w:p w14:paraId="02124DB5">
      <w:pPr>
        <w:pStyle w:val="7"/>
        <w:spacing w:line="560" w:lineRule="exact"/>
        <w:ind w:firstLine="640"/>
        <w:rPr>
          <w:rFonts w:eastAsia="仿宋_GB2312"/>
          <w:kern w:val="0"/>
          <w:sz w:val="32"/>
          <w:szCs w:val="32"/>
        </w:rPr>
      </w:pPr>
      <w:r>
        <w:rPr>
          <w:rFonts w:eastAsia="仿宋_GB2312"/>
          <w:kern w:val="0"/>
          <w:sz w:val="32"/>
          <w:szCs w:val="32"/>
        </w:rPr>
        <w:t>在项目建成</w:t>
      </w:r>
      <w:r>
        <w:rPr>
          <w:rFonts w:hint="eastAsia" w:eastAsia="仿宋_GB2312"/>
          <w:kern w:val="0"/>
          <w:sz w:val="32"/>
          <w:szCs w:val="32"/>
        </w:rPr>
        <w:t>后开展为期</w:t>
      </w:r>
      <w:r>
        <w:rPr>
          <w:rFonts w:hint="eastAsia" w:ascii="Times New Roman" w:hAnsi="Times New Roman" w:eastAsia="仿宋_GB2312"/>
          <w:sz w:val="32"/>
          <w:szCs w:val="32"/>
        </w:rPr>
        <w:t>1</w:t>
      </w:r>
      <w:r>
        <w:rPr>
          <w:rFonts w:hint="eastAsia" w:eastAsia="仿宋_GB2312"/>
          <w:kern w:val="0"/>
          <w:sz w:val="32"/>
          <w:szCs w:val="32"/>
        </w:rPr>
        <w:t>个月的测试运行，在确认</w:t>
      </w:r>
      <w:r>
        <w:rPr>
          <w:rFonts w:eastAsia="仿宋_GB2312"/>
          <w:kern w:val="0"/>
          <w:sz w:val="32"/>
          <w:szCs w:val="32"/>
        </w:rPr>
        <w:t>稳定试运行，总体上能满足用户使用需求的前提下，可以提出验收申请</w:t>
      </w:r>
      <w:r>
        <w:rPr>
          <w:rFonts w:hint="eastAsia" w:eastAsia="仿宋_GB2312"/>
          <w:kern w:val="0"/>
          <w:sz w:val="32"/>
          <w:szCs w:val="32"/>
        </w:rPr>
        <w:t>。</w:t>
      </w:r>
    </w:p>
    <w:p w14:paraId="1FFF097B">
      <w:pPr>
        <w:pStyle w:val="7"/>
        <w:spacing w:line="560" w:lineRule="exact"/>
        <w:ind w:firstLine="640"/>
        <w:rPr>
          <w:rFonts w:eastAsia="仿宋_GB2312"/>
          <w:kern w:val="0"/>
          <w:sz w:val="32"/>
          <w:szCs w:val="32"/>
        </w:rPr>
      </w:pPr>
      <w:r>
        <w:rPr>
          <w:rFonts w:hint="eastAsia" w:ascii="Times New Roman" w:hAnsi="Times New Roman" w:eastAsia="仿宋_GB2312"/>
          <w:sz w:val="32"/>
          <w:szCs w:val="32"/>
        </w:rPr>
        <w:t>试运行结束后，如仍存在双方无法达成共识的项目功能问题，采购人有权委托第三方检查机构进行测试及验收，相关费用由中标方承担。</w:t>
      </w:r>
    </w:p>
    <w:p w14:paraId="4DE5C55A">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kern w:val="2"/>
          <w:sz w:val="32"/>
          <w:szCs w:val="32"/>
        </w:rPr>
        <w:t>项目验收前应通过第三方软件测评、安全测评、密码应用测评。</w:t>
      </w:r>
    </w:p>
    <w:p w14:paraId="544A4936">
      <w:pPr>
        <w:pStyle w:val="7"/>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项目最终验收由采购人、中标人共同完成，验收相关要求参见《</w:t>
      </w:r>
      <w:r>
        <w:rPr>
          <w:rFonts w:hint="eastAsia" w:eastAsia="仿宋_GB2312"/>
          <w:bCs w:val="0"/>
          <w:snapToGrid/>
          <w:kern w:val="2"/>
          <w:sz w:val="32"/>
          <w:szCs w:val="32"/>
        </w:rPr>
        <w:t>上海市公安局信息化项目验收规范</w:t>
      </w:r>
      <w:r>
        <w:rPr>
          <w:rFonts w:hint="eastAsia" w:ascii="Times New Roman" w:hAnsi="Times New Roman" w:eastAsia="仿宋_GB2312"/>
          <w:sz w:val="32"/>
          <w:szCs w:val="32"/>
        </w:rPr>
        <w:t>》等信息化建设项目验收要求，</w:t>
      </w:r>
      <w:r>
        <w:rPr>
          <w:rFonts w:hint="eastAsia" w:ascii="Times New Roman" w:hAnsi="Times New Roman" w:eastAsia="仿宋_GB2312"/>
          <w:color w:val="auto"/>
          <w:sz w:val="32"/>
          <w:szCs w:val="32"/>
        </w:rPr>
        <w:t>验收结论为合格</w:t>
      </w:r>
      <w:r>
        <w:rPr>
          <w:rFonts w:hint="eastAsia" w:ascii="Times New Roman" w:hAnsi="Times New Roman" w:eastAsia="仿宋_GB2312"/>
          <w:sz w:val="32"/>
          <w:szCs w:val="32"/>
        </w:rPr>
        <w:t>的</w:t>
      </w:r>
      <w:r>
        <w:rPr>
          <w:rFonts w:hint="eastAsia" w:ascii="Times New Roman" w:hAnsi="Times New Roman" w:eastAsia="仿宋_GB2312"/>
          <w:color w:val="auto"/>
          <w:sz w:val="32"/>
          <w:szCs w:val="32"/>
        </w:rPr>
        <w:t>，则视为</w:t>
      </w:r>
      <w:r>
        <w:rPr>
          <w:rFonts w:hint="eastAsia" w:ascii="Times New Roman" w:hAnsi="Times New Roman" w:eastAsia="仿宋_GB2312"/>
          <w:sz w:val="32"/>
          <w:szCs w:val="32"/>
        </w:rPr>
        <w:t>中标方</w:t>
      </w:r>
      <w:r>
        <w:rPr>
          <w:rFonts w:hint="eastAsia" w:ascii="Times New Roman" w:hAnsi="Times New Roman" w:eastAsia="仿宋_GB2312"/>
          <w:color w:val="auto"/>
          <w:sz w:val="32"/>
          <w:szCs w:val="32"/>
        </w:rPr>
        <w:t>已完全履行相关</w:t>
      </w:r>
      <w:r>
        <w:rPr>
          <w:rFonts w:hint="eastAsia" w:ascii="Times New Roman" w:hAnsi="Times New Roman" w:eastAsia="仿宋_GB2312"/>
          <w:sz w:val="32"/>
          <w:szCs w:val="32"/>
        </w:rPr>
        <w:t>履约</w:t>
      </w:r>
      <w:r>
        <w:rPr>
          <w:rFonts w:hint="eastAsia" w:ascii="Times New Roman" w:hAnsi="Times New Roman" w:eastAsia="仿宋_GB2312"/>
          <w:color w:val="auto"/>
          <w:sz w:val="32"/>
          <w:szCs w:val="32"/>
        </w:rPr>
        <w:t>义务。</w:t>
      </w:r>
    </w:p>
    <w:p w14:paraId="1B778ACC">
      <w:pPr>
        <w:pStyle w:val="7"/>
        <w:spacing w:line="560" w:lineRule="exact"/>
        <w:ind w:firstLine="640"/>
        <w:rPr>
          <w:rFonts w:eastAsia="黑体"/>
          <w:sz w:val="32"/>
          <w:szCs w:val="32"/>
        </w:rPr>
      </w:pPr>
      <w:r>
        <w:rPr>
          <w:rFonts w:hint="eastAsia" w:ascii="Times New Roman" w:hAnsi="Times New Roman" w:eastAsia="仿宋_GB2312"/>
          <w:sz w:val="32"/>
          <w:szCs w:val="32"/>
        </w:rPr>
        <w:t>项目建成后，中标方应向用户提供完整的技术资料，包括设备随机资料、应用软件源程序及介质、用户手册、管理员手册、安装指南等用户文档资料。相关文档材料需符合市局信息化项目验收规范要求。</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0000000000000000000"/>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altName w:val="Noto Sans CJK SC"/>
    <w:panose1 w:val="00000000000000000000"/>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0000019F" w:csb1="00000000"/>
  </w:font>
  <w:font w:name="GWZT-EN">
    <w:panose1 w:val="02020400000000000000"/>
    <w:charset w:val="86"/>
    <w:family w:val="auto"/>
    <w:pitch w:val="default"/>
    <w:sig w:usb0="A00002BF" w:usb1="38CF7CFA" w:usb2="00082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noto sans thai">
    <w:panose1 w:val="020B0502040504020204"/>
    <w:charset w:val="00"/>
    <w:family w:val="auto"/>
    <w:pitch w:val="default"/>
    <w:sig w:usb0="81000063" w:usb1="00002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84350"/>
      <w:docPartObj>
        <w:docPartGallery w:val="autotext"/>
      </w:docPartObj>
    </w:sdtPr>
    <w:sdtEndPr>
      <w:rPr>
        <w:rFonts w:asciiTheme="minorEastAsia" w:hAnsiTheme="minorEastAsia" w:eastAsiaTheme="minorEastAsia"/>
        <w:sz w:val="28"/>
        <w:szCs w:val="28"/>
      </w:rPr>
    </w:sdtEndPr>
    <w:sdtContent>
      <w:p w14:paraId="0646B899">
        <w:pPr>
          <w:pStyle w:val="19"/>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14:paraId="6E45C9E0">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22D36"/>
    <w:multiLevelType w:val="singleLevel"/>
    <w:tmpl w:val="94422D36"/>
    <w:lvl w:ilvl="0" w:tentative="0">
      <w:start w:val="1"/>
      <w:numFmt w:val="bullet"/>
      <w:lvlText w:val=""/>
      <w:lvlJc w:val="left"/>
      <w:pPr>
        <w:ind w:left="420" w:hanging="420"/>
      </w:pPr>
      <w:rPr>
        <w:rFonts w:hint="default" w:ascii="Wingdings" w:hAnsi="Wingdings"/>
      </w:rPr>
    </w:lvl>
  </w:abstractNum>
  <w:abstractNum w:abstractNumId="1">
    <w:nsid w:val="DE005E3A"/>
    <w:multiLevelType w:val="singleLevel"/>
    <w:tmpl w:val="DE005E3A"/>
    <w:lvl w:ilvl="0" w:tentative="0">
      <w:start w:val="3"/>
      <w:numFmt w:val="decimal"/>
      <w:suff w:val="nothing"/>
      <w:lvlText w:val="%1、"/>
      <w:lvlJc w:val="left"/>
    </w:lvl>
  </w:abstractNum>
  <w:abstractNum w:abstractNumId="2">
    <w:nsid w:val="12B9D724"/>
    <w:multiLevelType w:val="singleLevel"/>
    <w:tmpl w:val="12B9D724"/>
    <w:lvl w:ilvl="0" w:tentative="0">
      <w:start w:val="1"/>
      <w:numFmt w:val="decimal"/>
      <w:suff w:val="nothing"/>
      <w:lvlText w:val="%1、"/>
      <w:lvlJc w:val="left"/>
    </w:lvl>
  </w:abstractNum>
  <w:abstractNum w:abstractNumId="3">
    <w:nsid w:val="7BE5BEEE"/>
    <w:multiLevelType w:val="singleLevel"/>
    <w:tmpl w:val="7BE5BEEE"/>
    <w:lvl w:ilvl="0" w:tentative="0">
      <w:start w:val="1"/>
      <w:numFmt w:val="bullet"/>
      <w:lvlText w:val=""/>
      <w:lvlJc w:val="left"/>
      <w:pPr>
        <w:ind w:left="420" w:hanging="42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GI1MjMwZjJkODk3OTExZTJkNTdhM2ZlMTU3MzcifQ=="/>
  </w:docVars>
  <w:rsids>
    <w:rsidRoot w:val="00404B94"/>
    <w:rsid w:val="00004858"/>
    <w:rsid w:val="00033ED1"/>
    <w:rsid w:val="00043837"/>
    <w:rsid w:val="000617AB"/>
    <w:rsid w:val="000725F0"/>
    <w:rsid w:val="00082A63"/>
    <w:rsid w:val="00095FE6"/>
    <w:rsid w:val="000B0B45"/>
    <w:rsid w:val="000C118E"/>
    <w:rsid w:val="000C7F54"/>
    <w:rsid w:val="000D19C0"/>
    <w:rsid w:val="000F3224"/>
    <w:rsid w:val="00102039"/>
    <w:rsid w:val="001064CB"/>
    <w:rsid w:val="00110C93"/>
    <w:rsid w:val="00130134"/>
    <w:rsid w:val="001335E2"/>
    <w:rsid w:val="001526AE"/>
    <w:rsid w:val="0015333E"/>
    <w:rsid w:val="001543D7"/>
    <w:rsid w:val="00185506"/>
    <w:rsid w:val="00186B08"/>
    <w:rsid w:val="00190800"/>
    <w:rsid w:val="0019637C"/>
    <w:rsid w:val="001D3FDB"/>
    <w:rsid w:val="001D6219"/>
    <w:rsid w:val="001D7490"/>
    <w:rsid w:val="001E3E9A"/>
    <w:rsid w:val="001F0290"/>
    <w:rsid w:val="00205832"/>
    <w:rsid w:val="00215229"/>
    <w:rsid w:val="00227829"/>
    <w:rsid w:val="00240BE4"/>
    <w:rsid w:val="00244612"/>
    <w:rsid w:val="00263F2B"/>
    <w:rsid w:val="0026650E"/>
    <w:rsid w:val="00281288"/>
    <w:rsid w:val="00281FFE"/>
    <w:rsid w:val="00285D32"/>
    <w:rsid w:val="0029483D"/>
    <w:rsid w:val="002A0A6E"/>
    <w:rsid w:val="002A3FA9"/>
    <w:rsid w:val="002A5B63"/>
    <w:rsid w:val="002C340F"/>
    <w:rsid w:val="002D118C"/>
    <w:rsid w:val="002F6D59"/>
    <w:rsid w:val="003510AE"/>
    <w:rsid w:val="0035226A"/>
    <w:rsid w:val="00361F40"/>
    <w:rsid w:val="003630DC"/>
    <w:rsid w:val="00370D5A"/>
    <w:rsid w:val="00374BFA"/>
    <w:rsid w:val="00383B5F"/>
    <w:rsid w:val="00385DDC"/>
    <w:rsid w:val="003876D0"/>
    <w:rsid w:val="00392FCC"/>
    <w:rsid w:val="00397795"/>
    <w:rsid w:val="003B29F1"/>
    <w:rsid w:val="003C037B"/>
    <w:rsid w:val="003C7BA9"/>
    <w:rsid w:val="003E63A2"/>
    <w:rsid w:val="003F563B"/>
    <w:rsid w:val="00404B94"/>
    <w:rsid w:val="00404ED3"/>
    <w:rsid w:val="004232BE"/>
    <w:rsid w:val="00427BA5"/>
    <w:rsid w:val="00430DC6"/>
    <w:rsid w:val="00462A8A"/>
    <w:rsid w:val="0046654C"/>
    <w:rsid w:val="00466A19"/>
    <w:rsid w:val="00472D22"/>
    <w:rsid w:val="004769FA"/>
    <w:rsid w:val="00481539"/>
    <w:rsid w:val="00484196"/>
    <w:rsid w:val="00485566"/>
    <w:rsid w:val="00490FA5"/>
    <w:rsid w:val="004C6ECD"/>
    <w:rsid w:val="004E0404"/>
    <w:rsid w:val="004E1E51"/>
    <w:rsid w:val="004E34F0"/>
    <w:rsid w:val="00501061"/>
    <w:rsid w:val="0051059F"/>
    <w:rsid w:val="0051216C"/>
    <w:rsid w:val="005175B5"/>
    <w:rsid w:val="00533177"/>
    <w:rsid w:val="00543BC6"/>
    <w:rsid w:val="00551640"/>
    <w:rsid w:val="00570B77"/>
    <w:rsid w:val="00591E59"/>
    <w:rsid w:val="005A2A8E"/>
    <w:rsid w:val="005A6462"/>
    <w:rsid w:val="005A7E5D"/>
    <w:rsid w:val="005B35D6"/>
    <w:rsid w:val="005C7933"/>
    <w:rsid w:val="005C7E50"/>
    <w:rsid w:val="005E5A9D"/>
    <w:rsid w:val="005E79B9"/>
    <w:rsid w:val="005F502E"/>
    <w:rsid w:val="0060067E"/>
    <w:rsid w:val="00605ED0"/>
    <w:rsid w:val="00606B3E"/>
    <w:rsid w:val="006130BA"/>
    <w:rsid w:val="006267E5"/>
    <w:rsid w:val="00641CA3"/>
    <w:rsid w:val="00650136"/>
    <w:rsid w:val="0065603F"/>
    <w:rsid w:val="006631B3"/>
    <w:rsid w:val="00693598"/>
    <w:rsid w:val="00694738"/>
    <w:rsid w:val="00695FF7"/>
    <w:rsid w:val="006978D7"/>
    <w:rsid w:val="006C7217"/>
    <w:rsid w:val="006E3C58"/>
    <w:rsid w:val="006F4F61"/>
    <w:rsid w:val="00705DF9"/>
    <w:rsid w:val="00715116"/>
    <w:rsid w:val="007261A8"/>
    <w:rsid w:val="00727135"/>
    <w:rsid w:val="0073738A"/>
    <w:rsid w:val="00761504"/>
    <w:rsid w:val="00765414"/>
    <w:rsid w:val="007A1AB5"/>
    <w:rsid w:val="007A1B3D"/>
    <w:rsid w:val="007A5602"/>
    <w:rsid w:val="007B6087"/>
    <w:rsid w:val="007C0018"/>
    <w:rsid w:val="007C2F00"/>
    <w:rsid w:val="007C479A"/>
    <w:rsid w:val="007D598F"/>
    <w:rsid w:val="007D7E82"/>
    <w:rsid w:val="007F71B4"/>
    <w:rsid w:val="00801C33"/>
    <w:rsid w:val="00803B31"/>
    <w:rsid w:val="0080511C"/>
    <w:rsid w:val="00806E5D"/>
    <w:rsid w:val="00822929"/>
    <w:rsid w:val="00833328"/>
    <w:rsid w:val="00852351"/>
    <w:rsid w:val="0085333C"/>
    <w:rsid w:val="0086132D"/>
    <w:rsid w:val="0086686F"/>
    <w:rsid w:val="00866D25"/>
    <w:rsid w:val="008769F0"/>
    <w:rsid w:val="0089771C"/>
    <w:rsid w:val="008A1A3B"/>
    <w:rsid w:val="008B3143"/>
    <w:rsid w:val="008B47C7"/>
    <w:rsid w:val="008D3B6F"/>
    <w:rsid w:val="008D61F6"/>
    <w:rsid w:val="008E2457"/>
    <w:rsid w:val="008E2458"/>
    <w:rsid w:val="008E744C"/>
    <w:rsid w:val="008F53A3"/>
    <w:rsid w:val="00911922"/>
    <w:rsid w:val="00911968"/>
    <w:rsid w:val="00912957"/>
    <w:rsid w:val="00932111"/>
    <w:rsid w:val="0095733E"/>
    <w:rsid w:val="0096344D"/>
    <w:rsid w:val="00966908"/>
    <w:rsid w:val="00967FAB"/>
    <w:rsid w:val="009755B2"/>
    <w:rsid w:val="00975FCB"/>
    <w:rsid w:val="00990DBA"/>
    <w:rsid w:val="009C307C"/>
    <w:rsid w:val="009E3003"/>
    <w:rsid w:val="00A01B98"/>
    <w:rsid w:val="00A06949"/>
    <w:rsid w:val="00A06A8E"/>
    <w:rsid w:val="00A1703C"/>
    <w:rsid w:val="00A373EE"/>
    <w:rsid w:val="00A37E32"/>
    <w:rsid w:val="00A42DB2"/>
    <w:rsid w:val="00A45505"/>
    <w:rsid w:val="00A50B83"/>
    <w:rsid w:val="00A70151"/>
    <w:rsid w:val="00A7252A"/>
    <w:rsid w:val="00A75C6E"/>
    <w:rsid w:val="00A85FC7"/>
    <w:rsid w:val="00AA21F4"/>
    <w:rsid w:val="00AA5726"/>
    <w:rsid w:val="00AB77E6"/>
    <w:rsid w:val="00AC46F2"/>
    <w:rsid w:val="00AC4EAB"/>
    <w:rsid w:val="00AF194C"/>
    <w:rsid w:val="00B01904"/>
    <w:rsid w:val="00B1444C"/>
    <w:rsid w:val="00B15FB1"/>
    <w:rsid w:val="00B2231C"/>
    <w:rsid w:val="00B25308"/>
    <w:rsid w:val="00B64CCD"/>
    <w:rsid w:val="00B65950"/>
    <w:rsid w:val="00B67562"/>
    <w:rsid w:val="00B9381F"/>
    <w:rsid w:val="00BB0D78"/>
    <w:rsid w:val="00BC754C"/>
    <w:rsid w:val="00BE4591"/>
    <w:rsid w:val="00BF3CFE"/>
    <w:rsid w:val="00C239CB"/>
    <w:rsid w:val="00C25721"/>
    <w:rsid w:val="00C378EB"/>
    <w:rsid w:val="00C56F18"/>
    <w:rsid w:val="00C66EA7"/>
    <w:rsid w:val="00C7125D"/>
    <w:rsid w:val="00C86460"/>
    <w:rsid w:val="00C97707"/>
    <w:rsid w:val="00CB01EB"/>
    <w:rsid w:val="00CB3D8F"/>
    <w:rsid w:val="00CB6A53"/>
    <w:rsid w:val="00CC0447"/>
    <w:rsid w:val="00CC05D8"/>
    <w:rsid w:val="00CC445B"/>
    <w:rsid w:val="00CD6518"/>
    <w:rsid w:val="00D10612"/>
    <w:rsid w:val="00D11957"/>
    <w:rsid w:val="00D1559D"/>
    <w:rsid w:val="00D171D3"/>
    <w:rsid w:val="00D30982"/>
    <w:rsid w:val="00D309BA"/>
    <w:rsid w:val="00D3798F"/>
    <w:rsid w:val="00D524AB"/>
    <w:rsid w:val="00D93027"/>
    <w:rsid w:val="00D94E15"/>
    <w:rsid w:val="00DA5A9D"/>
    <w:rsid w:val="00DB1EF1"/>
    <w:rsid w:val="00DB345B"/>
    <w:rsid w:val="00DD1D00"/>
    <w:rsid w:val="00DD3482"/>
    <w:rsid w:val="00DD434A"/>
    <w:rsid w:val="00DD4420"/>
    <w:rsid w:val="00DD54C7"/>
    <w:rsid w:val="00DD72AF"/>
    <w:rsid w:val="00DE0A9F"/>
    <w:rsid w:val="00DF5DB0"/>
    <w:rsid w:val="00DF7318"/>
    <w:rsid w:val="00E01C44"/>
    <w:rsid w:val="00E021E5"/>
    <w:rsid w:val="00E1562E"/>
    <w:rsid w:val="00E20657"/>
    <w:rsid w:val="00E34B14"/>
    <w:rsid w:val="00E436E6"/>
    <w:rsid w:val="00E446E6"/>
    <w:rsid w:val="00E52582"/>
    <w:rsid w:val="00E62E71"/>
    <w:rsid w:val="00E672BC"/>
    <w:rsid w:val="00E706B9"/>
    <w:rsid w:val="00E82B94"/>
    <w:rsid w:val="00E85672"/>
    <w:rsid w:val="00E875A0"/>
    <w:rsid w:val="00E97A55"/>
    <w:rsid w:val="00EC2029"/>
    <w:rsid w:val="00EF39ED"/>
    <w:rsid w:val="00F1047E"/>
    <w:rsid w:val="00F13721"/>
    <w:rsid w:val="00F15EC7"/>
    <w:rsid w:val="00F22F54"/>
    <w:rsid w:val="00F2683B"/>
    <w:rsid w:val="00F26970"/>
    <w:rsid w:val="00F312A4"/>
    <w:rsid w:val="00F32A03"/>
    <w:rsid w:val="00F5524F"/>
    <w:rsid w:val="00F6009E"/>
    <w:rsid w:val="00F748AA"/>
    <w:rsid w:val="00F74ED7"/>
    <w:rsid w:val="00FA247A"/>
    <w:rsid w:val="00FA6594"/>
    <w:rsid w:val="00FB6987"/>
    <w:rsid w:val="00FC3F78"/>
    <w:rsid w:val="00FC5A3D"/>
    <w:rsid w:val="00FD3E63"/>
    <w:rsid w:val="00FE4D82"/>
    <w:rsid w:val="00FE5CD4"/>
    <w:rsid w:val="00FF2FA7"/>
    <w:rsid w:val="00FF4D87"/>
    <w:rsid w:val="06CC17C8"/>
    <w:rsid w:val="20912443"/>
    <w:rsid w:val="250F6640"/>
    <w:rsid w:val="295C7F07"/>
    <w:rsid w:val="29733966"/>
    <w:rsid w:val="3CD3CE5D"/>
    <w:rsid w:val="3FEC2880"/>
    <w:rsid w:val="3FFD47F9"/>
    <w:rsid w:val="40A157D4"/>
    <w:rsid w:val="50F70495"/>
    <w:rsid w:val="58DB1B49"/>
    <w:rsid w:val="5A6F7F0A"/>
    <w:rsid w:val="60FD37CC"/>
    <w:rsid w:val="626C66F6"/>
    <w:rsid w:val="643901C1"/>
    <w:rsid w:val="6AEB8940"/>
    <w:rsid w:val="6F0757B6"/>
    <w:rsid w:val="75A14CB7"/>
    <w:rsid w:val="77F52C46"/>
    <w:rsid w:val="78FF7152"/>
    <w:rsid w:val="796016E4"/>
    <w:rsid w:val="797166DE"/>
    <w:rsid w:val="7CD46075"/>
    <w:rsid w:val="BC991D1C"/>
    <w:rsid w:val="D3FFF39D"/>
    <w:rsid w:val="E3DF2DF6"/>
    <w:rsid w:val="F23F1311"/>
    <w:rsid w:val="F6FB2003"/>
    <w:rsid w:val="FBEE43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line="576" w:lineRule="auto"/>
      <w:outlineLvl w:val="0"/>
    </w:pPr>
    <w:rPr>
      <w:b/>
      <w:kern w:val="44"/>
      <w:sz w:val="44"/>
    </w:rPr>
  </w:style>
  <w:style w:type="paragraph" w:styleId="4">
    <w:name w:val="heading 2"/>
    <w:basedOn w:val="1"/>
    <w:next w:val="5"/>
    <w:link w:val="31"/>
    <w:qFormat/>
    <w:uiPriority w:val="0"/>
    <w:pPr>
      <w:keepNext/>
      <w:keepLines/>
      <w:spacing w:before="60" w:after="60" w:line="360" w:lineRule="auto"/>
      <w:jc w:val="left"/>
      <w:outlineLvl w:val="1"/>
    </w:pPr>
    <w:rPr>
      <w:rFonts w:ascii="Cambria" w:hAnsi="Cambria"/>
      <w:b/>
      <w:bCs/>
      <w:sz w:val="32"/>
      <w:szCs w:val="32"/>
    </w:rPr>
  </w:style>
  <w:style w:type="paragraph" w:styleId="6">
    <w:name w:val="heading 3"/>
    <w:basedOn w:val="1"/>
    <w:next w:val="7"/>
    <w:link w:val="32"/>
    <w:qFormat/>
    <w:uiPriority w:val="0"/>
    <w:pPr>
      <w:keepNext/>
      <w:keepLines/>
      <w:spacing w:before="260" w:after="260" w:line="416" w:lineRule="auto"/>
      <w:outlineLvl w:val="2"/>
    </w:pPr>
    <w:rPr>
      <w:rFonts w:ascii="黑体" w:hAnsi="黑体" w:eastAsia="黑体"/>
      <w:b/>
      <w:bCs/>
      <w:sz w:val="32"/>
      <w:szCs w:val="32"/>
    </w:rPr>
  </w:style>
  <w:style w:type="paragraph" w:styleId="8">
    <w:name w:val="heading 4"/>
    <w:basedOn w:val="1"/>
    <w:next w:val="7"/>
    <w:link w:val="33"/>
    <w:qFormat/>
    <w:uiPriority w:val="0"/>
    <w:pPr>
      <w:keepNext/>
      <w:keepLines/>
      <w:spacing w:before="240" w:after="240" w:line="360" w:lineRule="auto"/>
      <w:ind w:left="720"/>
      <w:outlineLvl w:val="3"/>
    </w:pPr>
    <w:rPr>
      <w:rFonts w:ascii="黑体" w:hAnsi="黑体" w:eastAsia="黑体"/>
      <w:bCs/>
      <w:sz w:val="30"/>
      <w:szCs w:val="30"/>
    </w:rPr>
  </w:style>
  <w:style w:type="paragraph" w:styleId="9">
    <w:name w:val="heading 5"/>
    <w:basedOn w:val="1"/>
    <w:next w:val="7"/>
    <w:link w:val="34"/>
    <w:qFormat/>
    <w:uiPriority w:val="0"/>
    <w:pPr>
      <w:keepNext/>
      <w:keepLines/>
      <w:spacing w:beforeLines="50" w:line="360" w:lineRule="auto"/>
      <w:outlineLvl w:val="4"/>
    </w:pPr>
    <w:rPr>
      <w:rFonts w:ascii="仿宋" w:hAnsi="仿宋" w:eastAsia="仿宋"/>
      <w:b/>
      <w:bCs/>
      <w:sz w:val="28"/>
      <w:szCs w:val="28"/>
    </w:rPr>
  </w:style>
  <w:style w:type="paragraph" w:styleId="10">
    <w:name w:val="heading 6"/>
    <w:basedOn w:val="1"/>
    <w:next w:val="1"/>
    <w:link w:val="35"/>
    <w:qFormat/>
    <w:uiPriority w:val="0"/>
    <w:pPr>
      <w:keepNext/>
      <w:keepLines/>
      <w:spacing w:before="240" w:after="64" w:line="320" w:lineRule="auto"/>
      <w:outlineLvl w:val="5"/>
    </w:pPr>
    <w:rPr>
      <w:rFonts w:ascii="Calibri Light" w:hAnsi="Calibri Light"/>
      <w:b/>
      <w:bCs/>
      <w:sz w:val="24"/>
    </w:rPr>
  </w:style>
  <w:style w:type="paragraph" w:styleId="11">
    <w:name w:val="heading 7"/>
    <w:basedOn w:val="1"/>
    <w:next w:val="1"/>
    <w:link w:val="36"/>
    <w:qFormat/>
    <w:uiPriority w:val="0"/>
    <w:pPr>
      <w:keepNext/>
      <w:keepLines/>
      <w:spacing w:before="240" w:after="64" w:line="320" w:lineRule="auto"/>
      <w:outlineLvl w:val="6"/>
    </w:pPr>
    <w:rPr>
      <w:rFonts w:ascii="Calibri" w:hAnsi="Calibri"/>
      <w:b/>
      <w:bCs/>
      <w:sz w:val="24"/>
    </w:rPr>
  </w:style>
  <w:style w:type="paragraph" w:styleId="12">
    <w:name w:val="heading 8"/>
    <w:basedOn w:val="1"/>
    <w:next w:val="1"/>
    <w:link w:val="37"/>
    <w:qFormat/>
    <w:uiPriority w:val="0"/>
    <w:pPr>
      <w:keepNext/>
      <w:keepLines/>
      <w:spacing w:before="240" w:after="64" w:line="320" w:lineRule="auto"/>
      <w:outlineLvl w:val="7"/>
    </w:pPr>
    <w:rPr>
      <w:rFonts w:ascii="Calibri Light" w:hAnsi="Calibri Light"/>
      <w:sz w:val="24"/>
    </w:rPr>
  </w:style>
  <w:style w:type="paragraph" w:styleId="13">
    <w:name w:val="heading 9"/>
    <w:basedOn w:val="1"/>
    <w:next w:val="1"/>
    <w:link w:val="38"/>
    <w:qFormat/>
    <w:uiPriority w:val="0"/>
    <w:pPr>
      <w:keepNext/>
      <w:keepLines/>
      <w:spacing w:before="240" w:after="64" w:line="320" w:lineRule="auto"/>
      <w:outlineLvl w:val="8"/>
    </w:pPr>
    <w:rPr>
      <w:rFonts w:ascii="Calibri Light" w:hAnsi="Calibri Light"/>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Calibri" w:hAnsi="Calibri"/>
    </w:rPr>
  </w:style>
  <w:style w:type="paragraph" w:customStyle="1" w:styleId="5">
    <w:name w:val="正文＋小四＋缩进2字符"/>
    <w:basedOn w:val="1"/>
    <w:qFormat/>
    <w:uiPriority w:val="0"/>
    <w:pPr>
      <w:spacing w:line="360" w:lineRule="auto"/>
      <w:ind w:firstLine="200" w:firstLineChars="200"/>
    </w:pPr>
    <w:rPr>
      <w:sz w:val="24"/>
    </w:rPr>
  </w:style>
  <w:style w:type="paragraph" w:customStyle="1" w:styleId="7">
    <w:name w:val="可研正文"/>
    <w:basedOn w:val="1"/>
    <w:link w:val="39"/>
    <w:qFormat/>
    <w:uiPriority w:val="0"/>
    <w:pPr>
      <w:spacing w:line="360" w:lineRule="auto"/>
      <w:ind w:firstLine="200" w:firstLineChars="200"/>
    </w:pPr>
    <w:rPr>
      <w:rFonts w:ascii="仿宋" w:hAnsi="仿宋" w:eastAsia="仿宋"/>
      <w:sz w:val="28"/>
      <w:szCs w:val="28"/>
    </w:rPr>
  </w:style>
  <w:style w:type="paragraph" w:styleId="14">
    <w:name w:val="Document Map"/>
    <w:basedOn w:val="1"/>
    <w:link w:val="40"/>
    <w:unhideWhenUsed/>
    <w:qFormat/>
    <w:uiPriority w:val="0"/>
    <w:rPr>
      <w:rFonts w:ascii="宋体"/>
      <w:sz w:val="18"/>
      <w:szCs w:val="18"/>
    </w:rPr>
  </w:style>
  <w:style w:type="paragraph" w:styleId="15">
    <w:name w:val="annotation text"/>
    <w:basedOn w:val="1"/>
    <w:link w:val="41"/>
    <w:qFormat/>
    <w:uiPriority w:val="0"/>
    <w:pPr>
      <w:jc w:val="left"/>
    </w:pPr>
  </w:style>
  <w:style w:type="paragraph" w:styleId="16">
    <w:name w:val="Body Text"/>
    <w:basedOn w:val="1"/>
    <w:link w:val="42"/>
    <w:qFormat/>
    <w:uiPriority w:val="0"/>
    <w:pPr>
      <w:spacing w:after="120"/>
    </w:pPr>
  </w:style>
  <w:style w:type="paragraph" w:styleId="17">
    <w:name w:val="Plain Text"/>
    <w:basedOn w:val="1"/>
    <w:next w:val="1"/>
    <w:qFormat/>
    <w:uiPriority w:val="99"/>
    <w:rPr>
      <w:rFonts w:hAnsi="Courier New"/>
      <w:szCs w:val="20"/>
    </w:rPr>
  </w:style>
  <w:style w:type="paragraph" w:styleId="18">
    <w:name w:val="Balloon Text"/>
    <w:basedOn w:val="1"/>
    <w:link w:val="43"/>
    <w:qFormat/>
    <w:uiPriority w:val="0"/>
    <w:rPr>
      <w:sz w:val="18"/>
      <w:szCs w:val="18"/>
    </w:rPr>
  </w:style>
  <w:style w:type="paragraph" w:styleId="19">
    <w:name w:val="footer"/>
    <w:basedOn w:val="1"/>
    <w:link w:val="29"/>
    <w:unhideWhenUsed/>
    <w:qFormat/>
    <w:uiPriority w:val="99"/>
    <w:pPr>
      <w:tabs>
        <w:tab w:val="center" w:pos="4153"/>
        <w:tab w:val="right" w:pos="8306"/>
      </w:tabs>
      <w:snapToGrid w:val="0"/>
      <w:jc w:val="left"/>
    </w:pPr>
    <w:rPr>
      <w:sz w:val="18"/>
      <w:szCs w:val="18"/>
    </w:rPr>
  </w:style>
  <w:style w:type="paragraph" w:styleId="2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annotation subject"/>
    <w:basedOn w:val="15"/>
    <w:next w:val="15"/>
    <w:link w:val="44"/>
    <w:unhideWhenUsed/>
    <w:qFormat/>
    <w:uiPriority w:val="0"/>
    <w:pPr>
      <w:tabs>
        <w:tab w:val="left" w:pos="720"/>
      </w:tabs>
    </w:pPr>
    <w:rPr>
      <w:b/>
      <w:bCs/>
      <w:kern w:val="0"/>
      <w:sz w:val="20"/>
      <w:szCs w:val="20"/>
    </w:rPr>
  </w:style>
  <w:style w:type="paragraph" w:styleId="22">
    <w:name w:val="Body Text First Indent"/>
    <w:basedOn w:val="16"/>
    <w:link w:val="45"/>
    <w:unhideWhenUsed/>
    <w:qFormat/>
    <w:uiPriority w:val="0"/>
    <w:pPr>
      <w:ind w:firstLine="420" w:firstLineChars="100"/>
    </w:pPr>
    <w:rPr>
      <w:kern w:val="0"/>
      <w:sz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style>
  <w:style w:type="character" w:styleId="27">
    <w:name w:val="annotation reference"/>
    <w:qFormat/>
    <w:uiPriority w:val="99"/>
    <w:rPr>
      <w:sz w:val="21"/>
      <w:szCs w:val="21"/>
    </w:rPr>
  </w:style>
  <w:style w:type="character" w:customStyle="1" w:styleId="28">
    <w:name w:val="页眉 Char"/>
    <w:basedOn w:val="25"/>
    <w:link w:val="20"/>
    <w:qFormat/>
    <w:uiPriority w:val="99"/>
    <w:rPr>
      <w:sz w:val="18"/>
      <w:szCs w:val="18"/>
    </w:rPr>
  </w:style>
  <w:style w:type="character" w:customStyle="1" w:styleId="29">
    <w:name w:val="页脚 Char"/>
    <w:basedOn w:val="25"/>
    <w:link w:val="19"/>
    <w:qFormat/>
    <w:uiPriority w:val="99"/>
    <w:rPr>
      <w:sz w:val="18"/>
      <w:szCs w:val="18"/>
    </w:rPr>
  </w:style>
  <w:style w:type="character" w:customStyle="1" w:styleId="30">
    <w:name w:val="标题 1 Char"/>
    <w:basedOn w:val="25"/>
    <w:link w:val="3"/>
    <w:qFormat/>
    <w:uiPriority w:val="9"/>
    <w:rPr>
      <w:rFonts w:ascii="Times New Roman" w:hAnsi="Times New Roman" w:eastAsia="宋体" w:cs="Times New Roman"/>
      <w:b/>
      <w:kern w:val="44"/>
      <w:sz w:val="44"/>
      <w:szCs w:val="24"/>
    </w:rPr>
  </w:style>
  <w:style w:type="character" w:customStyle="1" w:styleId="31">
    <w:name w:val="标题 2 Char"/>
    <w:basedOn w:val="25"/>
    <w:link w:val="4"/>
    <w:qFormat/>
    <w:uiPriority w:val="0"/>
    <w:rPr>
      <w:rFonts w:ascii="Cambria" w:hAnsi="Cambria" w:eastAsia="宋体" w:cs="Times New Roman"/>
      <w:b/>
      <w:bCs/>
      <w:sz w:val="32"/>
      <w:szCs w:val="32"/>
    </w:rPr>
  </w:style>
  <w:style w:type="character" w:customStyle="1" w:styleId="32">
    <w:name w:val="标题 3 Char"/>
    <w:basedOn w:val="25"/>
    <w:link w:val="6"/>
    <w:qFormat/>
    <w:uiPriority w:val="0"/>
    <w:rPr>
      <w:rFonts w:ascii="黑体" w:hAnsi="黑体" w:eastAsia="黑体" w:cs="Times New Roman"/>
      <w:b/>
      <w:bCs/>
      <w:sz w:val="32"/>
      <w:szCs w:val="32"/>
    </w:rPr>
  </w:style>
  <w:style w:type="character" w:customStyle="1" w:styleId="33">
    <w:name w:val="标题 4 Char"/>
    <w:basedOn w:val="25"/>
    <w:link w:val="8"/>
    <w:qFormat/>
    <w:uiPriority w:val="0"/>
    <w:rPr>
      <w:rFonts w:ascii="黑体" w:hAnsi="黑体" w:eastAsia="黑体" w:cs="Times New Roman"/>
      <w:bCs/>
      <w:sz w:val="30"/>
      <w:szCs w:val="30"/>
    </w:rPr>
  </w:style>
  <w:style w:type="character" w:customStyle="1" w:styleId="34">
    <w:name w:val="标题 5 Char"/>
    <w:basedOn w:val="25"/>
    <w:link w:val="9"/>
    <w:qFormat/>
    <w:uiPriority w:val="0"/>
    <w:rPr>
      <w:rFonts w:ascii="仿宋" w:hAnsi="仿宋" w:eastAsia="仿宋" w:cs="Times New Roman"/>
      <w:b/>
      <w:bCs/>
      <w:sz w:val="28"/>
      <w:szCs w:val="28"/>
    </w:rPr>
  </w:style>
  <w:style w:type="character" w:customStyle="1" w:styleId="35">
    <w:name w:val="标题 6 Char"/>
    <w:basedOn w:val="25"/>
    <w:link w:val="10"/>
    <w:qFormat/>
    <w:uiPriority w:val="0"/>
    <w:rPr>
      <w:rFonts w:ascii="Calibri Light" w:hAnsi="Calibri Light" w:eastAsia="宋体" w:cs="Times New Roman"/>
      <w:b/>
      <w:bCs/>
      <w:sz w:val="24"/>
      <w:szCs w:val="24"/>
    </w:rPr>
  </w:style>
  <w:style w:type="character" w:customStyle="1" w:styleId="36">
    <w:name w:val="标题 7 Char"/>
    <w:basedOn w:val="25"/>
    <w:link w:val="11"/>
    <w:qFormat/>
    <w:uiPriority w:val="0"/>
    <w:rPr>
      <w:rFonts w:ascii="Calibri" w:hAnsi="Calibri" w:eastAsia="宋体" w:cs="Times New Roman"/>
      <w:b/>
      <w:bCs/>
      <w:sz w:val="24"/>
      <w:szCs w:val="24"/>
    </w:rPr>
  </w:style>
  <w:style w:type="character" w:customStyle="1" w:styleId="37">
    <w:name w:val="标题 8 Char"/>
    <w:basedOn w:val="25"/>
    <w:link w:val="12"/>
    <w:qFormat/>
    <w:uiPriority w:val="0"/>
    <w:rPr>
      <w:rFonts w:ascii="Calibri Light" w:hAnsi="Calibri Light" w:eastAsia="宋体" w:cs="Times New Roman"/>
      <w:sz w:val="24"/>
      <w:szCs w:val="24"/>
    </w:rPr>
  </w:style>
  <w:style w:type="character" w:customStyle="1" w:styleId="38">
    <w:name w:val="标题 9 Char"/>
    <w:basedOn w:val="25"/>
    <w:link w:val="13"/>
    <w:qFormat/>
    <w:uiPriority w:val="0"/>
    <w:rPr>
      <w:rFonts w:ascii="Calibri Light" w:hAnsi="Calibri Light" w:eastAsia="宋体" w:cs="Times New Roman"/>
      <w:szCs w:val="21"/>
    </w:rPr>
  </w:style>
  <w:style w:type="character" w:customStyle="1" w:styleId="39">
    <w:name w:val="可研正文 Char"/>
    <w:link w:val="7"/>
    <w:qFormat/>
    <w:uiPriority w:val="0"/>
    <w:rPr>
      <w:rFonts w:ascii="仿宋" w:hAnsi="仿宋" w:eastAsia="仿宋" w:cs="Times New Roman"/>
      <w:sz w:val="28"/>
      <w:szCs w:val="28"/>
    </w:rPr>
  </w:style>
  <w:style w:type="character" w:customStyle="1" w:styleId="40">
    <w:name w:val="文档结构图 Char"/>
    <w:basedOn w:val="25"/>
    <w:link w:val="14"/>
    <w:qFormat/>
    <w:uiPriority w:val="0"/>
    <w:rPr>
      <w:rFonts w:ascii="宋体" w:hAnsi="Times New Roman" w:eastAsia="宋体" w:cs="Times New Roman"/>
      <w:sz w:val="18"/>
      <w:szCs w:val="18"/>
    </w:rPr>
  </w:style>
  <w:style w:type="character" w:customStyle="1" w:styleId="41">
    <w:name w:val="批注文字 Char"/>
    <w:basedOn w:val="25"/>
    <w:link w:val="15"/>
    <w:qFormat/>
    <w:uiPriority w:val="0"/>
    <w:rPr>
      <w:rFonts w:ascii="Times New Roman" w:hAnsi="Times New Roman" w:eastAsia="宋体" w:cs="Times New Roman"/>
      <w:szCs w:val="24"/>
    </w:rPr>
  </w:style>
  <w:style w:type="character" w:customStyle="1" w:styleId="42">
    <w:name w:val="正文文本 Char"/>
    <w:basedOn w:val="25"/>
    <w:link w:val="16"/>
    <w:qFormat/>
    <w:uiPriority w:val="0"/>
    <w:rPr>
      <w:rFonts w:ascii="Times New Roman" w:hAnsi="Times New Roman" w:eastAsia="宋体" w:cs="Times New Roman"/>
      <w:szCs w:val="24"/>
    </w:rPr>
  </w:style>
  <w:style w:type="character" w:customStyle="1" w:styleId="43">
    <w:name w:val="批注框文本 Char"/>
    <w:basedOn w:val="25"/>
    <w:link w:val="18"/>
    <w:qFormat/>
    <w:uiPriority w:val="0"/>
    <w:rPr>
      <w:rFonts w:ascii="Times New Roman" w:hAnsi="Times New Roman" w:eastAsia="宋体" w:cs="Times New Roman"/>
      <w:sz w:val="18"/>
      <w:szCs w:val="18"/>
    </w:rPr>
  </w:style>
  <w:style w:type="character" w:customStyle="1" w:styleId="44">
    <w:name w:val="批注主题 Char"/>
    <w:basedOn w:val="41"/>
    <w:link w:val="21"/>
    <w:qFormat/>
    <w:uiPriority w:val="0"/>
    <w:rPr>
      <w:b/>
      <w:bCs/>
      <w:kern w:val="0"/>
      <w:sz w:val="20"/>
      <w:szCs w:val="20"/>
    </w:rPr>
  </w:style>
  <w:style w:type="character" w:customStyle="1" w:styleId="45">
    <w:name w:val="正文首行缩进 Char"/>
    <w:basedOn w:val="42"/>
    <w:link w:val="22"/>
    <w:qFormat/>
    <w:uiPriority w:val="0"/>
    <w:rPr>
      <w:kern w:val="0"/>
      <w:sz w:val="20"/>
    </w:rPr>
  </w:style>
  <w:style w:type="character" w:customStyle="1" w:styleId="46">
    <w:name w:val="标题 2 字符"/>
    <w:qFormat/>
    <w:uiPriority w:val="0"/>
    <w:rPr>
      <w:rFonts w:ascii="Arial" w:hAnsi="Arial" w:eastAsia="黑体"/>
      <w:b/>
      <w:bCs/>
      <w:sz w:val="36"/>
      <w:szCs w:val="32"/>
    </w:rPr>
  </w:style>
  <w:style w:type="character" w:customStyle="1" w:styleId="47">
    <w:name w:val="文档结构图 字符"/>
    <w:qFormat/>
    <w:uiPriority w:val="99"/>
    <w:rPr>
      <w:rFonts w:ascii="宋体"/>
      <w:sz w:val="18"/>
      <w:szCs w:val="18"/>
    </w:rPr>
  </w:style>
  <w:style w:type="character" w:customStyle="1" w:styleId="48">
    <w:name w:val="批注主题 字符"/>
    <w:qFormat/>
    <w:uiPriority w:val="99"/>
    <w:rPr>
      <w:b/>
      <w:bCs/>
      <w:sz w:val="24"/>
      <w:szCs w:val="24"/>
    </w:rPr>
  </w:style>
  <w:style w:type="character" w:customStyle="1" w:styleId="49">
    <w:name w:val="正文首行缩进 字符"/>
    <w:qFormat/>
    <w:uiPriority w:val="99"/>
    <w:rPr>
      <w:szCs w:val="24"/>
    </w:rPr>
  </w:style>
  <w:style w:type="character" w:customStyle="1" w:styleId="50">
    <w:name w:val="页眉 字符"/>
    <w:qFormat/>
    <w:uiPriority w:val="99"/>
    <w:rPr>
      <w:rFonts w:ascii="Times New Roman" w:hAnsi="Times New Roman" w:eastAsia="宋体" w:cs="Times New Roman"/>
      <w:sz w:val="18"/>
      <w:szCs w:val="18"/>
    </w:rPr>
  </w:style>
  <w:style w:type="paragraph" w:customStyle="1" w:styleId="51">
    <w:name w:val="文字列表"/>
    <w:basedOn w:val="22"/>
    <w:qFormat/>
    <w:uiPriority w:val="0"/>
    <w:pPr>
      <w:tabs>
        <w:tab w:val="left" w:pos="1125"/>
        <w:tab w:val="left" w:pos="1440"/>
      </w:tabs>
      <w:spacing w:after="0" w:line="360" w:lineRule="auto"/>
      <w:ind w:left="1125" w:right="200" w:rightChars="200" w:hanging="1125" w:firstLineChars="0"/>
    </w:pPr>
    <w:rPr>
      <w:rFonts w:ascii="楷体_GB2312" w:eastAsia="楷体_GB2312"/>
      <w:sz w:val="24"/>
      <w:szCs w:val="20"/>
    </w:rPr>
  </w:style>
  <w:style w:type="paragraph" w:styleId="52">
    <w:name w:val="List Paragraph"/>
    <w:basedOn w:val="1"/>
    <w:qFormat/>
    <w:uiPriority w:val="34"/>
    <w:pPr>
      <w:ind w:firstLine="420" w:firstLineChars="200"/>
    </w:pPr>
  </w:style>
  <w:style w:type="paragraph" w:customStyle="1" w:styleId="53">
    <w:name w:val="列出段落1"/>
    <w:basedOn w:val="1"/>
    <w:link w:val="54"/>
    <w:qFormat/>
    <w:uiPriority w:val="34"/>
    <w:pPr>
      <w:ind w:firstLine="420" w:firstLineChars="200"/>
    </w:pPr>
    <w:rPr>
      <w:rFonts w:ascii="Calibri" w:hAnsi="Calibri"/>
      <w:kern w:val="0"/>
      <w:sz w:val="20"/>
    </w:rPr>
  </w:style>
  <w:style w:type="character" w:customStyle="1" w:styleId="54">
    <w:name w:val="列出段落 Char"/>
    <w:link w:val="53"/>
    <w:qFormat/>
    <w:uiPriority w:val="34"/>
    <w:rPr>
      <w:rFonts w:ascii="Calibri" w:hAnsi="Calibri" w:eastAsia="宋体" w:cs="Times New Roman"/>
      <w:kern w:val="0"/>
      <w:sz w:val="20"/>
      <w:szCs w:val="24"/>
    </w:rPr>
  </w:style>
  <w:style w:type="character" w:customStyle="1" w:styleId="55">
    <w:name w:val="apple-style-span"/>
    <w:qFormat/>
    <w:uiPriority w:val="0"/>
  </w:style>
  <w:style w:type="character" w:customStyle="1" w:styleId="56">
    <w:name w:val="font11"/>
    <w:qFormat/>
    <w:uiPriority w:val="0"/>
    <w:rPr>
      <w:rFonts w:hint="eastAsia" w:ascii="仿宋" w:hAnsi="仿宋" w:eastAsia="仿宋" w:cs="仿宋"/>
      <w:b/>
      <w:bCs/>
      <w:color w:val="000000"/>
      <w:sz w:val="24"/>
      <w:szCs w:val="24"/>
      <w:u w:val="none"/>
    </w:rPr>
  </w:style>
  <w:style w:type="character" w:customStyle="1" w:styleId="57">
    <w:name w:val="正文文本首行缩进 字符"/>
    <w:qFormat/>
    <w:uiPriority w:val="99"/>
    <w:rPr>
      <w:szCs w:val="24"/>
    </w:rPr>
  </w:style>
  <w:style w:type="character" w:customStyle="1" w:styleId="58">
    <w:name w:val="font31"/>
    <w:basedOn w:val="25"/>
    <w:qFormat/>
    <w:uiPriority w:val="0"/>
    <w:rPr>
      <w:rFonts w:hint="default" w:ascii="等线" w:hAnsi="等线" w:eastAsia="等线" w:cs="等线"/>
      <w:color w:val="000000"/>
      <w:sz w:val="22"/>
      <w:szCs w:val="22"/>
      <w:u w:val="none"/>
    </w:rPr>
  </w:style>
  <w:style w:type="character" w:customStyle="1" w:styleId="59">
    <w:name w:val="font21"/>
    <w:basedOn w:val="25"/>
    <w:qFormat/>
    <w:uiPriority w:val="0"/>
    <w:rPr>
      <w:rFonts w:hint="default" w:ascii="Times New Roman" w:hAnsi="Times New Roman" w:cs="Times New Roman"/>
      <w:color w:val="000000"/>
      <w:sz w:val="22"/>
      <w:szCs w:val="22"/>
      <w:u w:val="none"/>
    </w:rPr>
  </w:style>
  <w:style w:type="paragraph" w:customStyle="1" w:styleId="60">
    <w:name w:val="正文内容"/>
    <w:basedOn w:val="1"/>
    <w:qFormat/>
    <w:uiPriority w:val="0"/>
    <w:pPr>
      <w:snapToGrid w:val="0"/>
      <w:ind w:firstLine="200"/>
      <w:jc w:val="left"/>
    </w:pPr>
    <w:rPr>
      <w:rFonts w:hAnsi="仿宋"/>
      <w:bCs/>
      <w:szCs w:val="4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7D906D13-D02E-4FE5-95AB-D6CC3E8BEB3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2070</Words>
  <Characters>11799</Characters>
  <Lines>98</Lines>
  <Paragraphs>27</Paragraphs>
  <TotalTime>438</TotalTime>
  <ScaleCrop>false</ScaleCrop>
  <LinksUpToDate>false</LinksUpToDate>
  <CharactersWithSpaces>13842</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2024-03-28T07:44:00Z</dcterms:created>
  <dc:creator>NTKO</dc:creator>
  <cp:lastModifiedBy>李  瑶</cp:lastModifiedBy>
  <cp:lastPrinted>2025-07-03T10:01:00Z</cp:lastPrinted>
  <dcterms:modified xsi:type="dcterms:W3CDTF">2025-07-14T15:49:43Z</dcterms:modified>
  <cp:revision>357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29B6775DDC53729464B674684BED50F6_43</vt:lpwstr>
  </property>
</Properties>
</file>