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4F44D">
      <w:pPr>
        <w:spacing w:line="360" w:lineRule="auto"/>
        <w:jc w:val="center"/>
        <w:rPr>
          <w:rFonts w:hint="eastAsia" w:ascii="宋体" w:hAnsi="宋体" w:eastAsia="宋体"/>
          <w:b/>
          <w:sz w:val="24"/>
          <w:szCs w:val="24"/>
        </w:rPr>
      </w:pPr>
      <w:r>
        <w:rPr>
          <w:rFonts w:hint="eastAsia" w:ascii="宋体" w:hAnsi="宋体" w:eastAsia="宋体"/>
          <w:b/>
          <w:sz w:val="24"/>
          <w:szCs w:val="24"/>
        </w:rPr>
        <w:t>上海市供水管理处业务管理信息系统（2025年升级改造）采购需求</w:t>
      </w:r>
    </w:p>
    <w:p w14:paraId="4BDCFBD3">
      <w:pPr>
        <w:spacing w:line="360" w:lineRule="auto"/>
        <w:jc w:val="center"/>
        <w:rPr>
          <w:rFonts w:hint="eastAsia" w:ascii="宋体" w:hAnsi="宋体" w:eastAsia="宋体"/>
          <w:b/>
          <w:szCs w:val="21"/>
          <w:highlight w:val="yellow"/>
        </w:rPr>
      </w:pPr>
    </w:p>
    <w:p w14:paraId="77B59CEC">
      <w:pPr>
        <w:pStyle w:val="5"/>
        <w:rPr>
          <w:rFonts w:hint="eastAsia"/>
        </w:rPr>
      </w:pPr>
      <w:r>
        <w:rPr>
          <w:rFonts w:hint="eastAsia"/>
        </w:rPr>
        <w:t>项目概况</w:t>
      </w:r>
    </w:p>
    <w:p w14:paraId="0D5210AF">
      <w:pPr>
        <w:pStyle w:val="6"/>
        <w:rPr>
          <w:rFonts w:hint="eastAsia"/>
        </w:rPr>
      </w:pPr>
      <w:r>
        <w:rPr>
          <w:rFonts w:hint="eastAsia"/>
        </w:rPr>
        <w:t>建设</w:t>
      </w:r>
      <w:r>
        <w:t xml:space="preserve">背景 </w:t>
      </w:r>
    </w:p>
    <w:p w14:paraId="605B04C2">
      <w:pPr>
        <w:spacing w:line="360" w:lineRule="auto"/>
        <w:ind w:firstLine="420" w:firstLineChars="200"/>
        <w:rPr>
          <w:rFonts w:hint="eastAsia" w:ascii="宋体" w:hAnsi="宋体" w:eastAsia="宋体" w:cstheme="minorEastAsia"/>
          <w:szCs w:val="21"/>
        </w:rPr>
      </w:pPr>
      <w:r>
        <w:rPr>
          <w:rFonts w:hint="eastAsia" w:ascii="宋体" w:hAnsi="宋体" w:eastAsia="宋体" w:cstheme="minorEastAsia"/>
          <w:szCs w:val="21"/>
        </w:rPr>
        <w:t>上海市供水管理处业务管理信息系统包含两个行业管理应用软件系统：上海市取用水收费和业务管理系统、上海市居民住宅二次供水设施监管信息系统，于2016年合并投入使用。由于取用水开账业务发生变化，系统因建设年份过早，无法满足如新版水资源费开账、地下水回灌退费开账、自来水加价水费欠费催缴等业务需求，给日常管理工作造成了不便。</w:t>
      </w:r>
    </w:p>
    <w:p w14:paraId="3B68A458">
      <w:pPr>
        <w:spacing w:line="360" w:lineRule="auto"/>
        <w:ind w:firstLine="420" w:firstLineChars="200"/>
        <w:rPr>
          <w:rFonts w:hint="eastAsia" w:ascii="宋体" w:hAnsi="宋体" w:eastAsia="宋体" w:cstheme="minorEastAsia"/>
          <w:szCs w:val="21"/>
          <w:highlight w:val="yellow"/>
        </w:rPr>
      </w:pPr>
      <w:r>
        <w:rPr>
          <w:rFonts w:hint="eastAsia" w:ascii="宋体" w:hAnsi="宋体" w:eastAsia="宋体" w:cstheme="minorEastAsia"/>
          <w:szCs w:val="21"/>
        </w:rPr>
        <w:t>随着新一代信息技术的快速发展与信创战略的提出，各政企单位深入开展数字化转型工作与信创工作，即是完成“十四五”时期建设“数字中国”的重要战略任务，又是响应国家信息技术应用创新发展的要求。正是在此背景下，本项目提出对上海市供水管理处业务管理信息系统进行升级改造，既包含利用新技术、新模式对原有业务模块进行升级，也包含国产化适配改造，旨在确保日常供水管理处业务管理工作更顺畅的展开，以及业务应用能够在信创环境下正常运行，不出现信息安全、数据安全问题。</w:t>
      </w:r>
    </w:p>
    <w:p w14:paraId="3875896E">
      <w:pPr>
        <w:pStyle w:val="6"/>
        <w:rPr>
          <w:rFonts w:hint="eastAsia"/>
        </w:rPr>
      </w:pPr>
      <w:r>
        <w:t>建设目标</w:t>
      </w:r>
    </w:p>
    <w:p w14:paraId="1D4FC525">
      <w:pPr>
        <w:spacing w:line="360" w:lineRule="auto"/>
        <w:ind w:firstLine="420" w:firstLineChars="200"/>
        <w:rPr>
          <w:rFonts w:hint="eastAsia" w:ascii="宋体" w:hAnsi="宋体" w:eastAsia="宋体" w:cstheme="minorEastAsia"/>
          <w:szCs w:val="21"/>
        </w:rPr>
      </w:pPr>
      <w:r>
        <w:rPr>
          <w:rFonts w:hint="eastAsia" w:asciiTheme="minorEastAsia" w:hAnsiTheme="minorEastAsia"/>
        </w:rPr>
        <w:t>本项目旨在对上海市供水管理处业务管理信息系统的业务管理模块进行升级改造，并根据账务管理的业务需求增加新版水资源费开账、地下水回灌退费开账、自来水加价水费欠费催缴等功能模块。同时，</w:t>
      </w:r>
      <w:r>
        <w:rPr>
          <w:rFonts w:asciiTheme="minorEastAsia" w:hAnsiTheme="minorEastAsia"/>
        </w:rPr>
        <w:t>按照</w:t>
      </w:r>
      <w:r>
        <w:rPr>
          <w:rFonts w:hint="eastAsia" w:asciiTheme="minorEastAsia" w:hAnsiTheme="minorEastAsia"/>
        </w:rPr>
        <w:t>国家对信息化系统的信创改造</w:t>
      </w:r>
      <w:r>
        <w:rPr>
          <w:rFonts w:asciiTheme="minorEastAsia" w:hAnsiTheme="minorEastAsia"/>
        </w:rPr>
        <w:t>相关要求，</w:t>
      </w:r>
      <w:r>
        <w:rPr>
          <w:rFonts w:hint="eastAsia" w:asciiTheme="minorEastAsia" w:hAnsiTheme="minorEastAsia"/>
        </w:rPr>
        <w:t>本项目还将</w:t>
      </w:r>
      <w:r>
        <w:rPr>
          <w:rFonts w:asciiTheme="minorEastAsia" w:hAnsiTheme="minorEastAsia"/>
        </w:rPr>
        <w:t>落实</w:t>
      </w:r>
      <w:r>
        <w:rPr>
          <w:rFonts w:hint="eastAsia" w:asciiTheme="minorEastAsia" w:hAnsiTheme="minorEastAsia"/>
        </w:rPr>
        <w:t>上海市供水管理处业务管理信息系统</w:t>
      </w:r>
      <w:r>
        <w:rPr>
          <w:rFonts w:asciiTheme="minorEastAsia" w:hAnsiTheme="minorEastAsia"/>
        </w:rPr>
        <w:t>业务模块的国产化适配改造</w:t>
      </w:r>
      <w:r>
        <w:rPr>
          <w:rFonts w:hint="eastAsia" w:asciiTheme="minorEastAsia" w:hAnsiTheme="minorEastAsia"/>
        </w:rPr>
        <w:t>任务，完成应用</w:t>
      </w:r>
      <w:r>
        <w:rPr>
          <w:rFonts w:asciiTheme="minorEastAsia" w:hAnsiTheme="minorEastAsia"/>
        </w:rPr>
        <w:t>系统适配改造</w:t>
      </w:r>
      <w:r>
        <w:rPr>
          <w:rFonts w:hint="eastAsia" w:asciiTheme="minorEastAsia" w:hAnsiTheme="minorEastAsia"/>
        </w:rPr>
        <w:t>、数据库系统适配改造、国产密码应用开发等多项内容。确保整个系统最终能在</w:t>
      </w:r>
      <w:r>
        <w:rPr>
          <w:rFonts w:asciiTheme="minorEastAsia" w:hAnsiTheme="minorEastAsia"/>
        </w:rPr>
        <w:t>国产化环境中</w:t>
      </w:r>
      <w:r>
        <w:rPr>
          <w:rFonts w:hint="eastAsia" w:asciiTheme="minorEastAsia" w:hAnsiTheme="minorEastAsia"/>
        </w:rPr>
        <w:t>正常运行，保障供水管理</w:t>
      </w:r>
      <w:r>
        <w:rPr>
          <w:rFonts w:asciiTheme="minorEastAsia" w:hAnsiTheme="minorEastAsia"/>
        </w:rPr>
        <w:t>业务应用</w:t>
      </w:r>
      <w:r>
        <w:rPr>
          <w:rFonts w:hint="eastAsia" w:asciiTheme="minorEastAsia" w:hAnsiTheme="minorEastAsia"/>
        </w:rPr>
        <w:t>顺畅、安全</w:t>
      </w:r>
      <w:r>
        <w:rPr>
          <w:rFonts w:asciiTheme="minorEastAsia" w:hAnsiTheme="minorEastAsia"/>
        </w:rPr>
        <w:t>开展。</w:t>
      </w:r>
    </w:p>
    <w:p w14:paraId="184AD17E">
      <w:pPr>
        <w:pStyle w:val="6"/>
        <w:rPr>
          <w:rFonts w:hint="eastAsia"/>
        </w:rPr>
      </w:pPr>
      <w:r>
        <w:rPr>
          <w:rFonts w:hint="eastAsia"/>
        </w:rPr>
        <w:t>建设内容与任务</w:t>
      </w:r>
    </w:p>
    <w:p w14:paraId="09539955">
      <w:pPr>
        <w:pStyle w:val="16"/>
        <w:spacing w:line="360" w:lineRule="auto"/>
        <w:ind w:left="440" w:firstLine="0" w:firstLineChars="0"/>
        <w:rPr>
          <w:rFonts w:ascii="宋体" w:hAnsi="宋体" w:eastAsia="宋体" w:cstheme="minorEastAsia"/>
          <w:szCs w:val="21"/>
        </w:rPr>
      </w:pPr>
      <w:r>
        <w:rPr>
          <w:rFonts w:hint="eastAsia" w:ascii="宋体" w:hAnsi="宋体" w:eastAsia="宋体" w:cstheme="minorEastAsia"/>
          <w:szCs w:val="21"/>
        </w:rPr>
        <w:t>本项目需要建设的内容与任务包括：</w:t>
      </w:r>
    </w:p>
    <w:p w14:paraId="29E36466">
      <w:pPr>
        <w:pStyle w:val="16"/>
        <w:widowControl/>
        <w:numPr>
          <w:ilvl w:val="0"/>
          <w:numId w:val="3"/>
        </w:numPr>
        <w:adjustRightInd w:val="0"/>
        <w:snapToGrid w:val="0"/>
        <w:spacing w:line="360" w:lineRule="auto"/>
        <w:ind w:firstLineChars="0"/>
        <w:rPr>
          <w:rFonts w:hint="eastAsia" w:cs="Arial" w:asciiTheme="minorEastAsia" w:hAnsiTheme="minorEastAsia"/>
          <w:bCs/>
        </w:rPr>
      </w:pPr>
      <w:r>
        <w:rPr>
          <w:rFonts w:cs="Arial" w:asciiTheme="minorEastAsia" w:hAnsiTheme="minorEastAsia"/>
          <w:bCs/>
        </w:rPr>
        <w:t>应用系统适配改造：</w:t>
      </w:r>
      <w:r>
        <w:rPr>
          <w:rFonts w:hint="eastAsia" w:cs="Arial" w:asciiTheme="minorEastAsia" w:hAnsiTheme="minorEastAsia"/>
          <w:bCs/>
        </w:rPr>
        <w:t>按照信创改造工作要求对业务管理信息系统功能进行改造，包含原有两个行业管理软件（即</w:t>
      </w:r>
      <w:r>
        <w:rPr>
          <w:rFonts w:hint="eastAsia" w:ascii="宋体" w:hAnsi="宋体" w:eastAsia="宋体" w:cstheme="minorEastAsia"/>
          <w:szCs w:val="21"/>
        </w:rPr>
        <w:t>上海市取用水收费和业务管理系统和上海市居民住宅二次供水设施监管信息系统</w:t>
      </w:r>
      <w:r>
        <w:rPr>
          <w:rFonts w:hint="eastAsia" w:cs="Arial" w:asciiTheme="minorEastAsia" w:hAnsiTheme="minorEastAsia"/>
          <w:bCs/>
        </w:rPr>
        <w:t>）的所有功能</w:t>
      </w:r>
      <w:r>
        <w:rPr>
          <w:rFonts w:hint="eastAsia" w:ascii="宋体" w:hAnsi="宋体" w:eastAsia="宋体" w:cstheme="minorEastAsia"/>
          <w:szCs w:val="21"/>
        </w:rPr>
        <w:t>，以保证</w:t>
      </w:r>
      <w:r>
        <w:rPr>
          <w:rFonts w:hint="eastAsia" w:cs="Arial" w:asciiTheme="minorEastAsia" w:hAnsiTheme="minorEastAsia"/>
          <w:bCs/>
        </w:rPr>
        <w:t>业务管理信息系统符合信创改造工作要求的国产化操作系统、中间件及终端浏览器的平台环境，正常提供业务应用服务。</w:t>
      </w:r>
    </w:p>
    <w:p w14:paraId="138F7493">
      <w:pPr>
        <w:pStyle w:val="16"/>
        <w:widowControl/>
        <w:numPr>
          <w:ilvl w:val="0"/>
          <w:numId w:val="3"/>
        </w:numPr>
        <w:adjustRightInd w:val="0"/>
        <w:snapToGrid w:val="0"/>
        <w:spacing w:line="360" w:lineRule="auto"/>
        <w:ind w:firstLineChars="0"/>
        <w:rPr>
          <w:rFonts w:hint="eastAsia" w:cs="Arial" w:asciiTheme="minorEastAsia" w:hAnsiTheme="minorEastAsia"/>
          <w:bCs/>
        </w:rPr>
      </w:pPr>
      <w:r>
        <w:rPr>
          <w:rFonts w:cs="Arial" w:asciiTheme="minorEastAsia" w:hAnsiTheme="minorEastAsia"/>
          <w:bCs/>
        </w:rPr>
        <w:t>数据库系统适配改造：</w:t>
      </w:r>
      <w:r>
        <w:rPr>
          <w:rFonts w:hint="eastAsia" w:cs="Arial" w:asciiTheme="minorEastAsia" w:hAnsiTheme="minorEastAsia"/>
          <w:bCs/>
        </w:rPr>
        <w:t>将系统所采用的数据库由</w:t>
      </w:r>
      <w:r>
        <w:rPr>
          <w:rFonts w:cs="Arial" w:asciiTheme="minorEastAsia" w:hAnsiTheme="minorEastAsia"/>
          <w:bCs/>
        </w:rPr>
        <w:t>Oracle改为国产</w:t>
      </w:r>
      <w:r>
        <w:rPr>
          <w:rFonts w:hint="eastAsia" w:cs="Arial" w:asciiTheme="minorEastAsia" w:hAnsiTheme="minorEastAsia"/>
          <w:bCs/>
        </w:rPr>
        <w:t>数据库（</w:t>
      </w:r>
      <w:r>
        <w:rPr>
          <w:rFonts w:cs="Arial" w:asciiTheme="minorEastAsia" w:hAnsiTheme="minorEastAsia"/>
          <w:bCs/>
        </w:rPr>
        <w:t>RDS），并将历史数据迁移至国产</w:t>
      </w:r>
      <w:r>
        <w:rPr>
          <w:rFonts w:hint="eastAsia" w:cs="Arial" w:asciiTheme="minorEastAsia" w:hAnsiTheme="minorEastAsia"/>
          <w:bCs/>
        </w:rPr>
        <w:t>数据库</w:t>
      </w:r>
      <w:r>
        <w:rPr>
          <w:rFonts w:cs="Arial" w:asciiTheme="minorEastAsia" w:hAnsiTheme="minorEastAsia"/>
          <w:bCs/>
        </w:rPr>
        <w:t>中，与改造后的应用系统程序进行联调、数据验证及测试。</w:t>
      </w:r>
    </w:p>
    <w:p w14:paraId="0177E4E0">
      <w:pPr>
        <w:pStyle w:val="16"/>
        <w:widowControl/>
        <w:numPr>
          <w:ilvl w:val="0"/>
          <w:numId w:val="3"/>
        </w:numPr>
        <w:adjustRightInd w:val="0"/>
        <w:snapToGrid w:val="0"/>
        <w:spacing w:line="360" w:lineRule="auto"/>
        <w:ind w:firstLineChars="0"/>
        <w:rPr>
          <w:rFonts w:hint="eastAsia" w:cs="Arial" w:asciiTheme="minorEastAsia" w:hAnsiTheme="minorEastAsia"/>
          <w:bCs/>
        </w:rPr>
      </w:pPr>
      <w:r>
        <w:rPr>
          <w:rFonts w:hint="eastAsia" w:cs="Arial" w:asciiTheme="minorEastAsia" w:hAnsiTheme="minorEastAsia"/>
          <w:bCs/>
        </w:rPr>
        <w:t>地图服务适配改造：</w:t>
      </w:r>
      <w:r>
        <w:rPr>
          <w:rFonts w:hint="eastAsia" w:cs="微软雅黑"/>
        </w:rPr>
        <w:t>改造成国产化地图服务平台。</w:t>
      </w:r>
    </w:p>
    <w:p w14:paraId="6F942510">
      <w:pPr>
        <w:pStyle w:val="16"/>
        <w:widowControl/>
        <w:numPr>
          <w:ilvl w:val="0"/>
          <w:numId w:val="3"/>
        </w:numPr>
        <w:adjustRightInd w:val="0"/>
        <w:snapToGrid w:val="0"/>
        <w:spacing w:line="360" w:lineRule="auto"/>
        <w:ind w:firstLineChars="0"/>
        <w:rPr>
          <w:rFonts w:hint="eastAsia" w:cs="Arial" w:asciiTheme="minorEastAsia" w:hAnsiTheme="minorEastAsia"/>
          <w:bCs/>
        </w:rPr>
      </w:pPr>
      <w:r>
        <w:rPr>
          <w:rFonts w:hint="eastAsia" w:cs="Arial" w:asciiTheme="minorEastAsia" w:hAnsiTheme="minorEastAsia"/>
          <w:bCs/>
        </w:rPr>
        <w:t>账务管理模块新增子功能开发：包括</w:t>
      </w:r>
      <w:r>
        <w:rPr>
          <w:rFonts w:asciiTheme="minorEastAsia" w:hAnsiTheme="minorEastAsia"/>
        </w:rPr>
        <w:t>新版水资源费开账、抄表不开账、处罚开账、模拟开账、回灌退费、自来水加价水费欠费催缴</w:t>
      </w:r>
      <w:r>
        <w:rPr>
          <w:rFonts w:hint="eastAsia" w:asciiTheme="minorEastAsia" w:hAnsiTheme="minorEastAsia"/>
        </w:rPr>
        <w:t>功能。</w:t>
      </w:r>
    </w:p>
    <w:p w14:paraId="70EAE3A3">
      <w:pPr>
        <w:pStyle w:val="16"/>
        <w:widowControl/>
        <w:numPr>
          <w:ilvl w:val="0"/>
          <w:numId w:val="3"/>
        </w:numPr>
        <w:adjustRightInd w:val="0"/>
        <w:snapToGrid w:val="0"/>
        <w:spacing w:line="360" w:lineRule="auto"/>
        <w:ind w:firstLineChars="0"/>
        <w:rPr>
          <w:rFonts w:hint="eastAsia" w:cs="Arial" w:asciiTheme="minorEastAsia" w:hAnsiTheme="minorEastAsia"/>
          <w:bCs/>
        </w:rPr>
      </w:pPr>
      <w:r>
        <w:rPr>
          <w:rFonts w:hint="eastAsia" w:cs="Arial" w:asciiTheme="minorEastAsia" w:hAnsiTheme="minorEastAsia"/>
          <w:bCs/>
        </w:rPr>
        <w:t>国产</w:t>
      </w:r>
      <w:r>
        <w:rPr>
          <w:rFonts w:cs="Arial" w:asciiTheme="minorEastAsia" w:hAnsiTheme="minorEastAsia"/>
          <w:bCs/>
        </w:rPr>
        <w:t>密码应用</w:t>
      </w:r>
      <w:r>
        <w:rPr>
          <w:rFonts w:hint="eastAsia" w:cs="Arial" w:asciiTheme="minorEastAsia" w:hAnsiTheme="minorEastAsia"/>
          <w:bCs/>
        </w:rPr>
        <w:t>开发</w:t>
      </w:r>
      <w:r>
        <w:rPr>
          <w:rFonts w:cs="Arial" w:asciiTheme="minorEastAsia" w:hAnsiTheme="minorEastAsia"/>
          <w:bCs/>
        </w:rPr>
        <w:t>：建立基于密码技术的统一支撑平台，支持高强度身份鉴别、数据完整性、数据保密性等安全功能。</w:t>
      </w:r>
    </w:p>
    <w:p w14:paraId="2FB4ED7C">
      <w:pPr>
        <w:pStyle w:val="5"/>
        <w:rPr>
          <w:rFonts w:hint="eastAsia"/>
        </w:rPr>
      </w:pPr>
      <w:r>
        <w:rPr>
          <w:rFonts w:hint="eastAsia"/>
        </w:rPr>
        <w:t>现状分析</w:t>
      </w:r>
    </w:p>
    <w:p w14:paraId="4B076F29">
      <w:pPr>
        <w:pStyle w:val="16"/>
        <w:numPr>
          <w:ilvl w:val="0"/>
          <w:numId w:val="4"/>
        </w:numPr>
        <w:spacing w:line="360" w:lineRule="auto"/>
        <w:ind w:firstLineChars="0"/>
        <w:rPr>
          <w:rFonts w:hint="eastAsia" w:ascii="宋体" w:hAnsi="宋体" w:eastAsia="宋体" w:cstheme="minorEastAsia"/>
          <w:szCs w:val="21"/>
        </w:rPr>
      </w:pPr>
      <w:r>
        <w:rPr>
          <w:rFonts w:hint="eastAsia" w:ascii="宋体" w:hAnsi="宋体" w:eastAsia="宋体" w:cstheme="minorEastAsia"/>
          <w:szCs w:val="21"/>
        </w:rPr>
        <w:t>信息系统现状</w:t>
      </w:r>
    </w:p>
    <w:p w14:paraId="77404BD0">
      <w:pPr>
        <w:spacing w:line="360" w:lineRule="auto"/>
        <w:ind w:firstLine="420" w:firstLineChars="200"/>
        <w:rPr>
          <w:rFonts w:hint="eastAsia" w:cs="Arial" w:asciiTheme="minorEastAsia" w:hAnsiTheme="minorEastAsia"/>
          <w:bCs/>
        </w:rPr>
      </w:pPr>
      <w:r>
        <w:rPr>
          <w:rFonts w:hint="eastAsia" w:ascii="宋体" w:hAnsi="宋体" w:eastAsia="宋体" w:cstheme="minorEastAsia"/>
          <w:szCs w:val="21"/>
        </w:rPr>
        <w:t>上海市供水管理事务中心已建设有供水统一业务管理平台，</w:t>
      </w:r>
      <w:r>
        <w:rPr>
          <w:rFonts w:hint="eastAsia" w:cs="Arial" w:asciiTheme="minorEastAsia" w:hAnsiTheme="minorEastAsia"/>
          <w:bCs/>
        </w:rPr>
        <w:t>以达到“统一门户管理、统一用户管理、统一接入管理、统一授权管理、统一数据管理、统一安全防护”要求。近年来，供水管理事务中心陆续完成了供水管理信息系统、供水管理处业务管理信息系统、用水定额管理信息系统、取水超定额管理信息系统、</w:t>
      </w:r>
      <w:r>
        <w:rPr>
          <w:rFonts w:hint="eastAsia" w:asciiTheme="minorEastAsia" w:hAnsiTheme="minorEastAsia" w:cstheme="minorEastAsia"/>
          <w:szCs w:val="21"/>
        </w:rPr>
        <w:t>取用水（设施）数字化动态监管子系统</w:t>
      </w:r>
      <w:r>
        <w:rPr>
          <w:rFonts w:hint="eastAsia" w:cs="Arial" w:asciiTheme="minorEastAsia" w:hAnsiTheme="minorEastAsia"/>
          <w:bCs/>
        </w:rPr>
        <w:t>等与日常业务管理相关部分的系统建设。</w:t>
      </w:r>
    </w:p>
    <w:p w14:paraId="78A9552F">
      <w:pPr>
        <w:spacing w:line="360" w:lineRule="auto"/>
        <w:ind w:firstLine="420" w:firstLineChars="200"/>
        <w:rPr>
          <w:rFonts w:hint="eastAsia" w:ascii="宋体" w:hAnsi="宋体" w:eastAsia="宋体" w:cstheme="minorEastAsia"/>
          <w:szCs w:val="21"/>
        </w:rPr>
      </w:pPr>
      <w:r>
        <w:rPr>
          <w:rFonts w:hint="eastAsia" w:ascii="宋体" w:hAnsi="宋体" w:eastAsia="宋体" w:cstheme="minorEastAsia"/>
          <w:szCs w:val="21"/>
        </w:rPr>
        <w:t>本项目进行升级改造的业务管理信息系统是供水统一业务管理平台的子系统 。与供水统一业务管理平台系统存在用户、组织结构等基础信息共享，需要符合水务局“六个统一”的管理要求。</w:t>
      </w:r>
    </w:p>
    <w:p w14:paraId="1335D833">
      <w:pPr>
        <w:pStyle w:val="16"/>
        <w:numPr>
          <w:ilvl w:val="0"/>
          <w:numId w:val="4"/>
        </w:numPr>
        <w:spacing w:line="360" w:lineRule="auto"/>
        <w:ind w:firstLineChars="0"/>
        <w:rPr>
          <w:rFonts w:hint="eastAsia" w:ascii="宋体" w:hAnsi="宋体" w:eastAsia="宋体" w:cstheme="minorEastAsia"/>
          <w:szCs w:val="21"/>
        </w:rPr>
      </w:pPr>
      <w:r>
        <w:rPr>
          <w:rFonts w:hint="eastAsia" w:ascii="宋体" w:hAnsi="宋体" w:eastAsia="宋体" w:cstheme="minorEastAsia"/>
          <w:szCs w:val="21"/>
        </w:rPr>
        <w:t>数据量情况</w:t>
      </w:r>
    </w:p>
    <w:tbl>
      <w:tblPr>
        <w:tblStyle w:val="13"/>
        <w:tblW w:w="6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1418"/>
      </w:tblGrid>
      <w:tr w14:paraId="63B9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8" w:type="dxa"/>
          </w:tcPr>
          <w:p w14:paraId="13B3D434">
            <w:pPr>
              <w:spacing w:line="360" w:lineRule="auto"/>
              <w:rPr>
                <w:rFonts w:hint="eastAsia" w:asciiTheme="minorEastAsia" w:hAnsiTheme="minorEastAsia"/>
              </w:rPr>
            </w:pPr>
            <w:r>
              <w:rPr>
                <w:rFonts w:hint="eastAsia" w:asciiTheme="minorEastAsia" w:hAnsiTheme="minorEastAsia"/>
              </w:rPr>
              <w:t>现有数据存储量（GB）</w:t>
            </w:r>
          </w:p>
        </w:tc>
        <w:tc>
          <w:tcPr>
            <w:tcW w:w="1418" w:type="dxa"/>
          </w:tcPr>
          <w:p w14:paraId="74E080CA">
            <w:pPr>
              <w:spacing w:line="360" w:lineRule="auto"/>
              <w:rPr>
                <w:rFonts w:hint="eastAsia" w:asciiTheme="minorEastAsia" w:hAnsiTheme="minorEastAsia"/>
              </w:rPr>
            </w:pPr>
            <w:r>
              <w:rPr>
                <w:rFonts w:hint="eastAsia" w:asciiTheme="minorEastAsia" w:hAnsiTheme="minorEastAsia"/>
              </w:rPr>
              <w:t>85</w:t>
            </w:r>
          </w:p>
        </w:tc>
      </w:tr>
      <w:tr w14:paraId="0DE7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8" w:type="dxa"/>
          </w:tcPr>
          <w:p w14:paraId="68B59F0C">
            <w:pPr>
              <w:spacing w:line="360" w:lineRule="auto"/>
              <w:rPr>
                <w:rFonts w:hint="eastAsia" w:asciiTheme="minorEastAsia" w:hAnsiTheme="minorEastAsia"/>
              </w:rPr>
            </w:pPr>
            <w:r>
              <w:rPr>
                <w:rFonts w:hint="eastAsia" w:asciiTheme="minorEastAsia" w:hAnsiTheme="minorEastAsia"/>
              </w:rPr>
              <w:t>系统正常运行所需的数据存储量（GB）</w:t>
            </w:r>
          </w:p>
        </w:tc>
        <w:tc>
          <w:tcPr>
            <w:tcW w:w="1418" w:type="dxa"/>
          </w:tcPr>
          <w:p w14:paraId="1AA3830D">
            <w:pPr>
              <w:spacing w:line="360" w:lineRule="auto"/>
              <w:rPr>
                <w:rFonts w:hint="eastAsia" w:asciiTheme="minorEastAsia" w:hAnsiTheme="minorEastAsia"/>
              </w:rPr>
            </w:pPr>
            <w:r>
              <w:rPr>
                <w:rFonts w:hint="eastAsia" w:asciiTheme="minorEastAsia" w:hAnsiTheme="minorEastAsia"/>
              </w:rPr>
              <w:t>10</w:t>
            </w:r>
          </w:p>
        </w:tc>
      </w:tr>
      <w:tr w14:paraId="15B2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8" w:type="dxa"/>
          </w:tcPr>
          <w:p w14:paraId="7DBE8131">
            <w:pPr>
              <w:spacing w:line="360" w:lineRule="auto"/>
              <w:rPr>
                <w:rFonts w:hint="eastAsia" w:asciiTheme="minorEastAsia" w:hAnsiTheme="minorEastAsia"/>
              </w:rPr>
            </w:pPr>
            <w:r>
              <w:rPr>
                <w:rFonts w:hint="eastAsia" w:asciiTheme="minorEastAsia" w:hAnsiTheme="minorEastAsia"/>
              </w:rPr>
              <w:t>三年内系统所需的存储（GB)</w:t>
            </w:r>
          </w:p>
        </w:tc>
        <w:tc>
          <w:tcPr>
            <w:tcW w:w="1418" w:type="dxa"/>
          </w:tcPr>
          <w:p w14:paraId="106F378E">
            <w:pPr>
              <w:spacing w:line="360" w:lineRule="auto"/>
              <w:rPr>
                <w:rFonts w:hint="eastAsia" w:asciiTheme="minorEastAsia" w:hAnsiTheme="minorEastAsia"/>
              </w:rPr>
            </w:pPr>
            <w:r>
              <w:rPr>
                <w:rFonts w:hint="eastAsia" w:asciiTheme="minorEastAsia" w:hAnsiTheme="minorEastAsia"/>
              </w:rPr>
              <w:t>115</w:t>
            </w:r>
          </w:p>
        </w:tc>
      </w:tr>
    </w:tbl>
    <w:p w14:paraId="0D62D7D1">
      <w:pPr>
        <w:pStyle w:val="5"/>
        <w:rPr>
          <w:rFonts w:hint="eastAsia"/>
        </w:rPr>
      </w:pPr>
      <w:r>
        <w:rPr>
          <w:rFonts w:hint="eastAsia"/>
        </w:rPr>
        <w:t>业务需求</w:t>
      </w:r>
    </w:p>
    <w:p w14:paraId="23FE1D68">
      <w:pPr>
        <w:spacing w:line="360" w:lineRule="auto"/>
        <w:ind w:firstLine="420" w:firstLineChars="200"/>
        <w:rPr>
          <w:rFonts w:hint="eastAsia" w:ascii="宋体" w:hAnsi="宋体" w:eastAsia="宋体" w:cstheme="minorEastAsia"/>
          <w:szCs w:val="21"/>
        </w:rPr>
      </w:pPr>
      <w:r>
        <w:rPr>
          <w:rFonts w:hint="eastAsia" w:ascii="宋体" w:hAnsi="宋体" w:eastAsia="宋体" w:cstheme="minorEastAsia"/>
          <w:szCs w:val="21"/>
        </w:rPr>
        <w:t>业务管理信息系统主要是市供水管理事务中心日常业务管理的操作平台之一，用户包括中心取水科、节水科、供水科、财务科、规划建设科、科技发展科核心业务人员，以及市供水管理事务中心、市水务局、市大数据中心等局属单位管理人员。其中，业务人员是系统的主要用户，依托系统加强对行业取用水收费与账务管理，行业动态规划，以及日常监督与考核工作；</w:t>
      </w:r>
      <w:r>
        <w:rPr>
          <w:rFonts w:hint="eastAsia" w:ascii="宋体" w:hAnsi="宋体" w:cs="宋体"/>
          <w:bCs/>
          <w:szCs w:val="21"/>
        </w:rPr>
        <w:t>管理层领导及关联单位用户主要通过系统数据关键指标、业务报表与分析内容进行决策，推动行业监管进一步从经验管理向数据驱动转型。</w:t>
      </w:r>
    </w:p>
    <w:p w14:paraId="66BAE643">
      <w:pPr>
        <w:pStyle w:val="5"/>
        <w:rPr>
          <w:rFonts w:hint="eastAsia"/>
        </w:rPr>
      </w:pPr>
      <w:r>
        <w:rPr>
          <w:rFonts w:hint="eastAsia"/>
        </w:rPr>
        <w:t>总体技术要求</w:t>
      </w:r>
    </w:p>
    <w:p w14:paraId="2B207D1F">
      <w:pPr>
        <w:spacing w:line="360" w:lineRule="auto"/>
        <w:ind w:firstLine="420" w:firstLineChars="200"/>
        <w:rPr>
          <w:rFonts w:hint="eastAsia" w:ascii="宋体" w:hAnsi="宋体" w:eastAsia="宋体" w:cstheme="minorEastAsia"/>
          <w:szCs w:val="21"/>
        </w:rPr>
      </w:pPr>
      <w:r>
        <w:rPr>
          <w:rFonts w:hint="eastAsia" w:ascii="宋体" w:hAnsi="宋体" w:eastAsia="宋体" w:cstheme="minorEastAsia"/>
          <w:szCs w:val="21"/>
        </w:rPr>
        <w:t>依据市经信委政务信息系统整合的需求，结合水务局及市供水事务管理中心的信息化规划发展，遵循上海市水务局的数据中心有关标准与规范，数据库基于市水务局数据中心进行建设，按照业务、政务管理等需要划分不同区域，进行统一数据交换、共享和管理。</w:t>
      </w:r>
    </w:p>
    <w:p w14:paraId="186CCD81">
      <w:pPr>
        <w:pStyle w:val="6"/>
        <w:rPr>
          <w:rFonts w:hint="eastAsia" w:cstheme="minorEastAsia"/>
        </w:rPr>
      </w:pPr>
      <w:r>
        <w:rPr>
          <w:rFonts w:hint="eastAsia"/>
        </w:rPr>
        <w:t>系统架构要求</w:t>
      </w:r>
    </w:p>
    <w:p w14:paraId="21148D08">
      <w:pPr>
        <w:spacing w:line="360" w:lineRule="auto"/>
        <w:ind w:firstLine="420" w:firstLineChars="200"/>
        <w:rPr>
          <w:rFonts w:hint="eastAsia" w:ascii="宋体" w:hAnsi="宋体" w:eastAsia="宋体" w:cstheme="minorEastAsia"/>
          <w:szCs w:val="21"/>
        </w:rPr>
      </w:pPr>
      <w:r>
        <w:rPr>
          <w:rFonts w:hint="eastAsia" w:ascii="宋体" w:hAnsi="宋体" w:eastAsia="宋体" w:cstheme="minorEastAsia"/>
          <w:szCs w:val="21"/>
        </w:rPr>
        <w:t>本项目为保证内外应用集成的标准化和安全性，需要满足市水务局、市供水管理事务中心相关技术规范，与上海市政务云规范实现自身的集成和部署，进行虚拟化的运行环境整合以及应用组件整合，并满足国产化要求。应用系统架构设计要求遵循“平台无关性原则”，符合“前后端分离”和“应用和数据分离”，有集群架构和数据备份的设计。</w:t>
      </w:r>
    </w:p>
    <w:p w14:paraId="2C73241B">
      <w:pPr>
        <w:pStyle w:val="6"/>
        <w:rPr>
          <w:rFonts w:hint="eastAsia"/>
        </w:rPr>
      </w:pPr>
      <w:r>
        <w:rPr>
          <w:rFonts w:hint="eastAsia"/>
        </w:rPr>
        <w:t>系统开发与运行环境要求</w:t>
      </w:r>
    </w:p>
    <w:p w14:paraId="583CDC20">
      <w:pPr>
        <w:spacing w:line="360" w:lineRule="auto"/>
        <w:ind w:firstLine="420" w:firstLineChars="200"/>
        <w:rPr>
          <w:rFonts w:hint="eastAsia" w:ascii="宋体" w:hAnsi="宋体" w:eastAsia="宋体" w:cstheme="minorEastAsia"/>
          <w:szCs w:val="21"/>
        </w:rPr>
      </w:pPr>
      <w:r>
        <w:rPr>
          <w:rFonts w:hint="eastAsia" w:ascii="宋体" w:hAnsi="宋体" w:eastAsia="宋体" w:cstheme="minorEastAsia"/>
          <w:szCs w:val="21"/>
        </w:rPr>
        <w:t>在系统设计建设过程中，满足</w:t>
      </w:r>
      <w:r>
        <w:rPr>
          <w:rFonts w:ascii="宋体" w:hAnsi="宋体" w:eastAsia="宋体" w:cstheme="minorEastAsia"/>
          <w:szCs w:val="21"/>
        </w:rPr>
        <w:t>上海市政务云</w:t>
      </w:r>
      <w:r>
        <w:rPr>
          <w:rFonts w:hint="eastAsia" w:ascii="宋体" w:hAnsi="宋体" w:eastAsia="宋体" w:cstheme="minorEastAsia"/>
          <w:szCs w:val="21"/>
        </w:rPr>
        <w:t>相关技术规范要求，统筹考虑现有硬件、网络、产品软件、应用软件模块及数据资源的充分共享，要考虑到未来的可扩充性与可维护性的要求，节省工程投资，提高系统应用效能。</w:t>
      </w:r>
    </w:p>
    <w:p w14:paraId="31D599EF">
      <w:pPr>
        <w:spacing w:line="360" w:lineRule="auto"/>
        <w:ind w:firstLine="420" w:firstLineChars="200"/>
        <w:rPr>
          <w:rFonts w:hint="eastAsia" w:ascii="宋体" w:hAnsi="宋体" w:eastAsia="宋体" w:cstheme="minorEastAsia"/>
          <w:szCs w:val="21"/>
        </w:rPr>
      </w:pPr>
      <w:r>
        <w:rPr>
          <w:rFonts w:hint="eastAsia" w:ascii="宋体" w:hAnsi="宋体" w:eastAsia="宋体" w:cstheme="minorEastAsia"/>
          <w:szCs w:val="21"/>
        </w:rPr>
        <w:t>系统作为供水管理日常工作的平台，要求7*24小时的不间断运行，必须稳定可靠。</w:t>
      </w:r>
    </w:p>
    <w:p w14:paraId="6A7F2549">
      <w:pPr>
        <w:pStyle w:val="2"/>
        <w:spacing w:after="0" w:line="360" w:lineRule="auto"/>
      </w:pPr>
      <w:r>
        <w:tab/>
      </w:r>
      <w:r>
        <w:rPr>
          <w:rFonts w:hint="eastAsia"/>
        </w:rPr>
        <w:t>系统应基于B/S架构开发，方便将来在不同场景下展示。</w:t>
      </w:r>
    </w:p>
    <w:p w14:paraId="2AC65BF4">
      <w:pPr>
        <w:pStyle w:val="6"/>
        <w:rPr>
          <w:rFonts w:hint="eastAsia" w:cs="Arial"/>
        </w:rPr>
      </w:pPr>
      <w:r>
        <w:rPr>
          <w:rFonts w:hint="eastAsia"/>
        </w:rPr>
        <w:t>性能要求</w:t>
      </w:r>
    </w:p>
    <w:p w14:paraId="16C271D7">
      <w:pPr>
        <w:widowControl/>
        <w:numPr>
          <w:ilvl w:val="0"/>
          <w:numId w:val="5"/>
        </w:numPr>
        <w:tabs>
          <w:tab w:val="left" w:pos="426"/>
        </w:tabs>
        <w:adjustRightInd w:val="0"/>
        <w:snapToGrid w:val="0"/>
        <w:spacing w:line="360" w:lineRule="auto"/>
        <w:ind w:right="40"/>
        <w:rPr>
          <w:rFonts w:hint="eastAsia" w:asciiTheme="minorEastAsia" w:hAnsiTheme="minorEastAsia"/>
        </w:rPr>
      </w:pPr>
      <w:r>
        <w:rPr>
          <w:rFonts w:hint="eastAsia" w:asciiTheme="minorEastAsia" w:hAnsiTheme="minorEastAsia"/>
        </w:rPr>
        <w:t>技术的先进性</w:t>
      </w:r>
    </w:p>
    <w:p w14:paraId="3C96028C">
      <w:pPr>
        <w:pStyle w:val="16"/>
        <w:widowControl/>
        <w:numPr>
          <w:ilvl w:val="0"/>
          <w:numId w:val="6"/>
        </w:numPr>
        <w:tabs>
          <w:tab w:val="left" w:pos="426"/>
        </w:tabs>
        <w:adjustRightInd w:val="0"/>
        <w:snapToGrid w:val="0"/>
        <w:spacing w:line="360" w:lineRule="auto"/>
        <w:ind w:right="40" w:firstLineChars="0"/>
        <w:rPr>
          <w:rFonts w:hint="eastAsia" w:asciiTheme="minorEastAsia" w:hAnsiTheme="minorEastAsia"/>
        </w:rPr>
      </w:pPr>
      <w:r>
        <w:rPr>
          <w:rFonts w:hint="eastAsia" w:asciiTheme="minorEastAsia" w:hAnsiTheme="minorEastAsia"/>
        </w:rPr>
        <w:t>系统应采用先进成熟的技术，以保证投资的有效性和延续性。</w:t>
      </w:r>
    </w:p>
    <w:p w14:paraId="61EC8C99">
      <w:pPr>
        <w:widowControl/>
        <w:numPr>
          <w:ilvl w:val="0"/>
          <w:numId w:val="5"/>
        </w:numPr>
        <w:tabs>
          <w:tab w:val="left" w:pos="426"/>
        </w:tabs>
        <w:adjustRightInd w:val="0"/>
        <w:snapToGrid w:val="0"/>
        <w:spacing w:line="360" w:lineRule="auto"/>
        <w:ind w:right="40"/>
        <w:rPr>
          <w:rFonts w:hint="eastAsia" w:asciiTheme="minorEastAsia" w:hAnsiTheme="minorEastAsia"/>
        </w:rPr>
      </w:pPr>
      <w:r>
        <w:rPr>
          <w:rFonts w:hint="eastAsia" w:asciiTheme="minorEastAsia" w:hAnsiTheme="minorEastAsia"/>
        </w:rPr>
        <w:t>系统的稳定性</w:t>
      </w:r>
    </w:p>
    <w:p w14:paraId="4ADABE52">
      <w:pPr>
        <w:pStyle w:val="16"/>
        <w:widowControl/>
        <w:numPr>
          <w:ilvl w:val="0"/>
          <w:numId w:val="6"/>
        </w:numPr>
        <w:tabs>
          <w:tab w:val="left" w:pos="426"/>
        </w:tabs>
        <w:adjustRightInd w:val="0"/>
        <w:snapToGrid w:val="0"/>
        <w:spacing w:line="360" w:lineRule="auto"/>
        <w:ind w:right="40" w:firstLineChars="0"/>
        <w:rPr>
          <w:rFonts w:hint="eastAsia" w:asciiTheme="minorEastAsia" w:hAnsiTheme="minorEastAsia"/>
        </w:rPr>
      </w:pPr>
      <w:r>
        <w:rPr>
          <w:rFonts w:hint="eastAsia" w:asciiTheme="minorEastAsia" w:hAnsiTheme="minorEastAsia"/>
        </w:rPr>
        <w:t>保证平台能够正常运作；</w:t>
      </w:r>
    </w:p>
    <w:p w14:paraId="44C4297A">
      <w:pPr>
        <w:pStyle w:val="16"/>
        <w:widowControl/>
        <w:numPr>
          <w:ilvl w:val="0"/>
          <w:numId w:val="6"/>
        </w:numPr>
        <w:tabs>
          <w:tab w:val="left" w:pos="426"/>
        </w:tabs>
        <w:adjustRightInd w:val="0"/>
        <w:snapToGrid w:val="0"/>
        <w:spacing w:line="360" w:lineRule="auto"/>
        <w:ind w:right="40" w:firstLineChars="0"/>
        <w:rPr>
          <w:rFonts w:hint="eastAsia" w:asciiTheme="minorEastAsia" w:hAnsiTheme="minorEastAsia"/>
        </w:rPr>
      </w:pPr>
      <w:r>
        <w:rPr>
          <w:rFonts w:hint="eastAsia" w:asciiTheme="minorEastAsia" w:hAnsiTheme="minorEastAsia"/>
        </w:rPr>
        <w:t>平台应能够7*24小时连续稳定工作；</w:t>
      </w:r>
    </w:p>
    <w:p w14:paraId="3478176B">
      <w:pPr>
        <w:pStyle w:val="16"/>
        <w:widowControl/>
        <w:numPr>
          <w:ilvl w:val="0"/>
          <w:numId w:val="6"/>
        </w:numPr>
        <w:tabs>
          <w:tab w:val="left" w:pos="426"/>
        </w:tabs>
        <w:adjustRightInd w:val="0"/>
        <w:snapToGrid w:val="0"/>
        <w:spacing w:line="360" w:lineRule="auto"/>
        <w:ind w:right="40" w:firstLineChars="0"/>
        <w:rPr>
          <w:rFonts w:hint="eastAsia" w:asciiTheme="minorEastAsia" w:hAnsiTheme="minorEastAsia"/>
        </w:rPr>
      </w:pPr>
      <w:r>
        <w:rPr>
          <w:rFonts w:hint="eastAsia" w:asciiTheme="minorEastAsia" w:hAnsiTheme="minorEastAsia"/>
        </w:rPr>
        <w:t>软件版本升级或改造应在不影响业务的情况下进行，升级前应在测试环境中进行测试，测试通过之后才能上线运行。</w:t>
      </w:r>
    </w:p>
    <w:p w14:paraId="7E274580">
      <w:pPr>
        <w:widowControl/>
        <w:numPr>
          <w:ilvl w:val="0"/>
          <w:numId w:val="5"/>
        </w:numPr>
        <w:tabs>
          <w:tab w:val="left" w:pos="426"/>
        </w:tabs>
        <w:adjustRightInd w:val="0"/>
        <w:snapToGrid w:val="0"/>
        <w:spacing w:line="360" w:lineRule="auto"/>
        <w:ind w:right="40"/>
        <w:rPr>
          <w:rFonts w:hint="eastAsia" w:asciiTheme="minorEastAsia" w:hAnsiTheme="minorEastAsia"/>
        </w:rPr>
      </w:pPr>
      <w:r>
        <w:rPr>
          <w:rFonts w:hint="eastAsia" w:asciiTheme="minorEastAsia" w:hAnsiTheme="minorEastAsia"/>
        </w:rPr>
        <w:t>系统的可维护性</w:t>
      </w:r>
    </w:p>
    <w:p w14:paraId="43A23357">
      <w:pPr>
        <w:pStyle w:val="16"/>
        <w:widowControl/>
        <w:numPr>
          <w:ilvl w:val="0"/>
          <w:numId w:val="6"/>
        </w:numPr>
        <w:tabs>
          <w:tab w:val="left" w:pos="426"/>
        </w:tabs>
        <w:adjustRightInd w:val="0"/>
        <w:snapToGrid w:val="0"/>
        <w:spacing w:line="360" w:lineRule="auto"/>
        <w:ind w:right="40" w:firstLineChars="0"/>
        <w:rPr>
          <w:rFonts w:hint="eastAsia" w:asciiTheme="minorEastAsia" w:hAnsiTheme="minorEastAsia"/>
        </w:rPr>
      </w:pPr>
      <w:r>
        <w:rPr>
          <w:rFonts w:hint="eastAsia" w:asciiTheme="minorEastAsia" w:hAnsiTheme="minorEastAsia"/>
        </w:rPr>
        <w:t>系统应能使用户根据权限对数据进行查询及下载操作，同时方便系统管理员集中方对用户进行配置和管理。</w:t>
      </w:r>
    </w:p>
    <w:p w14:paraId="4098638D">
      <w:pPr>
        <w:widowControl/>
        <w:numPr>
          <w:ilvl w:val="0"/>
          <w:numId w:val="5"/>
        </w:numPr>
        <w:tabs>
          <w:tab w:val="left" w:pos="426"/>
        </w:tabs>
        <w:adjustRightInd w:val="0"/>
        <w:snapToGrid w:val="0"/>
        <w:spacing w:line="360" w:lineRule="auto"/>
        <w:ind w:right="40"/>
        <w:rPr>
          <w:rFonts w:hint="eastAsia" w:asciiTheme="minorEastAsia" w:hAnsiTheme="minorEastAsia"/>
        </w:rPr>
      </w:pPr>
      <w:r>
        <w:rPr>
          <w:rFonts w:hint="eastAsia" w:asciiTheme="minorEastAsia" w:hAnsiTheme="minorEastAsia"/>
        </w:rPr>
        <w:t>服务响应时间及压力性能要求</w:t>
      </w:r>
    </w:p>
    <w:p w14:paraId="312FF4FC">
      <w:pPr>
        <w:pStyle w:val="16"/>
        <w:widowControl/>
        <w:numPr>
          <w:ilvl w:val="0"/>
          <w:numId w:val="6"/>
        </w:numPr>
        <w:tabs>
          <w:tab w:val="left" w:pos="426"/>
        </w:tabs>
        <w:adjustRightInd w:val="0"/>
        <w:snapToGrid w:val="0"/>
        <w:spacing w:line="360" w:lineRule="auto"/>
        <w:ind w:right="40" w:firstLineChars="0"/>
        <w:rPr>
          <w:rFonts w:hint="eastAsia" w:asciiTheme="minorEastAsia" w:hAnsiTheme="minorEastAsia"/>
        </w:rPr>
      </w:pPr>
      <w:r>
        <w:rPr>
          <w:rFonts w:hint="eastAsia" w:asciiTheme="minorEastAsia" w:hAnsiTheme="minorEastAsia"/>
        </w:rPr>
        <w:t>系统应能承受大量基础数据加载，具备较快的反应速度。系统服务的响应时间小于等于3秒，系统应支持同时在线用户量约85人左右，支持并发用户量10人左右。</w:t>
      </w:r>
    </w:p>
    <w:p w14:paraId="17D63C72">
      <w:pPr>
        <w:widowControl/>
        <w:numPr>
          <w:ilvl w:val="0"/>
          <w:numId w:val="5"/>
        </w:numPr>
        <w:tabs>
          <w:tab w:val="left" w:pos="426"/>
        </w:tabs>
        <w:adjustRightInd w:val="0"/>
        <w:snapToGrid w:val="0"/>
        <w:spacing w:line="360" w:lineRule="auto"/>
        <w:ind w:right="40"/>
        <w:rPr>
          <w:rFonts w:hint="eastAsia" w:asciiTheme="minorEastAsia" w:hAnsiTheme="minorEastAsia"/>
        </w:rPr>
      </w:pPr>
      <w:r>
        <w:rPr>
          <w:rFonts w:hint="eastAsia" w:asciiTheme="minorEastAsia" w:hAnsiTheme="minorEastAsia"/>
        </w:rPr>
        <w:t>系统的兼容性</w:t>
      </w:r>
    </w:p>
    <w:p w14:paraId="10D98D2D">
      <w:pPr>
        <w:pStyle w:val="16"/>
        <w:widowControl/>
        <w:numPr>
          <w:ilvl w:val="0"/>
          <w:numId w:val="6"/>
        </w:numPr>
        <w:tabs>
          <w:tab w:val="left" w:pos="426"/>
        </w:tabs>
        <w:adjustRightInd w:val="0"/>
        <w:snapToGrid w:val="0"/>
        <w:spacing w:line="360" w:lineRule="auto"/>
        <w:ind w:right="40" w:firstLineChars="0"/>
        <w:rPr>
          <w:rFonts w:hint="eastAsia" w:asciiTheme="minorEastAsia" w:hAnsiTheme="minorEastAsia"/>
        </w:rPr>
      </w:pPr>
      <w:r>
        <w:rPr>
          <w:rFonts w:hint="eastAsia" w:asciiTheme="minorEastAsia" w:hAnsiTheme="minorEastAsia"/>
        </w:rPr>
        <w:t>系统需要有较高的兼容性，可以运行在目前主流的国产浏览器上。</w:t>
      </w:r>
    </w:p>
    <w:p w14:paraId="0509ADD3">
      <w:pPr>
        <w:widowControl/>
        <w:numPr>
          <w:ilvl w:val="0"/>
          <w:numId w:val="5"/>
        </w:numPr>
        <w:tabs>
          <w:tab w:val="left" w:pos="426"/>
        </w:tabs>
        <w:adjustRightInd w:val="0"/>
        <w:snapToGrid w:val="0"/>
        <w:spacing w:line="360" w:lineRule="auto"/>
        <w:ind w:right="40"/>
        <w:rPr>
          <w:rFonts w:hint="eastAsia" w:asciiTheme="minorEastAsia" w:hAnsiTheme="minorEastAsia"/>
        </w:rPr>
      </w:pPr>
      <w:r>
        <w:rPr>
          <w:rFonts w:hint="eastAsia" w:asciiTheme="minorEastAsia" w:hAnsiTheme="minorEastAsia"/>
        </w:rPr>
        <w:t>数据安全性</w:t>
      </w:r>
    </w:p>
    <w:p w14:paraId="5F5E2D26">
      <w:pPr>
        <w:pStyle w:val="16"/>
        <w:widowControl/>
        <w:numPr>
          <w:ilvl w:val="0"/>
          <w:numId w:val="6"/>
        </w:numPr>
        <w:tabs>
          <w:tab w:val="left" w:pos="426"/>
        </w:tabs>
        <w:adjustRightInd w:val="0"/>
        <w:snapToGrid w:val="0"/>
        <w:spacing w:line="360" w:lineRule="auto"/>
        <w:ind w:right="40" w:firstLineChars="0"/>
        <w:rPr>
          <w:rFonts w:hint="eastAsia" w:asciiTheme="minorEastAsia" w:hAnsiTheme="minorEastAsia"/>
        </w:rPr>
      </w:pPr>
      <w:r>
        <w:rPr>
          <w:rFonts w:hint="eastAsia" w:asciiTheme="minorEastAsia" w:hAnsiTheme="minorEastAsia"/>
        </w:rPr>
        <w:t>对系统中的部分敏感数据进行加密存储，确保数据的安全性。</w:t>
      </w:r>
    </w:p>
    <w:p w14:paraId="3AF6FF2B">
      <w:pPr>
        <w:pStyle w:val="6"/>
        <w:rPr>
          <w:rFonts w:hint="eastAsia"/>
        </w:rPr>
      </w:pPr>
      <w:r>
        <w:rPr>
          <w:rFonts w:hint="eastAsia"/>
        </w:rPr>
        <w:t>安全要求</w:t>
      </w:r>
    </w:p>
    <w:p w14:paraId="30A7F1D5">
      <w:pPr>
        <w:spacing w:line="360" w:lineRule="auto"/>
        <w:ind w:firstLine="420" w:firstLineChars="200"/>
        <w:rPr>
          <w:rFonts w:hint="eastAsia" w:ascii="宋体" w:hAnsi="宋体" w:eastAsia="宋体" w:cstheme="minorEastAsia"/>
          <w:szCs w:val="21"/>
        </w:rPr>
      </w:pPr>
      <w:r>
        <w:rPr>
          <w:rFonts w:hint="eastAsia" w:ascii="宋体" w:hAnsi="宋体" w:eastAsia="宋体" w:cstheme="minorEastAsia"/>
          <w:szCs w:val="21"/>
        </w:rPr>
        <w:t>本项目应用系统部署在市政务云，各项安全措施应结合市政务云现有措施进行，并开展必要的补充完善。系统整体安全保护能力建设要满足系统安全等级二级内容。</w:t>
      </w:r>
    </w:p>
    <w:p w14:paraId="35F550B8">
      <w:pPr>
        <w:pStyle w:val="24"/>
        <w:spacing w:line="360" w:lineRule="auto"/>
        <w:ind w:left="0" w:firstLine="42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除此，本项目要在严格遵守市水务局、市供水管理事务中心的网络安全管理办法、项目驻场人员管理办法、安全保密规定等相关要求下开展工作。对违反有关规定，造成网络设施损坏、网络感染计算机病毒、系统瘫痪、内部信息资源泄密等安全事故后果的，要按国家有关规定追究相应责任。</w:t>
      </w:r>
    </w:p>
    <w:p w14:paraId="1F26829B">
      <w:pPr>
        <w:pStyle w:val="6"/>
        <w:rPr>
          <w:rFonts w:hint="eastAsia"/>
        </w:rPr>
      </w:pPr>
      <w:r>
        <w:rPr>
          <w:rFonts w:hint="eastAsia"/>
        </w:rPr>
        <w:t>其它设计要求</w:t>
      </w:r>
    </w:p>
    <w:p w14:paraId="236D2D08">
      <w:pPr>
        <w:spacing w:line="360" w:lineRule="auto"/>
        <w:ind w:firstLine="420" w:firstLineChars="200"/>
        <w:rPr>
          <w:rFonts w:hint="eastAsia" w:ascii="宋体" w:hAnsi="宋体" w:eastAsia="宋体" w:cstheme="minorEastAsia"/>
          <w:szCs w:val="21"/>
        </w:rPr>
      </w:pPr>
      <w:r>
        <w:rPr>
          <w:rFonts w:hint="eastAsia" w:ascii="宋体" w:hAnsi="宋体" w:eastAsia="宋体" w:cstheme="minorEastAsia"/>
          <w:szCs w:val="21"/>
        </w:rPr>
        <w:t>供应商需满足以下设计要求：</w:t>
      </w:r>
    </w:p>
    <w:p w14:paraId="2E6552A4">
      <w:pPr>
        <w:widowControl/>
        <w:numPr>
          <w:ilvl w:val="0"/>
          <w:numId w:val="7"/>
        </w:numPr>
        <w:tabs>
          <w:tab w:val="left" w:pos="426"/>
        </w:tabs>
        <w:adjustRightInd w:val="0"/>
        <w:snapToGrid w:val="0"/>
        <w:spacing w:line="360" w:lineRule="auto"/>
        <w:ind w:right="40" w:firstLine="420"/>
        <w:rPr>
          <w:rFonts w:hint="eastAsia" w:ascii="宋体" w:hAnsi="宋体" w:eastAsia="宋体" w:cstheme="minorEastAsia"/>
          <w:szCs w:val="21"/>
        </w:rPr>
      </w:pPr>
      <w:r>
        <w:rPr>
          <w:rFonts w:hint="eastAsia" w:ascii="宋体" w:hAnsi="宋体" w:eastAsia="宋体" w:cstheme="minorEastAsia"/>
          <w:szCs w:val="21"/>
        </w:rPr>
        <w:t>方案符合实际需要，有较强的实效性和实用性；</w:t>
      </w:r>
    </w:p>
    <w:p w14:paraId="0020230A">
      <w:pPr>
        <w:widowControl/>
        <w:numPr>
          <w:ilvl w:val="0"/>
          <w:numId w:val="7"/>
        </w:numPr>
        <w:tabs>
          <w:tab w:val="left" w:pos="426"/>
        </w:tabs>
        <w:adjustRightInd w:val="0"/>
        <w:snapToGrid w:val="0"/>
        <w:spacing w:line="360" w:lineRule="auto"/>
        <w:ind w:right="40" w:firstLine="420"/>
        <w:rPr>
          <w:rFonts w:hint="eastAsia" w:ascii="宋体" w:hAnsi="宋体" w:eastAsia="宋体" w:cstheme="minorEastAsia"/>
          <w:szCs w:val="21"/>
        </w:rPr>
      </w:pPr>
      <w:r>
        <w:rPr>
          <w:rFonts w:hint="eastAsia" w:ascii="宋体" w:hAnsi="宋体" w:eastAsia="宋体" w:cstheme="minorEastAsia"/>
          <w:szCs w:val="21"/>
        </w:rPr>
        <w:t>方案设计先进合理，在保障成熟的前提下有一定的前瞻性和创新性；</w:t>
      </w:r>
    </w:p>
    <w:p w14:paraId="6BECF8B8">
      <w:pPr>
        <w:widowControl/>
        <w:numPr>
          <w:ilvl w:val="0"/>
          <w:numId w:val="7"/>
        </w:numPr>
        <w:tabs>
          <w:tab w:val="left" w:pos="426"/>
        </w:tabs>
        <w:adjustRightInd w:val="0"/>
        <w:snapToGrid w:val="0"/>
        <w:spacing w:line="360" w:lineRule="auto"/>
        <w:ind w:right="40" w:firstLine="420"/>
        <w:rPr>
          <w:rFonts w:hint="eastAsia" w:ascii="宋体" w:hAnsi="宋体" w:eastAsia="宋体" w:cstheme="minorEastAsia"/>
          <w:szCs w:val="21"/>
        </w:rPr>
      </w:pPr>
      <w:r>
        <w:rPr>
          <w:rFonts w:hint="eastAsia" w:ascii="宋体" w:hAnsi="宋体" w:eastAsia="宋体" w:cstheme="minorEastAsia"/>
          <w:szCs w:val="21"/>
        </w:rPr>
        <w:t>在可靠性、安全性方面能提供较为完备的解决方案；</w:t>
      </w:r>
    </w:p>
    <w:p w14:paraId="7D0E8CA0">
      <w:pPr>
        <w:widowControl/>
        <w:numPr>
          <w:ilvl w:val="0"/>
          <w:numId w:val="7"/>
        </w:numPr>
        <w:tabs>
          <w:tab w:val="left" w:pos="426"/>
        </w:tabs>
        <w:adjustRightInd w:val="0"/>
        <w:snapToGrid w:val="0"/>
        <w:spacing w:line="360" w:lineRule="auto"/>
        <w:ind w:right="40" w:firstLine="420"/>
        <w:rPr>
          <w:rFonts w:hint="eastAsia" w:ascii="宋体" w:hAnsi="宋体" w:eastAsia="宋体" w:cstheme="minorEastAsia"/>
          <w:szCs w:val="21"/>
        </w:rPr>
      </w:pPr>
      <w:r>
        <w:rPr>
          <w:rFonts w:hint="eastAsia" w:ascii="宋体" w:hAnsi="宋体" w:eastAsia="宋体" w:cstheme="minorEastAsia"/>
          <w:szCs w:val="21"/>
        </w:rPr>
        <w:t>方案具有良好的扩展性，能满足不断发展的管理和服务的需求；</w:t>
      </w:r>
    </w:p>
    <w:p w14:paraId="3235C000">
      <w:pPr>
        <w:widowControl/>
        <w:numPr>
          <w:ilvl w:val="0"/>
          <w:numId w:val="7"/>
        </w:numPr>
        <w:tabs>
          <w:tab w:val="left" w:pos="426"/>
        </w:tabs>
        <w:adjustRightInd w:val="0"/>
        <w:snapToGrid w:val="0"/>
        <w:spacing w:line="360" w:lineRule="auto"/>
        <w:ind w:right="40" w:firstLine="420"/>
        <w:rPr>
          <w:rFonts w:hint="eastAsia" w:ascii="宋体" w:hAnsi="宋体" w:eastAsia="宋体" w:cstheme="minorEastAsia"/>
          <w:szCs w:val="21"/>
        </w:rPr>
      </w:pPr>
      <w:r>
        <w:rPr>
          <w:rFonts w:hint="eastAsia" w:ascii="宋体" w:hAnsi="宋体" w:eastAsia="宋体" w:cstheme="minorEastAsia"/>
          <w:szCs w:val="21"/>
        </w:rPr>
        <w:t>应用系统需通过相关的软件功能测试、安全测评、密码测评。</w:t>
      </w:r>
    </w:p>
    <w:p w14:paraId="53138CCD">
      <w:pPr>
        <w:pStyle w:val="5"/>
        <w:ind w:left="432" w:hanging="432"/>
      </w:pPr>
      <w:r>
        <w:rPr>
          <w:rFonts w:hint="eastAsia"/>
        </w:rPr>
        <w:t>系统功能要求</w:t>
      </w:r>
    </w:p>
    <w:p w14:paraId="7D208615">
      <w:pPr>
        <w:pStyle w:val="7"/>
        <w:numPr>
          <w:ilvl w:val="0"/>
          <w:numId w:val="0"/>
        </w:numPr>
        <w:spacing w:line="360" w:lineRule="auto"/>
        <w:ind w:left="320" w:hanging="320"/>
        <w:rPr>
          <w:rFonts w:hint="eastAsia" w:asciiTheme="minorEastAsia" w:hAnsiTheme="minorEastAsia"/>
          <w:sz w:val="24"/>
          <w:szCs w:val="24"/>
        </w:rPr>
      </w:pPr>
      <w:bookmarkStart w:id="0" w:name="_Toc169686080"/>
      <w:r>
        <w:rPr>
          <w:rFonts w:hint="eastAsia" w:asciiTheme="minorEastAsia" w:hAnsiTheme="minorEastAsia"/>
          <w:sz w:val="24"/>
          <w:szCs w:val="24"/>
        </w:rPr>
        <w:t>（一）上海市取用水收费和业务管理系统</w:t>
      </w:r>
      <w:bookmarkEnd w:id="0"/>
    </w:p>
    <w:p w14:paraId="4AA17E79">
      <w:pPr>
        <w:pStyle w:val="6"/>
        <w:ind w:left="576" w:hanging="576"/>
      </w:pPr>
      <w:r>
        <w:t>基础</w:t>
      </w:r>
      <w:r>
        <w:rPr>
          <w:rFonts w:hint="eastAsia"/>
        </w:rPr>
        <w:t>信息</w:t>
      </w:r>
      <w:r>
        <w:t>管理</w:t>
      </w:r>
    </w:p>
    <w:p w14:paraId="5FE37B99">
      <w:pPr>
        <w:pStyle w:val="21"/>
        <w:tabs>
          <w:tab w:val="left" w:pos="426"/>
        </w:tabs>
        <w:adjustRightInd w:val="0"/>
        <w:snapToGrid w:val="0"/>
        <w:spacing w:line="360" w:lineRule="auto"/>
        <w:ind w:right="40" w:firstLine="0"/>
        <w:jc w:val="both"/>
        <w:rPr>
          <w:rFonts w:hint="eastAsia" w:asciiTheme="minorEastAsia" w:hAnsiTheme="minorEastAsia" w:eastAsiaTheme="minorEastAsia"/>
          <w:sz w:val="21"/>
          <w:szCs w:val="21"/>
        </w:rPr>
      </w:pPr>
      <w:r>
        <w:rPr>
          <w:rFonts w:asciiTheme="minorEastAsia" w:hAnsiTheme="minorEastAsia" w:eastAsiaTheme="minorEastAsia"/>
          <w:sz w:val="21"/>
          <w:szCs w:val="21"/>
        </w:rPr>
        <w:tab/>
      </w:r>
      <w:r>
        <w:rPr>
          <w:rFonts w:hint="eastAsia" w:asciiTheme="minorEastAsia" w:hAnsiTheme="minorEastAsia" w:eastAsiaTheme="minorEastAsia"/>
          <w:sz w:val="21"/>
          <w:szCs w:val="21"/>
        </w:rPr>
        <w:t>对原有基础信息管理模块进行适配改造，实现</w:t>
      </w:r>
      <w:r>
        <w:rPr>
          <w:rFonts w:hint="eastAsia"/>
          <w:sz w:val="21"/>
          <w:szCs w:val="21"/>
        </w:rPr>
        <w:t>基础资料管理、取用水水价管理。</w:t>
      </w:r>
    </w:p>
    <w:p w14:paraId="59DA975B">
      <w:pPr>
        <w:pStyle w:val="6"/>
        <w:ind w:left="576" w:hanging="576"/>
      </w:pPr>
      <w:r>
        <w:t>取用水户管理</w:t>
      </w:r>
    </w:p>
    <w:p w14:paraId="35098722">
      <w:pPr>
        <w:pStyle w:val="21"/>
        <w:tabs>
          <w:tab w:val="left" w:pos="426"/>
        </w:tabs>
        <w:adjustRightInd w:val="0"/>
        <w:snapToGrid w:val="0"/>
        <w:spacing w:line="360" w:lineRule="auto"/>
        <w:ind w:right="40" w:firstLine="0"/>
        <w:jc w:val="both"/>
        <w:rPr>
          <w:rFonts w:hint="eastAsia" w:asciiTheme="minorEastAsia" w:hAnsiTheme="minorEastAsia" w:eastAsiaTheme="minorEastAsia"/>
          <w:sz w:val="21"/>
          <w:szCs w:val="21"/>
        </w:rPr>
      </w:pPr>
      <w:r>
        <w:rPr>
          <w:rFonts w:asciiTheme="minorEastAsia" w:hAnsiTheme="minorEastAsia" w:eastAsiaTheme="minorEastAsia"/>
          <w:sz w:val="21"/>
          <w:szCs w:val="21"/>
        </w:rPr>
        <w:tab/>
      </w:r>
      <w:r>
        <w:rPr>
          <w:rFonts w:hint="eastAsia" w:asciiTheme="minorEastAsia" w:hAnsiTheme="minorEastAsia" w:eastAsiaTheme="minorEastAsia"/>
          <w:sz w:val="21"/>
          <w:szCs w:val="21"/>
        </w:rPr>
        <w:t>对原有取用水户管理模块进行适配改造，实现取用水户户籍管理、取用水工程设施信息管理。</w:t>
      </w:r>
    </w:p>
    <w:p w14:paraId="349C6E77">
      <w:pPr>
        <w:pStyle w:val="6"/>
        <w:ind w:left="576" w:hanging="576"/>
      </w:pPr>
      <w:r>
        <w:t>用水计划管理</w:t>
      </w:r>
    </w:p>
    <w:p w14:paraId="4991E211">
      <w:pPr>
        <w:pStyle w:val="21"/>
        <w:tabs>
          <w:tab w:val="left" w:pos="426"/>
        </w:tabs>
        <w:adjustRightInd w:val="0"/>
        <w:snapToGrid w:val="0"/>
        <w:spacing w:line="360" w:lineRule="auto"/>
        <w:ind w:right="40" w:firstLine="0"/>
        <w:jc w:val="both"/>
        <w:rPr>
          <w:rFonts w:hint="eastAsia" w:asciiTheme="minorEastAsia" w:hAnsiTheme="minorEastAsia" w:eastAsiaTheme="minorEastAsia"/>
          <w:sz w:val="21"/>
          <w:szCs w:val="21"/>
        </w:rPr>
      </w:pPr>
      <w:r>
        <w:rPr>
          <w:rFonts w:asciiTheme="minorEastAsia" w:hAnsiTheme="minorEastAsia" w:eastAsiaTheme="minorEastAsia"/>
          <w:sz w:val="21"/>
          <w:szCs w:val="21"/>
        </w:rPr>
        <w:tab/>
      </w:r>
      <w:r>
        <w:rPr>
          <w:rFonts w:hint="eastAsia" w:asciiTheme="minorEastAsia" w:hAnsiTheme="minorEastAsia" w:eastAsiaTheme="minorEastAsia"/>
          <w:sz w:val="21"/>
          <w:szCs w:val="21"/>
        </w:rPr>
        <w:t>对原有用水计划管理模块进行适配改造，实现</w:t>
      </w:r>
      <w:r>
        <w:rPr>
          <w:rFonts w:asciiTheme="minorEastAsia" w:hAnsiTheme="minorEastAsia" w:eastAsiaTheme="minorEastAsia"/>
          <w:sz w:val="21"/>
          <w:szCs w:val="21"/>
        </w:rPr>
        <w:t>用水定额管理、用水计划指标编制管理、用水计划指标网上申报、用水计划指标审批与核定管理、水平衡测试管理、电子监察等。</w:t>
      </w:r>
    </w:p>
    <w:p w14:paraId="14B1D4D1">
      <w:pPr>
        <w:pStyle w:val="6"/>
        <w:ind w:left="576" w:hanging="576"/>
      </w:pPr>
      <w:r>
        <w:t>取水计划管理</w:t>
      </w:r>
    </w:p>
    <w:p w14:paraId="7C9A8149">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对原有取水计划管理模块进行适配改造，实现</w:t>
      </w:r>
      <w:r>
        <w:rPr>
          <w:rFonts w:asciiTheme="minorEastAsia" w:hAnsiTheme="minorEastAsia" w:eastAsiaTheme="minorEastAsia"/>
          <w:sz w:val="21"/>
          <w:szCs w:val="21"/>
        </w:rPr>
        <w:t>地表水和地下水取水计划管理。</w:t>
      </w:r>
    </w:p>
    <w:p w14:paraId="293B46EE">
      <w:pPr>
        <w:pStyle w:val="6"/>
        <w:ind w:left="576" w:hanging="576"/>
      </w:pPr>
      <w:r>
        <w:t>抄表管理</w:t>
      </w:r>
    </w:p>
    <w:p w14:paraId="4E5EC8ED">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对原有抄表管理模块进行适配改造，实现</w:t>
      </w:r>
      <w:r>
        <w:rPr>
          <w:rFonts w:asciiTheme="minorEastAsia" w:hAnsiTheme="minorEastAsia" w:eastAsiaTheme="minorEastAsia"/>
          <w:sz w:val="21"/>
          <w:szCs w:val="21"/>
        </w:rPr>
        <w:t>自来水表务管理和取水(地表水、地下水)表务管理。</w:t>
      </w:r>
    </w:p>
    <w:p w14:paraId="2FEF91AC">
      <w:pPr>
        <w:pStyle w:val="6"/>
        <w:ind w:left="576" w:hanging="576"/>
      </w:pPr>
      <w:r>
        <w:t>账务管理</w:t>
      </w:r>
    </w:p>
    <w:p w14:paraId="254F0C3C">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对原有账务管理模块进行适配改造，实现</w:t>
      </w:r>
      <w:r>
        <w:rPr>
          <w:rFonts w:asciiTheme="minorEastAsia" w:hAnsiTheme="minorEastAsia" w:eastAsiaTheme="minorEastAsia"/>
          <w:sz w:val="21"/>
          <w:szCs w:val="21"/>
        </w:rPr>
        <w:t>开账管理、帐务处理、收费管理、账单单据管理、发票管理</w:t>
      </w:r>
      <w:r>
        <w:rPr>
          <w:rFonts w:hint="eastAsia" w:asciiTheme="minorEastAsia" w:hAnsiTheme="minorEastAsia" w:eastAsiaTheme="minorEastAsia"/>
          <w:sz w:val="21"/>
          <w:szCs w:val="21"/>
        </w:rPr>
        <w:t>；并根据业务需求调整新增</w:t>
      </w:r>
      <w:r>
        <w:rPr>
          <w:rFonts w:asciiTheme="minorEastAsia" w:hAnsiTheme="minorEastAsia" w:eastAsiaTheme="minorEastAsia"/>
          <w:sz w:val="21"/>
          <w:szCs w:val="21"/>
        </w:rPr>
        <w:t>新版水资源费开账、抄表不开账、处罚开账、模拟开账、回灌退费、自来水加价水费欠费催缴。</w:t>
      </w:r>
    </w:p>
    <w:p w14:paraId="72D8CBC8">
      <w:pPr>
        <w:pStyle w:val="6"/>
        <w:ind w:left="576" w:hanging="576"/>
      </w:pPr>
      <w:r>
        <w:t>应急预案管理</w:t>
      </w:r>
    </w:p>
    <w:p w14:paraId="64950EFE">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对原有应急预案管理模块进行适配改造，实现</w:t>
      </w:r>
      <w:r>
        <w:rPr>
          <w:rFonts w:asciiTheme="minorEastAsia" w:hAnsiTheme="minorEastAsia" w:eastAsiaTheme="minorEastAsia"/>
          <w:sz w:val="21"/>
          <w:szCs w:val="21"/>
        </w:rPr>
        <w:t>自来水用水应急预案管理和取水应急预案管理。</w:t>
      </w:r>
    </w:p>
    <w:p w14:paraId="72D04681">
      <w:pPr>
        <w:pStyle w:val="6"/>
        <w:ind w:left="576" w:hanging="576"/>
      </w:pPr>
      <w:r>
        <w:t>指标分析</w:t>
      </w:r>
    </w:p>
    <w:p w14:paraId="456D2521">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对原有指标分析模块进行适配改造，实现</w:t>
      </w:r>
      <w:r>
        <w:rPr>
          <w:rFonts w:asciiTheme="minorEastAsia" w:hAnsiTheme="minorEastAsia" w:eastAsiaTheme="minorEastAsia"/>
          <w:sz w:val="21"/>
          <w:szCs w:val="21"/>
        </w:rPr>
        <w:t>取用水总量控制，取用水日常管理，取用水收支情况等相关指标的数据实施监测和统计,并针对取用水户的取用水情况进行评级分析。</w:t>
      </w:r>
    </w:p>
    <w:p w14:paraId="07D4876E">
      <w:pPr>
        <w:pStyle w:val="6"/>
        <w:ind w:left="576" w:hanging="576"/>
      </w:pPr>
      <w:r>
        <w:t>报表管理</w:t>
      </w:r>
    </w:p>
    <w:p w14:paraId="07362A53">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对原有报表管理模块进行适配改造，涉及</w:t>
      </w:r>
      <w:r>
        <w:rPr>
          <w:rFonts w:asciiTheme="minorEastAsia" w:hAnsiTheme="minorEastAsia" w:eastAsiaTheme="minorEastAsia"/>
          <w:sz w:val="21"/>
          <w:szCs w:val="21"/>
        </w:rPr>
        <w:t>计划用水报表约为100张、地表水报表25张、地下水报表55张。</w:t>
      </w:r>
    </w:p>
    <w:p w14:paraId="1DA40E8C">
      <w:pPr>
        <w:pStyle w:val="6"/>
        <w:ind w:left="576" w:hanging="576"/>
      </w:pPr>
      <w:r>
        <w:t>统计查询</w:t>
      </w:r>
    </w:p>
    <w:p w14:paraId="440262A2">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对原有统计查询模块进行适配改造，实现计划用水综合查询、地表水综合查询、地下水综合查询</w:t>
      </w:r>
      <w:r>
        <w:rPr>
          <w:rFonts w:asciiTheme="minorEastAsia" w:hAnsiTheme="minorEastAsia" w:eastAsiaTheme="minorEastAsia"/>
          <w:sz w:val="21"/>
          <w:szCs w:val="21"/>
        </w:rPr>
        <w:t>。</w:t>
      </w:r>
    </w:p>
    <w:p w14:paraId="46568EE1">
      <w:pPr>
        <w:pStyle w:val="6"/>
        <w:ind w:left="576" w:hanging="576"/>
      </w:pPr>
      <w:r>
        <w:t>系统管理</w:t>
      </w:r>
    </w:p>
    <w:p w14:paraId="2A8EA856">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对原有系统管理模块进行适配改造，实现</w:t>
      </w:r>
      <w:r>
        <w:rPr>
          <w:rFonts w:asciiTheme="minorEastAsia" w:hAnsiTheme="minorEastAsia" w:eastAsiaTheme="minorEastAsia"/>
          <w:sz w:val="21"/>
          <w:szCs w:val="21"/>
        </w:rPr>
        <w:t>严格的用户权限控制，</w:t>
      </w:r>
      <w:r>
        <w:rPr>
          <w:rFonts w:hint="eastAsia" w:asciiTheme="minorEastAsia" w:hAnsiTheme="minorEastAsia" w:eastAsiaTheme="minorEastAsia"/>
          <w:sz w:val="21"/>
          <w:szCs w:val="21"/>
        </w:rPr>
        <w:t>包含</w:t>
      </w:r>
      <w:r>
        <w:rPr>
          <w:rFonts w:asciiTheme="minorEastAsia" w:hAnsiTheme="minorEastAsia" w:eastAsiaTheme="minorEastAsia"/>
          <w:sz w:val="21"/>
          <w:szCs w:val="21"/>
        </w:rPr>
        <w:t>组织机构管理、用户管理、角色管理、权限管理。</w:t>
      </w:r>
    </w:p>
    <w:p w14:paraId="3DDCA9A8">
      <w:pPr>
        <w:pStyle w:val="7"/>
        <w:numPr>
          <w:ilvl w:val="0"/>
          <w:numId w:val="0"/>
        </w:numPr>
        <w:spacing w:line="360" w:lineRule="auto"/>
        <w:ind w:left="320" w:hanging="320"/>
        <w:rPr>
          <w:rFonts w:hint="eastAsia" w:asciiTheme="minorEastAsia" w:hAnsiTheme="minorEastAsia"/>
          <w:b w:val="0"/>
          <w:bCs/>
          <w:sz w:val="21"/>
          <w:szCs w:val="21"/>
        </w:rPr>
      </w:pPr>
      <w:r>
        <w:rPr>
          <w:rFonts w:hint="eastAsia" w:asciiTheme="minorEastAsia" w:hAnsiTheme="minorEastAsia"/>
          <w:sz w:val="24"/>
          <w:szCs w:val="24"/>
        </w:rPr>
        <w:t>（二）上海市居民二次供水设施监管信息系统</w:t>
      </w:r>
    </w:p>
    <w:p w14:paraId="51D660A9">
      <w:pPr>
        <w:pStyle w:val="6"/>
        <w:ind w:left="576" w:hanging="576"/>
      </w:pPr>
      <w:r>
        <w:rPr>
          <w:rFonts w:hint="eastAsia"/>
        </w:rPr>
        <w:t>实时监测管理</w:t>
      </w:r>
    </w:p>
    <w:p w14:paraId="556577A2">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对原有实时监测管理模块进行适配改造，实现对二次供水水质数据的实时监测，涉及数据异常通知、历史数据查询、数据导出。</w:t>
      </w:r>
    </w:p>
    <w:p w14:paraId="0D76622E">
      <w:pPr>
        <w:pStyle w:val="6"/>
        <w:ind w:left="576" w:hanging="576"/>
      </w:pPr>
      <w:r>
        <w:rPr>
          <w:rFonts w:hint="eastAsia"/>
        </w:rPr>
        <w:t>数据接口</w:t>
      </w:r>
    </w:p>
    <w:p w14:paraId="30AB6761">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对原有数据接口模块进行适配改造，实现水务局、供水企业及相关管理部门的数据共享和交互。</w:t>
      </w:r>
    </w:p>
    <w:p w14:paraId="73770C11">
      <w:pPr>
        <w:pStyle w:val="6"/>
        <w:ind w:left="576" w:hanging="576"/>
      </w:pPr>
      <w:r>
        <w:rPr>
          <w:rFonts w:hint="eastAsia"/>
        </w:rPr>
        <w:t>地理信息查询</w:t>
      </w:r>
    </w:p>
    <w:p w14:paraId="3AA9D2CC">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对原有地理信息查询模块进行适配改造，以地图可视化方式展现二次供水水质数据，实现指定小区定位、小区二次供水水质信息查询。</w:t>
      </w:r>
    </w:p>
    <w:p w14:paraId="43E6A963">
      <w:pPr>
        <w:pStyle w:val="6"/>
        <w:ind w:left="576" w:hanging="576"/>
      </w:pPr>
      <w:r>
        <w:rPr>
          <w:rFonts w:hint="eastAsia"/>
        </w:rPr>
        <w:t>信息公开</w:t>
      </w:r>
    </w:p>
    <w:p w14:paraId="2008BECB">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对原有信息公开模块进行适配改造，显示各小区实时水质信息（总氯、浊度）数据，以及展示相关新闻、通知、政策法规内容。</w:t>
      </w:r>
    </w:p>
    <w:p w14:paraId="57A5F842">
      <w:pPr>
        <w:pStyle w:val="6"/>
        <w:ind w:left="576" w:hanging="576"/>
      </w:pPr>
      <w:r>
        <w:rPr>
          <w:rFonts w:hint="eastAsia"/>
        </w:rPr>
        <w:t>设施改造进度管理</w:t>
      </w:r>
    </w:p>
    <w:p w14:paraId="0A8C2DB1">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对原有设施改造进度管理模块进行适配改造，实现按照年度、区域查询相关计划，对计划进行管理修改，浏览各个小区工程进展的数据记录，并提供进度预警等。</w:t>
      </w:r>
    </w:p>
    <w:p w14:paraId="66C35EA5">
      <w:pPr>
        <w:pStyle w:val="6"/>
        <w:ind w:left="576" w:hanging="576"/>
      </w:pPr>
      <w:r>
        <w:rPr>
          <w:rFonts w:hint="eastAsia"/>
        </w:rPr>
        <w:t>设施运维管理</w:t>
      </w:r>
    </w:p>
    <w:p w14:paraId="3EC19EC4">
      <w:pPr>
        <w:pStyle w:val="21"/>
        <w:tabs>
          <w:tab w:val="left" w:pos="426"/>
        </w:tabs>
        <w:adjustRightInd w:val="0"/>
        <w:snapToGrid w:val="0"/>
        <w:spacing w:line="360" w:lineRule="auto"/>
        <w:ind w:right="4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对原有设施运维管理模块进行适配改造，实现二次供水设备基础信息管理、设备档案管理、备品备件管理、维护计划管理。</w:t>
      </w:r>
    </w:p>
    <w:p w14:paraId="02270F37">
      <w:pPr>
        <w:pStyle w:val="5"/>
        <w:rPr>
          <w:rFonts w:hint="eastAsia"/>
        </w:rPr>
      </w:pPr>
      <w:bookmarkStart w:id="1" w:name="_Toc17396"/>
      <w:r>
        <w:rPr>
          <w:rFonts w:hint="eastAsia"/>
        </w:rPr>
        <w:t>密码应用建设要求</w:t>
      </w:r>
    </w:p>
    <w:p w14:paraId="2F7F6E59">
      <w:pPr>
        <w:spacing w:line="360" w:lineRule="auto"/>
        <w:ind w:firstLine="420" w:firstLineChars="200"/>
        <w:rPr>
          <w:rFonts w:hint="eastAsia" w:ascii="宋体" w:hAnsi="宋体" w:eastAsia="宋体" w:cs="Arial"/>
          <w:bCs/>
          <w:szCs w:val="21"/>
        </w:rPr>
      </w:pPr>
      <w:r>
        <w:rPr>
          <w:rFonts w:hint="eastAsia" w:ascii="宋体" w:hAnsi="宋体" w:eastAsia="宋体" w:cstheme="minorEastAsia"/>
          <w:szCs w:val="21"/>
        </w:rPr>
        <w:t>本系统的密码应用安全需要达到</w:t>
      </w:r>
      <w:r>
        <w:rPr>
          <w:rFonts w:ascii="宋体" w:hAnsi="宋体" w:eastAsia="宋体" w:cstheme="minorEastAsia"/>
          <w:szCs w:val="21"/>
        </w:rPr>
        <w:t>《密码应用基本要求》中</w:t>
      </w:r>
      <w:r>
        <w:rPr>
          <w:rFonts w:hint="eastAsia" w:ascii="宋体" w:hAnsi="宋体" w:eastAsia="宋体" w:cstheme="minorEastAsia"/>
          <w:szCs w:val="21"/>
        </w:rPr>
        <w:t>二</w:t>
      </w:r>
      <w:r>
        <w:rPr>
          <w:rFonts w:ascii="宋体" w:hAnsi="宋体" w:eastAsia="宋体" w:cstheme="minorEastAsia"/>
          <w:szCs w:val="21"/>
        </w:rPr>
        <w:t>级指标要求</w:t>
      </w:r>
      <w:r>
        <w:rPr>
          <w:rFonts w:hint="eastAsia" w:ascii="宋体" w:hAnsi="宋体" w:eastAsia="宋体" w:cstheme="minorEastAsia"/>
          <w:szCs w:val="21"/>
        </w:rPr>
        <w:t>。密码应用功能模块开发包括：业务重要数据安全传输模块，服务器虚拟机设备日志/访问控制信息完整性模块，重要可执行程序签名验签模块，用户访问控制信息签名验签模块，应用系统重要数据解密模块，应用系统重要数据签名验签模块。</w:t>
      </w:r>
    </w:p>
    <w:p w14:paraId="46B91D1B">
      <w:pPr>
        <w:pStyle w:val="5"/>
        <w:rPr>
          <w:rFonts w:hint="eastAsia"/>
        </w:rPr>
      </w:pPr>
      <w:r>
        <w:rPr>
          <w:rFonts w:hint="eastAsia"/>
        </w:rPr>
        <w:t>数据交换共享</w:t>
      </w:r>
      <w:bookmarkEnd w:id="1"/>
      <w:r>
        <w:rPr>
          <w:rFonts w:hint="eastAsia"/>
        </w:rPr>
        <w:t>要求</w:t>
      </w:r>
    </w:p>
    <w:p w14:paraId="469E7E4F">
      <w:pPr>
        <w:widowControl/>
        <w:adjustRightInd w:val="0"/>
        <w:snapToGrid w:val="0"/>
        <w:spacing w:line="360" w:lineRule="auto"/>
        <w:ind w:firstLine="480"/>
        <w:rPr>
          <w:rFonts w:hint="eastAsia" w:ascii="宋体" w:hAnsi="宋体" w:eastAsia="宋体"/>
        </w:rPr>
      </w:pPr>
      <w:r>
        <w:rPr>
          <w:rFonts w:hint="eastAsia" w:ascii="宋体" w:hAnsi="宋体" w:eastAsia="宋体" w:cstheme="minorEastAsia"/>
          <w:szCs w:val="21"/>
        </w:rPr>
        <w:t>为实现政务数据打通与数据赋能，本项目涉及的上海市供水处业务管理信息系统经升级改造后</w:t>
      </w:r>
      <w:r>
        <w:rPr>
          <w:rFonts w:hint="eastAsia" w:asciiTheme="minorEastAsia" w:hAnsiTheme="minorEastAsia"/>
        </w:rPr>
        <w:t>将继续提供市水务局和市大数据中心的数据交换和共享功能</w:t>
      </w:r>
      <w:r>
        <w:rPr>
          <w:rFonts w:hint="eastAsia" w:ascii="宋体" w:hAnsi="宋体" w:eastAsia="宋体" w:cstheme="minorEastAsia"/>
          <w:szCs w:val="21"/>
        </w:rPr>
        <w:t>，以实现上海市供水管理部门的协同管理。</w:t>
      </w:r>
    </w:p>
    <w:p w14:paraId="29D68F39">
      <w:pPr>
        <w:pStyle w:val="5"/>
        <w:rPr>
          <w:rFonts w:hint="eastAsia"/>
        </w:rPr>
      </w:pPr>
      <w:r>
        <w:rPr>
          <w:rFonts w:hint="eastAsia"/>
        </w:rPr>
        <w:t>项目实施要求</w:t>
      </w:r>
    </w:p>
    <w:p w14:paraId="27414258">
      <w:pPr>
        <w:pStyle w:val="6"/>
        <w:rPr>
          <w:rFonts w:hint="eastAsia"/>
        </w:rPr>
      </w:pPr>
      <w:bookmarkStart w:id="2" w:name="_Toc332790033"/>
      <w:r>
        <w:rPr>
          <w:rFonts w:hint="eastAsia"/>
        </w:rPr>
        <w:t>项目进度</w:t>
      </w:r>
      <w:bookmarkEnd w:id="2"/>
      <w:r>
        <w:rPr>
          <w:rFonts w:hint="eastAsia"/>
        </w:rPr>
        <w:t>要求</w:t>
      </w:r>
    </w:p>
    <w:p w14:paraId="0D9AEC22">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2025年12月31日之前完成全部软件开发工作并通过验收（含不少于1个月试运行期）。</w:t>
      </w:r>
    </w:p>
    <w:p w14:paraId="0B6196BE">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根据工期要求，供应商在合同生效后的10天内，应编制进度时间表，并递交给采购人审核。</w:t>
      </w:r>
    </w:p>
    <w:p w14:paraId="39E0A7F4">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供应商应合理安排工期，严格按照采购人、监理方批准的工程进度要求完成。对因设计变更、不可抗力等原因造成的工期延误，供应商应该及时报告采购人、监理方，经采购人认可后，工期顺延。</w:t>
      </w:r>
    </w:p>
    <w:p w14:paraId="7A980691">
      <w:pPr>
        <w:pStyle w:val="6"/>
        <w:rPr>
          <w:rFonts w:hint="eastAsia"/>
        </w:rPr>
      </w:pPr>
      <w:r>
        <w:rPr>
          <w:rFonts w:hint="eastAsia"/>
        </w:rPr>
        <w:t>项目管理要求</w:t>
      </w:r>
    </w:p>
    <w:p w14:paraId="3540DB18">
      <w:pPr>
        <w:pStyle w:val="16"/>
        <w:widowControl/>
        <w:numPr>
          <w:ilvl w:val="0"/>
          <w:numId w:val="8"/>
        </w:numPr>
        <w:spacing w:line="360" w:lineRule="auto"/>
        <w:ind w:firstLineChars="0"/>
        <w:contextualSpacing/>
        <w:jc w:val="left"/>
        <w:rPr>
          <w:rFonts w:hint="eastAsia" w:ascii="宋体" w:hAnsi="宋体"/>
          <w:szCs w:val="18"/>
        </w:rPr>
      </w:pPr>
      <w:r>
        <w:rPr>
          <w:rFonts w:hint="eastAsia" w:ascii="宋体" w:hAnsi="宋体"/>
          <w:szCs w:val="18"/>
        </w:rPr>
        <w:t>项目管理目标</w:t>
      </w:r>
    </w:p>
    <w:p w14:paraId="1421E949">
      <w:pPr>
        <w:pStyle w:val="16"/>
        <w:widowControl/>
        <w:numPr>
          <w:ilvl w:val="0"/>
          <w:numId w:val="9"/>
        </w:numPr>
        <w:spacing w:line="360" w:lineRule="auto"/>
        <w:ind w:left="420" w:firstLineChars="0"/>
        <w:contextualSpacing/>
        <w:jc w:val="left"/>
        <w:rPr>
          <w:rFonts w:hint="eastAsia" w:ascii="宋体" w:hAnsi="宋体"/>
          <w:szCs w:val="18"/>
        </w:rPr>
      </w:pPr>
      <w:r>
        <w:rPr>
          <w:rFonts w:hint="eastAsia" w:ascii="宋体" w:hAnsi="宋体"/>
          <w:szCs w:val="18"/>
        </w:rPr>
        <w:t>质量目标：系统运行稳定、达到设计要求，并圆满通过有关部门组织的验收；</w:t>
      </w:r>
    </w:p>
    <w:p w14:paraId="73FF4685">
      <w:pPr>
        <w:pStyle w:val="16"/>
        <w:widowControl/>
        <w:numPr>
          <w:ilvl w:val="0"/>
          <w:numId w:val="9"/>
        </w:numPr>
        <w:spacing w:line="360" w:lineRule="auto"/>
        <w:ind w:left="420" w:firstLineChars="0"/>
        <w:contextualSpacing/>
        <w:jc w:val="left"/>
        <w:rPr>
          <w:rFonts w:hint="eastAsia" w:ascii="宋体" w:hAnsi="宋体"/>
          <w:szCs w:val="18"/>
        </w:rPr>
      </w:pPr>
      <w:r>
        <w:rPr>
          <w:rFonts w:hint="eastAsia" w:ascii="宋体" w:hAnsi="宋体"/>
          <w:szCs w:val="18"/>
        </w:rPr>
        <w:t>进度目标：确保应用系统开发测试部署在预定的时间内完成。</w:t>
      </w:r>
    </w:p>
    <w:p w14:paraId="23415494">
      <w:pPr>
        <w:pStyle w:val="16"/>
        <w:widowControl/>
        <w:numPr>
          <w:ilvl w:val="0"/>
          <w:numId w:val="8"/>
        </w:numPr>
        <w:spacing w:line="360" w:lineRule="auto"/>
        <w:ind w:firstLineChars="0"/>
        <w:contextualSpacing/>
        <w:jc w:val="left"/>
        <w:rPr>
          <w:rFonts w:hint="eastAsia" w:ascii="宋体" w:hAnsi="宋体"/>
          <w:szCs w:val="18"/>
        </w:rPr>
      </w:pPr>
      <w:r>
        <w:rPr>
          <w:rFonts w:hint="eastAsia" w:ascii="宋体" w:hAnsi="宋体"/>
          <w:szCs w:val="18"/>
        </w:rPr>
        <w:t>项目管理工作内容</w:t>
      </w:r>
    </w:p>
    <w:p w14:paraId="1C5679C6">
      <w:pPr>
        <w:spacing w:line="360" w:lineRule="auto"/>
        <w:ind w:firstLine="420" w:firstLineChars="200"/>
        <w:rPr>
          <w:rFonts w:hint="eastAsia" w:ascii="宋体" w:hAnsi="宋体"/>
          <w:szCs w:val="18"/>
        </w:rPr>
      </w:pPr>
      <w:r>
        <w:rPr>
          <w:rFonts w:hint="eastAsia" w:ascii="宋体" w:hAnsi="宋体"/>
          <w:szCs w:val="18"/>
        </w:rPr>
        <w:t>在本项目建设过程中，供应商应在项目管理领域需要完成的工作主要包括：</w:t>
      </w:r>
    </w:p>
    <w:p w14:paraId="3C8A69C3">
      <w:pPr>
        <w:pStyle w:val="16"/>
        <w:widowControl/>
        <w:numPr>
          <w:ilvl w:val="0"/>
          <w:numId w:val="9"/>
        </w:numPr>
        <w:spacing w:line="360" w:lineRule="auto"/>
        <w:ind w:left="420" w:firstLineChars="0"/>
        <w:contextualSpacing/>
        <w:jc w:val="left"/>
        <w:rPr>
          <w:rFonts w:hint="eastAsia" w:ascii="宋体" w:hAnsi="宋体"/>
          <w:szCs w:val="18"/>
        </w:rPr>
      </w:pPr>
      <w:r>
        <w:rPr>
          <w:rFonts w:hint="eastAsia" w:ascii="宋体" w:hAnsi="宋体"/>
          <w:szCs w:val="18"/>
        </w:rPr>
        <w:t>对整体项目进度和各分项目进度进行控制，保证项目按时提交；</w:t>
      </w:r>
    </w:p>
    <w:p w14:paraId="25082699">
      <w:pPr>
        <w:pStyle w:val="16"/>
        <w:widowControl/>
        <w:numPr>
          <w:ilvl w:val="0"/>
          <w:numId w:val="9"/>
        </w:numPr>
        <w:spacing w:line="360" w:lineRule="auto"/>
        <w:ind w:left="420" w:firstLineChars="0"/>
        <w:contextualSpacing/>
        <w:jc w:val="left"/>
        <w:rPr>
          <w:rFonts w:hint="eastAsia" w:ascii="宋体" w:hAnsi="宋体"/>
          <w:szCs w:val="18"/>
        </w:rPr>
      </w:pPr>
      <w:r>
        <w:rPr>
          <w:rFonts w:hint="eastAsia" w:ascii="宋体" w:hAnsi="宋体"/>
          <w:szCs w:val="18"/>
        </w:rPr>
        <w:t>组织协调项目各环节工作，保证项目顺利推进；</w:t>
      </w:r>
    </w:p>
    <w:p w14:paraId="44BD7D5E">
      <w:pPr>
        <w:pStyle w:val="16"/>
        <w:widowControl/>
        <w:numPr>
          <w:ilvl w:val="0"/>
          <w:numId w:val="9"/>
        </w:numPr>
        <w:spacing w:line="360" w:lineRule="auto"/>
        <w:ind w:left="420" w:firstLineChars="0"/>
        <w:contextualSpacing/>
        <w:jc w:val="left"/>
        <w:rPr>
          <w:rFonts w:hint="eastAsia" w:ascii="宋体" w:hAnsi="宋体"/>
          <w:szCs w:val="18"/>
        </w:rPr>
      </w:pPr>
      <w:r>
        <w:rPr>
          <w:rFonts w:hint="eastAsia" w:ascii="宋体" w:hAnsi="宋体"/>
          <w:szCs w:val="18"/>
        </w:rPr>
        <w:t>制定整体项目目标、分阶段目标和分项目目标，并制定各类目标相应的考核计划，规避各类项目风险保证项目质量；</w:t>
      </w:r>
    </w:p>
    <w:p w14:paraId="347F6B6C">
      <w:pPr>
        <w:pStyle w:val="16"/>
        <w:widowControl/>
        <w:numPr>
          <w:ilvl w:val="0"/>
          <w:numId w:val="9"/>
        </w:numPr>
        <w:spacing w:line="360" w:lineRule="auto"/>
        <w:ind w:left="420" w:firstLineChars="0"/>
        <w:contextualSpacing/>
        <w:jc w:val="left"/>
        <w:rPr>
          <w:rFonts w:hint="eastAsia" w:ascii="宋体" w:hAnsi="宋体"/>
          <w:szCs w:val="18"/>
        </w:rPr>
      </w:pPr>
      <w:r>
        <w:rPr>
          <w:rFonts w:hint="eastAsia" w:ascii="宋体" w:hAnsi="宋体"/>
          <w:szCs w:val="18"/>
        </w:rPr>
        <w:t>管理项目团队的组织和人员，为项目提供组织保障。</w:t>
      </w:r>
    </w:p>
    <w:p w14:paraId="1748D3C5">
      <w:pPr>
        <w:pStyle w:val="6"/>
        <w:rPr>
          <w:rFonts w:hint="eastAsia"/>
        </w:rPr>
      </w:pPr>
      <w:bookmarkStart w:id="3" w:name="_Toc332790030"/>
      <w:bookmarkStart w:id="4" w:name="_Toc332790029"/>
      <w:r>
        <w:rPr>
          <w:rFonts w:hint="eastAsia"/>
        </w:rPr>
        <w:t>质量管理</w:t>
      </w:r>
      <w:bookmarkEnd w:id="3"/>
      <w:r>
        <w:rPr>
          <w:rFonts w:hint="eastAsia"/>
        </w:rPr>
        <w:t>要求</w:t>
      </w:r>
    </w:p>
    <w:p w14:paraId="5FF0F59F">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供应商应对质量标准的制定、现场作业质量管理、安全管理等建立完整有效的质量保证体系，制定质量保证计划。</w:t>
      </w:r>
    </w:p>
    <w:p w14:paraId="3A0BB26C">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验收标准按国家相应工程质量验收规范执行。</w:t>
      </w:r>
    </w:p>
    <w:p w14:paraId="6DC8B505">
      <w:pPr>
        <w:pStyle w:val="6"/>
        <w:rPr>
          <w:rFonts w:hint="eastAsia"/>
        </w:rPr>
      </w:pPr>
      <w:r>
        <w:rPr>
          <w:rFonts w:hint="eastAsia"/>
        </w:rPr>
        <w:t>项目人员</w:t>
      </w:r>
      <w:bookmarkEnd w:id="4"/>
      <w:r>
        <w:rPr>
          <w:rFonts w:hint="eastAsia"/>
        </w:rPr>
        <w:t>要求</w:t>
      </w:r>
    </w:p>
    <w:p w14:paraId="47D56E36">
      <w:pPr>
        <w:pStyle w:val="17"/>
        <w:spacing w:line="360" w:lineRule="auto"/>
        <w:ind w:left="420" w:firstLine="0" w:firstLineChars="0"/>
        <w:rPr>
          <w:rFonts w:hint="eastAsia" w:ascii="宋体" w:hAnsi="宋体" w:eastAsia="宋体" w:cstheme="minorEastAsia"/>
          <w:sz w:val="21"/>
          <w:szCs w:val="21"/>
        </w:rPr>
      </w:pPr>
      <w:r>
        <w:rPr>
          <w:rFonts w:hint="eastAsia" w:ascii="宋体" w:hAnsi="宋体" w:eastAsia="宋体" w:cstheme="minorEastAsia"/>
          <w:sz w:val="21"/>
          <w:szCs w:val="21"/>
        </w:rPr>
        <w:t>供应商应充分证明项目组组成符合本项目建设要求。</w:t>
      </w:r>
    </w:p>
    <w:p w14:paraId="61F1EEF3">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供应商须服从业主单位和监理方的管理，做好与其他有关单位的协调配合，保证本项目质量、进度。在需求分析、架构设计等关键阶段实现</w:t>
      </w:r>
      <w:r>
        <w:rPr>
          <w:rFonts w:hint="eastAsia" w:ascii="宋体" w:hAnsi="宋体" w:eastAsia="宋体" w:cstheme="minorEastAsia"/>
          <w:sz w:val="21"/>
          <w:szCs w:val="21"/>
          <w:lang w:eastAsia="zh-CN"/>
        </w:rPr>
        <w:t>驻场</w:t>
      </w:r>
      <w:r>
        <w:rPr>
          <w:rFonts w:hint="eastAsia" w:ascii="宋体" w:hAnsi="宋体" w:eastAsia="宋体" w:cstheme="minorEastAsia"/>
          <w:sz w:val="21"/>
          <w:szCs w:val="21"/>
        </w:rPr>
        <w:t>开发服务，系统驻场开发人员（含项目经理）大于等于</w:t>
      </w:r>
      <w:r>
        <w:rPr>
          <w:rFonts w:ascii="宋体" w:hAnsi="宋体" w:eastAsia="宋体" w:cstheme="minorEastAsia"/>
          <w:sz w:val="21"/>
          <w:szCs w:val="21"/>
        </w:rPr>
        <w:t>6</w:t>
      </w:r>
      <w:r>
        <w:rPr>
          <w:rFonts w:hint="eastAsia" w:ascii="宋体" w:hAnsi="宋体" w:eastAsia="宋体" w:cstheme="minorEastAsia"/>
          <w:sz w:val="21"/>
          <w:szCs w:val="21"/>
        </w:rPr>
        <w:t>人，具有“计算机技术与软件专业技术资格”中级职称及以上人员不少于4人，项目经理提供全过程</w:t>
      </w:r>
      <w:r>
        <w:rPr>
          <w:rFonts w:hint="eastAsia" w:ascii="宋体" w:hAnsi="宋体" w:eastAsia="宋体" w:cstheme="minorEastAsia"/>
          <w:sz w:val="21"/>
          <w:szCs w:val="21"/>
          <w:lang w:eastAsia="zh-CN"/>
        </w:rPr>
        <w:t>驻场</w:t>
      </w:r>
      <w:bookmarkStart w:id="5" w:name="_GoBack"/>
      <w:bookmarkEnd w:id="5"/>
      <w:r>
        <w:rPr>
          <w:rFonts w:hint="eastAsia" w:ascii="宋体" w:hAnsi="宋体" w:eastAsia="宋体" w:cstheme="minorEastAsia"/>
          <w:sz w:val="21"/>
          <w:szCs w:val="21"/>
        </w:rPr>
        <w:t>开发服务</w:t>
      </w:r>
      <w:r>
        <w:rPr>
          <w:rStyle w:val="15"/>
          <w:rFonts w:hint="eastAsia" w:ascii="宋体" w:hAnsi="宋体" w:eastAsia="宋体" w:cstheme="minorEastAsia"/>
        </w:rPr>
        <w:t>。</w:t>
      </w:r>
    </w:p>
    <w:p w14:paraId="47F87D29">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为了有效地合作，顺利实施本项目，供应商需说明项目管理机构和人员组成。成交后，必须在合同生效后10天内将其项目管理机构和人员组成提供给业主单位，同时供应商必须委派其项目经理明确其授权范围。供应商不得随意变更项目经理。</w:t>
      </w:r>
    </w:p>
    <w:p w14:paraId="22E6791E">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项目完工验收前，供应商不得更换项目经理和主要技术负责人，如有特殊情况，应及时通知采购人和监理方，并附上拟更换人员的简历、学历证明、资格证明，经采购人审核同意后方可更换。</w:t>
      </w:r>
    </w:p>
    <w:p w14:paraId="7EC14AF6">
      <w:pPr>
        <w:pStyle w:val="17"/>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供应商不得代表采购人或以采购人名义做出任何承诺，否则一切后果由供应商承担。</w:t>
      </w:r>
    </w:p>
    <w:p w14:paraId="5865C21E">
      <w:pPr>
        <w:pStyle w:val="17"/>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以上个人资料需提供相关社保资质材料和资质证书复印件，原件备查。</w:t>
      </w:r>
    </w:p>
    <w:p w14:paraId="52D4D163">
      <w:pPr>
        <w:pStyle w:val="17"/>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在本项目实施期间，采购人和监理方有权指定其人员对供应商执行合同的情况进行检查和审计。</w:t>
      </w:r>
    </w:p>
    <w:p w14:paraId="4971B0A9">
      <w:pPr>
        <w:pStyle w:val="6"/>
        <w:rPr>
          <w:rFonts w:hint="eastAsia"/>
        </w:rPr>
      </w:pPr>
      <w:r>
        <w:rPr>
          <w:rFonts w:hint="eastAsia"/>
        </w:rPr>
        <w:t>系统交付要求</w:t>
      </w:r>
    </w:p>
    <w:p w14:paraId="29931A3D">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供应商应提供完整的源代码和相应文档，包括但不限于《需求规格说明书》、《概要设计说明书》、《详细设计说明书》、《安装部署手册》、《试运行计划》、《试运行报告》、《培训报告》、《用户手册》。</w:t>
      </w:r>
    </w:p>
    <w:p w14:paraId="0B625DA5">
      <w:pPr>
        <w:pStyle w:val="6"/>
        <w:rPr>
          <w:rFonts w:hint="eastAsia"/>
        </w:rPr>
      </w:pPr>
      <w:r>
        <w:rPr>
          <w:rFonts w:hint="eastAsia"/>
        </w:rPr>
        <w:t>测试要求</w:t>
      </w:r>
    </w:p>
    <w:p w14:paraId="57AF415B">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本项目系统需通过软件功能测试，系统安全测评和密码测评，且符合政务云的要求。</w:t>
      </w:r>
    </w:p>
    <w:p w14:paraId="796B25A8">
      <w:pPr>
        <w:pStyle w:val="6"/>
        <w:rPr>
          <w:rFonts w:hint="eastAsia"/>
        </w:rPr>
      </w:pPr>
      <w:r>
        <w:rPr>
          <w:rFonts w:hint="eastAsia"/>
        </w:rPr>
        <w:t>培训要求</w:t>
      </w:r>
    </w:p>
    <w:p w14:paraId="1E90A9ED">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培训内容要以会用、能用为目标，制订详细的、切实可行的培训计划，针对领导和管理人员层面、浏览操作人员层面、技术管理和维护人员层面等分别进行培训。培训过程应提供各类的培训资料给客户，培训资料以电子文档和纸质文档两种通用格式为主，结合多媒体介绍和演示进行。</w:t>
      </w:r>
    </w:p>
    <w:p w14:paraId="2ED3A15F">
      <w:pPr>
        <w:pStyle w:val="17"/>
        <w:adjustRightInd w:val="0"/>
        <w:snapToGrid w:val="0"/>
        <w:spacing w:line="360" w:lineRule="auto"/>
        <w:rPr>
          <w:rFonts w:hint="eastAsia" w:ascii="宋体" w:hAnsi="宋体" w:eastAsia="宋体" w:cstheme="minorEastAsia"/>
          <w:sz w:val="21"/>
          <w:szCs w:val="21"/>
        </w:rPr>
      </w:pPr>
      <w:r>
        <w:rPr>
          <w:rFonts w:hint="eastAsia" w:ascii="宋体" w:hAnsi="宋体" w:eastAsia="宋体" w:cstheme="minorEastAsia"/>
          <w:sz w:val="21"/>
          <w:szCs w:val="21"/>
        </w:rPr>
        <w:t>供应商需合理安排课程，每个课程课时不少于</w:t>
      </w:r>
      <w:r>
        <w:rPr>
          <w:rFonts w:ascii="宋体" w:hAnsi="宋体" w:eastAsia="宋体" w:cstheme="minorEastAsia"/>
          <w:sz w:val="21"/>
          <w:szCs w:val="21"/>
        </w:rPr>
        <w:t>2</w:t>
      </w:r>
      <w:r>
        <w:rPr>
          <w:rFonts w:hint="eastAsia" w:ascii="宋体" w:hAnsi="宋体" w:eastAsia="宋体" w:cstheme="minorEastAsia"/>
          <w:sz w:val="21"/>
          <w:szCs w:val="21"/>
        </w:rPr>
        <w:t>个工作日。</w:t>
      </w:r>
    </w:p>
    <w:p w14:paraId="07E27CCD">
      <w:pPr>
        <w:pStyle w:val="5"/>
        <w:rPr>
          <w:rFonts w:hint="eastAsia"/>
        </w:rPr>
      </w:pPr>
      <w:r>
        <w:rPr>
          <w:rFonts w:hint="eastAsia"/>
        </w:rPr>
        <w:t>售后服务要求</w:t>
      </w:r>
    </w:p>
    <w:p w14:paraId="16DA7C4C">
      <w:pPr>
        <w:spacing w:line="360" w:lineRule="auto"/>
        <w:ind w:firstLine="420" w:firstLineChars="200"/>
        <w:rPr>
          <w:rFonts w:hint="eastAsia" w:ascii="宋体" w:hAnsi="宋体" w:eastAsia="宋体" w:cstheme="minorEastAsia"/>
          <w:szCs w:val="21"/>
        </w:rPr>
      </w:pPr>
      <w:r>
        <w:rPr>
          <w:rFonts w:hint="eastAsia" w:ascii="宋体" w:hAnsi="宋体" w:eastAsia="宋体" w:cstheme="minorEastAsia"/>
          <w:szCs w:val="21"/>
        </w:rPr>
        <w:t>供应商需编制详细的售后服务方案。</w:t>
      </w:r>
    </w:p>
    <w:p w14:paraId="56DF2F72">
      <w:pPr>
        <w:spacing w:line="360" w:lineRule="auto"/>
        <w:ind w:firstLine="420" w:firstLineChars="200"/>
        <w:rPr>
          <w:rFonts w:hint="eastAsia" w:ascii="宋体" w:hAnsi="宋体" w:eastAsia="宋体" w:cstheme="minorEastAsia"/>
          <w:szCs w:val="21"/>
        </w:rPr>
      </w:pPr>
      <w:r>
        <w:rPr>
          <w:rFonts w:hint="eastAsia" w:ascii="宋体" w:hAnsi="宋体" w:eastAsia="宋体" w:cstheme="minorEastAsia"/>
          <w:szCs w:val="21"/>
        </w:rPr>
        <w:t>验收以后本项目至少需提供1年现场软件免费质保售后服务（包括系统功能调整，模块更新等），质保期内驻场售后服务人员不少于2人。</w:t>
      </w:r>
    </w:p>
    <w:p w14:paraId="4B2C1F53">
      <w:pPr>
        <w:pStyle w:val="5"/>
        <w:rPr>
          <w:rFonts w:hint="eastAsia"/>
        </w:rPr>
      </w:pPr>
      <w:r>
        <w:rPr>
          <w:rFonts w:hint="eastAsia"/>
        </w:rPr>
        <w:t>供应商能力要求</w:t>
      </w:r>
    </w:p>
    <w:p w14:paraId="76BA971B">
      <w:pPr>
        <w:spacing w:line="360" w:lineRule="auto"/>
        <w:ind w:firstLine="420" w:firstLineChars="200"/>
        <w:rPr>
          <w:rFonts w:hint="eastAsia" w:ascii="宋体" w:hAnsi="宋体" w:eastAsia="宋体"/>
        </w:rPr>
      </w:pPr>
      <w:r>
        <w:rPr>
          <w:rFonts w:hint="eastAsia" w:ascii="宋体" w:hAnsi="宋体" w:eastAsia="宋体" w:cstheme="minorEastAsia"/>
          <w:szCs w:val="21"/>
        </w:rPr>
        <w:t>供应商具有ISO</w:t>
      </w:r>
      <w:r>
        <w:rPr>
          <w:rFonts w:ascii="宋体" w:hAnsi="宋体" w:eastAsia="宋体" w:cstheme="minorEastAsia"/>
          <w:szCs w:val="21"/>
        </w:rPr>
        <w:t>9001</w:t>
      </w:r>
      <w:r>
        <w:rPr>
          <w:rFonts w:hint="eastAsia" w:ascii="宋体" w:hAnsi="宋体" w:eastAsia="宋体" w:cstheme="minorEastAsia"/>
          <w:szCs w:val="21"/>
        </w:rPr>
        <w:t>质量管理体系认证、ISO20000信息技术服务管理体系认证，ISO27001信息安全管理体系认证优先考虑。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E610">
    <w:pPr>
      <w:pStyle w:val="10"/>
      <w:jc w:val="center"/>
    </w:pPr>
    <w:r>
      <w:rPr>
        <w:lang w:val="zh-CN"/>
      </w:rPr>
      <w:t xml:space="preserve"> </w:t>
    </w:r>
    <w:r>
      <w:rPr>
        <w:sz w:val="24"/>
        <w:szCs w:val="24"/>
      </w:rPr>
      <w:fldChar w:fldCharType="begin"/>
    </w:r>
    <w:r>
      <w:instrText xml:space="preserve">PAGE</w:instrText>
    </w:r>
    <w:r>
      <w:rPr>
        <w:sz w:val="24"/>
        <w:szCs w:val="24"/>
      </w:rPr>
      <w:fldChar w:fldCharType="separate"/>
    </w:r>
    <w:r>
      <w:t>7</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11</w:t>
    </w:r>
    <w:r>
      <w:rPr>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19101"/>
    <w:multiLevelType w:val="multilevel"/>
    <w:tmpl w:val="83619101"/>
    <w:lvl w:ilvl="0" w:tentative="0">
      <w:start w:val="1"/>
      <w:numFmt w:val="decimal"/>
      <w:pStyle w:val="7"/>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FFFFFFFB"/>
    <w:multiLevelType w:val="multilevel"/>
    <w:tmpl w:val="FFFFFFFB"/>
    <w:lvl w:ilvl="0" w:tentative="0">
      <w:start w:val="1"/>
      <w:numFmt w:val="decimal"/>
      <w:pStyle w:val="5"/>
      <w:lvlText w:val="%1"/>
      <w:legacy w:legacy="1" w:legacySpace="255" w:legacyIndent="0"/>
      <w:lvlJc w:val="left"/>
      <w:rPr>
        <w:rFonts w:hint="eastAsia" w:ascii="宋体" w:hAnsi="宋体" w:eastAsia="宋体"/>
        <w:b/>
        <w:bCs/>
        <w:i w:val="0"/>
        <w:sz w:val="24"/>
      </w:rPr>
    </w:lvl>
    <w:lvl w:ilvl="1" w:tentative="0">
      <w:start w:val="1"/>
      <w:numFmt w:val="decimal"/>
      <w:pStyle w:val="6"/>
      <w:lvlText w:val="%1.%2"/>
      <w:legacy w:legacy="1" w:legacySpace="255" w:legacyIndent="0"/>
      <w:lvlJc w:val="left"/>
      <w:rPr>
        <w:rFonts w:hint="eastAsia" w:ascii="宋体" w:hAnsi="宋体" w:eastAsia="宋体"/>
        <w:b/>
        <w:bCs w:val="0"/>
        <w:i w:val="0"/>
        <w:sz w:val="24"/>
      </w:rPr>
    </w:lvl>
    <w:lvl w:ilvl="2" w:tentative="0">
      <w:start w:val="1"/>
      <w:numFmt w:val="decimal"/>
      <w:lvlText w:val="%1.%2.%3"/>
      <w:legacy w:legacy="1" w:legacySpace="255" w:legacyIndent="0"/>
      <w:lvlJc w:val="left"/>
      <w:rPr>
        <w:rFonts w:hint="eastAsia" w:ascii="宋体" w:hAnsi="宋体" w:eastAsia="宋体"/>
        <w:b w:val="0"/>
        <w:i w:val="0"/>
        <w:sz w:val="21"/>
        <w:szCs w:val="21"/>
      </w:rPr>
    </w:lvl>
    <w:lvl w:ilvl="3" w:tentative="0">
      <w:start w:val="1"/>
      <w:numFmt w:val="decimal"/>
      <w:lvlText w:val="%1.%2.%3.%4"/>
      <w:legacy w:legacy="1" w:legacySpace="255" w:legacyIndent="0"/>
      <w:lvlJc w:val="left"/>
      <w:rPr>
        <w:rFonts w:hint="eastAsia" w:ascii="宋体" w:hAnsi="宋体" w:eastAsia="宋体"/>
        <w:b w:val="0"/>
        <w:i w:val="0"/>
        <w:sz w:val="21"/>
        <w:szCs w:val="21"/>
      </w:rPr>
    </w:lvl>
    <w:lvl w:ilvl="4" w:tentative="0">
      <w:start w:val="1"/>
      <w:numFmt w:val="decimal"/>
      <w:lvlText w:val="%1.%2.%3.%4.%5"/>
      <w:legacy w:legacy="1" w:legacySpace="255" w:legacyIndent="0"/>
      <w:lvlJc w:val="left"/>
      <w:rPr>
        <w:rFonts w:hint="eastAsia" w:ascii="黑体" w:eastAsia="黑体"/>
        <w:b w:val="0"/>
        <w:i w:val="0"/>
        <w:sz w:val="24"/>
      </w:rPr>
    </w:lvl>
    <w:lvl w:ilvl="5" w:tentative="0">
      <w:start w:val="1"/>
      <w:numFmt w:val="decimal"/>
      <w:lvlText w:val="%1.%2.%3.%4.%5.%6"/>
      <w:legacy w:legacy="1" w:legacySpace="255" w:legacyIndent="0"/>
      <w:lvlJc w:val="left"/>
      <w:rPr>
        <w:rFonts w:hint="eastAsia" w:ascii="黑体" w:eastAsia="黑体"/>
        <w:b w:val="0"/>
        <w:i w:val="0"/>
        <w:sz w:val="24"/>
      </w:rPr>
    </w:lvl>
    <w:lvl w:ilvl="6" w:tentative="0">
      <w:start w:val="1"/>
      <w:numFmt w:val="decimal"/>
      <w:lvlText w:val="    （%7）"/>
      <w:legacy w:legacy="1" w:legacySpace="113" w:legacyIndent="1196"/>
      <w:lvlJc w:val="left"/>
      <w:pPr>
        <w:ind w:left="1196" w:hanging="1196"/>
      </w:pPr>
      <w:rPr>
        <w:rFonts w:hint="eastAsia" w:ascii="黑体" w:eastAsia="黑体"/>
        <w:b w:val="0"/>
        <w:i w:val="0"/>
        <w:sz w:val="24"/>
      </w:rPr>
    </w:lvl>
    <w:lvl w:ilvl="7" w:tentative="0">
      <w:start w:val="1"/>
      <w:numFmt w:val="lowerLetter"/>
      <w:lvlText w:val="（%8）"/>
      <w:legacy w:legacy="1" w:legacySpace="113" w:legacyIndent="737"/>
      <w:lvlJc w:val="left"/>
      <w:pPr>
        <w:ind w:left="1933" w:hanging="737"/>
      </w:pPr>
      <w:rPr>
        <w:rFonts w:hint="eastAsia" w:ascii="黑体" w:eastAsia="黑体"/>
        <w:b w:val="0"/>
        <w:i w:val="0"/>
        <w:sz w:val="24"/>
      </w:rPr>
    </w:lvl>
    <w:lvl w:ilvl="8" w:tentative="0">
      <w:start w:val="1"/>
      <w:numFmt w:val="lowerRoman"/>
      <w:lvlText w:val="（%9）"/>
      <w:legacy w:legacy="1" w:legacySpace="113" w:legacyIndent="737"/>
      <w:lvlJc w:val="left"/>
      <w:pPr>
        <w:ind w:left="2670" w:hanging="737"/>
      </w:pPr>
      <w:rPr>
        <w:rFonts w:hint="eastAsia" w:ascii="黑体" w:eastAsia="黑体"/>
        <w:b w:val="0"/>
        <w:i w:val="0"/>
        <w:sz w:val="24"/>
      </w:rPr>
    </w:lvl>
  </w:abstractNum>
  <w:abstractNum w:abstractNumId="2">
    <w:nsid w:val="0B46339F"/>
    <w:multiLevelType w:val="multilevel"/>
    <w:tmpl w:val="0B46339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E6B46CA"/>
    <w:multiLevelType w:val="singleLevel"/>
    <w:tmpl w:val="0E6B46CA"/>
    <w:lvl w:ilvl="0" w:tentative="0">
      <w:start w:val="1"/>
      <w:numFmt w:val="decimal"/>
      <w:lvlText w:val="%1)"/>
      <w:lvlJc w:val="left"/>
      <w:rPr>
        <w:rFonts w:asciiTheme="minorEastAsia" w:hAnsiTheme="minorEastAsia" w:eastAsiaTheme="minorEastAsia"/>
        <w:b w:val="0"/>
        <w:bCs w:val="0"/>
      </w:rPr>
    </w:lvl>
  </w:abstractNum>
  <w:abstractNum w:abstractNumId="4">
    <w:nsid w:val="168D54DE"/>
    <w:multiLevelType w:val="multilevel"/>
    <w:tmpl w:val="168D54DE"/>
    <w:lvl w:ilvl="0" w:tentative="0">
      <w:start w:val="1"/>
      <w:numFmt w:val="decimal"/>
      <w:lvlText w:val="%1)"/>
      <w:lvlJc w:val="left"/>
      <w:pPr>
        <w:ind w:left="440" w:hanging="440"/>
      </w:pPr>
      <w:rPr>
        <w:rFonts w:hint="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38D1755E"/>
    <w:multiLevelType w:val="multilevel"/>
    <w:tmpl w:val="38D1755E"/>
    <w:lvl w:ilvl="0" w:tentative="0">
      <w:start w:val="1"/>
      <w:numFmt w:val="chineseCountingThousand"/>
      <w:lvlText w:val="(%1)"/>
      <w:lvlJc w:val="left"/>
      <w:pPr>
        <w:ind w:left="440" w:hanging="440"/>
      </w:pPr>
      <w:rPr>
        <w:rFonts w:hint="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5C4628F3"/>
    <w:multiLevelType w:val="multilevel"/>
    <w:tmpl w:val="5C4628F3"/>
    <w:lvl w:ilvl="0" w:tentative="0">
      <w:start w:val="1"/>
      <w:numFmt w:val="bullet"/>
      <w:lvlText w:val="·"/>
      <w:lvlJc w:val="left"/>
      <w:pPr>
        <w:ind w:left="1260" w:hanging="420"/>
      </w:pPr>
      <w:rPr>
        <w:rFonts w:hint="eastAsia" w:ascii="仿宋" w:hAnsi="仿宋" w:eastAsia="仿宋"/>
        <w:b w:val="0"/>
        <w:bCs w:val="0"/>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7">
    <w:nsid w:val="6ADF4E2B"/>
    <w:multiLevelType w:val="multilevel"/>
    <w:tmpl w:val="6ADF4E2B"/>
    <w:lvl w:ilvl="0" w:tentative="0">
      <w:start w:val="1"/>
      <w:numFmt w:val="bullet"/>
      <w:lvlText w:val="·"/>
      <w:lvlJc w:val="left"/>
      <w:pPr>
        <w:ind w:left="440" w:hanging="440"/>
      </w:pPr>
      <w:rPr>
        <w:rFonts w:hint="eastAsia" w:ascii="仿宋" w:hAnsi="仿宋" w:eastAsia="仿宋"/>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7AE86376"/>
    <w:multiLevelType w:val="singleLevel"/>
    <w:tmpl w:val="7AE86376"/>
    <w:lvl w:ilvl="0" w:tentative="0">
      <w:start w:val="1"/>
      <w:numFmt w:val="decimal"/>
      <w:lvlText w:val="%1)"/>
      <w:lvlJc w:val="left"/>
      <w:rPr>
        <w:rFonts w:asciiTheme="minorEastAsia" w:hAnsiTheme="minorEastAsia" w:eastAsiaTheme="minorEastAsia"/>
        <w:b w:val="0"/>
        <w:bCs w:val="0"/>
      </w:rPr>
    </w:lvl>
  </w:abstractNum>
  <w:num w:numId="1">
    <w:abstractNumId w:val="1"/>
  </w:num>
  <w:num w:numId="2">
    <w:abstractNumId w:val="0"/>
  </w:num>
  <w:num w:numId="3">
    <w:abstractNumId w:val="2"/>
  </w:num>
  <w:num w:numId="4">
    <w:abstractNumId w:val="5"/>
  </w:num>
  <w:num w:numId="5">
    <w:abstractNumId w:val="3"/>
  </w:num>
  <w:num w:numId="6">
    <w:abstractNumId w:val="7"/>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hMWFlOTA2NjZhYjI0YjcyYzlmYjIyMDcxN2M2NjMifQ=="/>
  </w:docVars>
  <w:rsids>
    <w:rsidRoot w:val="003E02E7"/>
    <w:rsid w:val="000447A7"/>
    <w:rsid w:val="000A2ED3"/>
    <w:rsid w:val="000B44E9"/>
    <w:rsid w:val="000D3B93"/>
    <w:rsid w:val="000F6CAE"/>
    <w:rsid w:val="00155739"/>
    <w:rsid w:val="00177254"/>
    <w:rsid w:val="001C7DD1"/>
    <w:rsid w:val="001D69C8"/>
    <w:rsid w:val="001E7425"/>
    <w:rsid w:val="0022755E"/>
    <w:rsid w:val="0028396A"/>
    <w:rsid w:val="0031783C"/>
    <w:rsid w:val="00335D68"/>
    <w:rsid w:val="00340413"/>
    <w:rsid w:val="00377CFD"/>
    <w:rsid w:val="003A1C55"/>
    <w:rsid w:val="003C23FF"/>
    <w:rsid w:val="003E02E7"/>
    <w:rsid w:val="003F109F"/>
    <w:rsid w:val="004143E8"/>
    <w:rsid w:val="00424FB0"/>
    <w:rsid w:val="00453B94"/>
    <w:rsid w:val="004800A9"/>
    <w:rsid w:val="004A5F53"/>
    <w:rsid w:val="004B0C9C"/>
    <w:rsid w:val="004B37F6"/>
    <w:rsid w:val="004E3494"/>
    <w:rsid w:val="00513E1A"/>
    <w:rsid w:val="005420CC"/>
    <w:rsid w:val="00550582"/>
    <w:rsid w:val="00562AF3"/>
    <w:rsid w:val="005B39FF"/>
    <w:rsid w:val="005C3B0B"/>
    <w:rsid w:val="00611307"/>
    <w:rsid w:val="00615D67"/>
    <w:rsid w:val="00633F93"/>
    <w:rsid w:val="00636F3D"/>
    <w:rsid w:val="006634B0"/>
    <w:rsid w:val="006D2277"/>
    <w:rsid w:val="006E38F8"/>
    <w:rsid w:val="007802DA"/>
    <w:rsid w:val="007B6ABC"/>
    <w:rsid w:val="007D31F7"/>
    <w:rsid w:val="0080464A"/>
    <w:rsid w:val="00827E6B"/>
    <w:rsid w:val="00852A07"/>
    <w:rsid w:val="00887618"/>
    <w:rsid w:val="008C26B5"/>
    <w:rsid w:val="008D04A7"/>
    <w:rsid w:val="00934E1B"/>
    <w:rsid w:val="0095742A"/>
    <w:rsid w:val="00976DAE"/>
    <w:rsid w:val="00994997"/>
    <w:rsid w:val="00995645"/>
    <w:rsid w:val="009C19C7"/>
    <w:rsid w:val="009D337B"/>
    <w:rsid w:val="00A00089"/>
    <w:rsid w:val="00A11374"/>
    <w:rsid w:val="00A20C33"/>
    <w:rsid w:val="00A24987"/>
    <w:rsid w:val="00A47D2D"/>
    <w:rsid w:val="00A606EC"/>
    <w:rsid w:val="00AA501C"/>
    <w:rsid w:val="00AB5696"/>
    <w:rsid w:val="00B41265"/>
    <w:rsid w:val="00B45FE2"/>
    <w:rsid w:val="00B56C39"/>
    <w:rsid w:val="00B62A3B"/>
    <w:rsid w:val="00C0102E"/>
    <w:rsid w:val="00C14B7D"/>
    <w:rsid w:val="00C17898"/>
    <w:rsid w:val="00C34D0E"/>
    <w:rsid w:val="00C52431"/>
    <w:rsid w:val="00C52BD5"/>
    <w:rsid w:val="00C913B0"/>
    <w:rsid w:val="00CB74D2"/>
    <w:rsid w:val="00DA19DD"/>
    <w:rsid w:val="00DE1D77"/>
    <w:rsid w:val="00E165A9"/>
    <w:rsid w:val="00E6278A"/>
    <w:rsid w:val="00E77CF1"/>
    <w:rsid w:val="00E97DE1"/>
    <w:rsid w:val="00EE2265"/>
    <w:rsid w:val="00F624FA"/>
    <w:rsid w:val="00F64891"/>
    <w:rsid w:val="00F801B9"/>
    <w:rsid w:val="00F9226F"/>
    <w:rsid w:val="00FC1094"/>
    <w:rsid w:val="0119677B"/>
    <w:rsid w:val="01AA793A"/>
    <w:rsid w:val="01D83ADE"/>
    <w:rsid w:val="01DB6127"/>
    <w:rsid w:val="03492467"/>
    <w:rsid w:val="053F310B"/>
    <w:rsid w:val="05C863D5"/>
    <w:rsid w:val="069523FE"/>
    <w:rsid w:val="072B4B05"/>
    <w:rsid w:val="074672D7"/>
    <w:rsid w:val="074E4125"/>
    <w:rsid w:val="082A3964"/>
    <w:rsid w:val="09173EE8"/>
    <w:rsid w:val="091E325D"/>
    <w:rsid w:val="09C166E2"/>
    <w:rsid w:val="0AB43997"/>
    <w:rsid w:val="0B430333"/>
    <w:rsid w:val="0CC954FA"/>
    <w:rsid w:val="0D674D12"/>
    <w:rsid w:val="0E2B72DD"/>
    <w:rsid w:val="0F0A004B"/>
    <w:rsid w:val="0F417F9D"/>
    <w:rsid w:val="0FD07E5D"/>
    <w:rsid w:val="0FDC7227"/>
    <w:rsid w:val="102B2A37"/>
    <w:rsid w:val="11CE65C7"/>
    <w:rsid w:val="121D23AB"/>
    <w:rsid w:val="13134ACB"/>
    <w:rsid w:val="134B4B36"/>
    <w:rsid w:val="13B66651"/>
    <w:rsid w:val="13CB7E60"/>
    <w:rsid w:val="146705D2"/>
    <w:rsid w:val="146975C2"/>
    <w:rsid w:val="14AC1173"/>
    <w:rsid w:val="15642BB2"/>
    <w:rsid w:val="15A744F0"/>
    <w:rsid w:val="15AA1C40"/>
    <w:rsid w:val="15C57AA0"/>
    <w:rsid w:val="16AD779F"/>
    <w:rsid w:val="17773141"/>
    <w:rsid w:val="17C871E9"/>
    <w:rsid w:val="17F3464E"/>
    <w:rsid w:val="18226406"/>
    <w:rsid w:val="19050431"/>
    <w:rsid w:val="19E21AC5"/>
    <w:rsid w:val="1A3760C8"/>
    <w:rsid w:val="1A72304B"/>
    <w:rsid w:val="1AB07CF9"/>
    <w:rsid w:val="1C1059AD"/>
    <w:rsid w:val="1C3564ED"/>
    <w:rsid w:val="1C842D60"/>
    <w:rsid w:val="1DC92C25"/>
    <w:rsid w:val="1DF31440"/>
    <w:rsid w:val="1E8D4104"/>
    <w:rsid w:val="1F994BCD"/>
    <w:rsid w:val="1FD5034D"/>
    <w:rsid w:val="206369A2"/>
    <w:rsid w:val="20FD17BE"/>
    <w:rsid w:val="22741D76"/>
    <w:rsid w:val="229B0FB9"/>
    <w:rsid w:val="22DC3EDF"/>
    <w:rsid w:val="233401EB"/>
    <w:rsid w:val="234E00AF"/>
    <w:rsid w:val="234F384C"/>
    <w:rsid w:val="237D2742"/>
    <w:rsid w:val="23A22E33"/>
    <w:rsid w:val="23CB3B95"/>
    <w:rsid w:val="24422619"/>
    <w:rsid w:val="24FA4B25"/>
    <w:rsid w:val="25545A31"/>
    <w:rsid w:val="258B4AF8"/>
    <w:rsid w:val="259479ED"/>
    <w:rsid w:val="25AC55F9"/>
    <w:rsid w:val="26F414A8"/>
    <w:rsid w:val="271E4C8F"/>
    <w:rsid w:val="275E04C4"/>
    <w:rsid w:val="27F3250A"/>
    <w:rsid w:val="29EC0D30"/>
    <w:rsid w:val="2A167B1D"/>
    <w:rsid w:val="2A5652A4"/>
    <w:rsid w:val="2A5720DF"/>
    <w:rsid w:val="2C032CDE"/>
    <w:rsid w:val="2C072B97"/>
    <w:rsid w:val="2C432BF9"/>
    <w:rsid w:val="2C856D29"/>
    <w:rsid w:val="2C966BE6"/>
    <w:rsid w:val="2D287625"/>
    <w:rsid w:val="2D3D46D1"/>
    <w:rsid w:val="2DE33D30"/>
    <w:rsid w:val="2EC91E70"/>
    <w:rsid w:val="2EEE3F39"/>
    <w:rsid w:val="2F215E83"/>
    <w:rsid w:val="2F585FC6"/>
    <w:rsid w:val="2FC74181"/>
    <w:rsid w:val="2FDD2160"/>
    <w:rsid w:val="30697E29"/>
    <w:rsid w:val="31B859B9"/>
    <w:rsid w:val="31BA0753"/>
    <w:rsid w:val="31E76566"/>
    <w:rsid w:val="33010C9A"/>
    <w:rsid w:val="332C7E88"/>
    <w:rsid w:val="33705A3F"/>
    <w:rsid w:val="337E35CD"/>
    <w:rsid w:val="33D71E67"/>
    <w:rsid w:val="345B087E"/>
    <w:rsid w:val="349C4DA0"/>
    <w:rsid w:val="352D05C5"/>
    <w:rsid w:val="356525F4"/>
    <w:rsid w:val="35867B7C"/>
    <w:rsid w:val="36AA1E8B"/>
    <w:rsid w:val="36ED2D9B"/>
    <w:rsid w:val="38137C9C"/>
    <w:rsid w:val="384C6E8D"/>
    <w:rsid w:val="38B844F1"/>
    <w:rsid w:val="396A57D5"/>
    <w:rsid w:val="39A54A28"/>
    <w:rsid w:val="3A6D5D0F"/>
    <w:rsid w:val="3AA71E83"/>
    <w:rsid w:val="3B6613AA"/>
    <w:rsid w:val="3C7C75E3"/>
    <w:rsid w:val="3C8B24CB"/>
    <w:rsid w:val="3CC75F2B"/>
    <w:rsid w:val="3CD61426"/>
    <w:rsid w:val="3E804C48"/>
    <w:rsid w:val="3EC60A53"/>
    <w:rsid w:val="3F381EE7"/>
    <w:rsid w:val="3FCA5F77"/>
    <w:rsid w:val="406E5D70"/>
    <w:rsid w:val="407222E7"/>
    <w:rsid w:val="4090365D"/>
    <w:rsid w:val="40D91117"/>
    <w:rsid w:val="40E417C6"/>
    <w:rsid w:val="40FB1372"/>
    <w:rsid w:val="41896B69"/>
    <w:rsid w:val="420419D8"/>
    <w:rsid w:val="42224789"/>
    <w:rsid w:val="44E311CE"/>
    <w:rsid w:val="454F5053"/>
    <w:rsid w:val="46454EEA"/>
    <w:rsid w:val="467F32D7"/>
    <w:rsid w:val="473E2843"/>
    <w:rsid w:val="47586A71"/>
    <w:rsid w:val="4897043F"/>
    <w:rsid w:val="48D83FFF"/>
    <w:rsid w:val="491F2B18"/>
    <w:rsid w:val="492C7382"/>
    <w:rsid w:val="498B43CB"/>
    <w:rsid w:val="49A53698"/>
    <w:rsid w:val="4AE72A13"/>
    <w:rsid w:val="4B3D73CF"/>
    <w:rsid w:val="4BE7762B"/>
    <w:rsid w:val="4BFE9CE4"/>
    <w:rsid w:val="4C660281"/>
    <w:rsid w:val="4DEE5DF2"/>
    <w:rsid w:val="4EFB036A"/>
    <w:rsid w:val="4F297B43"/>
    <w:rsid w:val="507A6580"/>
    <w:rsid w:val="5151351A"/>
    <w:rsid w:val="51BE714F"/>
    <w:rsid w:val="52207C37"/>
    <w:rsid w:val="526C1345"/>
    <w:rsid w:val="529911BB"/>
    <w:rsid w:val="53D87615"/>
    <w:rsid w:val="541E5CAA"/>
    <w:rsid w:val="54434879"/>
    <w:rsid w:val="544607AB"/>
    <w:rsid w:val="547C41CC"/>
    <w:rsid w:val="54A242DD"/>
    <w:rsid w:val="54A61D8B"/>
    <w:rsid w:val="54CC703C"/>
    <w:rsid w:val="560C0B22"/>
    <w:rsid w:val="570B1D9B"/>
    <w:rsid w:val="571A69A1"/>
    <w:rsid w:val="57D12A81"/>
    <w:rsid w:val="58FC2C02"/>
    <w:rsid w:val="59CA6539"/>
    <w:rsid w:val="5A032C9A"/>
    <w:rsid w:val="5A056A12"/>
    <w:rsid w:val="5A666D76"/>
    <w:rsid w:val="5AB13AE4"/>
    <w:rsid w:val="5ABB24CB"/>
    <w:rsid w:val="5CA77F47"/>
    <w:rsid w:val="5CA97C1C"/>
    <w:rsid w:val="5CD41127"/>
    <w:rsid w:val="5E563CE0"/>
    <w:rsid w:val="5EA66A5D"/>
    <w:rsid w:val="5EAE1F6A"/>
    <w:rsid w:val="5F9D2A3F"/>
    <w:rsid w:val="5FB1681E"/>
    <w:rsid w:val="5FBE5526"/>
    <w:rsid w:val="616E6168"/>
    <w:rsid w:val="628D6F30"/>
    <w:rsid w:val="62B569F7"/>
    <w:rsid w:val="630E6709"/>
    <w:rsid w:val="63322BCA"/>
    <w:rsid w:val="635F53E5"/>
    <w:rsid w:val="63FC06B4"/>
    <w:rsid w:val="647F7489"/>
    <w:rsid w:val="64DF0042"/>
    <w:rsid w:val="64FD33DE"/>
    <w:rsid w:val="652C7549"/>
    <w:rsid w:val="65B220AE"/>
    <w:rsid w:val="65C82D58"/>
    <w:rsid w:val="662F5CA4"/>
    <w:rsid w:val="66C8061B"/>
    <w:rsid w:val="66D44019"/>
    <w:rsid w:val="66E272CF"/>
    <w:rsid w:val="6707201B"/>
    <w:rsid w:val="67076DA2"/>
    <w:rsid w:val="67312331"/>
    <w:rsid w:val="676F7BC1"/>
    <w:rsid w:val="68081645"/>
    <w:rsid w:val="689A7630"/>
    <w:rsid w:val="68E7605B"/>
    <w:rsid w:val="68E87C63"/>
    <w:rsid w:val="68ED0954"/>
    <w:rsid w:val="69CC6D87"/>
    <w:rsid w:val="69DA3A17"/>
    <w:rsid w:val="6A310381"/>
    <w:rsid w:val="6A655AE6"/>
    <w:rsid w:val="6AA638F9"/>
    <w:rsid w:val="6B457CC4"/>
    <w:rsid w:val="6B640D12"/>
    <w:rsid w:val="6BAC303F"/>
    <w:rsid w:val="6C4E3EC7"/>
    <w:rsid w:val="6C824E02"/>
    <w:rsid w:val="6D1D0D2E"/>
    <w:rsid w:val="6D5C3AF3"/>
    <w:rsid w:val="6D9C6EBF"/>
    <w:rsid w:val="6DAE6AD3"/>
    <w:rsid w:val="6E205AC9"/>
    <w:rsid w:val="6E672362"/>
    <w:rsid w:val="6ECE680A"/>
    <w:rsid w:val="70054139"/>
    <w:rsid w:val="70EE0878"/>
    <w:rsid w:val="7193669F"/>
    <w:rsid w:val="722C7FF9"/>
    <w:rsid w:val="723914F7"/>
    <w:rsid w:val="72916C3D"/>
    <w:rsid w:val="73EC0025"/>
    <w:rsid w:val="73EF28AB"/>
    <w:rsid w:val="74E83114"/>
    <w:rsid w:val="769F2F79"/>
    <w:rsid w:val="78900FA3"/>
    <w:rsid w:val="78CE61E0"/>
    <w:rsid w:val="78DE0702"/>
    <w:rsid w:val="7B3A7FAF"/>
    <w:rsid w:val="7B793D46"/>
    <w:rsid w:val="7CE37F1A"/>
    <w:rsid w:val="7DB4498E"/>
    <w:rsid w:val="7DC56867"/>
    <w:rsid w:val="7E7157B3"/>
    <w:rsid w:val="7ED965EF"/>
    <w:rsid w:val="7FF87B5D"/>
    <w:rsid w:val="BB4D3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keepLines/>
      <w:numPr>
        <w:ilvl w:val="0"/>
        <w:numId w:val="1"/>
      </w:numPr>
      <w:tabs>
        <w:tab w:val="left" w:pos="0"/>
        <w:tab w:val="left" w:pos="420"/>
      </w:tabs>
      <w:adjustRightInd w:val="0"/>
      <w:snapToGrid w:val="0"/>
      <w:spacing w:line="360" w:lineRule="auto"/>
      <w:ind w:right="155" w:rightChars="74"/>
      <w:outlineLvl w:val="0"/>
    </w:pPr>
    <w:rPr>
      <w:rFonts w:ascii="宋体" w:hAnsi="宋体" w:eastAsia="宋体"/>
      <w:b/>
      <w:kern w:val="44"/>
      <w:sz w:val="24"/>
      <w:szCs w:val="24"/>
    </w:rPr>
  </w:style>
  <w:style w:type="paragraph" w:styleId="6">
    <w:name w:val="heading 2"/>
    <w:basedOn w:val="1"/>
    <w:next w:val="1"/>
    <w:autoRedefine/>
    <w:unhideWhenUsed/>
    <w:qFormat/>
    <w:uiPriority w:val="0"/>
    <w:pPr>
      <w:keepNext/>
      <w:keepLines/>
      <w:numPr>
        <w:ilvl w:val="1"/>
        <w:numId w:val="1"/>
      </w:numPr>
      <w:tabs>
        <w:tab w:val="left" w:pos="0"/>
        <w:tab w:val="left" w:pos="735"/>
      </w:tabs>
      <w:snapToGrid w:val="0"/>
      <w:spacing w:line="360" w:lineRule="auto"/>
      <w:ind w:right="155" w:rightChars="74"/>
      <w:outlineLvl w:val="1"/>
    </w:pPr>
    <w:rPr>
      <w:rFonts w:ascii="宋体" w:hAnsi="宋体" w:eastAsia="宋体"/>
      <w:b/>
      <w:bCs/>
      <w:sz w:val="24"/>
      <w:szCs w:val="24"/>
    </w:rPr>
  </w:style>
  <w:style w:type="paragraph" w:styleId="7">
    <w:name w:val="heading 3"/>
    <w:basedOn w:val="1"/>
    <w:next w:val="1"/>
    <w:autoRedefine/>
    <w:unhideWhenUsed/>
    <w:qFormat/>
    <w:uiPriority w:val="0"/>
    <w:pPr>
      <w:keepNext/>
      <w:keepLines/>
      <w:numPr>
        <w:ilvl w:val="0"/>
        <w:numId w:val="2"/>
      </w:numPr>
      <w:spacing w:line="413"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Times New Roman"/>
    </w:rPr>
  </w:style>
  <w:style w:type="paragraph" w:styleId="3">
    <w:name w:val="Body Text First Indent 2"/>
    <w:basedOn w:val="4"/>
    <w:semiHidden/>
    <w:unhideWhenUsed/>
    <w:qFormat/>
    <w:uiPriority w:val="99"/>
    <w:pPr>
      <w:ind w:firstLine="420"/>
    </w:pPr>
  </w:style>
  <w:style w:type="paragraph" w:styleId="4">
    <w:name w:val="Body Text Indent"/>
    <w:basedOn w:val="1"/>
    <w:semiHidden/>
    <w:unhideWhenUsed/>
    <w:qFormat/>
    <w:uiPriority w:val="99"/>
    <w:pPr>
      <w:spacing w:after="120"/>
      <w:ind w:left="420" w:leftChars="200"/>
    </w:pPr>
  </w:style>
  <w:style w:type="paragraph" w:styleId="8">
    <w:name w:val="annotation text"/>
    <w:basedOn w:val="1"/>
    <w:link w:val="19"/>
    <w:unhideWhenUsed/>
    <w:qFormat/>
    <w:uiPriority w:val="99"/>
    <w:pPr>
      <w:jc w:val="left"/>
    </w:p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8"/>
    <w:next w:val="8"/>
    <w:link w:val="26"/>
    <w:qFormat/>
    <w:uiPriority w:val="0"/>
    <w:rPr>
      <w:b/>
      <w:bCs/>
    </w:rPr>
  </w:style>
  <w:style w:type="character" w:styleId="15">
    <w:name w:val="annotation reference"/>
    <w:qFormat/>
    <w:uiPriority w:val="99"/>
    <w:rPr>
      <w:sz w:val="21"/>
      <w:szCs w:val="21"/>
    </w:rPr>
  </w:style>
  <w:style w:type="paragraph" w:styleId="16">
    <w:name w:val="List Paragraph"/>
    <w:basedOn w:val="1"/>
    <w:link w:val="23"/>
    <w:qFormat/>
    <w:uiPriority w:val="34"/>
    <w:pPr>
      <w:ind w:firstLine="420" w:firstLineChars="200"/>
    </w:pPr>
  </w:style>
  <w:style w:type="paragraph" w:customStyle="1" w:styleId="17">
    <w:name w:val="_Style 16"/>
    <w:basedOn w:val="1"/>
    <w:qFormat/>
    <w:uiPriority w:val="34"/>
    <w:pPr>
      <w:ind w:firstLine="420" w:firstLineChars="200"/>
    </w:pPr>
    <w:rPr>
      <w:kern w:val="0"/>
      <w:sz w:val="20"/>
      <w:szCs w:val="20"/>
    </w:rPr>
  </w:style>
  <w:style w:type="character" w:customStyle="1" w:styleId="18">
    <w:name w:val="页眉 字符"/>
    <w:basedOn w:val="14"/>
    <w:link w:val="11"/>
    <w:qFormat/>
    <w:uiPriority w:val="0"/>
    <w:rPr>
      <w:kern w:val="2"/>
      <w:sz w:val="18"/>
      <w:szCs w:val="18"/>
    </w:rPr>
  </w:style>
  <w:style w:type="character" w:customStyle="1" w:styleId="19">
    <w:name w:val="批注文字 字符"/>
    <w:basedOn w:val="14"/>
    <w:link w:val="8"/>
    <w:qFormat/>
    <w:uiPriority w:val="99"/>
    <w:rPr>
      <w:kern w:val="2"/>
      <w:sz w:val="21"/>
      <w:szCs w:val="22"/>
    </w:rPr>
  </w:style>
  <w:style w:type="character" w:customStyle="1" w:styleId="20">
    <w:name w:val="批注框文本 字符"/>
    <w:basedOn w:val="14"/>
    <w:link w:val="9"/>
    <w:qFormat/>
    <w:uiPriority w:val="0"/>
    <w:rPr>
      <w:kern w:val="2"/>
      <w:sz w:val="18"/>
      <w:szCs w:val="18"/>
    </w:rPr>
  </w:style>
  <w:style w:type="paragraph" w:customStyle="1" w:styleId="21">
    <w:name w:val="列出段落1"/>
    <w:basedOn w:val="1"/>
    <w:link w:val="22"/>
    <w:qFormat/>
    <w:uiPriority w:val="34"/>
    <w:pPr>
      <w:widowControl/>
      <w:ind w:firstLine="420"/>
      <w:jc w:val="left"/>
    </w:pPr>
    <w:rPr>
      <w:rFonts w:ascii="宋体" w:hAnsi="宋体" w:eastAsia="宋体" w:cs="宋体"/>
      <w:kern w:val="0"/>
      <w:sz w:val="24"/>
      <w:szCs w:val="24"/>
    </w:rPr>
  </w:style>
  <w:style w:type="character" w:customStyle="1" w:styleId="22">
    <w:name w:val="列出段落 Char"/>
    <w:link w:val="21"/>
    <w:qFormat/>
    <w:uiPriority w:val="34"/>
    <w:rPr>
      <w:rFonts w:ascii="宋体" w:hAnsi="宋体" w:eastAsia="宋体" w:cs="宋体"/>
      <w:sz w:val="24"/>
      <w:szCs w:val="24"/>
    </w:rPr>
  </w:style>
  <w:style w:type="character" w:customStyle="1" w:styleId="23">
    <w:name w:val="列表段落 字符"/>
    <w:link w:val="16"/>
    <w:qFormat/>
    <w:locked/>
    <w:uiPriority w:val="34"/>
    <w:rPr>
      <w:kern w:val="2"/>
      <w:sz w:val="21"/>
      <w:szCs w:val="22"/>
    </w:rPr>
  </w:style>
  <w:style w:type="paragraph" w:customStyle="1" w:styleId="24">
    <w:name w:val="000正文"/>
    <w:basedOn w:val="1"/>
    <w:qFormat/>
    <w:uiPriority w:val="0"/>
    <w:pPr>
      <w:spacing w:line="560" w:lineRule="exact"/>
      <w:ind w:left="482" w:firstLine="560" w:firstLineChars="200"/>
    </w:pPr>
    <w:rPr>
      <w:rFonts w:ascii="Times New Roman" w:hAnsi="Times New Roman" w:eastAsia="仿宋_GB2312" w:cs="Times New Roman"/>
      <w:kern w:val="0"/>
      <w:sz w:val="28"/>
      <w:szCs w:val="28"/>
    </w:rPr>
  </w:style>
  <w:style w:type="character" w:customStyle="1" w:styleId="25">
    <w:name w:val="List Paragraph Char"/>
    <w:qFormat/>
    <w:uiPriority w:val="34"/>
    <w:rPr>
      <w:rFonts w:ascii="Calibri" w:hAnsi="Calibri" w:eastAsia="宋体" w:cs="Times New Roman"/>
      <w:sz w:val="22"/>
      <w:szCs w:val="22"/>
      <w:lang w:eastAsia="en-US"/>
    </w:rPr>
  </w:style>
  <w:style w:type="character" w:customStyle="1" w:styleId="26">
    <w:name w:val="批注主题 字符"/>
    <w:basedOn w:val="19"/>
    <w:link w:val="12"/>
    <w:qFormat/>
    <w:uiPriority w:val="0"/>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30DE41AA-4E39-4AE9-9EF4-20E61E5C52A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5380</Words>
  <Characters>5441</Characters>
  <Lines>39</Lines>
  <Paragraphs>11</Paragraphs>
  <TotalTime>3</TotalTime>
  <ScaleCrop>false</ScaleCrop>
  <LinksUpToDate>false</LinksUpToDate>
  <CharactersWithSpaces>5447</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2024-02-24T01:36:00Z</dcterms:created>
  <dc:creator>chenglu</dc:creator>
  <cp:lastModifiedBy>user</cp:lastModifiedBy>
  <cp:lastPrinted>2023-03-25T01:10:00Z</cp:lastPrinted>
  <dcterms:modified xsi:type="dcterms:W3CDTF">2025-04-17T08:49:34Z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2C8C21AB99EE4546A6340E939B3C18DB_13</vt:lpwstr>
  </property>
  <property fmtid="{D5CDD505-2E9C-101B-9397-08002B2CF9AE}" pid="4" name="KSOTemplateDocerSaveRecord">
    <vt:lpwstr>eyJoZGlkIjoiOWViZTliMTA3NTQ3Y2YxOWZhZmRkNWExOGQwMGI5NzYiLCJ1c2VySWQiOiIyMzY0MDk5MDIifQ==</vt:lpwstr>
  </property>
</Properties>
</file>