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BC4EA">
      <w:pPr>
        <w:ind w:firstLine="480"/>
      </w:pPr>
      <w:r>
        <w:rPr>
          <w:rFonts w:hint="eastAsia"/>
        </w:rPr>
        <w:t xml:space="preserve"> </w:t>
      </w:r>
    </w:p>
    <w:p w14:paraId="28DE1016">
      <w:pPr>
        <w:ind w:firstLine="480"/>
      </w:pPr>
    </w:p>
    <w:p w14:paraId="6A1BF5FB">
      <w:pPr>
        <w:ind w:firstLine="480"/>
      </w:pPr>
    </w:p>
    <w:p w14:paraId="4DB87DCB">
      <w:pPr>
        <w:ind w:firstLine="480"/>
      </w:pPr>
    </w:p>
    <w:p w14:paraId="39BEA5E5">
      <w:pPr>
        <w:spacing w:before="156" w:beforeLines="50" w:after="156" w:afterLines="50" w:line="480" w:lineRule="auto"/>
        <w:ind w:firstLine="653"/>
        <w:jc w:val="center"/>
        <w:rPr>
          <w:rFonts w:asciiTheme="majorEastAsia" w:hAnsiTheme="majorEastAsia" w:eastAsiaTheme="majorEastAsia"/>
          <w:b/>
          <w:bCs/>
          <w:sz w:val="32"/>
          <w:szCs w:val="22"/>
        </w:rPr>
      </w:pPr>
      <w:r>
        <w:rPr>
          <w:rFonts w:hint="eastAsia" w:asciiTheme="majorEastAsia" w:hAnsiTheme="majorEastAsia" w:eastAsiaTheme="majorEastAsia"/>
          <w:b/>
          <w:bCs/>
          <w:sz w:val="32"/>
          <w:szCs w:val="22"/>
        </w:rPr>
        <w:t>上海科技大学</w:t>
      </w:r>
    </w:p>
    <w:p w14:paraId="61EF112A">
      <w:pPr>
        <w:spacing w:before="156" w:beforeLines="50" w:after="156" w:afterLines="50" w:line="480" w:lineRule="auto"/>
        <w:ind w:firstLine="653"/>
        <w:jc w:val="center"/>
        <w:rPr>
          <w:rFonts w:asciiTheme="majorEastAsia" w:hAnsiTheme="majorEastAsia" w:eastAsiaTheme="majorEastAsia"/>
          <w:b/>
          <w:bCs/>
          <w:sz w:val="32"/>
        </w:rPr>
      </w:pPr>
      <w:bookmarkStart w:id="0" w:name="_Hlk203389802"/>
      <w:r>
        <w:rPr>
          <w:rFonts w:hint="eastAsia" w:asciiTheme="majorEastAsia" w:hAnsiTheme="majorEastAsia" w:eastAsiaTheme="majorEastAsia"/>
          <w:b/>
          <w:bCs/>
          <w:sz w:val="32"/>
        </w:rPr>
        <w:t>AI4M研学一体创新平台Ⅰ期</w:t>
      </w:r>
    </w:p>
    <w:bookmarkEnd w:id="0"/>
    <w:p w14:paraId="2B726355">
      <w:pPr>
        <w:spacing w:before="156" w:beforeLines="50" w:after="156" w:afterLines="50" w:line="480" w:lineRule="auto"/>
        <w:ind w:firstLine="653"/>
        <w:jc w:val="center"/>
        <w:rPr>
          <w:rFonts w:asciiTheme="majorEastAsia" w:hAnsiTheme="majorEastAsia" w:eastAsiaTheme="majorEastAsia"/>
          <w:b/>
          <w:bCs/>
          <w:sz w:val="32"/>
        </w:rPr>
      </w:pPr>
      <w:r>
        <w:rPr>
          <w:rFonts w:hint="eastAsia" w:asciiTheme="majorEastAsia" w:hAnsiTheme="majorEastAsia" w:eastAsiaTheme="majorEastAsia"/>
          <w:b/>
          <w:bCs/>
          <w:sz w:val="32"/>
        </w:rPr>
        <w:t>技术服务采购需</w:t>
      </w:r>
      <w:r>
        <w:rPr>
          <w:rFonts w:asciiTheme="majorEastAsia" w:hAnsiTheme="majorEastAsia" w:eastAsiaTheme="majorEastAsia"/>
          <w:b/>
          <w:bCs/>
          <w:sz w:val="32"/>
        </w:rPr>
        <w:t>求</w:t>
      </w:r>
    </w:p>
    <w:p w14:paraId="5E597D02">
      <w:pPr>
        <w:spacing w:line="480" w:lineRule="auto"/>
        <w:ind w:firstLine="480"/>
      </w:pPr>
    </w:p>
    <w:p w14:paraId="2A1D9A5B">
      <w:pPr>
        <w:ind w:firstLine="480"/>
      </w:pPr>
    </w:p>
    <w:p w14:paraId="4CB76CB9">
      <w:pPr>
        <w:ind w:firstLine="480"/>
      </w:pPr>
    </w:p>
    <w:p w14:paraId="33D2E2FA">
      <w:pPr>
        <w:ind w:firstLine="480"/>
      </w:pPr>
    </w:p>
    <w:p w14:paraId="3C5A6EA2">
      <w:pPr>
        <w:ind w:firstLine="480"/>
      </w:pPr>
    </w:p>
    <w:p w14:paraId="74530036">
      <w:pPr>
        <w:ind w:firstLine="480"/>
      </w:pPr>
    </w:p>
    <w:p w14:paraId="2F3BFCC6">
      <w:pPr>
        <w:ind w:firstLine="480"/>
      </w:pPr>
    </w:p>
    <w:p w14:paraId="2B5CF3CD">
      <w:pPr>
        <w:ind w:firstLine="480"/>
      </w:pPr>
    </w:p>
    <w:p w14:paraId="2801B7F8">
      <w:pPr>
        <w:ind w:firstLine="480"/>
      </w:pPr>
    </w:p>
    <w:p w14:paraId="64FB7D48">
      <w:pPr>
        <w:ind w:firstLine="480"/>
      </w:pPr>
    </w:p>
    <w:p w14:paraId="1F022B58">
      <w:pPr>
        <w:ind w:firstLine="440"/>
        <w:rPr>
          <w:sz w:val="22"/>
          <w:szCs w:val="18"/>
        </w:rPr>
      </w:pPr>
    </w:p>
    <w:p w14:paraId="31458FEF">
      <w:pPr>
        <w:ind w:firstLine="440"/>
        <w:rPr>
          <w:sz w:val="22"/>
          <w:szCs w:val="18"/>
        </w:rPr>
      </w:pPr>
    </w:p>
    <w:p w14:paraId="54AF89CE">
      <w:pPr>
        <w:ind w:firstLine="440"/>
        <w:rPr>
          <w:sz w:val="22"/>
          <w:szCs w:val="18"/>
        </w:rPr>
      </w:pPr>
    </w:p>
    <w:p w14:paraId="6D4696B3">
      <w:pPr>
        <w:ind w:firstLine="440"/>
        <w:rPr>
          <w:sz w:val="22"/>
          <w:szCs w:val="18"/>
        </w:rPr>
      </w:pPr>
    </w:p>
    <w:p w14:paraId="48103C53">
      <w:pPr>
        <w:ind w:firstLine="560"/>
        <w:jc w:val="center"/>
        <w:rPr>
          <w:sz w:val="28"/>
          <w:szCs w:val="18"/>
        </w:rPr>
      </w:pPr>
      <w:r>
        <w:rPr>
          <w:rFonts w:hint="eastAsia"/>
          <w:sz w:val="28"/>
          <w:szCs w:val="18"/>
        </w:rPr>
        <w:t>上海科技大学</w:t>
      </w:r>
    </w:p>
    <w:p w14:paraId="09E47BB5">
      <w:pPr>
        <w:ind w:firstLine="480"/>
      </w:pPr>
    </w:p>
    <w:p w14:paraId="1D6A812F"/>
    <w:p w14:paraId="19EAA4EB">
      <w:r>
        <w:br w:type="page"/>
      </w:r>
    </w:p>
    <w:p w14:paraId="77E34F4E">
      <w:pPr>
        <w:pStyle w:val="2"/>
        <w:rPr>
          <w:rFonts w:ascii="宋体" w:hAnsi="宋体"/>
        </w:rPr>
      </w:pPr>
      <w:bookmarkStart w:id="1" w:name="_Toc204868977"/>
      <w:r>
        <w:rPr>
          <w:rFonts w:hint="eastAsia" w:ascii="宋体" w:hAnsi="宋体"/>
        </w:rPr>
        <w:t>采购需求</w:t>
      </w:r>
      <w:bookmarkEnd w:id="1"/>
    </w:p>
    <w:p w14:paraId="666658E5">
      <w:pPr>
        <w:pStyle w:val="3"/>
        <w:spacing w:before="156" w:after="156" w:line="360" w:lineRule="auto"/>
        <w:ind w:left="871" w:hanging="871"/>
        <w:rPr>
          <w:rFonts w:ascii="宋体" w:hAnsi="宋体"/>
        </w:rPr>
      </w:pPr>
      <w:bookmarkStart w:id="2" w:name="_Toc204868978"/>
      <w:r>
        <w:rPr>
          <w:rFonts w:ascii="宋体" w:hAnsi="宋体"/>
        </w:rPr>
        <w:t>总体目标</w:t>
      </w:r>
      <w:bookmarkEnd w:id="2"/>
    </w:p>
    <w:p w14:paraId="4B59FF5D">
      <w:pPr>
        <w:ind w:firstLine="420"/>
      </w:pPr>
      <w:bookmarkStart w:id="3" w:name="_Toc38476654"/>
      <w:r>
        <w:rPr>
          <w:rFonts w:hint="eastAsia"/>
        </w:rPr>
        <w:t>本次采购旨在建设“</w:t>
      </w:r>
      <w:r>
        <w:t>AI4M研学一体创新平台I期”软件系统，服务于上海科技大学“数字材料”双一流学科建设战略，围绕材料科学研究范式转型与人才培养模式升级的双重需求，构建一个面向AI for Materials（AI4M） 研究与教学的数智化研学平台。平台将作为支撑“科研—教学—服务”融合发展的智能中枢，汇聚材料实验与模拟数据、AI算法工具、算力资源和教学内容，推动“数据驱动—表征牵引”的材料研究范式落地。</w:t>
      </w:r>
    </w:p>
    <w:p w14:paraId="4B375590">
      <w:pPr>
        <w:ind w:firstLine="420"/>
      </w:pPr>
      <w:r>
        <w:rPr>
          <w:rFonts w:hint="eastAsia"/>
        </w:rPr>
        <w:t>平台将整合并扩展我校前期已建成的</w:t>
      </w:r>
      <w:r>
        <w:t>AIMS智能分析平台、Materials Data Valle</w:t>
      </w:r>
      <w:r>
        <w:rPr>
          <w:rFonts w:hint="eastAsia"/>
        </w:rPr>
        <w:t>y</w:t>
      </w:r>
      <w:r>
        <w:t>、高性能计算资源等软硬件基础能力，重点围绕能源催化、拓扑量子、半导体器件等材料体系，部署结构建模、光谱学分析、物理性能预测等典型研究任务所需的模拟与AI工具链，如第一性原理计算、分子动力学、图神经网络、生成模型、光谱反演等。平台需具备Notebook代码实训、AI模型微调、科学任务管理等一体化功能，支持课程学习与科研探索深度融合。</w:t>
      </w:r>
    </w:p>
    <w:p w14:paraId="65328750">
      <w:pPr>
        <w:ind w:firstLine="420"/>
      </w:pPr>
      <w:r>
        <w:rPr>
          <w:rFonts w:hint="eastAsia"/>
        </w:rPr>
        <w:t>在教学方面，平台将建设覆盖“计算材料学”“材料性质</w:t>
      </w:r>
      <w:r>
        <w:t>AI建模”“谱图分析与解谱”“AI辅助科研”等方向的核心课程与Notebook案例库，内容涵盖算法原理、数据处理、模型训练、结果可视化、文献解析等环节，形成可复现、可互动的AI4M课程体系，支持我校材料、物理、化学等专业学生的实操能力提升与计算思维培养。</w:t>
      </w:r>
    </w:p>
    <w:p w14:paraId="67FFD8EB">
      <w:pPr>
        <w:ind w:firstLine="420"/>
      </w:pPr>
      <w:r>
        <w:rPr>
          <w:rFonts w:hint="eastAsia"/>
        </w:rPr>
        <w:t>平台定位于双一流数字材料学科建设的关键基础设施，将为科技部国家重点研发计划等重大科研任务提供“表征数据—</w:t>
      </w:r>
      <w:r>
        <w:t>AI建模—科研验证”全链条支撑，为AI4S专项研究提供教学示范与数据训练平台，为我校培养面向未来的材料+AI交叉复合型人才提供系统支撑。平台建设将显著提升我校在AI for Science 前沿方向的基础能力与生态布局，构筑“科研数据—算法模型—教学资源”转化闭环，为打造国际一流材料科学研究与教育体系奠定基础。</w:t>
      </w:r>
    </w:p>
    <w:p w14:paraId="5D319978">
      <w:pPr>
        <w:pStyle w:val="2"/>
        <w:rPr>
          <w:rFonts w:ascii="宋体" w:hAnsi="宋体"/>
        </w:rPr>
      </w:pPr>
      <w:bookmarkStart w:id="4" w:name="_Toc204868979"/>
      <w:r>
        <w:rPr>
          <w:rFonts w:hint="eastAsia" w:ascii="宋体" w:hAnsi="宋体"/>
        </w:rPr>
        <w:t>建设需求</w:t>
      </w:r>
      <w:bookmarkEnd w:id="3"/>
      <w:bookmarkEnd w:id="4"/>
    </w:p>
    <w:p w14:paraId="52D97239">
      <w:pPr>
        <w:pStyle w:val="3"/>
        <w:spacing w:before="156" w:after="156" w:line="360" w:lineRule="auto"/>
        <w:ind w:left="871" w:hanging="871"/>
        <w:rPr>
          <w:rFonts w:ascii="宋体" w:hAnsi="宋体"/>
        </w:rPr>
      </w:pPr>
      <w:bookmarkStart w:id="5" w:name="_Toc204868980"/>
      <w:r>
        <w:rPr>
          <w:rFonts w:hint="eastAsia" w:ascii="宋体" w:hAnsi="宋体"/>
        </w:rPr>
        <w:t>设计原则</w:t>
      </w:r>
      <w:bookmarkEnd w:id="5"/>
    </w:p>
    <w:p w14:paraId="7AFFE88B">
      <w:pPr>
        <w:ind w:firstLine="420"/>
        <w:rPr>
          <w:rFonts w:cs="Segoe UI Symbol"/>
        </w:rPr>
      </w:pPr>
      <w:r>
        <w:rPr>
          <w:rFonts w:hint="eastAsia" w:cs="Segoe UI Symbol"/>
        </w:rPr>
        <w:t>系统在设计过程中除考虑满足当前招标书建设要求外，还应当满足后续系统平滑扩展升级要求，因此总方案设计遵循如下设计原则。</w:t>
      </w:r>
    </w:p>
    <w:p w14:paraId="468915A8">
      <w:r>
        <w:rPr>
          <w:rFonts w:hint="eastAsia"/>
        </w:rPr>
        <w:t>（1）开放性</w:t>
      </w:r>
    </w:p>
    <w:p w14:paraId="14109CEF">
      <w:pPr>
        <w:ind w:firstLine="420"/>
        <w:rPr>
          <w:rFonts w:cs="Segoe UI Symbol"/>
        </w:rPr>
      </w:pPr>
      <w:r>
        <w:rPr>
          <w:rFonts w:hint="eastAsia" w:cs="Segoe UI Symbol"/>
        </w:rPr>
        <w:t>引入业界开放的、成熟的标准，从而保证系统成为符合标准又不失灵活性的开放平台，为未来的系统的灵活开放奠定基础。</w:t>
      </w:r>
    </w:p>
    <w:p w14:paraId="5C613A90">
      <w:r>
        <w:rPr>
          <w:rFonts w:hint="eastAsia"/>
        </w:rPr>
        <w:t>（2）先进性</w:t>
      </w:r>
    </w:p>
    <w:p w14:paraId="191099EE">
      <w:pPr>
        <w:ind w:firstLine="420"/>
        <w:rPr>
          <w:rFonts w:cs="Segoe UI Symbol"/>
        </w:rPr>
      </w:pPr>
      <w:r>
        <w:rPr>
          <w:rFonts w:hint="eastAsia" w:cs="Segoe UI Symbol"/>
        </w:rPr>
        <w:t xml:space="preserve">各工具基于统一的整体架构，采用先进的、成熟的、可靠的技术与软硬件平台，保证基础数据平台系统易扩展、易升级、易操作、易维护等特性。 </w:t>
      </w:r>
    </w:p>
    <w:p w14:paraId="2CEDFD5A">
      <w:r>
        <w:rPr>
          <w:rFonts w:hint="eastAsia"/>
        </w:rPr>
        <w:t>（3）可扩展性</w:t>
      </w:r>
    </w:p>
    <w:p w14:paraId="411D40E2">
      <w:pPr>
        <w:ind w:firstLine="420"/>
        <w:rPr>
          <w:rFonts w:cs="Segoe UI Symbol"/>
        </w:rPr>
      </w:pPr>
      <w:r>
        <w:rPr>
          <w:rFonts w:hint="eastAsia" w:cs="Segoe UI Symbol"/>
        </w:rPr>
        <w:t xml:space="preserve">随着新的业务需求的不断产生，支持基础数据模型、应用分析模型、前端应用的扩展性；支持在统一系统架构中服务器、存储、I/O设备等的可扩展性。 </w:t>
      </w:r>
    </w:p>
    <w:p w14:paraId="1A4EFA1E">
      <w:r>
        <w:rPr>
          <w:rFonts w:hint="eastAsia"/>
        </w:rPr>
        <w:t>（4）安全性</w:t>
      </w:r>
    </w:p>
    <w:p w14:paraId="62DE0678">
      <w:pPr>
        <w:ind w:firstLine="420"/>
        <w:rPr>
          <w:rFonts w:cs="Segoe UI Symbol"/>
        </w:rPr>
      </w:pPr>
      <w:r>
        <w:rPr>
          <w:rFonts w:hint="eastAsia" w:cs="Segoe UI Symbol"/>
        </w:rPr>
        <w:t xml:space="preserve">按国家标准、行业标准、安全规范等实现数据安全管理。 </w:t>
      </w:r>
    </w:p>
    <w:p w14:paraId="7AAB24EC">
      <w:r>
        <w:rPr>
          <w:rFonts w:hint="eastAsia"/>
        </w:rPr>
        <w:t>（5）可维护性</w:t>
      </w:r>
    </w:p>
    <w:p w14:paraId="12B47131">
      <w:pPr>
        <w:ind w:firstLine="420"/>
        <w:rPr>
          <w:rFonts w:cs="Segoe UI Symbol"/>
        </w:rPr>
      </w:pPr>
      <w:r>
        <w:rPr>
          <w:rFonts w:hint="eastAsia" w:cs="Segoe UI Symbol"/>
        </w:rPr>
        <w:t>建立统一化可视化的运维体系，数据处理各个环节，能对系统进行相应的性能管理和日志监控。</w:t>
      </w:r>
    </w:p>
    <w:p w14:paraId="2F67173B">
      <w:pPr>
        <w:pStyle w:val="3"/>
        <w:spacing w:before="156" w:after="156" w:line="360" w:lineRule="auto"/>
        <w:ind w:left="871" w:hanging="871"/>
        <w:rPr>
          <w:rFonts w:ascii="宋体" w:hAnsi="宋体"/>
        </w:rPr>
      </w:pPr>
      <w:bookmarkStart w:id="6" w:name="_Toc204868981"/>
      <w:r>
        <w:rPr>
          <w:rFonts w:hint="eastAsia" w:ascii="宋体" w:hAnsi="宋体"/>
        </w:rPr>
        <w:t>平台架构要求</w:t>
      </w:r>
      <w:bookmarkEnd w:id="6"/>
    </w:p>
    <w:p w14:paraId="20F2EF47">
      <w:pPr>
        <w:pStyle w:val="4"/>
        <w:spacing w:before="156" w:after="156" w:line="360" w:lineRule="auto"/>
        <w:ind w:left="871" w:hanging="871"/>
        <w:rPr>
          <w:rFonts w:ascii="宋体" w:hAnsi="宋体"/>
        </w:rPr>
      </w:pPr>
      <w:bookmarkStart w:id="7" w:name="_Toc204868982"/>
      <w:r>
        <w:rPr>
          <w:rFonts w:hint="eastAsia" w:ascii="宋体" w:hAnsi="宋体"/>
        </w:rPr>
        <w:t>系统架构</w:t>
      </w:r>
      <w:bookmarkEnd w:id="7"/>
    </w:p>
    <w:p w14:paraId="22D23D27">
      <w:pPr>
        <w:ind w:firstLine="420"/>
        <w:rPr>
          <w:rFonts w:cs="Segoe UI Symbol"/>
        </w:rPr>
      </w:pPr>
      <w:r>
        <w:rPr>
          <w:rFonts w:hint="eastAsia" w:cs="Segoe UI Symbol"/>
        </w:rPr>
        <w:t>项目需要参考大学的应用架构规划和业务各项需求的关联性，</w:t>
      </w:r>
      <w:bookmarkStart w:id="8" w:name="OLE_LINK25"/>
      <w:r>
        <w:rPr>
          <w:rFonts w:hint="eastAsia" w:cs="Segoe UI Symbol"/>
        </w:rPr>
        <w:t>保持系统架构以高内聚</w:t>
      </w:r>
      <w:bookmarkEnd w:id="8"/>
      <w:r>
        <w:rPr>
          <w:rFonts w:hint="eastAsia" w:cs="Segoe UI Symbol"/>
        </w:rPr>
        <w:t>、低耦合为系统建设标准，最终使应用系统具有清晰的和相对独立的软件层次，系统内各个模块之间耦合度小为基本架构，兼具高弹性、高性能、高可靠性并具有较高业务敏捷性的业务支撑平台。</w:t>
      </w:r>
    </w:p>
    <w:p w14:paraId="7680CA25">
      <w:pPr>
        <w:ind w:firstLine="420"/>
        <w:rPr>
          <w:rFonts w:cs="Segoe UI Symbol"/>
        </w:rPr>
      </w:pPr>
      <w:r>
        <w:rPr>
          <w:rFonts w:hint="eastAsia" w:cs="Segoe UI Symbol"/>
        </w:rPr>
        <w:t>支持多种开放技术标准，应该提供标准的接口接入能力，便于扩展应用功能与其它系统的互联。</w:t>
      </w:r>
    </w:p>
    <w:p w14:paraId="45D7EA7F">
      <w:pPr>
        <w:pStyle w:val="4"/>
        <w:spacing w:before="156" w:after="156" w:line="360" w:lineRule="auto"/>
        <w:ind w:left="871" w:hanging="871"/>
        <w:rPr>
          <w:rFonts w:ascii="宋体" w:hAnsi="宋体"/>
        </w:rPr>
      </w:pPr>
      <w:bookmarkStart w:id="9" w:name="_Toc204868983"/>
      <w:r>
        <w:rPr>
          <w:rFonts w:hint="eastAsia" w:ascii="宋体" w:hAnsi="宋体"/>
        </w:rPr>
        <w:t>数据架构</w:t>
      </w:r>
      <w:bookmarkEnd w:id="9"/>
    </w:p>
    <w:p w14:paraId="074BEA20">
      <w:pPr>
        <w:ind w:firstLine="420"/>
        <w:rPr>
          <w:rFonts w:cs="Segoe UI Symbol"/>
        </w:rPr>
      </w:pPr>
      <w:r>
        <w:rPr>
          <w:rFonts w:hint="eastAsia" w:cs="Segoe UI Symbol"/>
        </w:rPr>
        <w:t>应根据上海科技大学现有的数据情况，设计合理的数据体系，并在业务操作性上有一个合理的平衡和可扩充性。数据体系的设计应兼顾大学现有相关系统的接口要求。</w:t>
      </w:r>
    </w:p>
    <w:p w14:paraId="066174E4">
      <w:pPr>
        <w:ind w:firstLine="420"/>
        <w:rPr>
          <w:rFonts w:cs="Segoe UI Symbol"/>
        </w:rPr>
      </w:pPr>
      <w:r>
        <w:rPr>
          <w:rFonts w:hint="eastAsia" w:cs="Segoe UI Symbol"/>
        </w:rPr>
        <w:t>应基于数据存储需求，并在对各类数据的数据量大小、业务应用特点进行充分分析的基础上，设计合理的数据存储方案，方案中应充分考虑每一类数据的存储位置、存储方式、数据访问方式等。</w:t>
      </w:r>
    </w:p>
    <w:p w14:paraId="63CE0932">
      <w:pPr>
        <w:ind w:firstLine="420"/>
        <w:rPr>
          <w:rFonts w:cs="Segoe UI Symbol"/>
        </w:rPr>
      </w:pPr>
      <w:r>
        <w:rPr>
          <w:rFonts w:hint="eastAsia" w:cs="Segoe UI Symbol"/>
        </w:rPr>
        <w:t>数据访问层设计应满足可移植的、适应数据结构变化的设计。</w:t>
      </w:r>
    </w:p>
    <w:p w14:paraId="7243B01B">
      <w:pPr>
        <w:pStyle w:val="4"/>
        <w:spacing w:before="156" w:after="156" w:line="360" w:lineRule="auto"/>
        <w:ind w:left="871" w:hanging="871"/>
        <w:rPr>
          <w:rFonts w:ascii="宋体" w:hAnsi="宋体"/>
        </w:rPr>
      </w:pPr>
      <w:bookmarkStart w:id="10" w:name="_Toc204868984"/>
      <w:r>
        <w:rPr>
          <w:rFonts w:hint="eastAsia" w:ascii="宋体" w:hAnsi="宋体"/>
        </w:rPr>
        <w:t>应用架构</w:t>
      </w:r>
      <w:bookmarkEnd w:id="10"/>
    </w:p>
    <w:p w14:paraId="29C8000F">
      <w:pPr>
        <w:ind w:firstLine="420"/>
        <w:rPr>
          <w:rFonts w:cs="Segoe UI Symbol"/>
        </w:rPr>
      </w:pPr>
      <w:r>
        <w:rPr>
          <w:rFonts w:hint="eastAsia" w:cs="Segoe UI Symbol"/>
        </w:rPr>
        <w:t>应用系统需采用集群或者分布式的部署方式，满足目前相关的性能指标，由于业务发展导致系统性能不能满足业务要求时，可通过横向增加服务节点，满足新的性能需求。</w:t>
      </w:r>
    </w:p>
    <w:p w14:paraId="78B709DA">
      <w:pPr>
        <w:ind w:firstLine="420"/>
        <w:rPr>
          <w:rFonts w:cs="Segoe UI Symbol"/>
        </w:rPr>
      </w:pPr>
      <w:r>
        <w:rPr>
          <w:rFonts w:hint="eastAsia" w:cs="Segoe UI Symbol"/>
        </w:rPr>
        <w:t>系统需要考虑校内后续扩展性要求，能够对出现问题的应用服务，保证不影响对外服务。并在处理完相关问题后已恢复的应用服务或实例能够在不影响现有服务情况下重新对外提供服务。</w:t>
      </w:r>
    </w:p>
    <w:p w14:paraId="2101D833">
      <w:pPr>
        <w:pStyle w:val="3"/>
        <w:spacing w:before="156" w:after="156" w:line="360" w:lineRule="auto"/>
        <w:ind w:left="871" w:hanging="871"/>
        <w:rPr>
          <w:rFonts w:ascii="宋体" w:hAnsi="宋体"/>
        </w:rPr>
      </w:pPr>
      <w:bookmarkStart w:id="11" w:name="_Toc204868985"/>
      <w:r>
        <w:rPr>
          <w:rFonts w:hint="eastAsia" w:ascii="宋体" w:hAnsi="宋体"/>
        </w:rPr>
        <w:t>核心功能要求</w:t>
      </w:r>
      <w:bookmarkEnd w:id="11"/>
    </w:p>
    <w:p w14:paraId="5ECFD47F">
      <w:pPr>
        <w:pStyle w:val="4"/>
        <w:spacing w:before="156" w:after="156" w:line="360" w:lineRule="auto"/>
        <w:rPr>
          <w:rFonts w:ascii="宋体" w:hAnsi="宋体" w:cs="宋体"/>
          <w:color w:val="000000"/>
          <w:kern w:val="0"/>
          <w:sz w:val="28"/>
          <w:szCs w:val="28"/>
        </w:rPr>
      </w:pPr>
      <w:bookmarkStart w:id="12" w:name="OLE_LINK17"/>
      <w:r>
        <w:rPr>
          <w:rFonts w:hint="eastAsia" w:ascii="宋体" w:hAnsi="宋体" w:cs="宋体"/>
          <w:color w:val="000000"/>
          <w:kern w:val="0"/>
          <w:sz w:val="28"/>
          <w:szCs w:val="28"/>
        </w:rPr>
        <w:t xml:space="preserve"> </w:t>
      </w:r>
      <w:bookmarkStart w:id="13" w:name="_Toc204868986"/>
      <w:r>
        <w:rPr>
          <w:rFonts w:hint="eastAsia" w:ascii="宋体" w:hAnsi="宋体" w:cs="宋体"/>
          <w:color w:val="000000"/>
          <w:kern w:val="0"/>
          <w:sz w:val="28"/>
          <w:szCs w:val="28"/>
        </w:rPr>
        <w:t>课程相关模块</w:t>
      </w:r>
      <w:bookmarkEnd w:id="13"/>
    </w:p>
    <w:bookmarkEnd w:id="12"/>
    <w:p w14:paraId="45C30AE1">
      <w:pPr>
        <w:pStyle w:val="70"/>
        <w:numPr>
          <w:ilvl w:val="0"/>
          <w:numId w:val="3"/>
        </w:numPr>
      </w:pPr>
      <w:r>
        <w:rPr>
          <w:rFonts w:hint="eastAsia" w:cs="Segoe UI Symbol"/>
          <w:b/>
          <w:bCs/>
        </w:rPr>
        <w:t>教学权限管理</w:t>
      </w:r>
      <w:r>
        <w:rPr>
          <w:rFonts w:hint="eastAsia" w:cs="Segoe UI Symbol"/>
        </w:rPr>
        <w:t>：</w:t>
      </w:r>
      <w:r>
        <w:rPr>
          <w:rFonts w:cs="Segoe UI Symbol"/>
        </w:rPr>
        <w:t>实现教师与学生的角色区分，教师具备课程开设、课件管理、学生管理、作业管理、数据集管理等权限。</w:t>
      </w:r>
    </w:p>
    <w:p w14:paraId="353725C5">
      <w:pPr>
        <w:pStyle w:val="70"/>
        <w:numPr>
          <w:ilvl w:val="0"/>
          <w:numId w:val="3"/>
        </w:numPr>
      </w:pPr>
      <w:r>
        <w:rPr>
          <w:rFonts w:hint="eastAsia" w:cs="Segoe UI Symbol"/>
          <w:b/>
          <w:bCs/>
        </w:rPr>
        <w:t>课程创建与展示</w:t>
      </w:r>
      <w:r>
        <w:rPr>
          <w:rFonts w:hint="eastAsia" w:cs="Segoe UI Symbol"/>
        </w:rPr>
        <w:t>：支持教师快速上传Notebook、视频、PPT课件等多种教学材料</w:t>
      </w:r>
      <w:r>
        <w:t>；课程主页应包含课程介绍、讲师信息；课程应提供讨论区。</w:t>
      </w:r>
    </w:p>
    <w:p w14:paraId="5A25F051">
      <w:pPr>
        <w:pStyle w:val="70"/>
        <w:numPr>
          <w:ilvl w:val="0"/>
          <w:numId w:val="3"/>
        </w:numPr>
      </w:pPr>
      <w:r>
        <w:rPr>
          <w:rFonts w:hint="eastAsia"/>
          <w:b/>
          <w:bCs/>
        </w:rPr>
        <w:t>作业管理</w:t>
      </w:r>
      <w:r>
        <w:rPr>
          <w:rFonts w:hint="eastAsia"/>
        </w:rPr>
        <w:t>：</w:t>
      </w:r>
      <w:r>
        <w:t>支持教师在班级中创建、修改、删除</w:t>
      </w:r>
      <w:r>
        <w:rPr>
          <w:rFonts w:hint="eastAsia"/>
        </w:rPr>
        <w:t>作业</w:t>
      </w:r>
      <w:r>
        <w:t>，支持布置单人作业和小组作业（可规定小组人数），</w:t>
      </w:r>
      <w:r>
        <w:rPr>
          <w:rFonts w:hint="eastAsia"/>
        </w:rPr>
        <w:t>并可</w:t>
      </w:r>
      <w:r>
        <w:t>在线</w:t>
      </w:r>
      <w:r>
        <w:rPr>
          <w:rFonts w:hint="eastAsia"/>
        </w:rPr>
        <w:t>查看</w:t>
      </w:r>
      <w:r>
        <w:t>作业提交情况及批改。</w:t>
      </w:r>
    </w:p>
    <w:p w14:paraId="5B0D0E43">
      <w:pPr>
        <w:pStyle w:val="70"/>
        <w:numPr>
          <w:ilvl w:val="0"/>
          <w:numId w:val="3"/>
        </w:numPr>
      </w:pPr>
      <w:r>
        <w:rPr>
          <w:rFonts w:hint="eastAsia"/>
          <w:b/>
          <w:bCs/>
        </w:rPr>
        <w:t>检索：</w:t>
      </w:r>
      <w:r>
        <w:rPr>
          <w:rFonts w:hint="eastAsia"/>
        </w:rPr>
        <w:t>支持通过课程名等进行课程的模糊匹配。</w:t>
      </w:r>
    </w:p>
    <w:p w14:paraId="78DFDDB0">
      <w:pPr>
        <w:pStyle w:val="70"/>
        <w:numPr>
          <w:ilvl w:val="0"/>
          <w:numId w:val="3"/>
        </w:numPr>
        <w:spacing w:before="120" w:after="120" w:line="360" w:lineRule="auto"/>
      </w:pPr>
      <w:r>
        <w:rPr>
          <w:rFonts w:hint="eastAsia"/>
          <w:b/>
          <w:bCs/>
        </w:rPr>
        <w:t>预装课程资源</w:t>
      </w:r>
      <w:r>
        <w:rPr>
          <w:rFonts w:hint="eastAsia"/>
        </w:rPr>
        <w:t>：</w:t>
      </w:r>
      <w:r>
        <w:t>需要依托科研与教学团队，</w:t>
      </w:r>
      <w:r>
        <w:rPr>
          <w:rFonts w:hint="eastAsia"/>
          <w:lang w:eastAsia="zh-CN"/>
        </w:rPr>
        <w:t>获取</w:t>
      </w:r>
      <w:r>
        <w:t>知识产权与课程内容的授权，不可简单依赖已有公开资源。</w:t>
      </w:r>
      <w:r>
        <w:rPr>
          <w:rFonts w:hint="eastAsia"/>
        </w:rPr>
        <w:t>提供</w:t>
      </w:r>
      <w:r>
        <w:t>不少于10门AI for Materials</w:t>
      </w:r>
      <w:r>
        <w:rPr>
          <w:rFonts w:hint="eastAsia"/>
        </w:rPr>
        <w:t>等</w:t>
      </w:r>
      <w:r>
        <w:t>相关课程</w:t>
      </w:r>
      <w:r>
        <w:rPr>
          <w:rFonts w:hint="eastAsia"/>
        </w:rPr>
        <w:t>资源，覆盖“材料3D结构预训练模型”“材料性质</w:t>
      </w:r>
      <w:r>
        <w:t>AI建模”“</w:t>
      </w:r>
      <w:r>
        <w:rPr>
          <w:rFonts w:hint="eastAsia"/>
        </w:rPr>
        <w:t>实验室自动化与智能化</w:t>
      </w:r>
      <w:r>
        <w:t>”“AI辅助科研”“AI</w:t>
      </w:r>
      <w:r>
        <w:rPr>
          <w:rFonts w:hint="eastAsia"/>
        </w:rPr>
        <w:t>辅助材料产业</w:t>
      </w:r>
      <w:r>
        <w:t>”等方向的核心课程。</w:t>
      </w:r>
    </w:p>
    <w:p w14:paraId="035913E1">
      <w:pPr>
        <w:pStyle w:val="4"/>
        <w:spacing w:before="156" w:after="156" w:line="360" w:lineRule="auto"/>
        <w:rPr>
          <w:rFonts w:ascii="宋体" w:hAnsi="宋体" w:cs="宋体"/>
          <w:color w:val="000000"/>
          <w:kern w:val="0"/>
          <w:sz w:val="28"/>
          <w:szCs w:val="28"/>
        </w:rPr>
      </w:pPr>
      <w:bookmarkStart w:id="14" w:name="OLE_LINK18"/>
      <w:r>
        <w:rPr>
          <w:rFonts w:ascii="宋体" w:hAnsi="宋体" w:cs="宋体"/>
          <w:color w:val="000000"/>
          <w:kern w:val="0"/>
          <w:sz w:val="28"/>
          <w:szCs w:val="28"/>
          <w:lang w:val="en-US"/>
        </w:rPr>
        <w:t xml:space="preserve"> </w:t>
      </w:r>
      <w:bookmarkStart w:id="15" w:name="_Toc204868987"/>
      <w:r>
        <w:rPr>
          <w:rFonts w:hint="eastAsia" w:ascii="宋体" w:hAnsi="宋体" w:cs="宋体"/>
          <w:color w:val="000000"/>
          <w:kern w:val="0"/>
          <w:sz w:val="28"/>
          <w:szCs w:val="28"/>
        </w:rPr>
        <w:t>在线编程代码本N</w:t>
      </w:r>
      <w:r>
        <w:rPr>
          <w:rFonts w:ascii="宋体" w:hAnsi="宋体" w:cs="宋体"/>
          <w:color w:val="000000"/>
          <w:kern w:val="0"/>
          <w:sz w:val="28"/>
          <w:szCs w:val="28"/>
        </w:rPr>
        <w:t>otebook</w:t>
      </w:r>
      <w:r>
        <w:rPr>
          <w:rFonts w:hint="eastAsia" w:ascii="宋体" w:hAnsi="宋体" w:cs="宋体"/>
          <w:color w:val="000000"/>
          <w:kern w:val="0"/>
          <w:sz w:val="28"/>
          <w:szCs w:val="28"/>
        </w:rPr>
        <w:t>相关模块</w:t>
      </w:r>
      <w:bookmarkEnd w:id="15"/>
    </w:p>
    <w:bookmarkEnd w:id="14"/>
    <w:p w14:paraId="6D93F59B">
      <w:pPr>
        <w:pStyle w:val="70"/>
        <w:numPr>
          <w:ilvl w:val="0"/>
          <w:numId w:val="3"/>
        </w:numPr>
      </w:pPr>
      <w:r>
        <w:rPr>
          <w:rFonts w:hint="eastAsia"/>
          <w:b/>
          <w:bCs/>
        </w:rPr>
        <w:t>编程环境：</w:t>
      </w:r>
      <w:r>
        <w:t>提供支持 Python 的在线编程与代码提交环境，具备编译与运行功能</w:t>
      </w:r>
      <w:r>
        <w:rPr>
          <w:rFonts w:hint="eastAsia"/>
        </w:rPr>
        <w:t>。</w:t>
      </w:r>
      <w:r>
        <w:t>在线运行环境必须确保不同用户作业的隔离与安全，技术上需要容器化与分布式调度支持。</w:t>
      </w:r>
    </w:p>
    <w:p w14:paraId="6354776A">
      <w:pPr>
        <w:pStyle w:val="70"/>
        <w:numPr>
          <w:ilvl w:val="0"/>
          <w:numId w:val="3"/>
        </w:numPr>
      </w:pPr>
      <w:r>
        <w:rPr>
          <w:rFonts w:hint="eastAsia"/>
          <w:b/>
          <w:bCs/>
        </w:rPr>
        <w:t>多模态</w:t>
      </w:r>
      <w:r>
        <w:rPr>
          <w:b/>
          <w:bCs/>
        </w:rPr>
        <w:t>Notebook：</w:t>
      </w:r>
      <w:r>
        <w:t>Notebook 中支持编写代码、</w:t>
      </w:r>
      <w:r>
        <w:rPr>
          <w:rFonts w:hint="eastAsia"/>
        </w:rPr>
        <w:t>编辑</w:t>
      </w:r>
      <w:r>
        <w:t>文本</w:t>
      </w:r>
      <w:r>
        <w:rPr>
          <w:rFonts w:hint="eastAsia"/>
        </w:rPr>
        <w:t>、插入图片</w:t>
      </w:r>
      <w:r>
        <w:t>等；可连接计算节点直接执行代码</w:t>
      </w:r>
      <w:r>
        <w:rPr>
          <w:rFonts w:hint="eastAsia"/>
        </w:rPr>
        <w:t>，须支持预装课程中Notebook跑通</w:t>
      </w:r>
      <w:r>
        <w:t>。</w:t>
      </w:r>
    </w:p>
    <w:p w14:paraId="66C31CCA">
      <w:pPr>
        <w:pStyle w:val="70"/>
        <w:numPr>
          <w:ilvl w:val="0"/>
          <w:numId w:val="3"/>
        </w:numPr>
      </w:pPr>
      <w:r>
        <w:rPr>
          <w:rFonts w:hint="eastAsia"/>
        </w:rPr>
        <w:t>Notebook导入与编辑：</w:t>
      </w:r>
      <w:r>
        <w:t>支持在线创建</w:t>
      </w:r>
      <w:r>
        <w:rPr>
          <w:rFonts w:hint="eastAsia"/>
        </w:rPr>
        <w:t>与导入本地</w:t>
      </w:r>
      <w:r>
        <w:t>Notebook</w:t>
      </w:r>
      <w:r>
        <w:rPr>
          <w:rFonts w:hint="eastAsia"/>
        </w:rPr>
        <w:t>，</w:t>
      </w:r>
      <w:r>
        <w:t>支持编辑</w:t>
      </w:r>
      <w:r>
        <w:rPr>
          <w:rFonts w:hint="eastAsia"/>
        </w:rPr>
        <w:t>、</w:t>
      </w:r>
      <w:r>
        <w:t>自动保存</w:t>
      </w:r>
      <w:r>
        <w:rPr>
          <w:rFonts w:hint="eastAsia"/>
        </w:rPr>
        <w:t>功能</w:t>
      </w:r>
      <w:r>
        <w:t>。</w:t>
      </w:r>
    </w:p>
    <w:p w14:paraId="3A75FCAB">
      <w:pPr>
        <w:pStyle w:val="70"/>
        <w:numPr>
          <w:ilvl w:val="0"/>
          <w:numId w:val="3"/>
        </w:numPr>
      </w:pPr>
      <w:r>
        <w:rPr>
          <w:b/>
          <w:bCs/>
        </w:rPr>
        <w:t>公开 Notebook 展示与推荐</w:t>
      </w:r>
      <w:r>
        <w:rPr>
          <w:rFonts w:hint="eastAsia"/>
          <w:b/>
          <w:bCs/>
        </w:rPr>
        <w:t>：</w:t>
      </w:r>
      <w:r>
        <w:t>支持 Notebook 公开发布，平台可按点赞数、发布时间筛选推荐，展示作者信息及互动数据。</w:t>
      </w:r>
    </w:p>
    <w:p w14:paraId="4BA55C88">
      <w:pPr>
        <w:pStyle w:val="70"/>
        <w:numPr>
          <w:ilvl w:val="0"/>
          <w:numId w:val="3"/>
        </w:numPr>
      </w:pPr>
      <w:r>
        <w:rPr>
          <w:rFonts w:hint="eastAsia"/>
          <w:b/>
          <w:bCs/>
        </w:rPr>
        <w:t>预装</w:t>
      </w:r>
      <w:r>
        <w:rPr>
          <w:b/>
          <w:bCs/>
        </w:rPr>
        <w:t>Notebook资源</w:t>
      </w:r>
      <w:r>
        <w:rPr>
          <w:rFonts w:hint="eastAsia"/>
          <w:b/>
          <w:bCs/>
        </w:rPr>
        <w:t>：</w:t>
      </w:r>
      <w:r>
        <w:rPr>
          <w:b w:val="0"/>
          <w:bCs w:val="0"/>
        </w:rPr>
        <w:t>Notebook 资源需覆盖前沿研究方向，</w:t>
      </w:r>
      <w:r>
        <w:rPr>
          <w:rFonts w:hint="eastAsia"/>
          <w:b w:val="0"/>
          <w:bCs w:val="0"/>
          <w:lang w:eastAsia="zh-CN"/>
        </w:rPr>
        <w:t>需由项目团队编制</w:t>
      </w:r>
      <w:r>
        <w:rPr>
          <w:b w:val="0"/>
          <w:bCs w:val="0"/>
        </w:rPr>
        <w:t>200篇以上的实训案例，且需保证运行环境长期可维护。</w:t>
      </w:r>
      <w:r>
        <w:rPr>
          <w:rFonts w:hint="eastAsia"/>
          <w:b w:val="0"/>
          <w:bCs w:val="0"/>
        </w:rPr>
        <w:t>要求</w:t>
      </w:r>
      <w:r>
        <w:rPr>
          <w:rFonts w:hint="eastAsia"/>
        </w:rPr>
        <w:t>覆盖电池、催化</w:t>
      </w:r>
      <w:r>
        <w:t>等材料体系，</w:t>
      </w:r>
      <w:r>
        <w:rPr>
          <w:rFonts w:hint="eastAsia"/>
        </w:rPr>
        <w:t>及材料筛选</w:t>
      </w:r>
      <w:r>
        <w:t>、物理性能预测等典型研究任务</w:t>
      </w:r>
      <w:r>
        <w:rPr>
          <w:rFonts w:hint="eastAsia"/>
        </w:rPr>
        <w:t>；</w:t>
      </w:r>
      <w:r>
        <w:rPr>
          <w:sz w:val="24"/>
          <w:szCs w:val="24"/>
        </w:rPr>
        <w:t>对于所提供的Notebook实训案例，给出推荐的实训环境、所需资源规格等信息，保证实训案例代码在网页上也能直接编辑和运行。</w:t>
      </w:r>
    </w:p>
    <w:p w14:paraId="24880259">
      <w:pPr>
        <w:pStyle w:val="70"/>
        <w:numPr>
          <w:ilvl w:val="0"/>
          <w:numId w:val="3"/>
        </w:numPr>
      </w:pPr>
      <w:r>
        <w:t>要求在过往产品中已具备可公开阅读、运行代码、保存的Notebook不少于1000篇。</w:t>
      </w:r>
    </w:p>
    <w:p w14:paraId="00849238">
      <w:pPr>
        <w:pStyle w:val="4"/>
        <w:spacing w:before="156" w:after="156" w:line="360" w:lineRule="auto"/>
        <w:rPr>
          <w:color w:val="000000"/>
          <w:sz w:val="28"/>
          <w:szCs w:val="28"/>
        </w:rPr>
      </w:pPr>
      <w:bookmarkStart w:id="16" w:name="_Toc204868988"/>
      <w:r>
        <w:rPr>
          <w:rFonts w:hint="eastAsia" w:ascii="宋体" w:hAnsi="宋体" w:cs="宋体"/>
          <w:color w:val="000000"/>
          <w:kern w:val="0"/>
          <w:sz w:val="28"/>
          <w:szCs w:val="28"/>
        </w:rPr>
        <w:t>文件资源管理模块</w:t>
      </w:r>
      <w:bookmarkEnd w:id="16"/>
    </w:p>
    <w:p w14:paraId="2F43EB1B">
      <w:pPr>
        <w:pStyle w:val="70"/>
        <w:numPr>
          <w:ilvl w:val="0"/>
          <w:numId w:val="3"/>
        </w:numPr>
      </w:pPr>
      <w:bookmarkStart w:id="17" w:name="_Toc204803101"/>
      <w:bookmarkEnd w:id="17"/>
      <w:bookmarkStart w:id="18" w:name="_Toc204803103"/>
      <w:bookmarkEnd w:id="18"/>
      <w:bookmarkStart w:id="19" w:name="_Toc204802923"/>
      <w:bookmarkEnd w:id="19"/>
      <w:bookmarkStart w:id="20" w:name="_Toc204803044"/>
      <w:bookmarkEnd w:id="20"/>
      <w:bookmarkStart w:id="21" w:name="_Toc204802925"/>
      <w:bookmarkEnd w:id="21"/>
      <w:bookmarkStart w:id="22" w:name="_Toc204802984"/>
      <w:bookmarkEnd w:id="22"/>
      <w:bookmarkStart w:id="23" w:name="_Toc204803042"/>
      <w:bookmarkEnd w:id="23"/>
      <w:bookmarkStart w:id="24" w:name="_Toc204803102"/>
      <w:bookmarkEnd w:id="24"/>
      <w:bookmarkStart w:id="25" w:name="_Toc204802983"/>
      <w:bookmarkEnd w:id="25"/>
      <w:bookmarkStart w:id="26" w:name="_Toc204803043"/>
      <w:bookmarkEnd w:id="26"/>
      <w:bookmarkStart w:id="27" w:name="_Toc204802985"/>
      <w:bookmarkEnd w:id="27"/>
      <w:bookmarkStart w:id="28" w:name="_Toc204802924"/>
      <w:bookmarkEnd w:id="28"/>
      <w:r>
        <w:rPr>
          <w:rFonts w:hint="eastAsia"/>
          <w:b/>
          <w:bCs/>
        </w:rPr>
        <w:t>空间管理：</w:t>
      </w:r>
      <w:r>
        <w:t>存储资源与项目绑定，划分为项目共享空间（/share）与个人私有空间（/personal），便于团队协作与个体管理。</w:t>
      </w:r>
    </w:p>
    <w:p w14:paraId="260E9C44">
      <w:pPr>
        <w:pStyle w:val="27"/>
        <w:numPr>
          <w:ilvl w:val="0"/>
          <w:numId w:val="3"/>
        </w:numPr>
      </w:pPr>
      <w:r>
        <w:rPr>
          <w:rFonts w:hint="eastAsia"/>
          <w:b/>
          <w:bCs/>
        </w:rPr>
        <w:t>目录及导航：</w:t>
      </w:r>
      <w:r>
        <w:t>提供清晰可视化的</w:t>
      </w:r>
      <w:r>
        <w:rPr>
          <w:rStyle w:val="34"/>
          <w:b w:val="0"/>
          <w:bCs w:val="0"/>
        </w:rPr>
        <w:t>目录结构浏览</w:t>
      </w:r>
      <w:r>
        <w:t>与导航能力。</w:t>
      </w:r>
    </w:p>
    <w:p w14:paraId="78134B22">
      <w:pPr>
        <w:pStyle w:val="27"/>
        <w:ind w:left="0"/>
      </w:pPr>
      <w:r>
        <w:rPr>
          <w:rFonts w:hint="eastAsia"/>
        </w:rPr>
        <w:t>还具备</w:t>
      </w:r>
      <w:r>
        <w:t>完整的文件管理功能</w:t>
      </w:r>
      <w:r>
        <w:rPr>
          <w:rFonts w:hint="eastAsia"/>
        </w:rPr>
        <w:t>，如下：</w:t>
      </w:r>
    </w:p>
    <w:p w14:paraId="15EDB483">
      <w:pPr>
        <w:pStyle w:val="70"/>
        <w:numPr>
          <w:ilvl w:val="0"/>
          <w:numId w:val="3"/>
        </w:numPr>
      </w:pPr>
      <w:r>
        <w:rPr>
          <w:b/>
          <w:bCs/>
        </w:rPr>
        <w:t>文件来源：</w:t>
      </w:r>
      <w:r>
        <w:t>支持本地上传、数据</w:t>
      </w:r>
      <w:r>
        <w:rPr>
          <w:rFonts w:hint="eastAsia"/>
        </w:rPr>
        <w:t>集</w:t>
      </w:r>
      <w:r>
        <w:t>挂载等多渠道接入</w:t>
      </w:r>
      <w:r>
        <w:rPr>
          <w:rFonts w:hint="eastAsia"/>
        </w:rPr>
        <w:t>文件；支持通过平台上的开发机执行</w:t>
      </w:r>
      <w:r>
        <w:t>GitHub</w:t>
      </w:r>
      <w:r>
        <w:rPr>
          <w:rFonts w:hint="eastAsia"/>
        </w:rPr>
        <w:t>操作。</w:t>
      </w:r>
    </w:p>
    <w:p w14:paraId="2C9DE7E5">
      <w:pPr>
        <w:pStyle w:val="70"/>
        <w:numPr>
          <w:ilvl w:val="0"/>
          <w:numId w:val="3"/>
        </w:numPr>
      </w:pPr>
      <w:r>
        <w:rPr>
          <w:b/>
          <w:bCs/>
        </w:rPr>
        <w:t>文件操作</w:t>
      </w:r>
      <w:r>
        <w:t>：支持文件/目录的在线新建、复制、移动、重命名、下载等基本操作</w:t>
      </w:r>
      <w:r>
        <w:rPr>
          <w:rFonts w:hint="eastAsia"/>
        </w:rPr>
        <w:t>。</w:t>
      </w:r>
    </w:p>
    <w:p w14:paraId="7A820E91">
      <w:pPr>
        <w:pStyle w:val="70"/>
        <w:numPr>
          <w:ilvl w:val="0"/>
          <w:numId w:val="3"/>
        </w:numPr>
      </w:pPr>
      <w:r>
        <w:rPr>
          <w:b/>
          <w:bCs/>
        </w:rPr>
        <w:t>可视化编辑</w:t>
      </w:r>
      <w:r>
        <w:rPr>
          <w:rFonts w:hint="eastAsia"/>
        </w:rPr>
        <w:t>：</w:t>
      </w:r>
      <w:r>
        <w:t>支持 .py、.html 等多种格式文件的在线预览与编辑。</w:t>
      </w:r>
    </w:p>
    <w:p w14:paraId="62736FB1">
      <w:pPr>
        <w:pStyle w:val="70"/>
        <w:numPr>
          <w:ilvl w:val="0"/>
          <w:numId w:val="3"/>
        </w:numPr>
      </w:pPr>
      <w:r>
        <w:rPr>
          <w:rFonts w:hint="eastAsia"/>
        </w:rPr>
        <w:t>要求</w:t>
      </w:r>
      <w:r>
        <w:t>支持</w:t>
      </w:r>
      <w:r>
        <w:rPr>
          <w:rFonts w:hint="eastAsia"/>
        </w:rPr>
        <w:t>为</w:t>
      </w:r>
      <w:r>
        <w:t>项目创建共享数据集，并</w:t>
      </w:r>
      <w:r>
        <w:rPr>
          <w:rFonts w:hint="eastAsia"/>
        </w:rPr>
        <w:t>具备</w:t>
      </w:r>
      <w:r>
        <w:t>成员可见性权限设置</w:t>
      </w:r>
      <w:r>
        <w:rPr>
          <w:rFonts w:hint="eastAsia"/>
        </w:rPr>
        <w:t>与</w:t>
      </w:r>
      <w:r>
        <w:t>数据集版本控制</w:t>
      </w:r>
      <w:r>
        <w:rPr>
          <w:rFonts w:hint="eastAsia"/>
        </w:rPr>
        <w:t>的功能，</w:t>
      </w:r>
      <w:r>
        <w:t>不同于普通网盘类产品</w:t>
      </w:r>
      <w:r>
        <w:rPr>
          <w:rFonts w:hint="eastAsia"/>
        </w:rPr>
        <w:t>，</w:t>
      </w:r>
      <w:r>
        <w:t>数据集挂载、版本控制与权限设置涉及复杂的存储与分布式文件系统管理</w:t>
      </w:r>
      <w:r>
        <w:rPr>
          <w:rFonts w:hint="eastAsia"/>
        </w:rPr>
        <w:t>。</w:t>
      </w:r>
    </w:p>
    <w:p w14:paraId="41F3A409">
      <w:pPr>
        <w:pStyle w:val="70"/>
        <w:numPr>
          <w:ilvl w:val="0"/>
          <w:numId w:val="3"/>
        </w:numPr>
      </w:pPr>
      <w:r>
        <w:t>支持材料学预训练模型数据集</w:t>
      </w:r>
      <w:r>
        <w:rPr>
          <w:rFonts w:hint="eastAsia"/>
        </w:rPr>
        <w:t>。</w:t>
      </w:r>
    </w:p>
    <w:p w14:paraId="4D534F63">
      <w:pPr>
        <w:pStyle w:val="4"/>
        <w:spacing w:before="156" w:after="156" w:line="360" w:lineRule="auto"/>
        <w:rPr>
          <w:rFonts w:hint="eastAsia" w:ascii="宋体" w:hAnsi="宋体" w:eastAsia="宋体" w:cs="宋体"/>
          <w:color w:val="000000"/>
          <w:kern w:val="0"/>
          <w:sz w:val="28"/>
          <w:szCs w:val="28"/>
        </w:rPr>
      </w:pPr>
      <w:bookmarkStart w:id="29" w:name="_Toc204868989"/>
      <w:r>
        <w:rPr>
          <w:rFonts w:hint="eastAsia" w:ascii="宋体" w:hAnsi="宋体" w:eastAsia="宋体" w:cs="宋体"/>
          <w:color w:val="000000"/>
          <w:kern w:val="0"/>
          <w:sz w:val="28"/>
          <w:szCs w:val="28"/>
        </w:rPr>
        <w:t>科研计算与任务管理模块</w:t>
      </w:r>
      <w:bookmarkEnd w:id="29"/>
    </w:p>
    <w:p w14:paraId="350EC218">
      <w:pPr>
        <w:pStyle w:val="70"/>
        <w:numPr>
          <w:ilvl w:val="0"/>
          <w:numId w:val="3"/>
        </w:numPr>
      </w:pPr>
      <w:bookmarkStart w:id="30" w:name="_Toc204803491"/>
      <w:bookmarkEnd w:id="30"/>
      <w:bookmarkStart w:id="31" w:name="_Toc204803113"/>
      <w:bookmarkEnd w:id="31"/>
      <w:bookmarkStart w:id="32" w:name="_Toc204802996"/>
      <w:bookmarkEnd w:id="32"/>
      <w:bookmarkStart w:id="33" w:name="_Toc204802931"/>
      <w:bookmarkEnd w:id="33"/>
      <w:bookmarkStart w:id="34" w:name="_Toc204803108"/>
      <w:bookmarkEnd w:id="34"/>
      <w:bookmarkStart w:id="35" w:name="_Toc204802928"/>
      <w:bookmarkEnd w:id="35"/>
      <w:bookmarkStart w:id="36" w:name="_Toc204803107"/>
      <w:bookmarkEnd w:id="36"/>
      <w:bookmarkStart w:id="37" w:name="_Toc204803105"/>
      <w:bookmarkEnd w:id="37"/>
      <w:bookmarkStart w:id="38" w:name="_Toc204803109"/>
      <w:bookmarkEnd w:id="38"/>
      <w:bookmarkStart w:id="39" w:name="_Toc204802930"/>
      <w:bookmarkEnd w:id="39"/>
      <w:bookmarkStart w:id="40" w:name="_Toc204802933"/>
      <w:bookmarkEnd w:id="40"/>
      <w:bookmarkStart w:id="41" w:name="_Toc204803047"/>
      <w:bookmarkEnd w:id="41"/>
      <w:bookmarkStart w:id="42" w:name="_Toc204803052"/>
      <w:bookmarkEnd w:id="42"/>
      <w:bookmarkStart w:id="43" w:name="_Toc204803046"/>
      <w:bookmarkEnd w:id="43"/>
      <w:bookmarkStart w:id="44" w:name="_Toc204802995"/>
      <w:bookmarkEnd w:id="44"/>
      <w:bookmarkStart w:id="45" w:name="_Toc204802988"/>
      <w:bookmarkEnd w:id="45"/>
      <w:bookmarkStart w:id="46" w:name="_Toc204802929"/>
      <w:bookmarkEnd w:id="46"/>
      <w:bookmarkStart w:id="47" w:name="_Toc204802934"/>
      <w:bookmarkEnd w:id="47"/>
      <w:bookmarkStart w:id="48" w:name="_Toc204803048"/>
      <w:bookmarkEnd w:id="48"/>
      <w:bookmarkStart w:id="49" w:name="_Toc204803111"/>
      <w:bookmarkEnd w:id="49"/>
      <w:bookmarkStart w:id="50" w:name="_Toc204803106"/>
      <w:bookmarkEnd w:id="50"/>
      <w:bookmarkStart w:id="51" w:name="_Toc204803112"/>
      <w:bookmarkEnd w:id="51"/>
      <w:bookmarkStart w:id="52" w:name="_Toc204802936"/>
      <w:bookmarkEnd w:id="52"/>
      <w:bookmarkStart w:id="53" w:name="_Toc204803050"/>
      <w:bookmarkEnd w:id="53"/>
      <w:bookmarkStart w:id="54" w:name="_Toc204803492"/>
      <w:bookmarkEnd w:id="54"/>
      <w:bookmarkStart w:id="55" w:name="_Toc204803490"/>
      <w:bookmarkEnd w:id="55"/>
      <w:bookmarkStart w:id="56" w:name="_Toc204803055"/>
      <w:bookmarkEnd w:id="56"/>
      <w:bookmarkStart w:id="57" w:name="_Toc204802935"/>
      <w:bookmarkEnd w:id="57"/>
      <w:bookmarkStart w:id="58" w:name="_Toc204803054"/>
      <w:bookmarkEnd w:id="58"/>
      <w:bookmarkStart w:id="59" w:name="_Toc204802994"/>
      <w:bookmarkEnd w:id="59"/>
      <w:bookmarkStart w:id="60" w:name="_Toc204802993"/>
      <w:bookmarkEnd w:id="60"/>
      <w:bookmarkStart w:id="61" w:name="_Toc204803053"/>
      <w:bookmarkEnd w:id="61"/>
      <w:bookmarkStart w:id="62" w:name="_Toc204803049"/>
      <w:bookmarkEnd w:id="62"/>
      <w:bookmarkStart w:id="63" w:name="_Toc204803493"/>
      <w:bookmarkEnd w:id="63"/>
      <w:bookmarkStart w:id="64" w:name="_Toc204802991"/>
      <w:bookmarkEnd w:id="64"/>
      <w:bookmarkStart w:id="65" w:name="_Toc204802989"/>
      <w:bookmarkEnd w:id="65"/>
      <w:bookmarkStart w:id="66" w:name="_Toc204802990"/>
      <w:bookmarkEnd w:id="66"/>
      <w:bookmarkStart w:id="67" w:name="_Toc204803114"/>
      <w:bookmarkEnd w:id="67"/>
      <w:bookmarkStart w:id="68" w:name="_Toc204802927"/>
      <w:bookmarkEnd w:id="68"/>
      <w:bookmarkStart w:id="69" w:name="_Toc204802987"/>
      <w:bookmarkEnd w:id="69"/>
      <w:bookmarkStart w:id="70" w:name="_Toc204803494"/>
      <w:bookmarkEnd w:id="70"/>
      <w:r>
        <w:rPr>
          <w:rFonts w:hint="eastAsia"/>
          <w:b/>
          <w:bCs/>
        </w:rPr>
        <w:t>项目管理：</w:t>
      </w:r>
      <w:r>
        <w:t>支持自行创建项目和参与他人创建的项目；项目中支持添加多个成员；支持给成员设置管理员和普通成员的角色；支持项目与存储绑定，所有成员均可共享统一存储；支持项目与节点绑定；支持项目与数据集绑定。</w:t>
      </w:r>
    </w:p>
    <w:p w14:paraId="38D7E505">
      <w:pPr>
        <w:pStyle w:val="70"/>
        <w:numPr>
          <w:ilvl w:val="0"/>
          <w:numId w:val="3"/>
        </w:numPr>
      </w:pPr>
      <w:r>
        <w:rPr>
          <w:rFonts w:hint="eastAsia"/>
          <w:b/>
          <w:bCs/>
        </w:rPr>
        <w:t>任务调度管理：</w:t>
      </w:r>
      <w:r>
        <w:t>任务应展示任务ID、任务状态、运行时间等基本信息；支持通过任务状态、任务运行时间等信息进行筛选；应用任务支持全选、终止、删除等操作。</w:t>
      </w:r>
    </w:p>
    <w:p w14:paraId="7BF51C0E">
      <w:pPr>
        <w:pStyle w:val="70"/>
        <w:numPr>
          <w:ilvl w:val="0"/>
          <w:numId w:val="3"/>
        </w:numPr>
      </w:pPr>
      <w:r>
        <w:rPr>
          <w:b/>
          <w:bCs/>
        </w:rPr>
        <w:t>镜像</w:t>
      </w:r>
      <w:r>
        <w:rPr>
          <w:rFonts w:hint="eastAsia"/>
          <w:b/>
          <w:bCs/>
        </w:rPr>
        <w:t>管理：</w:t>
      </w:r>
      <w:r>
        <w:t>提供基于云原生技术的容器镜像制备、修改</w:t>
      </w:r>
      <w:r>
        <w:rPr>
          <w:rFonts w:hint="eastAsia"/>
        </w:rPr>
        <w:t>、删除、分享</w:t>
      </w:r>
      <w:r>
        <w:t>；</w:t>
      </w:r>
      <w:r>
        <w:rPr>
          <w:rFonts w:hint="eastAsia"/>
        </w:rPr>
        <w:t>预装</w:t>
      </w:r>
      <w:r>
        <w:t>镜像支持可视化查看包含的软件、镜像大小、创建时间；要求支持通过创建人、名称等对镜像进行检索。</w:t>
      </w:r>
    </w:p>
    <w:p w14:paraId="7CF92044">
      <w:pPr>
        <w:pStyle w:val="70"/>
        <w:numPr>
          <w:ilvl w:val="0"/>
          <w:numId w:val="3"/>
        </w:numPr>
      </w:pPr>
      <w:r>
        <w:rPr>
          <w:rFonts w:hint="eastAsia"/>
          <w:b/>
          <w:bCs/>
        </w:rPr>
        <w:t>预装镜像资源：</w:t>
      </w:r>
      <w:r>
        <w:t>要求根据课程实训需求，预装PyTorch、TensorFlow 等机器学习框架；提供30款以上镜像环境，必须包含AIforMaterials相关 镜像资源，包括DeePMD-kit、DPGEN、LAMMPS、CP2K、ABACUS等，以满足师生在材料学数据准备、编译调试、任务计算等场景中的使用需求。</w:t>
      </w:r>
    </w:p>
    <w:p w14:paraId="4D5EA4B7">
      <w:pPr>
        <w:pStyle w:val="70"/>
        <w:numPr>
          <w:ilvl w:val="0"/>
          <w:numId w:val="3"/>
        </w:numPr>
      </w:pPr>
      <w:r>
        <w:rPr>
          <w:rFonts w:hint="eastAsia"/>
          <w:b/>
          <w:bCs/>
        </w:rPr>
        <w:t>算力资源对接：</w:t>
      </w:r>
      <w:r>
        <w:rPr>
          <w:rFonts w:hint="eastAsia"/>
        </w:rPr>
        <w:t>要求</w:t>
      </w:r>
      <w:r>
        <w:t>具备对接校内算力资源池的能力，并在任务调度中使用该资源；</w:t>
      </w:r>
      <w:r>
        <w:rPr>
          <w:rFonts w:hint="eastAsia"/>
        </w:rPr>
        <w:t>平台内</w:t>
      </w:r>
      <w:r>
        <w:t>具备完整费用结算闭环机制</w:t>
      </w:r>
      <w:r>
        <w:rPr>
          <w:rFonts w:hint="eastAsia"/>
        </w:rPr>
        <w:t>。同时</w:t>
      </w:r>
      <w:r>
        <w:rPr>
          <w:sz w:val="24"/>
          <w:szCs w:val="24"/>
        </w:rPr>
        <w:t>要求满足灵活的算力调度策略配置，支持按照用户、镜像、规格等多维度设置策略，多集群可以按照优先级、百分比、水位线等方式进行调度。</w:t>
      </w:r>
    </w:p>
    <w:p w14:paraId="2D2B57DF">
      <w:pPr>
        <w:pStyle w:val="4"/>
        <w:spacing w:before="156" w:after="156" w:line="360" w:lineRule="auto"/>
        <w:rPr>
          <w:rFonts w:ascii="宋体" w:hAnsi="宋体" w:cs="宋体"/>
          <w:color w:val="000000"/>
          <w:kern w:val="0"/>
          <w:sz w:val="28"/>
          <w:szCs w:val="28"/>
        </w:rPr>
      </w:pPr>
      <w:bookmarkStart w:id="71" w:name="_Toc204868898"/>
      <w:bookmarkEnd w:id="71"/>
      <w:bookmarkStart w:id="72" w:name="_Toc204868990"/>
      <w:bookmarkEnd w:id="72"/>
      <w:bookmarkStart w:id="73" w:name="_Toc204868991"/>
      <w:bookmarkStart w:id="74" w:name="OLE_LINK16"/>
      <w:r>
        <w:rPr>
          <w:rFonts w:hint="eastAsia" w:ascii="宋体" w:hAnsi="宋体" w:cs="宋体"/>
          <w:color w:val="000000"/>
          <w:kern w:val="0"/>
          <w:sz w:val="28"/>
          <w:szCs w:val="28"/>
        </w:rPr>
        <w:t>数据库相关模块</w:t>
      </w:r>
      <w:bookmarkEnd w:id="73"/>
    </w:p>
    <w:bookmarkEnd w:id="74"/>
    <w:p w14:paraId="21137F3E">
      <w:pPr>
        <w:pStyle w:val="56"/>
        <w:numPr>
          <w:ilvl w:val="0"/>
          <w:numId w:val="3"/>
        </w:numPr>
      </w:pPr>
      <w:r>
        <w:rPr>
          <w:rFonts w:hint="eastAsia"/>
        </w:rPr>
        <w:t>数据库检索：支持元素周期表检索形式；支持直接输入化学式或分子式进行检索；支持提供绘制分子</w:t>
      </w:r>
      <w:r>
        <w:t>2D结构，并对绘制的分子2D结构直接检索功能。</w:t>
      </w:r>
    </w:p>
    <w:p w14:paraId="72D6DAFA">
      <w:pPr>
        <w:pStyle w:val="70"/>
        <w:numPr>
          <w:ilvl w:val="0"/>
          <w:numId w:val="3"/>
        </w:numPr>
      </w:pPr>
      <w:r>
        <w:rPr>
          <w:b/>
          <w:bCs/>
        </w:rPr>
        <w:t>数据导入导出</w:t>
      </w:r>
      <w:r>
        <w:rPr>
          <w:rFonts w:hint="eastAsia"/>
          <w:b/>
          <w:bCs/>
        </w:rPr>
        <w:t>：</w:t>
      </w:r>
      <w:r>
        <w:t>支持数据以表格格式（xlsx</w:t>
      </w:r>
      <w:r>
        <w:rPr>
          <w:rFonts w:hint="eastAsia"/>
        </w:rPr>
        <w:t>及</w:t>
      </w:r>
      <w:r>
        <w:t>csv）导入导出；支持数据的导入以及计算结果入库。</w:t>
      </w:r>
    </w:p>
    <w:p w14:paraId="379BA846">
      <w:pPr>
        <w:pStyle w:val="70"/>
        <w:numPr>
          <w:ilvl w:val="0"/>
          <w:numId w:val="3"/>
        </w:numPr>
      </w:pPr>
      <w:r>
        <w:rPr>
          <w:b/>
          <w:bCs/>
        </w:rPr>
        <w:t>数据统计分析及可视化</w:t>
      </w:r>
      <w:r>
        <w:rPr>
          <w:rFonts w:hint="eastAsia"/>
          <w:b/>
          <w:bCs/>
        </w:rPr>
        <w:t>：</w:t>
      </w:r>
      <w:r>
        <w:t>支持线性/非线性回归、方差分析等统计方法；具备多种图形展示（柱状图、饼图、散点图、小提琴图等）；支持均值、中位数、方差等统计计算。</w:t>
      </w:r>
    </w:p>
    <w:p w14:paraId="69935E38">
      <w:pPr>
        <w:pStyle w:val="70"/>
        <w:numPr>
          <w:ilvl w:val="0"/>
          <w:numId w:val="3"/>
        </w:numPr>
      </w:pPr>
      <w:r>
        <w:rPr>
          <w:b/>
          <w:bCs/>
        </w:rPr>
        <w:t>数据清洗</w:t>
      </w:r>
      <w:r>
        <w:rPr>
          <w:rFonts w:hint="eastAsia"/>
          <w:b/>
          <w:bCs/>
        </w:rPr>
        <w:t>：</w:t>
      </w:r>
      <w:r>
        <w:t>自动检测与处理缺失值、异常值，支持多种清洗策略（均值、中位数、自定义值填充等），异常值高亮标识。</w:t>
      </w:r>
    </w:p>
    <w:p w14:paraId="0A050B10">
      <w:pPr>
        <w:pStyle w:val="70"/>
        <w:numPr>
          <w:ilvl w:val="0"/>
          <w:numId w:val="3"/>
        </w:numPr>
      </w:pPr>
      <w:r>
        <w:rPr>
          <w:b/>
          <w:bCs/>
        </w:rPr>
        <w:t>数据表管理</w:t>
      </w:r>
      <w:r>
        <w:rPr>
          <w:rFonts w:hint="eastAsia"/>
          <w:b/>
          <w:bCs/>
        </w:rPr>
        <w:t>：</w:t>
      </w:r>
      <w:r>
        <w:rPr>
          <w:rFonts w:hint="eastAsia"/>
        </w:rPr>
        <w:t>支持自定义表结构修改，</w:t>
      </w:r>
      <w:r>
        <w:t>支持</w:t>
      </w:r>
      <w:r>
        <w:rPr>
          <w:rFonts w:hint="eastAsia"/>
        </w:rPr>
        <w:t>新建多个数据表，支持数据</w:t>
      </w:r>
      <w:r>
        <w:t>多表</w:t>
      </w:r>
      <w:r>
        <w:rPr>
          <w:rFonts w:hint="eastAsia"/>
        </w:rPr>
        <w:t>关联</w:t>
      </w:r>
      <w:r>
        <w:t>。</w:t>
      </w:r>
    </w:p>
    <w:p w14:paraId="1C2E9D1D">
      <w:pPr>
        <w:pStyle w:val="70"/>
        <w:numPr>
          <w:ilvl w:val="0"/>
          <w:numId w:val="3"/>
        </w:numPr>
      </w:pPr>
      <w:r>
        <w:rPr>
          <w:rFonts w:hint="eastAsia"/>
          <w:b/>
          <w:bCs/>
        </w:rPr>
        <w:t>数据安全管理：</w:t>
      </w:r>
      <w:r>
        <w:t>支持权限角色划分和管理、数据库操作审批、操作记录查询检索、导出日志等数据安全功能。支持对平台上发生的异步操作来给相关用户发送通知；支持用户对特定消息进行查看和筛选。</w:t>
      </w:r>
    </w:p>
    <w:p w14:paraId="434E1204">
      <w:pPr>
        <w:pStyle w:val="70"/>
        <w:numPr>
          <w:ilvl w:val="0"/>
          <w:numId w:val="3"/>
        </w:numPr>
        <w:spacing w:before="156" w:after="156" w:line="360" w:lineRule="auto"/>
        <w:rPr>
          <w:b w:val="0"/>
          <w:bCs w:val="0"/>
        </w:rPr>
      </w:pPr>
      <w:r>
        <w:rPr>
          <w:rFonts w:hint="eastAsia"/>
          <w:b/>
          <w:bCs/>
        </w:rPr>
        <w:t>数据文件预览</w:t>
      </w:r>
      <w:r>
        <w:rPr>
          <w:rFonts w:hint="eastAsia"/>
        </w:rPr>
        <w:t>：要求实现分子轨迹文件</w:t>
      </w:r>
      <w:r>
        <w:t>dump、lammpstrj，分子结构信息 pdb、sdf、mol、mol2文件的在线预览。</w:t>
      </w:r>
    </w:p>
    <w:p w14:paraId="6F7A3F7A">
      <w:pPr>
        <w:pStyle w:val="3"/>
        <w:spacing w:before="156" w:after="156" w:line="360" w:lineRule="auto"/>
        <w:rPr>
          <w:rFonts w:ascii="宋体" w:hAnsi="宋体"/>
        </w:rPr>
      </w:pPr>
      <w:bookmarkStart w:id="75" w:name="_Toc204802940"/>
      <w:bookmarkEnd w:id="75"/>
      <w:bookmarkStart w:id="76" w:name="_Toc204803499"/>
      <w:bookmarkEnd w:id="76"/>
      <w:bookmarkStart w:id="77" w:name="_Toc204803442"/>
      <w:bookmarkEnd w:id="77"/>
      <w:bookmarkStart w:id="78" w:name="_Toc204803329"/>
      <w:bookmarkEnd w:id="78"/>
      <w:bookmarkStart w:id="79" w:name="_Toc204803059"/>
      <w:bookmarkEnd w:id="79"/>
      <w:bookmarkStart w:id="80" w:name="_Toc204803000"/>
      <w:bookmarkEnd w:id="80"/>
      <w:bookmarkStart w:id="81" w:name="_Toc204803118"/>
      <w:bookmarkEnd w:id="81"/>
      <w:bookmarkStart w:id="82" w:name="_Toc204803544"/>
      <w:bookmarkEnd w:id="82"/>
      <w:bookmarkStart w:id="83" w:name="_Toc204868993"/>
      <w:bookmarkEnd w:id="83"/>
      <w:bookmarkStart w:id="84" w:name="_Toc204868901"/>
      <w:bookmarkEnd w:id="84"/>
      <w:bookmarkStart w:id="85" w:name="_Toc204868994"/>
      <w:r>
        <w:rPr>
          <w:rFonts w:hint="eastAsia" w:ascii="宋体" w:hAnsi="宋体"/>
        </w:rPr>
        <w:t>性能要求</w:t>
      </w:r>
      <w:bookmarkEnd w:id="85"/>
    </w:p>
    <w:p w14:paraId="3FE224A1">
      <w:pPr>
        <w:pStyle w:val="4"/>
        <w:spacing w:before="156" w:after="156"/>
      </w:pPr>
      <w:bookmarkStart w:id="86" w:name="_Toc204868995"/>
      <w:r>
        <w:rPr>
          <w:rFonts w:hint="eastAsia"/>
        </w:rPr>
        <w:t>稳定可靠</w:t>
      </w:r>
      <w:bookmarkEnd w:id="86"/>
    </w:p>
    <w:p w14:paraId="61A41153">
      <w:pPr>
        <w:ind w:firstLine="480"/>
      </w:pPr>
      <w:r>
        <w:rPr>
          <w:rFonts w:hint="eastAsia"/>
        </w:rPr>
        <w:t>运行稳定、安全可靠、实用性强，若软件部署环境可用率可满足在99.5%以上，系统在访问高峰期的接口可用率达到99%以上。</w:t>
      </w:r>
    </w:p>
    <w:p w14:paraId="6E397903">
      <w:pPr>
        <w:pStyle w:val="4"/>
        <w:spacing w:before="156" w:after="156"/>
      </w:pPr>
      <w:bookmarkStart w:id="87" w:name="_Toc204868996"/>
      <w:r>
        <w:rPr>
          <w:rFonts w:hint="eastAsia"/>
        </w:rPr>
        <w:t>高效响应</w:t>
      </w:r>
      <w:bookmarkEnd w:id="87"/>
    </w:p>
    <w:p w14:paraId="2DE45C74">
      <w:pPr>
        <w:ind w:firstLine="480"/>
      </w:pPr>
      <w:r>
        <w:rPr>
          <w:rFonts w:hint="eastAsia"/>
        </w:rPr>
        <w:t>在软件部署环境支持下：可根据数据、资源访问可用率对数据、资源进行冷热物理存储分离，有效使用匹配基础设施资源；同时，前台用户级应用型页面响应时间1秒以内，后台用户级带有复杂算法查询的页面在3秒以内响应。</w:t>
      </w:r>
    </w:p>
    <w:p w14:paraId="2CBBAB6E">
      <w:pPr>
        <w:pStyle w:val="4"/>
        <w:spacing w:before="156" w:after="156"/>
      </w:pPr>
      <w:bookmarkStart w:id="88" w:name="_Toc204868997"/>
      <w:r>
        <w:rPr>
          <w:rFonts w:hint="eastAsia"/>
        </w:rPr>
        <w:t>兼容适应性</w:t>
      </w:r>
      <w:bookmarkEnd w:id="88"/>
    </w:p>
    <w:p w14:paraId="36AC53E8">
      <w:pPr>
        <w:ind w:firstLine="480"/>
      </w:pPr>
      <w:r>
        <w:rPr>
          <w:rFonts w:hint="eastAsia"/>
        </w:rPr>
        <w:t>浏览器兼容性好，支持Chrome、Edge等主流桌面操作系统内核浏览器应用软件浏览和操作。</w:t>
      </w:r>
    </w:p>
    <w:p w14:paraId="0C1BC6EC">
      <w:pPr>
        <w:pStyle w:val="3"/>
        <w:spacing w:before="156" w:after="156"/>
      </w:pPr>
      <w:bookmarkStart w:id="89" w:name="_Toc204868998"/>
      <w:r>
        <w:rPr>
          <w:rFonts w:hint="eastAsia"/>
        </w:rPr>
        <w:t>数据安全要求</w:t>
      </w:r>
      <w:bookmarkEnd w:id="89"/>
    </w:p>
    <w:p w14:paraId="20AB04D5">
      <w:pPr>
        <w:ind w:firstLine="480"/>
      </w:pPr>
      <w:r>
        <w:rPr>
          <w:rFonts w:hint="eastAsia"/>
        </w:rPr>
        <w:t>除了保证平台的流畅性和良好的操作性能外，由于平台中包含用户的人员信息和数据资产，涉及到学校和学生的信息安全和个人隐私，因此安全性尤为重要。为确保系统安全，该平台应满足以下几点要求：</w:t>
      </w:r>
    </w:p>
    <w:p w14:paraId="5BE52297">
      <w:pPr>
        <w:pStyle w:val="4"/>
        <w:spacing w:before="156" w:after="156"/>
      </w:pPr>
      <w:bookmarkStart w:id="90" w:name="_Toc204868999"/>
      <w:r>
        <w:rPr>
          <w:rFonts w:hint="eastAsia"/>
        </w:rPr>
        <w:t>访问控制</w:t>
      </w:r>
      <w:bookmarkEnd w:id="90"/>
    </w:p>
    <w:p w14:paraId="006CD214">
      <w:pPr>
        <w:ind w:firstLine="480"/>
      </w:pPr>
      <w:r>
        <w:rPr>
          <w:rFonts w:hint="eastAsia"/>
        </w:rPr>
        <w:t>对用户访问网络资源的权限进行严格的认证和控制。例如，进行用户身份认证，对口令等信息进行加密、更新和鉴别，设置用户访问数据的权限等等。</w:t>
      </w:r>
    </w:p>
    <w:p w14:paraId="11BF8772">
      <w:pPr>
        <w:pStyle w:val="4"/>
        <w:spacing w:before="156" w:after="156"/>
      </w:pPr>
      <w:bookmarkStart w:id="91" w:name="_Toc204803126"/>
      <w:bookmarkEnd w:id="91"/>
      <w:bookmarkStart w:id="92" w:name="_Toc204868909"/>
      <w:bookmarkEnd w:id="92"/>
      <w:bookmarkStart w:id="93" w:name="_Toc204803066"/>
      <w:bookmarkEnd w:id="93"/>
      <w:bookmarkStart w:id="94" w:name="_Toc204803506"/>
      <w:bookmarkEnd w:id="94"/>
      <w:bookmarkStart w:id="95" w:name="_Toc204803067"/>
      <w:bookmarkEnd w:id="95"/>
      <w:bookmarkStart w:id="96" w:name="_Toc204803008"/>
      <w:bookmarkEnd w:id="96"/>
      <w:bookmarkStart w:id="97" w:name="_Toc204803507"/>
      <w:bookmarkEnd w:id="97"/>
      <w:bookmarkStart w:id="98" w:name="_Toc204803450"/>
      <w:bookmarkEnd w:id="98"/>
      <w:bookmarkStart w:id="99" w:name="_Toc204792065"/>
      <w:bookmarkEnd w:id="99"/>
      <w:bookmarkStart w:id="100" w:name="_Toc204802947"/>
      <w:bookmarkEnd w:id="100"/>
      <w:bookmarkStart w:id="101" w:name="_Toc204803449"/>
      <w:bookmarkEnd w:id="101"/>
      <w:bookmarkStart w:id="102" w:name="_Toc204869000"/>
      <w:bookmarkEnd w:id="102"/>
      <w:bookmarkStart w:id="103" w:name="_Toc204803552"/>
      <w:bookmarkEnd w:id="103"/>
      <w:bookmarkStart w:id="104" w:name="_Toc204803007"/>
      <w:bookmarkEnd w:id="104"/>
      <w:bookmarkStart w:id="105" w:name="_Toc204803336"/>
      <w:bookmarkEnd w:id="105"/>
      <w:bookmarkStart w:id="106" w:name="_Toc204869001"/>
      <w:bookmarkEnd w:id="106"/>
      <w:bookmarkStart w:id="107" w:name="_Toc204803551"/>
      <w:bookmarkEnd w:id="107"/>
      <w:bookmarkStart w:id="108" w:name="_Toc204803337"/>
      <w:bookmarkEnd w:id="108"/>
      <w:bookmarkStart w:id="109" w:name="_Toc204802948"/>
      <w:bookmarkEnd w:id="109"/>
      <w:bookmarkStart w:id="110" w:name="_Toc204803125"/>
      <w:bookmarkEnd w:id="110"/>
      <w:bookmarkStart w:id="111" w:name="_Toc204792066"/>
      <w:bookmarkEnd w:id="111"/>
      <w:bookmarkStart w:id="112" w:name="_Toc204868908"/>
      <w:bookmarkEnd w:id="112"/>
      <w:bookmarkStart w:id="113" w:name="_Toc204869002"/>
      <w:r>
        <w:rPr>
          <w:rFonts w:hint="eastAsia"/>
        </w:rPr>
        <w:t>权限安全</w:t>
      </w:r>
      <w:bookmarkEnd w:id="113"/>
    </w:p>
    <w:p w14:paraId="7BBBEC50">
      <w:pPr>
        <w:ind w:firstLine="420"/>
      </w:pPr>
      <w:r>
        <w:t>在平台上，权限是基于最小权限原则进行分配的，即用户只能获得完成其任务所必需的最少权限。这不仅可以减少安全风险，还可以避免不必要的操作错误。权限的具体分配包括：</w:t>
      </w:r>
    </w:p>
    <w:p w14:paraId="7365B956">
      <w:pPr>
        <w:tabs>
          <w:tab w:val="left" w:pos="1440"/>
        </w:tabs>
        <w:wordWrap w:val="0"/>
        <w:ind w:left="357"/>
      </w:pPr>
      <w:r>
        <w:rPr>
          <w:b/>
          <w:bCs/>
        </w:rPr>
        <w:t>任务管理权限</w:t>
      </w:r>
      <w:r>
        <w:t>：允许用户提交、修改、删除和查询计算任务。</w:t>
      </w:r>
    </w:p>
    <w:p w14:paraId="067CA13C">
      <w:pPr>
        <w:tabs>
          <w:tab w:val="left" w:pos="1440"/>
        </w:tabs>
        <w:wordWrap w:val="0"/>
        <w:ind w:left="357"/>
      </w:pPr>
      <w:r>
        <w:rPr>
          <w:b/>
          <w:bCs/>
        </w:rPr>
        <w:t>配置权限</w:t>
      </w:r>
      <w:r>
        <w:t>：允许用户或管理员修改系统设置功能。</w:t>
      </w:r>
    </w:p>
    <w:p w14:paraId="63522C79">
      <w:pPr>
        <w:pStyle w:val="4"/>
        <w:spacing w:before="156" w:after="156"/>
      </w:pPr>
      <w:bookmarkStart w:id="114" w:name="_Toc204803509"/>
      <w:bookmarkEnd w:id="114"/>
      <w:bookmarkStart w:id="115" w:name="_Toc204803128"/>
      <w:bookmarkEnd w:id="115"/>
      <w:bookmarkStart w:id="116" w:name="_Toc204803010"/>
      <w:bookmarkEnd w:id="116"/>
      <w:bookmarkStart w:id="117" w:name="_Toc204803069"/>
      <w:bookmarkEnd w:id="117"/>
      <w:bookmarkStart w:id="118" w:name="_Toc204869003"/>
      <w:bookmarkEnd w:id="118"/>
      <w:bookmarkStart w:id="119" w:name="_Toc204802950"/>
      <w:bookmarkEnd w:id="119"/>
      <w:bookmarkStart w:id="120" w:name="_Toc204803339"/>
      <w:bookmarkEnd w:id="120"/>
      <w:bookmarkStart w:id="121" w:name="_Toc204803452"/>
      <w:bookmarkEnd w:id="121"/>
      <w:bookmarkStart w:id="122" w:name="_Toc204868911"/>
      <w:bookmarkEnd w:id="122"/>
      <w:bookmarkStart w:id="123" w:name="_Toc204803554"/>
      <w:bookmarkEnd w:id="123"/>
      <w:bookmarkStart w:id="124" w:name="_Toc204792068"/>
      <w:bookmarkEnd w:id="124"/>
      <w:bookmarkStart w:id="125" w:name="_Toc204869004"/>
      <w:r>
        <w:rPr>
          <w:rFonts w:hint="eastAsia"/>
        </w:rPr>
        <w:t>数据备份</w:t>
      </w:r>
      <w:bookmarkEnd w:id="125"/>
    </w:p>
    <w:p w14:paraId="6280FC24">
      <w:pPr>
        <w:ind w:firstLine="480"/>
      </w:pPr>
      <w:bookmarkStart w:id="126" w:name="_Toc168990506"/>
      <w:r>
        <w:rPr>
          <w:rFonts w:hint="eastAsia"/>
        </w:rPr>
        <w:t>数据备份是信息系统安全策略中必须的一步，是增强数据可靠性的一项重要内容，能够最大限度地减少因软硬件故障造成数据丢失导致的不良后果。平台应具备自动化的数据备份机制，确保关键数据的定期备份，并保证备份数据的安全性。</w:t>
      </w:r>
      <w:bookmarkEnd w:id="126"/>
    </w:p>
    <w:p w14:paraId="0955D749">
      <w:pPr>
        <w:pStyle w:val="4"/>
        <w:spacing w:before="156" w:after="156"/>
      </w:pPr>
      <w:bookmarkStart w:id="127" w:name="_Toc204869005"/>
      <w:r>
        <w:rPr>
          <w:rFonts w:hint="eastAsia"/>
        </w:rPr>
        <w:t>访问控制安全</w:t>
      </w:r>
      <w:bookmarkEnd w:id="127"/>
    </w:p>
    <w:p w14:paraId="3D30B5B4">
      <w:pPr>
        <w:ind w:firstLine="480"/>
      </w:pPr>
      <w:r>
        <w:rPr>
          <w:rFonts w:hint="eastAsia"/>
        </w:rPr>
        <w:t>访问控制是数据库基本安全的重要核心，包含用户帐号管理、密码控制策略、用户权限控制和用户身份认证等方面。平台必须实现基于角色的访问控制，确保用户访问权限的合理分配，并进行严格的身份验证。</w:t>
      </w:r>
    </w:p>
    <w:p w14:paraId="43708420">
      <w:pPr>
        <w:pStyle w:val="2"/>
        <w:tabs>
          <w:tab w:val="clear" w:pos="432"/>
        </w:tabs>
        <w:rPr>
          <w:rFonts w:ascii="宋体" w:hAnsi="宋体"/>
        </w:rPr>
      </w:pPr>
      <w:bookmarkStart w:id="128" w:name="_Toc204869007"/>
      <w:bookmarkEnd w:id="128"/>
      <w:bookmarkStart w:id="129" w:name="_Toc204803073"/>
      <w:bookmarkEnd w:id="129"/>
      <w:bookmarkStart w:id="130" w:name="_Toc204803558"/>
      <w:bookmarkEnd w:id="130"/>
      <w:bookmarkStart w:id="131" w:name="_Toc204792072"/>
      <w:bookmarkEnd w:id="131"/>
      <w:bookmarkStart w:id="132" w:name="_Toc204803132"/>
      <w:bookmarkEnd w:id="132"/>
      <w:bookmarkStart w:id="133" w:name="_Toc204803133"/>
      <w:bookmarkEnd w:id="133"/>
      <w:bookmarkStart w:id="134" w:name="_Toc204792073"/>
      <w:bookmarkEnd w:id="134"/>
      <w:bookmarkStart w:id="135" w:name="_Toc204803457"/>
      <w:bookmarkEnd w:id="135"/>
      <w:bookmarkStart w:id="136" w:name="_Toc204792071"/>
      <w:bookmarkEnd w:id="136"/>
      <w:bookmarkStart w:id="137" w:name="_Toc204803512"/>
      <w:bookmarkEnd w:id="137"/>
      <w:bookmarkStart w:id="138" w:name="_Toc204803559"/>
      <w:bookmarkEnd w:id="138"/>
      <w:bookmarkStart w:id="139" w:name="_Toc204802953"/>
      <w:bookmarkEnd w:id="139"/>
      <w:bookmarkStart w:id="140" w:name="_Toc204803456"/>
      <w:bookmarkEnd w:id="140"/>
      <w:bookmarkStart w:id="141" w:name="_Toc204802955"/>
      <w:bookmarkEnd w:id="141"/>
      <w:bookmarkStart w:id="142" w:name="_Toc204868916"/>
      <w:bookmarkEnd w:id="142"/>
      <w:bookmarkStart w:id="143" w:name="_Toc204803557"/>
      <w:bookmarkEnd w:id="143"/>
      <w:bookmarkStart w:id="144" w:name="_Toc204803344"/>
      <w:bookmarkEnd w:id="144"/>
      <w:bookmarkStart w:id="145" w:name="_Toc204868914"/>
      <w:bookmarkEnd w:id="145"/>
      <w:bookmarkStart w:id="146" w:name="_Toc204869006"/>
      <w:bookmarkEnd w:id="146"/>
      <w:bookmarkStart w:id="147" w:name="_Toc204803343"/>
      <w:bookmarkEnd w:id="147"/>
      <w:bookmarkStart w:id="148" w:name="_Toc204803342"/>
      <w:bookmarkEnd w:id="148"/>
      <w:bookmarkStart w:id="149" w:name="_Toc204803015"/>
      <w:bookmarkEnd w:id="149"/>
      <w:bookmarkStart w:id="150" w:name="_Toc204868915"/>
      <w:bookmarkEnd w:id="150"/>
      <w:bookmarkStart w:id="151" w:name="_Toc204803455"/>
      <w:bookmarkEnd w:id="151"/>
      <w:bookmarkStart w:id="152" w:name="_Toc204803013"/>
      <w:bookmarkEnd w:id="152"/>
      <w:bookmarkStart w:id="153" w:name="_Toc204803074"/>
      <w:bookmarkEnd w:id="153"/>
      <w:bookmarkStart w:id="154" w:name="_Toc204803072"/>
      <w:bookmarkEnd w:id="154"/>
      <w:bookmarkStart w:id="155" w:name="_Toc204803131"/>
      <w:bookmarkEnd w:id="155"/>
      <w:bookmarkStart w:id="156" w:name="_Toc204803014"/>
      <w:bookmarkEnd w:id="156"/>
      <w:bookmarkStart w:id="157" w:name="_Toc204803513"/>
      <w:bookmarkEnd w:id="157"/>
      <w:bookmarkStart w:id="158" w:name="_Toc204802954"/>
      <w:bookmarkEnd w:id="158"/>
      <w:bookmarkStart w:id="159" w:name="_Toc204803514"/>
      <w:bookmarkEnd w:id="159"/>
      <w:bookmarkStart w:id="160" w:name="_Toc204869008"/>
      <w:bookmarkEnd w:id="160"/>
      <w:bookmarkStart w:id="161" w:name="_Toc204869009"/>
      <w:bookmarkStart w:id="162" w:name="_Toc38476658"/>
      <w:r>
        <w:rPr>
          <w:rFonts w:ascii="宋体" w:hAnsi="宋体"/>
        </w:rPr>
        <w:t>工程实施服务要求</w:t>
      </w:r>
      <w:bookmarkEnd w:id="161"/>
      <w:bookmarkEnd w:id="162"/>
    </w:p>
    <w:p w14:paraId="4E89A2AE">
      <w:pPr>
        <w:pStyle w:val="3"/>
        <w:tabs>
          <w:tab w:val="clear" w:pos="432"/>
          <w:tab w:val="clear" w:pos="576"/>
        </w:tabs>
        <w:spacing w:before="156" w:after="156" w:line="360" w:lineRule="auto"/>
        <w:ind w:left="871" w:hanging="871"/>
        <w:rPr>
          <w:rFonts w:ascii="宋体" w:hAnsi="宋体"/>
        </w:rPr>
      </w:pPr>
      <w:bookmarkStart w:id="163" w:name="_Toc38476659"/>
      <w:bookmarkStart w:id="164" w:name="_Toc204869010"/>
      <w:r>
        <w:rPr>
          <w:rFonts w:ascii="宋体" w:hAnsi="宋体"/>
        </w:rPr>
        <w:t>时间进度要求</w:t>
      </w:r>
      <w:bookmarkEnd w:id="163"/>
      <w:bookmarkEnd w:id="164"/>
    </w:p>
    <w:p w14:paraId="50F02E3C">
      <w:bookmarkStart w:id="165" w:name="_Hlk137645745"/>
      <w:r>
        <w:rPr>
          <w:rFonts w:hint="eastAsia"/>
        </w:rPr>
        <w:t>本项目建设周期为自合同签订生效之日起3个月内完成本项目建设并通过验收，交付进度要求如下：</w:t>
      </w:r>
    </w:p>
    <w:bookmarkEnd w:id="165"/>
    <w:tbl>
      <w:tblPr>
        <w:tblStyle w:val="31"/>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3"/>
        <w:gridCol w:w="1807"/>
        <w:gridCol w:w="3234"/>
        <w:gridCol w:w="2693"/>
      </w:tblGrid>
      <w:tr w14:paraId="55BF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shd w:val="clear" w:color="auto" w:fill="EEECE1"/>
            <w:vAlign w:val="center"/>
          </w:tcPr>
          <w:p w14:paraId="64C8C6DB">
            <w:pPr>
              <w:spacing w:before="120"/>
              <w:rPr>
                <w:sz w:val="21"/>
                <w:szCs w:val="21"/>
              </w:rPr>
            </w:pPr>
            <w:bookmarkStart w:id="166" w:name="_Hlk137645750"/>
            <w:r>
              <w:rPr>
                <w:sz w:val="21"/>
                <w:szCs w:val="21"/>
              </w:rPr>
              <w:t>序号</w:t>
            </w:r>
          </w:p>
        </w:tc>
        <w:tc>
          <w:tcPr>
            <w:tcW w:w="1807" w:type="dxa"/>
            <w:tcBorders>
              <w:top w:val="single" w:color="000000" w:sz="8" w:space="0"/>
              <w:left w:val="single" w:color="000000" w:sz="8" w:space="0"/>
              <w:bottom w:val="single" w:color="000000" w:sz="8" w:space="0"/>
              <w:right w:val="single" w:color="000000" w:sz="8" w:space="0"/>
            </w:tcBorders>
            <w:shd w:val="clear" w:color="auto" w:fill="EEECE1"/>
            <w:vAlign w:val="center"/>
          </w:tcPr>
          <w:p w14:paraId="0581BBDE">
            <w:pPr>
              <w:spacing w:before="120"/>
              <w:rPr>
                <w:sz w:val="21"/>
                <w:szCs w:val="21"/>
              </w:rPr>
            </w:pPr>
            <w:r>
              <w:rPr>
                <w:sz w:val="21"/>
                <w:szCs w:val="21"/>
              </w:rPr>
              <w:t>进度名称</w:t>
            </w:r>
          </w:p>
        </w:tc>
        <w:tc>
          <w:tcPr>
            <w:tcW w:w="3234" w:type="dxa"/>
            <w:tcBorders>
              <w:top w:val="single" w:color="000000" w:sz="8" w:space="0"/>
              <w:left w:val="single" w:color="000000" w:sz="8" w:space="0"/>
              <w:bottom w:val="single" w:color="000000" w:sz="8" w:space="0"/>
              <w:right w:val="single" w:color="000000" w:sz="8" w:space="0"/>
            </w:tcBorders>
            <w:shd w:val="clear" w:color="auto" w:fill="EEECE1"/>
            <w:vAlign w:val="center"/>
          </w:tcPr>
          <w:p w14:paraId="5D10F43C">
            <w:pPr>
              <w:spacing w:before="120"/>
              <w:rPr>
                <w:sz w:val="21"/>
                <w:szCs w:val="21"/>
              </w:rPr>
            </w:pPr>
            <w:r>
              <w:rPr>
                <w:sz w:val="21"/>
                <w:szCs w:val="21"/>
              </w:rPr>
              <w:t>主要工作内容</w:t>
            </w:r>
          </w:p>
        </w:tc>
        <w:tc>
          <w:tcPr>
            <w:tcW w:w="2693" w:type="dxa"/>
            <w:tcBorders>
              <w:top w:val="single" w:color="000000" w:sz="8" w:space="0"/>
              <w:left w:val="single" w:color="000000" w:sz="8" w:space="0"/>
              <w:bottom w:val="single" w:color="000000" w:sz="8" w:space="0"/>
              <w:right w:val="single" w:color="000000" w:sz="8" w:space="0"/>
            </w:tcBorders>
            <w:shd w:val="clear" w:color="auto" w:fill="EEECE1"/>
            <w:vAlign w:val="center"/>
          </w:tcPr>
          <w:p w14:paraId="6E7691AA">
            <w:pPr>
              <w:spacing w:before="120"/>
              <w:rPr>
                <w:sz w:val="21"/>
                <w:szCs w:val="21"/>
              </w:rPr>
            </w:pPr>
            <w:r>
              <w:rPr>
                <w:sz w:val="21"/>
                <w:szCs w:val="21"/>
              </w:rPr>
              <w:t>完成时间（合同签订后</w:t>
            </w:r>
            <w:r>
              <w:rPr>
                <w:rFonts w:hint="eastAsia"/>
                <w:sz w:val="21"/>
                <w:szCs w:val="21"/>
              </w:rPr>
              <w:t>起算</w:t>
            </w:r>
            <w:r>
              <w:rPr>
                <w:sz w:val="21"/>
                <w:szCs w:val="21"/>
              </w:rPr>
              <w:t>）</w:t>
            </w:r>
          </w:p>
        </w:tc>
      </w:tr>
      <w:tr w14:paraId="335D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vAlign w:val="center"/>
          </w:tcPr>
          <w:p w14:paraId="1C9D92B6">
            <w:pPr>
              <w:pStyle w:val="56"/>
              <w:numPr>
                <w:ilvl w:val="0"/>
                <w:numId w:val="4"/>
              </w:numPr>
              <w:adjustRightInd w:val="0"/>
              <w:spacing w:before="120"/>
              <w:rPr>
                <w:szCs w:val="21"/>
              </w:rPr>
            </w:pPr>
          </w:p>
        </w:tc>
        <w:tc>
          <w:tcPr>
            <w:tcW w:w="1807" w:type="dxa"/>
            <w:tcBorders>
              <w:top w:val="single" w:color="000000" w:sz="8" w:space="0"/>
              <w:left w:val="single" w:color="000000" w:sz="8" w:space="0"/>
              <w:bottom w:val="single" w:color="000000" w:sz="8" w:space="0"/>
              <w:right w:val="single" w:color="000000" w:sz="8" w:space="0"/>
            </w:tcBorders>
            <w:vAlign w:val="center"/>
          </w:tcPr>
          <w:p w14:paraId="64121965">
            <w:pPr>
              <w:spacing w:before="120"/>
              <w:rPr>
                <w:sz w:val="21"/>
                <w:szCs w:val="21"/>
              </w:rPr>
            </w:pPr>
            <w:r>
              <w:rPr>
                <w:sz w:val="21"/>
                <w:szCs w:val="21"/>
              </w:rPr>
              <w:t>项目立项</w:t>
            </w:r>
          </w:p>
        </w:tc>
        <w:tc>
          <w:tcPr>
            <w:tcW w:w="3234" w:type="dxa"/>
            <w:tcBorders>
              <w:top w:val="single" w:color="000000" w:sz="8" w:space="0"/>
              <w:left w:val="single" w:color="000000" w:sz="8" w:space="0"/>
              <w:bottom w:val="single" w:color="000000" w:sz="8" w:space="0"/>
              <w:right w:val="single" w:color="000000" w:sz="8" w:space="0"/>
            </w:tcBorders>
            <w:vAlign w:val="center"/>
          </w:tcPr>
          <w:p w14:paraId="25652A42">
            <w:pPr>
              <w:spacing w:before="120"/>
              <w:rPr>
                <w:sz w:val="21"/>
                <w:szCs w:val="21"/>
              </w:rPr>
            </w:pPr>
            <w:r>
              <w:rPr>
                <w:sz w:val="21"/>
                <w:szCs w:val="21"/>
              </w:rPr>
              <w:t>完成项目立项</w:t>
            </w:r>
          </w:p>
        </w:tc>
        <w:tc>
          <w:tcPr>
            <w:tcW w:w="2693" w:type="dxa"/>
            <w:tcBorders>
              <w:top w:val="single" w:color="000000" w:sz="8" w:space="0"/>
              <w:left w:val="single" w:color="000000" w:sz="8" w:space="0"/>
              <w:bottom w:val="single" w:color="000000" w:sz="8" w:space="0"/>
              <w:right w:val="single" w:color="000000" w:sz="8" w:space="0"/>
            </w:tcBorders>
            <w:vAlign w:val="center"/>
          </w:tcPr>
          <w:p w14:paraId="3512F567">
            <w:pPr>
              <w:spacing w:before="120"/>
              <w:rPr>
                <w:sz w:val="21"/>
                <w:szCs w:val="21"/>
              </w:rPr>
            </w:pPr>
            <w:r>
              <w:rPr>
                <w:sz w:val="21"/>
                <w:szCs w:val="21"/>
              </w:rPr>
              <w:t>1周内</w:t>
            </w:r>
          </w:p>
        </w:tc>
      </w:tr>
      <w:tr w14:paraId="69D8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vAlign w:val="center"/>
          </w:tcPr>
          <w:p w14:paraId="1A50362C">
            <w:pPr>
              <w:pStyle w:val="56"/>
              <w:numPr>
                <w:ilvl w:val="0"/>
                <w:numId w:val="4"/>
              </w:numPr>
              <w:adjustRightInd w:val="0"/>
              <w:spacing w:before="120"/>
              <w:rPr>
                <w:szCs w:val="21"/>
              </w:rPr>
            </w:pPr>
          </w:p>
        </w:tc>
        <w:tc>
          <w:tcPr>
            <w:tcW w:w="1807" w:type="dxa"/>
            <w:tcBorders>
              <w:top w:val="single" w:color="000000" w:sz="8" w:space="0"/>
              <w:left w:val="single" w:color="000000" w:sz="8" w:space="0"/>
              <w:bottom w:val="single" w:color="000000" w:sz="8" w:space="0"/>
              <w:right w:val="single" w:color="000000" w:sz="8" w:space="0"/>
            </w:tcBorders>
            <w:vAlign w:val="center"/>
          </w:tcPr>
          <w:p w14:paraId="123AF680">
            <w:pPr>
              <w:spacing w:before="120"/>
              <w:rPr>
                <w:sz w:val="21"/>
                <w:szCs w:val="21"/>
              </w:rPr>
            </w:pPr>
            <w:r>
              <w:rPr>
                <w:sz w:val="21"/>
                <w:szCs w:val="21"/>
              </w:rPr>
              <w:t>系统详细设计</w:t>
            </w:r>
          </w:p>
        </w:tc>
        <w:tc>
          <w:tcPr>
            <w:tcW w:w="3234" w:type="dxa"/>
            <w:tcBorders>
              <w:top w:val="single" w:color="000000" w:sz="8" w:space="0"/>
              <w:left w:val="single" w:color="000000" w:sz="8" w:space="0"/>
              <w:bottom w:val="single" w:color="000000" w:sz="8" w:space="0"/>
              <w:right w:val="single" w:color="000000" w:sz="8" w:space="0"/>
            </w:tcBorders>
            <w:vAlign w:val="center"/>
          </w:tcPr>
          <w:p w14:paraId="7B0F4F08">
            <w:pPr>
              <w:spacing w:before="120"/>
              <w:rPr>
                <w:sz w:val="21"/>
                <w:szCs w:val="21"/>
              </w:rPr>
            </w:pPr>
            <w:r>
              <w:rPr>
                <w:sz w:val="21"/>
                <w:szCs w:val="21"/>
              </w:rPr>
              <w:t>了解业务含义和业务流程，并进行需求分析、详细设计。</w:t>
            </w:r>
          </w:p>
        </w:tc>
        <w:tc>
          <w:tcPr>
            <w:tcW w:w="2693" w:type="dxa"/>
            <w:tcBorders>
              <w:top w:val="single" w:color="000000" w:sz="8" w:space="0"/>
              <w:left w:val="single" w:color="000000" w:sz="8" w:space="0"/>
              <w:bottom w:val="single" w:color="000000" w:sz="8" w:space="0"/>
              <w:right w:val="single" w:color="000000" w:sz="8" w:space="0"/>
            </w:tcBorders>
            <w:vAlign w:val="center"/>
          </w:tcPr>
          <w:p w14:paraId="1557F180">
            <w:pPr>
              <w:spacing w:before="120"/>
              <w:rPr>
                <w:sz w:val="21"/>
                <w:szCs w:val="21"/>
              </w:rPr>
            </w:pPr>
            <w:r>
              <w:rPr>
                <w:sz w:val="21"/>
                <w:szCs w:val="21"/>
              </w:rPr>
              <w:t>2</w:t>
            </w:r>
            <w:r>
              <w:rPr>
                <w:rFonts w:hint="eastAsia"/>
                <w:sz w:val="21"/>
                <w:szCs w:val="21"/>
              </w:rPr>
              <w:t>周</w:t>
            </w:r>
            <w:r>
              <w:rPr>
                <w:sz w:val="21"/>
                <w:szCs w:val="21"/>
              </w:rPr>
              <w:t>内</w:t>
            </w:r>
          </w:p>
        </w:tc>
      </w:tr>
      <w:tr w14:paraId="65A3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vAlign w:val="center"/>
          </w:tcPr>
          <w:p w14:paraId="3170A41C">
            <w:pPr>
              <w:pStyle w:val="56"/>
              <w:numPr>
                <w:ilvl w:val="0"/>
                <w:numId w:val="4"/>
              </w:numPr>
              <w:adjustRightInd w:val="0"/>
              <w:spacing w:before="120"/>
              <w:rPr>
                <w:szCs w:val="21"/>
              </w:rPr>
            </w:pPr>
          </w:p>
        </w:tc>
        <w:tc>
          <w:tcPr>
            <w:tcW w:w="1807" w:type="dxa"/>
            <w:tcBorders>
              <w:top w:val="single" w:color="000000" w:sz="8" w:space="0"/>
              <w:left w:val="single" w:color="000000" w:sz="8" w:space="0"/>
              <w:bottom w:val="single" w:color="000000" w:sz="8" w:space="0"/>
              <w:right w:val="single" w:color="000000" w:sz="8" w:space="0"/>
            </w:tcBorders>
            <w:vAlign w:val="center"/>
          </w:tcPr>
          <w:p w14:paraId="4954A2DC">
            <w:pPr>
              <w:spacing w:before="120"/>
              <w:rPr>
                <w:sz w:val="21"/>
                <w:szCs w:val="21"/>
              </w:rPr>
            </w:pPr>
            <w:r>
              <w:rPr>
                <w:sz w:val="21"/>
                <w:szCs w:val="21"/>
              </w:rPr>
              <w:t>开发测试</w:t>
            </w:r>
          </w:p>
        </w:tc>
        <w:tc>
          <w:tcPr>
            <w:tcW w:w="3234" w:type="dxa"/>
            <w:tcBorders>
              <w:top w:val="single" w:color="000000" w:sz="8" w:space="0"/>
              <w:left w:val="single" w:color="000000" w:sz="8" w:space="0"/>
              <w:bottom w:val="single" w:color="000000" w:sz="8" w:space="0"/>
              <w:right w:val="single" w:color="000000" w:sz="8" w:space="0"/>
            </w:tcBorders>
            <w:vAlign w:val="center"/>
          </w:tcPr>
          <w:p w14:paraId="4EF89FD9">
            <w:pPr>
              <w:spacing w:before="120"/>
              <w:rPr>
                <w:sz w:val="21"/>
                <w:szCs w:val="21"/>
              </w:rPr>
            </w:pPr>
            <w:r>
              <w:rPr>
                <w:sz w:val="21"/>
                <w:szCs w:val="21"/>
              </w:rPr>
              <w:t>代码开发、单元测试、集成测试</w:t>
            </w:r>
          </w:p>
        </w:tc>
        <w:tc>
          <w:tcPr>
            <w:tcW w:w="2693" w:type="dxa"/>
            <w:tcBorders>
              <w:top w:val="single" w:color="000000" w:sz="8" w:space="0"/>
              <w:left w:val="single" w:color="000000" w:sz="8" w:space="0"/>
              <w:bottom w:val="single" w:color="000000" w:sz="8" w:space="0"/>
              <w:right w:val="single" w:color="000000" w:sz="8" w:space="0"/>
            </w:tcBorders>
            <w:vAlign w:val="center"/>
          </w:tcPr>
          <w:p w14:paraId="33191E13">
            <w:pPr>
              <w:spacing w:before="120"/>
              <w:rPr>
                <w:sz w:val="21"/>
                <w:szCs w:val="21"/>
              </w:rPr>
            </w:pPr>
            <w:r>
              <w:rPr>
                <w:sz w:val="21"/>
                <w:szCs w:val="21"/>
              </w:rPr>
              <w:t>2个月内</w:t>
            </w:r>
          </w:p>
        </w:tc>
      </w:tr>
      <w:tr w14:paraId="0F1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vAlign w:val="center"/>
          </w:tcPr>
          <w:p w14:paraId="508C1E2B">
            <w:pPr>
              <w:pStyle w:val="56"/>
              <w:numPr>
                <w:ilvl w:val="0"/>
                <w:numId w:val="4"/>
              </w:numPr>
              <w:adjustRightInd w:val="0"/>
              <w:spacing w:before="120"/>
              <w:rPr>
                <w:szCs w:val="21"/>
              </w:rPr>
            </w:pPr>
          </w:p>
        </w:tc>
        <w:tc>
          <w:tcPr>
            <w:tcW w:w="1807" w:type="dxa"/>
            <w:tcBorders>
              <w:top w:val="single" w:color="000000" w:sz="8" w:space="0"/>
              <w:left w:val="single" w:color="000000" w:sz="8" w:space="0"/>
              <w:bottom w:val="single" w:color="000000" w:sz="8" w:space="0"/>
              <w:right w:val="single" w:color="000000" w:sz="8" w:space="0"/>
            </w:tcBorders>
            <w:vAlign w:val="center"/>
          </w:tcPr>
          <w:p w14:paraId="2A6E3A3A">
            <w:pPr>
              <w:spacing w:before="120"/>
              <w:rPr>
                <w:sz w:val="21"/>
                <w:szCs w:val="21"/>
              </w:rPr>
            </w:pPr>
            <w:r>
              <w:rPr>
                <w:rFonts w:hint="eastAsia"/>
                <w:sz w:val="21"/>
                <w:szCs w:val="21"/>
              </w:rPr>
              <w:t>中期验收</w:t>
            </w:r>
          </w:p>
        </w:tc>
        <w:tc>
          <w:tcPr>
            <w:tcW w:w="3234" w:type="dxa"/>
            <w:tcBorders>
              <w:top w:val="single" w:color="000000" w:sz="8" w:space="0"/>
              <w:left w:val="single" w:color="000000" w:sz="8" w:space="0"/>
              <w:bottom w:val="single" w:color="000000" w:sz="8" w:space="0"/>
              <w:right w:val="single" w:color="000000" w:sz="8" w:space="0"/>
            </w:tcBorders>
            <w:vAlign w:val="center"/>
          </w:tcPr>
          <w:p w14:paraId="61BC9E68">
            <w:pPr>
              <w:spacing w:before="120"/>
              <w:rPr>
                <w:sz w:val="21"/>
                <w:szCs w:val="21"/>
              </w:rPr>
            </w:pPr>
            <w:r>
              <w:rPr>
                <w:rFonts w:hint="eastAsia"/>
                <w:sz w:val="21"/>
                <w:szCs w:val="21"/>
              </w:rPr>
              <w:t>检查项目进度，需求完成度</w:t>
            </w:r>
          </w:p>
        </w:tc>
        <w:tc>
          <w:tcPr>
            <w:tcW w:w="2693" w:type="dxa"/>
            <w:tcBorders>
              <w:top w:val="single" w:color="000000" w:sz="8" w:space="0"/>
              <w:left w:val="single" w:color="000000" w:sz="8" w:space="0"/>
              <w:bottom w:val="single" w:color="000000" w:sz="8" w:space="0"/>
              <w:right w:val="single" w:color="000000" w:sz="8" w:space="0"/>
            </w:tcBorders>
            <w:vAlign w:val="center"/>
          </w:tcPr>
          <w:p w14:paraId="1C15E5BB">
            <w:pPr>
              <w:spacing w:before="120"/>
              <w:rPr>
                <w:sz w:val="21"/>
                <w:szCs w:val="21"/>
              </w:rPr>
            </w:pPr>
            <w:r>
              <w:rPr>
                <w:sz w:val="21"/>
                <w:szCs w:val="21"/>
              </w:rPr>
              <w:t>2</w:t>
            </w:r>
            <w:r>
              <w:rPr>
                <w:rFonts w:hint="eastAsia"/>
                <w:sz w:val="21"/>
                <w:szCs w:val="21"/>
              </w:rPr>
              <w:t>个月内</w:t>
            </w:r>
          </w:p>
        </w:tc>
      </w:tr>
      <w:tr w14:paraId="358E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vAlign w:val="center"/>
          </w:tcPr>
          <w:p w14:paraId="1B739835">
            <w:pPr>
              <w:pStyle w:val="56"/>
              <w:numPr>
                <w:ilvl w:val="0"/>
                <w:numId w:val="4"/>
              </w:numPr>
              <w:adjustRightInd w:val="0"/>
              <w:spacing w:before="120"/>
              <w:rPr>
                <w:szCs w:val="21"/>
              </w:rPr>
            </w:pPr>
          </w:p>
        </w:tc>
        <w:tc>
          <w:tcPr>
            <w:tcW w:w="1807" w:type="dxa"/>
            <w:tcBorders>
              <w:top w:val="single" w:color="000000" w:sz="8" w:space="0"/>
              <w:left w:val="single" w:color="000000" w:sz="8" w:space="0"/>
              <w:bottom w:val="single" w:color="000000" w:sz="8" w:space="0"/>
              <w:right w:val="single" w:color="000000" w:sz="8" w:space="0"/>
            </w:tcBorders>
            <w:vAlign w:val="center"/>
          </w:tcPr>
          <w:p w14:paraId="3CA2FB4D">
            <w:pPr>
              <w:spacing w:before="120"/>
              <w:rPr>
                <w:sz w:val="21"/>
                <w:szCs w:val="21"/>
              </w:rPr>
            </w:pPr>
            <w:r>
              <w:rPr>
                <w:sz w:val="21"/>
                <w:szCs w:val="21"/>
              </w:rPr>
              <w:t>系统交货</w:t>
            </w:r>
          </w:p>
        </w:tc>
        <w:tc>
          <w:tcPr>
            <w:tcW w:w="3234" w:type="dxa"/>
            <w:tcBorders>
              <w:top w:val="single" w:color="000000" w:sz="8" w:space="0"/>
              <w:left w:val="single" w:color="000000" w:sz="8" w:space="0"/>
              <w:bottom w:val="single" w:color="000000" w:sz="8" w:space="0"/>
              <w:right w:val="single" w:color="000000" w:sz="8" w:space="0"/>
            </w:tcBorders>
            <w:vAlign w:val="center"/>
          </w:tcPr>
          <w:p w14:paraId="538F8ED7">
            <w:pPr>
              <w:spacing w:before="120"/>
              <w:rPr>
                <w:sz w:val="21"/>
                <w:szCs w:val="21"/>
              </w:rPr>
            </w:pPr>
            <w:r>
              <w:rPr>
                <w:sz w:val="21"/>
                <w:szCs w:val="21"/>
              </w:rPr>
              <w:t>系统交货，用户使用</w:t>
            </w:r>
          </w:p>
        </w:tc>
        <w:tc>
          <w:tcPr>
            <w:tcW w:w="2693" w:type="dxa"/>
            <w:tcBorders>
              <w:top w:val="single" w:color="000000" w:sz="8" w:space="0"/>
              <w:left w:val="single" w:color="000000" w:sz="8" w:space="0"/>
              <w:bottom w:val="single" w:color="000000" w:sz="8" w:space="0"/>
              <w:right w:val="single" w:color="000000" w:sz="8" w:space="0"/>
            </w:tcBorders>
            <w:vAlign w:val="center"/>
          </w:tcPr>
          <w:p w14:paraId="4567AE17">
            <w:pPr>
              <w:spacing w:before="120"/>
              <w:rPr>
                <w:sz w:val="21"/>
                <w:szCs w:val="21"/>
              </w:rPr>
            </w:pPr>
            <w:r>
              <w:rPr>
                <w:sz w:val="21"/>
                <w:szCs w:val="21"/>
              </w:rPr>
              <w:t>3个月内</w:t>
            </w:r>
          </w:p>
        </w:tc>
      </w:tr>
      <w:tr w14:paraId="30C9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vAlign w:val="center"/>
          </w:tcPr>
          <w:p w14:paraId="3550FEEB">
            <w:pPr>
              <w:pStyle w:val="56"/>
              <w:numPr>
                <w:ilvl w:val="0"/>
                <w:numId w:val="4"/>
              </w:numPr>
              <w:adjustRightInd w:val="0"/>
              <w:spacing w:before="120"/>
              <w:rPr>
                <w:szCs w:val="21"/>
              </w:rPr>
            </w:pPr>
          </w:p>
        </w:tc>
        <w:tc>
          <w:tcPr>
            <w:tcW w:w="1807" w:type="dxa"/>
            <w:tcBorders>
              <w:top w:val="single" w:color="000000" w:sz="8" w:space="0"/>
              <w:left w:val="single" w:color="000000" w:sz="8" w:space="0"/>
              <w:bottom w:val="single" w:color="000000" w:sz="8" w:space="0"/>
              <w:right w:val="single" w:color="000000" w:sz="8" w:space="0"/>
            </w:tcBorders>
            <w:vAlign w:val="center"/>
          </w:tcPr>
          <w:p w14:paraId="7F5043F3">
            <w:pPr>
              <w:spacing w:before="120"/>
              <w:rPr>
                <w:sz w:val="21"/>
                <w:szCs w:val="21"/>
              </w:rPr>
            </w:pPr>
            <w:r>
              <w:rPr>
                <w:sz w:val="21"/>
                <w:szCs w:val="21"/>
              </w:rPr>
              <w:t>试运行</w:t>
            </w:r>
          </w:p>
        </w:tc>
        <w:tc>
          <w:tcPr>
            <w:tcW w:w="3234" w:type="dxa"/>
            <w:tcBorders>
              <w:top w:val="single" w:color="000000" w:sz="8" w:space="0"/>
              <w:left w:val="single" w:color="000000" w:sz="8" w:space="0"/>
              <w:bottom w:val="single" w:color="000000" w:sz="8" w:space="0"/>
              <w:right w:val="single" w:color="000000" w:sz="8" w:space="0"/>
            </w:tcBorders>
            <w:vAlign w:val="center"/>
          </w:tcPr>
          <w:p w14:paraId="454BC587">
            <w:pPr>
              <w:spacing w:before="120"/>
              <w:rPr>
                <w:sz w:val="21"/>
                <w:szCs w:val="21"/>
              </w:rPr>
            </w:pPr>
            <w:r>
              <w:rPr>
                <w:sz w:val="21"/>
                <w:szCs w:val="21"/>
              </w:rPr>
              <w:t>系统试运行</w:t>
            </w:r>
          </w:p>
        </w:tc>
        <w:tc>
          <w:tcPr>
            <w:tcW w:w="2693" w:type="dxa"/>
            <w:tcBorders>
              <w:top w:val="single" w:color="000000" w:sz="8" w:space="0"/>
              <w:left w:val="single" w:color="000000" w:sz="8" w:space="0"/>
              <w:bottom w:val="single" w:color="000000" w:sz="8" w:space="0"/>
              <w:right w:val="single" w:color="000000" w:sz="8" w:space="0"/>
            </w:tcBorders>
            <w:vAlign w:val="center"/>
          </w:tcPr>
          <w:p w14:paraId="06E59673">
            <w:pPr>
              <w:spacing w:before="120"/>
              <w:rPr>
                <w:sz w:val="21"/>
                <w:szCs w:val="21"/>
              </w:rPr>
            </w:pPr>
            <w:r>
              <w:rPr>
                <w:sz w:val="21"/>
                <w:szCs w:val="21"/>
              </w:rPr>
              <w:t>3个月内</w:t>
            </w:r>
          </w:p>
        </w:tc>
      </w:tr>
      <w:tr w14:paraId="2ABF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903" w:type="dxa"/>
            <w:tcBorders>
              <w:top w:val="single" w:color="000000" w:sz="8" w:space="0"/>
              <w:left w:val="single" w:color="000000" w:sz="8" w:space="0"/>
              <w:bottom w:val="single" w:color="000000" w:sz="8" w:space="0"/>
              <w:right w:val="single" w:color="000000" w:sz="8" w:space="0"/>
            </w:tcBorders>
            <w:vAlign w:val="center"/>
          </w:tcPr>
          <w:p w14:paraId="3C906FD8">
            <w:pPr>
              <w:pStyle w:val="56"/>
              <w:numPr>
                <w:ilvl w:val="0"/>
                <w:numId w:val="4"/>
              </w:numPr>
              <w:adjustRightInd w:val="0"/>
              <w:spacing w:before="120"/>
              <w:rPr>
                <w:szCs w:val="21"/>
              </w:rPr>
            </w:pPr>
          </w:p>
        </w:tc>
        <w:tc>
          <w:tcPr>
            <w:tcW w:w="1807" w:type="dxa"/>
            <w:tcBorders>
              <w:top w:val="single" w:color="000000" w:sz="8" w:space="0"/>
              <w:left w:val="single" w:color="000000" w:sz="8" w:space="0"/>
              <w:bottom w:val="single" w:color="000000" w:sz="8" w:space="0"/>
              <w:right w:val="single" w:color="000000" w:sz="8" w:space="0"/>
            </w:tcBorders>
            <w:vAlign w:val="center"/>
          </w:tcPr>
          <w:p w14:paraId="0C1F7F3F">
            <w:pPr>
              <w:spacing w:before="120"/>
              <w:rPr>
                <w:sz w:val="21"/>
                <w:szCs w:val="21"/>
              </w:rPr>
            </w:pPr>
            <w:r>
              <w:rPr>
                <w:sz w:val="21"/>
                <w:szCs w:val="21"/>
              </w:rPr>
              <w:t>终验</w:t>
            </w:r>
          </w:p>
        </w:tc>
        <w:tc>
          <w:tcPr>
            <w:tcW w:w="3234" w:type="dxa"/>
            <w:tcBorders>
              <w:top w:val="single" w:color="000000" w:sz="8" w:space="0"/>
              <w:left w:val="single" w:color="000000" w:sz="8" w:space="0"/>
              <w:bottom w:val="single" w:color="000000" w:sz="8" w:space="0"/>
              <w:right w:val="single" w:color="000000" w:sz="8" w:space="0"/>
            </w:tcBorders>
            <w:vAlign w:val="center"/>
          </w:tcPr>
          <w:p w14:paraId="2F615C32">
            <w:pPr>
              <w:spacing w:before="120"/>
              <w:rPr>
                <w:sz w:val="21"/>
                <w:szCs w:val="21"/>
              </w:rPr>
            </w:pPr>
            <w:r>
              <w:rPr>
                <w:sz w:val="21"/>
                <w:szCs w:val="21"/>
              </w:rPr>
              <w:t>系统终验</w:t>
            </w:r>
          </w:p>
        </w:tc>
        <w:tc>
          <w:tcPr>
            <w:tcW w:w="2693" w:type="dxa"/>
            <w:tcBorders>
              <w:top w:val="single" w:color="000000" w:sz="8" w:space="0"/>
              <w:left w:val="single" w:color="000000" w:sz="8" w:space="0"/>
              <w:bottom w:val="single" w:color="000000" w:sz="8" w:space="0"/>
              <w:right w:val="single" w:color="000000" w:sz="8" w:space="0"/>
            </w:tcBorders>
            <w:vAlign w:val="center"/>
          </w:tcPr>
          <w:p w14:paraId="451AA881">
            <w:pPr>
              <w:spacing w:before="120"/>
              <w:rPr>
                <w:sz w:val="21"/>
                <w:szCs w:val="21"/>
              </w:rPr>
            </w:pPr>
            <w:r>
              <w:rPr>
                <w:sz w:val="21"/>
                <w:szCs w:val="21"/>
              </w:rPr>
              <w:t>3个月内</w:t>
            </w:r>
          </w:p>
        </w:tc>
      </w:tr>
      <w:bookmarkEnd w:id="166"/>
    </w:tbl>
    <w:p w14:paraId="055A60CA">
      <w:pPr>
        <w:ind w:firstLine="480"/>
      </w:pPr>
    </w:p>
    <w:p w14:paraId="773FDD34">
      <w:pPr>
        <w:pStyle w:val="3"/>
        <w:tabs>
          <w:tab w:val="clear" w:pos="432"/>
          <w:tab w:val="clear" w:pos="576"/>
        </w:tabs>
        <w:spacing w:before="156" w:after="156" w:line="360" w:lineRule="auto"/>
        <w:ind w:left="871" w:hanging="871"/>
        <w:rPr>
          <w:rFonts w:ascii="宋体" w:hAnsi="宋体"/>
        </w:rPr>
      </w:pPr>
      <w:bookmarkStart w:id="167" w:name="_Toc38476660"/>
      <w:bookmarkStart w:id="168" w:name="_Toc204869011"/>
      <w:r>
        <w:rPr>
          <w:rFonts w:ascii="宋体" w:hAnsi="宋体"/>
        </w:rPr>
        <w:t>实施方案</w:t>
      </w:r>
      <w:bookmarkEnd w:id="167"/>
      <w:bookmarkEnd w:id="168"/>
    </w:p>
    <w:p w14:paraId="6815FA17">
      <w:pPr>
        <w:ind w:firstLine="0"/>
      </w:pPr>
      <w:r>
        <w:rPr>
          <w:rFonts w:hint="eastAsia"/>
        </w:rPr>
        <w:t>本项目应组建完整、优秀的项目团队，包括：</w:t>
      </w:r>
    </w:p>
    <w:p w14:paraId="76E2C04D">
      <w:pPr>
        <w:pStyle w:val="56"/>
        <w:numPr>
          <w:ilvl w:val="0"/>
          <w:numId w:val="5"/>
        </w:numPr>
      </w:pPr>
      <w:r>
        <w:rPr>
          <w:rFonts w:hint="eastAsia"/>
        </w:rPr>
        <w:t>项目经理1名，本科及以上学历，有丰富的项目管理经验，提供</w:t>
      </w:r>
      <w:r>
        <w:t>信息系统项目管理师</w:t>
      </w:r>
      <w:r>
        <w:rPr>
          <w:rFonts w:hint="eastAsia"/>
        </w:rPr>
        <w:t>（高级）</w:t>
      </w:r>
      <w:r>
        <w:t>证书</w:t>
      </w:r>
      <w:r>
        <w:rPr>
          <w:rFonts w:hint="eastAsia"/>
        </w:rPr>
        <w:t>的优先考虑；</w:t>
      </w:r>
    </w:p>
    <w:p w14:paraId="7FD68E70">
      <w:pPr>
        <w:pStyle w:val="56"/>
        <w:numPr>
          <w:ilvl w:val="0"/>
          <w:numId w:val="5"/>
        </w:numPr>
      </w:pPr>
      <w:r>
        <w:rPr>
          <w:rFonts w:hint="eastAsia"/>
        </w:rPr>
        <w:t>团队成员</w:t>
      </w:r>
      <w:r>
        <w:rPr>
          <w:rFonts w:hint="eastAsia"/>
          <w:lang w:eastAsia="zh-CN"/>
        </w:rPr>
        <w:t>为理工科专业的博士学位，具备相关软件开发或研发类经验的</w:t>
      </w:r>
      <w:r>
        <w:rPr>
          <w:rFonts w:hint="eastAsia"/>
        </w:rPr>
        <w:t>优先考虑；</w:t>
      </w:r>
    </w:p>
    <w:p w14:paraId="553E726E">
      <w:pPr>
        <w:pStyle w:val="56"/>
        <w:numPr>
          <w:ilvl w:val="0"/>
          <w:numId w:val="5"/>
        </w:numPr>
      </w:pPr>
      <w:r>
        <w:rPr>
          <w:rFonts w:hint="eastAsia"/>
        </w:rPr>
        <w:t>团队成员至少</w:t>
      </w:r>
      <w:r>
        <w:t>1</w:t>
      </w:r>
      <w:r>
        <w:rPr>
          <w:rFonts w:hint="eastAsia"/>
        </w:rPr>
        <w:t>1人（包括项目经理）；</w:t>
      </w:r>
    </w:p>
    <w:p w14:paraId="4F6C7140">
      <w:pPr>
        <w:pStyle w:val="56"/>
        <w:numPr>
          <w:ilvl w:val="0"/>
          <w:numId w:val="5"/>
        </w:numPr>
      </w:pPr>
      <w:r>
        <w:rPr>
          <w:rFonts w:hint="eastAsia"/>
        </w:rPr>
        <w:t>项目建设期间，驻场的项目团队成员不少于1人。</w:t>
      </w:r>
    </w:p>
    <w:p w14:paraId="0E417EB1">
      <w:pPr>
        <w:pStyle w:val="3"/>
        <w:tabs>
          <w:tab w:val="clear" w:pos="432"/>
          <w:tab w:val="clear" w:pos="576"/>
        </w:tabs>
        <w:spacing w:before="156" w:after="156" w:line="360" w:lineRule="auto"/>
        <w:ind w:left="871" w:hanging="871"/>
        <w:rPr>
          <w:rFonts w:ascii="宋体" w:hAnsi="宋体"/>
          <w:color w:val="000000" w:themeColor="text1"/>
          <w14:textFill>
            <w14:solidFill>
              <w14:schemeClr w14:val="tx1"/>
            </w14:solidFill>
          </w14:textFill>
        </w:rPr>
      </w:pPr>
      <w:bookmarkStart w:id="169" w:name="_Toc204869012"/>
      <w:bookmarkStart w:id="170" w:name="_Toc38476661"/>
      <w:r>
        <w:rPr>
          <w:rFonts w:hint="eastAsia" w:ascii="宋体" w:hAnsi="宋体"/>
          <w:color w:val="000000" w:themeColor="text1"/>
          <w14:textFill>
            <w14:solidFill>
              <w14:schemeClr w14:val="tx1"/>
            </w14:solidFill>
          </w14:textFill>
        </w:rPr>
        <w:t>实施过程管控要求</w:t>
      </w:r>
      <w:bookmarkEnd w:id="169"/>
      <w:bookmarkEnd w:id="170"/>
    </w:p>
    <w:p w14:paraId="01A608FF">
      <w:pPr>
        <w:pStyle w:val="4"/>
        <w:tabs>
          <w:tab w:val="clear" w:pos="432"/>
        </w:tabs>
        <w:spacing w:before="156" w:after="156" w:line="360" w:lineRule="auto"/>
        <w:ind w:left="871" w:hanging="871"/>
        <w:rPr>
          <w:rFonts w:ascii="宋体" w:hAnsi="宋体"/>
        </w:rPr>
      </w:pPr>
      <w:bookmarkStart w:id="171" w:name="_Toc204869013"/>
      <w:r>
        <w:rPr>
          <w:rFonts w:hint="eastAsia" w:ascii="宋体" w:hAnsi="宋体"/>
        </w:rPr>
        <w:t>项目管理要求</w:t>
      </w:r>
      <w:bookmarkEnd w:id="171"/>
    </w:p>
    <w:p w14:paraId="59B3D70E">
      <w:pPr>
        <w:ind w:firstLine="480"/>
      </w:pPr>
      <w:r>
        <w:rPr>
          <w:rFonts w:hint="eastAsia"/>
        </w:rPr>
        <w:t>（1）</w:t>
      </w:r>
      <w:r>
        <w:rPr>
          <w:rFonts w:hint="eastAsia"/>
        </w:rPr>
        <w:tab/>
      </w:r>
      <w:r>
        <w:rPr>
          <w:rFonts w:hint="eastAsia"/>
        </w:rPr>
        <w:t>项目目标</w:t>
      </w:r>
    </w:p>
    <w:p w14:paraId="634E2BAC">
      <w:pPr>
        <w:pStyle w:val="56"/>
        <w:numPr>
          <w:ilvl w:val="0"/>
          <w:numId w:val="6"/>
        </w:numPr>
      </w:pPr>
      <w:r>
        <w:rPr>
          <w:rFonts w:hint="eastAsia"/>
        </w:rPr>
        <w:t>中标人应充分理解项目的目标、范围和交付成果。</w:t>
      </w:r>
    </w:p>
    <w:p w14:paraId="48EE46E4">
      <w:pPr>
        <w:pStyle w:val="56"/>
        <w:numPr>
          <w:ilvl w:val="0"/>
          <w:numId w:val="6"/>
        </w:numPr>
      </w:pPr>
      <w:r>
        <w:rPr>
          <w:rFonts w:hint="eastAsia"/>
        </w:rPr>
        <w:t>中标人应按照项目的时间表、里程碑和关键路径交付。</w:t>
      </w:r>
    </w:p>
    <w:p w14:paraId="782277C2">
      <w:pPr>
        <w:ind w:firstLine="480"/>
      </w:pPr>
      <w:r>
        <w:rPr>
          <w:rFonts w:hint="eastAsia"/>
        </w:rPr>
        <w:t>（2）</w:t>
      </w:r>
      <w:r>
        <w:rPr>
          <w:rFonts w:hint="eastAsia"/>
        </w:rPr>
        <w:tab/>
      </w:r>
      <w:r>
        <w:rPr>
          <w:rFonts w:hint="eastAsia"/>
        </w:rPr>
        <w:t>项目计划和组织</w:t>
      </w:r>
    </w:p>
    <w:p w14:paraId="5D5952FF">
      <w:pPr>
        <w:pStyle w:val="56"/>
        <w:numPr>
          <w:ilvl w:val="0"/>
          <w:numId w:val="7"/>
        </w:numPr>
      </w:pPr>
      <w:r>
        <w:rPr>
          <w:rFonts w:hint="eastAsia"/>
        </w:rPr>
        <w:t>中标人应提供详细的项目计划，包括项目启动、执行、控制和收尾的阶段。</w:t>
      </w:r>
    </w:p>
    <w:p w14:paraId="46D1F4DA">
      <w:pPr>
        <w:pStyle w:val="56"/>
        <w:numPr>
          <w:ilvl w:val="0"/>
          <w:numId w:val="7"/>
        </w:numPr>
      </w:pPr>
      <w:r>
        <w:rPr>
          <w:rFonts w:hint="eastAsia"/>
        </w:rPr>
        <w:t>中标人应指定项目经理和团队成员的角色和职责。</w:t>
      </w:r>
    </w:p>
    <w:p w14:paraId="7FAB1E77">
      <w:pPr>
        <w:pStyle w:val="56"/>
        <w:numPr>
          <w:ilvl w:val="0"/>
          <w:numId w:val="7"/>
        </w:numPr>
      </w:pPr>
      <w:r>
        <w:rPr>
          <w:rFonts w:hint="eastAsia"/>
        </w:rPr>
        <w:t>中标人应确保项目团队具备必要的技能和经验。</w:t>
      </w:r>
    </w:p>
    <w:p w14:paraId="62BCC22D">
      <w:pPr>
        <w:ind w:firstLine="480"/>
      </w:pPr>
      <w:r>
        <w:rPr>
          <w:rFonts w:hint="eastAsia"/>
        </w:rPr>
        <w:t>（3）</w:t>
      </w:r>
      <w:r>
        <w:rPr>
          <w:rFonts w:hint="eastAsia"/>
        </w:rPr>
        <w:tab/>
      </w:r>
      <w:r>
        <w:rPr>
          <w:rFonts w:hint="eastAsia"/>
        </w:rPr>
        <w:t>项目沟通和协调</w:t>
      </w:r>
    </w:p>
    <w:p w14:paraId="7E72176E">
      <w:pPr>
        <w:pStyle w:val="56"/>
        <w:numPr>
          <w:ilvl w:val="0"/>
          <w:numId w:val="8"/>
        </w:numPr>
      </w:pPr>
      <w:r>
        <w:rPr>
          <w:rFonts w:hint="eastAsia"/>
        </w:rPr>
        <w:t>中标人应建立有效的沟通机制，确保项目团队之间和招标人等的信息流畅。</w:t>
      </w:r>
    </w:p>
    <w:p w14:paraId="79F9C40E">
      <w:pPr>
        <w:pStyle w:val="56"/>
        <w:numPr>
          <w:ilvl w:val="0"/>
          <w:numId w:val="8"/>
        </w:numPr>
      </w:pPr>
      <w:r>
        <w:rPr>
          <w:rFonts w:hint="eastAsia"/>
        </w:rPr>
        <w:t>中标人应定期组织会议、报告和进展更新，以确保所有相关方了解项目的状态和进展。</w:t>
      </w:r>
    </w:p>
    <w:p w14:paraId="7DE338E8">
      <w:pPr>
        <w:ind w:firstLine="480"/>
      </w:pPr>
      <w:r>
        <w:rPr>
          <w:rFonts w:hint="eastAsia"/>
        </w:rPr>
        <w:t>（4）</w:t>
      </w:r>
      <w:r>
        <w:rPr>
          <w:rFonts w:hint="eastAsia"/>
        </w:rPr>
        <w:tab/>
      </w:r>
      <w:r>
        <w:rPr>
          <w:rFonts w:hint="eastAsia"/>
        </w:rPr>
        <w:t>质量管理</w:t>
      </w:r>
    </w:p>
    <w:p w14:paraId="110B04CF">
      <w:pPr>
        <w:pStyle w:val="56"/>
        <w:numPr>
          <w:ilvl w:val="0"/>
          <w:numId w:val="9"/>
        </w:numPr>
      </w:pPr>
      <w:r>
        <w:rPr>
          <w:rFonts w:hint="eastAsia"/>
        </w:rPr>
        <w:t>中标人应制定质量管理计划，确保项目交付的成果符合质量标准和相关规范。</w:t>
      </w:r>
    </w:p>
    <w:p w14:paraId="6EC43BA8">
      <w:pPr>
        <w:pStyle w:val="56"/>
        <w:numPr>
          <w:ilvl w:val="0"/>
          <w:numId w:val="9"/>
        </w:numPr>
      </w:pPr>
      <w:r>
        <w:rPr>
          <w:rFonts w:hint="eastAsia"/>
        </w:rPr>
        <w:t>中标人设定质量指标和评估方法，对项目过程和结果进行监控和评估。</w:t>
      </w:r>
    </w:p>
    <w:p w14:paraId="7931A0A7">
      <w:pPr>
        <w:ind w:firstLine="480"/>
      </w:pPr>
      <w:r>
        <w:rPr>
          <w:rFonts w:hint="eastAsia"/>
        </w:rPr>
        <w:t>（5）</w:t>
      </w:r>
      <w:r>
        <w:rPr>
          <w:rFonts w:hint="eastAsia"/>
        </w:rPr>
        <w:tab/>
      </w:r>
      <w:r>
        <w:rPr>
          <w:rFonts w:hint="eastAsia"/>
        </w:rPr>
        <w:t>变更管理</w:t>
      </w:r>
    </w:p>
    <w:p w14:paraId="7FED13FC">
      <w:pPr>
        <w:pStyle w:val="56"/>
        <w:numPr>
          <w:ilvl w:val="0"/>
          <w:numId w:val="10"/>
        </w:numPr>
      </w:pPr>
      <w:r>
        <w:rPr>
          <w:rFonts w:hint="eastAsia"/>
        </w:rPr>
        <w:t>中标人应建立变更控制程序，确保所有项目变更经过适当的评估、批准和跟踪。</w:t>
      </w:r>
    </w:p>
    <w:p w14:paraId="4524AB59">
      <w:pPr>
        <w:pStyle w:val="56"/>
        <w:numPr>
          <w:ilvl w:val="0"/>
          <w:numId w:val="10"/>
        </w:numPr>
      </w:pPr>
      <w:r>
        <w:rPr>
          <w:rFonts w:hint="eastAsia"/>
        </w:rPr>
        <w:t>中标人应最小化项目变更对进度、成本和资源的影响，并及时通知相关方。</w:t>
      </w:r>
    </w:p>
    <w:p w14:paraId="2ACE5877">
      <w:pPr>
        <w:ind w:firstLine="480"/>
      </w:pPr>
      <w:r>
        <w:rPr>
          <w:rFonts w:hint="eastAsia"/>
        </w:rPr>
        <w:t>（6）</w:t>
      </w:r>
      <w:r>
        <w:rPr>
          <w:rFonts w:hint="eastAsia"/>
        </w:rPr>
        <w:tab/>
      </w:r>
      <w:r>
        <w:rPr>
          <w:rFonts w:hint="eastAsia"/>
        </w:rPr>
        <w:t>项目文件管理</w:t>
      </w:r>
    </w:p>
    <w:p w14:paraId="49248C9F">
      <w:pPr>
        <w:pStyle w:val="56"/>
        <w:numPr>
          <w:ilvl w:val="0"/>
          <w:numId w:val="11"/>
        </w:numPr>
      </w:pPr>
      <w:r>
        <w:rPr>
          <w:rFonts w:hint="eastAsia"/>
        </w:rPr>
        <w:t>中标人应建立有效的项目文档管理系统，确保项目文件的存档、保密和共享。</w:t>
      </w:r>
    </w:p>
    <w:p w14:paraId="1A337CDE">
      <w:pPr>
        <w:pStyle w:val="56"/>
        <w:numPr>
          <w:ilvl w:val="0"/>
          <w:numId w:val="11"/>
        </w:numPr>
      </w:pPr>
      <w:r>
        <w:rPr>
          <w:rFonts w:hint="eastAsia"/>
        </w:rPr>
        <w:t>中标人应对项目文件进行版本控制，确保所有相关方都使用最新版本的文档。</w:t>
      </w:r>
    </w:p>
    <w:p w14:paraId="444A009A">
      <w:pPr>
        <w:pStyle w:val="4"/>
        <w:tabs>
          <w:tab w:val="clear" w:pos="432"/>
        </w:tabs>
        <w:spacing w:before="156" w:after="156" w:line="360" w:lineRule="auto"/>
        <w:ind w:left="871" w:hanging="871"/>
        <w:rPr>
          <w:rFonts w:ascii="宋体" w:hAnsi="宋体"/>
        </w:rPr>
      </w:pPr>
      <w:bookmarkStart w:id="172" w:name="_Toc204869014"/>
      <w:r>
        <w:rPr>
          <w:rFonts w:hint="eastAsia" w:ascii="宋体" w:hAnsi="宋体"/>
        </w:rPr>
        <w:t>项目风险及控制要求</w:t>
      </w:r>
      <w:bookmarkEnd w:id="172"/>
    </w:p>
    <w:p w14:paraId="6605F760">
      <w:pPr>
        <w:ind w:firstLine="480"/>
      </w:pPr>
      <w:r>
        <w:rPr>
          <w:rFonts w:hint="eastAsia"/>
        </w:rPr>
        <w:t>中标人应对项目的风险要有详细的分析，无论是环境因素、人力因素还是物质因素的原因，都应有先期预见性，要有可靠的控制手段加以防范，将风险所造成的危害降到最低点。</w:t>
      </w:r>
    </w:p>
    <w:p w14:paraId="0DEFF924">
      <w:pPr>
        <w:ind w:firstLine="480"/>
      </w:pPr>
      <w:r>
        <w:rPr>
          <w:rFonts w:hint="eastAsia"/>
        </w:rPr>
        <w:t>（1）</w:t>
      </w:r>
      <w:r>
        <w:rPr>
          <w:rFonts w:hint="eastAsia"/>
        </w:rPr>
        <w:tab/>
      </w:r>
      <w:r>
        <w:rPr>
          <w:rFonts w:hint="eastAsia"/>
        </w:rPr>
        <w:t>风险识别与评估</w:t>
      </w:r>
    </w:p>
    <w:p w14:paraId="4A3596B2">
      <w:pPr>
        <w:pStyle w:val="56"/>
        <w:numPr>
          <w:ilvl w:val="0"/>
          <w:numId w:val="12"/>
        </w:numPr>
      </w:pPr>
      <w:r>
        <w:rPr>
          <w:rFonts w:hint="eastAsia"/>
        </w:rPr>
        <w:t>中标人应对项目进行全面的风险识别和评估，包括内部和外部的潜在风险。</w:t>
      </w:r>
    </w:p>
    <w:p w14:paraId="04E3027C">
      <w:pPr>
        <w:pStyle w:val="56"/>
        <w:numPr>
          <w:ilvl w:val="0"/>
          <w:numId w:val="12"/>
        </w:numPr>
      </w:pPr>
      <w:r>
        <w:rPr>
          <w:rFonts w:hint="eastAsia"/>
        </w:rPr>
        <w:t>中标人应确定每个风险的概率、影响程度和优先级，以便有效地管理和控制风险。</w:t>
      </w:r>
    </w:p>
    <w:p w14:paraId="13E2FE08">
      <w:pPr>
        <w:ind w:firstLine="480"/>
      </w:pPr>
      <w:r>
        <w:rPr>
          <w:rFonts w:hint="eastAsia"/>
        </w:rPr>
        <w:t>（2）</w:t>
      </w:r>
      <w:r>
        <w:rPr>
          <w:rFonts w:hint="eastAsia"/>
        </w:rPr>
        <w:tab/>
      </w:r>
      <w:r>
        <w:rPr>
          <w:rFonts w:hint="eastAsia"/>
        </w:rPr>
        <w:t>风险计划和应对策略</w:t>
      </w:r>
    </w:p>
    <w:p w14:paraId="0638281D">
      <w:pPr>
        <w:pStyle w:val="56"/>
        <w:numPr>
          <w:ilvl w:val="0"/>
          <w:numId w:val="13"/>
        </w:numPr>
      </w:pPr>
      <w:r>
        <w:rPr>
          <w:rFonts w:hint="eastAsia"/>
        </w:rPr>
        <w:t>中标人应制定详细的风险管理计划，明确各种风险的应对策略和控制措施。</w:t>
      </w:r>
    </w:p>
    <w:p w14:paraId="3367A4A5">
      <w:pPr>
        <w:pStyle w:val="56"/>
        <w:numPr>
          <w:ilvl w:val="0"/>
          <w:numId w:val="13"/>
        </w:numPr>
      </w:pPr>
      <w:r>
        <w:rPr>
          <w:rFonts w:hint="eastAsia"/>
        </w:rPr>
        <w:t>中标人应确定适当的风险避免、降低、转移或接受策略，并制定相应的应急计划。</w:t>
      </w:r>
    </w:p>
    <w:p w14:paraId="2A242C0E">
      <w:pPr>
        <w:ind w:firstLine="480"/>
      </w:pPr>
      <w:r>
        <w:rPr>
          <w:rFonts w:hint="eastAsia"/>
        </w:rPr>
        <w:t>（3）</w:t>
      </w:r>
      <w:r>
        <w:rPr>
          <w:rFonts w:hint="eastAsia"/>
        </w:rPr>
        <w:tab/>
      </w:r>
      <w:r>
        <w:rPr>
          <w:rFonts w:hint="eastAsia"/>
        </w:rPr>
        <w:t>监测和控制风险</w:t>
      </w:r>
    </w:p>
    <w:p w14:paraId="48BACDF5">
      <w:pPr>
        <w:pStyle w:val="56"/>
        <w:numPr>
          <w:ilvl w:val="0"/>
          <w:numId w:val="14"/>
        </w:numPr>
      </w:pPr>
      <w:r>
        <w:rPr>
          <w:rFonts w:hint="eastAsia"/>
        </w:rPr>
        <w:t>中标人应建立有效的风险监测和控制机制，定期跟踪风险的状态和进展。</w:t>
      </w:r>
    </w:p>
    <w:p w14:paraId="417C04AC">
      <w:pPr>
        <w:pStyle w:val="56"/>
        <w:numPr>
          <w:ilvl w:val="0"/>
          <w:numId w:val="14"/>
        </w:numPr>
      </w:pPr>
      <w:r>
        <w:rPr>
          <w:rFonts w:hint="eastAsia"/>
        </w:rPr>
        <w:t>中标人应及时识别新出现的风险，评估其影响，并采取适当的措施进行控制和调整。</w:t>
      </w:r>
    </w:p>
    <w:p w14:paraId="4DCC1E10">
      <w:pPr>
        <w:ind w:firstLine="480"/>
      </w:pPr>
      <w:r>
        <w:rPr>
          <w:rFonts w:hint="eastAsia"/>
        </w:rPr>
        <w:t>（4）</w:t>
      </w:r>
      <w:r>
        <w:rPr>
          <w:rFonts w:hint="eastAsia"/>
        </w:rPr>
        <w:tab/>
      </w:r>
      <w:r>
        <w:rPr>
          <w:rFonts w:hint="eastAsia"/>
        </w:rPr>
        <w:t>风险沟通与报告</w:t>
      </w:r>
    </w:p>
    <w:p w14:paraId="2AAA3503">
      <w:pPr>
        <w:pStyle w:val="56"/>
        <w:numPr>
          <w:ilvl w:val="0"/>
          <w:numId w:val="15"/>
        </w:numPr>
      </w:pPr>
      <w:r>
        <w:rPr>
          <w:rFonts w:hint="eastAsia"/>
        </w:rPr>
        <w:t>中标人应建立透明的风险沟通渠道，确保及时向项目相关方传达风险信息。</w:t>
      </w:r>
    </w:p>
    <w:p w14:paraId="5EC08ED4">
      <w:pPr>
        <w:pStyle w:val="56"/>
        <w:numPr>
          <w:ilvl w:val="0"/>
          <w:numId w:val="15"/>
        </w:numPr>
      </w:pPr>
      <w:r>
        <w:rPr>
          <w:rFonts w:hint="eastAsia"/>
        </w:rPr>
        <w:t>中标人应编制风险报告，包括风险的描述、影响程度、应对措施和进展情况，并及时通报相关利益相关者。</w:t>
      </w:r>
    </w:p>
    <w:p w14:paraId="1C343395">
      <w:pPr>
        <w:ind w:firstLine="480"/>
      </w:pPr>
      <w:r>
        <w:rPr>
          <w:rFonts w:hint="eastAsia"/>
        </w:rPr>
        <w:t>（5）</w:t>
      </w:r>
      <w:r>
        <w:rPr>
          <w:rFonts w:hint="eastAsia"/>
        </w:rPr>
        <w:tab/>
      </w:r>
      <w:r>
        <w:rPr>
          <w:rFonts w:hint="eastAsia"/>
        </w:rPr>
        <w:t>培训与意识提升</w:t>
      </w:r>
    </w:p>
    <w:p w14:paraId="19ABA96E">
      <w:pPr>
        <w:pStyle w:val="56"/>
        <w:numPr>
          <w:ilvl w:val="0"/>
          <w:numId w:val="16"/>
        </w:numPr>
      </w:pPr>
      <w:r>
        <w:rPr>
          <w:rFonts w:hint="eastAsia"/>
        </w:rPr>
        <w:t>中标人应为项目团队提供风险管理培训，增强他们对风险管理的意识和能力。</w:t>
      </w:r>
    </w:p>
    <w:p w14:paraId="698FB3AE">
      <w:pPr>
        <w:pStyle w:val="56"/>
        <w:numPr>
          <w:ilvl w:val="0"/>
          <w:numId w:val="16"/>
        </w:numPr>
      </w:pPr>
      <w:r>
        <w:rPr>
          <w:rFonts w:hint="eastAsia"/>
        </w:rPr>
        <w:t>中标人应鼓励项目团队主动参与风险识别和控制，提供适当的激励措施。</w:t>
      </w:r>
    </w:p>
    <w:p w14:paraId="48ED086E">
      <w:pPr>
        <w:ind w:firstLine="480"/>
      </w:pPr>
      <w:r>
        <w:rPr>
          <w:rFonts w:hint="eastAsia"/>
        </w:rPr>
        <w:t>（6）</w:t>
      </w:r>
      <w:r>
        <w:rPr>
          <w:rFonts w:hint="eastAsia"/>
        </w:rPr>
        <w:tab/>
      </w:r>
      <w:r>
        <w:rPr>
          <w:rFonts w:hint="eastAsia"/>
        </w:rPr>
        <w:t>定期回顾与改进：</w:t>
      </w:r>
    </w:p>
    <w:p w14:paraId="48694538">
      <w:pPr>
        <w:pStyle w:val="56"/>
        <w:numPr>
          <w:ilvl w:val="0"/>
          <w:numId w:val="17"/>
        </w:numPr>
      </w:pPr>
      <w:r>
        <w:rPr>
          <w:rFonts w:hint="eastAsia"/>
        </w:rPr>
        <w:t>中标人应定期回顾项目的风险管理实践，总结经验教训并进行改进。</w:t>
      </w:r>
    </w:p>
    <w:p w14:paraId="09914658">
      <w:pPr>
        <w:pStyle w:val="56"/>
        <w:numPr>
          <w:ilvl w:val="0"/>
          <w:numId w:val="17"/>
        </w:numPr>
      </w:pPr>
      <w:r>
        <w:rPr>
          <w:rFonts w:hint="eastAsia"/>
        </w:rPr>
        <w:t>中标人不断优化风险管理策略和控制措施，以规避项目可能遇到的问题及不可控因素。</w:t>
      </w:r>
    </w:p>
    <w:p w14:paraId="4C79EC68">
      <w:pPr>
        <w:pStyle w:val="3"/>
        <w:tabs>
          <w:tab w:val="clear" w:pos="432"/>
          <w:tab w:val="clear" w:pos="576"/>
        </w:tabs>
        <w:spacing w:before="156" w:after="156"/>
        <w:ind w:left="871" w:hanging="871"/>
        <w:rPr>
          <w:rFonts w:ascii="宋体" w:hAnsi="宋体"/>
          <w:color w:val="000000"/>
        </w:rPr>
      </w:pPr>
      <w:r>
        <w:rPr>
          <w:rFonts w:ascii="宋体" w:hAnsi="宋体"/>
          <w:color w:val="000000"/>
        </w:rPr>
        <w:t xml:space="preserve"> 配套技术服务</w:t>
      </w:r>
      <w:r>
        <w:rPr>
          <w:rFonts w:ascii="宋体" w:hAnsi="宋体"/>
          <w:color w:val="000000" w:themeColor="text1"/>
          <w14:textFill>
            <w14:solidFill>
              <w14:schemeClr w14:val="tx1"/>
            </w14:solidFill>
          </w14:textFill>
        </w:rPr>
        <w:t>要求</w:t>
      </w:r>
    </w:p>
    <w:p w14:paraId="72B3C5A3">
      <w:pPr>
        <w:pStyle w:val="70"/>
        <w:numPr>
          <w:ilvl w:val="0"/>
          <w:numId w:val="18"/>
        </w:numPr>
        <w:ind w:left="720" w:hanging="720"/>
      </w:pPr>
      <w:r>
        <w:rPr>
          <w:rFonts w:hint="eastAsia" w:cs="Segoe UI Symbol"/>
        </w:rPr>
        <w:t>要求</w:t>
      </w:r>
      <w:r>
        <w:t>对接学校统一认证系统。</w:t>
      </w:r>
    </w:p>
    <w:p w14:paraId="13F52594">
      <w:pPr>
        <w:pStyle w:val="70"/>
        <w:numPr>
          <w:ilvl w:val="0"/>
          <w:numId w:val="18"/>
        </w:numPr>
        <w:ind w:left="720" w:hanging="720"/>
      </w:pPr>
      <w:r>
        <w:t>要求辅助平台建设3门AI4M相关课程，包括课程内容、课件案例等准备的建议与答疑。</w:t>
      </w:r>
    </w:p>
    <w:p w14:paraId="7BE28CB9">
      <w:pPr>
        <w:pStyle w:val="70"/>
        <w:numPr>
          <w:ilvl w:val="0"/>
          <w:numId w:val="18"/>
        </w:numPr>
        <w:ind w:left="720" w:hanging="720"/>
      </w:pPr>
      <w:r>
        <w:t>要求配合学校信息安全要求对主机系统和软件平台漏洞进行修复。</w:t>
      </w:r>
    </w:p>
    <w:p w14:paraId="5BADDE5F"/>
    <w:p w14:paraId="4AFD9CAD">
      <w:pPr>
        <w:pStyle w:val="3"/>
        <w:tabs>
          <w:tab w:val="clear" w:pos="432"/>
          <w:tab w:val="clear" w:pos="576"/>
        </w:tabs>
        <w:spacing w:before="156" w:after="156" w:line="360" w:lineRule="auto"/>
        <w:ind w:left="871" w:hanging="871"/>
        <w:rPr>
          <w:rFonts w:ascii="宋体" w:hAnsi="宋体"/>
        </w:rPr>
      </w:pPr>
      <w:bookmarkStart w:id="173" w:name="_Toc38476662"/>
      <w:bookmarkStart w:id="174" w:name="_Toc204869015"/>
      <w:r>
        <w:rPr>
          <w:rFonts w:hint="eastAsia" w:ascii="宋体" w:hAnsi="宋体"/>
        </w:rPr>
        <w:t>验收交付要求</w:t>
      </w:r>
      <w:bookmarkEnd w:id="173"/>
      <w:bookmarkEnd w:id="174"/>
    </w:p>
    <w:p w14:paraId="7E708797">
      <w:pPr>
        <w:ind w:firstLine="480"/>
      </w:pPr>
      <w:r>
        <w:rPr>
          <w:rFonts w:hint="eastAsia"/>
        </w:rPr>
        <w:t>招标人有权委托第三方组织对本项目进行全程监督管理，有权委托第三方组织协助招标人完成项目的功能测评、安全测评和验收工作。中标人应按照第三方和招标人的要求配合完成相关工作。</w:t>
      </w:r>
    </w:p>
    <w:p w14:paraId="3E0E9787">
      <w:pPr>
        <w:ind w:firstLine="480"/>
      </w:pPr>
      <w:r>
        <w:rPr>
          <w:rFonts w:hint="eastAsia"/>
        </w:rPr>
        <w:t>文档提供的要求：</w:t>
      </w:r>
    </w:p>
    <w:p w14:paraId="50D7F0A1">
      <w:pPr>
        <w:ind w:firstLine="480"/>
      </w:pPr>
      <w:r>
        <w:rPr>
          <w:rFonts w:hint="eastAsia"/>
        </w:rPr>
        <w:t>（1）《需求规格说明书》</w:t>
      </w:r>
    </w:p>
    <w:p w14:paraId="0737417C">
      <w:pPr>
        <w:ind w:firstLine="480"/>
      </w:pPr>
      <w:r>
        <w:rPr>
          <w:rFonts w:hint="eastAsia"/>
        </w:rPr>
        <w:t>（2）《概要设计说明书》</w:t>
      </w:r>
    </w:p>
    <w:p w14:paraId="6DD7E239">
      <w:pPr>
        <w:ind w:firstLine="480"/>
      </w:pPr>
      <w:r>
        <w:rPr>
          <w:rFonts w:hint="eastAsia"/>
        </w:rPr>
        <w:t>（3）《详细设计说明书》</w:t>
      </w:r>
    </w:p>
    <w:p w14:paraId="0E0E9D0C">
      <w:pPr>
        <w:ind w:firstLine="480"/>
      </w:pPr>
      <w:r>
        <w:rPr>
          <w:rFonts w:hint="eastAsia"/>
        </w:rPr>
        <w:t>（4）《系统部署文档》</w:t>
      </w:r>
    </w:p>
    <w:p w14:paraId="61AB7E0B">
      <w:pPr>
        <w:ind w:firstLine="480"/>
      </w:pPr>
      <w:r>
        <w:rPr>
          <w:rFonts w:hint="eastAsia"/>
        </w:rPr>
        <w:t>（5）《系统测试报告》</w:t>
      </w:r>
    </w:p>
    <w:p w14:paraId="0B0F5E0A">
      <w:pPr>
        <w:ind w:firstLine="480"/>
      </w:pPr>
      <w:r>
        <w:rPr>
          <w:rFonts w:hint="eastAsia"/>
        </w:rPr>
        <w:t xml:space="preserve">（6）《接口设计文档》 </w:t>
      </w:r>
    </w:p>
    <w:p w14:paraId="67976AA4">
      <w:pPr>
        <w:ind w:firstLine="480"/>
      </w:pPr>
      <w:r>
        <w:rPr>
          <w:rFonts w:hint="eastAsia"/>
        </w:rPr>
        <w:t>（</w:t>
      </w:r>
      <w:r>
        <w:t>7</w:t>
      </w:r>
      <w:r>
        <w:rPr>
          <w:rFonts w:hint="eastAsia"/>
        </w:rPr>
        <w:t>）《用户使用手册》</w:t>
      </w:r>
    </w:p>
    <w:p w14:paraId="36E2FA95">
      <w:pPr>
        <w:pStyle w:val="3"/>
        <w:tabs>
          <w:tab w:val="clear" w:pos="432"/>
          <w:tab w:val="clear" w:pos="576"/>
        </w:tabs>
        <w:spacing w:before="156" w:after="156" w:line="360" w:lineRule="auto"/>
        <w:ind w:left="871" w:hanging="871"/>
        <w:rPr>
          <w:rFonts w:ascii="宋体" w:hAnsi="宋体"/>
          <w:color w:val="000000" w:themeColor="text1"/>
          <w14:textFill>
            <w14:solidFill>
              <w14:schemeClr w14:val="tx1"/>
            </w14:solidFill>
          </w14:textFill>
        </w:rPr>
      </w:pPr>
      <w:bookmarkStart w:id="175" w:name="_Toc38476663"/>
      <w:bookmarkStart w:id="176" w:name="_Toc204869016"/>
      <w:r>
        <w:rPr>
          <w:rFonts w:ascii="宋体" w:hAnsi="宋体"/>
          <w:color w:val="000000" w:themeColor="text1"/>
          <w14:textFill>
            <w14:solidFill>
              <w14:schemeClr w14:val="tx1"/>
            </w14:solidFill>
          </w14:textFill>
        </w:rPr>
        <w:t>培训要求</w:t>
      </w:r>
      <w:bookmarkEnd w:id="175"/>
      <w:bookmarkEnd w:id="176"/>
    </w:p>
    <w:p w14:paraId="3CB3FA46">
      <w:pPr>
        <w:ind w:firstLine="480"/>
      </w:pPr>
      <w:bookmarkStart w:id="177" w:name="_Hlk137648794"/>
      <w:r>
        <w:rPr>
          <w:rFonts w:hint="eastAsia"/>
        </w:rPr>
        <w:t>系统培训需以中文授课方式提供周详、合理的培训内容，同时还需提供至少一次首次培训和后期持续培训的安排，可实施，有针对性，投标人应将所有培训费用（含路费、住宿费及培训教材费）计入总价。</w:t>
      </w:r>
    </w:p>
    <w:p w14:paraId="5F952898">
      <w:pPr>
        <w:ind w:firstLine="480"/>
      </w:pPr>
      <w:r>
        <w:rPr>
          <w:rFonts w:hint="eastAsia"/>
        </w:rPr>
        <w:t>培训对象：普通业务人员的应用培训、系统维护人员的专业技术培训等。</w:t>
      </w:r>
    </w:p>
    <w:p w14:paraId="78432EE6">
      <w:pPr>
        <w:ind w:firstLine="480"/>
      </w:pPr>
      <w:r>
        <w:rPr>
          <w:rFonts w:hint="eastAsia"/>
        </w:rPr>
        <w:t>培训内容：系统设计思想和结构、开发工具、安装指南、业务平台功能操作和运营后台管理平台操作等。系统正式运行前，要制订详细的培训计划，包括但不限于系统管理员培训，安全培训及相关产品根据不同业务角色进行相关内容的使用培训等不同层面的培训。</w:t>
      </w:r>
    </w:p>
    <w:p w14:paraId="446B2C09">
      <w:pPr>
        <w:ind w:firstLine="480"/>
      </w:pPr>
      <w:r>
        <w:rPr>
          <w:rFonts w:hint="eastAsia"/>
        </w:rPr>
        <w:t>所需的费用应包含在投标报价中。</w:t>
      </w:r>
    </w:p>
    <w:p w14:paraId="5E85201F">
      <w:pPr>
        <w:ind w:firstLine="480"/>
      </w:pPr>
      <w:r>
        <w:rPr>
          <w:rFonts w:hint="eastAsia"/>
        </w:rPr>
        <w:t>中标人认为有利于采购人的其他优惠条款应单独列明。</w:t>
      </w:r>
      <w:bookmarkEnd w:id="177"/>
    </w:p>
    <w:p w14:paraId="342E30B6">
      <w:pPr>
        <w:pStyle w:val="2"/>
        <w:tabs>
          <w:tab w:val="clear" w:pos="432"/>
        </w:tabs>
        <w:rPr>
          <w:rFonts w:ascii="宋体" w:hAnsi="宋体"/>
        </w:rPr>
      </w:pPr>
      <w:bookmarkStart w:id="178" w:name="_Toc204869017"/>
      <w:bookmarkStart w:id="179" w:name="_Toc38476664"/>
      <w:r>
        <w:rPr>
          <w:rFonts w:hint="eastAsia" w:ascii="宋体" w:hAnsi="宋体"/>
        </w:rPr>
        <w:t>售后服务要求</w:t>
      </w:r>
      <w:bookmarkEnd w:id="178"/>
      <w:bookmarkEnd w:id="179"/>
    </w:p>
    <w:p w14:paraId="6B0F7BB9">
      <w:pPr>
        <w:numPr>
          <w:ilvl w:val="0"/>
          <w:numId w:val="19"/>
        </w:numPr>
        <w:ind w:firstLine="480"/>
      </w:pPr>
      <w:r>
        <w:rPr>
          <w:rFonts w:hint="eastAsia"/>
        </w:rPr>
        <w:t>供应商应在保证安全和质量的前提下提供技术服务。</w:t>
      </w:r>
    </w:p>
    <w:p w14:paraId="45B6F8AA">
      <w:pPr>
        <w:ind w:firstLine="480"/>
      </w:pPr>
      <w:r>
        <w:rPr>
          <w:rFonts w:hint="eastAsia"/>
        </w:rPr>
        <w:t>2）供应商应提供</w:t>
      </w:r>
      <w:r>
        <w:rPr>
          <w:color w:val="auto"/>
          <w:sz w:val="24"/>
          <w:szCs w:val="24"/>
          <w:lang w:bidi="ar"/>
        </w:rPr>
        <w:t>按合同规定验收合格之日起不少于5年的免费维保服务。</w:t>
      </w:r>
    </w:p>
    <w:p w14:paraId="44DBC6C2">
      <w:pPr>
        <w:ind w:firstLine="480"/>
      </w:pPr>
      <w:r>
        <w:t>3</w:t>
      </w:r>
      <w:r>
        <w:rPr>
          <w:rFonts w:hint="eastAsia"/>
        </w:rPr>
        <w:t>）在需求发生变化时，在双方协商的基础上，供应商根据协商结果对系统进行修改。</w:t>
      </w:r>
    </w:p>
    <w:p w14:paraId="3E64DCA4">
      <w:pPr>
        <w:pStyle w:val="2"/>
        <w:spacing w:before="120" w:after="120"/>
      </w:pPr>
      <w:bookmarkStart w:id="180" w:name="_Toc204869018"/>
      <w:bookmarkStart w:id="181" w:name="_Toc138070408"/>
      <w:r>
        <w:rPr>
          <w:rFonts w:hint="eastAsia"/>
        </w:rPr>
        <w:t>验收要求</w:t>
      </w:r>
      <w:bookmarkEnd w:id="180"/>
      <w:bookmarkEnd w:id="181"/>
    </w:p>
    <w:p w14:paraId="3E714317">
      <w:pPr>
        <w:ind w:firstLine="480"/>
      </w:pPr>
      <w:r>
        <w:rPr>
          <w:rFonts w:hint="eastAsia"/>
        </w:rPr>
        <w:t>（1）本项目验收将由采购人组织进行。乙方提供</w:t>
      </w:r>
      <w:bookmarkStart w:id="182" w:name="_GoBack"/>
      <w:bookmarkEnd w:id="182"/>
      <w:r>
        <w:rPr>
          <w:rFonts w:hint="eastAsia"/>
        </w:rPr>
        <w:t>系统开发、测试、部署等服务，并且</w:t>
      </w:r>
      <w:r>
        <w:t>运行正常，</w:t>
      </w:r>
      <w:r>
        <w:rPr>
          <w:rFonts w:hint="eastAsia"/>
        </w:rPr>
        <w:t>提供测试报告，通过甲方组织的验收评审会。</w:t>
      </w:r>
    </w:p>
    <w:p w14:paraId="1A279616">
      <w:pPr>
        <w:ind w:firstLine="480"/>
      </w:pPr>
      <w:r>
        <w:rPr>
          <w:rFonts w:hint="eastAsia"/>
        </w:rPr>
        <w:t>（</w:t>
      </w:r>
      <w:r>
        <w:t>2</w:t>
      </w:r>
      <w:r>
        <w:rPr>
          <w:rFonts w:hint="eastAsia"/>
        </w:rPr>
        <w:t>）本项目连续2次验收未获通过，采购人有权解除合同并按照合同约定的违约条款处理。</w:t>
      </w:r>
    </w:p>
    <w:p w14:paraId="6ED05A92">
      <w:pPr>
        <w:pStyle w:val="2"/>
        <w:spacing w:before="120" w:after="120"/>
      </w:pPr>
      <w:r>
        <w:rPr>
          <w:rFonts w:hint="eastAsia"/>
        </w:rPr>
        <w:t>企业能力要求</w:t>
      </w:r>
    </w:p>
    <w:p w14:paraId="4171F697">
      <w:pPr>
        <w:numPr>
          <w:ilvl w:val="0"/>
          <w:numId w:val="20"/>
        </w:numPr>
        <w:ind w:hanging="425"/>
      </w:pPr>
      <w:r>
        <w:rPr>
          <w:rFonts w:hint="eastAsia"/>
        </w:rPr>
        <w:t>供应商具有ISO9001认证证书、ISO20000认证证书、ISO27001认证证书的优先考虑。</w:t>
      </w:r>
    </w:p>
    <w:p w14:paraId="4EE53481">
      <w:pPr>
        <w:numPr>
          <w:ilvl w:val="0"/>
          <w:numId w:val="20"/>
        </w:numPr>
        <w:ind w:hanging="425"/>
      </w:pPr>
      <w:r>
        <w:rPr>
          <w:rFonts w:hint="eastAsia"/>
        </w:rPr>
        <w:t>供应商具有材料计算领域相关专利或软件著作权证书的优先考虑。</w:t>
      </w:r>
    </w:p>
    <w:p w14:paraId="728B7822">
      <w:pPr>
        <w:ind w:firstLine="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843" w:left="1800" w:header="709" w:footer="373"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Segoe UI Symbol">
    <w:altName w:val="Noto Sans"/>
    <w:panose1 w:val="020B0502040204020203"/>
    <w:charset w:val="00"/>
    <w:family w:val="swiss"/>
    <w:pitch w:val="default"/>
    <w:sig w:usb0="00000000" w:usb1="00000000" w:usb2="00040000" w:usb3="00000000" w:csb0="00000001" w:csb1="00000000"/>
  </w:font>
  <w:font w:name="Noto Sans">
    <w:panose1 w:val="020B0502040504020204"/>
    <w:charset w:val="00"/>
    <w:family w:val="auto"/>
    <w:pitch w:val="default"/>
    <w:sig w:usb0="E00002FF" w:usb1="4000201F" w:usb2="08000029" w:usb3="00100000" w:csb0="0000019F"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EE3E">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C09C">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B0A1">
    <w:pPr>
      <w:pStyle w:val="1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0C6A8">
    <w:pPr>
      <w:pStyle w:val="20"/>
      <w:ind w:firstLine="90" w:firstLineChars="5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60A9">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3C40">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D16AF"/>
    <w:multiLevelType w:val="singleLevel"/>
    <w:tmpl w:val="DF7D16AF"/>
    <w:lvl w:ilvl="0" w:tentative="0">
      <w:start w:val="1"/>
      <w:numFmt w:val="decimal"/>
      <w:suff w:val="nothing"/>
      <w:lvlText w:val="%1）"/>
      <w:lvlJc w:val="left"/>
    </w:lvl>
  </w:abstractNum>
  <w:abstractNum w:abstractNumId="1">
    <w:nsid w:val="F9FF62D9"/>
    <w:multiLevelType w:val="singleLevel"/>
    <w:tmpl w:val="F9FF62D9"/>
    <w:lvl w:ilvl="0" w:tentative="0">
      <w:start w:val="1"/>
      <w:numFmt w:val="decimal"/>
      <w:lvlText w:val="(%1)"/>
      <w:lvlJc w:val="left"/>
      <w:pPr>
        <w:ind w:left="425" w:hanging="425"/>
      </w:pPr>
      <w:rPr>
        <w:rFonts w:hint="default"/>
      </w:rPr>
    </w:lvl>
  </w:abstractNum>
  <w:abstractNum w:abstractNumId="2">
    <w:nsid w:val="FEFE9B5C"/>
    <w:multiLevelType w:val="singleLevel"/>
    <w:tmpl w:val="FEFE9B5C"/>
    <w:lvl w:ilvl="0" w:tentative="0">
      <w:start w:val="1"/>
      <w:numFmt w:val="decimal"/>
      <w:lvlText w:val="(%1)"/>
      <w:lvlJc w:val="left"/>
      <w:pPr>
        <w:ind w:left="425" w:hanging="425"/>
      </w:pPr>
      <w:rPr>
        <w:rFonts w:hint="default"/>
      </w:rPr>
    </w:lvl>
  </w:abstractNum>
  <w:abstractNum w:abstractNumId="3">
    <w:nsid w:val="00000006"/>
    <w:multiLevelType w:val="multilevel"/>
    <w:tmpl w:val="00000006"/>
    <w:lvl w:ilvl="0" w:tentative="0">
      <w:start w:val="1"/>
      <w:numFmt w:val="decimal"/>
      <w:pStyle w:val="2"/>
      <w:lvlText w:val="%1"/>
      <w:lvlJc w:val="left"/>
      <w:pPr>
        <w:tabs>
          <w:tab w:val="left" w:pos="432"/>
        </w:tabs>
        <w:ind w:left="432" w:hanging="432"/>
      </w:pPr>
      <w:rPr>
        <w:rFonts w:hint="default" w:ascii="Times New Roman" w:hAnsi="Times New Roman" w:cs="Times New Roman"/>
      </w:rPr>
    </w:lvl>
    <w:lvl w:ilvl="1" w:tentative="0">
      <w:start w:val="1"/>
      <w:numFmt w:val="decimal"/>
      <w:pStyle w:val="3"/>
      <w:lvlText w:val="%1.%2"/>
      <w:lvlJc w:val="left"/>
      <w:pPr>
        <w:tabs>
          <w:tab w:val="left" w:pos="576"/>
        </w:tabs>
        <w:ind w:left="576" w:hanging="576"/>
      </w:pPr>
      <w:rPr>
        <w:rFonts w:hint="default" w:ascii="Times New Roman" w:hAnsi="Times New Roman" w:cs="Times New Roman"/>
      </w:rPr>
    </w:lvl>
    <w:lvl w:ilvl="2" w:tentative="0">
      <w:start w:val="1"/>
      <w:numFmt w:val="decimal"/>
      <w:pStyle w:val="4"/>
      <w:lvlText w:val="%1.%2.%3"/>
      <w:lvlJc w:val="left"/>
      <w:pPr>
        <w:tabs>
          <w:tab w:val="left" w:pos="720"/>
        </w:tabs>
        <w:ind w:left="720" w:hanging="720"/>
      </w:pPr>
      <w:rPr>
        <w:lang w:val="en-US"/>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rPr>
        <w:b/>
        <w:bCs/>
      </w:r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04E86194"/>
    <w:multiLevelType w:val="multilevel"/>
    <w:tmpl w:val="04E86194"/>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6F22258"/>
    <w:multiLevelType w:val="multilevel"/>
    <w:tmpl w:val="06F22258"/>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1CA925C5"/>
    <w:multiLevelType w:val="multilevel"/>
    <w:tmpl w:val="1CA925C5"/>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1DC00797"/>
    <w:multiLevelType w:val="multilevel"/>
    <w:tmpl w:val="1DC00797"/>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1FCA35B5"/>
    <w:multiLevelType w:val="multilevel"/>
    <w:tmpl w:val="1FCA35B5"/>
    <w:lvl w:ilvl="0" w:tentative="0">
      <w:start w:val="1"/>
      <w:numFmt w:val="decimal"/>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pStyle w:val="6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FEEFA73"/>
    <w:multiLevelType w:val="singleLevel"/>
    <w:tmpl w:val="1FEEFA73"/>
    <w:lvl w:ilvl="0" w:tentative="0">
      <w:start w:val="1"/>
      <w:numFmt w:val="decimal"/>
      <w:lvlText w:val="%1)"/>
      <w:lvlJc w:val="left"/>
      <w:pPr>
        <w:tabs>
          <w:tab w:val="left" w:pos="420"/>
        </w:tabs>
        <w:ind w:left="845" w:hanging="425"/>
      </w:pPr>
      <w:rPr>
        <w:rFonts w:hint="default"/>
      </w:rPr>
    </w:lvl>
  </w:abstractNum>
  <w:abstractNum w:abstractNumId="10">
    <w:nsid w:val="275F1126"/>
    <w:multiLevelType w:val="multilevel"/>
    <w:tmpl w:val="275F1126"/>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289B7FAE"/>
    <w:multiLevelType w:val="multilevel"/>
    <w:tmpl w:val="289B7FAE"/>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30BF5DDA"/>
    <w:multiLevelType w:val="multilevel"/>
    <w:tmpl w:val="30BF5DDA"/>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33A62C82"/>
    <w:multiLevelType w:val="multilevel"/>
    <w:tmpl w:val="33A62C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BFB4108"/>
    <w:multiLevelType w:val="multilevel"/>
    <w:tmpl w:val="3BFB4108"/>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3C6A6574"/>
    <w:multiLevelType w:val="multilevel"/>
    <w:tmpl w:val="3C6A6574"/>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49F27F84"/>
    <w:multiLevelType w:val="multilevel"/>
    <w:tmpl w:val="49F27F84"/>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4A893092"/>
    <w:multiLevelType w:val="multilevel"/>
    <w:tmpl w:val="4A893092"/>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529B5CAD"/>
    <w:multiLevelType w:val="multilevel"/>
    <w:tmpl w:val="529B5CAD"/>
    <w:lvl w:ilvl="0" w:tentative="0">
      <w:start w:val="1"/>
      <w:numFmt w:val="decimal"/>
      <w:lvlText w:val="（%1）"/>
      <w:lvlJc w:val="left"/>
      <w:pPr>
        <w:ind w:left="720" w:hanging="720"/>
      </w:pPr>
      <w:rPr>
        <w:rFonts w:hint="default" w:cs="Segoe UI Symbol"/>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293C96"/>
    <w:multiLevelType w:val="multilevel"/>
    <w:tmpl w:val="55293C96"/>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8"/>
  </w:num>
  <w:num w:numId="3">
    <w:abstractNumId w:val="18"/>
  </w:num>
  <w:num w:numId="4">
    <w:abstractNumId w:val="13"/>
  </w:num>
  <w:num w:numId="5">
    <w:abstractNumId w:val="2"/>
  </w:num>
  <w:num w:numId="6">
    <w:abstractNumId w:val="17"/>
  </w:num>
  <w:num w:numId="7">
    <w:abstractNumId w:val="10"/>
  </w:num>
  <w:num w:numId="8">
    <w:abstractNumId w:val="12"/>
  </w:num>
  <w:num w:numId="9">
    <w:abstractNumId w:val="19"/>
  </w:num>
  <w:num w:numId="10">
    <w:abstractNumId w:val="15"/>
  </w:num>
  <w:num w:numId="11">
    <w:abstractNumId w:val="11"/>
  </w:num>
  <w:num w:numId="12">
    <w:abstractNumId w:val="16"/>
  </w:num>
  <w:num w:numId="13">
    <w:abstractNumId w:val="5"/>
  </w:num>
  <w:num w:numId="14">
    <w:abstractNumId w:val="4"/>
  </w:num>
  <w:num w:numId="15">
    <w:abstractNumId w:val="14"/>
  </w:num>
  <w:num w:numId="16">
    <w:abstractNumId w:val="6"/>
  </w:num>
  <w:num w:numId="17">
    <w:abstractNumId w:val="7"/>
  </w:num>
  <w:num w:numId="18">
    <w:abstractNumId w:val="1"/>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F5"/>
    <w:rsid w:val="00000D42"/>
    <w:rsid w:val="00001740"/>
    <w:rsid w:val="000029BB"/>
    <w:rsid w:val="0000525F"/>
    <w:rsid w:val="00005412"/>
    <w:rsid w:val="000055BE"/>
    <w:rsid w:val="00005747"/>
    <w:rsid w:val="0001006B"/>
    <w:rsid w:val="000101DC"/>
    <w:rsid w:val="00013272"/>
    <w:rsid w:val="0001369C"/>
    <w:rsid w:val="000137BE"/>
    <w:rsid w:val="00013B44"/>
    <w:rsid w:val="00016E92"/>
    <w:rsid w:val="00017610"/>
    <w:rsid w:val="00017720"/>
    <w:rsid w:val="00020D58"/>
    <w:rsid w:val="00020FD0"/>
    <w:rsid w:val="000213DE"/>
    <w:rsid w:val="0002254C"/>
    <w:rsid w:val="00023B05"/>
    <w:rsid w:val="00023FF9"/>
    <w:rsid w:val="00025032"/>
    <w:rsid w:val="00025646"/>
    <w:rsid w:val="00027D26"/>
    <w:rsid w:val="00027F5B"/>
    <w:rsid w:val="00031697"/>
    <w:rsid w:val="00032045"/>
    <w:rsid w:val="00032FA2"/>
    <w:rsid w:val="00033D00"/>
    <w:rsid w:val="000344F3"/>
    <w:rsid w:val="00034535"/>
    <w:rsid w:val="00036F73"/>
    <w:rsid w:val="0004007B"/>
    <w:rsid w:val="00042C08"/>
    <w:rsid w:val="0004456A"/>
    <w:rsid w:val="0004512C"/>
    <w:rsid w:val="00046481"/>
    <w:rsid w:val="00052DD0"/>
    <w:rsid w:val="00053D9D"/>
    <w:rsid w:val="00054899"/>
    <w:rsid w:val="00054984"/>
    <w:rsid w:val="00054D88"/>
    <w:rsid w:val="00057E9B"/>
    <w:rsid w:val="000607B6"/>
    <w:rsid w:val="00061627"/>
    <w:rsid w:val="000619AE"/>
    <w:rsid w:val="00062341"/>
    <w:rsid w:val="000624A3"/>
    <w:rsid w:val="00065C21"/>
    <w:rsid w:val="00065F27"/>
    <w:rsid w:val="0006652A"/>
    <w:rsid w:val="00066DAC"/>
    <w:rsid w:val="00071FCD"/>
    <w:rsid w:val="00072B3F"/>
    <w:rsid w:val="0007357C"/>
    <w:rsid w:val="00073D64"/>
    <w:rsid w:val="00074C53"/>
    <w:rsid w:val="00076163"/>
    <w:rsid w:val="0007644F"/>
    <w:rsid w:val="00076879"/>
    <w:rsid w:val="00076AF3"/>
    <w:rsid w:val="00077180"/>
    <w:rsid w:val="00077210"/>
    <w:rsid w:val="0007789C"/>
    <w:rsid w:val="000806E4"/>
    <w:rsid w:val="00081399"/>
    <w:rsid w:val="0008153E"/>
    <w:rsid w:val="00085E84"/>
    <w:rsid w:val="0009008C"/>
    <w:rsid w:val="000910FF"/>
    <w:rsid w:val="000917A8"/>
    <w:rsid w:val="00093070"/>
    <w:rsid w:val="00094A56"/>
    <w:rsid w:val="00095F39"/>
    <w:rsid w:val="00096540"/>
    <w:rsid w:val="00097B2C"/>
    <w:rsid w:val="000A0ACC"/>
    <w:rsid w:val="000A187D"/>
    <w:rsid w:val="000A21FD"/>
    <w:rsid w:val="000A2B55"/>
    <w:rsid w:val="000A394A"/>
    <w:rsid w:val="000B06C5"/>
    <w:rsid w:val="000B06DC"/>
    <w:rsid w:val="000B1981"/>
    <w:rsid w:val="000B2BA3"/>
    <w:rsid w:val="000B472A"/>
    <w:rsid w:val="000B52D0"/>
    <w:rsid w:val="000B6452"/>
    <w:rsid w:val="000B74AB"/>
    <w:rsid w:val="000C21E8"/>
    <w:rsid w:val="000C444D"/>
    <w:rsid w:val="000C44B8"/>
    <w:rsid w:val="000C5E9B"/>
    <w:rsid w:val="000C5F18"/>
    <w:rsid w:val="000C6118"/>
    <w:rsid w:val="000C75B7"/>
    <w:rsid w:val="000C7B90"/>
    <w:rsid w:val="000D0763"/>
    <w:rsid w:val="000D1263"/>
    <w:rsid w:val="000D130F"/>
    <w:rsid w:val="000D1453"/>
    <w:rsid w:val="000D1E95"/>
    <w:rsid w:val="000D349F"/>
    <w:rsid w:val="000D3D69"/>
    <w:rsid w:val="000D3D75"/>
    <w:rsid w:val="000D4D4A"/>
    <w:rsid w:val="000D5CC4"/>
    <w:rsid w:val="000D610B"/>
    <w:rsid w:val="000D6465"/>
    <w:rsid w:val="000D77E3"/>
    <w:rsid w:val="000D7992"/>
    <w:rsid w:val="000E2825"/>
    <w:rsid w:val="000E305E"/>
    <w:rsid w:val="000E3C6A"/>
    <w:rsid w:val="000E4AF2"/>
    <w:rsid w:val="000E748A"/>
    <w:rsid w:val="000F0AAC"/>
    <w:rsid w:val="000F2373"/>
    <w:rsid w:val="000F5B51"/>
    <w:rsid w:val="000F6444"/>
    <w:rsid w:val="000F680D"/>
    <w:rsid w:val="000F7974"/>
    <w:rsid w:val="000F7D3C"/>
    <w:rsid w:val="00103E9F"/>
    <w:rsid w:val="00104B86"/>
    <w:rsid w:val="00104C79"/>
    <w:rsid w:val="00104F5E"/>
    <w:rsid w:val="00105101"/>
    <w:rsid w:val="001059D8"/>
    <w:rsid w:val="00106089"/>
    <w:rsid w:val="0010681D"/>
    <w:rsid w:val="00107182"/>
    <w:rsid w:val="00110398"/>
    <w:rsid w:val="001107D7"/>
    <w:rsid w:val="00111614"/>
    <w:rsid w:val="0011172C"/>
    <w:rsid w:val="001119EF"/>
    <w:rsid w:val="00112235"/>
    <w:rsid w:val="00112D63"/>
    <w:rsid w:val="00112F64"/>
    <w:rsid w:val="001132D8"/>
    <w:rsid w:val="00113465"/>
    <w:rsid w:val="00113CA4"/>
    <w:rsid w:val="00114159"/>
    <w:rsid w:val="001145A2"/>
    <w:rsid w:val="00114EB7"/>
    <w:rsid w:val="00117910"/>
    <w:rsid w:val="00120EA7"/>
    <w:rsid w:val="00121C9C"/>
    <w:rsid w:val="00121ED4"/>
    <w:rsid w:val="0012446B"/>
    <w:rsid w:val="0012510C"/>
    <w:rsid w:val="0012737E"/>
    <w:rsid w:val="001313DD"/>
    <w:rsid w:val="00131964"/>
    <w:rsid w:val="00131B3A"/>
    <w:rsid w:val="00131BF5"/>
    <w:rsid w:val="001339B3"/>
    <w:rsid w:val="001342F4"/>
    <w:rsid w:val="001360AD"/>
    <w:rsid w:val="00136422"/>
    <w:rsid w:val="001412C5"/>
    <w:rsid w:val="00141E2F"/>
    <w:rsid w:val="00143687"/>
    <w:rsid w:val="00143E68"/>
    <w:rsid w:val="00144D8B"/>
    <w:rsid w:val="00145F6F"/>
    <w:rsid w:val="001467DF"/>
    <w:rsid w:val="00150A2A"/>
    <w:rsid w:val="00152A69"/>
    <w:rsid w:val="00153B92"/>
    <w:rsid w:val="00154222"/>
    <w:rsid w:val="0015528F"/>
    <w:rsid w:val="00155F57"/>
    <w:rsid w:val="00160E58"/>
    <w:rsid w:val="00161161"/>
    <w:rsid w:val="001611EF"/>
    <w:rsid w:val="00161292"/>
    <w:rsid w:val="001652AE"/>
    <w:rsid w:val="0016589B"/>
    <w:rsid w:val="001704A1"/>
    <w:rsid w:val="00170B5A"/>
    <w:rsid w:val="00171018"/>
    <w:rsid w:val="00171BC7"/>
    <w:rsid w:val="00173B27"/>
    <w:rsid w:val="00173F64"/>
    <w:rsid w:val="0017413F"/>
    <w:rsid w:val="00174A09"/>
    <w:rsid w:val="00175534"/>
    <w:rsid w:val="00175701"/>
    <w:rsid w:val="00175A65"/>
    <w:rsid w:val="00177575"/>
    <w:rsid w:val="00177929"/>
    <w:rsid w:val="00177DD0"/>
    <w:rsid w:val="00180B2F"/>
    <w:rsid w:val="001827A9"/>
    <w:rsid w:val="00184C51"/>
    <w:rsid w:val="00184E11"/>
    <w:rsid w:val="00184FB3"/>
    <w:rsid w:val="00185267"/>
    <w:rsid w:val="00186889"/>
    <w:rsid w:val="00191E50"/>
    <w:rsid w:val="00192C13"/>
    <w:rsid w:val="00193E14"/>
    <w:rsid w:val="001953B3"/>
    <w:rsid w:val="00195B73"/>
    <w:rsid w:val="001A0C8B"/>
    <w:rsid w:val="001A36B1"/>
    <w:rsid w:val="001A44B3"/>
    <w:rsid w:val="001A52B6"/>
    <w:rsid w:val="001A78F2"/>
    <w:rsid w:val="001B02E9"/>
    <w:rsid w:val="001B35C9"/>
    <w:rsid w:val="001B480B"/>
    <w:rsid w:val="001B5B80"/>
    <w:rsid w:val="001B5FEA"/>
    <w:rsid w:val="001C3092"/>
    <w:rsid w:val="001C3E0B"/>
    <w:rsid w:val="001C4141"/>
    <w:rsid w:val="001C50AB"/>
    <w:rsid w:val="001C53EF"/>
    <w:rsid w:val="001C5DAA"/>
    <w:rsid w:val="001C70BD"/>
    <w:rsid w:val="001D018F"/>
    <w:rsid w:val="001D28C1"/>
    <w:rsid w:val="001D3C29"/>
    <w:rsid w:val="001D580F"/>
    <w:rsid w:val="001D6117"/>
    <w:rsid w:val="001D719B"/>
    <w:rsid w:val="001D7599"/>
    <w:rsid w:val="001D7F0E"/>
    <w:rsid w:val="001E079A"/>
    <w:rsid w:val="001E12BB"/>
    <w:rsid w:val="001E16CF"/>
    <w:rsid w:val="001E22ED"/>
    <w:rsid w:val="001E350E"/>
    <w:rsid w:val="001E39F6"/>
    <w:rsid w:val="001E3BBD"/>
    <w:rsid w:val="001E73A9"/>
    <w:rsid w:val="001F148C"/>
    <w:rsid w:val="001F2908"/>
    <w:rsid w:val="001F2B61"/>
    <w:rsid w:val="001F30D7"/>
    <w:rsid w:val="001F4831"/>
    <w:rsid w:val="001F4DB3"/>
    <w:rsid w:val="00200128"/>
    <w:rsid w:val="00200172"/>
    <w:rsid w:val="002002E3"/>
    <w:rsid w:val="002029AA"/>
    <w:rsid w:val="00203238"/>
    <w:rsid w:val="00203C5F"/>
    <w:rsid w:val="00203F23"/>
    <w:rsid w:val="00205171"/>
    <w:rsid w:val="00210D40"/>
    <w:rsid w:val="00211160"/>
    <w:rsid w:val="00215B3B"/>
    <w:rsid w:val="00216218"/>
    <w:rsid w:val="002169FB"/>
    <w:rsid w:val="002203ED"/>
    <w:rsid w:val="00220C2D"/>
    <w:rsid w:val="00221A5F"/>
    <w:rsid w:val="00223857"/>
    <w:rsid w:val="00225CA4"/>
    <w:rsid w:val="00227349"/>
    <w:rsid w:val="0022749F"/>
    <w:rsid w:val="00227B7F"/>
    <w:rsid w:val="0023003C"/>
    <w:rsid w:val="0023489B"/>
    <w:rsid w:val="00236F1D"/>
    <w:rsid w:val="00237200"/>
    <w:rsid w:val="00244153"/>
    <w:rsid w:val="00244DCA"/>
    <w:rsid w:val="00244F6A"/>
    <w:rsid w:val="00250170"/>
    <w:rsid w:val="00251582"/>
    <w:rsid w:val="0025165F"/>
    <w:rsid w:val="00252705"/>
    <w:rsid w:val="00252909"/>
    <w:rsid w:val="00253354"/>
    <w:rsid w:val="00257094"/>
    <w:rsid w:val="00261496"/>
    <w:rsid w:val="002630BA"/>
    <w:rsid w:val="0026477B"/>
    <w:rsid w:val="00265EB7"/>
    <w:rsid w:val="00265F51"/>
    <w:rsid w:val="00271C32"/>
    <w:rsid w:val="00274A4C"/>
    <w:rsid w:val="00275EDB"/>
    <w:rsid w:val="00275F6A"/>
    <w:rsid w:val="00276D3C"/>
    <w:rsid w:val="00276FBA"/>
    <w:rsid w:val="002777CE"/>
    <w:rsid w:val="00282226"/>
    <w:rsid w:val="002843A8"/>
    <w:rsid w:val="00287414"/>
    <w:rsid w:val="0029140D"/>
    <w:rsid w:val="0029302A"/>
    <w:rsid w:val="00293364"/>
    <w:rsid w:val="00294F96"/>
    <w:rsid w:val="002A03F7"/>
    <w:rsid w:val="002A0F16"/>
    <w:rsid w:val="002A14A0"/>
    <w:rsid w:val="002A308A"/>
    <w:rsid w:val="002A344B"/>
    <w:rsid w:val="002A35C3"/>
    <w:rsid w:val="002A3AA8"/>
    <w:rsid w:val="002A414B"/>
    <w:rsid w:val="002A5723"/>
    <w:rsid w:val="002A641D"/>
    <w:rsid w:val="002A6976"/>
    <w:rsid w:val="002A6B89"/>
    <w:rsid w:val="002A745D"/>
    <w:rsid w:val="002B05F8"/>
    <w:rsid w:val="002B0830"/>
    <w:rsid w:val="002B1410"/>
    <w:rsid w:val="002B42A9"/>
    <w:rsid w:val="002B49B8"/>
    <w:rsid w:val="002B5624"/>
    <w:rsid w:val="002B5D3C"/>
    <w:rsid w:val="002B64DB"/>
    <w:rsid w:val="002C0F16"/>
    <w:rsid w:val="002C65A4"/>
    <w:rsid w:val="002C7045"/>
    <w:rsid w:val="002C7F90"/>
    <w:rsid w:val="002D11B2"/>
    <w:rsid w:val="002D1227"/>
    <w:rsid w:val="002D27C1"/>
    <w:rsid w:val="002D37AB"/>
    <w:rsid w:val="002D432D"/>
    <w:rsid w:val="002D44AE"/>
    <w:rsid w:val="002D71FB"/>
    <w:rsid w:val="002D7665"/>
    <w:rsid w:val="002E3C8B"/>
    <w:rsid w:val="002E3DD5"/>
    <w:rsid w:val="002E411E"/>
    <w:rsid w:val="002E6739"/>
    <w:rsid w:val="002E6C6D"/>
    <w:rsid w:val="002E7BA2"/>
    <w:rsid w:val="002F01A2"/>
    <w:rsid w:val="002F3B88"/>
    <w:rsid w:val="002F3D5A"/>
    <w:rsid w:val="002F3E81"/>
    <w:rsid w:val="002F4453"/>
    <w:rsid w:val="002F468C"/>
    <w:rsid w:val="002F4D63"/>
    <w:rsid w:val="002F5808"/>
    <w:rsid w:val="002F7D34"/>
    <w:rsid w:val="002F7FB8"/>
    <w:rsid w:val="00300B3A"/>
    <w:rsid w:val="00301E89"/>
    <w:rsid w:val="003024C9"/>
    <w:rsid w:val="00302641"/>
    <w:rsid w:val="00310FFC"/>
    <w:rsid w:val="003129CA"/>
    <w:rsid w:val="003155B1"/>
    <w:rsid w:val="00315C2A"/>
    <w:rsid w:val="0031619E"/>
    <w:rsid w:val="003161F9"/>
    <w:rsid w:val="003164B6"/>
    <w:rsid w:val="00316616"/>
    <w:rsid w:val="00316B20"/>
    <w:rsid w:val="00317C3C"/>
    <w:rsid w:val="00317F45"/>
    <w:rsid w:val="00323520"/>
    <w:rsid w:val="00326A49"/>
    <w:rsid w:val="00327B30"/>
    <w:rsid w:val="00331FD3"/>
    <w:rsid w:val="00334DED"/>
    <w:rsid w:val="00334F5A"/>
    <w:rsid w:val="0033599A"/>
    <w:rsid w:val="003364E4"/>
    <w:rsid w:val="00336A01"/>
    <w:rsid w:val="00336C21"/>
    <w:rsid w:val="00336F4F"/>
    <w:rsid w:val="00337752"/>
    <w:rsid w:val="003416D9"/>
    <w:rsid w:val="00341A01"/>
    <w:rsid w:val="003433F3"/>
    <w:rsid w:val="003460CC"/>
    <w:rsid w:val="003468A6"/>
    <w:rsid w:val="00347702"/>
    <w:rsid w:val="00347C71"/>
    <w:rsid w:val="00347D07"/>
    <w:rsid w:val="0035037C"/>
    <w:rsid w:val="00350875"/>
    <w:rsid w:val="0035094B"/>
    <w:rsid w:val="00355FFE"/>
    <w:rsid w:val="0035692A"/>
    <w:rsid w:val="00357901"/>
    <w:rsid w:val="00357B6C"/>
    <w:rsid w:val="003613EF"/>
    <w:rsid w:val="003616E6"/>
    <w:rsid w:val="00361B95"/>
    <w:rsid w:val="003620F6"/>
    <w:rsid w:val="00363281"/>
    <w:rsid w:val="0036331C"/>
    <w:rsid w:val="0036431A"/>
    <w:rsid w:val="00365B02"/>
    <w:rsid w:val="00373361"/>
    <w:rsid w:val="00373401"/>
    <w:rsid w:val="003745FB"/>
    <w:rsid w:val="003764EB"/>
    <w:rsid w:val="003820A7"/>
    <w:rsid w:val="00382728"/>
    <w:rsid w:val="00382A20"/>
    <w:rsid w:val="00383334"/>
    <w:rsid w:val="00385A71"/>
    <w:rsid w:val="00386350"/>
    <w:rsid w:val="00386E95"/>
    <w:rsid w:val="00387A1F"/>
    <w:rsid w:val="003926B3"/>
    <w:rsid w:val="00393708"/>
    <w:rsid w:val="00394592"/>
    <w:rsid w:val="00396217"/>
    <w:rsid w:val="003967A5"/>
    <w:rsid w:val="00396D7D"/>
    <w:rsid w:val="003A087F"/>
    <w:rsid w:val="003A15C7"/>
    <w:rsid w:val="003A1E6E"/>
    <w:rsid w:val="003A254B"/>
    <w:rsid w:val="003A2AFE"/>
    <w:rsid w:val="003A2C5C"/>
    <w:rsid w:val="003A4B46"/>
    <w:rsid w:val="003A545D"/>
    <w:rsid w:val="003A6C11"/>
    <w:rsid w:val="003A6C7C"/>
    <w:rsid w:val="003A77D5"/>
    <w:rsid w:val="003A7A0E"/>
    <w:rsid w:val="003A7F50"/>
    <w:rsid w:val="003B10B2"/>
    <w:rsid w:val="003B1DF8"/>
    <w:rsid w:val="003B31A4"/>
    <w:rsid w:val="003B4904"/>
    <w:rsid w:val="003B6933"/>
    <w:rsid w:val="003B6C1D"/>
    <w:rsid w:val="003B728F"/>
    <w:rsid w:val="003B7B13"/>
    <w:rsid w:val="003B7F3C"/>
    <w:rsid w:val="003C0CF1"/>
    <w:rsid w:val="003C1399"/>
    <w:rsid w:val="003C3085"/>
    <w:rsid w:val="003C3E88"/>
    <w:rsid w:val="003C5262"/>
    <w:rsid w:val="003C546E"/>
    <w:rsid w:val="003C61C7"/>
    <w:rsid w:val="003C6BEC"/>
    <w:rsid w:val="003C7B8F"/>
    <w:rsid w:val="003C7E35"/>
    <w:rsid w:val="003D0CD2"/>
    <w:rsid w:val="003D1D25"/>
    <w:rsid w:val="003D23E8"/>
    <w:rsid w:val="003D2D10"/>
    <w:rsid w:val="003D2F21"/>
    <w:rsid w:val="003D4192"/>
    <w:rsid w:val="003D4FBB"/>
    <w:rsid w:val="003D55AA"/>
    <w:rsid w:val="003D6674"/>
    <w:rsid w:val="003D7642"/>
    <w:rsid w:val="003E131B"/>
    <w:rsid w:val="003E13DD"/>
    <w:rsid w:val="003E2617"/>
    <w:rsid w:val="003E762D"/>
    <w:rsid w:val="003F36C9"/>
    <w:rsid w:val="003F3988"/>
    <w:rsid w:val="003F3C66"/>
    <w:rsid w:val="003F400C"/>
    <w:rsid w:val="003F4455"/>
    <w:rsid w:val="003F4EEE"/>
    <w:rsid w:val="003F5A66"/>
    <w:rsid w:val="003F7882"/>
    <w:rsid w:val="004003A0"/>
    <w:rsid w:val="0040078E"/>
    <w:rsid w:val="00400FEF"/>
    <w:rsid w:val="004019F6"/>
    <w:rsid w:val="00402165"/>
    <w:rsid w:val="00402F20"/>
    <w:rsid w:val="00405377"/>
    <w:rsid w:val="00407A5B"/>
    <w:rsid w:val="00407FD4"/>
    <w:rsid w:val="00412476"/>
    <w:rsid w:val="004130F6"/>
    <w:rsid w:val="0041329B"/>
    <w:rsid w:val="00414200"/>
    <w:rsid w:val="00416DF9"/>
    <w:rsid w:val="004170E4"/>
    <w:rsid w:val="004176B1"/>
    <w:rsid w:val="0042076D"/>
    <w:rsid w:val="004208AA"/>
    <w:rsid w:val="004211D0"/>
    <w:rsid w:val="00423159"/>
    <w:rsid w:val="00424FFF"/>
    <w:rsid w:val="004255F9"/>
    <w:rsid w:val="00425832"/>
    <w:rsid w:val="00425E6A"/>
    <w:rsid w:val="00426815"/>
    <w:rsid w:val="0043035D"/>
    <w:rsid w:val="00432909"/>
    <w:rsid w:val="00432A3C"/>
    <w:rsid w:val="004409B6"/>
    <w:rsid w:val="004409D1"/>
    <w:rsid w:val="00445B03"/>
    <w:rsid w:val="00451B19"/>
    <w:rsid w:val="0045282D"/>
    <w:rsid w:val="00453DF8"/>
    <w:rsid w:val="0045552B"/>
    <w:rsid w:val="00461F9E"/>
    <w:rsid w:val="004642FF"/>
    <w:rsid w:val="00464C46"/>
    <w:rsid w:val="0046509F"/>
    <w:rsid w:val="004656D4"/>
    <w:rsid w:val="00466956"/>
    <w:rsid w:val="004673A3"/>
    <w:rsid w:val="0046777F"/>
    <w:rsid w:val="00471309"/>
    <w:rsid w:val="004719A2"/>
    <w:rsid w:val="00473389"/>
    <w:rsid w:val="0047398E"/>
    <w:rsid w:val="00476977"/>
    <w:rsid w:val="00477086"/>
    <w:rsid w:val="00477E38"/>
    <w:rsid w:val="00481440"/>
    <w:rsid w:val="00481EF3"/>
    <w:rsid w:val="004826E9"/>
    <w:rsid w:val="00482844"/>
    <w:rsid w:val="00483127"/>
    <w:rsid w:val="00483352"/>
    <w:rsid w:val="00483A39"/>
    <w:rsid w:val="00487EBD"/>
    <w:rsid w:val="00490A9E"/>
    <w:rsid w:val="00490B85"/>
    <w:rsid w:val="004919E2"/>
    <w:rsid w:val="0049293D"/>
    <w:rsid w:val="00493481"/>
    <w:rsid w:val="0049351D"/>
    <w:rsid w:val="00493901"/>
    <w:rsid w:val="00493917"/>
    <w:rsid w:val="00494A9A"/>
    <w:rsid w:val="0049572C"/>
    <w:rsid w:val="004A0B03"/>
    <w:rsid w:val="004A100D"/>
    <w:rsid w:val="004A24F6"/>
    <w:rsid w:val="004A4FC8"/>
    <w:rsid w:val="004A5557"/>
    <w:rsid w:val="004A7019"/>
    <w:rsid w:val="004B0F0C"/>
    <w:rsid w:val="004B0F3D"/>
    <w:rsid w:val="004B152D"/>
    <w:rsid w:val="004B1E5D"/>
    <w:rsid w:val="004B1FC3"/>
    <w:rsid w:val="004B29CF"/>
    <w:rsid w:val="004B33F4"/>
    <w:rsid w:val="004B35E3"/>
    <w:rsid w:val="004B58EA"/>
    <w:rsid w:val="004B7C13"/>
    <w:rsid w:val="004C0F2B"/>
    <w:rsid w:val="004C1E1A"/>
    <w:rsid w:val="004C32F1"/>
    <w:rsid w:val="004C4B49"/>
    <w:rsid w:val="004C61EF"/>
    <w:rsid w:val="004C6F3B"/>
    <w:rsid w:val="004C7240"/>
    <w:rsid w:val="004C78D5"/>
    <w:rsid w:val="004D053C"/>
    <w:rsid w:val="004D06AF"/>
    <w:rsid w:val="004D0AF6"/>
    <w:rsid w:val="004D0DD4"/>
    <w:rsid w:val="004D1B7B"/>
    <w:rsid w:val="004D24C1"/>
    <w:rsid w:val="004D272B"/>
    <w:rsid w:val="004D35D0"/>
    <w:rsid w:val="004D3C1D"/>
    <w:rsid w:val="004D4DE3"/>
    <w:rsid w:val="004D5553"/>
    <w:rsid w:val="004E0837"/>
    <w:rsid w:val="004E0CD1"/>
    <w:rsid w:val="004E0F36"/>
    <w:rsid w:val="004E25D2"/>
    <w:rsid w:val="004E4636"/>
    <w:rsid w:val="004E504C"/>
    <w:rsid w:val="004E506A"/>
    <w:rsid w:val="004E592F"/>
    <w:rsid w:val="004E5CF4"/>
    <w:rsid w:val="004E617D"/>
    <w:rsid w:val="004E7599"/>
    <w:rsid w:val="004F07A4"/>
    <w:rsid w:val="004F1C8E"/>
    <w:rsid w:val="004F46B7"/>
    <w:rsid w:val="004F5E3B"/>
    <w:rsid w:val="004F6B8F"/>
    <w:rsid w:val="005015B6"/>
    <w:rsid w:val="00503332"/>
    <w:rsid w:val="00503B70"/>
    <w:rsid w:val="005042B0"/>
    <w:rsid w:val="00504F5C"/>
    <w:rsid w:val="00510F70"/>
    <w:rsid w:val="00511C10"/>
    <w:rsid w:val="00512CC5"/>
    <w:rsid w:val="00514ED2"/>
    <w:rsid w:val="005157AC"/>
    <w:rsid w:val="00515D6B"/>
    <w:rsid w:val="005160D0"/>
    <w:rsid w:val="00516183"/>
    <w:rsid w:val="00517301"/>
    <w:rsid w:val="0051740C"/>
    <w:rsid w:val="0051773C"/>
    <w:rsid w:val="0052033A"/>
    <w:rsid w:val="00521F21"/>
    <w:rsid w:val="005229B2"/>
    <w:rsid w:val="005231E0"/>
    <w:rsid w:val="005232E1"/>
    <w:rsid w:val="00523587"/>
    <w:rsid w:val="00524A22"/>
    <w:rsid w:val="00526FBD"/>
    <w:rsid w:val="005279A3"/>
    <w:rsid w:val="00530786"/>
    <w:rsid w:val="005308D4"/>
    <w:rsid w:val="00531995"/>
    <w:rsid w:val="005326A1"/>
    <w:rsid w:val="0053391C"/>
    <w:rsid w:val="00534A1D"/>
    <w:rsid w:val="00534DE4"/>
    <w:rsid w:val="005353AC"/>
    <w:rsid w:val="00536F4C"/>
    <w:rsid w:val="00537EC6"/>
    <w:rsid w:val="0054056C"/>
    <w:rsid w:val="0054076A"/>
    <w:rsid w:val="00541536"/>
    <w:rsid w:val="00541D1E"/>
    <w:rsid w:val="0054379D"/>
    <w:rsid w:val="00543C0E"/>
    <w:rsid w:val="0054480B"/>
    <w:rsid w:val="00544B34"/>
    <w:rsid w:val="00546A6E"/>
    <w:rsid w:val="00550892"/>
    <w:rsid w:val="00552A51"/>
    <w:rsid w:val="00552C11"/>
    <w:rsid w:val="0055670E"/>
    <w:rsid w:val="00560B1F"/>
    <w:rsid w:val="00561423"/>
    <w:rsid w:val="00561EEF"/>
    <w:rsid w:val="00563392"/>
    <w:rsid w:val="0056387D"/>
    <w:rsid w:val="00564B36"/>
    <w:rsid w:val="00571F42"/>
    <w:rsid w:val="00572861"/>
    <w:rsid w:val="0057314B"/>
    <w:rsid w:val="00574177"/>
    <w:rsid w:val="00574E87"/>
    <w:rsid w:val="00575808"/>
    <w:rsid w:val="005759DB"/>
    <w:rsid w:val="005759E3"/>
    <w:rsid w:val="00575CD5"/>
    <w:rsid w:val="00575EE1"/>
    <w:rsid w:val="0058115C"/>
    <w:rsid w:val="00583BB1"/>
    <w:rsid w:val="00583F75"/>
    <w:rsid w:val="00584154"/>
    <w:rsid w:val="00584EAD"/>
    <w:rsid w:val="00585D20"/>
    <w:rsid w:val="005867C2"/>
    <w:rsid w:val="00586A0E"/>
    <w:rsid w:val="00590E24"/>
    <w:rsid w:val="00591127"/>
    <w:rsid w:val="00591AC2"/>
    <w:rsid w:val="0059242C"/>
    <w:rsid w:val="005928D5"/>
    <w:rsid w:val="005942B0"/>
    <w:rsid w:val="00595232"/>
    <w:rsid w:val="00595E57"/>
    <w:rsid w:val="00596532"/>
    <w:rsid w:val="00597005"/>
    <w:rsid w:val="0059722B"/>
    <w:rsid w:val="005A0D47"/>
    <w:rsid w:val="005A278B"/>
    <w:rsid w:val="005A2CFF"/>
    <w:rsid w:val="005A3943"/>
    <w:rsid w:val="005A5603"/>
    <w:rsid w:val="005A58F3"/>
    <w:rsid w:val="005A629E"/>
    <w:rsid w:val="005B0021"/>
    <w:rsid w:val="005B07ED"/>
    <w:rsid w:val="005B0A6F"/>
    <w:rsid w:val="005B0EDD"/>
    <w:rsid w:val="005B363F"/>
    <w:rsid w:val="005B379B"/>
    <w:rsid w:val="005B37D3"/>
    <w:rsid w:val="005B3BF8"/>
    <w:rsid w:val="005B5DC7"/>
    <w:rsid w:val="005B5E17"/>
    <w:rsid w:val="005B6223"/>
    <w:rsid w:val="005C042A"/>
    <w:rsid w:val="005C363C"/>
    <w:rsid w:val="005C444C"/>
    <w:rsid w:val="005C4C00"/>
    <w:rsid w:val="005C6087"/>
    <w:rsid w:val="005D05CD"/>
    <w:rsid w:val="005D16ED"/>
    <w:rsid w:val="005D16F6"/>
    <w:rsid w:val="005D32D2"/>
    <w:rsid w:val="005D338C"/>
    <w:rsid w:val="005D39E8"/>
    <w:rsid w:val="005D4F16"/>
    <w:rsid w:val="005D66AB"/>
    <w:rsid w:val="005D7F21"/>
    <w:rsid w:val="005E0108"/>
    <w:rsid w:val="005E0744"/>
    <w:rsid w:val="005E3376"/>
    <w:rsid w:val="005E730C"/>
    <w:rsid w:val="005F054D"/>
    <w:rsid w:val="005F05ED"/>
    <w:rsid w:val="005F1394"/>
    <w:rsid w:val="005F16D8"/>
    <w:rsid w:val="005F1B70"/>
    <w:rsid w:val="005F33F6"/>
    <w:rsid w:val="005F396B"/>
    <w:rsid w:val="005F39D2"/>
    <w:rsid w:val="005F3BB6"/>
    <w:rsid w:val="005F696F"/>
    <w:rsid w:val="005F6DE6"/>
    <w:rsid w:val="00600AB6"/>
    <w:rsid w:val="00601220"/>
    <w:rsid w:val="00601EE0"/>
    <w:rsid w:val="00607020"/>
    <w:rsid w:val="006070CD"/>
    <w:rsid w:val="00607CE0"/>
    <w:rsid w:val="00610449"/>
    <w:rsid w:val="00614FB0"/>
    <w:rsid w:val="00615FB9"/>
    <w:rsid w:val="00620A6E"/>
    <w:rsid w:val="006210AD"/>
    <w:rsid w:val="00622E49"/>
    <w:rsid w:val="00623C9E"/>
    <w:rsid w:val="00623D7E"/>
    <w:rsid w:val="00623F84"/>
    <w:rsid w:val="00623FF5"/>
    <w:rsid w:val="006241BC"/>
    <w:rsid w:val="00624B2B"/>
    <w:rsid w:val="00624C48"/>
    <w:rsid w:val="00624EEE"/>
    <w:rsid w:val="00625118"/>
    <w:rsid w:val="006263F8"/>
    <w:rsid w:val="006278B8"/>
    <w:rsid w:val="00631913"/>
    <w:rsid w:val="00633E96"/>
    <w:rsid w:val="00636F74"/>
    <w:rsid w:val="00637A0C"/>
    <w:rsid w:val="00640644"/>
    <w:rsid w:val="00640779"/>
    <w:rsid w:val="00640A31"/>
    <w:rsid w:val="00641774"/>
    <w:rsid w:val="00643D20"/>
    <w:rsid w:val="006470D7"/>
    <w:rsid w:val="00647E5E"/>
    <w:rsid w:val="00647F79"/>
    <w:rsid w:val="00650D74"/>
    <w:rsid w:val="0065154B"/>
    <w:rsid w:val="00652052"/>
    <w:rsid w:val="00656A1A"/>
    <w:rsid w:val="0066465C"/>
    <w:rsid w:val="006648F6"/>
    <w:rsid w:val="00664AC0"/>
    <w:rsid w:val="00664D0D"/>
    <w:rsid w:val="00667129"/>
    <w:rsid w:val="006702D5"/>
    <w:rsid w:val="00670538"/>
    <w:rsid w:val="006724CE"/>
    <w:rsid w:val="006728F7"/>
    <w:rsid w:val="00672C17"/>
    <w:rsid w:val="00673F04"/>
    <w:rsid w:val="00674855"/>
    <w:rsid w:val="00675032"/>
    <w:rsid w:val="0067572B"/>
    <w:rsid w:val="006764C7"/>
    <w:rsid w:val="00676569"/>
    <w:rsid w:val="00680FB7"/>
    <w:rsid w:val="00681FC9"/>
    <w:rsid w:val="00682356"/>
    <w:rsid w:val="00682B1A"/>
    <w:rsid w:val="00685245"/>
    <w:rsid w:val="00686B06"/>
    <w:rsid w:val="00686E95"/>
    <w:rsid w:val="00687E7A"/>
    <w:rsid w:val="00690AEB"/>
    <w:rsid w:val="00691A26"/>
    <w:rsid w:val="00691A2C"/>
    <w:rsid w:val="00691D1B"/>
    <w:rsid w:val="00691DCF"/>
    <w:rsid w:val="006942E1"/>
    <w:rsid w:val="00694826"/>
    <w:rsid w:val="00694F08"/>
    <w:rsid w:val="006966AA"/>
    <w:rsid w:val="00696838"/>
    <w:rsid w:val="006A0449"/>
    <w:rsid w:val="006A076F"/>
    <w:rsid w:val="006A2AC5"/>
    <w:rsid w:val="006A34C6"/>
    <w:rsid w:val="006A36DC"/>
    <w:rsid w:val="006A3EAD"/>
    <w:rsid w:val="006A55CE"/>
    <w:rsid w:val="006A58F7"/>
    <w:rsid w:val="006A5AEA"/>
    <w:rsid w:val="006A62AB"/>
    <w:rsid w:val="006B069E"/>
    <w:rsid w:val="006B0C31"/>
    <w:rsid w:val="006B3D5C"/>
    <w:rsid w:val="006B5E9C"/>
    <w:rsid w:val="006B6C85"/>
    <w:rsid w:val="006B6C94"/>
    <w:rsid w:val="006C031A"/>
    <w:rsid w:val="006C0351"/>
    <w:rsid w:val="006C2A9F"/>
    <w:rsid w:val="006C32BE"/>
    <w:rsid w:val="006C3634"/>
    <w:rsid w:val="006C4810"/>
    <w:rsid w:val="006C49CD"/>
    <w:rsid w:val="006C516E"/>
    <w:rsid w:val="006C5591"/>
    <w:rsid w:val="006C59C0"/>
    <w:rsid w:val="006C72E4"/>
    <w:rsid w:val="006C7CD0"/>
    <w:rsid w:val="006D2B58"/>
    <w:rsid w:val="006D3DA8"/>
    <w:rsid w:val="006D3E2D"/>
    <w:rsid w:val="006D43F4"/>
    <w:rsid w:val="006D44D0"/>
    <w:rsid w:val="006D7388"/>
    <w:rsid w:val="006E1FE9"/>
    <w:rsid w:val="006E2048"/>
    <w:rsid w:val="006E4F9A"/>
    <w:rsid w:val="006E546D"/>
    <w:rsid w:val="006E5D0E"/>
    <w:rsid w:val="006E783F"/>
    <w:rsid w:val="006F07DE"/>
    <w:rsid w:val="006F099C"/>
    <w:rsid w:val="006F1A92"/>
    <w:rsid w:val="006F1EE0"/>
    <w:rsid w:val="006F2DA3"/>
    <w:rsid w:val="006F3962"/>
    <w:rsid w:val="006F7138"/>
    <w:rsid w:val="006F7A66"/>
    <w:rsid w:val="006F7B0E"/>
    <w:rsid w:val="007017DD"/>
    <w:rsid w:val="0070376B"/>
    <w:rsid w:val="007057ED"/>
    <w:rsid w:val="00705C7D"/>
    <w:rsid w:val="00706253"/>
    <w:rsid w:val="0070654C"/>
    <w:rsid w:val="00706969"/>
    <w:rsid w:val="00710151"/>
    <w:rsid w:val="00710C53"/>
    <w:rsid w:val="00711018"/>
    <w:rsid w:val="007118F4"/>
    <w:rsid w:val="00711A17"/>
    <w:rsid w:val="00711EE9"/>
    <w:rsid w:val="007131ED"/>
    <w:rsid w:val="00714256"/>
    <w:rsid w:val="00716BE6"/>
    <w:rsid w:val="007208D2"/>
    <w:rsid w:val="00723C8E"/>
    <w:rsid w:val="00723D42"/>
    <w:rsid w:val="00724B59"/>
    <w:rsid w:val="00726451"/>
    <w:rsid w:val="00727AB4"/>
    <w:rsid w:val="00727B0A"/>
    <w:rsid w:val="0073022F"/>
    <w:rsid w:val="00730AAA"/>
    <w:rsid w:val="007317F8"/>
    <w:rsid w:val="00732519"/>
    <w:rsid w:val="007325E4"/>
    <w:rsid w:val="00733163"/>
    <w:rsid w:val="0073445E"/>
    <w:rsid w:val="00735F3D"/>
    <w:rsid w:val="007400DC"/>
    <w:rsid w:val="007404C9"/>
    <w:rsid w:val="007432A4"/>
    <w:rsid w:val="00743E31"/>
    <w:rsid w:val="007444DC"/>
    <w:rsid w:val="007445FF"/>
    <w:rsid w:val="00744C01"/>
    <w:rsid w:val="00747606"/>
    <w:rsid w:val="0075082D"/>
    <w:rsid w:val="00752187"/>
    <w:rsid w:val="00755257"/>
    <w:rsid w:val="00757158"/>
    <w:rsid w:val="00760328"/>
    <w:rsid w:val="007606BE"/>
    <w:rsid w:val="007614DE"/>
    <w:rsid w:val="00762475"/>
    <w:rsid w:val="007634B8"/>
    <w:rsid w:val="00763C25"/>
    <w:rsid w:val="007647B9"/>
    <w:rsid w:val="00765C6A"/>
    <w:rsid w:val="0076676A"/>
    <w:rsid w:val="00767244"/>
    <w:rsid w:val="0077006A"/>
    <w:rsid w:val="007708E4"/>
    <w:rsid w:val="0077095A"/>
    <w:rsid w:val="00771B6A"/>
    <w:rsid w:val="00772BF7"/>
    <w:rsid w:val="00773CC3"/>
    <w:rsid w:val="007744D4"/>
    <w:rsid w:val="007753E4"/>
    <w:rsid w:val="00776917"/>
    <w:rsid w:val="00777951"/>
    <w:rsid w:val="007802E3"/>
    <w:rsid w:val="00780B99"/>
    <w:rsid w:val="0078207B"/>
    <w:rsid w:val="00782095"/>
    <w:rsid w:val="0078279A"/>
    <w:rsid w:val="00782981"/>
    <w:rsid w:val="00782D95"/>
    <w:rsid w:val="00786501"/>
    <w:rsid w:val="00786B0D"/>
    <w:rsid w:val="00787475"/>
    <w:rsid w:val="00791438"/>
    <w:rsid w:val="00792432"/>
    <w:rsid w:val="0079412A"/>
    <w:rsid w:val="0079476A"/>
    <w:rsid w:val="007956E5"/>
    <w:rsid w:val="007A04EF"/>
    <w:rsid w:val="007A1C9B"/>
    <w:rsid w:val="007A1CC7"/>
    <w:rsid w:val="007A2276"/>
    <w:rsid w:val="007A5768"/>
    <w:rsid w:val="007B0E3A"/>
    <w:rsid w:val="007B1048"/>
    <w:rsid w:val="007B1DBE"/>
    <w:rsid w:val="007B21A7"/>
    <w:rsid w:val="007B2E97"/>
    <w:rsid w:val="007B3551"/>
    <w:rsid w:val="007B49F9"/>
    <w:rsid w:val="007B5D74"/>
    <w:rsid w:val="007B60B1"/>
    <w:rsid w:val="007B6A33"/>
    <w:rsid w:val="007C1615"/>
    <w:rsid w:val="007C267E"/>
    <w:rsid w:val="007C3A36"/>
    <w:rsid w:val="007C464F"/>
    <w:rsid w:val="007C4A0A"/>
    <w:rsid w:val="007C52C6"/>
    <w:rsid w:val="007C5FA5"/>
    <w:rsid w:val="007C6E37"/>
    <w:rsid w:val="007D20E2"/>
    <w:rsid w:val="007D2550"/>
    <w:rsid w:val="007D262D"/>
    <w:rsid w:val="007D2F70"/>
    <w:rsid w:val="007D3B3F"/>
    <w:rsid w:val="007D3BBD"/>
    <w:rsid w:val="007D419E"/>
    <w:rsid w:val="007D4765"/>
    <w:rsid w:val="007D5213"/>
    <w:rsid w:val="007D60BB"/>
    <w:rsid w:val="007D67B4"/>
    <w:rsid w:val="007D70EB"/>
    <w:rsid w:val="007D744E"/>
    <w:rsid w:val="007D7898"/>
    <w:rsid w:val="007D7F04"/>
    <w:rsid w:val="007E15D9"/>
    <w:rsid w:val="007E1945"/>
    <w:rsid w:val="007E203F"/>
    <w:rsid w:val="007E21F0"/>
    <w:rsid w:val="007E24A2"/>
    <w:rsid w:val="007E3162"/>
    <w:rsid w:val="007E3A00"/>
    <w:rsid w:val="007E3EBA"/>
    <w:rsid w:val="007E68CF"/>
    <w:rsid w:val="007E7BFE"/>
    <w:rsid w:val="007F0DBB"/>
    <w:rsid w:val="007F6C9C"/>
    <w:rsid w:val="007F7D5E"/>
    <w:rsid w:val="007F7FE4"/>
    <w:rsid w:val="00800546"/>
    <w:rsid w:val="00801760"/>
    <w:rsid w:val="0080269B"/>
    <w:rsid w:val="0080331E"/>
    <w:rsid w:val="0080433D"/>
    <w:rsid w:val="00804445"/>
    <w:rsid w:val="0080554E"/>
    <w:rsid w:val="00805A0E"/>
    <w:rsid w:val="00805E93"/>
    <w:rsid w:val="008061FF"/>
    <w:rsid w:val="00810906"/>
    <w:rsid w:val="00811105"/>
    <w:rsid w:val="00811645"/>
    <w:rsid w:val="00811C0F"/>
    <w:rsid w:val="0081231C"/>
    <w:rsid w:val="00812346"/>
    <w:rsid w:val="00812594"/>
    <w:rsid w:val="00813E5E"/>
    <w:rsid w:val="008153D5"/>
    <w:rsid w:val="0081630C"/>
    <w:rsid w:val="0081637F"/>
    <w:rsid w:val="00821AA0"/>
    <w:rsid w:val="00821BA6"/>
    <w:rsid w:val="00821E4A"/>
    <w:rsid w:val="00824176"/>
    <w:rsid w:val="00825301"/>
    <w:rsid w:val="00825997"/>
    <w:rsid w:val="00826808"/>
    <w:rsid w:val="00827C7C"/>
    <w:rsid w:val="00831A31"/>
    <w:rsid w:val="0083283E"/>
    <w:rsid w:val="00832A46"/>
    <w:rsid w:val="0083478F"/>
    <w:rsid w:val="00834E61"/>
    <w:rsid w:val="00835EA2"/>
    <w:rsid w:val="00836F3D"/>
    <w:rsid w:val="00840E4A"/>
    <w:rsid w:val="008410DC"/>
    <w:rsid w:val="0084146E"/>
    <w:rsid w:val="008417E2"/>
    <w:rsid w:val="00841FB0"/>
    <w:rsid w:val="008431F0"/>
    <w:rsid w:val="00844329"/>
    <w:rsid w:val="008457E0"/>
    <w:rsid w:val="00846707"/>
    <w:rsid w:val="00847CC2"/>
    <w:rsid w:val="008507A1"/>
    <w:rsid w:val="0085131E"/>
    <w:rsid w:val="00851352"/>
    <w:rsid w:val="00851427"/>
    <w:rsid w:val="00851921"/>
    <w:rsid w:val="00852851"/>
    <w:rsid w:val="00854538"/>
    <w:rsid w:val="00855C5F"/>
    <w:rsid w:val="00857CD4"/>
    <w:rsid w:val="00860E2A"/>
    <w:rsid w:val="00861C8F"/>
    <w:rsid w:val="00862498"/>
    <w:rsid w:val="00862E42"/>
    <w:rsid w:val="00863F01"/>
    <w:rsid w:val="00867015"/>
    <w:rsid w:val="00867E8A"/>
    <w:rsid w:val="00870E77"/>
    <w:rsid w:val="008712BD"/>
    <w:rsid w:val="0087162E"/>
    <w:rsid w:val="008720BA"/>
    <w:rsid w:val="00875D7B"/>
    <w:rsid w:val="00876EE9"/>
    <w:rsid w:val="0087711A"/>
    <w:rsid w:val="00880043"/>
    <w:rsid w:val="00880A5E"/>
    <w:rsid w:val="00883118"/>
    <w:rsid w:val="00883C42"/>
    <w:rsid w:val="00883FC9"/>
    <w:rsid w:val="008843A6"/>
    <w:rsid w:val="00884556"/>
    <w:rsid w:val="0088544E"/>
    <w:rsid w:val="00894F67"/>
    <w:rsid w:val="00895E71"/>
    <w:rsid w:val="008962F0"/>
    <w:rsid w:val="00897F50"/>
    <w:rsid w:val="008A0C13"/>
    <w:rsid w:val="008A1845"/>
    <w:rsid w:val="008A3921"/>
    <w:rsid w:val="008A4279"/>
    <w:rsid w:val="008A447A"/>
    <w:rsid w:val="008A4C0E"/>
    <w:rsid w:val="008A5D65"/>
    <w:rsid w:val="008A65DD"/>
    <w:rsid w:val="008A7D67"/>
    <w:rsid w:val="008B04E5"/>
    <w:rsid w:val="008B0A3B"/>
    <w:rsid w:val="008B3DC7"/>
    <w:rsid w:val="008B4A16"/>
    <w:rsid w:val="008B4D4B"/>
    <w:rsid w:val="008B5C47"/>
    <w:rsid w:val="008B627F"/>
    <w:rsid w:val="008B7424"/>
    <w:rsid w:val="008B7A85"/>
    <w:rsid w:val="008B7BCD"/>
    <w:rsid w:val="008C07EA"/>
    <w:rsid w:val="008C2EA8"/>
    <w:rsid w:val="008C2FF0"/>
    <w:rsid w:val="008C4CE8"/>
    <w:rsid w:val="008C5C8B"/>
    <w:rsid w:val="008C745B"/>
    <w:rsid w:val="008D1E7A"/>
    <w:rsid w:val="008D25A5"/>
    <w:rsid w:val="008D26A8"/>
    <w:rsid w:val="008D29A2"/>
    <w:rsid w:val="008D360A"/>
    <w:rsid w:val="008D3FEB"/>
    <w:rsid w:val="008D6724"/>
    <w:rsid w:val="008D6F76"/>
    <w:rsid w:val="008D7045"/>
    <w:rsid w:val="008D70B6"/>
    <w:rsid w:val="008D7606"/>
    <w:rsid w:val="008E0F13"/>
    <w:rsid w:val="008E31BB"/>
    <w:rsid w:val="008E4778"/>
    <w:rsid w:val="008E4BA5"/>
    <w:rsid w:val="008E7457"/>
    <w:rsid w:val="008E74D5"/>
    <w:rsid w:val="008F09DD"/>
    <w:rsid w:val="008F10A6"/>
    <w:rsid w:val="008F1840"/>
    <w:rsid w:val="008F1E99"/>
    <w:rsid w:val="008F27DB"/>
    <w:rsid w:val="008F3029"/>
    <w:rsid w:val="008F336C"/>
    <w:rsid w:val="008F3F24"/>
    <w:rsid w:val="008F4456"/>
    <w:rsid w:val="008F507C"/>
    <w:rsid w:val="008F56CB"/>
    <w:rsid w:val="008F609B"/>
    <w:rsid w:val="008F696B"/>
    <w:rsid w:val="008F77E6"/>
    <w:rsid w:val="00902CB9"/>
    <w:rsid w:val="0090379F"/>
    <w:rsid w:val="00903F04"/>
    <w:rsid w:val="00904910"/>
    <w:rsid w:val="009049EA"/>
    <w:rsid w:val="00906CE0"/>
    <w:rsid w:val="009125AA"/>
    <w:rsid w:val="009132A9"/>
    <w:rsid w:val="00916722"/>
    <w:rsid w:val="009170CA"/>
    <w:rsid w:val="009172BB"/>
    <w:rsid w:val="009179AC"/>
    <w:rsid w:val="009200EE"/>
    <w:rsid w:val="009215B0"/>
    <w:rsid w:val="009223E5"/>
    <w:rsid w:val="00922FB3"/>
    <w:rsid w:val="0092378B"/>
    <w:rsid w:val="00925A45"/>
    <w:rsid w:val="00925CA0"/>
    <w:rsid w:val="00926F1F"/>
    <w:rsid w:val="00927228"/>
    <w:rsid w:val="0093041C"/>
    <w:rsid w:val="00930AAD"/>
    <w:rsid w:val="00932778"/>
    <w:rsid w:val="00932F5A"/>
    <w:rsid w:val="00934C89"/>
    <w:rsid w:val="009370B2"/>
    <w:rsid w:val="009415B3"/>
    <w:rsid w:val="009419F8"/>
    <w:rsid w:val="00941AEB"/>
    <w:rsid w:val="00942D7F"/>
    <w:rsid w:val="00942EF9"/>
    <w:rsid w:val="00943F9B"/>
    <w:rsid w:val="00944AE6"/>
    <w:rsid w:val="0094503B"/>
    <w:rsid w:val="009462F7"/>
    <w:rsid w:val="009468BA"/>
    <w:rsid w:val="00947179"/>
    <w:rsid w:val="0095258C"/>
    <w:rsid w:val="00955145"/>
    <w:rsid w:val="00956C38"/>
    <w:rsid w:val="00962E49"/>
    <w:rsid w:val="00965652"/>
    <w:rsid w:val="00965A47"/>
    <w:rsid w:val="00965E35"/>
    <w:rsid w:val="00970FA5"/>
    <w:rsid w:val="009740CC"/>
    <w:rsid w:val="0097478D"/>
    <w:rsid w:val="00975B5F"/>
    <w:rsid w:val="009806C3"/>
    <w:rsid w:val="009826F8"/>
    <w:rsid w:val="0098327B"/>
    <w:rsid w:val="0098412C"/>
    <w:rsid w:val="00984A38"/>
    <w:rsid w:val="009850C0"/>
    <w:rsid w:val="00985379"/>
    <w:rsid w:val="00987053"/>
    <w:rsid w:val="00987315"/>
    <w:rsid w:val="00987C8A"/>
    <w:rsid w:val="00987E0F"/>
    <w:rsid w:val="00990677"/>
    <w:rsid w:val="009916AB"/>
    <w:rsid w:val="009917C2"/>
    <w:rsid w:val="00992304"/>
    <w:rsid w:val="00993245"/>
    <w:rsid w:val="0099369B"/>
    <w:rsid w:val="0099496E"/>
    <w:rsid w:val="00994B6A"/>
    <w:rsid w:val="009950CB"/>
    <w:rsid w:val="009952D0"/>
    <w:rsid w:val="009966F9"/>
    <w:rsid w:val="009A02ED"/>
    <w:rsid w:val="009A044A"/>
    <w:rsid w:val="009A0A2C"/>
    <w:rsid w:val="009A22AE"/>
    <w:rsid w:val="009A3F2A"/>
    <w:rsid w:val="009A4D4A"/>
    <w:rsid w:val="009A6631"/>
    <w:rsid w:val="009A731F"/>
    <w:rsid w:val="009A795F"/>
    <w:rsid w:val="009B16E5"/>
    <w:rsid w:val="009B2CC8"/>
    <w:rsid w:val="009B6CF9"/>
    <w:rsid w:val="009B6FFC"/>
    <w:rsid w:val="009C0D38"/>
    <w:rsid w:val="009C231D"/>
    <w:rsid w:val="009C26D4"/>
    <w:rsid w:val="009C2BDD"/>
    <w:rsid w:val="009C4C14"/>
    <w:rsid w:val="009C5C4D"/>
    <w:rsid w:val="009C64B6"/>
    <w:rsid w:val="009C6F32"/>
    <w:rsid w:val="009C7CD8"/>
    <w:rsid w:val="009D1C91"/>
    <w:rsid w:val="009D670E"/>
    <w:rsid w:val="009D772E"/>
    <w:rsid w:val="009D7B9A"/>
    <w:rsid w:val="009E0EAC"/>
    <w:rsid w:val="009E2595"/>
    <w:rsid w:val="009E3045"/>
    <w:rsid w:val="009E42AD"/>
    <w:rsid w:val="009E67FC"/>
    <w:rsid w:val="009E7307"/>
    <w:rsid w:val="009E7A69"/>
    <w:rsid w:val="009F02E6"/>
    <w:rsid w:val="009F25D9"/>
    <w:rsid w:val="009F46D8"/>
    <w:rsid w:val="00A01B38"/>
    <w:rsid w:val="00A01DA4"/>
    <w:rsid w:val="00A02DCA"/>
    <w:rsid w:val="00A0350D"/>
    <w:rsid w:val="00A06945"/>
    <w:rsid w:val="00A06AD1"/>
    <w:rsid w:val="00A06DD4"/>
    <w:rsid w:val="00A072E3"/>
    <w:rsid w:val="00A07AA5"/>
    <w:rsid w:val="00A100C0"/>
    <w:rsid w:val="00A104F8"/>
    <w:rsid w:val="00A1090F"/>
    <w:rsid w:val="00A10925"/>
    <w:rsid w:val="00A11633"/>
    <w:rsid w:val="00A13BA5"/>
    <w:rsid w:val="00A17BFD"/>
    <w:rsid w:val="00A201ED"/>
    <w:rsid w:val="00A20241"/>
    <w:rsid w:val="00A20E09"/>
    <w:rsid w:val="00A21C66"/>
    <w:rsid w:val="00A23396"/>
    <w:rsid w:val="00A2380A"/>
    <w:rsid w:val="00A24F44"/>
    <w:rsid w:val="00A25C96"/>
    <w:rsid w:val="00A26D29"/>
    <w:rsid w:val="00A274D9"/>
    <w:rsid w:val="00A27F11"/>
    <w:rsid w:val="00A3234C"/>
    <w:rsid w:val="00A33EF6"/>
    <w:rsid w:val="00A33FCB"/>
    <w:rsid w:val="00A34A5E"/>
    <w:rsid w:val="00A36EF4"/>
    <w:rsid w:val="00A3776A"/>
    <w:rsid w:val="00A40ABF"/>
    <w:rsid w:val="00A40C5B"/>
    <w:rsid w:val="00A412F9"/>
    <w:rsid w:val="00A41EB0"/>
    <w:rsid w:val="00A429EE"/>
    <w:rsid w:val="00A42BB1"/>
    <w:rsid w:val="00A42FA7"/>
    <w:rsid w:val="00A44E74"/>
    <w:rsid w:val="00A45C5A"/>
    <w:rsid w:val="00A46A8A"/>
    <w:rsid w:val="00A47720"/>
    <w:rsid w:val="00A50764"/>
    <w:rsid w:val="00A51062"/>
    <w:rsid w:val="00A51A48"/>
    <w:rsid w:val="00A525FB"/>
    <w:rsid w:val="00A52654"/>
    <w:rsid w:val="00A53B61"/>
    <w:rsid w:val="00A54100"/>
    <w:rsid w:val="00A54112"/>
    <w:rsid w:val="00A5466B"/>
    <w:rsid w:val="00A54BE3"/>
    <w:rsid w:val="00A54FD1"/>
    <w:rsid w:val="00A638DB"/>
    <w:rsid w:val="00A64925"/>
    <w:rsid w:val="00A66C39"/>
    <w:rsid w:val="00A66FA4"/>
    <w:rsid w:val="00A67471"/>
    <w:rsid w:val="00A67B94"/>
    <w:rsid w:val="00A67C63"/>
    <w:rsid w:val="00A70064"/>
    <w:rsid w:val="00A705E7"/>
    <w:rsid w:val="00A7075A"/>
    <w:rsid w:val="00A73A0B"/>
    <w:rsid w:val="00A74692"/>
    <w:rsid w:val="00A75715"/>
    <w:rsid w:val="00A75D63"/>
    <w:rsid w:val="00A76BA2"/>
    <w:rsid w:val="00A770F7"/>
    <w:rsid w:val="00A777E6"/>
    <w:rsid w:val="00A77B66"/>
    <w:rsid w:val="00A77E8B"/>
    <w:rsid w:val="00A802A7"/>
    <w:rsid w:val="00A82469"/>
    <w:rsid w:val="00A8420A"/>
    <w:rsid w:val="00A84B83"/>
    <w:rsid w:val="00A8501C"/>
    <w:rsid w:val="00A861D0"/>
    <w:rsid w:val="00A8637F"/>
    <w:rsid w:val="00A86B43"/>
    <w:rsid w:val="00A909CD"/>
    <w:rsid w:val="00A91744"/>
    <w:rsid w:val="00A93C01"/>
    <w:rsid w:val="00A944F0"/>
    <w:rsid w:val="00A9516D"/>
    <w:rsid w:val="00A95A39"/>
    <w:rsid w:val="00AA089D"/>
    <w:rsid w:val="00AA369C"/>
    <w:rsid w:val="00AA73E3"/>
    <w:rsid w:val="00AA7806"/>
    <w:rsid w:val="00AB0CDD"/>
    <w:rsid w:val="00AB0E78"/>
    <w:rsid w:val="00AB0EDB"/>
    <w:rsid w:val="00AB102D"/>
    <w:rsid w:val="00AB15F2"/>
    <w:rsid w:val="00AB1A7A"/>
    <w:rsid w:val="00AB22C1"/>
    <w:rsid w:val="00AB3AD6"/>
    <w:rsid w:val="00AB3BA2"/>
    <w:rsid w:val="00AB3C5F"/>
    <w:rsid w:val="00AB463F"/>
    <w:rsid w:val="00AB46C9"/>
    <w:rsid w:val="00AB4E10"/>
    <w:rsid w:val="00AB5865"/>
    <w:rsid w:val="00AB68B9"/>
    <w:rsid w:val="00AC29A6"/>
    <w:rsid w:val="00AC34E7"/>
    <w:rsid w:val="00AC373F"/>
    <w:rsid w:val="00AC3EB4"/>
    <w:rsid w:val="00AC514E"/>
    <w:rsid w:val="00AD2AB6"/>
    <w:rsid w:val="00AD3135"/>
    <w:rsid w:val="00AD3422"/>
    <w:rsid w:val="00AD397D"/>
    <w:rsid w:val="00AD40A9"/>
    <w:rsid w:val="00AD4B90"/>
    <w:rsid w:val="00AD6E21"/>
    <w:rsid w:val="00AD7CB4"/>
    <w:rsid w:val="00AE0880"/>
    <w:rsid w:val="00AE1B07"/>
    <w:rsid w:val="00AE20EA"/>
    <w:rsid w:val="00AE21D2"/>
    <w:rsid w:val="00AE34FE"/>
    <w:rsid w:val="00AF0DD9"/>
    <w:rsid w:val="00AF30E7"/>
    <w:rsid w:val="00AF3C8A"/>
    <w:rsid w:val="00AF48CE"/>
    <w:rsid w:val="00AF5034"/>
    <w:rsid w:val="00AF5039"/>
    <w:rsid w:val="00AF65DB"/>
    <w:rsid w:val="00AF6BA1"/>
    <w:rsid w:val="00AF7502"/>
    <w:rsid w:val="00B00801"/>
    <w:rsid w:val="00B00C50"/>
    <w:rsid w:val="00B01034"/>
    <w:rsid w:val="00B02970"/>
    <w:rsid w:val="00B02F67"/>
    <w:rsid w:val="00B0465F"/>
    <w:rsid w:val="00B04FA3"/>
    <w:rsid w:val="00B06996"/>
    <w:rsid w:val="00B0719E"/>
    <w:rsid w:val="00B10A71"/>
    <w:rsid w:val="00B12C5C"/>
    <w:rsid w:val="00B12EF4"/>
    <w:rsid w:val="00B1433F"/>
    <w:rsid w:val="00B1490B"/>
    <w:rsid w:val="00B15357"/>
    <w:rsid w:val="00B16129"/>
    <w:rsid w:val="00B161BF"/>
    <w:rsid w:val="00B166DF"/>
    <w:rsid w:val="00B20496"/>
    <w:rsid w:val="00B2119F"/>
    <w:rsid w:val="00B21587"/>
    <w:rsid w:val="00B216A2"/>
    <w:rsid w:val="00B2227D"/>
    <w:rsid w:val="00B228DE"/>
    <w:rsid w:val="00B23445"/>
    <w:rsid w:val="00B23847"/>
    <w:rsid w:val="00B2403D"/>
    <w:rsid w:val="00B240F1"/>
    <w:rsid w:val="00B25BFD"/>
    <w:rsid w:val="00B273F7"/>
    <w:rsid w:val="00B30A81"/>
    <w:rsid w:val="00B37FE6"/>
    <w:rsid w:val="00B41ABF"/>
    <w:rsid w:val="00B41D3D"/>
    <w:rsid w:val="00B4260C"/>
    <w:rsid w:val="00B42844"/>
    <w:rsid w:val="00B46343"/>
    <w:rsid w:val="00B46400"/>
    <w:rsid w:val="00B4652C"/>
    <w:rsid w:val="00B50098"/>
    <w:rsid w:val="00B50D68"/>
    <w:rsid w:val="00B52B7A"/>
    <w:rsid w:val="00B52EDF"/>
    <w:rsid w:val="00B52FA6"/>
    <w:rsid w:val="00B54359"/>
    <w:rsid w:val="00B544EE"/>
    <w:rsid w:val="00B558DE"/>
    <w:rsid w:val="00B55B87"/>
    <w:rsid w:val="00B55F60"/>
    <w:rsid w:val="00B6020B"/>
    <w:rsid w:val="00B60F1F"/>
    <w:rsid w:val="00B61820"/>
    <w:rsid w:val="00B6206F"/>
    <w:rsid w:val="00B623A7"/>
    <w:rsid w:val="00B62591"/>
    <w:rsid w:val="00B63CE1"/>
    <w:rsid w:val="00B645C3"/>
    <w:rsid w:val="00B64701"/>
    <w:rsid w:val="00B6631E"/>
    <w:rsid w:val="00B70019"/>
    <w:rsid w:val="00B70429"/>
    <w:rsid w:val="00B70DCE"/>
    <w:rsid w:val="00B71D2C"/>
    <w:rsid w:val="00B72613"/>
    <w:rsid w:val="00B75EB2"/>
    <w:rsid w:val="00B763FC"/>
    <w:rsid w:val="00B772FA"/>
    <w:rsid w:val="00B8156F"/>
    <w:rsid w:val="00B81AEE"/>
    <w:rsid w:val="00B82D37"/>
    <w:rsid w:val="00B9034C"/>
    <w:rsid w:val="00B90CA6"/>
    <w:rsid w:val="00B91ABC"/>
    <w:rsid w:val="00B91ED2"/>
    <w:rsid w:val="00B922AF"/>
    <w:rsid w:val="00B92BB3"/>
    <w:rsid w:val="00B958D9"/>
    <w:rsid w:val="00B964E3"/>
    <w:rsid w:val="00B96A45"/>
    <w:rsid w:val="00B96B05"/>
    <w:rsid w:val="00B9701E"/>
    <w:rsid w:val="00BA0E95"/>
    <w:rsid w:val="00BA2EA0"/>
    <w:rsid w:val="00BA4031"/>
    <w:rsid w:val="00BA5BAF"/>
    <w:rsid w:val="00BA6202"/>
    <w:rsid w:val="00BB0E27"/>
    <w:rsid w:val="00BB229E"/>
    <w:rsid w:val="00BB375C"/>
    <w:rsid w:val="00BB4980"/>
    <w:rsid w:val="00BB4F57"/>
    <w:rsid w:val="00BB572D"/>
    <w:rsid w:val="00BB711C"/>
    <w:rsid w:val="00BC0181"/>
    <w:rsid w:val="00BC0921"/>
    <w:rsid w:val="00BC1AA6"/>
    <w:rsid w:val="00BC2D5F"/>
    <w:rsid w:val="00BC345F"/>
    <w:rsid w:val="00BC487B"/>
    <w:rsid w:val="00BC4D4A"/>
    <w:rsid w:val="00BC4ED9"/>
    <w:rsid w:val="00BC4EE2"/>
    <w:rsid w:val="00BC6595"/>
    <w:rsid w:val="00BC6A40"/>
    <w:rsid w:val="00BC722B"/>
    <w:rsid w:val="00BD053C"/>
    <w:rsid w:val="00BD0E56"/>
    <w:rsid w:val="00BD1BBD"/>
    <w:rsid w:val="00BD3B28"/>
    <w:rsid w:val="00BD456D"/>
    <w:rsid w:val="00BD70B1"/>
    <w:rsid w:val="00BD711A"/>
    <w:rsid w:val="00BD773F"/>
    <w:rsid w:val="00BE0424"/>
    <w:rsid w:val="00BE0FD9"/>
    <w:rsid w:val="00BE2464"/>
    <w:rsid w:val="00BE25BF"/>
    <w:rsid w:val="00BE2B72"/>
    <w:rsid w:val="00BF00A6"/>
    <w:rsid w:val="00BF103F"/>
    <w:rsid w:val="00BF256D"/>
    <w:rsid w:val="00BF54F8"/>
    <w:rsid w:val="00BF77F7"/>
    <w:rsid w:val="00C005C1"/>
    <w:rsid w:val="00C007DD"/>
    <w:rsid w:val="00C02624"/>
    <w:rsid w:val="00C034CF"/>
    <w:rsid w:val="00C0547D"/>
    <w:rsid w:val="00C0590F"/>
    <w:rsid w:val="00C12D27"/>
    <w:rsid w:val="00C1312B"/>
    <w:rsid w:val="00C136D9"/>
    <w:rsid w:val="00C13FBC"/>
    <w:rsid w:val="00C14299"/>
    <w:rsid w:val="00C14617"/>
    <w:rsid w:val="00C14C47"/>
    <w:rsid w:val="00C16293"/>
    <w:rsid w:val="00C16D40"/>
    <w:rsid w:val="00C16DA7"/>
    <w:rsid w:val="00C17510"/>
    <w:rsid w:val="00C20FDC"/>
    <w:rsid w:val="00C25245"/>
    <w:rsid w:val="00C30755"/>
    <w:rsid w:val="00C32E2F"/>
    <w:rsid w:val="00C340F8"/>
    <w:rsid w:val="00C3431E"/>
    <w:rsid w:val="00C345BF"/>
    <w:rsid w:val="00C34769"/>
    <w:rsid w:val="00C35FF3"/>
    <w:rsid w:val="00C361CB"/>
    <w:rsid w:val="00C36295"/>
    <w:rsid w:val="00C36B38"/>
    <w:rsid w:val="00C37CEA"/>
    <w:rsid w:val="00C40871"/>
    <w:rsid w:val="00C423E4"/>
    <w:rsid w:val="00C44AE9"/>
    <w:rsid w:val="00C45933"/>
    <w:rsid w:val="00C503F5"/>
    <w:rsid w:val="00C503FA"/>
    <w:rsid w:val="00C5055D"/>
    <w:rsid w:val="00C50DAC"/>
    <w:rsid w:val="00C51D6B"/>
    <w:rsid w:val="00C52164"/>
    <w:rsid w:val="00C529C1"/>
    <w:rsid w:val="00C53EBF"/>
    <w:rsid w:val="00C5549F"/>
    <w:rsid w:val="00C56125"/>
    <w:rsid w:val="00C56F52"/>
    <w:rsid w:val="00C57046"/>
    <w:rsid w:val="00C57D4A"/>
    <w:rsid w:val="00C63E6C"/>
    <w:rsid w:val="00C6462A"/>
    <w:rsid w:val="00C648B8"/>
    <w:rsid w:val="00C65034"/>
    <w:rsid w:val="00C65EA4"/>
    <w:rsid w:val="00C6778F"/>
    <w:rsid w:val="00C67EBA"/>
    <w:rsid w:val="00C70439"/>
    <w:rsid w:val="00C71611"/>
    <w:rsid w:val="00C7184A"/>
    <w:rsid w:val="00C737E6"/>
    <w:rsid w:val="00C74961"/>
    <w:rsid w:val="00C7592D"/>
    <w:rsid w:val="00C76D1A"/>
    <w:rsid w:val="00C77CBB"/>
    <w:rsid w:val="00C77D8B"/>
    <w:rsid w:val="00C806FF"/>
    <w:rsid w:val="00C80A77"/>
    <w:rsid w:val="00C82CA1"/>
    <w:rsid w:val="00C84FA0"/>
    <w:rsid w:val="00C8773F"/>
    <w:rsid w:val="00C9210E"/>
    <w:rsid w:val="00C929C6"/>
    <w:rsid w:val="00CA4234"/>
    <w:rsid w:val="00CA5B13"/>
    <w:rsid w:val="00CA6C71"/>
    <w:rsid w:val="00CA6D35"/>
    <w:rsid w:val="00CB06E0"/>
    <w:rsid w:val="00CB0FBC"/>
    <w:rsid w:val="00CB11A6"/>
    <w:rsid w:val="00CB4FED"/>
    <w:rsid w:val="00CC00A6"/>
    <w:rsid w:val="00CC1B68"/>
    <w:rsid w:val="00CC37B5"/>
    <w:rsid w:val="00CC3AE7"/>
    <w:rsid w:val="00CC41AD"/>
    <w:rsid w:val="00CC46B7"/>
    <w:rsid w:val="00CC4C5F"/>
    <w:rsid w:val="00CC65DD"/>
    <w:rsid w:val="00CC66D3"/>
    <w:rsid w:val="00CD037C"/>
    <w:rsid w:val="00CD0D0D"/>
    <w:rsid w:val="00CD160B"/>
    <w:rsid w:val="00CD32DE"/>
    <w:rsid w:val="00CD36FE"/>
    <w:rsid w:val="00CD3E73"/>
    <w:rsid w:val="00CD46FD"/>
    <w:rsid w:val="00CD4702"/>
    <w:rsid w:val="00CD6008"/>
    <w:rsid w:val="00CD780C"/>
    <w:rsid w:val="00CE1FB2"/>
    <w:rsid w:val="00CE269D"/>
    <w:rsid w:val="00CE329E"/>
    <w:rsid w:val="00CE336D"/>
    <w:rsid w:val="00CE3825"/>
    <w:rsid w:val="00CE48E2"/>
    <w:rsid w:val="00CE4FF7"/>
    <w:rsid w:val="00CE65C8"/>
    <w:rsid w:val="00CF0067"/>
    <w:rsid w:val="00CF04B7"/>
    <w:rsid w:val="00CF1B99"/>
    <w:rsid w:val="00CF3919"/>
    <w:rsid w:val="00CF49E8"/>
    <w:rsid w:val="00CF4E91"/>
    <w:rsid w:val="00CF59D9"/>
    <w:rsid w:val="00CF6C41"/>
    <w:rsid w:val="00CF7E1D"/>
    <w:rsid w:val="00D00213"/>
    <w:rsid w:val="00D02323"/>
    <w:rsid w:val="00D0442E"/>
    <w:rsid w:val="00D04853"/>
    <w:rsid w:val="00D04C5D"/>
    <w:rsid w:val="00D07033"/>
    <w:rsid w:val="00D102AB"/>
    <w:rsid w:val="00D11642"/>
    <w:rsid w:val="00D12909"/>
    <w:rsid w:val="00D14037"/>
    <w:rsid w:val="00D15C5B"/>
    <w:rsid w:val="00D15ED3"/>
    <w:rsid w:val="00D16809"/>
    <w:rsid w:val="00D16F54"/>
    <w:rsid w:val="00D17B17"/>
    <w:rsid w:val="00D20644"/>
    <w:rsid w:val="00D208AA"/>
    <w:rsid w:val="00D21D84"/>
    <w:rsid w:val="00D21F9F"/>
    <w:rsid w:val="00D2228A"/>
    <w:rsid w:val="00D2264B"/>
    <w:rsid w:val="00D22C8C"/>
    <w:rsid w:val="00D22F79"/>
    <w:rsid w:val="00D23CC3"/>
    <w:rsid w:val="00D2490F"/>
    <w:rsid w:val="00D309F2"/>
    <w:rsid w:val="00D30EFC"/>
    <w:rsid w:val="00D31089"/>
    <w:rsid w:val="00D32DB0"/>
    <w:rsid w:val="00D32E8D"/>
    <w:rsid w:val="00D34295"/>
    <w:rsid w:val="00D35354"/>
    <w:rsid w:val="00D35421"/>
    <w:rsid w:val="00D35476"/>
    <w:rsid w:val="00D3754D"/>
    <w:rsid w:val="00D40EFC"/>
    <w:rsid w:val="00D41D32"/>
    <w:rsid w:val="00D41EBE"/>
    <w:rsid w:val="00D426D7"/>
    <w:rsid w:val="00D434D7"/>
    <w:rsid w:val="00D443AB"/>
    <w:rsid w:val="00D44860"/>
    <w:rsid w:val="00D44EF5"/>
    <w:rsid w:val="00D516C3"/>
    <w:rsid w:val="00D558E8"/>
    <w:rsid w:val="00D56F34"/>
    <w:rsid w:val="00D615CC"/>
    <w:rsid w:val="00D62A74"/>
    <w:rsid w:val="00D6300F"/>
    <w:rsid w:val="00D63A94"/>
    <w:rsid w:val="00D640EE"/>
    <w:rsid w:val="00D65081"/>
    <w:rsid w:val="00D65197"/>
    <w:rsid w:val="00D662D5"/>
    <w:rsid w:val="00D66788"/>
    <w:rsid w:val="00D66B03"/>
    <w:rsid w:val="00D71627"/>
    <w:rsid w:val="00D71FB3"/>
    <w:rsid w:val="00D76FE4"/>
    <w:rsid w:val="00D80678"/>
    <w:rsid w:val="00D81301"/>
    <w:rsid w:val="00D82787"/>
    <w:rsid w:val="00D8444F"/>
    <w:rsid w:val="00D864D3"/>
    <w:rsid w:val="00D878C3"/>
    <w:rsid w:val="00D92718"/>
    <w:rsid w:val="00D92892"/>
    <w:rsid w:val="00D92C3A"/>
    <w:rsid w:val="00D9346D"/>
    <w:rsid w:val="00D9347F"/>
    <w:rsid w:val="00D945F4"/>
    <w:rsid w:val="00D9498C"/>
    <w:rsid w:val="00D94DC9"/>
    <w:rsid w:val="00D96355"/>
    <w:rsid w:val="00DA03F2"/>
    <w:rsid w:val="00DA096F"/>
    <w:rsid w:val="00DA257A"/>
    <w:rsid w:val="00DA54BB"/>
    <w:rsid w:val="00DA6F5B"/>
    <w:rsid w:val="00DB668B"/>
    <w:rsid w:val="00DB66F0"/>
    <w:rsid w:val="00DB6DE9"/>
    <w:rsid w:val="00DC0776"/>
    <w:rsid w:val="00DC1446"/>
    <w:rsid w:val="00DC4A59"/>
    <w:rsid w:val="00DC6BDA"/>
    <w:rsid w:val="00DC74A9"/>
    <w:rsid w:val="00DC7A17"/>
    <w:rsid w:val="00DC7AFB"/>
    <w:rsid w:val="00DC7BF1"/>
    <w:rsid w:val="00DD06BB"/>
    <w:rsid w:val="00DD122A"/>
    <w:rsid w:val="00DD3D59"/>
    <w:rsid w:val="00DD45EF"/>
    <w:rsid w:val="00DD46DA"/>
    <w:rsid w:val="00DD46EB"/>
    <w:rsid w:val="00DD4791"/>
    <w:rsid w:val="00DD5E28"/>
    <w:rsid w:val="00DD61FA"/>
    <w:rsid w:val="00DD699A"/>
    <w:rsid w:val="00DE1708"/>
    <w:rsid w:val="00DE2040"/>
    <w:rsid w:val="00DE2BE6"/>
    <w:rsid w:val="00DE37CA"/>
    <w:rsid w:val="00DE571C"/>
    <w:rsid w:val="00DE57E3"/>
    <w:rsid w:val="00DE5939"/>
    <w:rsid w:val="00DE6A5D"/>
    <w:rsid w:val="00DF0E3B"/>
    <w:rsid w:val="00DF1567"/>
    <w:rsid w:val="00DF1ECB"/>
    <w:rsid w:val="00DF3B73"/>
    <w:rsid w:val="00DF3FD9"/>
    <w:rsid w:val="00DF411D"/>
    <w:rsid w:val="00DF5745"/>
    <w:rsid w:val="00DF70B8"/>
    <w:rsid w:val="00E0107B"/>
    <w:rsid w:val="00E01E93"/>
    <w:rsid w:val="00E023AE"/>
    <w:rsid w:val="00E0301C"/>
    <w:rsid w:val="00E0417B"/>
    <w:rsid w:val="00E07F6A"/>
    <w:rsid w:val="00E11E02"/>
    <w:rsid w:val="00E136D2"/>
    <w:rsid w:val="00E140E5"/>
    <w:rsid w:val="00E14E1E"/>
    <w:rsid w:val="00E15365"/>
    <w:rsid w:val="00E160E6"/>
    <w:rsid w:val="00E175F5"/>
    <w:rsid w:val="00E20796"/>
    <w:rsid w:val="00E20DDE"/>
    <w:rsid w:val="00E21A93"/>
    <w:rsid w:val="00E21D72"/>
    <w:rsid w:val="00E2675D"/>
    <w:rsid w:val="00E30047"/>
    <w:rsid w:val="00E30562"/>
    <w:rsid w:val="00E310EA"/>
    <w:rsid w:val="00E33013"/>
    <w:rsid w:val="00E34191"/>
    <w:rsid w:val="00E351E6"/>
    <w:rsid w:val="00E35354"/>
    <w:rsid w:val="00E35A40"/>
    <w:rsid w:val="00E36A01"/>
    <w:rsid w:val="00E42D0B"/>
    <w:rsid w:val="00E43FDD"/>
    <w:rsid w:val="00E44BC1"/>
    <w:rsid w:val="00E4636A"/>
    <w:rsid w:val="00E4674C"/>
    <w:rsid w:val="00E46A22"/>
    <w:rsid w:val="00E507B7"/>
    <w:rsid w:val="00E50D82"/>
    <w:rsid w:val="00E50F0C"/>
    <w:rsid w:val="00E548F5"/>
    <w:rsid w:val="00E55CFE"/>
    <w:rsid w:val="00E564BA"/>
    <w:rsid w:val="00E609B2"/>
    <w:rsid w:val="00E617A7"/>
    <w:rsid w:val="00E61879"/>
    <w:rsid w:val="00E62FAC"/>
    <w:rsid w:val="00E634C2"/>
    <w:rsid w:val="00E6422A"/>
    <w:rsid w:val="00E66742"/>
    <w:rsid w:val="00E6768D"/>
    <w:rsid w:val="00E71343"/>
    <w:rsid w:val="00E72365"/>
    <w:rsid w:val="00E723A0"/>
    <w:rsid w:val="00E74CB2"/>
    <w:rsid w:val="00E77C37"/>
    <w:rsid w:val="00E77DF1"/>
    <w:rsid w:val="00E82B43"/>
    <w:rsid w:val="00E83192"/>
    <w:rsid w:val="00E84960"/>
    <w:rsid w:val="00E86B83"/>
    <w:rsid w:val="00E87461"/>
    <w:rsid w:val="00E87762"/>
    <w:rsid w:val="00E94D71"/>
    <w:rsid w:val="00E959DC"/>
    <w:rsid w:val="00EA0041"/>
    <w:rsid w:val="00EA1C60"/>
    <w:rsid w:val="00EA3929"/>
    <w:rsid w:val="00EA4FF6"/>
    <w:rsid w:val="00EB4E95"/>
    <w:rsid w:val="00EB4FEF"/>
    <w:rsid w:val="00EB510A"/>
    <w:rsid w:val="00EB51B5"/>
    <w:rsid w:val="00EB538C"/>
    <w:rsid w:val="00EB67FB"/>
    <w:rsid w:val="00EB6C2B"/>
    <w:rsid w:val="00EB7B07"/>
    <w:rsid w:val="00EB7B3A"/>
    <w:rsid w:val="00EC083C"/>
    <w:rsid w:val="00EC106A"/>
    <w:rsid w:val="00EC18A9"/>
    <w:rsid w:val="00EC3104"/>
    <w:rsid w:val="00EC47F2"/>
    <w:rsid w:val="00EC484D"/>
    <w:rsid w:val="00EC62AB"/>
    <w:rsid w:val="00EC6B32"/>
    <w:rsid w:val="00EC7271"/>
    <w:rsid w:val="00EC7401"/>
    <w:rsid w:val="00EC7CB2"/>
    <w:rsid w:val="00ED13AF"/>
    <w:rsid w:val="00ED2584"/>
    <w:rsid w:val="00ED346C"/>
    <w:rsid w:val="00ED426E"/>
    <w:rsid w:val="00ED6861"/>
    <w:rsid w:val="00ED7465"/>
    <w:rsid w:val="00ED7C05"/>
    <w:rsid w:val="00EE2BC4"/>
    <w:rsid w:val="00EE32BA"/>
    <w:rsid w:val="00EE33F4"/>
    <w:rsid w:val="00EE39A7"/>
    <w:rsid w:val="00EE3BD8"/>
    <w:rsid w:val="00EE4219"/>
    <w:rsid w:val="00EE4FA0"/>
    <w:rsid w:val="00EE547A"/>
    <w:rsid w:val="00EE590D"/>
    <w:rsid w:val="00EE7685"/>
    <w:rsid w:val="00EF0DB2"/>
    <w:rsid w:val="00EF0FA3"/>
    <w:rsid w:val="00EF1E26"/>
    <w:rsid w:val="00EF2C21"/>
    <w:rsid w:val="00EF3282"/>
    <w:rsid w:val="00EF3EE0"/>
    <w:rsid w:val="00EF4654"/>
    <w:rsid w:val="00EF4B82"/>
    <w:rsid w:val="00EF4CF3"/>
    <w:rsid w:val="00F00751"/>
    <w:rsid w:val="00F01145"/>
    <w:rsid w:val="00F01504"/>
    <w:rsid w:val="00F03796"/>
    <w:rsid w:val="00F06806"/>
    <w:rsid w:val="00F07CB9"/>
    <w:rsid w:val="00F10E15"/>
    <w:rsid w:val="00F12E53"/>
    <w:rsid w:val="00F1313B"/>
    <w:rsid w:val="00F133F7"/>
    <w:rsid w:val="00F137A7"/>
    <w:rsid w:val="00F16840"/>
    <w:rsid w:val="00F16980"/>
    <w:rsid w:val="00F169E2"/>
    <w:rsid w:val="00F20FE9"/>
    <w:rsid w:val="00F23FA1"/>
    <w:rsid w:val="00F24C0D"/>
    <w:rsid w:val="00F24F5D"/>
    <w:rsid w:val="00F25687"/>
    <w:rsid w:val="00F308B1"/>
    <w:rsid w:val="00F31B7A"/>
    <w:rsid w:val="00F326E1"/>
    <w:rsid w:val="00F3695E"/>
    <w:rsid w:val="00F41004"/>
    <w:rsid w:val="00F41259"/>
    <w:rsid w:val="00F433E9"/>
    <w:rsid w:val="00F43BB8"/>
    <w:rsid w:val="00F4618E"/>
    <w:rsid w:val="00F46964"/>
    <w:rsid w:val="00F47BE0"/>
    <w:rsid w:val="00F50BFF"/>
    <w:rsid w:val="00F51C88"/>
    <w:rsid w:val="00F52C4A"/>
    <w:rsid w:val="00F53EC2"/>
    <w:rsid w:val="00F54A63"/>
    <w:rsid w:val="00F55539"/>
    <w:rsid w:val="00F56B1C"/>
    <w:rsid w:val="00F57CC5"/>
    <w:rsid w:val="00F60CFF"/>
    <w:rsid w:val="00F6290A"/>
    <w:rsid w:val="00F634ED"/>
    <w:rsid w:val="00F63AD3"/>
    <w:rsid w:val="00F666DD"/>
    <w:rsid w:val="00F66D15"/>
    <w:rsid w:val="00F67075"/>
    <w:rsid w:val="00F6777F"/>
    <w:rsid w:val="00F67CB8"/>
    <w:rsid w:val="00F71F2E"/>
    <w:rsid w:val="00F73357"/>
    <w:rsid w:val="00F74BC7"/>
    <w:rsid w:val="00F75670"/>
    <w:rsid w:val="00F75F02"/>
    <w:rsid w:val="00F76CE8"/>
    <w:rsid w:val="00F80259"/>
    <w:rsid w:val="00F80EF3"/>
    <w:rsid w:val="00F83434"/>
    <w:rsid w:val="00F87754"/>
    <w:rsid w:val="00F920E3"/>
    <w:rsid w:val="00F92504"/>
    <w:rsid w:val="00F953A4"/>
    <w:rsid w:val="00F95460"/>
    <w:rsid w:val="00F96215"/>
    <w:rsid w:val="00F96CDD"/>
    <w:rsid w:val="00F96D1C"/>
    <w:rsid w:val="00F9710D"/>
    <w:rsid w:val="00FA2100"/>
    <w:rsid w:val="00FA214E"/>
    <w:rsid w:val="00FA3485"/>
    <w:rsid w:val="00FA4656"/>
    <w:rsid w:val="00FA4ED4"/>
    <w:rsid w:val="00FA517C"/>
    <w:rsid w:val="00FA626D"/>
    <w:rsid w:val="00FA73C6"/>
    <w:rsid w:val="00FA7C5F"/>
    <w:rsid w:val="00FB049C"/>
    <w:rsid w:val="00FB1389"/>
    <w:rsid w:val="00FB1667"/>
    <w:rsid w:val="00FB2158"/>
    <w:rsid w:val="00FB37BB"/>
    <w:rsid w:val="00FB3D6C"/>
    <w:rsid w:val="00FB4118"/>
    <w:rsid w:val="00FB465F"/>
    <w:rsid w:val="00FB4767"/>
    <w:rsid w:val="00FB6667"/>
    <w:rsid w:val="00FC0442"/>
    <w:rsid w:val="00FC0AE7"/>
    <w:rsid w:val="00FC17F9"/>
    <w:rsid w:val="00FC2587"/>
    <w:rsid w:val="00FC27A9"/>
    <w:rsid w:val="00FC3AE5"/>
    <w:rsid w:val="00FC472B"/>
    <w:rsid w:val="00FC5DA5"/>
    <w:rsid w:val="00FC61DC"/>
    <w:rsid w:val="00FC7C97"/>
    <w:rsid w:val="00FD0CDF"/>
    <w:rsid w:val="00FD1594"/>
    <w:rsid w:val="00FD427E"/>
    <w:rsid w:val="00FD60FF"/>
    <w:rsid w:val="00FE1417"/>
    <w:rsid w:val="00FE2ADC"/>
    <w:rsid w:val="00FF01D3"/>
    <w:rsid w:val="00FF08F1"/>
    <w:rsid w:val="00FF1F51"/>
    <w:rsid w:val="00FF3C93"/>
    <w:rsid w:val="00FF67BB"/>
    <w:rsid w:val="00FF6990"/>
    <w:rsid w:val="00FF7BA3"/>
    <w:rsid w:val="34923DA3"/>
    <w:rsid w:val="4363377E"/>
    <w:rsid w:val="46A33397"/>
    <w:rsid w:val="47B37B27"/>
    <w:rsid w:val="5EFA5E51"/>
    <w:rsid w:val="674179C2"/>
    <w:rsid w:val="6A95260E"/>
    <w:rsid w:val="71FEAFB4"/>
    <w:rsid w:val="7E974269"/>
    <w:rsid w:val="7EDE438F"/>
    <w:rsid w:val="7FD35AE8"/>
    <w:rsid w:val="7FFFC85C"/>
    <w:rsid w:val="986F2713"/>
    <w:rsid w:val="B5FBF385"/>
    <w:rsid w:val="BE9B7D6C"/>
    <w:rsid w:val="BEFD5A9B"/>
    <w:rsid w:val="CAFF774E"/>
    <w:rsid w:val="DFFEB4F4"/>
    <w:rsid w:val="DFFEEFCB"/>
    <w:rsid w:val="EDDD92A0"/>
    <w:rsid w:val="EECDE80A"/>
    <w:rsid w:val="FBBF49A7"/>
    <w:rsid w:val="FFF7B6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next w:val="1"/>
    <w:link w:val="40"/>
    <w:qFormat/>
    <w:uiPriority w:val="0"/>
    <w:pPr>
      <w:keepNext/>
      <w:keepLines/>
      <w:numPr>
        <w:ilvl w:val="0"/>
        <w:numId w:val="1"/>
      </w:numPr>
      <w:spacing w:before="100" w:beforeAutospacing="1" w:after="100" w:afterAutospacing="1" w:line="360" w:lineRule="auto"/>
      <w:ind w:left="431" w:hanging="431"/>
      <w:outlineLvl w:val="0"/>
    </w:pPr>
    <w:rPr>
      <w:rFonts w:ascii="Verdana" w:hAnsi="Times New Roman" w:eastAsia="宋体" w:cs="Times New Roman"/>
      <w:b/>
      <w:bCs/>
      <w:kern w:val="44"/>
      <w:sz w:val="44"/>
      <w:szCs w:val="44"/>
      <w:lang w:val="en-US" w:eastAsia="zh-CN" w:bidi="ar-SA"/>
    </w:rPr>
  </w:style>
  <w:style w:type="paragraph" w:styleId="3">
    <w:name w:val="heading 2"/>
    <w:next w:val="1"/>
    <w:link w:val="41"/>
    <w:qFormat/>
    <w:uiPriority w:val="0"/>
    <w:pPr>
      <w:keepNext/>
      <w:keepLines/>
      <w:numPr>
        <w:ilvl w:val="1"/>
        <w:numId w:val="1"/>
      </w:numPr>
      <w:tabs>
        <w:tab w:val="left" w:pos="432"/>
      </w:tabs>
      <w:spacing w:before="50" w:beforeLines="50" w:after="50" w:afterLines="50"/>
      <w:outlineLvl w:val="1"/>
    </w:pPr>
    <w:rPr>
      <w:rFonts w:ascii="Verdana" w:hAnsi="Times New Roman" w:eastAsia="宋体" w:cs="Times New Roman"/>
      <w:b/>
      <w:bCs/>
      <w:kern w:val="2"/>
      <w:sz w:val="36"/>
      <w:szCs w:val="32"/>
      <w:lang w:val="en-US" w:eastAsia="zh-CN" w:bidi="ar-SA"/>
    </w:rPr>
  </w:style>
  <w:style w:type="paragraph" w:styleId="4">
    <w:name w:val="heading 3"/>
    <w:next w:val="1"/>
    <w:link w:val="42"/>
    <w:qFormat/>
    <w:uiPriority w:val="9"/>
    <w:pPr>
      <w:keepNext/>
      <w:keepLines/>
      <w:numPr>
        <w:ilvl w:val="2"/>
        <w:numId w:val="1"/>
      </w:numPr>
      <w:tabs>
        <w:tab w:val="left" w:pos="432"/>
      </w:tabs>
      <w:spacing w:before="50" w:beforeLines="50" w:after="50" w:afterLines="50"/>
      <w:outlineLvl w:val="2"/>
    </w:pPr>
    <w:rPr>
      <w:rFonts w:ascii="Times New Roman" w:hAnsi="Times New Roman" w:eastAsia="宋体" w:cs="Times New Roman"/>
      <w:b/>
      <w:bCs/>
      <w:kern w:val="2"/>
      <w:sz w:val="32"/>
      <w:szCs w:val="32"/>
      <w:lang w:val="zh-CN" w:eastAsia="zh-CN" w:bidi="ar-SA"/>
    </w:rPr>
  </w:style>
  <w:style w:type="paragraph" w:styleId="5">
    <w:name w:val="heading 4"/>
    <w:next w:val="1"/>
    <w:link w:val="43"/>
    <w:qFormat/>
    <w:uiPriority w:val="0"/>
    <w:pPr>
      <w:keepNext/>
      <w:keepLines/>
      <w:numPr>
        <w:ilvl w:val="3"/>
        <w:numId w:val="1"/>
      </w:numPr>
      <w:tabs>
        <w:tab w:val="left" w:pos="432"/>
      </w:tabs>
      <w:spacing w:before="100" w:beforeAutospacing="1" w:after="100" w:afterAutospacing="1" w:line="377" w:lineRule="auto"/>
      <w:outlineLvl w:val="3"/>
    </w:pPr>
    <w:rPr>
      <w:rFonts w:ascii="Times New Roman" w:hAnsi="Times New Roman" w:eastAsia="宋体" w:cs="Times New Roman"/>
      <w:b/>
      <w:bCs/>
      <w:kern w:val="2"/>
      <w:sz w:val="30"/>
      <w:szCs w:val="28"/>
      <w:lang w:val="en-US" w:eastAsia="zh-CN" w:bidi="ar-SA"/>
    </w:rPr>
  </w:style>
  <w:style w:type="paragraph" w:styleId="6">
    <w:name w:val="heading 5"/>
    <w:next w:val="1"/>
    <w:link w:val="44"/>
    <w:qFormat/>
    <w:uiPriority w:val="0"/>
    <w:pPr>
      <w:keepNext/>
      <w:keepLines/>
      <w:numPr>
        <w:ilvl w:val="4"/>
        <w:numId w:val="1"/>
      </w:numPr>
      <w:tabs>
        <w:tab w:val="left" w:pos="432"/>
      </w:tabs>
      <w:spacing w:before="100" w:beforeAutospacing="1" w:after="100" w:afterAutospacing="1" w:line="360" w:lineRule="auto"/>
      <w:outlineLvl w:val="4"/>
    </w:pPr>
    <w:rPr>
      <w:rFonts w:ascii="Times New Roman" w:hAnsi="Times New Roman" w:eastAsia="宋体" w:cs="Times New Roman"/>
      <w:b/>
      <w:bCs/>
      <w:kern w:val="2"/>
      <w:sz w:val="28"/>
      <w:szCs w:val="28"/>
      <w:lang w:val="en-US" w:eastAsia="zh-CN" w:bidi="ar-SA"/>
    </w:rPr>
  </w:style>
  <w:style w:type="paragraph" w:styleId="7">
    <w:name w:val="heading 6"/>
    <w:next w:val="1"/>
    <w:link w:val="45"/>
    <w:qFormat/>
    <w:uiPriority w:val="0"/>
    <w:pPr>
      <w:keepNext/>
      <w:keepLines/>
      <w:numPr>
        <w:ilvl w:val="5"/>
        <w:numId w:val="1"/>
      </w:numPr>
      <w:tabs>
        <w:tab w:val="left" w:pos="432"/>
      </w:tabs>
      <w:spacing w:before="100" w:beforeAutospacing="1" w:after="100" w:afterAutospacing="1" w:line="360" w:lineRule="auto"/>
      <w:outlineLvl w:val="5"/>
    </w:pPr>
    <w:rPr>
      <w:rFonts w:ascii="Times New Roman" w:hAnsi="Times New Roman" w:eastAsia="宋体" w:cs="Times New Roman"/>
      <w:b/>
      <w:bCs/>
      <w:kern w:val="2"/>
      <w:sz w:val="24"/>
      <w:lang w:val="en-US" w:eastAsia="zh-CN" w:bidi="ar-SA"/>
    </w:rPr>
  </w:style>
  <w:style w:type="paragraph" w:styleId="8">
    <w:name w:val="heading 7"/>
    <w:next w:val="1"/>
    <w:link w:val="46"/>
    <w:qFormat/>
    <w:uiPriority w:val="0"/>
    <w:pPr>
      <w:keepNext/>
      <w:keepLines/>
      <w:numPr>
        <w:ilvl w:val="6"/>
        <w:numId w:val="1"/>
      </w:numPr>
      <w:spacing w:before="100" w:beforeAutospacing="1" w:after="100" w:afterAutospacing="1" w:line="360" w:lineRule="auto"/>
      <w:outlineLvl w:val="6"/>
    </w:pPr>
    <w:rPr>
      <w:rFonts w:ascii="Times New Roman" w:hAnsi="Times New Roman" w:eastAsia="宋体" w:cs="Times New Roman"/>
      <w:bCs/>
      <w:kern w:val="2"/>
      <w:sz w:val="24"/>
      <w:lang w:val="en-US" w:eastAsia="zh-CN" w:bidi="ar-SA"/>
    </w:rPr>
  </w:style>
  <w:style w:type="paragraph" w:styleId="9">
    <w:name w:val="heading 8"/>
    <w:next w:val="1"/>
    <w:link w:val="47"/>
    <w:qFormat/>
    <w:uiPriority w:val="0"/>
    <w:pPr>
      <w:keepNext/>
      <w:keepLines/>
      <w:numPr>
        <w:ilvl w:val="7"/>
        <w:numId w:val="1"/>
      </w:numPr>
      <w:spacing w:before="100" w:beforeAutospacing="1" w:after="100" w:afterAutospacing="1" w:line="360" w:lineRule="auto"/>
      <w:outlineLvl w:val="7"/>
    </w:pPr>
    <w:rPr>
      <w:rFonts w:ascii="Times New Roman" w:hAnsi="Times New Roman" w:eastAsia="宋体" w:cs="Times New Roman"/>
      <w:kern w:val="2"/>
      <w:sz w:val="24"/>
      <w:lang w:val="en-US" w:eastAsia="zh-CN" w:bidi="ar-SA"/>
    </w:rPr>
  </w:style>
  <w:style w:type="paragraph" w:styleId="10">
    <w:name w:val="heading 9"/>
    <w:next w:val="1"/>
    <w:link w:val="48"/>
    <w:qFormat/>
    <w:uiPriority w:val="0"/>
    <w:pPr>
      <w:keepNext/>
      <w:keepLines/>
      <w:numPr>
        <w:ilvl w:val="8"/>
        <w:numId w:val="1"/>
      </w:numPr>
      <w:spacing w:before="100" w:beforeAutospacing="1" w:after="100" w:afterAutospacing="1" w:line="360" w:lineRule="auto"/>
      <w:outlineLvl w:val="8"/>
    </w:pPr>
    <w:rPr>
      <w:rFonts w:ascii="Times New Roman" w:hAnsi="Times New Roman" w:eastAsia="宋体" w:cs="Times New Roman"/>
      <w:kern w:val="2"/>
      <w:sz w:val="24"/>
      <w:szCs w:val="21"/>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440"/>
    </w:pPr>
    <w:rPr>
      <w:rFonts w:asciiTheme="minorHAnsi" w:hAnsiTheme="minorHAnsi" w:cstheme="minorHAnsi"/>
      <w:sz w:val="18"/>
      <w:szCs w:val="18"/>
    </w:rPr>
  </w:style>
  <w:style w:type="paragraph" w:styleId="12">
    <w:name w:val="caption"/>
    <w:basedOn w:val="1"/>
    <w:next w:val="1"/>
    <w:link w:val="64"/>
    <w:unhideWhenUsed/>
    <w:qFormat/>
    <w:uiPriority w:val="0"/>
    <w:rPr>
      <w:rFonts w:eastAsia="黑体" w:asciiTheme="majorHAnsi" w:hAnsiTheme="majorHAnsi" w:cstheme="majorBidi"/>
      <w:sz w:val="20"/>
    </w:rPr>
  </w:style>
  <w:style w:type="paragraph" w:styleId="13">
    <w:name w:val="annotation text"/>
    <w:basedOn w:val="1"/>
    <w:link w:val="50"/>
    <w:unhideWhenUsed/>
    <w:qFormat/>
    <w:uiPriority w:val="99"/>
  </w:style>
  <w:style w:type="paragraph" w:styleId="14">
    <w:name w:val="Body Text"/>
    <w:basedOn w:val="1"/>
    <w:link w:val="65"/>
    <w:semiHidden/>
    <w:unhideWhenUsed/>
    <w:qFormat/>
    <w:uiPriority w:val="99"/>
    <w:pPr>
      <w:spacing w:after="120"/>
    </w:pPr>
  </w:style>
  <w:style w:type="paragraph" w:styleId="15">
    <w:name w:val="toc 5"/>
    <w:basedOn w:val="1"/>
    <w:next w:val="1"/>
    <w:autoRedefine/>
    <w:unhideWhenUsed/>
    <w:qFormat/>
    <w:uiPriority w:val="39"/>
    <w:pPr>
      <w:ind w:left="960"/>
    </w:pPr>
    <w:rPr>
      <w:rFonts w:asciiTheme="minorHAnsi" w:hAnsiTheme="minorHAnsi" w:cstheme="minorHAnsi"/>
      <w:sz w:val="18"/>
      <w:szCs w:val="18"/>
    </w:rPr>
  </w:style>
  <w:style w:type="paragraph" w:styleId="16">
    <w:name w:val="toc 3"/>
    <w:basedOn w:val="1"/>
    <w:next w:val="1"/>
    <w:unhideWhenUsed/>
    <w:qFormat/>
    <w:uiPriority w:val="39"/>
    <w:pPr>
      <w:ind w:left="480"/>
    </w:pPr>
    <w:rPr>
      <w:rFonts w:asciiTheme="minorHAnsi" w:hAnsiTheme="minorHAnsi" w:cstheme="minorHAnsi"/>
      <w:i/>
      <w:iCs/>
      <w:sz w:val="20"/>
    </w:rPr>
  </w:style>
  <w:style w:type="paragraph" w:styleId="17">
    <w:name w:val="toc 8"/>
    <w:basedOn w:val="1"/>
    <w:next w:val="1"/>
    <w:autoRedefine/>
    <w:unhideWhenUsed/>
    <w:qFormat/>
    <w:uiPriority w:val="39"/>
    <w:pPr>
      <w:ind w:left="1680"/>
    </w:pPr>
    <w:rPr>
      <w:rFonts w:asciiTheme="minorHAnsi" w:hAnsiTheme="minorHAnsi" w:cstheme="minorHAnsi"/>
      <w:sz w:val="18"/>
      <w:szCs w:val="18"/>
    </w:rPr>
  </w:style>
  <w:style w:type="paragraph" w:styleId="18">
    <w:name w:val="Balloon Text"/>
    <w:basedOn w:val="1"/>
    <w:link w:val="52"/>
    <w:semiHidden/>
    <w:unhideWhenUsed/>
    <w:qFormat/>
    <w:uiPriority w:val="99"/>
    <w:rPr>
      <w:sz w:val="18"/>
      <w:szCs w:val="18"/>
    </w:rPr>
  </w:style>
  <w:style w:type="paragraph" w:styleId="19">
    <w:name w:val="footer"/>
    <w:basedOn w:val="1"/>
    <w:link w:val="39"/>
    <w:unhideWhenUsed/>
    <w:qFormat/>
    <w:uiPriority w:val="0"/>
    <w:pPr>
      <w:tabs>
        <w:tab w:val="center" w:pos="4153"/>
        <w:tab w:val="right" w:pos="8306"/>
      </w:tabs>
      <w:snapToGrid w:val="0"/>
    </w:pPr>
    <w:rPr>
      <w:sz w:val="18"/>
      <w:szCs w:val="18"/>
    </w:rPr>
  </w:style>
  <w:style w:type="paragraph" w:styleId="20">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pPr>
    <w:rPr>
      <w:rFonts w:asciiTheme="minorHAnsi" w:hAnsiTheme="minorHAnsi" w:cstheme="minorHAnsi"/>
      <w:b/>
      <w:bCs/>
      <w:caps/>
      <w:sz w:val="20"/>
    </w:rPr>
  </w:style>
  <w:style w:type="paragraph" w:styleId="22">
    <w:name w:val="toc 4"/>
    <w:basedOn w:val="1"/>
    <w:next w:val="1"/>
    <w:autoRedefine/>
    <w:unhideWhenUsed/>
    <w:qFormat/>
    <w:uiPriority w:val="39"/>
    <w:pPr>
      <w:ind w:left="720"/>
    </w:pPr>
    <w:rPr>
      <w:rFonts w:asciiTheme="minorHAnsi" w:hAnsiTheme="minorHAnsi" w:cstheme="minorHAnsi"/>
      <w:sz w:val="18"/>
      <w:szCs w:val="18"/>
    </w:rPr>
  </w:style>
  <w:style w:type="paragraph" w:styleId="23">
    <w:name w:val="toc 6"/>
    <w:basedOn w:val="1"/>
    <w:next w:val="1"/>
    <w:autoRedefine/>
    <w:unhideWhenUsed/>
    <w:qFormat/>
    <w:uiPriority w:val="39"/>
    <w:pPr>
      <w:ind w:left="1200"/>
    </w:pPr>
    <w:rPr>
      <w:rFonts w:asciiTheme="minorHAnsi" w:hAnsiTheme="minorHAnsi" w:cstheme="minorHAnsi"/>
      <w:sz w:val="18"/>
      <w:szCs w:val="18"/>
    </w:rPr>
  </w:style>
  <w:style w:type="paragraph" w:styleId="24">
    <w:name w:val="toc 2"/>
    <w:basedOn w:val="1"/>
    <w:next w:val="1"/>
    <w:unhideWhenUsed/>
    <w:qFormat/>
    <w:uiPriority w:val="39"/>
    <w:pPr>
      <w:ind w:left="240"/>
    </w:pPr>
    <w:rPr>
      <w:rFonts w:asciiTheme="minorHAnsi" w:hAnsiTheme="minorHAnsi" w:cstheme="minorHAnsi"/>
      <w:smallCaps/>
      <w:sz w:val="20"/>
    </w:rPr>
  </w:style>
  <w:style w:type="paragraph" w:styleId="25">
    <w:name w:val="toc 9"/>
    <w:basedOn w:val="1"/>
    <w:next w:val="1"/>
    <w:autoRedefine/>
    <w:unhideWhenUsed/>
    <w:qFormat/>
    <w:uiPriority w:val="39"/>
    <w:pPr>
      <w:ind w:left="1920"/>
    </w:pPr>
    <w:rPr>
      <w:rFonts w:asciiTheme="minorHAnsi" w:hAnsiTheme="minorHAnsi" w:cstheme="minorHAnsi"/>
      <w:sz w:val="18"/>
      <w:szCs w:val="18"/>
    </w:rPr>
  </w:style>
  <w:style w:type="paragraph" w:styleId="26">
    <w:name w:val="HTML Preformatted"/>
    <w:basedOn w:val="1"/>
    <w:link w:val="6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7">
    <w:name w:val="Normal (Web)"/>
    <w:basedOn w:val="1"/>
    <w:unhideWhenUsed/>
    <w:qFormat/>
    <w:uiPriority w:val="99"/>
    <w:pPr>
      <w:spacing w:before="100" w:beforeAutospacing="1" w:after="100" w:afterAutospacing="1"/>
    </w:pPr>
  </w:style>
  <w:style w:type="paragraph" w:styleId="28">
    <w:name w:val="Title"/>
    <w:basedOn w:val="1"/>
    <w:next w:val="1"/>
    <w:link w:val="60"/>
    <w:qFormat/>
    <w:uiPriority w:val="0"/>
    <w:pPr>
      <w:spacing w:before="240" w:after="60"/>
      <w:jc w:val="center"/>
      <w:outlineLvl w:val="0"/>
    </w:pPr>
    <w:rPr>
      <w:rFonts w:ascii="Calibri Light" w:hAnsi="Calibri Light"/>
      <w:b/>
      <w:bCs/>
      <w:sz w:val="44"/>
      <w:szCs w:val="32"/>
    </w:rPr>
  </w:style>
  <w:style w:type="paragraph" w:styleId="29">
    <w:name w:val="annotation subject"/>
    <w:basedOn w:val="13"/>
    <w:next w:val="13"/>
    <w:link w:val="51"/>
    <w:semiHidden/>
    <w:unhideWhenUsed/>
    <w:qFormat/>
    <w:uiPriority w:val="99"/>
    <w:rPr>
      <w:b/>
      <w:bCs/>
    </w:rPr>
  </w:style>
  <w:style w:type="paragraph" w:styleId="30">
    <w:name w:val="Body Text First Indent"/>
    <w:basedOn w:val="14"/>
    <w:link w:val="66"/>
    <w:unhideWhenUsed/>
    <w:qFormat/>
    <w:uiPriority w:val="99"/>
    <w:pPr>
      <w:ind w:firstLine="420" w:firstLineChars="100"/>
    </w:pPr>
    <w:rPr>
      <w:sz w:val="21"/>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Hyperlink"/>
    <w:basedOn w:val="33"/>
    <w:qFormat/>
    <w:uiPriority w:val="99"/>
    <w:rPr>
      <w:color w:val="0000FF"/>
      <w:u w:val="single"/>
    </w:rPr>
  </w:style>
  <w:style w:type="character" w:styleId="37">
    <w:name w:val="annotation reference"/>
    <w:basedOn w:val="33"/>
    <w:unhideWhenUsed/>
    <w:qFormat/>
    <w:uiPriority w:val="99"/>
    <w:rPr>
      <w:sz w:val="21"/>
      <w:szCs w:val="21"/>
    </w:rPr>
  </w:style>
  <w:style w:type="character" w:customStyle="1" w:styleId="38">
    <w:name w:val="页眉 字符"/>
    <w:basedOn w:val="33"/>
    <w:link w:val="20"/>
    <w:qFormat/>
    <w:uiPriority w:val="99"/>
    <w:rPr>
      <w:sz w:val="18"/>
      <w:szCs w:val="18"/>
    </w:rPr>
  </w:style>
  <w:style w:type="character" w:customStyle="1" w:styleId="39">
    <w:name w:val="页脚 字符"/>
    <w:basedOn w:val="33"/>
    <w:link w:val="19"/>
    <w:qFormat/>
    <w:uiPriority w:val="0"/>
    <w:rPr>
      <w:sz w:val="18"/>
      <w:szCs w:val="18"/>
    </w:rPr>
  </w:style>
  <w:style w:type="character" w:customStyle="1" w:styleId="40">
    <w:name w:val="标题 1 字符"/>
    <w:basedOn w:val="33"/>
    <w:link w:val="2"/>
    <w:qFormat/>
    <w:uiPriority w:val="0"/>
    <w:rPr>
      <w:rFonts w:ascii="Verdana"/>
      <w:b/>
      <w:bCs/>
      <w:kern w:val="44"/>
      <w:sz w:val="44"/>
      <w:szCs w:val="44"/>
    </w:rPr>
  </w:style>
  <w:style w:type="character" w:customStyle="1" w:styleId="41">
    <w:name w:val="标题 2 字符"/>
    <w:basedOn w:val="33"/>
    <w:link w:val="3"/>
    <w:qFormat/>
    <w:uiPriority w:val="0"/>
    <w:rPr>
      <w:rFonts w:ascii="Verdana"/>
      <w:b/>
      <w:bCs/>
      <w:kern w:val="2"/>
      <w:sz w:val="36"/>
      <w:szCs w:val="32"/>
    </w:rPr>
  </w:style>
  <w:style w:type="character" w:customStyle="1" w:styleId="42">
    <w:name w:val="标题 3 字符"/>
    <w:link w:val="4"/>
    <w:qFormat/>
    <w:uiPriority w:val="9"/>
    <w:rPr>
      <w:b/>
      <w:bCs/>
      <w:kern w:val="2"/>
      <w:sz w:val="32"/>
      <w:szCs w:val="32"/>
      <w:lang w:val="zh-CN"/>
    </w:rPr>
  </w:style>
  <w:style w:type="character" w:customStyle="1" w:styleId="43">
    <w:name w:val="标题 4 字符"/>
    <w:basedOn w:val="33"/>
    <w:link w:val="5"/>
    <w:qFormat/>
    <w:uiPriority w:val="0"/>
    <w:rPr>
      <w:b/>
      <w:bCs/>
      <w:kern w:val="2"/>
      <w:sz w:val="30"/>
      <w:szCs w:val="28"/>
    </w:rPr>
  </w:style>
  <w:style w:type="character" w:customStyle="1" w:styleId="44">
    <w:name w:val="标题 5 字符"/>
    <w:basedOn w:val="33"/>
    <w:link w:val="6"/>
    <w:qFormat/>
    <w:uiPriority w:val="0"/>
    <w:rPr>
      <w:b/>
      <w:bCs/>
      <w:kern w:val="2"/>
      <w:sz w:val="28"/>
      <w:szCs w:val="28"/>
    </w:rPr>
  </w:style>
  <w:style w:type="character" w:customStyle="1" w:styleId="45">
    <w:name w:val="标题 6 字符"/>
    <w:basedOn w:val="33"/>
    <w:link w:val="7"/>
    <w:qFormat/>
    <w:uiPriority w:val="0"/>
    <w:rPr>
      <w:b/>
      <w:bCs/>
      <w:kern w:val="2"/>
      <w:sz w:val="24"/>
    </w:rPr>
  </w:style>
  <w:style w:type="character" w:customStyle="1" w:styleId="46">
    <w:name w:val="标题 7 字符"/>
    <w:basedOn w:val="33"/>
    <w:link w:val="8"/>
    <w:qFormat/>
    <w:uiPriority w:val="0"/>
    <w:rPr>
      <w:bCs/>
      <w:kern w:val="2"/>
      <w:sz w:val="24"/>
    </w:rPr>
  </w:style>
  <w:style w:type="character" w:customStyle="1" w:styleId="47">
    <w:name w:val="标题 8 字符"/>
    <w:basedOn w:val="33"/>
    <w:link w:val="9"/>
    <w:qFormat/>
    <w:uiPriority w:val="0"/>
    <w:rPr>
      <w:kern w:val="2"/>
      <w:sz w:val="24"/>
    </w:rPr>
  </w:style>
  <w:style w:type="character" w:customStyle="1" w:styleId="48">
    <w:name w:val="标题 9 字符"/>
    <w:basedOn w:val="33"/>
    <w:link w:val="10"/>
    <w:qFormat/>
    <w:uiPriority w:val="0"/>
    <w:rPr>
      <w:kern w:val="2"/>
      <w:sz w:val="24"/>
      <w:szCs w:val="21"/>
    </w:rPr>
  </w:style>
  <w:style w:type="paragraph" w:customStyle="1" w:styleId="49">
    <w:name w:val="TOC 标题1"/>
    <w:basedOn w:val="2"/>
    <w:next w:val="1"/>
    <w:unhideWhenUsed/>
    <w:qFormat/>
    <w:uiPriority w:val="39"/>
    <w:pPr>
      <w:numPr>
        <w:numId w:val="0"/>
      </w:numPr>
      <w:spacing w:before="480" w:beforeAutospacing="0" w:after="0" w:afterAutospacing="0" w:line="276" w:lineRule="auto"/>
      <w:outlineLvl w:val="9"/>
    </w:pPr>
    <w:rPr>
      <w:rFonts w:ascii="Cambria" w:hAnsi="Cambria"/>
      <w:color w:val="365F91"/>
      <w:kern w:val="0"/>
      <w:sz w:val="28"/>
      <w:szCs w:val="28"/>
    </w:rPr>
  </w:style>
  <w:style w:type="character" w:customStyle="1" w:styleId="50">
    <w:name w:val="批注文字 字符"/>
    <w:basedOn w:val="33"/>
    <w:link w:val="13"/>
    <w:qFormat/>
    <w:uiPriority w:val="99"/>
    <w:rPr>
      <w:kern w:val="2"/>
      <w:sz w:val="21"/>
    </w:rPr>
  </w:style>
  <w:style w:type="character" w:customStyle="1" w:styleId="51">
    <w:name w:val="批注主题 字符"/>
    <w:basedOn w:val="50"/>
    <w:link w:val="29"/>
    <w:semiHidden/>
    <w:qFormat/>
    <w:uiPriority w:val="99"/>
    <w:rPr>
      <w:b/>
      <w:bCs/>
      <w:kern w:val="2"/>
      <w:sz w:val="21"/>
    </w:rPr>
  </w:style>
  <w:style w:type="character" w:customStyle="1" w:styleId="52">
    <w:name w:val="批注框文本 字符"/>
    <w:basedOn w:val="33"/>
    <w:link w:val="18"/>
    <w:semiHidden/>
    <w:qFormat/>
    <w:uiPriority w:val="99"/>
    <w:rPr>
      <w:kern w:val="2"/>
      <w:sz w:val="18"/>
      <w:szCs w:val="18"/>
    </w:rPr>
  </w:style>
  <w:style w:type="paragraph" w:customStyle="1" w:styleId="53">
    <w:name w:val="标准文本"/>
    <w:basedOn w:val="1"/>
    <w:link w:val="54"/>
    <w:qFormat/>
    <w:uiPriority w:val="0"/>
    <w:pPr>
      <w:ind w:firstLine="480"/>
    </w:pPr>
  </w:style>
  <w:style w:type="character" w:customStyle="1" w:styleId="54">
    <w:name w:val="标准文本 Char"/>
    <w:link w:val="53"/>
    <w:qFormat/>
    <w:uiPriority w:val="0"/>
    <w:rPr>
      <w:rFonts w:cs="宋体"/>
      <w:kern w:val="2"/>
      <w:sz w:val="24"/>
    </w:rPr>
  </w:style>
  <w:style w:type="character" w:customStyle="1" w:styleId="55">
    <w:name w:val="apple-converted-space"/>
    <w:basedOn w:val="33"/>
    <w:qFormat/>
    <w:uiPriority w:val="0"/>
  </w:style>
  <w:style w:type="paragraph" w:styleId="56">
    <w:name w:val="List Paragraph"/>
    <w:basedOn w:val="1"/>
    <w:link w:val="59"/>
    <w:qFormat/>
    <w:uiPriority w:val="34"/>
    <w:pPr>
      <w:ind w:firstLine="420"/>
    </w:pPr>
  </w:style>
  <w:style w:type="paragraph" w:customStyle="1" w:styleId="57">
    <w:name w:val="封面小标题"/>
    <w:basedOn w:val="1"/>
    <w:link w:val="58"/>
    <w:qFormat/>
    <w:uiPriority w:val="0"/>
    <w:pPr>
      <w:ind w:firstLine="420"/>
      <w:jc w:val="center"/>
    </w:pPr>
    <w:rPr>
      <w:rFonts w:ascii="黑体" w:hAnsi="黑体" w:eastAsia="黑体"/>
      <w:b/>
      <w:bCs/>
      <w:color w:val="000000"/>
      <w:sz w:val="36"/>
    </w:rPr>
  </w:style>
  <w:style w:type="character" w:customStyle="1" w:styleId="58">
    <w:name w:val="封面小标题 Char"/>
    <w:link w:val="57"/>
    <w:qFormat/>
    <w:uiPriority w:val="0"/>
    <w:rPr>
      <w:rFonts w:ascii="黑体" w:hAnsi="黑体" w:eastAsia="黑体" w:cs="宋体"/>
      <w:b/>
      <w:bCs/>
      <w:color w:val="000000"/>
      <w:kern w:val="2"/>
      <w:sz w:val="36"/>
    </w:rPr>
  </w:style>
  <w:style w:type="character" w:customStyle="1" w:styleId="59">
    <w:name w:val="列表段落 字符"/>
    <w:link w:val="56"/>
    <w:qFormat/>
    <w:locked/>
    <w:uiPriority w:val="34"/>
    <w:rPr>
      <w:kern w:val="2"/>
      <w:sz w:val="24"/>
    </w:rPr>
  </w:style>
  <w:style w:type="character" w:customStyle="1" w:styleId="60">
    <w:name w:val="标题 字符"/>
    <w:basedOn w:val="33"/>
    <w:link w:val="28"/>
    <w:qFormat/>
    <w:uiPriority w:val="0"/>
    <w:rPr>
      <w:rFonts w:ascii="Calibri Light" w:hAnsi="Calibri Light"/>
      <w:b/>
      <w:bCs/>
      <w:kern w:val="2"/>
      <w:sz w:val="44"/>
      <w:szCs w:val="32"/>
    </w:rPr>
  </w:style>
  <w:style w:type="paragraph" w:customStyle="1" w:styleId="61">
    <w:name w:val="修订1"/>
    <w:hidden/>
    <w:semiHidden/>
    <w:qFormat/>
    <w:uiPriority w:val="99"/>
    <w:rPr>
      <w:rFonts w:ascii="Times New Roman" w:hAnsi="Times New Roman" w:eastAsia="宋体" w:cs="Times New Roman"/>
      <w:kern w:val="2"/>
      <w:sz w:val="24"/>
      <w:lang w:val="en-US" w:eastAsia="zh-CN" w:bidi="ar-SA"/>
    </w:rPr>
  </w:style>
  <w:style w:type="character" w:customStyle="1" w:styleId="62">
    <w:name w:val="HTML 预设格式 字符"/>
    <w:basedOn w:val="33"/>
    <w:link w:val="26"/>
    <w:semiHidden/>
    <w:qFormat/>
    <w:uiPriority w:val="99"/>
    <w:rPr>
      <w:rFonts w:ascii="宋体" w:hAnsi="宋体" w:cs="宋体"/>
      <w:sz w:val="24"/>
      <w:szCs w:val="24"/>
    </w:rPr>
  </w:style>
  <w:style w:type="paragraph" w:customStyle="1" w:styleId="63">
    <w:name w:val="4级标题"/>
    <w:basedOn w:val="5"/>
    <w:qFormat/>
    <w:uiPriority w:val="0"/>
    <w:pPr>
      <w:keepNext w:val="0"/>
      <w:keepLines w:val="0"/>
      <w:numPr>
        <w:numId w:val="2"/>
      </w:numPr>
      <w:tabs>
        <w:tab w:val="clear" w:pos="432"/>
        <w:tab w:val="clear" w:pos="864"/>
      </w:tabs>
      <w:spacing w:before="200" w:beforeAutospacing="0" w:after="80" w:afterAutospacing="0" w:line="360" w:lineRule="auto"/>
    </w:pPr>
    <w:rPr>
      <w:bCs w:val="0"/>
      <w:iCs/>
      <w:color w:val="000000"/>
      <w:kern w:val="0"/>
      <w:sz w:val="24"/>
      <w:szCs w:val="24"/>
      <w:lang w:eastAsia="en-US" w:bidi="en-US"/>
    </w:rPr>
  </w:style>
  <w:style w:type="character" w:customStyle="1" w:styleId="64">
    <w:name w:val="题注 字符"/>
    <w:link w:val="12"/>
    <w:qFormat/>
    <w:uiPriority w:val="0"/>
    <w:rPr>
      <w:rFonts w:eastAsia="黑体" w:asciiTheme="majorHAnsi" w:hAnsiTheme="majorHAnsi" w:cstheme="majorBidi"/>
      <w:kern w:val="2"/>
    </w:rPr>
  </w:style>
  <w:style w:type="character" w:customStyle="1" w:styleId="65">
    <w:name w:val="正文文本 字符"/>
    <w:basedOn w:val="33"/>
    <w:link w:val="14"/>
    <w:semiHidden/>
    <w:qFormat/>
    <w:uiPriority w:val="99"/>
    <w:rPr>
      <w:kern w:val="2"/>
      <w:sz w:val="24"/>
    </w:rPr>
  </w:style>
  <w:style w:type="character" w:customStyle="1" w:styleId="66">
    <w:name w:val="正文文本首行缩进 字符"/>
    <w:basedOn w:val="65"/>
    <w:link w:val="30"/>
    <w:qFormat/>
    <w:uiPriority w:val="0"/>
    <w:rPr>
      <w:kern w:val="2"/>
      <w:sz w:val="21"/>
      <w:szCs w:val="24"/>
    </w:rPr>
  </w:style>
  <w:style w:type="paragraph" w:customStyle="1" w:styleId="67">
    <w:name w:val="TOC 标题2"/>
    <w:basedOn w:val="2"/>
    <w:next w:val="1"/>
    <w:unhideWhenUsed/>
    <w:qFormat/>
    <w:uiPriority w:val="39"/>
    <w:pPr>
      <w:numPr>
        <w:numId w:val="0"/>
      </w:numPr>
      <w:tabs>
        <w:tab w:val="clear" w:pos="432"/>
      </w:tabs>
      <w:spacing w:before="480" w:beforeAutospacing="0" w:after="0" w:afterAutospacing="0" w:line="276" w:lineRule="auto"/>
      <w:outlineLvl w:val="9"/>
    </w:pPr>
    <w:rPr>
      <w:rFonts w:asciiTheme="majorHAnsi" w:hAnsiTheme="majorHAnsi" w:eastAsiaTheme="majorEastAsia" w:cstheme="majorBidi"/>
      <w:color w:val="2E75B6" w:themeColor="accent1" w:themeShade="BF"/>
      <w:kern w:val="0"/>
      <w:sz w:val="28"/>
      <w:szCs w:val="28"/>
    </w:rPr>
  </w:style>
  <w:style w:type="paragraph" w:customStyle="1" w:styleId="68">
    <w:name w:val="修订2"/>
    <w:hidden/>
    <w:semiHidden/>
    <w:qFormat/>
    <w:uiPriority w:val="99"/>
    <w:rPr>
      <w:rFonts w:ascii="Times New Roman" w:hAnsi="Times New Roman" w:eastAsia="宋体" w:cs="Times New Roman"/>
      <w:kern w:val="2"/>
      <w:sz w:val="24"/>
      <w:lang w:val="en-US" w:eastAsia="zh-CN" w:bidi="ar-SA"/>
    </w:rPr>
  </w:style>
  <w:style w:type="character" w:customStyle="1" w:styleId="69">
    <w:name w:val="批注文字 Char"/>
    <w:qFormat/>
    <w:uiPriority w:val="99"/>
    <w:rPr>
      <w:sz w:val="24"/>
    </w:rPr>
  </w:style>
  <w:style w:type="paragraph" w:customStyle="1" w:styleId="70">
    <w:name w:val="ace-line"/>
    <w:basedOn w:val="1"/>
    <w:qFormat/>
    <w:uiPriority w:val="0"/>
    <w:pPr>
      <w:spacing w:before="100" w:beforeAutospacing="1" w:after="100" w:afterAutospacing="1"/>
    </w:pPr>
  </w:style>
  <w:style w:type="paragraph" w:customStyle="1" w:styleId="71">
    <w:name w:val="修订3"/>
    <w:hidden/>
    <w:unhideWhenUsed/>
    <w:qFormat/>
    <w:uiPriority w:val="99"/>
    <w:rPr>
      <w:rFonts w:ascii="宋体" w:hAnsi="宋体" w:eastAsia="宋体" w:cs="宋体"/>
      <w:sz w:val="24"/>
      <w:szCs w:val="24"/>
      <w:lang w:val="en-US" w:eastAsia="zh-CN" w:bidi="ar-SA"/>
    </w:rPr>
  </w:style>
  <w:style w:type="paragraph" w:customStyle="1" w:styleId="72">
    <w:name w:val="修订4"/>
    <w:hidden/>
    <w:unhideWhenUsed/>
    <w:qFormat/>
    <w:uiPriority w:val="99"/>
    <w:rPr>
      <w:rFonts w:ascii="宋体" w:hAnsi="宋体" w:eastAsia="宋体" w:cs="宋体"/>
      <w:sz w:val="24"/>
      <w:szCs w:val="24"/>
      <w:lang w:val="en-US" w:eastAsia="zh-CN" w:bidi="ar-SA"/>
    </w:rPr>
  </w:style>
  <w:style w:type="paragraph" w:customStyle="1" w:styleId="73">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79646">
            <a:lumMod val="75000"/>
          </a:srgbClr>
        </a:solidFill>
        <a:ln w="9525" cap="flat" cmpd="sng" algn="ctr">
          <a:solidFill>
            <a:srgbClr val="F79646">
              <a:lumMod val="50000"/>
            </a:srgbClr>
          </a:solidFill>
          <a:prstDash val="solid"/>
        </a:ln>
      </a:spPr>
      <a:bodyPr lIns="0" rIns="0" rtlCol="0" anchor="ct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3877D5FD-1F56-4CD8-95CD-E472C601C67B}">
  <ds:schemaRefs/>
</ds:datastoreItem>
</file>

<file path=docProps/app.xml><?xml version="1.0" encoding="utf-8"?>
<Properties xmlns="http://schemas.openxmlformats.org/officeDocument/2006/extended-properties" xmlns:vt="http://schemas.openxmlformats.org/officeDocument/2006/docPropsVTypes">
  <Template>Normal</Template>
  <Company>LG</Company>
  <Pages>11</Pages>
  <Words>5124</Words>
  <Characters>5534</Characters>
  <Lines>345</Lines>
  <Paragraphs>322</Paragraphs>
  <TotalTime>34</TotalTime>
  <ScaleCrop>false</ScaleCrop>
  <LinksUpToDate>false</LinksUpToDate>
  <CharactersWithSpaces>10336</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2025-08-21T18:10:00Z</dcterms:created>
  <dc:creator>lvcy</dc:creator>
  <cp:lastModifiedBy>user</cp:lastModifiedBy>
  <dcterms:modified xsi:type="dcterms:W3CDTF">2025-08-22T08:48:45Z</dcterms:modified>
  <dc:title>应用服务平台白皮书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30C86E7FB25AE20BE1F6896839886017_43</vt:lpwstr>
  </property>
</Properties>
</file>