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E5759" w14:textId="77777777" w:rsidR="004549BF" w:rsidRDefault="004549BF">
      <w:pPr>
        <w:ind w:firstLineChars="0" w:firstLine="0"/>
        <w:jc w:val="center"/>
        <w:rPr>
          <w:rFonts w:ascii="黑体" w:eastAsia="黑体" w:hAnsi="黑体"/>
          <w:sz w:val="48"/>
          <w:szCs w:val="48"/>
        </w:rPr>
      </w:pPr>
    </w:p>
    <w:p w14:paraId="3C29C8EC" w14:textId="77777777" w:rsidR="004549BF" w:rsidRDefault="004549BF">
      <w:pPr>
        <w:ind w:firstLineChars="0" w:firstLine="0"/>
        <w:jc w:val="center"/>
        <w:rPr>
          <w:rFonts w:ascii="黑体" w:eastAsia="黑体" w:hAnsi="黑体"/>
          <w:sz w:val="48"/>
          <w:szCs w:val="48"/>
        </w:rPr>
      </w:pPr>
    </w:p>
    <w:p w14:paraId="2A0DEC8A" w14:textId="77777777" w:rsidR="004549BF" w:rsidRDefault="00BD04FA">
      <w:pPr>
        <w:ind w:firstLineChars="0" w:firstLine="0"/>
        <w:jc w:val="center"/>
        <w:rPr>
          <w:rFonts w:ascii="黑体" w:eastAsia="黑体" w:hAnsi="黑体"/>
          <w:sz w:val="52"/>
          <w:szCs w:val="52"/>
        </w:rPr>
      </w:pPr>
      <w:r>
        <w:rPr>
          <w:rFonts w:ascii="黑体" w:eastAsia="黑体" w:hAnsi="黑体" w:hint="eastAsia"/>
          <w:sz w:val="52"/>
          <w:szCs w:val="52"/>
        </w:rPr>
        <w:t>金融服务信息大系统</w:t>
      </w:r>
    </w:p>
    <w:p w14:paraId="733825B3" w14:textId="77777777" w:rsidR="004549BF" w:rsidRDefault="00BD04FA">
      <w:pPr>
        <w:ind w:firstLineChars="0" w:firstLine="0"/>
        <w:jc w:val="center"/>
        <w:rPr>
          <w:rFonts w:ascii="黑体" w:eastAsia="黑体" w:hAnsi="黑体"/>
          <w:sz w:val="52"/>
          <w:szCs w:val="52"/>
        </w:rPr>
      </w:pPr>
      <w:r>
        <w:rPr>
          <w:rFonts w:ascii="黑体" w:eastAsia="黑体" w:hAnsi="黑体" w:hint="eastAsia"/>
          <w:sz w:val="52"/>
          <w:szCs w:val="52"/>
        </w:rPr>
        <w:t>(2025年升级改造)项目</w:t>
      </w:r>
    </w:p>
    <w:p w14:paraId="4C0B2D60" w14:textId="77777777" w:rsidR="004549BF" w:rsidRDefault="004549BF">
      <w:pPr>
        <w:ind w:firstLineChars="0" w:firstLine="0"/>
        <w:jc w:val="center"/>
        <w:rPr>
          <w:rFonts w:ascii="黑体" w:eastAsia="黑体" w:hAnsi="黑体"/>
          <w:sz w:val="52"/>
          <w:szCs w:val="52"/>
        </w:rPr>
      </w:pPr>
    </w:p>
    <w:p w14:paraId="63D8A4B3" w14:textId="77777777" w:rsidR="004549BF" w:rsidRDefault="004549BF">
      <w:pPr>
        <w:ind w:firstLineChars="0" w:firstLine="0"/>
        <w:jc w:val="center"/>
        <w:rPr>
          <w:rFonts w:ascii="黑体" w:eastAsia="黑体" w:hAnsi="黑体"/>
          <w:sz w:val="52"/>
          <w:szCs w:val="52"/>
        </w:rPr>
      </w:pPr>
    </w:p>
    <w:p w14:paraId="0933454A" w14:textId="77777777" w:rsidR="004549BF" w:rsidRDefault="004549BF">
      <w:pPr>
        <w:ind w:firstLineChars="0" w:firstLine="0"/>
        <w:jc w:val="center"/>
        <w:rPr>
          <w:rFonts w:ascii="黑体" w:eastAsia="黑体" w:hAnsi="黑体"/>
          <w:sz w:val="52"/>
          <w:szCs w:val="52"/>
        </w:rPr>
      </w:pPr>
    </w:p>
    <w:p w14:paraId="0EF5EEB2" w14:textId="77777777" w:rsidR="004549BF" w:rsidRDefault="00BD04FA">
      <w:pPr>
        <w:ind w:firstLineChars="0" w:firstLine="0"/>
        <w:jc w:val="center"/>
        <w:rPr>
          <w:rFonts w:ascii="黑体" w:eastAsia="黑体" w:hAnsi="黑体"/>
          <w:sz w:val="52"/>
          <w:szCs w:val="52"/>
        </w:rPr>
      </w:pPr>
      <w:r>
        <w:rPr>
          <w:rFonts w:ascii="黑体" w:eastAsia="黑体" w:hAnsi="黑体" w:hint="eastAsia"/>
          <w:sz w:val="52"/>
          <w:szCs w:val="52"/>
        </w:rPr>
        <w:t>采购需求</w:t>
      </w:r>
    </w:p>
    <w:p w14:paraId="0BD2C8BB" w14:textId="77777777" w:rsidR="004549BF" w:rsidRDefault="004549BF">
      <w:pPr>
        <w:ind w:firstLineChars="0" w:firstLine="0"/>
        <w:jc w:val="center"/>
        <w:rPr>
          <w:rFonts w:ascii="黑体" w:eastAsia="黑体" w:hAnsi="黑体"/>
          <w:sz w:val="72"/>
          <w:szCs w:val="72"/>
        </w:rPr>
      </w:pPr>
    </w:p>
    <w:p w14:paraId="306B6BE7" w14:textId="77777777" w:rsidR="004549BF" w:rsidRDefault="004549BF">
      <w:pPr>
        <w:ind w:firstLineChars="0" w:firstLine="0"/>
        <w:jc w:val="center"/>
        <w:rPr>
          <w:rFonts w:ascii="黑体" w:eastAsia="黑体" w:hAnsi="黑体"/>
          <w:sz w:val="48"/>
          <w:szCs w:val="48"/>
        </w:rPr>
      </w:pPr>
    </w:p>
    <w:p w14:paraId="241738B6" w14:textId="77777777" w:rsidR="004549BF" w:rsidRDefault="004549BF">
      <w:pPr>
        <w:ind w:firstLineChars="0" w:firstLine="0"/>
        <w:jc w:val="center"/>
        <w:rPr>
          <w:rFonts w:ascii="黑体" w:eastAsia="黑体" w:hAnsi="黑体"/>
          <w:sz w:val="52"/>
          <w:szCs w:val="52"/>
        </w:rPr>
      </w:pPr>
    </w:p>
    <w:p w14:paraId="29E77602" w14:textId="77777777" w:rsidR="004549BF" w:rsidRDefault="004549BF"/>
    <w:p w14:paraId="2FA7070A" w14:textId="77777777" w:rsidR="004549BF" w:rsidRDefault="004549BF"/>
    <w:p w14:paraId="35C5DC15" w14:textId="77777777" w:rsidR="004549BF" w:rsidRDefault="004549BF"/>
    <w:p w14:paraId="0298D61E" w14:textId="77777777" w:rsidR="004549BF" w:rsidRDefault="004549BF"/>
    <w:p w14:paraId="3C5AF120" w14:textId="77777777" w:rsidR="004549BF" w:rsidRDefault="004549BF"/>
    <w:p w14:paraId="07E12342" w14:textId="77777777" w:rsidR="004549BF" w:rsidRDefault="004549BF">
      <w:pPr>
        <w:ind w:firstLine="1040"/>
        <w:rPr>
          <w:rFonts w:ascii="黑体" w:eastAsia="黑体" w:hAnsi="黑体"/>
          <w:sz w:val="52"/>
          <w:szCs w:val="52"/>
        </w:rPr>
      </w:pPr>
    </w:p>
    <w:p w14:paraId="63126228" w14:textId="77777777" w:rsidR="004549BF" w:rsidRDefault="004549BF">
      <w:pPr>
        <w:jc w:val="center"/>
        <w:sectPr w:rsidR="004549BF">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5" w:left="1797" w:header="340" w:footer="7" w:gutter="0"/>
          <w:pgNumType w:start="1"/>
          <w:cols w:space="720"/>
          <w:titlePg/>
          <w:docGrid w:type="linesAndChars" w:linePitch="326"/>
        </w:sectPr>
      </w:pPr>
    </w:p>
    <w:p w14:paraId="534C87CD" w14:textId="77777777" w:rsidR="004549BF" w:rsidRDefault="00BD04FA">
      <w:pPr>
        <w:pStyle w:val="1"/>
      </w:pPr>
      <w:bookmarkStart w:id="0" w:name="_Toc63785461"/>
      <w:r>
        <w:rPr>
          <w:rFonts w:hint="eastAsia"/>
        </w:rPr>
        <w:lastRenderedPageBreak/>
        <w:t>项目概况</w:t>
      </w:r>
      <w:bookmarkEnd w:id="0"/>
    </w:p>
    <w:p w14:paraId="3A029332" w14:textId="77777777" w:rsidR="004549BF" w:rsidRDefault="00BD04FA">
      <w:pPr>
        <w:spacing w:line="560" w:lineRule="exact"/>
      </w:pPr>
      <w:r>
        <w:rPr>
          <w:rFonts w:hint="eastAsia"/>
        </w:rPr>
        <w:t>中共上海市委金融委员会办公室是中共上海金融委员会的办事机构，承担中共上海市委金融委员会日常工作。作为市委工作机关，为正局级，加挂上海市地方金融管理局、上海市推进国际金融中心建设办公室牌子。</w:t>
      </w:r>
    </w:p>
    <w:p w14:paraId="0FD5C932" w14:textId="77777777" w:rsidR="004549BF" w:rsidRDefault="00BD04FA">
      <w:pPr>
        <w:spacing w:line="560" w:lineRule="exact"/>
      </w:pPr>
      <w:r>
        <w:rPr>
          <w:rFonts w:hint="eastAsia"/>
        </w:rPr>
        <w:t>金融服务信息大系统(2025年升级改造）项目包含升级改造模块包括：上市企业专题库、金融人才实践基地、金融论坛管理系统、金融机构扶持政策系统、中小企业信贷风险补偿。</w:t>
      </w:r>
    </w:p>
    <w:p w14:paraId="17944973" w14:textId="77777777" w:rsidR="004549BF" w:rsidRDefault="00BD04FA">
      <w:pPr>
        <w:spacing w:line="560" w:lineRule="exact"/>
      </w:pPr>
      <w:r>
        <w:rPr>
          <w:rFonts w:hint="eastAsia"/>
        </w:rPr>
        <w:t>上市企业专题库旨在</w:t>
      </w:r>
      <w:r>
        <w:t>深入贯彻“浦江之光”行动，通过数字化转型提升企业上市服务质效，更好服务多层次资本市场和实体经济，服务区域经济发展</w:t>
      </w:r>
      <w:r>
        <w:rPr>
          <w:rFonts w:hint="eastAsia"/>
        </w:rPr>
        <w:t>。中小企业信贷风险补偿主要落实知识产权贷风险补偿的线上管理流程。金融人才实践基地、金融论坛管理系统、金融机构扶持政策系统主要服务于金融机构和金融人才在本市集聚、发展，加快推进上海国际金融中心建设。</w:t>
      </w:r>
    </w:p>
    <w:p w14:paraId="2ED282CA" w14:textId="77777777" w:rsidR="004549BF" w:rsidRDefault="00BD04FA">
      <w:pPr>
        <w:spacing w:line="560" w:lineRule="exact"/>
      </w:pPr>
      <w:r>
        <w:rPr>
          <w:rFonts w:hint="eastAsia"/>
        </w:rPr>
        <w:t>建设期限：自合同签订之日起8个月内</w:t>
      </w:r>
    </w:p>
    <w:p w14:paraId="5CF05A32" w14:textId="77777777" w:rsidR="004549BF" w:rsidRDefault="00BD04FA">
      <w:pPr>
        <w:spacing w:line="560" w:lineRule="exact"/>
      </w:pPr>
      <w:r>
        <w:rPr>
          <w:rFonts w:hint="eastAsia"/>
        </w:rPr>
        <w:t>建设地点：上海市大数据中心</w:t>
      </w:r>
    </w:p>
    <w:p w14:paraId="3453D08F" w14:textId="77777777" w:rsidR="004549BF" w:rsidRDefault="00BD04FA">
      <w:r>
        <w:rPr>
          <w:rFonts w:hint="eastAsia"/>
        </w:rPr>
        <w:t>是否接受联合体投标：否</w:t>
      </w:r>
    </w:p>
    <w:p w14:paraId="0E74D0D3" w14:textId="77777777" w:rsidR="004549BF" w:rsidRDefault="00BD04FA">
      <w:r>
        <w:t>是否按信创要求建设：是</w:t>
      </w:r>
    </w:p>
    <w:p w14:paraId="327BDE15" w14:textId="77777777" w:rsidR="004549BF" w:rsidRDefault="00BD04FA">
      <w:r>
        <w:rPr>
          <w:rFonts w:hint="eastAsia"/>
        </w:rPr>
        <w:t>运维后所属大系统：金融服务信息大系统</w:t>
      </w:r>
    </w:p>
    <w:p w14:paraId="5503A4A5" w14:textId="77777777" w:rsidR="004549BF" w:rsidRDefault="004549BF"/>
    <w:p w14:paraId="07D01FB1" w14:textId="77777777" w:rsidR="004549BF" w:rsidRDefault="00BD04FA">
      <w:pPr>
        <w:pStyle w:val="1"/>
      </w:pPr>
      <w:bookmarkStart w:id="1" w:name="_Toc47536644"/>
      <w:bookmarkStart w:id="2" w:name="_Toc47539070"/>
      <w:bookmarkStart w:id="3" w:name="_Toc47532891"/>
      <w:bookmarkStart w:id="4" w:name="_Toc47536272"/>
      <w:bookmarkStart w:id="5" w:name="_Toc47533256"/>
      <w:bookmarkStart w:id="6" w:name="_Toc47537134"/>
      <w:bookmarkStart w:id="7" w:name="_Toc47532255"/>
      <w:bookmarkStart w:id="8" w:name="_Toc47531634"/>
      <w:bookmarkStart w:id="9" w:name="_Toc48223882"/>
      <w:bookmarkStart w:id="10" w:name="_Toc63785463"/>
      <w:bookmarkEnd w:id="1"/>
      <w:bookmarkEnd w:id="2"/>
      <w:bookmarkEnd w:id="3"/>
      <w:bookmarkEnd w:id="4"/>
      <w:bookmarkEnd w:id="5"/>
      <w:bookmarkEnd w:id="6"/>
      <w:bookmarkEnd w:id="7"/>
      <w:bookmarkEnd w:id="8"/>
      <w:r>
        <w:rPr>
          <w:rFonts w:hint="eastAsia"/>
        </w:rPr>
        <w:t>建设目标</w:t>
      </w:r>
      <w:bookmarkEnd w:id="9"/>
      <w:bookmarkEnd w:id="10"/>
    </w:p>
    <w:p w14:paraId="565C834B" w14:textId="77777777" w:rsidR="004549BF" w:rsidRDefault="00BD04FA">
      <w:pPr>
        <w:spacing w:line="560" w:lineRule="exact"/>
      </w:pPr>
      <w:r>
        <w:rPr>
          <w:rFonts w:hint="eastAsia"/>
        </w:rPr>
        <w:t>上市企业专题库全面采集境内外各上市板块企业备案、完成备案、辅导备案、企业挂牌、企业退市等业务数据,建设上市企业专题库，统筹建设市区两级金融部门上市服务工作台，完善上市决策支持服务。</w:t>
      </w:r>
    </w:p>
    <w:p w14:paraId="3625C4B7" w14:textId="77777777" w:rsidR="004549BF" w:rsidRDefault="00BD04FA">
      <w:pPr>
        <w:spacing w:line="560" w:lineRule="exact"/>
      </w:pPr>
      <w:r>
        <w:rPr>
          <w:rFonts w:hint="eastAsia"/>
        </w:rPr>
        <w:t>金融人才实践基地充分运用上海金融系统人才资源和岗位资源,建立挂职实践基地岗位和人才派遣管理，统筹管理上海市各类金融机构的锻炼交流岗位，通过集中发布，双向选择，实现金融人才的跨岗交流和锻炼,为金融人才实践基地</w:t>
      </w:r>
      <w:r>
        <w:rPr>
          <w:rFonts w:hint="eastAsia"/>
        </w:rPr>
        <w:lastRenderedPageBreak/>
        <w:t>和人才锻炼交流提供便利化信息平台，加快推进上海国际金融中心建设。</w:t>
      </w:r>
    </w:p>
    <w:p w14:paraId="61F86C9B" w14:textId="77777777" w:rsidR="004549BF" w:rsidRDefault="00BD04FA">
      <w:pPr>
        <w:spacing w:line="560" w:lineRule="exact"/>
      </w:pPr>
      <w:r>
        <w:rPr>
          <w:rFonts w:hint="eastAsia"/>
        </w:rPr>
        <w:t>金融论坛管理系统支撑市委金融办举办的各类金融论坛及金融服务活动的筹划、任务管理及分工，面向社会公众、新闻媒体、金融机构等对象，实现金融相关论坛活动管理活动发起、报名、审核、签到、名册报表输出、信息发布、归档等活动过程管理功能。</w:t>
      </w:r>
    </w:p>
    <w:p w14:paraId="126B6521" w14:textId="77777777" w:rsidR="004549BF" w:rsidRDefault="00BD04FA">
      <w:pPr>
        <w:spacing w:line="560" w:lineRule="exact"/>
      </w:pPr>
      <w:r>
        <w:rPr>
          <w:rFonts w:hint="eastAsia"/>
        </w:rPr>
        <w:t>上海金融发展扶持政策依据2024年修订后的《上海市金融机构扶持政策实施办法》、《上海金融人才奖评审办法》，对金融人才奖、金融机构扶持政策模块中的数据申报、审核、扶持金额计算等功能进行升级重构，确保政策执行的合规性和准确性。</w:t>
      </w:r>
    </w:p>
    <w:p w14:paraId="3D136F44" w14:textId="77777777" w:rsidR="004549BF" w:rsidRDefault="00BD04FA">
      <w:pPr>
        <w:spacing w:line="560" w:lineRule="exact"/>
      </w:pPr>
      <w:r>
        <w:rPr>
          <w:rFonts w:hint="eastAsia"/>
        </w:rPr>
        <w:t>上海市中小企业信贷风险补偿按照上海中小微企业政策性融资担保基金（以下简称担保基金）知识产权质押融资担保业务、上海市知识产权质押贷款风险“前补偿”试点的业务需求，新建“前补偿”业务试点产品申报审核流程、“前补偿”贷款产品季度数据报送、审核及补偿发放流程、“前补偿”年度净损失报送及审核流程、“前补偿”数据归档及数据分析功能，并保障现有模块的稳定运行。</w:t>
      </w:r>
    </w:p>
    <w:p w14:paraId="2DA05A19" w14:textId="77777777" w:rsidR="004549BF" w:rsidRDefault="00BD04FA">
      <w:pPr>
        <w:pStyle w:val="30"/>
        <w:ind w:leftChars="0" w:left="0"/>
      </w:pPr>
      <w:r>
        <w:rPr>
          <w:rFonts w:hint="eastAsia"/>
        </w:rPr>
        <w:t>项目升级改造的绩效目标为：</w:t>
      </w:r>
    </w:p>
    <w:tbl>
      <w:tblPr>
        <w:tblW w:w="84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6"/>
        <w:gridCol w:w="1186"/>
        <w:gridCol w:w="1179"/>
        <w:gridCol w:w="1957"/>
        <w:gridCol w:w="2293"/>
        <w:gridCol w:w="1052"/>
      </w:tblGrid>
      <w:tr w:rsidR="004549BF" w14:paraId="274583B7" w14:textId="77777777">
        <w:trPr>
          <w:trHeight w:val="288"/>
          <w:jc w:val="center"/>
        </w:trPr>
        <w:tc>
          <w:tcPr>
            <w:tcW w:w="746" w:type="dxa"/>
            <w:shd w:val="clear" w:color="auto" w:fill="auto"/>
            <w:vAlign w:val="center"/>
          </w:tcPr>
          <w:p w14:paraId="7BAD351D"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序号</w:t>
            </w:r>
          </w:p>
        </w:tc>
        <w:tc>
          <w:tcPr>
            <w:tcW w:w="1186" w:type="dxa"/>
            <w:shd w:val="clear" w:color="auto" w:fill="auto"/>
            <w:vAlign w:val="center"/>
          </w:tcPr>
          <w:p w14:paraId="3EDB970A"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一级指标</w:t>
            </w:r>
          </w:p>
        </w:tc>
        <w:tc>
          <w:tcPr>
            <w:tcW w:w="1179" w:type="dxa"/>
            <w:shd w:val="clear" w:color="auto" w:fill="auto"/>
            <w:vAlign w:val="center"/>
          </w:tcPr>
          <w:p w14:paraId="093E3E11"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二级指标</w:t>
            </w:r>
          </w:p>
        </w:tc>
        <w:tc>
          <w:tcPr>
            <w:tcW w:w="1957" w:type="dxa"/>
            <w:shd w:val="clear" w:color="auto" w:fill="auto"/>
            <w:vAlign w:val="center"/>
          </w:tcPr>
          <w:p w14:paraId="33DFC714"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三级指标</w:t>
            </w:r>
          </w:p>
        </w:tc>
        <w:tc>
          <w:tcPr>
            <w:tcW w:w="2293" w:type="dxa"/>
          </w:tcPr>
          <w:p w14:paraId="2AE506E2"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四级指标</w:t>
            </w:r>
          </w:p>
        </w:tc>
        <w:tc>
          <w:tcPr>
            <w:tcW w:w="1052" w:type="dxa"/>
            <w:shd w:val="clear" w:color="auto" w:fill="auto"/>
            <w:vAlign w:val="center"/>
          </w:tcPr>
          <w:p w14:paraId="2F45E3EB"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指标值</w:t>
            </w:r>
          </w:p>
        </w:tc>
      </w:tr>
      <w:tr w:rsidR="004549BF" w14:paraId="1F46E658" w14:textId="77777777">
        <w:trPr>
          <w:trHeight w:val="288"/>
          <w:jc w:val="center"/>
        </w:trPr>
        <w:tc>
          <w:tcPr>
            <w:tcW w:w="746" w:type="dxa"/>
            <w:shd w:val="clear" w:color="auto" w:fill="auto"/>
            <w:vAlign w:val="center"/>
          </w:tcPr>
          <w:p w14:paraId="30DAD90D" w14:textId="77777777" w:rsidR="004549BF" w:rsidRDefault="00BD04FA">
            <w:pPr>
              <w:pStyle w:val="B-"/>
              <w:widowControl w:val="0"/>
              <w:spacing w:line="360" w:lineRule="auto"/>
              <w:jc w:val="center"/>
              <w:rPr>
                <w:rFonts w:eastAsia="等线" w:cs="Times New Roman"/>
              </w:rPr>
            </w:pPr>
            <w:r>
              <w:rPr>
                <w:rFonts w:eastAsia="等线" w:cs="Times New Roman"/>
              </w:rPr>
              <w:t>1</w:t>
            </w:r>
          </w:p>
        </w:tc>
        <w:tc>
          <w:tcPr>
            <w:tcW w:w="1186" w:type="dxa"/>
            <w:shd w:val="clear" w:color="auto" w:fill="auto"/>
            <w:vAlign w:val="center"/>
          </w:tcPr>
          <w:p w14:paraId="56C58BD5"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179" w:type="dxa"/>
            <w:shd w:val="clear" w:color="auto" w:fill="auto"/>
            <w:vAlign w:val="center"/>
          </w:tcPr>
          <w:p w14:paraId="7392487C"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57" w:type="dxa"/>
            <w:shd w:val="clear" w:color="auto" w:fill="auto"/>
            <w:vAlign w:val="center"/>
          </w:tcPr>
          <w:p w14:paraId="4DF3C2A5"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产出数量</w:t>
            </w:r>
          </w:p>
        </w:tc>
        <w:tc>
          <w:tcPr>
            <w:tcW w:w="2293" w:type="dxa"/>
            <w:vAlign w:val="center"/>
          </w:tcPr>
          <w:p w14:paraId="1B7F08B0"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软件开发完成率</w:t>
            </w:r>
          </w:p>
        </w:tc>
        <w:tc>
          <w:tcPr>
            <w:tcW w:w="1052" w:type="dxa"/>
            <w:shd w:val="clear" w:color="auto" w:fill="auto"/>
            <w:vAlign w:val="center"/>
          </w:tcPr>
          <w:p w14:paraId="737D0C1F" w14:textId="77777777" w:rsidR="004549BF" w:rsidRDefault="00BD04FA">
            <w:pPr>
              <w:pStyle w:val="B-"/>
              <w:widowControl w:val="0"/>
              <w:spacing w:line="360" w:lineRule="auto"/>
              <w:jc w:val="center"/>
            </w:pPr>
            <w:r>
              <w:rPr>
                <w:rFonts w:hint="eastAsia"/>
              </w:rPr>
              <w:t>100%</w:t>
            </w:r>
          </w:p>
        </w:tc>
      </w:tr>
      <w:tr w:rsidR="004549BF" w14:paraId="5230F2CF" w14:textId="77777777">
        <w:trPr>
          <w:trHeight w:val="288"/>
          <w:jc w:val="center"/>
        </w:trPr>
        <w:tc>
          <w:tcPr>
            <w:tcW w:w="746" w:type="dxa"/>
            <w:shd w:val="clear" w:color="auto" w:fill="auto"/>
            <w:vAlign w:val="center"/>
          </w:tcPr>
          <w:p w14:paraId="7DFF72CA" w14:textId="77777777" w:rsidR="004549BF" w:rsidRDefault="00BD04FA">
            <w:pPr>
              <w:pStyle w:val="B-"/>
              <w:widowControl w:val="0"/>
              <w:spacing w:line="360" w:lineRule="auto"/>
              <w:jc w:val="center"/>
              <w:rPr>
                <w:rFonts w:eastAsia="等线" w:cs="Times New Roman"/>
              </w:rPr>
            </w:pPr>
            <w:r>
              <w:rPr>
                <w:rFonts w:eastAsia="等线" w:cs="Times New Roman" w:hint="eastAsia"/>
              </w:rPr>
              <w:t>2</w:t>
            </w:r>
          </w:p>
        </w:tc>
        <w:tc>
          <w:tcPr>
            <w:tcW w:w="1186" w:type="dxa"/>
            <w:shd w:val="clear" w:color="auto" w:fill="auto"/>
            <w:vAlign w:val="center"/>
          </w:tcPr>
          <w:p w14:paraId="4BE3B1C2"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179" w:type="dxa"/>
            <w:shd w:val="clear" w:color="auto" w:fill="auto"/>
            <w:vAlign w:val="center"/>
          </w:tcPr>
          <w:p w14:paraId="79273B6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57" w:type="dxa"/>
            <w:shd w:val="clear" w:color="auto" w:fill="auto"/>
            <w:vAlign w:val="center"/>
          </w:tcPr>
          <w:p w14:paraId="711F267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产出质量</w:t>
            </w:r>
          </w:p>
        </w:tc>
        <w:tc>
          <w:tcPr>
            <w:tcW w:w="2293" w:type="dxa"/>
            <w:vAlign w:val="center"/>
          </w:tcPr>
          <w:p w14:paraId="5313EF8F"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安全事件发生次数</w:t>
            </w:r>
          </w:p>
        </w:tc>
        <w:tc>
          <w:tcPr>
            <w:tcW w:w="1052" w:type="dxa"/>
            <w:shd w:val="clear" w:color="auto" w:fill="auto"/>
            <w:vAlign w:val="center"/>
          </w:tcPr>
          <w:p w14:paraId="3EDA27AD" w14:textId="77777777" w:rsidR="004549BF" w:rsidRDefault="00BD04FA">
            <w:pPr>
              <w:pStyle w:val="B-"/>
              <w:widowControl w:val="0"/>
              <w:spacing w:line="360" w:lineRule="auto"/>
              <w:jc w:val="center"/>
            </w:pPr>
            <w:r>
              <w:rPr>
                <w:rFonts w:hint="eastAsia"/>
              </w:rPr>
              <w:t>0</w:t>
            </w:r>
          </w:p>
        </w:tc>
      </w:tr>
      <w:tr w:rsidR="004549BF" w14:paraId="207472B1" w14:textId="77777777">
        <w:trPr>
          <w:trHeight w:val="288"/>
          <w:jc w:val="center"/>
        </w:trPr>
        <w:tc>
          <w:tcPr>
            <w:tcW w:w="746" w:type="dxa"/>
            <w:shd w:val="clear" w:color="auto" w:fill="auto"/>
            <w:vAlign w:val="center"/>
          </w:tcPr>
          <w:p w14:paraId="3ADFDCAC" w14:textId="77777777" w:rsidR="004549BF" w:rsidRDefault="00BD04FA">
            <w:pPr>
              <w:pStyle w:val="B-"/>
              <w:widowControl w:val="0"/>
              <w:spacing w:line="360" w:lineRule="auto"/>
              <w:jc w:val="center"/>
              <w:rPr>
                <w:rFonts w:eastAsia="等线" w:cs="Times New Roman"/>
              </w:rPr>
            </w:pPr>
            <w:r>
              <w:rPr>
                <w:rFonts w:eastAsia="等线" w:cs="Times New Roman" w:hint="eastAsia"/>
              </w:rPr>
              <w:t>3</w:t>
            </w:r>
          </w:p>
        </w:tc>
        <w:tc>
          <w:tcPr>
            <w:tcW w:w="1186" w:type="dxa"/>
            <w:shd w:val="clear" w:color="auto" w:fill="auto"/>
            <w:vAlign w:val="center"/>
          </w:tcPr>
          <w:p w14:paraId="3921746C"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179" w:type="dxa"/>
            <w:shd w:val="clear" w:color="auto" w:fill="auto"/>
            <w:vAlign w:val="center"/>
          </w:tcPr>
          <w:p w14:paraId="537C2714"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57" w:type="dxa"/>
            <w:shd w:val="clear" w:color="auto" w:fill="auto"/>
            <w:vAlign w:val="center"/>
          </w:tcPr>
          <w:p w14:paraId="5CF40DEB"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产出时效</w:t>
            </w:r>
          </w:p>
        </w:tc>
        <w:tc>
          <w:tcPr>
            <w:tcW w:w="2293" w:type="dxa"/>
            <w:vAlign w:val="center"/>
          </w:tcPr>
          <w:p w14:paraId="19C6E08B"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项目建设周期</w:t>
            </w:r>
          </w:p>
        </w:tc>
        <w:tc>
          <w:tcPr>
            <w:tcW w:w="1052" w:type="dxa"/>
            <w:shd w:val="clear" w:color="auto" w:fill="auto"/>
            <w:vAlign w:val="center"/>
          </w:tcPr>
          <w:p w14:paraId="7DA0E4BF" w14:textId="77777777" w:rsidR="004549BF" w:rsidRDefault="00BD04FA">
            <w:pPr>
              <w:pStyle w:val="B-"/>
              <w:widowControl w:val="0"/>
              <w:spacing w:line="360" w:lineRule="auto"/>
              <w:jc w:val="center"/>
            </w:pPr>
            <w:r>
              <w:rPr>
                <w:rFonts w:hint="eastAsia"/>
              </w:rPr>
              <w:t>12</w:t>
            </w:r>
            <w:r>
              <w:rPr>
                <w:rFonts w:hint="eastAsia"/>
              </w:rPr>
              <w:t>个月</w:t>
            </w:r>
          </w:p>
        </w:tc>
      </w:tr>
      <w:tr w:rsidR="004549BF" w14:paraId="6401E705" w14:textId="77777777">
        <w:trPr>
          <w:trHeight w:val="288"/>
          <w:jc w:val="center"/>
        </w:trPr>
        <w:tc>
          <w:tcPr>
            <w:tcW w:w="746" w:type="dxa"/>
            <w:shd w:val="clear" w:color="auto" w:fill="auto"/>
            <w:vAlign w:val="center"/>
          </w:tcPr>
          <w:p w14:paraId="2E60BB28" w14:textId="77777777" w:rsidR="004549BF" w:rsidRDefault="00BD04FA">
            <w:pPr>
              <w:pStyle w:val="B-"/>
              <w:widowControl w:val="0"/>
              <w:spacing w:line="360" w:lineRule="auto"/>
              <w:jc w:val="center"/>
              <w:rPr>
                <w:rFonts w:eastAsia="等线" w:cs="Times New Roman"/>
              </w:rPr>
            </w:pPr>
            <w:r>
              <w:rPr>
                <w:rFonts w:eastAsia="等线" w:cs="Times New Roman" w:hint="eastAsia"/>
              </w:rPr>
              <w:t>4</w:t>
            </w:r>
          </w:p>
        </w:tc>
        <w:tc>
          <w:tcPr>
            <w:tcW w:w="1186" w:type="dxa"/>
            <w:shd w:val="clear" w:color="auto" w:fill="auto"/>
            <w:vAlign w:val="center"/>
          </w:tcPr>
          <w:p w14:paraId="4FF8B29D"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179" w:type="dxa"/>
            <w:shd w:val="clear" w:color="auto" w:fill="auto"/>
            <w:vAlign w:val="center"/>
          </w:tcPr>
          <w:p w14:paraId="12E91D03"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应用系统</w:t>
            </w:r>
          </w:p>
        </w:tc>
        <w:tc>
          <w:tcPr>
            <w:tcW w:w="1957" w:type="dxa"/>
            <w:shd w:val="clear" w:color="auto" w:fill="auto"/>
            <w:vAlign w:val="center"/>
          </w:tcPr>
          <w:p w14:paraId="140AA5C1"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系统能力利用水平 </w:t>
            </w:r>
          </w:p>
        </w:tc>
        <w:tc>
          <w:tcPr>
            <w:tcW w:w="2293" w:type="dxa"/>
            <w:vAlign w:val="center"/>
          </w:tcPr>
          <w:p w14:paraId="7785904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线上办件占比 </w:t>
            </w:r>
          </w:p>
        </w:tc>
        <w:tc>
          <w:tcPr>
            <w:tcW w:w="1052" w:type="dxa"/>
            <w:shd w:val="clear" w:color="auto" w:fill="auto"/>
            <w:vAlign w:val="center"/>
          </w:tcPr>
          <w:p w14:paraId="59FD430B" w14:textId="77777777" w:rsidR="004549BF" w:rsidRDefault="00BD04FA">
            <w:pPr>
              <w:pStyle w:val="B-"/>
              <w:widowControl w:val="0"/>
              <w:spacing w:line="360" w:lineRule="auto"/>
              <w:jc w:val="center"/>
            </w:pPr>
            <w:r>
              <w:rPr>
                <w:rFonts w:hint="eastAsia"/>
              </w:rPr>
              <w:t>100%</w:t>
            </w:r>
          </w:p>
        </w:tc>
      </w:tr>
      <w:tr w:rsidR="004549BF" w14:paraId="25A27E18" w14:textId="77777777">
        <w:trPr>
          <w:trHeight w:val="288"/>
          <w:jc w:val="center"/>
        </w:trPr>
        <w:tc>
          <w:tcPr>
            <w:tcW w:w="746" w:type="dxa"/>
            <w:shd w:val="clear" w:color="auto" w:fill="auto"/>
            <w:vAlign w:val="center"/>
          </w:tcPr>
          <w:p w14:paraId="3808857B" w14:textId="77777777" w:rsidR="004549BF" w:rsidRDefault="00BD04FA">
            <w:pPr>
              <w:pStyle w:val="B-"/>
              <w:widowControl w:val="0"/>
              <w:spacing w:line="360" w:lineRule="auto"/>
              <w:jc w:val="center"/>
              <w:rPr>
                <w:rFonts w:eastAsia="等线" w:cs="Times New Roman"/>
              </w:rPr>
            </w:pPr>
            <w:r>
              <w:rPr>
                <w:rFonts w:eastAsia="等线" w:cs="Times New Roman" w:hint="eastAsia"/>
              </w:rPr>
              <w:t>5</w:t>
            </w:r>
          </w:p>
        </w:tc>
        <w:tc>
          <w:tcPr>
            <w:tcW w:w="1186" w:type="dxa"/>
            <w:shd w:val="clear" w:color="auto" w:fill="auto"/>
            <w:vAlign w:val="center"/>
          </w:tcPr>
          <w:p w14:paraId="39F59148"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通用指标</w:t>
            </w:r>
          </w:p>
        </w:tc>
        <w:tc>
          <w:tcPr>
            <w:tcW w:w="1179" w:type="dxa"/>
            <w:shd w:val="clear" w:color="auto" w:fill="auto"/>
            <w:vAlign w:val="center"/>
          </w:tcPr>
          <w:p w14:paraId="1CD34994"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应用系统 </w:t>
            </w:r>
          </w:p>
        </w:tc>
        <w:tc>
          <w:tcPr>
            <w:tcW w:w="1957" w:type="dxa"/>
            <w:shd w:val="clear" w:color="auto" w:fill="auto"/>
            <w:vAlign w:val="center"/>
          </w:tcPr>
          <w:p w14:paraId="70BA851C"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用户使用情况</w:t>
            </w:r>
          </w:p>
        </w:tc>
        <w:tc>
          <w:tcPr>
            <w:tcW w:w="2293" w:type="dxa"/>
            <w:vAlign w:val="center"/>
          </w:tcPr>
          <w:p w14:paraId="3E9174EA"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系统用户量</w:t>
            </w:r>
          </w:p>
        </w:tc>
        <w:tc>
          <w:tcPr>
            <w:tcW w:w="1052" w:type="dxa"/>
            <w:shd w:val="clear" w:color="auto" w:fill="auto"/>
            <w:vAlign w:val="center"/>
          </w:tcPr>
          <w:p w14:paraId="6D3F04A7" w14:textId="77777777" w:rsidR="004549BF" w:rsidRDefault="00BD04FA">
            <w:pPr>
              <w:pStyle w:val="B-"/>
              <w:widowControl w:val="0"/>
              <w:spacing w:line="360" w:lineRule="auto"/>
              <w:jc w:val="center"/>
            </w:pPr>
            <w:r>
              <w:rPr>
                <w:rFonts w:hint="eastAsia"/>
              </w:rPr>
              <w:t>1000</w:t>
            </w:r>
          </w:p>
        </w:tc>
      </w:tr>
      <w:tr w:rsidR="004549BF" w14:paraId="4C7A9EB3" w14:textId="77777777">
        <w:trPr>
          <w:trHeight w:val="288"/>
          <w:jc w:val="center"/>
        </w:trPr>
        <w:tc>
          <w:tcPr>
            <w:tcW w:w="746" w:type="dxa"/>
            <w:shd w:val="clear" w:color="auto" w:fill="auto"/>
            <w:vAlign w:val="center"/>
          </w:tcPr>
          <w:p w14:paraId="65CC2945" w14:textId="77777777" w:rsidR="004549BF" w:rsidRDefault="00BD04FA">
            <w:pPr>
              <w:pStyle w:val="B-"/>
              <w:widowControl w:val="0"/>
              <w:spacing w:line="360" w:lineRule="auto"/>
              <w:jc w:val="center"/>
              <w:rPr>
                <w:rFonts w:eastAsia="等线" w:cs="Times New Roman"/>
              </w:rPr>
            </w:pPr>
            <w:r>
              <w:rPr>
                <w:rFonts w:eastAsia="等线" w:cs="Times New Roman" w:hint="eastAsia"/>
              </w:rPr>
              <w:t>6</w:t>
            </w:r>
          </w:p>
        </w:tc>
        <w:tc>
          <w:tcPr>
            <w:tcW w:w="1186" w:type="dxa"/>
            <w:shd w:val="clear" w:color="auto" w:fill="auto"/>
            <w:vAlign w:val="center"/>
          </w:tcPr>
          <w:p w14:paraId="64583200"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通用指标</w:t>
            </w:r>
          </w:p>
        </w:tc>
        <w:tc>
          <w:tcPr>
            <w:tcW w:w="1179" w:type="dxa"/>
            <w:shd w:val="clear" w:color="auto" w:fill="auto"/>
            <w:vAlign w:val="center"/>
          </w:tcPr>
          <w:p w14:paraId="26832675"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应用系统</w:t>
            </w:r>
          </w:p>
        </w:tc>
        <w:tc>
          <w:tcPr>
            <w:tcW w:w="1957" w:type="dxa"/>
            <w:shd w:val="clear" w:color="auto" w:fill="auto"/>
            <w:vAlign w:val="center"/>
          </w:tcPr>
          <w:p w14:paraId="10672508"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数据服务与数据治理水平</w:t>
            </w:r>
          </w:p>
        </w:tc>
        <w:tc>
          <w:tcPr>
            <w:tcW w:w="2293" w:type="dxa"/>
            <w:vAlign w:val="center"/>
          </w:tcPr>
          <w:p w14:paraId="6004652B"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跨部门数据融合目录数</w:t>
            </w:r>
          </w:p>
        </w:tc>
        <w:tc>
          <w:tcPr>
            <w:tcW w:w="1052" w:type="dxa"/>
            <w:shd w:val="clear" w:color="auto" w:fill="auto"/>
            <w:vAlign w:val="center"/>
          </w:tcPr>
          <w:p w14:paraId="23AA047B" w14:textId="77777777" w:rsidR="004549BF" w:rsidRDefault="00BD04FA">
            <w:pPr>
              <w:pStyle w:val="B-"/>
              <w:widowControl w:val="0"/>
              <w:spacing w:line="360" w:lineRule="auto"/>
              <w:jc w:val="center"/>
            </w:pPr>
            <w:r>
              <w:rPr>
                <w:rFonts w:hint="eastAsia"/>
              </w:rPr>
              <w:t>5</w:t>
            </w:r>
          </w:p>
        </w:tc>
      </w:tr>
      <w:tr w:rsidR="004549BF" w14:paraId="06D02702" w14:textId="77777777">
        <w:trPr>
          <w:trHeight w:val="288"/>
          <w:jc w:val="center"/>
        </w:trPr>
        <w:tc>
          <w:tcPr>
            <w:tcW w:w="746" w:type="dxa"/>
            <w:shd w:val="clear" w:color="auto" w:fill="auto"/>
            <w:vAlign w:val="center"/>
          </w:tcPr>
          <w:p w14:paraId="172725D3" w14:textId="77777777" w:rsidR="004549BF" w:rsidRDefault="00BD04FA">
            <w:pPr>
              <w:pStyle w:val="B-"/>
              <w:widowControl w:val="0"/>
              <w:spacing w:line="360" w:lineRule="auto"/>
              <w:jc w:val="center"/>
              <w:rPr>
                <w:rFonts w:eastAsia="等线" w:cs="Times New Roman"/>
              </w:rPr>
            </w:pPr>
            <w:r>
              <w:rPr>
                <w:rFonts w:eastAsia="等线" w:cs="Times New Roman" w:hint="eastAsia"/>
              </w:rPr>
              <w:t>7</w:t>
            </w:r>
          </w:p>
        </w:tc>
        <w:tc>
          <w:tcPr>
            <w:tcW w:w="1186" w:type="dxa"/>
            <w:shd w:val="clear" w:color="auto" w:fill="auto"/>
            <w:vAlign w:val="center"/>
          </w:tcPr>
          <w:p w14:paraId="53E2DF9A"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通用指标</w:t>
            </w:r>
          </w:p>
        </w:tc>
        <w:tc>
          <w:tcPr>
            <w:tcW w:w="1179" w:type="dxa"/>
            <w:shd w:val="clear" w:color="auto" w:fill="auto"/>
            <w:vAlign w:val="center"/>
          </w:tcPr>
          <w:p w14:paraId="41A8E984"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应用系统</w:t>
            </w:r>
          </w:p>
        </w:tc>
        <w:tc>
          <w:tcPr>
            <w:tcW w:w="1957" w:type="dxa"/>
            <w:shd w:val="clear" w:color="auto" w:fill="auto"/>
            <w:vAlign w:val="center"/>
          </w:tcPr>
          <w:p w14:paraId="08134D3D"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数据服务与数据治理水平</w:t>
            </w:r>
          </w:p>
        </w:tc>
        <w:tc>
          <w:tcPr>
            <w:tcW w:w="2293" w:type="dxa"/>
            <w:vAlign w:val="center"/>
          </w:tcPr>
          <w:p w14:paraId="6786E04B"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数据源覆盖度 </w:t>
            </w:r>
          </w:p>
        </w:tc>
        <w:tc>
          <w:tcPr>
            <w:tcW w:w="1052" w:type="dxa"/>
            <w:shd w:val="clear" w:color="auto" w:fill="auto"/>
            <w:vAlign w:val="center"/>
          </w:tcPr>
          <w:p w14:paraId="3C5793DC" w14:textId="77777777" w:rsidR="004549BF" w:rsidRDefault="00BD04FA">
            <w:pPr>
              <w:pStyle w:val="B-"/>
              <w:widowControl w:val="0"/>
              <w:spacing w:line="360" w:lineRule="auto"/>
              <w:jc w:val="center"/>
            </w:pPr>
            <w:r>
              <w:rPr>
                <w:rFonts w:hint="eastAsia"/>
              </w:rPr>
              <w:t>90%</w:t>
            </w:r>
          </w:p>
        </w:tc>
      </w:tr>
      <w:tr w:rsidR="004549BF" w14:paraId="4CD23BD4" w14:textId="77777777">
        <w:trPr>
          <w:trHeight w:val="288"/>
          <w:jc w:val="center"/>
        </w:trPr>
        <w:tc>
          <w:tcPr>
            <w:tcW w:w="746" w:type="dxa"/>
            <w:shd w:val="clear" w:color="auto" w:fill="auto"/>
            <w:vAlign w:val="center"/>
          </w:tcPr>
          <w:p w14:paraId="7A752129" w14:textId="77777777" w:rsidR="004549BF" w:rsidRDefault="00BD04FA">
            <w:pPr>
              <w:pStyle w:val="B-"/>
              <w:widowControl w:val="0"/>
              <w:spacing w:line="360" w:lineRule="auto"/>
              <w:jc w:val="center"/>
              <w:rPr>
                <w:rFonts w:eastAsia="等线" w:cs="Times New Roman"/>
              </w:rPr>
            </w:pPr>
            <w:r>
              <w:rPr>
                <w:rFonts w:eastAsia="等线" w:cs="Times New Roman" w:hint="eastAsia"/>
              </w:rPr>
              <w:lastRenderedPageBreak/>
              <w:t>8</w:t>
            </w:r>
          </w:p>
        </w:tc>
        <w:tc>
          <w:tcPr>
            <w:tcW w:w="1186" w:type="dxa"/>
            <w:shd w:val="clear" w:color="auto" w:fill="auto"/>
            <w:vAlign w:val="center"/>
          </w:tcPr>
          <w:p w14:paraId="7A860CE4"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通用指标</w:t>
            </w:r>
          </w:p>
        </w:tc>
        <w:tc>
          <w:tcPr>
            <w:tcW w:w="1179" w:type="dxa"/>
            <w:shd w:val="clear" w:color="auto" w:fill="auto"/>
            <w:vAlign w:val="center"/>
          </w:tcPr>
          <w:p w14:paraId="03A96F5B"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应用系统</w:t>
            </w:r>
          </w:p>
        </w:tc>
        <w:tc>
          <w:tcPr>
            <w:tcW w:w="1957" w:type="dxa"/>
            <w:shd w:val="clear" w:color="auto" w:fill="auto"/>
            <w:vAlign w:val="center"/>
          </w:tcPr>
          <w:p w14:paraId="1621B886"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数据服务与数据治理水平</w:t>
            </w:r>
          </w:p>
        </w:tc>
        <w:tc>
          <w:tcPr>
            <w:tcW w:w="2293" w:type="dxa"/>
            <w:vAlign w:val="center"/>
          </w:tcPr>
          <w:p w14:paraId="26B0A494"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支撑系统业务数量（个） </w:t>
            </w:r>
          </w:p>
        </w:tc>
        <w:tc>
          <w:tcPr>
            <w:tcW w:w="1052" w:type="dxa"/>
            <w:shd w:val="clear" w:color="auto" w:fill="auto"/>
            <w:vAlign w:val="center"/>
          </w:tcPr>
          <w:p w14:paraId="61A68892" w14:textId="77777777" w:rsidR="004549BF" w:rsidRDefault="00BD04FA">
            <w:pPr>
              <w:pStyle w:val="B-"/>
              <w:widowControl w:val="0"/>
              <w:spacing w:line="360" w:lineRule="auto"/>
              <w:jc w:val="center"/>
            </w:pPr>
            <w:r>
              <w:rPr>
                <w:rFonts w:hint="eastAsia"/>
              </w:rPr>
              <w:t>5</w:t>
            </w:r>
          </w:p>
        </w:tc>
      </w:tr>
      <w:tr w:rsidR="004549BF" w14:paraId="1CD46842" w14:textId="77777777">
        <w:trPr>
          <w:trHeight w:val="288"/>
          <w:jc w:val="center"/>
        </w:trPr>
        <w:tc>
          <w:tcPr>
            <w:tcW w:w="746" w:type="dxa"/>
            <w:shd w:val="clear" w:color="auto" w:fill="auto"/>
            <w:vAlign w:val="center"/>
          </w:tcPr>
          <w:p w14:paraId="384E1858" w14:textId="77777777" w:rsidR="004549BF" w:rsidRDefault="00BD04FA">
            <w:pPr>
              <w:pStyle w:val="B-"/>
              <w:widowControl w:val="0"/>
              <w:spacing w:line="360" w:lineRule="auto"/>
              <w:jc w:val="center"/>
              <w:rPr>
                <w:rFonts w:eastAsia="等线" w:cs="Times New Roman"/>
              </w:rPr>
            </w:pPr>
            <w:r>
              <w:rPr>
                <w:rFonts w:eastAsia="等线" w:cs="Times New Roman" w:hint="eastAsia"/>
              </w:rPr>
              <w:t>9</w:t>
            </w:r>
          </w:p>
        </w:tc>
        <w:tc>
          <w:tcPr>
            <w:tcW w:w="1186" w:type="dxa"/>
            <w:shd w:val="clear" w:color="auto" w:fill="auto"/>
            <w:vAlign w:val="center"/>
          </w:tcPr>
          <w:p w14:paraId="2708CA20"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通用指标</w:t>
            </w:r>
          </w:p>
        </w:tc>
        <w:tc>
          <w:tcPr>
            <w:tcW w:w="1179" w:type="dxa"/>
            <w:shd w:val="clear" w:color="auto" w:fill="auto"/>
            <w:vAlign w:val="center"/>
          </w:tcPr>
          <w:p w14:paraId="173F0585"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应用系统</w:t>
            </w:r>
          </w:p>
        </w:tc>
        <w:tc>
          <w:tcPr>
            <w:tcW w:w="1957" w:type="dxa"/>
            <w:shd w:val="clear" w:color="auto" w:fill="auto"/>
            <w:vAlign w:val="center"/>
          </w:tcPr>
          <w:p w14:paraId="67C37543"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后台数据存储及交换服务水平 </w:t>
            </w:r>
          </w:p>
        </w:tc>
        <w:tc>
          <w:tcPr>
            <w:tcW w:w="2293" w:type="dxa"/>
            <w:vAlign w:val="center"/>
          </w:tcPr>
          <w:p w14:paraId="50768326"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数据存储量 </w:t>
            </w:r>
          </w:p>
        </w:tc>
        <w:tc>
          <w:tcPr>
            <w:tcW w:w="1052" w:type="dxa"/>
            <w:shd w:val="clear" w:color="auto" w:fill="auto"/>
            <w:vAlign w:val="center"/>
          </w:tcPr>
          <w:p w14:paraId="6D9233A6" w14:textId="77777777" w:rsidR="004549BF" w:rsidRDefault="00BD04FA">
            <w:pPr>
              <w:pStyle w:val="B-"/>
              <w:widowControl w:val="0"/>
              <w:spacing w:line="360" w:lineRule="auto"/>
              <w:jc w:val="center"/>
            </w:pPr>
            <w:r>
              <w:rPr>
                <w:rFonts w:hint="eastAsia"/>
              </w:rPr>
              <w:t>1000GB</w:t>
            </w:r>
          </w:p>
        </w:tc>
      </w:tr>
    </w:tbl>
    <w:p w14:paraId="1BB076AF" w14:textId="77777777" w:rsidR="004549BF" w:rsidRDefault="004549BF">
      <w:pPr>
        <w:pStyle w:val="afff1"/>
        <w:ind w:firstLineChars="0" w:firstLine="0"/>
        <w:rPr>
          <w:rFonts w:ascii="宋体" w:eastAsia="宋体" w:hAnsi="宋体"/>
          <w:sz w:val="24"/>
          <w:szCs w:val="24"/>
        </w:rPr>
      </w:pPr>
    </w:p>
    <w:p w14:paraId="5BC5CEB8" w14:textId="77777777" w:rsidR="004549BF" w:rsidRDefault="00BD04FA">
      <w:pPr>
        <w:pStyle w:val="afff1"/>
        <w:ind w:firstLine="480"/>
        <w:rPr>
          <w:rFonts w:ascii="宋体" w:eastAsia="宋体" w:hAnsi="宋体"/>
          <w:sz w:val="24"/>
          <w:szCs w:val="24"/>
        </w:rPr>
      </w:pPr>
      <w:r>
        <w:rPr>
          <w:rFonts w:ascii="宋体" w:eastAsia="宋体" w:hAnsi="宋体" w:hint="eastAsia"/>
          <w:sz w:val="24"/>
          <w:szCs w:val="24"/>
        </w:rPr>
        <w:t>项目升级改造技术目标为：</w:t>
      </w:r>
    </w:p>
    <w:tbl>
      <w:tblPr>
        <w:tblW w:w="84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9"/>
        <w:gridCol w:w="1193"/>
        <w:gridCol w:w="1200"/>
        <w:gridCol w:w="1922"/>
        <w:gridCol w:w="2293"/>
        <w:gridCol w:w="1069"/>
      </w:tblGrid>
      <w:tr w:rsidR="004549BF" w14:paraId="6452F1B4" w14:textId="77777777">
        <w:trPr>
          <w:trHeight w:val="288"/>
          <w:jc w:val="center"/>
        </w:trPr>
        <w:tc>
          <w:tcPr>
            <w:tcW w:w="769" w:type="dxa"/>
            <w:shd w:val="clear" w:color="auto" w:fill="auto"/>
            <w:vAlign w:val="center"/>
          </w:tcPr>
          <w:p w14:paraId="4E985D0F"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序号</w:t>
            </w:r>
          </w:p>
        </w:tc>
        <w:tc>
          <w:tcPr>
            <w:tcW w:w="1193" w:type="dxa"/>
            <w:shd w:val="clear" w:color="auto" w:fill="auto"/>
            <w:vAlign w:val="center"/>
          </w:tcPr>
          <w:p w14:paraId="4636D7B9"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一级指标</w:t>
            </w:r>
          </w:p>
        </w:tc>
        <w:tc>
          <w:tcPr>
            <w:tcW w:w="1200" w:type="dxa"/>
            <w:shd w:val="clear" w:color="auto" w:fill="auto"/>
            <w:vAlign w:val="center"/>
          </w:tcPr>
          <w:p w14:paraId="40FEB4CA"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二级指标</w:t>
            </w:r>
          </w:p>
        </w:tc>
        <w:tc>
          <w:tcPr>
            <w:tcW w:w="1922" w:type="dxa"/>
            <w:shd w:val="clear" w:color="auto" w:fill="auto"/>
            <w:vAlign w:val="center"/>
          </w:tcPr>
          <w:p w14:paraId="066A8865"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三级指标</w:t>
            </w:r>
          </w:p>
        </w:tc>
        <w:tc>
          <w:tcPr>
            <w:tcW w:w="2293" w:type="dxa"/>
          </w:tcPr>
          <w:p w14:paraId="3FFF4A75"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四级指标</w:t>
            </w:r>
          </w:p>
        </w:tc>
        <w:tc>
          <w:tcPr>
            <w:tcW w:w="1069" w:type="dxa"/>
            <w:shd w:val="clear" w:color="auto" w:fill="auto"/>
            <w:vAlign w:val="center"/>
          </w:tcPr>
          <w:p w14:paraId="3FD83415" w14:textId="77777777" w:rsidR="004549BF" w:rsidRDefault="00BD04FA">
            <w:pPr>
              <w:pStyle w:val="B-"/>
              <w:widowControl w:val="0"/>
              <w:spacing w:line="360" w:lineRule="auto"/>
              <w:jc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指标值</w:t>
            </w:r>
          </w:p>
        </w:tc>
      </w:tr>
      <w:tr w:rsidR="004549BF" w14:paraId="529135B7" w14:textId="77777777">
        <w:trPr>
          <w:trHeight w:val="288"/>
          <w:jc w:val="center"/>
        </w:trPr>
        <w:tc>
          <w:tcPr>
            <w:tcW w:w="769" w:type="dxa"/>
            <w:shd w:val="clear" w:color="auto" w:fill="auto"/>
            <w:vAlign w:val="center"/>
          </w:tcPr>
          <w:p w14:paraId="5D0F6BB1" w14:textId="77777777" w:rsidR="004549BF" w:rsidRDefault="00BD04FA">
            <w:pPr>
              <w:pStyle w:val="B-"/>
              <w:widowControl w:val="0"/>
              <w:spacing w:line="360" w:lineRule="auto"/>
              <w:jc w:val="center"/>
              <w:rPr>
                <w:rFonts w:eastAsia="等线" w:cs="Times New Roman"/>
              </w:rPr>
            </w:pPr>
            <w:r>
              <w:rPr>
                <w:rFonts w:eastAsia="等线" w:cs="Times New Roman"/>
              </w:rPr>
              <w:t>1</w:t>
            </w:r>
          </w:p>
        </w:tc>
        <w:tc>
          <w:tcPr>
            <w:tcW w:w="1193" w:type="dxa"/>
            <w:shd w:val="clear" w:color="auto" w:fill="auto"/>
            <w:vAlign w:val="center"/>
          </w:tcPr>
          <w:p w14:paraId="33A35552"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200" w:type="dxa"/>
            <w:shd w:val="clear" w:color="auto" w:fill="auto"/>
            <w:vAlign w:val="center"/>
          </w:tcPr>
          <w:p w14:paraId="1C0CF37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22" w:type="dxa"/>
            <w:shd w:val="clear" w:color="auto" w:fill="auto"/>
            <w:vAlign w:val="center"/>
          </w:tcPr>
          <w:p w14:paraId="37E523C7"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产出质量</w:t>
            </w:r>
          </w:p>
        </w:tc>
        <w:tc>
          <w:tcPr>
            <w:tcW w:w="2293" w:type="dxa"/>
          </w:tcPr>
          <w:p w14:paraId="6C9A5352"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一次性验收合格率</w:t>
            </w:r>
          </w:p>
        </w:tc>
        <w:tc>
          <w:tcPr>
            <w:tcW w:w="1069" w:type="dxa"/>
            <w:shd w:val="clear" w:color="auto" w:fill="auto"/>
            <w:vAlign w:val="center"/>
          </w:tcPr>
          <w:p w14:paraId="777B5C4F" w14:textId="77777777" w:rsidR="004549BF" w:rsidRDefault="00BD04FA">
            <w:pPr>
              <w:pStyle w:val="B-"/>
              <w:widowControl w:val="0"/>
              <w:spacing w:line="360" w:lineRule="auto"/>
              <w:jc w:val="center"/>
            </w:pPr>
            <w:r>
              <w:rPr>
                <w:rFonts w:hint="eastAsia"/>
              </w:rPr>
              <w:t>100%</w:t>
            </w:r>
          </w:p>
        </w:tc>
      </w:tr>
      <w:tr w:rsidR="004549BF" w14:paraId="464DD10B" w14:textId="77777777">
        <w:trPr>
          <w:trHeight w:val="288"/>
          <w:jc w:val="center"/>
        </w:trPr>
        <w:tc>
          <w:tcPr>
            <w:tcW w:w="769" w:type="dxa"/>
            <w:shd w:val="clear" w:color="auto" w:fill="auto"/>
            <w:vAlign w:val="center"/>
          </w:tcPr>
          <w:p w14:paraId="27C6806E" w14:textId="77777777" w:rsidR="004549BF" w:rsidRDefault="00BD04FA">
            <w:pPr>
              <w:pStyle w:val="B-"/>
              <w:widowControl w:val="0"/>
              <w:spacing w:line="360" w:lineRule="auto"/>
              <w:jc w:val="center"/>
              <w:rPr>
                <w:rFonts w:eastAsia="等线" w:cs="Times New Roman"/>
              </w:rPr>
            </w:pPr>
            <w:r>
              <w:rPr>
                <w:rFonts w:eastAsia="等线" w:cs="Times New Roman" w:hint="eastAsia"/>
              </w:rPr>
              <w:t>2</w:t>
            </w:r>
          </w:p>
        </w:tc>
        <w:tc>
          <w:tcPr>
            <w:tcW w:w="1193" w:type="dxa"/>
            <w:shd w:val="clear" w:color="auto" w:fill="auto"/>
            <w:vAlign w:val="center"/>
          </w:tcPr>
          <w:p w14:paraId="0539B25D"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200" w:type="dxa"/>
            <w:shd w:val="clear" w:color="auto" w:fill="auto"/>
            <w:vAlign w:val="center"/>
          </w:tcPr>
          <w:p w14:paraId="117C4852"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22" w:type="dxa"/>
            <w:shd w:val="clear" w:color="auto" w:fill="auto"/>
            <w:vAlign w:val="center"/>
          </w:tcPr>
          <w:p w14:paraId="67EF1D8C"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产出质量</w:t>
            </w:r>
          </w:p>
        </w:tc>
        <w:tc>
          <w:tcPr>
            <w:tcW w:w="2293" w:type="dxa"/>
          </w:tcPr>
          <w:p w14:paraId="5B4D60B2"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系统可靠性 </w:t>
            </w:r>
          </w:p>
        </w:tc>
        <w:tc>
          <w:tcPr>
            <w:tcW w:w="1069" w:type="dxa"/>
            <w:shd w:val="clear" w:color="auto" w:fill="auto"/>
            <w:vAlign w:val="center"/>
          </w:tcPr>
          <w:p w14:paraId="42836887" w14:textId="77777777" w:rsidR="004549BF" w:rsidRDefault="00BD04FA">
            <w:pPr>
              <w:pStyle w:val="B-"/>
              <w:widowControl w:val="0"/>
              <w:spacing w:line="360" w:lineRule="auto"/>
              <w:jc w:val="center"/>
              <w:rPr>
                <w:rFonts w:eastAsia="等线" w:cs="Times New Roman"/>
              </w:rPr>
            </w:pPr>
            <w:r>
              <w:rPr>
                <w:rFonts w:eastAsia="等线" w:cs="Times New Roman" w:hint="eastAsia"/>
              </w:rPr>
              <w:t>99%</w:t>
            </w:r>
          </w:p>
        </w:tc>
      </w:tr>
      <w:tr w:rsidR="004549BF" w14:paraId="74D0502B" w14:textId="77777777">
        <w:trPr>
          <w:trHeight w:val="288"/>
          <w:jc w:val="center"/>
        </w:trPr>
        <w:tc>
          <w:tcPr>
            <w:tcW w:w="769" w:type="dxa"/>
            <w:shd w:val="clear" w:color="auto" w:fill="auto"/>
            <w:vAlign w:val="center"/>
          </w:tcPr>
          <w:p w14:paraId="32597035" w14:textId="77777777" w:rsidR="004549BF" w:rsidRDefault="00BD04FA">
            <w:pPr>
              <w:pStyle w:val="B-"/>
              <w:widowControl w:val="0"/>
              <w:spacing w:line="360" w:lineRule="auto"/>
              <w:jc w:val="center"/>
              <w:rPr>
                <w:rFonts w:eastAsia="等线" w:cs="Times New Roman"/>
              </w:rPr>
            </w:pPr>
            <w:r>
              <w:rPr>
                <w:rFonts w:eastAsia="等线" w:cs="Times New Roman" w:hint="eastAsia"/>
              </w:rPr>
              <w:t>3</w:t>
            </w:r>
          </w:p>
        </w:tc>
        <w:tc>
          <w:tcPr>
            <w:tcW w:w="1193" w:type="dxa"/>
            <w:shd w:val="clear" w:color="auto" w:fill="auto"/>
            <w:vAlign w:val="center"/>
          </w:tcPr>
          <w:p w14:paraId="2C32799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200" w:type="dxa"/>
            <w:shd w:val="clear" w:color="auto" w:fill="auto"/>
            <w:vAlign w:val="center"/>
          </w:tcPr>
          <w:p w14:paraId="276F9BFB"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22" w:type="dxa"/>
            <w:shd w:val="clear" w:color="auto" w:fill="auto"/>
            <w:vAlign w:val="center"/>
          </w:tcPr>
          <w:p w14:paraId="7FBFA4E7"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产出质量</w:t>
            </w:r>
          </w:p>
        </w:tc>
        <w:tc>
          <w:tcPr>
            <w:tcW w:w="2293" w:type="dxa"/>
          </w:tcPr>
          <w:p w14:paraId="76261F03"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软件测试达标 </w:t>
            </w:r>
          </w:p>
        </w:tc>
        <w:tc>
          <w:tcPr>
            <w:tcW w:w="1069" w:type="dxa"/>
            <w:shd w:val="clear" w:color="auto" w:fill="auto"/>
            <w:vAlign w:val="center"/>
          </w:tcPr>
          <w:p w14:paraId="2F80A1EA" w14:textId="77777777" w:rsidR="004549BF" w:rsidRDefault="00BD04FA">
            <w:pPr>
              <w:pStyle w:val="B-"/>
              <w:widowControl w:val="0"/>
              <w:spacing w:line="360" w:lineRule="auto"/>
              <w:jc w:val="center"/>
            </w:pPr>
            <w:r>
              <w:rPr>
                <w:rFonts w:hint="eastAsia"/>
              </w:rPr>
              <w:t>达标</w:t>
            </w:r>
          </w:p>
        </w:tc>
      </w:tr>
      <w:tr w:rsidR="004549BF" w14:paraId="1B198F20" w14:textId="77777777">
        <w:trPr>
          <w:trHeight w:val="288"/>
          <w:jc w:val="center"/>
        </w:trPr>
        <w:tc>
          <w:tcPr>
            <w:tcW w:w="769" w:type="dxa"/>
            <w:shd w:val="clear" w:color="auto" w:fill="auto"/>
            <w:vAlign w:val="center"/>
          </w:tcPr>
          <w:p w14:paraId="76A06A5E" w14:textId="77777777" w:rsidR="004549BF" w:rsidRDefault="00BD04FA">
            <w:pPr>
              <w:pStyle w:val="B-"/>
              <w:widowControl w:val="0"/>
              <w:spacing w:line="360" w:lineRule="auto"/>
              <w:jc w:val="center"/>
              <w:rPr>
                <w:rFonts w:eastAsia="等线" w:cs="Times New Roman"/>
              </w:rPr>
            </w:pPr>
            <w:r>
              <w:rPr>
                <w:rFonts w:eastAsia="等线" w:cs="Times New Roman" w:hint="eastAsia"/>
              </w:rPr>
              <w:t>4</w:t>
            </w:r>
          </w:p>
        </w:tc>
        <w:tc>
          <w:tcPr>
            <w:tcW w:w="1193" w:type="dxa"/>
            <w:shd w:val="clear" w:color="auto" w:fill="auto"/>
            <w:vAlign w:val="center"/>
          </w:tcPr>
          <w:p w14:paraId="031D95F5"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200" w:type="dxa"/>
            <w:shd w:val="clear" w:color="auto" w:fill="auto"/>
            <w:vAlign w:val="center"/>
          </w:tcPr>
          <w:p w14:paraId="210E8A95"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22" w:type="dxa"/>
            <w:shd w:val="clear" w:color="auto" w:fill="auto"/>
            <w:vAlign w:val="center"/>
          </w:tcPr>
          <w:p w14:paraId="45E740E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产出质量</w:t>
            </w:r>
          </w:p>
        </w:tc>
        <w:tc>
          <w:tcPr>
            <w:tcW w:w="2293" w:type="dxa"/>
          </w:tcPr>
          <w:p w14:paraId="53B1FFC3"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密码测试达标 </w:t>
            </w:r>
          </w:p>
        </w:tc>
        <w:tc>
          <w:tcPr>
            <w:tcW w:w="1069" w:type="dxa"/>
            <w:shd w:val="clear" w:color="auto" w:fill="auto"/>
            <w:vAlign w:val="center"/>
          </w:tcPr>
          <w:p w14:paraId="6EADC2DD" w14:textId="77777777" w:rsidR="004549BF" w:rsidRDefault="00BD04FA">
            <w:pPr>
              <w:pStyle w:val="B-"/>
              <w:widowControl w:val="0"/>
              <w:spacing w:line="360" w:lineRule="auto"/>
              <w:jc w:val="center"/>
            </w:pPr>
            <w:r>
              <w:rPr>
                <w:rFonts w:hint="eastAsia"/>
              </w:rPr>
              <w:t>达标</w:t>
            </w:r>
          </w:p>
        </w:tc>
      </w:tr>
      <w:tr w:rsidR="004549BF" w14:paraId="0C1A5396" w14:textId="77777777">
        <w:trPr>
          <w:trHeight w:val="288"/>
          <w:jc w:val="center"/>
        </w:trPr>
        <w:tc>
          <w:tcPr>
            <w:tcW w:w="769" w:type="dxa"/>
            <w:shd w:val="clear" w:color="auto" w:fill="auto"/>
            <w:vAlign w:val="center"/>
          </w:tcPr>
          <w:p w14:paraId="3E947566" w14:textId="77777777" w:rsidR="004549BF" w:rsidRDefault="00BD04FA">
            <w:pPr>
              <w:pStyle w:val="B-"/>
              <w:widowControl w:val="0"/>
              <w:spacing w:line="360" w:lineRule="auto"/>
              <w:jc w:val="center"/>
              <w:rPr>
                <w:rFonts w:eastAsia="等线" w:cs="Times New Roman"/>
              </w:rPr>
            </w:pPr>
            <w:r>
              <w:rPr>
                <w:rFonts w:eastAsia="等线" w:cs="Times New Roman" w:hint="eastAsia"/>
              </w:rPr>
              <w:t>5</w:t>
            </w:r>
          </w:p>
        </w:tc>
        <w:tc>
          <w:tcPr>
            <w:tcW w:w="1193" w:type="dxa"/>
            <w:shd w:val="clear" w:color="auto" w:fill="auto"/>
            <w:vAlign w:val="center"/>
          </w:tcPr>
          <w:p w14:paraId="60689B6D"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200" w:type="dxa"/>
            <w:shd w:val="clear" w:color="auto" w:fill="auto"/>
            <w:vAlign w:val="center"/>
          </w:tcPr>
          <w:p w14:paraId="281F887B"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22" w:type="dxa"/>
            <w:shd w:val="clear" w:color="auto" w:fill="auto"/>
            <w:vAlign w:val="center"/>
          </w:tcPr>
          <w:p w14:paraId="5CC38F07"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产出质量</w:t>
            </w:r>
          </w:p>
        </w:tc>
        <w:tc>
          <w:tcPr>
            <w:tcW w:w="2293" w:type="dxa"/>
          </w:tcPr>
          <w:p w14:paraId="5552F02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网络安全等级达标</w:t>
            </w:r>
          </w:p>
        </w:tc>
        <w:tc>
          <w:tcPr>
            <w:tcW w:w="1069" w:type="dxa"/>
            <w:shd w:val="clear" w:color="auto" w:fill="auto"/>
            <w:vAlign w:val="center"/>
          </w:tcPr>
          <w:p w14:paraId="69D42EF5" w14:textId="77777777" w:rsidR="004549BF" w:rsidRDefault="00BD04FA">
            <w:pPr>
              <w:pStyle w:val="B-"/>
              <w:widowControl w:val="0"/>
              <w:spacing w:line="360" w:lineRule="auto"/>
              <w:jc w:val="center"/>
            </w:pPr>
            <w:r>
              <w:rPr>
                <w:rFonts w:hint="eastAsia"/>
              </w:rPr>
              <w:t>等保三级</w:t>
            </w:r>
          </w:p>
        </w:tc>
      </w:tr>
      <w:tr w:rsidR="004549BF" w14:paraId="505D910E" w14:textId="77777777">
        <w:trPr>
          <w:trHeight w:val="288"/>
          <w:jc w:val="center"/>
        </w:trPr>
        <w:tc>
          <w:tcPr>
            <w:tcW w:w="769" w:type="dxa"/>
            <w:shd w:val="clear" w:color="auto" w:fill="auto"/>
            <w:vAlign w:val="center"/>
          </w:tcPr>
          <w:p w14:paraId="69054827" w14:textId="77777777" w:rsidR="004549BF" w:rsidRDefault="00BD04FA">
            <w:pPr>
              <w:pStyle w:val="B-"/>
              <w:widowControl w:val="0"/>
              <w:spacing w:line="360" w:lineRule="auto"/>
              <w:jc w:val="center"/>
              <w:rPr>
                <w:rFonts w:eastAsia="等线" w:cs="Times New Roman"/>
              </w:rPr>
            </w:pPr>
            <w:r>
              <w:rPr>
                <w:rFonts w:eastAsia="等线" w:cs="Times New Roman" w:hint="eastAsia"/>
              </w:rPr>
              <w:t>6</w:t>
            </w:r>
          </w:p>
        </w:tc>
        <w:tc>
          <w:tcPr>
            <w:tcW w:w="1193" w:type="dxa"/>
            <w:shd w:val="clear" w:color="auto" w:fill="auto"/>
            <w:vAlign w:val="center"/>
          </w:tcPr>
          <w:p w14:paraId="0AADF5E2"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200" w:type="dxa"/>
            <w:shd w:val="clear" w:color="auto" w:fill="auto"/>
            <w:vAlign w:val="center"/>
          </w:tcPr>
          <w:p w14:paraId="4EBEA04A"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产出指标 </w:t>
            </w:r>
          </w:p>
        </w:tc>
        <w:tc>
          <w:tcPr>
            <w:tcW w:w="1922" w:type="dxa"/>
            <w:shd w:val="clear" w:color="auto" w:fill="auto"/>
            <w:vAlign w:val="center"/>
          </w:tcPr>
          <w:p w14:paraId="021811C6"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产出质量</w:t>
            </w:r>
          </w:p>
        </w:tc>
        <w:tc>
          <w:tcPr>
            <w:tcW w:w="2293" w:type="dxa"/>
          </w:tcPr>
          <w:p w14:paraId="706E9911"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安全测试达标</w:t>
            </w:r>
          </w:p>
        </w:tc>
        <w:tc>
          <w:tcPr>
            <w:tcW w:w="1069" w:type="dxa"/>
            <w:shd w:val="clear" w:color="auto" w:fill="auto"/>
            <w:vAlign w:val="center"/>
          </w:tcPr>
          <w:p w14:paraId="5DF30D99" w14:textId="77777777" w:rsidR="004549BF" w:rsidRDefault="00BD04FA">
            <w:pPr>
              <w:pStyle w:val="B-"/>
              <w:widowControl w:val="0"/>
              <w:spacing w:line="360" w:lineRule="auto"/>
              <w:jc w:val="center"/>
            </w:pPr>
            <w:r>
              <w:rPr>
                <w:rFonts w:hint="eastAsia"/>
              </w:rPr>
              <w:t>达标</w:t>
            </w:r>
          </w:p>
        </w:tc>
      </w:tr>
      <w:tr w:rsidR="004549BF" w14:paraId="65D4FF44" w14:textId="77777777">
        <w:trPr>
          <w:trHeight w:val="288"/>
          <w:jc w:val="center"/>
        </w:trPr>
        <w:tc>
          <w:tcPr>
            <w:tcW w:w="769" w:type="dxa"/>
            <w:shd w:val="clear" w:color="auto" w:fill="auto"/>
            <w:vAlign w:val="center"/>
          </w:tcPr>
          <w:p w14:paraId="3092A432" w14:textId="77777777" w:rsidR="004549BF" w:rsidRDefault="00BD04FA">
            <w:pPr>
              <w:pStyle w:val="B-"/>
              <w:widowControl w:val="0"/>
              <w:spacing w:line="360" w:lineRule="auto"/>
              <w:jc w:val="center"/>
              <w:rPr>
                <w:rFonts w:eastAsia="等线" w:cs="Times New Roman"/>
              </w:rPr>
            </w:pPr>
            <w:r>
              <w:rPr>
                <w:rFonts w:eastAsia="等线" w:cs="Times New Roman" w:hint="eastAsia"/>
              </w:rPr>
              <w:t>7</w:t>
            </w:r>
          </w:p>
        </w:tc>
        <w:tc>
          <w:tcPr>
            <w:tcW w:w="1193" w:type="dxa"/>
            <w:shd w:val="clear" w:color="auto" w:fill="auto"/>
            <w:vAlign w:val="center"/>
          </w:tcPr>
          <w:p w14:paraId="04B1F167"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200" w:type="dxa"/>
            <w:shd w:val="clear" w:color="auto" w:fill="auto"/>
            <w:vAlign w:val="center"/>
          </w:tcPr>
          <w:p w14:paraId="3986AAB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支撑系统/数据库/中间件</w:t>
            </w:r>
          </w:p>
        </w:tc>
        <w:tc>
          <w:tcPr>
            <w:tcW w:w="1922" w:type="dxa"/>
            <w:shd w:val="clear" w:color="auto" w:fill="auto"/>
            <w:vAlign w:val="center"/>
          </w:tcPr>
          <w:p w14:paraId="7E505EC9"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操作系统或数据库或中间件水平</w:t>
            </w:r>
          </w:p>
        </w:tc>
        <w:tc>
          <w:tcPr>
            <w:tcW w:w="2293" w:type="dxa"/>
            <w:vAlign w:val="center"/>
          </w:tcPr>
          <w:p w14:paraId="6C512E37"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系统、数据库或中间件数量</w:t>
            </w:r>
          </w:p>
        </w:tc>
        <w:tc>
          <w:tcPr>
            <w:tcW w:w="1069" w:type="dxa"/>
            <w:shd w:val="clear" w:color="auto" w:fill="auto"/>
            <w:vAlign w:val="center"/>
          </w:tcPr>
          <w:p w14:paraId="0166F516" w14:textId="77777777" w:rsidR="004549BF" w:rsidRDefault="00BD04FA">
            <w:pPr>
              <w:pStyle w:val="B-"/>
              <w:widowControl w:val="0"/>
              <w:spacing w:line="360" w:lineRule="auto"/>
              <w:jc w:val="center"/>
            </w:pPr>
            <w:r>
              <w:rPr>
                <w:rFonts w:hint="eastAsia"/>
              </w:rPr>
              <w:t>20</w:t>
            </w:r>
          </w:p>
        </w:tc>
      </w:tr>
      <w:tr w:rsidR="004549BF" w14:paraId="77B44D08" w14:textId="77777777">
        <w:trPr>
          <w:trHeight w:val="288"/>
          <w:jc w:val="center"/>
        </w:trPr>
        <w:tc>
          <w:tcPr>
            <w:tcW w:w="769" w:type="dxa"/>
            <w:shd w:val="clear" w:color="auto" w:fill="auto"/>
            <w:vAlign w:val="center"/>
          </w:tcPr>
          <w:p w14:paraId="3751CF56" w14:textId="77777777" w:rsidR="004549BF" w:rsidRDefault="00BD04FA">
            <w:pPr>
              <w:pStyle w:val="B-"/>
              <w:widowControl w:val="0"/>
              <w:spacing w:line="360" w:lineRule="auto"/>
              <w:jc w:val="center"/>
              <w:rPr>
                <w:rFonts w:eastAsia="等线" w:cs="Times New Roman"/>
              </w:rPr>
            </w:pPr>
            <w:r>
              <w:rPr>
                <w:rFonts w:eastAsia="等线" w:cs="Times New Roman" w:hint="eastAsia"/>
              </w:rPr>
              <w:t>8</w:t>
            </w:r>
          </w:p>
        </w:tc>
        <w:tc>
          <w:tcPr>
            <w:tcW w:w="1193" w:type="dxa"/>
            <w:shd w:val="clear" w:color="auto" w:fill="auto"/>
            <w:vAlign w:val="center"/>
          </w:tcPr>
          <w:p w14:paraId="588BF04E"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 xml:space="preserve">通用指标 </w:t>
            </w:r>
          </w:p>
        </w:tc>
        <w:tc>
          <w:tcPr>
            <w:tcW w:w="1200" w:type="dxa"/>
            <w:shd w:val="clear" w:color="auto" w:fill="auto"/>
            <w:vAlign w:val="center"/>
          </w:tcPr>
          <w:p w14:paraId="0B8EC6EB"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支撑系统/数据库/中间件</w:t>
            </w:r>
          </w:p>
        </w:tc>
        <w:tc>
          <w:tcPr>
            <w:tcW w:w="1922" w:type="dxa"/>
            <w:shd w:val="clear" w:color="auto" w:fill="auto"/>
            <w:vAlign w:val="center"/>
          </w:tcPr>
          <w:p w14:paraId="7F71CC08"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操作系统或数据库或中间件水平</w:t>
            </w:r>
          </w:p>
        </w:tc>
        <w:tc>
          <w:tcPr>
            <w:tcW w:w="2293" w:type="dxa"/>
            <w:vAlign w:val="center"/>
          </w:tcPr>
          <w:p w14:paraId="4BAD449E" w14:textId="77777777" w:rsidR="004549BF" w:rsidRDefault="00BD04FA">
            <w:pPr>
              <w:widowControl/>
              <w:ind w:firstLineChars="0" w:firstLine="0"/>
              <w:jc w:val="left"/>
              <w:rPr>
                <w:rFonts w:ascii="仿宋_GB2312" w:eastAsia="仿宋_GB2312" w:cs="仿宋_GB2312"/>
                <w:color w:val="000000"/>
                <w:kern w:val="0"/>
                <w:lang w:bidi="ar"/>
              </w:rPr>
            </w:pPr>
            <w:r>
              <w:rPr>
                <w:rFonts w:ascii="仿宋_GB2312" w:eastAsia="仿宋_GB2312" w:cs="仿宋_GB2312" w:hint="eastAsia"/>
                <w:color w:val="000000"/>
                <w:kern w:val="0"/>
                <w:lang w:bidi="ar"/>
              </w:rPr>
              <w:t>系统、数据库或中间件月调用频率</w:t>
            </w:r>
          </w:p>
        </w:tc>
        <w:tc>
          <w:tcPr>
            <w:tcW w:w="1069" w:type="dxa"/>
            <w:shd w:val="clear" w:color="auto" w:fill="auto"/>
            <w:vAlign w:val="center"/>
          </w:tcPr>
          <w:p w14:paraId="512E4906" w14:textId="77777777" w:rsidR="004549BF" w:rsidRDefault="00BD04FA">
            <w:pPr>
              <w:pStyle w:val="B-"/>
              <w:widowControl w:val="0"/>
              <w:spacing w:line="360" w:lineRule="auto"/>
              <w:jc w:val="center"/>
            </w:pPr>
            <w:r>
              <w:rPr>
                <w:rFonts w:hint="eastAsia"/>
              </w:rPr>
              <w:t>10000</w:t>
            </w:r>
          </w:p>
        </w:tc>
      </w:tr>
    </w:tbl>
    <w:p w14:paraId="5AFC34A6" w14:textId="77777777" w:rsidR="004549BF" w:rsidRDefault="004549BF">
      <w:pPr>
        <w:pStyle w:val="afff1"/>
        <w:ind w:firstLineChars="0" w:firstLine="0"/>
        <w:rPr>
          <w:rFonts w:ascii="宋体" w:eastAsia="宋体" w:hAnsi="宋体"/>
          <w:sz w:val="24"/>
          <w:szCs w:val="24"/>
        </w:rPr>
      </w:pPr>
    </w:p>
    <w:p w14:paraId="187CB12E" w14:textId="77777777" w:rsidR="004549BF" w:rsidRDefault="00BD04FA">
      <w:pPr>
        <w:pStyle w:val="1"/>
      </w:pPr>
      <w:bookmarkStart w:id="11" w:name="_Toc47532923"/>
      <w:bookmarkStart w:id="12" w:name="_Toc47536676"/>
      <w:bookmarkStart w:id="13" w:name="_Toc47533288"/>
      <w:bookmarkStart w:id="14" w:name="_Toc47539102"/>
      <w:bookmarkStart w:id="15" w:name="_Toc47536304"/>
      <w:bookmarkStart w:id="16" w:name="_Toc47537166"/>
      <w:bookmarkEnd w:id="11"/>
      <w:bookmarkEnd w:id="12"/>
      <w:bookmarkEnd w:id="13"/>
      <w:bookmarkEnd w:id="14"/>
      <w:bookmarkEnd w:id="15"/>
      <w:bookmarkEnd w:id="16"/>
      <w:r>
        <w:rPr>
          <w:rFonts w:hint="eastAsia"/>
        </w:rPr>
        <w:t>项目建设内容</w:t>
      </w:r>
    </w:p>
    <w:p w14:paraId="02A5E245" w14:textId="77777777" w:rsidR="004549BF" w:rsidRDefault="00BD04FA">
      <w:pPr>
        <w:pStyle w:val="2"/>
        <w:ind w:left="480"/>
      </w:pPr>
      <w:r>
        <w:rPr>
          <w:rFonts w:hint="eastAsia"/>
        </w:rPr>
        <w:t>上市企业专题库</w:t>
      </w:r>
    </w:p>
    <w:p w14:paraId="30E61927" w14:textId="77777777" w:rsidR="004549BF" w:rsidRDefault="00BD04FA">
      <w:pPr>
        <w:widowControl/>
        <w:snapToGrid w:val="0"/>
        <w:jc w:val="left"/>
      </w:pPr>
      <w:r>
        <w:rPr>
          <w:rFonts w:hint="eastAsia"/>
        </w:rPr>
        <w:t>(1)全面采集境内外上市企业专题库（包括港交所、纳斯达克、纽交所、新交所）、三板、四板、上市B股各上市板块企业备案、完成备案、辅导备案、企业挂牌、企业退市等业务数据。</w:t>
      </w:r>
    </w:p>
    <w:p w14:paraId="065FCDD5" w14:textId="77777777" w:rsidR="004549BF" w:rsidRDefault="00BD04FA">
      <w:pPr>
        <w:widowControl/>
        <w:snapToGrid w:val="0"/>
        <w:jc w:val="left"/>
      </w:pPr>
      <w:r>
        <w:rPr>
          <w:rFonts w:hint="eastAsia"/>
        </w:rPr>
        <w:t>(2)根据多个委办局及外部数据来源，定制数据清洗规则，实现增量数据采集、多源数据融合，建设上市企业专题库。</w:t>
      </w:r>
    </w:p>
    <w:p w14:paraId="246814A2" w14:textId="77777777" w:rsidR="004549BF" w:rsidRDefault="00BD04FA">
      <w:pPr>
        <w:widowControl/>
        <w:snapToGrid w:val="0"/>
        <w:jc w:val="left"/>
      </w:pPr>
      <w:r>
        <w:rPr>
          <w:rFonts w:hint="eastAsia"/>
        </w:rPr>
        <w:lastRenderedPageBreak/>
        <w:t>(3)统筹建设市区两级上市服务部门工作平台，实现企业评价、月月报、辖区企业库管理、咨询培训、主题分析、统计报表。</w:t>
      </w:r>
    </w:p>
    <w:p w14:paraId="47EC63CB" w14:textId="77777777" w:rsidR="004549BF" w:rsidRDefault="00BD04FA">
      <w:pPr>
        <w:widowControl/>
        <w:snapToGrid w:val="0"/>
        <w:jc w:val="left"/>
      </w:pPr>
      <w:r>
        <w:rPr>
          <w:rFonts w:hint="eastAsia"/>
        </w:rPr>
        <w:t>(4)新建上市企业服务移动端，为市级领导、市委金融办业务处室、区级上市服务部门提供移动端业务管理、统计分析及报表资讯。</w:t>
      </w:r>
    </w:p>
    <w:p w14:paraId="52BD2D86" w14:textId="77777777" w:rsidR="004549BF" w:rsidRDefault="00BD04FA">
      <w:pPr>
        <w:widowControl/>
        <w:snapToGrid w:val="0"/>
        <w:jc w:val="left"/>
      </w:pPr>
      <w:r>
        <w:rPr>
          <w:rFonts w:hint="eastAsia"/>
        </w:rPr>
        <w:t>(5)新增各类主题分析，完善上市决策支持服务。</w:t>
      </w:r>
    </w:p>
    <w:p w14:paraId="3E885229" w14:textId="77777777" w:rsidR="004549BF" w:rsidRDefault="004549BF">
      <w:pPr>
        <w:widowControl/>
        <w:snapToGrid w:val="0"/>
        <w:spacing w:line="440" w:lineRule="exact"/>
        <w:jc w:val="left"/>
      </w:pPr>
    </w:p>
    <w:p w14:paraId="0EC4B8A1" w14:textId="77777777" w:rsidR="004549BF" w:rsidRDefault="00BD04FA">
      <w:pPr>
        <w:pStyle w:val="2"/>
        <w:ind w:left="480"/>
      </w:pPr>
      <w:r>
        <w:rPr>
          <w:rFonts w:hint="eastAsia"/>
        </w:rPr>
        <w:t>金融人才实践基地</w:t>
      </w:r>
    </w:p>
    <w:p w14:paraId="2BEBA1C6" w14:textId="77777777" w:rsidR="004549BF" w:rsidRDefault="00BD04FA">
      <w:pPr>
        <w:widowControl/>
        <w:snapToGrid w:val="0"/>
        <w:jc w:val="left"/>
      </w:pPr>
      <w:r>
        <w:rPr>
          <w:rFonts w:hint="eastAsia"/>
        </w:rPr>
        <w:t>(1)实践基地及派出单位管理</w:t>
      </w:r>
    </w:p>
    <w:p w14:paraId="09AA05FF" w14:textId="77777777" w:rsidR="004549BF" w:rsidRDefault="00BD04FA">
      <w:pPr>
        <w:widowControl/>
        <w:snapToGrid w:val="0"/>
        <w:jc w:val="left"/>
      </w:pPr>
      <w:r>
        <w:rPr>
          <w:rFonts w:hint="eastAsia"/>
        </w:rPr>
        <w:t>(2)派遣岗位管理和维护</w:t>
      </w:r>
    </w:p>
    <w:p w14:paraId="5AB4ABAD" w14:textId="77777777" w:rsidR="004549BF" w:rsidRDefault="00BD04FA">
      <w:pPr>
        <w:widowControl/>
        <w:snapToGrid w:val="0"/>
        <w:jc w:val="left"/>
      </w:pPr>
      <w:r>
        <w:rPr>
          <w:rFonts w:hint="eastAsia"/>
        </w:rPr>
        <w:t>(3)派遣人才信息维护</w:t>
      </w:r>
    </w:p>
    <w:p w14:paraId="602AF3D9" w14:textId="77777777" w:rsidR="004549BF" w:rsidRDefault="00BD04FA">
      <w:pPr>
        <w:widowControl/>
        <w:snapToGrid w:val="0"/>
        <w:jc w:val="left"/>
      </w:pPr>
      <w:r>
        <w:rPr>
          <w:rFonts w:hint="eastAsia"/>
        </w:rPr>
        <w:t>(4)岗位搜索及人才智能匹配</w:t>
      </w:r>
    </w:p>
    <w:p w14:paraId="6AD9AA2A" w14:textId="77777777" w:rsidR="004549BF" w:rsidRDefault="00BD04FA">
      <w:pPr>
        <w:widowControl/>
        <w:snapToGrid w:val="0"/>
        <w:jc w:val="left"/>
      </w:pPr>
      <w:r>
        <w:rPr>
          <w:rFonts w:hint="eastAsia"/>
        </w:rPr>
        <w:t>(5)派遣发起、申请及审核流程管理</w:t>
      </w:r>
    </w:p>
    <w:p w14:paraId="3B620166" w14:textId="77777777" w:rsidR="004549BF" w:rsidRDefault="00BD04FA">
      <w:pPr>
        <w:widowControl/>
        <w:snapToGrid w:val="0"/>
        <w:jc w:val="left"/>
      </w:pPr>
      <w:r>
        <w:rPr>
          <w:rFonts w:hint="eastAsia"/>
        </w:rPr>
        <w:t>(6)岗位申请状态统计分析</w:t>
      </w:r>
    </w:p>
    <w:p w14:paraId="39DC6E83" w14:textId="77777777" w:rsidR="004549BF" w:rsidRDefault="00BD04FA">
      <w:pPr>
        <w:widowControl/>
        <w:snapToGrid w:val="0"/>
        <w:jc w:val="left"/>
      </w:pPr>
      <w:r>
        <w:rPr>
          <w:rFonts w:hint="eastAsia"/>
        </w:rPr>
        <w:t>(7)年度派遣人员信息归档</w:t>
      </w:r>
    </w:p>
    <w:p w14:paraId="588863DE" w14:textId="77777777" w:rsidR="004549BF" w:rsidRDefault="004549BF">
      <w:pPr>
        <w:widowControl/>
        <w:snapToGrid w:val="0"/>
        <w:spacing w:line="440" w:lineRule="exact"/>
        <w:jc w:val="left"/>
      </w:pPr>
    </w:p>
    <w:p w14:paraId="036C120B" w14:textId="77777777" w:rsidR="004549BF" w:rsidRDefault="00BD04FA">
      <w:pPr>
        <w:pStyle w:val="2"/>
        <w:ind w:left="480"/>
      </w:pPr>
      <w:r>
        <w:rPr>
          <w:rFonts w:hint="eastAsia"/>
        </w:rPr>
        <w:t>金融论坛管理</w:t>
      </w:r>
    </w:p>
    <w:p w14:paraId="63FCF407" w14:textId="77777777" w:rsidR="004549BF" w:rsidRDefault="00BD04FA">
      <w:pPr>
        <w:widowControl/>
        <w:snapToGrid w:val="0"/>
        <w:jc w:val="left"/>
      </w:pPr>
      <w:r>
        <w:rPr>
          <w:rFonts w:hint="eastAsia"/>
        </w:rPr>
        <w:t>(1)金融论坛活动模板管理，包括活动类型管理，报名表单定义、审核流程定义、表格名册输出等自定义功能。</w:t>
      </w:r>
    </w:p>
    <w:p w14:paraId="7A2AAE0B" w14:textId="77777777" w:rsidR="004549BF" w:rsidRDefault="00BD04FA">
      <w:pPr>
        <w:widowControl/>
        <w:snapToGrid w:val="0"/>
        <w:jc w:val="left"/>
      </w:pPr>
      <w:r>
        <w:rPr>
          <w:rFonts w:hint="eastAsia"/>
        </w:rPr>
        <w:t>(2)金融论坛报名全流程管理：筹划、任务管理及分工、发起报名、报名申请、报名预审、部门联审、证照制作、名册输出。</w:t>
      </w:r>
    </w:p>
    <w:p w14:paraId="5263E5B7" w14:textId="77777777" w:rsidR="004549BF" w:rsidRDefault="00BD04FA">
      <w:pPr>
        <w:widowControl/>
        <w:snapToGrid w:val="0"/>
        <w:jc w:val="left"/>
      </w:pPr>
      <w:r>
        <w:rPr>
          <w:rFonts w:hint="eastAsia"/>
        </w:rPr>
        <w:t>(3)报名、签到、任务管理支持移动端应用。</w:t>
      </w:r>
    </w:p>
    <w:p w14:paraId="5D7071EC" w14:textId="77777777" w:rsidR="004549BF" w:rsidRDefault="00BD04FA">
      <w:pPr>
        <w:widowControl/>
        <w:snapToGrid w:val="0"/>
        <w:jc w:val="left"/>
      </w:pPr>
      <w:r>
        <w:rPr>
          <w:rFonts w:hint="eastAsia"/>
        </w:rPr>
        <w:t>(4)论坛信息管理：信息上传、在线搜索、在线查阅、在线归档。</w:t>
      </w:r>
    </w:p>
    <w:p w14:paraId="3DCF5FC6" w14:textId="77777777" w:rsidR="004549BF" w:rsidRDefault="004549BF">
      <w:pPr>
        <w:widowControl/>
        <w:snapToGrid w:val="0"/>
        <w:spacing w:line="440" w:lineRule="exact"/>
        <w:jc w:val="left"/>
      </w:pPr>
    </w:p>
    <w:p w14:paraId="5799FE21" w14:textId="77777777" w:rsidR="004549BF" w:rsidRDefault="00BD04FA">
      <w:pPr>
        <w:pStyle w:val="2"/>
        <w:ind w:left="480"/>
      </w:pPr>
      <w:r>
        <w:rPr>
          <w:rFonts w:hint="eastAsia"/>
        </w:rPr>
        <w:t>金融发展扶持政策</w:t>
      </w:r>
    </w:p>
    <w:p w14:paraId="49B7119A" w14:textId="77777777" w:rsidR="004549BF" w:rsidRDefault="00BD04FA">
      <w:pPr>
        <w:widowControl/>
        <w:snapToGrid w:val="0"/>
        <w:jc w:val="left"/>
      </w:pPr>
      <w:r>
        <w:rPr>
          <w:rFonts w:hint="eastAsia"/>
        </w:rPr>
        <w:t>(1)按照2024年更新算法，重构金融人才奖申报数据，新增财报信息、监管信息、人员薪酬、人员数量、专利数量、行业成绩、计算规则，修改审核功能，更新扶持金额计算方法和可视化展示功能。</w:t>
      </w:r>
    </w:p>
    <w:p w14:paraId="0F2B2414" w14:textId="77777777" w:rsidR="004549BF" w:rsidRDefault="00BD04FA">
      <w:pPr>
        <w:widowControl/>
        <w:snapToGrid w:val="0"/>
        <w:jc w:val="left"/>
      </w:pPr>
      <w:r>
        <w:rPr>
          <w:rFonts w:hint="eastAsia"/>
        </w:rPr>
        <w:lastRenderedPageBreak/>
        <w:t>(2)金融机构扶持政策模块中的数据申报、审核、扶持金额计算等功能进行升级改造，确保政策执行的合规性和准确性。</w:t>
      </w:r>
    </w:p>
    <w:p w14:paraId="0513D2A9" w14:textId="77777777" w:rsidR="004549BF" w:rsidRDefault="00BD04FA">
      <w:pPr>
        <w:widowControl/>
        <w:snapToGrid w:val="0"/>
        <w:jc w:val="left"/>
      </w:pPr>
      <w:r>
        <w:rPr>
          <w:rFonts w:hint="eastAsia"/>
        </w:rPr>
        <w:t>(3)重构汇总统计和输出报表。</w:t>
      </w:r>
    </w:p>
    <w:p w14:paraId="64854421" w14:textId="77777777" w:rsidR="004549BF" w:rsidRDefault="00BD04FA">
      <w:pPr>
        <w:widowControl/>
        <w:snapToGrid w:val="0"/>
        <w:jc w:val="left"/>
      </w:pPr>
      <w:r>
        <w:rPr>
          <w:rFonts w:hint="eastAsia"/>
        </w:rPr>
        <w:t>(4)金融扶持政策数据归档。</w:t>
      </w:r>
    </w:p>
    <w:p w14:paraId="6793A2AB" w14:textId="77777777" w:rsidR="004549BF" w:rsidRDefault="00BD04FA">
      <w:pPr>
        <w:pStyle w:val="2"/>
        <w:ind w:left="480"/>
      </w:pPr>
      <w:r>
        <w:rPr>
          <w:rFonts w:hint="eastAsia"/>
        </w:rPr>
        <w:t>中小企业信贷风险补偿</w:t>
      </w:r>
    </w:p>
    <w:p w14:paraId="25D45D8E" w14:textId="77777777" w:rsidR="004549BF" w:rsidRDefault="00BD04FA">
      <w:pPr>
        <w:widowControl/>
        <w:snapToGrid w:val="0"/>
        <w:spacing w:line="440" w:lineRule="exact"/>
        <w:jc w:val="left"/>
      </w:pPr>
      <w:r>
        <w:rPr>
          <w:rFonts w:hint="eastAsia"/>
        </w:rPr>
        <w:t>(1)新建“前补偿”试点产品申报及审核流程。</w:t>
      </w:r>
    </w:p>
    <w:p w14:paraId="5F15C57C" w14:textId="77777777" w:rsidR="004549BF" w:rsidRDefault="00BD04FA">
      <w:pPr>
        <w:widowControl/>
        <w:snapToGrid w:val="0"/>
        <w:spacing w:line="440" w:lineRule="exact"/>
        <w:jc w:val="left"/>
      </w:pPr>
      <w:r>
        <w:rPr>
          <w:rFonts w:hint="eastAsia"/>
        </w:rPr>
        <w:t>(2)新建“前补偿”试点产品季度贷款数据报送、审核及前补偿功能。</w:t>
      </w:r>
    </w:p>
    <w:p w14:paraId="61460907" w14:textId="77777777" w:rsidR="004549BF" w:rsidRDefault="00BD04FA">
      <w:pPr>
        <w:widowControl/>
        <w:snapToGrid w:val="0"/>
        <w:spacing w:line="440" w:lineRule="exact"/>
        <w:jc w:val="left"/>
      </w:pPr>
      <w:r>
        <w:rPr>
          <w:rFonts w:hint="eastAsia"/>
        </w:rPr>
        <w:t>(3)新建“前补偿”试点产品年度净损失报送、审核及补偿核算退回功能。</w:t>
      </w:r>
    </w:p>
    <w:p w14:paraId="56D5295C" w14:textId="77777777" w:rsidR="004549BF" w:rsidRDefault="00BD04FA">
      <w:pPr>
        <w:widowControl/>
        <w:snapToGrid w:val="0"/>
        <w:spacing w:line="440" w:lineRule="exact"/>
        <w:jc w:val="left"/>
      </w:pPr>
      <w:r>
        <w:rPr>
          <w:rFonts w:hint="eastAsia"/>
        </w:rPr>
        <w:t>(4)新建“前补偿”数据归档和的统计分析功能。</w:t>
      </w:r>
    </w:p>
    <w:p w14:paraId="4AA083C4" w14:textId="77777777" w:rsidR="004549BF" w:rsidRDefault="00BD04FA">
      <w:pPr>
        <w:widowControl/>
        <w:snapToGrid w:val="0"/>
        <w:spacing w:line="440" w:lineRule="exact"/>
        <w:jc w:val="left"/>
      </w:pPr>
      <w:r>
        <w:rPr>
          <w:rFonts w:hint="eastAsia"/>
        </w:rPr>
        <w:t>(5)新增“观察员”角色，提供观察员信息查询和统计分析功能。</w:t>
      </w:r>
    </w:p>
    <w:p w14:paraId="0AEBCBC6" w14:textId="77777777" w:rsidR="004549BF" w:rsidRDefault="004549BF">
      <w:pPr>
        <w:widowControl/>
        <w:snapToGrid w:val="0"/>
        <w:jc w:val="left"/>
      </w:pPr>
    </w:p>
    <w:p w14:paraId="12F52F0B" w14:textId="77777777" w:rsidR="004549BF" w:rsidRDefault="00BD04FA">
      <w:pPr>
        <w:widowControl/>
        <w:snapToGrid w:val="0"/>
        <w:jc w:val="left"/>
      </w:pPr>
      <w:r>
        <w:rPr>
          <w:rFonts w:hint="eastAsia"/>
          <w:bCs/>
        </w:rPr>
        <w:t>具体功能建设需求清单：</w:t>
      </w:r>
    </w:p>
    <w:tbl>
      <w:tblPr>
        <w:tblpPr w:leftFromText="180" w:rightFromText="180" w:vertAnchor="text" w:horzAnchor="page" w:tblpX="1743" w:tblpY="478"/>
        <w:tblOverlap w:val="never"/>
        <w:tblW w:w="8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2364"/>
        <w:gridCol w:w="5605"/>
      </w:tblGrid>
      <w:tr w:rsidR="004549BF" w14:paraId="3A28BD86" w14:textId="77777777">
        <w:trPr>
          <w:trHeight w:val="283"/>
        </w:trPr>
        <w:tc>
          <w:tcPr>
            <w:tcW w:w="766" w:type="dxa"/>
            <w:tcBorders>
              <w:tl2br w:val="nil"/>
              <w:tr2bl w:val="nil"/>
            </w:tcBorders>
            <w:shd w:val="clear" w:color="auto" w:fill="auto"/>
            <w:vAlign w:val="center"/>
          </w:tcPr>
          <w:p w14:paraId="631A70BE" w14:textId="77777777" w:rsidR="004549BF" w:rsidRDefault="00BD04FA">
            <w:pPr>
              <w:widowControl/>
              <w:ind w:firstLineChars="0" w:firstLine="0"/>
              <w:jc w:val="center"/>
              <w:textAlignment w:val="center"/>
              <w:rPr>
                <w:rFonts w:cs="宋体"/>
                <w:b/>
                <w:bCs/>
                <w:color w:val="000000"/>
                <w:kern w:val="0"/>
                <w:lang w:bidi="ar"/>
              </w:rPr>
            </w:pPr>
            <w:r>
              <w:rPr>
                <w:rFonts w:cs="宋体" w:hint="eastAsia"/>
                <w:b/>
                <w:bCs/>
                <w:color w:val="000000"/>
                <w:kern w:val="0"/>
                <w:lang w:bidi="ar"/>
              </w:rPr>
              <w:t>编号</w:t>
            </w:r>
          </w:p>
        </w:tc>
        <w:tc>
          <w:tcPr>
            <w:tcW w:w="2364" w:type="dxa"/>
            <w:tcBorders>
              <w:tl2br w:val="nil"/>
              <w:tr2bl w:val="nil"/>
            </w:tcBorders>
            <w:shd w:val="clear" w:color="auto" w:fill="auto"/>
            <w:vAlign w:val="center"/>
          </w:tcPr>
          <w:p w14:paraId="08640843" w14:textId="77777777" w:rsidR="004549BF" w:rsidRDefault="00BD04FA">
            <w:pPr>
              <w:widowControl/>
              <w:ind w:firstLineChars="0" w:firstLine="0"/>
              <w:jc w:val="center"/>
              <w:textAlignment w:val="center"/>
              <w:rPr>
                <w:rFonts w:cs="宋体"/>
                <w:b/>
                <w:bCs/>
                <w:color w:val="000000"/>
                <w:kern w:val="0"/>
                <w:lang w:bidi="ar"/>
              </w:rPr>
            </w:pPr>
            <w:r>
              <w:rPr>
                <w:rFonts w:cs="宋体" w:hint="eastAsia"/>
                <w:b/>
                <w:bCs/>
                <w:color w:val="000000"/>
                <w:kern w:val="0"/>
                <w:lang w:bidi="ar"/>
              </w:rPr>
              <w:t>功能模块</w:t>
            </w:r>
          </w:p>
        </w:tc>
        <w:tc>
          <w:tcPr>
            <w:tcW w:w="5605" w:type="dxa"/>
            <w:tcBorders>
              <w:tl2br w:val="nil"/>
              <w:tr2bl w:val="nil"/>
            </w:tcBorders>
            <w:shd w:val="clear" w:color="auto" w:fill="auto"/>
            <w:vAlign w:val="center"/>
          </w:tcPr>
          <w:p w14:paraId="009DA0A6" w14:textId="77777777" w:rsidR="004549BF" w:rsidRDefault="00BD04FA">
            <w:pPr>
              <w:widowControl/>
              <w:ind w:firstLineChars="0" w:firstLine="0"/>
              <w:jc w:val="center"/>
              <w:textAlignment w:val="center"/>
              <w:rPr>
                <w:rFonts w:cs="宋体"/>
                <w:b/>
                <w:bCs/>
                <w:color w:val="000000"/>
                <w:kern w:val="0"/>
                <w:lang w:bidi="ar"/>
              </w:rPr>
            </w:pPr>
            <w:r>
              <w:rPr>
                <w:rFonts w:cs="宋体" w:hint="eastAsia"/>
                <w:b/>
                <w:bCs/>
                <w:color w:val="000000"/>
                <w:kern w:val="0"/>
                <w:lang w:bidi="ar"/>
              </w:rPr>
              <w:t>功能描述</w:t>
            </w:r>
          </w:p>
        </w:tc>
      </w:tr>
      <w:tr w:rsidR="004549BF" w14:paraId="5EA73438" w14:textId="77777777">
        <w:trPr>
          <w:trHeight w:val="283"/>
        </w:trPr>
        <w:tc>
          <w:tcPr>
            <w:tcW w:w="766" w:type="dxa"/>
            <w:tcBorders>
              <w:tl2br w:val="nil"/>
              <w:tr2bl w:val="nil"/>
            </w:tcBorders>
            <w:shd w:val="clear" w:color="auto" w:fill="auto"/>
            <w:vAlign w:val="center"/>
          </w:tcPr>
          <w:p w14:paraId="47FB808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w:t>
            </w:r>
          </w:p>
        </w:tc>
        <w:tc>
          <w:tcPr>
            <w:tcW w:w="2364" w:type="dxa"/>
            <w:tcBorders>
              <w:tl2br w:val="nil"/>
              <w:tr2bl w:val="nil"/>
            </w:tcBorders>
            <w:shd w:val="clear" w:color="auto" w:fill="auto"/>
            <w:vAlign w:val="center"/>
          </w:tcPr>
          <w:p w14:paraId="167E2E2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上市企业专题库-上市企业数据采集-境外上市企业数据采集</w:t>
            </w:r>
          </w:p>
        </w:tc>
        <w:tc>
          <w:tcPr>
            <w:tcW w:w="5605" w:type="dxa"/>
            <w:tcBorders>
              <w:tl2br w:val="nil"/>
              <w:tr2bl w:val="nil"/>
            </w:tcBorders>
            <w:shd w:val="clear" w:color="auto" w:fill="auto"/>
            <w:vAlign w:val="center"/>
          </w:tcPr>
          <w:p w14:paraId="01BD851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开发数据采集界面程序，提供模板下载、数据导入到ODS功能。交换方式：Excel导入。</w:t>
            </w:r>
          </w:p>
        </w:tc>
      </w:tr>
      <w:tr w:rsidR="004549BF" w14:paraId="3EE11AFD" w14:textId="77777777">
        <w:trPr>
          <w:trHeight w:val="283"/>
        </w:trPr>
        <w:tc>
          <w:tcPr>
            <w:tcW w:w="766" w:type="dxa"/>
            <w:tcBorders>
              <w:tl2br w:val="nil"/>
              <w:tr2bl w:val="nil"/>
            </w:tcBorders>
            <w:shd w:val="clear" w:color="auto" w:fill="auto"/>
            <w:vAlign w:val="center"/>
          </w:tcPr>
          <w:p w14:paraId="4F8B2E0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w:t>
            </w:r>
          </w:p>
        </w:tc>
        <w:tc>
          <w:tcPr>
            <w:tcW w:w="2364" w:type="dxa"/>
            <w:tcBorders>
              <w:tl2br w:val="nil"/>
              <w:tr2bl w:val="nil"/>
            </w:tcBorders>
            <w:shd w:val="clear" w:color="auto" w:fill="auto"/>
            <w:vAlign w:val="center"/>
          </w:tcPr>
          <w:p w14:paraId="2971795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上市企业专题库-上市企业数据采集-境外备案企业数据采集</w:t>
            </w:r>
          </w:p>
        </w:tc>
        <w:tc>
          <w:tcPr>
            <w:tcW w:w="5605" w:type="dxa"/>
            <w:tcBorders>
              <w:tl2br w:val="nil"/>
              <w:tr2bl w:val="nil"/>
            </w:tcBorders>
            <w:shd w:val="clear" w:color="auto" w:fill="auto"/>
            <w:vAlign w:val="center"/>
          </w:tcPr>
          <w:p w14:paraId="0147E9C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开发数据采集界面程序，提供模板下载、数据导入到ODS功能。交换方式：Excel导入。</w:t>
            </w:r>
          </w:p>
        </w:tc>
      </w:tr>
      <w:tr w:rsidR="004549BF" w14:paraId="440AEEE0" w14:textId="77777777">
        <w:trPr>
          <w:trHeight w:val="283"/>
        </w:trPr>
        <w:tc>
          <w:tcPr>
            <w:tcW w:w="766" w:type="dxa"/>
            <w:tcBorders>
              <w:tl2br w:val="nil"/>
              <w:tr2bl w:val="nil"/>
            </w:tcBorders>
            <w:shd w:val="clear" w:color="auto" w:fill="auto"/>
            <w:vAlign w:val="center"/>
          </w:tcPr>
          <w:p w14:paraId="5CD53A9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w:t>
            </w:r>
          </w:p>
        </w:tc>
        <w:tc>
          <w:tcPr>
            <w:tcW w:w="2364" w:type="dxa"/>
            <w:tcBorders>
              <w:tl2br w:val="nil"/>
              <w:tr2bl w:val="nil"/>
            </w:tcBorders>
            <w:shd w:val="clear" w:color="auto" w:fill="auto"/>
            <w:vAlign w:val="center"/>
          </w:tcPr>
          <w:p w14:paraId="7B36BB7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上市企业专题库-上市企业数据采集-北交所企业数据采集</w:t>
            </w:r>
          </w:p>
        </w:tc>
        <w:tc>
          <w:tcPr>
            <w:tcW w:w="5605" w:type="dxa"/>
            <w:tcBorders>
              <w:tl2br w:val="nil"/>
              <w:tr2bl w:val="nil"/>
            </w:tcBorders>
            <w:shd w:val="clear" w:color="auto" w:fill="auto"/>
            <w:vAlign w:val="center"/>
          </w:tcPr>
          <w:p w14:paraId="7DC32FB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开发数据采集界面程序，提供模板下载、数据导入到ODS功能。交换方式：服务程序接口对接。</w:t>
            </w:r>
          </w:p>
        </w:tc>
      </w:tr>
      <w:tr w:rsidR="004549BF" w14:paraId="0B587D2E" w14:textId="77777777">
        <w:trPr>
          <w:trHeight w:val="283"/>
        </w:trPr>
        <w:tc>
          <w:tcPr>
            <w:tcW w:w="766" w:type="dxa"/>
            <w:tcBorders>
              <w:tl2br w:val="nil"/>
              <w:tr2bl w:val="nil"/>
            </w:tcBorders>
            <w:shd w:val="clear" w:color="auto" w:fill="auto"/>
            <w:vAlign w:val="center"/>
          </w:tcPr>
          <w:p w14:paraId="727AEE6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w:t>
            </w:r>
          </w:p>
        </w:tc>
        <w:tc>
          <w:tcPr>
            <w:tcW w:w="2364" w:type="dxa"/>
            <w:tcBorders>
              <w:tl2br w:val="nil"/>
              <w:tr2bl w:val="nil"/>
            </w:tcBorders>
            <w:shd w:val="clear" w:color="auto" w:fill="auto"/>
            <w:vAlign w:val="center"/>
          </w:tcPr>
          <w:p w14:paraId="7118B5E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上市企业专题库-上市企业数据采集-三板企业数据采集</w:t>
            </w:r>
          </w:p>
        </w:tc>
        <w:tc>
          <w:tcPr>
            <w:tcW w:w="5605" w:type="dxa"/>
            <w:tcBorders>
              <w:tl2br w:val="nil"/>
              <w:tr2bl w:val="nil"/>
            </w:tcBorders>
            <w:shd w:val="clear" w:color="auto" w:fill="auto"/>
            <w:vAlign w:val="center"/>
          </w:tcPr>
          <w:p w14:paraId="5C06C8F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开发数据采集界面程序，提供模板下载、数据导入到ODS功能。交换方式：服务程序接口对接。</w:t>
            </w:r>
          </w:p>
        </w:tc>
      </w:tr>
      <w:tr w:rsidR="004549BF" w14:paraId="4638DF91" w14:textId="77777777">
        <w:trPr>
          <w:trHeight w:val="283"/>
        </w:trPr>
        <w:tc>
          <w:tcPr>
            <w:tcW w:w="766" w:type="dxa"/>
            <w:tcBorders>
              <w:tl2br w:val="nil"/>
              <w:tr2bl w:val="nil"/>
            </w:tcBorders>
            <w:shd w:val="clear" w:color="auto" w:fill="auto"/>
            <w:vAlign w:val="center"/>
          </w:tcPr>
          <w:p w14:paraId="5CC7123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5</w:t>
            </w:r>
          </w:p>
        </w:tc>
        <w:tc>
          <w:tcPr>
            <w:tcW w:w="2364" w:type="dxa"/>
            <w:tcBorders>
              <w:tl2br w:val="nil"/>
              <w:tr2bl w:val="nil"/>
            </w:tcBorders>
            <w:shd w:val="clear" w:color="auto" w:fill="auto"/>
            <w:vAlign w:val="center"/>
          </w:tcPr>
          <w:p w14:paraId="5C11E2C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上市企业专题库-上市企业数据采集-专精特新板数据采集</w:t>
            </w:r>
          </w:p>
        </w:tc>
        <w:tc>
          <w:tcPr>
            <w:tcW w:w="5605" w:type="dxa"/>
            <w:tcBorders>
              <w:tl2br w:val="nil"/>
              <w:tr2bl w:val="nil"/>
            </w:tcBorders>
            <w:shd w:val="clear" w:color="auto" w:fill="auto"/>
            <w:vAlign w:val="center"/>
          </w:tcPr>
          <w:p w14:paraId="3534D0B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开发数据采集界面程序，提供模板下载、数据导入到ODS功能。交换方式：服务程序接口对接。</w:t>
            </w:r>
          </w:p>
        </w:tc>
      </w:tr>
      <w:tr w:rsidR="004549BF" w14:paraId="36876BE4" w14:textId="77777777">
        <w:trPr>
          <w:trHeight w:val="283"/>
        </w:trPr>
        <w:tc>
          <w:tcPr>
            <w:tcW w:w="766" w:type="dxa"/>
            <w:tcBorders>
              <w:tl2br w:val="nil"/>
              <w:tr2bl w:val="nil"/>
            </w:tcBorders>
            <w:shd w:val="clear" w:color="auto" w:fill="auto"/>
            <w:vAlign w:val="center"/>
          </w:tcPr>
          <w:p w14:paraId="0EE58FA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w:t>
            </w:r>
          </w:p>
        </w:tc>
        <w:tc>
          <w:tcPr>
            <w:tcW w:w="2364" w:type="dxa"/>
            <w:tcBorders>
              <w:tl2br w:val="nil"/>
              <w:tr2bl w:val="nil"/>
            </w:tcBorders>
            <w:shd w:val="clear" w:color="auto" w:fill="auto"/>
            <w:vAlign w:val="center"/>
          </w:tcPr>
          <w:p w14:paraId="17C4A23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上市企业专题库-上市企业数据采集-四板企业数据采集</w:t>
            </w:r>
          </w:p>
        </w:tc>
        <w:tc>
          <w:tcPr>
            <w:tcW w:w="5605" w:type="dxa"/>
            <w:tcBorders>
              <w:tl2br w:val="nil"/>
              <w:tr2bl w:val="nil"/>
            </w:tcBorders>
            <w:shd w:val="clear" w:color="auto" w:fill="auto"/>
            <w:vAlign w:val="center"/>
          </w:tcPr>
          <w:p w14:paraId="6D8F88F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开发数据采集界面程序，提供模板下载、数据导入到ODS功能。交换方式：服务程序接口对接。</w:t>
            </w:r>
          </w:p>
        </w:tc>
      </w:tr>
      <w:tr w:rsidR="004549BF" w14:paraId="0C65BA84" w14:textId="77777777">
        <w:trPr>
          <w:trHeight w:val="283"/>
        </w:trPr>
        <w:tc>
          <w:tcPr>
            <w:tcW w:w="766" w:type="dxa"/>
            <w:tcBorders>
              <w:tl2br w:val="nil"/>
              <w:tr2bl w:val="nil"/>
            </w:tcBorders>
            <w:shd w:val="clear" w:color="auto" w:fill="auto"/>
            <w:vAlign w:val="center"/>
          </w:tcPr>
          <w:p w14:paraId="0442C7C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w:t>
            </w:r>
          </w:p>
        </w:tc>
        <w:tc>
          <w:tcPr>
            <w:tcW w:w="2364" w:type="dxa"/>
            <w:tcBorders>
              <w:tl2br w:val="nil"/>
              <w:tr2bl w:val="nil"/>
            </w:tcBorders>
            <w:shd w:val="clear" w:color="auto" w:fill="auto"/>
            <w:vAlign w:val="center"/>
          </w:tcPr>
          <w:p w14:paraId="10F798E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上市企业专题库-上市企业数据采集-境内辅导备案数据采集</w:t>
            </w:r>
          </w:p>
        </w:tc>
        <w:tc>
          <w:tcPr>
            <w:tcW w:w="5605" w:type="dxa"/>
            <w:tcBorders>
              <w:tl2br w:val="nil"/>
              <w:tr2bl w:val="nil"/>
            </w:tcBorders>
            <w:shd w:val="clear" w:color="auto" w:fill="auto"/>
            <w:vAlign w:val="center"/>
          </w:tcPr>
          <w:p w14:paraId="05B1ADD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开发数据采集界面程序，提供模板下载、数据导入到ODS功能。交换方式：服务程序接口对接。</w:t>
            </w:r>
          </w:p>
        </w:tc>
      </w:tr>
      <w:tr w:rsidR="004549BF" w14:paraId="7D675809" w14:textId="77777777">
        <w:trPr>
          <w:trHeight w:val="283"/>
        </w:trPr>
        <w:tc>
          <w:tcPr>
            <w:tcW w:w="766" w:type="dxa"/>
            <w:tcBorders>
              <w:tl2br w:val="nil"/>
              <w:tr2bl w:val="nil"/>
            </w:tcBorders>
            <w:shd w:val="clear" w:color="auto" w:fill="auto"/>
            <w:vAlign w:val="center"/>
          </w:tcPr>
          <w:p w14:paraId="35B1050A"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w:t>
            </w:r>
          </w:p>
        </w:tc>
        <w:tc>
          <w:tcPr>
            <w:tcW w:w="2364" w:type="dxa"/>
            <w:tcBorders>
              <w:tl2br w:val="nil"/>
              <w:tr2bl w:val="nil"/>
            </w:tcBorders>
            <w:shd w:val="clear" w:color="auto" w:fill="auto"/>
            <w:vAlign w:val="center"/>
          </w:tcPr>
          <w:p w14:paraId="631B151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上市企业专题库-上市企业数据采集-境内退市企业数据采集</w:t>
            </w:r>
          </w:p>
        </w:tc>
        <w:tc>
          <w:tcPr>
            <w:tcW w:w="5605" w:type="dxa"/>
            <w:tcBorders>
              <w:tl2br w:val="nil"/>
              <w:tr2bl w:val="nil"/>
            </w:tcBorders>
            <w:shd w:val="clear" w:color="auto" w:fill="auto"/>
            <w:vAlign w:val="center"/>
          </w:tcPr>
          <w:p w14:paraId="2105FA7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开发数据采集界面程序，提供模板下载、数据导入到ODS功能。交换方式：服务程序接口对接。</w:t>
            </w:r>
          </w:p>
        </w:tc>
      </w:tr>
      <w:tr w:rsidR="004549BF" w14:paraId="51060778" w14:textId="77777777">
        <w:trPr>
          <w:trHeight w:val="283"/>
        </w:trPr>
        <w:tc>
          <w:tcPr>
            <w:tcW w:w="766" w:type="dxa"/>
            <w:tcBorders>
              <w:tl2br w:val="nil"/>
              <w:tr2bl w:val="nil"/>
            </w:tcBorders>
            <w:shd w:val="clear" w:color="auto" w:fill="auto"/>
            <w:vAlign w:val="center"/>
          </w:tcPr>
          <w:p w14:paraId="00A94E2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w:t>
            </w:r>
          </w:p>
        </w:tc>
        <w:tc>
          <w:tcPr>
            <w:tcW w:w="2364" w:type="dxa"/>
            <w:tcBorders>
              <w:tl2br w:val="nil"/>
              <w:tr2bl w:val="nil"/>
            </w:tcBorders>
            <w:shd w:val="clear" w:color="auto" w:fill="auto"/>
            <w:vAlign w:val="center"/>
          </w:tcPr>
          <w:p w14:paraId="7A28E66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上市企业专题库-上市企业数据采集-境内挂牌企业数据采集</w:t>
            </w:r>
          </w:p>
        </w:tc>
        <w:tc>
          <w:tcPr>
            <w:tcW w:w="5605" w:type="dxa"/>
            <w:tcBorders>
              <w:tl2br w:val="nil"/>
              <w:tr2bl w:val="nil"/>
            </w:tcBorders>
            <w:shd w:val="clear" w:color="auto" w:fill="auto"/>
            <w:vAlign w:val="center"/>
          </w:tcPr>
          <w:p w14:paraId="0E1B869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开发数据采集界面程序，提供模板下载、数据导入到ODS功能。交换方式：服务程序接口对接。</w:t>
            </w:r>
          </w:p>
        </w:tc>
      </w:tr>
      <w:tr w:rsidR="004549BF" w14:paraId="569FA991" w14:textId="77777777">
        <w:trPr>
          <w:trHeight w:val="283"/>
        </w:trPr>
        <w:tc>
          <w:tcPr>
            <w:tcW w:w="766" w:type="dxa"/>
            <w:tcBorders>
              <w:tl2br w:val="nil"/>
              <w:tr2bl w:val="nil"/>
            </w:tcBorders>
            <w:shd w:val="clear" w:color="auto" w:fill="auto"/>
            <w:vAlign w:val="center"/>
          </w:tcPr>
          <w:p w14:paraId="6F59798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w:t>
            </w:r>
          </w:p>
        </w:tc>
        <w:tc>
          <w:tcPr>
            <w:tcW w:w="2364" w:type="dxa"/>
            <w:tcBorders>
              <w:tl2br w:val="nil"/>
              <w:tr2bl w:val="nil"/>
            </w:tcBorders>
            <w:shd w:val="clear" w:color="auto" w:fill="auto"/>
            <w:vAlign w:val="center"/>
          </w:tcPr>
          <w:p w14:paraId="569848A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上市企业专题库-上市企业数据采集-数据采集情况查询</w:t>
            </w:r>
          </w:p>
        </w:tc>
        <w:tc>
          <w:tcPr>
            <w:tcW w:w="5605" w:type="dxa"/>
            <w:tcBorders>
              <w:tl2br w:val="nil"/>
              <w:tr2bl w:val="nil"/>
            </w:tcBorders>
            <w:shd w:val="clear" w:color="auto" w:fill="auto"/>
            <w:vAlign w:val="center"/>
          </w:tcPr>
          <w:p w14:paraId="2B28C87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数据采集任务综合查询功能，可按照板块、时间段、企业名称查询数据采集状态，日志可导出。不同角色可查看自己经手的工单，数据管理员可查看所以工单。</w:t>
            </w:r>
          </w:p>
        </w:tc>
      </w:tr>
      <w:tr w:rsidR="004549BF" w14:paraId="1170E3A9" w14:textId="77777777">
        <w:trPr>
          <w:trHeight w:val="283"/>
        </w:trPr>
        <w:tc>
          <w:tcPr>
            <w:tcW w:w="766" w:type="dxa"/>
            <w:tcBorders>
              <w:tl2br w:val="nil"/>
              <w:tr2bl w:val="nil"/>
            </w:tcBorders>
            <w:shd w:val="clear" w:color="auto" w:fill="auto"/>
            <w:vAlign w:val="center"/>
          </w:tcPr>
          <w:p w14:paraId="4638F0D3"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w:t>
            </w:r>
          </w:p>
        </w:tc>
        <w:tc>
          <w:tcPr>
            <w:tcW w:w="2364" w:type="dxa"/>
            <w:tcBorders>
              <w:tl2br w:val="nil"/>
              <w:tr2bl w:val="nil"/>
            </w:tcBorders>
            <w:shd w:val="clear" w:color="auto" w:fill="auto"/>
            <w:vAlign w:val="center"/>
          </w:tcPr>
          <w:p w14:paraId="117B9DA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上市企业专题库-上市企业数据融合-企业状态变更跟踪模型</w:t>
            </w:r>
          </w:p>
        </w:tc>
        <w:tc>
          <w:tcPr>
            <w:tcW w:w="5605" w:type="dxa"/>
            <w:tcBorders>
              <w:tl2br w:val="nil"/>
              <w:tr2bl w:val="nil"/>
            </w:tcBorders>
            <w:shd w:val="clear" w:color="auto" w:fill="auto"/>
            <w:vAlign w:val="center"/>
          </w:tcPr>
          <w:p w14:paraId="4E5AEE3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每日更新的企业上市状态或上市企业数据，自动比对数据变化，并按照时间序列存储模式，保存企业状态或数据变更时间线，并自动根据状态信息变更企业上市阶段等各类统计数据，用于市委金融办或辖区的指标关注或提醒推送。</w:t>
            </w:r>
          </w:p>
        </w:tc>
      </w:tr>
      <w:tr w:rsidR="004549BF" w14:paraId="14820628" w14:textId="77777777">
        <w:trPr>
          <w:trHeight w:val="283"/>
        </w:trPr>
        <w:tc>
          <w:tcPr>
            <w:tcW w:w="766" w:type="dxa"/>
            <w:tcBorders>
              <w:tl2br w:val="nil"/>
              <w:tr2bl w:val="nil"/>
            </w:tcBorders>
            <w:shd w:val="clear" w:color="auto" w:fill="auto"/>
            <w:vAlign w:val="center"/>
          </w:tcPr>
          <w:p w14:paraId="32DA88A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12</w:t>
            </w:r>
          </w:p>
        </w:tc>
        <w:tc>
          <w:tcPr>
            <w:tcW w:w="2364" w:type="dxa"/>
            <w:tcBorders>
              <w:tl2br w:val="nil"/>
              <w:tr2bl w:val="nil"/>
            </w:tcBorders>
            <w:shd w:val="clear" w:color="auto" w:fill="auto"/>
            <w:vAlign w:val="center"/>
          </w:tcPr>
          <w:p w14:paraId="04B9931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上市企业专题库-上市企业数据融合-上市企业数据清洗</w:t>
            </w:r>
          </w:p>
        </w:tc>
        <w:tc>
          <w:tcPr>
            <w:tcW w:w="5605" w:type="dxa"/>
            <w:tcBorders>
              <w:tl2br w:val="nil"/>
              <w:tr2bl w:val="nil"/>
            </w:tcBorders>
            <w:shd w:val="clear" w:color="auto" w:fill="auto"/>
            <w:vAlign w:val="center"/>
          </w:tcPr>
          <w:p w14:paraId="5E4B943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将采集的境内外上市企业数据从ODS中载入，完成清洗任务。</w:t>
            </w:r>
          </w:p>
        </w:tc>
      </w:tr>
      <w:tr w:rsidR="004549BF" w14:paraId="520596A0" w14:textId="77777777">
        <w:trPr>
          <w:trHeight w:val="283"/>
        </w:trPr>
        <w:tc>
          <w:tcPr>
            <w:tcW w:w="766" w:type="dxa"/>
            <w:tcBorders>
              <w:tl2br w:val="nil"/>
              <w:tr2bl w:val="nil"/>
            </w:tcBorders>
            <w:shd w:val="clear" w:color="auto" w:fill="auto"/>
            <w:vAlign w:val="center"/>
          </w:tcPr>
          <w:p w14:paraId="5B32EFE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w:t>
            </w:r>
          </w:p>
        </w:tc>
        <w:tc>
          <w:tcPr>
            <w:tcW w:w="2364" w:type="dxa"/>
            <w:tcBorders>
              <w:tl2br w:val="nil"/>
              <w:tr2bl w:val="nil"/>
            </w:tcBorders>
            <w:shd w:val="clear" w:color="auto" w:fill="auto"/>
            <w:vAlign w:val="center"/>
          </w:tcPr>
          <w:p w14:paraId="4C29E2F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上市企业专题库-上市企业数据融合-多源数据融合</w:t>
            </w:r>
          </w:p>
        </w:tc>
        <w:tc>
          <w:tcPr>
            <w:tcW w:w="5605" w:type="dxa"/>
            <w:tcBorders>
              <w:tl2br w:val="nil"/>
              <w:tr2bl w:val="nil"/>
            </w:tcBorders>
            <w:shd w:val="clear" w:color="auto" w:fill="auto"/>
            <w:vAlign w:val="center"/>
          </w:tcPr>
          <w:p w14:paraId="7DF5994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外部采集的上市企业信息，进行以下融合处理：1）企业基础信息融合2）数据转换3）融合大数据中心企业相关信息4）融合星企航企业信息。</w:t>
            </w:r>
          </w:p>
        </w:tc>
      </w:tr>
      <w:tr w:rsidR="004549BF" w14:paraId="04385F46" w14:textId="77777777">
        <w:trPr>
          <w:trHeight w:val="283"/>
        </w:trPr>
        <w:tc>
          <w:tcPr>
            <w:tcW w:w="766" w:type="dxa"/>
            <w:tcBorders>
              <w:tl2br w:val="nil"/>
              <w:tr2bl w:val="nil"/>
            </w:tcBorders>
            <w:shd w:val="clear" w:color="auto" w:fill="auto"/>
            <w:vAlign w:val="center"/>
          </w:tcPr>
          <w:p w14:paraId="3B70588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w:t>
            </w:r>
          </w:p>
        </w:tc>
        <w:tc>
          <w:tcPr>
            <w:tcW w:w="2364" w:type="dxa"/>
            <w:tcBorders>
              <w:tl2br w:val="nil"/>
              <w:tr2bl w:val="nil"/>
            </w:tcBorders>
            <w:shd w:val="clear" w:color="auto" w:fill="auto"/>
            <w:vAlign w:val="center"/>
          </w:tcPr>
          <w:p w14:paraId="6002370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上市企业专题库-上市企业数据融合-数据异常工单管理-工单发起</w:t>
            </w:r>
          </w:p>
        </w:tc>
        <w:tc>
          <w:tcPr>
            <w:tcW w:w="5605" w:type="dxa"/>
            <w:tcBorders>
              <w:tl2br w:val="nil"/>
              <w:tr2bl w:val="nil"/>
            </w:tcBorders>
            <w:shd w:val="clear" w:color="auto" w:fill="auto"/>
            <w:vAlign w:val="center"/>
          </w:tcPr>
          <w:p w14:paraId="5005A92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工单发起可采用两种方式：1）服务接口调用方式。2）用户界面录入方式。</w:t>
            </w:r>
          </w:p>
        </w:tc>
      </w:tr>
      <w:tr w:rsidR="004549BF" w14:paraId="3B55A7E7" w14:textId="77777777">
        <w:trPr>
          <w:trHeight w:val="283"/>
        </w:trPr>
        <w:tc>
          <w:tcPr>
            <w:tcW w:w="766" w:type="dxa"/>
            <w:tcBorders>
              <w:tl2br w:val="nil"/>
              <w:tr2bl w:val="nil"/>
            </w:tcBorders>
            <w:shd w:val="clear" w:color="auto" w:fill="auto"/>
            <w:vAlign w:val="center"/>
          </w:tcPr>
          <w:p w14:paraId="01ABA2D3"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w:t>
            </w:r>
          </w:p>
        </w:tc>
        <w:tc>
          <w:tcPr>
            <w:tcW w:w="2364" w:type="dxa"/>
            <w:tcBorders>
              <w:tl2br w:val="nil"/>
              <w:tr2bl w:val="nil"/>
            </w:tcBorders>
            <w:shd w:val="clear" w:color="auto" w:fill="auto"/>
            <w:vAlign w:val="center"/>
          </w:tcPr>
          <w:p w14:paraId="30923A7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上市企业专题库-上市企业数据融合-数据异常工单管理-问题确认及分配工单</w:t>
            </w:r>
          </w:p>
        </w:tc>
        <w:tc>
          <w:tcPr>
            <w:tcW w:w="5605" w:type="dxa"/>
            <w:tcBorders>
              <w:tl2br w:val="nil"/>
              <w:tr2bl w:val="nil"/>
            </w:tcBorders>
            <w:shd w:val="clear" w:color="auto" w:fill="auto"/>
            <w:vAlign w:val="center"/>
          </w:tcPr>
          <w:p w14:paraId="74D8C6F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管理员确认问题类型，并将工单分配给相关技术人员进行处理，并限时解决。</w:t>
            </w:r>
          </w:p>
        </w:tc>
      </w:tr>
      <w:tr w:rsidR="004549BF" w14:paraId="31C31B88" w14:textId="77777777">
        <w:trPr>
          <w:trHeight w:val="283"/>
        </w:trPr>
        <w:tc>
          <w:tcPr>
            <w:tcW w:w="766" w:type="dxa"/>
            <w:tcBorders>
              <w:tl2br w:val="nil"/>
              <w:tr2bl w:val="nil"/>
            </w:tcBorders>
            <w:shd w:val="clear" w:color="auto" w:fill="auto"/>
            <w:vAlign w:val="center"/>
          </w:tcPr>
          <w:p w14:paraId="60172F5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w:t>
            </w:r>
          </w:p>
        </w:tc>
        <w:tc>
          <w:tcPr>
            <w:tcW w:w="2364" w:type="dxa"/>
            <w:tcBorders>
              <w:tl2br w:val="nil"/>
              <w:tr2bl w:val="nil"/>
            </w:tcBorders>
            <w:shd w:val="clear" w:color="auto" w:fill="auto"/>
            <w:vAlign w:val="center"/>
          </w:tcPr>
          <w:p w14:paraId="7480286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上市企业专题库-上市企业数据融合-数据异常工单管理-工单处理反馈</w:t>
            </w:r>
          </w:p>
        </w:tc>
        <w:tc>
          <w:tcPr>
            <w:tcW w:w="5605" w:type="dxa"/>
            <w:tcBorders>
              <w:tl2br w:val="nil"/>
              <w:tr2bl w:val="nil"/>
            </w:tcBorders>
            <w:shd w:val="clear" w:color="auto" w:fill="auto"/>
            <w:vAlign w:val="center"/>
          </w:tcPr>
          <w:p w14:paraId="739B8ED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数据维护人员收到工单后，进入问题解决环节，数据治理人员提交数据治理管理员审核确认。</w:t>
            </w:r>
          </w:p>
        </w:tc>
      </w:tr>
      <w:tr w:rsidR="004549BF" w14:paraId="1EC687FA" w14:textId="77777777">
        <w:trPr>
          <w:trHeight w:val="283"/>
        </w:trPr>
        <w:tc>
          <w:tcPr>
            <w:tcW w:w="766" w:type="dxa"/>
            <w:tcBorders>
              <w:tl2br w:val="nil"/>
              <w:tr2bl w:val="nil"/>
            </w:tcBorders>
            <w:shd w:val="clear" w:color="auto" w:fill="auto"/>
            <w:vAlign w:val="center"/>
          </w:tcPr>
          <w:p w14:paraId="2503F30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w:t>
            </w:r>
          </w:p>
        </w:tc>
        <w:tc>
          <w:tcPr>
            <w:tcW w:w="2364" w:type="dxa"/>
            <w:tcBorders>
              <w:tl2br w:val="nil"/>
              <w:tr2bl w:val="nil"/>
            </w:tcBorders>
            <w:shd w:val="clear" w:color="auto" w:fill="auto"/>
            <w:vAlign w:val="center"/>
          </w:tcPr>
          <w:p w14:paraId="238ECCA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上市企业专题库-上市企业数据融合-数据异常工单管理-确认及关闭工单</w:t>
            </w:r>
          </w:p>
        </w:tc>
        <w:tc>
          <w:tcPr>
            <w:tcW w:w="5605" w:type="dxa"/>
            <w:tcBorders>
              <w:tl2br w:val="nil"/>
              <w:tr2bl w:val="nil"/>
            </w:tcBorders>
            <w:shd w:val="clear" w:color="auto" w:fill="auto"/>
            <w:vAlign w:val="center"/>
          </w:tcPr>
          <w:p w14:paraId="384DE13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对于收到的工单反馈情况，数据治理管理员审核完成情况。各个角色人员具有本角色办理的工单查询、导出功能。管理员可查询、导出所有工单。</w:t>
            </w:r>
          </w:p>
        </w:tc>
      </w:tr>
      <w:tr w:rsidR="004549BF" w14:paraId="73F30F69" w14:textId="77777777">
        <w:trPr>
          <w:trHeight w:val="283"/>
        </w:trPr>
        <w:tc>
          <w:tcPr>
            <w:tcW w:w="766" w:type="dxa"/>
            <w:tcBorders>
              <w:tl2br w:val="nil"/>
              <w:tr2bl w:val="nil"/>
            </w:tcBorders>
            <w:shd w:val="clear" w:color="auto" w:fill="auto"/>
            <w:vAlign w:val="center"/>
          </w:tcPr>
          <w:p w14:paraId="415B38B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w:t>
            </w:r>
          </w:p>
        </w:tc>
        <w:tc>
          <w:tcPr>
            <w:tcW w:w="2364" w:type="dxa"/>
            <w:tcBorders>
              <w:tl2br w:val="nil"/>
              <w:tr2bl w:val="nil"/>
            </w:tcBorders>
            <w:shd w:val="clear" w:color="auto" w:fill="auto"/>
            <w:vAlign w:val="center"/>
          </w:tcPr>
          <w:p w14:paraId="639CB05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上市企业专题库-上市企业数据融合-数据权限配置管理</w:t>
            </w:r>
          </w:p>
        </w:tc>
        <w:tc>
          <w:tcPr>
            <w:tcW w:w="5605" w:type="dxa"/>
            <w:tcBorders>
              <w:tl2br w:val="nil"/>
              <w:tr2bl w:val="nil"/>
            </w:tcBorders>
            <w:shd w:val="clear" w:color="auto" w:fill="auto"/>
            <w:vAlign w:val="center"/>
          </w:tcPr>
          <w:p w14:paraId="0D25888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由于各区和市级上市服务部门访问同一个系统，但各区的数据访问和维护权限需要精确控制，确保数据安全，并各施其职。</w:t>
            </w:r>
          </w:p>
        </w:tc>
      </w:tr>
      <w:tr w:rsidR="004549BF" w14:paraId="18F57CFF" w14:textId="77777777">
        <w:trPr>
          <w:trHeight w:val="283"/>
        </w:trPr>
        <w:tc>
          <w:tcPr>
            <w:tcW w:w="766" w:type="dxa"/>
            <w:tcBorders>
              <w:tl2br w:val="nil"/>
              <w:tr2bl w:val="nil"/>
            </w:tcBorders>
            <w:shd w:val="clear" w:color="auto" w:fill="auto"/>
            <w:vAlign w:val="center"/>
          </w:tcPr>
          <w:p w14:paraId="4EA318B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w:t>
            </w:r>
          </w:p>
        </w:tc>
        <w:tc>
          <w:tcPr>
            <w:tcW w:w="2364" w:type="dxa"/>
            <w:tcBorders>
              <w:tl2br w:val="nil"/>
              <w:tr2bl w:val="nil"/>
            </w:tcBorders>
            <w:shd w:val="clear" w:color="auto" w:fill="auto"/>
            <w:vAlign w:val="center"/>
          </w:tcPr>
          <w:p w14:paraId="61F8222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上市企业专题库-智能主题分析-境内上市企业主题分析-模型设计</w:t>
            </w:r>
          </w:p>
        </w:tc>
        <w:tc>
          <w:tcPr>
            <w:tcW w:w="5605" w:type="dxa"/>
            <w:tcBorders>
              <w:tl2br w:val="nil"/>
              <w:tr2bl w:val="nil"/>
            </w:tcBorders>
            <w:shd w:val="clear" w:color="auto" w:fill="auto"/>
            <w:vAlign w:val="center"/>
          </w:tcPr>
          <w:p w14:paraId="074263A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按照时间（年、月、周、日）维度、行业、注册区域维度，统计各类交叉维度的当日上市企业总数、本周增量、本月增量、本年增量，设计境内上市企业主题分析多维分析模型。</w:t>
            </w:r>
          </w:p>
        </w:tc>
      </w:tr>
      <w:tr w:rsidR="004549BF" w14:paraId="05064816" w14:textId="77777777">
        <w:trPr>
          <w:trHeight w:val="283"/>
        </w:trPr>
        <w:tc>
          <w:tcPr>
            <w:tcW w:w="766" w:type="dxa"/>
            <w:tcBorders>
              <w:tl2br w:val="nil"/>
              <w:tr2bl w:val="nil"/>
            </w:tcBorders>
            <w:shd w:val="clear" w:color="auto" w:fill="auto"/>
            <w:vAlign w:val="center"/>
          </w:tcPr>
          <w:p w14:paraId="1CC9042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20</w:t>
            </w:r>
          </w:p>
        </w:tc>
        <w:tc>
          <w:tcPr>
            <w:tcW w:w="2364" w:type="dxa"/>
            <w:tcBorders>
              <w:tl2br w:val="nil"/>
              <w:tr2bl w:val="nil"/>
            </w:tcBorders>
            <w:shd w:val="clear" w:color="auto" w:fill="auto"/>
            <w:vAlign w:val="center"/>
          </w:tcPr>
          <w:p w14:paraId="66B0100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上市企业专题库-智能主题分析-境内上市企业主题分析-数据融合开发</w:t>
            </w:r>
          </w:p>
        </w:tc>
        <w:tc>
          <w:tcPr>
            <w:tcW w:w="5605" w:type="dxa"/>
            <w:tcBorders>
              <w:tl2br w:val="nil"/>
              <w:tr2bl w:val="nil"/>
            </w:tcBorders>
            <w:shd w:val="clear" w:color="auto" w:fill="auto"/>
            <w:vAlign w:val="center"/>
          </w:tcPr>
          <w:p w14:paraId="0B638C3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时间（年、月、周、日）维度、注册区域维度，统计各类交叉维度的当日上市企业总数、本周增量、本月增量、本年增量等汇总数据，实现每日分时计算，存储到分析模型表中，并实现数据反查详细信息索引。</w:t>
            </w:r>
          </w:p>
        </w:tc>
      </w:tr>
      <w:tr w:rsidR="004549BF" w14:paraId="4252A168" w14:textId="77777777">
        <w:trPr>
          <w:trHeight w:val="283"/>
        </w:trPr>
        <w:tc>
          <w:tcPr>
            <w:tcW w:w="766" w:type="dxa"/>
            <w:tcBorders>
              <w:tl2br w:val="nil"/>
              <w:tr2bl w:val="nil"/>
            </w:tcBorders>
            <w:shd w:val="clear" w:color="auto" w:fill="auto"/>
            <w:vAlign w:val="center"/>
          </w:tcPr>
          <w:p w14:paraId="5D08396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21</w:t>
            </w:r>
          </w:p>
        </w:tc>
        <w:tc>
          <w:tcPr>
            <w:tcW w:w="2364" w:type="dxa"/>
            <w:tcBorders>
              <w:tl2br w:val="nil"/>
              <w:tr2bl w:val="nil"/>
            </w:tcBorders>
            <w:shd w:val="clear" w:color="auto" w:fill="auto"/>
            <w:vAlign w:val="center"/>
          </w:tcPr>
          <w:p w14:paraId="1F8DF95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上市企业专题库-智能主题分析-境内上市企业主题分析-可视化展示</w:t>
            </w:r>
          </w:p>
        </w:tc>
        <w:tc>
          <w:tcPr>
            <w:tcW w:w="5605" w:type="dxa"/>
            <w:tcBorders>
              <w:tl2br w:val="nil"/>
              <w:tr2bl w:val="nil"/>
            </w:tcBorders>
            <w:shd w:val="clear" w:color="auto" w:fill="auto"/>
            <w:vAlign w:val="center"/>
          </w:tcPr>
          <w:p w14:paraId="24A3FDF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按照各上市板块，统计当前上市企业总量、本周增量、本月增量、本年增量。根据企业注册穿透区域，自动管理各区金融上市服务部门下钻分析可见企业范围。</w:t>
            </w:r>
          </w:p>
        </w:tc>
      </w:tr>
      <w:tr w:rsidR="004549BF" w14:paraId="076EC2BF" w14:textId="77777777">
        <w:trPr>
          <w:trHeight w:val="283"/>
        </w:trPr>
        <w:tc>
          <w:tcPr>
            <w:tcW w:w="766" w:type="dxa"/>
            <w:tcBorders>
              <w:tl2br w:val="nil"/>
              <w:tr2bl w:val="nil"/>
            </w:tcBorders>
            <w:shd w:val="clear" w:color="auto" w:fill="auto"/>
            <w:vAlign w:val="center"/>
          </w:tcPr>
          <w:p w14:paraId="7706E0DA"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22</w:t>
            </w:r>
          </w:p>
        </w:tc>
        <w:tc>
          <w:tcPr>
            <w:tcW w:w="2364" w:type="dxa"/>
            <w:tcBorders>
              <w:tl2br w:val="nil"/>
              <w:tr2bl w:val="nil"/>
            </w:tcBorders>
            <w:shd w:val="clear" w:color="auto" w:fill="auto"/>
            <w:vAlign w:val="center"/>
          </w:tcPr>
          <w:p w14:paraId="5DED15B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上市企业专题库-智能主题分析-新三板主题分析-模型设计</w:t>
            </w:r>
          </w:p>
        </w:tc>
        <w:tc>
          <w:tcPr>
            <w:tcW w:w="5605" w:type="dxa"/>
            <w:tcBorders>
              <w:tl2br w:val="nil"/>
              <w:tr2bl w:val="nil"/>
            </w:tcBorders>
            <w:shd w:val="clear" w:color="auto" w:fill="auto"/>
            <w:vAlign w:val="center"/>
          </w:tcPr>
          <w:p w14:paraId="6B67C7F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建立多维度模型，按照省级区域维度、时间（年、月、周、日）维度、注册区域维度、新三板企业梯度培育指标维度，统计最新累计受理企业数量、首发募资额、当前总市值、本周受理企业数量、本周首发募资额、本周上市企业总市值、企业梯度培育数、企业梯度培育百分比。</w:t>
            </w:r>
          </w:p>
        </w:tc>
      </w:tr>
      <w:tr w:rsidR="004549BF" w14:paraId="46CFDD81" w14:textId="77777777">
        <w:trPr>
          <w:trHeight w:val="283"/>
        </w:trPr>
        <w:tc>
          <w:tcPr>
            <w:tcW w:w="766" w:type="dxa"/>
            <w:tcBorders>
              <w:tl2br w:val="nil"/>
              <w:tr2bl w:val="nil"/>
            </w:tcBorders>
            <w:shd w:val="clear" w:color="auto" w:fill="auto"/>
            <w:vAlign w:val="center"/>
          </w:tcPr>
          <w:p w14:paraId="3F31CA7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23</w:t>
            </w:r>
          </w:p>
        </w:tc>
        <w:tc>
          <w:tcPr>
            <w:tcW w:w="2364" w:type="dxa"/>
            <w:tcBorders>
              <w:tl2br w:val="nil"/>
              <w:tr2bl w:val="nil"/>
            </w:tcBorders>
            <w:shd w:val="clear" w:color="auto" w:fill="auto"/>
            <w:vAlign w:val="center"/>
          </w:tcPr>
          <w:p w14:paraId="7431101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上市企业专题库-智能主题分析-新三板主题分析-数据融合开发</w:t>
            </w:r>
          </w:p>
        </w:tc>
        <w:tc>
          <w:tcPr>
            <w:tcW w:w="5605" w:type="dxa"/>
            <w:tcBorders>
              <w:tl2br w:val="nil"/>
              <w:tr2bl w:val="nil"/>
            </w:tcBorders>
            <w:shd w:val="clear" w:color="auto" w:fill="auto"/>
            <w:vAlign w:val="center"/>
          </w:tcPr>
          <w:p w14:paraId="194352E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按照主题模型的维度和度量统计数据，计算新三板主题分析多维模型对应各个度量值的统计计算和存储，实现每日分时计算，存储到分析模型表中，并实现数据反查详细信息索引。</w:t>
            </w:r>
          </w:p>
        </w:tc>
      </w:tr>
      <w:tr w:rsidR="004549BF" w14:paraId="5F69685D" w14:textId="77777777">
        <w:trPr>
          <w:trHeight w:val="283"/>
        </w:trPr>
        <w:tc>
          <w:tcPr>
            <w:tcW w:w="766" w:type="dxa"/>
            <w:tcBorders>
              <w:tl2br w:val="nil"/>
              <w:tr2bl w:val="nil"/>
            </w:tcBorders>
            <w:shd w:val="clear" w:color="auto" w:fill="auto"/>
            <w:vAlign w:val="center"/>
          </w:tcPr>
          <w:p w14:paraId="2F716E3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24</w:t>
            </w:r>
          </w:p>
        </w:tc>
        <w:tc>
          <w:tcPr>
            <w:tcW w:w="2364" w:type="dxa"/>
            <w:tcBorders>
              <w:tl2br w:val="nil"/>
              <w:tr2bl w:val="nil"/>
            </w:tcBorders>
            <w:shd w:val="clear" w:color="auto" w:fill="auto"/>
            <w:vAlign w:val="center"/>
          </w:tcPr>
          <w:p w14:paraId="2D9CF67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上市企业专题库-智能主题分析-新三板主题分析-可视化展示</w:t>
            </w:r>
          </w:p>
        </w:tc>
        <w:tc>
          <w:tcPr>
            <w:tcW w:w="5605" w:type="dxa"/>
            <w:tcBorders>
              <w:tl2br w:val="nil"/>
              <w:tr2bl w:val="nil"/>
            </w:tcBorders>
            <w:shd w:val="clear" w:color="auto" w:fill="auto"/>
            <w:vAlign w:val="center"/>
          </w:tcPr>
          <w:p w14:paraId="79A8E51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新增统计分析：按照省级区域统计最新累计受理企业数量、首发募资额、当前总市值；按照省级区域统计本周新增累计本周受理企业数量、本周首发募资额、本周上市企业总市值；新三板企业梯度培育指标分析：按照高新技术企业、小巨人、专精特新企业分类统计数据及百分比，并可视化展示。根据企业注册区域，自动管理各区金融上市服务部门下钻分析可见企业范围。</w:t>
            </w:r>
          </w:p>
        </w:tc>
      </w:tr>
      <w:tr w:rsidR="004549BF" w14:paraId="36B51224" w14:textId="77777777">
        <w:trPr>
          <w:trHeight w:val="283"/>
        </w:trPr>
        <w:tc>
          <w:tcPr>
            <w:tcW w:w="766" w:type="dxa"/>
            <w:tcBorders>
              <w:tl2br w:val="nil"/>
              <w:tr2bl w:val="nil"/>
            </w:tcBorders>
            <w:shd w:val="clear" w:color="auto" w:fill="auto"/>
            <w:vAlign w:val="center"/>
          </w:tcPr>
          <w:p w14:paraId="69D59CD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25</w:t>
            </w:r>
          </w:p>
        </w:tc>
        <w:tc>
          <w:tcPr>
            <w:tcW w:w="2364" w:type="dxa"/>
            <w:tcBorders>
              <w:tl2br w:val="nil"/>
              <w:tr2bl w:val="nil"/>
            </w:tcBorders>
            <w:shd w:val="clear" w:color="auto" w:fill="auto"/>
            <w:vAlign w:val="center"/>
          </w:tcPr>
          <w:p w14:paraId="42EFA56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上市企业专题库-智能主题分析-四板企</w:t>
            </w:r>
            <w:r>
              <w:rPr>
                <w:rFonts w:cs="宋体" w:hint="eastAsia"/>
                <w:color w:val="000000"/>
                <w:kern w:val="0"/>
                <w:lang w:bidi="ar"/>
              </w:rPr>
              <w:lastRenderedPageBreak/>
              <w:t>业分布分析-模型设计</w:t>
            </w:r>
          </w:p>
        </w:tc>
        <w:tc>
          <w:tcPr>
            <w:tcW w:w="5605" w:type="dxa"/>
            <w:tcBorders>
              <w:tl2br w:val="nil"/>
              <w:tr2bl w:val="nil"/>
            </w:tcBorders>
            <w:shd w:val="clear" w:color="auto" w:fill="auto"/>
            <w:vAlign w:val="center"/>
          </w:tcPr>
          <w:p w14:paraId="7EA90F1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lastRenderedPageBreak/>
              <w:t>建立多维度模型，按照四板（N板、E板、Q板）板块维度、时间（年、月、周、日）维度、企业注册区</w:t>
            </w:r>
            <w:r>
              <w:rPr>
                <w:rFonts w:cs="宋体" w:hint="eastAsia"/>
                <w:color w:val="000000"/>
                <w:kern w:val="0"/>
                <w:lang w:bidi="ar"/>
              </w:rPr>
              <w:lastRenderedPageBreak/>
              <w:t>域维度，统计N板、E板、Q板企业数量、本年度新增数量、企业占比数据。</w:t>
            </w:r>
          </w:p>
        </w:tc>
      </w:tr>
      <w:tr w:rsidR="004549BF" w14:paraId="622D7266" w14:textId="77777777">
        <w:trPr>
          <w:trHeight w:val="283"/>
        </w:trPr>
        <w:tc>
          <w:tcPr>
            <w:tcW w:w="766" w:type="dxa"/>
            <w:tcBorders>
              <w:tl2br w:val="nil"/>
              <w:tr2bl w:val="nil"/>
            </w:tcBorders>
            <w:shd w:val="clear" w:color="auto" w:fill="auto"/>
            <w:vAlign w:val="center"/>
          </w:tcPr>
          <w:p w14:paraId="5B85C3D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26</w:t>
            </w:r>
          </w:p>
        </w:tc>
        <w:tc>
          <w:tcPr>
            <w:tcW w:w="2364" w:type="dxa"/>
            <w:tcBorders>
              <w:tl2br w:val="nil"/>
              <w:tr2bl w:val="nil"/>
            </w:tcBorders>
            <w:shd w:val="clear" w:color="auto" w:fill="auto"/>
            <w:vAlign w:val="center"/>
          </w:tcPr>
          <w:p w14:paraId="35B639D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上市企业专题库-智能主题分析-四板企业分布分析-数据融合开发</w:t>
            </w:r>
          </w:p>
        </w:tc>
        <w:tc>
          <w:tcPr>
            <w:tcW w:w="5605" w:type="dxa"/>
            <w:tcBorders>
              <w:tl2br w:val="nil"/>
              <w:tr2bl w:val="nil"/>
            </w:tcBorders>
            <w:shd w:val="clear" w:color="auto" w:fill="auto"/>
            <w:vAlign w:val="center"/>
          </w:tcPr>
          <w:p w14:paraId="2AD5ABD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按照四板企业分布模型，计算四板企业分布多维模型对应各个度量值的统计计算和存储，实现每日分时计算，存储到分析模型表中，并实现数据反查详细信息索引。</w:t>
            </w:r>
          </w:p>
        </w:tc>
      </w:tr>
      <w:tr w:rsidR="004549BF" w14:paraId="4D403EE9" w14:textId="77777777">
        <w:trPr>
          <w:trHeight w:val="283"/>
        </w:trPr>
        <w:tc>
          <w:tcPr>
            <w:tcW w:w="766" w:type="dxa"/>
            <w:tcBorders>
              <w:tl2br w:val="nil"/>
              <w:tr2bl w:val="nil"/>
            </w:tcBorders>
            <w:shd w:val="clear" w:color="auto" w:fill="auto"/>
            <w:vAlign w:val="center"/>
          </w:tcPr>
          <w:p w14:paraId="048AAE7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27</w:t>
            </w:r>
          </w:p>
        </w:tc>
        <w:tc>
          <w:tcPr>
            <w:tcW w:w="2364" w:type="dxa"/>
            <w:tcBorders>
              <w:tl2br w:val="nil"/>
              <w:tr2bl w:val="nil"/>
            </w:tcBorders>
            <w:shd w:val="clear" w:color="auto" w:fill="auto"/>
            <w:vAlign w:val="center"/>
          </w:tcPr>
          <w:p w14:paraId="5753C4E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上市企业专题库-智能主题分析-四板企业分布分析-可视化展示</w:t>
            </w:r>
          </w:p>
        </w:tc>
        <w:tc>
          <w:tcPr>
            <w:tcW w:w="5605" w:type="dxa"/>
            <w:tcBorders>
              <w:tl2br w:val="nil"/>
              <w:tr2bl w:val="nil"/>
            </w:tcBorders>
            <w:shd w:val="clear" w:color="auto" w:fill="auto"/>
            <w:vAlign w:val="center"/>
          </w:tcPr>
          <w:p w14:paraId="43B68CB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上股交挂牌企业分布分析：按照N板、E板、Q板企业数量和占比，可视化展示；按照上海各区分布展示N板、E板、Q板企业数量和本年度新增数量。数据可下钻查询企业列表，企业列表继续下钻查看企业画像信息。</w:t>
            </w:r>
          </w:p>
        </w:tc>
      </w:tr>
      <w:tr w:rsidR="004549BF" w14:paraId="75B704D0" w14:textId="77777777">
        <w:trPr>
          <w:trHeight w:val="283"/>
        </w:trPr>
        <w:tc>
          <w:tcPr>
            <w:tcW w:w="766" w:type="dxa"/>
            <w:tcBorders>
              <w:tl2br w:val="nil"/>
              <w:tr2bl w:val="nil"/>
            </w:tcBorders>
            <w:shd w:val="clear" w:color="auto" w:fill="auto"/>
            <w:vAlign w:val="center"/>
          </w:tcPr>
          <w:p w14:paraId="34BA5DF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28</w:t>
            </w:r>
          </w:p>
        </w:tc>
        <w:tc>
          <w:tcPr>
            <w:tcW w:w="2364" w:type="dxa"/>
            <w:tcBorders>
              <w:tl2br w:val="nil"/>
              <w:tr2bl w:val="nil"/>
            </w:tcBorders>
            <w:shd w:val="clear" w:color="auto" w:fill="auto"/>
            <w:vAlign w:val="center"/>
          </w:tcPr>
          <w:p w14:paraId="6CB3A71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上市企业专题库-智能主题分析-境外上市企业分析</w:t>
            </w:r>
          </w:p>
        </w:tc>
        <w:tc>
          <w:tcPr>
            <w:tcW w:w="5605" w:type="dxa"/>
            <w:tcBorders>
              <w:tl2br w:val="nil"/>
              <w:tr2bl w:val="nil"/>
            </w:tcBorders>
            <w:shd w:val="clear" w:color="auto" w:fill="auto"/>
            <w:vAlign w:val="center"/>
          </w:tcPr>
          <w:p w14:paraId="431E1FC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设计主题分析模型，并实现模型数据的融合计算，并存储到境外上市企业分析主题库。按照境外上市板块统计港交所、纳斯达克、纽交所、新交所板上市企业总量和占比；按照上海各区域统计境外各上市板块的上市企业数、本年度增量。</w:t>
            </w:r>
          </w:p>
        </w:tc>
      </w:tr>
      <w:tr w:rsidR="004549BF" w14:paraId="06C104F5" w14:textId="77777777">
        <w:trPr>
          <w:trHeight w:val="283"/>
        </w:trPr>
        <w:tc>
          <w:tcPr>
            <w:tcW w:w="766" w:type="dxa"/>
            <w:tcBorders>
              <w:tl2br w:val="nil"/>
              <w:tr2bl w:val="nil"/>
            </w:tcBorders>
            <w:shd w:val="clear" w:color="auto" w:fill="auto"/>
            <w:vAlign w:val="center"/>
          </w:tcPr>
          <w:p w14:paraId="09409DB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29</w:t>
            </w:r>
          </w:p>
        </w:tc>
        <w:tc>
          <w:tcPr>
            <w:tcW w:w="2364" w:type="dxa"/>
            <w:tcBorders>
              <w:tl2br w:val="nil"/>
              <w:tr2bl w:val="nil"/>
            </w:tcBorders>
            <w:shd w:val="clear" w:color="auto" w:fill="auto"/>
            <w:vAlign w:val="center"/>
          </w:tcPr>
          <w:p w14:paraId="0EF0575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上市企业专题库-智能主题分析-“专精特新”专板企业分析-模型设计</w:t>
            </w:r>
          </w:p>
        </w:tc>
        <w:tc>
          <w:tcPr>
            <w:tcW w:w="5605" w:type="dxa"/>
            <w:tcBorders>
              <w:tl2br w:val="nil"/>
              <w:tr2bl w:val="nil"/>
            </w:tcBorders>
            <w:shd w:val="clear" w:color="auto" w:fill="auto"/>
            <w:vAlign w:val="center"/>
          </w:tcPr>
          <w:p w14:paraId="355486B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建立多维度模型，按照上市状态（已上市、已同意注册、已过会、已受理、辅导验收通过、在辅导、后备）维度、时间（年、月、周、日）维度、企业注册区域维度，统计“专精特新”企业的区域分布、当前总量、本年新增、本月新增、本周新增数据。</w:t>
            </w:r>
          </w:p>
        </w:tc>
      </w:tr>
      <w:tr w:rsidR="004549BF" w14:paraId="68E3878F" w14:textId="77777777">
        <w:trPr>
          <w:trHeight w:val="283"/>
        </w:trPr>
        <w:tc>
          <w:tcPr>
            <w:tcW w:w="766" w:type="dxa"/>
            <w:tcBorders>
              <w:tl2br w:val="nil"/>
              <w:tr2bl w:val="nil"/>
            </w:tcBorders>
            <w:shd w:val="clear" w:color="auto" w:fill="auto"/>
            <w:vAlign w:val="center"/>
          </w:tcPr>
          <w:p w14:paraId="35E7E2C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30</w:t>
            </w:r>
          </w:p>
        </w:tc>
        <w:tc>
          <w:tcPr>
            <w:tcW w:w="2364" w:type="dxa"/>
            <w:tcBorders>
              <w:tl2br w:val="nil"/>
              <w:tr2bl w:val="nil"/>
            </w:tcBorders>
            <w:shd w:val="clear" w:color="auto" w:fill="auto"/>
            <w:vAlign w:val="center"/>
          </w:tcPr>
          <w:p w14:paraId="1BF2BEF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上市企业专题库-智能主题分析-“专精特新”专板企业分析-数据融合开发</w:t>
            </w:r>
          </w:p>
        </w:tc>
        <w:tc>
          <w:tcPr>
            <w:tcW w:w="5605" w:type="dxa"/>
            <w:tcBorders>
              <w:tl2br w:val="nil"/>
              <w:tr2bl w:val="nil"/>
            </w:tcBorders>
            <w:shd w:val="clear" w:color="auto" w:fill="auto"/>
            <w:vAlign w:val="center"/>
          </w:tcPr>
          <w:p w14:paraId="4A959E3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按照“专精特新”专板企业统计分析模型，计算“专精特新”专板企业分布多维模型对应各个度量值的统计计算和存储，实现每日分时计算，存储到分析模型表中，并实现数据反查详细信息索引。</w:t>
            </w:r>
          </w:p>
        </w:tc>
      </w:tr>
      <w:tr w:rsidR="004549BF" w14:paraId="7A9DC2FB" w14:textId="77777777">
        <w:trPr>
          <w:trHeight w:val="283"/>
        </w:trPr>
        <w:tc>
          <w:tcPr>
            <w:tcW w:w="766" w:type="dxa"/>
            <w:tcBorders>
              <w:tl2br w:val="nil"/>
              <w:tr2bl w:val="nil"/>
            </w:tcBorders>
            <w:shd w:val="clear" w:color="auto" w:fill="auto"/>
            <w:vAlign w:val="center"/>
          </w:tcPr>
          <w:p w14:paraId="7BD4622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31</w:t>
            </w:r>
          </w:p>
        </w:tc>
        <w:tc>
          <w:tcPr>
            <w:tcW w:w="2364" w:type="dxa"/>
            <w:tcBorders>
              <w:tl2br w:val="nil"/>
              <w:tr2bl w:val="nil"/>
            </w:tcBorders>
            <w:shd w:val="clear" w:color="auto" w:fill="auto"/>
            <w:vAlign w:val="center"/>
          </w:tcPr>
          <w:p w14:paraId="1DC6268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上市企业专题库-智能主题分析-“专精特新”专板企业分析-可视化展示</w:t>
            </w:r>
          </w:p>
        </w:tc>
        <w:tc>
          <w:tcPr>
            <w:tcW w:w="5605" w:type="dxa"/>
            <w:tcBorders>
              <w:tl2br w:val="nil"/>
              <w:tr2bl w:val="nil"/>
            </w:tcBorders>
            <w:shd w:val="clear" w:color="auto" w:fill="auto"/>
            <w:vAlign w:val="center"/>
          </w:tcPr>
          <w:p w14:paraId="55C17B2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按照已上市、已同意注册、已过会、已受理、辅导验收通过、在辅导、后备等状态进行切片统计“专精特新”企业的区域分布、当前总量、本年新增、本月新</w:t>
            </w:r>
            <w:r>
              <w:rPr>
                <w:rFonts w:cs="宋体" w:hint="eastAsia"/>
                <w:color w:val="000000"/>
                <w:kern w:val="0"/>
                <w:lang w:bidi="ar"/>
              </w:rPr>
              <w:lastRenderedPageBreak/>
              <w:t>增、本周新增数据可视化展示。数据可下钻查询企业列表，继续下钻查看企业画像信息。</w:t>
            </w:r>
          </w:p>
        </w:tc>
      </w:tr>
      <w:tr w:rsidR="004549BF" w14:paraId="19217403" w14:textId="77777777">
        <w:trPr>
          <w:trHeight w:val="283"/>
        </w:trPr>
        <w:tc>
          <w:tcPr>
            <w:tcW w:w="766" w:type="dxa"/>
            <w:tcBorders>
              <w:tl2br w:val="nil"/>
              <w:tr2bl w:val="nil"/>
            </w:tcBorders>
            <w:shd w:val="clear" w:color="auto" w:fill="auto"/>
            <w:vAlign w:val="center"/>
          </w:tcPr>
          <w:p w14:paraId="114E0C2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32</w:t>
            </w:r>
          </w:p>
        </w:tc>
        <w:tc>
          <w:tcPr>
            <w:tcW w:w="2364" w:type="dxa"/>
            <w:tcBorders>
              <w:tl2br w:val="nil"/>
              <w:tr2bl w:val="nil"/>
            </w:tcBorders>
            <w:shd w:val="clear" w:color="auto" w:fill="auto"/>
            <w:vAlign w:val="center"/>
          </w:tcPr>
          <w:p w14:paraId="7A34D61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上市企业专题库-智能主题分析-上市B股企业分析</w:t>
            </w:r>
          </w:p>
        </w:tc>
        <w:tc>
          <w:tcPr>
            <w:tcW w:w="5605" w:type="dxa"/>
            <w:tcBorders>
              <w:tl2br w:val="nil"/>
              <w:tr2bl w:val="nil"/>
            </w:tcBorders>
            <w:shd w:val="clear" w:color="auto" w:fill="auto"/>
            <w:vAlign w:val="center"/>
          </w:tcPr>
          <w:p w14:paraId="5806D4E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建立多维度模型，按照时间（年、月、周、日）维度、注册区域维度，统计各当日上市B股企业总数、首发募资额、当前总市值。统计上市B股企业总量、首发募资额、当前总市值；B股上市区域分布可视化展示。数据可下钻查询企业列表，继续下钻查看企业画像信息。</w:t>
            </w:r>
          </w:p>
        </w:tc>
      </w:tr>
      <w:tr w:rsidR="004549BF" w14:paraId="6AF51337" w14:textId="77777777">
        <w:trPr>
          <w:trHeight w:val="283"/>
        </w:trPr>
        <w:tc>
          <w:tcPr>
            <w:tcW w:w="766" w:type="dxa"/>
            <w:tcBorders>
              <w:tl2br w:val="nil"/>
              <w:tr2bl w:val="nil"/>
            </w:tcBorders>
            <w:shd w:val="clear" w:color="auto" w:fill="auto"/>
            <w:vAlign w:val="center"/>
          </w:tcPr>
          <w:p w14:paraId="336C5A6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33</w:t>
            </w:r>
          </w:p>
        </w:tc>
        <w:tc>
          <w:tcPr>
            <w:tcW w:w="2364" w:type="dxa"/>
            <w:tcBorders>
              <w:tl2br w:val="nil"/>
              <w:tr2bl w:val="nil"/>
            </w:tcBorders>
            <w:shd w:val="clear" w:color="auto" w:fill="auto"/>
            <w:vAlign w:val="center"/>
          </w:tcPr>
          <w:p w14:paraId="5ED3F30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上市企业专题库-智能主题分析-退市企业主题分析-模型设计</w:t>
            </w:r>
          </w:p>
        </w:tc>
        <w:tc>
          <w:tcPr>
            <w:tcW w:w="5605" w:type="dxa"/>
            <w:tcBorders>
              <w:tl2br w:val="nil"/>
              <w:tr2bl w:val="nil"/>
            </w:tcBorders>
            <w:shd w:val="clear" w:color="auto" w:fill="auto"/>
            <w:vAlign w:val="center"/>
          </w:tcPr>
          <w:p w14:paraId="04206CA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建立多维度模型，按照时间（年、月、周、日）维度、注册区域维度，统计各当日退市企业数量、占比。</w:t>
            </w:r>
          </w:p>
        </w:tc>
      </w:tr>
      <w:tr w:rsidR="004549BF" w14:paraId="38CD64DB" w14:textId="77777777">
        <w:trPr>
          <w:trHeight w:val="283"/>
        </w:trPr>
        <w:tc>
          <w:tcPr>
            <w:tcW w:w="766" w:type="dxa"/>
            <w:tcBorders>
              <w:tl2br w:val="nil"/>
              <w:tr2bl w:val="nil"/>
            </w:tcBorders>
            <w:shd w:val="clear" w:color="auto" w:fill="auto"/>
            <w:vAlign w:val="center"/>
          </w:tcPr>
          <w:p w14:paraId="56EF08E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34</w:t>
            </w:r>
          </w:p>
        </w:tc>
        <w:tc>
          <w:tcPr>
            <w:tcW w:w="2364" w:type="dxa"/>
            <w:tcBorders>
              <w:tl2br w:val="nil"/>
              <w:tr2bl w:val="nil"/>
            </w:tcBorders>
            <w:shd w:val="clear" w:color="auto" w:fill="auto"/>
            <w:vAlign w:val="center"/>
          </w:tcPr>
          <w:p w14:paraId="2B369EA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上市企业专题库-智能主题分析-退市企业主题分析-数据融合开发</w:t>
            </w:r>
          </w:p>
        </w:tc>
        <w:tc>
          <w:tcPr>
            <w:tcW w:w="5605" w:type="dxa"/>
            <w:tcBorders>
              <w:tl2br w:val="nil"/>
              <w:tr2bl w:val="nil"/>
            </w:tcBorders>
            <w:shd w:val="clear" w:color="auto" w:fill="auto"/>
            <w:vAlign w:val="center"/>
          </w:tcPr>
          <w:p w14:paraId="697140B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按照退市企业统计分析模型，计算退市企业分布多维模型对应各个度量值的统计计算和存储，实现每日分时计算，存储到分析模型表中，并实现数据反查详细信息索引。</w:t>
            </w:r>
          </w:p>
        </w:tc>
      </w:tr>
      <w:tr w:rsidR="004549BF" w14:paraId="529B938F" w14:textId="77777777">
        <w:trPr>
          <w:trHeight w:val="283"/>
        </w:trPr>
        <w:tc>
          <w:tcPr>
            <w:tcW w:w="766" w:type="dxa"/>
            <w:tcBorders>
              <w:tl2br w:val="nil"/>
              <w:tr2bl w:val="nil"/>
            </w:tcBorders>
            <w:shd w:val="clear" w:color="auto" w:fill="auto"/>
            <w:vAlign w:val="center"/>
          </w:tcPr>
          <w:p w14:paraId="3AA3095D"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35</w:t>
            </w:r>
          </w:p>
        </w:tc>
        <w:tc>
          <w:tcPr>
            <w:tcW w:w="2364" w:type="dxa"/>
            <w:tcBorders>
              <w:tl2br w:val="nil"/>
              <w:tr2bl w:val="nil"/>
            </w:tcBorders>
            <w:shd w:val="clear" w:color="auto" w:fill="auto"/>
            <w:vAlign w:val="center"/>
          </w:tcPr>
          <w:p w14:paraId="1BAB0C8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上市企业专题库-智能主题分析-退市企业主题分析-可视化展示</w:t>
            </w:r>
          </w:p>
        </w:tc>
        <w:tc>
          <w:tcPr>
            <w:tcW w:w="5605" w:type="dxa"/>
            <w:tcBorders>
              <w:tl2br w:val="nil"/>
              <w:tr2bl w:val="nil"/>
            </w:tcBorders>
            <w:shd w:val="clear" w:color="auto" w:fill="auto"/>
            <w:vAlign w:val="center"/>
          </w:tcPr>
          <w:p w14:paraId="0C0C656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区域、行业、产业、时间维度（最新、本年）多维度展示企业数量、占比情况。数据可下钻查询企业列表，继续下钻查看企业画像信息。根据企业注册区域，自动管理各区金融上市服务部门下钻分析可见企业范围。</w:t>
            </w:r>
          </w:p>
        </w:tc>
      </w:tr>
      <w:tr w:rsidR="004549BF" w14:paraId="7E4471B1" w14:textId="77777777">
        <w:trPr>
          <w:trHeight w:val="283"/>
        </w:trPr>
        <w:tc>
          <w:tcPr>
            <w:tcW w:w="766" w:type="dxa"/>
            <w:tcBorders>
              <w:tl2br w:val="nil"/>
              <w:tr2bl w:val="nil"/>
            </w:tcBorders>
            <w:shd w:val="clear" w:color="auto" w:fill="auto"/>
            <w:vAlign w:val="center"/>
          </w:tcPr>
          <w:p w14:paraId="3578BF0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36</w:t>
            </w:r>
          </w:p>
        </w:tc>
        <w:tc>
          <w:tcPr>
            <w:tcW w:w="2364" w:type="dxa"/>
            <w:tcBorders>
              <w:tl2br w:val="nil"/>
              <w:tr2bl w:val="nil"/>
            </w:tcBorders>
            <w:shd w:val="clear" w:color="auto" w:fill="auto"/>
            <w:vAlign w:val="center"/>
          </w:tcPr>
          <w:p w14:paraId="744610F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上市企业专题库-智能主题分析-企业上市时间轴分析</w:t>
            </w:r>
          </w:p>
        </w:tc>
        <w:tc>
          <w:tcPr>
            <w:tcW w:w="5605" w:type="dxa"/>
            <w:tcBorders>
              <w:tl2br w:val="nil"/>
              <w:tr2bl w:val="nil"/>
            </w:tcBorders>
            <w:shd w:val="clear" w:color="auto" w:fill="auto"/>
            <w:vAlign w:val="center"/>
          </w:tcPr>
          <w:p w14:paraId="3F06ADC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企业各个上市阶段，企业规模、经营情况、企业上市距离模型评估结果，获取各个阶段状态变化的时间（年、月、周、日）、注册区域，形成企业上市重要状态变化时间节点序列。根据企业各个上市阶段，企业规模、经营情况、企业上市距离模型评估结果，直观展示企业上市阶段时间轴。</w:t>
            </w:r>
          </w:p>
        </w:tc>
      </w:tr>
      <w:tr w:rsidR="004549BF" w14:paraId="43DEF0CF" w14:textId="77777777">
        <w:trPr>
          <w:trHeight w:val="283"/>
        </w:trPr>
        <w:tc>
          <w:tcPr>
            <w:tcW w:w="766" w:type="dxa"/>
            <w:tcBorders>
              <w:tl2br w:val="nil"/>
              <w:tr2bl w:val="nil"/>
            </w:tcBorders>
            <w:shd w:val="clear" w:color="auto" w:fill="auto"/>
            <w:vAlign w:val="center"/>
          </w:tcPr>
          <w:p w14:paraId="22CA966D"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37</w:t>
            </w:r>
          </w:p>
        </w:tc>
        <w:tc>
          <w:tcPr>
            <w:tcW w:w="2364" w:type="dxa"/>
            <w:tcBorders>
              <w:tl2br w:val="nil"/>
              <w:tr2bl w:val="nil"/>
            </w:tcBorders>
            <w:shd w:val="clear" w:color="auto" w:fill="auto"/>
            <w:vAlign w:val="center"/>
          </w:tcPr>
          <w:p w14:paraId="50F9A8A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上市企业专题库-统计报表-境内上市企业分时报表</w:t>
            </w:r>
          </w:p>
        </w:tc>
        <w:tc>
          <w:tcPr>
            <w:tcW w:w="5605" w:type="dxa"/>
            <w:tcBorders>
              <w:tl2br w:val="nil"/>
              <w:tr2bl w:val="nil"/>
            </w:tcBorders>
            <w:shd w:val="clear" w:color="auto" w:fill="auto"/>
            <w:vAlign w:val="center"/>
          </w:tcPr>
          <w:p w14:paraId="14C77BA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选择指定日期将该日期的境内上市企业的分析报表、包括上市境内企业概览报表、上市境外上市企业概览报表、上海三板企业报表、四板市场概览企业报表、境内上市企业报表及拟上市企业IPO进度企业报表进行统计及展示。</w:t>
            </w:r>
            <w:r>
              <w:rPr>
                <w:rFonts w:cs="宋体" w:hint="eastAsia"/>
                <w:color w:val="000000"/>
                <w:kern w:val="0"/>
                <w:lang w:bidi="ar"/>
              </w:rPr>
              <w:br/>
              <w:t>支持分时报表导出到Excel。</w:t>
            </w:r>
          </w:p>
        </w:tc>
      </w:tr>
      <w:tr w:rsidR="004549BF" w14:paraId="071FEE74" w14:textId="77777777">
        <w:trPr>
          <w:trHeight w:val="283"/>
        </w:trPr>
        <w:tc>
          <w:tcPr>
            <w:tcW w:w="766" w:type="dxa"/>
            <w:tcBorders>
              <w:tl2br w:val="nil"/>
              <w:tr2bl w:val="nil"/>
            </w:tcBorders>
            <w:shd w:val="clear" w:color="auto" w:fill="auto"/>
            <w:vAlign w:val="center"/>
          </w:tcPr>
          <w:p w14:paraId="5AC911C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38</w:t>
            </w:r>
          </w:p>
        </w:tc>
        <w:tc>
          <w:tcPr>
            <w:tcW w:w="2364" w:type="dxa"/>
            <w:tcBorders>
              <w:tl2br w:val="nil"/>
              <w:tr2bl w:val="nil"/>
            </w:tcBorders>
            <w:shd w:val="clear" w:color="auto" w:fill="auto"/>
            <w:vAlign w:val="center"/>
          </w:tcPr>
          <w:p w14:paraId="6EBD1F8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上市企业专题库-统计报表-境内企业IPO进程分时报表</w:t>
            </w:r>
          </w:p>
        </w:tc>
        <w:tc>
          <w:tcPr>
            <w:tcW w:w="5605" w:type="dxa"/>
            <w:tcBorders>
              <w:tl2br w:val="nil"/>
              <w:tr2bl w:val="nil"/>
            </w:tcBorders>
            <w:shd w:val="clear" w:color="auto" w:fill="auto"/>
            <w:vAlign w:val="center"/>
          </w:tcPr>
          <w:p w14:paraId="686F0BA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选择指定日期将该日期的境内IPO进程内企业的分析报表、包括已上市企业报表、已同意注册企业报表、已过会企业报表、已受理企业报表、辅导验收通过企业报表、在辅导企业报表进行统计及展示，并支持分时报表导出。</w:t>
            </w:r>
          </w:p>
        </w:tc>
      </w:tr>
      <w:tr w:rsidR="004549BF" w14:paraId="5D9B0BFD" w14:textId="77777777">
        <w:trPr>
          <w:trHeight w:val="283"/>
        </w:trPr>
        <w:tc>
          <w:tcPr>
            <w:tcW w:w="766" w:type="dxa"/>
            <w:tcBorders>
              <w:tl2br w:val="nil"/>
              <w:tr2bl w:val="nil"/>
            </w:tcBorders>
            <w:shd w:val="clear" w:color="auto" w:fill="auto"/>
            <w:vAlign w:val="center"/>
          </w:tcPr>
          <w:p w14:paraId="6F0B7C4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39</w:t>
            </w:r>
          </w:p>
        </w:tc>
        <w:tc>
          <w:tcPr>
            <w:tcW w:w="2364" w:type="dxa"/>
            <w:tcBorders>
              <w:tl2br w:val="nil"/>
              <w:tr2bl w:val="nil"/>
            </w:tcBorders>
            <w:shd w:val="clear" w:color="auto" w:fill="auto"/>
            <w:vAlign w:val="center"/>
          </w:tcPr>
          <w:p w14:paraId="26AAB89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上市企业专题库-统计报表-境内拟上市企业分层按时报表</w:t>
            </w:r>
          </w:p>
        </w:tc>
        <w:tc>
          <w:tcPr>
            <w:tcW w:w="5605" w:type="dxa"/>
            <w:tcBorders>
              <w:tl2br w:val="nil"/>
              <w:tr2bl w:val="nil"/>
            </w:tcBorders>
            <w:shd w:val="clear" w:color="auto" w:fill="auto"/>
            <w:vAlign w:val="center"/>
          </w:tcPr>
          <w:p w14:paraId="7E78066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选择指定日期将该日期的拟上市企业分层企业分析报表进行统计及展示，并支持分时报表导出。</w:t>
            </w:r>
          </w:p>
        </w:tc>
      </w:tr>
      <w:tr w:rsidR="004549BF" w14:paraId="4FD12D09" w14:textId="77777777">
        <w:trPr>
          <w:trHeight w:val="283"/>
        </w:trPr>
        <w:tc>
          <w:tcPr>
            <w:tcW w:w="766" w:type="dxa"/>
            <w:tcBorders>
              <w:tl2br w:val="nil"/>
              <w:tr2bl w:val="nil"/>
            </w:tcBorders>
            <w:shd w:val="clear" w:color="auto" w:fill="auto"/>
            <w:vAlign w:val="center"/>
          </w:tcPr>
          <w:p w14:paraId="2027CFF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40</w:t>
            </w:r>
          </w:p>
        </w:tc>
        <w:tc>
          <w:tcPr>
            <w:tcW w:w="2364" w:type="dxa"/>
            <w:tcBorders>
              <w:tl2br w:val="nil"/>
              <w:tr2bl w:val="nil"/>
            </w:tcBorders>
            <w:shd w:val="clear" w:color="auto" w:fill="auto"/>
            <w:vAlign w:val="center"/>
          </w:tcPr>
          <w:p w14:paraId="3260FAA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上市企业专题库-上市服务工作台-辖区企业管理 - 首页</w:t>
            </w:r>
          </w:p>
        </w:tc>
        <w:tc>
          <w:tcPr>
            <w:tcW w:w="5605" w:type="dxa"/>
            <w:tcBorders>
              <w:tl2br w:val="nil"/>
              <w:tr2bl w:val="nil"/>
            </w:tcBorders>
            <w:shd w:val="clear" w:color="auto" w:fill="auto"/>
            <w:vAlign w:val="center"/>
          </w:tcPr>
          <w:p w14:paraId="4D7D026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辖区企业管理首页，各区金融上市服务工作的个性化入口，包括本区上市企业总览：注册在本区的国内国外板块上市企业总数、本年新增数、本月新增数、全市排名；近期访问和关注的企业清单，作为快捷管理入口。</w:t>
            </w:r>
          </w:p>
        </w:tc>
      </w:tr>
      <w:tr w:rsidR="004549BF" w14:paraId="7D13499E" w14:textId="77777777">
        <w:trPr>
          <w:trHeight w:val="283"/>
        </w:trPr>
        <w:tc>
          <w:tcPr>
            <w:tcW w:w="766" w:type="dxa"/>
            <w:tcBorders>
              <w:tl2br w:val="nil"/>
              <w:tr2bl w:val="nil"/>
            </w:tcBorders>
            <w:shd w:val="clear" w:color="auto" w:fill="auto"/>
            <w:vAlign w:val="center"/>
          </w:tcPr>
          <w:p w14:paraId="26B99E6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41</w:t>
            </w:r>
          </w:p>
        </w:tc>
        <w:tc>
          <w:tcPr>
            <w:tcW w:w="2364" w:type="dxa"/>
            <w:tcBorders>
              <w:tl2br w:val="nil"/>
              <w:tr2bl w:val="nil"/>
            </w:tcBorders>
            <w:shd w:val="clear" w:color="auto" w:fill="auto"/>
            <w:vAlign w:val="center"/>
          </w:tcPr>
          <w:p w14:paraId="39FE404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上市企业专题库-上市服务工作台-辖区企业管理-状态变更推送服务</w:t>
            </w:r>
          </w:p>
        </w:tc>
        <w:tc>
          <w:tcPr>
            <w:tcW w:w="5605" w:type="dxa"/>
            <w:tcBorders>
              <w:tl2br w:val="nil"/>
              <w:tr2bl w:val="nil"/>
            </w:tcBorders>
            <w:shd w:val="clear" w:color="auto" w:fill="auto"/>
            <w:vAlign w:val="center"/>
          </w:tcPr>
          <w:p w14:paraId="69F5282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关注变更项订阅：区级上市服务可选择订阅关注的信息变更项。</w:t>
            </w:r>
            <w:r>
              <w:rPr>
                <w:rFonts w:cs="宋体" w:hint="eastAsia"/>
                <w:color w:val="000000"/>
                <w:kern w:val="0"/>
                <w:lang w:bidi="ar"/>
              </w:rPr>
              <w:br/>
              <w:t>变更项消息推送：当本区上市企业的相关订阅项信息变更时，市级统建的状态变更推送服务比对显示信息变更企业及变更类型，如企业上市状态、退市、外迁、迁入等，主动提示区级部门辖区内重点企业状态。</w:t>
            </w:r>
          </w:p>
        </w:tc>
      </w:tr>
      <w:tr w:rsidR="004549BF" w14:paraId="4C9C8AD5" w14:textId="77777777">
        <w:trPr>
          <w:trHeight w:val="283"/>
        </w:trPr>
        <w:tc>
          <w:tcPr>
            <w:tcW w:w="766" w:type="dxa"/>
            <w:tcBorders>
              <w:tl2br w:val="nil"/>
              <w:tr2bl w:val="nil"/>
            </w:tcBorders>
            <w:shd w:val="clear" w:color="auto" w:fill="auto"/>
            <w:vAlign w:val="center"/>
          </w:tcPr>
          <w:p w14:paraId="67FC3B9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42</w:t>
            </w:r>
          </w:p>
        </w:tc>
        <w:tc>
          <w:tcPr>
            <w:tcW w:w="2364" w:type="dxa"/>
            <w:tcBorders>
              <w:tl2br w:val="nil"/>
              <w:tr2bl w:val="nil"/>
            </w:tcBorders>
            <w:shd w:val="clear" w:color="auto" w:fill="auto"/>
            <w:vAlign w:val="center"/>
          </w:tcPr>
          <w:p w14:paraId="5287002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上市企业专题库-上市服务工作台-辖区</w:t>
            </w:r>
            <w:r>
              <w:rPr>
                <w:rFonts w:cs="宋体" w:hint="eastAsia"/>
                <w:color w:val="000000"/>
                <w:kern w:val="0"/>
                <w:lang w:bidi="ar"/>
              </w:rPr>
              <w:lastRenderedPageBreak/>
              <w:t>企业管理-关注企业库管理</w:t>
            </w:r>
          </w:p>
        </w:tc>
        <w:tc>
          <w:tcPr>
            <w:tcW w:w="5605" w:type="dxa"/>
            <w:tcBorders>
              <w:tl2br w:val="nil"/>
              <w:tr2bl w:val="nil"/>
            </w:tcBorders>
            <w:shd w:val="clear" w:color="auto" w:fill="auto"/>
            <w:vAlign w:val="center"/>
          </w:tcPr>
          <w:p w14:paraId="201E7C8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lastRenderedPageBreak/>
              <w:t>各区可维护自有的企业信息，提供在线添加、删除、批量导入、查询导出功能。</w:t>
            </w:r>
            <w:r>
              <w:rPr>
                <w:rFonts w:cs="宋体" w:hint="eastAsia"/>
                <w:color w:val="000000"/>
                <w:kern w:val="0"/>
                <w:lang w:bidi="ar"/>
              </w:rPr>
              <w:br/>
            </w:r>
            <w:r>
              <w:rPr>
                <w:rFonts w:cs="宋体" w:hint="eastAsia"/>
                <w:color w:val="000000"/>
                <w:kern w:val="0"/>
                <w:lang w:bidi="ar"/>
              </w:rPr>
              <w:lastRenderedPageBreak/>
              <w:t>关注企业库仅对本区服务人员可见，其他区和市级服务部门都不可见。</w:t>
            </w:r>
          </w:p>
        </w:tc>
      </w:tr>
      <w:tr w:rsidR="004549BF" w14:paraId="56ABA8F7" w14:textId="77777777">
        <w:trPr>
          <w:trHeight w:val="283"/>
        </w:trPr>
        <w:tc>
          <w:tcPr>
            <w:tcW w:w="766" w:type="dxa"/>
            <w:tcBorders>
              <w:tl2br w:val="nil"/>
              <w:tr2bl w:val="nil"/>
            </w:tcBorders>
            <w:shd w:val="clear" w:color="auto" w:fill="auto"/>
            <w:vAlign w:val="center"/>
          </w:tcPr>
          <w:p w14:paraId="2C86D8E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43</w:t>
            </w:r>
          </w:p>
        </w:tc>
        <w:tc>
          <w:tcPr>
            <w:tcW w:w="2364" w:type="dxa"/>
            <w:tcBorders>
              <w:tl2br w:val="nil"/>
              <w:tr2bl w:val="nil"/>
            </w:tcBorders>
            <w:shd w:val="clear" w:color="auto" w:fill="auto"/>
            <w:vAlign w:val="center"/>
          </w:tcPr>
          <w:p w14:paraId="4C3C19B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上市企业专题库-上市服务工作台-辖区企业管理-企业发现</w:t>
            </w:r>
          </w:p>
        </w:tc>
        <w:tc>
          <w:tcPr>
            <w:tcW w:w="5605" w:type="dxa"/>
            <w:tcBorders>
              <w:tl2br w:val="nil"/>
              <w:tr2bl w:val="nil"/>
            </w:tcBorders>
            <w:shd w:val="clear" w:color="auto" w:fill="auto"/>
            <w:vAlign w:val="center"/>
          </w:tcPr>
          <w:p w14:paraId="38B36EB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推荐企业可查看企业详情或画像，并可添加关注，加入本区关注库。</w:t>
            </w:r>
          </w:p>
        </w:tc>
      </w:tr>
      <w:tr w:rsidR="004549BF" w14:paraId="35A968B0" w14:textId="77777777">
        <w:trPr>
          <w:trHeight w:val="283"/>
        </w:trPr>
        <w:tc>
          <w:tcPr>
            <w:tcW w:w="766" w:type="dxa"/>
            <w:tcBorders>
              <w:tl2br w:val="nil"/>
              <w:tr2bl w:val="nil"/>
            </w:tcBorders>
            <w:shd w:val="clear" w:color="auto" w:fill="auto"/>
            <w:vAlign w:val="center"/>
          </w:tcPr>
          <w:p w14:paraId="127DEBF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44</w:t>
            </w:r>
          </w:p>
        </w:tc>
        <w:tc>
          <w:tcPr>
            <w:tcW w:w="2364" w:type="dxa"/>
            <w:tcBorders>
              <w:tl2br w:val="nil"/>
              <w:tr2bl w:val="nil"/>
            </w:tcBorders>
            <w:shd w:val="clear" w:color="auto" w:fill="auto"/>
            <w:vAlign w:val="center"/>
          </w:tcPr>
          <w:p w14:paraId="03D138B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上市企业专题库-上市服务工作台-辖区企业管理-企业信息全文搜索</w:t>
            </w:r>
          </w:p>
        </w:tc>
        <w:tc>
          <w:tcPr>
            <w:tcW w:w="5605" w:type="dxa"/>
            <w:tcBorders>
              <w:tl2br w:val="nil"/>
              <w:tr2bl w:val="nil"/>
            </w:tcBorders>
            <w:shd w:val="clear" w:color="auto" w:fill="auto"/>
            <w:vAlign w:val="center"/>
          </w:tcPr>
          <w:p w14:paraId="0C79BF3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提供关键词全文搜索；支持按企业名称、IPO阶段、辖区、行业分类、产业、上市板块、企业标签、科技属性等进行搜索。</w:t>
            </w:r>
            <w:r>
              <w:rPr>
                <w:rFonts w:cs="宋体" w:hint="eastAsia"/>
                <w:color w:val="000000"/>
                <w:kern w:val="0"/>
                <w:lang w:bidi="ar"/>
              </w:rPr>
              <w:br/>
              <w:t>搜索结果按照用户辖区范围自动进行数据过滤，确保数据访问安全。点击搜索接口，可跳转企业画像信息。</w:t>
            </w:r>
          </w:p>
        </w:tc>
      </w:tr>
      <w:tr w:rsidR="004549BF" w14:paraId="4F507AD8" w14:textId="77777777">
        <w:trPr>
          <w:trHeight w:val="283"/>
        </w:trPr>
        <w:tc>
          <w:tcPr>
            <w:tcW w:w="766" w:type="dxa"/>
            <w:tcBorders>
              <w:tl2br w:val="nil"/>
              <w:tr2bl w:val="nil"/>
            </w:tcBorders>
            <w:shd w:val="clear" w:color="auto" w:fill="auto"/>
            <w:vAlign w:val="center"/>
          </w:tcPr>
          <w:p w14:paraId="3F21FB4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45</w:t>
            </w:r>
          </w:p>
        </w:tc>
        <w:tc>
          <w:tcPr>
            <w:tcW w:w="2364" w:type="dxa"/>
            <w:tcBorders>
              <w:tl2br w:val="nil"/>
              <w:tr2bl w:val="nil"/>
            </w:tcBorders>
            <w:shd w:val="clear" w:color="auto" w:fill="auto"/>
            <w:vAlign w:val="center"/>
          </w:tcPr>
          <w:p w14:paraId="15B0EC3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上市企业专题库-上市服务工作台-辖区企业管理-企业标签管理</w:t>
            </w:r>
          </w:p>
        </w:tc>
        <w:tc>
          <w:tcPr>
            <w:tcW w:w="5605" w:type="dxa"/>
            <w:tcBorders>
              <w:tl2br w:val="nil"/>
              <w:tr2bl w:val="nil"/>
            </w:tcBorders>
            <w:shd w:val="clear" w:color="auto" w:fill="auto"/>
            <w:vAlign w:val="center"/>
          </w:tcPr>
          <w:p w14:paraId="3F62E0A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根据本区管理需要，可对筛选的企业添加自定义标签、删除标签；可批量导入企业列表，进行批量添加或删除标签。</w:t>
            </w:r>
            <w:r>
              <w:rPr>
                <w:rFonts w:cs="宋体" w:hint="eastAsia"/>
                <w:color w:val="000000"/>
                <w:kern w:val="0"/>
                <w:lang w:bidi="ar"/>
              </w:rPr>
              <w:br/>
              <w:t>辖区企业的标签，对其他区或市级用户不可见。</w:t>
            </w:r>
          </w:p>
        </w:tc>
      </w:tr>
      <w:tr w:rsidR="004549BF" w14:paraId="4672F76C" w14:textId="77777777">
        <w:trPr>
          <w:trHeight w:val="283"/>
        </w:trPr>
        <w:tc>
          <w:tcPr>
            <w:tcW w:w="766" w:type="dxa"/>
            <w:tcBorders>
              <w:tl2br w:val="nil"/>
              <w:tr2bl w:val="nil"/>
            </w:tcBorders>
            <w:shd w:val="clear" w:color="auto" w:fill="auto"/>
            <w:vAlign w:val="center"/>
          </w:tcPr>
          <w:p w14:paraId="5D85A20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46</w:t>
            </w:r>
          </w:p>
        </w:tc>
        <w:tc>
          <w:tcPr>
            <w:tcW w:w="2364" w:type="dxa"/>
            <w:tcBorders>
              <w:tl2br w:val="nil"/>
              <w:tr2bl w:val="nil"/>
            </w:tcBorders>
            <w:shd w:val="clear" w:color="auto" w:fill="auto"/>
            <w:vAlign w:val="center"/>
          </w:tcPr>
          <w:p w14:paraId="6AA7015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上市企业专题库-上市服务工作台-辖区企业管理-企业评价管理</w:t>
            </w:r>
          </w:p>
        </w:tc>
        <w:tc>
          <w:tcPr>
            <w:tcW w:w="5605" w:type="dxa"/>
            <w:tcBorders>
              <w:tl2br w:val="nil"/>
              <w:tr2bl w:val="nil"/>
            </w:tcBorders>
            <w:shd w:val="clear" w:color="auto" w:fill="auto"/>
            <w:vAlign w:val="center"/>
          </w:tcPr>
          <w:p w14:paraId="23EC973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依据政策标准和企业上市准备工作的完成情况，给出评分及建议。对辖区企业可批量导入企业评价信息；可按照时间段、上市阶段、产业、行业类别等指标查询并导出评价信息。</w:t>
            </w:r>
          </w:p>
        </w:tc>
      </w:tr>
      <w:tr w:rsidR="004549BF" w14:paraId="7C7C0782" w14:textId="77777777">
        <w:trPr>
          <w:trHeight w:val="283"/>
        </w:trPr>
        <w:tc>
          <w:tcPr>
            <w:tcW w:w="766" w:type="dxa"/>
            <w:tcBorders>
              <w:tl2br w:val="nil"/>
              <w:tr2bl w:val="nil"/>
            </w:tcBorders>
            <w:shd w:val="clear" w:color="auto" w:fill="auto"/>
            <w:vAlign w:val="center"/>
          </w:tcPr>
          <w:p w14:paraId="438AB22A"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47</w:t>
            </w:r>
          </w:p>
        </w:tc>
        <w:tc>
          <w:tcPr>
            <w:tcW w:w="2364" w:type="dxa"/>
            <w:tcBorders>
              <w:tl2br w:val="nil"/>
              <w:tr2bl w:val="nil"/>
            </w:tcBorders>
            <w:shd w:val="clear" w:color="auto" w:fill="auto"/>
            <w:vAlign w:val="center"/>
          </w:tcPr>
          <w:p w14:paraId="3AE1DD7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上市企业专题库-上市服务工作台-通用功能-企业服务台账</w:t>
            </w:r>
          </w:p>
        </w:tc>
        <w:tc>
          <w:tcPr>
            <w:tcW w:w="5605" w:type="dxa"/>
            <w:tcBorders>
              <w:tl2br w:val="nil"/>
              <w:tr2bl w:val="nil"/>
            </w:tcBorders>
            <w:shd w:val="clear" w:color="auto" w:fill="auto"/>
            <w:vAlign w:val="center"/>
          </w:tcPr>
          <w:p w14:paraId="05FAAAE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提供区为企业进行服务的台账记录；可批量导入服务台账信息；导入企业不能匹配时，提供异常信息，服务人员对信息进行修改后再导入。</w:t>
            </w:r>
            <w:r>
              <w:rPr>
                <w:rFonts w:cs="宋体" w:hint="eastAsia"/>
                <w:color w:val="000000"/>
                <w:kern w:val="0"/>
                <w:lang w:bidi="ar"/>
              </w:rPr>
              <w:br/>
              <w:t>可根据时间段、企业类型、上市阶段、行业类别、产业等特征筛选汇总并导出。</w:t>
            </w:r>
          </w:p>
        </w:tc>
      </w:tr>
      <w:tr w:rsidR="004549BF" w14:paraId="37B1AF58" w14:textId="77777777">
        <w:trPr>
          <w:trHeight w:val="283"/>
        </w:trPr>
        <w:tc>
          <w:tcPr>
            <w:tcW w:w="766" w:type="dxa"/>
            <w:tcBorders>
              <w:tl2br w:val="nil"/>
              <w:tr2bl w:val="nil"/>
            </w:tcBorders>
            <w:shd w:val="clear" w:color="auto" w:fill="auto"/>
            <w:vAlign w:val="center"/>
          </w:tcPr>
          <w:p w14:paraId="3D38F60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48</w:t>
            </w:r>
          </w:p>
        </w:tc>
        <w:tc>
          <w:tcPr>
            <w:tcW w:w="2364" w:type="dxa"/>
            <w:tcBorders>
              <w:tl2br w:val="nil"/>
              <w:tr2bl w:val="nil"/>
            </w:tcBorders>
            <w:shd w:val="clear" w:color="auto" w:fill="auto"/>
            <w:vAlign w:val="center"/>
          </w:tcPr>
          <w:p w14:paraId="4D42F7F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上市企业专题库-上市服务工作台-通用功能-月月报</w:t>
            </w:r>
          </w:p>
        </w:tc>
        <w:tc>
          <w:tcPr>
            <w:tcW w:w="5605" w:type="dxa"/>
            <w:tcBorders>
              <w:tl2br w:val="nil"/>
              <w:tr2bl w:val="nil"/>
            </w:tcBorders>
            <w:shd w:val="clear" w:color="auto" w:fill="auto"/>
            <w:vAlign w:val="center"/>
          </w:tcPr>
          <w:p w14:paraId="1D2F393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提供区级上报每月服务情况及简报，便于市级主管部门汇总相关资料，并可查询导出。</w:t>
            </w:r>
          </w:p>
        </w:tc>
      </w:tr>
      <w:tr w:rsidR="004549BF" w14:paraId="1730B846" w14:textId="77777777">
        <w:trPr>
          <w:trHeight w:val="283"/>
        </w:trPr>
        <w:tc>
          <w:tcPr>
            <w:tcW w:w="766" w:type="dxa"/>
            <w:tcBorders>
              <w:tl2br w:val="nil"/>
              <w:tr2bl w:val="nil"/>
            </w:tcBorders>
            <w:shd w:val="clear" w:color="auto" w:fill="auto"/>
            <w:vAlign w:val="center"/>
          </w:tcPr>
          <w:p w14:paraId="36A092B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49</w:t>
            </w:r>
          </w:p>
        </w:tc>
        <w:tc>
          <w:tcPr>
            <w:tcW w:w="2364" w:type="dxa"/>
            <w:tcBorders>
              <w:tl2br w:val="nil"/>
              <w:tr2bl w:val="nil"/>
            </w:tcBorders>
            <w:shd w:val="clear" w:color="auto" w:fill="auto"/>
            <w:vAlign w:val="center"/>
          </w:tcPr>
          <w:p w14:paraId="4928745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上市企业专题库-上市服务工作台-通用</w:t>
            </w:r>
            <w:r>
              <w:rPr>
                <w:rFonts w:cs="宋体" w:hint="eastAsia"/>
                <w:color w:val="000000"/>
                <w:kern w:val="0"/>
                <w:lang w:bidi="ar"/>
              </w:rPr>
              <w:lastRenderedPageBreak/>
              <w:t>功能-注册地址变更分析</w:t>
            </w:r>
          </w:p>
        </w:tc>
        <w:tc>
          <w:tcPr>
            <w:tcW w:w="5605" w:type="dxa"/>
            <w:tcBorders>
              <w:tl2br w:val="nil"/>
              <w:tr2bl w:val="nil"/>
            </w:tcBorders>
            <w:shd w:val="clear" w:color="auto" w:fill="auto"/>
            <w:vAlign w:val="center"/>
          </w:tcPr>
          <w:p w14:paraId="3003A72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lastRenderedPageBreak/>
              <w:t>利用大数据中心采集的企业市场监管数据，统计分析本辖区内上市相关企业注册地址变更情况，地图</w:t>
            </w:r>
            <w:r>
              <w:rPr>
                <w:rFonts w:cs="宋体" w:hint="eastAsia"/>
                <w:color w:val="000000"/>
                <w:kern w:val="0"/>
                <w:lang w:bidi="ar"/>
              </w:rPr>
              <w:lastRenderedPageBreak/>
              <w:t>展示本区企业迁出、迁入情况。切片分析数据可查询导出。</w:t>
            </w:r>
          </w:p>
        </w:tc>
      </w:tr>
      <w:tr w:rsidR="004549BF" w14:paraId="5EBCBAC4" w14:textId="77777777">
        <w:trPr>
          <w:trHeight w:val="283"/>
        </w:trPr>
        <w:tc>
          <w:tcPr>
            <w:tcW w:w="766" w:type="dxa"/>
            <w:tcBorders>
              <w:tl2br w:val="nil"/>
              <w:tr2bl w:val="nil"/>
            </w:tcBorders>
            <w:shd w:val="clear" w:color="auto" w:fill="auto"/>
            <w:vAlign w:val="center"/>
          </w:tcPr>
          <w:p w14:paraId="431A09E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50</w:t>
            </w:r>
          </w:p>
        </w:tc>
        <w:tc>
          <w:tcPr>
            <w:tcW w:w="2364" w:type="dxa"/>
            <w:tcBorders>
              <w:tl2br w:val="nil"/>
              <w:tr2bl w:val="nil"/>
            </w:tcBorders>
            <w:shd w:val="clear" w:color="auto" w:fill="auto"/>
            <w:vAlign w:val="center"/>
          </w:tcPr>
          <w:p w14:paraId="58F9DC4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上市企业专题库-上市服务工作台-通用功能-IPO状态变化变更信息</w:t>
            </w:r>
          </w:p>
        </w:tc>
        <w:tc>
          <w:tcPr>
            <w:tcW w:w="5605" w:type="dxa"/>
            <w:tcBorders>
              <w:tl2br w:val="nil"/>
              <w:tr2bl w:val="nil"/>
            </w:tcBorders>
            <w:shd w:val="clear" w:color="auto" w:fill="auto"/>
            <w:vAlign w:val="center"/>
          </w:tcPr>
          <w:p w14:paraId="0484339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根据各个阶段IPO状态，按月统计辖区内企业上市进程企业数，可视化展示各阶段企业数的变化，统计数与企业列表联动，按照上市距离指数倒序排列，从企业列表可下钻查看企业画像。切片分析数据可查询导出。</w:t>
            </w:r>
          </w:p>
        </w:tc>
      </w:tr>
      <w:tr w:rsidR="004549BF" w14:paraId="4F9E4870" w14:textId="77777777">
        <w:trPr>
          <w:trHeight w:val="283"/>
        </w:trPr>
        <w:tc>
          <w:tcPr>
            <w:tcW w:w="766" w:type="dxa"/>
            <w:tcBorders>
              <w:tl2br w:val="nil"/>
              <w:tr2bl w:val="nil"/>
            </w:tcBorders>
            <w:shd w:val="clear" w:color="auto" w:fill="auto"/>
            <w:vAlign w:val="center"/>
          </w:tcPr>
          <w:p w14:paraId="0955DBE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51</w:t>
            </w:r>
          </w:p>
        </w:tc>
        <w:tc>
          <w:tcPr>
            <w:tcW w:w="2364" w:type="dxa"/>
            <w:tcBorders>
              <w:tl2br w:val="nil"/>
              <w:tr2bl w:val="nil"/>
            </w:tcBorders>
            <w:shd w:val="clear" w:color="auto" w:fill="auto"/>
            <w:vAlign w:val="center"/>
          </w:tcPr>
          <w:p w14:paraId="3DE1F99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上市企业专题库-上市服务工作台-通用功能-相关资料分享</w:t>
            </w:r>
          </w:p>
        </w:tc>
        <w:tc>
          <w:tcPr>
            <w:tcW w:w="5605" w:type="dxa"/>
            <w:tcBorders>
              <w:tl2br w:val="nil"/>
              <w:tr2bl w:val="nil"/>
            </w:tcBorders>
            <w:shd w:val="clear" w:color="auto" w:fill="auto"/>
            <w:vAlign w:val="center"/>
          </w:tcPr>
          <w:p w14:paraId="213028E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提供市与区各类业务资料的在线存储、检索、分类、分享功能，通过选择分享用户，实现文件点对点分享下载。</w:t>
            </w:r>
          </w:p>
        </w:tc>
      </w:tr>
      <w:tr w:rsidR="004549BF" w14:paraId="58E93628" w14:textId="77777777">
        <w:trPr>
          <w:trHeight w:val="283"/>
        </w:trPr>
        <w:tc>
          <w:tcPr>
            <w:tcW w:w="766" w:type="dxa"/>
            <w:tcBorders>
              <w:tl2br w:val="nil"/>
              <w:tr2bl w:val="nil"/>
            </w:tcBorders>
            <w:shd w:val="clear" w:color="auto" w:fill="auto"/>
            <w:vAlign w:val="center"/>
          </w:tcPr>
          <w:p w14:paraId="064DC9B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52</w:t>
            </w:r>
          </w:p>
        </w:tc>
        <w:tc>
          <w:tcPr>
            <w:tcW w:w="2364" w:type="dxa"/>
            <w:tcBorders>
              <w:tl2br w:val="nil"/>
              <w:tr2bl w:val="nil"/>
            </w:tcBorders>
            <w:shd w:val="clear" w:color="auto" w:fill="auto"/>
            <w:vAlign w:val="center"/>
          </w:tcPr>
          <w:p w14:paraId="713FD02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上市企业专题库-上市服务工作台-资讯培训-资本市场资讯</w:t>
            </w:r>
          </w:p>
        </w:tc>
        <w:tc>
          <w:tcPr>
            <w:tcW w:w="5605" w:type="dxa"/>
            <w:tcBorders>
              <w:tl2br w:val="nil"/>
              <w:tr2bl w:val="nil"/>
            </w:tcBorders>
            <w:shd w:val="clear" w:color="auto" w:fill="auto"/>
            <w:vAlign w:val="center"/>
          </w:tcPr>
          <w:p w14:paraId="3820AF1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接入资本市场信息服务，实现用户单点登录，提供资本市场信息咨询查阅。</w:t>
            </w:r>
          </w:p>
        </w:tc>
      </w:tr>
      <w:tr w:rsidR="004549BF" w14:paraId="15E6B412" w14:textId="77777777">
        <w:trPr>
          <w:trHeight w:val="283"/>
        </w:trPr>
        <w:tc>
          <w:tcPr>
            <w:tcW w:w="766" w:type="dxa"/>
            <w:tcBorders>
              <w:tl2br w:val="nil"/>
              <w:tr2bl w:val="nil"/>
            </w:tcBorders>
            <w:shd w:val="clear" w:color="auto" w:fill="auto"/>
            <w:vAlign w:val="center"/>
          </w:tcPr>
          <w:p w14:paraId="05CF769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53</w:t>
            </w:r>
          </w:p>
        </w:tc>
        <w:tc>
          <w:tcPr>
            <w:tcW w:w="2364" w:type="dxa"/>
            <w:tcBorders>
              <w:tl2br w:val="nil"/>
              <w:tr2bl w:val="nil"/>
            </w:tcBorders>
            <w:shd w:val="clear" w:color="auto" w:fill="auto"/>
            <w:vAlign w:val="center"/>
          </w:tcPr>
          <w:p w14:paraId="03058BC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上市企业专题库-上市服务工作台-资讯培训-小登课堂</w:t>
            </w:r>
          </w:p>
        </w:tc>
        <w:tc>
          <w:tcPr>
            <w:tcW w:w="5605" w:type="dxa"/>
            <w:tcBorders>
              <w:tl2br w:val="nil"/>
              <w:tr2bl w:val="nil"/>
            </w:tcBorders>
            <w:shd w:val="clear" w:color="auto" w:fill="auto"/>
            <w:vAlign w:val="center"/>
          </w:tcPr>
          <w:p w14:paraId="06D0DE2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接入小登课堂服务，实现用户单点登录，提供课程播放学习功能。</w:t>
            </w:r>
          </w:p>
        </w:tc>
      </w:tr>
      <w:tr w:rsidR="004549BF" w14:paraId="53101C5D" w14:textId="77777777">
        <w:trPr>
          <w:trHeight w:val="283"/>
        </w:trPr>
        <w:tc>
          <w:tcPr>
            <w:tcW w:w="766" w:type="dxa"/>
            <w:tcBorders>
              <w:tl2br w:val="nil"/>
              <w:tr2bl w:val="nil"/>
            </w:tcBorders>
            <w:shd w:val="clear" w:color="auto" w:fill="auto"/>
            <w:vAlign w:val="center"/>
          </w:tcPr>
          <w:p w14:paraId="4E96C85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54</w:t>
            </w:r>
          </w:p>
        </w:tc>
        <w:tc>
          <w:tcPr>
            <w:tcW w:w="2364" w:type="dxa"/>
            <w:tcBorders>
              <w:tl2br w:val="nil"/>
              <w:tr2bl w:val="nil"/>
            </w:tcBorders>
            <w:shd w:val="clear" w:color="auto" w:fill="auto"/>
            <w:vAlign w:val="center"/>
          </w:tcPr>
          <w:p w14:paraId="0991340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上市企业专题库-上市服务工作台-资讯培训-交易所培训课程</w:t>
            </w:r>
          </w:p>
        </w:tc>
        <w:tc>
          <w:tcPr>
            <w:tcW w:w="5605" w:type="dxa"/>
            <w:tcBorders>
              <w:tl2br w:val="nil"/>
              <w:tr2bl w:val="nil"/>
            </w:tcBorders>
            <w:shd w:val="clear" w:color="auto" w:fill="auto"/>
            <w:vAlign w:val="center"/>
          </w:tcPr>
          <w:p w14:paraId="2284933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接入各交易所培训课程，实现用户单点登录，便于区级服务部门快速定位至各类上市工具网站。</w:t>
            </w:r>
          </w:p>
        </w:tc>
      </w:tr>
      <w:tr w:rsidR="004549BF" w14:paraId="0180E370" w14:textId="77777777">
        <w:trPr>
          <w:trHeight w:val="283"/>
        </w:trPr>
        <w:tc>
          <w:tcPr>
            <w:tcW w:w="766" w:type="dxa"/>
            <w:tcBorders>
              <w:tl2br w:val="nil"/>
              <w:tr2bl w:val="nil"/>
            </w:tcBorders>
            <w:shd w:val="clear" w:color="auto" w:fill="auto"/>
            <w:vAlign w:val="center"/>
          </w:tcPr>
          <w:p w14:paraId="2C1CF9E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55</w:t>
            </w:r>
          </w:p>
        </w:tc>
        <w:tc>
          <w:tcPr>
            <w:tcW w:w="2364" w:type="dxa"/>
            <w:tcBorders>
              <w:tl2br w:val="nil"/>
              <w:tr2bl w:val="nil"/>
            </w:tcBorders>
            <w:shd w:val="clear" w:color="auto" w:fill="auto"/>
            <w:vAlign w:val="center"/>
          </w:tcPr>
          <w:p w14:paraId="6EABA56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上市企业专题库-上市服务工作台-智能简报-报表动态数据定义工具</w:t>
            </w:r>
          </w:p>
        </w:tc>
        <w:tc>
          <w:tcPr>
            <w:tcW w:w="5605" w:type="dxa"/>
            <w:tcBorders>
              <w:tl2br w:val="nil"/>
              <w:tr2bl w:val="nil"/>
            </w:tcBorders>
            <w:shd w:val="clear" w:color="auto" w:fill="auto"/>
            <w:vAlign w:val="center"/>
          </w:tcPr>
          <w:p w14:paraId="49F61B4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针对企业上市服务管理，市区每月都要生成文档简报，为了能够灵活应对各区的简报差异，本模块中将开发动态文字报表的自定义功能。</w:t>
            </w:r>
          </w:p>
        </w:tc>
      </w:tr>
      <w:tr w:rsidR="004549BF" w14:paraId="1D93AF1A" w14:textId="77777777">
        <w:trPr>
          <w:trHeight w:val="283"/>
        </w:trPr>
        <w:tc>
          <w:tcPr>
            <w:tcW w:w="766" w:type="dxa"/>
            <w:tcBorders>
              <w:tl2br w:val="nil"/>
              <w:tr2bl w:val="nil"/>
            </w:tcBorders>
            <w:shd w:val="clear" w:color="auto" w:fill="auto"/>
            <w:vAlign w:val="center"/>
          </w:tcPr>
          <w:p w14:paraId="48A1EA1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56</w:t>
            </w:r>
          </w:p>
        </w:tc>
        <w:tc>
          <w:tcPr>
            <w:tcW w:w="2364" w:type="dxa"/>
            <w:tcBorders>
              <w:tl2br w:val="nil"/>
              <w:tr2bl w:val="nil"/>
            </w:tcBorders>
            <w:shd w:val="clear" w:color="auto" w:fill="auto"/>
            <w:vAlign w:val="center"/>
          </w:tcPr>
          <w:p w14:paraId="069E939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上市企业专题库-上市服务工作台-智能简报-简报模板定义工具</w:t>
            </w:r>
          </w:p>
        </w:tc>
        <w:tc>
          <w:tcPr>
            <w:tcW w:w="5605" w:type="dxa"/>
            <w:tcBorders>
              <w:tl2br w:val="nil"/>
              <w:tr2bl w:val="nil"/>
            </w:tcBorders>
            <w:shd w:val="clear" w:color="auto" w:fill="auto"/>
            <w:vAlign w:val="center"/>
          </w:tcPr>
          <w:p w14:paraId="0C90798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简报模板定义是根据最终输出的文档要求，将需要系统生成的文字或图形部分替换为动态数据，保存为特定用户的输出模板。</w:t>
            </w:r>
          </w:p>
        </w:tc>
      </w:tr>
      <w:tr w:rsidR="004549BF" w14:paraId="62F856D7" w14:textId="77777777">
        <w:trPr>
          <w:trHeight w:val="283"/>
        </w:trPr>
        <w:tc>
          <w:tcPr>
            <w:tcW w:w="766" w:type="dxa"/>
            <w:tcBorders>
              <w:tl2br w:val="nil"/>
              <w:tr2bl w:val="nil"/>
            </w:tcBorders>
            <w:shd w:val="clear" w:color="auto" w:fill="auto"/>
            <w:vAlign w:val="center"/>
          </w:tcPr>
          <w:p w14:paraId="45B1379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57</w:t>
            </w:r>
          </w:p>
        </w:tc>
        <w:tc>
          <w:tcPr>
            <w:tcW w:w="2364" w:type="dxa"/>
            <w:tcBorders>
              <w:tl2br w:val="nil"/>
              <w:tr2bl w:val="nil"/>
            </w:tcBorders>
            <w:shd w:val="clear" w:color="auto" w:fill="auto"/>
            <w:vAlign w:val="center"/>
          </w:tcPr>
          <w:p w14:paraId="3AAF3A3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上市企业专题库-上市服务工作台-智能简报-简报生成</w:t>
            </w:r>
          </w:p>
        </w:tc>
        <w:tc>
          <w:tcPr>
            <w:tcW w:w="5605" w:type="dxa"/>
            <w:tcBorders>
              <w:tl2br w:val="nil"/>
              <w:tr2bl w:val="nil"/>
            </w:tcBorders>
            <w:shd w:val="clear" w:color="auto" w:fill="auto"/>
            <w:vAlign w:val="center"/>
          </w:tcPr>
          <w:p w14:paraId="6F59CC1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用户选择简报，根据用户的数据权限范围，系统生成自定义数据，替换自定义标签，生成简报，可导出pdf/doc格式文档，可在线预览，并可下载。</w:t>
            </w:r>
          </w:p>
        </w:tc>
      </w:tr>
      <w:tr w:rsidR="004549BF" w14:paraId="3D99BB83" w14:textId="77777777">
        <w:trPr>
          <w:trHeight w:val="283"/>
        </w:trPr>
        <w:tc>
          <w:tcPr>
            <w:tcW w:w="766" w:type="dxa"/>
            <w:tcBorders>
              <w:tl2br w:val="nil"/>
              <w:tr2bl w:val="nil"/>
            </w:tcBorders>
            <w:shd w:val="clear" w:color="auto" w:fill="auto"/>
            <w:vAlign w:val="center"/>
          </w:tcPr>
          <w:p w14:paraId="6C285BE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58</w:t>
            </w:r>
          </w:p>
        </w:tc>
        <w:tc>
          <w:tcPr>
            <w:tcW w:w="2364" w:type="dxa"/>
            <w:tcBorders>
              <w:tl2br w:val="nil"/>
              <w:tr2bl w:val="nil"/>
            </w:tcBorders>
            <w:shd w:val="clear" w:color="auto" w:fill="auto"/>
            <w:vAlign w:val="center"/>
          </w:tcPr>
          <w:p w14:paraId="635BB3E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上市企业专题库-智能移动终端应用-移动端首页</w:t>
            </w:r>
          </w:p>
        </w:tc>
        <w:tc>
          <w:tcPr>
            <w:tcW w:w="5605" w:type="dxa"/>
            <w:tcBorders>
              <w:tl2br w:val="nil"/>
              <w:tr2bl w:val="nil"/>
            </w:tcBorders>
            <w:shd w:val="clear" w:color="auto" w:fill="auto"/>
            <w:vAlign w:val="center"/>
          </w:tcPr>
          <w:p w14:paraId="50112A8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展示上市相关企业统计信息、消息资讯、导航功能菜单。</w:t>
            </w:r>
          </w:p>
        </w:tc>
      </w:tr>
      <w:tr w:rsidR="004549BF" w14:paraId="5F8303C4" w14:textId="77777777">
        <w:trPr>
          <w:trHeight w:val="283"/>
        </w:trPr>
        <w:tc>
          <w:tcPr>
            <w:tcW w:w="766" w:type="dxa"/>
            <w:tcBorders>
              <w:tl2br w:val="nil"/>
              <w:tr2bl w:val="nil"/>
            </w:tcBorders>
            <w:shd w:val="clear" w:color="auto" w:fill="auto"/>
            <w:vAlign w:val="center"/>
          </w:tcPr>
          <w:p w14:paraId="4DBB601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59</w:t>
            </w:r>
          </w:p>
        </w:tc>
        <w:tc>
          <w:tcPr>
            <w:tcW w:w="2364" w:type="dxa"/>
            <w:tcBorders>
              <w:tl2br w:val="nil"/>
              <w:tr2bl w:val="nil"/>
            </w:tcBorders>
            <w:shd w:val="clear" w:color="auto" w:fill="auto"/>
            <w:vAlign w:val="center"/>
          </w:tcPr>
          <w:p w14:paraId="2862217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上市企业专题库-智能移动终端应用-移动端企业搜索</w:t>
            </w:r>
          </w:p>
        </w:tc>
        <w:tc>
          <w:tcPr>
            <w:tcW w:w="5605" w:type="dxa"/>
            <w:tcBorders>
              <w:tl2br w:val="nil"/>
              <w:tr2bl w:val="nil"/>
            </w:tcBorders>
            <w:shd w:val="clear" w:color="auto" w:fill="auto"/>
            <w:vAlign w:val="center"/>
          </w:tcPr>
          <w:p w14:paraId="57AB3E5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提供移动端关键词全文搜索，搜索结果按照用户辖区范围自动进行数据过滤，可跳转企业画像信息。</w:t>
            </w:r>
          </w:p>
        </w:tc>
      </w:tr>
      <w:tr w:rsidR="004549BF" w14:paraId="6EB4A30A" w14:textId="77777777">
        <w:trPr>
          <w:trHeight w:val="283"/>
        </w:trPr>
        <w:tc>
          <w:tcPr>
            <w:tcW w:w="766" w:type="dxa"/>
            <w:tcBorders>
              <w:tl2br w:val="nil"/>
              <w:tr2bl w:val="nil"/>
            </w:tcBorders>
            <w:shd w:val="clear" w:color="auto" w:fill="auto"/>
            <w:vAlign w:val="center"/>
          </w:tcPr>
          <w:p w14:paraId="40345B9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60</w:t>
            </w:r>
          </w:p>
        </w:tc>
        <w:tc>
          <w:tcPr>
            <w:tcW w:w="2364" w:type="dxa"/>
            <w:tcBorders>
              <w:tl2br w:val="nil"/>
              <w:tr2bl w:val="nil"/>
            </w:tcBorders>
            <w:shd w:val="clear" w:color="auto" w:fill="auto"/>
            <w:vAlign w:val="center"/>
          </w:tcPr>
          <w:p w14:paraId="33AA33C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上市企业专题库-智能移动终端应用-移动端企业画像</w:t>
            </w:r>
          </w:p>
        </w:tc>
        <w:tc>
          <w:tcPr>
            <w:tcW w:w="5605" w:type="dxa"/>
            <w:tcBorders>
              <w:tl2br w:val="nil"/>
              <w:tr2bl w:val="nil"/>
            </w:tcBorders>
            <w:shd w:val="clear" w:color="auto" w:fill="auto"/>
            <w:vAlign w:val="center"/>
          </w:tcPr>
          <w:p w14:paraId="239037A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提供移动端全方位的企业画像展示，信息展示需要有便捷的导航，图文结合，覆盖企业全信息。</w:t>
            </w:r>
          </w:p>
        </w:tc>
      </w:tr>
      <w:tr w:rsidR="004549BF" w14:paraId="2122935C" w14:textId="77777777">
        <w:trPr>
          <w:trHeight w:val="283"/>
        </w:trPr>
        <w:tc>
          <w:tcPr>
            <w:tcW w:w="766" w:type="dxa"/>
            <w:tcBorders>
              <w:tl2br w:val="nil"/>
              <w:tr2bl w:val="nil"/>
            </w:tcBorders>
            <w:shd w:val="clear" w:color="auto" w:fill="auto"/>
            <w:vAlign w:val="center"/>
          </w:tcPr>
          <w:p w14:paraId="22DFA38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61</w:t>
            </w:r>
          </w:p>
        </w:tc>
        <w:tc>
          <w:tcPr>
            <w:tcW w:w="2364" w:type="dxa"/>
            <w:tcBorders>
              <w:tl2br w:val="nil"/>
              <w:tr2bl w:val="nil"/>
            </w:tcBorders>
            <w:shd w:val="clear" w:color="auto" w:fill="auto"/>
            <w:vAlign w:val="center"/>
          </w:tcPr>
          <w:p w14:paraId="789062D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上市企业专题库-智能移动终端应用-上市服务-企业发现</w:t>
            </w:r>
          </w:p>
        </w:tc>
        <w:tc>
          <w:tcPr>
            <w:tcW w:w="5605" w:type="dxa"/>
            <w:tcBorders>
              <w:tl2br w:val="nil"/>
              <w:tr2bl w:val="nil"/>
            </w:tcBorders>
            <w:shd w:val="clear" w:color="auto" w:fill="auto"/>
            <w:vAlign w:val="center"/>
          </w:tcPr>
          <w:p w14:paraId="562D40F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利用星企航企业上市分析模型，在移动端展示推荐给本区的优秀企业，展示推荐企业信息。</w:t>
            </w:r>
          </w:p>
        </w:tc>
      </w:tr>
      <w:tr w:rsidR="004549BF" w14:paraId="45FEB0F4" w14:textId="77777777">
        <w:trPr>
          <w:trHeight w:val="283"/>
        </w:trPr>
        <w:tc>
          <w:tcPr>
            <w:tcW w:w="766" w:type="dxa"/>
            <w:tcBorders>
              <w:tl2br w:val="nil"/>
              <w:tr2bl w:val="nil"/>
            </w:tcBorders>
            <w:shd w:val="clear" w:color="auto" w:fill="auto"/>
            <w:vAlign w:val="center"/>
          </w:tcPr>
          <w:p w14:paraId="467BF06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62</w:t>
            </w:r>
          </w:p>
        </w:tc>
        <w:tc>
          <w:tcPr>
            <w:tcW w:w="2364" w:type="dxa"/>
            <w:tcBorders>
              <w:tl2br w:val="nil"/>
              <w:tr2bl w:val="nil"/>
            </w:tcBorders>
            <w:shd w:val="clear" w:color="auto" w:fill="auto"/>
            <w:vAlign w:val="center"/>
          </w:tcPr>
          <w:p w14:paraId="1BC2CAA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上市企业专题库-智能移动终端应用-上市服务-企业标签</w:t>
            </w:r>
          </w:p>
        </w:tc>
        <w:tc>
          <w:tcPr>
            <w:tcW w:w="5605" w:type="dxa"/>
            <w:tcBorders>
              <w:tl2br w:val="nil"/>
              <w:tr2bl w:val="nil"/>
            </w:tcBorders>
            <w:shd w:val="clear" w:color="auto" w:fill="auto"/>
            <w:vAlign w:val="center"/>
          </w:tcPr>
          <w:p w14:paraId="1AE45E3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根据本区管理需要，可在移动端对筛选的企业添加自定义标签、删除标签；根据标签查询下钻展示企业列表。</w:t>
            </w:r>
          </w:p>
        </w:tc>
      </w:tr>
      <w:tr w:rsidR="004549BF" w14:paraId="1DA7A76F" w14:textId="77777777">
        <w:trPr>
          <w:trHeight w:val="283"/>
        </w:trPr>
        <w:tc>
          <w:tcPr>
            <w:tcW w:w="766" w:type="dxa"/>
            <w:tcBorders>
              <w:tl2br w:val="nil"/>
              <w:tr2bl w:val="nil"/>
            </w:tcBorders>
            <w:shd w:val="clear" w:color="auto" w:fill="auto"/>
            <w:vAlign w:val="center"/>
          </w:tcPr>
          <w:p w14:paraId="56D7661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63</w:t>
            </w:r>
          </w:p>
        </w:tc>
        <w:tc>
          <w:tcPr>
            <w:tcW w:w="2364" w:type="dxa"/>
            <w:tcBorders>
              <w:tl2br w:val="nil"/>
              <w:tr2bl w:val="nil"/>
            </w:tcBorders>
            <w:shd w:val="clear" w:color="auto" w:fill="auto"/>
            <w:vAlign w:val="center"/>
          </w:tcPr>
          <w:p w14:paraId="20747E5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上市企业专题库-智能移动终端应用-上市服务-服务台账管理</w:t>
            </w:r>
          </w:p>
        </w:tc>
        <w:tc>
          <w:tcPr>
            <w:tcW w:w="5605" w:type="dxa"/>
            <w:tcBorders>
              <w:tl2br w:val="nil"/>
              <w:tr2bl w:val="nil"/>
            </w:tcBorders>
            <w:shd w:val="clear" w:color="auto" w:fill="auto"/>
            <w:vAlign w:val="center"/>
          </w:tcPr>
          <w:p w14:paraId="301E838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可在移动端添加、删除企业服务台账信息，支持语音转文字。可查看企业历史服务台账信息。对于企业注册地发生变化的区域，其历史辖区维护的台账，对本区不可见。</w:t>
            </w:r>
          </w:p>
        </w:tc>
      </w:tr>
      <w:tr w:rsidR="004549BF" w14:paraId="51844193" w14:textId="77777777">
        <w:trPr>
          <w:trHeight w:val="283"/>
        </w:trPr>
        <w:tc>
          <w:tcPr>
            <w:tcW w:w="766" w:type="dxa"/>
            <w:tcBorders>
              <w:tl2br w:val="nil"/>
              <w:tr2bl w:val="nil"/>
            </w:tcBorders>
            <w:shd w:val="clear" w:color="auto" w:fill="auto"/>
            <w:vAlign w:val="center"/>
          </w:tcPr>
          <w:p w14:paraId="43CF104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64</w:t>
            </w:r>
          </w:p>
        </w:tc>
        <w:tc>
          <w:tcPr>
            <w:tcW w:w="2364" w:type="dxa"/>
            <w:tcBorders>
              <w:tl2br w:val="nil"/>
              <w:tr2bl w:val="nil"/>
            </w:tcBorders>
            <w:shd w:val="clear" w:color="auto" w:fill="auto"/>
            <w:vAlign w:val="center"/>
          </w:tcPr>
          <w:p w14:paraId="79B18F5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上市企业专题库-智能移动终端应用-上市服务-企业评价</w:t>
            </w:r>
          </w:p>
        </w:tc>
        <w:tc>
          <w:tcPr>
            <w:tcW w:w="5605" w:type="dxa"/>
            <w:tcBorders>
              <w:tl2br w:val="nil"/>
              <w:tr2bl w:val="nil"/>
            </w:tcBorders>
            <w:shd w:val="clear" w:color="auto" w:fill="auto"/>
            <w:vAlign w:val="center"/>
          </w:tcPr>
          <w:p w14:paraId="2BD6263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依据政策标准和企业上市准备工作的完成情况，在移动端给出评价及建议。可查看企业历史评价信息。对于企业注册地发生变化的区域，其历史辖区维护的台账，对本区不可见。</w:t>
            </w:r>
          </w:p>
        </w:tc>
      </w:tr>
      <w:tr w:rsidR="004549BF" w14:paraId="3857544E" w14:textId="77777777">
        <w:trPr>
          <w:trHeight w:val="283"/>
        </w:trPr>
        <w:tc>
          <w:tcPr>
            <w:tcW w:w="766" w:type="dxa"/>
            <w:tcBorders>
              <w:tl2br w:val="nil"/>
              <w:tr2bl w:val="nil"/>
            </w:tcBorders>
            <w:shd w:val="clear" w:color="auto" w:fill="auto"/>
            <w:vAlign w:val="center"/>
          </w:tcPr>
          <w:p w14:paraId="59D4967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65</w:t>
            </w:r>
          </w:p>
        </w:tc>
        <w:tc>
          <w:tcPr>
            <w:tcW w:w="2364" w:type="dxa"/>
            <w:tcBorders>
              <w:tl2br w:val="nil"/>
              <w:tr2bl w:val="nil"/>
            </w:tcBorders>
            <w:shd w:val="clear" w:color="auto" w:fill="auto"/>
            <w:vAlign w:val="center"/>
          </w:tcPr>
          <w:p w14:paraId="4B9C586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w:t>
            </w:r>
            <w:r>
              <w:rPr>
                <w:rFonts w:cs="宋体" w:hint="eastAsia"/>
                <w:color w:val="000000"/>
                <w:kern w:val="0"/>
                <w:lang w:bidi="ar"/>
              </w:rPr>
              <w:lastRenderedPageBreak/>
              <w:t>市服务-智能简报展示</w:t>
            </w:r>
          </w:p>
        </w:tc>
        <w:tc>
          <w:tcPr>
            <w:tcW w:w="5605" w:type="dxa"/>
            <w:tcBorders>
              <w:tl2br w:val="nil"/>
              <w:tr2bl w:val="nil"/>
            </w:tcBorders>
            <w:shd w:val="clear" w:color="auto" w:fill="auto"/>
            <w:vAlign w:val="center"/>
          </w:tcPr>
          <w:p w14:paraId="47F90C3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lastRenderedPageBreak/>
              <w:t>支持用户移动端查看或生成本区的智能简报。智能简报可保存到历史简报列表。提供历史简报在线预览和下载功能。</w:t>
            </w:r>
          </w:p>
        </w:tc>
      </w:tr>
      <w:tr w:rsidR="004549BF" w14:paraId="0D1AD8A8" w14:textId="77777777">
        <w:trPr>
          <w:trHeight w:val="283"/>
        </w:trPr>
        <w:tc>
          <w:tcPr>
            <w:tcW w:w="766" w:type="dxa"/>
            <w:tcBorders>
              <w:tl2br w:val="nil"/>
              <w:tr2bl w:val="nil"/>
            </w:tcBorders>
            <w:shd w:val="clear" w:color="auto" w:fill="auto"/>
            <w:vAlign w:val="center"/>
          </w:tcPr>
          <w:p w14:paraId="094A0D8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66</w:t>
            </w:r>
          </w:p>
        </w:tc>
        <w:tc>
          <w:tcPr>
            <w:tcW w:w="2364" w:type="dxa"/>
            <w:tcBorders>
              <w:tl2br w:val="nil"/>
              <w:tr2bl w:val="nil"/>
            </w:tcBorders>
            <w:shd w:val="clear" w:color="auto" w:fill="auto"/>
            <w:vAlign w:val="center"/>
          </w:tcPr>
          <w:p w14:paraId="78F4C72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上市企业专题库-智能移动终端应用-上市服务-资本市场资讯</w:t>
            </w:r>
          </w:p>
        </w:tc>
        <w:tc>
          <w:tcPr>
            <w:tcW w:w="5605" w:type="dxa"/>
            <w:tcBorders>
              <w:tl2br w:val="nil"/>
              <w:tr2bl w:val="nil"/>
            </w:tcBorders>
            <w:shd w:val="clear" w:color="auto" w:fill="auto"/>
            <w:vAlign w:val="center"/>
          </w:tcPr>
          <w:p w14:paraId="618A2E3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对接上证信息资本市场资讯，实现用户接入，可浏览查看。移动端接入资本市场信息服务，提供资本市场咨询查阅资本市场信息。可通过接口获取资本市场信息，进行本地保存或推送。</w:t>
            </w:r>
          </w:p>
        </w:tc>
      </w:tr>
      <w:tr w:rsidR="004549BF" w14:paraId="1F5625CB" w14:textId="77777777">
        <w:trPr>
          <w:trHeight w:val="283"/>
        </w:trPr>
        <w:tc>
          <w:tcPr>
            <w:tcW w:w="766" w:type="dxa"/>
            <w:tcBorders>
              <w:tl2br w:val="nil"/>
              <w:tr2bl w:val="nil"/>
            </w:tcBorders>
            <w:shd w:val="clear" w:color="auto" w:fill="auto"/>
            <w:vAlign w:val="center"/>
          </w:tcPr>
          <w:p w14:paraId="59F66A1D"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67</w:t>
            </w:r>
          </w:p>
        </w:tc>
        <w:tc>
          <w:tcPr>
            <w:tcW w:w="2364" w:type="dxa"/>
            <w:tcBorders>
              <w:tl2br w:val="nil"/>
              <w:tr2bl w:val="nil"/>
            </w:tcBorders>
            <w:shd w:val="clear" w:color="auto" w:fill="auto"/>
            <w:vAlign w:val="center"/>
          </w:tcPr>
          <w:p w14:paraId="5D51C68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上市企业专题库-智能移动终端应用-上市服务-小登课堂</w:t>
            </w:r>
          </w:p>
        </w:tc>
        <w:tc>
          <w:tcPr>
            <w:tcW w:w="5605" w:type="dxa"/>
            <w:tcBorders>
              <w:tl2br w:val="nil"/>
              <w:tr2bl w:val="nil"/>
            </w:tcBorders>
            <w:shd w:val="clear" w:color="auto" w:fill="auto"/>
            <w:vAlign w:val="center"/>
          </w:tcPr>
          <w:p w14:paraId="2539394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移动端对接交易所培训课程，实现用户单点登录，提升用户的专业知识和实操能力。</w:t>
            </w:r>
          </w:p>
        </w:tc>
      </w:tr>
      <w:tr w:rsidR="004549BF" w14:paraId="3AD94B00" w14:textId="77777777">
        <w:trPr>
          <w:trHeight w:val="283"/>
        </w:trPr>
        <w:tc>
          <w:tcPr>
            <w:tcW w:w="766" w:type="dxa"/>
            <w:tcBorders>
              <w:tl2br w:val="nil"/>
              <w:tr2bl w:val="nil"/>
            </w:tcBorders>
            <w:shd w:val="clear" w:color="auto" w:fill="auto"/>
            <w:vAlign w:val="center"/>
          </w:tcPr>
          <w:p w14:paraId="46F4928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68</w:t>
            </w:r>
          </w:p>
        </w:tc>
        <w:tc>
          <w:tcPr>
            <w:tcW w:w="2364" w:type="dxa"/>
            <w:tcBorders>
              <w:tl2br w:val="nil"/>
              <w:tr2bl w:val="nil"/>
            </w:tcBorders>
            <w:shd w:val="clear" w:color="auto" w:fill="auto"/>
            <w:vAlign w:val="center"/>
          </w:tcPr>
          <w:p w14:paraId="2FA6C85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上市企业专题库-智能移动终端应用-上市服务-交易所培训课程</w:t>
            </w:r>
          </w:p>
        </w:tc>
        <w:tc>
          <w:tcPr>
            <w:tcW w:w="5605" w:type="dxa"/>
            <w:tcBorders>
              <w:tl2br w:val="nil"/>
              <w:tr2bl w:val="nil"/>
            </w:tcBorders>
            <w:shd w:val="clear" w:color="auto" w:fill="auto"/>
            <w:vAlign w:val="center"/>
          </w:tcPr>
          <w:p w14:paraId="2C61B13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移动端对接上海股权交易中心培训课程，实现用户单点登录，提升区县上市服务部门用户的专业知识和实操能力。</w:t>
            </w:r>
          </w:p>
        </w:tc>
      </w:tr>
      <w:tr w:rsidR="004549BF" w14:paraId="78E789B2" w14:textId="77777777">
        <w:trPr>
          <w:trHeight w:val="283"/>
        </w:trPr>
        <w:tc>
          <w:tcPr>
            <w:tcW w:w="766" w:type="dxa"/>
            <w:tcBorders>
              <w:tl2br w:val="nil"/>
              <w:tr2bl w:val="nil"/>
            </w:tcBorders>
            <w:shd w:val="clear" w:color="auto" w:fill="auto"/>
            <w:vAlign w:val="center"/>
          </w:tcPr>
          <w:p w14:paraId="3D1F10A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69</w:t>
            </w:r>
          </w:p>
        </w:tc>
        <w:tc>
          <w:tcPr>
            <w:tcW w:w="2364" w:type="dxa"/>
            <w:tcBorders>
              <w:tl2br w:val="nil"/>
              <w:tr2bl w:val="nil"/>
            </w:tcBorders>
            <w:shd w:val="clear" w:color="auto" w:fill="auto"/>
            <w:vAlign w:val="center"/>
          </w:tcPr>
          <w:p w14:paraId="6BCF6FD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上市企业专题库-智能移动终端应用-智能分析-境内上市企业分析</w:t>
            </w:r>
          </w:p>
        </w:tc>
        <w:tc>
          <w:tcPr>
            <w:tcW w:w="5605" w:type="dxa"/>
            <w:tcBorders>
              <w:tl2br w:val="nil"/>
              <w:tr2bl w:val="nil"/>
            </w:tcBorders>
            <w:shd w:val="clear" w:color="auto" w:fill="auto"/>
            <w:vAlign w:val="center"/>
          </w:tcPr>
          <w:p w14:paraId="1003B29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在移动端按照区域、时间、行业、产业类别可视化展示各类企业数量。数据可下钻查询企业列表，继续下钻查看企业画像信息。根据企业注册区域，自动过滤各区金融上市服务部门下钻分析可见企业范围。</w:t>
            </w:r>
          </w:p>
        </w:tc>
      </w:tr>
      <w:tr w:rsidR="004549BF" w14:paraId="3787C35B" w14:textId="77777777">
        <w:trPr>
          <w:trHeight w:val="283"/>
        </w:trPr>
        <w:tc>
          <w:tcPr>
            <w:tcW w:w="766" w:type="dxa"/>
            <w:tcBorders>
              <w:tl2br w:val="nil"/>
              <w:tr2bl w:val="nil"/>
            </w:tcBorders>
            <w:shd w:val="clear" w:color="auto" w:fill="auto"/>
            <w:vAlign w:val="center"/>
          </w:tcPr>
          <w:p w14:paraId="659A640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70</w:t>
            </w:r>
          </w:p>
        </w:tc>
        <w:tc>
          <w:tcPr>
            <w:tcW w:w="2364" w:type="dxa"/>
            <w:tcBorders>
              <w:tl2br w:val="nil"/>
              <w:tr2bl w:val="nil"/>
            </w:tcBorders>
            <w:shd w:val="clear" w:color="auto" w:fill="auto"/>
            <w:vAlign w:val="center"/>
          </w:tcPr>
          <w:p w14:paraId="6EFB5B6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上市企业专题库-智能移动终端应用-智能分析-境外上市企业分析</w:t>
            </w:r>
          </w:p>
        </w:tc>
        <w:tc>
          <w:tcPr>
            <w:tcW w:w="5605" w:type="dxa"/>
            <w:tcBorders>
              <w:tl2br w:val="nil"/>
              <w:tr2bl w:val="nil"/>
            </w:tcBorders>
            <w:shd w:val="clear" w:color="auto" w:fill="auto"/>
            <w:vAlign w:val="center"/>
          </w:tcPr>
          <w:p w14:paraId="3BEE142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对接上证信息资本市场资讯，实现用户接入，可浏览查看。移动端接入资本市场信息服务，提供资本市场咨询查阅资本市场信息。可通过接口获取资本市场信息，进行本地保存或推送。</w:t>
            </w:r>
          </w:p>
        </w:tc>
      </w:tr>
      <w:tr w:rsidR="004549BF" w14:paraId="1AD91EC3" w14:textId="77777777">
        <w:trPr>
          <w:trHeight w:val="283"/>
        </w:trPr>
        <w:tc>
          <w:tcPr>
            <w:tcW w:w="766" w:type="dxa"/>
            <w:tcBorders>
              <w:tl2br w:val="nil"/>
              <w:tr2bl w:val="nil"/>
            </w:tcBorders>
            <w:shd w:val="clear" w:color="auto" w:fill="auto"/>
            <w:vAlign w:val="center"/>
          </w:tcPr>
          <w:p w14:paraId="6E5E53D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71</w:t>
            </w:r>
          </w:p>
        </w:tc>
        <w:tc>
          <w:tcPr>
            <w:tcW w:w="2364" w:type="dxa"/>
            <w:tcBorders>
              <w:tl2br w:val="nil"/>
              <w:tr2bl w:val="nil"/>
            </w:tcBorders>
            <w:shd w:val="clear" w:color="auto" w:fill="auto"/>
            <w:vAlign w:val="center"/>
          </w:tcPr>
          <w:p w14:paraId="33C2905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上市企业专题库-智能移动终端应用-智能分析-三板市场统计分析</w:t>
            </w:r>
          </w:p>
        </w:tc>
        <w:tc>
          <w:tcPr>
            <w:tcW w:w="5605" w:type="dxa"/>
            <w:tcBorders>
              <w:tl2br w:val="nil"/>
              <w:tr2bl w:val="nil"/>
            </w:tcBorders>
            <w:shd w:val="clear" w:color="auto" w:fill="auto"/>
            <w:vAlign w:val="center"/>
          </w:tcPr>
          <w:p w14:paraId="4A28D0A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在移动端实现三板市场统计分析、新三板企业梯度培育指标分析。根据企业注册区域，自动管理各区金融上市服务部门下钻分析可见企业范围。</w:t>
            </w:r>
          </w:p>
        </w:tc>
      </w:tr>
      <w:tr w:rsidR="004549BF" w14:paraId="49E79F55" w14:textId="77777777">
        <w:trPr>
          <w:trHeight w:val="283"/>
        </w:trPr>
        <w:tc>
          <w:tcPr>
            <w:tcW w:w="766" w:type="dxa"/>
            <w:tcBorders>
              <w:tl2br w:val="nil"/>
              <w:tr2bl w:val="nil"/>
            </w:tcBorders>
            <w:shd w:val="clear" w:color="auto" w:fill="auto"/>
            <w:vAlign w:val="center"/>
          </w:tcPr>
          <w:p w14:paraId="167DE9F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72</w:t>
            </w:r>
          </w:p>
        </w:tc>
        <w:tc>
          <w:tcPr>
            <w:tcW w:w="2364" w:type="dxa"/>
            <w:tcBorders>
              <w:tl2br w:val="nil"/>
              <w:tr2bl w:val="nil"/>
            </w:tcBorders>
            <w:shd w:val="clear" w:color="auto" w:fill="auto"/>
            <w:vAlign w:val="center"/>
          </w:tcPr>
          <w:p w14:paraId="7786963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上市企业专题库-智能移动终端应用-智能分析-四板市场统计分析</w:t>
            </w:r>
          </w:p>
        </w:tc>
        <w:tc>
          <w:tcPr>
            <w:tcW w:w="5605" w:type="dxa"/>
            <w:tcBorders>
              <w:tl2br w:val="nil"/>
              <w:tr2bl w:val="nil"/>
            </w:tcBorders>
            <w:shd w:val="clear" w:color="auto" w:fill="auto"/>
            <w:vAlign w:val="center"/>
          </w:tcPr>
          <w:p w14:paraId="013E30E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移动端实现四板挂牌企业分布分析：按照N板、E板、Q板企业数量和占比，可视化展示；数据可下钻查询企业列表，继续下钻查看企业画像信息。</w:t>
            </w:r>
            <w:r>
              <w:rPr>
                <w:rFonts w:cs="宋体" w:hint="eastAsia"/>
                <w:color w:val="000000"/>
                <w:kern w:val="0"/>
                <w:lang w:bidi="ar"/>
              </w:rPr>
              <w:br/>
            </w:r>
            <w:r>
              <w:rPr>
                <w:rFonts w:cs="宋体" w:hint="eastAsia"/>
                <w:color w:val="000000"/>
                <w:kern w:val="0"/>
                <w:lang w:bidi="ar"/>
              </w:rPr>
              <w:lastRenderedPageBreak/>
              <w:t>根据企业注册区域，自动管理各区金融上市服务部门下钻分析可见企业范围</w:t>
            </w:r>
          </w:p>
        </w:tc>
      </w:tr>
      <w:tr w:rsidR="004549BF" w14:paraId="3DB90164" w14:textId="77777777">
        <w:trPr>
          <w:trHeight w:val="283"/>
        </w:trPr>
        <w:tc>
          <w:tcPr>
            <w:tcW w:w="766" w:type="dxa"/>
            <w:tcBorders>
              <w:tl2br w:val="nil"/>
              <w:tr2bl w:val="nil"/>
            </w:tcBorders>
            <w:shd w:val="clear" w:color="auto" w:fill="auto"/>
            <w:vAlign w:val="center"/>
          </w:tcPr>
          <w:p w14:paraId="55D8524D"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73</w:t>
            </w:r>
          </w:p>
        </w:tc>
        <w:tc>
          <w:tcPr>
            <w:tcW w:w="2364" w:type="dxa"/>
            <w:tcBorders>
              <w:tl2br w:val="nil"/>
              <w:tr2bl w:val="nil"/>
            </w:tcBorders>
            <w:shd w:val="clear" w:color="auto" w:fill="auto"/>
            <w:vAlign w:val="center"/>
          </w:tcPr>
          <w:p w14:paraId="66DA31C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上市企业专题库-智能移动终端应用-智能分析-“专精特新”专板统计分析</w:t>
            </w:r>
          </w:p>
        </w:tc>
        <w:tc>
          <w:tcPr>
            <w:tcW w:w="5605" w:type="dxa"/>
            <w:tcBorders>
              <w:tl2br w:val="nil"/>
              <w:tr2bl w:val="nil"/>
            </w:tcBorders>
            <w:shd w:val="clear" w:color="auto" w:fill="auto"/>
            <w:vAlign w:val="center"/>
          </w:tcPr>
          <w:p w14:paraId="5BB4AF6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移动端按照已上市、已同意注册、已过会、已受理、辅导验收通过、在辅导、后备等状态进行切片统计“专精特新”企业的区域分布、当前总量、本年新增、本月新增、本周新增数据可视化展示。</w:t>
            </w:r>
            <w:r>
              <w:rPr>
                <w:rFonts w:cs="宋体" w:hint="eastAsia"/>
                <w:color w:val="000000"/>
                <w:kern w:val="0"/>
                <w:lang w:bidi="ar"/>
              </w:rPr>
              <w:br/>
              <w:t>数据可下钻查询企业列表，继续下钻查看企业画像信息。根据企业注册区域，自动管理各区金融上市服务部门下钻分析可见企业范围</w:t>
            </w:r>
          </w:p>
        </w:tc>
      </w:tr>
      <w:tr w:rsidR="004549BF" w14:paraId="04B649C0" w14:textId="77777777">
        <w:trPr>
          <w:trHeight w:val="283"/>
        </w:trPr>
        <w:tc>
          <w:tcPr>
            <w:tcW w:w="766" w:type="dxa"/>
            <w:tcBorders>
              <w:tl2br w:val="nil"/>
              <w:tr2bl w:val="nil"/>
            </w:tcBorders>
            <w:shd w:val="clear" w:color="auto" w:fill="auto"/>
            <w:vAlign w:val="center"/>
          </w:tcPr>
          <w:p w14:paraId="7D773B6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74</w:t>
            </w:r>
          </w:p>
        </w:tc>
        <w:tc>
          <w:tcPr>
            <w:tcW w:w="2364" w:type="dxa"/>
            <w:tcBorders>
              <w:tl2br w:val="nil"/>
              <w:tr2bl w:val="nil"/>
            </w:tcBorders>
            <w:shd w:val="clear" w:color="auto" w:fill="auto"/>
            <w:vAlign w:val="center"/>
          </w:tcPr>
          <w:p w14:paraId="622EFC1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上市企业专题库-智能移动终端应用-上市B股企业分析</w:t>
            </w:r>
          </w:p>
        </w:tc>
        <w:tc>
          <w:tcPr>
            <w:tcW w:w="5605" w:type="dxa"/>
            <w:tcBorders>
              <w:tl2br w:val="nil"/>
              <w:tr2bl w:val="nil"/>
            </w:tcBorders>
            <w:shd w:val="clear" w:color="auto" w:fill="auto"/>
            <w:vAlign w:val="center"/>
          </w:tcPr>
          <w:p w14:paraId="3F88F89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移动端统计上市B股企业总量、首发募资额、当前总市值。B股上市区域分布可视化展示。数据可下钻查询企业列表，继续下钻查看企业画像信息。根据企业注册区域，自动管理各区金融上市服务部门下钻分析可见企业范围。</w:t>
            </w:r>
          </w:p>
        </w:tc>
      </w:tr>
      <w:tr w:rsidR="004549BF" w14:paraId="26BDF27A" w14:textId="77777777">
        <w:trPr>
          <w:trHeight w:val="283"/>
        </w:trPr>
        <w:tc>
          <w:tcPr>
            <w:tcW w:w="766" w:type="dxa"/>
            <w:tcBorders>
              <w:tl2br w:val="nil"/>
              <w:tr2bl w:val="nil"/>
            </w:tcBorders>
            <w:shd w:val="clear" w:color="auto" w:fill="auto"/>
            <w:vAlign w:val="center"/>
          </w:tcPr>
          <w:p w14:paraId="6037EC6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75</w:t>
            </w:r>
          </w:p>
        </w:tc>
        <w:tc>
          <w:tcPr>
            <w:tcW w:w="2364" w:type="dxa"/>
            <w:tcBorders>
              <w:tl2br w:val="nil"/>
              <w:tr2bl w:val="nil"/>
            </w:tcBorders>
            <w:shd w:val="clear" w:color="auto" w:fill="auto"/>
            <w:vAlign w:val="center"/>
          </w:tcPr>
          <w:p w14:paraId="5C74A78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上市企业专题库-智能移动终端应用-退市企业主题分析</w:t>
            </w:r>
          </w:p>
        </w:tc>
        <w:tc>
          <w:tcPr>
            <w:tcW w:w="5605" w:type="dxa"/>
            <w:tcBorders>
              <w:tl2br w:val="nil"/>
              <w:tr2bl w:val="nil"/>
            </w:tcBorders>
            <w:shd w:val="clear" w:color="auto" w:fill="auto"/>
            <w:vAlign w:val="center"/>
          </w:tcPr>
          <w:p w14:paraId="024B887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移动端按照区域、行业、产业、时间维度（最新、本年）多维度展示企业数量、占比情况。</w:t>
            </w:r>
            <w:r>
              <w:rPr>
                <w:rFonts w:cs="宋体" w:hint="eastAsia"/>
                <w:color w:val="000000"/>
                <w:kern w:val="0"/>
                <w:lang w:bidi="ar"/>
              </w:rPr>
              <w:br/>
              <w:t>数据可下钻查询企业列表，继续下钻查看企业画像信息。</w:t>
            </w:r>
            <w:r>
              <w:rPr>
                <w:rFonts w:cs="宋体" w:hint="eastAsia"/>
                <w:color w:val="000000"/>
                <w:kern w:val="0"/>
                <w:lang w:bidi="ar"/>
              </w:rPr>
              <w:br/>
              <w:t>根据企业注册区域，自动管理各区金融上市服务部门下钻分析可见企业范围。</w:t>
            </w:r>
          </w:p>
        </w:tc>
      </w:tr>
      <w:tr w:rsidR="004549BF" w14:paraId="62DA26E6" w14:textId="77777777">
        <w:trPr>
          <w:trHeight w:val="283"/>
        </w:trPr>
        <w:tc>
          <w:tcPr>
            <w:tcW w:w="766" w:type="dxa"/>
            <w:tcBorders>
              <w:tl2br w:val="nil"/>
              <w:tr2bl w:val="nil"/>
            </w:tcBorders>
            <w:shd w:val="clear" w:color="auto" w:fill="auto"/>
            <w:vAlign w:val="center"/>
          </w:tcPr>
          <w:p w14:paraId="600BF83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76</w:t>
            </w:r>
          </w:p>
        </w:tc>
        <w:tc>
          <w:tcPr>
            <w:tcW w:w="2364" w:type="dxa"/>
            <w:tcBorders>
              <w:tl2br w:val="nil"/>
              <w:tr2bl w:val="nil"/>
            </w:tcBorders>
            <w:shd w:val="clear" w:color="auto" w:fill="auto"/>
            <w:vAlign w:val="center"/>
          </w:tcPr>
          <w:p w14:paraId="463ECBF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上市企业专题库-智能移动终端应用-企业上市时间轴分析</w:t>
            </w:r>
          </w:p>
        </w:tc>
        <w:tc>
          <w:tcPr>
            <w:tcW w:w="5605" w:type="dxa"/>
            <w:tcBorders>
              <w:tl2br w:val="nil"/>
              <w:tr2bl w:val="nil"/>
            </w:tcBorders>
            <w:shd w:val="clear" w:color="auto" w:fill="auto"/>
            <w:vAlign w:val="center"/>
          </w:tcPr>
          <w:p w14:paraId="7223CF7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移动端根据企业各个上市阶段，企业规模、经营情况，直观展示企业上市阶段时间轴。</w:t>
            </w:r>
          </w:p>
        </w:tc>
      </w:tr>
      <w:tr w:rsidR="004549BF" w14:paraId="3712E5D8" w14:textId="77777777">
        <w:trPr>
          <w:trHeight w:val="283"/>
        </w:trPr>
        <w:tc>
          <w:tcPr>
            <w:tcW w:w="766" w:type="dxa"/>
            <w:tcBorders>
              <w:tl2br w:val="nil"/>
              <w:tr2bl w:val="nil"/>
            </w:tcBorders>
            <w:shd w:val="clear" w:color="auto" w:fill="auto"/>
            <w:vAlign w:val="center"/>
          </w:tcPr>
          <w:p w14:paraId="6613215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77</w:t>
            </w:r>
          </w:p>
        </w:tc>
        <w:tc>
          <w:tcPr>
            <w:tcW w:w="2364" w:type="dxa"/>
            <w:tcBorders>
              <w:tl2br w:val="nil"/>
              <w:tr2bl w:val="nil"/>
            </w:tcBorders>
            <w:shd w:val="clear" w:color="auto" w:fill="auto"/>
            <w:vAlign w:val="center"/>
          </w:tcPr>
          <w:p w14:paraId="06F2F40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上市企业专题库-智能移动终端应用-政务云单点登录验证</w:t>
            </w:r>
          </w:p>
        </w:tc>
        <w:tc>
          <w:tcPr>
            <w:tcW w:w="5605" w:type="dxa"/>
            <w:tcBorders>
              <w:tl2br w:val="nil"/>
              <w:tr2bl w:val="nil"/>
            </w:tcBorders>
            <w:shd w:val="clear" w:color="auto" w:fill="auto"/>
            <w:vAlign w:val="center"/>
          </w:tcPr>
          <w:p w14:paraId="3187855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上市企业库的移动端功能将对接上海市“随申办政务云”平台，对接政务云用户体系，实现实名认证和单点登录。</w:t>
            </w:r>
          </w:p>
        </w:tc>
      </w:tr>
      <w:tr w:rsidR="004549BF" w14:paraId="1F497BB2" w14:textId="77777777">
        <w:trPr>
          <w:trHeight w:val="283"/>
        </w:trPr>
        <w:tc>
          <w:tcPr>
            <w:tcW w:w="766" w:type="dxa"/>
            <w:tcBorders>
              <w:tl2br w:val="nil"/>
              <w:tr2bl w:val="nil"/>
            </w:tcBorders>
            <w:shd w:val="clear" w:color="auto" w:fill="auto"/>
            <w:vAlign w:val="center"/>
          </w:tcPr>
          <w:p w14:paraId="6B0872B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78</w:t>
            </w:r>
          </w:p>
        </w:tc>
        <w:tc>
          <w:tcPr>
            <w:tcW w:w="2364" w:type="dxa"/>
            <w:tcBorders>
              <w:tl2br w:val="nil"/>
              <w:tr2bl w:val="nil"/>
            </w:tcBorders>
            <w:shd w:val="clear" w:color="auto" w:fill="auto"/>
            <w:vAlign w:val="center"/>
          </w:tcPr>
          <w:p w14:paraId="3E26FD1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金融人才实践基地-基地管理-未注册用户首页</w:t>
            </w:r>
          </w:p>
        </w:tc>
        <w:tc>
          <w:tcPr>
            <w:tcW w:w="5605" w:type="dxa"/>
            <w:tcBorders>
              <w:tl2br w:val="nil"/>
              <w:tr2bl w:val="nil"/>
            </w:tcBorders>
            <w:shd w:val="clear" w:color="auto" w:fill="auto"/>
            <w:vAlign w:val="center"/>
          </w:tcPr>
          <w:p w14:paraId="78C7AD1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展示最新启动申报通知信息，金融人才实践基地介绍、基地注册入口、派出单位注册入口。</w:t>
            </w:r>
          </w:p>
        </w:tc>
      </w:tr>
      <w:tr w:rsidR="004549BF" w14:paraId="00EFEE9B" w14:textId="77777777">
        <w:trPr>
          <w:trHeight w:val="283"/>
        </w:trPr>
        <w:tc>
          <w:tcPr>
            <w:tcW w:w="766" w:type="dxa"/>
            <w:tcBorders>
              <w:tl2br w:val="nil"/>
              <w:tr2bl w:val="nil"/>
            </w:tcBorders>
            <w:shd w:val="clear" w:color="auto" w:fill="auto"/>
            <w:vAlign w:val="center"/>
          </w:tcPr>
          <w:p w14:paraId="611B11D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79</w:t>
            </w:r>
          </w:p>
        </w:tc>
        <w:tc>
          <w:tcPr>
            <w:tcW w:w="2364" w:type="dxa"/>
            <w:tcBorders>
              <w:tl2br w:val="nil"/>
              <w:tr2bl w:val="nil"/>
            </w:tcBorders>
            <w:shd w:val="clear" w:color="auto" w:fill="auto"/>
            <w:vAlign w:val="center"/>
          </w:tcPr>
          <w:p w14:paraId="6688251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金融人才实践基地-基地管理-基地注册</w:t>
            </w:r>
          </w:p>
        </w:tc>
        <w:tc>
          <w:tcPr>
            <w:tcW w:w="5605" w:type="dxa"/>
            <w:tcBorders>
              <w:tl2br w:val="nil"/>
              <w:tr2bl w:val="nil"/>
            </w:tcBorders>
            <w:shd w:val="clear" w:color="auto" w:fill="auto"/>
            <w:vAlign w:val="center"/>
          </w:tcPr>
          <w:p w14:paraId="1003E83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金融机构进入基地注册页，维护基地相关信息，包括基地名称、所在区县、地址、联系人姓名、电话、基地介绍、基地相关网址链接等。注册申请提交后，短信通知金融办审核员，基地可以同时为派出单位。</w:t>
            </w:r>
          </w:p>
        </w:tc>
      </w:tr>
      <w:tr w:rsidR="004549BF" w14:paraId="10C214C8" w14:textId="77777777">
        <w:trPr>
          <w:trHeight w:val="283"/>
        </w:trPr>
        <w:tc>
          <w:tcPr>
            <w:tcW w:w="766" w:type="dxa"/>
            <w:tcBorders>
              <w:tl2br w:val="nil"/>
              <w:tr2bl w:val="nil"/>
            </w:tcBorders>
            <w:shd w:val="clear" w:color="auto" w:fill="auto"/>
            <w:vAlign w:val="center"/>
          </w:tcPr>
          <w:p w14:paraId="0FA1706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80</w:t>
            </w:r>
          </w:p>
        </w:tc>
        <w:tc>
          <w:tcPr>
            <w:tcW w:w="2364" w:type="dxa"/>
            <w:tcBorders>
              <w:tl2br w:val="nil"/>
              <w:tr2bl w:val="nil"/>
            </w:tcBorders>
            <w:shd w:val="clear" w:color="auto" w:fill="auto"/>
            <w:vAlign w:val="center"/>
          </w:tcPr>
          <w:p w14:paraId="3F60D1F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金融人才实践基地-基地管理-基地首页</w:t>
            </w:r>
          </w:p>
        </w:tc>
        <w:tc>
          <w:tcPr>
            <w:tcW w:w="5605" w:type="dxa"/>
            <w:tcBorders>
              <w:tl2br w:val="nil"/>
              <w:tr2bl w:val="nil"/>
            </w:tcBorders>
            <w:shd w:val="clear" w:color="auto" w:fill="auto"/>
            <w:vAlign w:val="center"/>
          </w:tcPr>
          <w:p w14:paraId="0063D3D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基地关键数据展示：派出单位总数、岗位总数、匹配岗位总数、空缺岗位总数、岗位分类统计、人才总量、人才分类统计。基地待办审核清单：派出单位申请审核、岗位申请审核。申报通知查询入口。</w:t>
            </w:r>
          </w:p>
        </w:tc>
      </w:tr>
      <w:tr w:rsidR="004549BF" w14:paraId="4DA144D1" w14:textId="77777777">
        <w:trPr>
          <w:trHeight w:val="283"/>
        </w:trPr>
        <w:tc>
          <w:tcPr>
            <w:tcW w:w="766" w:type="dxa"/>
            <w:tcBorders>
              <w:tl2br w:val="nil"/>
              <w:tr2bl w:val="nil"/>
            </w:tcBorders>
            <w:shd w:val="clear" w:color="auto" w:fill="auto"/>
            <w:vAlign w:val="center"/>
          </w:tcPr>
          <w:p w14:paraId="00A3E8F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81</w:t>
            </w:r>
          </w:p>
        </w:tc>
        <w:tc>
          <w:tcPr>
            <w:tcW w:w="2364" w:type="dxa"/>
            <w:tcBorders>
              <w:tl2br w:val="nil"/>
              <w:tr2bl w:val="nil"/>
            </w:tcBorders>
            <w:shd w:val="clear" w:color="auto" w:fill="auto"/>
            <w:vAlign w:val="center"/>
          </w:tcPr>
          <w:p w14:paraId="2B2C34C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金融人才实践基地-基地管理-岗位申报</w:t>
            </w:r>
          </w:p>
        </w:tc>
        <w:tc>
          <w:tcPr>
            <w:tcW w:w="5605" w:type="dxa"/>
            <w:tcBorders>
              <w:tl2br w:val="nil"/>
              <w:tr2bl w:val="nil"/>
            </w:tcBorders>
            <w:shd w:val="clear" w:color="auto" w:fill="auto"/>
            <w:vAlign w:val="center"/>
          </w:tcPr>
          <w:p w14:paraId="59F2AB4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基地单位提交挂职岗位信息，包括岗位名称、岗位职责、任职要求、岗位交流人数等信息，提交金融办审核。</w:t>
            </w:r>
          </w:p>
        </w:tc>
      </w:tr>
      <w:tr w:rsidR="004549BF" w14:paraId="4430607E" w14:textId="77777777">
        <w:trPr>
          <w:trHeight w:val="283"/>
        </w:trPr>
        <w:tc>
          <w:tcPr>
            <w:tcW w:w="766" w:type="dxa"/>
            <w:tcBorders>
              <w:tl2br w:val="nil"/>
              <w:tr2bl w:val="nil"/>
            </w:tcBorders>
            <w:shd w:val="clear" w:color="auto" w:fill="auto"/>
            <w:vAlign w:val="center"/>
          </w:tcPr>
          <w:p w14:paraId="3ED9DC1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82</w:t>
            </w:r>
          </w:p>
        </w:tc>
        <w:tc>
          <w:tcPr>
            <w:tcW w:w="2364" w:type="dxa"/>
            <w:tcBorders>
              <w:tl2br w:val="nil"/>
              <w:tr2bl w:val="nil"/>
            </w:tcBorders>
            <w:shd w:val="clear" w:color="auto" w:fill="auto"/>
            <w:vAlign w:val="center"/>
          </w:tcPr>
          <w:p w14:paraId="46DD5A3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金融人才实践基地-基地管理-岗位发布</w:t>
            </w:r>
          </w:p>
        </w:tc>
        <w:tc>
          <w:tcPr>
            <w:tcW w:w="5605" w:type="dxa"/>
            <w:tcBorders>
              <w:tl2br w:val="nil"/>
              <w:tr2bl w:val="nil"/>
            </w:tcBorders>
            <w:shd w:val="clear" w:color="auto" w:fill="auto"/>
            <w:vAlign w:val="center"/>
          </w:tcPr>
          <w:p w14:paraId="34DAAD1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岗位审核通过后，基地发布通过审核的岗位信息。基地用户可选择多个通过审核的岗位一起发布。</w:t>
            </w:r>
            <w:r>
              <w:rPr>
                <w:rFonts w:cs="宋体" w:hint="eastAsia"/>
                <w:color w:val="000000"/>
                <w:kern w:val="0"/>
                <w:lang w:bidi="ar"/>
              </w:rPr>
              <w:br/>
              <w:t>岗位发布后，其他派出单位可以查看并申报志愿岗位。</w:t>
            </w:r>
          </w:p>
        </w:tc>
      </w:tr>
      <w:tr w:rsidR="004549BF" w14:paraId="25DCEB41" w14:textId="77777777">
        <w:trPr>
          <w:trHeight w:val="283"/>
        </w:trPr>
        <w:tc>
          <w:tcPr>
            <w:tcW w:w="766" w:type="dxa"/>
            <w:tcBorders>
              <w:tl2br w:val="nil"/>
              <w:tr2bl w:val="nil"/>
            </w:tcBorders>
            <w:shd w:val="clear" w:color="auto" w:fill="auto"/>
            <w:vAlign w:val="center"/>
          </w:tcPr>
          <w:p w14:paraId="0EF2A0A3"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83</w:t>
            </w:r>
          </w:p>
        </w:tc>
        <w:tc>
          <w:tcPr>
            <w:tcW w:w="2364" w:type="dxa"/>
            <w:tcBorders>
              <w:tl2br w:val="nil"/>
              <w:tr2bl w:val="nil"/>
            </w:tcBorders>
            <w:shd w:val="clear" w:color="auto" w:fill="auto"/>
            <w:vAlign w:val="center"/>
          </w:tcPr>
          <w:p w14:paraId="0D093F0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金融人才实践基地-基地管理-岗位人才录取</w:t>
            </w:r>
          </w:p>
        </w:tc>
        <w:tc>
          <w:tcPr>
            <w:tcW w:w="5605" w:type="dxa"/>
            <w:tcBorders>
              <w:tl2br w:val="nil"/>
              <w:tr2bl w:val="nil"/>
            </w:tcBorders>
            <w:shd w:val="clear" w:color="auto" w:fill="auto"/>
            <w:vAlign w:val="center"/>
          </w:tcPr>
          <w:p w14:paraId="36C45AD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岗位发布基地可查看本基地岗位的报名情况。</w:t>
            </w:r>
            <w:r>
              <w:rPr>
                <w:rFonts w:cs="宋体" w:hint="eastAsia"/>
                <w:color w:val="000000"/>
                <w:kern w:val="0"/>
                <w:lang w:bidi="ar"/>
              </w:rPr>
              <w:br/>
              <w:t>根据岗位人选报送情况，可查看人员任免表等详细信息。综合选择录取申请人才，并发送预定义格式的录取通知书，并发送短信。</w:t>
            </w:r>
          </w:p>
        </w:tc>
      </w:tr>
      <w:tr w:rsidR="004549BF" w14:paraId="0A76A623" w14:textId="77777777">
        <w:trPr>
          <w:trHeight w:val="283"/>
        </w:trPr>
        <w:tc>
          <w:tcPr>
            <w:tcW w:w="766" w:type="dxa"/>
            <w:tcBorders>
              <w:tl2br w:val="nil"/>
              <w:tr2bl w:val="nil"/>
            </w:tcBorders>
            <w:shd w:val="clear" w:color="auto" w:fill="auto"/>
            <w:vAlign w:val="center"/>
          </w:tcPr>
          <w:p w14:paraId="2739E29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84</w:t>
            </w:r>
          </w:p>
        </w:tc>
        <w:tc>
          <w:tcPr>
            <w:tcW w:w="2364" w:type="dxa"/>
            <w:tcBorders>
              <w:tl2br w:val="nil"/>
              <w:tr2bl w:val="nil"/>
            </w:tcBorders>
            <w:shd w:val="clear" w:color="auto" w:fill="auto"/>
            <w:vAlign w:val="center"/>
          </w:tcPr>
          <w:p w14:paraId="72B6D41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金融人才实践基地-派出单位管理-派出单位首页</w:t>
            </w:r>
          </w:p>
        </w:tc>
        <w:tc>
          <w:tcPr>
            <w:tcW w:w="5605" w:type="dxa"/>
            <w:tcBorders>
              <w:tl2br w:val="nil"/>
              <w:tr2bl w:val="nil"/>
            </w:tcBorders>
            <w:shd w:val="clear" w:color="auto" w:fill="auto"/>
            <w:vAlign w:val="center"/>
          </w:tcPr>
          <w:p w14:paraId="6AF314E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派出单位关键数据展示：单位申请岗位总数、录取岗位总数、空缺岗位总数、单位人才数。派出单位待办审核清单：岗位申请审核、申报通知查询入口。</w:t>
            </w:r>
          </w:p>
        </w:tc>
      </w:tr>
      <w:tr w:rsidR="004549BF" w14:paraId="12D18081" w14:textId="77777777">
        <w:trPr>
          <w:trHeight w:val="283"/>
        </w:trPr>
        <w:tc>
          <w:tcPr>
            <w:tcW w:w="766" w:type="dxa"/>
            <w:tcBorders>
              <w:tl2br w:val="nil"/>
              <w:tr2bl w:val="nil"/>
            </w:tcBorders>
            <w:shd w:val="clear" w:color="auto" w:fill="auto"/>
            <w:vAlign w:val="center"/>
          </w:tcPr>
          <w:p w14:paraId="04D03EB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85</w:t>
            </w:r>
          </w:p>
        </w:tc>
        <w:tc>
          <w:tcPr>
            <w:tcW w:w="2364" w:type="dxa"/>
            <w:tcBorders>
              <w:tl2br w:val="nil"/>
              <w:tr2bl w:val="nil"/>
            </w:tcBorders>
            <w:shd w:val="clear" w:color="auto" w:fill="auto"/>
            <w:vAlign w:val="center"/>
          </w:tcPr>
          <w:p w14:paraId="4401EC0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金融人才实践基地-派出单位管理-派出单位注册</w:t>
            </w:r>
          </w:p>
        </w:tc>
        <w:tc>
          <w:tcPr>
            <w:tcW w:w="5605" w:type="dxa"/>
            <w:tcBorders>
              <w:tl2br w:val="nil"/>
              <w:tr2bl w:val="nil"/>
            </w:tcBorders>
            <w:shd w:val="clear" w:color="auto" w:fill="auto"/>
            <w:vAlign w:val="center"/>
          </w:tcPr>
          <w:p w14:paraId="18C9DA8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金融机构进入派出单位注册页，维护信息包括单位名称、所在区县、地址、联系人姓名、电话、单位介绍、单位相关网址链接等。注册申请提交后，短信通知基地管理员。</w:t>
            </w:r>
          </w:p>
        </w:tc>
      </w:tr>
      <w:tr w:rsidR="004549BF" w14:paraId="171B0DF7" w14:textId="77777777">
        <w:trPr>
          <w:trHeight w:val="283"/>
        </w:trPr>
        <w:tc>
          <w:tcPr>
            <w:tcW w:w="766" w:type="dxa"/>
            <w:tcBorders>
              <w:tl2br w:val="nil"/>
              <w:tr2bl w:val="nil"/>
            </w:tcBorders>
            <w:shd w:val="clear" w:color="auto" w:fill="auto"/>
            <w:vAlign w:val="center"/>
          </w:tcPr>
          <w:p w14:paraId="0A3B9A53"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86</w:t>
            </w:r>
          </w:p>
        </w:tc>
        <w:tc>
          <w:tcPr>
            <w:tcW w:w="2364" w:type="dxa"/>
            <w:tcBorders>
              <w:tl2br w:val="nil"/>
              <w:tr2bl w:val="nil"/>
            </w:tcBorders>
            <w:shd w:val="clear" w:color="auto" w:fill="auto"/>
            <w:vAlign w:val="center"/>
          </w:tcPr>
          <w:p w14:paraId="2B9C243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w:t>
            </w:r>
            <w:r>
              <w:rPr>
                <w:rFonts w:cs="宋体" w:hint="eastAsia"/>
                <w:color w:val="000000"/>
                <w:kern w:val="0"/>
                <w:lang w:bidi="ar"/>
              </w:rPr>
              <w:lastRenderedPageBreak/>
              <w:t>信息维护-人才基本信息</w:t>
            </w:r>
          </w:p>
        </w:tc>
        <w:tc>
          <w:tcPr>
            <w:tcW w:w="5605" w:type="dxa"/>
            <w:tcBorders>
              <w:tl2br w:val="nil"/>
              <w:tr2bl w:val="nil"/>
            </w:tcBorders>
            <w:shd w:val="clear" w:color="auto" w:fill="auto"/>
            <w:vAlign w:val="center"/>
          </w:tcPr>
          <w:p w14:paraId="202719F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lastRenderedPageBreak/>
              <w:t>维护人才基本信息，实现人才信息的增删改查。信息内容包括：姓名、性别、出生年月、籍贯、出生地、</w:t>
            </w:r>
            <w:r>
              <w:rPr>
                <w:rFonts w:cs="宋体" w:hint="eastAsia"/>
                <w:color w:val="000000"/>
                <w:kern w:val="0"/>
                <w:lang w:bidi="ar"/>
              </w:rPr>
              <w:lastRenderedPageBreak/>
              <w:t>入党年月、工作年月、兴趣爱好、特长、身份证号、照片。</w:t>
            </w:r>
          </w:p>
        </w:tc>
      </w:tr>
      <w:tr w:rsidR="004549BF" w14:paraId="09175317" w14:textId="77777777">
        <w:trPr>
          <w:trHeight w:val="283"/>
        </w:trPr>
        <w:tc>
          <w:tcPr>
            <w:tcW w:w="766" w:type="dxa"/>
            <w:tcBorders>
              <w:tl2br w:val="nil"/>
              <w:tr2bl w:val="nil"/>
            </w:tcBorders>
            <w:shd w:val="clear" w:color="auto" w:fill="auto"/>
            <w:vAlign w:val="center"/>
          </w:tcPr>
          <w:p w14:paraId="03F3874A"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87</w:t>
            </w:r>
          </w:p>
        </w:tc>
        <w:tc>
          <w:tcPr>
            <w:tcW w:w="2364" w:type="dxa"/>
            <w:tcBorders>
              <w:tl2br w:val="nil"/>
              <w:tr2bl w:val="nil"/>
            </w:tcBorders>
            <w:shd w:val="clear" w:color="auto" w:fill="auto"/>
            <w:vAlign w:val="center"/>
          </w:tcPr>
          <w:p w14:paraId="3099CB1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金融人才实践基地-派出单位管理-人才信息维护-工作经历信息</w:t>
            </w:r>
          </w:p>
        </w:tc>
        <w:tc>
          <w:tcPr>
            <w:tcW w:w="5605" w:type="dxa"/>
            <w:tcBorders>
              <w:tl2br w:val="nil"/>
              <w:tr2bl w:val="nil"/>
            </w:tcBorders>
            <w:shd w:val="clear" w:color="auto" w:fill="auto"/>
            <w:vAlign w:val="center"/>
          </w:tcPr>
          <w:p w14:paraId="17112DD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维护人才工作经历信息，实现人才工作经历信息的增删改查。信息内容包括：起始时间、结束时间、任职单位、单位性质、所属行业、担任职务、职务类别、主要工作内容及业绩。</w:t>
            </w:r>
          </w:p>
        </w:tc>
      </w:tr>
      <w:tr w:rsidR="004549BF" w14:paraId="32E4C912" w14:textId="77777777">
        <w:trPr>
          <w:trHeight w:val="283"/>
        </w:trPr>
        <w:tc>
          <w:tcPr>
            <w:tcW w:w="766" w:type="dxa"/>
            <w:tcBorders>
              <w:tl2br w:val="nil"/>
              <w:tr2bl w:val="nil"/>
            </w:tcBorders>
            <w:shd w:val="clear" w:color="auto" w:fill="auto"/>
            <w:vAlign w:val="center"/>
          </w:tcPr>
          <w:p w14:paraId="5EDB5A9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88</w:t>
            </w:r>
          </w:p>
        </w:tc>
        <w:tc>
          <w:tcPr>
            <w:tcW w:w="2364" w:type="dxa"/>
            <w:tcBorders>
              <w:tl2br w:val="nil"/>
              <w:tr2bl w:val="nil"/>
            </w:tcBorders>
            <w:shd w:val="clear" w:color="auto" w:fill="auto"/>
            <w:vAlign w:val="center"/>
          </w:tcPr>
          <w:p w14:paraId="2030414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金融人才实践基地-派出单位管理-人才信息维护-学历学位信息</w:t>
            </w:r>
          </w:p>
        </w:tc>
        <w:tc>
          <w:tcPr>
            <w:tcW w:w="5605" w:type="dxa"/>
            <w:tcBorders>
              <w:tl2br w:val="nil"/>
              <w:tr2bl w:val="nil"/>
            </w:tcBorders>
            <w:shd w:val="clear" w:color="auto" w:fill="auto"/>
            <w:vAlign w:val="center"/>
          </w:tcPr>
          <w:p w14:paraId="76443CF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维护人才学历信息，实现人才学历信息的增删改查。信息内容包括：起始时间、结束时间、学历、学历类别、学位、学位类别、毕业院校、所学专业、毕业院校类别、所学专业类别。</w:t>
            </w:r>
          </w:p>
        </w:tc>
      </w:tr>
      <w:tr w:rsidR="004549BF" w14:paraId="49677FBB" w14:textId="77777777">
        <w:trPr>
          <w:trHeight w:val="283"/>
        </w:trPr>
        <w:tc>
          <w:tcPr>
            <w:tcW w:w="766" w:type="dxa"/>
            <w:tcBorders>
              <w:tl2br w:val="nil"/>
              <w:tr2bl w:val="nil"/>
            </w:tcBorders>
            <w:shd w:val="clear" w:color="auto" w:fill="auto"/>
            <w:vAlign w:val="center"/>
          </w:tcPr>
          <w:p w14:paraId="0E02877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89</w:t>
            </w:r>
          </w:p>
        </w:tc>
        <w:tc>
          <w:tcPr>
            <w:tcW w:w="2364" w:type="dxa"/>
            <w:tcBorders>
              <w:tl2br w:val="nil"/>
              <w:tr2bl w:val="nil"/>
            </w:tcBorders>
            <w:shd w:val="clear" w:color="auto" w:fill="auto"/>
            <w:vAlign w:val="center"/>
          </w:tcPr>
          <w:p w14:paraId="121498F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金融人才实践基地-派出单位管理-人才信息维护-职级职称信息</w:t>
            </w:r>
          </w:p>
        </w:tc>
        <w:tc>
          <w:tcPr>
            <w:tcW w:w="5605" w:type="dxa"/>
            <w:tcBorders>
              <w:tl2br w:val="nil"/>
              <w:tr2bl w:val="nil"/>
            </w:tcBorders>
            <w:shd w:val="clear" w:color="auto" w:fill="auto"/>
            <w:vAlign w:val="center"/>
          </w:tcPr>
          <w:p w14:paraId="3B3DB57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维护人才职级信息，实现人才职级职称信息的增删改查。信息内容包括：职级职称、起始时间、终止时间、职称类别。</w:t>
            </w:r>
          </w:p>
        </w:tc>
      </w:tr>
      <w:tr w:rsidR="004549BF" w14:paraId="506DDF83" w14:textId="77777777">
        <w:trPr>
          <w:trHeight w:val="283"/>
        </w:trPr>
        <w:tc>
          <w:tcPr>
            <w:tcW w:w="766" w:type="dxa"/>
            <w:tcBorders>
              <w:tl2br w:val="nil"/>
              <w:tr2bl w:val="nil"/>
            </w:tcBorders>
            <w:shd w:val="clear" w:color="auto" w:fill="auto"/>
            <w:vAlign w:val="center"/>
          </w:tcPr>
          <w:p w14:paraId="229BF92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90</w:t>
            </w:r>
          </w:p>
        </w:tc>
        <w:tc>
          <w:tcPr>
            <w:tcW w:w="2364" w:type="dxa"/>
            <w:tcBorders>
              <w:tl2br w:val="nil"/>
              <w:tr2bl w:val="nil"/>
            </w:tcBorders>
            <w:shd w:val="clear" w:color="auto" w:fill="auto"/>
            <w:vAlign w:val="center"/>
          </w:tcPr>
          <w:p w14:paraId="54B3482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金融人才实践基地-派出单位管理-人才信息维护-培训信息</w:t>
            </w:r>
          </w:p>
        </w:tc>
        <w:tc>
          <w:tcPr>
            <w:tcW w:w="5605" w:type="dxa"/>
            <w:tcBorders>
              <w:tl2br w:val="nil"/>
              <w:tr2bl w:val="nil"/>
            </w:tcBorders>
            <w:shd w:val="clear" w:color="auto" w:fill="auto"/>
            <w:vAlign w:val="center"/>
          </w:tcPr>
          <w:p w14:paraId="7CE3F65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维护人才培训信息，实现人才培训信息的增删改查。信息内容包括：培训名称、起始时间、结束时间、培训类别。</w:t>
            </w:r>
          </w:p>
        </w:tc>
      </w:tr>
      <w:tr w:rsidR="004549BF" w14:paraId="66C10B90" w14:textId="77777777">
        <w:trPr>
          <w:trHeight w:val="283"/>
        </w:trPr>
        <w:tc>
          <w:tcPr>
            <w:tcW w:w="766" w:type="dxa"/>
            <w:tcBorders>
              <w:tl2br w:val="nil"/>
              <w:tr2bl w:val="nil"/>
            </w:tcBorders>
            <w:shd w:val="clear" w:color="auto" w:fill="auto"/>
            <w:vAlign w:val="center"/>
          </w:tcPr>
          <w:p w14:paraId="22248D1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91</w:t>
            </w:r>
          </w:p>
        </w:tc>
        <w:tc>
          <w:tcPr>
            <w:tcW w:w="2364" w:type="dxa"/>
            <w:tcBorders>
              <w:tl2br w:val="nil"/>
              <w:tr2bl w:val="nil"/>
            </w:tcBorders>
            <w:shd w:val="clear" w:color="auto" w:fill="auto"/>
            <w:vAlign w:val="center"/>
          </w:tcPr>
          <w:p w14:paraId="6F467A4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金融人才实践基地-派出单位管理-人才信息维护-奖惩信息</w:t>
            </w:r>
          </w:p>
        </w:tc>
        <w:tc>
          <w:tcPr>
            <w:tcW w:w="5605" w:type="dxa"/>
            <w:tcBorders>
              <w:tl2br w:val="nil"/>
              <w:tr2bl w:val="nil"/>
            </w:tcBorders>
            <w:shd w:val="clear" w:color="auto" w:fill="auto"/>
            <w:vAlign w:val="center"/>
          </w:tcPr>
          <w:p w14:paraId="7DCE19C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维护人才奖惩信息，实现人才奖惩信息的增删改查。信息内容包括：时间、奖励名称、评选单位、单位级别、单位类别；时间、惩罚名称、惩处单位、惩处类型、惩处撤销时间。</w:t>
            </w:r>
          </w:p>
        </w:tc>
      </w:tr>
      <w:tr w:rsidR="004549BF" w14:paraId="40E00B01" w14:textId="77777777">
        <w:trPr>
          <w:trHeight w:val="283"/>
        </w:trPr>
        <w:tc>
          <w:tcPr>
            <w:tcW w:w="766" w:type="dxa"/>
            <w:tcBorders>
              <w:tl2br w:val="nil"/>
              <w:tr2bl w:val="nil"/>
            </w:tcBorders>
            <w:shd w:val="clear" w:color="auto" w:fill="auto"/>
            <w:vAlign w:val="center"/>
          </w:tcPr>
          <w:p w14:paraId="16E58CC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92</w:t>
            </w:r>
          </w:p>
        </w:tc>
        <w:tc>
          <w:tcPr>
            <w:tcW w:w="2364" w:type="dxa"/>
            <w:tcBorders>
              <w:tl2br w:val="nil"/>
              <w:tr2bl w:val="nil"/>
            </w:tcBorders>
            <w:shd w:val="clear" w:color="auto" w:fill="auto"/>
            <w:vAlign w:val="center"/>
          </w:tcPr>
          <w:p w14:paraId="7F564C4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金融人才实践基地-派出单位管理-人才信息维护-家庭成员信息</w:t>
            </w:r>
          </w:p>
        </w:tc>
        <w:tc>
          <w:tcPr>
            <w:tcW w:w="5605" w:type="dxa"/>
            <w:tcBorders>
              <w:tl2br w:val="nil"/>
              <w:tr2bl w:val="nil"/>
            </w:tcBorders>
            <w:shd w:val="clear" w:color="auto" w:fill="auto"/>
            <w:vAlign w:val="center"/>
          </w:tcPr>
          <w:p w14:paraId="2CB8995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维护人才家庭成员信息，实现人才家庭成员信息的增删改查。信息内容包括：成员称谓、姓名、性别、出生年月、党派、工作单位及职务。</w:t>
            </w:r>
          </w:p>
        </w:tc>
      </w:tr>
      <w:tr w:rsidR="004549BF" w14:paraId="1C6BEF66" w14:textId="77777777">
        <w:trPr>
          <w:trHeight w:val="283"/>
        </w:trPr>
        <w:tc>
          <w:tcPr>
            <w:tcW w:w="766" w:type="dxa"/>
            <w:tcBorders>
              <w:tl2br w:val="nil"/>
              <w:tr2bl w:val="nil"/>
            </w:tcBorders>
            <w:shd w:val="clear" w:color="auto" w:fill="auto"/>
            <w:vAlign w:val="center"/>
          </w:tcPr>
          <w:p w14:paraId="6E13021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93</w:t>
            </w:r>
          </w:p>
        </w:tc>
        <w:tc>
          <w:tcPr>
            <w:tcW w:w="2364" w:type="dxa"/>
            <w:tcBorders>
              <w:tl2br w:val="nil"/>
              <w:tr2bl w:val="nil"/>
            </w:tcBorders>
            <w:shd w:val="clear" w:color="auto" w:fill="auto"/>
            <w:vAlign w:val="center"/>
          </w:tcPr>
          <w:p w14:paraId="6A455A8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金融人才实践基地-派出单位管理-人才信息维护-个人经历信息</w:t>
            </w:r>
          </w:p>
        </w:tc>
        <w:tc>
          <w:tcPr>
            <w:tcW w:w="5605" w:type="dxa"/>
            <w:tcBorders>
              <w:tl2br w:val="nil"/>
              <w:tr2bl w:val="nil"/>
            </w:tcBorders>
            <w:shd w:val="clear" w:color="auto" w:fill="auto"/>
            <w:vAlign w:val="center"/>
          </w:tcPr>
          <w:p w14:paraId="01AE728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维护人才个人经历信息，实现人才个人经历信息的增删改查。信息内容包括：个人经历情况介绍、个人评价信息。</w:t>
            </w:r>
          </w:p>
        </w:tc>
      </w:tr>
      <w:tr w:rsidR="004549BF" w14:paraId="227D9FF6" w14:textId="77777777">
        <w:trPr>
          <w:trHeight w:val="283"/>
        </w:trPr>
        <w:tc>
          <w:tcPr>
            <w:tcW w:w="766" w:type="dxa"/>
            <w:tcBorders>
              <w:tl2br w:val="nil"/>
              <w:tr2bl w:val="nil"/>
            </w:tcBorders>
            <w:shd w:val="clear" w:color="auto" w:fill="auto"/>
            <w:vAlign w:val="center"/>
          </w:tcPr>
          <w:p w14:paraId="73CBCD6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94</w:t>
            </w:r>
          </w:p>
        </w:tc>
        <w:tc>
          <w:tcPr>
            <w:tcW w:w="2364" w:type="dxa"/>
            <w:tcBorders>
              <w:tl2br w:val="nil"/>
              <w:tr2bl w:val="nil"/>
            </w:tcBorders>
            <w:shd w:val="clear" w:color="auto" w:fill="auto"/>
            <w:vAlign w:val="center"/>
          </w:tcPr>
          <w:p w14:paraId="6C9500B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金融人才实践基地-派出单位管理-人才信息维护-人才标签维护</w:t>
            </w:r>
          </w:p>
        </w:tc>
        <w:tc>
          <w:tcPr>
            <w:tcW w:w="5605" w:type="dxa"/>
            <w:tcBorders>
              <w:tl2br w:val="nil"/>
              <w:tr2bl w:val="nil"/>
            </w:tcBorders>
            <w:shd w:val="clear" w:color="auto" w:fill="auto"/>
            <w:vAlign w:val="center"/>
          </w:tcPr>
          <w:p w14:paraId="2B48CA1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维护个人能力标签维护、专业岗位标签维护、个性特征标签维护、工作经历标签维护。</w:t>
            </w:r>
          </w:p>
        </w:tc>
      </w:tr>
      <w:tr w:rsidR="004549BF" w14:paraId="7DE5CB68" w14:textId="77777777">
        <w:trPr>
          <w:trHeight w:val="283"/>
        </w:trPr>
        <w:tc>
          <w:tcPr>
            <w:tcW w:w="766" w:type="dxa"/>
            <w:tcBorders>
              <w:tl2br w:val="nil"/>
              <w:tr2bl w:val="nil"/>
            </w:tcBorders>
            <w:shd w:val="clear" w:color="auto" w:fill="auto"/>
            <w:vAlign w:val="center"/>
          </w:tcPr>
          <w:p w14:paraId="486E5E6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95</w:t>
            </w:r>
          </w:p>
        </w:tc>
        <w:tc>
          <w:tcPr>
            <w:tcW w:w="2364" w:type="dxa"/>
            <w:tcBorders>
              <w:tl2br w:val="nil"/>
              <w:tr2bl w:val="nil"/>
            </w:tcBorders>
            <w:shd w:val="clear" w:color="auto" w:fill="auto"/>
            <w:vAlign w:val="center"/>
          </w:tcPr>
          <w:p w14:paraId="4D28A4E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金融人才实践基地-派出单位管理-人才信息维护-人才分信息集导入</w:t>
            </w:r>
          </w:p>
        </w:tc>
        <w:tc>
          <w:tcPr>
            <w:tcW w:w="5605" w:type="dxa"/>
            <w:tcBorders>
              <w:tl2br w:val="nil"/>
              <w:tr2bl w:val="nil"/>
            </w:tcBorders>
            <w:shd w:val="clear" w:color="auto" w:fill="auto"/>
            <w:vAlign w:val="center"/>
          </w:tcPr>
          <w:p w14:paraId="2B4B2C0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人才基本信息、工作经历信息、学历学位信息、职级职称信息、培训信息、奖惩信息、家庭成员信息、个人经历信息、人才标签Excel表格模板，在文件中维护各个信息集的申报信息，上传数据文件，系统按照分信息集结构，导入人才信息。</w:t>
            </w:r>
          </w:p>
        </w:tc>
      </w:tr>
      <w:tr w:rsidR="004549BF" w14:paraId="3281D427" w14:textId="77777777">
        <w:trPr>
          <w:trHeight w:val="283"/>
        </w:trPr>
        <w:tc>
          <w:tcPr>
            <w:tcW w:w="766" w:type="dxa"/>
            <w:tcBorders>
              <w:tl2br w:val="nil"/>
              <w:tr2bl w:val="nil"/>
            </w:tcBorders>
            <w:shd w:val="clear" w:color="auto" w:fill="auto"/>
            <w:vAlign w:val="center"/>
          </w:tcPr>
          <w:p w14:paraId="73B9491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96</w:t>
            </w:r>
          </w:p>
        </w:tc>
        <w:tc>
          <w:tcPr>
            <w:tcW w:w="2364" w:type="dxa"/>
            <w:tcBorders>
              <w:tl2br w:val="nil"/>
              <w:tr2bl w:val="nil"/>
            </w:tcBorders>
            <w:shd w:val="clear" w:color="auto" w:fill="auto"/>
            <w:vAlign w:val="center"/>
          </w:tcPr>
          <w:p w14:paraId="26350DC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金融人才实践基地-派出单位管理-人才信息维护-中组部任免表导入</w:t>
            </w:r>
          </w:p>
        </w:tc>
        <w:tc>
          <w:tcPr>
            <w:tcW w:w="5605" w:type="dxa"/>
            <w:tcBorders>
              <w:tl2br w:val="nil"/>
              <w:tr2bl w:val="nil"/>
            </w:tcBorders>
            <w:shd w:val="clear" w:color="auto" w:fill="auto"/>
            <w:vAlign w:val="center"/>
          </w:tcPr>
          <w:p w14:paraId="5C5E8E3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中组部任免表格式的人才信息导入到系统中，解析中组部任免表文件信息，自动分拆到人才基本信息、工作经历信息、学历学位信息、职级职称信息、培训信息、奖惩信息、家庭成员信息、个人经历信息等信息集中。</w:t>
            </w:r>
          </w:p>
        </w:tc>
      </w:tr>
      <w:tr w:rsidR="004549BF" w14:paraId="0D07C637" w14:textId="77777777">
        <w:trPr>
          <w:trHeight w:val="283"/>
        </w:trPr>
        <w:tc>
          <w:tcPr>
            <w:tcW w:w="766" w:type="dxa"/>
            <w:tcBorders>
              <w:tl2br w:val="nil"/>
              <w:tr2bl w:val="nil"/>
            </w:tcBorders>
            <w:shd w:val="clear" w:color="auto" w:fill="auto"/>
            <w:vAlign w:val="center"/>
          </w:tcPr>
          <w:p w14:paraId="39B4BAA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97</w:t>
            </w:r>
          </w:p>
        </w:tc>
        <w:tc>
          <w:tcPr>
            <w:tcW w:w="2364" w:type="dxa"/>
            <w:tcBorders>
              <w:tl2br w:val="nil"/>
              <w:tr2bl w:val="nil"/>
            </w:tcBorders>
            <w:shd w:val="clear" w:color="auto" w:fill="auto"/>
            <w:vAlign w:val="center"/>
          </w:tcPr>
          <w:p w14:paraId="6569746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金融人才实践基地-派出单位管理-人才信息维护-市委组织部任免表导入</w:t>
            </w:r>
          </w:p>
        </w:tc>
        <w:tc>
          <w:tcPr>
            <w:tcW w:w="5605" w:type="dxa"/>
            <w:tcBorders>
              <w:tl2br w:val="nil"/>
              <w:tr2bl w:val="nil"/>
            </w:tcBorders>
            <w:shd w:val="clear" w:color="auto" w:fill="auto"/>
            <w:vAlign w:val="center"/>
          </w:tcPr>
          <w:p w14:paraId="19A293A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将Excel格式市委组织部任免表信息导入到系统中，自动分拆到人才基本信息、工作经历信息、学历学位信息、职级职称信息、培训信息、奖惩信息、家庭成员信息、个人经历信息等信息集中。</w:t>
            </w:r>
          </w:p>
        </w:tc>
      </w:tr>
      <w:tr w:rsidR="004549BF" w14:paraId="5AB99ACD" w14:textId="77777777">
        <w:trPr>
          <w:trHeight w:val="283"/>
        </w:trPr>
        <w:tc>
          <w:tcPr>
            <w:tcW w:w="766" w:type="dxa"/>
            <w:tcBorders>
              <w:tl2br w:val="nil"/>
              <w:tr2bl w:val="nil"/>
            </w:tcBorders>
            <w:shd w:val="clear" w:color="auto" w:fill="auto"/>
            <w:vAlign w:val="center"/>
          </w:tcPr>
          <w:p w14:paraId="7E4BDD3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98</w:t>
            </w:r>
          </w:p>
        </w:tc>
        <w:tc>
          <w:tcPr>
            <w:tcW w:w="2364" w:type="dxa"/>
            <w:tcBorders>
              <w:tl2br w:val="nil"/>
              <w:tr2bl w:val="nil"/>
            </w:tcBorders>
            <w:shd w:val="clear" w:color="auto" w:fill="auto"/>
            <w:vAlign w:val="center"/>
          </w:tcPr>
          <w:p w14:paraId="3F72210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金融人才实践基地-派出单位管理-志愿填报</w:t>
            </w:r>
          </w:p>
        </w:tc>
        <w:tc>
          <w:tcPr>
            <w:tcW w:w="5605" w:type="dxa"/>
            <w:tcBorders>
              <w:tl2br w:val="nil"/>
              <w:tr2bl w:val="nil"/>
            </w:tcBorders>
            <w:shd w:val="clear" w:color="auto" w:fill="auto"/>
            <w:vAlign w:val="center"/>
          </w:tcPr>
          <w:p w14:paraId="186AF80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查询选择锻炼的岗位，并可调整申请志愿排序，作为第一志愿、第二志愿、第三志愿，提交志愿等待录取信息。</w:t>
            </w:r>
          </w:p>
        </w:tc>
      </w:tr>
      <w:tr w:rsidR="004549BF" w14:paraId="4BC8594F" w14:textId="77777777">
        <w:trPr>
          <w:trHeight w:val="283"/>
        </w:trPr>
        <w:tc>
          <w:tcPr>
            <w:tcW w:w="766" w:type="dxa"/>
            <w:tcBorders>
              <w:tl2br w:val="nil"/>
              <w:tr2bl w:val="nil"/>
            </w:tcBorders>
            <w:shd w:val="clear" w:color="auto" w:fill="auto"/>
            <w:vAlign w:val="center"/>
          </w:tcPr>
          <w:p w14:paraId="1D74932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99</w:t>
            </w:r>
          </w:p>
        </w:tc>
        <w:tc>
          <w:tcPr>
            <w:tcW w:w="2364" w:type="dxa"/>
            <w:tcBorders>
              <w:tl2br w:val="nil"/>
              <w:tr2bl w:val="nil"/>
            </w:tcBorders>
            <w:shd w:val="clear" w:color="auto" w:fill="auto"/>
            <w:vAlign w:val="center"/>
          </w:tcPr>
          <w:p w14:paraId="1C3DE92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金融人才实践基地-派出单位管理-录取通知查询</w:t>
            </w:r>
          </w:p>
        </w:tc>
        <w:tc>
          <w:tcPr>
            <w:tcW w:w="5605" w:type="dxa"/>
            <w:tcBorders>
              <w:tl2br w:val="nil"/>
              <w:tr2bl w:val="nil"/>
            </w:tcBorders>
            <w:shd w:val="clear" w:color="auto" w:fill="auto"/>
            <w:vAlign w:val="center"/>
          </w:tcPr>
          <w:p w14:paraId="0E25660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派出单位查询志愿录取情况，已录取的会接收到录取通知书，被拒绝的将收到不录取通知书。</w:t>
            </w:r>
          </w:p>
        </w:tc>
      </w:tr>
      <w:tr w:rsidR="004549BF" w14:paraId="3F7376D1" w14:textId="77777777">
        <w:trPr>
          <w:trHeight w:val="283"/>
        </w:trPr>
        <w:tc>
          <w:tcPr>
            <w:tcW w:w="766" w:type="dxa"/>
            <w:tcBorders>
              <w:tl2br w:val="nil"/>
              <w:tr2bl w:val="nil"/>
            </w:tcBorders>
            <w:shd w:val="clear" w:color="auto" w:fill="auto"/>
            <w:vAlign w:val="center"/>
          </w:tcPr>
          <w:p w14:paraId="6017171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100</w:t>
            </w:r>
          </w:p>
        </w:tc>
        <w:tc>
          <w:tcPr>
            <w:tcW w:w="2364" w:type="dxa"/>
            <w:tcBorders>
              <w:tl2br w:val="nil"/>
              <w:tr2bl w:val="nil"/>
            </w:tcBorders>
            <w:shd w:val="clear" w:color="auto" w:fill="auto"/>
            <w:vAlign w:val="center"/>
          </w:tcPr>
          <w:p w14:paraId="70DCF28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金融人才实践基地-派出单位管理-人才信息管理-人员任免表展示</w:t>
            </w:r>
          </w:p>
        </w:tc>
        <w:tc>
          <w:tcPr>
            <w:tcW w:w="5605" w:type="dxa"/>
            <w:tcBorders>
              <w:tl2br w:val="nil"/>
              <w:tr2bl w:val="nil"/>
            </w:tcBorders>
            <w:shd w:val="clear" w:color="auto" w:fill="auto"/>
            <w:vAlign w:val="center"/>
          </w:tcPr>
          <w:p w14:paraId="675192A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按照人员分信息集数据，生成任免表填充数据，将人才信息按照任免表格式进行生成填充，并可视化展示。</w:t>
            </w:r>
          </w:p>
        </w:tc>
      </w:tr>
      <w:tr w:rsidR="004549BF" w14:paraId="587E1F1A" w14:textId="77777777">
        <w:trPr>
          <w:trHeight w:val="283"/>
        </w:trPr>
        <w:tc>
          <w:tcPr>
            <w:tcW w:w="766" w:type="dxa"/>
            <w:tcBorders>
              <w:tl2br w:val="nil"/>
              <w:tr2bl w:val="nil"/>
            </w:tcBorders>
            <w:shd w:val="clear" w:color="auto" w:fill="auto"/>
            <w:vAlign w:val="center"/>
          </w:tcPr>
          <w:p w14:paraId="4BA2169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101</w:t>
            </w:r>
          </w:p>
        </w:tc>
        <w:tc>
          <w:tcPr>
            <w:tcW w:w="2364" w:type="dxa"/>
            <w:tcBorders>
              <w:tl2br w:val="nil"/>
              <w:tr2bl w:val="nil"/>
            </w:tcBorders>
            <w:shd w:val="clear" w:color="auto" w:fill="auto"/>
            <w:vAlign w:val="center"/>
          </w:tcPr>
          <w:p w14:paraId="2448FFC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金融人才实践基地-金融办配置管理-金融办首页</w:t>
            </w:r>
          </w:p>
        </w:tc>
        <w:tc>
          <w:tcPr>
            <w:tcW w:w="5605" w:type="dxa"/>
            <w:tcBorders>
              <w:tl2br w:val="nil"/>
              <w:tr2bl w:val="nil"/>
            </w:tcBorders>
            <w:shd w:val="clear" w:color="auto" w:fill="auto"/>
            <w:vAlign w:val="center"/>
          </w:tcPr>
          <w:p w14:paraId="1F88A71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关键数据展示：人才基地总数、派出单位总数、岗位总数、匹配岗位总数、空缺岗位总数、岗位分类统计、人才总量、人才分类统计。待办审核清单：基地申请审核、派出单位申请审核。申报通知查询入口。</w:t>
            </w:r>
          </w:p>
        </w:tc>
      </w:tr>
      <w:tr w:rsidR="004549BF" w14:paraId="78B9D834" w14:textId="77777777">
        <w:trPr>
          <w:trHeight w:val="283"/>
        </w:trPr>
        <w:tc>
          <w:tcPr>
            <w:tcW w:w="766" w:type="dxa"/>
            <w:tcBorders>
              <w:tl2br w:val="nil"/>
              <w:tr2bl w:val="nil"/>
            </w:tcBorders>
            <w:shd w:val="clear" w:color="auto" w:fill="auto"/>
            <w:vAlign w:val="center"/>
          </w:tcPr>
          <w:p w14:paraId="797BFFC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102</w:t>
            </w:r>
          </w:p>
        </w:tc>
        <w:tc>
          <w:tcPr>
            <w:tcW w:w="2364" w:type="dxa"/>
            <w:tcBorders>
              <w:tl2br w:val="nil"/>
              <w:tr2bl w:val="nil"/>
            </w:tcBorders>
            <w:shd w:val="clear" w:color="auto" w:fill="auto"/>
            <w:vAlign w:val="center"/>
          </w:tcPr>
          <w:p w14:paraId="2511A07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金融人才实践基地-金融办配置管理-基地审核</w:t>
            </w:r>
          </w:p>
        </w:tc>
        <w:tc>
          <w:tcPr>
            <w:tcW w:w="5605" w:type="dxa"/>
            <w:tcBorders>
              <w:tl2br w:val="nil"/>
              <w:tr2bl w:val="nil"/>
            </w:tcBorders>
            <w:shd w:val="clear" w:color="auto" w:fill="auto"/>
            <w:vAlign w:val="center"/>
          </w:tcPr>
          <w:p w14:paraId="304596E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审核基地注册信息和资格，反馈审核结果，并短信通知申请基地。只有通过审核的基地，才能登录系统。</w:t>
            </w:r>
          </w:p>
        </w:tc>
      </w:tr>
      <w:tr w:rsidR="004549BF" w14:paraId="74F846BA" w14:textId="77777777">
        <w:trPr>
          <w:trHeight w:val="283"/>
        </w:trPr>
        <w:tc>
          <w:tcPr>
            <w:tcW w:w="766" w:type="dxa"/>
            <w:tcBorders>
              <w:tl2br w:val="nil"/>
              <w:tr2bl w:val="nil"/>
            </w:tcBorders>
            <w:shd w:val="clear" w:color="auto" w:fill="auto"/>
            <w:vAlign w:val="center"/>
          </w:tcPr>
          <w:p w14:paraId="0CA83203"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103</w:t>
            </w:r>
          </w:p>
        </w:tc>
        <w:tc>
          <w:tcPr>
            <w:tcW w:w="2364" w:type="dxa"/>
            <w:tcBorders>
              <w:tl2br w:val="nil"/>
              <w:tr2bl w:val="nil"/>
            </w:tcBorders>
            <w:shd w:val="clear" w:color="auto" w:fill="auto"/>
            <w:vAlign w:val="center"/>
          </w:tcPr>
          <w:p w14:paraId="2B935EF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金融人才实践基地-金融办配置管理-派出单位审核</w:t>
            </w:r>
          </w:p>
        </w:tc>
        <w:tc>
          <w:tcPr>
            <w:tcW w:w="5605" w:type="dxa"/>
            <w:tcBorders>
              <w:tl2br w:val="nil"/>
              <w:tr2bl w:val="nil"/>
            </w:tcBorders>
            <w:shd w:val="clear" w:color="auto" w:fill="auto"/>
            <w:vAlign w:val="center"/>
          </w:tcPr>
          <w:p w14:paraId="4FAE838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审核派出单位注册信息和资格，反馈审核结果，并短信通知申请派出单位。只有通过审核的派出单位，才能登录系统。</w:t>
            </w:r>
          </w:p>
        </w:tc>
      </w:tr>
      <w:tr w:rsidR="004549BF" w14:paraId="5593B3EE" w14:textId="77777777">
        <w:trPr>
          <w:trHeight w:val="283"/>
        </w:trPr>
        <w:tc>
          <w:tcPr>
            <w:tcW w:w="766" w:type="dxa"/>
            <w:tcBorders>
              <w:tl2br w:val="nil"/>
              <w:tr2bl w:val="nil"/>
            </w:tcBorders>
            <w:shd w:val="clear" w:color="auto" w:fill="auto"/>
            <w:vAlign w:val="center"/>
          </w:tcPr>
          <w:p w14:paraId="73BE3D5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104</w:t>
            </w:r>
          </w:p>
        </w:tc>
        <w:tc>
          <w:tcPr>
            <w:tcW w:w="2364" w:type="dxa"/>
            <w:tcBorders>
              <w:tl2br w:val="nil"/>
              <w:tr2bl w:val="nil"/>
            </w:tcBorders>
            <w:shd w:val="clear" w:color="auto" w:fill="auto"/>
            <w:vAlign w:val="center"/>
          </w:tcPr>
          <w:p w14:paraId="6444F2E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金融人才实践基地-金融办配置管理-申报周期管理</w:t>
            </w:r>
          </w:p>
        </w:tc>
        <w:tc>
          <w:tcPr>
            <w:tcW w:w="5605" w:type="dxa"/>
            <w:tcBorders>
              <w:tl2br w:val="nil"/>
              <w:tr2bl w:val="nil"/>
            </w:tcBorders>
            <w:shd w:val="clear" w:color="auto" w:fill="auto"/>
            <w:vAlign w:val="center"/>
          </w:tcPr>
          <w:p w14:paraId="4428355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金融办对上年度申报信息归档后，才能发起当年基地、岗位和人才的申报工作。设定申报起始时间、结束时间，启动发起后，各基地和派出单位可以添加自己的岗位和交流人才信息。</w:t>
            </w:r>
          </w:p>
        </w:tc>
      </w:tr>
      <w:tr w:rsidR="004549BF" w14:paraId="3D89FD78" w14:textId="77777777">
        <w:trPr>
          <w:trHeight w:val="283"/>
        </w:trPr>
        <w:tc>
          <w:tcPr>
            <w:tcW w:w="766" w:type="dxa"/>
            <w:tcBorders>
              <w:tl2br w:val="nil"/>
              <w:tr2bl w:val="nil"/>
            </w:tcBorders>
            <w:shd w:val="clear" w:color="auto" w:fill="auto"/>
            <w:vAlign w:val="center"/>
          </w:tcPr>
          <w:p w14:paraId="1E6AA36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105</w:t>
            </w:r>
          </w:p>
        </w:tc>
        <w:tc>
          <w:tcPr>
            <w:tcW w:w="2364" w:type="dxa"/>
            <w:tcBorders>
              <w:tl2br w:val="nil"/>
              <w:tr2bl w:val="nil"/>
            </w:tcBorders>
            <w:shd w:val="clear" w:color="auto" w:fill="auto"/>
            <w:vAlign w:val="center"/>
          </w:tcPr>
          <w:p w14:paraId="7C0C710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金融人才实践基地-金融办配置管理-岗位审核</w:t>
            </w:r>
          </w:p>
        </w:tc>
        <w:tc>
          <w:tcPr>
            <w:tcW w:w="5605" w:type="dxa"/>
            <w:tcBorders>
              <w:tl2br w:val="nil"/>
              <w:tr2bl w:val="nil"/>
            </w:tcBorders>
            <w:shd w:val="clear" w:color="auto" w:fill="auto"/>
            <w:vAlign w:val="center"/>
          </w:tcPr>
          <w:p w14:paraId="0457F62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金融办首先查看待审核岗位列表，点击金融岗位审核。审核申报岗位信息，通过后进入岗位发布环节。否决后，将退回基地单位重新编辑。</w:t>
            </w:r>
          </w:p>
        </w:tc>
      </w:tr>
      <w:tr w:rsidR="004549BF" w14:paraId="25859647" w14:textId="77777777">
        <w:trPr>
          <w:trHeight w:val="283"/>
        </w:trPr>
        <w:tc>
          <w:tcPr>
            <w:tcW w:w="766" w:type="dxa"/>
            <w:tcBorders>
              <w:tl2br w:val="nil"/>
              <w:tr2bl w:val="nil"/>
            </w:tcBorders>
            <w:shd w:val="clear" w:color="auto" w:fill="auto"/>
            <w:vAlign w:val="center"/>
          </w:tcPr>
          <w:p w14:paraId="71CDC83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106</w:t>
            </w:r>
          </w:p>
        </w:tc>
        <w:tc>
          <w:tcPr>
            <w:tcW w:w="2364" w:type="dxa"/>
            <w:tcBorders>
              <w:tl2br w:val="nil"/>
              <w:tr2bl w:val="nil"/>
            </w:tcBorders>
            <w:shd w:val="clear" w:color="auto" w:fill="auto"/>
            <w:vAlign w:val="center"/>
          </w:tcPr>
          <w:p w14:paraId="7E88090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金融人才实践基地-金融办配置管理-基地查询</w:t>
            </w:r>
          </w:p>
        </w:tc>
        <w:tc>
          <w:tcPr>
            <w:tcW w:w="5605" w:type="dxa"/>
            <w:tcBorders>
              <w:tl2br w:val="nil"/>
              <w:tr2bl w:val="nil"/>
            </w:tcBorders>
            <w:shd w:val="clear" w:color="auto" w:fill="auto"/>
            <w:vAlign w:val="center"/>
          </w:tcPr>
          <w:p w14:paraId="43D034C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查询已注册基地。可根据基地主要属性分类进行查询。查询结果列表分页展示，每个基地可下钻查看派出单位及岗位信息。查询基地列表可导出Excel模板。所有系统用户均可使用基地查询功能。</w:t>
            </w:r>
          </w:p>
        </w:tc>
      </w:tr>
      <w:tr w:rsidR="004549BF" w14:paraId="6421A4DC" w14:textId="77777777">
        <w:trPr>
          <w:trHeight w:val="283"/>
        </w:trPr>
        <w:tc>
          <w:tcPr>
            <w:tcW w:w="766" w:type="dxa"/>
            <w:tcBorders>
              <w:tl2br w:val="nil"/>
              <w:tr2bl w:val="nil"/>
            </w:tcBorders>
            <w:shd w:val="clear" w:color="auto" w:fill="auto"/>
            <w:vAlign w:val="center"/>
          </w:tcPr>
          <w:p w14:paraId="10E2EF6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107</w:t>
            </w:r>
          </w:p>
        </w:tc>
        <w:tc>
          <w:tcPr>
            <w:tcW w:w="2364" w:type="dxa"/>
            <w:tcBorders>
              <w:tl2br w:val="nil"/>
              <w:tr2bl w:val="nil"/>
            </w:tcBorders>
            <w:shd w:val="clear" w:color="auto" w:fill="auto"/>
            <w:vAlign w:val="center"/>
          </w:tcPr>
          <w:p w14:paraId="6D07BC9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金融人才实践基地-金融办配置管理-派出单位查询</w:t>
            </w:r>
          </w:p>
        </w:tc>
        <w:tc>
          <w:tcPr>
            <w:tcW w:w="5605" w:type="dxa"/>
            <w:tcBorders>
              <w:tl2br w:val="nil"/>
              <w:tr2bl w:val="nil"/>
            </w:tcBorders>
            <w:shd w:val="clear" w:color="auto" w:fill="auto"/>
            <w:vAlign w:val="center"/>
          </w:tcPr>
          <w:p w14:paraId="5CDB4CE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查询已注册派出单位信息，查询派出单位列表可导出Excel。所有系统用户均可使用派出单位查询功能。</w:t>
            </w:r>
          </w:p>
        </w:tc>
      </w:tr>
      <w:tr w:rsidR="004549BF" w14:paraId="4D7F43D6" w14:textId="77777777">
        <w:trPr>
          <w:trHeight w:val="283"/>
        </w:trPr>
        <w:tc>
          <w:tcPr>
            <w:tcW w:w="766" w:type="dxa"/>
            <w:tcBorders>
              <w:tl2br w:val="nil"/>
              <w:tr2bl w:val="nil"/>
            </w:tcBorders>
            <w:shd w:val="clear" w:color="auto" w:fill="auto"/>
            <w:vAlign w:val="center"/>
          </w:tcPr>
          <w:p w14:paraId="79BE8A8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108</w:t>
            </w:r>
          </w:p>
        </w:tc>
        <w:tc>
          <w:tcPr>
            <w:tcW w:w="2364" w:type="dxa"/>
            <w:tcBorders>
              <w:tl2br w:val="nil"/>
              <w:tr2bl w:val="nil"/>
            </w:tcBorders>
            <w:shd w:val="clear" w:color="auto" w:fill="auto"/>
            <w:vAlign w:val="center"/>
          </w:tcPr>
          <w:p w14:paraId="1DD61C0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金融人才实践基地-金融办配置管理-岗位查询</w:t>
            </w:r>
          </w:p>
        </w:tc>
        <w:tc>
          <w:tcPr>
            <w:tcW w:w="5605" w:type="dxa"/>
            <w:tcBorders>
              <w:tl2br w:val="nil"/>
              <w:tr2bl w:val="nil"/>
            </w:tcBorders>
            <w:shd w:val="clear" w:color="auto" w:fill="auto"/>
            <w:vAlign w:val="center"/>
          </w:tcPr>
          <w:p w14:paraId="39FD825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可根据关键字模糊查询岗位信息，查询结果可导出Excel。通过岗位可下钻查询岗位申请人才信息，并可查看录取情况。所有系统用户均可使用岗位查询功能。基地用户仅可以查询本基地的岗位录取情况。</w:t>
            </w:r>
          </w:p>
        </w:tc>
      </w:tr>
      <w:tr w:rsidR="004549BF" w14:paraId="73EC9FA0" w14:textId="77777777">
        <w:trPr>
          <w:trHeight w:val="283"/>
        </w:trPr>
        <w:tc>
          <w:tcPr>
            <w:tcW w:w="766" w:type="dxa"/>
            <w:tcBorders>
              <w:tl2br w:val="nil"/>
              <w:tr2bl w:val="nil"/>
            </w:tcBorders>
            <w:shd w:val="clear" w:color="auto" w:fill="auto"/>
            <w:vAlign w:val="center"/>
          </w:tcPr>
          <w:p w14:paraId="265A53F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109</w:t>
            </w:r>
          </w:p>
        </w:tc>
        <w:tc>
          <w:tcPr>
            <w:tcW w:w="2364" w:type="dxa"/>
            <w:tcBorders>
              <w:tl2br w:val="nil"/>
              <w:tr2bl w:val="nil"/>
            </w:tcBorders>
            <w:shd w:val="clear" w:color="auto" w:fill="auto"/>
            <w:vAlign w:val="center"/>
          </w:tcPr>
          <w:p w14:paraId="725401C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金融人才实践基地-金融办配置管理-人才查询</w:t>
            </w:r>
          </w:p>
        </w:tc>
        <w:tc>
          <w:tcPr>
            <w:tcW w:w="5605" w:type="dxa"/>
            <w:tcBorders>
              <w:tl2br w:val="nil"/>
              <w:tr2bl w:val="nil"/>
            </w:tcBorders>
            <w:shd w:val="clear" w:color="auto" w:fill="auto"/>
            <w:vAlign w:val="center"/>
          </w:tcPr>
          <w:p w14:paraId="1BD5CB8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根据人才的各类信息进行查询，也可通过关键词模糊查询，查询结果可导出Excel。可下钻查询人才详细信息。金融办和基地用户可使用人才查询功能。</w:t>
            </w:r>
          </w:p>
        </w:tc>
      </w:tr>
      <w:tr w:rsidR="004549BF" w14:paraId="0E392C29" w14:textId="77777777">
        <w:trPr>
          <w:trHeight w:val="283"/>
        </w:trPr>
        <w:tc>
          <w:tcPr>
            <w:tcW w:w="766" w:type="dxa"/>
            <w:tcBorders>
              <w:tl2br w:val="nil"/>
              <w:tr2bl w:val="nil"/>
            </w:tcBorders>
            <w:shd w:val="clear" w:color="auto" w:fill="auto"/>
            <w:vAlign w:val="center"/>
          </w:tcPr>
          <w:p w14:paraId="57B4AAD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110</w:t>
            </w:r>
          </w:p>
        </w:tc>
        <w:tc>
          <w:tcPr>
            <w:tcW w:w="2364" w:type="dxa"/>
            <w:tcBorders>
              <w:tl2br w:val="nil"/>
              <w:tr2bl w:val="nil"/>
            </w:tcBorders>
            <w:shd w:val="clear" w:color="auto" w:fill="auto"/>
            <w:vAlign w:val="center"/>
          </w:tcPr>
          <w:p w14:paraId="490A112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金融人才实践基地-金融办配置管理-上海组织部任免表导出</w:t>
            </w:r>
          </w:p>
        </w:tc>
        <w:tc>
          <w:tcPr>
            <w:tcW w:w="5605" w:type="dxa"/>
            <w:tcBorders>
              <w:tl2br w:val="nil"/>
              <w:tr2bl w:val="nil"/>
            </w:tcBorders>
            <w:shd w:val="clear" w:color="auto" w:fill="auto"/>
            <w:vAlign w:val="center"/>
          </w:tcPr>
          <w:p w14:paraId="22400CD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根据市委组织部任免表格式，生成导出人才Excel任免表。支持任免表导出。</w:t>
            </w:r>
          </w:p>
        </w:tc>
      </w:tr>
      <w:tr w:rsidR="004549BF" w14:paraId="0410C972" w14:textId="77777777">
        <w:trPr>
          <w:trHeight w:val="283"/>
        </w:trPr>
        <w:tc>
          <w:tcPr>
            <w:tcW w:w="766" w:type="dxa"/>
            <w:tcBorders>
              <w:tl2br w:val="nil"/>
              <w:tr2bl w:val="nil"/>
            </w:tcBorders>
            <w:shd w:val="clear" w:color="auto" w:fill="auto"/>
            <w:vAlign w:val="center"/>
          </w:tcPr>
          <w:p w14:paraId="425FE02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111</w:t>
            </w:r>
          </w:p>
        </w:tc>
        <w:tc>
          <w:tcPr>
            <w:tcW w:w="2364" w:type="dxa"/>
            <w:tcBorders>
              <w:tl2br w:val="nil"/>
              <w:tr2bl w:val="nil"/>
            </w:tcBorders>
            <w:shd w:val="clear" w:color="auto" w:fill="auto"/>
            <w:vAlign w:val="center"/>
          </w:tcPr>
          <w:p w14:paraId="73265DE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金融人才实践基地-金融办配置管理-中组部任免表导出</w:t>
            </w:r>
          </w:p>
        </w:tc>
        <w:tc>
          <w:tcPr>
            <w:tcW w:w="5605" w:type="dxa"/>
            <w:tcBorders>
              <w:tl2br w:val="nil"/>
              <w:tr2bl w:val="nil"/>
            </w:tcBorders>
            <w:shd w:val="clear" w:color="auto" w:fill="auto"/>
            <w:vAlign w:val="center"/>
          </w:tcPr>
          <w:p w14:paraId="21EC5F4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根据中组部任免表格式，生成导出中组部格式的人才任免表。</w:t>
            </w:r>
          </w:p>
        </w:tc>
      </w:tr>
      <w:tr w:rsidR="004549BF" w14:paraId="5AB4A5DD" w14:textId="77777777">
        <w:trPr>
          <w:trHeight w:val="283"/>
        </w:trPr>
        <w:tc>
          <w:tcPr>
            <w:tcW w:w="766" w:type="dxa"/>
            <w:tcBorders>
              <w:tl2br w:val="nil"/>
              <w:tr2bl w:val="nil"/>
            </w:tcBorders>
            <w:shd w:val="clear" w:color="auto" w:fill="auto"/>
            <w:vAlign w:val="center"/>
          </w:tcPr>
          <w:p w14:paraId="130CBDE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112</w:t>
            </w:r>
          </w:p>
        </w:tc>
        <w:tc>
          <w:tcPr>
            <w:tcW w:w="2364" w:type="dxa"/>
            <w:tcBorders>
              <w:tl2br w:val="nil"/>
              <w:tr2bl w:val="nil"/>
            </w:tcBorders>
            <w:shd w:val="clear" w:color="auto" w:fill="auto"/>
            <w:vAlign w:val="center"/>
          </w:tcPr>
          <w:p w14:paraId="6ADF310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金融人才实践基地-金融办配置管理-申报状态统计</w:t>
            </w:r>
          </w:p>
        </w:tc>
        <w:tc>
          <w:tcPr>
            <w:tcW w:w="5605" w:type="dxa"/>
            <w:tcBorders>
              <w:tl2br w:val="nil"/>
              <w:tr2bl w:val="nil"/>
            </w:tcBorders>
            <w:shd w:val="clear" w:color="auto" w:fill="auto"/>
            <w:vAlign w:val="center"/>
          </w:tcPr>
          <w:p w14:paraId="0F696E2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展示岗位申请情况，可下钻查询岗位申报人才列表，继续下钻查询人才详细信息。统计表可导出Excel文件。</w:t>
            </w:r>
          </w:p>
        </w:tc>
      </w:tr>
      <w:tr w:rsidR="004549BF" w14:paraId="5F7B8C7D" w14:textId="77777777">
        <w:trPr>
          <w:trHeight w:val="283"/>
        </w:trPr>
        <w:tc>
          <w:tcPr>
            <w:tcW w:w="766" w:type="dxa"/>
            <w:tcBorders>
              <w:tl2br w:val="nil"/>
              <w:tr2bl w:val="nil"/>
            </w:tcBorders>
            <w:shd w:val="clear" w:color="auto" w:fill="auto"/>
            <w:vAlign w:val="center"/>
          </w:tcPr>
          <w:p w14:paraId="5F4BF03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113</w:t>
            </w:r>
          </w:p>
        </w:tc>
        <w:tc>
          <w:tcPr>
            <w:tcW w:w="2364" w:type="dxa"/>
            <w:tcBorders>
              <w:tl2br w:val="nil"/>
              <w:tr2bl w:val="nil"/>
            </w:tcBorders>
            <w:shd w:val="clear" w:color="auto" w:fill="auto"/>
            <w:vAlign w:val="center"/>
          </w:tcPr>
          <w:p w14:paraId="7F4C560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金融人才实践基地-金融办配置管理-录取情况统计分析</w:t>
            </w:r>
          </w:p>
        </w:tc>
        <w:tc>
          <w:tcPr>
            <w:tcW w:w="5605" w:type="dxa"/>
            <w:tcBorders>
              <w:tl2br w:val="nil"/>
              <w:tr2bl w:val="nil"/>
            </w:tcBorders>
            <w:shd w:val="clear" w:color="auto" w:fill="auto"/>
            <w:vAlign w:val="center"/>
          </w:tcPr>
          <w:p w14:paraId="2E8C829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分析各基地、各岗位的申报录取情况、岗位申报录取比。统计结果可导出Excel。可下钻查询岗位申报人才列表，继续下钻查询人才详细信息。</w:t>
            </w:r>
            <w:r>
              <w:rPr>
                <w:rFonts w:cs="宋体" w:hint="eastAsia"/>
                <w:color w:val="000000"/>
                <w:kern w:val="0"/>
                <w:lang w:bidi="ar"/>
              </w:rPr>
              <w:br/>
              <w:t>统计表可导出Excel文件。</w:t>
            </w:r>
          </w:p>
        </w:tc>
      </w:tr>
      <w:tr w:rsidR="004549BF" w14:paraId="22EC58BA" w14:textId="77777777">
        <w:trPr>
          <w:trHeight w:val="283"/>
        </w:trPr>
        <w:tc>
          <w:tcPr>
            <w:tcW w:w="766" w:type="dxa"/>
            <w:tcBorders>
              <w:tl2br w:val="nil"/>
              <w:tr2bl w:val="nil"/>
            </w:tcBorders>
            <w:shd w:val="clear" w:color="auto" w:fill="auto"/>
            <w:vAlign w:val="center"/>
          </w:tcPr>
          <w:p w14:paraId="21C96DE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114</w:t>
            </w:r>
          </w:p>
        </w:tc>
        <w:tc>
          <w:tcPr>
            <w:tcW w:w="2364" w:type="dxa"/>
            <w:tcBorders>
              <w:tl2br w:val="nil"/>
              <w:tr2bl w:val="nil"/>
            </w:tcBorders>
            <w:shd w:val="clear" w:color="auto" w:fill="auto"/>
            <w:vAlign w:val="center"/>
          </w:tcPr>
          <w:p w14:paraId="47891BB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金融人才实践基地-金融办配置管理-年度数据归档</w:t>
            </w:r>
          </w:p>
        </w:tc>
        <w:tc>
          <w:tcPr>
            <w:tcW w:w="5605" w:type="dxa"/>
            <w:tcBorders>
              <w:tl2br w:val="nil"/>
              <w:tr2bl w:val="nil"/>
            </w:tcBorders>
            <w:shd w:val="clear" w:color="auto" w:fill="auto"/>
            <w:vAlign w:val="center"/>
          </w:tcPr>
          <w:p w14:paraId="71FA1B0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将年度交流岗位、人才、申请、录取信息全部按照年度进行归档，存储到历史库中。</w:t>
            </w:r>
          </w:p>
        </w:tc>
      </w:tr>
      <w:tr w:rsidR="004549BF" w14:paraId="7AF42251" w14:textId="77777777">
        <w:trPr>
          <w:trHeight w:val="283"/>
        </w:trPr>
        <w:tc>
          <w:tcPr>
            <w:tcW w:w="766" w:type="dxa"/>
            <w:tcBorders>
              <w:tl2br w:val="nil"/>
              <w:tr2bl w:val="nil"/>
            </w:tcBorders>
            <w:shd w:val="clear" w:color="auto" w:fill="auto"/>
            <w:vAlign w:val="center"/>
          </w:tcPr>
          <w:p w14:paraId="6014A86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115</w:t>
            </w:r>
          </w:p>
        </w:tc>
        <w:tc>
          <w:tcPr>
            <w:tcW w:w="2364" w:type="dxa"/>
            <w:tcBorders>
              <w:tl2br w:val="nil"/>
              <w:tr2bl w:val="nil"/>
            </w:tcBorders>
            <w:shd w:val="clear" w:color="auto" w:fill="auto"/>
            <w:vAlign w:val="center"/>
          </w:tcPr>
          <w:p w14:paraId="138DEA5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金融人才实践基地-金融办配置管理-归档数据查询</w:t>
            </w:r>
          </w:p>
        </w:tc>
        <w:tc>
          <w:tcPr>
            <w:tcW w:w="5605" w:type="dxa"/>
            <w:tcBorders>
              <w:tl2br w:val="nil"/>
              <w:tr2bl w:val="nil"/>
            </w:tcBorders>
            <w:shd w:val="clear" w:color="auto" w:fill="auto"/>
            <w:vAlign w:val="center"/>
          </w:tcPr>
          <w:p w14:paraId="4663BA7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可按照关键字进行归档信息查询，查询范围包括岗位信息、人才信息、基地派出单位信息。可通过基地，查看历史挂职交流人员列表。可继续下钻查询人才详细信息。</w:t>
            </w:r>
          </w:p>
        </w:tc>
      </w:tr>
      <w:tr w:rsidR="004549BF" w14:paraId="62CF9423" w14:textId="77777777">
        <w:trPr>
          <w:trHeight w:val="283"/>
        </w:trPr>
        <w:tc>
          <w:tcPr>
            <w:tcW w:w="766" w:type="dxa"/>
            <w:tcBorders>
              <w:tl2br w:val="nil"/>
              <w:tr2bl w:val="nil"/>
            </w:tcBorders>
            <w:shd w:val="clear" w:color="auto" w:fill="auto"/>
            <w:vAlign w:val="center"/>
          </w:tcPr>
          <w:p w14:paraId="02D5702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116</w:t>
            </w:r>
          </w:p>
        </w:tc>
        <w:tc>
          <w:tcPr>
            <w:tcW w:w="2364" w:type="dxa"/>
            <w:tcBorders>
              <w:tl2br w:val="nil"/>
              <w:tr2bl w:val="nil"/>
            </w:tcBorders>
            <w:shd w:val="clear" w:color="auto" w:fill="auto"/>
            <w:vAlign w:val="center"/>
          </w:tcPr>
          <w:p w14:paraId="513BF28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金融人才实践基地-金融办配置管理-归档数据统计分析</w:t>
            </w:r>
          </w:p>
        </w:tc>
        <w:tc>
          <w:tcPr>
            <w:tcW w:w="5605" w:type="dxa"/>
            <w:tcBorders>
              <w:tl2br w:val="nil"/>
              <w:tr2bl w:val="nil"/>
            </w:tcBorders>
            <w:shd w:val="clear" w:color="auto" w:fill="auto"/>
            <w:vAlign w:val="center"/>
          </w:tcPr>
          <w:p w14:paraId="03D378D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归档数据按照年度统计参与派遣基地数、单位数、人才数、岗位数、录取数，交流岗位按照申报录取比由高到低进行排名。分析结果采用折线图、条状态进行可视化展示。统计数字可下钻具体岗位、人才、基地、</w:t>
            </w:r>
            <w:r>
              <w:rPr>
                <w:rFonts w:cs="宋体" w:hint="eastAsia"/>
                <w:color w:val="000000"/>
                <w:kern w:val="0"/>
                <w:lang w:bidi="ar"/>
              </w:rPr>
              <w:lastRenderedPageBreak/>
              <w:t>派出单位列表。可继续下钻人才详细信息。统计表格可导出Excel。</w:t>
            </w:r>
          </w:p>
        </w:tc>
      </w:tr>
      <w:tr w:rsidR="004549BF" w14:paraId="37A99AE4" w14:textId="77777777">
        <w:trPr>
          <w:trHeight w:val="283"/>
        </w:trPr>
        <w:tc>
          <w:tcPr>
            <w:tcW w:w="766" w:type="dxa"/>
            <w:tcBorders>
              <w:tl2br w:val="nil"/>
              <w:tr2bl w:val="nil"/>
            </w:tcBorders>
            <w:shd w:val="clear" w:color="auto" w:fill="auto"/>
            <w:vAlign w:val="center"/>
          </w:tcPr>
          <w:p w14:paraId="5073003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117</w:t>
            </w:r>
          </w:p>
        </w:tc>
        <w:tc>
          <w:tcPr>
            <w:tcW w:w="2364" w:type="dxa"/>
            <w:tcBorders>
              <w:tl2br w:val="nil"/>
              <w:tr2bl w:val="nil"/>
            </w:tcBorders>
            <w:shd w:val="clear" w:color="auto" w:fill="auto"/>
            <w:vAlign w:val="center"/>
          </w:tcPr>
          <w:p w14:paraId="66DC47B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金融人才实践基地-系统管理-系统配置管理</w:t>
            </w:r>
          </w:p>
        </w:tc>
        <w:tc>
          <w:tcPr>
            <w:tcW w:w="5605" w:type="dxa"/>
            <w:tcBorders>
              <w:tl2br w:val="nil"/>
              <w:tr2bl w:val="nil"/>
            </w:tcBorders>
            <w:shd w:val="clear" w:color="auto" w:fill="auto"/>
            <w:vAlign w:val="center"/>
          </w:tcPr>
          <w:p w14:paraId="2BB7725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维护录取通知书模板、短信消息通知模板。</w:t>
            </w:r>
          </w:p>
        </w:tc>
      </w:tr>
      <w:tr w:rsidR="004549BF" w14:paraId="7B91A9EA" w14:textId="77777777">
        <w:trPr>
          <w:trHeight w:val="283"/>
        </w:trPr>
        <w:tc>
          <w:tcPr>
            <w:tcW w:w="766" w:type="dxa"/>
            <w:tcBorders>
              <w:tl2br w:val="nil"/>
              <w:tr2bl w:val="nil"/>
            </w:tcBorders>
            <w:shd w:val="clear" w:color="auto" w:fill="auto"/>
            <w:vAlign w:val="center"/>
          </w:tcPr>
          <w:p w14:paraId="00A7F44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118</w:t>
            </w:r>
          </w:p>
        </w:tc>
        <w:tc>
          <w:tcPr>
            <w:tcW w:w="2364" w:type="dxa"/>
            <w:tcBorders>
              <w:tl2br w:val="nil"/>
              <w:tr2bl w:val="nil"/>
            </w:tcBorders>
            <w:shd w:val="clear" w:color="auto" w:fill="auto"/>
            <w:vAlign w:val="center"/>
          </w:tcPr>
          <w:p w14:paraId="4652D3E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金融人才实践基地-系统管理-密码应用</w:t>
            </w:r>
          </w:p>
        </w:tc>
        <w:tc>
          <w:tcPr>
            <w:tcW w:w="5605" w:type="dxa"/>
            <w:tcBorders>
              <w:tl2br w:val="nil"/>
              <w:tr2bl w:val="nil"/>
            </w:tcBorders>
            <w:shd w:val="clear" w:color="auto" w:fill="auto"/>
            <w:vAlign w:val="center"/>
          </w:tcPr>
          <w:p w14:paraId="72993BA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用户身份认证、重要信息加密、重要信息验签等密码相关服务对接。</w:t>
            </w:r>
          </w:p>
        </w:tc>
      </w:tr>
      <w:tr w:rsidR="004549BF" w14:paraId="7B140271" w14:textId="77777777">
        <w:trPr>
          <w:trHeight w:val="283"/>
        </w:trPr>
        <w:tc>
          <w:tcPr>
            <w:tcW w:w="766" w:type="dxa"/>
            <w:tcBorders>
              <w:tl2br w:val="nil"/>
              <w:tr2bl w:val="nil"/>
            </w:tcBorders>
            <w:shd w:val="clear" w:color="auto" w:fill="auto"/>
            <w:vAlign w:val="center"/>
          </w:tcPr>
          <w:p w14:paraId="1E305DC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119</w:t>
            </w:r>
          </w:p>
        </w:tc>
        <w:tc>
          <w:tcPr>
            <w:tcW w:w="2364" w:type="dxa"/>
            <w:tcBorders>
              <w:tl2br w:val="nil"/>
              <w:tr2bl w:val="nil"/>
            </w:tcBorders>
            <w:shd w:val="clear" w:color="auto" w:fill="auto"/>
            <w:vAlign w:val="center"/>
          </w:tcPr>
          <w:p w14:paraId="408AB18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金融论坛管理-论坛活动配置管理-管理端首页</w:t>
            </w:r>
          </w:p>
        </w:tc>
        <w:tc>
          <w:tcPr>
            <w:tcW w:w="5605" w:type="dxa"/>
            <w:tcBorders>
              <w:tl2br w:val="nil"/>
              <w:tr2bl w:val="nil"/>
            </w:tcBorders>
            <w:shd w:val="clear" w:color="auto" w:fill="auto"/>
            <w:vAlign w:val="center"/>
          </w:tcPr>
          <w:p w14:paraId="23C942C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模块管理端首页，功能包括：功能菜单、待办事项、消息通知等常用功能。管理端可以看到所有金融论坛活动的准备进展、报名人数、多方联审通过数、退回数。</w:t>
            </w:r>
          </w:p>
        </w:tc>
      </w:tr>
      <w:tr w:rsidR="004549BF" w14:paraId="4B0FE8D7" w14:textId="77777777">
        <w:trPr>
          <w:trHeight w:val="283"/>
        </w:trPr>
        <w:tc>
          <w:tcPr>
            <w:tcW w:w="766" w:type="dxa"/>
            <w:tcBorders>
              <w:tl2br w:val="nil"/>
              <w:tr2bl w:val="nil"/>
            </w:tcBorders>
            <w:shd w:val="clear" w:color="auto" w:fill="auto"/>
            <w:vAlign w:val="center"/>
          </w:tcPr>
          <w:p w14:paraId="49AE98B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120</w:t>
            </w:r>
          </w:p>
        </w:tc>
        <w:tc>
          <w:tcPr>
            <w:tcW w:w="2364" w:type="dxa"/>
            <w:tcBorders>
              <w:tl2br w:val="nil"/>
              <w:tr2bl w:val="nil"/>
            </w:tcBorders>
            <w:shd w:val="clear" w:color="auto" w:fill="auto"/>
            <w:vAlign w:val="center"/>
          </w:tcPr>
          <w:p w14:paraId="4A24B10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金融论坛管理-论坛活动配置管理-活动类型管理</w:t>
            </w:r>
          </w:p>
        </w:tc>
        <w:tc>
          <w:tcPr>
            <w:tcW w:w="5605" w:type="dxa"/>
            <w:tcBorders>
              <w:tl2br w:val="nil"/>
              <w:tr2bl w:val="nil"/>
            </w:tcBorders>
            <w:shd w:val="clear" w:color="auto" w:fill="auto"/>
            <w:vAlign w:val="center"/>
          </w:tcPr>
          <w:p w14:paraId="7CA7C3C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根据金融论坛常见活动组织，对参与或报名相关的活动进行统一的活动定义管理。内容包括：活动海报管理、报名表单定义、报名表模板定义、审批流程配置、输出名册表格配置。</w:t>
            </w:r>
          </w:p>
        </w:tc>
      </w:tr>
      <w:tr w:rsidR="004549BF" w14:paraId="01ECA753" w14:textId="77777777">
        <w:trPr>
          <w:trHeight w:val="283"/>
        </w:trPr>
        <w:tc>
          <w:tcPr>
            <w:tcW w:w="766" w:type="dxa"/>
            <w:tcBorders>
              <w:tl2br w:val="nil"/>
              <w:tr2bl w:val="nil"/>
            </w:tcBorders>
            <w:shd w:val="clear" w:color="auto" w:fill="auto"/>
            <w:vAlign w:val="center"/>
          </w:tcPr>
          <w:p w14:paraId="3C6457B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121</w:t>
            </w:r>
          </w:p>
        </w:tc>
        <w:tc>
          <w:tcPr>
            <w:tcW w:w="2364" w:type="dxa"/>
            <w:tcBorders>
              <w:tl2br w:val="nil"/>
              <w:tr2bl w:val="nil"/>
            </w:tcBorders>
            <w:shd w:val="clear" w:color="auto" w:fill="auto"/>
            <w:vAlign w:val="center"/>
          </w:tcPr>
          <w:p w14:paraId="70852E7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金融论坛管理-论坛活动配置管理-活动类型-海报管理</w:t>
            </w:r>
          </w:p>
        </w:tc>
        <w:tc>
          <w:tcPr>
            <w:tcW w:w="5605" w:type="dxa"/>
            <w:tcBorders>
              <w:tl2br w:val="nil"/>
              <w:tr2bl w:val="nil"/>
            </w:tcBorders>
            <w:shd w:val="clear" w:color="auto" w:fill="auto"/>
            <w:vAlign w:val="center"/>
          </w:tcPr>
          <w:p w14:paraId="40546D2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配置常用的海报展示模板，供活动组织进行选择。</w:t>
            </w:r>
          </w:p>
        </w:tc>
      </w:tr>
      <w:tr w:rsidR="004549BF" w14:paraId="3F2A484E" w14:textId="77777777">
        <w:trPr>
          <w:trHeight w:val="283"/>
        </w:trPr>
        <w:tc>
          <w:tcPr>
            <w:tcW w:w="766" w:type="dxa"/>
            <w:tcBorders>
              <w:tl2br w:val="nil"/>
              <w:tr2bl w:val="nil"/>
            </w:tcBorders>
            <w:shd w:val="clear" w:color="auto" w:fill="auto"/>
            <w:vAlign w:val="center"/>
          </w:tcPr>
          <w:p w14:paraId="6EDBBE1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122</w:t>
            </w:r>
          </w:p>
        </w:tc>
        <w:tc>
          <w:tcPr>
            <w:tcW w:w="2364" w:type="dxa"/>
            <w:tcBorders>
              <w:tl2br w:val="nil"/>
              <w:tr2bl w:val="nil"/>
            </w:tcBorders>
            <w:shd w:val="clear" w:color="auto" w:fill="auto"/>
            <w:vAlign w:val="center"/>
          </w:tcPr>
          <w:p w14:paraId="7F1784B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金融论坛管理-论坛活动配置管理-活动类型-报名表单自定义</w:t>
            </w:r>
          </w:p>
        </w:tc>
        <w:tc>
          <w:tcPr>
            <w:tcW w:w="5605" w:type="dxa"/>
            <w:tcBorders>
              <w:tl2br w:val="nil"/>
              <w:tr2bl w:val="nil"/>
            </w:tcBorders>
            <w:shd w:val="clear" w:color="auto" w:fill="auto"/>
            <w:vAlign w:val="center"/>
          </w:tcPr>
          <w:p w14:paraId="444C537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录入表单定义功能，配置活动报名的信息项，并可视化编辑报名表单数据。</w:t>
            </w:r>
          </w:p>
        </w:tc>
      </w:tr>
      <w:tr w:rsidR="004549BF" w14:paraId="6CF69B40" w14:textId="77777777">
        <w:trPr>
          <w:trHeight w:val="283"/>
        </w:trPr>
        <w:tc>
          <w:tcPr>
            <w:tcW w:w="766" w:type="dxa"/>
            <w:tcBorders>
              <w:tl2br w:val="nil"/>
              <w:tr2bl w:val="nil"/>
            </w:tcBorders>
            <w:shd w:val="clear" w:color="auto" w:fill="auto"/>
            <w:vAlign w:val="center"/>
          </w:tcPr>
          <w:p w14:paraId="5424B6E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123</w:t>
            </w:r>
          </w:p>
        </w:tc>
        <w:tc>
          <w:tcPr>
            <w:tcW w:w="2364" w:type="dxa"/>
            <w:tcBorders>
              <w:tl2br w:val="nil"/>
              <w:tr2bl w:val="nil"/>
            </w:tcBorders>
            <w:shd w:val="clear" w:color="auto" w:fill="auto"/>
            <w:vAlign w:val="center"/>
          </w:tcPr>
          <w:p w14:paraId="1F8951E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金融论坛管理-论坛活动配置管理-活动类型-审核浏览表单自定义</w:t>
            </w:r>
          </w:p>
        </w:tc>
        <w:tc>
          <w:tcPr>
            <w:tcW w:w="5605" w:type="dxa"/>
            <w:tcBorders>
              <w:tl2br w:val="nil"/>
              <w:tr2bl w:val="nil"/>
            </w:tcBorders>
            <w:shd w:val="clear" w:color="auto" w:fill="auto"/>
            <w:vAlign w:val="center"/>
          </w:tcPr>
          <w:p w14:paraId="7216BA5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配置审核报名信息浏览表单，管理员可以根据需要进行编辑和调整。</w:t>
            </w:r>
          </w:p>
        </w:tc>
      </w:tr>
      <w:tr w:rsidR="004549BF" w14:paraId="49DCF659" w14:textId="77777777">
        <w:trPr>
          <w:trHeight w:val="283"/>
        </w:trPr>
        <w:tc>
          <w:tcPr>
            <w:tcW w:w="766" w:type="dxa"/>
            <w:tcBorders>
              <w:tl2br w:val="nil"/>
              <w:tr2bl w:val="nil"/>
            </w:tcBorders>
            <w:shd w:val="clear" w:color="auto" w:fill="auto"/>
            <w:vAlign w:val="center"/>
          </w:tcPr>
          <w:p w14:paraId="4BAEE0C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124</w:t>
            </w:r>
          </w:p>
        </w:tc>
        <w:tc>
          <w:tcPr>
            <w:tcW w:w="2364" w:type="dxa"/>
            <w:tcBorders>
              <w:tl2br w:val="nil"/>
              <w:tr2bl w:val="nil"/>
            </w:tcBorders>
            <w:shd w:val="clear" w:color="auto" w:fill="auto"/>
            <w:vAlign w:val="center"/>
          </w:tcPr>
          <w:p w14:paraId="0EF14BB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w:t>
            </w:r>
            <w:r>
              <w:rPr>
                <w:rFonts w:cs="宋体" w:hint="eastAsia"/>
                <w:color w:val="000000"/>
                <w:kern w:val="0"/>
                <w:lang w:bidi="ar"/>
              </w:rPr>
              <w:lastRenderedPageBreak/>
              <w:t>类型-审批流程自定义配置</w:t>
            </w:r>
          </w:p>
        </w:tc>
        <w:tc>
          <w:tcPr>
            <w:tcW w:w="5605" w:type="dxa"/>
            <w:tcBorders>
              <w:tl2br w:val="nil"/>
              <w:tr2bl w:val="nil"/>
            </w:tcBorders>
            <w:shd w:val="clear" w:color="auto" w:fill="auto"/>
            <w:vAlign w:val="center"/>
          </w:tcPr>
          <w:p w14:paraId="59F2922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lastRenderedPageBreak/>
              <w:t>配置活动或报名的审批节点和审批角色（审批人）。</w:t>
            </w:r>
          </w:p>
        </w:tc>
      </w:tr>
      <w:tr w:rsidR="004549BF" w14:paraId="08D44B13" w14:textId="77777777">
        <w:trPr>
          <w:trHeight w:val="283"/>
        </w:trPr>
        <w:tc>
          <w:tcPr>
            <w:tcW w:w="766" w:type="dxa"/>
            <w:tcBorders>
              <w:tl2br w:val="nil"/>
              <w:tr2bl w:val="nil"/>
            </w:tcBorders>
            <w:shd w:val="clear" w:color="auto" w:fill="auto"/>
            <w:vAlign w:val="center"/>
          </w:tcPr>
          <w:p w14:paraId="3CE37F9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125</w:t>
            </w:r>
          </w:p>
        </w:tc>
        <w:tc>
          <w:tcPr>
            <w:tcW w:w="2364" w:type="dxa"/>
            <w:tcBorders>
              <w:tl2br w:val="nil"/>
              <w:tr2bl w:val="nil"/>
            </w:tcBorders>
            <w:shd w:val="clear" w:color="auto" w:fill="auto"/>
            <w:vAlign w:val="center"/>
          </w:tcPr>
          <w:p w14:paraId="7EA178D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金融论坛管理-论坛活动配置管理-活动类型-人员名册表格自定义配置</w:t>
            </w:r>
          </w:p>
        </w:tc>
        <w:tc>
          <w:tcPr>
            <w:tcW w:w="5605" w:type="dxa"/>
            <w:tcBorders>
              <w:tl2br w:val="nil"/>
              <w:tr2bl w:val="nil"/>
            </w:tcBorders>
            <w:shd w:val="clear" w:color="auto" w:fill="auto"/>
            <w:vAlign w:val="center"/>
          </w:tcPr>
          <w:p w14:paraId="13A700B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配置输出人员名册表格，包括报名表、参会媒体、参会人员名册等。</w:t>
            </w:r>
          </w:p>
        </w:tc>
      </w:tr>
      <w:tr w:rsidR="004549BF" w14:paraId="13CB61C0" w14:textId="77777777">
        <w:trPr>
          <w:trHeight w:val="283"/>
        </w:trPr>
        <w:tc>
          <w:tcPr>
            <w:tcW w:w="766" w:type="dxa"/>
            <w:tcBorders>
              <w:tl2br w:val="nil"/>
              <w:tr2bl w:val="nil"/>
            </w:tcBorders>
            <w:shd w:val="clear" w:color="auto" w:fill="auto"/>
            <w:vAlign w:val="center"/>
          </w:tcPr>
          <w:p w14:paraId="5350C76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126</w:t>
            </w:r>
          </w:p>
        </w:tc>
        <w:tc>
          <w:tcPr>
            <w:tcW w:w="2364" w:type="dxa"/>
            <w:tcBorders>
              <w:tl2br w:val="nil"/>
              <w:tr2bl w:val="nil"/>
            </w:tcBorders>
            <w:shd w:val="clear" w:color="auto" w:fill="auto"/>
            <w:vAlign w:val="center"/>
          </w:tcPr>
          <w:p w14:paraId="5CFEC0C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金融论坛管理-论坛活动配置管理-发起报名活动</w:t>
            </w:r>
          </w:p>
        </w:tc>
        <w:tc>
          <w:tcPr>
            <w:tcW w:w="5605" w:type="dxa"/>
            <w:tcBorders>
              <w:tl2br w:val="nil"/>
              <w:tr2bl w:val="nil"/>
            </w:tcBorders>
            <w:shd w:val="clear" w:color="auto" w:fill="auto"/>
            <w:vAlign w:val="center"/>
          </w:tcPr>
          <w:p w14:paraId="3435ECD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活动管理员选择活动类型，设定活动报名的起始时间和结束时间，发布定制的活动报名信息，互联网端的媒体或个人可以进行线上报名。</w:t>
            </w:r>
          </w:p>
        </w:tc>
      </w:tr>
      <w:tr w:rsidR="004549BF" w14:paraId="4D97DE4F" w14:textId="77777777">
        <w:trPr>
          <w:trHeight w:val="283"/>
        </w:trPr>
        <w:tc>
          <w:tcPr>
            <w:tcW w:w="766" w:type="dxa"/>
            <w:tcBorders>
              <w:tl2br w:val="nil"/>
              <w:tr2bl w:val="nil"/>
            </w:tcBorders>
            <w:shd w:val="clear" w:color="auto" w:fill="auto"/>
            <w:vAlign w:val="center"/>
          </w:tcPr>
          <w:p w14:paraId="7C71C95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127</w:t>
            </w:r>
          </w:p>
        </w:tc>
        <w:tc>
          <w:tcPr>
            <w:tcW w:w="2364" w:type="dxa"/>
            <w:tcBorders>
              <w:tl2br w:val="nil"/>
              <w:tr2bl w:val="nil"/>
            </w:tcBorders>
            <w:shd w:val="clear" w:color="auto" w:fill="auto"/>
            <w:vAlign w:val="center"/>
          </w:tcPr>
          <w:p w14:paraId="34459FC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金融论坛管理-论坛活动配置管理-审核端首页</w:t>
            </w:r>
          </w:p>
        </w:tc>
        <w:tc>
          <w:tcPr>
            <w:tcW w:w="5605" w:type="dxa"/>
            <w:tcBorders>
              <w:tl2br w:val="nil"/>
              <w:tr2bl w:val="nil"/>
            </w:tcBorders>
            <w:shd w:val="clear" w:color="auto" w:fill="auto"/>
            <w:vAlign w:val="center"/>
          </w:tcPr>
          <w:p w14:paraId="6E0EEC9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根据发起的活动设置审核角色，审核角色登录后，显示待审核报名信息。</w:t>
            </w:r>
          </w:p>
        </w:tc>
      </w:tr>
      <w:tr w:rsidR="004549BF" w14:paraId="1A838877" w14:textId="77777777">
        <w:trPr>
          <w:trHeight w:val="283"/>
        </w:trPr>
        <w:tc>
          <w:tcPr>
            <w:tcW w:w="766" w:type="dxa"/>
            <w:tcBorders>
              <w:tl2br w:val="nil"/>
              <w:tr2bl w:val="nil"/>
            </w:tcBorders>
            <w:shd w:val="clear" w:color="auto" w:fill="auto"/>
            <w:vAlign w:val="center"/>
          </w:tcPr>
          <w:p w14:paraId="56385B0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128</w:t>
            </w:r>
          </w:p>
        </w:tc>
        <w:tc>
          <w:tcPr>
            <w:tcW w:w="2364" w:type="dxa"/>
            <w:tcBorders>
              <w:tl2br w:val="nil"/>
              <w:tr2bl w:val="nil"/>
            </w:tcBorders>
            <w:shd w:val="clear" w:color="auto" w:fill="auto"/>
            <w:vAlign w:val="center"/>
          </w:tcPr>
          <w:p w14:paraId="4B09360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金融论坛管理-论坛活动配置管理-活动报名多级联审</w:t>
            </w:r>
          </w:p>
        </w:tc>
        <w:tc>
          <w:tcPr>
            <w:tcW w:w="5605" w:type="dxa"/>
            <w:tcBorders>
              <w:tl2br w:val="nil"/>
              <w:tr2bl w:val="nil"/>
            </w:tcBorders>
            <w:shd w:val="clear" w:color="auto" w:fill="auto"/>
            <w:vAlign w:val="center"/>
          </w:tcPr>
          <w:p w14:paraId="3B6B32A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可以设置多级审核流程，相应审核人登录可审核报名信息和上传的相关附件比对信息。系统都会用邮件方式，通知报名人员。</w:t>
            </w:r>
          </w:p>
        </w:tc>
      </w:tr>
      <w:tr w:rsidR="004549BF" w14:paraId="45F0641D" w14:textId="77777777">
        <w:trPr>
          <w:trHeight w:val="283"/>
        </w:trPr>
        <w:tc>
          <w:tcPr>
            <w:tcW w:w="766" w:type="dxa"/>
            <w:tcBorders>
              <w:tl2br w:val="nil"/>
              <w:tr2bl w:val="nil"/>
            </w:tcBorders>
            <w:shd w:val="clear" w:color="auto" w:fill="auto"/>
            <w:vAlign w:val="center"/>
          </w:tcPr>
          <w:p w14:paraId="4316F58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129</w:t>
            </w:r>
          </w:p>
        </w:tc>
        <w:tc>
          <w:tcPr>
            <w:tcW w:w="2364" w:type="dxa"/>
            <w:tcBorders>
              <w:tl2br w:val="nil"/>
              <w:tr2bl w:val="nil"/>
            </w:tcBorders>
            <w:shd w:val="clear" w:color="auto" w:fill="auto"/>
            <w:vAlign w:val="center"/>
          </w:tcPr>
          <w:p w14:paraId="62D5192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金融论坛管理-论坛活动配置管理-活动报名表生成</w:t>
            </w:r>
          </w:p>
        </w:tc>
        <w:tc>
          <w:tcPr>
            <w:tcW w:w="5605" w:type="dxa"/>
            <w:tcBorders>
              <w:tl2br w:val="nil"/>
              <w:tr2bl w:val="nil"/>
            </w:tcBorders>
            <w:shd w:val="clear" w:color="auto" w:fill="auto"/>
            <w:vAlign w:val="center"/>
          </w:tcPr>
          <w:p w14:paraId="2432A4F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系统报表引擎调用活动报表模板，生成活动对应的报名表。</w:t>
            </w:r>
          </w:p>
        </w:tc>
      </w:tr>
      <w:tr w:rsidR="004549BF" w14:paraId="0A850269" w14:textId="77777777">
        <w:trPr>
          <w:trHeight w:val="283"/>
        </w:trPr>
        <w:tc>
          <w:tcPr>
            <w:tcW w:w="766" w:type="dxa"/>
            <w:tcBorders>
              <w:tl2br w:val="nil"/>
              <w:tr2bl w:val="nil"/>
            </w:tcBorders>
            <w:shd w:val="clear" w:color="auto" w:fill="auto"/>
            <w:vAlign w:val="center"/>
          </w:tcPr>
          <w:p w14:paraId="323D7D1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130</w:t>
            </w:r>
          </w:p>
        </w:tc>
        <w:tc>
          <w:tcPr>
            <w:tcW w:w="2364" w:type="dxa"/>
            <w:tcBorders>
              <w:tl2br w:val="nil"/>
              <w:tr2bl w:val="nil"/>
            </w:tcBorders>
            <w:shd w:val="clear" w:color="auto" w:fill="auto"/>
            <w:vAlign w:val="center"/>
          </w:tcPr>
          <w:p w14:paraId="7BF4729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金融论坛管理-论坛活动配置管理-证件制作表生成导出</w:t>
            </w:r>
          </w:p>
        </w:tc>
        <w:tc>
          <w:tcPr>
            <w:tcW w:w="5605" w:type="dxa"/>
            <w:tcBorders>
              <w:tl2br w:val="nil"/>
              <w:tr2bl w:val="nil"/>
            </w:tcBorders>
            <w:shd w:val="clear" w:color="auto" w:fill="auto"/>
            <w:vAlign w:val="center"/>
          </w:tcPr>
          <w:p w14:paraId="6BDCA3C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审核通过后，系统制作证照的电子文件。也可生成电子证照，生成二维码。</w:t>
            </w:r>
          </w:p>
        </w:tc>
      </w:tr>
      <w:tr w:rsidR="004549BF" w14:paraId="33C93864" w14:textId="77777777">
        <w:trPr>
          <w:trHeight w:val="283"/>
        </w:trPr>
        <w:tc>
          <w:tcPr>
            <w:tcW w:w="766" w:type="dxa"/>
            <w:tcBorders>
              <w:tl2br w:val="nil"/>
              <w:tr2bl w:val="nil"/>
            </w:tcBorders>
            <w:shd w:val="clear" w:color="auto" w:fill="auto"/>
            <w:vAlign w:val="center"/>
          </w:tcPr>
          <w:p w14:paraId="2BBA314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131</w:t>
            </w:r>
          </w:p>
        </w:tc>
        <w:tc>
          <w:tcPr>
            <w:tcW w:w="2364" w:type="dxa"/>
            <w:tcBorders>
              <w:tl2br w:val="nil"/>
              <w:tr2bl w:val="nil"/>
            </w:tcBorders>
            <w:shd w:val="clear" w:color="auto" w:fill="auto"/>
            <w:vAlign w:val="center"/>
          </w:tcPr>
          <w:p w14:paraId="2100BD3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金融论坛管理-论坛活动配置管理-报名名册生成</w:t>
            </w:r>
          </w:p>
        </w:tc>
        <w:tc>
          <w:tcPr>
            <w:tcW w:w="5605" w:type="dxa"/>
            <w:tcBorders>
              <w:tl2br w:val="nil"/>
              <w:tr2bl w:val="nil"/>
            </w:tcBorders>
            <w:shd w:val="clear" w:color="auto" w:fill="auto"/>
            <w:vAlign w:val="center"/>
          </w:tcPr>
          <w:p w14:paraId="3468CE9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报表引擎调用活动名册模板，生成报名名册。</w:t>
            </w:r>
          </w:p>
        </w:tc>
      </w:tr>
      <w:tr w:rsidR="004549BF" w14:paraId="11CC8E9C" w14:textId="77777777">
        <w:trPr>
          <w:trHeight w:val="283"/>
        </w:trPr>
        <w:tc>
          <w:tcPr>
            <w:tcW w:w="766" w:type="dxa"/>
            <w:tcBorders>
              <w:tl2br w:val="nil"/>
              <w:tr2bl w:val="nil"/>
            </w:tcBorders>
            <w:shd w:val="clear" w:color="auto" w:fill="auto"/>
            <w:vAlign w:val="center"/>
          </w:tcPr>
          <w:p w14:paraId="4985122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132</w:t>
            </w:r>
          </w:p>
        </w:tc>
        <w:tc>
          <w:tcPr>
            <w:tcW w:w="2364" w:type="dxa"/>
            <w:tcBorders>
              <w:tl2br w:val="nil"/>
              <w:tr2bl w:val="nil"/>
            </w:tcBorders>
            <w:shd w:val="clear" w:color="auto" w:fill="auto"/>
            <w:vAlign w:val="center"/>
          </w:tcPr>
          <w:p w14:paraId="1115E9A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金融论坛管理-论坛活动配置管理-论坛活动信息发布</w:t>
            </w:r>
          </w:p>
        </w:tc>
        <w:tc>
          <w:tcPr>
            <w:tcW w:w="5605" w:type="dxa"/>
            <w:tcBorders>
              <w:tl2br w:val="nil"/>
              <w:tr2bl w:val="nil"/>
            </w:tcBorders>
            <w:shd w:val="clear" w:color="auto" w:fill="auto"/>
            <w:vAlign w:val="center"/>
          </w:tcPr>
          <w:p w14:paraId="10B1D88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实现活动文档、多媒体资料上传。提供文档在线编辑功能，发布相关文档信息。实现文档资料在线搜索、浏览。有权限的用户可下载文档。</w:t>
            </w:r>
          </w:p>
        </w:tc>
      </w:tr>
      <w:tr w:rsidR="004549BF" w14:paraId="4AB59AB1" w14:textId="77777777">
        <w:trPr>
          <w:trHeight w:val="283"/>
        </w:trPr>
        <w:tc>
          <w:tcPr>
            <w:tcW w:w="766" w:type="dxa"/>
            <w:tcBorders>
              <w:tl2br w:val="nil"/>
              <w:tr2bl w:val="nil"/>
            </w:tcBorders>
            <w:shd w:val="clear" w:color="auto" w:fill="auto"/>
            <w:vAlign w:val="center"/>
          </w:tcPr>
          <w:p w14:paraId="6F87A8C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133</w:t>
            </w:r>
          </w:p>
        </w:tc>
        <w:tc>
          <w:tcPr>
            <w:tcW w:w="2364" w:type="dxa"/>
            <w:tcBorders>
              <w:tl2br w:val="nil"/>
              <w:tr2bl w:val="nil"/>
            </w:tcBorders>
            <w:shd w:val="clear" w:color="auto" w:fill="auto"/>
            <w:vAlign w:val="center"/>
          </w:tcPr>
          <w:p w14:paraId="426387C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金融论坛管理-论坛活动配置管理-金融论坛活动归档</w:t>
            </w:r>
          </w:p>
        </w:tc>
        <w:tc>
          <w:tcPr>
            <w:tcW w:w="5605" w:type="dxa"/>
            <w:tcBorders>
              <w:tl2br w:val="nil"/>
              <w:tr2bl w:val="nil"/>
            </w:tcBorders>
            <w:shd w:val="clear" w:color="auto" w:fill="auto"/>
            <w:vAlign w:val="center"/>
          </w:tcPr>
          <w:p w14:paraId="7F5DC0A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按照会议报名信息、报名表、名册、证照进行归档保存，用户信息保留持续可用。</w:t>
            </w:r>
          </w:p>
        </w:tc>
      </w:tr>
      <w:tr w:rsidR="004549BF" w14:paraId="46115463" w14:textId="77777777">
        <w:trPr>
          <w:trHeight w:val="283"/>
        </w:trPr>
        <w:tc>
          <w:tcPr>
            <w:tcW w:w="766" w:type="dxa"/>
            <w:tcBorders>
              <w:tl2br w:val="nil"/>
              <w:tr2bl w:val="nil"/>
            </w:tcBorders>
            <w:shd w:val="clear" w:color="auto" w:fill="auto"/>
            <w:vAlign w:val="center"/>
          </w:tcPr>
          <w:p w14:paraId="33FC5D3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134</w:t>
            </w:r>
          </w:p>
        </w:tc>
        <w:tc>
          <w:tcPr>
            <w:tcW w:w="2364" w:type="dxa"/>
            <w:tcBorders>
              <w:tl2br w:val="nil"/>
              <w:tr2bl w:val="nil"/>
            </w:tcBorders>
            <w:shd w:val="clear" w:color="auto" w:fill="auto"/>
            <w:vAlign w:val="center"/>
          </w:tcPr>
          <w:p w14:paraId="73916D9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金融论坛管理-论坛活动配置管理-归档活动信息查询</w:t>
            </w:r>
          </w:p>
        </w:tc>
        <w:tc>
          <w:tcPr>
            <w:tcW w:w="5605" w:type="dxa"/>
            <w:tcBorders>
              <w:tl2br w:val="nil"/>
              <w:tr2bl w:val="nil"/>
            </w:tcBorders>
            <w:shd w:val="clear" w:color="auto" w:fill="auto"/>
            <w:vAlign w:val="center"/>
          </w:tcPr>
          <w:p w14:paraId="2D26D6F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按照关键字，查询归档活动信息。查询结果以列表、详细文档格式显示。</w:t>
            </w:r>
          </w:p>
        </w:tc>
      </w:tr>
      <w:tr w:rsidR="004549BF" w14:paraId="3CACD659" w14:textId="77777777">
        <w:trPr>
          <w:trHeight w:val="283"/>
        </w:trPr>
        <w:tc>
          <w:tcPr>
            <w:tcW w:w="766" w:type="dxa"/>
            <w:tcBorders>
              <w:tl2br w:val="nil"/>
              <w:tr2bl w:val="nil"/>
            </w:tcBorders>
            <w:shd w:val="clear" w:color="auto" w:fill="auto"/>
            <w:vAlign w:val="center"/>
          </w:tcPr>
          <w:p w14:paraId="21DF3C93"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135</w:t>
            </w:r>
          </w:p>
        </w:tc>
        <w:tc>
          <w:tcPr>
            <w:tcW w:w="2364" w:type="dxa"/>
            <w:tcBorders>
              <w:tl2br w:val="nil"/>
              <w:tr2bl w:val="nil"/>
            </w:tcBorders>
            <w:shd w:val="clear" w:color="auto" w:fill="auto"/>
            <w:vAlign w:val="center"/>
          </w:tcPr>
          <w:p w14:paraId="0C23886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金融论坛管理-论坛活动配置管理-活动管理-任务分解</w:t>
            </w:r>
          </w:p>
        </w:tc>
        <w:tc>
          <w:tcPr>
            <w:tcW w:w="5605" w:type="dxa"/>
            <w:tcBorders>
              <w:tl2br w:val="nil"/>
              <w:tr2bl w:val="nil"/>
            </w:tcBorders>
            <w:shd w:val="clear" w:color="auto" w:fill="auto"/>
            <w:vAlign w:val="center"/>
          </w:tcPr>
          <w:p w14:paraId="4A33B4D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任务包括任务名称、前置任务、责任人、起始时间、截至时间、紧急程度、任务要求等描述信息。</w:t>
            </w:r>
            <w:r>
              <w:rPr>
                <w:rFonts w:cs="宋体" w:hint="eastAsia"/>
                <w:color w:val="000000"/>
                <w:kern w:val="0"/>
                <w:lang w:bidi="ar"/>
              </w:rPr>
              <w:br/>
              <w:t>每个任务下可增加子任务。活动参与人都可以分解自己承接的任务，进行多级细分。</w:t>
            </w:r>
          </w:p>
        </w:tc>
      </w:tr>
      <w:tr w:rsidR="004549BF" w14:paraId="3566074F" w14:textId="77777777">
        <w:trPr>
          <w:trHeight w:val="283"/>
        </w:trPr>
        <w:tc>
          <w:tcPr>
            <w:tcW w:w="766" w:type="dxa"/>
            <w:tcBorders>
              <w:tl2br w:val="nil"/>
              <w:tr2bl w:val="nil"/>
            </w:tcBorders>
            <w:shd w:val="clear" w:color="auto" w:fill="auto"/>
            <w:vAlign w:val="center"/>
          </w:tcPr>
          <w:p w14:paraId="4DA7EA0D"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136</w:t>
            </w:r>
          </w:p>
        </w:tc>
        <w:tc>
          <w:tcPr>
            <w:tcW w:w="2364" w:type="dxa"/>
            <w:tcBorders>
              <w:tl2br w:val="nil"/>
              <w:tr2bl w:val="nil"/>
            </w:tcBorders>
            <w:shd w:val="clear" w:color="auto" w:fill="auto"/>
            <w:vAlign w:val="center"/>
          </w:tcPr>
          <w:p w14:paraId="3DCAC6C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金融论坛管理-论坛活动配置管理-活动管理-进度报告</w:t>
            </w:r>
          </w:p>
        </w:tc>
        <w:tc>
          <w:tcPr>
            <w:tcW w:w="5605" w:type="dxa"/>
            <w:tcBorders>
              <w:tl2br w:val="nil"/>
              <w:tr2bl w:val="nil"/>
            </w:tcBorders>
            <w:shd w:val="clear" w:color="auto" w:fill="auto"/>
            <w:vAlign w:val="center"/>
          </w:tcPr>
          <w:p w14:paraId="2738497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各责任方针对自己的任务，报告进展，完成百分比。需要协调的问题，采用附加评论的方式形式，推送给其他人。</w:t>
            </w:r>
          </w:p>
        </w:tc>
      </w:tr>
      <w:tr w:rsidR="004549BF" w14:paraId="0CD8243F" w14:textId="77777777">
        <w:trPr>
          <w:trHeight w:val="283"/>
        </w:trPr>
        <w:tc>
          <w:tcPr>
            <w:tcW w:w="766" w:type="dxa"/>
            <w:tcBorders>
              <w:tl2br w:val="nil"/>
              <w:tr2bl w:val="nil"/>
            </w:tcBorders>
            <w:shd w:val="clear" w:color="auto" w:fill="auto"/>
            <w:vAlign w:val="center"/>
          </w:tcPr>
          <w:p w14:paraId="26332F5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137</w:t>
            </w:r>
          </w:p>
        </w:tc>
        <w:tc>
          <w:tcPr>
            <w:tcW w:w="2364" w:type="dxa"/>
            <w:tcBorders>
              <w:tl2br w:val="nil"/>
              <w:tr2bl w:val="nil"/>
            </w:tcBorders>
            <w:shd w:val="clear" w:color="auto" w:fill="auto"/>
            <w:vAlign w:val="center"/>
          </w:tcPr>
          <w:p w14:paraId="14AB63E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金融论坛管理-论坛活动配置管理-活动管理-进度总览</w:t>
            </w:r>
          </w:p>
        </w:tc>
        <w:tc>
          <w:tcPr>
            <w:tcW w:w="5605" w:type="dxa"/>
            <w:tcBorders>
              <w:tl2br w:val="nil"/>
              <w:tr2bl w:val="nil"/>
            </w:tcBorders>
            <w:shd w:val="clear" w:color="auto" w:fill="auto"/>
            <w:vAlign w:val="center"/>
          </w:tcPr>
          <w:p w14:paraId="0E23C20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根据任务分解进度，总览活动整体进展，哪些任务滞后，滞后时间、原因分级展示。滞后任务可作延期管理。</w:t>
            </w:r>
          </w:p>
        </w:tc>
      </w:tr>
      <w:tr w:rsidR="004549BF" w14:paraId="5F888B42" w14:textId="77777777">
        <w:trPr>
          <w:trHeight w:val="283"/>
        </w:trPr>
        <w:tc>
          <w:tcPr>
            <w:tcW w:w="766" w:type="dxa"/>
            <w:tcBorders>
              <w:tl2br w:val="nil"/>
              <w:tr2bl w:val="nil"/>
            </w:tcBorders>
            <w:shd w:val="clear" w:color="auto" w:fill="auto"/>
            <w:vAlign w:val="center"/>
          </w:tcPr>
          <w:p w14:paraId="5AF34F3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138</w:t>
            </w:r>
          </w:p>
        </w:tc>
        <w:tc>
          <w:tcPr>
            <w:tcW w:w="2364" w:type="dxa"/>
            <w:tcBorders>
              <w:tl2br w:val="nil"/>
              <w:tr2bl w:val="nil"/>
            </w:tcBorders>
            <w:shd w:val="clear" w:color="auto" w:fill="auto"/>
            <w:vAlign w:val="center"/>
          </w:tcPr>
          <w:p w14:paraId="4332D20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金融论坛管理-论坛活动配置管理-管理移动端-首页</w:t>
            </w:r>
          </w:p>
        </w:tc>
        <w:tc>
          <w:tcPr>
            <w:tcW w:w="5605" w:type="dxa"/>
            <w:tcBorders>
              <w:tl2br w:val="nil"/>
              <w:tr2bl w:val="nil"/>
            </w:tcBorders>
            <w:shd w:val="clear" w:color="auto" w:fill="auto"/>
            <w:vAlign w:val="center"/>
          </w:tcPr>
          <w:p w14:paraId="0FAF9F8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管理移动端给市委金融办论坛组织管理人员使用。主要为活动任务组织、任务分解、任务进度汇报等工作。</w:t>
            </w:r>
          </w:p>
        </w:tc>
      </w:tr>
      <w:tr w:rsidR="004549BF" w14:paraId="5F758594" w14:textId="77777777">
        <w:trPr>
          <w:trHeight w:val="283"/>
        </w:trPr>
        <w:tc>
          <w:tcPr>
            <w:tcW w:w="766" w:type="dxa"/>
            <w:tcBorders>
              <w:tl2br w:val="nil"/>
              <w:tr2bl w:val="nil"/>
            </w:tcBorders>
            <w:shd w:val="clear" w:color="auto" w:fill="auto"/>
            <w:vAlign w:val="center"/>
          </w:tcPr>
          <w:p w14:paraId="1453552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139</w:t>
            </w:r>
          </w:p>
        </w:tc>
        <w:tc>
          <w:tcPr>
            <w:tcW w:w="2364" w:type="dxa"/>
            <w:tcBorders>
              <w:tl2br w:val="nil"/>
              <w:tr2bl w:val="nil"/>
            </w:tcBorders>
            <w:shd w:val="clear" w:color="auto" w:fill="auto"/>
            <w:vAlign w:val="center"/>
          </w:tcPr>
          <w:p w14:paraId="5BF7259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金融论坛管理-论坛活动配置管理-管理移动端-任务维护</w:t>
            </w:r>
          </w:p>
        </w:tc>
        <w:tc>
          <w:tcPr>
            <w:tcW w:w="5605" w:type="dxa"/>
            <w:tcBorders>
              <w:tl2br w:val="nil"/>
              <w:tr2bl w:val="nil"/>
            </w:tcBorders>
            <w:shd w:val="clear" w:color="auto" w:fill="auto"/>
            <w:vAlign w:val="center"/>
          </w:tcPr>
          <w:p w14:paraId="3369087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市委金融办论坛组织管理人员通过移动端进行任务添加、任务分解管理。</w:t>
            </w:r>
          </w:p>
        </w:tc>
      </w:tr>
      <w:tr w:rsidR="004549BF" w14:paraId="60EF318F" w14:textId="77777777">
        <w:trPr>
          <w:trHeight w:val="283"/>
        </w:trPr>
        <w:tc>
          <w:tcPr>
            <w:tcW w:w="766" w:type="dxa"/>
            <w:tcBorders>
              <w:tl2br w:val="nil"/>
              <w:tr2bl w:val="nil"/>
            </w:tcBorders>
            <w:shd w:val="clear" w:color="auto" w:fill="auto"/>
            <w:vAlign w:val="center"/>
          </w:tcPr>
          <w:p w14:paraId="3A92774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140</w:t>
            </w:r>
          </w:p>
        </w:tc>
        <w:tc>
          <w:tcPr>
            <w:tcW w:w="2364" w:type="dxa"/>
            <w:tcBorders>
              <w:tl2br w:val="nil"/>
              <w:tr2bl w:val="nil"/>
            </w:tcBorders>
            <w:shd w:val="clear" w:color="auto" w:fill="auto"/>
            <w:vAlign w:val="center"/>
          </w:tcPr>
          <w:p w14:paraId="1FF5AF1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金融论坛管理-论坛活动配置管理-管理移动端-进度总览</w:t>
            </w:r>
          </w:p>
        </w:tc>
        <w:tc>
          <w:tcPr>
            <w:tcW w:w="5605" w:type="dxa"/>
            <w:tcBorders>
              <w:tl2br w:val="nil"/>
              <w:tr2bl w:val="nil"/>
            </w:tcBorders>
            <w:shd w:val="clear" w:color="auto" w:fill="auto"/>
            <w:vAlign w:val="center"/>
          </w:tcPr>
          <w:p w14:paraId="2F4ABAD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进度总览提供任务进度查阅功能，任务超期情况、临期任务列表等任务进度展示。</w:t>
            </w:r>
          </w:p>
        </w:tc>
      </w:tr>
      <w:tr w:rsidR="004549BF" w14:paraId="5DD48CAB" w14:textId="77777777">
        <w:trPr>
          <w:trHeight w:val="283"/>
        </w:trPr>
        <w:tc>
          <w:tcPr>
            <w:tcW w:w="766" w:type="dxa"/>
            <w:tcBorders>
              <w:tl2br w:val="nil"/>
              <w:tr2bl w:val="nil"/>
            </w:tcBorders>
            <w:shd w:val="clear" w:color="auto" w:fill="auto"/>
            <w:vAlign w:val="center"/>
          </w:tcPr>
          <w:p w14:paraId="534D182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141</w:t>
            </w:r>
          </w:p>
        </w:tc>
        <w:tc>
          <w:tcPr>
            <w:tcW w:w="2364" w:type="dxa"/>
            <w:tcBorders>
              <w:tl2br w:val="nil"/>
              <w:tr2bl w:val="nil"/>
            </w:tcBorders>
            <w:shd w:val="clear" w:color="auto" w:fill="auto"/>
            <w:vAlign w:val="center"/>
          </w:tcPr>
          <w:p w14:paraId="4FA4B53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金融论坛管理-论坛活动配置管理-管理移动端-任务汇报</w:t>
            </w:r>
          </w:p>
        </w:tc>
        <w:tc>
          <w:tcPr>
            <w:tcW w:w="5605" w:type="dxa"/>
            <w:tcBorders>
              <w:tl2br w:val="nil"/>
              <w:tr2bl w:val="nil"/>
            </w:tcBorders>
            <w:shd w:val="clear" w:color="auto" w:fill="auto"/>
            <w:vAlign w:val="center"/>
          </w:tcPr>
          <w:p w14:paraId="7CC99E8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移动端提供任务完成情况汇报，填写完成进度、完成描述、所需协助情况。</w:t>
            </w:r>
          </w:p>
        </w:tc>
      </w:tr>
      <w:tr w:rsidR="004549BF" w14:paraId="6CBAEDB7" w14:textId="77777777">
        <w:trPr>
          <w:trHeight w:val="283"/>
        </w:trPr>
        <w:tc>
          <w:tcPr>
            <w:tcW w:w="766" w:type="dxa"/>
            <w:tcBorders>
              <w:tl2br w:val="nil"/>
              <w:tr2bl w:val="nil"/>
            </w:tcBorders>
            <w:shd w:val="clear" w:color="auto" w:fill="auto"/>
            <w:vAlign w:val="center"/>
          </w:tcPr>
          <w:p w14:paraId="3E25694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142</w:t>
            </w:r>
          </w:p>
        </w:tc>
        <w:tc>
          <w:tcPr>
            <w:tcW w:w="2364" w:type="dxa"/>
            <w:tcBorders>
              <w:tl2br w:val="nil"/>
              <w:tr2bl w:val="nil"/>
            </w:tcBorders>
            <w:shd w:val="clear" w:color="auto" w:fill="auto"/>
            <w:vAlign w:val="center"/>
          </w:tcPr>
          <w:p w14:paraId="3C452EA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金融论坛管理-论坛活动配置管理-管理移动端-互动沟通</w:t>
            </w:r>
          </w:p>
        </w:tc>
        <w:tc>
          <w:tcPr>
            <w:tcW w:w="5605" w:type="dxa"/>
            <w:tcBorders>
              <w:tl2br w:val="nil"/>
              <w:tr2bl w:val="nil"/>
            </w:tcBorders>
            <w:shd w:val="clear" w:color="auto" w:fill="auto"/>
            <w:vAlign w:val="center"/>
          </w:tcPr>
          <w:p w14:paraId="451C60D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支持管理移动端用户间沟通、支持文字、语音、图片等信息发送和接收。</w:t>
            </w:r>
          </w:p>
        </w:tc>
      </w:tr>
      <w:tr w:rsidR="004549BF" w14:paraId="6D99D4A2" w14:textId="77777777">
        <w:trPr>
          <w:trHeight w:val="283"/>
        </w:trPr>
        <w:tc>
          <w:tcPr>
            <w:tcW w:w="766" w:type="dxa"/>
            <w:tcBorders>
              <w:tl2br w:val="nil"/>
              <w:tr2bl w:val="nil"/>
            </w:tcBorders>
            <w:shd w:val="clear" w:color="auto" w:fill="auto"/>
            <w:vAlign w:val="center"/>
          </w:tcPr>
          <w:p w14:paraId="5A3E83B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143</w:t>
            </w:r>
          </w:p>
        </w:tc>
        <w:tc>
          <w:tcPr>
            <w:tcW w:w="2364" w:type="dxa"/>
            <w:tcBorders>
              <w:tl2br w:val="nil"/>
              <w:tr2bl w:val="nil"/>
            </w:tcBorders>
            <w:shd w:val="clear" w:color="auto" w:fill="auto"/>
            <w:vAlign w:val="center"/>
          </w:tcPr>
          <w:p w14:paraId="2B509FA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金融论坛管理-报名用户申报管理-用户注册</w:t>
            </w:r>
          </w:p>
        </w:tc>
        <w:tc>
          <w:tcPr>
            <w:tcW w:w="5605" w:type="dxa"/>
            <w:tcBorders>
              <w:tl2br w:val="nil"/>
              <w:tr2bl w:val="nil"/>
            </w:tcBorders>
            <w:shd w:val="clear" w:color="auto" w:fill="auto"/>
            <w:vAlign w:val="center"/>
          </w:tcPr>
          <w:p w14:paraId="4F0AD4F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外部媒体或参与者需要完成用户注册，注册一般采用邮箱进行注册，如果已经注册，可直接登录。</w:t>
            </w:r>
          </w:p>
        </w:tc>
      </w:tr>
      <w:tr w:rsidR="004549BF" w14:paraId="22DC29B3" w14:textId="77777777">
        <w:trPr>
          <w:trHeight w:val="283"/>
        </w:trPr>
        <w:tc>
          <w:tcPr>
            <w:tcW w:w="766" w:type="dxa"/>
            <w:tcBorders>
              <w:tl2br w:val="nil"/>
              <w:tr2bl w:val="nil"/>
            </w:tcBorders>
            <w:shd w:val="clear" w:color="auto" w:fill="auto"/>
            <w:vAlign w:val="center"/>
          </w:tcPr>
          <w:p w14:paraId="417F4C2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144</w:t>
            </w:r>
          </w:p>
        </w:tc>
        <w:tc>
          <w:tcPr>
            <w:tcW w:w="2364" w:type="dxa"/>
            <w:tcBorders>
              <w:tl2br w:val="nil"/>
              <w:tr2bl w:val="nil"/>
            </w:tcBorders>
            <w:shd w:val="clear" w:color="auto" w:fill="auto"/>
            <w:vAlign w:val="center"/>
          </w:tcPr>
          <w:p w14:paraId="4B9A47F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金融论坛管理-报名用户申报管理-密码找回</w:t>
            </w:r>
          </w:p>
        </w:tc>
        <w:tc>
          <w:tcPr>
            <w:tcW w:w="5605" w:type="dxa"/>
            <w:tcBorders>
              <w:tl2br w:val="nil"/>
              <w:tr2bl w:val="nil"/>
            </w:tcBorders>
            <w:shd w:val="clear" w:color="auto" w:fill="auto"/>
            <w:vAlign w:val="center"/>
          </w:tcPr>
          <w:p w14:paraId="78C7C4F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对于忘记密码或账户被锁定的用户，系统应提供密码找回功能。该功能可通过验证用户的注册邮箱、手机号码，允许用户重置密码或解锁账户。</w:t>
            </w:r>
          </w:p>
        </w:tc>
      </w:tr>
      <w:tr w:rsidR="004549BF" w14:paraId="25EB99EA" w14:textId="77777777">
        <w:trPr>
          <w:trHeight w:val="283"/>
        </w:trPr>
        <w:tc>
          <w:tcPr>
            <w:tcW w:w="766" w:type="dxa"/>
            <w:tcBorders>
              <w:tl2br w:val="nil"/>
              <w:tr2bl w:val="nil"/>
            </w:tcBorders>
            <w:shd w:val="clear" w:color="auto" w:fill="auto"/>
            <w:vAlign w:val="center"/>
          </w:tcPr>
          <w:p w14:paraId="7338762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145</w:t>
            </w:r>
          </w:p>
        </w:tc>
        <w:tc>
          <w:tcPr>
            <w:tcW w:w="2364" w:type="dxa"/>
            <w:tcBorders>
              <w:tl2br w:val="nil"/>
              <w:tr2bl w:val="nil"/>
            </w:tcBorders>
            <w:shd w:val="clear" w:color="auto" w:fill="auto"/>
            <w:vAlign w:val="center"/>
          </w:tcPr>
          <w:p w14:paraId="5819332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金融论坛管理-报名用户申报管理-报名用户登录</w:t>
            </w:r>
          </w:p>
        </w:tc>
        <w:tc>
          <w:tcPr>
            <w:tcW w:w="5605" w:type="dxa"/>
            <w:tcBorders>
              <w:tl2br w:val="nil"/>
              <w:tr2bl w:val="nil"/>
            </w:tcBorders>
            <w:shd w:val="clear" w:color="auto" w:fill="auto"/>
            <w:vAlign w:val="center"/>
          </w:tcPr>
          <w:p w14:paraId="59CCEEA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报名用户采用注册的用户名、密码登录。对于金融机构，可通过金融服务平台门户登录。</w:t>
            </w:r>
          </w:p>
        </w:tc>
      </w:tr>
      <w:tr w:rsidR="004549BF" w14:paraId="42EFB925" w14:textId="77777777">
        <w:trPr>
          <w:trHeight w:val="283"/>
        </w:trPr>
        <w:tc>
          <w:tcPr>
            <w:tcW w:w="766" w:type="dxa"/>
            <w:tcBorders>
              <w:tl2br w:val="nil"/>
              <w:tr2bl w:val="nil"/>
            </w:tcBorders>
            <w:shd w:val="clear" w:color="auto" w:fill="auto"/>
            <w:vAlign w:val="center"/>
          </w:tcPr>
          <w:p w14:paraId="5A7C706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146</w:t>
            </w:r>
          </w:p>
        </w:tc>
        <w:tc>
          <w:tcPr>
            <w:tcW w:w="2364" w:type="dxa"/>
            <w:tcBorders>
              <w:tl2br w:val="nil"/>
              <w:tr2bl w:val="nil"/>
            </w:tcBorders>
            <w:shd w:val="clear" w:color="auto" w:fill="auto"/>
            <w:vAlign w:val="center"/>
          </w:tcPr>
          <w:p w14:paraId="72F1542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金融论坛管理-报名用户申报管理-报名用户首页</w:t>
            </w:r>
          </w:p>
        </w:tc>
        <w:tc>
          <w:tcPr>
            <w:tcW w:w="5605" w:type="dxa"/>
            <w:tcBorders>
              <w:tl2br w:val="nil"/>
              <w:tr2bl w:val="nil"/>
            </w:tcBorders>
            <w:shd w:val="clear" w:color="auto" w:fill="auto"/>
            <w:vAlign w:val="center"/>
          </w:tcPr>
          <w:p w14:paraId="2F35EDC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首页展示可以报名的活动列表。首页设置提醒消息栏，可查看报名审核结果。</w:t>
            </w:r>
          </w:p>
        </w:tc>
      </w:tr>
      <w:tr w:rsidR="004549BF" w14:paraId="7F1E5DE0" w14:textId="77777777">
        <w:trPr>
          <w:trHeight w:val="283"/>
        </w:trPr>
        <w:tc>
          <w:tcPr>
            <w:tcW w:w="766" w:type="dxa"/>
            <w:tcBorders>
              <w:tl2br w:val="nil"/>
              <w:tr2bl w:val="nil"/>
            </w:tcBorders>
            <w:shd w:val="clear" w:color="auto" w:fill="auto"/>
            <w:vAlign w:val="center"/>
          </w:tcPr>
          <w:p w14:paraId="019E8FB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147</w:t>
            </w:r>
          </w:p>
        </w:tc>
        <w:tc>
          <w:tcPr>
            <w:tcW w:w="2364" w:type="dxa"/>
            <w:tcBorders>
              <w:tl2br w:val="nil"/>
              <w:tr2bl w:val="nil"/>
            </w:tcBorders>
            <w:shd w:val="clear" w:color="auto" w:fill="auto"/>
            <w:vAlign w:val="center"/>
          </w:tcPr>
          <w:p w14:paraId="3AFC401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金融论坛管理-报名用户申报管理-活动报名信息填写</w:t>
            </w:r>
          </w:p>
        </w:tc>
        <w:tc>
          <w:tcPr>
            <w:tcW w:w="5605" w:type="dxa"/>
            <w:tcBorders>
              <w:tl2br w:val="nil"/>
              <w:tr2bl w:val="nil"/>
            </w:tcBorders>
            <w:shd w:val="clear" w:color="auto" w:fill="auto"/>
            <w:vAlign w:val="center"/>
          </w:tcPr>
          <w:p w14:paraId="7A3284D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表单运行引擎解析活动配置的报名表单，显示用户报名页面。报名用户完成信息填写，并提交审核。</w:t>
            </w:r>
          </w:p>
        </w:tc>
      </w:tr>
      <w:tr w:rsidR="004549BF" w14:paraId="2653F081" w14:textId="77777777">
        <w:trPr>
          <w:trHeight w:val="283"/>
        </w:trPr>
        <w:tc>
          <w:tcPr>
            <w:tcW w:w="766" w:type="dxa"/>
            <w:tcBorders>
              <w:tl2br w:val="nil"/>
              <w:tr2bl w:val="nil"/>
            </w:tcBorders>
            <w:shd w:val="clear" w:color="auto" w:fill="auto"/>
            <w:vAlign w:val="center"/>
          </w:tcPr>
          <w:p w14:paraId="4B0468AA"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148</w:t>
            </w:r>
          </w:p>
        </w:tc>
        <w:tc>
          <w:tcPr>
            <w:tcW w:w="2364" w:type="dxa"/>
            <w:tcBorders>
              <w:tl2br w:val="nil"/>
              <w:tr2bl w:val="nil"/>
            </w:tcBorders>
            <w:shd w:val="clear" w:color="auto" w:fill="auto"/>
            <w:vAlign w:val="center"/>
          </w:tcPr>
          <w:p w14:paraId="0330193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金融论坛管理-报名用户申报管理-报名移动端-首页</w:t>
            </w:r>
          </w:p>
        </w:tc>
        <w:tc>
          <w:tcPr>
            <w:tcW w:w="5605" w:type="dxa"/>
            <w:tcBorders>
              <w:tl2br w:val="nil"/>
              <w:tr2bl w:val="nil"/>
            </w:tcBorders>
            <w:shd w:val="clear" w:color="auto" w:fill="auto"/>
            <w:vAlign w:val="center"/>
          </w:tcPr>
          <w:p w14:paraId="6743926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报名移动端提供报名用户使用，包括报名用户注册、密码找回功能。</w:t>
            </w:r>
          </w:p>
        </w:tc>
      </w:tr>
      <w:tr w:rsidR="004549BF" w14:paraId="6660F33C" w14:textId="77777777">
        <w:trPr>
          <w:trHeight w:val="283"/>
        </w:trPr>
        <w:tc>
          <w:tcPr>
            <w:tcW w:w="766" w:type="dxa"/>
            <w:tcBorders>
              <w:tl2br w:val="nil"/>
              <w:tr2bl w:val="nil"/>
            </w:tcBorders>
            <w:shd w:val="clear" w:color="auto" w:fill="auto"/>
            <w:vAlign w:val="center"/>
          </w:tcPr>
          <w:p w14:paraId="7D3E5E1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149</w:t>
            </w:r>
          </w:p>
        </w:tc>
        <w:tc>
          <w:tcPr>
            <w:tcW w:w="2364" w:type="dxa"/>
            <w:tcBorders>
              <w:tl2br w:val="nil"/>
              <w:tr2bl w:val="nil"/>
            </w:tcBorders>
            <w:shd w:val="clear" w:color="auto" w:fill="auto"/>
            <w:vAlign w:val="center"/>
          </w:tcPr>
          <w:p w14:paraId="5CACF21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金融论坛管理-报名用户申报管理-报名移动端-活动报名</w:t>
            </w:r>
          </w:p>
        </w:tc>
        <w:tc>
          <w:tcPr>
            <w:tcW w:w="5605" w:type="dxa"/>
            <w:tcBorders>
              <w:tl2br w:val="nil"/>
              <w:tr2bl w:val="nil"/>
            </w:tcBorders>
            <w:shd w:val="clear" w:color="auto" w:fill="auto"/>
            <w:vAlign w:val="center"/>
          </w:tcPr>
          <w:p w14:paraId="71D07D3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注册后的用户支持移动端用户查看可报名活动，填写报名信息，可下载系统生成的报名表。需要将盖章报名表扫描件上传。完成后提交审核。</w:t>
            </w:r>
          </w:p>
        </w:tc>
      </w:tr>
      <w:tr w:rsidR="004549BF" w14:paraId="4C2F3D14" w14:textId="77777777">
        <w:trPr>
          <w:trHeight w:val="283"/>
        </w:trPr>
        <w:tc>
          <w:tcPr>
            <w:tcW w:w="766" w:type="dxa"/>
            <w:tcBorders>
              <w:tl2br w:val="nil"/>
              <w:tr2bl w:val="nil"/>
            </w:tcBorders>
            <w:shd w:val="clear" w:color="auto" w:fill="auto"/>
            <w:vAlign w:val="center"/>
          </w:tcPr>
          <w:p w14:paraId="306024A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150</w:t>
            </w:r>
          </w:p>
        </w:tc>
        <w:tc>
          <w:tcPr>
            <w:tcW w:w="2364" w:type="dxa"/>
            <w:tcBorders>
              <w:tl2br w:val="nil"/>
              <w:tr2bl w:val="nil"/>
            </w:tcBorders>
            <w:shd w:val="clear" w:color="auto" w:fill="auto"/>
            <w:vAlign w:val="center"/>
          </w:tcPr>
          <w:p w14:paraId="736A1A8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金融论坛管理-报名用户申报管理-报名移动端-活动签到</w:t>
            </w:r>
          </w:p>
        </w:tc>
        <w:tc>
          <w:tcPr>
            <w:tcW w:w="5605" w:type="dxa"/>
            <w:tcBorders>
              <w:tl2br w:val="nil"/>
              <w:tr2bl w:val="nil"/>
            </w:tcBorders>
            <w:shd w:val="clear" w:color="auto" w:fill="auto"/>
            <w:vAlign w:val="center"/>
          </w:tcPr>
          <w:p w14:paraId="4889091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报名审核通过的用户，可在活动现场通过移动端扫码签到。 扫码信息含有时间戳功能，防止用户截图通过扫码。</w:t>
            </w:r>
          </w:p>
        </w:tc>
      </w:tr>
      <w:tr w:rsidR="004549BF" w14:paraId="634DDEFE" w14:textId="77777777">
        <w:trPr>
          <w:trHeight w:val="283"/>
        </w:trPr>
        <w:tc>
          <w:tcPr>
            <w:tcW w:w="766" w:type="dxa"/>
            <w:tcBorders>
              <w:tl2br w:val="nil"/>
              <w:tr2bl w:val="nil"/>
            </w:tcBorders>
            <w:shd w:val="clear" w:color="auto" w:fill="auto"/>
            <w:vAlign w:val="center"/>
          </w:tcPr>
          <w:p w14:paraId="4B47142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151</w:t>
            </w:r>
          </w:p>
        </w:tc>
        <w:tc>
          <w:tcPr>
            <w:tcW w:w="2364" w:type="dxa"/>
            <w:tcBorders>
              <w:tl2br w:val="nil"/>
              <w:tr2bl w:val="nil"/>
            </w:tcBorders>
            <w:shd w:val="clear" w:color="auto" w:fill="auto"/>
            <w:vAlign w:val="center"/>
          </w:tcPr>
          <w:p w14:paraId="00DD585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金融论坛管理-报名用户申报管理-报名移动端-活动评价</w:t>
            </w:r>
          </w:p>
        </w:tc>
        <w:tc>
          <w:tcPr>
            <w:tcW w:w="5605" w:type="dxa"/>
            <w:tcBorders>
              <w:tl2br w:val="nil"/>
              <w:tr2bl w:val="nil"/>
            </w:tcBorders>
            <w:shd w:val="clear" w:color="auto" w:fill="auto"/>
            <w:vAlign w:val="center"/>
          </w:tcPr>
          <w:p w14:paraId="4691D2B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签到参与活动的用户，可对活动举办进行满意度评价，提出改进意见。满意度评价选项可自定义。</w:t>
            </w:r>
          </w:p>
        </w:tc>
      </w:tr>
      <w:tr w:rsidR="004549BF" w14:paraId="7347681C" w14:textId="77777777">
        <w:trPr>
          <w:trHeight w:val="283"/>
        </w:trPr>
        <w:tc>
          <w:tcPr>
            <w:tcW w:w="766" w:type="dxa"/>
            <w:tcBorders>
              <w:tl2br w:val="nil"/>
              <w:tr2bl w:val="nil"/>
            </w:tcBorders>
            <w:shd w:val="clear" w:color="auto" w:fill="auto"/>
            <w:vAlign w:val="center"/>
          </w:tcPr>
          <w:p w14:paraId="3D70AF2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152</w:t>
            </w:r>
          </w:p>
        </w:tc>
        <w:tc>
          <w:tcPr>
            <w:tcW w:w="2364" w:type="dxa"/>
            <w:tcBorders>
              <w:tl2br w:val="nil"/>
              <w:tr2bl w:val="nil"/>
            </w:tcBorders>
            <w:shd w:val="clear" w:color="auto" w:fill="auto"/>
            <w:vAlign w:val="center"/>
          </w:tcPr>
          <w:p w14:paraId="26FB84A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金融论坛管理-后台管理-通知模板设置</w:t>
            </w:r>
          </w:p>
        </w:tc>
        <w:tc>
          <w:tcPr>
            <w:tcW w:w="5605" w:type="dxa"/>
            <w:tcBorders>
              <w:tl2br w:val="nil"/>
              <w:tr2bl w:val="nil"/>
            </w:tcBorders>
            <w:shd w:val="clear" w:color="auto" w:fill="auto"/>
            <w:vAlign w:val="center"/>
          </w:tcPr>
          <w:p w14:paraId="1A1D5B6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配置各类邮件通知模板、各类短信通知模板，包括注册邮件标题、注册邮件内容、审核通过标题、审核通过邮件、审核不通过标题、审核不通过邮件等。</w:t>
            </w:r>
          </w:p>
        </w:tc>
      </w:tr>
      <w:tr w:rsidR="004549BF" w14:paraId="25C502D8" w14:textId="77777777">
        <w:trPr>
          <w:trHeight w:val="283"/>
        </w:trPr>
        <w:tc>
          <w:tcPr>
            <w:tcW w:w="766" w:type="dxa"/>
            <w:tcBorders>
              <w:tl2br w:val="nil"/>
              <w:tr2bl w:val="nil"/>
            </w:tcBorders>
            <w:shd w:val="clear" w:color="auto" w:fill="auto"/>
            <w:vAlign w:val="center"/>
          </w:tcPr>
          <w:p w14:paraId="1571EC2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153</w:t>
            </w:r>
          </w:p>
        </w:tc>
        <w:tc>
          <w:tcPr>
            <w:tcW w:w="2364" w:type="dxa"/>
            <w:tcBorders>
              <w:tl2br w:val="nil"/>
              <w:tr2bl w:val="nil"/>
            </w:tcBorders>
            <w:shd w:val="clear" w:color="auto" w:fill="auto"/>
            <w:vAlign w:val="center"/>
          </w:tcPr>
          <w:p w14:paraId="4E7CDF3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金融论坛管理-后台管理-密码应用</w:t>
            </w:r>
          </w:p>
        </w:tc>
        <w:tc>
          <w:tcPr>
            <w:tcW w:w="5605" w:type="dxa"/>
            <w:tcBorders>
              <w:tl2br w:val="nil"/>
              <w:tr2bl w:val="nil"/>
            </w:tcBorders>
            <w:shd w:val="clear" w:color="auto" w:fill="auto"/>
            <w:vAlign w:val="center"/>
          </w:tcPr>
          <w:p w14:paraId="278B4AE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用户身份认证、重要信息加密、重要信息验签等密码相关服务对接。</w:t>
            </w:r>
          </w:p>
        </w:tc>
      </w:tr>
      <w:tr w:rsidR="004549BF" w14:paraId="1DFFC00C" w14:textId="77777777">
        <w:trPr>
          <w:trHeight w:val="283"/>
        </w:trPr>
        <w:tc>
          <w:tcPr>
            <w:tcW w:w="766" w:type="dxa"/>
            <w:tcBorders>
              <w:tl2br w:val="nil"/>
              <w:tr2bl w:val="nil"/>
            </w:tcBorders>
            <w:shd w:val="clear" w:color="auto" w:fill="auto"/>
            <w:vAlign w:val="center"/>
          </w:tcPr>
          <w:p w14:paraId="120ACF2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154</w:t>
            </w:r>
          </w:p>
        </w:tc>
        <w:tc>
          <w:tcPr>
            <w:tcW w:w="2364" w:type="dxa"/>
            <w:tcBorders>
              <w:tl2br w:val="nil"/>
              <w:tr2bl w:val="nil"/>
            </w:tcBorders>
            <w:shd w:val="clear" w:color="auto" w:fill="auto"/>
            <w:vAlign w:val="center"/>
          </w:tcPr>
          <w:p w14:paraId="43BA6F0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金融发展扶持政策-人才奖-企业填报表单定制</w:t>
            </w:r>
          </w:p>
        </w:tc>
        <w:tc>
          <w:tcPr>
            <w:tcW w:w="5605" w:type="dxa"/>
            <w:tcBorders>
              <w:tl2br w:val="nil"/>
              <w:tr2bl w:val="nil"/>
            </w:tcBorders>
            <w:shd w:val="clear" w:color="auto" w:fill="auto"/>
            <w:vAlign w:val="center"/>
          </w:tcPr>
          <w:p w14:paraId="6242212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1）新增同步至企业基本情况功能，将填报的企业基本信息同步至系统机构管理数据中。</w:t>
            </w:r>
            <w:r>
              <w:rPr>
                <w:rFonts w:cs="宋体" w:hint="eastAsia"/>
                <w:color w:val="000000"/>
                <w:kern w:val="0"/>
                <w:lang w:bidi="ar"/>
              </w:rPr>
              <w:br/>
              <w:t>2）本次升级改造需要添加及删除以下字段或列表：注册资本币种、机构分类（字典）、成立/迁入上海日期、主要联系人信息、第三产业纳税百强、监管门分类评级、在沪员工数、企业保费排名、企业保费排名总数、个人月收入信息表、个人月税收情况表、个人月消费情况表</w:t>
            </w:r>
          </w:p>
        </w:tc>
      </w:tr>
      <w:tr w:rsidR="004549BF" w14:paraId="006781D3" w14:textId="77777777">
        <w:trPr>
          <w:trHeight w:val="283"/>
        </w:trPr>
        <w:tc>
          <w:tcPr>
            <w:tcW w:w="766" w:type="dxa"/>
            <w:tcBorders>
              <w:tl2br w:val="nil"/>
              <w:tr2bl w:val="nil"/>
            </w:tcBorders>
            <w:shd w:val="clear" w:color="auto" w:fill="auto"/>
            <w:vAlign w:val="center"/>
          </w:tcPr>
          <w:p w14:paraId="77775A2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155</w:t>
            </w:r>
          </w:p>
        </w:tc>
        <w:tc>
          <w:tcPr>
            <w:tcW w:w="2364" w:type="dxa"/>
            <w:tcBorders>
              <w:tl2br w:val="nil"/>
              <w:tr2bl w:val="nil"/>
            </w:tcBorders>
            <w:shd w:val="clear" w:color="auto" w:fill="auto"/>
            <w:vAlign w:val="center"/>
          </w:tcPr>
          <w:p w14:paraId="38C9B90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金融发展扶持政策-人才奖-企业在线申报电子材料</w:t>
            </w:r>
          </w:p>
        </w:tc>
        <w:tc>
          <w:tcPr>
            <w:tcW w:w="5605" w:type="dxa"/>
            <w:tcBorders>
              <w:tl2br w:val="nil"/>
              <w:tr2bl w:val="nil"/>
            </w:tcBorders>
            <w:shd w:val="clear" w:color="auto" w:fill="auto"/>
            <w:vAlign w:val="center"/>
          </w:tcPr>
          <w:p w14:paraId="2DCBD99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1.电子表格格式调整：企业经营信息表生成的模板PDF文件、 高管及骨干人员信息表生成的模板PDF文件。2.对电子表格进行电子签章。</w:t>
            </w:r>
          </w:p>
        </w:tc>
      </w:tr>
      <w:tr w:rsidR="004549BF" w14:paraId="5977B60B" w14:textId="77777777">
        <w:trPr>
          <w:trHeight w:val="283"/>
        </w:trPr>
        <w:tc>
          <w:tcPr>
            <w:tcW w:w="766" w:type="dxa"/>
            <w:tcBorders>
              <w:tl2br w:val="nil"/>
              <w:tr2bl w:val="nil"/>
            </w:tcBorders>
            <w:shd w:val="clear" w:color="auto" w:fill="auto"/>
            <w:vAlign w:val="center"/>
          </w:tcPr>
          <w:p w14:paraId="1DEC3AD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156</w:t>
            </w:r>
          </w:p>
        </w:tc>
        <w:tc>
          <w:tcPr>
            <w:tcW w:w="2364" w:type="dxa"/>
            <w:tcBorders>
              <w:tl2br w:val="nil"/>
              <w:tr2bl w:val="nil"/>
            </w:tcBorders>
            <w:shd w:val="clear" w:color="auto" w:fill="auto"/>
            <w:vAlign w:val="center"/>
          </w:tcPr>
          <w:p w14:paraId="0A99427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金融发展扶持政策-人才奖-智能预审</w:t>
            </w:r>
          </w:p>
        </w:tc>
        <w:tc>
          <w:tcPr>
            <w:tcW w:w="5605" w:type="dxa"/>
            <w:tcBorders>
              <w:tl2br w:val="nil"/>
              <w:tr2bl w:val="nil"/>
            </w:tcBorders>
            <w:shd w:val="clear" w:color="auto" w:fill="auto"/>
            <w:vAlign w:val="center"/>
          </w:tcPr>
          <w:p w14:paraId="3498801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通过OCR识别上传的PDF文件检测系统填报内容是否正确，并从大数据中心相关接口获取对应信息检测系统填报是否正确。</w:t>
            </w:r>
          </w:p>
        </w:tc>
      </w:tr>
      <w:tr w:rsidR="004549BF" w14:paraId="149AC828" w14:textId="77777777">
        <w:trPr>
          <w:trHeight w:val="283"/>
        </w:trPr>
        <w:tc>
          <w:tcPr>
            <w:tcW w:w="766" w:type="dxa"/>
            <w:tcBorders>
              <w:tl2br w:val="nil"/>
              <w:tr2bl w:val="nil"/>
            </w:tcBorders>
            <w:shd w:val="clear" w:color="auto" w:fill="auto"/>
            <w:vAlign w:val="center"/>
          </w:tcPr>
          <w:p w14:paraId="608FB83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157</w:t>
            </w:r>
          </w:p>
        </w:tc>
        <w:tc>
          <w:tcPr>
            <w:tcW w:w="2364" w:type="dxa"/>
            <w:tcBorders>
              <w:tl2br w:val="nil"/>
              <w:tr2bl w:val="nil"/>
            </w:tcBorders>
            <w:shd w:val="clear" w:color="auto" w:fill="auto"/>
            <w:vAlign w:val="center"/>
          </w:tcPr>
          <w:p w14:paraId="049ABEE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金融发展扶持政策-人才奖-审核流转表单定制</w:t>
            </w:r>
          </w:p>
        </w:tc>
        <w:tc>
          <w:tcPr>
            <w:tcW w:w="5605" w:type="dxa"/>
            <w:tcBorders>
              <w:tl2br w:val="nil"/>
              <w:tr2bl w:val="nil"/>
            </w:tcBorders>
            <w:shd w:val="clear" w:color="auto" w:fill="auto"/>
            <w:vAlign w:val="center"/>
          </w:tcPr>
          <w:p w14:paraId="3F9A116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新增对所有的企业基本信息表、企业经营信息表、企业合规情况表、高管和骨干人员信息表、股东信息表、财务信息表、月收入信息表、联系人信息表8张表共计80多个字段。新增审核可视化核对功能。</w:t>
            </w:r>
          </w:p>
        </w:tc>
      </w:tr>
      <w:tr w:rsidR="004549BF" w14:paraId="7DFAEEE4" w14:textId="77777777">
        <w:trPr>
          <w:trHeight w:val="283"/>
        </w:trPr>
        <w:tc>
          <w:tcPr>
            <w:tcW w:w="766" w:type="dxa"/>
            <w:tcBorders>
              <w:tl2br w:val="nil"/>
              <w:tr2bl w:val="nil"/>
            </w:tcBorders>
            <w:shd w:val="clear" w:color="auto" w:fill="auto"/>
            <w:vAlign w:val="center"/>
          </w:tcPr>
          <w:p w14:paraId="10FD664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158</w:t>
            </w:r>
          </w:p>
        </w:tc>
        <w:tc>
          <w:tcPr>
            <w:tcW w:w="2364" w:type="dxa"/>
            <w:tcBorders>
              <w:tl2br w:val="nil"/>
              <w:tr2bl w:val="nil"/>
            </w:tcBorders>
            <w:shd w:val="clear" w:color="auto" w:fill="auto"/>
            <w:vAlign w:val="center"/>
          </w:tcPr>
          <w:p w14:paraId="644A3B3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金融发展扶持政策-人才奖-人才奖计算方法定义</w:t>
            </w:r>
          </w:p>
        </w:tc>
        <w:tc>
          <w:tcPr>
            <w:tcW w:w="5605" w:type="dxa"/>
            <w:tcBorders>
              <w:tl2br w:val="nil"/>
              <w:tr2bl w:val="nil"/>
            </w:tcBorders>
            <w:shd w:val="clear" w:color="auto" w:fill="auto"/>
            <w:vAlign w:val="center"/>
          </w:tcPr>
          <w:p w14:paraId="0ECD888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1）奖励基础金额算法修改。2) 奖励倍数算法修改。3）奖励最低限额及最高限额及人工调整算法修改。4）获奖金额审核、动态计算与确认。</w:t>
            </w:r>
          </w:p>
        </w:tc>
      </w:tr>
      <w:tr w:rsidR="004549BF" w14:paraId="44D05ED9" w14:textId="77777777">
        <w:trPr>
          <w:trHeight w:val="283"/>
        </w:trPr>
        <w:tc>
          <w:tcPr>
            <w:tcW w:w="766" w:type="dxa"/>
            <w:tcBorders>
              <w:tl2br w:val="nil"/>
              <w:tr2bl w:val="nil"/>
            </w:tcBorders>
            <w:shd w:val="clear" w:color="auto" w:fill="auto"/>
            <w:vAlign w:val="center"/>
          </w:tcPr>
          <w:p w14:paraId="1EAB90D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159</w:t>
            </w:r>
          </w:p>
        </w:tc>
        <w:tc>
          <w:tcPr>
            <w:tcW w:w="2364" w:type="dxa"/>
            <w:tcBorders>
              <w:tl2br w:val="nil"/>
              <w:tr2bl w:val="nil"/>
            </w:tcBorders>
            <w:shd w:val="clear" w:color="auto" w:fill="auto"/>
            <w:vAlign w:val="center"/>
          </w:tcPr>
          <w:p w14:paraId="36E09D9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金融发展扶持政策-人才奖-人才奖计算方法配置</w:t>
            </w:r>
          </w:p>
        </w:tc>
        <w:tc>
          <w:tcPr>
            <w:tcW w:w="5605" w:type="dxa"/>
            <w:tcBorders>
              <w:tl2br w:val="nil"/>
              <w:tr2bl w:val="nil"/>
            </w:tcBorders>
            <w:shd w:val="clear" w:color="auto" w:fill="auto"/>
            <w:vAlign w:val="center"/>
          </w:tcPr>
          <w:p w14:paraId="620A6BA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开发人才奖算法配置功能，通过系统对现有的人才奖相关配置项进行算法配置，提供更好的灵活性，动态配置40多组影响参数及其计算因子等级差别。</w:t>
            </w:r>
          </w:p>
        </w:tc>
      </w:tr>
      <w:tr w:rsidR="004549BF" w14:paraId="4690B3D3" w14:textId="77777777">
        <w:trPr>
          <w:trHeight w:val="283"/>
        </w:trPr>
        <w:tc>
          <w:tcPr>
            <w:tcW w:w="766" w:type="dxa"/>
            <w:tcBorders>
              <w:tl2br w:val="nil"/>
              <w:tr2bl w:val="nil"/>
            </w:tcBorders>
            <w:shd w:val="clear" w:color="auto" w:fill="auto"/>
            <w:vAlign w:val="center"/>
          </w:tcPr>
          <w:p w14:paraId="08D396B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160</w:t>
            </w:r>
          </w:p>
        </w:tc>
        <w:tc>
          <w:tcPr>
            <w:tcW w:w="2364" w:type="dxa"/>
            <w:tcBorders>
              <w:tl2br w:val="nil"/>
              <w:tr2bl w:val="nil"/>
            </w:tcBorders>
            <w:shd w:val="clear" w:color="auto" w:fill="auto"/>
            <w:vAlign w:val="center"/>
          </w:tcPr>
          <w:p w14:paraId="384A4CF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金融发展扶持政策-人才奖-奖励基础金额配置</w:t>
            </w:r>
          </w:p>
        </w:tc>
        <w:tc>
          <w:tcPr>
            <w:tcW w:w="5605" w:type="dxa"/>
            <w:tcBorders>
              <w:tl2br w:val="nil"/>
              <w:tr2bl w:val="nil"/>
            </w:tcBorders>
            <w:shd w:val="clear" w:color="auto" w:fill="auto"/>
            <w:vAlign w:val="center"/>
          </w:tcPr>
          <w:p w14:paraId="1578639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系统通过后台能动态调整基础奖励金额的奖励级数，并通过公式功能自动进行阶梯金额运算记录相关信息，并支持分版本管理。包括版本号、收入金额值、奖励额度及通用公式。</w:t>
            </w:r>
          </w:p>
        </w:tc>
      </w:tr>
      <w:tr w:rsidR="004549BF" w14:paraId="64FCEDFB" w14:textId="77777777">
        <w:trPr>
          <w:trHeight w:val="283"/>
        </w:trPr>
        <w:tc>
          <w:tcPr>
            <w:tcW w:w="766" w:type="dxa"/>
            <w:tcBorders>
              <w:tl2br w:val="nil"/>
              <w:tr2bl w:val="nil"/>
            </w:tcBorders>
            <w:shd w:val="clear" w:color="auto" w:fill="auto"/>
            <w:vAlign w:val="center"/>
          </w:tcPr>
          <w:p w14:paraId="384F930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161</w:t>
            </w:r>
          </w:p>
        </w:tc>
        <w:tc>
          <w:tcPr>
            <w:tcW w:w="2364" w:type="dxa"/>
            <w:tcBorders>
              <w:tl2br w:val="nil"/>
              <w:tr2bl w:val="nil"/>
            </w:tcBorders>
            <w:shd w:val="clear" w:color="auto" w:fill="auto"/>
            <w:vAlign w:val="center"/>
          </w:tcPr>
          <w:p w14:paraId="5FC914B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金融发展扶持政策-人才奖-机构类型动态配置</w:t>
            </w:r>
          </w:p>
        </w:tc>
        <w:tc>
          <w:tcPr>
            <w:tcW w:w="5605" w:type="dxa"/>
            <w:tcBorders>
              <w:tl2br w:val="nil"/>
              <w:tr2bl w:val="nil"/>
            </w:tcBorders>
            <w:shd w:val="clear" w:color="auto" w:fill="auto"/>
            <w:vAlign w:val="center"/>
          </w:tcPr>
          <w:p w14:paraId="402BA24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系统通过后台能动态调整基础奖励金额的奖励级数，并通过公式功能自动进行阶梯金额运算记录相关信息，并支持分版本管理。包括版本号、收入金额值、奖励额度及通用公式。</w:t>
            </w:r>
          </w:p>
        </w:tc>
      </w:tr>
      <w:tr w:rsidR="004549BF" w14:paraId="74C8D1AB" w14:textId="77777777">
        <w:trPr>
          <w:trHeight w:val="283"/>
        </w:trPr>
        <w:tc>
          <w:tcPr>
            <w:tcW w:w="766" w:type="dxa"/>
            <w:tcBorders>
              <w:tl2br w:val="nil"/>
              <w:tr2bl w:val="nil"/>
            </w:tcBorders>
            <w:shd w:val="clear" w:color="auto" w:fill="auto"/>
            <w:vAlign w:val="center"/>
          </w:tcPr>
          <w:p w14:paraId="5642A9D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162</w:t>
            </w:r>
          </w:p>
        </w:tc>
        <w:tc>
          <w:tcPr>
            <w:tcW w:w="2364" w:type="dxa"/>
            <w:tcBorders>
              <w:tl2br w:val="nil"/>
              <w:tr2bl w:val="nil"/>
            </w:tcBorders>
            <w:shd w:val="clear" w:color="auto" w:fill="auto"/>
            <w:vAlign w:val="center"/>
          </w:tcPr>
          <w:p w14:paraId="567BBB3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金融发展扶持政策-人才奖-人才奖励计算可视化展示</w:t>
            </w:r>
          </w:p>
        </w:tc>
        <w:tc>
          <w:tcPr>
            <w:tcW w:w="5605" w:type="dxa"/>
            <w:tcBorders>
              <w:tl2br w:val="nil"/>
              <w:tr2bl w:val="nil"/>
            </w:tcBorders>
            <w:shd w:val="clear" w:color="auto" w:fill="auto"/>
            <w:vAlign w:val="center"/>
          </w:tcPr>
          <w:p w14:paraId="63CAC3D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需要将后台运算的整个中间过程及计算值通过审核页面展示至审核用户前。包括如何计算选定奖励基础金额、 如何通过机构类型确定奖励的计算公式是哪一个，每一项计算因数的得分是多少，该得分是如何计算来的。</w:t>
            </w:r>
          </w:p>
        </w:tc>
      </w:tr>
      <w:tr w:rsidR="004549BF" w14:paraId="18F7E25F" w14:textId="77777777">
        <w:trPr>
          <w:trHeight w:val="283"/>
        </w:trPr>
        <w:tc>
          <w:tcPr>
            <w:tcW w:w="766" w:type="dxa"/>
            <w:tcBorders>
              <w:tl2br w:val="nil"/>
              <w:tr2bl w:val="nil"/>
            </w:tcBorders>
            <w:shd w:val="clear" w:color="auto" w:fill="auto"/>
            <w:vAlign w:val="center"/>
          </w:tcPr>
          <w:p w14:paraId="57208BE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163</w:t>
            </w:r>
          </w:p>
        </w:tc>
        <w:tc>
          <w:tcPr>
            <w:tcW w:w="2364" w:type="dxa"/>
            <w:tcBorders>
              <w:tl2br w:val="nil"/>
              <w:tr2bl w:val="nil"/>
            </w:tcBorders>
            <w:shd w:val="clear" w:color="auto" w:fill="auto"/>
            <w:vAlign w:val="center"/>
          </w:tcPr>
          <w:p w14:paraId="16A3DD4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金融发展扶持政策-人才奖-获奖机构信息管理</w:t>
            </w:r>
          </w:p>
        </w:tc>
        <w:tc>
          <w:tcPr>
            <w:tcW w:w="5605" w:type="dxa"/>
            <w:tcBorders>
              <w:tl2br w:val="nil"/>
              <w:tr2bl w:val="nil"/>
            </w:tcBorders>
            <w:shd w:val="clear" w:color="auto" w:fill="auto"/>
            <w:vAlign w:val="center"/>
          </w:tcPr>
          <w:p w14:paraId="276CEE1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对本年度的获得外部奖励的机构进行记录，并在人才奖励计算中使用这些信息计算企业相关奖励评分情况，支持XLSX批量导入功能，支持在线动态增加功能，支持检索。</w:t>
            </w:r>
          </w:p>
        </w:tc>
      </w:tr>
      <w:tr w:rsidR="004549BF" w14:paraId="6D916C8B" w14:textId="77777777">
        <w:trPr>
          <w:trHeight w:val="283"/>
        </w:trPr>
        <w:tc>
          <w:tcPr>
            <w:tcW w:w="766" w:type="dxa"/>
            <w:tcBorders>
              <w:tl2br w:val="nil"/>
              <w:tr2bl w:val="nil"/>
            </w:tcBorders>
            <w:shd w:val="clear" w:color="auto" w:fill="auto"/>
            <w:vAlign w:val="center"/>
          </w:tcPr>
          <w:p w14:paraId="78B4187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164</w:t>
            </w:r>
          </w:p>
        </w:tc>
        <w:tc>
          <w:tcPr>
            <w:tcW w:w="2364" w:type="dxa"/>
            <w:tcBorders>
              <w:tl2br w:val="nil"/>
              <w:tr2bl w:val="nil"/>
            </w:tcBorders>
            <w:shd w:val="clear" w:color="auto" w:fill="auto"/>
            <w:vAlign w:val="center"/>
          </w:tcPr>
          <w:p w14:paraId="301AC7A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金融发展扶持政策-人才奖-定制报表</w:t>
            </w:r>
          </w:p>
        </w:tc>
        <w:tc>
          <w:tcPr>
            <w:tcW w:w="5605" w:type="dxa"/>
            <w:tcBorders>
              <w:tl2br w:val="nil"/>
              <w:tr2bl w:val="nil"/>
            </w:tcBorders>
            <w:shd w:val="clear" w:color="auto" w:fill="auto"/>
            <w:vAlign w:val="center"/>
          </w:tcPr>
          <w:p w14:paraId="0E69027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系统需要改造以下报表，并对新增的报表进行电子签章。企业基本信息总表（改造）（PDF）、企业基本信息总表（改造）（PDF）、联系人相关信息导出（新增）（XSLX）</w:t>
            </w:r>
          </w:p>
        </w:tc>
      </w:tr>
      <w:tr w:rsidR="004549BF" w14:paraId="20CAFD10" w14:textId="77777777">
        <w:trPr>
          <w:trHeight w:val="283"/>
        </w:trPr>
        <w:tc>
          <w:tcPr>
            <w:tcW w:w="766" w:type="dxa"/>
            <w:tcBorders>
              <w:tl2br w:val="nil"/>
              <w:tr2bl w:val="nil"/>
            </w:tcBorders>
            <w:shd w:val="clear" w:color="auto" w:fill="auto"/>
            <w:vAlign w:val="center"/>
          </w:tcPr>
          <w:p w14:paraId="7EFE095A"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165</w:t>
            </w:r>
          </w:p>
        </w:tc>
        <w:tc>
          <w:tcPr>
            <w:tcW w:w="2364" w:type="dxa"/>
            <w:tcBorders>
              <w:tl2br w:val="nil"/>
              <w:tr2bl w:val="nil"/>
            </w:tcBorders>
            <w:shd w:val="clear" w:color="auto" w:fill="auto"/>
            <w:vAlign w:val="center"/>
          </w:tcPr>
          <w:p w14:paraId="72B9C17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金融发展扶持政策-人才奖-数据归档</w:t>
            </w:r>
          </w:p>
        </w:tc>
        <w:tc>
          <w:tcPr>
            <w:tcW w:w="5605" w:type="dxa"/>
            <w:tcBorders>
              <w:tl2br w:val="nil"/>
              <w:tr2bl w:val="nil"/>
            </w:tcBorders>
            <w:shd w:val="clear" w:color="auto" w:fill="auto"/>
            <w:vAlign w:val="center"/>
          </w:tcPr>
          <w:p w14:paraId="5B3F271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按照新的数据结构，对数据归档功能进行改造。</w:t>
            </w:r>
          </w:p>
        </w:tc>
      </w:tr>
      <w:tr w:rsidR="004549BF" w14:paraId="3E8A710E" w14:textId="77777777">
        <w:trPr>
          <w:trHeight w:val="283"/>
        </w:trPr>
        <w:tc>
          <w:tcPr>
            <w:tcW w:w="766" w:type="dxa"/>
            <w:tcBorders>
              <w:tl2br w:val="nil"/>
              <w:tr2bl w:val="nil"/>
            </w:tcBorders>
            <w:shd w:val="clear" w:color="auto" w:fill="auto"/>
            <w:vAlign w:val="center"/>
          </w:tcPr>
          <w:p w14:paraId="265B1DA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166</w:t>
            </w:r>
          </w:p>
        </w:tc>
        <w:tc>
          <w:tcPr>
            <w:tcW w:w="2364" w:type="dxa"/>
            <w:tcBorders>
              <w:tl2br w:val="nil"/>
              <w:tr2bl w:val="nil"/>
            </w:tcBorders>
            <w:shd w:val="clear" w:color="auto" w:fill="auto"/>
            <w:vAlign w:val="center"/>
          </w:tcPr>
          <w:p w14:paraId="108CD35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金融发展扶持政策-人才奖-历史申报记录查询</w:t>
            </w:r>
          </w:p>
        </w:tc>
        <w:tc>
          <w:tcPr>
            <w:tcW w:w="5605" w:type="dxa"/>
            <w:tcBorders>
              <w:tl2br w:val="nil"/>
              <w:tr2bl w:val="nil"/>
            </w:tcBorders>
            <w:shd w:val="clear" w:color="auto" w:fill="auto"/>
            <w:vAlign w:val="center"/>
          </w:tcPr>
          <w:p w14:paraId="0594F51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提供按年度的历史申报记录查询功能，可以导出历史的PDF文件及相关情况。提供按企业列表展示功能，下钻企业信息功能，下钻人员信息功能。</w:t>
            </w:r>
          </w:p>
        </w:tc>
      </w:tr>
      <w:tr w:rsidR="004549BF" w14:paraId="1975C069" w14:textId="77777777">
        <w:trPr>
          <w:trHeight w:val="283"/>
        </w:trPr>
        <w:tc>
          <w:tcPr>
            <w:tcW w:w="766" w:type="dxa"/>
            <w:tcBorders>
              <w:tl2br w:val="nil"/>
              <w:tr2bl w:val="nil"/>
            </w:tcBorders>
            <w:shd w:val="clear" w:color="auto" w:fill="auto"/>
            <w:vAlign w:val="center"/>
          </w:tcPr>
          <w:p w14:paraId="602004C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167</w:t>
            </w:r>
          </w:p>
        </w:tc>
        <w:tc>
          <w:tcPr>
            <w:tcW w:w="2364" w:type="dxa"/>
            <w:tcBorders>
              <w:tl2br w:val="nil"/>
              <w:tr2bl w:val="nil"/>
            </w:tcBorders>
            <w:shd w:val="clear" w:color="auto" w:fill="auto"/>
            <w:vAlign w:val="center"/>
          </w:tcPr>
          <w:p w14:paraId="4764D05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金融发展扶持政策-人才奖-人才奖励统计分析</w:t>
            </w:r>
          </w:p>
        </w:tc>
        <w:tc>
          <w:tcPr>
            <w:tcW w:w="5605" w:type="dxa"/>
            <w:tcBorders>
              <w:tl2br w:val="nil"/>
              <w:tr2bl w:val="nil"/>
            </w:tcBorders>
            <w:shd w:val="clear" w:color="auto" w:fill="auto"/>
            <w:vAlign w:val="center"/>
          </w:tcPr>
          <w:p w14:paraId="019A59D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年度、金融机构类别统计历年奖励金额、人次、奖励合计、人均奖励金额，并可视化展示及报表的形式动态输出结果。关联分析金融行业人才收入变化趋势。可下钻查询人员列表和个人奖励详细计算信息、申报数据明细、附件等。</w:t>
            </w:r>
          </w:p>
        </w:tc>
      </w:tr>
      <w:tr w:rsidR="004549BF" w14:paraId="363F2501" w14:textId="77777777">
        <w:trPr>
          <w:trHeight w:val="283"/>
        </w:trPr>
        <w:tc>
          <w:tcPr>
            <w:tcW w:w="766" w:type="dxa"/>
            <w:tcBorders>
              <w:tl2br w:val="nil"/>
              <w:tr2bl w:val="nil"/>
            </w:tcBorders>
            <w:shd w:val="clear" w:color="auto" w:fill="auto"/>
            <w:vAlign w:val="center"/>
          </w:tcPr>
          <w:p w14:paraId="5563492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168</w:t>
            </w:r>
          </w:p>
        </w:tc>
        <w:tc>
          <w:tcPr>
            <w:tcW w:w="2364" w:type="dxa"/>
            <w:tcBorders>
              <w:tl2br w:val="nil"/>
              <w:tr2bl w:val="nil"/>
            </w:tcBorders>
            <w:shd w:val="clear" w:color="auto" w:fill="auto"/>
            <w:vAlign w:val="center"/>
          </w:tcPr>
          <w:p w14:paraId="5CFAF7D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金融发展扶持政策-人才奖-企业数据导出</w:t>
            </w:r>
          </w:p>
        </w:tc>
        <w:tc>
          <w:tcPr>
            <w:tcW w:w="5605" w:type="dxa"/>
            <w:tcBorders>
              <w:tl2br w:val="nil"/>
              <w:tr2bl w:val="nil"/>
            </w:tcBorders>
            <w:shd w:val="clear" w:color="auto" w:fill="auto"/>
            <w:vAlign w:val="center"/>
          </w:tcPr>
          <w:p w14:paraId="23029C9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系统可以通过选择周期动态选择字段预览与导出企业信息。</w:t>
            </w:r>
          </w:p>
        </w:tc>
      </w:tr>
      <w:tr w:rsidR="004549BF" w14:paraId="2A4AD664" w14:textId="77777777">
        <w:trPr>
          <w:trHeight w:val="283"/>
        </w:trPr>
        <w:tc>
          <w:tcPr>
            <w:tcW w:w="766" w:type="dxa"/>
            <w:tcBorders>
              <w:tl2br w:val="nil"/>
              <w:tr2bl w:val="nil"/>
            </w:tcBorders>
            <w:shd w:val="clear" w:color="auto" w:fill="auto"/>
            <w:vAlign w:val="center"/>
          </w:tcPr>
          <w:p w14:paraId="2F7B556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169</w:t>
            </w:r>
          </w:p>
        </w:tc>
        <w:tc>
          <w:tcPr>
            <w:tcW w:w="2364" w:type="dxa"/>
            <w:tcBorders>
              <w:tl2br w:val="nil"/>
              <w:tr2bl w:val="nil"/>
            </w:tcBorders>
            <w:shd w:val="clear" w:color="auto" w:fill="auto"/>
            <w:vAlign w:val="center"/>
          </w:tcPr>
          <w:p w14:paraId="2988398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金融发展扶持政策-机构扶持-年度经营情况申报</w:t>
            </w:r>
          </w:p>
        </w:tc>
        <w:tc>
          <w:tcPr>
            <w:tcW w:w="5605" w:type="dxa"/>
            <w:tcBorders>
              <w:tl2br w:val="nil"/>
              <w:tr2bl w:val="nil"/>
            </w:tcBorders>
            <w:shd w:val="clear" w:color="auto" w:fill="auto"/>
            <w:vAlign w:val="center"/>
          </w:tcPr>
          <w:p w14:paraId="6A145D4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机构处管理用户开启年度经营情况申报周期后机构用户可通过系统要求上报年度经营情况信息。</w:t>
            </w:r>
          </w:p>
        </w:tc>
      </w:tr>
      <w:tr w:rsidR="004549BF" w14:paraId="7D47E832" w14:textId="77777777">
        <w:trPr>
          <w:trHeight w:val="283"/>
        </w:trPr>
        <w:tc>
          <w:tcPr>
            <w:tcW w:w="766" w:type="dxa"/>
            <w:tcBorders>
              <w:tl2br w:val="nil"/>
              <w:tr2bl w:val="nil"/>
            </w:tcBorders>
            <w:shd w:val="clear" w:color="auto" w:fill="auto"/>
            <w:vAlign w:val="center"/>
          </w:tcPr>
          <w:p w14:paraId="140F884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170</w:t>
            </w:r>
          </w:p>
        </w:tc>
        <w:tc>
          <w:tcPr>
            <w:tcW w:w="2364" w:type="dxa"/>
            <w:tcBorders>
              <w:tl2br w:val="nil"/>
              <w:tr2bl w:val="nil"/>
            </w:tcBorders>
            <w:shd w:val="clear" w:color="auto" w:fill="auto"/>
            <w:vAlign w:val="center"/>
          </w:tcPr>
          <w:p w14:paraId="32EAFBD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金融发展扶持政策-机构扶持-年度经营情况申报周期管理</w:t>
            </w:r>
          </w:p>
        </w:tc>
        <w:tc>
          <w:tcPr>
            <w:tcW w:w="5605" w:type="dxa"/>
            <w:tcBorders>
              <w:tl2br w:val="nil"/>
              <w:tr2bl w:val="nil"/>
            </w:tcBorders>
            <w:shd w:val="clear" w:color="auto" w:fill="auto"/>
            <w:vAlign w:val="center"/>
          </w:tcPr>
          <w:p w14:paraId="7BCCDD0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机构处可通过本功能开启年度经营情况申报周期，指定报送周期的名称、开始时间、结束时间、选择填报的企业。系统还具备自动生成填报企业名录功能，支持添加未参与过任何扶持的机构填报信息。</w:t>
            </w:r>
          </w:p>
        </w:tc>
      </w:tr>
      <w:tr w:rsidR="004549BF" w14:paraId="1946ED42" w14:textId="77777777">
        <w:trPr>
          <w:trHeight w:val="283"/>
        </w:trPr>
        <w:tc>
          <w:tcPr>
            <w:tcW w:w="766" w:type="dxa"/>
            <w:tcBorders>
              <w:tl2br w:val="nil"/>
              <w:tr2bl w:val="nil"/>
            </w:tcBorders>
            <w:shd w:val="clear" w:color="auto" w:fill="auto"/>
            <w:vAlign w:val="center"/>
          </w:tcPr>
          <w:p w14:paraId="4AA3CF3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171</w:t>
            </w:r>
          </w:p>
        </w:tc>
        <w:tc>
          <w:tcPr>
            <w:tcW w:w="2364" w:type="dxa"/>
            <w:tcBorders>
              <w:tl2br w:val="nil"/>
              <w:tr2bl w:val="nil"/>
            </w:tcBorders>
            <w:shd w:val="clear" w:color="auto" w:fill="auto"/>
            <w:vAlign w:val="center"/>
          </w:tcPr>
          <w:p w14:paraId="095106A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金融发展扶持政策-机构扶持-年度经营情况审核</w:t>
            </w:r>
          </w:p>
        </w:tc>
        <w:tc>
          <w:tcPr>
            <w:tcW w:w="5605" w:type="dxa"/>
            <w:tcBorders>
              <w:tl2br w:val="nil"/>
              <w:tr2bl w:val="nil"/>
            </w:tcBorders>
            <w:shd w:val="clear" w:color="auto" w:fill="auto"/>
            <w:vAlign w:val="center"/>
          </w:tcPr>
          <w:p w14:paraId="047861A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机构处管理用户开启年度经营情况申报周期后机构用户可通过系统要求上报年度经营情况信息。当信息上报后系统机构出用户可进行查看，并根据申报情况发放相应的扶持资金。</w:t>
            </w:r>
          </w:p>
        </w:tc>
      </w:tr>
      <w:tr w:rsidR="004549BF" w14:paraId="54E4EA32" w14:textId="77777777">
        <w:trPr>
          <w:trHeight w:val="283"/>
        </w:trPr>
        <w:tc>
          <w:tcPr>
            <w:tcW w:w="766" w:type="dxa"/>
            <w:tcBorders>
              <w:tl2br w:val="nil"/>
              <w:tr2bl w:val="nil"/>
            </w:tcBorders>
            <w:shd w:val="clear" w:color="auto" w:fill="auto"/>
            <w:vAlign w:val="center"/>
          </w:tcPr>
          <w:p w14:paraId="5108A92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172</w:t>
            </w:r>
          </w:p>
        </w:tc>
        <w:tc>
          <w:tcPr>
            <w:tcW w:w="2364" w:type="dxa"/>
            <w:tcBorders>
              <w:tl2br w:val="nil"/>
              <w:tr2bl w:val="nil"/>
            </w:tcBorders>
            <w:shd w:val="clear" w:color="auto" w:fill="auto"/>
            <w:vAlign w:val="center"/>
          </w:tcPr>
          <w:p w14:paraId="544F505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金融发展扶持政策-机构扶持-机构奖励统计分析</w:t>
            </w:r>
          </w:p>
        </w:tc>
        <w:tc>
          <w:tcPr>
            <w:tcW w:w="5605" w:type="dxa"/>
            <w:tcBorders>
              <w:tl2br w:val="nil"/>
              <w:tr2bl w:val="nil"/>
            </w:tcBorders>
            <w:shd w:val="clear" w:color="auto" w:fill="auto"/>
            <w:vAlign w:val="center"/>
          </w:tcPr>
          <w:p w14:paraId="01CA9C9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机构处管理用户开启年度经营情况申报周期后机构用户可通过系统要求上报年度经营情况信息。当信息上报后系统机构出用户可进行查看，并根据申报情况发放相应的扶持资金。</w:t>
            </w:r>
          </w:p>
        </w:tc>
      </w:tr>
      <w:tr w:rsidR="004549BF" w14:paraId="499AE9D0" w14:textId="77777777">
        <w:trPr>
          <w:trHeight w:val="283"/>
        </w:trPr>
        <w:tc>
          <w:tcPr>
            <w:tcW w:w="766" w:type="dxa"/>
            <w:tcBorders>
              <w:tl2br w:val="nil"/>
              <w:tr2bl w:val="nil"/>
            </w:tcBorders>
            <w:shd w:val="clear" w:color="auto" w:fill="auto"/>
            <w:vAlign w:val="center"/>
          </w:tcPr>
          <w:p w14:paraId="6CF96E9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173</w:t>
            </w:r>
          </w:p>
        </w:tc>
        <w:tc>
          <w:tcPr>
            <w:tcW w:w="2364" w:type="dxa"/>
            <w:tcBorders>
              <w:tl2br w:val="nil"/>
              <w:tr2bl w:val="nil"/>
            </w:tcBorders>
            <w:shd w:val="clear" w:color="auto" w:fill="auto"/>
            <w:vAlign w:val="center"/>
          </w:tcPr>
          <w:p w14:paraId="38153D7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中小企业信贷风险补偿-“前补偿”试点产品申报审核 - “前补偿”试点产品申报</w:t>
            </w:r>
          </w:p>
        </w:tc>
        <w:tc>
          <w:tcPr>
            <w:tcW w:w="5605" w:type="dxa"/>
            <w:tcBorders>
              <w:tl2br w:val="nil"/>
              <w:tr2bl w:val="nil"/>
            </w:tcBorders>
            <w:shd w:val="clear" w:color="auto" w:fill="auto"/>
            <w:vAlign w:val="center"/>
          </w:tcPr>
          <w:p w14:paraId="21E42CE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在服务中心每年发起试点产品报送后，启动试点产品申报周期。在申报周期内，银行授权用户可登录系统进行“前补偿”试点产品的申报。完成申报表填写后，提行内复核。</w:t>
            </w:r>
          </w:p>
        </w:tc>
      </w:tr>
      <w:tr w:rsidR="004549BF" w14:paraId="22640FC3" w14:textId="77777777">
        <w:trPr>
          <w:trHeight w:val="283"/>
        </w:trPr>
        <w:tc>
          <w:tcPr>
            <w:tcW w:w="766" w:type="dxa"/>
            <w:tcBorders>
              <w:tl2br w:val="nil"/>
              <w:tr2bl w:val="nil"/>
            </w:tcBorders>
            <w:shd w:val="clear" w:color="auto" w:fill="auto"/>
            <w:vAlign w:val="center"/>
          </w:tcPr>
          <w:p w14:paraId="5708B93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174</w:t>
            </w:r>
          </w:p>
        </w:tc>
        <w:tc>
          <w:tcPr>
            <w:tcW w:w="2364" w:type="dxa"/>
            <w:tcBorders>
              <w:tl2br w:val="nil"/>
              <w:tr2bl w:val="nil"/>
            </w:tcBorders>
            <w:shd w:val="clear" w:color="auto" w:fill="auto"/>
            <w:vAlign w:val="center"/>
          </w:tcPr>
          <w:p w14:paraId="04B7297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中小企业信贷风险补偿-“前补偿”试点产品申报审核 - “前补偿”试点产品行内复核</w:t>
            </w:r>
          </w:p>
        </w:tc>
        <w:tc>
          <w:tcPr>
            <w:tcW w:w="5605" w:type="dxa"/>
            <w:tcBorders>
              <w:tl2br w:val="nil"/>
              <w:tr2bl w:val="nil"/>
            </w:tcBorders>
            <w:shd w:val="clear" w:color="auto" w:fill="auto"/>
            <w:vAlign w:val="center"/>
          </w:tcPr>
          <w:p w14:paraId="01BF491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增设复核功能，允许银行机构工作人员对“前补偿”产品数据进行人工复核。提供数据准确性验证，通过人工识别判断内容正确性，为数据质量提供双重保障。</w:t>
            </w:r>
          </w:p>
        </w:tc>
      </w:tr>
      <w:tr w:rsidR="004549BF" w14:paraId="294F8BEF" w14:textId="77777777">
        <w:trPr>
          <w:trHeight w:val="283"/>
        </w:trPr>
        <w:tc>
          <w:tcPr>
            <w:tcW w:w="766" w:type="dxa"/>
            <w:tcBorders>
              <w:tl2br w:val="nil"/>
              <w:tr2bl w:val="nil"/>
            </w:tcBorders>
            <w:shd w:val="clear" w:color="auto" w:fill="auto"/>
            <w:vAlign w:val="center"/>
          </w:tcPr>
          <w:p w14:paraId="73BD70D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175</w:t>
            </w:r>
          </w:p>
        </w:tc>
        <w:tc>
          <w:tcPr>
            <w:tcW w:w="2364" w:type="dxa"/>
            <w:tcBorders>
              <w:tl2br w:val="nil"/>
              <w:tr2bl w:val="nil"/>
            </w:tcBorders>
            <w:shd w:val="clear" w:color="auto" w:fill="auto"/>
            <w:vAlign w:val="center"/>
          </w:tcPr>
          <w:p w14:paraId="459F30D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中小企业信贷风险补偿-“前补偿”试点产品申报审核 - “前补偿”试点产品服务中心审核</w:t>
            </w:r>
          </w:p>
        </w:tc>
        <w:tc>
          <w:tcPr>
            <w:tcW w:w="5605" w:type="dxa"/>
            <w:tcBorders>
              <w:tl2br w:val="nil"/>
              <w:tr2bl w:val="nil"/>
            </w:tcBorders>
            <w:shd w:val="clear" w:color="auto" w:fill="auto"/>
            <w:vAlign w:val="center"/>
          </w:tcPr>
          <w:p w14:paraId="0721734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服务中心可通过界面待办实现，进入“前补偿”试点产品申报审批，也可通过功能菜单进入审批。</w:t>
            </w:r>
            <w:r>
              <w:rPr>
                <w:rFonts w:cs="宋体" w:hint="eastAsia"/>
                <w:color w:val="000000"/>
                <w:kern w:val="0"/>
                <w:lang w:bidi="ar"/>
              </w:rPr>
              <w:br/>
              <w:t>开发“前补偿”试点产品的信息浏览界面，可详细展示产品信息，服务中心审核通过后，进入贷款数据报送周期。如果不符合要求退回，银行可修改产品后重新申报。</w:t>
            </w:r>
          </w:p>
        </w:tc>
      </w:tr>
      <w:tr w:rsidR="004549BF" w14:paraId="68FFC061" w14:textId="77777777">
        <w:trPr>
          <w:trHeight w:val="283"/>
        </w:trPr>
        <w:tc>
          <w:tcPr>
            <w:tcW w:w="766" w:type="dxa"/>
            <w:tcBorders>
              <w:tl2br w:val="nil"/>
              <w:tr2bl w:val="nil"/>
            </w:tcBorders>
            <w:shd w:val="clear" w:color="auto" w:fill="auto"/>
            <w:vAlign w:val="center"/>
          </w:tcPr>
          <w:p w14:paraId="6BB82B4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176</w:t>
            </w:r>
          </w:p>
        </w:tc>
        <w:tc>
          <w:tcPr>
            <w:tcW w:w="2364" w:type="dxa"/>
            <w:tcBorders>
              <w:tl2br w:val="nil"/>
              <w:tr2bl w:val="nil"/>
            </w:tcBorders>
            <w:shd w:val="clear" w:color="auto" w:fill="auto"/>
            <w:vAlign w:val="center"/>
          </w:tcPr>
          <w:p w14:paraId="13626D9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中小企业信贷风险补偿-“前补偿”试点产品申报审核 - “前补偿”试点产品报表输出</w:t>
            </w:r>
          </w:p>
        </w:tc>
        <w:tc>
          <w:tcPr>
            <w:tcW w:w="5605" w:type="dxa"/>
            <w:tcBorders>
              <w:tl2br w:val="nil"/>
              <w:tr2bl w:val="nil"/>
            </w:tcBorders>
            <w:shd w:val="clear" w:color="auto" w:fill="auto"/>
            <w:vAlign w:val="center"/>
          </w:tcPr>
          <w:p w14:paraId="4212DEF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前补偿试点产业信息可按照审核状态、报送周期等条件进行查询，查询结果可导出Excel表格。</w:t>
            </w:r>
          </w:p>
        </w:tc>
      </w:tr>
      <w:tr w:rsidR="004549BF" w14:paraId="073FEAAA" w14:textId="77777777">
        <w:trPr>
          <w:trHeight w:val="283"/>
        </w:trPr>
        <w:tc>
          <w:tcPr>
            <w:tcW w:w="766" w:type="dxa"/>
            <w:tcBorders>
              <w:tl2br w:val="nil"/>
              <w:tr2bl w:val="nil"/>
            </w:tcBorders>
            <w:shd w:val="clear" w:color="auto" w:fill="auto"/>
            <w:vAlign w:val="center"/>
          </w:tcPr>
          <w:p w14:paraId="36843A9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177</w:t>
            </w:r>
          </w:p>
        </w:tc>
        <w:tc>
          <w:tcPr>
            <w:tcW w:w="2364" w:type="dxa"/>
            <w:tcBorders>
              <w:tl2br w:val="nil"/>
              <w:tr2bl w:val="nil"/>
            </w:tcBorders>
            <w:shd w:val="clear" w:color="auto" w:fill="auto"/>
            <w:vAlign w:val="center"/>
          </w:tcPr>
          <w:p w14:paraId="09C91F5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中小企业信贷风险补偿-“前补偿”试点产品贷款季度数据报送审核 - “前补偿”季度数据报送</w:t>
            </w:r>
          </w:p>
        </w:tc>
        <w:tc>
          <w:tcPr>
            <w:tcW w:w="5605" w:type="dxa"/>
            <w:tcBorders>
              <w:tl2br w:val="nil"/>
              <w:tr2bl w:val="nil"/>
            </w:tcBorders>
            <w:shd w:val="clear" w:color="auto" w:fill="auto"/>
            <w:vAlign w:val="center"/>
          </w:tcPr>
          <w:p w14:paraId="03C3BD4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构建功能完善的季度贷款列表报送模块，支持报送符合“前补偿”产品要求的贷款信息列表。允许银行和机构轻松导入“前补偿”产品的贷款基本数据。</w:t>
            </w:r>
          </w:p>
        </w:tc>
      </w:tr>
      <w:tr w:rsidR="004549BF" w14:paraId="68D453E6" w14:textId="77777777">
        <w:trPr>
          <w:trHeight w:val="283"/>
        </w:trPr>
        <w:tc>
          <w:tcPr>
            <w:tcW w:w="766" w:type="dxa"/>
            <w:tcBorders>
              <w:tl2br w:val="nil"/>
              <w:tr2bl w:val="nil"/>
            </w:tcBorders>
            <w:shd w:val="clear" w:color="auto" w:fill="auto"/>
            <w:vAlign w:val="center"/>
          </w:tcPr>
          <w:p w14:paraId="3A1A27E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178</w:t>
            </w:r>
          </w:p>
        </w:tc>
        <w:tc>
          <w:tcPr>
            <w:tcW w:w="2364" w:type="dxa"/>
            <w:tcBorders>
              <w:tl2br w:val="nil"/>
              <w:tr2bl w:val="nil"/>
            </w:tcBorders>
            <w:shd w:val="clear" w:color="auto" w:fill="auto"/>
            <w:vAlign w:val="center"/>
          </w:tcPr>
          <w:p w14:paraId="18792F2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中小企业信贷风险补偿-“前补偿”试点产品贷款季度数据报送审核 - “前补偿”贷款材料报送</w:t>
            </w:r>
          </w:p>
        </w:tc>
        <w:tc>
          <w:tcPr>
            <w:tcW w:w="5605" w:type="dxa"/>
            <w:tcBorders>
              <w:tl2br w:val="nil"/>
              <w:tr2bl w:val="nil"/>
            </w:tcBorders>
            <w:shd w:val="clear" w:color="auto" w:fill="auto"/>
            <w:vAlign w:val="center"/>
          </w:tcPr>
          <w:p w14:paraId="7C1265B2"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符合“前补偿”试点产品要求的贷款信息详情，包括贷款申请书、贷款人信息、贷款合同等文件材料。允许银行和机构轻松通过批量导入相关数据，导入文件按照贷款编号+文件名称进行批量打包，上传后，系统自动拆解到各个贷款记录中，减轻银行上传工作量。</w:t>
            </w:r>
          </w:p>
        </w:tc>
      </w:tr>
      <w:tr w:rsidR="004549BF" w14:paraId="3741FF46" w14:textId="77777777">
        <w:trPr>
          <w:trHeight w:val="283"/>
        </w:trPr>
        <w:tc>
          <w:tcPr>
            <w:tcW w:w="766" w:type="dxa"/>
            <w:tcBorders>
              <w:tl2br w:val="nil"/>
              <w:tr2bl w:val="nil"/>
            </w:tcBorders>
            <w:shd w:val="clear" w:color="auto" w:fill="auto"/>
            <w:vAlign w:val="center"/>
          </w:tcPr>
          <w:p w14:paraId="34A390A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179</w:t>
            </w:r>
          </w:p>
        </w:tc>
        <w:tc>
          <w:tcPr>
            <w:tcW w:w="2364" w:type="dxa"/>
            <w:tcBorders>
              <w:tl2br w:val="nil"/>
              <w:tr2bl w:val="nil"/>
            </w:tcBorders>
            <w:shd w:val="clear" w:color="auto" w:fill="auto"/>
            <w:vAlign w:val="center"/>
          </w:tcPr>
          <w:p w14:paraId="01F1E27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中小企业信贷风险补偿-“前补偿”试点产品贷款季度数据报送审核 - “前补偿”季度数据行内复核</w:t>
            </w:r>
          </w:p>
        </w:tc>
        <w:tc>
          <w:tcPr>
            <w:tcW w:w="5605" w:type="dxa"/>
            <w:tcBorders>
              <w:tl2br w:val="nil"/>
              <w:tr2bl w:val="nil"/>
            </w:tcBorders>
            <w:shd w:val="clear" w:color="auto" w:fill="auto"/>
            <w:vAlign w:val="center"/>
          </w:tcPr>
          <w:p w14:paraId="3789A9C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行内复核模块支持审核“前补偿”试点产品要求的贷款基本信息和文件材料。根据审核情况决定退回部分或全部申报信息。</w:t>
            </w:r>
          </w:p>
        </w:tc>
      </w:tr>
      <w:tr w:rsidR="004549BF" w14:paraId="715E21E5" w14:textId="77777777">
        <w:trPr>
          <w:trHeight w:val="283"/>
        </w:trPr>
        <w:tc>
          <w:tcPr>
            <w:tcW w:w="766" w:type="dxa"/>
            <w:tcBorders>
              <w:tl2br w:val="nil"/>
              <w:tr2bl w:val="nil"/>
            </w:tcBorders>
            <w:shd w:val="clear" w:color="auto" w:fill="auto"/>
            <w:vAlign w:val="center"/>
          </w:tcPr>
          <w:p w14:paraId="79EAE6B6"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180</w:t>
            </w:r>
          </w:p>
        </w:tc>
        <w:tc>
          <w:tcPr>
            <w:tcW w:w="2364" w:type="dxa"/>
            <w:tcBorders>
              <w:tl2br w:val="nil"/>
              <w:tr2bl w:val="nil"/>
            </w:tcBorders>
            <w:shd w:val="clear" w:color="auto" w:fill="auto"/>
            <w:vAlign w:val="center"/>
          </w:tcPr>
          <w:p w14:paraId="43A1BC7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中小企业信贷风险补偿-“前补偿”试点产品贷款季度数据报送审核 - “前补偿”季度贷款数据智能辅助审核</w:t>
            </w:r>
          </w:p>
        </w:tc>
        <w:tc>
          <w:tcPr>
            <w:tcW w:w="5605" w:type="dxa"/>
            <w:tcBorders>
              <w:tl2br w:val="nil"/>
              <w:tr2bl w:val="nil"/>
            </w:tcBorders>
            <w:shd w:val="clear" w:color="auto" w:fill="auto"/>
            <w:vAlign w:val="center"/>
          </w:tcPr>
          <w:p w14:paraId="2EC908A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实现系统对提交的产品材料及XLSX文件进行识别和对比。明确不符合补偿范围的贷款数，并提示报送用户进行修改。智能预审的评定条件主要包括：1）企业是否注册地为上海，外地注册企业不享受补偿政策。2）贷款企业是否为知识产品质押，是否有知识产权质押文书。3）该笔贷款是否为历史已经享受过补贴的贷款。</w:t>
            </w:r>
          </w:p>
        </w:tc>
      </w:tr>
      <w:tr w:rsidR="004549BF" w14:paraId="3CA35FEF" w14:textId="77777777">
        <w:trPr>
          <w:trHeight w:val="283"/>
        </w:trPr>
        <w:tc>
          <w:tcPr>
            <w:tcW w:w="766" w:type="dxa"/>
            <w:tcBorders>
              <w:tl2br w:val="nil"/>
              <w:tr2bl w:val="nil"/>
            </w:tcBorders>
            <w:shd w:val="clear" w:color="auto" w:fill="auto"/>
            <w:vAlign w:val="center"/>
          </w:tcPr>
          <w:p w14:paraId="43473A9D"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181</w:t>
            </w:r>
          </w:p>
        </w:tc>
        <w:tc>
          <w:tcPr>
            <w:tcW w:w="2364" w:type="dxa"/>
            <w:tcBorders>
              <w:tl2br w:val="nil"/>
              <w:tr2bl w:val="nil"/>
            </w:tcBorders>
            <w:shd w:val="clear" w:color="auto" w:fill="auto"/>
            <w:vAlign w:val="center"/>
          </w:tcPr>
          <w:p w14:paraId="1EA06C9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中小企业信贷风险补偿-“前补偿”试点产品贷款季度数据报送审核 - “前补偿”季度报送数据第三方审核</w:t>
            </w:r>
          </w:p>
        </w:tc>
        <w:tc>
          <w:tcPr>
            <w:tcW w:w="5605" w:type="dxa"/>
            <w:tcBorders>
              <w:tl2br w:val="nil"/>
              <w:tr2bl w:val="nil"/>
            </w:tcBorders>
            <w:shd w:val="clear" w:color="auto" w:fill="auto"/>
            <w:vAlign w:val="center"/>
          </w:tcPr>
          <w:p w14:paraId="0B7257E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在智能预审基础上，第三方审核首先确认智能预审结果，并核实相关贷款材料、贷款合同以及其他信息进行逐笔审核。审核不通过的将注明不通过理由，退回银行进行补充，或直接否决。</w:t>
            </w:r>
          </w:p>
        </w:tc>
      </w:tr>
      <w:tr w:rsidR="004549BF" w14:paraId="52653325" w14:textId="77777777">
        <w:trPr>
          <w:trHeight w:val="283"/>
        </w:trPr>
        <w:tc>
          <w:tcPr>
            <w:tcW w:w="766" w:type="dxa"/>
            <w:tcBorders>
              <w:tl2br w:val="nil"/>
              <w:tr2bl w:val="nil"/>
            </w:tcBorders>
            <w:shd w:val="clear" w:color="auto" w:fill="auto"/>
            <w:vAlign w:val="center"/>
          </w:tcPr>
          <w:p w14:paraId="62A428F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182</w:t>
            </w:r>
          </w:p>
        </w:tc>
        <w:tc>
          <w:tcPr>
            <w:tcW w:w="2364" w:type="dxa"/>
            <w:tcBorders>
              <w:tl2br w:val="nil"/>
              <w:tr2bl w:val="nil"/>
            </w:tcBorders>
            <w:shd w:val="clear" w:color="auto" w:fill="auto"/>
            <w:vAlign w:val="center"/>
          </w:tcPr>
          <w:p w14:paraId="4EC38C9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中小企业信贷风险补偿-“前补偿”试点产品贷款季度数据报送审核 - “前补偿”第三方鉴定报告</w:t>
            </w:r>
          </w:p>
        </w:tc>
        <w:tc>
          <w:tcPr>
            <w:tcW w:w="5605" w:type="dxa"/>
            <w:tcBorders>
              <w:tl2br w:val="nil"/>
              <w:tr2bl w:val="nil"/>
            </w:tcBorders>
            <w:shd w:val="clear" w:color="auto" w:fill="auto"/>
            <w:vAlign w:val="center"/>
          </w:tcPr>
          <w:p w14:paraId="3EF4DA3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第三方审核完成所有贷款记录审核后，根据审核结果，系统自动生成第三方季度前补偿贷款数据鉴定报告。</w:t>
            </w:r>
          </w:p>
        </w:tc>
      </w:tr>
      <w:tr w:rsidR="004549BF" w14:paraId="31A3D432" w14:textId="77777777">
        <w:trPr>
          <w:trHeight w:val="283"/>
        </w:trPr>
        <w:tc>
          <w:tcPr>
            <w:tcW w:w="766" w:type="dxa"/>
            <w:tcBorders>
              <w:tl2br w:val="nil"/>
              <w:tr2bl w:val="nil"/>
            </w:tcBorders>
            <w:shd w:val="clear" w:color="auto" w:fill="auto"/>
            <w:vAlign w:val="center"/>
          </w:tcPr>
          <w:p w14:paraId="0F67FC3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183</w:t>
            </w:r>
          </w:p>
        </w:tc>
        <w:tc>
          <w:tcPr>
            <w:tcW w:w="2364" w:type="dxa"/>
            <w:tcBorders>
              <w:tl2br w:val="nil"/>
              <w:tr2bl w:val="nil"/>
            </w:tcBorders>
            <w:shd w:val="clear" w:color="auto" w:fill="auto"/>
            <w:vAlign w:val="center"/>
          </w:tcPr>
          <w:p w14:paraId="23449C4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中小企业信贷风险补偿-“前补偿”审核发放 - “前补偿”上会审核</w:t>
            </w:r>
          </w:p>
        </w:tc>
        <w:tc>
          <w:tcPr>
            <w:tcW w:w="5605" w:type="dxa"/>
            <w:tcBorders>
              <w:tl2br w:val="nil"/>
              <w:tr2bl w:val="nil"/>
            </w:tcBorders>
            <w:shd w:val="clear" w:color="auto" w:fill="auto"/>
            <w:vAlign w:val="center"/>
          </w:tcPr>
          <w:p w14:paraId="1A2C541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服务中心在第三方审核的基础上，进行上会审核，可下载查看第三方审核报告，并进一步对通过审核额贷款记录进行复核，对应复核不通过的数据，将直接退回银行进行确认或重新修改申报。并能在线查看“前补偿”户数、笔数和总金额。</w:t>
            </w:r>
          </w:p>
        </w:tc>
      </w:tr>
      <w:tr w:rsidR="004549BF" w14:paraId="4F6E87CE" w14:textId="77777777">
        <w:trPr>
          <w:trHeight w:val="283"/>
        </w:trPr>
        <w:tc>
          <w:tcPr>
            <w:tcW w:w="766" w:type="dxa"/>
            <w:tcBorders>
              <w:tl2br w:val="nil"/>
              <w:tr2bl w:val="nil"/>
            </w:tcBorders>
            <w:shd w:val="clear" w:color="auto" w:fill="auto"/>
            <w:vAlign w:val="center"/>
          </w:tcPr>
          <w:p w14:paraId="75105F1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184</w:t>
            </w:r>
          </w:p>
        </w:tc>
        <w:tc>
          <w:tcPr>
            <w:tcW w:w="2364" w:type="dxa"/>
            <w:tcBorders>
              <w:tl2br w:val="nil"/>
              <w:tr2bl w:val="nil"/>
            </w:tcBorders>
            <w:shd w:val="clear" w:color="auto" w:fill="auto"/>
            <w:vAlign w:val="center"/>
          </w:tcPr>
          <w:p w14:paraId="101C3EB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中小企业信贷风险补偿-“前补偿”审核发放 - “前补偿”上会报表输出</w:t>
            </w:r>
          </w:p>
        </w:tc>
        <w:tc>
          <w:tcPr>
            <w:tcW w:w="5605" w:type="dxa"/>
            <w:tcBorders>
              <w:tl2br w:val="nil"/>
              <w:tr2bl w:val="nil"/>
            </w:tcBorders>
            <w:shd w:val="clear" w:color="auto" w:fill="auto"/>
            <w:vAlign w:val="center"/>
          </w:tcPr>
          <w:p w14:paraId="269F7C4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生成季度知识产权贷的前补偿的上会报表，包括信息主要包括总户数、笔数和总金额；以及各家银行总户数、笔数和总金额，以及每个产品的总户数、笔数和总金额，并可查看相关企业贷款数据。模块自动生成上会报表，可导出。</w:t>
            </w:r>
          </w:p>
        </w:tc>
      </w:tr>
      <w:tr w:rsidR="004549BF" w14:paraId="7814FD3D" w14:textId="77777777">
        <w:trPr>
          <w:trHeight w:val="283"/>
        </w:trPr>
        <w:tc>
          <w:tcPr>
            <w:tcW w:w="766" w:type="dxa"/>
            <w:tcBorders>
              <w:tl2br w:val="nil"/>
              <w:tr2bl w:val="nil"/>
            </w:tcBorders>
            <w:shd w:val="clear" w:color="auto" w:fill="auto"/>
            <w:vAlign w:val="center"/>
          </w:tcPr>
          <w:p w14:paraId="5E5CBA88"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185</w:t>
            </w:r>
          </w:p>
        </w:tc>
        <w:tc>
          <w:tcPr>
            <w:tcW w:w="2364" w:type="dxa"/>
            <w:tcBorders>
              <w:tl2br w:val="nil"/>
              <w:tr2bl w:val="nil"/>
            </w:tcBorders>
            <w:shd w:val="clear" w:color="auto" w:fill="auto"/>
            <w:vAlign w:val="center"/>
          </w:tcPr>
          <w:p w14:paraId="266CE54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中小企业信贷风险补偿-“前补偿”审核发放 - “前补偿”金额核定</w:t>
            </w:r>
          </w:p>
        </w:tc>
        <w:tc>
          <w:tcPr>
            <w:tcW w:w="5605" w:type="dxa"/>
            <w:tcBorders>
              <w:tl2br w:val="nil"/>
              <w:tr2bl w:val="nil"/>
            </w:tcBorders>
            <w:shd w:val="clear" w:color="auto" w:fill="auto"/>
            <w:vAlign w:val="center"/>
          </w:tcPr>
          <w:p w14:paraId="3AA5720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服务中心根据上会结果，在系统中实际确认各家银行各笔贷款的补偿金额、户数、笔数。确认完成后生成各家银行“前补偿”的合计金额以及明细，确认后批量生成各家银行“前补偿”结果函。</w:t>
            </w:r>
          </w:p>
        </w:tc>
      </w:tr>
      <w:tr w:rsidR="004549BF" w14:paraId="6C3C9EDE" w14:textId="77777777">
        <w:trPr>
          <w:trHeight w:val="283"/>
        </w:trPr>
        <w:tc>
          <w:tcPr>
            <w:tcW w:w="766" w:type="dxa"/>
            <w:tcBorders>
              <w:tl2br w:val="nil"/>
              <w:tr2bl w:val="nil"/>
            </w:tcBorders>
            <w:shd w:val="clear" w:color="auto" w:fill="auto"/>
            <w:vAlign w:val="center"/>
          </w:tcPr>
          <w:p w14:paraId="584406EB"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186</w:t>
            </w:r>
          </w:p>
        </w:tc>
        <w:tc>
          <w:tcPr>
            <w:tcW w:w="2364" w:type="dxa"/>
            <w:tcBorders>
              <w:tl2br w:val="nil"/>
              <w:tr2bl w:val="nil"/>
            </w:tcBorders>
            <w:shd w:val="clear" w:color="auto" w:fill="auto"/>
            <w:vAlign w:val="center"/>
          </w:tcPr>
          <w:p w14:paraId="44CA45A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中小企业信贷风险补偿-“前补偿”审核发放 - 下发“前补偿”结果函</w:t>
            </w:r>
          </w:p>
        </w:tc>
        <w:tc>
          <w:tcPr>
            <w:tcW w:w="5605" w:type="dxa"/>
            <w:tcBorders>
              <w:tl2br w:val="nil"/>
              <w:tr2bl w:val="nil"/>
            </w:tcBorders>
            <w:shd w:val="clear" w:color="auto" w:fill="auto"/>
            <w:vAlign w:val="center"/>
          </w:tcPr>
          <w:p w14:paraId="1EDF012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“前补偿”贷款全部通过审核后，生成结果函功能，生成并下发由之前所有审核上会步骤汇集而成的结果函。</w:t>
            </w:r>
          </w:p>
        </w:tc>
      </w:tr>
      <w:tr w:rsidR="004549BF" w14:paraId="4B855587" w14:textId="77777777">
        <w:trPr>
          <w:trHeight w:val="283"/>
        </w:trPr>
        <w:tc>
          <w:tcPr>
            <w:tcW w:w="766" w:type="dxa"/>
            <w:tcBorders>
              <w:tl2br w:val="nil"/>
              <w:tr2bl w:val="nil"/>
            </w:tcBorders>
            <w:shd w:val="clear" w:color="auto" w:fill="auto"/>
            <w:vAlign w:val="center"/>
          </w:tcPr>
          <w:p w14:paraId="6CA7991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187</w:t>
            </w:r>
          </w:p>
        </w:tc>
        <w:tc>
          <w:tcPr>
            <w:tcW w:w="2364" w:type="dxa"/>
            <w:tcBorders>
              <w:tl2br w:val="nil"/>
              <w:tr2bl w:val="nil"/>
            </w:tcBorders>
            <w:shd w:val="clear" w:color="auto" w:fill="auto"/>
            <w:vAlign w:val="center"/>
          </w:tcPr>
          <w:p w14:paraId="74A8FDA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中小企业信贷风险补偿-“前补偿”审核发放 - 银行确认“前补偿”金额</w:t>
            </w:r>
          </w:p>
        </w:tc>
        <w:tc>
          <w:tcPr>
            <w:tcW w:w="5605" w:type="dxa"/>
            <w:tcBorders>
              <w:tl2br w:val="nil"/>
              <w:tr2bl w:val="nil"/>
            </w:tcBorders>
            <w:shd w:val="clear" w:color="auto" w:fill="auto"/>
            <w:vAlign w:val="center"/>
          </w:tcPr>
          <w:p w14:paraId="12185BC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银行登录系统，确认“前补偿”金额，结果函确认功能，让银行从系统中获取到最终的补偿金额信息以确认补偿的最终情况。完成整个季度数据报送及补偿审核下发的流程。</w:t>
            </w:r>
          </w:p>
        </w:tc>
      </w:tr>
      <w:tr w:rsidR="004549BF" w14:paraId="2017FB1A" w14:textId="77777777">
        <w:trPr>
          <w:trHeight w:val="283"/>
        </w:trPr>
        <w:tc>
          <w:tcPr>
            <w:tcW w:w="766" w:type="dxa"/>
            <w:tcBorders>
              <w:tl2br w:val="nil"/>
              <w:tr2bl w:val="nil"/>
            </w:tcBorders>
            <w:shd w:val="clear" w:color="auto" w:fill="auto"/>
            <w:vAlign w:val="center"/>
          </w:tcPr>
          <w:p w14:paraId="552F0863"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188</w:t>
            </w:r>
          </w:p>
        </w:tc>
        <w:tc>
          <w:tcPr>
            <w:tcW w:w="2364" w:type="dxa"/>
            <w:tcBorders>
              <w:tl2br w:val="nil"/>
              <w:tr2bl w:val="nil"/>
            </w:tcBorders>
            <w:shd w:val="clear" w:color="auto" w:fill="auto"/>
            <w:vAlign w:val="center"/>
          </w:tcPr>
          <w:p w14:paraId="0861B0D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“前补偿”年度数据报送</w:t>
            </w:r>
          </w:p>
        </w:tc>
        <w:tc>
          <w:tcPr>
            <w:tcW w:w="5605" w:type="dxa"/>
            <w:tcBorders>
              <w:tl2br w:val="nil"/>
              <w:tr2bl w:val="nil"/>
            </w:tcBorders>
            <w:shd w:val="clear" w:color="auto" w:fill="auto"/>
            <w:vAlign w:val="center"/>
          </w:tcPr>
          <w:p w14:paraId="26C9A05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银行报送“前补偿”试点产品年度贷款数据，报送年度净损失相关数据。允许银行和机构批量导入年度贷款数据。</w:t>
            </w:r>
          </w:p>
        </w:tc>
      </w:tr>
      <w:tr w:rsidR="004549BF" w14:paraId="63CAEEF3" w14:textId="77777777">
        <w:trPr>
          <w:trHeight w:val="283"/>
        </w:trPr>
        <w:tc>
          <w:tcPr>
            <w:tcW w:w="766" w:type="dxa"/>
            <w:tcBorders>
              <w:tl2br w:val="nil"/>
              <w:tr2bl w:val="nil"/>
            </w:tcBorders>
            <w:shd w:val="clear" w:color="auto" w:fill="auto"/>
            <w:vAlign w:val="center"/>
          </w:tcPr>
          <w:p w14:paraId="5308C659"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189</w:t>
            </w:r>
          </w:p>
        </w:tc>
        <w:tc>
          <w:tcPr>
            <w:tcW w:w="2364" w:type="dxa"/>
            <w:tcBorders>
              <w:tl2br w:val="nil"/>
              <w:tr2bl w:val="nil"/>
            </w:tcBorders>
            <w:shd w:val="clear" w:color="auto" w:fill="auto"/>
            <w:vAlign w:val="center"/>
          </w:tcPr>
          <w:p w14:paraId="12AE1D2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“前补偿”年度净损失材料报送</w:t>
            </w:r>
          </w:p>
        </w:tc>
        <w:tc>
          <w:tcPr>
            <w:tcW w:w="5605" w:type="dxa"/>
            <w:tcBorders>
              <w:tl2br w:val="nil"/>
              <w:tr2bl w:val="nil"/>
            </w:tcBorders>
            <w:shd w:val="clear" w:color="auto" w:fill="auto"/>
            <w:vAlign w:val="center"/>
          </w:tcPr>
          <w:p w14:paraId="3CA0117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前补偿”年度贷款净损失材料报送模块，支持报送符合“前补偿”产品要求的贷款信息内容及贷款当期“净损失”情况，报送相关净损失佐证材料。银行和机构可以批量导入相关贷款凭证和净损失追溯材料。</w:t>
            </w:r>
          </w:p>
        </w:tc>
      </w:tr>
      <w:tr w:rsidR="004549BF" w14:paraId="7914183F" w14:textId="77777777">
        <w:trPr>
          <w:trHeight w:val="283"/>
        </w:trPr>
        <w:tc>
          <w:tcPr>
            <w:tcW w:w="766" w:type="dxa"/>
            <w:tcBorders>
              <w:tl2br w:val="nil"/>
              <w:tr2bl w:val="nil"/>
            </w:tcBorders>
            <w:shd w:val="clear" w:color="auto" w:fill="auto"/>
            <w:vAlign w:val="center"/>
          </w:tcPr>
          <w:p w14:paraId="7B3DCF9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190</w:t>
            </w:r>
          </w:p>
        </w:tc>
        <w:tc>
          <w:tcPr>
            <w:tcW w:w="2364" w:type="dxa"/>
            <w:tcBorders>
              <w:tl2br w:val="nil"/>
              <w:tr2bl w:val="nil"/>
            </w:tcBorders>
            <w:shd w:val="clear" w:color="auto" w:fill="auto"/>
            <w:vAlign w:val="center"/>
          </w:tcPr>
          <w:p w14:paraId="0D52DD7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w:t>
            </w:r>
            <w:r>
              <w:rPr>
                <w:rFonts w:cs="宋体" w:hint="eastAsia"/>
                <w:color w:val="000000"/>
                <w:kern w:val="0"/>
                <w:lang w:bidi="ar"/>
              </w:rPr>
              <w:lastRenderedPageBreak/>
              <w:t>净损失补偿 - 年度报送智能辅助审核</w:t>
            </w:r>
          </w:p>
        </w:tc>
        <w:tc>
          <w:tcPr>
            <w:tcW w:w="5605" w:type="dxa"/>
            <w:tcBorders>
              <w:tl2br w:val="nil"/>
              <w:tr2bl w:val="nil"/>
            </w:tcBorders>
            <w:shd w:val="clear" w:color="auto" w:fill="auto"/>
            <w:vAlign w:val="center"/>
          </w:tcPr>
          <w:p w14:paraId="3F068B2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lastRenderedPageBreak/>
              <w:t>实现系统对提交的产品材料及XLSX文件进行识别和对比，涉及净损失的相关贷款记录和佐证材料。识别填报错误内容并提示报送用户进行修改。</w:t>
            </w:r>
          </w:p>
        </w:tc>
      </w:tr>
      <w:tr w:rsidR="004549BF" w14:paraId="3CAF3D98" w14:textId="77777777">
        <w:trPr>
          <w:trHeight w:val="283"/>
        </w:trPr>
        <w:tc>
          <w:tcPr>
            <w:tcW w:w="766" w:type="dxa"/>
            <w:tcBorders>
              <w:tl2br w:val="nil"/>
              <w:tr2bl w:val="nil"/>
            </w:tcBorders>
            <w:shd w:val="clear" w:color="auto" w:fill="auto"/>
            <w:vAlign w:val="center"/>
          </w:tcPr>
          <w:p w14:paraId="12F32FFC"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191</w:t>
            </w:r>
          </w:p>
        </w:tc>
        <w:tc>
          <w:tcPr>
            <w:tcW w:w="2364" w:type="dxa"/>
            <w:tcBorders>
              <w:tl2br w:val="nil"/>
              <w:tr2bl w:val="nil"/>
            </w:tcBorders>
            <w:shd w:val="clear" w:color="auto" w:fill="auto"/>
            <w:vAlign w:val="center"/>
          </w:tcPr>
          <w:p w14:paraId="16849D3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年度报送行内复核</w:t>
            </w:r>
          </w:p>
        </w:tc>
        <w:tc>
          <w:tcPr>
            <w:tcW w:w="5605" w:type="dxa"/>
            <w:tcBorders>
              <w:tl2br w:val="nil"/>
              <w:tr2bl w:val="nil"/>
            </w:tcBorders>
            <w:shd w:val="clear" w:color="auto" w:fill="auto"/>
            <w:vAlign w:val="center"/>
          </w:tcPr>
          <w:p w14:paraId="788FB8B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行内复核模块支持审核符合“前补偿”产品要求的贷款基本信息和文件材料。根据审核情况决定退回部分或全部申报信息。</w:t>
            </w:r>
          </w:p>
        </w:tc>
      </w:tr>
      <w:tr w:rsidR="004549BF" w14:paraId="2413DA94" w14:textId="77777777">
        <w:trPr>
          <w:trHeight w:val="283"/>
        </w:trPr>
        <w:tc>
          <w:tcPr>
            <w:tcW w:w="766" w:type="dxa"/>
            <w:tcBorders>
              <w:tl2br w:val="nil"/>
              <w:tr2bl w:val="nil"/>
            </w:tcBorders>
            <w:shd w:val="clear" w:color="auto" w:fill="auto"/>
            <w:vAlign w:val="center"/>
          </w:tcPr>
          <w:p w14:paraId="29DAD1B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192</w:t>
            </w:r>
          </w:p>
        </w:tc>
        <w:tc>
          <w:tcPr>
            <w:tcW w:w="2364" w:type="dxa"/>
            <w:tcBorders>
              <w:tl2br w:val="nil"/>
              <w:tr2bl w:val="nil"/>
            </w:tcBorders>
            <w:shd w:val="clear" w:color="auto" w:fill="auto"/>
            <w:vAlign w:val="center"/>
          </w:tcPr>
          <w:p w14:paraId="4AABA5E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年度净损失第三方审核</w:t>
            </w:r>
          </w:p>
        </w:tc>
        <w:tc>
          <w:tcPr>
            <w:tcW w:w="5605" w:type="dxa"/>
            <w:tcBorders>
              <w:tl2br w:val="nil"/>
              <w:tr2bl w:val="nil"/>
            </w:tcBorders>
            <w:shd w:val="clear" w:color="auto" w:fill="auto"/>
            <w:vAlign w:val="center"/>
          </w:tcPr>
          <w:p w14:paraId="3609768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构建功能完善的第三方审核模块，依据审核权限对贷款基本信息和文件材料进行审核。根据审核情况决定退回部分或全部申报信息。</w:t>
            </w:r>
          </w:p>
        </w:tc>
      </w:tr>
      <w:tr w:rsidR="004549BF" w14:paraId="23FC47CB" w14:textId="77777777">
        <w:trPr>
          <w:trHeight w:val="283"/>
        </w:trPr>
        <w:tc>
          <w:tcPr>
            <w:tcW w:w="766" w:type="dxa"/>
            <w:tcBorders>
              <w:tl2br w:val="nil"/>
              <w:tr2bl w:val="nil"/>
            </w:tcBorders>
            <w:shd w:val="clear" w:color="auto" w:fill="auto"/>
            <w:vAlign w:val="center"/>
          </w:tcPr>
          <w:p w14:paraId="28B51D9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193</w:t>
            </w:r>
          </w:p>
        </w:tc>
        <w:tc>
          <w:tcPr>
            <w:tcW w:w="2364" w:type="dxa"/>
            <w:tcBorders>
              <w:tl2br w:val="nil"/>
              <w:tr2bl w:val="nil"/>
            </w:tcBorders>
            <w:shd w:val="clear" w:color="auto" w:fill="auto"/>
            <w:vAlign w:val="center"/>
          </w:tcPr>
          <w:p w14:paraId="473CB15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年度净损失第三方鉴定报告</w:t>
            </w:r>
          </w:p>
        </w:tc>
        <w:tc>
          <w:tcPr>
            <w:tcW w:w="5605" w:type="dxa"/>
            <w:tcBorders>
              <w:tl2br w:val="nil"/>
              <w:tr2bl w:val="nil"/>
            </w:tcBorders>
            <w:shd w:val="clear" w:color="auto" w:fill="auto"/>
            <w:vAlign w:val="center"/>
          </w:tcPr>
          <w:p w14:paraId="7E6C8376"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第三方审核机构通系统自动生成年度净损失鉴定报告。鉴定报告为格式化汇总报表，报告“前补偿”试点产品贷款审核通过贷款、不通过贷款、净损失汇总等。</w:t>
            </w:r>
          </w:p>
        </w:tc>
      </w:tr>
      <w:tr w:rsidR="004549BF" w14:paraId="1BC6BB4A" w14:textId="77777777">
        <w:trPr>
          <w:trHeight w:val="283"/>
        </w:trPr>
        <w:tc>
          <w:tcPr>
            <w:tcW w:w="766" w:type="dxa"/>
            <w:tcBorders>
              <w:tl2br w:val="nil"/>
              <w:tr2bl w:val="nil"/>
            </w:tcBorders>
            <w:shd w:val="clear" w:color="auto" w:fill="auto"/>
            <w:vAlign w:val="center"/>
          </w:tcPr>
          <w:p w14:paraId="205B0F63"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194</w:t>
            </w:r>
          </w:p>
        </w:tc>
        <w:tc>
          <w:tcPr>
            <w:tcW w:w="2364" w:type="dxa"/>
            <w:tcBorders>
              <w:tl2br w:val="nil"/>
              <w:tr2bl w:val="nil"/>
            </w:tcBorders>
            <w:shd w:val="clear" w:color="auto" w:fill="auto"/>
            <w:vAlign w:val="center"/>
          </w:tcPr>
          <w:p w14:paraId="606A1E3B"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年度净损失服务中心审核</w:t>
            </w:r>
          </w:p>
        </w:tc>
        <w:tc>
          <w:tcPr>
            <w:tcW w:w="5605" w:type="dxa"/>
            <w:tcBorders>
              <w:tl2br w:val="nil"/>
              <w:tr2bl w:val="nil"/>
            </w:tcBorders>
            <w:shd w:val="clear" w:color="auto" w:fill="auto"/>
            <w:vAlign w:val="center"/>
          </w:tcPr>
          <w:p w14:paraId="6216B265"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中心可查看第三方审核的年度净损失鉴定报告，可逐笔进行核。年度净损失审核完成后，制作上会报告。</w:t>
            </w:r>
          </w:p>
        </w:tc>
      </w:tr>
      <w:tr w:rsidR="004549BF" w14:paraId="3B8C04F1" w14:textId="77777777">
        <w:trPr>
          <w:trHeight w:val="283"/>
        </w:trPr>
        <w:tc>
          <w:tcPr>
            <w:tcW w:w="766" w:type="dxa"/>
            <w:tcBorders>
              <w:tl2br w:val="nil"/>
              <w:tr2bl w:val="nil"/>
            </w:tcBorders>
            <w:shd w:val="clear" w:color="auto" w:fill="auto"/>
            <w:vAlign w:val="center"/>
          </w:tcPr>
          <w:p w14:paraId="320BBD42"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195</w:t>
            </w:r>
          </w:p>
        </w:tc>
        <w:tc>
          <w:tcPr>
            <w:tcW w:w="2364" w:type="dxa"/>
            <w:tcBorders>
              <w:tl2br w:val="nil"/>
              <w:tr2bl w:val="nil"/>
            </w:tcBorders>
            <w:shd w:val="clear" w:color="auto" w:fill="auto"/>
            <w:vAlign w:val="center"/>
          </w:tcPr>
          <w:p w14:paraId="0768495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年度净损失上会报表输出</w:t>
            </w:r>
          </w:p>
        </w:tc>
        <w:tc>
          <w:tcPr>
            <w:tcW w:w="5605" w:type="dxa"/>
            <w:tcBorders>
              <w:tl2br w:val="nil"/>
              <w:tr2bl w:val="nil"/>
            </w:tcBorders>
            <w:shd w:val="clear" w:color="auto" w:fill="auto"/>
            <w:vAlign w:val="center"/>
          </w:tcPr>
          <w:p w14:paraId="46D3846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按照定义模板生成各个银行的年度净损失制作上会报表，计算生成“前补偿”汇总报表。</w:t>
            </w:r>
          </w:p>
        </w:tc>
      </w:tr>
      <w:tr w:rsidR="004549BF" w14:paraId="3C48E5F4" w14:textId="77777777">
        <w:trPr>
          <w:trHeight w:val="283"/>
        </w:trPr>
        <w:tc>
          <w:tcPr>
            <w:tcW w:w="766" w:type="dxa"/>
            <w:tcBorders>
              <w:tl2br w:val="nil"/>
              <w:tr2bl w:val="nil"/>
            </w:tcBorders>
            <w:shd w:val="clear" w:color="auto" w:fill="auto"/>
            <w:vAlign w:val="center"/>
          </w:tcPr>
          <w:p w14:paraId="05A66600"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196</w:t>
            </w:r>
          </w:p>
        </w:tc>
        <w:tc>
          <w:tcPr>
            <w:tcW w:w="2364" w:type="dxa"/>
            <w:tcBorders>
              <w:tl2br w:val="nil"/>
              <w:tr2bl w:val="nil"/>
            </w:tcBorders>
            <w:shd w:val="clear" w:color="auto" w:fill="auto"/>
            <w:vAlign w:val="center"/>
          </w:tcPr>
          <w:p w14:paraId="5BA3B64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下发“前补偿”退回金额</w:t>
            </w:r>
          </w:p>
        </w:tc>
        <w:tc>
          <w:tcPr>
            <w:tcW w:w="5605" w:type="dxa"/>
            <w:tcBorders>
              <w:tl2br w:val="nil"/>
              <w:tr2bl w:val="nil"/>
            </w:tcBorders>
            <w:shd w:val="clear" w:color="auto" w:fill="auto"/>
            <w:vAlign w:val="center"/>
          </w:tcPr>
          <w:p w14:paraId="3295EA43"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由于“前补偿”已经提前发放损失补贴，因此，当年当该笔贷款未成为净损失，将按照银行和产品生成“前补偿”退回金额汇总报表和明细报表，并下发银行进行确认。</w:t>
            </w:r>
          </w:p>
        </w:tc>
      </w:tr>
      <w:tr w:rsidR="004549BF" w14:paraId="45523625" w14:textId="77777777">
        <w:trPr>
          <w:trHeight w:val="283"/>
        </w:trPr>
        <w:tc>
          <w:tcPr>
            <w:tcW w:w="766" w:type="dxa"/>
            <w:tcBorders>
              <w:tl2br w:val="nil"/>
              <w:tr2bl w:val="nil"/>
            </w:tcBorders>
            <w:shd w:val="clear" w:color="auto" w:fill="auto"/>
            <w:vAlign w:val="center"/>
          </w:tcPr>
          <w:p w14:paraId="53AAA4C5"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197</w:t>
            </w:r>
          </w:p>
        </w:tc>
        <w:tc>
          <w:tcPr>
            <w:tcW w:w="2364" w:type="dxa"/>
            <w:tcBorders>
              <w:tl2br w:val="nil"/>
              <w:tr2bl w:val="nil"/>
            </w:tcBorders>
            <w:shd w:val="clear" w:color="auto" w:fill="auto"/>
            <w:vAlign w:val="center"/>
          </w:tcPr>
          <w:p w14:paraId="547FFF51"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中小企业信贷风险补偿-“前补偿”年度净损失补偿 - 确认“前补偿”退回金额</w:t>
            </w:r>
          </w:p>
        </w:tc>
        <w:tc>
          <w:tcPr>
            <w:tcW w:w="5605" w:type="dxa"/>
            <w:tcBorders>
              <w:tl2br w:val="nil"/>
              <w:tr2bl w:val="nil"/>
            </w:tcBorders>
            <w:shd w:val="clear" w:color="auto" w:fill="auto"/>
            <w:vAlign w:val="center"/>
          </w:tcPr>
          <w:p w14:paraId="4D72B9E4"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银行确认“前补偿”退回金额，让银行从系统中获取到最终的需要退回的补偿金额信息以确认补偿的最终情况。完成整个年度数据报送及补偿审核下发的流程。</w:t>
            </w:r>
          </w:p>
        </w:tc>
      </w:tr>
      <w:tr w:rsidR="004549BF" w14:paraId="290765B4" w14:textId="77777777">
        <w:trPr>
          <w:trHeight w:val="283"/>
        </w:trPr>
        <w:tc>
          <w:tcPr>
            <w:tcW w:w="766" w:type="dxa"/>
            <w:tcBorders>
              <w:tl2br w:val="nil"/>
              <w:tr2bl w:val="nil"/>
            </w:tcBorders>
            <w:shd w:val="clear" w:color="auto" w:fill="auto"/>
            <w:vAlign w:val="center"/>
          </w:tcPr>
          <w:p w14:paraId="7DF40CD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198</w:t>
            </w:r>
          </w:p>
        </w:tc>
        <w:tc>
          <w:tcPr>
            <w:tcW w:w="2364" w:type="dxa"/>
            <w:tcBorders>
              <w:tl2br w:val="nil"/>
              <w:tr2bl w:val="nil"/>
            </w:tcBorders>
            <w:shd w:val="clear" w:color="auto" w:fill="auto"/>
            <w:vAlign w:val="center"/>
          </w:tcPr>
          <w:p w14:paraId="169EA24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中小企业信贷风险补偿-“前补偿”信息归档分析 - “前补偿”业务数据归档</w:t>
            </w:r>
          </w:p>
        </w:tc>
        <w:tc>
          <w:tcPr>
            <w:tcW w:w="5605" w:type="dxa"/>
            <w:tcBorders>
              <w:tl2br w:val="nil"/>
              <w:tr2bl w:val="nil"/>
            </w:tcBorders>
            <w:shd w:val="clear" w:color="auto" w:fill="auto"/>
            <w:vAlign w:val="center"/>
          </w:tcPr>
          <w:p w14:paraId="5EC43A8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将“前补偿”业务相关情况按已经历年度进行归集，处理，并提供相应的系统查询、检索功能。</w:t>
            </w:r>
          </w:p>
        </w:tc>
      </w:tr>
      <w:tr w:rsidR="004549BF" w14:paraId="409AA648" w14:textId="77777777">
        <w:trPr>
          <w:trHeight w:val="283"/>
        </w:trPr>
        <w:tc>
          <w:tcPr>
            <w:tcW w:w="766" w:type="dxa"/>
            <w:tcBorders>
              <w:tl2br w:val="nil"/>
              <w:tr2bl w:val="nil"/>
            </w:tcBorders>
            <w:shd w:val="clear" w:color="auto" w:fill="auto"/>
            <w:vAlign w:val="center"/>
          </w:tcPr>
          <w:p w14:paraId="1BD5777F"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199</w:t>
            </w:r>
          </w:p>
        </w:tc>
        <w:tc>
          <w:tcPr>
            <w:tcW w:w="2364" w:type="dxa"/>
            <w:tcBorders>
              <w:tl2br w:val="nil"/>
              <w:tr2bl w:val="nil"/>
            </w:tcBorders>
            <w:shd w:val="clear" w:color="auto" w:fill="auto"/>
            <w:vAlign w:val="center"/>
          </w:tcPr>
          <w:p w14:paraId="6755F317"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中小企业信贷风险补偿-“前补偿”信息归档分析 - “前补偿”贷款数据分析</w:t>
            </w:r>
          </w:p>
        </w:tc>
        <w:tc>
          <w:tcPr>
            <w:tcW w:w="5605" w:type="dxa"/>
            <w:tcBorders>
              <w:tl2br w:val="nil"/>
              <w:tr2bl w:val="nil"/>
            </w:tcBorders>
            <w:shd w:val="clear" w:color="auto" w:fill="auto"/>
            <w:vAlign w:val="center"/>
          </w:tcPr>
          <w:p w14:paraId="675B9CC9"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将“前补偿”业务贷款数据情况按银行、产品信息进行归集，汇总，时间对比分析，可视化展示等功能。</w:t>
            </w:r>
          </w:p>
        </w:tc>
      </w:tr>
      <w:tr w:rsidR="004549BF" w14:paraId="3E596652" w14:textId="77777777">
        <w:trPr>
          <w:trHeight w:val="283"/>
        </w:trPr>
        <w:tc>
          <w:tcPr>
            <w:tcW w:w="766" w:type="dxa"/>
            <w:tcBorders>
              <w:tl2br w:val="nil"/>
              <w:tr2bl w:val="nil"/>
            </w:tcBorders>
            <w:shd w:val="clear" w:color="auto" w:fill="auto"/>
            <w:vAlign w:val="center"/>
          </w:tcPr>
          <w:p w14:paraId="07E9FB24"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200</w:t>
            </w:r>
          </w:p>
        </w:tc>
        <w:tc>
          <w:tcPr>
            <w:tcW w:w="2364" w:type="dxa"/>
            <w:tcBorders>
              <w:tl2br w:val="nil"/>
              <w:tr2bl w:val="nil"/>
            </w:tcBorders>
            <w:shd w:val="clear" w:color="auto" w:fill="auto"/>
            <w:vAlign w:val="center"/>
          </w:tcPr>
          <w:p w14:paraId="36544588"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中小企业信贷风险补偿-“前补偿”信息归档分析 - “前补偿”不良贷款分析</w:t>
            </w:r>
          </w:p>
        </w:tc>
        <w:tc>
          <w:tcPr>
            <w:tcW w:w="5605" w:type="dxa"/>
            <w:tcBorders>
              <w:tl2br w:val="nil"/>
              <w:tr2bl w:val="nil"/>
            </w:tcBorders>
            <w:shd w:val="clear" w:color="auto" w:fill="auto"/>
            <w:vAlign w:val="center"/>
          </w:tcPr>
          <w:p w14:paraId="59FC47C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前补偿”业务贷款数据中不良贷款的情况按银行、行业、时间维度进行汇总归集，并计算贷款户数、贷款笔数、总贷款额、总不良贷款等度量数据，进行相关数据多维分析和可视化展示功能。不良率的评估，有助于对下一个政策周期的补偿比例和行业关系进行精细调整。</w:t>
            </w:r>
          </w:p>
        </w:tc>
      </w:tr>
      <w:tr w:rsidR="004549BF" w14:paraId="4DC720F1" w14:textId="77777777">
        <w:trPr>
          <w:trHeight w:val="283"/>
        </w:trPr>
        <w:tc>
          <w:tcPr>
            <w:tcW w:w="766" w:type="dxa"/>
            <w:tcBorders>
              <w:tl2br w:val="nil"/>
              <w:tr2bl w:val="nil"/>
            </w:tcBorders>
            <w:shd w:val="clear" w:color="auto" w:fill="auto"/>
            <w:vAlign w:val="center"/>
          </w:tcPr>
          <w:p w14:paraId="06B71BE7"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201</w:t>
            </w:r>
          </w:p>
        </w:tc>
        <w:tc>
          <w:tcPr>
            <w:tcW w:w="2364" w:type="dxa"/>
            <w:tcBorders>
              <w:tl2br w:val="nil"/>
              <w:tr2bl w:val="nil"/>
            </w:tcBorders>
            <w:shd w:val="clear" w:color="auto" w:fill="auto"/>
            <w:vAlign w:val="center"/>
          </w:tcPr>
          <w:p w14:paraId="39B624AA"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中小企业信贷风险补偿-“前补偿”信息归档分析 - “前补偿”净损失分析</w:t>
            </w:r>
          </w:p>
        </w:tc>
        <w:tc>
          <w:tcPr>
            <w:tcW w:w="5605" w:type="dxa"/>
            <w:tcBorders>
              <w:tl2br w:val="nil"/>
              <w:tr2bl w:val="nil"/>
            </w:tcBorders>
            <w:shd w:val="clear" w:color="auto" w:fill="auto"/>
            <w:vAlign w:val="center"/>
          </w:tcPr>
          <w:p w14:paraId="1BA96CFF"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前补偿”业务贷款数据中净损失的情况按银行、行业、时间维度进行汇总归集，并计算贷款户数、贷款笔数、总贷款额、净损失贷款等度量数据，进行相关数据多维分析和可视化展示功能。总净损失、总贷款额的评估。</w:t>
            </w:r>
          </w:p>
        </w:tc>
      </w:tr>
      <w:tr w:rsidR="004549BF" w14:paraId="01060AEB" w14:textId="77777777">
        <w:trPr>
          <w:trHeight w:val="283"/>
        </w:trPr>
        <w:tc>
          <w:tcPr>
            <w:tcW w:w="766" w:type="dxa"/>
            <w:tcBorders>
              <w:tl2br w:val="nil"/>
              <w:tr2bl w:val="nil"/>
            </w:tcBorders>
            <w:shd w:val="clear" w:color="auto" w:fill="auto"/>
            <w:vAlign w:val="center"/>
          </w:tcPr>
          <w:p w14:paraId="6B47A121"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t>202</w:t>
            </w:r>
          </w:p>
        </w:tc>
        <w:tc>
          <w:tcPr>
            <w:tcW w:w="2364" w:type="dxa"/>
            <w:tcBorders>
              <w:tl2br w:val="nil"/>
              <w:tr2bl w:val="nil"/>
            </w:tcBorders>
            <w:shd w:val="clear" w:color="auto" w:fill="auto"/>
            <w:vAlign w:val="center"/>
          </w:tcPr>
          <w:p w14:paraId="35FD5830"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中小企业信贷风险补偿-“前补偿”信息归档分析 - “前补偿”补偿金额分析</w:t>
            </w:r>
          </w:p>
        </w:tc>
        <w:tc>
          <w:tcPr>
            <w:tcW w:w="5605" w:type="dxa"/>
            <w:tcBorders>
              <w:tl2br w:val="nil"/>
              <w:tr2bl w:val="nil"/>
            </w:tcBorders>
            <w:shd w:val="clear" w:color="auto" w:fill="auto"/>
            <w:vAlign w:val="center"/>
          </w:tcPr>
          <w:p w14:paraId="532D042D"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将“前补偿”业务贷款数据中净损失的情况按银行、行业、时间维度进行汇总归集，并计算贷款户数、贷款笔数、总贷款额、补偿金额等度量数据，进行相关数据多维分析和可视化展示功能，总补偿金额、贷款总额分析，可评估“前补偿”业务的杠杆效应。</w:t>
            </w:r>
          </w:p>
        </w:tc>
      </w:tr>
      <w:tr w:rsidR="004549BF" w14:paraId="143510D4" w14:textId="77777777">
        <w:trPr>
          <w:trHeight w:val="283"/>
        </w:trPr>
        <w:tc>
          <w:tcPr>
            <w:tcW w:w="766" w:type="dxa"/>
            <w:tcBorders>
              <w:tl2br w:val="nil"/>
              <w:tr2bl w:val="nil"/>
            </w:tcBorders>
            <w:shd w:val="clear" w:color="auto" w:fill="auto"/>
            <w:vAlign w:val="center"/>
          </w:tcPr>
          <w:p w14:paraId="5FDD814E" w14:textId="77777777" w:rsidR="004549BF" w:rsidRDefault="00BD04FA">
            <w:pPr>
              <w:widowControl/>
              <w:ind w:firstLineChars="0" w:firstLine="0"/>
              <w:jc w:val="center"/>
              <w:textAlignment w:val="center"/>
              <w:rPr>
                <w:rFonts w:cs="宋体"/>
                <w:color w:val="000000"/>
                <w:kern w:val="0"/>
                <w:lang w:bidi="ar"/>
              </w:rPr>
            </w:pPr>
            <w:r>
              <w:rPr>
                <w:rFonts w:cs="宋体" w:hint="eastAsia"/>
                <w:color w:val="000000"/>
                <w:kern w:val="0"/>
                <w:lang w:bidi="ar"/>
              </w:rPr>
              <w:lastRenderedPageBreak/>
              <w:t>203</w:t>
            </w:r>
          </w:p>
        </w:tc>
        <w:tc>
          <w:tcPr>
            <w:tcW w:w="2364" w:type="dxa"/>
            <w:tcBorders>
              <w:tl2br w:val="nil"/>
              <w:tr2bl w:val="nil"/>
            </w:tcBorders>
            <w:shd w:val="clear" w:color="auto" w:fill="auto"/>
            <w:vAlign w:val="center"/>
          </w:tcPr>
          <w:p w14:paraId="4FB6866C"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中小企业信贷风险补偿-“前补偿”信息归档分析 - 归档信息查询及导出</w:t>
            </w:r>
          </w:p>
        </w:tc>
        <w:tc>
          <w:tcPr>
            <w:tcW w:w="5605" w:type="dxa"/>
            <w:tcBorders>
              <w:tl2br w:val="nil"/>
              <w:tr2bl w:val="nil"/>
            </w:tcBorders>
            <w:shd w:val="clear" w:color="auto" w:fill="auto"/>
            <w:vAlign w:val="center"/>
          </w:tcPr>
          <w:p w14:paraId="284FB08E" w14:textId="77777777" w:rsidR="004549BF" w:rsidRDefault="00BD04FA">
            <w:pPr>
              <w:widowControl/>
              <w:ind w:firstLineChars="0" w:firstLine="0"/>
              <w:textAlignment w:val="center"/>
              <w:rPr>
                <w:rFonts w:cs="宋体"/>
                <w:color w:val="000000"/>
                <w:kern w:val="0"/>
                <w:lang w:bidi="ar"/>
              </w:rPr>
            </w:pPr>
            <w:r>
              <w:rPr>
                <w:rFonts w:cs="宋体" w:hint="eastAsia"/>
                <w:color w:val="000000"/>
                <w:kern w:val="0"/>
                <w:lang w:bidi="ar"/>
              </w:rPr>
              <w:t>对“前补偿”业务归档信息可按照关键字进行模糊查询，也可按照时间段、银行、贷款企业、贷款编号等进行精确查询，并可导出查询结果。</w:t>
            </w:r>
          </w:p>
        </w:tc>
      </w:tr>
    </w:tbl>
    <w:p w14:paraId="4D2D0BAA" w14:textId="77777777" w:rsidR="004549BF" w:rsidRDefault="004549BF">
      <w:pPr>
        <w:ind w:firstLineChars="0" w:firstLine="0"/>
      </w:pPr>
    </w:p>
    <w:p w14:paraId="54254AA7" w14:textId="77777777" w:rsidR="004549BF" w:rsidRDefault="00BD04FA">
      <w:pPr>
        <w:pStyle w:val="1"/>
      </w:pPr>
      <w:bookmarkStart w:id="17" w:name="_Toc63785503"/>
      <w:r>
        <w:rPr>
          <w:rFonts w:hint="eastAsia"/>
        </w:rPr>
        <w:t>其他工作要求</w:t>
      </w:r>
      <w:bookmarkEnd w:id="17"/>
    </w:p>
    <w:p w14:paraId="35ADD6F7" w14:textId="77777777" w:rsidR="004549BF" w:rsidRDefault="004549BF">
      <w:pPr>
        <w:keepNext/>
        <w:keepLines/>
        <w:numPr>
          <w:ilvl w:val="1"/>
          <w:numId w:val="3"/>
        </w:numPr>
        <w:tabs>
          <w:tab w:val="left" w:pos="360"/>
        </w:tabs>
        <w:spacing w:before="120" w:line="240" w:lineRule="auto"/>
        <w:ind w:left="0" w:firstLineChars="0" w:firstLine="0"/>
        <w:outlineLvl w:val="1"/>
        <w:rPr>
          <w:rFonts w:ascii="仿宋" w:eastAsia="仿宋" w:hAnsi="仿宋"/>
          <w:b/>
          <w:vanish/>
          <w:color w:val="000000"/>
          <w:sz w:val="28"/>
          <w:szCs w:val="20"/>
        </w:rPr>
      </w:pPr>
      <w:bookmarkStart w:id="18" w:name="_Toc63785504"/>
      <w:bookmarkStart w:id="19" w:name="_Toc63151871"/>
      <w:bookmarkStart w:id="20" w:name="_Toc61968111"/>
      <w:bookmarkStart w:id="21" w:name="_Toc63585480"/>
      <w:bookmarkStart w:id="22" w:name="_Toc63785439"/>
      <w:bookmarkStart w:id="23" w:name="_Toc63762370"/>
      <w:bookmarkStart w:id="24" w:name="_Toc62209488"/>
      <w:bookmarkStart w:id="25" w:name="_Toc62219358"/>
      <w:bookmarkEnd w:id="18"/>
      <w:bookmarkEnd w:id="19"/>
      <w:bookmarkEnd w:id="20"/>
      <w:bookmarkEnd w:id="21"/>
      <w:bookmarkEnd w:id="22"/>
      <w:bookmarkEnd w:id="23"/>
      <w:bookmarkEnd w:id="24"/>
      <w:bookmarkEnd w:id="25"/>
    </w:p>
    <w:p w14:paraId="691C8397" w14:textId="77777777" w:rsidR="004549BF" w:rsidRDefault="00BD04FA">
      <w:pPr>
        <w:pStyle w:val="2"/>
      </w:pPr>
      <w:bookmarkStart w:id="26" w:name="_Toc63785505"/>
      <w:r>
        <w:rPr>
          <w:rFonts w:hint="eastAsia"/>
        </w:rPr>
        <w:t>售后服务要求</w:t>
      </w:r>
      <w:bookmarkEnd w:id="26"/>
    </w:p>
    <w:p w14:paraId="05F12B19" w14:textId="77777777" w:rsidR="004549BF" w:rsidRDefault="00BD04FA">
      <w:pPr>
        <w:pStyle w:val="1f"/>
        <w:snapToGrid w:val="0"/>
        <w:spacing w:line="360" w:lineRule="auto"/>
        <w:ind w:firstLine="480"/>
        <w:rPr>
          <w:rFonts w:ascii="宋体" w:hAnsi="宋体"/>
          <w:sz w:val="24"/>
          <w:szCs w:val="24"/>
        </w:rPr>
      </w:pPr>
      <w:r>
        <w:rPr>
          <w:rFonts w:ascii="宋体" w:hAnsi="宋体" w:hint="eastAsia"/>
          <w:sz w:val="24"/>
          <w:szCs w:val="24"/>
        </w:rPr>
        <w:t>本项目从系统验收通过之日起1年内提供</w:t>
      </w:r>
      <w:r>
        <w:rPr>
          <w:rFonts w:ascii="宋体" w:hAnsi="宋体"/>
          <w:sz w:val="24"/>
          <w:szCs w:val="24"/>
        </w:rPr>
        <w:t>7*24小时免费技术支持</w:t>
      </w:r>
      <w:r>
        <w:rPr>
          <w:rFonts w:ascii="宋体" w:hAnsi="宋体" w:hint="eastAsia"/>
          <w:sz w:val="24"/>
          <w:szCs w:val="24"/>
        </w:rPr>
        <w:t>和售后服务，1年后进入有偿维护期。</w:t>
      </w:r>
    </w:p>
    <w:p w14:paraId="100F1F7F" w14:textId="77777777" w:rsidR="004549BF" w:rsidRDefault="00BD04FA">
      <w:pPr>
        <w:pStyle w:val="1f"/>
        <w:snapToGrid w:val="0"/>
        <w:spacing w:line="360" w:lineRule="auto"/>
        <w:ind w:firstLine="480"/>
        <w:rPr>
          <w:rFonts w:ascii="宋体" w:hAnsi="宋体"/>
          <w:sz w:val="24"/>
          <w:szCs w:val="24"/>
        </w:rPr>
      </w:pPr>
      <w:r>
        <w:rPr>
          <w:rFonts w:ascii="宋体" w:hAnsi="宋体" w:hint="eastAsia"/>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2F381491" w14:textId="77777777" w:rsidR="004549BF" w:rsidRDefault="00BD04FA">
      <w:pPr>
        <w:pStyle w:val="1f"/>
        <w:snapToGrid w:val="0"/>
        <w:spacing w:line="360" w:lineRule="auto"/>
        <w:ind w:firstLine="480"/>
        <w:rPr>
          <w:rFonts w:ascii="宋体" w:hAnsi="宋体"/>
          <w:sz w:val="24"/>
          <w:szCs w:val="24"/>
        </w:rPr>
      </w:pPr>
      <w:r>
        <w:rPr>
          <w:rFonts w:ascii="宋体" w:hAnsi="宋体" w:hint="eastAsia"/>
          <w:sz w:val="24"/>
          <w:szCs w:val="24"/>
        </w:rPr>
        <w:t>在质量保证期内，供应商负责信息系统的运行维护工作，确保信息系统安全、稳定、可靠地运行。本项目涉及的运行维护工作范围为：系统定期巡检、系统安全补丁升级、系统和应用漏洞修复、Bug修复、功能优化。</w:t>
      </w:r>
    </w:p>
    <w:p w14:paraId="1579D8D1" w14:textId="77777777" w:rsidR="004549BF" w:rsidRDefault="00BD04FA">
      <w:pPr>
        <w:pStyle w:val="2"/>
      </w:pPr>
      <w:bookmarkStart w:id="27" w:name="_Toc63785506"/>
      <w:r>
        <w:rPr>
          <w:rFonts w:hint="eastAsia"/>
        </w:rPr>
        <w:t>应急响应要求</w:t>
      </w:r>
      <w:bookmarkEnd w:id="27"/>
    </w:p>
    <w:p w14:paraId="7E7F911B" w14:textId="77777777" w:rsidR="004549BF" w:rsidRDefault="00BD04FA">
      <w:pPr>
        <w:pStyle w:val="1f"/>
        <w:snapToGrid w:val="0"/>
        <w:spacing w:line="360" w:lineRule="auto"/>
        <w:ind w:firstLine="480"/>
        <w:rPr>
          <w:rFonts w:ascii="宋体" w:hAnsi="宋体"/>
          <w:sz w:val="24"/>
          <w:szCs w:val="24"/>
        </w:rPr>
      </w:pPr>
      <w:r>
        <w:rPr>
          <w:rFonts w:ascii="宋体" w:hAnsi="宋体" w:hint="eastAsia"/>
          <w:sz w:val="24"/>
          <w:szCs w:val="24"/>
        </w:rPr>
        <w:t>供应商对系统故障应能够实时响应，若系统发生故障，接到通知后</w:t>
      </w:r>
      <w:r>
        <w:rPr>
          <w:rFonts w:ascii="宋体" w:hAnsi="宋体"/>
          <w:sz w:val="24"/>
          <w:szCs w:val="24"/>
        </w:rPr>
        <w:t>30分钟之内响应</w:t>
      </w:r>
      <w:r>
        <w:rPr>
          <w:rFonts w:ascii="宋体" w:hAnsi="宋体" w:hint="eastAsia"/>
          <w:sz w:val="24"/>
          <w:szCs w:val="24"/>
        </w:rPr>
        <w:t>。特殊故障与客户沟通协商后，按照协商的方式制定解决方案并进行处理。</w:t>
      </w:r>
    </w:p>
    <w:p w14:paraId="7EEEA813" w14:textId="77777777" w:rsidR="004549BF" w:rsidRDefault="00BD04FA">
      <w:pPr>
        <w:pStyle w:val="1f"/>
        <w:snapToGrid w:val="0"/>
        <w:spacing w:line="360" w:lineRule="auto"/>
        <w:ind w:firstLine="480"/>
        <w:rPr>
          <w:rFonts w:ascii="宋体" w:hAnsi="宋体"/>
          <w:sz w:val="24"/>
          <w:szCs w:val="24"/>
        </w:rPr>
      </w:pPr>
      <w:r>
        <w:rPr>
          <w:rFonts w:ascii="宋体" w:hAnsi="宋体" w:hint="eastAsia"/>
          <w:sz w:val="24"/>
          <w:szCs w:val="24"/>
        </w:rPr>
        <w:t>具体故障级别及对应的应急响应要求如下：</w:t>
      </w:r>
    </w:p>
    <w:p w14:paraId="24B2D711" w14:textId="77777777" w:rsidR="004549BF" w:rsidRDefault="00BD04FA">
      <w:pPr>
        <w:pStyle w:val="1f"/>
        <w:snapToGrid w:val="0"/>
        <w:spacing w:line="360" w:lineRule="auto"/>
        <w:ind w:firstLine="480"/>
        <w:rPr>
          <w:rFonts w:ascii="宋体" w:hAnsi="宋体"/>
          <w:sz w:val="24"/>
          <w:szCs w:val="24"/>
        </w:rPr>
      </w:pPr>
      <w:r>
        <w:rPr>
          <w:rFonts w:ascii="宋体" w:hAnsi="宋体" w:hint="eastAsia"/>
          <w:sz w:val="24"/>
          <w:szCs w:val="24"/>
        </w:rPr>
        <w:t>一级故障：在</w:t>
      </w:r>
      <w:r>
        <w:rPr>
          <w:rFonts w:ascii="宋体" w:hAnsi="宋体"/>
          <w:sz w:val="24"/>
          <w:szCs w:val="24"/>
        </w:rPr>
        <w:t>1小时内确诊，总故障解决时间不超过4小时。</w:t>
      </w:r>
    </w:p>
    <w:p w14:paraId="7BF16BE2" w14:textId="77777777" w:rsidR="004549BF" w:rsidRDefault="00BD04FA">
      <w:pPr>
        <w:pStyle w:val="1f"/>
        <w:snapToGrid w:val="0"/>
        <w:spacing w:line="360" w:lineRule="auto"/>
        <w:ind w:firstLine="480"/>
        <w:rPr>
          <w:rFonts w:ascii="宋体" w:hAnsi="宋体"/>
          <w:sz w:val="24"/>
          <w:szCs w:val="24"/>
        </w:rPr>
      </w:pPr>
      <w:r>
        <w:rPr>
          <w:rFonts w:ascii="宋体" w:hAnsi="宋体" w:hint="eastAsia"/>
          <w:sz w:val="24"/>
          <w:szCs w:val="24"/>
        </w:rPr>
        <w:t>二级故障：在</w:t>
      </w:r>
      <w:r>
        <w:rPr>
          <w:rFonts w:ascii="宋体" w:hAnsi="宋体"/>
          <w:sz w:val="24"/>
          <w:szCs w:val="24"/>
        </w:rPr>
        <w:t>2小时内确诊，</w:t>
      </w:r>
      <w:r>
        <w:rPr>
          <w:rFonts w:ascii="宋体" w:hAnsi="宋体" w:hint="eastAsia"/>
          <w:sz w:val="24"/>
          <w:szCs w:val="24"/>
        </w:rPr>
        <w:t>如不能远程解决，</w:t>
      </w:r>
      <w:r>
        <w:rPr>
          <w:rFonts w:ascii="宋体" w:hAnsi="宋体"/>
          <w:sz w:val="24"/>
          <w:szCs w:val="24"/>
        </w:rPr>
        <w:t>在4小时内由专家到达现场确诊并解决，总故障解决时间不超过8小时；</w:t>
      </w:r>
    </w:p>
    <w:p w14:paraId="77C4AC97" w14:textId="77777777" w:rsidR="004549BF" w:rsidRDefault="00BD04FA">
      <w:pPr>
        <w:pStyle w:val="1f"/>
        <w:snapToGrid w:val="0"/>
        <w:spacing w:line="360" w:lineRule="auto"/>
        <w:ind w:firstLine="480"/>
        <w:rPr>
          <w:rFonts w:ascii="宋体" w:hAnsi="宋体"/>
          <w:sz w:val="24"/>
          <w:szCs w:val="24"/>
        </w:rPr>
      </w:pPr>
      <w:r>
        <w:rPr>
          <w:rFonts w:ascii="宋体" w:hAnsi="宋体" w:hint="eastAsia"/>
          <w:sz w:val="24"/>
          <w:szCs w:val="24"/>
        </w:rPr>
        <w:t>三、四级故障：在</w:t>
      </w:r>
      <w:r>
        <w:rPr>
          <w:rFonts w:ascii="宋体" w:hAnsi="宋体"/>
          <w:sz w:val="24"/>
          <w:szCs w:val="24"/>
        </w:rPr>
        <w:t>4小时内确诊故障，总故障解决时间不超过16小时。</w:t>
      </w:r>
    </w:p>
    <w:p w14:paraId="4F1E27D9" w14:textId="77777777" w:rsidR="004549BF" w:rsidRDefault="00BD04FA">
      <w:pPr>
        <w:pStyle w:val="2"/>
      </w:pPr>
      <w:bookmarkStart w:id="28" w:name="_Toc63785507"/>
      <w:r>
        <w:rPr>
          <w:rFonts w:hint="eastAsia"/>
        </w:rPr>
        <w:t>培训要求</w:t>
      </w:r>
      <w:bookmarkEnd w:id="28"/>
    </w:p>
    <w:p w14:paraId="52EB8792" w14:textId="77777777" w:rsidR="004549BF" w:rsidRDefault="00BD04FA">
      <w:r>
        <w:rPr>
          <w:rFonts w:hint="eastAsia"/>
        </w:rPr>
        <w:t>对系统使用单位提供业务操作培训，应提供详细培训方案。</w:t>
      </w:r>
    </w:p>
    <w:p w14:paraId="30BCE0C7" w14:textId="77777777" w:rsidR="004549BF" w:rsidRDefault="00BD04FA">
      <w:r>
        <w:rPr>
          <w:rFonts w:hint="eastAsia"/>
        </w:rPr>
        <w:t>(1)在12个月的质量保证期内，提供2次与项目相关的必要培训。</w:t>
      </w:r>
    </w:p>
    <w:p w14:paraId="59080BFB" w14:textId="77777777" w:rsidR="004549BF" w:rsidRDefault="00BD04FA">
      <w:r>
        <w:rPr>
          <w:rFonts w:hint="eastAsia"/>
        </w:rPr>
        <w:lastRenderedPageBreak/>
        <w:t>(2)供应商需要开展分层次的人员培训工作，每次培训后应对参加培训人员进行测试，评估培训成果。培训应具有培训教材、培训环境和高水平的培训讲师。</w:t>
      </w:r>
    </w:p>
    <w:p w14:paraId="24C08649" w14:textId="77777777" w:rsidR="004549BF" w:rsidRDefault="00BD04FA">
      <w:r>
        <w:rPr>
          <w:rFonts w:hint="eastAsia"/>
        </w:rPr>
        <w:t>(3)供应商应提供一般用户的基础操作培训和部门信息管理员的日常应用维护的培训，确保用户对象能够掌握对应的操作技能。</w:t>
      </w:r>
    </w:p>
    <w:p w14:paraId="08EC59CB" w14:textId="77777777" w:rsidR="004549BF" w:rsidRDefault="00BD04FA">
      <w:pPr>
        <w:pStyle w:val="2"/>
      </w:pPr>
      <w:bookmarkStart w:id="29" w:name="_Toc63785508"/>
      <w:r>
        <w:rPr>
          <w:rFonts w:hint="eastAsia"/>
        </w:rPr>
        <w:t>验收要求</w:t>
      </w:r>
      <w:bookmarkEnd w:id="29"/>
    </w:p>
    <w:p w14:paraId="6E3D67DB" w14:textId="77777777" w:rsidR="004549BF" w:rsidRDefault="00BD04FA">
      <w:pPr>
        <w:rPr>
          <w:szCs w:val="21"/>
        </w:rPr>
      </w:pPr>
      <w:r>
        <w:rPr>
          <w:rFonts w:hint="eastAsia"/>
          <w:szCs w:val="21"/>
        </w:rPr>
        <w:t>本项目按下述方式开展验收。</w:t>
      </w:r>
    </w:p>
    <w:p w14:paraId="44C635B8" w14:textId="77777777" w:rsidR="004549BF" w:rsidRDefault="00BD04FA">
      <w:pPr>
        <w:rPr>
          <w:szCs w:val="21"/>
        </w:rPr>
      </w:pPr>
      <w:r>
        <w:rPr>
          <w:rFonts w:hint="eastAsia"/>
          <w:szCs w:val="21"/>
        </w:rPr>
        <w:t>（</w:t>
      </w:r>
      <w:r>
        <w:rPr>
          <w:szCs w:val="21"/>
        </w:rPr>
        <w:t>1）验收分初验和终验。</w:t>
      </w:r>
    </w:p>
    <w:p w14:paraId="0307A2BF" w14:textId="77777777" w:rsidR="004549BF" w:rsidRDefault="00BD04FA">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56FB3720" w14:textId="77777777" w:rsidR="004549BF" w:rsidRDefault="00BD04FA">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7E7EBA3D" w14:textId="77777777" w:rsidR="004549BF" w:rsidRDefault="00BD04FA">
      <w:pPr>
        <w:rPr>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5EBBB16A" w14:textId="77777777" w:rsidR="004549BF" w:rsidRDefault="00BD04FA">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rPr>
        <w:t>30</w:t>
      </w:r>
      <w:r>
        <w:rPr>
          <w:szCs w:val="21"/>
        </w:rPr>
        <w:t xml:space="preserve">     个工作日内发起组织专家验收会。</w:t>
      </w:r>
    </w:p>
    <w:p w14:paraId="61922811" w14:textId="77777777" w:rsidR="004549BF" w:rsidRDefault="00BD04FA">
      <w:pPr>
        <w:rPr>
          <w:szCs w:val="21"/>
        </w:rPr>
      </w:pPr>
      <w:r>
        <w:rPr>
          <w:rFonts w:hint="eastAsia"/>
          <w:szCs w:val="21"/>
        </w:rPr>
        <w:t>（6</w:t>
      </w:r>
      <w:r>
        <w:rPr>
          <w:szCs w:val="21"/>
        </w:rPr>
        <w:t>）如果属于供应商原因致使本项目未能通过终验，供应商应当排除缺陷，</w:t>
      </w:r>
      <w:r>
        <w:rPr>
          <w:szCs w:val="21"/>
        </w:rPr>
        <w:lastRenderedPageBreak/>
        <w:t>直至本项目完全符合验收标准，由上述情形而产生的相关费用应由供应商自行承担。</w:t>
      </w:r>
    </w:p>
    <w:p w14:paraId="3F17F7FB" w14:textId="77777777" w:rsidR="004549BF" w:rsidRDefault="00BD04FA">
      <w:pPr>
        <w:rPr>
          <w:szCs w:val="21"/>
        </w:rPr>
      </w:pPr>
      <w:r>
        <w:rPr>
          <w:rFonts w:hint="eastAsia"/>
          <w:szCs w:val="21"/>
        </w:rPr>
        <w:t>（7</w:t>
      </w:r>
      <w:r>
        <w:rPr>
          <w:szCs w:val="21"/>
        </w:rPr>
        <w:t>）如果由于招标方原因导致本项目在终验通过前出现故障或问题，供应商应及时配合排除该方面的故障或问题。</w:t>
      </w:r>
    </w:p>
    <w:p w14:paraId="15912FED" w14:textId="77777777" w:rsidR="004549BF" w:rsidRDefault="00BD04FA">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7DE86578" w14:textId="77777777" w:rsidR="004549BF" w:rsidRDefault="00BD04FA">
      <w:pPr>
        <w:pStyle w:val="2"/>
      </w:pPr>
      <w:bookmarkStart w:id="30" w:name="_Toc63785509"/>
      <w:r>
        <w:rPr>
          <w:rFonts w:hint="eastAsia"/>
        </w:rPr>
        <w:t>进度要求</w:t>
      </w:r>
      <w:bookmarkEnd w:id="30"/>
    </w:p>
    <w:p w14:paraId="5789ACA5" w14:textId="77777777" w:rsidR="004549BF" w:rsidRDefault="00BD04FA">
      <w:r>
        <w:rPr>
          <w:rFonts w:hint="eastAsia"/>
        </w:rPr>
        <w:t>投标人应根据建设内容，分阶段制定合理的时间进度，并且应根据招标方要求进行调整和细化。</w:t>
      </w:r>
    </w:p>
    <w:p w14:paraId="57B1201D" w14:textId="77777777" w:rsidR="004549BF" w:rsidRDefault="00BD04FA">
      <w:r>
        <w:rPr>
          <w:rFonts w:hint="eastAsia"/>
        </w:rPr>
        <w:t>总建设周期为8个月，分为四个阶段。</w:t>
      </w:r>
    </w:p>
    <w:p w14:paraId="4129E123" w14:textId="77777777" w:rsidR="004549BF" w:rsidRDefault="00BD04FA">
      <w:r>
        <w:rPr>
          <w:rFonts w:hint="eastAsia"/>
        </w:rPr>
        <w:t>第一阶段为1个月，完成系统招投标和商务合同。</w:t>
      </w:r>
    </w:p>
    <w:p w14:paraId="7EAEC511" w14:textId="77777777" w:rsidR="004549BF" w:rsidRDefault="00BD04FA">
      <w:r>
        <w:rPr>
          <w:rFonts w:hint="eastAsia"/>
        </w:rPr>
        <w:t>第二阶段为5个月，完成两个子系统开发测试。</w:t>
      </w:r>
    </w:p>
    <w:p w14:paraId="11CB16B6" w14:textId="77777777" w:rsidR="004549BF" w:rsidRDefault="00BD04FA">
      <w:pPr>
        <w:pStyle w:val="30"/>
        <w:ind w:leftChars="0" w:left="0"/>
      </w:pPr>
      <w:r>
        <w:rPr>
          <w:rFonts w:hint="eastAsia"/>
        </w:rPr>
        <w:t>第三阶段为1个月，完成系统试运行。</w:t>
      </w:r>
    </w:p>
    <w:p w14:paraId="37330F92" w14:textId="77777777" w:rsidR="004549BF" w:rsidRDefault="00BD04FA">
      <w:r>
        <w:rPr>
          <w:rFonts w:hint="eastAsia"/>
        </w:rPr>
        <w:t>第四阶段为1个月，完成系统验收。</w:t>
      </w:r>
    </w:p>
    <w:p w14:paraId="3CE92A82" w14:textId="77777777" w:rsidR="004549BF" w:rsidRDefault="00BD04FA">
      <w:pPr>
        <w:pStyle w:val="2"/>
      </w:pPr>
      <w:bookmarkStart w:id="31" w:name="_Toc63785510"/>
      <w:r>
        <w:rPr>
          <w:rFonts w:hint="eastAsia"/>
        </w:rPr>
        <w:t>项目团队人员要求</w:t>
      </w:r>
      <w:bookmarkEnd w:id="31"/>
    </w:p>
    <w:p w14:paraId="5810883B" w14:textId="77777777" w:rsidR="004549BF" w:rsidRDefault="00BD04FA">
      <w:r>
        <w:t>1）投标人须具有稳定的在职技术保障力量，能够提供及时的技术支援或服务，应针对本项目提供不少于</w:t>
      </w:r>
      <w:r>
        <w:rPr>
          <w:rFonts w:hint="eastAsia"/>
        </w:rPr>
        <w:t>10</w:t>
      </w:r>
      <w:r>
        <w:t>人的项目服务团队（包括项目经理、技术负责人、研发等），投标单位的相关服务人员需具备相应的服务能力，需提供相关证明。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265"/>
        <w:gridCol w:w="850"/>
        <w:gridCol w:w="2591"/>
        <w:gridCol w:w="1180"/>
      </w:tblGrid>
      <w:tr w:rsidR="004549BF" w14:paraId="7284CE1A" w14:textId="77777777" w:rsidTr="00CF0190">
        <w:trPr>
          <w:trHeight w:val="285"/>
          <w:jc w:val="center"/>
        </w:trPr>
        <w:tc>
          <w:tcPr>
            <w:tcW w:w="0" w:type="auto"/>
            <w:shd w:val="clear" w:color="auto" w:fill="auto"/>
            <w:noWrap/>
            <w:vAlign w:val="center"/>
          </w:tcPr>
          <w:p w14:paraId="0D471275" w14:textId="77777777" w:rsidR="004549BF" w:rsidRDefault="00BD04FA">
            <w:pPr>
              <w:widowControl/>
              <w:spacing w:line="240" w:lineRule="auto"/>
              <w:ind w:firstLineChars="0" w:firstLine="0"/>
              <w:jc w:val="center"/>
              <w:rPr>
                <w:b/>
              </w:rPr>
            </w:pPr>
            <w:r>
              <w:rPr>
                <w:rFonts w:hint="eastAsia"/>
                <w:b/>
              </w:rPr>
              <w:t>角色</w:t>
            </w:r>
          </w:p>
        </w:tc>
        <w:tc>
          <w:tcPr>
            <w:tcW w:w="2265" w:type="dxa"/>
            <w:shd w:val="clear" w:color="auto" w:fill="auto"/>
            <w:noWrap/>
            <w:vAlign w:val="center"/>
          </w:tcPr>
          <w:p w14:paraId="7A9BCFDE" w14:textId="77777777" w:rsidR="004549BF" w:rsidRDefault="00BD04FA">
            <w:pPr>
              <w:widowControl/>
              <w:spacing w:line="240" w:lineRule="auto"/>
              <w:ind w:firstLineChars="0" w:firstLine="0"/>
              <w:jc w:val="center"/>
              <w:rPr>
                <w:b/>
              </w:rPr>
            </w:pPr>
            <w:r>
              <w:rPr>
                <w:rFonts w:hint="eastAsia"/>
                <w:b/>
              </w:rPr>
              <w:t>主要职责</w:t>
            </w:r>
          </w:p>
        </w:tc>
        <w:tc>
          <w:tcPr>
            <w:tcW w:w="850" w:type="dxa"/>
            <w:shd w:val="clear" w:color="auto" w:fill="auto"/>
            <w:noWrap/>
            <w:vAlign w:val="center"/>
          </w:tcPr>
          <w:p w14:paraId="46826EC9" w14:textId="77777777" w:rsidR="004549BF" w:rsidRDefault="00BD04FA">
            <w:pPr>
              <w:widowControl/>
              <w:spacing w:line="240" w:lineRule="auto"/>
              <w:ind w:firstLineChars="0" w:firstLine="0"/>
              <w:jc w:val="center"/>
              <w:rPr>
                <w:b/>
              </w:rPr>
            </w:pPr>
            <w:r>
              <w:rPr>
                <w:rFonts w:hint="eastAsia"/>
                <w:b/>
              </w:rPr>
              <w:t>人员数量</w:t>
            </w:r>
          </w:p>
        </w:tc>
        <w:tc>
          <w:tcPr>
            <w:tcW w:w="2591" w:type="dxa"/>
            <w:vAlign w:val="center"/>
          </w:tcPr>
          <w:p w14:paraId="14E0E7AB" w14:textId="77777777" w:rsidR="004549BF" w:rsidRDefault="00BD04FA">
            <w:pPr>
              <w:widowControl/>
              <w:spacing w:line="240" w:lineRule="auto"/>
              <w:ind w:firstLineChars="0" w:firstLine="0"/>
              <w:jc w:val="center"/>
              <w:rPr>
                <w:b/>
              </w:rPr>
            </w:pPr>
            <w:r>
              <w:rPr>
                <w:rFonts w:hint="eastAsia"/>
                <w:b/>
              </w:rPr>
              <w:t>人员要求</w:t>
            </w:r>
          </w:p>
        </w:tc>
        <w:tc>
          <w:tcPr>
            <w:tcW w:w="0" w:type="auto"/>
            <w:shd w:val="clear" w:color="auto" w:fill="auto"/>
            <w:noWrap/>
            <w:vAlign w:val="center"/>
          </w:tcPr>
          <w:p w14:paraId="13244C03" w14:textId="77777777" w:rsidR="004549BF" w:rsidRDefault="00BD04FA">
            <w:pPr>
              <w:widowControl/>
              <w:spacing w:line="240" w:lineRule="auto"/>
              <w:ind w:firstLineChars="0" w:firstLine="0"/>
              <w:jc w:val="center"/>
              <w:rPr>
                <w:b/>
              </w:rPr>
            </w:pPr>
            <w:r>
              <w:rPr>
                <w:rFonts w:hint="eastAsia"/>
                <w:b/>
              </w:rPr>
              <w:t>驻场要求</w:t>
            </w:r>
          </w:p>
        </w:tc>
      </w:tr>
      <w:tr w:rsidR="004549BF" w14:paraId="68028022" w14:textId="77777777" w:rsidTr="00CF0190">
        <w:trPr>
          <w:trHeight w:val="285"/>
          <w:jc w:val="center"/>
        </w:trPr>
        <w:tc>
          <w:tcPr>
            <w:tcW w:w="0" w:type="auto"/>
            <w:shd w:val="clear" w:color="auto" w:fill="auto"/>
            <w:noWrap/>
            <w:vAlign w:val="center"/>
          </w:tcPr>
          <w:p w14:paraId="6BE3B26E" w14:textId="77777777" w:rsidR="004549BF" w:rsidRDefault="00BD04FA">
            <w:pPr>
              <w:widowControl/>
              <w:spacing w:line="240" w:lineRule="auto"/>
              <w:ind w:firstLineChars="0" w:firstLine="0"/>
              <w:jc w:val="center"/>
            </w:pPr>
            <w:r>
              <w:rPr>
                <w:rFonts w:hint="eastAsia"/>
              </w:rPr>
              <w:t>项目经理</w:t>
            </w:r>
          </w:p>
        </w:tc>
        <w:tc>
          <w:tcPr>
            <w:tcW w:w="2265" w:type="dxa"/>
            <w:shd w:val="clear" w:color="auto" w:fill="auto"/>
            <w:vAlign w:val="center"/>
          </w:tcPr>
          <w:p w14:paraId="194110E3" w14:textId="77777777" w:rsidR="004549BF" w:rsidRDefault="00BD04FA">
            <w:pPr>
              <w:widowControl/>
              <w:spacing w:line="240" w:lineRule="auto"/>
              <w:ind w:firstLineChars="0" w:firstLine="0"/>
              <w:jc w:val="center"/>
            </w:pPr>
            <w:r>
              <w:rPr>
                <w:rFonts w:hint="eastAsia"/>
              </w:rPr>
              <w:t>负责项目质量和进度控制</w:t>
            </w:r>
          </w:p>
        </w:tc>
        <w:tc>
          <w:tcPr>
            <w:tcW w:w="850" w:type="dxa"/>
            <w:shd w:val="clear" w:color="auto" w:fill="auto"/>
            <w:noWrap/>
            <w:vAlign w:val="center"/>
          </w:tcPr>
          <w:p w14:paraId="70318FBB" w14:textId="77777777" w:rsidR="004549BF" w:rsidRDefault="00BD04FA">
            <w:pPr>
              <w:widowControl/>
              <w:spacing w:line="240" w:lineRule="auto"/>
              <w:ind w:firstLineChars="0" w:firstLine="0"/>
              <w:jc w:val="center"/>
            </w:pPr>
            <w:r>
              <w:rPr>
                <w:rFonts w:hint="eastAsia"/>
              </w:rPr>
              <w:t>1人</w:t>
            </w:r>
          </w:p>
        </w:tc>
        <w:tc>
          <w:tcPr>
            <w:tcW w:w="2591" w:type="dxa"/>
            <w:vAlign w:val="center"/>
          </w:tcPr>
          <w:p w14:paraId="3863ECC6" w14:textId="77777777" w:rsidR="004549BF" w:rsidRDefault="003F00FB">
            <w:pPr>
              <w:widowControl/>
              <w:spacing w:line="240" w:lineRule="auto"/>
              <w:ind w:firstLineChars="0" w:firstLine="0"/>
              <w:jc w:val="center"/>
            </w:pPr>
            <w:r>
              <w:rPr>
                <w:rFonts w:hint="eastAsia"/>
              </w:rPr>
              <w:t>具有本科及以上学历，</w:t>
            </w:r>
            <w:r w:rsidR="00BD04FA">
              <w:rPr>
                <w:rFonts w:hint="eastAsia"/>
              </w:rPr>
              <w:t>五年</w:t>
            </w:r>
            <w:r>
              <w:rPr>
                <w:rFonts w:hint="eastAsia"/>
              </w:rPr>
              <w:t>及</w:t>
            </w:r>
            <w:r w:rsidR="00BD04FA">
              <w:rPr>
                <w:rFonts w:hint="eastAsia"/>
              </w:rPr>
              <w:t>以上</w:t>
            </w:r>
            <w:r>
              <w:rPr>
                <w:rFonts w:hint="eastAsia"/>
              </w:rPr>
              <w:t>类似</w:t>
            </w:r>
            <w:r w:rsidR="00BD04FA">
              <w:rPr>
                <w:rFonts w:hint="eastAsia"/>
              </w:rPr>
              <w:t>项目管理经验</w:t>
            </w:r>
          </w:p>
        </w:tc>
        <w:tc>
          <w:tcPr>
            <w:tcW w:w="0" w:type="auto"/>
            <w:shd w:val="clear" w:color="auto" w:fill="auto"/>
            <w:noWrap/>
            <w:vAlign w:val="center"/>
          </w:tcPr>
          <w:p w14:paraId="6C7F3ADF" w14:textId="77777777" w:rsidR="004549BF" w:rsidRDefault="00BD04FA">
            <w:pPr>
              <w:widowControl/>
              <w:spacing w:line="240" w:lineRule="auto"/>
              <w:ind w:firstLineChars="0" w:firstLine="0"/>
              <w:jc w:val="center"/>
            </w:pPr>
            <w:r>
              <w:rPr>
                <w:rFonts w:hint="eastAsia"/>
              </w:rPr>
              <w:t>驻场</w:t>
            </w:r>
          </w:p>
        </w:tc>
      </w:tr>
      <w:tr w:rsidR="004549BF" w14:paraId="0C56BE88" w14:textId="77777777" w:rsidTr="00CF0190">
        <w:trPr>
          <w:trHeight w:val="90"/>
          <w:jc w:val="center"/>
        </w:trPr>
        <w:tc>
          <w:tcPr>
            <w:tcW w:w="0" w:type="auto"/>
            <w:shd w:val="clear" w:color="auto" w:fill="auto"/>
            <w:noWrap/>
            <w:vAlign w:val="center"/>
          </w:tcPr>
          <w:p w14:paraId="42FA93C2" w14:textId="77777777" w:rsidR="004549BF" w:rsidRDefault="00BD04FA">
            <w:pPr>
              <w:widowControl/>
              <w:spacing w:line="240" w:lineRule="auto"/>
              <w:ind w:firstLineChars="0" w:firstLine="0"/>
              <w:jc w:val="center"/>
            </w:pPr>
            <w:r>
              <w:rPr>
                <w:rFonts w:hint="eastAsia"/>
              </w:rPr>
              <w:t>技术负责人</w:t>
            </w:r>
          </w:p>
        </w:tc>
        <w:tc>
          <w:tcPr>
            <w:tcW w:w="2265" w:type="dxa"/>
            <w:shd w:val="clear" w:color="auto" w:fill="auto"/>
            <w:vAlign w:val="center"/>
          </w:tcPr>
          <w:p w14:paraId="22035989" w14:textId="77777777" w:rsidR="004549BF" w:rsidRDefault="00BD04FA">
            <w:pPr>
              <w:widowControl/>
              <w:spacing w:line="240" w:lineRule="auto"/>
              <w:ind w:firstLineChars="0" w:firstLine="0"/>
              <w:jc w:val="center"/>
            </w:pPr>
            <w:r>
              <w:rPr>
                <w:rFonts w:hint="eastAsia"/>
              </w:rPr>
              <w:t>负责系统技术架构和设计</w:t>
            </w:r>
          </w:p>
        </w:tc>
        <w:tc>
          <w:tcPr>
            <w:tcW w:w="850" w:type="dxa"/>
            <w:shd w:val="clear" w:color="auto" w:fill="auto"/>
            <w:noWrap/>
            <w:vAlign w:val="center"/>
          </w:tcPr>
          <w:p w14:paraId="758EB15C" w14:textId="77777777" w:rsidR="004549BF" w:rsidRDefault="00BD04FA">
            <w:pPr>
              <w:widowControl/>
              <w:spacing w:line="240" w:lineRule="auto"/>
              <w:ind w:firstLineChars="0" w:firstLine="0"/>
              <w:jc w:val="center"/>
            </w:pPr>
            <w:r>
              <w:rPr>
                <w:rFonts w:hint="eastAsia"/>
              </w:rPr>
              <w:t>1人</w:t>
            </w:r>
          </w:p>
        </w:tc>
        <w:tc>
          <w:tcPr>
            <w:tcW w:w="2591" w:type="dxa"/>
            <w:vAlign w:val="center"/>
          </w:tcPr>
          <w:p w14:paraId="7E371965" w14:textId="4F38A302" w:rsidR="004549BF" w:rsidRDefault="003F00FB" w:rsidP="003F00FB">
            <w:pPr>
              <w:widowControl/>
              <w:spacing w:line="240" w:lineRule="auto"/>
              <w:ind w:firstLineChars="0" w:firstLine="0"/>
              <w:jc w:val="center"/>
            </w:pPr>
            <w:r>
              <w:rPr>
                <w:rFonts w:hint="eastAsia"/>
              </w:rPr>
              <w:t>具有</w:t>
            </w:r>
            <w:r w:rsidRPr="003F00FB">
              <w:rPr>
                <w:rFonts w:hint="eastAsia"/>
              </w:rPr>
              <w:t>硕士</w:t>
            </w:r>
            <w:r>
              <w:rPr>
                <w:rFonts w:hint="eastAsia"/>
              </w:rPr>
              <w:t>及以上学历，</w:t>
            </w:r>
            <w:r w:rsidR="00BD04FA">
              <w:rPr>
                <w:rFonts w:hint="eastAsia"/>
              </w:rPr>
              <w:t>具备</w:t>
            </w:r>
            <w:r w:rsidR="006B3457">
              <w:rPr>
                <w:rFonts w:hint="eastAsia"/>
              </w:rPr>
              <w:t>计算机相关高级职称</w:t>
            </w:r>
          </w:p>
        </w:tc>
        <w:tc>
          <w:tcPr>
            <w:tcW w:w="0" w:type="auto"/>
            <w:shd w:val="clear" w:color="auto" w:fill="auto"/>
            <w:noWrap/>
            <w:vAlign w:val="center"/>
          </w:tcPr>
          <w:p w14:paraId="22D62504" w14:textId="77777777" w:rsidR="004549BF" w:rsidRDefault="00BD04FA">
            <w:pPr>
              <w:widowControl/>
              <w:spacing w:line="240" w:lineRule="auto"/>
              <w:ind w:firstLineChars="0" w:firstLine="0"/>
              <w:jc w:val="center"/>
            </w:pPr>
            <w:r>
              <w:rPr>
                <w:rFonts w:hint="eastAsia"/>
              </w:rPr>
              <w:t>不驻场</w:t>
            </w:r>
          </w:p>
        </w:tc>
      </w:tr>
      <w:tr w:rsidR="004549BF" w14:paraId="0B3545EE" w14:textId="77777777" w:rsidTr="00CF0190">
        <w:trPr>
          <w:trHeight w:val="448"/>
          <w:jc w:val="center"/>
        </w:trPr>
        <w:tc>
          <w:tcPr>
            <w:tcW w:w="0" w:type="auto"/>
            <w:shd w:val="clear" w:color="auto" w:fill="auto"/>
            <w:noWrap/>
            <w:vAlign w:val="center"/>
          </w:tcPr>
          <w:p w14:paraId="76D82418" w14:textId="77777777" w:rsidR="004549BF" w:rsidRDefault="00BD04FA">
            <w:pPr>
              <w:widowControl/>
              <w:spacing w:line="240" w:lineRule="auto"/>
              <w:ind w:firstLineChars="0" w:firstLine="0"/>
              <w:jc w:val="center"/>
            </w:pPr>
            <w:r>
              <w:rPr>
                <w:rFonts w:hint="eastAsia"/>
              </w:rPr>
              <w:t>研发工程师</w:t>
            </w:r>
          </w:p>
        </w:tc>
        <w:tc>
          <w:tcPr>
            <w:tcW w:w="2265" w:type="dxa"/>
            <w:shd w:val="clear" w:color="auto" w:fill="auto"/>
            <w:noWrap/>
            <w:vAlign w:val="center"/>
          </w:tcPr>
          <w:p w14:paraId="5CEDB1DD" w14:textId="77777777" w:rsidR="004549BF" w:rsidRDefault="00BD04FA">
            <w:pPr>
              <w:widowControl/>
              <w:spacing w:line="240" w:lineRule="auto"/>
              <w:ind w:firstLineChars="0" w:firstLine="0"/>
              <w:jc w:val="center"/>
            </w:pPr>
            <w:r>
              <w:rPr>
                <w:rFonts w:hint="eastAsia"/>
              </w:rPr>
              <w:t>负责项目具体开发与实施</w:t>
            </w:r>
          </w:p>
        </w:tc>
        <w:tc>
          <w:tcPr>
            <w:tcW w:w="850" w:type="dxa"/>
            <w:shd w:val="clear" w:color="auto" w:fill="auto"/>
            <w:noWrap/>
            <w:vAlign w:val="center"/>
          </w:tcPr>
          <w:p w14:paraId="25CD62F3" w14:textId="77777777" w:rsidR="004549BF" w:rsidRDefault="00BD04FA">
            <w:pPr>
              <w:widowControl/>
              <w:spacing w:line="240" w:lineRule="auto"/>
              <w:ind w:firstLineChars="0" w:firstLine="0"/>
              <w:jc w:val="center"/>
            </w:pPr>
            <w:r>
              <w:rPr>
                <w:rFonts w:hint="eastAsia"/>
              </w:rPr>
              <w:t>8人</w:t>
            </w:r>
          </w:p>
        </w:tc>
        <w:tc>
          <w:tcPr>
            <w:tcW w:w="2591" w:type="dxa"/>
            <w:vAlign w:val="center"/>
          </w:tcPr>
          <w:p w14:paraId="5359BAD3" w14:textId="77777777" w:rsidR="004549BF" w:rsidRDefault="004549BF">
            <w:pPr>
              <w:widowControl/>
              <w:spacing w:line="240" w:lineRule="auto"/>
              <w:ind w:firstLineChars="0" w:firstLine="0"/>
              <w:jc w:val="center"/>
            </w:pPr>
          </w:p>
        </w:tc>
        <w:tc>
          <w:tcPr>
            <w:tcW w:w="0" w:type="auto"/>
            <w:shd w:val="clear" w:color="auto" w:fill="auto"/>
            <w:noWrap/>
            <w:vAlign w:val="center"/>
          </w:tcPr>
          <w:p w14:paraId="3461137C" w14:textId="77777777" w:rsidR="004549BF" w:rsidRDefault="00BD04FA">
            <w:pPr>
              <w:widowControl/>
              <w:spacing w:line="240" w:lineRule="auto"/>
              <w:ind w:firstLineChars="0" w:firstLine="0"/>
              <w:jc w:val="center"/>
            </w:pPr>
            <w:r>
              <w:rPr>
                <w:rFonts w:hint="eastAsia"/>
              </w:rPr>
              <w:t>不驻场</w:t>
            </w:r>
          </w:p>
        </w:tc>
      </w:tr>
    </w:tbl>
    <w:p w14:paraId="15C872B0" w14:textId="77777777" w:rsidR="004549BF" w:rsidRDefault="00BD04FA">
      <w:r>
        <w:t>2）投标人应针对本项目提供不少于</w:t>
      </w:r>
      <w:r>
        <w:rPr>
          <w:rFonts w:hint="eastAsia"/>
        </w:rPr>
        <w:t>6</w:t>
      </w:r>
      <w:r>
        <w:t>人的质保期间支撑团队（其中</w:t>
      </w:r>
      <w:r>
        <w:rPr>
          <w:rFonts w:hint="eastAsia"/>
        </w:rPr>
        <w:t>售后服务</w:t>
      </w:r>
      <w:r>
        <w:t>经理</w:t>
      </w:r>
      <w:r>
        <w:rPr>
          <w:rFonts w:hint="eastAsia"/>
        </w:rPr>
        <w:t>1</w:t>
      </w:r>
      <w:r>
        <w:t>人，</w:t>
      </w:r>
      <w:r>
        <w:rPr>
          <w:rFonts w:hint="eastAsia"/>
        </w:rPr>
        <w:t>安全工程师1</w:t>
      </w:r>
      <w:r>
        <w:t>人，</w:t>
      </w:r>
      <w:r>
        <w:rPr>
          <w:rFonts w:hint="eastAsia"/>
        </w:rPr>
        <w:t>软件</w:t>
      </w:r>
      <w:r>
        <w:t>工程师不少于</w:t>
      </w:r>
      <w:r>
        <w:rPr>
          <w:rFonts w:hint="eastAsia"/>
        </w:rPr>
        <w:t>4</w:t>
      </w:r>
      <w:r>
        <w:t>人）；投标人的相关服务人</w:t>
      </w:r>
      <w:bookmarkStart w:id="32" w:name="_GoBack"/>
      <w:bookmarkEnd w:id="32"/>
      <w:r>
        <w:lastRenderedPageBreak/>
        <w:t>员需具备相应的服务能力，需提供相关证明（最近一个季度依法缴纳社保费的证明）。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2025"/>
        <w:gridCol w:w="850"/>
        <w:gridCol w:w="2591"/>
        <w:gridCol w:w="1180"/>
      </w:tblGrid>
      <w:tr w:rsidR="004549BF" w14:paraId="13466569" w14:textId="77777777" w:rsidTr="00CF0190">
        <w:trPr>
          <w:trHeight w:val="285"/>
          <w:jc w:val="center"/>
        </w:trPr>
        <w:tc>
          <w:tcPr>
            <w:tcW w:w="1656" w:type="dxa"/>
            <w:shd w:val="clear" w:color="auto" w:fill="auto"/>
            <w:noWrap/>
            <w:vAlign w:val="center"/>
          </w:tcPr>
          <w:p w14:paraId="45E47865" w14:textId="77777777" w:rsidR="004549BF" w:rsidRDefault="00BD04FA">
            <w:pPr>
              <w:widowControl/>
              <w:spacing w:line="240" w:lineRule="auto"/>
              <w:ind w:firstLineChars="0" w:firstLine="0"/>
              <w:jc w:val="center"/>
              <w:rPr>
                <w:b/>
              </w:rPr>
            </w:pPr>
            <w:r>
              <w:rPr>
                <w:rFonts w:hint="eastAsia"/>
                <w:b/>
              </w:rPr>
              <w:t>角色</w:t>
            </w:r>
          </w:p>
        </w:tc>
        <w:tc>
          <w:tcPr>
            <w:tcW w:w="2025" w:type="dxa"/>
            <w:shd w:val="clear" w:color="auto" w:fill="auto"/>
            <w:noWrap/>
            <w:vAlign w:val="center"/>
          </w:tcPr>
          <w:p w14:paraId="68EB85D8" w14:textId="77777777" w:rsidR="004549BF" w:rsidRDefault="00BD04FA">
            <w:pPr>
              <w:widowControl/>
              <w:spacing w:line="240" w:lineRule="auto"/>
              <w:ind w:firstLineChars="0" w:firstLine="0"/>
              <w:jc w:val="center"/>
              <w:rPr>
                <w:b/>
              </w:rPr>
            </w:pPr>
            <w:r>
              <w:rPr>
                <w:rFonts w:hint="eastAsia"/>
                <w:b/>
              </w:rPr>
              <w:t>主要职责</w:t>
            </w:r>
          </w:p>
        </w:tc>
        <w:tc>
          <w:tcPr>
            <w:tcW w:w="850" w:type="dxa"/>
            <w:shd w:val="clear" w:color="auto" w:fill="auto"/>
            <w:noWrap/>
            <w:vAlign w:val="center"/>
          </w:tcPr>
          <w:p w14:paraId="2E7A906D" w14:textId="77777777" w:rsidR="004549BF" w:rsidRDefault="00BD04FA">
            <w:pPr>
              <w:widowControl/>
              <w:spacing w:line="240" w:lineRule="auto"/>
              <w:ind w:firstLineChars="0" w:firstLine="0"/>
              <w:jc w:val="center"/>
              <w:rPr>
                <w:b/>
              </w:rPr>
            </w:pPr>
            <w:r>
              <w:rPr>
                <w:rFonts w:hint="eastAsia"/>
                <w:b/>
              </w:rPr>
              <w:t>人员数量</w:t>
            </w:r>
          </w:p>
        </w:tc>
        <w:tc>
          <w:tcPr>
            <w:tcW w:w="2591" w:type="dxa"/>
            <w:vAlign w:val="center"/>
          </w:tcPr>
          <w:p w14:paraId="2F038116" w14:textId="77777777" w:rsidR="004549BF" w:rsidRDefault="00BD04FA">
            <w:pPr>
              <w:widowControl/>
              <w:spacing w:line="240" w:lineRule="auto"/>
              <w:ind w:firstLineChars="0" w:firstLine="0"/>
              <w:jc w:val="center"/>
              <w:rPr>
                <w:b/>
              </w:rPr>
            </w:pPr>
            <w:r>
              <w:rPr>
                <w:rFonts w:hint="eastAsia"/>
                <w:b/>
              </w:rPr>
              <w:t>人员要求</w:t>
            </w:r>
          </w:p>
        </w:tc>
        <w:tc>
          <w:tcPr>
            <w:tcW w:w="1180" w:type="dxa"/>
            <w:shd w:val="clear" w:color="auto" w:fill="auto"/>
            <w:noWrap/>
            <w:vAlign w:val="center"/>
          </w:tcPr>
          <w:p w14:paraId="347BFA84" w14:textId="77777777" w:rsidR="004549BF" w:rsidRDefault="00BD04FA">
            <w:pPr>
              <w:widowControl/>
              <w:spacing w:line="240" w:lineRule="auto"/>
              <w:ind w:firstLineChars="0" w:firstLine="0"/>
              <w:jc w:val="center"/>
              <w:rPr>
                <w:b/>
              </w:rPr>
            </w:pPr>
            <w:r>
              <w:rPr>
                <w:rFonts w:hint="eastAsia"/>
                <w:b/>
              </w:rPr>
              <w:t>驻场要求</w:t>
            </w:r>
          </w:p>
        </w:tc>
      </w:tr>
      <w:tr w:rsidR="004549BF" w14:paraId="68B02969" w14:textId="77777777" w:rsidTr="00CF0190">
        <w:trPr>
          <w:trHeight w:val="285"/>
          <w:jc w:val="center"/>
        </w:trPr>
        <w:tc>
          <w:tcPr>
            <w:tcW w:w="1656" w:type="dxa"/>
            <w:shd w:val="clear" w:color="auto" w:fill="auto"/>
            <w:noWrap/>
            <w:vAlign w:val="center"/>
          </w:tcPr>
          <w:p w14:paraId="0EAD1D40" w14:textId="77777777" w:rsidR="004549BF" w:rsidRDefault="00BD04FA">
            <w:pPr>
              <w:widowControl/>
              <w:spacing w:line="240" w:lineRule="auto"/>
              <w:ind w:firstLineChars="0" w:firstLine="0"/>
              <w:jc w:val="center"/>
            </w:pPr>
            <w:r>
              <w:rPr>
                <w:rFonts w:hint="eastAsia"/>
              </w:rPr>
              <w:t>售后服务经理</w:t>
            </w:r>
          </w:p>
        </w:tc>
        <w:tc>
          <w:tcPr>
            <w:tcW w:w="2025" w:type="dxa"/>
            <w:shd w:val="clear" w:color="auto" w:fill="auto"/>
            <w:vAlign w:val="center"/>
          </w:tcPr>
          <w:p w14:paraId="2247EB41" w14:textId="77777777" w:rsidR="004549BF" w:rsidRDefault="00BD04FA">
            <w:pPr>
              <w:widowControl/>
              <w:spacing w:line="240" w:lineRule="auto"/>
              <w:ind w:firstLineChars="0" w:firstLine="0"/>
              <w:jc w:val="center"/>
            </w:pPr>
            <w:r>
              <w:rPr>
                <w:rFonts w:hint="eastAsia"/>
              </w:rPr>
              <w:t>负责项目质量和进度控制</w:t>
            </w:r>
          </w:p>
        </w:tc>
        <w:tc>
          <w:tcPr>
            <w:tcW w:w="850" w:type="dxa"/>
            <w:shd w:val="clear" w:color="auto" w:fill="auto"/>
            <w:noWrap/>
            <w:vAlign w:val="center"/>
          </w:tcPr>
          <w:p w14:paraId="3C18EFA2" w14:textId="77777777" w:rsidR="004549BF" w:rsidRDefault="00BD04FA">
            <w:pPr>
              <w:widowControl/>
              <w:spacing w:line="240" w:lineRule="auto"/>
              <w:ind w:firstLineChars="0" w:firstLine="0"/>
              <w:jc w:val="center"/>
            </w:pPr>
            <w:r>
              <w:rPr>
                <w:rFonts w:hint="eastAsia"/>
              </w:rPr>
              <w:t>1人</w:t>
            </w:r>
          </w:p>
        </w:tc>
        <w:tc>
          <w:tcPr>
            <w:tcW w:w="2591" w:type="dxa"/>
            <w:vAlign w:val="center"/>
          </w:tcPr>
          <w:p w14:paraId="23ADFD95" w14:textId="77777777" w:rsidR="004549BF" w:rsidRDefault="003F00FB">
            <w:pPr>
              <w:widowControl/>
              <w:spacing w:line="240" w:lineRule="auto"/>
              <w:ind w:firstLineChars="0" w:firstLine="0"/>
              <w:jc w:val="center"/>
            </w:pPr>
            <w:r>
              <w:rPr>
                <w:rFonts w:hint="eastAsia"/>
              </w:rPr>
              <w:t>具有本科及以上学历，</w:t>
            </w:r>
            <w:r w:rsidR="00BD04FA">
              <w:rPr>
                <w:rFonts w:hint="eastAsia"/>
              </w:rPr>
              <w:t>具备计算机相关高级职称</w:t>
            </w:r>
          </w:p>
        </w:tc>
        <w:tc>
          <w:tcPr>
            <w:tcW w:w="1180" w:type="dxa"/>
            <w:shd w:val="clear" w:color="auto" w:fill="auto"/>
            <w:noWrap/>
            <w:vAlign w:val="center"/>
          </w:tcPr>
          <w:p w14:paraId="64E60DE6" w14:textId="77777777" w:rsidR="004549BF" w:rsidRDefault="00BD04FA">
            <w:pPr>
              <w:widowControl/>
              <w:spacing w:line="240" w:lineRule="auto"/>
              <w:ind w:firstLineChars="0" w:firstLine="0"/>
              <w:jc w:val="center"/>
            </w:pPr>
            <w:r>
              <w:rPr>
                <w:rFonts w:hint="eastAsia"/>
              </w:rPr>
              <w:t>不驻场</w:t>
            </w:r>
          </w:p>
        </w:tc>
      </w:tr>
      <w:tr w:rsidR="004549BF" w14:paraId="5B7DDC0D" w14:textId="77777777" w:rsidTr="00CF0190">
        <w:trPr>
          <w:trHeight w:val="285"/>
          <w:jc w:val="center"/>
        </w:trPr>
        <w:tc>
          <w:tcPr>
            <w:tcW w:w="1656" w:type="dxa"/>
            <w:shd w:val="clear" w:color="auto" w:fill="auto"/>
            <w:noWrap/>
            <w:vAlign w:val="center"/>
          </w:tcPr>
          <w:p w14:paraId="4931A0D2" w14:textId="77777777" w:rsidR="004549BF" w:rsidRDefault="00BD04FA">
            <w:pPr>
              <w:widowControl/>
              <w:spacing w:line="240" w:lineRule="auto"/>
              <w:ind w:firstLineChars="0" w:firstLine="0"/>
              <w:jc w:val="center"/>
            </w:pPr>
            <w:r>
              <w:rPr>
                <w:rFonts w:hint="eastAsia"/>
              </w:rPr>
              <w:t>安全工程师</w:t>
            </w:r>
          </w:p>
        </w:tc>
        <w:tc>
          <w:tcPr>
            <w:tcW w:w="2025" w:type="dxa"/>
            <w:shd w:val="clear" w:color="auto" w:fill="auto"/>
            <w:vAlign w:val="center"/>
          </w:tcPr>
          <w:p w14:paraId="0FF385EA" w14:textId="77777777" w:rsidR="004549BF" w:rsidRDefault="00BD04FA">
            <w:pPr>
              <w:widowControl/>
              <w:spacing w:line="240" w:lineRule="auto"/>
              <w:ind w:firstLineChars="0" w:firstLine="0"/>
              <w:jc w:val="center"/>
            </w:pPr>
            <w:r>
              <w:rPr>
                <w:rFonts w:hint="eastAsia"/>
              </w:rPr>
              <w:t>负责项目安全巡检和安全漏洞处理</w:t>
            </w:r>
          </w:p>
        </w:tc>
        <w:tc>
          <w:tcPr>
            <w:tcW w:w="850" w:type="dxa"/>
            <w:shd w:val="clear" w:color="auto" w:fill="auto"/>
            <w:noWrap/>
            <w:vAlign w:val="center"/>
          </w:tcPr>
          <w:p w14:paraId="0C650B86" w14:textId="77777777" w:rsidR="004549BF" w:rsidRDefault="00BD04FA">
            <w:pPr>
              <w:widowControl/>
              <w:spacing w:line="240" w:lineRule="auto"/>
              <w:ind w:firstLineChars="0" w:firstLine="0"/>
              <w:jc w:val="center"/>
            </w:pPr>
            <w:r>
              <w:rPr>
                <w:rFonts w:hint="eastAsia"/>
              </w:rPr>
              <w:t>1人</w:t>
            </w:r>
          </w:p>
        </w:tc>
        <w:tc>
          <w:tcPr>
            <w:tcW w:w="2591" w:type="dxa"/>
            <w:vAlign w:val="center"/>
          </w:tcPr>
          <w:p w14:paraId="1B77B8EC" w14:textId="2F0790A4" w:rsidR="004549BF" w:rsidRDefault="00BD04FA" w:rsidP="003F00FB">
            <w:pPr>
              <w:widowControl/>
              <w:spacing w:line="240" w:lineRule="auto"/>
              <w:ind w:firstLineChars="0" w:firstLine="0"/>
              <w:jc w:val="center"/>
            </w:pPr>
            <w:r>
              <w:rPr>
                <w:rFonts w:hint="eastAsia"/>
              </w:rPr>
              <w:t>需具备网络工程师</w:t>
            </w:r>
            <w:r w:rsidR="006B3457">
              <w:rPr>
                <w:rFonts w:hint="eastAsia"/>
              </w:rPr>
              <w:t>中级资格证书</w:t>
            </w:r>
            <w:r>
              <w:rPr>
                <w:rFonts w:hint="eastAsia"/>
              </w:rPr>
              <w:t>、信息安全工程师</w:t>
            </w:r>
          </w:p>
        </w:tc>
        <w:tc>
          <w:tcPr>
            <w:tcW w:w="1180" w:type="dxa"/>
            <w:shd w:val="clear" w:color="auto" w:fill="auto"/>
            <w:noWrap/>
            <w:vAlign w:val="center"/>
          </w:tcPr>
          <w:p w14:paraId="5AFDF3C6" w14:textId="77777777" w:rsidR="004549BF" w:rsidRDefault="00BD04FA">
            <w:pPr>
              <w:widowControl/>
              <w:spacing w:line="240" w:lineRule="auto"/>
              <w:ind w:firstLineChars="0" w:firstLine="0"/>
              <w:jc w:val="center"/>
            </w:pPr>
            <w:r>
              <w:rPr>
                <w:rFonts w:hint="eastAsia"/>
              </w:rPr>
              <w:t>不驻场</w:t>
            </w:r>
          </w:p>
        </w:tc>
      </w:tr>
      <w:tr w:rsidR="004549BF" w14:paraId="445E36FE" w14:textId="77777777" w:rsidTr="00CF0190">
        <w:trPr>
          <w:trHeight w:val="285"/>
          <w:jc w:val="center"/>
        </w:trPr>
        <w:tc>
          <w:tcPr>
            <w:tcW w:w="1656" w:type="dxa"/>
            <w:shd w:val="clear" w:color="auto" w:fill="auto"/>
            <w:noWrap/>
            <w:vAlign w:val="center"/>
          </w:tcPr>
          <w:p w14:paraId="066FD8DC" w14:textId="77777777" w:rsidR="004549BF" w:rsidRDefault="00BD04FA">
            <w:pPr>
              <w:widowControl/>
              <w:spacing w:line="240" w:lineRule="auto"/>
              <w:ind w:firstLineChars="0" w:firstLine="0"/>
              <w:jc w:val="center"/>
            </w:pPr>
            <w:r>
              <w:rPr>
                <w:rFonts w:hint="eastAsia"/>
              </w:rPr>
              <w:t>软件工程师</w:t>
            </w:r>
          </w:p>
        </w:tc>
        <w:tc>
          <w:tcPr>
            <w:tcW w:w="2025" w:type="dxa"/>
            <w:shd w:val="clear" w:color="auto" w:fill="auto"/>
            <w:noWrap/>
            <w:vAlign w:val="center"/>
          </w:tcPr>
          <w:p w14:paraId="0BDF2640" w14:textId="77777777" w:rsidR="004549BF" w:rsidRDefault="00BD04FA">
            <w:pPr>
              <w:widowControl/>
              <w:spacing w:line="240" w:lineRule="auto"/>
              <w:ind w:firstLineChars="0" w:firstLine="0"/>
              <w:jc w:val="center"/>
            </w:pPr>
            <w:r>
              <w:rPr>
                <w:rFonts w:hint="eastAsia"/>
              </w:rPr>
              <w:t>负责项目运行维护</w:t>
            </w:r>
          </w:p>
        </w:tc>
        <w:tc>
          <w:tcPr>
            <w:tcW w:w="850" w:type="dxa"/>
            <w:shd w:val="clear" w:color="auto" w:fill="auto"/>
            <w:noWrap/>
            <w:vAlign w:val="center"/>
          </w:tcPr>
          <w:p w14:paraId="0ACB0CD1" w14:textId="77777777" w:rsidR="004549BF" w:rsidRDefault="00BD04FA">
            <w:pPr>
              <w:widowControl/>
              <w:spacing w:line="240" w:lineRule="auto"/>
              <w:ind w:firstLineChars="0" w:firstLine="0"/>
              <w:jc w:val="center"/>
            </w:pPr>
            <w:r>
              <w:rPr>
                <w:rFonts w:hint="eastAsia"/>
              </w:rPr>
              <w:t>4人</w:t>
            </w:r>
          </w:p>
        </w:tc>
        <w:tc>
          <w:tcPr>
            <w:tcW w:w="2591" w:type="dxa"/>
            <w:vAlign w:val="center"/>
          </w:tcPr>
          <w:p w14:paraId="2AB75DCE" w14:textId="77777777" w:rsidR="004549BF" w:rsidRDefault="004549BF">
            <w:pPr>
              <w:widowControl/>
              <w:spacing w:line="240" w:lineRule="auto"/>
              <w:ind w:firstLineChars="0" w:firstLine="0"/>
              <w:jc w:val="center"/>
            </w:pPr>
          </w:p>
        </w:tc>
        <w:tc>
          <w:tcPr>
            <w:tcW w:w="1180" w:type="dxa"/>
            <w:shd w:val="clear" w:color="auto" w:fill="auto"/>
            <w:noWrap/>
            <w:vAlign w:val="center"/>
          </w:tcPr>
          <w:p w14:paraId="5796844C" w14:textId="77777777" w:rsidR="004549BF" w:rsidRDefault="00BD04FA">
            <w:pPr>
              <w:widowControl/>
              <w:spacing w:line="240" w:lineRule="auto"/>
              <w:ind w:firstLineChars="0" w:firstLine="0"/>
              <w:jc w:val="center"/>
            </w:pPr>
            <w:r>
              <w:rPr>
                <w:rFonts w:hint="eastAsia"/>
              </w:rPr>
              <w:t>不驻场</w:t>
            </w:r>
          </w:p>
        </w:tc>
      </w:tr>
    </w:tbl>
    <w:p w14:paraId="6D7090E0" w14:textId="77777777" w:rsidR="004549BF" w:rsidRDefault="00BD04FA">
      <w:pPr>
        <w:pStyle w:val="2"/>
      </w:pPr>
      <w:bookmarkStart w:id="33" w:name="_Toc63785511"/>
      <w:r>
        <w:rPr>
          <w:rFonts w:hint="eastAsia"/>
        </w:rPr>
        <w:t>软测、安测和密测</w:t>
      </w:r>
      <w:r>
        <w:t>要求</w:t>
      </w:r>
      <w:bookmarkEnd w:id="33"/>
    </w:p>
    <w:p w14:paraId="1272E314" w14:textId="77777777" w:rsidR="004549BF" w:rsidRDefault="00BD04FA">
      <w:pPr>
        <w:numPr>
          <w:ilvl w:val="0"/>
          <w:numId w:val="4"/>
        </w:numPr>
        <w:ind w:firstLineChars="374" w:firstLine="898"/>
      </w:pPr>
      <w:r>
        <w:rPr>
          <w:rFonts w:hint="eastAsia"/>
        </w:rPr>
        <w:t>拟建项目需要通过第三方软件测评和安全测评，中标方应协助并按照软测及安测要求完成项目建设；</w:t>
      </w:r>
    </w:p>
    <w:p w14:paraId="5C7E39ED" w14:textId="77777777" w:rsidR="004549BF" w:rsidRDefault="00BD04FA">
      <w:pPr>
        <w:numPr>
          <w:ilvl w:val="0"/>
          <w:numId w:val="4"/>
        </w:numPr>
        <w:ind w:firstLineChars="374" w:firstLine="898"/>
      </w:pPr>
      <w:r>
        <w:rPr>
          <w:rFonts w:hint="eastAsia"/>
        </w:rPr>
        <w:t>拟建项目按照商用密码应用第三级进行建设，中标方应协助并按照密测要求完成项目建设。</w:t>
      </w:r>
    </w:p>
    <w:p w14:paraId="718113C2" w14:textId="77777777" w:rsidR="004549BF" w:rsidRDefault="00BD04FA">
      <w:pPr>
        <w:pStyle w:val="2"/>
      </w:pPr>
      <w:r>
        <w:rPr>
          <w:rFonts w:hint="eastAsia"/>
        </w:rPr>
        <w:t>商业密码应用需求</w:t>
      </w:r>
    </w:p>
    <w:p w14:paraId="7FDFF16F" w14:textId="77777777" w:rsidR="004549BF" w:rsidRDefault="00BD04FA">
      <w:r>
        <w:rPr>
          <w:rFonts w:hint="eastAsia"/>
        </w:rPr>
        <w:t>信息系统需使用经检测认证的商用密码产品或服务，使用的商用密码算法、技术应遵循密码相关国家标准或行业标准。从物理和环境安全、网络和通信安全、设备和计算安全、应用和数据安全等四个层面采用密码技术措施，建立安全的秘钥管理方案，并采用有效的安全管理措施，对信息系统进行保护。</w:t>
      </w:r>
    </w:p>
    <w:p w14:paraId="4D3E282F" w14:textId="77777777" w:rsidR="004549BF" w:rsidRDefault="00BD04FA">
      <w:r>
        <w:rPr>
          <w:rFonts w:hint="eastAsia"/>
        </w:rPr>
        <w:t>根据密测要求，以国产算法为基础算力的服务器密码机为密码资源层，在密码资源层上层建设基础密码服务，包括但不限于安全认证网关服务、签名验签服务、证书认证服务等，对业务应用层提供密码支撑，提供包括：身份鉴别、传输保护、签名验签、数据加密等密码服务。</w:t>
      </w:r>
    </w:p>
    <w:p w14:paraId="64986C76" w14:textId="77777777" w:rsidR="004549BF" w:rsidRDefault="004549BF">
      <w:pPr>
        <w:pStyle w:val="30"/>
        <w:ind w:left="960"/>
      </w:pPr>
    </w:p>
    <w:p w14:paraId="4685DF75" w14:textId="77777777" w:rsidR="004549BF" w:rsidRDefault="00BD04FA">
      <w:pPr>
        <w:pStyle w:val="2"/>
      </w:pPr>
      <w:bookmarkStart w:id="34" w:name="_Toc63785512"/>
      <w:r>
        <w:rPr>
          <w:rFonts w:hint="eastAsia"/>
        </w:rPr>
        <w:t>技术文件要求</w:t>
      </w:r>
    </w:p>
    <w:p w14:paraId="18DA5742" w14:textId="77777777" w:rsidR="004549BF" w:rsidRDefault="00BD04FA">
      <w:r>
        <w:rPr>
          <w:rFonts w:hint="eastAsia"/>
        </w:rPr>
        <w:t>投标人提供的书面技术资料应能确保系统正常运行所需的管理、运营及维护有关的全套文件。技术文件应该全面、完整、详细。投标人提供的技术文件至少</w:t>
      </w:r>
      <w:r>
        <w:rPr>
          <w:rFonts w:hint="eastAsia"/>
        </w:rPr>
        <w:lastRenderedPageBreak/>
        <w:t>应包括：</w:t>
      </w:r>
    </w:p>
    <w:p w14:paraId="0B524AF5" w14:textId="77777777" w:rsidR="004549BF" w:rsidRDefault="00BD04FA">
      <w:r>
        <w:rPr>
          <w:rFonts w:hint="eastAsia"/>
        </w:rPr>
        <w:t>－</w:t>
      </w:r>
      <w:r>
        <w:t xml:space="preserve"> 系统说明文件； </w:t>
      </w:r>
    </w:p>
    <w:p w14:paraId="6F125385" w14:textId="77777777" w:rsidR="004549BF" w:rsidRDefault="00BD04FA">
      <w:r>
        <w:rPr>
          <w:rFonts w:hint="eastAsia"/>
        </w:rPr>
        <w:t>－</w:t>
      </w:r>
      <w:r>
        <w:t xml:space="preserve"> 技术手册(安装、测试、操作、维护、故障排除等)； </w:t>
      </w:r>
    </w:p>
    <w:p w14:paraId="2D1B1033" w14:textId="77777777" w:rsidR="004549BF" w:rsidRDefault="00BD04FA">
      <w:r>
        <w:rPr>
          <w:rFonts w:hint="eastAsia"/>
        </w:rPr>
        <w:t>－</w:t>
      </w:r>
      <w:r>
        <w:t xml:space="preserve"> 项目文档，应该包括：</w:t>
      </w:r>
    </w:p>
    <w:p w14:paraId="02494A2D" w14:textId="77777777" w:rsidR="004549BF" w:rsidRDefault="00BD04FA">
      <w:pPr>
        <w:ind w:left="360"/>
      </w:pPr>
      <w:r>
        <w:t>(1)软件需求说明书</w:t>
      </w:r>
    </w:p>
    <w:p w14:paraId="50AF4510" w14:textId="77777777" w:rsidR="004549BF" w:rsidRDefault="00BD04FA">
      <w:pPr>
        <w:ind w:left="360"/>
      </w:pPr>
      <w:r>
        <w:t>(2)</w:t>
      </w:r>
      <w:r>
        <w:tab/>
        <w:t>系统总体设计说明书</w:t>
      </w:r>
    </w:p>
    <w:p w14:paraId="6EF950CD" w14:textId="77777777" w:rsidR="004549BF" w:rsidRDefault="00BD04FA">
      <w:pPr>
        <w:ind w:left="360"/>
      </w:pPr>
      <w:r>
        <w:t>(3)</w:t>
      </w:r>
      <w:r>
        <w:tab/>
        <w:t>应用软件功能清单</w:t>
      </w:r>
    </w:p>
    <w:p w14:paraId="6D9DBF15" w14:textId="77777777" w:rsidR="004549BF" w:rsidRDefault="00BD04FA">
      <w:r>
        <w:rPr>
          <w:rFonts w:hint="eastAsia"/>
        </w:rPr>
        <w:t>提供全套技术文件纸介质</w:t>
      </w:r>
      <w:r>
        <w:t>3套以及电子文件1套。</w:t>
      </w:r>
    </w:p>
    <w:p w14:paraId="57B87726" w14:textId="79732DE5" w:rsidR="004549BF" w:rsidRDefault="00BD04FA">
      <w:pPr>
        <w:pStyle w:val="1"/>
      </w:pPr>
      <w:r>
        <w:rPr>
          <w:rFonts w:hint="eastAsia"/>
        </w:rPr>
        <w:t>供应商要求</w:t>
      </w:r>
    </w:p>
    <w:p w14:paraId="75D037A4" w14:textId="045DC310" w:rsidR="003F00FB" w:rsidRDefault="003F00FB"/>
    <w:p w14:paraId="4FF39380" w14:textId="77777777" w:rsidR="003F00FB" w:rsidRPr="003F00FB" w:rsidRDefault="003F00FB">
      <w:r w:rsidRPr="003F00FB">
        <w:rPr>
          <w:rFonts w:hint="eastAsia"/>
        </w:rPr>
        <w:t>供应商应当具有类似项目建设经验，通过</w:t>
      </w:r>
      <w:r w:rsidRPr="003F00FB">
        <w:t xml:space="preserve"> IS09001 质量管理体系认证、ISO20000 信息技术服务管理体系认证、ISO27001信息安全管理体系认证；具有软件企业认定证书</w:t>
      </w:r>
      <w:r w:rsidR="00AA7B3E">
        <w:rPr>
          <w:rFonts w:hint="eastAsia"/>
        </w:rPr>
        <w:t>的优先</w:t>
      </w:r>
      <w:r w:rsidRPr="003F00FB">
        <w:t>。</w:t>
      </w:r>
    </w:p>
    <w:p w14:paraId="4E6E7854" w14:textId="77777777" w:rsidR="004549BF" w:rsidRDefault="00BD04FA">
      <w:pPr>
        <w:pStyle w:val="1"/>
      </w:pPr>
      <w:r>
        <w:rPr>
          <w:rFonts w:hint="eastAsia"/>
        </w:rPr>
        <w:t>供应商管理要求</w:t>
      </w:r>
      <w:bookmarkEnd w:id="34"/>
    </w:p>
    <w:p w14:paraId="7F0B1EC1" w14:textId="77777777" w:rsidR="004549BF" w:rsidRDefault="00BD04FA">
      <w:pPr>
        <w:pStyle w:val="25"/>
        <w:ind w:firstLine="480"/>
        <w:rPr>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68A7D60F" w14:textId="77777777" w:rsidR="004549BF" w:rsidRDefault="00BD04FA">
      <w:pPr>
        <w:pStyle w:val="25"/>
        <w:ind w:firstLine="480"/>
        <w:rPr>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09CBF8B6" w14:textId="77777777" w:rsidR="004549BF" w:rsidRDefault="00BD04FA">
      <w:pPr>
        <w:pStyle w:val="25"/>
        <w:ind w:firstLine="480"/>
        <w:rPr>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711109DF" w14:textId="77777777" w:rsidR="004549BF" w:rsidRDefault="00BD04FA">
      <w:pPr>
        <w:pStyle w:val="25"/>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35B4B336" w14:textId="77777777" w:rsidR="004549BF" w:rsidRDefault="00BD04FA">
      <w:pPr>
        <w:pStyle w:val="25"/>
        <w:ind w:firstLine="480"/>
        <w:rPr>
          <w:sz w:val="24"/>
          <w:szCs w:val="24"/>
        </w:rPr>
      </w:pPr>
      <w:r>
        <w:rPr>
          <w:rFonts w:hint="eastAsia"/>
          <w:sz w:val="24"/>
          <w:szCs w:val="24"/>
        </w:rPr>
        <w:lastRenderedPageBreak/>
        <w:t>5、中标人在项目实施期间必须遵守采购人的规章制度并提供实施人员名单。</w:t>
      </w:r>
    </w:p>
    <w:p w14:paraId="704BFA8D" w14:textId="77777777" w:rsidR="004549BF" w:rsidRDefault="00BD04FA">
      <w:pPr>
        <w:pStyle w:val="25"/>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2DD7EE8E" w14:textId="77777777" w:rsidR="004549BF" w:rsidRDefault="00BD04FA">
      <w:pPr>
        <w:pStyle w:val="25"/>
        <w:ind w:firstLine="480"/>
      </w:pPr>
      <w:r>
        <w:rPr>
          <w:rFonts w:hint="eastAsia"/>
          <w:sz w:val="24"/>
          <w:szCs w:val="24"/>
        </w:rPr>
        <w:t>7、本项目软件开发及调试将纳入采购人的管理范围，中标人在此过程中须服从上述单位的管理协调。</w:t>
      </w:r>
    </w:p>
    <w:p w14:paraId="4FE796D3" w14:textId="77777777" w:rsidR="004549BF" w:rsidRDefault="00BD04FA">
      <w:pPr>
        <w:pStyle w:val="1"/>
      </w:pPr>
      <w:bookmarkStart w:id="35" w:name="_Toc63785513"/>
      <w:r>
        <w:rPr>
          <w:rFonts w:hint="eastAsia"/>
        </w:rPr>
        <w:t>关于转让和分包的规定</w:t>
      </w:r>
    </w:p>
    <w:p w14:paraId="0292034F" w14:textId="77777777" w:rsidR="004549BF" w:rsidRDefault="00BD04FA">
      <w:pPr>
        <w:spacing w:line="560" w:lineRule="exact"/>
      </w:pPr>
      <w:r>
        <w:rPr>
          <w:rFonts w:hint="eastAsia"/>
        </w:rPr>
        <w:t>项目不得转让，不得分包。</w:t>
      </w:r>
    </w:p>
    <w:p w14:paraId="36959B55" w14:textId="77777777" w:rsidR="004549BF" w:rsidRDefault="00BD04FA">
      <w:pPr>
        <w:pStyle w:val="1"/>
      </w:pPr>
      <w:r>
        <w:rPr>
          <w:rFonts w:hint="eastAsia"/>
        </w:rPr>
        <w:t>知识产权及保密要求</w:t>
      </w:r>
      <w:bookmarkEnd w:id="35"/>
    </w:p>
    <w:p w14:paraId="2474D71C" w14:textId="77777777" w:rsidR="004549BF" w:rsidRDefault="00BD04FA">
      <w:pPr>
        <w:ind w:firstLine="482"/>
        <w:rPr>
          <w:b/>
        </w:rPr>
      </w:pPr>
      <w:r>
        <w:rPr>
          <w:b/>
        </w:rPr>
        <w:t>1、中标人数据、文件、资料知识产权</w:t>
      </w:r>
    </w:p>
    <w:p w14:paraId="316D25BD" w14:textId="77777777" w:rsidR="004549BF" w:rsidRDefault="00BD04FA">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434D91F6" w14:textId="77777777" w:rsidR="004549BF" w:rsidRDefault="00BD04FA">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11E55D17" w14:textId="77777777" w:rsidR="004549BF" w:rsidRDefault="00BD04FA">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27310337" w14:textId="77777777" w:rsidR="004549BF" w:rsidRDefault="00BD04FA">
      <w:pPr>
        <w:ind w:firstLine="482"/>
        <w:rPr>
          <w:b/>
        </w:rPr>
      </w:pPr>
      <w:r>
        <w:rPr>
          <w:b/>
        </w:rPr>
        <w:t>2、项目保密要求</w:t>
      </w:r>
    </w:p>
    <w:p w14:paraId="1E550FE0" w14:textId="77777777" w:rsidR="004549BF" w:rsidRDefault="00BD04FA">
      <w:r>
        <w:rPr>
          <w:rFonts w:hint="eastAsia"/>
        </w:rPr>
        <w:lastRenderedPageBreak/>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404ED55F" w14:textId="77777777" w:rsidR="004549BF" w:rsidRDefault="00BD04FA">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2B5C84EA" w14:textId="77777777" w:rsidR="004549BF" w:rsidRDefault="00BD04FA">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1763D1F6" w14:textId="77777777" w:rsidR="004549BF" w:rsidRDefault="00BD04FA">
      <w:r>
        <w:rPr>
          <w:rFonts w:hint="eastAsia"/>
        </w:rPr>
        <w:t>以上内容的保密期限自中标人知悉保密信息起始至保密信息被合法公开之日止。</w:t>
      </w:r>
    </w:p>
    <w:p w14:paraId="6B7A92BF" w14:textId="77777777" w:rsidR="004549BF" w:rsidRDefault="00BD04FA">
      <w:pPr>
        <w:ind w:firstLine="482"/>
        <w:rPr>
          <w:b/>
        </w:rPr>
      </w:pPr>
      <w:r>
        <w:rPr>
          <w:b/>
        </w:rPr>
        <w:t>3、临时账号等使用要求</w:t>
      </w:r>
    </w:p>
    <w:p w14:paraId="585C950F" w14:textId="77777777" w:rsidR="004549BF" w:rsidRDefault="00BD04FA">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72CF3B09" w14:textId="77777777" w:rsidR="004549BF" w:rsidRDefault="00BD04FA">
      <w:pPr>
        <w:pStyle w:val="1"/>
      </w:pPr>
      <w:bookmarkStart w:id="36" w:name="_Toc65170093"/>
      <w:r>
        <w:t>项目的变更、解除和终止</w:t>
      </w:r>
    </w:p>
    <w:p w14:paraId="1318B944" w14:textId="77777777" w:rsidR="004549BF" w:rsidRDefault="00BD04FA">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368815E2" w14:textId="77777777" w:rsidR="004549BF" w:rsidRDefault="00BD04FA">
      <w:r>
        <w:rPr>
          <w:rFonts w:hint="eastAsia"/>
        </w:rPr>
        <w:t>如遇国家、行业管理部门等机构的有关标准和规定调整的，导致本项目内容须做相应调整时，双方应按照公平、合理的原则共同协商修改本项目对应的合同的相关条款。</w:t>
      </w:r>
    </w:p>
    <w:p w14:paraId="1DBC5113" w14:textId="77777777" w:rsidR="004549BF" w:rsidRDefault="00BD04FA">
      <w:pPr>
        <w:pStyle w:val="1"/>
      </w:pPr>
      <w:r>
        <w:rPr>
          <w:rFonts w:hint="eastAsia"/>
        </w:rPr>
        <w:lastRenderedPageBreak/>
        <w:t>违约责任</w:t>
      </w:r>
      <w:bookmarkEnd w:id="36"/>
    </w:p>
    <w:p w14:paraId="5C7F14CD" w14:textId="77777777" w:rsidR="004549BF" w:rsidRDefault="00BD04FA">
      <w:pPr>
        <w:pStyle w:val="aff1"/>
        <w:ind w:firstLine="482"/>
        <w:rPr>
          <w:rFonts w:ascii="宋体" w:hAnsi="宋体"/>
          <w:b/>
          <w:kern w:val="2"/>
          <w:lang w:bidi="ar-SA"/>
        </w:rPr>
      </w:pPr>
      <w:r>
        <w:rPr>
          <w:rFonts w:ascii="宋体" w:hAnsi="宋体" w:hint="eastAsia"/>
          <w:b/>
          <w:kern w:val="2"/>
          <w:lang w:bidi="ar-SA"/>
        </w:rPr>
        <w:t>明确项目违约责任，可根据实际情况调整违约金比例。</w:t>
      </w:r>
    </w:p>
    <w:p w14:paraId="124DE094" w14:textId="77777777" w:rsidR="004549BF" w:rsidRDefault="00BD04FA">
      <w:pPr>
        <w:pStyle w:val="aff1"/>
        <w:ind w:firstLine="482"/>
        <w:rPr>
          <w:rFonts w:ascii="宋体" w:hAnsi="宋体"/>
          <w:b/>
          <w:kern w:val="2"/>
          <w:lang w:bidi="ar-SA"/>
        </w:rPr>
      </w:pPr>
      <w:r>
        <w:rPr>
          <w:rFonts w:ascii="宋体" w:hAnsi="宋体" w:hint="eastAsia"/>
          <w:b/>
          <w:kern w:val="2"/>
          <w:lang w:bidi="ar-SA"/>
        </w:rPr>
        <w:t>参考如下：</w:t>
      </w:r>
    </w:p>
    <w:p w14:paraId="50AD5B04" w14:textId="77777777" w:rsidR="004549BF" w:rsidRDefault="00BD04FA">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25898CB6" w14:textId="77777777" w:rsidR="004549BF" w:rsidRDefault="00BD04FA">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14:paraId="28E7D6F2" w14:textId="77777777" w:rsidR="004549BF" w:rsidRDefault="00BD04FA">
      <w:r>
        <w:t>3、中标人有其他违反本项目合同约定的行为，中标人应当支付本项目总价款金额的20%作为违约金，违约金不足以弥补采购人损失的，采购人有权要求中标人赔偿超过部分。</w:t>
      </w:r>
    </w:p>
    <w:p w14:paraId="612DB790" w14:textId="77777777" w:rsidR="004549BF" w:rsidRDefault="00BD04FA">
      <w:r>
        <w:t>4、中标人有下列情形之一，采购人有权解除合同：</w:t>
      </w:r>
    </w:p>
    <w:p w14:paraId="31E7EB40" w14:textId="77777777" w:rsidR="004549BF" w:rsidRDefault="00BD04FA">
      <w:r>
        <w:rPr>
          <w:rFonts w:hint="eastAsia"/>
        </w:rPr>
        <w:t>（1</w:t>
      </w:r>
      <w:r>
        <w:t>）因中标人服务质量问题导致采购人无法实现目的；</w:t>
      </w:r>
    </w:p>
    <w:p w14:paraId="2938CB38" w14:textId="77777777" w:rsidR="004549BF" w:rsidRDefault="00BD04FA">
      <w:r>
        <w:rPr>
          <w:rFonts w:hint="eastAsia"/>
        </w:rPr>
        <w:t>（2</w:t>
      </w:r>
      <w:r>
        <w:t>）擅自转让或者分包其应履行的义务的；</w:t>
      </w:r>
    </w:p>
    <w:p w14:paraId="02D8FC70" w14:textId="77777777" w:rsidR="004549BF" w:rsidRDefault="00BD04FA">
      <w:r>
        <w:rPr>
          <w:rFonts w:hint="eastAsia"/>
        </w:rPr>
        <w:t>（3</w:t>
      </w:r>
      <w:r>
        <w:t>）违反或者未履行本项目合同约定的其他相关义务，且在采购人要求的合理时间内未能纠正的。</w:t>
      </w:r>
    </w:p>
    <w:p w14:paraId="5732E953" w14:textId="0B94A0AF" w:rsidR="004549BF" w:rsidRDefault="004549BF">
      <w:pPr>
        <w:rPr>
          <w:i/>
          <w:iCs/>
          <w:color w:val="FF0000"/>
        </w:rPr>
      </w:pPr>
    </w:p>
    <w:sectPr w:rsidR="004549BF">
      <w:footerReference w:type="first" r:id="rId13"/>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7F9E4" w14:textId="77777777" w:rsidR="002C35A0" w:rsidRDefault="002C35A0">
      <w:pPr>
        <w:spacing w:line="240" w:lineRule="auto"/>
      </w:pPr>
      <w:r>
        <w:separator/>
      </w:r>
    </w:p>
  </w:endnote>
  <w:endnote w:type="continuationSeparator" w:id="0">
    <w:p w14:paraId="3E07C923" w14:textId="77777777" w:rsidR="002C35A0" w:rsidRDefault="002C3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7FFAEFF" w:usb1="F9DFFFFF" w:usb2="0000007F" w:usb3="00000000" w:csb0="203F01FF" w:csb1="DFFF0000"/>
  </w:font>
  <w:font w:name="等线 Light">
    <w:panose1 w:val="02010600030101010101"/>
    <w:charset w:val="86"/>
    <w:family w:val="auto"/>
    <w:pitch w:val="variable"/>
    <w:sig w:usb0="A00002BF" w:usb1="38CF7CFA" w:usb2="00000016" w:usb3="00000000" w:csb0="0004000F" w:csb1="00000000"/>
  </w:font>
  <w:font w:name="time">
    <w:altName w:val="宋体"/>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9274E" w14:textId="77777777" w:rsidR="00CF0190" w:rsidRDefault="00CF0190"/>
  <w:p w14:paraId="5795AC7B" w14:textId="77777777" w:rsidR="00CF0190" w:rsidRDefault="00CF019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AE4" w14:textId="3CD99D45" w:rsidR="00CF0190" w:rsidRDefault="00CF0190">
    <w:pPr>
      <w:ind w:firstLineChars="0" w:firstLine="0"/>
      <w:jc w:val="center"/>
    </w:pPr>
    <w:r>
      <w:fldChar w:fldCharType="begin"/>
    </w:r>
    <w:r>
      <w:instrText>PAGE   \* MERGEFORMAT</w:instrText>
    </w:r>
    <w:r>
      <w:fldChar w:fldCharType="separate"/>
    </w:r>
    <w:r w:rsidR="00E27069" w:rsidRPr="00E27069">
      <w:rPr>
        <w:noProof/>
        <w:lang w:val="zh-CN"/>
      </w:rPr>
      <w:t>41</w:t>
    </w:r>
    <w:r>
      <w:rPr>
        <w:lang w:val="zh-CN"/>
      </w:rPr>
      <w:fldChar w:fldCharType="end"/>
    </w:r>
  </w:p>
  <w:p w14:paraId="732795F5" w14:textId="77777777" w:rsidR="00CF0190" w:rsidRDefault="00CF019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FBE8" w14:textId="77777777" w:rsidR="00CF0190" w:rsidRDefault="00CF0190">
    <w:pPr>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1B3DF" w14:textId="3A2120CC" w:rsidR="00CF0190" w:rsidRDefault="00CF0190">
    <w:pPr>
      <w:ind w:firstLineChars="0" w:firstLine="0"/>
      <w:jc w:val="center"/>
      <w:rPr>
        <w:lang w:val="zh-CN"/>
      </w:rPr>
    </w:pPr>
    <w:r>
      <w:rPr>
        <w:lang w:val="zh-CN"/>
      </w:rPr>
      <w:fldChar w:fldCharType="begin"/>
    </w:r>
    <w:r>
      <w:rPr>
        <w:lang w:val="zh-CN"/>
      </w:rPr>
      <w:instrText>PAGE   \* MERGEFORMAT</w:instrText>
    </w:r>
    <w:r>
      <w:rPr>
        <w:lang w:val="zh-CN"/>
      </w:rPr>
      <w:fldChar w:fldCharType="separate"/>
    </w:r>
    <w:r w:rsidR="00E27069">
      <w:rPr>
        <w:noProof/>
        <w:lang w:val="zh-CN"/>
      </w:rPr>
      <w:t>1</w:t>
    </w:r>
    <w:r>
      <w:rPr>
        <w:lang w:val="zh-CN"/>
      </w:rPr>
      <w:fldChar w:fldCharType="end"/>
    </w:r>
  </w:p>
  <w:p w14:paraId="26DE3F7D" w14:textId="77777777" w:rsidR="00CF0190" w:rsidRDefault="00CF01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346E" w14:textId="77777777" w:rsidR="002C35A0" w:rsidRDefault="002C35A0">
      <w:r>
        <w:separator/>
      </w:r>
    </w:p>
  </w:footnote>
  <w:footnote w:type="continuationSeparator" w:id="0">
    <w:p w14:paraId="05DE638C" w14:textId="77777777" w:rsidR="002C35A0" w:rsidRDefault="002C3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00A1" w14:textId="77777777" w:rsidR="00CF0190" w:rsidRDefault="00CF0190"/>
  <w:p w14:paraId="5C16E5A5" w14:textId="77777777" w:rsidR="00CF0190" w:rsidRDefault="00CF01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F302" w14:textId="77777777" w:rsidR="00CF0190" w:rsidRDefault="00CF0190">
    <w:pPr>
      <w:pStyle w:val="af0"/>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6A98" w14:textId="77777777" w:rsidR="00CF0190" w:rsidRDefault="00CF0190">
    <w:pPr>
      <w:pStyle w:val="af0"/>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BCC7CA"/>
    <w:multiLevelType w:val="singleLevel"/>
    <w:tmpl w:val="8ABCC7CA"/>
    <w:lvl w:ilvl="0">
      <w:start w:val="1"/>
      <w:numFmt w:val="decimal"/>
      <w:lvlText w:val="%1)"/>
      <w:lvlJc w:val="left"/>
      <w:pPr>
        <w:ind w:left="425" w:hanging="425"/>
      </w:pPr>
      <w:rPr>
        <w:rFonts w:hint="default"/>
      </w:rPr>
    </w:lvl>
  </w:abstractNum>
  <w:abstractNum w:abstractNumId="1" w15:restartNumberingAfterBreak="0">
    <w:nsid w:val="F158FC05"/>
    <w:multiLevelType w:val="singleLevel"/>
    <w:tmpl w:val="F158FC05"/>
    <w:lvl w:ilvl="0">
      <w:start w:val="1"/>
      <w:numFmt w:val="decimal"/>
      <w:suff w:val="nothing"/>
      <w:lvlText w:val="（%1）"/>
      <w:lvlJc w:val="left"/>
    </w:lvl>
  </w:abstractNum>
  <w:abstractNum w:abstractNumId="2" w15:restartNumberingAfterBreak="0">
    <w:nsid w:val="175C41C3"/>
    <w:multiLevelType w:val="singleLevel"/>
    <w:tmpl w:val="175C41C3"/>
    <w:lvl w:ilvl="0">
      <w:start w:val="1"/>
      <w:numFmt w:val="decimal"/>
      <w:suff w:val="nothing"/>
      <w:lvlText w:val="%1、"/>
      <w:lvlJc w:val="left"/>
    </w:lvl>
  </w:abstractNum>
  <w:abstractNum w:abstractNumId="3" w15:restartNumberingAfterBreak="0">
    <w:nsid w:val="6350366A"/>
    <w:multiLevelType w:val="multilevel"/>
    <w:tmpl w:val="6350366A"/>
    <w:lvl w:ilvl="0">
      <w:start w:val="1"/>
      <w:numFmt w:val="none"/>
      <w:pStyle w:val="a"/>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pStyle w:val="3"/>
      <w:isLgl/>
      <w:suff w:val="nothing"/>
      <w:lvlText w:val="%1.%2.%3、"/>
      <w:lvlJc w:val="left"/>
      <w:pPr>
        <w:ind w:left="1069" w:hanging="1069"/>
      </w:pPr>
      <w:rPr>
        <w:rFonts w:ascii="宋体" w:eastAsia="宋体" w:hAnsi="宋体" w:cs="Arial" w:hint="default"/>
      </w:rPr>
    </w:lvl>
    <w:lvl w:ilvl="3">
      <w:start w:val="1"/>
      <w:numFmt w:val="decimal"/>
      <w:pStyle w:val="4"/>
      <w:isLgl/>
      <w:suff w:val="nothing"/>
      <w:lvlText w:val="%1.%2.%3.%4、"/>
      <w:lvlJc w:val="left"/>
      <w:pPr>
        <w:ind w:left="3403" w:hanging="851"/>
      </w:pPr>
    </w:lvl>
    <w:lvl w:ilvl="4">
      <w:start w:val="1"/>
      <w:numFmt w:val="decimal"/>
      <w:pStyle w:val="5"/>
      <w:isLgl/>
      <w:suff w:val="nothing"/>
      <w:lvlText w:val="%1.%2.%3.%4.%5、"/>
      <w:lvlJc w:val="left"/>
      <w:pPr>
        <w:ind w:left="3544" w:hanging="992"/>
      </w:pPr>
      <w:rPr>
        <w:rFonts w:hint="eastAsia"/>
      </w:rPr>
    </w:lvl>
    <w:lvl w:ilvl="5">
      <w:start w:val="1"/>
      <w:numFmt w:val="decimal"/>
      <w:pStyle w:val="6"/>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abstractNum w:abstractNumId="5" w15:restartNumberingAfterBreak="0">
    <w:nsid w:val="6C7F0754"/>
    <w:multiLevelType w:val="singleLevel"/>
    <w:tmpl w:val="6C7F0754"/>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ODBjNzk2N2JhYWFjYmQxODc2NTQwNmE0OWZhZWM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35A0"/>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00FB"/>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49BF"/>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87F36"/>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144"/>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1A9"/>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3457"/>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1E4"/>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0D8"/>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321"/>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311"/>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A7B3E"/>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4DF0"/>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4FA"/>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06D5"/>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0190"/>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1BA0"/>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069"/>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4EF3"/>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36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3B0A"/>
    <w:rsid w:val="00FF408B"/>
    <w:rsid w:val="00FF43E1"/>
    <w:rsid w:val="03430854"/>
    <w:rsid w:val="039F5FA6"/>
    <w:rsid w:val="066A1981"/>
    <w:rsid w:val="08734EF4"/>
    <w:rsid w:val="09305ADA"/>
    <w:rsid w:val="0D2A3ABE"/>
    <w:rsid w:val="0DE77F12"/>
    <w:rsid w:val="0E2D4AF4"/>
    <w:rsid w:val="0E772366"/>
    <w:rsid w:val="0E8013B7"/>
    <w:rsid w:val="10D604C6"/>
    <w:rsid w:val="11345598"/>
    <w:rsid w:val="11B515E0"/>
    <w:rsid w:val="12192F78"/>
    <w:rsid w:val="125E6220"/>
    <w:rsid w:val="13A53267"/>
    <w:rsid w:val="13A76B64"/>
    <w:rsid w:val="13F970D2"/>
    <w:rsid w:val="14AA4136"/>
    <w:rsid w:val="163A420B"/>
    <w:rsid w:val="19413B26"/>
    <w:rsid w:val="1A694BBF"/>
    <w:rsid w:val="1A756CC1"/>
    <w:rsid w:val="1BA01953"/>
    <w:rsid w:val="1C6D3688"/>
    <w:rsid w:val="1CC63D0A"/>
    <w:rsid w:val="1DC2081A"/>
    <w:rsid w:val="1DD94266"/>
    <w:rsid w:val="1E5173A4"/>
    <w:rsid w:val="1EF65EF6"/>
    <w:rsid w:val="1F5C55EB"/>
    <w:rsid w:val="1F9D0947"/>
    <w:rsid w:val="1FFB29C6"/>
    <w:rsid w:val="22590969"/>
    <w:rsid w:val="22AF3620"/>
    <w:rsid w:val="22E70AD4"/>
    <w:rsid w:val="24F1508D"/>
    <w:rsid w:val="254707B6"/>
    <w:rsid w:val="262048F2"/>
    <w:rsid w:val="266F634F"/>
    <w:rsid w:val="273C17A5"/>
    <w:rsid w:val="291059EA"/>
    <w:rsid w:val="2BBF12EC"/>
    <w:rsid w:val="2BC649D9"/>
    <w:rsid w:val="2DAA2C73"/>
    <w:rsid w:val="2F562170"/>
    <w:rsid w:val="2FB119F4"/>
    <w:rsid w:val="31216E03"/>
    <w:rsid w:val="33167399"/>
    <w:rsid w:val="3515160D"/>
    <w:rsid w:val="393B1706"/>
    <w:rsid w:val="3C7D00D8"/>
    <w:rsid w:val="3CA06C0C"/>
    <w:rsid w:val="3CB763D2"/>
    <w:rsid w:val="3EA25851"/>
    <w:rsid w:val="3F6C3757"/>
    <w:rsid w:val="402E4618"/>
    <w:rsid w:val="405D6A10"/>
    <w:rsid w:val="41DA6594"/>
    <w:rsid w:val="424D0843"/>
    <w:rsid w:val="429E2362"/>
    <w:rsid w:val="444C1A75"/>
    <w:rsid w:val="44A3526F"/>
    <w:rsid w:val="44B032F4"/>
    <w:rsid w:val="457D25F7"/>
    <w:rsid w:val="461E7067"/>
    <w:rsid w:val="468341CD"/>
    <w:rsid w:val="472C2589"/>
    <w:rsid w:val="488852D7"/>
    <w:rsid w:val="499A6996"/>
    <w:rsid w:val="4A435063"/>
    <w:rsid w:val="4A760AEB"/>
    <w:rsid w:val="4B48274E"/>
    <w:rsid w:val="4BDC6D14"/>
    <w:rsid w:val="4DBD355D"/>
    <w:rsid w:val="4F3162CA"/>
    <w:rsid w:val="50D95873"/>
    <w:rsid w:val="526102AF"/>
    <w:rsid w:val="528444DA"/>
    <w:rsid w:val="52C95E36"/>
    <w:rsid w:val="52E76EBB"/>
    <w:rsid w:val="537745D5"/>
    <w:rsid w:val="552306F6"/>
    <w:rsid w:val="56E352D5"/>
    <w:rsid w:val="57E435FE"/>
    <w:rsid w:val="582D0655"/>
    <w:rsid w:val="5951205C"/>
    <w:rsid w:val="59AD6D0F"/>
    <w:rsid w:val="59D079E8"/>
    <w:rsid w:val="59D40847"/>
    <w:rsid w:val="5AE37F25"/>
    <w:rsid w:val="5B2353A2"/>
    <w:rsid w:val="5CAC1716"/>
    <w:rsid w:val="5CB23D47"/>
    <w:rsid w:val="5D105DFA"/>
    <w:rsid w:val="5EEC1DD9"/>
    <w:rsid w:val="5FAF09C4"/>
    <w:rsid w:val="608C4642"/>
    <w:rsid w:val="62795572"/>
    <w:rsid w:val="630679CF"/>
    <w:rsid w:val="63A05CBD"/>
    <w:rsid w:val="64DD6417"/>
    <w:rsid w:val="66004745"/>
    <w:rsid w:val="6A567F20"/>
    <w:rsid w:val="6B2E2EE7"/>
    <w:rsid w:val="6BCE0DE9"/>
    <w:rsid w:val="6C2C6456"/>
    <w:rsid w:val="6CD97953"/>
    <w:rsid w:val="6ED30FD7"/>
    <w:rsid w:val="70425903"/>
    <w:rsid w:val="70D7667A"/>
    <w:rsid w:val="727D78FD"/>
    <w:rsid w:val="72B101E0"/>
    <w:rsid w:val="73CC655F"/>
    <w:rsid w:val="75957445"/>
    <w:rsid w:val="75D01AE1"/>
    <w:rsid w:val="77524363"/>
    <w:rsid w:val="77A20CF0"/>
    <w:rsid w:val="77B917B5"/>
    <w:rsid w:val="78703975"/>
    <w:rsid w:val="79A04EA7"/>
    <w:rsid w:val="7A5E1A26"/>
    <w:rsid w:val="7B742350"/>
    <w:rsid w:val="7BCE0129"/>
    <w:rsid w:val="7BE420FD"/>
    <w:rsid w:val="7C6D03F0"/>
    <w:rsid w:val="7D0D296B"/>
    <w:rsid w:val="7D4E0B54"/>
    <w:rsid w:val="7D503E78"/>
    <w:rsid w:val="7E0160D4"/>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A37FB"/>
  <w15:docId w15:val="{F7395813-AEC9-4E9E-B571-F7DDE543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200" w:firstLine="480"/>
      <w:jc w:val="both"/>
    </w:pPr>
    <w:rPr>
      <w:rFonts w:ascii="宋体" w:hAnsi="宋体"/>
      <w:kern w:val="2"/>
      <w:sz w:val="24"/>
      <w:szCs w:val="24"/>
    </w:rPr>
  </w:style>
  <w:style w:type="paragraph" w:styleId="1">
    <w:name w:val="heading 1"/>
    <w:basedOn w:val="a0"/>
    <w:next w:val="a0"/>
    <w:link w:val="11"/>
    <w:uiPriority w:val="9"/>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0"/>
    <w:next w:val="a0"/>
    <w:link w:val="21"/>
    <w:uiPriority w:val="9"/>
    <w:qFormat/>
    <w:pPr>
      <w:keepNext/>
      <w:keepLines/>
      <w:numPr>
        <w:ilvl w:val="1"/>
        <w:numId w:val="1"/>
      </w:numPr>
      <w:spacing w:before="120" w:after="120"/>
      <w:ind w:firstLineChars="0" w:firstLine="0"/>
      <w:outlineLvl w:val="1"/>
    </w:pPr>
    <w:rPr>
      <w:b/>
      <w:bCs/>
      <w:sz w:val="30"/>
      <w:szCs w:val="32"/>
    </w:rPr>
  </w:style>
  <w:style w:type="paragraph" w:styleId="3">
    <w:name w:val="heading 3"/>
    <w:basedOn w:val="a0"/>
    <w:next w:val="a0"/>
    <w:link w:val="32"/>
    <w:uiPriority w:val="9"/>
    <w:qFormat/>
    <w:pPr>
      <w:keepNext/>
      <w:keepLines/>
      <w:numPr>
        <w:ilvl w:val="2"/>
        <w:numId w:val="1"/>
      </w:numPr>
      <w:spacing w:before="120" w:after="120"/>
      <w:ind w:firstLineChars="0" w:firstLine="0"/>
      <w:outlineLvl w:val="2"/>
    </w:pPr>
    <w:rPr>
      <w:b/>
      <w:bCs/>
      <w:sz w:val="28"/>
      <w:szCs w:val="28"/>
    </w:rPr>
  </w:style>
  <w:style w:type="paragraph" w:styleId="4">
    <w:name w:val="heading 4"/>
    <w:basedOn w:val="a0"/>
    <w:next w:val="a0"/>
    <w:link w:val="41"/>
    <w:uiPriority w:val="9"/>
    <w:qFormat/>
    <w:pPr>
      <w:keepNext/>
      <w:keepLines/>
      <w:numPr>
        <w:ilvl w:val="3"/>
        <w:numId w:val="1"/>
      </w:numPr>
      <w:spacing w:before="120" w:after="120"/>
      <w:ind w:left="851" w:firstLineChars="0" w:firstLine="0"/>
      <w:outlineLvl w:val="3"/>
    </w:pPr>
    <w:rPr>
      <w:b/>
      <w:bCs/>
      <w:sz w:val="30"/>
      <w:szCs w:val="30"/>
    </w:rPr>
  </w:style>
  <w:style w:type="paragraph" w:styleId="5">
    <w:name w:val="heading 5"/>
    <w:basedOn w:val="a0"/>
    <w:next w:val="a0"/>
    <w:link w:val="51"/>
    <w:uiPriority w:val="9"/>
    <w:qFormat/>
    <w:pPr>
      <w:keepNext/>
      <w:keepLines/>
      <w:numPr>
        <w:ilvl w:val="4"/>
        <w:numId w:val="1"/>
      </w:numPr>
      <w:spacing w:before="120" w:after="120"/>
      <w:ind w:left="0" w:firstLineChars="0" w:firstLine="0"/>
      <w:outlineLvl w:val="4"/>
    </w:pPr>
    <w:rPr>
      <w:b/>
      <w:bCs/>
      <w:szCs w:val="28"/>
    </w:rPr>
  </w:style>
  <w:style w:type="paragraph" w:styleId="6">
    <w:name w:val="heading 6"/>
    <w:basedOn w:val="a0"/>
    <w:next w:val="a0"/>
    <w:link w:val="61"/>
    <w:uiPriority w:val="9"/>
    <w:qFormat/>
    <w:pPr>
      <w:keepNext/>
      <w:keepLines/>
      <w:numPr>
        <w:ilvl w:val="5"/>
        <w:numId w:val="1"/>
      </w:numPr>
      <w:spacing w:before="120" w:after="120"/>
      <w:ind w:firstLineChars="0" w:firstLine="0"/>
      <w:outlineLvl w:val="5"/>
    </w:pPr>
    <w:rPr>
      <w:rFonts w:ascii="Cambria" w:hAnsi="Cambria"/>
      <w:b/>
      <w:bCs/>
    </w:rPr>
  </w:style>
  <w:style w:type="paragraph" w:styleId="7">
    <w:name w:val="heading 7"/>
    <w:basedOn w:val="a0"/>
    <w:next w:val="a0"/>
    <w:link w:val="70"/>
    <w:uiPriority w:val="9"/>
    <w:qFormat/>
    <w:pPr>
      <w:keepNext/>
      <w:keepLines/>
      <w:spacing w:before="240" w:after="64" w:line="319" w:lineRule="auto"/>
      <w:ind w:firstLineChars="0" w:firstLine="0"/>
      <w:outlineLvl w:val="6"/>
    </w:pPr>
    <w:rPr>
      <w:rFonts w:ascii="Times New Roman" w:hAnsi="Times New Roman"/>
      <w:b/>
      <w:bCs/>
      <w:sz w:val="21"/>
    </w:rPr>
  </w:style>
  <w:style w:type="paragraph" w:styleId="8">
    <w:name w:val="heading 8"/>
    <w:basedOn w:val="a0"/>
    <w:next w:val="a0"/>
    <w:link w:val="80"/>
    <w:uiPriority w:val="9"/>
    <w:qFormat/>
    <w:pPr>
      <w:keepNext/>
      <w:keepLines/>
      <w:spacing w:before="240" w:after="64" w:line="319" w:lineRule="auto"/>
      <w:ind w:firstLineChars="0" w:firstLine="0"/>
      <w:outlineLvl w:val="7"/>
    </w:pPr>
    <w:rPr>
      <w:rFonts w:ascii="Cambria" w:hAnsi="Cambria"/>
      <w:sz w:val="21"/>
    </w:rPr>
  </w:style>
  <w:style w:type="paragraph" w:styleId="9">
    <w:name w:val="heading 9"/>
    <w:basedOn w:val="a0"/>
    <w:next w:val="a0"/>
    <w:link w:val="90"/>
    <w:uiPriority w:val="9"/>
    <w:qFormat/>
    <w:pPr>
      <w:keepNext/>
      <w:keepLines/>
      <w:spacing w:before="240" w:after="64" w:line="319" w:lineRule="auto"/>
      <w:ind w:firstLineChars="0" w:firstLine="0"/>
      <w:outlineLvl w:val="8"/>
    </w:pPr>
    <w:rPr>
      <w:rFonts w:ascii="Cambria" w:hAnsi="Cambria"/>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unhideWhenUsed/>
    <w:qFormat/>
    <w:pPr>
      <w:ind w:leftChars="1200" w:left="2520"/>
    </w:pPr>
    <w:rPr>
      <w:rFonts w:ascii="等线" w:eastAsia="等线" w:hAnsi="等线"/>
      <w:szCs w:val="22"/>
    </w:rPr>
  </w:style>
  <w:style w:type="paragraph" w:styleId="a4">
    <w:name w:val="Normal Indent"/>
    <w:basedOn w:val="a0"/>
    <w:uiPriority w:val="99"/>
    <w:unhideWhenUsed/>
    <w:qFormat/>
    <w:pPr>
      <w:spacing w:line="240" w:lineRule="auto"/>
      <w:ind w:firstLine="420"/>
    </w:pPr>
    <w:rPr>
      <w:rFonts w:ascii="Calibri" w:hAnsi="Calibri"/>
      <w:sz w:val="21"/>
    </w:rPr>
  </w:style>
  <w:style w:type="paragraph" w:styleId="a5">
    <w:name w:val="caption"/>
    <w:basedOn w:val="a0"/>
    <w:next w:val="a0"/>
    <w:link w:val="a6"/>
    <w:qFormat/>
    <w:pPr>
      <w:spacing w:afterLines="50"/>
      <w:ind w:firstLine="200"/>
    </w:pPr>
    <w:rPr>
      <w:rFonts w:ascii="Arial" w:eastAsia="黑体" w:hAnsi="Arial"/>
      <w:sz w:val="20"/>
      <w:szCs w:val="20"/>
    </w:rPr>
  </w:style>
  <w:style w:type="paragraph" w:styleId="a7">
    <w:name w:val="Document Map"/>
    <w:basedOn w:val="a0"/>
    <w:link w:val="10"/>
    <w:qFormat/>
    <w:rPr>
      <w:rFonts w:hAnsi="Times New Roman"/>
      <w:sz w:val="18"/>
      <w:szCs w:val="18"/>
    </w:rPr>
  </w:style>
  <w:style w:type="paragraph" w:styleId="a8">
    <w:name w:val="annotation text"/>
    <w:basedOn w:val="a0"/>
    <w:link w:val="12"/>
    <w:uiPriority w:val="99"/>
    <w:qFormat/>
    <w:pPr>
      <w:jc w:val="left"/>
    </w:pPr>
    <w:rPr>
      <w:rFonts w:ascii="Times New Roman" w:eastAsia="仿宋" w:hAnsi="Times New Roman"/>
      <w:sz w:val="28"/>
    </w:rPr>
  </w:style>
  <w:style w:type="paragraph" w:styleId="a9">
    <w:name w:val="Body Text"/>
    <w:basedOn w:val="a0"/>
    <w:next w:val="a0"/>
    <w:link w:val="aa"/>
    <w:unhideWhenUsed/>
    <w:qFormat/>
    <w:pPr>
      <w:spacing w:after="120" w:line="240" w:lineRule="auto"/>
      <w:ind w:firstLineChars="0" w:firstLine="0"/>
    </w:pPr>
    <w:rPr>
      <w:rFonts w:ascii="Times New Roman" w:hAnsi="Times New Roman"/>
      <w:sz w:val="21"/>
    </w:rPr>
  </w:style>
  <w:style w:type="paragraph" w:styleId="ab">
    <w:name w:val="Body Text Indent"/>
    <w:basedOn w:val="a0"/>
    <w:link w:val="13"/>
    <w:qFormat/>
    <w:pPr>
      <w:spacing w:after="120"/>
      <w:ind w:firstLine="200"/>
    </w:pPr>
    <w:rPr>
      <w:rFonts w:ascii="Times New Roman" w:hAnsi="Times New Roman"/>
      <w:sz w:val="21"/>
      <w:szCs w:val="20"/>
    </w:rPr>
  </w:style>
  <w:style w:type="paragraph" w:styleId="50">
    <w:name w:val="toc 5"/>
    <w:basedOn w:val="a0"/>
    <w:next w:val="a0"/>
    <w:uiPriority w:val="39"/>
    <w:unhideWhenUsed/>
    <w:qFormat/>
    <w:pPr>
      <w:ind w:leftChars="800" w:left="1680"/>
    </w:pPr>
    <w:rPr>
      <w:rFonts w:ascii="等线" w:eastAsia="等线" w:hAnsi="等线"/>
      <w:szCs w:val="22"/>
    </w:rPr>
  </w:style>
  <w:style w:type="paragraph" w:styleId="30">
    <w:name w:val="toc 3"/>
    <w:basedOn w:val="a0"/>
    <w:next w:val="a0"/>
    <w:uiPriority w:val="39"/>
    <w:qFormat/>
    <w:pPr>
      <w:tabs>
        <w:tab w:val="right" w:leader="dot" w:pos="8302"/>
      </w:tabs>
      <w:ind w:leftChars="400" w:left="840"/>
    </w:pPr>
  </w:style>
  <w:style w:type="paragraph" w:styleId="ac">
    <w:name w:val="Plain Text"/>
    <w:basedOn w:val="a0"/>
    <w:link w:val="14"/>
    <w:qFormat/>
    <w:pPr>
      <w:spacing w:line="240" w:lineRule="auto"/>
      <w:ind w:firstLineChars="0" w:firstLine="0"/>
    </w:pPr>
    <w:rPr>
      <w:rFonts w:hAnsi="Courier New"/>
      <w:sz w:val="21"/>
      <w:szCs w:val="20"/>
    </w:rPr>
  </w:style>
  <w:style w:type="paragraph" w:styleId="81">
    <w:name w:val="toc 8"/>
    <w:basedOn w:val="a0"/>
    <w:next w:val="a0"/>
    <w:uiPriority w:val="39"/>
    <w:unhideWhenUsed/>
    <w:qFormat/>
    <w:pPr>
      <w:ind w:leftChars="1400" w:left="2940"/>
    </w:pPr>
    <w:rPr>
      <w:rFonts w:ascii="等线" w:eastAsia="等线" w:hAnsi="等线"/>
      <w:szCs w:val="22"/>
    </w:rPr>
  </w:style>
  <w:style w:type="paragraph" w:styleId="ad">
    <w:name w:val="Date"/>
    <w:basedOn w:val="a0"/>
    <w:next w:val="a0"/>
    <w:link w:val="15"/>
    <w:qFormat/>
    <w:pPr>
      <w:ind w:leftChars="2500" w:left="100"/>
    </w:pPr>
    <w:rPr>
      <w:rFonts w:ascii="Times New Roman" w:hAnsi="Times New Roman"/>
      <w:sz w:val="21"/>
    </w:rPr>
  </w:style>
  <w:style w:type="paragraph" w:styleId="ae">
    <w:name w:val="Balloon Text"/>
    <w:basedOn w:val="a0"/>
    <w:link w:val="16"/>
    <w:qFormat/>
    <w:rPr>
      <w:rFonts w:ascii="Times New Roman" w:hAnsi="Times New Roman"/>
      <w:sz w:val="18"/>
      <w:szCs w:val="18"/>
    </w:rPr>
  </w:style>
  <w:style w:type="paragraph" w:styleId="af">
    <w:name w:val="footer"/>
    <w:basedOn w:val="a0"/>
    <w:link w:val="17"/>
    <w:uiPriority w:val="99"/>
    <w:qFormat/>
    <w:pPr>
      <w:tabs>
        <w:tab w:val="center" w:pos="4153"/>
        <w:tab w:val="right" w:pos="8306"/>
      </w:tabs>
      <w:snapToGrid w:val="0"/>
      <w:jc w:val="center"/>
    </w:pPr>
    <w:rPr>
      <w:rFonts w:ascii="Times New Roman" w:hAnsi="Times New Roman"/>
      <w:sz w:val="18"/>
      <w:szCs w:val="18"/>
    </w:rPr>
  </w:style>
  <w:style w:type="paragraph" w:styleId="af0">
    <w:name w:val="header"/>
    <w:basedOn w:val="a0"/>
    <w:link w:val="18"/>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19">
    <w:name w:val="toc 1"/>
    <w:basedOn w:val="a0"/>
    <w:next w:val="a0"/>
    <w:uiPriority w:val="39"/>
    <w:qFormat/>
  </w:style>
  <w:style w:type="paragraph" w:styleId="40">
    <w:name w:val="toc 4"/>
    <w:basedOn w:val="a0"/>
    <w:next w:val="a0"/>
    <w:uiPriority w:val="39"/>
    <w:unhideWhenUsed/>
    <w:qFormat/>
    <w:pPr>
      <w:ind w:leftChars="600" w:left="1260"/>
    </w:pPr>
    <w:rPr>
      <w:rFonts w:ascii="等线" w:eastAsia="等线" w:hAnsi="等线"/>
      <w:szCs w:val="22"/>
    </w:rPr>
  </w:style>
  <w:style w:type="paragraph" w:styleId="af1">
    <w:name w:val="Subtitle"/>
    <w:basedOn w:val="a0"/>
    <w:next w:val="a0"/>
    <w:link w:val="1a"/>
    <w:qFormat/>
    <w:pPr>
      <w:spacing w:before="240" w:after="60" w:line="312" w:lineRule="auto"/>
      <w:jc w:val="center"/>
      <w:outlineLvl w:val="1"/>
    </w:pPr>
    <w:rPr>
      <w:rFonts w:ascii="Calibri Light" w:hAnsi="Calibri Light"/>
      <w:b/>
      <w:bCs/>
      <w:kern w:val="28"/>
      <w:sz w:val="32"/>
      <w:szCs w:val="32"/>
    </w:rPr>
  </w:style>
  <w:style w:type="paragraph" w:styleId="60">
    <w:name w:val="toc 6"/>
    <w:basedOn w:val="a0"/>
    <w:next w:val="a0"/>
    <w:uiPriority w:val="39"/>
    <w:unhideWhenUsed/>
    <w:qFormat/>
    <w:pPr>
      <w:ind w:leftChars="1000" w:left="2100"/>
    </w:pPr>
    <w:rPr>
      <w:rFonts w:ascii="等线" w:eastAsia="等线" w:hAnsi="等线"/>
      <w:szCs w:val="22"/>
    </w:rPr>
  </w:style>
  <w:style w:type="paragraph" w:styleId="20">
    <w:name w:val="toc 2"/>
    <w:basedOn w:val="a0"/>
    <w:next w:val="a0"/>
    <w:uiPriority w:val="39"/>
    <w:qFormat/>
    <w:pPr>
      <w:tabs>
        <w:tab w:val="right" w:leader="dot" w:pos="8302"/>
      </w:tabs>
      <w:ind w:leftChars="200" w:left="420"/>
    </w:pPr>
  </w:style>
  <w:style w:type="paragraph" w:styleId="91">
    <w:name w:val="toc 9"/>
    <w:basedOn w:val="a0"/>
    <w:next w:val="a0"/>
    <w:uiPriority w:val="39"/>
    <w:unhideWhenUsed/>
    <w:qFormat/>
    <w:pPr>
      <w:ind w:leftChars="1600" w:left="3360"/>
    </w:pPr>
    <w:rPr>
      <w:rFonts w:ascii="等线" w:eastAsia="等线" w:hAnsi="等线"/>
      <w:szCs w:val="22"/>
    </w:rPr>
  </w:style>
  <w:style w:type="paragraph" w:styleId="af2">
    <w:name w:val="Normal (Web)"/>
    <w:basedOn w:val="a0"/>
    <w:uiPriority w:val="99"/>
    <w:qFormat/>
    <w:pPr>
      <w:widowControl/>
      <w:spacing w:before="100" w:after="100"/>
      <w:jc w:val="left"/>
    </w:pPr>
    <w:rPr>
      <w:rFonts w:ascii="Arial Unicode MS" w:eastAsia="Arial Unicode MS" w:hAnsi="Arial Unicode MS" w:hint="eastAsia"/>
      <w:kern w:val="0"/>
    </w:rPr>
  </w:style>
  <w:style w:type="paragraph" w:styleId="af3">
    <w:name w:val="Title"/>
    <w:basedOn w:val="a0"/>
    <w:next w:val="a0"/>
    <w:link w:val="1b"/>
    <w:qFormat/>
    <w:pPr>
      <w:spacing w:before="240" w:after="60" w:line="960" w:lineRule="auto"/>
      <w:jc w:val="center"/>
    </w:pPr>
    <w:rPr>
      <w:rFonts w:ascii="Cambria" w:eastAsia="黑体" w:hAnsi="Cambria"/>
      <w:b/>
      <w:bCs/>
      <w:sz w:val="52"/>
      <w:szCs w:val="32"/>
    </w:rPr>
  </w:style>
  <w:style w:type="paragraph" w:styleId="af4">
    <w:name w:val="annotation subject"/>
    <w:basedOn w:val="a8"/>
    <w:next w:val="a8"/>
    <w:link w:val="1c"/>
    <w:qFormat/>
    <w:rPr>
      <w:b/>
      <w:bCs/>
      <w:sz w:val="21"/>
    </w:rPr>
  </w:style>
  <w:style w:type="table" w:styleId="af5">
    <w:name w:val="Table Grid"/>
    <w:basedOn w:val="a2"/>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qFormat/>
  </w:style>
  <w:style w:type="character" w:styleId="af7">
    <w:name w:val="FollowedHyperlink"/>
    <w:uiPriority w:val="99"/>
    <w:unhideWhenUsed/>
    <w:qFormat/>
    <w:rPr>
      <w:color w:val="954F72"/>
      <w:u w:val="single"/>
    </w:rPr>
  </w:style>
  <w:style w:type="character" w:styleId="af8">
    <w:name w:val="Hyperlink"/>
    <w:uiPriority w:val="99"/>
    <w:qFormat/>
    <w:rPr>
      <w:color w:val="0000FF"/>
      <w:u w:val="single"/>
    </w:rPr>
  </w:style>
  <w:style w:type="character" w:styleId="af9">
    <w:name w:val="annotation reference"/>
    <w:basedOn w:val="a1"/>
    <w:uiPriority w:val="99"/>
    <w:qFormat/>
    <w:rPr>
      <w:sz w:val="21"/>
      <w:szCs w:val="21"/>
    </w:rPr>
  </w:style>
  <w:style w:type="character" w:customStyle="1" w:styleId="31">
    <w:name w:val="标题 3 字符1"/>
    <w:qFormat/>
    <w:rPr>
      <w:rFonts w:ascii="宋体" w:hAnsi="宋体"/>
      <w:b/>
      <w:bCs/>
      <w:kern w:val="2"/>
      <w:sz w:val="28"/>
      <w:szCs w:val="28"/>
    </w:rPr>
  </w:style>
  <w:style w:type="character" w:customStyle="1" w:styleId="Char">
    <w:name w:val="首行缩进正文 Char"/>
    <w:link w:val="afa"/>
    <w:qFormat/>
    <w:rPr>
      <w:kern w:val="2"/>
      <w:sz w:val="24"/>
    </w:rPr>
  </w:style>
  <w:style w:type="paragraph" w:customStyle="1" w:styleId="afa">
    <w:name w:val="首行缩进正文"/>
    <w:basedOn w:val="a0"/>
    <w:link w:val="Char"/>
    <w:qFormat/>
    <w:pPr>
      <w:widowControl/>
      <w:adjustRightInd w:val="0"/>
      <w:snapToGrid w:val="0"/>
      <w:spacing w:afterLines="50" w:line="276" w:lineRule="auto"/>
      <w:ind w:firstLineChars="0" w:firstLine="420"/>
      <w:jc w:val="left"/>
    </w:pPr>
    <w:rPr>
      <w:rFonts w:ascii="Times New Roman" w:hAnsi="Times New Roman"/>
      <w:szCs w:val="20"/>
    </w:rPr>
  </w:style>
  <w:style w:type="character" w:customStyle="1" w:styleId="12">
    <w:name w:val="批注文字 字符1"/>
    <w:link w:val="a8"/>
    <w:uiPriority w:val="99"/>
    <w:qFormat/>
    <w:rPr>
      <w:rFonts w:eastAsia="仿宋"/>
      <w:kern w:val="2"/>
      <w:sz w:val="28"/>
      <w:szCs w:val="24"/>
    </w:rPr>
  </w:style>
  <w:style w:type="character" w:customStyle="1" w:styleId="afb">
    <w:name w:val="日期 字符"/>
    <w:uiPriority w:val="99"/>
    <w:semiHidden/>
    <w:qFormat/>
    <w:rPr>
      <w:rFonts w:ascii="宋体" w:hAnsi="宋体"/>
      <w:kern w:val="2"/>
      <w:sz w:val="24"/>
      <w:szCs w:val="24"/>
    </w:rPr>
  </w:style>
  <w:style w:type="character" w:customStyle="1" w:styleId="15">
    <w:name w:val="日期 字符1"/>
    <w:link w:val="ad"/>
    <w:qFormat/>
    <w:rPr>
      <w:kern w:val="2"/>
      <w:sz w:val="21"/>
      <w:szCs w:val="24"/>
    </w:rPr>
  </w:style>
  <w:style w:type="character" w:customStyle="1" w:styleId="90">
    <w:name w:val="标题 9 字符"/>
    <w:link w:val="9"/>
    <w:uiPriority w:val="9"/>
    <w:qFormat/>
    <w:rPr>
      <w:rFonts w:ascii="Cambria" w:hAnsi="Cambria"/>
      <w:kern w:val="2"/>
      <w:sz w:val="21"/>
      <w:szCs w:val="21"/>
    </w:rPr>
  </w:style>
  <w:style w:type="character" w:customStyle="1" w:styleId="1d">
    <w:name w:val="未处理的提及1"/>
    <w:uiPriority w:val="99"/>
    <w:unhideWhenUsed/>
    <w:qFormat/>
    <w:rPr>
      <w:color w:val="605E5C"/>
      <w:shd w:val="clear" w:color="auto" w:fill="E1DFDD"/>
    </w:rPr>
  </w:style>
  <w:style w:type="character" w:customStyle="1" w:styleId="1e">
    <w:name w:val="标题 1 字符"/>
    <w:uiPriority w:val="9"/>
    <w:qFormat/>
    <w:rPr>
      <w:rFonts w:ascii="宋体" w:hAnsi="宋体"/>
      <w:b/>
      <w:bCs/>
      <w:kern w:val="44"/>
      <w:sz w:val="44"/>
      <w:szCs w:val="44"/>
    </w:rPr>
  </w:style>
  <w:style w:type="character" w:customStyle="1" w:styleId="33">
    <w:name w:val="标题 3 字符"/>
    <w:uiPriority w:val="9"/>
    <w:semiHidden/>
    <w:qFormat/>
    <w:rPr>
      <w:rFonts w:ascii="宋体" w:hAnsi="宋体"/>
      <w:b/>
      <w:bCs/>
      <w:kern w:val="2"/>
      <w:sz w:val="32"/>
      <w:szCs w:val="32"/>
    </w:rPr>
  </w:style>
  <w:style w:type="character" w:customStyle="1" w:styleId="afc">
    <w:name w:val="页脚 字符"/>
    <w:uiPriority w:val="99"/>
    <w:qFormat/>
  </w:style>
  <w:style w:type="character" w:customStyle="1" w:styleId="52">
    <w:name w:val="标题 5 字符"/>
    <w:uiPriority w:val="9"/>
    <w:semiHidden/>
    <w:qFormat/>
    <w:rPr>
      <w:rFonts w:ascii="宋体" w:hAnsi="宋体"/>
      <w:b/>
      <w:bCs/>
      <w:kern w:val="2"/>
      <w:sz w:val="28"/>
      <w:szCs w:val="28"/>
    </w:rPr>
  </w:style>
  <w:style w:type="character" w:customStyle="1" w:styleId="a6">
    <w:name w:val="题注 字符"/>
    <w:link w:val="a5"/>
    <w:qFormat/>
    <w:locked/>
    <w:rPr>
      <w:rFonts w:ascii="Arial" w:eastAsia="黑体" w:hAnsi="Arial"/>
      <w:kern w:val="2"/>
    </w:rPr>
  </w:style>
  <w:style w:type="character" w:customStyle="1" w:styleId="22">
    <w:name w:val="标题 2 字符"/>
    <w:uiPriority w:val="9"/>
    <w:semiHidden/>
    <w:qFormat/>
    <w:rPr>
      <w:rFonts w:ascii="等线 Light" w:eastAsia="等线 Light" w:hAnsi="等线 Light" w:cs="Times New Roman"/>
      <w:b/>
      <w:bCs/>
      <w:kern w:val="2"/>
      <w:sz w:val="32"/>
      <w:szCs w:val="32"/>
    </w:rPr>
  </w:style>
  <w:style w:type="character" w:customStyle="1" w:styleId="afd">
    <w:name w:val="纯文本 字符"/>
    <w:qFormat/>
    <w:rPr>
      <w:rFonts w:ascii="宋体" w:hAnsi="Courier New" w:cs="Courier New"/>
      <w:kern w:val="2"/>
      <w:sz w:val="21"/>
      <w:szCs w:val="21"/>
    </w:rPr>
  </w:style>
  <w:style w:type="character" w:customStyle="1" w:styleId="afe">
    <w:name w:val="列表段落 字符"/>
    <w:uiPriority w:val="34"/>
    <w:qFormat/>
    <w:rPr>
      <w:kern w:val="2"/>
      <w:sz w:val="21"/>
      <w:szCs w:val="22"/>
    </w:rPr>
  </w:style>
  <w:style w:type="character" w:customStyle="1" w:styleId="41">
    <w:name w:val="标题 4 字符1"/>
    <w:link w:val="4"/>
    <w:qFormat/>
    <w:rPr>
      <w:rFonts w:ascii="宋体" w:hAnsi="宋体"/>
      <w:b/>
      <w:bCs/>
      <w:kern w:val="2"/>
      <w:sz w:val="30"/>
      <w:szCs w:val="30"/>
    </w:rPr>
  </w:style>
  <w:style w:type="character" w:customStyle="1" w:styleId="aa">
    <w:name w:val="正文文本 字符"/>
    <w:link w:val="a9"/>
    <w:qFormat/>
    <w:rPr>
      <w:kern w:val="2"/>
      <w:sz w:val="21"/>
      <w:szCs w:val="24"/>
    </w:rPr>
  </w:style>
  <w:style w:type="character" w:customStyle="1" w:styleId="aff">
    <w:name w:val="列出段落 字符"/>
    <w:link w:val="aff0"/>
    <w:uiPriority w:val="34"/>
    <w:qFormat/>
    <w:rPr>
      <w:kern w:val="2"/>
      <w:sz w:val="21"/>
      <w:szCs w:val="24"/>
    </w:rPr>
  </w:style>
  <w:style w:type="paragraph" w:styleId="aff0">
    <w:name w:val="List Paragraph"/>
    <w:basedOn w:val="a0"/>
    <w:link w:val="aff"/>
    <w:uiPriority w:val="34"/>
    <w:qFormat/>
    <w:pPr>
      <w:ind w:firstLine="420"/>
    </w:pPr>
    <w:rPr>
      <w:rFonts w:ascii="Times New Roman" w:hAnsi="Times New Roman"/>
      <w:sz w:val="21"/>
    </w:rPr>
  </w:style>
  <w:style w:type="character" w:customStyle="1" w:styleId="font21">
    <w:name w:val="font21"/>
    <w:qFormat/>
    <w:rPr>
      <w:rFonts w:ascii="Calibri" w:hAnsi="Calibri" w:cs="Calibri"/>
      <w:color w:val="000000"/>
      <w:sz w:val="21"/>
      <w:szCs w:val="21"/>
      <w:u w:val="none"/>
    </w:rPr>
  </w:style>
  <w:style w:type="character" w:customStyle="1" w:styleId="Char0">
    <w:name w:val="*正文 Char"/>
    <w:link w:val="aff1"/>
    <w:qFormat/>
    <w:rPr>
      <w:rFonts w:ascii="time" w:hAnsi="time"/>
      <w:sz w:val="24"/>
      <w:szCs w:val="24"/>
      <w:lang w:bidi="en-US"/>
    </w:rPr>
  </w:style>
  <w:style w:type="paragraph" w:customStyle="1" w:styleId="aff1">
    <w:name w:val="*正文"/>
    <w:basedOn w:val="a0"/>
    <w:link w:val="Char0"/>
    <w:qFormat/>
    <w:pPr>
      <w:widowControl/>
      <w:ind w:firstLine="200"/>
      <w:contextualSpacing/>
    </w:pPr>
    <w:rPr>
      <w:rFonts w:ascii="time" w:hAnsi="time"/>
      <w:kern w:val="0"/>
      <w:lang w:bidi="en-US"/>
    </w:rPr>
  </w:style>
  <w:style w:type="character" w:customStyle="1" w:styleId="aff2">
    <w:name w:val="正文文本缩进 字符"/>
    <w:uiPriority w:val="99"/>
    <w:semiHidden/>
    <w:qFormat/>
    <w:rPr>
      <w:rFonts w:ascii="宋体" w:hAnsi="宋体"/>
      <w:kern w:val="2"/>
      <w:sz w:val="24"/>
      <w:szCs w:val="24"/>
    </w:rPr>
  </w:style>
  <w:style w:type="character" w:customStyle="1" w:styleId="14">
    <w:name w:val="纯文本 字符1"/>
    <w:link w:val="ac"/>
    <w:qFormat/>
    <w:locked/>
    <w:rPr>
      <w:rFonts w:ascii="宋体" w:hAnsi="Courier New"/>
      <w:kern w:val="2"/>
      <w:sz w:val="21"/>
    </w:rPr>
  </w:style>
  <w:style w:type="character" w:customStyle="1" w:styleId="myChar">
    <w:name w:val="my正文 Char"/>
    <w:link w:val="my"/>
    <w:qFormat/>
    <w:rPr>
      <w:kern w:val="2"/>
      <w:sz w:val="21"/>
      <w:szCs w:val="24"/>
    </w:rPr>
  </w:style>
  <w:style w:type="paragraph" w:customStyle="1" w:styleId="my">
    <w:name w:val="my正文"/>
    <w:basedOn w:val="a0"/>
    <w:link w:val="myChar"/>
    <w:qFormat/>
    <w:pPr>
      <w:spacing w:line="240" w:lineRule="auto"/>
      <w:ind w:firstLineChars="0" w:firstLine="0"/>
    </w:pPr>
    <w:rPr>
      <w:rFonts w:ascii="Times New Roman" w:hAnsi="Times New Roman"/>
      <w:sz w:val="21"/>
    </w:rPr>
  </w:style>
  <w:style w:type="character" w:customStyle="1" w:styleId="23">
    <w:name w:val="正文2 字符"/>
    <w:link w:val="24"/>
    <w:qFormat/>
    <w:rPr>
      <w:kern w:val="2"/>
      <w:sz w:val="21"/>
      <w:szCs w:val="24"/>
    </w:rPr>
  </w:style>
  <w:style w:type="paragraph" w:customStyle="1" w:styleId="24">
    <w:name w:val="正文2"/>
    <w:basedOn w:val="a0"/>
    <w:link w:val="23"/>
    <w:qFormat/>
    <w:pPr>
      <w:ind w:firstLine="420"/>
    </w:pPr>
    <w:rPr>
      <w:rFonts w:ascii="Times New Roman" w:hAnsi="Times New Roman"/>
      <w:sz w:val="21"/>
    </w:rPr>
  </w:style>
  <w:style w:type="character" w:customStyle="1" w:styleId="font41">
    <w:name w:val="font41"/>
    <w:qFormat/>
    <w:rPr>
      <w:rFonts w:ascii="宋体" w:eastAsia="宋体" w:hAnsi="宋体" w:cs="宋体" w:hint="eastAsia"/>
      <w:color w:val="000000"/>
      <w:sz w:val="21"/>
      <w:szCs w:val="21"/>
      <w:u w:val="none"/>
    </w:rPr>
  </w:style>
  <w:style w:type="character" w:customStyle="1" w:styleId="70">
    <w:name w:val="标题 7 字符"/>
    <w:link w:val="7"/>
    <w:uiPriority w:val="9"/>
    <w:qFormat/>
    <w:rPr>
      <w:b/>
      <w:bCs/>
      <w:kern w:val="2"/>
      <w:sz w:val="21"/>
      <w:szCs w:val="24"/>
    </w:rPr>
  </w:style>
  <w:style w:type="character" w:customStyle="1" w:styleId="aff3">
    <w:name w:val="批注框文本 字符"/>
    <w:uiPriority w:val="99"/>
    <w:semiHidden/>
    <w:qFormat/>
    <w:rPr>
      <w:rFonts w:ascii="宋体" w:hAnsi="宋体"/>
      <w:kern w:val="2"/>
      <w:sz w:val="18"/>
      <w:szCs w:val="18"/>
    </w:rPr>
  </w:style>
  <w:style w:type="character" w:customStyle="1" w:styleId="Char1">
    <w:name w:val="副标题 Char1"/>
    <w:qFormat/>
    <w:rPr>
      <w:rFonts w:ascii="Calibri Light" w:hAnsi="Calibri Light" w:cs="Times New Roman"/>
      <w:b/>
      <w:bCs/>
      <w:kern w:val="28"/>
      <w:sz w:val="32"/>
      <w:szCs w:val="32"/>
    </w:rPr>
  </w:style>
  <w:style w:type="character" w:customStyle="1" w:styleId="11">
    <w:name w:val="标题 1 字符1"/>
    <w:link w:val="1"/>
    <w:qFormat/>
    <w:rPr>
      <w:rFonts w:ascii="宋体" w:eastAsia="黑体" w:hAnsi="宋体"/>
      <w:b/>
      <w:bCs/>
      <w:kern w:val="44"/>
      <w:sz w:val="32"/>
      <w:szCs w:val="28"/>
    </w:rPr>
  </w:style>
  <w:style w:type="character" w:customStyle="1" w:styleId="aff4">
    <w:name w:val="批注文字 字符"/>
    <w:uiPriority w:val="99"/>
    <w:qFormat/>
    <w:rPr>
      <w:rFonts w:ascii="宋体" w:hAnsi="宋体"/>
      <w:kern w:val="2"/>
      <w:sz w:val="24"/>
      <w:szCs w:val="24"/>
    </w:rPr>
  </w:style>
  <w:style w:type="character" w:customStyle="1" w:styleId="aff5">
    <w:name w:val="文档结构图 字符"/>
    <w:uiPriority w:val="99"/>
    <w:semiHidden/>
    <w:qFormat/>
    <w:rPr>
      <w:rFonts w:ascii="Microsoft YaHei UI" w:eastAsia="Microsoft YaHei UI" w:hAnsi="宋体"/>
      <w:kern w:val="2"/>
      <w:sz w:val="18"/>
      <w:szCs w:val="18"/>
    </w:rPr>
  </w:style>
  <w:style w:type="character" w:customStyle="1" w:styleId="62">
    <w:name w:val="标题 6 字符"/>
    <w:uiPriority w:val="9"/>
    <w:semiHidden/>
    <w:qFormat/>
    <w:rPr>
      <w:rFonts w:ascii="等线 Light" w:eastAsia="等线 Light" w:hAnsi="等线 Light" w:cs="Times New Roman"/>
      <w:b/>
      <w:bCs/>
      <w:kern w:val="2"/>
      <w:sz w:val="24"/>
      <w:szCs w:val="24"/>
    </w:rPr>
  </w:style>
  <w:style w:type="character" w:customStyle="1" w:styleId="2Char">
    <w:name w:val="正文正文2 Char"/>
    <w:link w:val="25"/>
    <w:qFormat/>
    <w:rPr>
      <w:rFonts w:ascii="宋体" w:hAnsi="宋体"/>
      <w:kern w:val="2"/>
      <w:sz w:val="21"/>
      <w:szCs w:val="21"/>
    </w:rPr>
  </w:style>
  <w:style w:type="paragraph" w:customStyle="1" w:styleId="25">
    <w:name w:val="正文正文2"/>
    <w:basedOn w:val="a0"/>
    <w:link w:val="2Char"/>
    <w:qFormat/>
    <w:pPr>
      <w:ind w:firstLine="460"/>
    </w:pPr>
    <w:rPr>
      <w:sz w:val="21"/>
      <w:szCs w:val="21"/>
    </w:rPr>
  </w:style>
  <w:style w:type="character" w:customStyle="1" w:styleId="32">
    <w:name w:val="标题 3 字符2"/>
    <w:link w:val="3"/>
    <w:qFormat/>
    <w:rPr>
      <w:rFonts w:ascii="宋体" w:hAnsi="宋体"/>
      <w:b/>
      <w:bCs/>
      <w:kern w:val="2"/>
      <w:sz w:val="28"/>
      <w:szCs w:val="28"/>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1c">
    <w:name w:val="批注主题 字符1"/>
    <w:link w:val="af4"/>
    <w:qFormat/>
    <w:rPr>
      <w:rFonts w:eastAsia="仿宋"/>
      <w:b/>
      <w:bCs/>
      <w:kern w:val="2"/>
      <w:sz w:val="21"/>
      <w:szCs w:val="24"/>
    </w:rPr>
  </w:style>
  <w:style w:type="character" w:customStyle="1" w:styleId="aff6">
    <w:name w:val="页眉 字符"/>
    <w:uiPriority w:val="99"/>
    <w:semiHidden/>
    <w:qFormat/>
    <w:rPr>
      <w:rFonts w:ascii="宋体" w:hAnsi="宋体"/>
      <w:kern w:val="2"/>
      <w:sz w:val="18"/>
      <w:szCs w:val="18"/>
    </w:rPr>
  </w:style>
  <w:style w:type="character" w:customStyle="1" w:styleId="13">
    <w:name w:val="正文文本缩进 字符1"/>
    <w:link w:val="ab"/>
    <w:qFormat/>
    <w:rPr>
      <w:kern w:val="2"/>
      <w:sz w:val="21"/>
    </w:rPr>
  </w:style>
  <w:style w:type="character" w:customStyle="1" w:styleId="51">
    <w:name w:val="标题 5 字符1"/>
    <w:link w:val="5"/>
    <w:qFormat/>
    <w:rPr>
      <w:rFonts w:ascii="宋体" w:hAnsi="宋体"/>
      <w:b/>
      <w:bCs/>
      <w:kern w:val="2"/>
      <w:sz w:val="24"/>
      <w:szCs w:val="28"/>
    </w:rPr>
  </w:style>
  <w:style w:type="character" w:customStyle="1" w:styleId="1a">
    <w:name w:val="副标题 字符1"/>
    <w:link w:val="af1"/>
    <w:qFormat/>
    <w:rPr>
      <w:rFonts w:ascii="Calibri Light" w:hAnsi="Calibri Light"/>
      <w:b/>
      <w:bCs/>
      <w:kern w:val="28"/>
      <w:sz w:val="32"/>
      <w:szCs w:val="32"/>
    </w:rPr>
  </w:style>
  <w:style w:type="character" w:customStyle="1" w:styleId="21">
    <w:name w:val="标题 2 字符1"/>
    <w:link w:val="2"/>
    <w:uiPriority w:val="9"/>
    <w:qFormat/>
    <w:rPr>
      <w:rFonts w:ascii="宋体" w:hAnsi="宋体"/>
      <w:b/>
      <w:bCs/>
      <w:kern w:val="2"/>
      <w:sz w:val="30"/>
      <w:szCs w:val="32"/>
    </w:rPr>
  </w:style>
  <w:style w:type="character" w:customStyle="1" w:styleId="17">
    <w:name w:val="页脚 字符1"/>
    <w:link w:val="af"/>
    <w:uiPriority w:val="99"/>
    <w:qFormat/>
    <w:rPr>
      <w:kern w:val="2"/>
      <w:sz w:val="18"/>
      <w:szCs w:val="18"/>
    </w:rPr>
  </w:style>
  <w:style w:type="character" w:customStyle="1" w:styleId="aff7">
    <w:name w:val="批注主题 字符"/>
    <w:uiPriority w:val="99"/>
    <w:semiHidden/>
    <w:qFormat/>
    <w:rPr>
      <w:rFonts w:ascii="宋体" w:hAnsi="宋体"/>
      <w:b/>
      <w:bCs/>
      <w:kern w:val="2"/>
      <w:sz w:val="24"/>
      <w:szCs w:val="24"/>
    </w:rPr>
  </w:style>
  <w:style w:type="character" w:customStyle="1" w:styleId="10">
    <w:name w:val="文档结构图 字符1"/>
    <w:link w:val="a7"/>
    <w:qFormat/>
    <w:rPr>
      <w:rFonts w:ascii="宋体"/>
      <w:kern w:val="2"/>
      <w:sz w:val="18"/>
      <w:szCs w:val="1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2">
    <w:name w:val="标准正文 Char"/>
    <w:link w:val="aff8"/>
    <w:qFormat/>
    <w:rPr>
      <w:rFonts w:ascii="Arial" w:hAnsi="Arial"/>
      <w:kern w:val="2"/>
      <w:sz w:val="24"/>
    </w:rPr>
  </w:style>
  <w:style w:type="paragraph" w:customStyle="1" w:styleId="aff8">
    <w:name w:val="标准正文"/>
    <w:basedOn w:val="ab"/>
    <w:link w:val="Char2"/>
    <w:qFormat/>
    <w:pPr>
      <w:spacing w:before="60" w:after="60"/>
      <w:ind w:firstLineChars="0" w:firstLine="482"/>
    </w:pPr>
    <w:rPr>
      <w:rFonts w:ascii="Arial" w:hAnsi="Arial"/>
      <w:sz w:val="24"/>
    </w:rPr>
  </w:style>
  <w:style w:type="character" w:customStyle="1" w:styleId="1b">
    <w:name w:val="标题 字符1"/>
    <w:link w:val="af3"/>
    <w:qFormat/>
    <w:rPr>
      <w:rFonts w:ascii="Cambria" w:eastAsia="黑体" w:hAnsi="Cambria"/>
      <w:b/>
      <w:bCs/>
      <w:kern w:val="2"/>
      <w:sz w:val="52"/>
      <w:szCs w:val="32"/>
    </w:rPr>
  </w:style>
  <w:style w:type="character" w:customStyle="1" w:styleId="16">
    <w:name w:val="批注框文本 字符1"/>
    <w:link w:val="ae"/>
    <w:qFormat/>
    <w:rPr>
      <w:kern w:val="2"/>
      <w:sz w:val="18"/>
      <w:szCs w:val="18"/>
    </w:rPr>
  </w:style>
  <w:style w:type="character" w:customStyle="1" w:styleId="18">
    <w:name w:val="页眉 字符1"/>
    <w:link w:val="af0"/>
    <w:uiPriority w:val="99"/>
    <w:qFormat/>
    <w:rPr>
      <w:kern w:val="2"/>
      <w:sz w:val="18"/>
      <w:szCs w:val="18"/>
    </w:rPr>
  </w:style>
  <w:style w:type="character" w:customStyle="1" w:styleId="80">
    <w:name w:val="标题 8 字符"/>
    <w:link w:val="8"/>
    <w:uiPriority w:val="9"/>
    <w:qFormat/>
    <w:rPr>
      <w:rFonts w:ascii="Cambria" w:hAnsi="Cambria"/>
      <w:kern w:val="2"/>
      <w:sz w:val="21"/>
      <w:szCs w:val="24"/>
    </w:rPr>
  </w:style>
  <w:style w:type="character" w:customStyle="1" w:styleId="61">
    <w:name w:val="标题 6 字符1"/>
    <w:link w:val="6"/>
    <w:qFormat/>
    <w:rPr>
      <w:rFonts w:ascii="Cambria" w:hAnsi="Cambria"/>
      <w:b/>
      <w:bCs/>
      <w:kern w:val="2"/>
      <w:sz w:val="24"/>
      <w:szCs w:val="24"/>
    </w:rPr>
  </w:style>
  <w:style w:type="character" w:customStyle="1" w:styleId="aff9">
    <w:name w:val="标题 字符"/>
    <w:uiPriority w:val="10"/>
    <w:qFormat/>
    <w:rPr>
      <w:rFonts w:ascii="等线 Light" w:eastAsia="等线 Light" w:hAnsi="等线 Light" w:cs="Times New Roman"/>
      <w:b/>
      <w:bCs/>
      <w:kern w:val="2"/>
      <w:sz w:val="32"/>
      <w:szCs w:val="32"/>
    </w:rPr>
  </w:style>
  <w:style w:type="character" w:customStyle="1" w:styleId="affa">
    <w:name w:val="副标题 字符"/>
    <w:uiPriority w:val="11"/>
    <w:qFormat/>
    <w:rPr>
      <w:rFonts w:ascii="等线" w:eastAsia="等线" w:hAnsi="等线" w:cs="Times New Roman"/>
      <w:b/>
      <w:bCs/>
      <w:kern w:val="28"/>
      <w:sz w:val="32"/>
      <w:szCs w:val="32"/>
    </w:rPr>
  </w:style>
  <w:style w:type="paragraph" w:customStyle="1" w:styleId="xl72">
    <w:name w:val="xl72"/>
    <w:basedOn w:val="a0"/>
    <w:qFormat/>
    <w:pPr>
      <w:widowControl/>
      <w:spacing w:before="100" w:beforeAutospacing="1" w:after="100" w:afterAutospacing="1" w:line="240" w:lineRule="auto"/>
      <w:ind w:firstLineChars="0" w:firstLine="0"/>
      <w:jc w:val="center"/>
    </w:pPr>
    <w:rPr>
      <w:rFonts w:cs="宋体"/>
      <w:kern w:val="0"/>
    </w:rPr>
  </w:style>
  <w:style w:type="paragraph" w:customStyle="1" w:styleId="affb">
    <w:name w:val="正文（深信服）"/>
    <w:qFormat/>
    <w:pPr>
      <w:spacing w:line="360" w:lineRule="auto"/>
      <w:ind w:firstLine="420"/>
    </w:pPr>
    <w:rPr>
      <w:rFonts w:ascii="Arial" w:hAnsi="Arial"/>
      <w:sz w:val="24"/>
      <w:szCs w:val="21"/>
      <w:shd w:val="clear" w:color="auto" w:fill="FFFFFF"/>
    </w:rPr>
  </w:style>
  <w:style w:type="paragraph" w:customStyle="1" w:styleId="xl70">
    <w:name w:val="xl70"/>
    <w:basedOn w:val="a0"/>
    <w:qFormat/>
    <w:pPr>
      <w:widowControl/>
      <w:pBdr>
        <w:bottom w:val="single" w:sz="4" w:space="0" w:color="auto"/>
        <w:right w:val="single" w:sz="4" w:space="0" w:color="auto"/>
      </w:pBdr>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Style2">
    <w:name w:val="_Style 2"/>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1f">
    <w:name w:val="正文缩进1"/>
    <w:basedOn w:val="a0"/>
    <w:qFormat/>
    <w:pPr>
      <w:spacing w:line="240" w:lineRule="auto"/>
      <w:ind w:firstLine="420"/>
    </w:pPr>
    <w:rPr>
      <w:rFonts w:ascii="Times New Roman" w:hAnsi="Times New Roman"/>
      <w:sz w:val="21"/>
      <w:szCs w:val="20"/>
    </w:rPr>
  </w:style>
  <w:style w:type="paragraph" w:customStyle="1" w:styleId="xl68">
    <w:name w:val="xl68"/>
    <w:basedOn w:val="a0"/>
    <w:qFormat/>
    <w:pPr>
      <w:widowControl/>
      <w:pBdr>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c">
    <w:name w:val="前言、引言标题"/>
    <w:next w:val="a0"/>
    <w:uiPriority w:val="99"/>
    <w:qFormat/>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0"/>
    <w:qFormat/>
    <w:pPr>
      <w:ind w:firstLineChars="150" w:firstLine="150"/>
    </w:pPr>
  </w:style>
  <w:style w:type="paragraph" w:customStyle="1" w:styleId="msonormal0">
    <w:name w:val="msonormal"/>
    <w:basedOn w:val="a0"/>
    <w:qFormat/>
    <w:pPr>
      <w:widowControl/>
      <w:spacing w:before="100" w:beforeAutospacing="1" w:after="100" w:afterAutospacing="1" w:line="240" w:lineRule="auto"/>
      <w:ind w:firstLineChars="0" w:firstLine="0"/>
      <w:jc w:val="left"/>
    </w:pPr>
    <w:rPr>
      <w:rFonts w:cs="宋体"/>
      <w:kern w:val="0"/>
    </w:rPr>
  </w:style>
  <w:style w:type="paragraph" w:customStyle="1" w:styleId="26">
    <w:name w:val="正文 缩进2字符"/>
    <w:basedOn w:val="a0"/>
    <w:qFormat/>
    <w:pPr>
      <w:spacing w:afterLines="50" w:line="240" w:lineRule="auto"/>
      <w:ind w:firstLineChars="0" w:firstLine="0"/>
    </w:pPr>
    <w:rPr>
      <w:rFonts w:ascii="Times New Roman" w:hAnsi="Times New Roman" w:cs="宋体"/>
      <w:sz w:val="21"/>
      <w:szCs w:val="20"/>
    </w:rPr>
  </w:style>
  <w:style w:type="paragraph" w:customStyle="1" w:styleId="a">
    <w:name w:val="列项●（二级）"/>
    <w:qFormat/>
    <w:pPr>
      <w:numPr>
        <w:numId w:val="2"/>
      </w:numPr>
      <w:tabs>
        <w:tab w:val="left" w:pos="840"/>
      </w:tabs>
      <w:ind w:leftChars="400" w:left="600" w:hangingChars="200" w:hanging="200"/>
      <w:jc w:val="both"/>
    </w:pPr>
    <w:rPr>
      <w:rFonts w:ascii="宋体"/>
      <w:sz w:val="21"/>
    </w:rPr>
  </w:style>
  <w:style w:type="paragraph" w:customStyle="1" w:styleId="affd">
    <w:name w:val="助手文本"/>
    <w:basedOn w:val="a0"/>
    <w:qFormat/>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e">
    <w:name w:val="段"/>
    <w:qFormat/>
    <w:pPr>
      <w:autoSpaceDE w:val="0"/>
      <w:autoSpaceDN w:val="0"/>
      <w:ind w:firstLineChars="200" w:firstLine="200"/>
      <w:jc w:val="both"/>
    </w:pPr>
    <w:rPr>
      <w:rFonts w:ascii="宋体" w:cs="Calibri"/>
      <w:sz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rPr>
  </w:style>
  <w:style w:type="paragraph" w:customStyle="1" w:styleId="CharCharCharCharCharChar1Char">
    <w:name w:val="Char Char Char Char Char Char1 Char"/>
    <w:basedOn w:val="a0"/>
    <w:qFormat/>
    <w:pPr>
      <w:widowControl/>
      <w:spacing w:after="160" w:line="240" w:lineRule="exact"/>
      <w:jc w:val="left"/>
    </w:pPr>
  </w:style>
  <w:style w:type="paragraph" w:customStyle="1" w:styleId="PMBody">
    <w:name w:val="PM_Body"/>
    <w:basedOn w:val="a0"/>
    <w:qFormat/>
    <w:locked/>
    <w:rPr>
      <w:szCs w:val="21"/>
    </w:rPr>
  </w:style>
  <w:style w:type="paragraph" w:customStyle="1" w:styleId="CharChar1">
    <w:name w:val="Char Char1"/>
    <w:basedOn w:val="a0"/>
    <w:qFormat/>
    <w:pPr>
      <w:widowControl/>
      <w:spacing w:before="120" w:after="120"/>
    </w:pPr>
    <w:rPr>
      <w:rFonts w:ascii="Times New Roman" w:hAnsi="Times New Roman" w:cs="宋体"/>
    </w:rPr>
  </w:style>
  <w:style w:type="paragraph" w:customStyle="1" w:styleId="xl71">
    <w:name w:val="xl71"/>
    <w:basedOn w:val="a0"/>
    <w:qFormat/>
    <w:pPr>
      <w:widowControl/>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1f0">
    <w:name w:val="修订1"/>
    <w:uiPriority w:val="99"/>
    <w:unhideWhenUsed/>
    <w:qFormat/>
    <w:rPr>
      <w:rFonts w:ascii="宋体" w:hAnsi="宋体"/>
      <w:kern w:val="2"/>
      <w:sz w:val="24"/>
      <w:szCs w:val="24"/>
    </w:rPr>
  </w:style>
  <w:style w:type="paragraph" w:customStyle="1" w:styleId="27">
    <w:name w:val="列出段落2"/>
    <w:basedOn w:val="a0"/>
    <w:qFormat/>
    <w:pPr>
      <w:spacing w:line="240" w:lineRule="auto"/>
      <w:ind w:firstLine="420"/>
    </w:pPr>
    <w:rPr>
      <w:rFonts w:ascii="等线" w:eastAsia="等线" w:hAnsi="等线" w:cs="等线"/>
      <w:sz w:val="21"/>
      <w:szCs w:val="21"/>
    </w:rPr>
  </w:style>
  <w:style w:type="paragraph" w:customStyle="1" w:styleId="xl69">
    <w:name w:val="xl69"/>
    <w:basedOn w:val="a0"/>
    <w:qFormat/>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kern w:val="0"/>
      <w:sz w:val="18"/>
      <w:szCs w:val="1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f">
    <w:name w:val="文档正文文本（中安网脉）"/>
    <w:basedOn w:val="a0"/>
    <w:qFormat/>
    <w:pPr>
      <w:ind w:firstLine="200"/>
    </w:pPr>
    <w:rPr>
      <w:rFonts w:ascii="Times New Roman" w:eastAsia="仿宋_GB2312" w:hAnsi="Times New Roman"/>
      <w:color w:val="000000"/>
      <w:szCs w:val="28"/>
    </w:rPr>
  </w:style>
  <w:style w:type="paragraph" w:customStyle="1" w:styleId="xl65">
    <w:name w:val="xl65"/>
    <w:basedOn w:val="a0"/>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f0">
    <w:name w:val="正文样式"/>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0"/>
    <w:qFormat/>
    <w:pPr>
      <w:ind w:firstLine="560"/>
      <w:jc w:val="left"/>
    </w:pPr>
    <w:rPr>
      <w:rFonts w:ascii="仿宋" w:eastAsia="仿宋" w:hAnsi="仿宋" w:cs="宋体"/>
      <w:sz w:val="28"/>
      <w:szCs w:val="20"/>
    </w:rPr>
  </w:style>
  <w:style w:type="paragraph" w:customStyle="1" w:styleId="TOC1">
    <w:name w:val="TOC 标题1"/>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f1">
    <w:name w:val="!我的表格1"/>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网格型1"/>
    <w:basedOn w:val="a2"/>
    <w:uiPriority w:val="59"/>
    <w:unhideWhenUsed/>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qFormat/>
    <w:rPr>
      <w:rFonts w:ascii="宋体" w:eastAsia="黑体" w:hAnsi="宋体"/>
      <w:b/>
      <w:bCs/>
      <w:kern w:val="44"/>
      <w:sz w:val="32"/>
      <w:szCs w:val="28"/>
    </w:rPr>
  </w:style>
  <w:style w:type="character" w:customStyle="1" w:styleId="Char20">
    <w:name w:val="纯文本 Char2"/>
    <w:qFormat/>
    <w:rPr>
      <w:rFonts w:ascii="宋体" w:eastAsia="宋体" w:hAnsi="宋体" w:cs="Times New Roman"/>
      <w:color w:val="000000"/>
      <w:kern w:val="0"/>
      <w:sz w:val="24"/>
      <w:szCs w:val="24"/>
    </w:rPr>
  </w:style>
  <w:style w:type="paragraph" w:customStyle="1" w:styleId="afff1">
    <w:name w:val="可研正文"/>
    <w:basedOn w:val="a0"/>
    <w:link w:val="Char3"/>
    <w:qFormat/>
    <w:pPr>
      <w:ind w:firstLine="200"/>
    </w:pPr>
    <w:rPr>
      <w:rFonts w:ascii="仿宋" w:eastAsia="仿宋" w:hAnsi="仿宋"/>
      <w:sz w:val="28"/>
      <w:szCs w:val="28"/>
    </w:rPr>
  </w:style>
  <w:style w:type="paragraph" w:customStyle="1" w:styleId="28">
    <w:name w:val="修订2"/>
    <w:hidden/>
    <w:uiPriority w:val="99"/>
    <w:semiHidden/>
    <w:qFormat/>
    <w:rPr>
      <w:rFonts w:ascii="宋体" w:hAnsi="宋体"/>
      <w:kern w:val="2"/>
      <w:sz w:val="24"/>
      <w:szCs w:val="24"/>
    </w:rPr>
  </w:style>
  <w:style w:type="character" w:customStyle="1" w:styleId="Char3">
    <w:name w:val="可研正文 Char"/>
    <w:link w:val="afff1"/>
    <w:qFormat/>
    <w:rPr>
      <w:rFonts w:ascii="仿宋" w:eastAsia="仿宋" w:hAnsi="仿宋"/>
      <w:kern w:val="2"/>
      <w:sz w:val="28"/>
      <w:szCs w:val="28"/>
    </w:rPr>
  </w:style>
  <w:style w:type="paragraph" w:customStyle="1" w:styleId="afff2">
    <w:name w:val="可研标题"/>
    <w:basedOn w:val="af3"/>
    <w:autoRedefine/>
    <w:qFormat/>
    <w:pPr>
      <w:spacing w:line="360" w:lineRule="auto"/>
    </w:pPr>
    <w:rPr>
      <w:rFonts w:ascii="微软雅黑" w:eastAsia="微软雅黑" w:hAnsi="微软雅黑"/>
      <w:b w:val="0"/>
      <w:szCs w:val="52"/>
    </w:rPr>
  </w:style>
  <w:style w:type="paragraph" w:customStyle="1" w:styleId="B-">
    <w:name w:val="B-表正文"/>
    <w:qFormat/>
    <w:rPr>
      <w:rFonts w:eastAsia="仿宋"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42</Pages>
  <Words>4212</Words>
  <Characters>24015</Characters>
  <Application>Microsoft Office Word</Application>
  <DocSecurity>0</DocSecurity>
  <Lines>200</Lines>
  <Paragraphs>56</Paragraphs>
  <ScaleCrop>false</ScaleCrop>
  <Company>HP Inc.</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gtig_tzb</dc:creator>
  <cp:lastModifiedBy>李瑶</cp:lastModifiedBy>
  <cp:revision>3</cp:revision>
  <cp:lastPrinted>2020-08-06T12:08:00Z</cp:lastPrinted>
  <dcterms:created xsi:type="dcterms:W3CDTF">2025-01-09T07:28:00Z</dcterms:created>
  <dcterms:modified xsi:type="dcterms:W3CDTF">2025-01-09T07:43:00Z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09D00752EA834FFFA6C2BFF0C307D225_13</vt:lpwstr>
  </property>
</Properties>
</file>