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宋体" w:cs="宋体"/>
          <w:b/>
        </w:rPr>
      </w:pPr>
      <w:r>
        <w:rPr>
          <w:rFonts w:hint="eastAsia" w:ascii="宋体" w:hAnsi="宋体" w:eastAsia="宋体" w:cs="宋体"/>
          <w:b/>
          <w:sz w:val="44"/>
          <w:szCs w:val="44"/>
        </w:rPr>
        <w:t>采购需求</w:t>
      </w:r>
    </w:p>
    <w:p>
      <w:pPr>
        <w:spacing w:after="0" w:line="360" w:lineRule="auto"/>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一、项目基本情况</w:t>
      </w:r>
    </w:p>
    <w:p>
      <w:pPr>
        <w:spacing w:after="0"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指导思想</w:t>
      </w:r>
    </w:p>
    <w:p>
      <w:pPr>
        <w:spacing w:after="0"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落实市委、市政府主要领导赴对口地区考察调研期间的重要讲话指示精神，围绕上海建设国际消费中心城市和全国消费帮扶重点城市的工作要求，立足对口地区资源禀赋，深化消费帮扶。充分发挥上海大市场、大流通、大平台优势，不断扩大对口地区特色商品和文旅等项目联动的市场影响力，促进双向赋能，推动产业协作、消费协作不断取得新成效。</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仿宋_GB2312" w:eastAsia="仿宋_GB2312" w:cs="仿宋_GB2312"/>
          <w:sz w:val="32"/>
          <w:szCs w:val="32"/>
          <w:lang w:eastAsia="zh-CN"/>
        </w:rPr>
        <w:t>（二）</w:t>
      </w:r>
      <w:r>
        <w:rPr>
          <w:rFonts w:hint="eastAsia" w:ascii="仿宋_GB2312" w:hAnsi="黑体" w:eastAsia="仿宋_GB2312" w:cs="黑体"/>
          <w:bCs/>
          <w:sz w:val="32"/>
          <w:szCs w:val="32"/>
        </w:rPr>
        <w:t>参展对象</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我市对口支援地区新疆喀什、克拉玛依、新疆生产建设兵团草湖项目区，西藏日喀则，青海果洛，重庆万州，湖北宜昌夷陵；对口协作地区云南省；对口合作地区福建三明、安徽六安、辽宁大连；合作框架协议地区内蒙古、山东、河南、贵州、宁夏。</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仿宋_GB2312" w:eastAsia="仿宋_GB2312" w:cs="仿宋_GB2312"/>
          <w:sz w:val="32"/>
          <w:szCs w:val="32"/>
          <w:lang w:eastAsia="zh-CN"/>
        </w:rPr>
        <w:t>（三）</w:t>
      </w:r>
      <w:r>
        <w:rPr>
          <w:rFonts w:hint="eastAsia" w:ascii="仿宋_GB2312" w:hAnsi="黑体" w:eastAsia="仿宋_GB2312" w:cs="黑体"/>
          <w:bCs/>
          <w:sz w:val="32"/>
          <w:szCs w:val="32"/>
        </w:rPr>
        <w:t>主办单位</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上海市对口支援与合作交流工作领导小组办公室</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仿宋_GB2312" w:eastAsia="仿宋_GB2312" w:cs="仿宋_GB2312"/>
          <w:sz w:val="32"/>
          <w:szCs w:val="32"/>
          <w:lang w:eastAsia="zh-CN"/>
        </w:rPr>
        <w:t>（四）</w:t>
      </w:r>
      <w:r>
        <w:rPr>
          <w:rFonts w:hint="eastAsia" w:ascii="仿宋_GB2312" w:hAnsi="黑体" w:eastAsia="仿宋_GB2312" w:cs="黑体"/>
          <w:bCs/>
          <w:sz w:val="32"/>
          <w:szCs w:val="32"/>
        </w:rPr>
        <w:t>时间</w:t>
      </w:r>
    </w:p>
    <w:p>
      <w:pPr>
        <w:spacing w:after="0" w:line="360" w:lineRule="auto"/>
        <w:ind w:firstLine="640" w:firstLineChars="200"/>
        <w:contextualSpacing/>
        <w:rPr>
          <w:rFonts w:hint="default" w:ascii="仿宋_GB2312" w:hAnsi="黑体" w:eastAsia="仿宋_GB2312" w:cs="黑体"/>
          <w:bCs/>
          <w:sz w:val="32"/>
          <w:szCs w:val="32"/>
          <w:lang w:val="en-US" w:eastAsia="zh-CN"/>
        </w:rPr>
      </w:pPr>
      <w:r>
        <w:rPr>
          <w:rFonts w:hint="eastAsia" w:ascii="仿宋_GB2312" w:hAnsi="黑体" w:eastAsia="仿宋_GB2312" w:cs="黑体"/>
          <w:bCs/>
          <w:sz w:val="32"/>
          <w:szCs w:val="32"/>
        </w:rPr>
        <w:t>2025年9月2日至4日搭建布展</w:t>
      </w:r>
      <w:r>
        <w:rPr>
          <w:rFonts w:hint="eastAsia" w:ascii="仿宋_GB2312" w:hAnsi="黑体" w:eastAsia="仿宋_GB2312" w:cs="黑体"/>
          <w:bCs/>
          <w:sz w:val="32"/>
          <w:szCs w:val="32"/>
          <w:lang w:eastAsia="zh-CN"/>
        </w:rPr>
        <w:t>，</w:t>
      </w:r>
      <w:r>
        <w:rPr>
          <w:rFonts w:hint="eastAsia" w:ascii="仿宋_GB2312" w:hAnsi="黑体" w:eastAsia="仿宋_GB2312" w:cs="黑体"/>
          <w:bCs/>
          <w:sz w:val="32"/>
          <w:szCs w:val="32"/>
        </w:rPr>
        <w:t>9月5日至8日（周五至次周一）</w:t>
      </w:r>
      <w:r>
        <w:rPr>
          <w:rFonts w:hint="eastAsia" w:ascii="仿宋_GB2312" w:hAnsi="黑体" w:eastAsia="仿宋_GB2312" w:cs="黑体"/>
          <w:bCs/>
          <w:sz w:val="32"/>
          <w:szCs w:val="32"/>
          <w:lang w:eastAsia="zh-CN"/>
        </w:rPr>
        <w:t>展期，</w:t>
      </w:r>
      <w:r>
        <w:rPr>
          <w:rFonts w:hint="eastAsia" w:ascii="仿宋_GB2312" w:hAnsi="黑体" w:eastAsia="仿宋_GB2312" w:cs="黑体"/>
          <w:bCs/>
          <w:sz w:val="32"/>
          <w:szCs w:val="32"/>
          <w:lang w:val="en-US" w:eastAsia="zh-CN"/>
        </w:rPr>
        <w:t>9月8日当天撤展。</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仿宋_GB2312" w:eastAsia="仿宋_GB2312" w:cs="仿宋_GB2312"/>
          <w:sz w:val="32"/>
          <w:szCs w:val="32"/>
          <w:lang w:eastAsia="zh-CN"/>
        </w:rPr>
        <w:t>（五）</w:t>
      </w:r>
      <w:r>
        <w:rPr>
          <w:rFonts w:hint="eastAsia" w:ascii="仿宋_GB2312" w:hAnsi="黑体" w:eastAsia="仿宋_GB2312" w:cs="黑体"/>
          <w:bCs/>
          <w:sz w:val="32"/>
          <w:szCs w:val="32"/>
        </w:rPr>
        <w:t>地点</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上海展览中心全馆（室内展馆面积19218平方米，包括中央大厅、东西平台及序馆、东一馆、西一馆）</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仿宋_GB2312" w:eastAsia="仿宋_GB2312" w:cs="仿宋_GB2312"/>
          <w:sz w:val="32"/>
          <w:szCs w:val="32"/>
          <w:lang w:eastAsia="zh-CN"/>
        </w:rPr>
        <w:t>（六）</w:t>
      </w:r>
      <w:r>
        <w:rPr>
          <w:rFonts w:hint="eastAsia" w:ascii="仿宋_GB2312" w:hAnsi="黑体" w:eastAsia="仿宋_GB2312" w:cs="黑体"/>
          <w:bCs/>
          <w:sz w:val="32"/>
          <w:szCs w:val="32"/>
        </w:rPr>
        <w:t>主题</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“跨越山海 申情乐购”</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仿宋_GB2312" w:eastAsia="仿宋_GB2312" w:cs="仿宋_GB2312"/>
          <w:sz w:val="32"/>
          <w:szCs w:val="32"/>
          <w:lang w:eastAsia="zh-CN"/>
        </w:rPr>
        <w:t>（七）</w:t>
      </w:r>
      <w:r>
        <w:rPr>
          <w:rFonts w:hint="eastAsia" w:ascii="仿宋_GB2312" w:hAnsi="黑体" w:eastAsia="仿宋_GB2312" w:cs="黑体"/>
          <w:bCs/>
          <w:sz w:val="32"/>
          <w:szCs w:val="32"/>
        </w:rPr>
        <w:t>展馆总体设计及区域（功能）划分</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1</w:t>
      </w:r>
      <w:r>
        <w:rPr>
          <w:rFonts w:hint="eastAsia" w:ascii="仿宋_GB2312" w:hAnsi="黑体" w:eastAsia="仿宋_GB2312" w:cs="黑体"/>
          <w:bCs/>
          <w:sz w:val="32"/>
          <w:szCs w:val="32"/>
          <w:lang w:val="en-US" w:eastAsia="zh-CN"/>
        </w:rPr>
        <w:t>.</w:t>
      </w:r>
      <w:r>
        <w:rPr>
          <w:rFonts w:hint="eastAsia" w:ascii="仿宋_GB2312" w:hAnsi="黑体" w:eastAsia="仿宋_GB2312" w:cs="黑体"/>
          <w:bCs/>
          <w:sz w:val="32"/>
          <w:szCs w:val="32"/>
        </w:rPr>
        <w:t>展销区</w:t>
      </w:r>
    </w:p>
    <w:p>
      <w:pPr>
        <w:spacing w:after="0" w:line="360" w:lineRule="auto"/>
        <w:ind w:firstLine="640"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Cs/>
          <w:color w:val="000000" w:themeColor="text1"/>
          <w:sz w:val="32"/>
          <w:szCs w:val="32"/>
          <w14:textFill>
            <w14:solidFill>
              <w14:schemeClr w14:val="tx1"/>
            </w14:solidFill>
          </w14:textFill>
        </w:rPr>
        <w:t>全馆预计安排展位（企业）610个，一般按照1家参展企业1个展位的原则。其中：对口地区安排510个展位，合作框架协议地区安排100个展位。要求设计具有各地方特色的门楣，每个标改展位需要配置标准围板、门框、桌椅、货架、插座、基本美工、基本照明灯具等。</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2</w:t>
      </w:r>
      <w:r>
        <w:rPr>
          <w:rFonts w:hint="eastAsia" w:ascii="仿宋_GB2312" w:hAnsi="黑体" w:eastAsia="仿宋_GB2312" w:cs="黑体"/>
          <w:bCs/>
          <w:sz w:val="32"/>
          <w:szCs w:val="32"/>
          <w:lang w:val="en-US" w:eastAsia="zh-CN"/>
        </w:rPr>
        <w:t>.</w:t>
      </w:r>
      <w:r>
        <w:rPr>
          <w:rFonts w:hint="eastAsia" w:ascii="仿宋_GB2312" w:hAnsi="黑体" w:eastAsia="仿宋_GB2312" w:cs="黑体"/>
          <w:bCs/>
          <w:sz w:val="32"/>
          <w:szCs w:val="32"/>
        </w:rPr>
        <w:t>活动区</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设置展示区、推介区、洽谈区和直播区。其中：</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■展示区（作为向市领导作集中展示和巡馆区域）</w:t>
      </w:r>
    </w:p>
    <w:p>
      <w:pPr>
        <w:spacing w:after="0" w:line="360" w:lineRule="auto"/>
        <w:ind w:firstLine="643"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
          <w:sz w:val="32"/>
          <w:szCs w:val="32"/>
        </w:rPr>
        <w:t>对口工作成果展示区</w:t>
      </w:r>
      <w:r>
        <w:rPr>
          <w:rFonts w:hint="eastAsia" w:ascii="仿宋_GB2312" w:hAnsi="黑体" w:eastAsia="仿宋_GB2312" w:cs="黑体"/>
          <w:bCs/>
          <w:color w:val="000000" w:themeColor="text1"/>
          <w:sz w:val="32"/>
          <w:szCs w:val="32"/>
          <w14:textFill>
            <w14:solidFill>
              <w14:schemeClr w14:val="tx1"/>
            </w14:solidFill>
          </w14:textFill>
        </w:rPr>
        <w:t>（展区面积约500平米）</w:t>
      </w:r>
      <w:r>
        <w:rPr>
          <w:rFonts w:hint="eastAsia" w:ascii="仿宋_GB2312" w:hAnsi="黑体" w:eastAsia="仿宋_GB2312" w:cs="黑体"/>
          <w:b/>
          <w:sz w:val="32"/>
          <w:szCs w:val="32"/>
        </w:rPr>
        <w:t xml:space="preserve"> </w:t>
      </w:r>
      <w:r>
        <w:rPr>
          <w:rFonts w:hint="eastAsia" w:ascii="仿宋_GB2312" w:hAnsi="黑体" w:eastAsia="仿宋_GB2312" w:cs="黑体"/>
          <w:bCs/>
          <w:sz w:val="32"/>
          <w:szCs w:val="32"/>
        </w:rPr>
        <w:t>：设于序馆，以实景化、沉浸式方式呈现上海与对口地区在消费帮扶方面协同发展“4个+”模式的特色做法和成果。</w:t>
      </w:r>
      <w:r>
        <w:rPr>
          <w:rFonts w:hint="eastAsia" w:ascii="仿宋_GB2312" w:hAnsi="黑体" w:eastAsia="仿宋_GB2312" w:cs="黑体"/>
          <w:bCs/>
          <w:color w:val="000000" w:themeColor="text1"/>
          <w:sz w:val="32"/>
          <w:szCs w:val="32"/>
          <w14:textFill>
            <w14:solidFill>
              <w14:schemeClr w14:val="tx1"/>
            </w14:solidFill>
          </w14:textFill>
        </w:rPr>
        <w:t>要求以局部实景造型、数字化等形式呈现，按需配备LED大屏、展板等设施。</w:t>
      </w:r>
    </w:p>
    <w:p>
      <w:pPr>
        <w:spacing w:after="0" w:line="360" w:lineRule="auto"/>
        <w:ind w:firstLine="643"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
          <w:color w:val="000000" w:themeColor="text1"/>
          <w:sz w:val="32"/>
          <w:szCs w:val="32"/>
          <w14:textFill>
            <w14:solidFill>
              <w14:schemeClr w14:val="tx1"/>
            </w14:solidFill>
          </w14:textFill>
        </w:rPr>
        <w:t>特色展示区</w:t>
      </w:r>
      <w:r>
        <w:rPr>
          <w:rFonts w:hint="eastAsia" w:ascii="仿宋_GB2312" w:hAnsi="黑体" w:eastAsia="仿宋_GB2312" w:cs="黑体"/>
          <w:bCs/>
          <w:color w:val="000000" w:themeColor="text1"/>
          <w:sz w:val="32"/>
          <w:szCs w:val="32"/>
          <w14:textFill>
            <w14:solidFill>
              <w14:schemeClr w14:val="tx1"/>
            </w14:solidFill>
          </w14:textFill>
        </w:rPr>
        <w:t>（特装，展区面积约1300平米）：设于中央大厅，计划安排特装展位16个。其中云南作为一个整体设于一侧，并以云果、云咖、云茶、云花等“十大云品”分类展示；其他展位按照行政区域划分并集中展示参展地区优质代表商品及文旅特色。要求配置整体造型形象、隔墙造型、画面展板、插座、陈列架、照明灯具等基本设施。</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■推介（活动）区</w:t>
      </w:r>
    </w:p>
    <w:p>
      <w:pPr>
        <w:spacing w:after="0" w:line="360" w:lineRule="auto"/>
        <w:ind w:firstLine="643"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
          <w:color w:val="000000" w:themeColor="text1"/>
          <w:sz w:val="32"/>
          <w:szCs w:val="32"/>
          <w14:textFill>
            <w14:solidFill>
              <w14:schemeClr w14:val="tx1"/>
            </w14:solidFill>
          </w14:textFill>
        </w:rPr>
        <w:t>展演舞台区</w:t>
      </w:r>
      <w:bookmarkStart w:id="0" w:name="OLE_LINK7"/>
      <w:bookmarkStart w:id="1" w:name="OLE_LINK6"/>
      <w:r>
        <w:rPr>
          <w:rFonts w:hint="eastAsia" w:ascii="仿宋_GB2312" w:hAnsi="黑体" w:eastAsia="仿宋_GB2312" w:cs="黑体"/>
          <w:bCs/>
          <w:color w:val="000000" w:themeColor="text1"/>
          <w:sz w:val="32"/>
          <w:szCs w:val="32"/>
          <w14:textFill>
            <w14:solidFill>
              <w14:schemeClr w14:val="tx1"/>
            </w14:solidFill>
          </w14:textFill>
        </w:rPr>
        <w:t>（展区面积约120平米）</w:t>
      </w:r>
      <w:bookmarkEnd w:id="0"/>
      <w:bookmarkEnd w:id="1"/>
      <w:r>
        <w:rPr>
          <w:rFonts w:hint="eastAsia" w:ascii="仿宋_GB2312" w:hAnsi="黑体" w:eastAsia="仿宋_GB2312" w:cs="黑体"/>
          <w:b/>
          <w:color w:val="000000" w:themeColor="text1"/>
          <w:sz w:val="32"/>
          <w:szCs w:val="32"/>
          <w14:textFill>
            <w14:solidFill>
              <w14:schemeClr w14:val="tx1"/>
            </w14:solidFill>
          </w14:textFill>
        </w:rPr>
        <w:t>：</w:t>
      </w:r>
      <w:r>
        <w:rPr>
          <w:rFonts w:hint="eastAsia" w:ascii="仿宋_GB2312" w:hAnsi="黑体" w:eastAsia="仿宋_GB2312" w:cs="黑体"/>
          <w:bCs/>
          <w:color w:val="000000" w:themeColor="text1"/>
          <w:sz w:val="32"/>
          <w:szCs w:val="32"/>
          <w14:textFill>
            <w14:solidFill>
              <w14:schemeClr w14:val="tx1"/>
            </w14:solidFill>
          </w14:textFill>
        </w:rPr>
        <w:t>设于中央大厅，用于推介和演出等，向市民展示推介对口地区的人文特色、美食美景等。要求提供舞台、演出灯光、无线麦、控台音响设备、LED大屏、观众椅等。</w:t>
      </w:r>
    </w:p>
    <w:p>
      <w:pPr>
        <w:spacing w:after="0" w:line="360" w:lineRule="auto"/>
        <w:ind w:firstLine="643" w:firstLineChars="200"/>
        <w:contextualSpacing/>
        <w:rPr>
          <w:rFonts w:hint="eastAsia" w:ascii="仿宋_GB2312" w:hAnsi="黑体" w:eastAsia="仿宋_GB2312" w:cs="黑体"/>
          <w:bCs/>
          <w:sz w:val="32"/>
          <w:szCs w:val="32"/>
        </w:rPr>
      </w:pPr>
      <w:r>
        <w:rPr>
          <w:rFonts w:hint="eastAsia" w:ascii="仿宋_GB2312" w:hAnsi="黑体" w:eastAsia="仿宋_GB2312" w:cs="黑体"/>
          <w:b/>
          <w:color w:val="000000" w:themeColor="text1"/>
          <w:sz w:val="32"/>
          <w:szCs w:val="32"/>
          <w14:textFill>
            <w14:solidFill>
              <w14:schemeClr w14:val="tx1"/>
            </w14:solidFill>
          </w14:textFill>
        </w:rPr>
        <w:t>主题推介区</w:t>
      </w:r>
      <w:bookmarkStart w:id="2" w:name="OLE_LINK10"/>
      <w:bookmarkStart w:id="3" w:name="OLE_LINK11"/>
      <w:r>
        <w:rPr>
          <w:rFonts w:hint="eastAsia" w:ascii="仿宋_GB2312" w:hAnsi="黑体" w:eastAsia="仿宋_GB2312" w:cs="黑体"/>
          <w:bCs/>
          <w:color w:val="000000" w:themeColor="text1"/>
          <w:sz w:val="32"/>
          <w:szCs w:val="32"/>
          <w14:textFill>
            <w14:solidFill>
              <w14:schemeClr w14:val="tx1"/>
            </w14:solidFill>
          </w14:textFill>
        </w:rPr>
        <w:t>（展区面积约180平米）</w:t>
      </w:r>
      <w:bookmarkEnd w:id="2"/>
      <w:bookmarkEnd w:id="3"/>
      <w:r>
        <w:rPr>
          <w:rFonts w:hint="eastAsia" w:ascii="仿宋_GB2312" w:hAnsi="黑体" w:eastAsia="仿宋_GB2312" w:cs="黑体"/>
          <w:b/>
          <w:color w:val="000000" w:themeColor="text1"/>
          <w:sz w:val="32"/>
          <w:szCs w:val="32"/>
          <w14:textFill>
            <w14:solidFill>
              <w14:schemeClr w14:val="tx1"/>
            </w14:solidFill>
          </w14:textFill>
        </w:rPr>
        <w:t>：</w:t>
      </w:r>
      <w:r>
        <w:rPr>
          <w:rFonts w:hint="eastAsia" w:ascii="仿宋_GB2312" w:hAnsi="黑体" w:eastAsia="仿宋_GB2312" w:cs="黑体"/>
          <w:bCs/>
          <w:color w:val="000000" w:themeColor="text1"/>
          <w:sz w:val="32"/>
          <w:szCs w:val="32"/>
          <w14:textFill>
            <w14:solidFill>
              <w14:schemeClr w14:val="tx1"/>
            </w14:solidFill>
          </w14:textFill>
        </w:rPr>
        <w:t>设于中央大厅西北厢房。要求按需配备音响、桌椅、演讲台、背景墙、LED大屏等设施。</w:t>
      </w:r>
    </w:p>
    <w:p>
      <w:pPr>
        <w:spacing w:after="0" w:line="360" w:lineRule="auto"/>
        <w:ind w:firstLine="643" w:firstLineChars="200"/>
        <w:contextualSpacing/>
        <w:rPr>
          <w:rFonts w:hint="eastAsia" w:ascii="仿宋_GB2312" w:hAnsi="黑体" w:eastAsia="仿宋_GB2312" w:cs="黑体"/>
          <w:bCs/>
          <w:sz w:val="32"/>
          <w:szCs w:val="32"/>
        </w:rPr>
      </w:pPr>
      <w:r>
        <w:rPr>
          <w:rFonts w:hint="eastAsia" w:ascii="仿宋_GB2312" w:hAnsi="黑体" w:eastAsia="仿宋_GB2312" w:cs="黑体"/>
          <w:b/>
          <w:sz w:val="32"/>
          <w:szCs w:val="32"/>
        </w:rPr>
        <w:t>特色商品体验（活动）区</w:t>
      </w:r>
      <w:r>
        <w:rPr>
          <w:rFonts w:hint="eastAsia" w:ascii="仿宋_GB2312" w:hAnsi="黑体" w:eastAsia="仿宋_GB2312" w:cs="黑体"/>
          <w:bCs/>
          <w:sz w:val="32"/>
          <w:szCs w:val="32"/>
        </w:rPr>
        <w:t xml:space="preserve">： </w:t>
      </w:r>
    </w:p>
    <w:p>
      <w:pPr>
        <w:pStyle w:val="15"/>
        <w:numPr>
          <w:ilvl w:val="0"/>
          <w:numId w:val="1"/>
        </w:numPr>
        <w:spacing w:after="0" w:line="360" w:lineRule="auto"/>
        <w:ind w:firstLineChars="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Cs/>
          <w:color w:val="000000" w:themeColor="text1"/>
          <w:sz w:val="32"/>
          <w:szCs w:val="32"/>
          <w14:textFill>
            <w14:solidFill>
              <w14:schemeClr w14:val="tx1"/>
            </w14:solidFill>
          </w14:textFill>
        </w:rPr>
        <w:t>咖行上海·啡跃彩云”云咖文化活动区</w:t>
      </w:r>
      <w:bookmarkStart w:id="4" w:name="OLE_LINK13"/>
      <w:bookmarkStart w:id="5" w:name="OLE_LINK12"/>
      <w:r>
        <w:rPr>
          <w:rFonts w:hint="eastAsia" w:ascii="仿宋_GB2312" w:hAnsi="黑体" w:eastAsia="仿宋_GB2312" w:cs="黑体"/>
          <w:bCs/>
          <w:color w:val="000000" w:themeColor="text1"/>
          <w:sz w:val="32"/>
          <w:szCs w:val="32"/>
          <w14:textFill>
            <w14:solidFill>
              <w14:schemeClr w14:val="tx1"/>
            </w14:solidFill>
          </w14:textFill>
        </w:rPr>
        <w:t>（展区面积约960平米）</w:t>
      </w:r>
      <w:bookmarkEnd w:id="4"/>
      <w:bookmarkEnd w:id="5"/>
      <w:r>
        <w:rPr>
          <w:rFonts w:hint="eastAsia" w:ascii="仿宋_GB2312" w:hAnsi="黑体" w:eastAsia="仿宋_GB2312" w:cs="黑体"/>
          <w:bCs/>
          <w:color w:val="000000" w:themeColor="text1"/>
          <w:sz w:val="32"/>
          <w:szCs w:val="32"/>
          <w14:textFill>
            <w14:solidFill>
              <w14:schemeClr w14:val="tx1"/>
            </w14:solidFill>
          </w14:textFill>
        </w:rPr>
        <w:t>：拟设东馆靠近中央大厅处。要求配置整体造型形象、隔墙造型、画面展板、插座、陈列架、照明灯具、LED大屏、观众椅等基本设施。参展的咖啡企业需按照集市形式进行设计搭建。</w:t>
      </w:r>
    </w:p>
    <w:p>
      <w:pPr>
        <w:pStyle w:val="15"/>
        <w:numPr>
          <w:ilvl w:val="0"/>
          <w:numId w:val="1"/>
        </w:numPr>
        <w:spacing w:after="0" w:line="360" w:lineRule="auto"/>
        <w:ind w:firstLineChars="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Cs/>
          <w:color w:val="000000" w:themeColor="text1"/>
          <w:sz w:val="32"/>
          <w:szCs w:val="32"/>
          <w14:textFill>
            <w14:solidFill>
              <w14:schemeClr w14:val="tx1"/>
            </w14:solidFill>
          </w14:textFill>
        </w:rPr>
        <w:t>茶叶专区</w:t>
      </w:r>
      <w:bookmarkStart w:id="6" w:name="OLE_LINK14"/>
      <w:bookmarkStart w:id="7" w:name="OLE_LINK15"/>
      <w:r>
        <w:rPr>
          <w:rFonts w:hint="eastAsia" w:ascii="仿宋_GB2312" w:hAnsi="黑体" w:eastAsia="仿宋_GB2312" w:cs="黑体"/>
          <w:bCs/>
          <w:color w:val="000000" w:themeColor="text1"/>
          <w:sz w:val="32"/>
          <w:szCs w:val="32"/>
          <w14:textFill>
            <w14:solidFill>
              <w14:schemeClr w14:val="tx1"/>
            </w14:solidFill>
          </w14:textFill>
        </w:rPr>
        <w:t>（展区面积约320平米）</w:t>
      </w:r>
      <w:bookmarkEnd w:id="6"/>
      <w:bookmarkEnd w:id="7"/>
      <w:r>
        <w:rPr>
          <w:rFonts w:hint="eastAsia" w:ascii="仿宋_GB2312" w:hAnsi="黑体" w:eastAsia="仿宋_GB2312" w:cs="黑体"/>
          <w:bCs/>
          <w:color w:val="000000" w:themeColor="text1"/>
          <w:sz w:val="32"/>
          <w:szCs w:val="32"/>
          <w14:textFill>
            <w14:solidFill>
              <w14:schemeClr w14:val="tx1"/>
            </w14:solidFill>
          </w14:textFill>
        </w:rPr>
        <w:t>：设于中央大厅东西平台。要求配置整体造型形象、隔墙造型、画面展板、插座、陈列架、照明灯具等基本设施。</w:t>
      </w:r>
    </w:p>
    <w:p>
      <w:pPr>
        <w:spacing w:after="0" w:line="360" w:lineRule="auto"/>
        <w:ind w:firstLine="640"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Cs/>
          <w:color w:val="000000" w:themeColor="text1"/>
          <w:sz w:val="32"/>
          <w:szCs w:val="32"/>
          <w14:textFill>
            <w14:solidFill>
              <w14:schemeClr w14:val="tx1"/>
            </w14:solidFill>
          </w14:textFill>
        </w:rPr>
        <w:t>③互动品鉴区</w:t>
      </w:r>
      <w:bookmarkStart w:id="8" w:name="OLE_LINK17"/>
      <w:bookmarkStart w:id="9" w:name="OLE_LINK16"/>
      <w:r>
        <w:rPr>
          <w:rFonts w:hint="eastAsia" w:ascii="仿宋_GB2312" w:hAnsi="黑体" w:eastAsia="仿宋_GB2312" w:cs="黑体"/>
          <w:bCs/>
          <w:color w:val="000000" w:themeColor="text1"/>
          <w:sz w:val="32"/>
          <w:szCs w:val="32"/>
          <w14:textFill>
            <w14:solidFill>
              <w14:schemeClr w14:val="tx1"/>
            </w14:solidFill>
          </w14:textFill>
        </w:rPr>
        <w:t>（展区面积约400平米）</w:t>
      </w:r>
      <w:bookmarkEnd w:id="8"/>
      <w:bookmarkEnd w:id="9"/>
      <w:r>
        <w:rPr>
          <w:rFonts w:hint="eastAsia" w:ascii="仿宋_GB2312" w:hAnsi="黑体" w:eastAsia="仿宋_GB2312" w:cs="黑体"/>
          <w:bCs/>
          <w:color w:val="000000" w:themeColor="text1"/>
          <w:sz w:val="32"/>
          <w:szCs w:val="32"/>
          <w14:textFill>
            <w14:solidFill>
              <w14:schemeClr w14:val="tx1"/>
            </w14:solidFill>
          </w14:textFill>
        </w:rPr>
        <w:t>：位于西馆一楼和二楼圆厅。要求配置整体造型形象、隔墙造型、画面展板、插座、陈列架、照明灯具、桌椅及电视机等基本设施。</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■洽谈区</w:t>
      </w:r>
      <w:bookmarkStart w:id="10" w:name="OLE_LINK18"/>
      <w:bookmarkStart w:id="11" w:name="OLE_LINK19"/>
      <w:r>
        <w:rPr>
          <w:rFonts w:hint="eastAsia" w:ascii="仿宋_GB2312" w:hAnsi="黑体" w:eastAsia="仿宋_GB2312" w:cs="黑体"/>
          <w:bCs/>
          <w:color w:val="000000" w:themeColor="text1"/>
          <w:sz w:val="32"/>
          <w:szCs w:val="32"/>
          <w14:textFill>
            <w14:solidFill>
              <w14:schemeClr w14:val="tx1"/>
            </w14:solidFill>
          </w14:textFill>
        </w:rPr>
        <w:t>（展区面积约230平米）</w:t>
      </w:r>
      <w:bookmarkEnd w:id="10"/>
      <w:bookmarkEnd w:id="11"/>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设于中央大厅西南、东北厢房。要求按需配备音响、桌椅、演讲台、背景墙、LED屏等设施。</w:t>
      </w:r>
    </w:p>
    <w:p>
      <w:pPr>
        <w:spacing w:after="0" w:line="360" w:lineRule="auto"/>
        <w:ind w:firstLine="640"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Cs/>
          <w:sz w:val="32"/>
          <w:szCs w:val="32"/>
        </w:rPr>
        <w:t>■线上直播区</w:t>
      </w:r>
      <w:bookmarkStart w:id="12" w:name="OLE_LINK20"/>
      <w:bookmarkStart w:id="13" w:name="OLE_LINK21"/>
      <w:r>
        <w:rPr>
          <w:rFonts w:hint="eastAsia" w:ascii="仿宋_GB2312" w:hAnsi="黑体" w:eastAsia="仿宋_GB2312" w:cs="黑体"/>
          <w:bCs/>
          <w:color w:val="000000" w:themeColor="text1"/>
          <w:sz w:val="32"/>
          <w:szCs w:val="32"/>
          <w14:textFill>
            <w14:solidFill>
              <w14:schemeClr w14:val="tx1"/>
            </w14:solidFill>
          </w14:textFill>
        </w:rPr>
        <w:t>（展区面积约118平米）</w:t>
      </w:r>
      <w:bookmarkEnd w:id="12"/>
      <w:bookmarkEnd w:id="13"/>
    </w:p>
    <w:p>
      <w:pPr>
        <w:spacing w:after="0" w:line="360" w:lineRule="auto"/>
        <w:ind w:firstLine="640"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Cs/>
          <w:color w:val="000000" w:themeColor="text1"/>
          <w:sz w:val="32"/>
          <w:szCs w:val="32"/>
          <w14:textFill>
            <w14:solidFill>
              <w14:schemeClr w14:val="tx1"/>
            </w14:solidFill>
          </w14:textFill>
        </w:rPr>
        <w:t>设于东平台入口处。含玻璃房、桌椅、展示货架、照明灯具、背景板等。</w:t>
      </w:r>
    </w:p>
    <w:p>
      <w:pPr>
        <w:spacing w:after="0" w:line="360" w:lineRule="auto"/>
        <w:ind w:firstLine="640"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Cs/>
          <w:color w:val="000000" w:themeColor="text1"/>
          <w:sz w:val="32"/>
          <w:szCs w:val="32"/>
          <w14:textFill>
            <w14:solidFill>
              <w14:schemeClr w14:val="tx1"/>
            </w14:solidFill>
          </w14:textFill>
        </w:rPr>
        <w:t>3</w:t>
      </w:r>
      <w:r>
        <w:rPr>
          <w:rFonts w:hint="eastAsia" w:ascii="仿宋_GB2312" w:hAnsi="黑体" w:eastAsia="仿宋_GB2312" w:cs="黑体"/>
          <w:bCs/>
          <w:color w:val="000000" w:themeColor="text1"/>
          <w:sz w:val="32"/>
          <w:szCs w:val="32"/>
          <w:lang w:val="en-US" w:eastAsia="zh-CN"/>
          <w14:textFill>
            <w14:solidFill>
              <w14:schemeClr w14:val="tx1"/>
            </w14:solidFill>
          </w14:textFill>
        </w:rPr>
        <w:t>.</w:t>
      </w:r>
      <w:r>
        <w:rPr>
          <w:rFonts w:hint="eastAsia" w:ascii="仿宋_GB2312" w:hAnsi="黑体" w:eastAsia="仿宋_GB2312" w:cs="黑体"/>
          <w:bCs/>
          <w:color w:val="000000" w:themeColor="text1"/>
          <w:sz w:val="32"/>
          <w:szCs w:val="32"/>
          <w14:textFill>
            <w14:solidFill>
              <w14:schemeClr w14:val="tx1"/>
            </w14:solidFill>
          </w14:textFill>
        </w:rPr>
        <w:t>物流仓储区（面积约617平米）</w:t>
      </w:r>
    </w:p>
    <w:p>
      <w:pPr>
        <w:spacing w:after="0" w:line="360" w:lineRule="auto"/>
        <w:ind w:firstLine="640" w:firstLineChars="200"/>
        <w:contextualSpacing/>
        <w:rPr>
          <w:rFonts w:hint="eastAsia" w:ascii="仿宋_GB2312" w:hAnsi="黑体" w:eastAsia="仿宋_GB2312" w:cs="黑体"/>
          <w:bCs/>
          <w:sz w:val="32"/>
          <w:szCs w:val="32"/>
        </w:rPr>
      </w:pPr>
      <w:r>
        <w:rPr>
          <w:rFonts w:hint="eastAsia" w:ascii="仿宋_GB2312" w:hAnsi="黑体" w:eastAsia="仿宋_GB2312" w:cs="黑体"/>
          <w:bCs/>
          <w:sz w:val="32"/>
          <w:szCs w:val="32"/>
        </w:rPr>
        <w:t>在上海展览中心设主仓库和第二仓库用于展前铺货周转，同时为方便展品管理及配送，于各展厅角落设置临时仓库，用于展销会商品、设备等临时存放。</w:t>
      </w:r>
    </w:p>
    <w:p>
      <w:pPr>
        <w:spacing w:after="0" w:line="360" w:lineRule="auto"/>
        <w:ind w:firstLine="640" w:firstLineChars="200"/>
        <w:contextualSpacing/>
        <w:rPr>
          <w:rFonts w:hint="eastAsia" w:ascii="仿宋_GB2312" w:hAnsi="黑体" w:eastAsia="仿宋_GB2312" w:cs="黑体"/>
          <w:bCs/>
          <w:color w:val="000000" w:themeColor="text1"/>
          <w:sz w:val="32"/>
          <w:szCs w:val="32"/>
          <w14:textFill>
            <w14:solidFill>
              <w14:schemeClr w14:val="tx1"/>
            </w14:solidFill>
          </w14:textFill>
        </w:rPr>
      </w:pPr>
      <w:r>
        <w:rPr>
          <w:rFonts w:hint="eastAsia" w:ascii="仿宋_GB2312" w:hAnsi="黑体" w:eastAsia="仿宋_GB2312" w:cs="黑体"/>
          <w:bCs/>
          <w:color w:val="000000" w:themeColor="text1"/>
          <w:sz w:val="32"/>
          <w:szCs w:val="32"/>
          <w14:textFill>
            <w14:solidFill>
              <w14:schemeClr w14:val="tx1"/>
            </w14:solidFill>
          </w14:textFill>
        </w:rPr>
        <w:t>4</w:t>
      </w:r>
      <w:r>
        <w:rPr>
          <w:rFonts w:hint="eastAsia" w:ascii="仿宋_GB2312" w:hAnsi="黑体" w:eastAsia="仿宋_GB2312" w:cs="黑体"/>
          <w:bCs/>
          <w:color w:val="000000" w:themeColor="text1"/>
          <w:sz w:val="32"/>
          <w:szCs w:val="32"/>
          <w:lang w:val="en-US" w:eastAsia="zh-CN"/>
          <w14:textFill>
            <w14:solidFill>
              <w14:schemeClr w14:val="tx1"/>
            </w14:solidFill>
          </w14:textFill>
        </w:rPr>
        <w:t>.</w:t>
      </w:r>
      <w:r>
        <w:rPr>
          <w:rFonts w:hint="eastAsia" w:ascii="仿宋_GB2312" w:hAnsi="黑体" w:eastAsia="仿宋_GB2312" w:cs="黑体"/>
          <w:bCs/>
          <w:color w:val="000000" w:themeColor="text1"/>
          <w:sz w:val="32"/>
          <w:szCs w:val="32"/>
          <w14:textFill>
            <w14:solidFill>
              <w14:schemeClr w14:val="tx1"/>
            </w14:solidFill>
          </w14:textFill>
        </w:rPr>
        <w:t>其他区域及配置：规划设计展商报道处、主办方办公室；设置户外货物临时存储区篷房、户外背景墙（展商名录、背景板）、户外门头（钢架木制特色门楼）等；配置隔离围栏、饮水机及水、拖线板插座、指示牌等。展期内上海展览中心广告。</w:t>
      </w:r>
    </w:p>
    <w:p>
      <w:pPr>
        <w:spacing w:after="0" w:line="360" w:lineRule="auto"/>
        <w:ind w:firstLine="640" w:firstLineChars="200"/>
        <w:jc w:val="left"/>
        <w:rPr>
          <w:rFonts w:hint="eastAsia"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eastAsia="zh-Hans"/>
        </w:rPr>
        <w:t>、</w:t>
      </w:r>
      <w:r>
        <w:rPr>
          <w:rFonts w:hint="eastAsia" w:ascii="黑体" w:hAnsi="黑体" w:eastAsia="黑体" w:cs="黑体"/>
          <w:sz w:val="32"/>
          <w:szCs w:val="32"/>
          <w:lang w:eastAsia="zh-CN"/>
        </w:rPr>
        <w:t>供应商</w:t>
      </w:r>
      <w:r>
        <w:rPr>
          <w:rFonts w:hint="eastAsia" w:ascii="黑体" w:hAnsi="黑体" w:eastAsia="黑体" w:cs="黑体"/>
          <w:sz w:val="32"/>
          <w:szCs w:val="32"/>
        </w:rPr>
        <w:t>要求</w:t>
      </w:r>
    </w:p>
    <w:p>
      <w:pPr>
        <w:spacing w:after="0"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具有展览承办经验及较强的策略规划制定、创意设计、展会执行等能力；具备在项目活动期间适应高强度工作节奏的能力，并对项目执行过程中的各种困难，具有充分预计和解决问题的经验能力；内部管理规范，具有良好的信誉，无重大违法、违规、失信行为</w:t>
      </w:r>
      <w:r>
        <w:rPr>
          <w:rFonts w:hint="eastAsia" w:ascii="仿宋_GB2312" w:hAnsi="仿宋_GB2312" w:eastAsia="仿宋_GB2312" w:cs="仿宋_GB2312"/>
          <w:sz w:val="32"/>
          <w:szCs w:val="32"/>
          <w:lang w:eastAsia="zh-CN"/>
        </w:rPr>
        <w:t>。</w:t>
      </w:r>
    </w:p>
    <w:p>
      <w:pPr>
        <w:pStyle w:val="3"/>
        <w:spacing w:after="0" w:line="360" w:lineRule="auto"/>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2.★展会现场如有特定工种施工时，施工人员需持相关部门颁发的合法有效证件上岗作业。</w:t>
      </w:r>
    </w:p>
    <w:p>
      <w:pPr>
        <w:spacing w:after="0" w:line="360" w:lineRule="auto"/>
        <w:ind w:firstLine="640" w:firstLineChars="200"/>
        <w:contextualSpacing/>
        <w:jc w:val="left"/>
        <w:rPr>
          <w:rFonts w:hint="eastAsia" w:ascii="黑体" w:hAnsi="黑体" w:eastAsia="黑体" w:cs="黑体"/>
          <w:bCs/>
          <w:sz w:val="32"/>
          <w:szCs w:val="32"/>
        </w:rPr>
      </w:pPr>
    </w:p>
    <w:p>
      <w:pPr>
        <w:spacing w:after="0" w:line="360" w:lineRule="auto"/>
        <w:rPr>
          <w:rFonts w:hint="eastAsia" w:ascii="黑体" w:hAnsi="黑体" w:eastAsia="黑体" w:cs="黑体"/>
          <w:sz w:val="32"/>
          <w:szCs w:val="32"/>
        </w:rPr>
      </w:pPr>
      <w:r>
        <w:rPr>
          <w:rFonts w:hint="eastAsia" w:ascii="黑体" w:hAnsi="黑体" w:eastAsia="黑体" w:cs="黑体"/>
          <w:sz w:val="32"/>
          <w:szCs w:val="32"/>
        </w:rPr>
        <w:t>三、交付状态</w:t>
      </w:r>
    </w:p>
    <w:p>
      <w:pPr>
        <w:spacing w:after="0"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展会开幕前，采购人现场进行实地验收；展会结束后，</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及时报送项目实施总结评估报告，由采购人组织最终验收。</w:t>
      </w:r>
    </w:p>
    <w:p>
      <w:pPr>
        <w:spacing w:after="0" w:line="360" w:lineRule="auto"/>
        <w:ind w:firstLine="640" w:firstLineChars="200"/>
        <w:contextualSpacing/>
        <w:jc w:val="left"/>
        <w:rPr>
          <w:rFonts w:hint="eastAsia" w:ascii="黑体" w:hAnsi="黑体" w:eastAsia="黑体" w:cs="黑体"/>
          <w:bCs/>
          <w:sz w:val="32"/>
          <w:szCs w:val="32"/>
        </w:rPr>
      </w:pPr>
    </w:p>
    <w:p>
      <w:pPr>
        <w:pStyle w:val="2"/>
        <w:spacing w:after="0" w:line="360" w:lineRule="auto"/>
        <w:ind w:left="0" w:leftChars="0"/>
        <w:rPr>
          <w:rFonts w:hint="eastAsia" w:cs="黑体"/>
          <w:b w:val="0"/>
          <w:kern w:val="2"/>
          <w:sz w:val="32"/>
          <w:szCs w:val="32"/>
        </w:rPr>
      </w:pPr>
      <w:r>
        <w:rPr>
          <w:rFonts w:hint="eastAsia" w:cs="黑体"/>
          <w:b w:val="0"/>
          <w:kern w:val="2"/>
          <w:sz w:val="32"/>
          <w:szCs w:val="32"/>
        </w:rPr>
        <w:t>四、需求概述</w:t>
      </w:r>
    </w:p>
    <w:p>
      <w:pPr>
        <w:spacing w:after="0" w:line="360" w:lineRule="auto"/>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（一）指导思想与设计原则</w:t>
      </w:r>
    </w:p>
    <w:p>
      <w:pPr>
        <w:spacing w:after="0" w:line="360" w:lineRule="auto"/>
        <w:ind w:firstLine="640" w:firstLineChars="200"/>
        <w:rPr>
          <w:rFonts w:hint="eastAsia"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lang w:val="en-US" w:eastAsia="zh-CN"/>
        </w:rPr>
        <w:t>.</w:t>
      </w:r>
      <w:r>
        <w:rPr>
          <w:rFonts w:ascii="仿宋_GB2312" w:hAnsi="宋体" w:eastAsia="仿宋_GB2312" w:cs="宋体"/>
          <w:sz w:val="32"/>
          <w:szCs w:val="32"/>
        </w:rPr>
        <w:t>指导思想：</w:t>
      </w:r>
      <w:r>
        <w:rPr>
          <w:rFonts w:hint="eastAsia" w:ascii="仿宋_GB2312" w:hAnsi="宋体" w:eastAsia="仿宋_GB2312" w:cs="宋体"/>
          <w:sz w:val="32"/>
          <w:szCs w:val="32"/>
        </w:rPr>
        <w:t>为继续深入贯彻落实习近平总书记在中央农村工作会议上的讲话精神，助力扩大内需、提振消费，上海市对口支援与合作交流工作领导小组办公室将举办“第八届上海市对口地区特色商品展销会”。</w:t>
      </w:r>
      <w:r>
        <w:rPr>
          <w:rFonts w:hint="eastAsia" w:ascii="仿宋_GB2312" w:hAnsi="宋体" w:eastAsia="仿宋_GB2312" w:cs="宋体"/>
          <w:sz w:val="32"/>
          <w:szCs w:val="32"/>
          <w:lang w:eastAsia="zh-CN"/>
        </w:rPr>
        <w:t>响应供应商</w:t>
      </w:r>
      <w:r>
        <w:rPr>
          <w:rFonts w:ascii="仿宋_GB2312" w:hAnsi="宋体" w:eastAsia="仿宋_GB2312" w:cs="宋体"/>
          <w:sz w:val="32"/>
          <w:szCs w:val="32"/>
        </w:rPr>
        <w:t>需根据展会主题要求及场馆规范，提出相应的设计思路、表现形式及展区布局和整体设计，展现</w:t>
      </w:r>
      <w:r>
        <w:rPr>
          <w:rFonts w:hint="eastAsia" w:ascii="仿宋_GB2312" w:hAnsi="宋体" w:eastAsia="仿宋_GB2312" w:cs="宋体"/>
          <w:sz w:val="32"/>
          <w:szCs w:val="32"/>
        </w:rPr>
        <w:t>对口地区地域风貌和风土人情</w:t>
      </w:r>
      <w:r>
        <w:rPr>
          <w:rFonts w:ascii="仿宋_GB2312" w:hAnsi="宋体" w:eastAsia="仿宋_GB2312" w:cs="宋体"/>
          <w:sz w:val="32"/>
          <w:szCs w:val="32"/>
        </w:rPr>
        <w:t>的同时把上海的合作交流、对口支援、区域合作成果成效融入到项目的设计制作中去。</w:t>
      </w:r>
    </w:p>
    <w:p>
      <w:pPr>
        <w:spacing w:after="0" w:line="360" w:lineRule="auto"/>
        <w:ind w:firstLine="640" w:firstLineChars="200"/>
        <w:rPr>
          <w:rFonts w:hint="eastAsia"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lang w:val="en-US" w:eastAsia="zh-CN"/>
        </w:rPr>
        <w:t>.</w:t>
      </w:r>
      <w:r>
        <w:rPr>
          <w:rFonts w:ascii="仿宋_GB2312" w:hAnsi="宋体" w:eastAsia="仿宋_GB2312" w:cs="宋体"/>
          <w:sz w:val="32"/>
          <w:szCs w:val="32"/>
        </w:rPr>
        <w:t>设计原则：展会活动需提出完整的设计及施工搭建方案并提供全流程搭建管理服务，尤其在造型和制作工艺上需充分考虑展区的外观形象性及整体性，主体结构的安全性和环保性等方面。设计应采取展品与形象表达并重的原则，以创新的思维和现代设计理念及艺术展示手法，实现学术性、知识性、艺术性、趣味性和互动性的有机结合，能呈现展区主题特色和重点亮点。具体如下：</w:t>
      </w:r>
    </w:p>
    <w:p>
      <w:pPr>
        <w:spacing w:after="0" w:line="360" w:lineRule="auto"/>
        <w:ind w:firstLine="640" w:firstLineChars="200"/>
        <w:rPr>
          <w:rFonts w:hint="eastAsia" w:ascii="仿宋_GB2312" w:hAnsi="宋体" w:eastAsia="仿宋_GB2312" w:cs="宋体"/>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宋体" w:eastAsia="仿宋_GB2312" w:cs="宋体"/>
          <w:sz w:val="32"/>
          <w:szCs w:val="32"/>
        </w:rPr>
        <w:t>布局巧妙，空间合理。紧扣内容，精心布局，内容、形式、空间相辅相成，高效引导参展观众注意力。</w:t>
      </w:r>
    </w:p>
    <w:p>
      <w:pPr>
        <w:spacing w:after="0" w:line="360" w:lineRule="auto"/>
        <w:ind w:firstLine="640" w:firstLineChars="200"/>
        <w:rPr>
          <w:rFonts w:hint="eastAsia" w:ascii="仿宋_GB2312" w:hAnsi="宋体" w:eastAsia="仿宋_GB2312" w:cs="宋体"/>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宋体" w:eastAsia="仿宋_GB2312" w:cs="宋体"/>
          <w:sz w:val="32"/>
          <w:szCs w:val="32"/>
        </w:rPr>
        <w:t>参观动线有序，完整顺畅。参观动线设计考虑全面，重点展品展项尽量布置在主通道区域。</w:t>
      </w:r>
    </w:p>
    <w:p>
      <w:pPr>
        <w:spacing w:after="0" w:line="360" w:lineRule="auto"/>
        <w:ind w:firstLine="640" w:firstLineChars="200"/>
        <w:rPr>
          <w:rFonts w:hint="eastAsia" w:ascii="仿宋_GB2312" w:hAnsi="宋体" w:eastAsia="仿宋_GB2312" w:cs="宋体"/>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宋体" w:eastAsia="仿宋_GB2312" w:cs="宋体"/>
          <w:sz w:val="32"/>
          <w:szCs w:val="32"/>
        </w:rPr>
        <w:t>运用图文、视频、多媒体等形式丰富多样的展陈形式，使展区形态鲜活生动富有艺术张力，充分体现参与性、互动性、体验性。</w:t>
      </w:r>
    </w:p>
    <w:p>
      <w:pPr>
        <w:spacing w:after="0" w:line="360" w:lineRule="auto"/>
        <w:ind w:firstLine="640" w:firstLineChars="200"/>
        <w:rPr>
          <w:rFonts w:hint="eastAsia" w:ascii="仿宋_GB2312" w:hAnsi="宋体" w:eastAsia="仿宋_GB2312" w:cs="宋体"/>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（4）</w:t>
      </w:r>
      <w:r>
        <w:rPr>
          <w:rFonts w:hint="eastAsia" w:ascii="仿宋_GB2312" w:hAnsi="宋体" w:eastAsia="仿宋_GB2312" w:cs="宋体"/>
          <w:sz w:val="32"/>
          <w:szCs w:val="32"/>
        </w:rPr>
        <w:t>生态节能，绿色环保。使用材料在满足展馆</w:t>
      </w:r>
      <w:bookmarkStart w:id="16" w:name="_GoBack"/>
      <w:bookmarkEnd w:id="16"/>
      <w:r>
        <w:rPr>
          <w:rFonts w:hint="eastAsia" w:ascii="仿宋_GB2312" w:hAnsi="宋体" w:eastAsia="仿宋_GB2312" w:cs="宋体"/>
          <w:sz w:val="32"/>
          <w:szCs w:val="32"/>
        </w:rPr>
        <w:t>标准的同时，追求生态节能，打造绿色展馆。</w:t>
      </w:r>
    </w:p>
    <w:p>
      <w:pPr>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（二）展示总体要求：</w:t>
      </w:r>
    </w:p>
    <w:p>
      <w:pPr>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宋体" w:eastAsia="仿宋_GB2312" w:cs="宋体"/>
          <w:sz w:val="32"/>
          <w:szCs w:val="32"/>
        </w:rPr>
        <w:t>展览面积19218平方米（以</w:t>
      </w:r>
      <w:r>
        <w:rPr>
          <w:rFonts w:hint="eastAsia" w:ascii="仿宋_GB2312" w:hAnsi="黑体" w:eastAsia="仿宋_GB2312" w:cs="黑体"/>
          <w:bCs/>
          <w:sz w:val="32"/>
          <w:szCs w:val="32"/>
        </w:rPr>
        <w:t>场馆方</w:t>
      </w:r>
      <w:r>
        <w:rPr>
          <w:rFonts w:hint="eastAsia" w:ascii="仿宋_GB2312" w:hAnsi="宋体" w:eastAsia="仿宋_GB2312" w:cs="宋体"/>
          <w:sz w:val="32"/>
          <w:szCs w:val="32"/>
        </w:rPr>
        <w:t>实际</w:t>
      </w:r>
      <w:r>
        <w:rPr>
          <w:rFonts w:hint="eastAsia" w:ascii="仿宋_GB2312" w:hAnsi="宋体" w:eastAsia="仿宋_GB2312" w:cs="宋体"/>
          <w:sz w:val="32"/>
          <w:szCs w:val="32"/>
          <w:highlight w:val="none"/>
        </w:rPr>
        <w:t>图纸</w:t>
      </w:r>
      <w:r>
        <w:rPr>
          <w:rFonts w:hint="eastAsia" w:ascii="仿宋_GB2312" w:hAnsi="宋体" w:eastAsia="仿宋_GB2312" w:cs="宋体"/>
          <w:sz w:val="32"/>
          <w:szCs w:val="32"/>
        </w:rPr>
        <w:t>面积为准</w:t>
      </w:r>
      <w:r>
        <w:rPr>
          <w:rFonts w:hint="eastAsia" w:ascii="仿宋_GB2312" w:hAnsi="宋体" w:eastAsia="仿宋_GB2312" w:cs="宋体"/>
          <w:sz w:val="32"/>
          <w:szCs w:val="32"/>
          <w:lang w:eastAsia="zh-CN"/>
        </w:rPr>
        <w:t>，见附件</w:t>
      </w:r>
      <w:r>
        <w:rPr>
          <w:rFonts w:hint="eastAsia" w:ascii="仿宋_GB2312" w:hAnsi="宋体" w:eastAsia="仿宋_GB2312" w:cs="宋体"/>
          <w:sz w:val="32"/>
          <w:szCs w:val="32"/>
        </w:rPr>
        <w:t>）。</w:t>
      </w:r>
    </w:p>
    <w:p>
      <w:pPr>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展示内容：</w:t>
      </w:r>
    </w:p>
    <w:p>
      <w:pPr>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展品主要为实物、展板、多媒体等。成交供应商根据采购人所提供的素材，设计整体布局、参观动线、完整方案和单体方案。</w:t>
      </w:r>
    </w:p>
    <w:p>
      <w:pPr>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在图片、实物、置景等传统展示手段的基础上，充分运用现代展示手段，融入上海和对口地区元素，各类布局安排合理有序、错落有致。</w:t>
      </w:r>
    </w:p>
    <w:p>
      <w:pPr>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设计方面，色彩搭配把握上要简约、明亮、协调。设计方案须符合上海社会主义现代化国际大都市的形象特质。</w:t>
      </w:r>
    </w:p>
    <w:p>
      <w:pPr>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搭建方面，首先要考虑结构安全性，其次要满足采购人的展示要求。</w:t>
      </w:r>
    </w:p>
    <w:p>
      <w:pPr>
        <w:spacing w:line="360" w:lineRule="auto"/>
        <w:ind w:left="638" w:leftChars="304"/>
        <w:rPr>
          <w:rFonts w:hint="eastAsia" w:ascii="黑体" w:hAnsi="黑体" w:eastAsia="黑体" w:cs="黑体"/>
          <w:b/>
          <w:bCs/>
          <w:color w:val="000000" w:themeColor="text1"/>
          <w:sz w:val="32"/>
          <w:szCs w:val="32"/>
          <w14:textFill>
            <w14:solidFill>
              <w14:schemeClr w14:val="tx1"/>
            </w14:solidFill>
          </w14:textFill>
        </w:rPr>
      </w:pPr>
    </w:p>
    <w:p>
      <w:pPr>
        <w:spacing w:line="360" w:lineRule="auto"/>
        <w:ind w:left="638" w:leftChars="304"/>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五、服务范围及需求</w:t>
      </w:r>
    </w:p>
    <w:p>
      <w:pPr>
        <w:spacing w:after="0" w:line="360" w:lineRule="auto"/>
        <w:ind w:firstLine="640" w:firstLineChars="200"/>
        <w:rPr>
          <w:rFonts w:hint="eastAsia"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全馆各区域设计布局、人流动线、展台3</w:t>
      </w:r>
      <w:r>
        <w:rPr>
          <w:rFonts w:ascii="仿宋_GB2312" w:hAnsi="宋体" w:eastAsia="仿宋_GB2312" w:cs="宋体"/>
          <w:color w:val="000000" w:themeColor="text1"/>
          <w:sz w:val="32"/>
          <w:szCs w:val="32"/>
          <w14:textFill>
            <w14:solidFill>
              <w14:schemeClr w14:val="tx1"/>
            </w14:solidFill>
          </w14:textFill>
        </w:rPr>
        <w:t>D</w:t>
      </w:r>
      <w:r>
        <w:rPr>
          <w:rFonts w:hint="eastAsia" w:ascii="仿宋_GB2312" w:hAnsi="宋体" w:eastAsia="仿宋_GB2312" w:cs="宋体"/>
          <w:color w:val="000000" w:themeColor="text1"/>
          <w:sz w:val="32"/>
          <w:szCs w:val="32"/>
          <w14:textFill>
            <w14:solidFill>
              <w14:schemeClr w14:val="tx1"/>
            </w14:solidFill>
          </w14:textFill>
        </w:rPr>
        <w:t>效果图、平面展示等的设计制作工作；全馆各区域主体搭建结构、图文美工制作；展会现场布展施工搭建及撤展拆除工作。</w:t>
      </w:r>
    </w:p>
    <w:p>
      <w:pPr>
        <w:spacing w:after="0" w:line="360" w:lineRule="auto"/>
        <w:ind w:firstLine="643" w:firstLineChars="200"/>
        <w:jc w:val="left"/>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（一）整体方案设计</w:t>
      </w:r>
    </w:p>
    <w:p>
      <w:pPr>
        <w:spacing w:after="0" w:line="360" w:lineRule="auto"/>
        <w:ind w:firstLine="640" w:firstLineChars="200"/>
        <w:rPr>
          <w:rFonts w:hint="eastAsia"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1.负责统筹所有设计图纸，包括但不限于展台3D渲染效果图、场地平面布置图、动线图、展商展台单体设计图、根据设计需要补充说明的效果图等；</w:t>
      </w:r>
    </w:p>
    <w:p>
      <w:pPr>
        <w:spacing w:after="0" w:line="360" w:lineRule="auto"/>
        <w:ind w:firstLine="640" w:firstLineChars="200"/>
        <w:rPr>
          <w:rFonts w:hint="eastAsia"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2.整体设计策划要求富有创造感，整体造型感强，视觉效果美观大方，能综合体现上海国际化大都市城市形象；</w:t>
      </w:r>
    </w:p>
    <w:p>
      <w:pPr>
        <w:spacing w:after="0" w:line="360" w:lineRule="auto"/>
        <w:ind w:firstLine="640" w:firstLineChars="200"/>
        <w:rPr>
          <w:rFonts w:hint="eastAsia"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3.</w:t>
      </w:r>
      <w:r>
        <w:rPr>
          <w:rFonts w:ascii="仿宋_GB2312" w:hAnsi="宋体" w:eastAsia="仿宋_GB2312" w:cs="宋体"/>
          <w:color w:val="000000" w:themeColor="text1"/>
          <w:sz w:val="32"/>
          <w:szCs w:val="32"/>
          <w14:textFill>
            <w14:solidFill>
              <w14:schemeClr w14:val="tx1"/>
            </w14:solidFill>
          </w14:textFill>
        </w:rPr>
        <w:t>设计需充分考虑展区布局、人流疏导、互动参与、安全环保、管理维护等要求，让设计方案更加直观地展现出来，完成设计并通过采购人审核。</w:t>
      </w:r>
    </w:p>
    <w:p>
      <w:pPr>
        <w:spacing w:after="0" w:line="360" w:lineRule="auto"/>
        <w:ind w:firstLine="643" w:firstLineChars="200"/>
        <w:jc w:val="left"/>
        <w:rPr>
          <w:rFonts w:hint="eastAsia" w:ascii="楷体_GB2312" w:hAnsi="楷体_GB2312" w:eastAsia="楷体_GB2312" w:cs="楷体_GB2312"/>
          <w:b/>
          <w:bCs/>
          <w:color w:val="000000" w:themeColor="text1"/>
          <w:sz w:val="32"/>
          <w:szCs w:val="32"/>
          <w14:textFill>
            <w14:solidFill>
              <w14:schemeClr w14:val="tx1"/>
            </w14:solidFill>
          </w14:textFill>
        </w:rPr>
      </w:pPr>
      <w:bookmarkStart w:id="14" w:name="OLE_LINK8"/>
      <w:bookmarkStart w:id="15" w:name="OLE_LINK9"/>
      <w:r>
        <w:rPr>
          <w:rFonts w:hint="eastAsia" w:ascii="楷体_GB2312" w:hAnsi="楷体_GB2312" w:eastAsia="楷体_GB2312" w:cs="楷体_GB2312"/>
          <w:b/>
          <w:bCs/>
          <w:color w:val="000000" w:themeColor="text1"/>
          <w:sz w:val="32"/>
          <w:szCs w:val="32"/>
          <w14:textFill>
            <w14:solidFill>
              <w14:schemeClr w14:val="tx1"/>
            </w14:solidFill>
          </w14:textFill>
        </w:rPr>
        <w:t>（二）物料制作</w:t>
      </w:r>
    </w:p>
    <w:p>
      <w:pPr>
        <w:spacing w:after="0" w:line="360" w:lineRule="auto"/>
        <w:ind w:firstLine="640" w:firstLineChars="200"/>
        <w:rPr>
          <w:rFonts w:hint="eastAsia" w:ascii="仿宋_GB2312" w:hAnsi="宋体" w:eastAsia="仿宋_GB2312" w:cs="宋体"/>
          <w:color w:val="000000" w:themeColor="text1"/>
          <w:sz w:val="32"/>
          <w:szCs w:val="32"/>
          <w:lang w:eastAsia="zh-CN"/>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1.严格按照采购人审定的设计方案，按时完成展台的主体结构、美工物料的制作工作，把控展区制作工艺，在传统物料制作过程中充分开发并运用绿色环保、安全可靠的布展材料。结合展品特性，在设计、用材、制作等方面有所创新，材料质量合格，绿色环保，不得在使用过程中出现破损、断裂等情况</w:t>
      </w:r>
      <w:r>
        <w:rPr>
          <w:rFonts w:hint="eastAsia" w:ascii="仿宋_GB2312" w:hAnsi="宋体" w:eastAsia="仿宋_GB2312" w:cs="宋体"/>
          <w:color w:val="000000" w:themeColor="text1"/>
          <w:sz w:val="32"/>
          <w:szCs w:val="32"/>
          <w:lang w:eastAsia="zh-CN"/>
          <w14:textFill>
            <w14:solidFill>
              <w14:schemeClr w14:val="tx1"/>
            </w14:solidFill>
          </w14:textFill>
        </w:rPr>
        <w:t>。</w:t>
      </w:r>
    </w:p>
    <w:p>
      <w:pPr>
        <w:spacing w:after="0" w:line="360" w:lineRule="auto"/>
        <w:ind w:firstLine="640" w:firstLineChars="200"/>
        <w:rPr>
          <w:rFonts w:hint="eastAsia" w:ascii="仿宋_GB2312" w:hAnsi="宋体" w:eastAsia="仿宋_GB2312" w:cs="宋体"/>
          <w:color w:val="000000" w:themeColor="text1"/>
          <w:sz w:val="32"/>
          <w:szCs w:val="32"/>
          <w:lang w:eastAsia="zh-CN"/>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2.所有搭建内容的形象设计应符合本项目定位并满足展商、观众及工作人员的实际使用需求。如舞台需含有阻燃地毯、LED屏幕、支撑LED屏幕主体结构、演讲台、讲台前写真、舞台底部区域板材下辅助材料等。相关配套设备包括但不限于LED屏幕、切换台、媒体播放系统、电脑、监视器、视频处理分配系统、翻页器等。LED屏幕需提供高质量播放效果，活动彩排及举办期间全屏无坏点出现</w:t>
      </w:r>
      <w:r>
        <w:rPr>
          <w:rFonts w:hint="eastAsia" w:ascii="仿宋_GB2312" w:hAnsi="宋体" w:eastAsia="仿宋_GB2312" w:cs="宋体"/>
          <w:color w:val="000000" w:themeColor="text1"/>
          <w:sz w:val="32"/>
          <w:szCs w:val="32"/>
          <w:lang w:eastAsia="zh-CN"/>
          <w14:textFill>
            <w14:solidFill>
              <w14:schemeClr w14:val="tx1"/>
            </w14:solidFill>
          </w14:textFill>
        </w:rPr>
        <w:t>。</w:t>
      </w:r>
    </w:p>
    <w:p>
      <w:pPr>
        <w:spacing w:after="0" w:line="360" w:lineRule="auto"/>
        <w:ind w:firstLine="640" w:firstLineChars="200"/>
        <w:rPr>
          <w:rFonts w:hint="eastAsia"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3</w:t>
      </w:r>
      <w:r>
        <w:rPr>
          <w:rFonts w:ascii="仿宋_GB2312" w:hAnsi="宋体" w:eastAsia="仿宋_GB2312" w:cs="宋体"/>
          <w:color w:val="000000" w:themeColor="text1"/>
          <w:sz w:val="32"/>
          <w:szCs w:val="32"/>
          <w14:textFill>
            <w14:solidFill>
              <w14:schemeClr w14:val="tx1"/>
            </w14:solidFill>
          </w14:textFill>
        </w:rPr>
        <w:t>.</w:t>
      </w:r>
      <w:r>
        <w:rPr>
          <w:rFonts w:hint="eastAsia" w:ascii="仿宋_GB2312" w:hAnsi="宋体" w:eastAsia="仿宋_GB2312" w:cs="宋体"/>
          <w:color w:val="000000" w:themeColor="text1"/>
          <w:sz w:val="32"/>
          <w:szCs w:val="32"/>
          <w14:textFill>
            <w14:solidFill>
              <w14:schemeClr w14:val="tx1"/>
            </w14:solidFill>
          </w14:textFill>
        </w:rPr>
        <w:t>为确保展台制作的高质量和稳定性，所有材料的材质、尺寸、性能等指标必须符合或优于报价单中列出的标准，确保其在实际使用中能够满足需求。在材料选择过程中，应优先考虑符合国际或国内相关行业标准的材料，并确保其具备环保性和安全性。所有材料需确保无瑕疵、无缺陷，并在施工过程中按照规范进行安装和固定，避免因材料质量问题或施工不当导致的安全隐患或功能缺失。</w:t>
      </w:r>
    </w:p>
    <w:p>
      <w:pPr>
        <w:spacing w:after="0" w:line="360" w:lineRule="auto"/>
        <w:ind w:firstLine="640" w:firstLineChars="200"/>
        <w:rPr>
          <w:rFonts w:hint="eastAsia"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lang w:val="en-US" w:eastAsia="zh-CN"/>
          <w14:textFill>
            <w14:solidFill>
              <w14:schemeClr w14:val="tx1"/>
            </w14:solidFill>
          </w14:textFill>
        </w:rPr>
        <w:t>4.本项目</w:t>
      </w:r>
      <w:r>
        <w:rPr>
          <w:rFonts w:hint="eastAsia" w:ascii="仿宋_GB2312" w:hAnsi="宋体" w:eastAsia="仿宋_GB2312" w:cs="宋体"/>
          <w:color w:val="000000" w:themeColor="text1"/>
          <w:sz w:val="32"/>
          <w:szCs w:val="32"/>
          <w14:textFill>
            <w14:solidFill>
              <w14:schemeClr w14:val="tx1"/>
            </w14:solidFill>
          </w14:textFill>
        </w:rPr>
        <w:t>所有硬件设备</w:t>
      </w:r>
      <w:r>
        <w:rPr>
          <w:rFonts w:hint="eastAsia" w:ascii="仿宋_GB2312" w:hAnsi="宋体" w:eastAsia="仿宋_GB2312" w:cs="宋体"/>
          <w:color w:val="000000" w:themeColor="text1"/>
          <w:sz w:val="32"/>
          <w:szCs w:val="32"/>
          <w:lang w:eastAsia="zh-CN"/>
          <w14:textFill>
            <w14:solidFill>
              <w14:schemeClr w14:val="tx1"/>
            </w14:solidFill>
          </w14:textFill>
        </w:rPr>
        <w:t>均</w:t>
      </w:r>
      <w:r>
        <w:rPr>
          <w:rFonts w:hint="eastAsia" w:ascii="仿宋_GB2312" w:hAnsi="宋体" w:eastAsia="仿宋_GB2312" w:cs="宋体"/>
          <w:color w:val="000000" w:themeColor="text1"/>
          <w:sz w:val="32"/>
          <w:szCs w:val="32"/>
          <w14:textFill>
            <w14:solidFill>
              <w14:schemeClr w14:val="tx1"/>
            </w14:solidFill>
          </w14:textFill>
        </w:rPr>
        <w:t>采用租赁形式。</w:t>
      </w:r>
    </w:p>
    <w:bookmarkEnd w:id="14"/>
    <w:bookmarkEnd w:id="15"/>
    <w:p>
      <w:pPr>
        <w:spacing w:after="0" w:line="360" w:lineRule="auto"/>
        <w:ind w:firstLine="643" w:firstLineChars="200"/>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（三）布展搭建及撤展</w:t>
      </w:r>
    </w:p>
    <w:p>
      <w:pPr>
        <w:spacing w:after="0" w:line="360" w:lineRule="auto"/>
        <w:ind w:firstLine="640" w:firstLineChars="200"/>
        <w:rPr>
          <w:rFonts w:hint="eastAsia"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.严格遵守展馆的材料和施工要求等方面的规定，办理展台所需的场馆设施及展台进场施工的一切手续；</w:t>
      </w:r>
    </w:p>
    <w:p>
      <w:pPr>
        <w:spacing w:after="0" w:line="360" w:lineRule="auto"/>
        <w:ind w:firstLine="640" w:firstLineChars="200"/>
        <w:rPr>
          <w:rFonts w:hint="eastAsia" w:eastAsia="仿宋_GB2312"/>
        </w:rPr>
      </w:pPr>
      <w:r>
        <w:rPr>
          <w:rFonts w:hint="eastAsia" w:ascii="仿宋_GB2312" w:hAnsi="宋体" w:eastAsia="仿宋_GB2312" w:cs="宋体"/>
          <w:sz w:val="32"/>
          <w:szCs w:val="32"/>
        </w:rPr>
        <w:t>2.接受并积极配合采购人及采购人委派的专业第三方机构的监督与管理；</w:t>
      </w:r>
    </w:p>
    <w:p>
      <w:pPr>
        <w:spacing w:after="0" w:line="360" w:lineRule="auto"/>
        <w:ind w:firstLine="640" w:firstLineChars="200"/>
        <w:rPr>
          <w:rFonts w:hint="eastAsia"/>
        </w:rPr>
      </w:pPr>
      <w:r>
        <w:rPr>
          <w:rFonts w:hint="eastAsia" w:ascii="仿宋_GB2312" w:hAnsi="宋体" w:eastAsia="仿宋_GB2312" w:cs="宋体"/>
          <w:sz w:val="32"/>
          <w:szCs w:val="32"/>
        </w:rPr>
        <w:t>3.负责统筹现场展览施工搭建，在展会指定时间段内</w:t>
      </w:r>
      <w:r>
        <w:rPr>
          <w:rFonts w:ascii="仿宋_GB2312" w:hAnsi="宋体" w:eastAsia="仿宋_GB2312" w:cs="宋体"/>
          <w:sz w:val="32"/>
          <w:szCs w:val="32"/>
        </w:rPr>
        <w:t>安全</w:t>
      </w:r>
      <w:r>
        <w:rPr>
          <w:rFonts w:hint="eastAsia" w:ascii="仿宋_GB2312" w:hAnsi="宋体" w:eastAsia="仿宋_GB2312" w:cs="宋体"/>
          <w:sz w:val="32"/>
          <w:szCs w:val="32"/>
        </w:rPr>
        <w:t>完成所有展区展位的搭建，要求结构牢固，安全环保，并负责现场安装和调试等全部工作；</w:t>
      </w:r>
    </w:p>
    <w:p>
      <w:pPr>
        <w:spacing w:after="0" w:line="360" w:lineRule="auto"/>
        <w:ind w:firstLine="640" w:firstLineChars="200"/>
        <w:rPr>
          <w:rFonts w:hint="eastAsia" w:ascii="仿宋_GB2312" w:hAnsi="宋体" w:eastAsia="仿宋_GB2312" w:cs="宋体"/>
          <w:sz w:val="32"/>
          <w:szCs w:val="32"/>
        </w:rPr>
      </w:pPr>
      <w:r>
        <w:rPr>
          <w:rFonts w:ascii="仿宋_GB2312" w:hAnsi="宋体" w:eastAsia="仿宋_GB2312" w:cs="宋体"/>
          <w:sz w:val="32"/>
          <w:szCs w:val="32"/>
        </w:rPr>
        <w:t>4.展会结束后在展会指定时间内，安全完成撤展、展台拆除等相关工作</w:t>
      </w:r>
      <w:r>
        <w:rPr>
          <w:rFonts w:hint="eastAsia" w:ascii="仿宋_GB2312" w:hAnsi="宋体" w:eastAsia="仿宋_GB2312" w:cs="宋体"/>
          <w:sz w:val="32"/>
          <w:szCs w:val="32"/>
        </w:rPr>
        <w:t>；</w:t>
      </w:r>
    </w:p>
    <w:p>
      <w:pPr>
        <w:spacing w:after="0" w:line="360" w:lineRule="auto"/>
        <w:ind w:firstLine="640" w:firstLineChars="200"/>
        <w:rPr>
          <w:rFonts w:hint="eastAsia" w:ascii="仿宋_GB2312" w:hAnsi="宋体" w:eastAsia="仿宋_GB2312" w:cs="宋体"/>
          <w:sz w:val="32"/>
          <w:szCs w:val="32"/>
        </w:rPr>
      </w:pPr>
      <w:r>
        <w:rPr>
          <w:rFonts w:ascii="仿宋_GB2312" w:hAnsi="宋体" w:eastAsia="仿宋_GB2312" w:cs="宋体"/>
          <w:sz w:val="32"/>
          <w:szCs w:val="32"/>
        </w:rPr>
        <w:t>5.</w:t>
      </w:r>
      <w:r>
        <w:rPr>
          <w:rFonts w:hint="eastAsia" w:ascii="仿宋_GB2312" w:hAnsi="宋体" w:eastAsia="仿宋_GB2312" w:cs="宋体"/>
          <w:sz w:val="32"/>
          <w:szCs w:val="32"/>
          <w:highlight w:val="none"/>
        </w:rPr>
        <w:t>人员</w:t>
      </w:r>
      <w:r>
        <w:rPr>
          <w:rFonts w:hint="eastAsia" w:ascii="仿宋_GB2312" w:hAnsi="宋体" w:eastAsia="仿宋_GB2312" w:cs="宋体"/>
          <w:sz w:val="32"/>
          <w:szCs w:val="32"/>
        </w:rPr>
        <w:t>要求：</w:t>
      </w:r>
      <w:r>
        <w:rPr>
          <w:rFonts w:hint="eastAsia" w:ascii="仿宋_GB2312" w:hAnsi="宋体" w:eastAsia="仿宋_GB2312" w:cs="宋体"/>
          <w:sz w:val="32"/>
          <w:szCs w:val="32"/>
          <w:lang w:eastAsia="zh-CN"/>
        </w:rPr>
        <w:t>应配备专业的管理、设计及施工团队。</w:t>
      </w:r>
      <w:r>
        <w:rPr>
          <w:rFonts w:hint="eastAsia" w:ascii="仿宋_GB2312" w:hAnsi="宋体" w:eastAsia="仿宋_GB2312" w:cs="宋体"/>
          <w:sz w:val="32"/>
          <w:szCs w:val="32"/>
        </w:rPr>
        <w:t>布展期</w:t>
      </w:r>
      <w:r>
        <w:rPr>
          <w:rFonts w:ascii="仿宋_GB2312" w:hAnsi="宋体" w:eastAsia="仿宋_GB2312" w:cs="宋体"/>
          <w:sz w:val="32"/>
          <w:szCs w:val="32"/>
        </w:rPr>
        <w:t>现场管理人员不得少于3人，</w:t>
      </w:r>
      <w:r>
        <w:rPr>
          <w:rFonts w:hint="eastAsia" w:ascii="仿宋_GB2312" w:hAnsi="宋体" w:eastAsia="仿宋_GB2312" w:cs="宋体"/>
          <w:sz w:val="32"/>
          <w:szCs w:val="32"/>
        </w:rPr>
        <w:t>负责统筹施工进度和安全风险排查，确保搭建工作按计划完成</w:t>
      </w:r>
      <w:r>
        <w:rPr>
          <w:rFonts w:ascii="仿宋_GB2312" w:hAnsi="宋体" w:eastAsia="仿宋_GB2312" w:cs="宋体"/>
          <w:sz w:val="32"/>
          <w:szCs w:val="32"/>
        </w:rPr>
        <w:t>；</w:t>
      </w:r>
      <w:r>
        <w:rPr>
          <w:rFonts w:hint="eastAsia" w:ascii="仿宋_GB2312" w:hAnsi="宋体" w:eastAsia="仿宋_GB2312" w:cs="宋体"/>
          <w:sz w:val="32"/>
          <w:szCs w:val="32"/>
        </w:rPr>
        <w:t>开展期现场管理人员及保障人员不得少于</w:t>
      </w:r>
      <w:r>
        <w:rPr>
          <w:rFonts w:ascii="仿宋_GB2312" w:hAnsi="宋体" w:eastAsia="仿宋_GB2312" w:cs="宋体"/>
          <w:sz w:val="32"/>
          <w:szCs w:val="32"/>
        </w:rPr>
        <w:t>5人，负责展台</w:t>
      </w:r>
      <w:r>
        <w:rPr>
          <w:rFonts w:hint="eastAsia" w:ascii="仿宋_GB2312" w:hAnsi="宋体" w:eastAsia="仿宋_GB2312" w:cs="宋体"/>
          <w:sz w:val="32"/>
          <w:szCs w:val="32"/>
        </w:rPr>
        <w:t>技术维护及应急处理</w:t>
      </w:r>
      <w:r>
        <w:rPr>
          <w:rFonts w:ascii="仿宋_GB2312" w:hAnsi="宋体" w:eastAsia="仿宋_GB2312" w:cs="宋体"/>
          <w:sz w:val="32"/>
          <w:szCs w:val="32"/>
        </w:rPr>
        <w:t>；</w:t>
      </w:r>
      <w:r>
        <w:rPr>
          <w:rFonts w:hint="eastAsia" w:ascii="仿宋_GB2312" w:hAnsi="宋体" w:eastAsia="仿宋_GB2312" w:cs="宋体"/>
          <w:sz w:val="32"/>
          <w:szCs w:val="32"/>
        </w:rPr>
        <w:t>撤展期现场管理人员不得少于</w:t>
      </w:r>
      <w:r>
        <w:rPr>
          <w:rFonts w:ascii="仿宋_GB2312" w:hAnsi="宋体" w:eastAsia="仿宋_GB2312" w:cs="宋体"/>
          <w:sz w:val="32"/>
          <w:szCs w:val="32"/>
        </w:rPr>
        <w:t>2人，</w:t>
      </w:r>
      <w:r>
        <w:rPr>
          <w:rFonts w:hint="eastAsia" w:ascii="仿宋_GB2312" w:hAnsi="宋体" w:eastAsia="仿宋_GB2312" w:cs="宋体"/>
          <w:sz w:val="32"/>
          <w:szCs w:val="32"/>
        </w:rPr>
        <w:t>确保撤展作业顺利完成且场地无遗留物。</w:t>
      </w:r>
    </w:p>
    <w:p>
      <w:pPr>
        <w:spacing w:after="0" w:line="360" w:lineRule="auto"/>
        <w:ind w:firstLine="643" w:firstLineChars="200"/>
        <w:jc w:val="left"/>
        <w:rPr>
          <w:rFonts w:hint="eastAsia" w:ascii="楷体_GB2312" w:hAnsi="楷体_GB2312" w:eastAsia="楷体_GB2312" w:cs="楷体_GB2312"/>
          <w:b/>
          <w:bCs/>
          <w:sz w:val="32"/>
          <w:szCs w:val="32"/>
        </w:rPr>
      </w:pPr>
      <w:r>
        <w:rPr>
          <w:rFonts w:ascii="楷体_GB2312" w:hAnsi="楷体_GB2312" w:eastAsia="楷体_GB2312" w:cs="楷体_GB2312"/>
          <w:b/>
          <w:bCs/>
          <w:sz w:val="32"/>
          <w:szCs w:val="32"/>
        </w:rPr>
        <w:t>（</w:t>
      </w:r>
      <w:r>
        <w:rPr>
          <w:rFonts w:hint="eastAsia" w:ascii="楷体_GB2312" w:hAnsi="楷体_GB2312" w:eastAsia="楷体_GB2312" w:cs="楷体_GB2312"/>
          <w:b/>
          <w:bCs/>
          <w:sz w:val="32"/>
          <w:szCs w:val="32"/>
        </w:rPr>
        <w:t>四</w:t>
      </w:r>
      <w:r>
        <w:rPr>
          <w:rFonts w:ascii="楷体_GB2312" w:hAnsi="楷体_GB2312" w:eastAsia="楷体_GB2312" w:cs="楷体_GB2312"/>
          <w:b/>
          <w:bCs/>
          <w:sz w:val="32"/>
          <w:szCs w:val="32"/>
        </w:rPr>
        <w:t>）展期运营保障</w:t>
      </w:r>
    </w:p>
    <w:p>
      <w:pPr>
        <w:spacing w:after="0" w:line="360" w:lineRule="auto"/>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1.当日展会开展前，安排专职人员每天对展区各项设备进行例行检查，做到及时发现问题并整改到位；</w:t>
      </w:r>
    </w:p>
    <w:p>
      <w:pPr>
        <w:pStyle w:val="3"/>
        <w:spacing w:after="0" w:line="360" w:lineRule="auto"/>
        <w:ind w:firstLine="640"/>
        <w:rPr>
          <w:rFonts w:hint="eastAsia" w:eastAsia="仿宋_GB2312"/>
        </w:rPr>
      </w:pPr>
      <w:r>
        <w:rPr>
          <w:rFonts w:hint="eastAsia" w:ascii="仿宋_GB2312" w:hAnsi="宋体" w:eastAsia="仿宋_GB2312" w:cs="宋体"/>
          <w:sz w:val="32"/>
          <w:szCs w:val="32"/>
        </w:rPr>
        <w:t>2.协助采购人妥善完成现场相关单位的接待及引导工作，维护现场秩序；</w:t>
      </w:r>
    </w:p>
    <w:p>
      <w:pPr>
        <w:spacing w:after="0" w:line="360" w:lineRule="auto"/>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3.负责展台现场清洁管理、展示结构、美工物料的维修替换工作；</w:t>
      </w:r>
    </w:p>
    <w:p>
      <w:pPr>
        <w:pStyle w:val="3"/>
        <w:spacing w:after="0" w:line="360" w:lineRule="auto"/>
        <w:ind w:firstLine="640"/>
        <w:rPr>
          <w:rFonts w:hint="eastAsia"/>
        </w:rPr>
      </w:pPr>
      <w:r>
        <w:rPr>
          <w:rFonts w:hint="eastAsia" w:ascii="仿宋_GB2312" w:hAnsi="宋体" w:eastAsia="仿宋_GB2312" w:cs="宋体"/>
          <w:sz w:val="32"/>
          <w:szCs w:val="32"/>
        </w:rPr>
        <w:t>4.当日展会结束后，待展商关闭所有展品电源后，安排专职人员关闭展区总电源并做安全检查。</w:t>
      </w:r>
    </w:p>
    <w:p>
      <w:pPr>
        <w:spacing w:after="0" w:line="360" w:lineRule="auto"/>
        <w:ind w:firstLine="643" w:firstLineChars="200"/>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（五）其他</w:t>
      </w:r>
    </w:p>
    <w:p>
      <w:pPr>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供应商应确保其按照本合同要求所提交的设计文件、方案及为完成本承包项目而实施的任何工作没有侵犯任何人的著作权、专利权、商标权及其他知识产权。供应商应当保证采购人均不会因其履行合同义务而引起的在专利权、经注册的技术以及其他知识产权方面，发生针对采购人的任何第三方的索赔。 </w:t>
      </w:r>
    </w:p>
    <w:p>
      <w:pPr>
        <w:rPr>
          <w:rFonts w:hint="eastAsia"/>
        </w:rPr>
      </w:pPr>
    </w:p>
    <w:p>
      <w:pPr>
        <w:spacing w:after="0" w:line="360" w:lineRule="auto"/>
        <w:rPr>
          <w:rFonts w:hint="eastAsia" w:ascii="黑体" w:hAnsi="黑体" w:eastAsia="黑体" w:cs="黑体"/>
          <w:sz w:val="32"/>
          <w:szCs w:val="32"/>
          <w:lang w:eastAsia="zh-CN"/>
        </w:rPr>
      </w:pPr>
      <w:r>
        <w:rPr>
          <w:rFonts w:hint="eastAsia" w:ascii="黑体" w:hAnsi="黑体" w:eastAsia="黑体" w:cs="黑体"/>
          <w:sz w:val="32"/>
          <w:szCs w:val="32"/>
        </w:rPr>
        <w:t>六</w:t>
      </w:r>
      <w:r>
        <w:rPr>
          <w:rFonts w:hint="eastAsia" w:ascii="黑体" w:hAnsi="黑体" w:eastAsia="黑体" w:cs="黑体"/>
          <w:sz w:val="32"/>
          <w:szCs w:val="32"/>
          <w:lang w:eastAsia="zh-Hans"/>
        </w:rPr>
        <w:t>、</w:t>
      </w:r>
      <w:r>
        <w:rPr>
          <w:rFonts w:hint="eastAsia" w:ascii="黑体" w:hAnsi="黑体" w:eastAsia="黑体" w:cs="黑体"/>
          <w:sz w:val="32"/>
          <w:szCs w:val="32"/>
          <w:lang w:eastAsia="zh-CN"/>
        </w:rPr>
        <w:t>附件</w:t>
      </w:r>
    </w:p>
    <w:p>
      <w:pPr>
        <w:spacing w:after="0"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上海展览中心图纸</w:t>
      </w:r>
    </w:p>
    <w:p>
      <w:pPr>
        <w:spacing w:after="0" w:line="360" w:lineRule="auto"/>
        <w:rPr>
          <w:rFonts w:hint="eastAsia" w:asciiTheme="minorEastAsia" w:hAnsiTheme="minorEastAsia" w:cstheme="minorEastAsia"/>
          <w:b/>
          <w:bCs/>
          <w:sz w:val="28"/>
          <w:szCs w:val="28"/>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11</w:t>
                          </w:r>
                          <w:r>
                            <w:rPr>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7"/>
                      <w:rPr>
                        <w:rFonts w:hint="eastAsia"/>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11</w:t>
                    </w:r>
                    <w:r>
                      <w:rPr>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1F138E"/>
    <w:multiLevelType w:val="multilevel"/>
    <w:tmpl w:val="7F1F138E"/>
    <w:lvl w:ilvl="0" w:tentative="0">
      <w:start w:val="1"/>
      <w:numFmt w:val="decimalEnclosedCircle"/>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C30"/>
    <w:rsid w:val="000035FC"/>
    <w:rsid w:val="00011759"/>
    <w:rsid w:val="00014A40"/>
    <w:rsid w:val="00031CFF"/>
    <w:rsid w:val="00031EBC"/>
    <w:rsid w:val="0004341B"/>
    <w:rsid w:val="00053165"/>
    <w:rsid w:val="00056E8A"/>
    <w:rsid w:val="000635F1"/>
    <w:rsid w:val="000726AA"/>
    <w:rsid w:val="00082344"/>
    <w:rsid w:val="0008687F"/>
    <w:rsid w:val="00086D14"/>
    <w:rsid w:val="00090B0A"/>
    <w:rsid w:val="00093AB2"/>
    <w:rsid w:val="000A54B9"/>
    <w:rsid w:val="000B1C53"/>
    <w:rsid w:val="000B654E"/>
    <w:rsid w:val="000C0784"/>
    <w:rsid w:val="000D1111"/>
    <w:rsid w:val="000D4FDD"/>
    <w:rsid w:val="000D5812"/>
    <w:rsid w:val="000E6E07"/>
    <w:rsid w:val="000F41C2"/>
    <w:rsid w:val="00103E7C"/>
    <w:rsid w:val="00112F6E"/>
    <w:rsid w:val="001145D3"/>
    <w:rsid w:val="0013054A"/>
    <w:rsid w:val="0013360D"/>
    <w:rsid w:val="00137F9C"/>
    <w:rsid w:val="001555EA"/>
    <w:rsid w:val="0017039C"/>
    <w:rsid w:val="001A10BA"/>
    <w:rsid w:val="001A4662"/>
    <w:rsid w:val="001D0191"/>
    <w:rsid w:val="001E105B"/>
    <w:rsid w:val="00231D11"/>
    <w:rsid w:val="00252A9D"/>
    <w:rsid w:val="00267941"/>
    <w:rsid w:val="00296EF9"/>
    <w:rsid w:val="002A4337"/>
    <w:rsid w:val="002A4572"/>
    <w:rsid w:val="002B0D81"/>
    <w:rsid w:val="002B5C06"/>
    <w:rsid w:val="002D00A3"/>
    <w:rsid w:val="002D36E6"/>
    <w:rsid w:val="00304092"/>
    <w:rsid w:val="00304667"/>
    <w:rsid w:val="00306D54"/>
    <w:rsid w:val="00307D50"/>
    <w:rsid w:val="00314269"/>
    <w:rsid w:val="00323E09"/>
    <w:rsid w:val="00336341"/>
    <w:rsid w:val="00340072"/>
    <w:rsid w:val="00340723"/>
    <w:rsid w:val="00342C62"/>
    <w:rsid w:val="00352506"/>
    <w:rsid w:val="00364EA9"/>
    <w:rsid w:val="00364ECF"/>
    <w:rsid w:val="003664D6"/>
    <w:rsid w:val="003B1790"/>
    <w:rsid w:val="003B2521"/>
    <w:rsid w:val="003C23BE"/>
    <w:rsid w:val="003F768D"/>
    <w:rsid w:val="0041074C"/>
    <w:rsid w:val="00414F93"/>
    <w:rsid w:val="00423606"/>
    <w:rsid w:val="00431FF4"/>
    <w:rsid w:val="004515B0"/>
    <w:rsid w:val="00457D58"/>
    <w:rsid w:val="00463E0F"/>
    <w:rsid w:val="00465DCF"/>
    <w:rsid w:val="0047665C"/>
    <w:rsid w:val="004A3BAF"/>
    <w:rsid w:val="004B09F5"/>
    <w:rsid w:val="004C574B"/>
    <w:rsid w:val="004E0185"/>
    <w:rsid w:val="004F26B2"/>
    <w:rsid w:val="004F41B2"/>
    <w:rsid w:val="004F4A7C"/>
    <w:rsid w:val="00506695"/>
    <w:rsid w:val="005339A7"/>
    <w:rsid w:val="00536ED7"/>
    <w:rsid w:val="0055286A"/>
    <w:rsid w:val="0056141E"/>
    <w:rsid w:val="00572AEB"/>
    <w:rsid w:val="005733CF"/>
    <w:rsid w:val="0057442F"/>
    <w:rsid w:val="00580C56"/>
    <w:rsid w:val="00592C55"/>
    <w:rsid w:val="005A6231"/>
    <w:rsid w:val="005A714C"/>
    <w:rsid w:val="005B36C4"/>
    <w:rsid w:val="005B639F"/>
    <w:rsid w:val="005C377C"/>
    <w:rsid w:val="005D21F7"/>
    <w:rsid w:val="005E609B"/>
    <w:rsid w:val="005E72D4"/>
    <w:rsid w:val="005F4678"/>
    <w:rsid w:val="00614A93"/>
    <w:rsid w:val="00616701"/>
    <w:rsid w:val="006179B0"/>
    <w:rsid w:val="00630844"/>
    <w:rsid w:val="00634BD3"/>
    <w:rsid w:val="00663C30"/>
    <w:rsid w:val="00667014"/>
    <w:rsid w:val="00677D56"/>
    <w:rsid w:val="006A5092"/>
    <w:rsid w:val="006B2FF3"/>
    <w:rsid w:val="006B6FF2"/>
    <w:rsid w:val="006C0745"/>
    <w:rsid w:val="006D624B"/>
    <w:rsid w:val="006E52BE"/>
    <w:rsid w:val="006F1A26"/>
    <w:rsid w:val="006F340B"/>
    <w:rsid w:val="00702905"/>
    <w:rsid w:val="00716EAC"/>
    <w:rsid w:val="00716F8C"/>
    <w:rsid w:val="007265A1"/>
    <w:rsid w:val="00732017"/>
    <w:rsid w:val="00733E8D"/>
    <w:rsid w:val="00734051"/>
    <w:rsid w:val="00744632"/>
    <w:rsid w:val="00751621"/>
    <w:rsid w:val="00755B92"/>
    <w:rsid w:val="00760567"/>
    <w:rsid w:val="00763879"/>
    <w:rsid w:val="00770C10"/>
    <w:rsid w:val="00772B2A"/>
    <w:rsid w:val="00776793"/>
    <w:rsid w:val="0077757A"/>
    <w:rsid w:val="00790B69"/>
    <w:rsid w:val="007955C9"/>
    <w:rsid w:val="007A0B62"/>
    <w:rsid w:val="007A6188"/>
    <w:rsid w:val="007C0F06"/>
    <w:rsid w:val="007D6520"/>
    <w:rsid w:val="007F67B0"/>
    <w:rsid w:val="00812CED"/>
    <w:rsid w:val="00814C05"/>
    <w:rsid w:val="008153D1"/>
    <w:rsid w:val="00825B1C"/>
    <w:rsid w:val="00830478"/>
    <w:rsid w:val="00855B95"/>
    <w:rsid w:val="00874698"/>
    <w:rsid w:val="00886B85"/>
    <w:rsid w:val="00887838"/>
    <w:rsid w:val="00895299"/>
    <w:rsid w:val="008A5295"/>
    <w:rsid w:val="008B1170"/>
    <w:rsid w:val="008C67C9"/>
    <w:rsid w:val="008D2156"/>
    <w:rsid w:val="008E4BCC"/>
    <w:rsid w:val="00902C78"/>
    <w:rsid w:val="00903490"/>
    <w:rsid w:val="00912FD6"/>
    <w:rsid w:val="00916E04"/>
    <w:rsid w:val="0093198A"/>
    <w:rsid w:val="0094271C"/>
    <w:rsid w:val="009434C9"/>
    <w:rsid w:val="00947623"/>
    <w:rsid w:val="00952A8D"/>
    <w:rsid w:val="00965D7F"/>
    <w:rsid w:val="00973113"/>
    <w:rsid w:val="009742AC"/>
    <w:rsid w:val="00981F36"/>
    <w:rsid w:val="009970E0"/>
    <w:rsid w:val="009B3AFF"/>
    <w:rsid w:val="009C163C"/>
    <w:rsid w:val="009D7FC9"/>
    <w:rsid w:val="009F1E27"/>
    <w:rsid w:val="009F39A4"/>
    <w:rsid w:val="009F7C3B"/>
    <w:rsid w:val="00A022A1"/>
    <w:rsid w:val="00A12DB6"/>
    <w:rsid w:val="00A30E33"/>
    <w:rsid w:val="00A41D91"/>
    <w:rsid w:val="00A4226B"/>
    <w:rsid w:val="00A43B78"/>
    <w:rsid w:val="00A43B84"/>
    <w:rsid w:val="00A45BA6"/>
    <w:rsid w:val="00A4730A"/>
    <w:rsid w:val="00A55A1C"/>
    <w:rsid w:val="00A61259"/>
    <w:rsid w:val="00A6746E"/>
    <w:rsid w:val="00A6776C"/>
    <w:rsid w:val="00A72786"/>
    <w:rsid w:val="00A72D54"/>
    <w:rsid w:val="00A73AF9"/>
    <w:rsid w:val="00A846C8"/>
    <w:rsid w:val="00A86DAB"/>
    <w:rsid w:val="00A94956"/>
    <w:rsid w:val="00AA62AC"/>
    <w:rsid w:val="00AB32B4"/>
    <w:rsid w:val="00AB67B4"/>
    <w:rsid w:val="00AC3D5B"/>
    <w:rsid w:val="00AC4F84"/>
    <w:rsid w:val="00AE7CAD"/>
    <w:rsid w:val="00B01FEF"/>
    <w:rsid w:val="00B17A54"/>
    <w:rsid w:val="00B23683"/>
    <w:rsid w:val="00B2421C"/>
    <w:rsid w:val="00B33A33"/>
    <w:rsid w:val="00B35D49"/>
    <w:rsid w:val="00B3632C"/>
    <w:rsid w:val="00B5328F"/>
    <w:rsid w:val="00B85D2B"/>
    <w:rsid w:val="00B86D8B"/>
    <w:rsid w:val="00B97723"/>
    <w:rsid w:val="00B97AA0"/>
    <w:rsid w:val="00BA4FF2"/>
    <w:rsid w:val="00BA5701"/>
    <w:rsid w:val="00BC4F26"/>
    <w:rsid w:val="00BD3056"/>
    <w:rsid w:val="00BD42DA"/>
    <w:rsid w:val="00BD6257"/>
    <w:rsid w:val="00BE5F40"/>
    <w:rsid w:val="00C0669C"/>
    <w:rsid w:val="00C11374"/>
    <w:rsid w:val="00C14757"/>
    <w:rsid w:val="00C1729B"/>
    <w:rsid w:val="00C2055A"/>
    <w:rsid w:val="00C30FE6"/>
    <w:rsid w:val="00C3356C"/>
    <w:rsid w:val="00C40570"/>
    <w:rsid w:val="00C448C3"/>
    <w:rsid w:val="00C557D7"/>
    <w:rsid w:val="00C65CC9"/>
    <w:rsid w:val="00C67FE1"/>
    <w:rsid w:val="00C7594B"/>
    <w:rsid w:val="00C76FD2"/>
    <w:rsid w:val="00C8210C"/>
    <w:rsid w:val="00C90EBE"/>
    <w:rsid w:val="00CA0BB9"/>
    <w:rsid w:val="00CA13AD"/>
    <w:rsid w:val="00CA6892"/>
    <w:rsid w:val="00CB6AE2"/>
    <w:rsid w:val="00CD148C"/>
    <w:rsid w:val="00CD4399"/>
    <w:rsid w:val="00CD52EA"/>
    <w:rsid w:val="00CE6574"/>
    <w:rsid w:val="00CE6C2B"/>
    <w:rsid w:val="00CF611D"/>
    <w:rsid w:val="00D12E5C"/>
    <w:rsid w:val="00D20B50"/>
    <w:rsid w:val="00D21760"/>
    <w:rsid w:val="00D25579"/>
    <w:rsid w:val="00D37E6D"/>
    <w:rsid w:val="00D54FE8"/>
    <w:rsid w:val="00D56456"/>
    <w:rsid w:val="00D57FD2"/>
    <w:rsid w:val="00D642F6"/>
    <w:rsid w:val="00D7245C"/>
    <w:rsid w:val="00D7320B"/>
    <w:rsid w:val="00D813CD"/>
    <w:rsid w:val="00D908EB"/>
    <w:rsid w:val="00D9231D"/>
    <w:rsid w:val="00D95ECF"/>
    <w:rsid w:val="00D95F49"/>
    <w:rsid w:val="00D973B2"/>
    <w:rsid w:val="00DA0024"/>
    <w:rsid w:val="00DB6E78"/>
    <w:rsid w:val="00DB7B0F"/>
    <w:rsid w:val="00DC6079"/>
    <w:rsid w:val="00DD0F3E"/>
    <w:rsid w:val="00DD24A1"/>
    <w:rsid w:val="00DD312E"/>
    <w:rsid w:val="00DD4037"/>
    <w:rsid w:val="00DE1212"/>
    <w:rsid w:val="00DE1CF6"/>
    <w:rsid w:val="00DE231F"/>
    <w:rsid w:val="00DF09B0"/>
    <w:rsid w:val="00E03B6E"/>
    <w:rsid w:val="00E27A62"/>
    <w:rsid w:val="00E33161"/>
    <w:rsid w:val="00E4324A"/>
    <w:rsid w:val="00E50BC5"/>
    <w:rsid w:val="00E63412"/>
    <w:rsid w:val="00E72BF9"/>
    <w:rsid w:val="00E7721F"/>
    <w:rsid w:val="00E82C51"/>
    <w:rsid w:val="00E8643D"/>
    <w:rsid w:val="00EA4467"/>
    <w:rsid w:val="00EB1761"/>
    <w:rsid w:val="00EB536B"/>
    <w:rsid w:val="00EC0F74"/>
    <w:rsid w:val="00EC3140"/>
    <w:rsid w:val="00ED385B"/>
    <w:rsid w:val="00ED4301"/>
    <w:rsid w:val="00EE58F3"/>
    <w:rsid w:val="00EF1D20"/>
    <w:rsid w:val="00F02888"/>
    <w:rsid w:val="00F067B2"/>
    <w:rsid w:val="00F12D81"/>
    <w:rsid w:val="00F23628"/>
    <w:rsid w:val="00F344DD"/>
    <w:rsid w:val="00F36847"/>
    <w:rsid w:val="00F46E1B"/>
    <w:rsid w:val="00F565F7"/>
    <w:rsid w:val="00F71610"/>
    <w:rsid w:val="00F73EA5"/>
    <w:rsid w:val="00F7792B"/>
    <w:rsid w:val="00F83E71"/>
    <w:rsid w:val="00F87338"/>
    <w:rsid w:val="00F91C30"/>
    <w:rsid w:val="00F923A7"/>
    <w:rsid w:val="00FA0236"/>
    <w:rsid w:val="00FA0924"/>
    <w:rsid w:val="00FC1474"/>
    <w:rsid w:val="00FC7965"/>
    <w:rsid w:val="00FD68E8"/>
    <w:rsid w:val="00FE0744"/>
    <w:rsid w:val="00FE3A86"/>
    <w:rsid w:val="00FF1655"/>
    <w:rsid w:val="03C76963"/>
    <w:rsid w:val="05E82BC0"/>
    <w:rsid w:val="0A6D28B2"/>
    <w:rsid w:val="0A7D5FCD"/>
    <w:rsid w:val="0E8F62CF"/>
    <w:rsid w:val="102869DB"/>
    <w:rsid w:val="12850115"/>
    <w:rsid w:val="12AB56A1"/>
    <w:rsid w:val="16F93C3E"/>
    <w:rsid w:val="17ED553E"/>
    <w:rsid w:val="183E7A46"/>
    <w:rsid w:val="1B4B17D0"/>
    <w:rsid w:val="1D076614"/>
    <w:rsid w:val="1E80442A"/>
    <w:rsid w:val="1EE75CB3"/>
    <w:rsid w:val="242A78F6"/>
    <w:rsid w:val="24D13584"/>
    <w:rsid w:val="26F21066"/>
    <w:rsid w:val="27985D9D"/>
    <w:rsid w:val="28C037FD"/>
    <w:rsid w:val="292411BF"/>
    <w:rsid w:val="2A1853C2"/>
    <w:rsid w:val="2AA7672D"/>
    <w:rsid w:val="2ACF250E"/>
    <w:rsid w:val="2B911481"/>
    <w:rsid w:val="2BA83601"/>
    <w:rsid w:val="2CCF789E"/>
    <w:rsid w:val="2EC1207D"/>
    <w:rsid w:val="2EDE49DD"/>
    <w:rsid w:val="2F0D1E7C"/>
    <w:rsid w:val="2FE87E8A"/>
    <w:rsid w:val="2FF051B5"/>
    <w:rsid w:val="303D3985"/>
    <w:rsid w:val="31FD5099"/>
    <w:rsid w:val="32B177B3"/>
    <w:rsid w:val="342A4220"/>
    <w:rsid w:val="34844512"/>
    <w:rsid w:val="3804014E"/>
    <w:rsid w:val="386817BB"/>
    <w:rsid w:val="3AFF8CAF"/>
    <w:rsid w:val="3CCF238D"/>
    <w:rsid w:val="40377B31"/>
    <w:rsid w:val="409704CC"/>
    <w:rsid w:val="43F81C45"/>
    <w:rsid w:val="44F85C75"/>
    <w:rsid w:val="45BB0838"/>
    <w:rsid w:val="45C17918"/>
    <w:rsid w:val="469043B7"/>
    <w:rsid w:val="49BB1B0D"/>
    <w:rsid w:val="4A093BC3"/>
    <w:rsid w:val="4AB87DE9"/>
    <w:rsid w:val="4C2537F3"/>
    <w:rsid w:val="4C2A72E5"/>
    <w:rsid w:val="4ED92673"/>
    <w:rsid w:val="50824F0E"/>
    <w:rsid w:val="52486BB6"/>
    <w:rsid w:val="52BB9A43"/>
    <w:rsid w:val="534A697E"/>
    <w:rsid w:val="56951575"/>
    <w:rsid w:val="57CB1E6E"/>
    <w:rsid w:val="57FF139C"/>
    <w:rsid w:val="590A0A3C"/>
    <w:rsid w:val="5C545A2F"/>
    <w:rsid w:val="5DE66A2C"/>
    <w:rsid w:val="5E820594"/>
    <w:rsid w:val="600D113F"/>
    <w:rsid w:val="61380253"/>
    <w:rsid w:val="61BB0BCB"/>
    <w:rsid w:val="61D92C5E"/>
    <w:rsid w:val="61E0223F"/>
    <w:rsid w:val="64852C29"/>
    <w:rsid w:val="65FF3A70"/>
    <w:rsid w:val="66B75B1A"/>
    <w:rsid w:val="6822579E"/>
    <w:rsid w:val="695D4175"/>
    <w:rsid w:val="6AD71D05"/>
    <w:rsid w:val="6B4F21E3"/>
    <w:rsid w:val="6C1370C5"/>
    <w:rsid w:val="6C651507"/>
    <w:rsid w:val="6CBB308B"/>
    <w:rsid w:val="6D885538"/>
    <w:rsid w:val="6EFF9FD2"/>
    <w:rsid w:val="6F334EF9"/>
    <w:rsid w:val="702D3795"/>
    <w:rsid w:val="7036571F"/>
    <w:rsid w:val="70467B14"/>
    <w:rsid w:val="715F4802"/>
    <w:rsid w:val="72BA2C79"/>
    <w:rsid w:val="735E7F1F"/>
    <w:rsid w:val="73F7F03E"/>
    <w:rsid w:val="74365E32"/>
    <w:rsid w:val="755E02D7"/>
    <w:rsid w:val="7693567A"/>
    <w:rsid w:val="77316C41"/>
    <w:rsid w:val="777ED79A"/>
    <w:rsid w:val="778F06C6"/>
    <w:rsid w:val="78A13A2B"/>
    <w:rsid w:val="7ACF29F8"/>
    <w:rsid w:val="7C5C02BC"/>
    <w:rsid w:val="7DFEB4F5"/>
    <w:rsid w:val="7E3F7E95"/>
    <w:rsid w:val="7F1F151E"/>
    <w:rsid w:val="7F2A644F"/>
    <w:rsid w:val="8AF6333B"/>
    <w:rsid w:val="D7D373AD"/>
    <w:rsid w:val="DBA9A341"/>
    <w:rsid w:val="DDB61B5C"/>
    <w:rsid w:val="DFCE1C5C"/>
    <w:rsid w:val="DFFFBFF8"/>
    <w:rsid w:val="EB3D7840"/>
    <w:rsid w:val="EE863AA1"/>
    <w:rsid w:val="F2FEF0CB"/>
    <w:rsid w:val="F4ED7995"/>
    <w:rsid w:val="F5DF31F0"/>
    <w:rsid w:val="F6DD14D6"/>
    <w:rsid w:val="F6DF0A5C"/>
    <w:rsid w:val="F6FBE987"/>
    <w:rsid w:val="FB7BA155"/>
    <w:rsid w:val="FCBAA3FF"/>
    <w:rsid w:val="FEBF961C"/>
    <w:rsid w:val="FF6CE7D1"/>
    <w:rsid w:val="FFBF4373"/>
    <w:rsid w:val="FFFBA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ind w:left="600" w:leftChars="200"/>
      <w:jc w:val="left"/>
      <w:outlineLvl w:val="0"/>
    </w:pPr>
    <w:rPr>
      <w:rFonts w:ascii="黑体" w:hAnsi="黑体" w:eastAsia="黑体" w:cs="Times New Roman"/>
      <w:b/>
      <w:kern w:val="44"/>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annotation text"/>
    <w:basedOn w:val="1"/>
    <w:link w:val="21"/>
    <w:semiHidden/>
    <w:unhideWhenUsed/>
    <w:qFormat/>
    <w:uiPriority w:val="99"/>
    <w:pPr>
      <w:jc w:val="left"/>
    </w:pPr>
  </w:style>
  <w:style w:type="paragraph" w:styleId="5">
    <w:name w:val="Body Text"/>
    <w:basedOn w:val="1"/>
    <w:qFormat/>
    <w:uiPriority w:val="1"/>
    <w:pPr>
      <w:ind w:left="449"/>
    </w:pPr>
    <w:rPr>
      <w:rFonts w:ascii="宋体" w:hAnsi="宋体" w:cs="宋体"/>
      <w:szCs w:val="21"/>
      <w:lang w:val="zh-CN" w:bidi="zh-CN"/>
    </w:rPr>
  </w:style>
  <w:style w:type="paragraph" w:styleId="6">
    <w:name w:val="Balloon Text"/>
    <w:basedOn w:val="1"/>
    <w:link w:val="19"/>
    <w:semiHidden/>
    <w:unhideWhenUsed/>
    <w:qFormat/>
    <w:uiPriority w:val="99"/>
    <w:pPr>
      <w:spacing w:after="0" w:line="240" w:lineRule="auto"/>
    </w:pPr>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tabs>
        <w:tab w:val="center" w:pos="4153"/>
        <w:tab w:val="right" w:pos="8306"/>
      </w:tabs>
      <w:snapToGrid w:val="0"/>
      <w:jc w:val="center"/>
    </w:pPr>
    <w:rPr>
      <w:sz w:val="18"/>
      <w:szCs w:val="18"/>
    </w:rPr>
  </w:style>
  <w:style w:type="paragraph" w:styleId="9">
    <w:name w:val="annotation subject"/>
    <w:basedOn w:val="4"/>
    <w:next w:val="4"/>
    <w:link w:val="22"/>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20"/>
    <w:rPr>
      <w:i/>
    </w:rPr>
  </w:style>
  <w:style w:type="character" w:styleId="14">
    <w:name w:val="annotation reference"/>
    <w:basedOn w:val="12"/>
    <w:semiHidden/>
    <w:unhideWhenUsed/>
    <w:qFormat/>
    <w:uiPriority w:val="99"/>
    <w:rPr>
      <w:sz w:val="21"/>
      <w:szCs w:val="21"/>
    </w:rPr>
  </w:style>
  <w:style w:type="paragraph" w:styleId="15">
    <w:name w:val="List Paragraph"/>
    <w:basedOn w:val="1"/>
    <w:qFormat/>
    <w:uiPriority w:val="34"/>
    <w:pPr>
      <w:ind w:firstLine="420" w:firstLineChars="200"/>
    </w:pPr>
    <w:rPr>
      <w:rFonts w:ascii="Calibri" w:hAnsi="Calibri" w:eastAsia="宋体" w:cs="Times New Roman"/>
    </w:rPr>
  </w:style>
  <w:style w:type="character" w:customStyle="1" w:styleId="16">
    <w:name w:val="UserStyle_0"/>
    <w:semiHidden/>
    <w:qFormat/>
    <w:uiPriority w:val="0"/>
  </w:style>
  <w:style w:type="character" w:customStyle="1" w:styleId="17">
    <w:name w:val="页眉 字符"/>
    <w:basedOn w:val="12"/>
    <w:link w:val="8"/>
    <w:qFormat/>
    <w:uiPriority w:val="99"/>
    <w:rPr>
      <w:sz w:val="18"/>
      <w:szCs w:val="18"/>
    </w:rPr>
  </w:style>
  <w:style w:type="character" w:customStyle="1" w:styleId="18">
    <w:name w:val="页脚 字符"/>
    <w:basedOn w:val="12"/>
    <w:link w:val="7"/>
    <w:qFormat/>
    <w:uiPriority w:val="99"/>
    <w:rPr>
      <w:sz w:val="18"/>
      <w:szCs w:val="18"/>
    </w:rPr>
  </w:style>
  <w:style w:type="character" w:customStyle="1" w:styleId="19">
    <w:name w:val="批注框文本 字符"/>
    <w:basedOn w:val="12"/>
    <w:link w:val="6"/>
    <w:semiHidden/>
    <w:qFormat/>
    <w:uiPriority w:val="99"/>
    <w:rPr>
      <w:kern w:val="2"/>
      <w:sz w:val="18"/>
      <w:szCs w:val="18"/>
    </w:rPr>
  </w:style>
  <w:style w:type="character" w:customStyle="1" w:styleId="20">
    <w:name w:val="标题 1 字符"/>
    <w:basedOn w:val="12"/>
    <w:link w:val="2"/>
    <w:qFormat/>
    <w:uiPriority w:val="9"/>
    <w:rPr>
      <w:rFonts w:ascii="黑体" w:hAnsi="黑体" w:eastAsia="黑体"/>
      <w:b/>
      <w:kern w:val="44"/>
      <w:sz w:val="21"/>
      <w:szCs w:val="48"/>
    </w:rPr>
  </w:style>
  <w:style w:type="character" w:customStyle="1" w:styleId="21">
    <w:name w:val="批注文字 字符"/>
    <w:basedOn w:val="12"/>
    <w:link w:val="4"/>
    <w:semiHidden/>
    <w:qFormat/>
    <w:uiPriority w:val="99"/>
    <w:rPr>
      <w:rFonts w:asciiTheme="minorHAnsi" w:hAnsiTheme="minorHAnsi" w:eastAsiaTheme="minorEastAsia" w:cstheme="minorBidi"/>
      <w:kern w:val="2"/>
      <w:sz w:val="21"/>
      <w:szCs w:val="22"/>
    </w:rPr>
  </w:style>
  <w:style w:type="character" w:customStyle="1" w:styleId="22">
    <w:name w:val="批注主题 字符"/>
    <w:basedOn w:val="21"/>
    <w:link w:val="9"/>
    <w:semiHidden/>
    <w:qFormat/>
    <w:uiPriority w:val="99"/>
    <w:rPr>
      <w:rFonts w:asciiTheme="minorHAnsi" w:hAnsiTheme="minorHAnsi" w:eastAsiaTheme="minorEastAsia" w:cstheme="minorBidi"/>
      <w:b/>
      <w:bCs/>
      <w:kern w:val="2"/>
      <w:sz w:val="21"/>
      <w:szCs w:val="22"/>
    </w:rPr>
  </w:style>
  <w:style w:type="paragraph" w:customStyle="1" w:styleId="23">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3B94C7-BEE2-414B-AC5C-51B60EAAE5BE}">
  <ds:schemaRefs/>
</ds:datastoreItem>
</file>

<file path=docProps/app.xml><?xml version="1.0" encoding="utf-8"?>
<Properties xmlns="http://schemas.openxmlformats.org/officeDocument/2006/extended-properties" xmlns:vt="http://schemas.openxmlformats.org/officeDocument/2006/docPropsVTypes">
  <Template>Normal</Template>
  <Pages>10</Pages>
  <Words>5716</Words>
  <Characters>668</Characters>
  <Lines>66</Lines>
  <Paragraphs>255</Paragraphs>
  <TotalTime>219</TotalTime>
  <ScaleCrop>false</ScaleCrop>
  <LinksUpToDate>false</LinksUpToDate>
  <CharactersWithSpaces>6129</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2025-07-19T22:02:00Z</dcterms:created>
  <dc:creator>佳嘉 陈</dc:creator>
  <cp:lastModifiedBy>user</cp:lastModifiedBy>
  <cp:lastPrinted>2025-03-21T03:27:00Z</cp:lastPrinted>
  <dcterms:modified xsi:type="dcterms:W3CDTF">2025-08-15T09:18:32Z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552E3196770A68CA7DEA7E6869458B9D_43</vt:lpwstr>
  </property>
  <property fmtid="{D5CDD505-2E9C-101B-9397-08002B2CF9AE}" pid="4" name="KSOTemplateDocerSaveRecord">
    <vt:lpwstr>eyJoZGlkIjoiMTMzOGY5ZDMyZThhZjI5N2FkYjM4YjU3NDM3YjBiYTMiLCJ1c2VySWQiOiI0NjQ4NDUwMDkifQ==</vt:lpwstr>
  </property>
</Properties>
</file>