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269F0">
      <w:pPr>
        <w:pStyle w:val="12"/>
        <w:rPr>
          <w:rFonts w:hint="eastAsia"/>
        </w:rPr>
      </w:pPr>
      <w:bookmarkStart w:id="0" w:name="_Toc63785461"/>
      <w:r>
        <w:rPr>
          <w:rFonts w:hint="eastAsia"/>
        </w:rPr>
        <w:t>上海化工区视频管理（一期）子系统</w:t>
      </w:r>
    </w:p>
    <w:p w14:paraId="13822A73">
      <w:pPr>
        <w:pStyle w:val="12"/>
        <w:rPr>
          <w:rFonts w:hint="eastAsia"/>
        </w:rPr>
      </w:pPr>
      <w:r>
        <w:rPr>
          <w:rFonts w:hint="eastAsia"/>
        </w:rPr>
        <w:t>建设项目采购需求</w:t>
      </w:r>
    </w:p>
    <w:p w14:paraId="2013A059">
      <w:pPr>
        <w:pStyle w:val="2"/>
        <w:rPr>
          <w:rFonts w:hint="eastAsia"/>
        </w:rPr>
      </w:pPr>
      <w:r>
        <w:rPr>
          <w:rFonts w:hint="eastAsia"/>
        </w:rPr>
        <w:t>项目概况</w:t>
      </w:r>
      <w:bookmarkEnd w:id="0"/>
    </w:p>
    <w:p w14:paraId="7F86F1A2">
      <w:pPr>
        <w:rPr>
          <w:rFonts w:hint="eastAsia"/>
        </w:rPr>
      </w:pPr>
      <w:r>
        <w:rPr>
          <w:rFonts w:hint="eastAsia"/>
        </w:rPr>
        <w:t>本次上海化工区视频管理（一期）子系统建设项目为整合化工区已建视频资源，提升全区视频汇聚能力，对化工区全区已建视频资源进行统一汇聚，进一步规范对现有及未来新增视频资源管理，实现从感知到认知的过渡。为化工区运行管理决策提供支撑，发挥资源最大效益。具体建设内容包含系统对接、运维管理移动端、视频汇聚管理系统、硬件产品购置等。</w:t>
      </w:r>
    </w:p>
    <w:p w14:paraId="561DC7FB">
      <w:pPr>
        <w:rPr>
          <w:rFonts w:hint="eastAsia"/>
        </w:rPr>
      </w:pPr>
      <w:r>
        <w:rPr>
          <w:rFonts w:hint="eastAsia"/>
        </w:rPr>
        <w:t>本次项目建设，旨在结合智慧园区和“一网统管”相关政策指导和规范，建设化工园区视频汇聚管理系统能力，通过视频汇聚管理系统能够为园区未来建设各类风险识别预警等提供统一的视频输出能力支持。</w:t>
      </w:r>
    </w:p>
    <w:p w14:paraId="5FC7419E">
      <w:pPr>
        <w:rPr>
          <w:rFonts w:hint="eastAsia"/>
        </w:rPr>
      </w:pPr>
      <w:r>
        <w:rPr>
          <w:rFonts w:hint="eastAsia"/>
        </w:rPr>
        <w:t>本项目</w:t>
      </w:r>
      <w:r>
        <w:t>按</w:t>
      </w:r>
      <w:r>
        <w:rPr>
          <w:rFonts w:hint="eastAsia"/>
          <w:lang w:eastAsia="zh-CN"/>
        </w:rPr>
        <w:t>XinChuang</w:t>
      </w:r>
      <w:r>
        <w:t>要求建设</w:t>
      </w:r>
      <w:r>
        <w:rPr>
          <w:rFonts w:hint="eastAsia"/>
        </w:rPr>
        <w:t>。</w:t>
      </w:r>
    </w:p>
    <w:p w14:paraId="72870A26">
      <w:pPr>
        <w:rPr>
          <w:rFonts w:hint="eastAsia"/>
          <w:color w:val="FF0000"/>
        </w:rPr>
      </w:pPr>
    </w:p>
    <w:p w14:paraId="7A2D2B34">
      <w:pPr>
        <w:pStyle w:val="2"/>
        <w:rPr>
          <w:rFonts w:hint="eastAsia"/>
        </w:rPr>
      </w:pPr>
      <w:bookmarkStart w:id="1" w:name="_Toc47531634"/>
      <w:bookmarkEnd w:id="1"/>
      <w:bookmarkStart w:id="2" w:name="_Toc47536272"/>
      <w:bookmarkEnd w:id="2"/>
      <w:bookmarkStart w:id="3" w:name="_Toc47536644"/>
      <w:bookmarkEnd w:id="3"/>
      <w:bookmarkStart w:id="4" w:name="_Toc47537134"/>
      <w:bookmarkEnd w:id="4"/>
      <w:bookmarkStart w:id="5" w:name="_Toc47532891"/>
      <w:bookmarkEnd w:id="5"/>
      <w:bookmarkStart w:id="6" w:name="_Toc47532255"/>
      <w:bookmarkEnd w:id="6"/>
      <w:bookmarkStart w:id="7" w:name="_Toc47533256"/>
      <w:bookmarkEnd w:id="7"/>
      <w:bookmarkStart w:id="8" w:name="_Toc47539070"/>
      <w:bookmarkEnd w:id="8"/>
      <w:bookmarkStart w:id="9" w:name="_Toc63785463"/>
      <w:bookmarkStart w:id="10" w:name="_Toc48223882"/>
      <w:r>
        <w:rPr>
          <w:rFonts w:hint="eastAsia"/>
        </w:rPr>
        <w:t>建设目标</w:t>
      </w:r>
      <w:bookmarkEnd w:id="9"/>
      <w:bookmarkEnd w:id="10"/>
    </w:p>
    <w:p w14:paraId="38EAF8C6">
      <w:pPr>
        <w:rPr>
          <w:rFonts w:hint="eastAsia"/>
        </w:rPr>
      </w:pPr>
      <w:r>
        <w:rPr>
          <w:rFonts w:hint="eastAsia"/>
        </w:rPr>
        <w:t>依据《关于加强公共安全视频监控建设联网应用工作的若干意见》文件要求，整合分散在各种网络环境下和各处室、驻区单位自建的视频资源，提供统一的跨行业、跨地域、跨部门使用的联网交换系统，实现视频监控统一接入、统一管理，打破数据孤岛，形成标准的视频资源池。实现跨行业、跨地域、跨部门视频资源联网，使得视频资源的二次利用及多次应用价值得到充分展现，为后期视频资源智能分析提供基础保障。</w:t>
      </w:r>
    </w:p>
    <w:p w14:paraId="29568E43">
      <w:pPr>
        <w:rPr>
          <w:rFonts w:hint="eastAsia"/>
        </w:rPr>
      </w:pPr>
      <w:r>
        <w:rPr>
          <w:rFonts w:hint="eastAsia"/>
        </w:rPr>
        <w:t>整合化工区已建视频资源，提升全区视频汇聚能力，避免重复建设，扩大全区视频感知范围，实现从感知到认知的过渡。为城市运行管理决策提供支撑，发挥资源最大效益，辅助各处室对全区的治理。</w:t>
      </w:r>
    </w:p>
    <w:p w14:paraId="02BDC9EB">
      <w:pPr>
        <w:rPr>
          <w:rFonts w:hint="eastAsia"/>
        </w:rPr>
      </w:pPr>
      <w:r>
        <w:rPr>
          <w:rFonts w:hint="eastAsia"/>
        </w:rPr>
        <w:t>1.视频汇聚管理系统：遵循相关国家标准规范要求，实现化工区目前公共视频资源汇聚，接入生产企业重大危险源监控，公共管廊监控，防汛防台监控，孚宝罐区监控等，加上应急响应中心已汇聚的视频，总数在1715路。系统具备上传50 路视频至市城运中心的能力。</w:t>
      </w:r>
    </w:p>
    <w:p w14:paraId="45F7FFA8">
      <w:pPr>
        <w:rPr>
          <w:rFonts w:hint="eastAsia"/>
        </w:rPr>
      </w:pPr>
      <w:r>
        <w:rPr>
          <w:rFonts w:hint="eastAsia"/>
        </w:rPr>
        <w:t>2.视频运维平台移动端小程序。面向一线运维工程师和管理部门，通过移动端应用实现统一维护、主动发现问题、督办、派单等，提高管理效率。</w:t>
      </w:r>
    </w:p>
    <w:p w14:paraId="2A5294D2">
      <w:pPr>
        <w:rPr>
          <w:rFonts w:hint="eastAsia"/>
        </w:rPr>
      </w:pPr>
      <w:r>
        <w:rPr>
          <w:rFonts w:hint="eastAsia"/>
        </w:rPr>
        <w:t>3.视频汇聚和安全一体机等硬件设备。部署在视频汇聚点，将区内公共视频数据接入。实现通过多协议融合兼容汇聚，屏蔽协议和数据差异，对视频汇聚进行安全措施管理。</w:t>
      </w:r>
    </w:p>
    <w:p w14:paraId="46D35270">
      <w:pPr>
        <w:rPr>
          <w:rFonts w:hint="eastAsia"/>
        </w:rPr>
      </w:pPr>
    </w:p>
    <w:p w14:paraId="6A619B84">
      <w:pPr>
        <w:pStyle w:val="2"/>
        <w:rPr>
          <w:rFonts w:hint="eastAsia"/>
        </w:rPr>
      </w:pPr>
      <w:bookmarkStart w:id="11" w:name="_Toc47539102"/>
      <w:bookmarkEnd w:id="11"/>
      <w:bookmarkStart w:id="12" w:name="_Toc47536304"/>
      <w:bookmarkEnd w:id="12"/>
      <w:bookmarkStart w:id="13" w:name="_Toc47536676"/>
      <w:bookmarkEnd w:id="13"/>
      <w:bookmarkStart w:id="14" w:name="_Toc47532923"/>
      <w:bookmarkEnd w:id="14"/>
      <w:bookmarkStart w:id="15" w:name="_Toc47533288"/>
      <w:bookmarkEnd w:id="15"/>
      <w:bookmarkStart w:id="16" w:name="_Toc47537166"/>
      <w:bookmarkEnd w:id="16"/>
      <w:r>
        <w:rPr>
          <w:rFonts w:hint="eastAsia"/>
        </w:rPr>
        <w:t>项目建设内容</w:t>
      </w:r>
    </w:p>
    <w:p w14:paraId="33E672C9">
      <w:pPr>
        <w:rPr>
          <w:rFonts w:hint="eastAsia"/>
        </w:rPr>
      </w:pPr>
      <w:r>
        <w:rPr>
          <w:rFonts w:hint="eastAsia"/>
        </w:rPr>
        <w:t>视频汇聚管理系统、一体化运维服务系统、视频运维平台移动端小程序、视频汇聚和安全一体机等硬件设备。</w:t>
      </w:r>
    </w:p>
    <w:p w14:paraId="2ACE579F">
      <w:pPr>
        <w:rPr>
          <w:rFonts w:hint="eastAsia"/>
        </w:rPr>
      </w:pPr>
      <w:r>
        <w:rPr>
          <w:rFonts w:hint="eastAsia"/>
        </w:rPr>
        <w:t>（1）视频汇聚管理系统。遵循相关国家标准规范要求，实现化工区目前公共视频资源汇聚，接入生产企业重大危险源监控，公共管廊监控，防汛防台监控，孚宝罐区监控等，加上应急响应中心已汇聚的视频，总数在1715路。系统具备上传50 路视频至市城运中心的能力。</w:t>
      </w:r>
    </w:p>
    <w:p w14:paraId="41BE8C02">
      <w:pPr>
        <w:rPr>
          <w:rFonts w:hint="eastAsia"/>
        </w:rPr>
      </w:pPr>
      <w:r>
        <w:rPr>
          <w:rFonts w:hint="eastAsia"/>
        </w:rPr>
        <w:t>（2）视频运维平台移动端小程序。面向一线运维工程师和管理部门，通过手机端应用实现统一维护、主动发现问题、督办、派单等，提高管理效率。</w:t>
      </w:r>
    </w:p>
    <w:p w14:paraId="460E0B7B">
      <w:pPr>
        <w:rPr>
          <w:rFonts w:hint="eastAsia"/>
        </w:rPr>
      </w:pPr>
      <w:r>
        <w:rPr>
          <w:rFonts w:hint="eastAsia"/>
        </w:rPr>
        <w:t>（3）视频汇聚和安全一体机等硬件设备。部署在视频汇聚点，将区内公共视频数据接入。实现通过多协议融合兼容汇聚，屏蔽协议和数据差异，对视频汇聚进行安全措施管理，以及必要的视频点位标签。</w:t>
      </w:r>
    </w:p>
    <w:p w14:paraId="0377AC1E">
      <w:pPr>
        <w:rPr>
          <w:rFonts w:hint="eastAsia"/>
        </w:rPr>
      </w:pPr>
      <w:r>
        <w:rPr>
          <w:rFonts w:hint="eastAsia"/>
        </w:rPr>
        <w:t>（4）机房等保、安全测评配套。项目建设满足等保三级要求并通过相关检测。</w:t>
      </w:r>
    </w:p>
    <w:p w14:paraId="0958E3C7">
      <w:pPr>
        <w:rPr>
          <w:rFonts w:hint="eastAsia"/>
        </w:rPr>
      </w:pPr>
      <w:r>
        <w:rPr>
          <w:rFonts w:hint="eastAsia"/>
        </w:rPr>
        <w:t>以下为本项目主要软硬件参考清单，重点技术条款▲15个，须提供产品功能截图或者相关材料（产品彩页、官网截图、实物照片、检测报告等）作为证明，未提供视为负偏离。</w:t>
      </w:r>
    </w:p>
    <w:p w14:paraId="3144D498">
      <w:pPr>
        <w:pStyle w:val="16"/>
        <w:numPr>
          <w:ilvl w:val="0"/>
          <w:numId w:val="2"/>
        </w:numPr>
        <w:ind w:firstLineChars="0"/>
        <w:rPr>
          <w:rFonts w:hint="eastAsia"/>
        </w:rPr>
      </w:pPr>
      <w:bookmarkStart w:id="17" w:name="_Hlk152316298"/>
      <w:r>
        <w:rPr>
          <w:rFonts w:hint="eastAsia"/>
        </w:rPr>
        <w:t>硬件产品购置清单</w:t>
      </w:r>
    </w:p>
    <w:tbl>
      <w:tblPr>
        <w:tblStyle w:val="8"/>
        <w:tblW w:w="8642" w:type="dxa"/>
        <w:tblInd w:w="0" w:type="dxa"/>
        <w:tblLayout w:type="autofit"/>
        <w:tblCellMar>
          <w:top w:w="0" w:type="dxa"/>
          <w:left w:w="108" w:type="dxa"/>
          <w:bottom w:w="0" w:type="dxa"/>
          <w:right w:w="108" w:type="dxa"/>
        </w:tblCellMar>
      </w:tblPr>
      <w:tblGrid>
        <w:gridCol w:w="820"/>
        <w:gridCol w:w="1080"/>
        <w:gridCol w:w="1080"/>
        <w:gridCol w:w="1080"/>
        <w:gridCol w:w="3873"/>
        <w:gridCol w:w="709"/>
      </w:tblGrid>
      <w:tr w14:paraId="5AB30ED7">
        <w:tblPrEx>
          <w:tblCellMar>
            <w:top w:w="0" w:type="dxa"/>
            <w:left w:w="108" w:type="dxa"/>
            <w:bottom w:w="0" w:type="dxa"/>
            <w:right w:w="108" w:type="dxa"/>
          </w:tblCellMar>
        </w:tblPrEx>
        <w:trPr>
          <w:trHeight w:val="518" w:hRule="atLeast"/>
        </w:trPr>
        <w:tc>
          <w:tcPr>
            <w:tcW w:w="82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763BC9F9">
            <w:pPr>
              <w:widowControl/>
              <w:spacing w:line="240" w:lineRule="auto"/>
              <w:ind w:firstLine="0" w:firstLineChars="0"/>
              <w:jc w:val="center"/>
              <w:rPr>
                <w:rFonts w:hint="eastAsia"/>
                <w:b/>
                <w:bCs/>
                <w:sz w:val="21"/>
                <w:szCs w:val="21"/>
              </w:rPr>
            </w:pPr>
            <w:r>
              <w:rPr>
                <w:rFonts w:hint="eastAsia"/>
                <w:b/>
                <w:bCs/>
                <w:sz w:val="21"/>
                <w:szCs w:val="21"/>
              </w:rPr>
              <w:t>序号</w:t>
            </w:r>
          </w:p>
        </w:tc>
        <w:tc>
          <w:tcPr>
            <w:tcW w:w="1080" w:type="dxa"/>
            <w:tcBorders>
              <w:top w:val="single" w:color="auto" w:sz="4" w:space="0"/>
              <w:left w:val="nil"/>
              <w:bottom w:val="single" w:color="auto" w:sz="4" w:space="0"/>
              <w:right w:val="single" w:color="auto" w:sz="4" w:space="0"/>
            </w:tcBorders>
            <w:shd w:val="clear" w:color="auto" w:fill="E7E6E6" w:themeFill="background2"/>
            <w:vAlign w:val="center"/>
          </w:tcPr>
          <w:p w14:paraId="6EC0459F">
            <w:pPr>
              <w:widowControl/>
              <w:spacing w:line="240" w:lineRule="auto"/>
              <w:ind w:firstLine="0" w:firstLineChars="0"/>
              <w:jc w:val="center"/>
              <w:rPr>
                <w:rFonts w:hint="eastAsia"/>
                <w:b/>
                <w:bCs/>
                <w:sz w:val="21"/>
                <w:szCs w:val="21"/>
              </w:rPr>
            </w:pPr>
            <w:r>
              <w:rPr>
                <w:rFonts w:hint="eastAsia"/>
                <w:b/>
                <w:bCs/>
                <w:sz w:val="21"/>
                <w:szCs w:val="21"/>
              </w:rPr>
              <w:t>产品大类</w:t>
            </w:r>
          </w:p>
        </w:tc>
        <w:tc>
          <w:tcPr>
            <w:tcW w:w="1080" w:type="dxa"/>
            <w:tcBorders>
              <w:top w:val="single" w:color="auto" w:sz="4" w:space="0"/>
              <w:left w:val="nil"/>
              <w:bottom w:val="single" w:color="auto" w:sz="4" w:space="0"/>
              <w:right w:val="single" w:color="auto" w:sz="4" w:space="0"/>
            </w:tcBorders>
            <w:shd w:val="clear" w:color="auto" w:fill="E7E6E6" w:themeFill="background2"/>
            <w:vAlign w:val="center"/>
          </w:tcPr>
          <w:p w14:paraId="613BE1D1">
            <w:pPr>
              <w:widowControl/>
              <w:spacing w:line="240" w:lineRule="auto"/>
              <w:ind w:firstLine="0" w:firstLineChars="0"/>
              <w:jc w:val="center"/>
              <w:rPr>
                <w:rFonts w:hint="eastAsia"/>
                <w:b/>
                <w:bCs/>
                <w:sz w:val="21"/>
                <w:szCs w:val="21"/>
              </w:rPr>
            </w:pPr>
            <w:r>
              <w:rPr>
                <w:rFonts w:hint="eastAsia"/>
                <w:b/>
                <w:bCs/>
                <w:sz w:val="21"/>
                <w:szCs w:val="21"/>
              </w:rPr>
              <w:t>产品小类</w:t>
            </w:r>
          </w:p>
        </w:tc>
        <w:tc>
          <w:tcPr>
            <w:tcW w:w="1080" w:type="dxa"/>
            <w:tcBorders>
              <w:top w:val="single" w:color="auto" w:sz="4" w:space="0"/>
              <w:left w:val="nil"/>
              <w:bottom w:val="single" w:color="auto" w:sz="4" w:space="0"/>
              <w:right w:val="single" w:color="auto" w:sz="4" w:space="0"/>
            </w:tcBorders>
            <w:shd w:val="clear" w:color="auto" w:fill="E7E6E6" w:themeFill="background2"/>
            <w:vAlign w:val="center"/>
          </w:tcPr>
          <w:p w14:paraId="75A42E44">
            <w:pPr>
              <w:widowControl/>
              <w:spacing w:line="240" w:lineRule="auto"/>
              <w:ind w:firstLine="0" w:firstLineChars="0"/>
              <w:jc w:val="center"/>
              <w:rPr>
                <w:rFonts w:hint="eastAsia"/>
                <w:b/>
                <w:bCs/>
                <w:sz w:val="21"/>
                <w:szCs w:val="21"/>
              </w:rPr>
            </w:pPr>
            <w:r>
              <w:rPr>
                <w:rFonts w:hint="eastAsia"/>
                <w:b/>
                <w:bCs/>
                <w:sz w:val="21"/>
                <w:szCs w:val="21"/>
              </w:rPr>
              <w:t>产品型号</w:t>
            </w:r>
          </w:p>
        </w:tc>
        <w:tc>
          <w:tcPr>
            <w:tcW w:w="3873" w:type="dxa"/>
            <w:tcBorders>
              <w:top w:val="single" w:color="auto" w:sz="4" w:space="0"/>
              <w:left w:val="nil"/>
              <w:bottom w:val="single" w:color="auto" w:sz="4" w:space="0"/>
              <w:right w:val="single" w:color="auto" w:sz="4" w:space="0"/>
            </w:tcBorders>
            <w:shd w:val="clear" w:color="auto" w:fill="E7E6E6" w:themeFill="background2"/>
            <w:vAlign w:val="center"/>
          </w:tcPr>
          <w:p w14:paraId="368FEDCD">
            <w:pPr>
              <w:widowControl/>
              <w:spacing w:line="240" w:lineRule="auto"/>
              <w:ind w:firstLine="0" w:firstLineChars="0"/>
              <w:jc w:val="center"/>
              <w:rPr>
                <w:rFonts w:hint="eastAsia"/>
                <w:b/>
                <w:bCs/>
                <w:sz w:val="21"/>
                <w:szCs w:val="21"/>
              </w:rPr>
            </w:pPr>
            <w:r>
              <w:rPr>
                <w:rFonts w:hint="eastAsia"/>
                <w:b/>
                <w:bCs/>
                <w:sz w:val="21"/>
                <w:szCs w:val="21"/>
              </w:rPr>
              <w:t>产品配置</w:t>
            </w:r>
          </w:p>
        </w:tc>
        <w:tc>
          <w:tcPr>
            <w:tcW w:w="709" w:type="dxa"/>
            <w:tcBorders>
              <w:top w:val="single" w:color="auto" w:sz="4" w:space="0"/>
              <w:left w:val="nil"/>
              <w:bottom w:val="single" w:color="auto" w:sz="4" w:space="0"/>
              <w:right w:val="single" w:color="auto" w:sz="4" w:space="0"/>
            </w:tcBorders>
            <w:shd w:val="clear" w:color="auto" w:fill="E7E6E6" w:themeFill="background2"/>
            <w:vAlign w:val="center"/>
          </w:tcPr>
          <w:p w14:paraId="4AA29821">
            <w:pPr>
              <w:widowControl/>
              <w:spacing w:line="240" w:lineRule="auto"/>
              <w:ind w:firstLine="0" w:firstLineChars="0"/>
              <w:jc w:val="center"/>
              <w:rPr>
                <w:rFonts w:hint="eastAsia"/>
                <w:b/>
                <w:bCs/>
                <w:sz w:val="21"/>
                <w:szCs w:val="21"/>
              </w:rPr>
            </w:pPr>
            <w:r>
              <w:rPr>
                <w:rFonts w:hint="eastAsia"/>
                <w:b/>
                <w:bCs/>
                <w:sz w:val="21"/>
                <w:szCs w:val="21"/>
              </w:rPr>
              <w:t>数量</w:t>
            </w:r>
          </w:p>
        </w:tc>
      </w:tr>
      <w:tr w14:paraId="087FA171">
        <w:tblPrEx>
          <w:tblCellMar>
            <w:top w:w="0" w:type="dxa"/>
            <w:left w:w="108" w:type="dxa"/>
            <w:bottom w:w="0" w:type="dxa"/>
            <w:right w:w="108" w:type="dxa"/>
          </w:tblCellMar>
        </w:tblPrEx>
        <w:trPr>
          <w:trHeight w:val="840" w:hRule="atLeast"/>
        </w:trPr>
        <w:tc>
          <w:tcPr>
            <w:tcW w:w="820" w:type="dxa"/>
            <w:tcBorders>
              <w:top w:val="nil"/>
              <w:left w:val="single" w:color="000000" w:sz="4" w:space="0"/>
              <w:bottom w:val="single" w:color="000000" w:sz="4" w:space="0"/>
              <w:right w:val="single" w:color="000000" w:sz="4" w:space="0"/>
            </w:tcBorders>
            <w:vAlign w:val="center"/>
          </w:tcPr>
          <w:p w14:paraId="224D3AAE">
            <w:pPr>
              <w:widowControl/>
              <w:spacing w:line="240" w:lineRule="auto"/>
              <w:ind w:firstLine="0" w:firstLineChars="0"/>
              <w:jc w:val="center"/>
              <w:rPr>
                <w:rFonts w:hint="eastAsia"/>
                <w:sz w:val="21"/>
                <w:szCs w:val="21"/>
              </w:rPr>
            </w:pPr>
            <w:r>
              <w:rPr>
                <w:rFonts w:hint="eastAsia"/>
                <w:sz w:val="21"/>
                <w:szCs w:val="21"/>
              </w:rPr>
              <w:t>1</w:t>
            </w:r>
          </w:p>
        </w:tc>
        <w:tc>
          <w:tcPr>
            <w:tcW w:w="1080" w:type="dxa"/>
            <w:tcBorders>
              <w:top w:val="nil"/>
              <w:left w:val="nil"/>
              <w:bottom w:val="single" w:color="000000" w:sz="4" w:space="0"/>
              <w:right w:val="single" w:color="000000" w:sz="4" w:space="0"/>
            </w:tcBorders>
            <w:vAlign w:val="center"/>
          </w:tcPr>
          <w:p w14:paraId="07D0E042">
            <w:pPr>
              <w:widowControl/>
              <w:spacing w:line="240" w:lineRule="auto"/>
              <w:ind w:firstLine="0" w:firstLineChars="0"/>
              <w:jc w:val="center"/>
              <w:rPr>
                <w:rFonts w:hint="eastAsia"/>
                <w:sz w:val="21"/>
                <w:szCs w:val="21"/>
              </w:rPr>
            </w:pPr>
            <w:r>
              <w:rPr>
                <w:rFonts w:hint="eastAsia"/>
                <w:sz w:val="21"/>
                <w:szCs w:val="21"/>
              </w:rPr>
              <w:t>音视频监控设备</w:t>
            </w:r>
          </w:p>
        </w:tc>
        <w:tc>
          <w:tcPr>
            <w:tcW w:w="1080" w:type="dxa"/>
            <w:tcBorders>
              <w:top w:val="nil"/>
              <w:left w:val="nil"/>
              <w:bottom w:val="single" w:color="000000" w:sz="4" w:space="0"/>
              <w:right w:val="single" w:color="000000" w:sz="4" w:space="0"/>
            </w:tcBorders>
            <w:vAlign w:val="center"/>
          </w:tcPr>
          <w:p w14:paraId="7337FC8B">
            <w:pPr>
              <w:widowControl/>
              <w:spacing w:line="240" w:lineRule="auto"/>
              <w:ind w:firstLine="0" w:firstLineChars="0"/>
              <w:jc w:val="center"/>
              <w:rPr>
                <w:rFonts w:hint="eastAsia"/>
                <w:sz w:val="21"/>
                <w:szCs w:val="21"/>
              </w:rPr>
            </w:pPr>
            <w:r>
              <w:rPr>
                <w:rFonts w:hint="eastAsia"/>
                <w:sz w:val="21"/>
                <w:szCs w:val="21"/>
              </w:rPr>
              <w:t>编解码机</w:t>
            </w:r>
          </w:p>
        </w:tc>
        <w:tc>
          <w:tcPr>
            <w:tcW w:w="1080" w:type="dxa"/>
            <w:tcBorders>
              <w:top w:val="nil"/>
              <w:left w:val="nil"/>
              <w:bottom w:val="single" w:color="000000" w:sz="4" w:space="0"/>
              <w:right w:val="single" w:color="000000" w:sz="4" w:space="0"/>
            </w:tcBorders>
            <w:vAlign w:val="center"/>
          </w:tcPr>
          <w:p w14:paraId="4CB69BAB">
            <w:pPr>
              <w:widowControl/>
              <w:spacing w:line="240" w:lineRule="auto"/>
              <w:ind w:firstLine="0" w:firstLineChars="0"/>
              <w:jc w:val="center"/>
              <w:rPr>
                <w:rFonts w:hint="eastAsia"/>
                <w:sz w:val="21"/>
                <w:szCs w:val="21"/>
              </w:rPr>
            </w:pPr>
            <w:r>
              <w:rPr>
                <w:rFonts w:hint="eastAsia"/>
                <w:sz w:val="21"/>
                <w:szCs w:val="21"/>
              </w:rPr>
              <w:t>视频联网网关一体机</w:t>
            </w:r>
          </w:p>
        </w:tc>
        <w:tc>
          <w:tcPr>
            <w:tcW w:w="3873" w:type="dxa"/>
            <w:tcBorders>
              <w:top w:val="single" w:color="000000" w:sz="4" w:space="0"/>
              <w:left w:val="nil"/>
              <w:bottom w:val="single" w:color="000000" w:sz="4" w:space="0"/>
              <w:right w:val="single" w:color="000000" w:sz="4" w:space="0"/>
            </w:tcBorders>
            <w:vAlign w:val="center"/>
          </w:tcPr>
          <w:p w14:paraId="147EBE66">
            <w:pPr>
              <w:widowControl/>
              <w:spacing w:line="240" w:lineRule="auto"/>
              <w:ind w:firstLine="0" w:firstLineChars="0"/>
              <w:rPr>
                <w:rFonts w:hint="eastAsia"/>
                <w:sz w:val="21"/>
                <w:szCs w:val="21"/>
              </w:rPr>
            </w:pPr>
            <w:r>
              <w:rPr>
                <w:rFonts w:hint="eastAsia"/>
                <w:sz w:val="21"/>
                <w:szCs w:val="21"/>
              </w:rPr>
              <w:t>1、▲支持流媒体转发能力不小于600Mb</w:t>
            </w:r>
            <w:r>
              <w:rPr>
                <w:rFonts w:hint="eastAsia"/>
                <w:sz w:val="21"/>
                <w:szCs w:val="21"/>
              </w:rPr>
              <w:br w:type="textWrapping"/>
            </w:r>
            <w:r>
              <w:rPr>
                <w:rFonts w:hint="eastAsia"/>
                <w:sz w:val="21"/>
                <w:szCs w:val="21"/>
              </w:rPr>
              <w:t>2、▲支持平台国标级联点位不小于1000路</w:t>
            </w:r>
            <w:r>
              <w:rPr>
                <w:rFonts w:hint="eastAsia"/>
                <w:sz w:val="21"/>
                <w:szCs w:val="21"/>
              </w:rPr>
              <w:br w:type="textWrapping"/>
            </w:r>
            <w:r>
              <w:rPr>
                <w:rFonts w:hint="eastAsia"/>
                <w:sz w:val="21"/>
                <w:szCs w:val="21"/>
              </w:rPr>
              <w:t>3、CPU：海光、鲲鹏等主流国产化8核及以上处理器</w:t>
            </w:r>
            <w:r>
              <w:rPr>
                <w:rFonts w:hint="eastAsia"/>
                <w:sz w:val="21"/>
                <w:szCs w:val="21"/>
              </w:rPr>
              <w:br w:type="textWrapping"/>
            </w:r>
            <w:r>
              <w:rPr>
                <w:rFonts w:hint="eastAsia"/>
                <w:sz w:val="21"/>
                <w:szCs w:val="21"/>
              </w:rPr>
              <w:t>4、内存：32GB DDR4 2666Mhz系统内存</w:t>
            </w:r>
            <w:r>
              <w:rPr>
                <w:rFonts w:hint="eastAsia"/>
                <w:sz w:val="21"/>
                <w:szCs w:val="21"/>
              </w:rPr>
              <w:br w:type="textWrapping"/>
            </w:r>
            <w:r>
              <w:rPr>
                <w:rFonts w:hint="eastAsia"/>
                <w:sz w:val="21"/>
                <w:szCs w:val="21"/>
              </w:rPr>
              <w:t>5、硬盘：256GB SSD</w:t>
            </w:r>
            <w:r>
              <w:rPr>
                <w:rFonts w:hint="eastAsia"/>
                <w:sz w:val="21"/>
                <w:szCs w:val="21"/>
              </w:rPr>
              <w:br w:type="textWrapping"/>
            </w:r>
            <w:r>
              <w:rPr>
                <w:rFonts w:hint="eastAsia"/>
                <w:sz w:val="21"/>
                <w:szCs w:val="21"/>
              </w:rPr>
              <w:t>6、▲网口：RJ45千兆自适应网络接口</w:t>
            </w:r>
          </w:p>
        </w:tc>
        <w:tc>
          <w:tcPr>
            <w:tcW w:w="709" w:type="dxa"/>
            <w:tcBorders>
              <w:top w:val="nil"/>
              <w:left w:val="nil"/>
              <w:bottom w:val="single" w:color="000000" w:sz="4" w:space="0"/>
              <w:right w:val="single" w:color="000000" w:sz="4" w:space="0"/>
            </w:tcBorders>
            <w:vAlign w:val="center"/>
          </w:tcPr>
          <w:p w14:paraId="5D5B0946">
            <w:pPr>
              <w:widowControl/>
              <w:spacing w:line="240" w:lineRule="auto"/>
              <w:ind w:firstLine="0" w:firstLineChars="0"/>
              <w:jc w:val="center"/>
              <w:rPr>
                <w:rFonts w:hint="eastAsia"/>
                <w:sz w:val="21"/>
                <w:szCs w:val="21"/>
              </w:rPr>
            </w:pPr>
            <w:r>
              <w:rPr>
                <w:rFonts w:hint="eastAsia"/>
                <w:sz w:val="21"/>
                <w:szCs w:val="21"/>
              </w:rPr>
              <w:t>9</w:t>
            </w:r>
          </w:p>
        </w:tc>
      </w:tr>
      <w:tr w14:paraId="322D33DF">
        <w:tblPrEx>
          <w:tblCellMar>
            <w:top w:w="0" w:type="dxa"/>
            <w:left w:w="108" w:type="dxa"/>
            <w:bottom w:w="0" w:type="dxa"/>
            <w:right w:w="108" w:type="dxa"/>
          </w:tblCellMar>
        </w:tblPrEx>
        <w:trPr>
          <w:trHeight w:val="840" w:hRule="atLeast"/>
        </w:trPr>
        <w:tc>
          <w:tcPr>
            <w:tcW w:w="820" w:type="dxa"/>
            <w:tcBorders>
              <w:top w:val="nil"/>
              <w:left w:val="single" w:color="000000" w:sz="4" w:space="0"/>
              <w:bottom w:val="single" w:color="000000" w:sz="4" w:space="0"/>
              <w:right w:val="single" w:color="000000" w:sz="4" w:space="0"/>
            </w:tcBorders>
            <w:vAlign w:val="center"/>
          </w:tcPr>
          <w:p w14:paraId="23612BD1">
            <w:pPr>
              <w:widowControl/>
              <w:spacing w:line="240" w:lineRule="auto"/>
              <w:ind w:firstLine="0" w:firstLineChars="0"/>
              <w:jc w:val="center"/>
              <w:rPr>
                <w:rFonts w:hint="eastAsia"/>
                <w:sz w:val="21"/>
                <w:szCs w:val="21"/>
              </w:rPr>
            </w:pPr>
            <w:r>
              <w:rPr>
                <w:rFonts w:hint="eastAsia"/>
                <w:sz w:val="21"/>
                <w:szCs w:val="21"/>
              </w:rPr>
              <w:t>2</w:t>
            </w:r>
          </w:p>
        </w:tc>
        <w:tc>
          <w:tcPr>
            <w:tcW w:w="1080" w:type="dxa"/>
            <w:tcBorders>
              <w:top w:val="nil"/>
              <w:left w:val="nil"/>
              <w:bottom w:val="single" w:color="000000" w:sz="4" w:space="0"/>
              <w:right w:val="single" w:color="000000" w:sz="4" w:space="0"/>
            </w:tcBorders>
            <w:vAlign w:val="center"/>
          </w:tcPr>
          <w:p w14:paraId="61DABA81">
            <w:pPr>
              <w:widowControl/>
              <w:spacing w:line="240" w:lineRule="auto"/>
              <w:ind w:firstLine="0" w:firstLineChars="0"/>
              <w:jc w:val="center"/>
              <w:rPr>
                <w:rFonts w:hint="eastAsia"/>
                <w:sz w:val="21"/>
                <w:szCs w:val="21"/>
              </w:rPr>
            </w:pPr>
            <w:r>
              <w:rPr>
                <w:rFonts w:hint="eastAsia"/>
                <w:sz w:val="21"/>
                <w:szCs w:val="21"/>
              </w:rPr>
              <w:t>音视频监控设备</w:t>
            </w:r>
          </w:p>
        </w:tc>
        <w:tc>
          <w:tcPr>
            <w:tcW w:w="1080" w:type="dxa"/>
            <w:tcBorders>
              <w:top w:val="nil"/>
              <w:left w:val="nil"/>
              <w:bottom w:val="single" w:color="000000" w:sz="4" w:space="0"/>
              <w:right w:val="single" w:color="000000" w:sz="4" w:space="0"/>
            </w:tcBorders>
            <w:vAlign w:val="center"/>
          </w:tcPr>
          <w:p w14:paraId="1F31CEF1">
            <w:pPr>
              <w:widowControl/>
              <w:spacing w:line="240" w:lineRule="auto"/>
              <w:ind w:firstLine="0" w:firstLineChars="0"/>
              <w:jc w:val="center"/>
              <w:rPr>
                <w:rFonts w:hint="eastAsia"/>
                <w:sz w:val="21"/>
                <w:szCs w:val="21"/>
              </w:rPr>
            </w:pPr>
            <w:r>
              <w:rPr>
                <w:rFonts w:hint="eastAsia"/>
                <w:sz w:val="21"/>
                <w:szCs w:val="21"/>
              </w:rPr>
              <w:t>视频分配器</w:t>
            </w:r>
          </w:p>
        </w:tc>
        <w:tc>
          <w:tcPr>
            <w:tcW w:w="1080" w:type="dxa"/>
            <w:tcBorders>
              <w:top w:val="nil"/>
              <w:left w:val="nil"/>
              <w:bottom w:val="single" w:color="000000" w:sz="4" w:space="0"/>
              <w:right w:val="single" w:color="000000" w:sz="4" w:space="0"/>
            </w:tcBorders>
            <w:vAlign w:val="center"/>
          </w:tcPr>
          <w:p w14:paraId="31B8556E">
            <w:pPr>
              <w:widowControl/>
              <w:spacing w:line="240" w:lineRule="auto"/>
              <w:ind w:firstLine="0" w:firstLineChars="0"/>
              <w:jc w:val="center"/>
              <w:rPr>
                <w:rFonts w:hint="eastAsia"/>
                <w:sz w:val="21"/>
                <w:szCs w:val="21"/>
              </w:rPr>
            </w:pPr>
            <w:r>
              <w:rPr>
                <w:rFonts w:hint="eastAsia"/>
                <w:sz w:val="21"/>
                <w:szCs w:val="21"/>
              </w:rPr>
              <w:t>媒体转码网关一体机</w:t>
            </w:r>
          </w:p>
        </w:tc>
        <w:tc>
          <w:tcPr>
            <w:tcW w:w="3873" w:type="dxa"/>
            <w:tcBorders>
              <w:top w:val="single" w:color="000000" w:sz="4" w:space="0"/>
              <w:left w:val="nil"/>
              <w:bottom w:val="single" w:color="000000" w:sz="4" w:space="0"/>
              <w:right w:val="single" w:color="000000" w:sz="4" w:space="0"/>
            </w:tcBorders>
            <w:vAlign w:val="center"/>
          </w:tcPr>
          <w:p w14:paraId="7EDBF421">
            <w:pPr>
              <w:widowControl/>
              <w:spacing w:line="240" w:lineRule="auto"/>
              <w:ind w:firstLine="0" w:firstLineChars="0"/>
              <w:rPr>
                <w:rFonts w:hint="eastAsia"/>
                <w:sz w:val="21"/>
                <w:szCs w:val="21"/>
              </w:rPr>
            </w:pPr>
            <w:r>
              <w:rPr>
                <w:rFonts w:hint="eastAsia"/>
                <w:sz w:val="21"/>
                <w:szCs w:val="21"/>
              </w:rPr>
              <w:t>1、▲标准流媒体协议：支持标准RTSP协议、HLS协议、RTMP协议、WebSocket协议、HTTPFLV协议对接取流；</w:t>
            </w:r>
          </w:p>
          <w:p w14:paraId="30FF67AE">
            <w:pPr>
              <w:widowControl/>
              <w:spacing w:line="240" w:lineRule="auto"/>
              <w:ind w:firstLine="0" w:firstLineChars="0"/>
              <w:rPr>
                <w:rFonts w:hint="eastAsia"/>
                <w:sz w:val="21"/>
                <w:szCs w:val="21"/>
              </w:rPr>
            </w:pPr>
            <w:r>
              <w:rPr>
                <w:rFonts w:hint="eastAsia"/>
                <w:sz w:val="21"/>
                <w:szCs w:val="21"/>
              </w:rPr>
              <w:t>2、支持无控件播放；</w:t>
            </w:r>
            <w:r>
              <w:rPr>
                <w:rFonts w:hint="eastAsia"/>
                <w:sz w:val="21"/>
                <w:szCs w:val="21"/>
              </w:rPr>
              <w:br w:type="textWrapping"/>
            </w:r>
            <w:r>
              <w:rPr>
                <w:rFonts w:hint="eastAsia"/>
                <w:sz w:val="21"/>
                <w:szCs w:val="21"/>
              </w:rPr>
              <w:t>3、▲视频上云推流：支持以RTMP协议将视频推送到云端；编解码参数/转码参数</w:t>
            </w:r>
            <w:r>
              <w:rPr>
                <w:rFonts w:hint="eastAsia"/>
                <w:sz w:val="21"/>
                <w:szCs w:val="21"/>
              </w:rPr>
              <w:br w:type="textWrapping"/>
            </w:r>
            <w:r>
              <w:rPr>
                <w:rFonts w:hint="eastAsia"/>
                <w:sz w:val="21"/>
                <w:szCs w:val="21"/>
              </w:rPr>
              <w:t>4、▲支持转码，包括标准码流的降码率，降分辨率，非标准码流转标准码流。</w:t>
            </w:r>
            <w:r>
              <w:rPr>
                <w:rFonts w:hint="eastAsia"/>
                <w:sz w:val="21"/>
                <w:szCs w:val="21"/>
              </w:rPr>
              <w:br w:type="textWrapping"/>
            </w:r>
            <w:r>
              <w:rPr>
                <w:rFonts w:hint="eastAsia"/>
                <w:sz w:val="21"/>
                <w:szCs w:val="21"/>
              </w:rPr>
              <w:t>（1）转码能力：128路1080P@30fps 4Mbps，支持将非国标码流转为国标H.264、H.265码流</w:t>
            </w:r>
            <w:r>
              <w:rPr>
                <w:rFonts w:hint="eastAsia"/>
                <w:sz w:val="21"/>
                <w:szCs w:val="21"/>
              </w:rPr>
              <w:br w:type="textWrapping"/>
            </w:r>
            <w:r>
              <w:rPr>
                <w:rFonts w:hint="eastAsia"/>
                <w:sz w:val="21"/>
                <w:szCs w:val="21"/>
              </w:rPr>
              <w:t>5、支持降分辨率、降码率、降帧率</w:t>
            </w:r>
            <w:r>
              <w:rPr>
                <w:rFonts w:hint="eastAsia"/>
                <w:sz w:val="21"/>
                <w:szCs w:val="21"/>
              </w:rPr>
              <w:br w:type="textWrapping"/>
            </w:r>
            <w:r>
              <w:rPr>
                <w:rFonts w:hint="eastAsia"/>
                <w:sz w:val="21"/>
                <w:szCs w:val="21"/>
              </w:rPr>
              <w:t>6、处理器：海光、鲲鹏等主流国产化8核及以上处理器</w:t>
            </w:r>
          </w:p>
          <w:p w14:paraId="07B225A5">
            <w:pPr>
              <w:widowControl/>
              <w:spacing w:line="240" w:lineRule="auto"/>
              <w:ind w:firstLine="0" w:firstLineChars="0"/>
              <w:rPr>
                <w:rFonts w:hint="eastAsia"/>
                <w:sz w:val="21"/>
                <w:szCs w:val="21"/>
              </w:rPr>
            </w:pPr>
            <w:r>
              <w:rPr>
                <w:rFonts w:hint="eastAsia"/>
                <w:sz w:val="21"/>
                <w:szCs w:val="21"/>
              </w:rPr>
              <w:t>7、内存：32GB DDR4</w:t>
            </w:r>
            <w:r>
              <w:rPr>
                <w:rFonts w:hint="eastAsia"/>
                <w:sz w:val="21"/>
                <w:szCs w:val="21"/>
              </w:rPr>
              <w:br w:type="textWrapping"/>
            </w:r>
            <w:r>
              <w:rPr>
                <w:rFonts w:hint="eastAsia"/>
                <w:sz w:val="21"/>
                <w:szCs w:val="21"/>
              </w:rPr>
              <w:t>8、硬盘：256GB SSD</w:t>
            </w:r>
            <w:r>
              <w:rPr>
                <w:rFonts w:hint="eastAsia"/>
                <w:sz w:val="21"/>
                <w:szCs w:val="21"/>
              </w:rPr>
              <w:br w:type="textWrapping"/>
            </w:r>
            <w:r>
              <w:rPr>
                <w:rFonts w:hint="eastAsia"/>
                <w:sz w:val="21"/>
                <w:szCs w:val="21"/>
              </w:rPr>
              <w:t>9、▲网络接口：7个10/100/1000M自适应电口，2个10/100/1000M自适应光口</w:t>
            </w:r>
          </w:p>
        </w:tc>
        <w:tc>
          <w:tcPr>
            <w:tcW w:w="709" w:type="dxa"/>
            <w:tcBorders>
              <w:top w:val="nil"/>
              <w:left w:val="nil"/>
              <w:bottom w:val="single" w:color="000000" w:sz="4" w:space="0"/>
              <w:right w:val="single" w:color="000000" w:sz="4" w:space="0"/>
            </w:tcBorders>
            <w:vAlign w:val="center"/>
          </w:tcPr>
          <w:p w14:paraId="585AE5C2">
            <w:pPr>
              <w:widowControl/>
              <w:spacing w:line="240" w:lineRule="auto"/>
              <w:ind w:firstLine="0" w:firstLineChars="0"/>
              <w:jc w:val="center"/>
              <w:rPr>
                <w:rFonts w:hint="eastAsia"/>
                <w:sz w:val="21"/>
                <w:szCs w:val="21"/>
              </w:rPr>
            </w:pPr>
            <w:r>
              <w:rPr>
                <w:rFonts w:hint="eastAsia"/>
                <w:sz w:val="21"/>
                <w:szCs w:val="21"/>
              </w:rPr>
              <w:t>2</w:t>
            </w:r>
          </w:p>
        </w:tc>
      </w:tr>
      <w:tr w14:paraId="20D02768">
        <w:tblPrEx>
          <w:tblCellMar>
            <w:top w:w="0" w:type="dxa"/>
            <w:left w:w="108" w:type="dxa"/>
            <w:bottom w:w="0" w:type="dxa"/>
            <w:right w:w="108" w:type="dxa"/>
          </w:tblCellMar>
        </w:tblPrEx>
        <w:trPr>
          <w:trHeight w:val="840" w:hRule="atLeast"/>
        </w:trPr>
        <w:tc>
          <w:tcPr>
            <w:tcW w:w="820" w:type="dxa"/>
            <w:tcBorders>
              <w:top w:val="nil"/>
              <w:left w:val="single" w:color="000000" w:sz="4" w:space="0"/>
              <w:bottom w:val="single" w:color="000000" w:sz="4" w:space="0"/>
              <w:right w:val="single" w:color="000000" w:sz="4" w:space="0"/>
            </w:tcBorders>
            <w:vAlign w:val="center"/>
          </w:tcPr>
          <w:p w14:paraId="0B2BB72D">
            <w:pPr>
              <w:widowControl/>
              <w:spacing w:line="240" w:lineRule="auto"/>
              <w:ind w:firstLine="0" w:firstLineChars="0"/>
              <w:jc w:val="center"/>
              <w:rPr>
                <w:rFonts w:hint="eastAsia"/>
                <w:sz w:val="21"/>
                <w:szCs w:val="21"/>
              </w:rPr>
            </w:pPr>
            <w:r>
              <w:rPr>
                <w:rFonts w:hint="eastAsia"/>
                <w:sz w:val="21"/>
                <w:szCs w:val="21"/>
              </w:rPr>
              <w:t>3</w:t>
            </w:r>
          </w:p>
        </w:tc>
        <w:tc>
          <w:tcPr>
            <w:tcW w:w="1080" w:type="dxa"/>
            <w:tcBorders>
              <w:top w:val="nil"/>
              <w:left w:val="nil"/>
              <w:bottom w:val="single" w:color="000000" w:sz="4" w:space="0"/>
              <w:right w:val="single" w:color="000000" w:sz="4" w:space="0"/>
            </w:tcBorders>
            <w:vAlign w:val="center"/>
          </w:tcPr>
          <w:p w14:paraId="271EDF90">
            <w:pPr>
              <w:widowControl/>
              <w:spacing w:line="240" w:lineRule="auto"/>
              <w:ind w:firstLine="0" w:firstLineChars="0"/>
              <w:jc w:val="center"/>
              <w:rPr>
                <w:rFonts w:hint="eastAsia"/>
                <w:sz w:val="21"/>
                <w:szCs w:val="21"/>
              </w:rPr>
            </w:pPr>
            <w:r>
              <w:rPr>
                <w:rFonts w:hint="eastAsia"/>
                <w:sz w:val="21"/>
                <w:szCs w:val="21"/>
              </w:rPr>
              <w:t>音视频监控设备</w:t>
            </w:r>
          </w:p>
        </w:tc>
        <w:tc>
          <w:tcPr>
            <w:tcW w:w="1080" w:type="dxa"/>
            <w:tcBorders>
              <w:top w:val="nil"/>
              <w:left w:val="nil"/>
              <w:bottom w:val="single" w:color="000000" w:sz="4" w:space="0"/>
              <w:right w:val="single" w:color="000000" w:sz="4" w:space="0"/>
            </w:tcBorders>
            <w:vAlign w:val="center"/>
          </w:tcPr>
          <w:p w14:paraId="66736336">
            <w:pPr>
              <w:widowControl/>
              <w:spacing w:line="240" w:lineRule="auto"/>
              <w:ind w:firstLine="0" w:firstLineChars="0"/>
              <w:jc w:val="center"/>
              <w:rPr>
                <w:rFonts w:hint="eastAsia"/>
                <w:sz w:val="21"/>
                <w:szCs w:val="21"/>
              </w:rPr>
            </w:pPr>
            <w:r>
              <w:rPr>
                <w:rFonts w:hint="eastAsia"/>
                <w:sz w:val="21"/>
                <w:szCs w:val="21"/>
              </w:rPr>
              <w:t>网络音视频服务器</w:t>
            </w:r>
          </w:p>
        </w:tc>
        <w:tc>
          <w:tcPr>
            <w:tcW w:w="1080" w:type="dxa"/>
            <w:tcBorders>
              <w:top w:val="nil"/>
              <w:left w:val="nil"/>
              <w:bottom w:val="single" w:color="000000" w:sz="4" w:space="0"/>
              <w:right w:val="single" w:color="000000" w:sz="4" w:space="0"/>
            </w:tcBorders>
            <w:vAlign w:val="center"/>
          </w:tcPr>
          <w:p w14:paraId="10F23FD6">
            <w:pPr>
              <w:widowControl/>
              <w:spacing w:line="240" w:lineRule="auto"/>
              <w:ind w:firstLine="0" w:firstLineChars="0"/>
              <w:jc w:val="center"/>
              <w:rPr>
                <w:rFonts w:hint="eastAsia"/>
                <w:sz w:val="21"/>
                <w:szCs w:val="21"/>
              </w:rPr>
            </w:pPr>
            <w:r>
              <w:rPr>
                <w:rFonts w:hint="eastAsia"/>
                <w:sz w:val="21"/>
                <w:szCs w:val="21"/>
              </w:rPr>
              <w:t>视频安全集中管理一体机</w:t>
            </w:r>
          </w:p>
        </w:tc>
        <w:tc>
          <w:tcPr>
            <w:tcW w:w="3873" w:type="dxa"/>
            <w:tcBorders>
              <w:top w:val="single" w:color="000000" w:sz="4" w:space="0"/>
              <w:left w:val="nil"/>
              <w:bottom w:val="single" w:color="000000" w:sz="4" w:space="0"/>
              <w:right w:val="single" w:color="000000" w:sz="4" w:space="0"/>
            </w:tcBorders>
            <w:vAlign w:val="center"/>
          </w:tcPr>
          <w:p w14:paraId="413100FF">
            <w:pPr>
              <w:widowControl/>
              <w:spacing w:line="240" w:lineRule="auto"/>
              <w:ind w:firstLine="0" w:firstLineChars="0"/>
              <w:rPr>
                <w:rFonts w:hint="eastAsia"/>
                <w:sz w:val="21"/>
                <w:szCs w:val="21"/>
              </w:rPr>
            </w:pPr>
            <w:r>
              <w:rPr>
                <w:rFonts w:hint="eastAsia"/>
                <w:sz w:val="21"/>
                <w:szCs w:val="21"/>
              </w:rPr>
              <w:t>1、产品可采用旁路模式部署，安装不影响原有的网络结构，实施部署简单方便。</w:t>
            </w:r>
            <w:r>
              <w:rPr>
                <w:rFonts w:hint="eastAsia"/>
                <w:sz w:val="21"/>
                <w:szCs w:val="21"/>
              </w:rPr>
              <w:br w:type="textWrapping"/>
            </w:r>
            <w:r>
              <w:rPr>
                <w:rFonts w:hint="eastAsia"/>
                <w:sz w:val="21"/>
                <w:szCs w:val="21"/>
              </w:rPr>
              <w:t>2、产品支持集中管理及分级管理功能，可对前端视频安全防护系统设备进行集中管理，可设置多级系统管理员权限，实现管理员的分级管理。</w:t>
            </w:r>
            <w:r>
              <w:rPr>
                <w:rFonts w:hint="eastAsia"/>
                <w:sz w:val="21"/>
                <w:szCs w:val="21"/>
              </w:rPr>
              <w:br w:type="textWrapping"/>
            </w:r>
            <w:r>
              <w:rPr>
                <w:rFonts w:hint="eastAsia"/>
                <w:sz w:val="21"/>
                <w:szCs w:val="21"/>
              </w:rPr>
              <w:t>3、支持集中配置功能，可对视频防泄密及水印系统设备及视频接入及综合防护系统设备进行集中配置；</w:t>
            </w:r>
            <w:r>
              <w:rPr>
                <w:rFonts w:hint="eastAsia"/>
                <w:sz w:val="21"/>
                <w:szCs w:val="21"/>
              </w:rPr>
              <w:br w:type="textWrapping"/>
            </w:r>
            <w:r>
              <w:rPr>
                <w:rFonts w:hint="eastAsia"/>
                <w:sz w:val="21"/>
                <w:szCs w:val="21"/>
              </w:rPr>
              <w:t>4、支持实时监控功能，可实时监控全网视频安全防护系统设备的CPU使用率、内存使用率、硬盘使用率、上行已使用带宽、下行已使用带宽等状态，并可设置阈值预警功能，当超过预设阈值后集中管理平台会产生异常告警日志。</w:t>
            </w:r>
            <w:r>
              <w:rPr>
                <w:rFonts w:hint="eastAsia"/>
                <w:sz w:val="21"/>
                <w:szCs w:val="21"/>
              </w:rPr>
              <w:br w:type="textWrapping"/>
            </w:r>
            <w:r>
              <w:rPr>
                <w:rFonts w:hint="eastAsia"/>
                <w:sz w:val="21"/>
                <w:szCs w:val="21"/>
              </w:rPr>
              <w:t>5、支持对全网安全防护系统设备采集的资产信息进行汇总，可集中展示全网终端资产信息、资产在线、离线情况。</w:t>
            </w:r>
            <w:r>
              <w:rPr>
                <w:rFonts w:hint="eastAsia"/>
                <w:sz w:val="21"/>
                <w:szCs w:val="21"/>
              </w:rPr>
              <w:br w:type="textWrapping"/>
            </w:r>
            <w:r>
              <w:rPr>
                <w:rFonts w:hint="eastAsia"/>
                <w:sz w:val="21"/>
                <w:szCs w:val="21"/>
              </w:rPr>
              <w:t>6、支持对全网安全防护系统设备采集的安全信息进行汇总，可对全网DOS，漏洞攻击，病毒攻击等进行安全统计及统一展示。</w:t>
            </w:r>
            <w:r>
              <w:rPr>
                <w:rFonts w:hint="eastAsia"/>
                <w:sz w:val="21"/>
                <w:szCs w:val="21"/>
              </w:rPr>
              <w:br w:type="textWrapping"/>
            </w:r>
            <w:r>
              <w:rPr>
                <w:rFonts w:hint="eastAsia"/>
                <w:sz w:val="21"/>
                <w:szCs w:val="21"/>
              </w:rPr>
              <w:t>7、▲支持日志管理功能；</w:t>
            </w:r>
          </w:p>
          <w:p w14:paraId="3887A3B9">
            <w:pPr>
              <w:widowControl/>
              <w:spacing w:line="240" w:lineRule="auto"/>
              <w:ind w:firstLine="0" w:firstLineChars="0"/>
              <w:rPr>
                <w:rFonts w:hint="eastAsia"/>
                <w:sz w:val="21"/>
                <w:szCs w:val="21"/>
              </w:rPr>
            </w:pPr>
            <w:r>
              <w:rPr>
                <w:rFonts w:hint="eastAsia"/>
                <w:sz w:val="21"/>
                <w:szCs w:val="21"/>
              </w:rPr>
              <w:t>8、▲可对视频安全防护系统设备产生的DOS攻击，病毒查杀，漏洞防护，WEB防护，网页URL，阻断记录，会话记录，告警记录进入库管理、集中存储。</w:t>
            </w:r>
          </w:p>
        </w:tc>
        <w:tc>
          <w:tcPr>
            <w:tcW w:w="709" w:type="dxa"/>
            <w:tcBorders>
              <w:top w:val="nil"/>
              <w:left w:val="nil"/>
              <w:bottom w:val="single" w:color="000000" w:sz="4" w:space="0"/>
              <w:right w:val="single" w:color="000000" w:sz="4" w:space="0"/>
            </w:tcBorders>
            <w:vAlign w:val="center"/>
          </w:tcPr>
          <w:p w14:paraId="46A0C5C6">
            <w:pPr>
              <w:widowControl/>
              <w:spacing w:line="240" w:lineRule="auto"/>
              <w:ind w:firstLine="0" w:firstLineChars="0"/>
              <w:jc w:val="center"/>
              <w:rPr>
                <w:rFonts w:hint="eastAsia"/>
                <w:sz w:val="21"/>
                <w:szCs w:val="21"/>
              </w:rPr>
            </w:pPr>
            <w:r>
              <w:rPr>
                <w:rFonts w:hint="eastAsia"/>
                <w:sz w:val="21"/>
                <w:szCs w:val="21"/>
              </w:rPr>
              <w:t>2</w:t>
            </w:r>
          </w:p>
        </w:tc>
      </w:tr>
    </w:tbl>
    <w:p w14:paraId="43735DEC">
      <w:pPr>
        <w:ind w:firstLineChars="0"/>
        <w:rPr>
          <w:rFonts w:hint="eastAsia"/>
        </w:rPr>
      </w:pPr>
    </w:p>
    <w:p w14:paraId="575BF99E">
      <w:pPr>
        <w:pStyle w:val="16"/>
        <w:numPr>
          <w:ilvl w:val="0"/>
          <w:numId w:val="2"/>
        </w:numPr>
        <w:ind w:firstLineChars="0"/>
        <w:rPr>
          <w:rFonts w:hint="eastAsia"/>
        </w:rPr>
      </w:pPr>
      <w:r>
        <w:rPr>
          <w:rFonts w:hint="eastAsia"/>
        </w:rPr>
        <w:t>产品软件购置清单</w:t>
      </w:r>
    </w:p>
    <w:tbl>
      <w:tblPr>
        <w:tblStyle w:val="8"/>
        <w:tblW w:w="8642" w:type="dxa"/>
        <w:tblInd w:w="0" w:type="dxa"/>
        <w:tblLayout w:type="autofit"/>
        <w:tblCellMar>
          <w:top w:w="0" w:type="dxa"/>
          <w:left w:w="108" w:type="dxa"/>
          <w:bottom w:w="0" w:type="dxa"/>
          <w:right w:w="108" w:type="dxa"/>
        </w:tblCellMar>
      </w:tblPr>
      <w:tblGrid>
        <w:gridCol w:w="427"/>
        <w:gridCol w:w="1128"/>
        <w:gridCol w:w="1134"/>
        <w:gridCol w:w="1134"/>
        <w:gridCol w:w="4110"/>
        <w:gridCol w:w="709"/>
      </w:tblGrid>
      <w:tr w14:paraId="2F112C74">
        <w:tblPrEx>
          <w:tblCellMar>
            <w:top w:w="0" w:type="dxa"/>
            <w:left w:w="108" w:type="dxa"/>
            <w:bottom w:w="0" w:type="dxa"/>
            <w:right w:w="108" w:type="dxa"/>
          </w:tblCellMar>
        </w:tblPrEx>
        <w:trPr>
          <w:trHeight w:val="518" w:hRule="atLeast"/>
        </w:trPr>
        <w:tc>
          <w:tcPr>
            <w:tcW w:w="42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7D24E312">
            <w:pPr>
              <w:widowControl/>
              <w:spacing w:line="240" w:lineRule="auto"/>
              <w:ind w:firstLine="0" w:firstLineChars="0"/>
              <w:jc w:val="center"/>
              <w:rPr>
                <w:rFonts w:hint="eastAsia"/>
                <w:b/>
                <w:bCs/>
                <w:sz w:val="21"/>
                <w:szCs w:val="21"/>
              </w:rPr>
            </w:pPr>
            <w:r>
              <w:rPr>
                <w:rFonts w:hint="eastAsia"/>
                <w:b/>
                <w:bCs/>
                <w:sz w:val="21"/>
                <w:szCs w:val="21"/>
              </w:rPr>
              <w:t>序号</w:t>
            </w:r>
          </w:p>
        </w:tc>
        <w:tc>
          <w:tcPr>
            <w:tcW w:w="1128" w:type="dxa"/>
            <w:tcBorders>
              <w:top w:val="single" w:color="auto" w:sz="4" w:space="0"/>
              <w:left w:val="nil"/>
              <w:bottom w:val="single" w:color="auto" w:sz="4" w:space="0"/>
              <w:right w:val="single" w:color="auto" w:sz="4" w:space="0"/>
            </w:tcBorders>
            <w:shd w:val="clear" w:color="auto" w:fill="E7E6E6" w:themeFill="background2"/>
            <w:vAlign w:val="center"/>
          </w:tcPr>
          <w:p w14:paraId="0B281F7B">
            <w:pPr>
              <w:widowControl/>
              <w:spacing w:line="240" w:lineRule="auto"/>
              <w:ind w:firstLine="0" w:firstLineChars="0"/>
              <w:jc w:val="center"/>
              <w:rPr>
                <w:rFonts w:hint="eastAsia"/>
                <w:b/>
                <w:bCs/>
                <w:sz w:val="21"/>
                <w:szCs w:val="21"/>
              </w:rPr>
            </w:pPr>
            <w:r>
              <w:rPr>
                <w:rFonts w:hint="eastAsia"/>
                <w:b/>
                <w:bCs/>
                <w:sz w:val="21"/>
                <w:szCs w:val="21"/>
              </w:rPr>
              <w:t>产品大类</w:t>
            </w:r>
          </w:p>
        </w:tc>
        <w:tc>
          <w:tcPr>
            <w:tcW w:w="1134" w:type="dxa"/>
            <w:tcBorders>
              <w:top w:val="single" w:color="auto" w:sz="4" w:space="0"/>
              <w:left w:val="nil"/>
              <w:bottom w:val="single" w:color="auto" w:sz="4" w:space="0"/>
              <w:right w:val="single" w:color="auto" w:sz="4" w:space="0"/>
            </w:tcBorders>
            <w:shd w:val="clear" w:color="auto" w:fill="E7E6E6" w:themeFill="background2"/>
            <w:vAlign w:val="center"/>
          </w:tcPr>
          <w:p w14:paraId="1D4C6191">
            <w:pPr>
              <w:widowControl/>
              <w:spacing w:line="240" w:lineRule="auto"/>
              <w:ind w:firstLine="0" w:firstLineChars="0"/>
              <w:jc w:val="center"/>
              <w:rPr>
                <w:rFonts w:hint="eastAsia"/>
                <w:b/>
                <w:bCs/>
                <w:sz w:val="21"/>
                <w:szCs w:val="21"/>
              </w:rPr>
            </w:pPr>
            <w:r>
              <w:rPr>
                <w:rFonts w:hint="eastAsia"/>
                <w:b/>
                <w:bCs/>
                <w:sz w:val="21"/>
                <w:szCs w:val="21"/>
              </w:rPr>
              <w:t>产品小类</w:t>
            </w:r>
          </w:p>
        </w:tc>
        <w:tc>
          <w:tcPr>
            <w:tcW w:w="1134" w:type="dxa"/>
            <w:tcBorders>
              <w:top w:val="single" w:color="auto" w:sz="4" w:space="0"/>
              <w:left w:val="nil"/>
              <w:bottom w:val="single" w:color="auto" w:sz="4" w:space="0"/>
              <w:right w:val="single" w:color="auto" w:sz="4" w:space="0"/>
            </w:tcBorders>
            <w:shd w:val="clear" w:color="auto" w:fill="E7E6E6" w:themeFill="background2"/>
            <w:vAlign w:val="center"/>
          </w:tcPr>
          <w:p w14:paraId="56E26450">
            <w:pPr>
              <w:widowControl/>
              <w:spacing w:line="240" w:lineRule="auto"/>
              <w:ind w:firstLine="0" w:firstLineChars="0"/>
              <w:jc w:val="center"/>
              <w:rPr>
                <w:rFonts w:hint="eastAsia"/>
                <w:b/>
                <w:bCs/>
                <w:sz w:val="21"/>
                <w:szCs w:val="21"/>
              </w:rPr>
            </w:pPr>
            <w:r>
              <w:rPr>
                <w:rFonts w:hint="eastAsia"/>
                <w:b/>
                <w:bCs/>
                <w:sz w:val="21"/>
                <w:szCs w:val="21"/>
              </w:rPr>
              <w:t>产品型号</w:t>
            </w:r>
          </w:p>
        </w:tc>
        <w:tc>
          <w:tcPr>
            <w:tcW w:w="4110" w:type="dxa"/>
            <w:tcBorders>
              <w:top w:val="single" w:color="auto" w:sz="4" w:space="0"/>
              <w:left w:val="nil"/>
              <w:bottom w:val="single" w:color="auto" w:sz="4" w:space="0"/>
              <w:right w:val="single" w:color="auto" w:sz="4" w:space="0"/>
            </w:tcBorders>
            <w:shd w:val="clear" w:color="auto" w:fill="E7E6E6" w:themeFill="background2"/>
            <w:vAlign w:val="center"/>
          </w:tcPr>
          <w:p w14:paraId="462F33AB">
            <w:pPr>
              <w:widowControl/>
              <w:spacing w:line="240" w:lineRule="auto"/>
              <w:ind w:firstLine="0" w:firstLineChars="0"/>
              <w:jc w:val="center"/>
              <w:rPr>
                <w:rFonts w:hint="eastAsia"/>
                <w:b/>
                <w:bCs/>
                <w:sz w:val="21"/>
                <w:szCs w:val="21"/>
              </w:rPr>
            </w:pPr>
            <w:r>
              <w:rPr>
                <w:rFonts w:hint="eastAsia"/>
                <w:b/>
                <w:bCs/>
                <w:sz w:val="21"/>
                <w:szCs w:val="21"/>
              </w:rPr>
              <w:t>产品配置</w:t>
            </w:r>
          </w:p>
        </w:tc>
        <w:tc>
          <w:tcPr>
            <w:tcW w:w="709" w:type="dxa"/>
            <w:tcBorders>
              <w:top w:val="single" w:color="auto" w:sz="4" w:space="0"/>
              <w:left w:val="nil"/>
              <w:bottom w:val="single" w:color="auto" w:sz="4" w:space="0"/>
              <w:right w:val="single" w:color="auto" w:sz="4" w:space="0"/>
            </w:tcBorders>
            <w:shd w:val="clear" w:color="auto" w:fill="E7E6E6" w:themeFill="background2"/>
            <w:vAlign w:val="center"/>
          </w:tcPr>
          <w:p w14:paraId="1BDE0276">
            <w:pPr>
              <w:widowControl/>
              <w:spacing w:line="240" w:lineRule="auto"/>
              <w:ind w:firstLine="0" w:firstLineChars="0"/>
              <w:jc w:val="center"/>
              <w:rPr>
                <w:rFonts w:hint="eastAsia"/>
                <w:b/>
                <w:bCs/>
                <w:sz w:val="21"/>
                <w:szCs w:val="21"/>
              </w:rPr>
            </w:pPr>
            <w:r>
              <w:rPr>
                <w:rFonts w:hint="eastAsia"/>
                <w:b/>
                <w:bCs/>
                <w:sz w:val="21"/>
                <w:szCs w:val="21"/>
              </w:rPr>
              <w:t>数量</w:t>
            </w:r>
          </w:p>
        </w:tc>
      </w:tr>
      <w:tr w14:paraId="5E9B4031">
        <w:tblPrEx>
          <w:tblCellMar>
            <w:top w:w="0" w:type="dxa"/>
            <w:left w:w="108" w:type="dxa"/>
            <w:bottom w:w="0" w:type="dxa"/>
            <w:right w:w="108" w:type="dxa"/>
          </w:tblCellMar>
        </w:tblPrEx>
        <w:trPr>
          <w:trHeight w:val="560" w:hRule="atLeast"/>
        </w:trPr>
        <w:tc>
          <w:tcPr>
            <w:tcW w:w="427" w:type="dxa"/>
            <w:tcBorders>
              <w:top w:val="nil"/>
              <w:left w:val="single" w:color="000000" w:sz="4" w:space="0"/>
              <w:bottom w:val="single" w:color="000000" w:sz="4" w:space="0"/>
              <w:right w:val="single" w:color="000000" w:sz="4" w:space="0"/>
            </w:tcBorders>
            <w:vAlign w:val="center"/>
          </w:tcPr>
          <w:p w14:paraId="40E331D6">
            <w:pPr>
              <w:widowControl/>
              <w:spacing w:line="240" w:lineRule="auto"/>
              <w:ind w:firstLine="0" w:firstLineChars="0"/>
              <w:jc w:val="center"/>
              <w:rPr>
                <w:rFonts w:hint="eastAsia"/>
                <w:sz w:val="21"/>
                <w:szCs w:val="21"/>
              </w:rPr>
            </w:pPr>
            <w:r>
              <w:rPr>
                <w:rFonts w:hint="eastAsia"/>
                <w:sz w:val="21"/>
                <w:szCs w:val="21"/>
              </w:rPr>
              <w:t>1</w:t>
            </w:r>
          </w:p>
        </w:tc>
        <w:tc>
          <w:tcPr>
            <w:tcW w:w="1128" w:type="dxa"/>
            <w:tcBorders>
              <w:top w:val="nil"/>
              <w:left w:val="nil"/>
              <w:bottom w:val="single" w:color="000000" w:sz="4" w:space="0"/>
              <w:right w:val="single" w:color="000000" w:sz="4" w:space="0"/>
            </w:tcBorders>
            <w:vAlign w:val="center"/>
          </w:tcPr>
          <w:p w14:paraId="66FBB475">
            <w:pPr>
              <w:widowControl/>
              <w:spacing w:line="240" w:lineRule="auto"/>
              <w:ind w:firstLine="0" w:firstLineChars="0"/>
              <w:jc w:val="center"/>
              <w:rPr>
                <w:rFonts w:hint="eastAsia"/>
                <w:sz w:val="21"/>
                <w:szCs w:val="21"/>
              </w:rPr>
            </w:pPr>
            <w:r>
              <w:rPr>
                <w:rFonts w:hint="eastAsia"/>
                <w:sz w:val="21"/>
                <w:szCs w:val="21"/>
              </w:rPr>
              <w:t>工具软件</w:t>
            </w:r>
          </w:p>
        </w:tc>
        <w:tc>
          <w:tcPr>
            <w:tcW w:w="1134" w:type="dxa"/>
            <w:tcBorders>
              <w:top w:val="nil"/>
              <w:left w:val="nil"/>
              <w:bottom w:val="single" w:color="000000" w:sz="4" w:space="0"/>
              <w:right w:val="single" w:color="000000" w:sz="4" w:space="0"/>
            </w:tcBorders>
            <w:vAlign w:val="center"/>
          </w:tcPr>
          <w:p w14:paraId="6146E4E9">
            <w:pPr>
              <w:widowControl/>
              <w:spacing w:line="240" w:lineRule="auto"/>
              <w:ind w:firstLine="0" w:firstLineChars="0"/>
              <w:jc w:val="center"/>
              <w:rPr>
                <w:rFonts w:hint="eastAsia"/>
                <w:sz w:val="21"/>
                <w:szCs w:val="21"/>
              </w:rPr>
            </w:pPr>
            <w:r>
              <w:rPr>
                <w:rFonts w:hint="eastAsia"/>
                <w:sz w:val="21"/>
                <w:szCs w:val="21"/>
              </w:rPr>
              <w:t>工具软件</w:t>
            </w:r>
          </w:p>
        </w:tc>
        <w:tc>
          <w:tcPr>
            <w:tcW w:w="1134" w:type="dxa"/>
            <w:tcBorders>
              <w:top w:val="nil"/>
              <w:left w:val="nil"/>
              <w:bottom w:val="single" w:color="000000" w:sz="4" w:space="0"/>
              <w:right w:val="single" w:color="000000" w:sz="4" w:space="0"/>
            </w:tcBorders>
            <w:vAlign w:val="center"/>
          </w:tcPr>
          <w:p w14:paraId="6AB6035B">
            <w:pPr>
              <w:widowControl/>
              <w:spacing w:line="240" w:lineRule="auto"/>
              <w:ind w:firstLine="0" w:firstLineChars="0"/>
              <w:jc w:val="center"/>
              <w:rPr>
                <w:rFonts w:hint="eastAsia"/>
                <w:sz w:val="21"/>
                <w:szCs w:val="21"/>
              </w:rPr>
            </w:pPr>
            <w:r>
              <w:rPr>
                <w:rFonts w:hint="eastAsia"/>
                <w:sz w:val="21"/>
                <w:szCs w:val="21"/>
              </w:rPr>
              <w:t>视频汇聚管理系统</w:t>
            </w:r>
          </w:p>
        </w:tc>
        <w:tc>
          <w:tcPr>
            <w:tcW w:w="4110" w:type="dxa"/>
            <w:tcBorders>
              <w:top w:val="single" w:color="000000" w:sz="4" w:space="0"/>
              <w:left w:val="nil"/>
              <w:bottom w:val="single" w:color="000000" w:sz="4" w:space="0"/>
              <w:right w:val="single" w:color="000000" w:sz="4" w:space="0"/>
            </w:tcBorders>
            <w:vAlign w:val="center"/>
          </w:tcPr>
          <w:p w14:paraId="74DF8E47">
            <w:pPr>
              <w:widowControl/>
              <w:spacing w:line="240" w:lineRule="auto"/>
              <w:ind w:firstLine="0" w:firstLineChars="0"/>
              <w:rPr>
                <w:rFonts w:hint="eastAsia"/>
                <w:sz w:val="21"/>
                <w:szCs w:val="21"/>
              </w:rPr>
            </w:pPr>
            <w:r>
              <w:rPr>
                <w:rFonts w:hint="eastAsia"/>
                <w:sz w:val="21"/>
                <w:szCs w:val="21"/>
              </w:rPr>
              <w:t>1、▲提供BS客户端、CS客户端、移动客户端视频预览、录像回放、电视墙等能力；支持编码设备通过海康设备网络SDK协议、GB28181协议、ONVIF协议、大华设备网络SDK协议。</w:t>
            </w:r>
            <w:r>
              <w:rPr>
                <w:rFonts w:hint="eastAsia"/>
                <w:sz w:val="21"/>
                <w:szCs w:val="21"/>
              </w:rPr>
              <w:br w:type="textWrapping"/>
            </w:r>
            <w:r>
              <w:rPr>
                <w:rFonts w:hint="eastAsia"/>
                <w:sz w:val="21"/>
                <w:szCs w:val="21"/>
              </w:rPr>
              <w:t>提供视频设备统一接入管理能力，包括：视频设备、卡口设备、报警设备等；支持所有设备统一校时；</w:t>
            </w:r>
            <w:r>
              <w:rPr>
                <w:rFonts w:hint="eastAsia"/>
                <w:sz w:val="21"/>
                <w:szCs w:val="21"/>
              </w:rPr>
              <w:br w:type="textWrapping"/>
            </w:r>
            <w:r>
              <w:rPr>
                <w:rFonts w:hint="eastAsia"/>
                <w:sz w:val="21"/>
                <w:szCs w:val="21"/>
              </w:rPr>
              <w:t>2、支持按照GB/T 28181第7章控制要求对视频监控资源进行控制操作</w:t>
            </w:r>
            <w:r>
              <w:rPr>
                <w:rFonts w:hint="eastAsia"/>
                <w:sz w:val="21"/>
                <w:szCs w:val="21"/>
              </w:rPr>
              <w:br w:type="textWrapping"/>
            </w:r>
            <w:r>
              <w:rPr>
                <w:rFonts w:hint="eastAsia"/>
                <w:sz w:val="21"/>
                <w:szCs w:val="21"/>
              </w:rPr>
              <w:t>3、支持视频调阅、云台控制、录像回放、回放控制、录像下载、视频上墙、语音广播、语音对讲、电子地图等视频联网基础应用；</w:t>
            </w:r>
            <w:r>
              <w:rPr>
                <w:rFonts w:hint="eastAsia"/>
                <w:sz w:val="21"/>
                <w:szCs w:val="21"/>
              </w:rPr>
              <w:br w:type="textWrapping"/>
            </w:r>
            <w:r>
              <w:rPr>
                <w:rFonts w:hint="eastAsia"/>
                <w:sz w:val="21"/>
                <w:szCs w:val="21"/>
              </w:rPr>
              <w:t>支持简单点位统一管理，支持标签管理；支持目录结构调整；</w:t>
            </w:r>
            <w:r>
              <w:rPr>
                <w:rFonts w:hint="eastAsia"/>
                <w:sz w:val="21"/>
                <w:szCs w:val="21"/>
              </w:rPr>
              <w:br w:type="textWrapping"/>
            </w:r>
            <w:r>
              <w:rPr>
                <w:rFonts w:hint="eastAsia"/>
                <w:sz w:val="21"/>
                <w:szCs w:val="21"/>
              </w:rPr>
              <w:t>4、▲含3000视频点位接入授权</w:t>
            </w:r>
          </w:p>
          <w:p w14:paraId="0482695A">
            <w:pPr>
              <w:widowControl/>
              <w:spacing w:line="240" w:lineRule="auto"/>
              <w:ind w:firstLine="0" w:firstLineChars="0"/>
              <w:rPr>
                <w:rFonts w:hint="eastAsia"/>
                <w:sz w:val="21"/>
                <w:szCs w:val="21"/>
              </w:rPr>
            </w:pPr>
            <w:r>
              <w:rPr>
                <w:rFonts w:hint="eastAsia"/>
                <w:sz w:val="21"/>
                <w:szCs w:val="21"/>
              </w:rPr>
              <w:t>5、▲支持H264、H265、SVAC等编码格式播放，支持播放叠加设备信息，包括日期、时间、星期，码流编码标准、码流分辨率和码流实时速率等，支持窗口预览下30秒、1分钟、2分钟、5分钟和10分钟等5种可选时间范围的录像即时回放，时间进度条自由调整（提供有效检测报告复印件加盖原厂公章）</w:t>
            </w:r>
            <w:r>
              <w:rPr>
                <w:rFonts w:hint="eastAsia"/>
                <w:sz w:val="21"/>
                <w:szCs w:val="21"/>
              </w:rPr>
              <w:br w:type="textWrapping"/>
            </w:r>
            <w:r>
              <w:rPr>
                <w:rFonts w:hint="eastAsia"/>
                <w:sz w:val="21"/>
                <w:szCs w:val="21"/>
              </w:rPr>
              <w:t>6、支持跨网多平台协议共享、共享权限精细化控制；</w:t>
            </w:r>
            <w:r>
              <w:rPr>
                <w:rFonts w:hint="eastAsia"/>
                <w:sz w:val="21"/>
                <w:szCs w:val="21"/>
              </w:rPr>
              <w:br w:type="textWrapping"/>
            </w:r>
            <w:r>
              <w:rPr>
                <w:rFonts w:hint="eastAsia"/>
                <w:sz w:val="21"/>
                <w:szCs w:val="21"/>
              </w:rPr>
              <w:t>7、支持设备状态监测告警、支持设备管控业务联动；</w:t>
            </w:r>
          </w:p>
          <w:p w14:paraId="4900BBEF">
            <w:pPr>
              <w:widowControl/>
              <w:spacing w:line="240" w:lineRule="auto"/>
              <w:ind w:firstLine="0" w:firstLineChars="0"/>
              <w:rPr>
                <w:rFonts w:hint="eastAsia"/>
                <w:sz w:val="21"/>
                <w:szCs w:val="21"/>
              </w:rPr>
            </w:pPr>
            <w:r>
              <w:rPr>
                <w:rFonts w:hint="eastAsia"/>
                <w:sz w:val="21"/>
                <w:szCs w:val="21"/>
              </w:rPr>
              <w:t>8、▲支持最多4个预览业务视窗并行活动，支持1、4、6、8、9、13、16、20、25、36、64或自定义等多种视窗分割选择，预览画面可展示智能规则线，支持窗口预览无分割、1+3模式、1+5模式3种分割模式选择，支持在分割子画面拖移，实现视频局部放大的功能（提供有效检测报告复印件加盖原厂公章）</w:t>
            </w:r>
            <w:r>
              <w:rPr>
                <w:rFonts w:hint="eastAsia"/>
                <w:sz w:val="21"/>
                <w:szCs w:val="21"/>
              </w:rPr>
              <w:br w:type="textWrapping"/>
            </w:r>
            <w:r>
              <w:rPr>
                <w:rFonts w:hint="eastAsia"/>
                <w:sz w:val="21"/>
                <w:szCs w:val="21"/>
              </w:rPr>
              <w:t>9、支持视频预热；</w:t>
            </w:r>
            <w:r>
              <w:rPr>
                <w:rFonts w:hint="eastAsia"/>
                <w:sz w:val="21"/>
                <w:szCs w:val="21"/>
              </w:rPr>
              <w:br w:type="textWrapping"/>
            </w:r>
            <w:r>
              <w:rPr>
                <w:rFonts w:hint="eastAsia"/>
                <w:sz w:val="21"/>
                <w:szCs w:val="21"/>
              </w:rPr>
              <w:t>10、支持软硬件实时监测、数据安全管理。</w:t>
            </w:r>
            <w:r>
              <w:rPr>
                <w:rFonts w:hint="eastAsia"/>
                <w:sz w:val="21"/>
                <w:szCs w:val="21"/>
              </w:rPr>
              <w:br w:type="textWrapping"/>
            </w:r>
            <w:r>
              <w:rPr>
                <w:rFonts w:hint="eastAsia"/>
                <w:sz w:val="21"/>
                <w:szCs w:val="21"/>
              </w:rPr>
              <w:t>11、支持集群横向扩展；</w:t>
            </w:r>
            <w:r>
              <w:rPr>
                <w:rFonts w:hint="eastAsia"/>
                <w:sz w:val="21"/>
                <w:szCs w:val="21"/>
              </w:rPr>
              <w:br w:type="textWrapping"/>
            </w:r>
            <w:r>
              <w:rPr>
                <w:rFonts w:hint="eastAsia"/>
                <w:sz w:val="21"/>
                <w:szCs w:val="21"/>
              </w:rPr>
              <w:t>12、支持国产化适配</w:t>
            </w:r>
          </w:p>
          <w:p w14:paraId="28FC5C70">
            <w:pPr>
              <w:widowControl/>
              <w:spacing w:line="240" w:lineRule="auto"/>
              <w:ind w:firstLine="0" w:firstLineChars="0"/>
              <w:rPr>
                <w:rFonts w:hint="eastAsia"/>
                <w:sz w:val="21"/>
                <w:szCs w:val="21"/>
              </w:rPr>
            </w:pPr>
            <w:r>
              <w:rPr>
                <w:rFonts w:hint="eastAsia"/>
                <w:sz w:val="21"/>
                <w:szCs w:val="21"/>
              </w:rPr>
              <w:t>13、▲对外接口开发（包含不限于视频点位资源、事件订阅、报警信息等）</w:t>
            </w:r>
          </w:p>
          <w:p w14:paraId="63ABAE1F">
            <w:pPr>
              <w:widowControl/>
              <w:spacing w:line="240" w:lineRule="auto"/>
              <w:ind w:firstLine="0" w:firstLineChars="0"/>
              <w:rPr>
                <w:rFonts w:hint="eastAsia"/>
                <w:sz w:val="21"/>
                <w:szCs w:val="21"/>
              </w:rPr>
            </w:pPr>
            <w:r>
              <w:rPr>
                <w:rFonts w:hint="eastAsia"/>
                <w:sz w:val="21"/>
                <w:szCs w:val="21"/>
              </w:rPr>
              <w:t>14、▲支持配置下级平台的通道视频存储在本级计划，支持配置录像生命周期，支持配置通道计划的断网补录功能（提供有效检测报告复印件加盖原厂公章）</w:t>
            </w:r>
          </w:p>
        </w:tc>
        <w:tc>
          <w:tcPr>
            <w:tcW w:w="709" w:type="dxa"/>
            <w:tcBorders>
              <w:top w:val="nil"/>
              <w:left w:val="nil"/>
              <w:bottom w:val="single" w:color="000000" w:sz="4" w:space="0"/>
              <w:right w:val="single" w:color="000000" w:sz="4" w:space="0"/>
            </w:tcBorders>
            <w:vAlign w:val="center"/>
          </w:tcPr>
          <w:p w14:paraId="4C43C2F6">
            <w:pPr>
              <w:widowControl/>
              <w:spacing w:line="240" w:lineRule="auto"/>
              <w:ind w:firstLine="0" w:firstLineChars="0"/>
              <w:jc w:val="center"/>
              <w:rPr>
                <w:rFonts w:hint="eastAsia"/>
                <w:sz w:val="21"/>
                <w:szCs w:val="21"/>
              </w:rPr>
            </w:pPr>
            <w:r>
              <w:rPr>
                <w:rFonts w:hint="eastAsia"/>
                <w:sz w:val="21"/>
                <w:szCs w:val="21"/>
              </w:rPr>
              <w:t>1</w:t>
            </w:r>
          </w:p>
        </w:tc>
      </w:tr>
    </w:tbl>
    <w:p w14:paraId="3A0165CC">
      <w:pPr>
        <w:pStyle w:val="16"/>
        <w:ind w:firstLine="480"/>
        <w:rPr>
          <w:rFonts w:hint="eastAsia"/>
        </w:rPr>
      </w:pPr>
    </w:p>
    <w:p w14:paraId="60B83593">
      <w:pPr>
        <w:pStyle w:val="16"/>
        <w:numPr>
          <w:ilvl w:val="0"/>
          <w:numId w:val="2"/>
        </w:numPr>
        <w:ind w:firstLineChars="0"/>
        <w:rPr>
          <w:rFonts w:hint="eastAsia"/>
        </w:rPr>
      </w:pPr>
      <w:r>
        <w:rPr>
          <w:rFonts w:hint="eastAsia"/>
        </w:rPr>
        <w:t>软件开发</w:t>
      </w:r>
    </w:p>
    <w:p w14:paraId="43146DB8">
      <w:pPr>
        <w:ind w:firstLineChars="0"/>
        <w:rPr>
          <w:rFonts w:hint="eastAsia"/>
        </w:rPr>
      </w:pPr>
      <w:r>
        <w:rPr>
          <w:rFonts w:hint="eastAsia"/>
        </w:rPr>
        <w:t>（1）系统对接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84"/>
        <w:gridCol w:w="5514"/>
      </w:tblGrid>
      <w:tr w14:paraId="0232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4" w:type="dxa"/>
            <w:shd w:val="clear" w:color="auto" w:fill="E7E6E6" w:themeFill="background2"/>
          </w:tcPr>
          <w:p w14:paraId="3D2B0704">
            <w:pPr>
              <w:ind w:firstLine="0" w:firstLineChars="0"/>
              <w:jc w:val="center"/>
              <w:rPr>
                <w:rFonts w:hint="eastAsia"/>
                <w:b/>
                <w:bCs/>
                <w:sz w:val="21"/>
                <w:szCs w:val="21"/>
              </w:rPr>
            </w:pPr>
            <w:r>
              <w:rPr>
                <w:rFonts w:hint="eastAsia"/>
                <w:b/>
                <w:bCs/>
                <w:sz w:val="21"/>
                <w:szCs w:val="21"/>
              </w:rPr>
              <w:t>序号</w:t>
            </w:r>
          </w:p>
        </w:tc>
        <w:tc>
          <w:tcPr>
            <w:tcW w:w="2084" w:type="dxa"/>
            <w:shd w:val="clear" w:color="auto" w:fill="E7E6E6" w:themeFill="background2"/>
          </w:tcPr>
          <w:p w14:paraId="36B8F753">
            <w:pPr>
              <w:ind w:firstLine="0" w:firstLineChars="0"/>
              <w:jc w:val="center"/>
              <w:rPr>
                <w:rFonts w:hint="eastAsia"/>
                <w:b/>
                <w:bCs/>
                <w:sz w:val="21"/>
                <w:szCs w:val="21"/>
              </w:rPr>
            </w:pPr>
            <w:r>
              <w:rPr>
                <w:rFonts w:hint="eastAsia"/>
                <w:b/>
                <w:bCs/>
                <w:sz w:val="21"/>
                <w:szCs w:val="21"/>
              </w:rPr>
              <w:t>功能名称</w:t>
            </w:r>
          </w:p>
        </w:tc>
        <w:tc>
          <w:tcPr>
            <w:tcW w:w="5514" w:type="dxa"/>
            <w:shd w:val="clear" w:color="auto" w:fill="E7E6E6" w:themeFill="background2"/>
          </w:tcPr>
          <w:p w14:paraId="70F500F1">
            <w:pPr>
              <w:ind w:firstLine="0" w:firstLineChars="0"/>
              <w:jc w:val="center"/>
              <w:rPr>
                <w:rFonts w:hint="eastAsia"/>
                <w:b/>
                <w:bCs/>
                <w:sz w:val="21"/>
                <w:szCs w:val="21"/>
              </w:rPr>
            </w:pPr>
            <w:r>
              <w:rPr>
                <w:rFonts w:hint="eastAsia"/>
                <w:b/>
                <w:bCs/>
                <w:sz w:val="21"/>
                <w:szCs w:val="21"/>
              </w:rPr>
              <w:t>功能描述</w:t>
            </w:r>
          </w:p>
        </w:tc>
      </w:tr>
      <w:tr w14:paraId="0060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14:paraId="578CA835">
            <w:pPr>
              <w:ind w:firstLine="0" w:firstLineChars="0"/>
              <w:jc w:val="center"/>
              <w:rPr>
                <w:rFonts w:hint="eastAsia"/>
                <w:sz w:val="21"/>
                <w:szCs w:val="21"/>
              </w:rPr>
            </w:pPr>
            <w:r>
              <w:rPr>
                <w:rFonts w:hint="eastAsia"/>
                <w:sz w:val="21"/>
                <w:szCs w:val="21"/>
              </w:rPr>
              <w:t>1</w:t>
            </w:r>
          </w:p>
        </w:tc>
        <w:tc>
          <w:tcPr>
            <w:tcW w:w="2084" w:type="dxa"/>
          </w:tcPr>
          <w:p w14:paraId="4A1DD99D">
            <w:pPr>
              <w:ind w:firstLine="0" w:firstLineChars="0"/>
              <w:jc w:val="center"/>
              <w:rPr>
                <w:rFonts w:hint="eastAsia"/>
                <w:sz w:val="21"/>
                <w:szCs w:val="21"/>
              </w:rPr>
            </w:pPr>
            <w:r>
              <w:rPr>
                <w:rFonts w:hint="eastAsia"/>
                <w:sz w:val="21"/>
                <w:szCs w:val="21"/>
              </w:rPr>
              <w:t>统一加密平台对接</w:t>
            </w:r>
          </w:p>
        </w:tc>
        <w:tc>
          <w:tcPr>
            <w:tcW w:w="5514" w:type="dxa"/>
          </w:tcPr>
          <w:p w14:paraId="76323D24">
            <w:pPr>
              <w:ind w:firstLine="0" w:firstLineChars="0"/>
              <w:rPr>
                <w:rFonts w:hint="eastAsia"/>
                <w:sz w:val="21"/>
                <w:szCs w:val="21"/>
              </w:rPr>
            </w:pPr>
            <w:r>
              <w:rPr>
                <w:rFonts w:hint="eastAsia"/>
                <w:sz w:val="21"/>
                <w:szCs w:val="21"/>
              </w:rPr>
              <w:t>根据相关安全要求，对接适配统一加密平台。</w:t>
            </w:r>
          </w:p>
        </w:tc>
      </w:tr>
      <w:tr w14:paraId="1BDB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14:paraId="0FD55939">
            <w:pPr>
              <w:ind w:firstLine="0" w:firstLineChars="0"/>
              <w:jc w:val="center"/>
              <w:rPr>
                <w:rFonts w:hint="eastAsia"/>
                <w:sz w:val="21"/>
                <w:szCs w:val="21"/>
              </w:rPr>
            </w:pPr>
            <w:r>
              <w:rPr>
                <w:rFonts w:hint="eastAsia"/>
                <w:sz w:val="21"/>
                <w:szCs w:val="21"/>
              </w:rPr>
              <w:t>2</w:t>
            </w:r>
          </w:p>
        </w:tc>
        <w:tc>
          <w:tcPr>
            <w:tcW w:w="2084" w:type="dxa"/>
          </w:tcPr>
          <w:p w14:paraId="06CC8C85">
            <w:pPr>
              <w:ind w:firstLine="0" w:firstLineChars="0"/>
              <w:jc w:val="center"/>
              <w:rPr>
                <w:rFonts w:hint="eastAsia"/>
                <w:sz w:val="21"/>
                <w:szCs w:val="21"/>
              </w:rPr>
            </w:pPr>
            <w:r>
              <w:rPr>
                <w:rFonts w:hint="eastAsia"/>
                <w:sz w:val="21"/>
                <w:szCs w:val="21"/>
              </w:rPr>
              <w:t>上海市城运中心共享对接</w:t>
            </w:r>
          </w:p>
        </w:tc>
        <w:tc>
          <w:tcPr>
            <w:tcW w:w="5514" w:type="dxa"/>
          </w:tcPr>
          <w:p w14:paraId="70377D9F">
            <w:pPr>
              <w:ind w:firstLine="0" w:firstLineChars="0"/>
              <w:rPr>
                <w:rFonts w:hint="eastAsia"/>
                <w:sz w:val="21"/>
                <w:szCs w:val="21"/>
              </w:rPr>
            </w:pPr>
            <w:r>
              <w:rPr>
                <w:rFonts w:hint="eastAsia"/>
                <w:sz w:val="21"/>
                <w:szCs w:val="21"/>
              </w:rPr>
              <w:t>依据相关视频标准规范，支持视频相关数据共享给市城运中心。</w:t>
            </w:r>
          </w:p>
        </w:tc>
      </w:tr>
      <w:tr w14:paraId="4A0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14:paraId="429BC207">
            <w:pPr>
              <w:ind w:firstLine="0" w:firstLineChars="0"/>
              <w:jc w:val="center"/>
              <w:rPr>
                <w:rFonts w:hint="eastAsia"/>
                <w:sz w:val="21"/>
                <w:szCs w:val="21"/>
              </w:rPr>
            </w:pPr>
            <w:r>
              <w:rPr>
                <w:rFonts w:hint="eastAsia"/>
                <w:sz w:val="21"/>
                <w:szCs w:val="21"/>
              </w:rPr>
              <w:t>3</w:t>
            </w:r>
          </w:p>
        </w:tc>
        <w:tc>
          <w:tcPr>
            <w:tcW w:w="2084" w:type="dxa"/>
          </w:tcPr>
          <w:p w14:paraId="6C6F4C13">
            <w:pPr>
              <w:ind w:firstLine="0" w:firstLineChars="0"/>
              <w:jc w:val="center"/>
              <w:rPr>
                <w:rFonts w:hint="eastAsia"/>
                <w:sz w:val="21"/>
                <w:szCs w:val="21"/>
              </w:rPr>
            </w:pPr>
            <w:r>
              <w:rPr>
                <w:rFonts w:hint="eastAsia"/>
                <w:sz w:val="21"/>
                <w:szCs w:val="21"/>
              </w:rPr>
              <w:t>化工区视频转发接口对接</w:t>
            </w:r>
          </w:p>
        </w:tc>
        <w:tc>
          <w:tcPr>
            <w:tcW w:w="5514" w:type="dxa"/>
          </w:tcPr>
          <w:p w14:paraId="04C66453">
            <w:pPr>
              <w:ind w:firstLine="0" w:firstLineChars="0"/>
              <w:rPr>
                <w:rFonts w:hint="eastAsia"/>
                <w:sz w:val="21"/>
                <w:szCs w:val="21"/>
              </w:rPr>
            </w:pPr>
            <w:r>
              <w:rPr>
                <w:rFonts w:hint="eastAsia"/>
                <w:sz w:val="21"/>
                <w:szCs w:val="21"/>
              </w:rPr>
              <w:t>依据相关视频标准规范，支持视频转发调阅共享给化工区其他各部门。</w:t>
            </w:r>
          </w:p>
        </w:tc>
      </w:tr>
    </w:tbl>
    <w:p w14:paraId="213CFC0A">
      <w:pPr>
        <w:ind w:firstLineChars="0"/>
        <w:rPr>
          <w:rFonts w:hint="eastAsia"/>
        </w:rPr>
      </w:pPr>
    </w:p>
    <w:p w14:paraId="0EA59BEC">
      <w:pPr>
        <w:ind w:firstLineChars="0"/>
        <w:rPr>
          <w:rFonts w:hint="eastAsia"/>
        </w:rPr>
      </w:pPr>
      <w:r>
        <w:rPr>
          <w:rFonts w:hint="eastAsia"/>
        </w:rPr>
        <w:t>（2）运维管理-移动端</w:t>
      </w:r>
    </w:p>
    <w:tbl>
      <w:tblPr>
        <w:tblStyle w:val="8"/>
        <w:tblW w:w="8359" w:type="dxa"/>
        <w:tblInd w:w="0" w:type="dxa"/>
        <w:tblLayout w:type="autofit"/>
        <w:tblCellMar>
          <w:top w:w="0" w:type="dxa"/>
          <w:left w:w="108" w:type="dxa"/>
          <w:bottom w:w="0" w:type="dxa"/>
          <w:right w:w="108" w:type="dxa"/>
        </w:tblCellMar>
      </w:tblPr>
      <w:tblGrid>
        <w:gridCol w:w="704"/>
        <w:gridCol w:w="2276"/>
        <w:gridCol w:w="5379"/>
      </w:tblGrid>
      <w:tr w14:paraId="660B51C0">
        <w:tblPrEx>
          <w:tblCellMar>
            <w:top w:w="0" w:type="dxa"/>
            <w:left w:w="108" w:type="dxa"/>
            <w:bottom w:w="0" w:type="dxa"/>
            <w:right w:w="108" w:type="dxa"/>
          </w:tblCellMar>
        </w:tblPrEx>
        <w:trPr>
          <w:trHeight w:val="569" w:hRule="atLeast"/>
        </w:trPr>
        <w:tc>
          <w:tcPr>
            <w:tcW w:w="704"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BD3050D">
            <w:pPr>
              <w:widowControl/>
              <w:spacing w:line="240" w:lineRule="auto"/>
              <w:ind w:firstLine="0" w:firstLineChars="0"/>
              <w:jc w:val="center"/>
              <w:rPr>
                <w:rFonts w:hint="eastAsia"/>
                <w:b/>
                <w:bCs/>
                <w:sz w:val="21"/>
                <w:szCs w:val="21"/>
              </w:rPr>
            </w:pPr>
            <w:r>
              <w:rPr>
                <w:rFonts w:hint="eastAsia"/>
                <w:b/>
                <w:bCs/>
                <w:sz w:val="21"/>
                <w:szCs w:val="21"/>
              </w:rPr>
              <w:t>序号</w:t>
            </w:r>
          </w:p>
        </w:tc>
        <w:tc>
          <w:tcPr>
            <w:tcW w:w="2276" w:type="dxa"/>
            <w:tcBorders>
              <w:top w:val="single" w:color="000000" w:sz="4" w:space="0"/>
              <w:left w:val="nil"/>
              <w:bottom w:val="single" w:color="000000" w:sz="4" w:space="0"/>
              <w:right w:val="single" w:color="000000" w:sz="4" w:space="0"/>
            </w:tcBorders>
            <w:shd w:val="clear" w:color="auto" w:fill="E7E6E6" w:themeFill="background2"/>
            <w:vAlign w:val="center"/>
          </w:tcPr>
          <w:p w14:paraId="4975A3DB">
            <w:pPr>
              <w:widowControl/>
              <w:spacing w:line="240" w:lineRule="auto"/>
              <w:ind w:firstLine="0" w:firstLineChars="0"/>
              <w:jc w:val="center"/>
              <w:rPr>
                <w:rFonts w:hint="eastAsia"/>
                <w:b/>
                <w:bCs/>
                <w:sz w:val="21"/>
                <w:szCs w:val="21"/>
              </w:rPr>
            </w:pPr>
            <w:r>
              <w:rPr>
                <w:rFonts w:hint="eastAsia"/>
                <w:b/>
                <w:bCs/>
                <w:sz w:val="21"/>
                <w:szCs w:val="21"/>
              </w:rPr>
              <w:t>功能名称</w:t>
            </w:r>
          </w:p>
        </w:tc>
        <w:tc>
          <w:tcPr>
            <w:tcW w:w="5379" w:type="dxa"/>
            <w:tcBorders>
              <w:top w:val="single" w:color="000000" w:sz="4" w:space="0"/>
              <w:left w:val="nil"/>
              <w:bottom w:val="single" w:color="000000" w:sz="4" w:space="0"/>
              <w:right w:val="single" w:color="000000" w:sz="4" w:space="0"/>
            </w:tcBorders>
            <w:shd w:val="clear" w:color="auto" w:fill="E7E6E6" w:themeFill="background2"/>
            <w:vAlign w:val="center"/>
          </w:tcPr>
          <w:p w14:paraId="411BE41F">
            <w:pPr>
              <w:widowControl/>
              <w:spacing w:line="240" w:lineRule="auto"/>
              <w:ind w:firstLine="0" w:firstLineChars="0"/>
              <w:jc w:val="center"/>
              <w:rPr>
                <w:rFonts w:hint="eastAsia"/>
                <w:b/>
                <w:bCs/>
                <w:sz w:val="21"/>
                <w:szCs w:val="21"/>
              </w:rPr>
            </w:pPr>
            <w:r>
              <w:rPr>
                <w:rFonts w:hint="eastAsia"/>
                <w:b/>
                <w:bCs/>
                <w:sz w:val="21"/>
                <w:szCs w:val="21"/>
              </w:rPr>
              <w:t>功能描述</w:t>
            </w:r>
          </w:p>
        </w:tc>
      </w:tr>
      <w:tr w14:paraId="58373D04">
        <w:tblPrEx>
          <w:tblCellMar>
            <w:top w:w="0" w:type="dxa"/>
            <w:left w:w="108" w:type="dxa"/>
            <w:bottom w:w="0" w:type="dxa"/>
            <w:right w:w="108" w:type="dxa"/>
          </w:tblCellMar>
        </w:tblPrEx>
        <w:trPr>
          <w:trHeight w:val="28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95C3426">
            <w:pPr>
              <w:widowControl/>
              <w:spacing w:line="240" w:lineRule="auto"/>
              <w:ind w:firstLine="0" w:firstLineChars="0"/>
              <w:jc w:val="center"/>
              <w:rPr>
                <w:rFonts w:hint="eastAsia"/>
                <w:sz w:val="21"/>
                <w:szCs w:val="21"/>
              </w:rPr>
            </w:pPr>
            <w:r>
              <w:rPr>
                <w:rFonts w:hint="eastAsia"/>
                <w:sz w:val="21"/>
                <w:szCs w:val="21"/>
              </w:rPr>
              <w:t>1</w:t>
            </w:r>
          </w:p>
        </w:tc>
        <w:tc>
          <w:tcPr>
            <w:tcW w:w="2276" w:type="dxa"/>
            <w:tcBorders>
              <w:top w:val="single" w:color="000000" w:sz="4" w:space="0"/>
              <w:left w:val="nil"/>
              <w:bottom w:val="single" w:color="000000" w:sz="4" w:space="0"/>
              <w:right w:val="single" w:color="000000" w:sz="4" w:space="0"/>
            </w:tcBorders>
            <w:vAlign w:val="center"/>
          </w:tcPr>
          <w:p w14:paraId="41498D64">
            <w:pPr>
              <w:widowControl/>
              <w:spacing w:line="240" w:lineRule="auto"/>
              <w:ind w:firstLine="0" w:firstLineChars="0"/>
              <w:jc w:val="center"/>
              <w:rPr>
                <w:rFonts w:hint="eastAsia"/>
                <w:sz w:val="21"/>
                <w:szCs w:val="21"/>
              </w:rPr>
            </w:pPr>
            <w:r>
              <w:rPr>
                <w:rFonts w:hint="eastAsia"/>
                <w:sz w:val="21"/>
                <w:szCs w:val="21"/>
              </w:rPr>
              <w:t>随申办政务云基础架构适配</w:t>
            </w:r>
          </w:p>
        </w:tc>
        <w:tc>
          <w:tcPr>
            <w:tcW w:w="5379" w:type="dxa"/>
            <w:tcBorders>
              <w:top w:val="single" w:color="000000" w:sz="4" w:space="0"/>
              <w:left w:val="nil"/>
              <w:bottom w:val="single" w:color="000000" w:sz="4" w:space="0"/>
              <w:right w:val="single" w:color="000000" w:sz="4" w:space="0"/>
            </w:tcBorders>
            <w:vAlign w:val="center"/>
          </w:tcPr>
          <w:p w14:paraId="3DC20B45">
            <w:pPr>
              <w:widowControl/>
              <w:spacing w:line="240" w:lineRule="auto"/>
              <w:ind w:firstLine="0" w:firstLineChars="0"/>
              <w:rPr>
                <w:rFonts w:hint="eastAsia"/>
                <w:sz w:val="21"/>
                <w:szCs w:val="21"/>
              </w:rPr>
            </w:pPr>
            <w:r>
              <w:rPr>
                <w:rFonts w:hint="eastAsia"/>
                <w:sz w:val="21"/>
                <w:szCs w:val="21"/>
              </w:rPr>
              <w:t>基于随申办政务云基础架构构建及相关政务数据系统对接适配。</w:t>
            </w:r>
          </w:p>
        </w:tc>
      </w:tr>
      <w:tr w14:paraId="129BFCC2">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5A2CB252">
            <w:pPr>
              <w:widowControl/>
              <w:spacing w:line="240" w:lineRule="auto"/>
              <w:ind w:firstLine="0" w:firstLineChars="0"/>
              <w:jc w:val="center"/>
              <w:rPr>
                <w:rFonts w:hint="eastAsia"/>
                <w:sz w:val="21"/>
                <w:szCs w:val="21"/>
              </w:rPr>
            </w:pPr>
            <w:r>
              <w:rPr>
                <w:rFonts w:hint="eastAsia"/>
                <w:sz w:val="21"/>
                <w:szCs w:val="21"/>
              </w:rPr>
              <w:t>2</w:t>
            </w:r>
          </w:p>
        </w:tc>
        <w:tc>
          <w:tcPr>
            <w:tcW w:w="2276" w:type="dxa"/>
            <w:tcBorders>
              <w:top w:val="single" w:color="000000" w:sz="4" w:space="0"/>
              <w:left w:val="nil"/>
              <w:bottom w:val="single" w:color="000000" w:sz="4" w:space="0"/>
              <w:right w:val="single" w:color="000000" w:sz="4" w:space="0"/>
            </w:tcBorders>
            <w:vAlign w:val="center"/>
          </w:tcPr>
          <w:p w14:paraId="7FC1D4E4">
            <w:pPr>
              <w:widowControl/>
              <w:spacing w:line="240" w:lineRule="auto"/>
              <w:ind w:firstLine="0" w:firstLineChars="0"/>
              <w:jc w:val="center"/>
              <w:rPr>
                <w:rFonts w:hint="eastAsia"/>
                <w:sz w:val="21"/>
                <w:szCs w:val="21"/>
              </w:rPr>
            </w:pPr>
            <w:r>
              <w:rPr>
                <w:rFonts w:hint="eastAsia"/>
                <w:sz w:val="21"/>
                <w:szCs w:val="21"/>
              </w:rPr>
              <w:t>消息查看</w:t>
            </w:r>
          </w:p>
        </w:tc>
        <w:tc>
          <w:tcPr>
            <w:tcW w:w="5379" w:type="dxa"/>
            <w:tcBorders>
              <w:top w:val="single" w:color="000000" w:sz="4" w:space="0"/>
              <w:left w:val="nil"/>
              <w:bottom w:val="single" w:color="000000" w:sz="4" w:space="0"/>
              <w:right w:val="single" w:color="000000" w:sz="4" w:space="0"/>
            </w:tcBorders>
            <w:vAlign w:val="center"/>
          </w:tcPr>
          <w:p w14:paraId="4A113E9D">
            <w:pPr>
              <w:widowControl/>
              <w:spacing w:line="240" w:lineRule="auto"/>
              <w:ind w:firstLine="0" w:firstLineChars="0"/>
              <w:rPr>
                <w:rFonts w:hint="eastAsia"/>
                <w:sz w:val="21"/>
                <w:szCs w:val="21"/>
              </w:rPr>
            </w:pPr>
            <w:r>
              <w:rPr>
                <w:rFonts w:hint="eastAsia"/>
                <w:sz w:val="21"/>
                <w:szCs w:val="21"/>
              </w:rPr>
              <w:t>支持移动端查看消息提醒，支持提醒消息列表。</w:t>
            </w:r>
          </w:p>
        </w:tc>
      </w:tr>
      <w:tr w14:paraId="66F59351">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053C4B4A">
            <w:pPr>
              <w:widowControl/>
              <w:spacing w:line="240" w:lineRule="auto"/>
              <w:ind w:firstLine="0" w:firstLineChars="0"/>
              <w:jc w:val="center"/>
              <w:rPr>
                <w:rFonts w:hint="eastAsia"/>
                <w:sz w:val="21"/>
                <w:szCs w:val="21"/>
              </w:rPr>
            </w:pPr>
            <w:r>
              <w:rPr>
                <w:rFonts w:hint="eastAsia"/>
                <w:sz w:val="21"/>
                <w:szCs w:val="21"/>
              </w:rPr>
              <w:t>3</w:t>
            </w:r>
          </w:p>
        </w:tc>
        <w:tc>
          <w:tcPr>
            <w:tcW w:w="2276" w:type="dxa"/>
            <w:tcBorders>
              <w:top w:val="single" w:color="000000" w:sz="4" w:space="0"/>
              <w:left w:val="nil"/>
              <w:bottom w:val="single" w:color="000000" w:sz="4" w:space="0"/>
              <w:right w:val="single" w:color="000000" w:sz="4" w:space="0"/>
            </w:tcBorders>
            <w:vAlign w:val="center"/>
          </w:tcPr>
          <w:p w14:paraId="7520FAD2">
            <w:pPr>
              <w:widowControl/>
              <w:spacing w:line="240" w:lineRule="auto"/>
              <w:ind w:firstLine="0" w:firstLineChars="0"/>
              <w:jc w:val="center"/>
              <w:rPr>
                <w:rFonts w:hint="eastAsia"/>
                <w:sz w:val="21"/>
                <w:szCs w:val="21"/>
              </w:rPr>
            </w:pPr>
            <w:r>
              <w:rPr>
                <w:rFonts w:hint="eastAsia"/>
                <w:sz w:val="21"/>
                <w:szCs w:val="21"/>
              </w:rPr>
              <w:t>统一提醒</w:t>
            </w:r>
          </w:p>
        </w:tc>
        <w:tc>
          <w:tcPr>
            <w:tcW w:w="5379" w:type="dxa"/>
            <w:tcBorders>
              <w:top w:val="single" w:color="000000" w:sz="4" w:space="0"/>
              <w:left w:val="nil"/>
              <w:bottom w:val="single" w:color="000000" w:sz="4" w:space="0"/>
              <w:right w:val="single" w:color="000000" w:sz="4" w:space="0"/>
            </w:tcBorders>
            <w:vAlign w:val="center"/>
          </w:tcPr>
          <w:p w14:paraId="0D433930">
            <w:pPr>
              <w:widowControl/>
              <w:spacing w:line="240" w:lineRule="auto"/>
              <w:ind w:firstLine="0" w:firstLineChars="0"/>
              <w:rPr>
                <w:rFonts w:hint="eastAsia"/>
                <w:sz w:val="21"/>
                <w:szCs w:val="21"/>
              </w:rPr>
            </w:pPr>
            <w:r>
              <w:rPr>
                <w:rFonts w:hint="eastAsia"/>
                <w:sz w:val="21"/>
                <w:szCs w:val="21"/>
              </w:rPr>
              <w:t>提供移动端的统一提醒功能。</w:t>
            </w:r>
          </w:p>
        </w:tc>
      </w:tr>
      <w:tr w14:paraId="5ABCF436">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7621830F">
            <w:pPr>
              <w:widowControl/>
              <w:spacing w:line="240" w:lineRule="auto"/>
              <w:ind w:firstLine="0" w:firstLineChars="0"/>
              <w:jc w:val="center"/>
              <w:rPr>
                <w:rFonts w:hint="eastAsia"/>
                <w:sz w:val="21"/>
                <w:szCs w:val="21"/>
              </w:rPr>
            </w:pPr>
            <w:r>
              <w:rPr>
                <w:rFonts w:hint="eastAsia"/>
                <w:sz w:val="21"/>
                <w:szCs w:val="21"/>
              </w:rPr>
              <w:t>4</w:t>
            </w:r>
          </w:p>
        </w:tc>
        <w:tc>
          <w:tcPr>
            <w:tcW w:w="2276" w:type="dxa"/>
            <w:tcBorders>
              <w:top w:val="single" w:color="000000" w:sz="4" w:space="0"/>
              <w:left w:val="nil"/>
              <w:bottom w:val="single" w:color="000000" w:sz="4" w:space="0"/>
              <w:right w:val="single" w:color="000000" w:sz="4" w:space="0"/>
            </w:tcBorders>
            <w:vAlign w:val="center"/>
          </w:tcPr>
          <w:p w14:paraId="7EADC138">
            <w:pPr>
              <w:widowControl/>
              <w:spacing w:line="240" w:lineRule="auto"/>
              <w:ind w:firstLine="0" w:firstLineChars="0"/>
              <w:jc w:val="center"/>
              <w:rPr>
                <w:rFonts w:hint="eastAsia"/>
                <w:sz w:val="21"/>
                <w:szCs w:val="21"/>
              </w:rPr>
            </w:pPr>
            <w:r>
              <w:rPr>
                <w:rFonts w:hint="eastAsia"/>
                <w:sz w:val="21"/>
                <w:szCs w:val="21"/>
              </w:rPr>
              <w:t>设备状态分析</w:t>
            </w:r>
          </w:p>
        </w:tc>
        <w:tc>
          <w:tcPr>
            <w:tcW w:w="5379" w:type="dxa"/>
            <w:tcBorders>
              <w:top w:val="single" w:color="000000" w:sz="4" w:space="0"/>
              <w:left w:val="nil"/>
              <w:bottom w:val="single" w:color="000000" w:sz="4" w:space="0"/>
              <w:right w:val="single" w:color="000000" w:sz="4" w:space="0"/>
            </w:tcBorders>
            <w:vAlign w:val="center"/>
          </w:tcPr>
          <w:p w14:paraId="6ADA7B66">
            <w:pPr>
              <w:widowControl/>
              <w:spacing w:line="240" w:lineRule="auto"/>
              <w:ind w:firstLine="0" w:firstLineChars="0"/>
              <w:rPr>
                <w:rFonts w:hint="eastAsia"/>
                <w:sz w:val="21"/>
                <w:szCs w:val="21"/>
              </w:rPr>
            </w:pPr>
            <w:r>
              <w:rPr>
                <w:rFonts w:hint="eastAsia"/>
                <w:sz w:val="21"/>
                <w:szCs w:val="21"/>
              </w:rPr>
              <w:t>对接入的所有监控设备进行实时运维，对设备状态进行分析，支持查看设备在线、离线等状态。</w:t>
            </w:r>
          </w:p>
        </w:tc>
      </w:tr>
      <w:tr w14:paraId="331C6CDC">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1DF194B6">
            <w:pPr>
              <w:widowControl/>
              <w:spacing w:line="240" w:lineRule="auto"/>
              <w:ind w:firstLine="0" w:firstLineChars="0"/>
              <w:jc w:val="center"/>
              <w:rPr>
                <w:rFonts w:hint="eastAsia"/>
                <w:sz w:val="21"/>
                <w:szCs w:val="21"/>
              </w:rPr>
            </w:pPr>
            <w:r>
              <w:rPr>
                <w:rFonts w:hint="eastAsia"/>
                <w:sz w:val="21"/>
                <w:szCs w:val="21"/>
              </w:rPr>
              <w:t>5</w:t>
            </w:r>
          </w:p>
        </w:tc>
        <w:tc>
          <w:tcPr>
            <w:tcW w:w="2276" w:type="dxa"/>
            <w:tcBorders>
              <w:top w:val="single" w:color="000000" w:sz="4" w:space="0"/>
              <w:left w:val="nil"/>
              <w:bottom w:val="single" w:color="000000" w:sz="4" w:space="0"/>
              <w:right w:val="single" w:color="000000" w:sz="4" w:space="0"/>
            </w:tcBorders>
            <w:vAlign w:val="center"/>
          </w:tcPr>
          <w:p w14:paraId="57E2BC78">
            <w:pPr>
              <w:widowControl/>
              <w:spacing w:line="240" w:lineRule="auto"/>
              <w:ind w:firstLine="0" w:firstLineChars="0"/>
              <w:jc w:val="center"/>
              <w:rPr>
                <w:rFonts w:hint="eastAsia"/>
                <w:sz w:val="21"/>
                <w:szCs w:val="21"/>
              </w:rPr>
            </w:pPr>
            <w:r>
              <w:rPr>
                <w:rFonts w:hint="eastAsia"/>
                <w:sz w:val="21"/>
                <w:szCs w:val="21"/>
              </w:rPr>
              <w:t>设备告警</w:t>
            </w:r>
          </w:p>
        </w:tc>
        <w:tc>
          <w:tcPr>
            <w:tcW w:w="5379" w:type="dxa"/>
            <w:tcBorders>
              <w:top w:val="single" w:color="000000" w:sz="4" w:space="0"/>
              <w:left w:val="nil"/>
              <w:bottom w:val="single" w:color="000000" w:sz="4" w:space="0"/>
              <w:right w:val="single" w:color="000000" w:sz="4" w:space="0"/>
            </w:tcBorders>
            <w:vAlign w:val="center"/>
          </w:tcPr>
          <w:p w14:paraId="306523D5">
            <w:pPr>
              <w:widowControl/>
              <w:spacing w:line="240" w:lineRule="auto"/>
              <w:ind w:firstLine="0" w:firstLineChars="0"/>
              <w:rPr>
                <w:rFonts w:hint="eastAsia"/>
                <w:sz w:val="21"/>
                <w:szCs w:val="21"/>
              </w:rPr>
            </w:pPr>
            <w:r>
              <w:rPr>
                <w:rFonts w:hint="eastAsia"/>
                <w:sz w:val="21"/>
                <w:szCs w:val="21"/>
              </w:rPr>
              <w:t>对设备类型品牌、数量等进行分类统计，对设备状态、在线、离线等进行预警告警。</w:t>
            </w:r>
          </w:p>
        </w:tc>
      </w:tr>
      <w:tr w14:paraId="64C3C9D8">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6488FC87">
            <w:pPr>
              <w:widowControl/>
              <w:spacing w:line="240" w:lineRule="auto"/>
              <w:ind w:firstLine="0" w:firstLineChars="0"/>
              <w:jc w:val="center"/>
              <w:rPr>
                <w:rFonts w:hint="eastAsia"/>
                <w:sz w:val="21"/>
                <w:szCs w:val="21"/>
              </w:rPr>
            </w:pPr>
            <w:r>
              <w:rPr>
                <w:rFonts w:hint="eastAsia"/>
                <w:sz w:val="21"/>
                <w:szCs w:val="21"/>
              </w:rPr>
              <w:t>6</w:t>
            </w:r>
          </w:p>
        </w:tc>
        <w:tc>
          <w:tcPr>
            <w:tcW w:w="2276" w:type="dxa"/>
            <w:tcBorders>
              <w:top w:val="single" w:color="000000" w:sz="4" w:space="0"/>
              <w:left w:val="nil"/>
              <w:bottom w:val="single" w:color="000000" w:sz="4" w:space="0"/>
              <w:right w:val="single" w:color="000000" w:sz="4" w:space="0"/>
            </w:tcBorders>
            <w:vAlign w:val="center"/>
          </w:tcPr>
          <w:p w14:paraId="764CA141">
            <w:pPr>
              <w:widowControl/>
              <w:spacing w:line="240" w:lineRule="auto"/>
              <w:ind w:firstLine="0" w:firstLineChars="0"/>
              <w:jc w:val="center"/>
              <w:rPr>
                <w:rFonts w:hint="eastAsia"/>
                <w:sz w:val="21"/>
                <w:szCs w:val="21"/>
              </w:rPr>
            </w:pPr>
            <w:r>
              <w:rPr>
                <w:rFonts w:hint="eastAsia"/>
                <w:sz w:val="21"/>
                <w:szCs w:val="21"/>
              </w:rPr>
              <w:t>巡检情况分析</w:t>
            </w:r>
          </w:p>
        </w:tc>
        <w:tc>
          <w:tcPr>
            <w:tcW w:w="5379" w:type="dxa"/>
            <w:tcBorders>
              <w:top w:val="single" w:color="000000" w:sz="4" w:space="0"/>
              <w:left w:val="nil"/>
              <w:bottom w:val="single" w:color="000000" w:sz="4" w:space="0"/>
              <w:right w:val="single" w:color="000000" w:sz="4" w:space="0"/>
            </w:tcBorders>
            <w:vAlign w:val="center"/>
          </w:tcPr>
          <w:p w14:paraId="74D32F20">
            <w:pPr>
              <w:widowControl/>
              <w:spacing w:line="240" w:lineRule="auto"/>
              <w:ind w:firstLine="0" w:firstLineChars="0"/>
              <w:rPr>
                <w:rFonts w:hint="eastAsia"/>
                <w:sz w:val="21"/>
                <w:szCs w:val="21"/>
              </w:rPr>
            </w:pPr>
            <w:r>
              <w:rPr>
                <w:rFonts w:hint="eastAsia"/>
                <w:sz w:val="21"/>
                <w:szCs w:val="21"/>
              </w:rPr>
              <w:t>对监控设备巡检情况进行分析，对监控设备工单情况进行统计展示。</w:t>
            </w:r>
          </w:p>
        </w:tc>
      </w:tr>
      <w:tr w14:paraId="1AC546AA">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462360F9">
            <w:pPr>
              <w:widowControl/>
              <w:spacing w:line="240" w:lineRule="auto"/>
              <w:ind w:firstLine="0" w:firstLineChars="0"/>
              <w:jc w:val="center"/>
              <w:rPr>
                <w:rFonts w:hint="eastAsia"/>
                <w:sz w:val="21"/>
                <w:szCs w:val="21"/>
              </w:rPr>
            </w:pPr>
            <w:r>
              <w:rPr>
                <w:rFonts w:hint="eastAsia"/>
                <w:sz w:val="21"/>
                <w:szCs w:val="21"/>
              </w:rPr>
              <w:t>7</w:t>
            </w:r>
          </w:p>
        </w:tc>
        <w:tc>
          <w:tcPr>
            <w:tcW w:w="2276" w:type="dxa"/>
            <w:tcBorders>
              <w:top w:val="single" w:color="000000" w:sz="4" w:space="0"/>
              <w:left w:val="nil"/>
              <w:bottom w:val="single" w:color="000000" w:sz="4" w:space="0"/>
              <w:right w:val="single" w:color="000000" w:sz="4" w:space="0"/>
            </w:tcBorders>
            <w:vAlign w:val="center"/>
          </w:tcPr>
          <w:p w14:paraId="564C13D0">
            <w:pPr>
              <w:widowControl/>
              <w:spacing w:line="240" w:lineRule="auto"/>
              <w:ind w:firstLine="0" w:firstLineChars="0"/>
              <w:jc w:val="center"/>
              <w:rPr>
                <w:rFonts w:hint="eastAsia"/>
                <w:sz w:val="21"/>
                <w:szCs w:val="21"/>
              </w:rPr>
            </w:pPr>
            <w:r>
              <w:rPr>
                <w:rFonts w:hint="eastAsia"/>
                <w:sz w:val="21"/>
                <w:szCs w:val="21"/>
              </w:rPr>
              <w:t>工单创建</w:t>
            </w:r>
          </w:p>
        </w:tc>
        <w:tc>
          <w:tcPr>
            <w:tcW w:w="5379" w:type="dxa"/>
            <w:tcBorders>
              <w:top w:val="single" w:color="000000" w:sz="4" w:space="0"/>
              <w:left w:val="nil"/>
              <w:bottom w:val="single" w:color="000000" w:sz="4" w:space="0"/>
              <w:right w:val="single" w:color="000000" w:sz="4" w:space="0"/>
            </w:tcBorders>
            <w:vAlign w:val="center"/>
          </w:tcPr>
          <w:p w14:paraId="3FA0E6DB">
            <w:pPr>
              <w:widowControl/>
              <w:spacing w:line="240" w:lineRule="auto"/>
              <w:ind w:firstLine="0" w:firstLineChars="0"/>
              <w:rPr>
                <w:rFonts w:hint="eastAsia"/>
                <w:sz w:val="21"/>
                <w:szCs w:val="21"/>
              </w:rPr>
            </w:pPr>
            <w:r>
              <w:rPr>
                <w:rFonts w:hint="eastAsia"/>
                <w:sz w:val="21"/>
                <w:szCs w:val="21"/>
              </w:rPr>
              <w:t>支持在移动端完成人工创建工单</w:t>
            </w:r>
          </w:p>
        </w:tc>
      </w:tr>
      <w:tr w14:paraId="5A651D48">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1D3498D7">
            <w:pPr>
              <w:widowControl/>
              <w:spacing w:line="240" w:lineRule="auto"/>
              <w:ind w:firstLine="0" w:firstLineChars="0"/>
              <w:jc w:val="center"/>
              <w:rPr>
                <w:rFonts w:hint="eastAsia"/>
                <w:sz w:val="21"/>
                <w:szCs w:val="21"/>
              </w:rPr>
            </w:pPr>
            <w:r>
              <w:rPr>
                <w:rFonts w:hint="eastAsia"/>
                <w:sz w:val="21"/>
                <w:szCs w:val="21"/>
              </w:rPr>
              <w:t>8</w:t>
            </w:r>
          </w:p>
        </w:tc>
        <w:tc>
          <w:tcPr>
            <w:tcW w:w="2276" w:type="dxa"/>
            <w:tcBorders>
              <w:top w:val="single" w:color="000000" w:sz="4" w:space="0"/>
              <w:left w:val="nil"/>
              <w:bottom w:val="single" w:color="000000" w:sz="4" w:space="0"/>
              <w:right w:val="single" w:color="000000" w:sz="4" w:space="0"/>
            </w:tcBorders>
            <w:vAlign w:val="center"/>
          </w:tcPr>
          <w:p w14:paraId="05D8229C">
            <w:pPr>
              <w:widowControl/>
              <w:spacing w:line="240" w:lineRule="auto"/>
              <w:ind w:firstLine="0" w:firstLineChars="0"/>
              <w:jc w:val="center"/>
              <w:rPr>
                <w:rFonts w:hint="eastAsia"/>
                <w:sz w:val="21"/>
                <w:szCs w:val="21"/>
              </w:rPr>
            </w:pPr>
            <w:r>
              <w:rPr>
                <w:rFonts w:hint="eastAsia"/>
                <w:sz w:val="21"/>
                <w:szCs w:val="21"/>
              </w:rPr>
              <w:t>工单指派</w:t>
            </w:r>
          </w:p>
        </w:tc>
        <w:tc>
          <w:tcPr>
            <w:tcW w:w="5379" w:type="dxa"/>
            <w:tcBorders>
              <w:top w:val="single" w:color="000000" w:sz="4" w:space="0"/>
              <w:left w:val="nil"/>
              <w:bottom w:val="single" w:color="000000" w:sz="4" w:space="0"/>
              <w:right w:val="single" w:color="000000" w:sz="4" w:space="0"/>
            </w:tcBorders>
            <w:vAlign w:val="center"/>
          </w:tcPr>
          <w:p w14:paraId="4FB47E7B">
            <w:pPr>
              <w:widowControl/>
              <w:spacing w:line="240" w:lineRule="auto"/>
              <w:ind w:firstLine="0" w:firstLineChars="0"/>
              <w:rPr>
                <w:rFonts w:hint="eastAsia"/>
                <w:sz w:val="21"/>
                <w:szCs w:val="21"/>
              </w:rPr>
            </w:pPr>
            <w:r>
              <w:rPr>
                <w:rFonts w:hint="eastAsia"/>
                <w:sz w:val="21"/>
                <w:szCs w:val="21"/>
              </w:rPr>
              <w:t>支持在移动端对工单进行指派，根据工单类型和部门职责分类。</w:t>
            </w:r>
          </w:p>
        </w:tc>
      </w:tr>
      <w:tr w14:paraId="53388F87">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742142DF">
            <w:pPr>
              <w:widowControl/>
              <w:spacing w:line="240" w:lineRule="auto"/>
              <w:ind w:firstLine="0" w:firstLineChars="0"/>
              <w:jc w:val="center"/>
              <w:rPr>
                <w:rFonts w:hint="eastAsia"/>
                <w:sz w:val="21"/>
                <w:szCs w:val="21"/>
              </w:rPr>
            </w:pPr>
            <w:r>
              <w:rPr>
                <w:rFonts w:hint="eastAsia"/>
                <w:sz w:val="21"/>
                <w:szCs w:val="21"/>
              </w:rPr>
              <w:t>9</w:t>
            </w:r>
          </w:p>
        </w:tc>
        <w:tc>
          <w:tcPr>
            <w:tcW w:w="2276" w:type="dxa"/>
            <w:tcBorders>
              <w:top w:val="single" w:color="000000" w:sz="4" w:space="0"/>
              <w:left w:val="nil"/>
              <w:bottom w:val="single" w:color="000000" w:sz="4" w:space="0"/>
              <w:right w:val="single" w:color="000000" w:sz="4" w:space="0"/>
            </w:tcBorders>
            <w:vAlign w:val="center"/>
          </w:tcPr>
          <w:p w14:paraId="3B0F5E8C">
            <w:pPr>
              <w:widowControl/>
              <w:spacing w:line="240" w:lineRule="auto"/>
              <w:ind w:firstLine="0" w:firstLineChars="0"/>
              <w:jc w:val="center"/>
              <w:rPr>
                <w:rFonts w:hint="eastAsia"/>
                <w:sz w:val="21"/>
                <w:szCs w:val="21"/>
              </w:rPr>
            </w:pPr>
            <w:r>
              <w:rPr>
                <w:rFonts w:hint="eastAsia"/>
                <w:sz w:val="21"/>
                <w:szCs w:val="21"/>
              </w:rPr>
              <w:t>处置情况同步</w:t>
            </w:r>
          </w:p>
        </w:tc>
        <w:tc>
          <w:tcPr>
            <w:tcW w:w="5379" w:type="dxa"/>
            <w:tcBorders>
              <w:top w:val="single" w:color="000000" w:sz="4" w:space="0"/>
              <w:left w:val="nil"/>
              <w:bottom w:val="single" w:color="000000" w:sz="4" w:space="0"/>
              <w:right w:val="single" w:color="000000" w:sz="4" w:space="0"/>
            </w:tcBorders>
            <w:vAlign w:val="center"/>
          </w:tcPr>
          <w:p w14:paraId="57AAEC50">
            <w:pPr>
              <w:widowControl/>
              <w:spacing w:line="240" w:lineRule="auto"/>
              <w:ind w:firstLine="0" w:firstLineChars="0"/>
              <w:rPr>
                <w:rFonts w:hint="eastAsia"/>
                <w:sz w:val="21"/>
                <w:szCs w:val="21"/>
              </w:rPr>
            </w:pPr>
            <w:r>
              <w:rPr>
                <w:rFonts w:hint="eastAsia"/>
                <w:sz w:val="21"/>
                <w:szCs w:val="21"/>
              </w:rPr>
              <w:t>支持在移动端按照实际工单实际操作流程对工单进行处置，并同步处置结果至相关责任人。</w:t>
            </w:r>
          </w:p>
        </w:tc>
      </w:tr>
      <w:tr w14:paraId="22B952AF">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3BE71F69">
            <w:pPr>
              <w:widowControl/>
              <w:spacing w:line="240" w:lineRule="auto"/>
              <w:ind w:firstLine="0" w:firstLineChars="0"/>
              <w:jc w:val="center"/>
              <w:rPr>
                <w:rFonts w:hint="eastAsia"/>
                <w:sz w:val="21"/>
                <w:szCs w:val="21"/>
              </w:rPr>
            </w:pPr>
            <w:r>
              <w:rPr>
                <w:rFonts w:hint="eastAsia"/>
                <w:sz w:val="21"/>
                <w:szCs w:val="21"/>
              </w:rPr>
              <w:t>10</w:t>
            </w:r>
          </w:p>
        </w:tc>
        <w:tc>
          <w:tcPr>
            <w:tcW w:w="2276" w:type="dxa"/>
            <w:tcBorders>
              <w:top w:val="single" w:color="000000" w:sz="4" w:space="0"/>
              <w:left w:val="nil"/>
              <w:bottom w:val="single" w:color="000000" w:sz="4" w:space="0"/>
              <w:right w:val="single" w:color="000000" w:sz="4" w:space="0"/>
            </w:tcBorders>
            <w:vAlign w:val="center"/>
          </w:tcPr>
          <w:p w14:paraId="2CACD22B">
            <w:pPr>
              <w:widowControl/>
              <w:spacing w:line="240" w:lineRule="auto"/>
              <w:ind w:firstLine="0" w:firstLineChars="0"/>
              <w:jc w:val="center"/>
              <w:rPr>
                <w:rFonts w:hint="eastAsia"/>
                <w:sz w:val="21"/>
                <w:szCs w:val="21"/>
              </w:rPr>
            </w:pPr>
            <w:r>
              <w:rPr>
                <w:rFonts w:hint="eastAsia"/>
                <w:sz w:val="21"/>
                <w:szCs w:val="21"/>
              </w:rPr>
              <w:t>工单审核与关闭</w:t>
            </w:r>
          </w:p>
        </w:tc>
        <w:tc>
          <w:tcPr>
            <w:tcW w:w="5379" w:type="dxa"/>
            <w:tcBorders>
              <w:top w:val="single" w:color="000000" w:sz="4" w:space="0"/>
              <w:left w:val="nil"/>
              <w:bottom w:val="single" w:color="000000" w:sz="4" w:space="0"/>
              <w:right w:val="single" w:color="000000" w:sz="4" w:space="0"/>
            </w:tcBorders>
            <w:vAlign w:val="center"/>
          </w:tcPr>
          <w:p w14:paraId="7D0778FC">
            <w:pPr>
              <w:widowControl/>
              <w:spacing w:line="240" w:lineRule="auto"/>
              <w:ind w:firstLine="0" w:firstLineChars="0"/>
              <w:rPr>
                <w:rFonts w:hint="eastAsia"/>
                <w:sz w:val="21"/>
                <w:szCs w:val="21"/>
              </w:rPr>
            </w:pPr>
            <w:r>
              <w:rPr>
                <w:rFonts w:hint="eastAsia"/>
                <w:sz w:val="21"/>
                <w:szCs w:val="21"/>
              </w:rPr>
              <w:t>支持在移动端对工单进行完成审核及关闭 。</w:t>
            </w:r>
          </w:p>
        </w:tc>
      </w:tr>
      <w:tr w14:paraId="4A254B34">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3AA5D639">
            <w:pPr>
              <w:widowControl/>
              <w:spacing w:line="240" w:lineRule="auto"/>
              <w:ind w:firstLine="0" w:firstLineChars="0"/>
              <w:jc w:val="center"/>
              <w:rPr>
                <w:rFonts w:hint="eastAsia"/>
                <w:sz w:val="21"/>
                <w:szCs w:val="21"/>
              </w:rPr>
            </w:pPr>
            <w:r>
              <w:rPr>
                <w:rFonts w:hint="eastAsia"/>
                <w:sz w:val="21"/>
                <w:szCs w:val="21"/>
              </w:rPr>
              <w:t>11</w:t>
            </w:r>
          </w:p>
        </w:tc>
        <w:tc>
          <w:tcPr>
            <w:tcW w:w="2276" w:type="dxa"/>
            <w:tcBorders>
              <w:top w:val="single" w:color="000000" w:sz="4" w:space="0"/>
              <w:left w:val="nil"/>
              <w:bottom w:val="single" w:color="000000" w:sz="4" w:space="0"/>
              <w:right w:val="single" w:color="000000" w:sz="4" w:space="0"/>
            </w:tcBorders>
            <w:vAlign w:val="center"/>
          </w:tcPr>
          <w:p w14:paraId="07180999">
            <w:pPr>
              <w:widowControl/>
              <w:spacing w:line="240" w:lineRule="auto"/>
              <w:ind w:firstLine="0" w:firstLineChars="0"/>
              <w:jc w:val="center"/>
              <w:rPr>
                <w:rFonts w:hint="eastAsia"/>
                <w:sz w:val="21"/>
                <w:szCs w:val="21"/>
              </w:rPr>
            </w:pPr>
            <w:r>
              <w:rPr>
                <w:rFonts w:hint="eastAsia"/>
                <w:sz w:val="21"/>
                <w:szCs w:val="21"/>
              </w:rPr>
              <w:t>工单查询</w:t>
            </w:r>
          </w:p>
        </w:tc>
        <w:tc>
          <w:tcPr>
            <w:tcW w:w="5379" w:type="dxa"/>
            <w:tcBorders>
              <w:top w:val="single" w:color="000000" w:sz="4" w:space="0"/>
              <w:left w:val="nil"/>
              <w:bottom w:val="single" w:color="000000" w:sz="4" w:space="0"/>
              <w:right w:val="single" w:color="000000" w:sz="4" w:space="0"/>
            </w:tcBorders>
            <w:vAlign w:val="center"/>
          </w:tcPr>
          <w:p w14:paraId="4034F199">
            <w:pPr>
              <w:widowControl/>
              <w:spacing w:line="240" w:lineRule="auto"/>
              <w:ind w:firstLine="0" w:firstLineChars="0"/>
              <w:rPr>
                <w:rFonts w:hint="eastAsia"/>
                <w:sz w:val="21"/>
                <w:szCs w:val="21"/>
              </w:rPr>
            </w:pPr>
            <w:r>
              <w:rPr>
                <w:rFonts w:hint="eastAsia"/>
                <w:sz w:val="21"/>
                <w:szCs w:val="21"/>
              </w:rPr>
              <w:t>支持工单事件的查询，支持按类型进行筛选查询。</w:t>
            </w:r>
          </w:p>
        </w:tc>
      </w:tr>
      <w:tr w14:paraId="61FE347B">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13C2F4D1">
            <w:pPr>
              <w:widowControl/>
              <w:spacing w:line="240" w:lineRule="auto"/>
              <w:ind w:firstLine="0" w:firstLineChars="0"/>
              <w:jc w:val="center"/>
              <w:rPr>
                <w:rFonts w:hint="eastAsia"/>
                <w:sz w:val="21"/>
                <w:szCs w:val="21"/>
              </w:rPr>
            </w:pPr>
            <w:r>
              <w:rPr>
                <w:rFonts w:hint="eastAsia"/>
                <w:sz w:val="21"/>
                <w:szCs w:val="21"/>
              </w:rPr>
              <w:t>12</w:t>
            </w:r>
          </w:p>
        </w:tc>
        <w:tc>
          <w:tcPr>
            <w:tcW w:w="2276" w:type="dxa"/>
            <w:tcBorders>
              <w:top w:val="single" w:color="000000" w:sz="4" w:space="0"/>
              <w:left w:val="nil"/>
              <w:bottom w:val="single" w:color="000000" w:sz="4" w:space="0"/>
              <w:right w:val="single" w:color="000000" w:sz="4" w:space="0"/>
            </w:tcBorders>
            <w:vAlign w:val="center"/>
          </w:tcPr>
          <w:p w14:paraId="3936B11F">
            <w:pPr>
              <w:widowControl/>
              <w:spacing w:line="240" w:lineRule="auto"/>
              <w:ind w:firstLine="0" w:firstLineChars="0"/>
              <w:jc w:val="center"/>
              <w:rPr>
                <w:rFonts w:hint="eastAsia"/>
                <w:sz w:val="21"/>
                <w:szCs w:val="21"/>
              </w:rPr>
            </w:pPr>
            <w:r>
              <w:rPr>
                <w:rFonts w:hint="eastAsia"/>
                <w:sz w:val="21"/>
                <w:szCs w:val="21"/>
              </w:rPr>
              <w:t>工单详情</w:t>
            </w:r>
          </w:p>
        </w:tc>
        <w:tc>
          <w:tcPr>
            <w:tcW w:w="5379" w:type="dxa"/>
            <w:tcBorders>
              <w:top w:val="single" w:color="000000" w:sz="4" w:space="0"/>
              <w:left w:val="nil"/>
              <w:bottom w:val="single" w:color="000000" w:sz="4" w:space="0"/>
              <w:right w:val="single" w:color="000000" w:sz="4" w:space="0"/>
            </w:tcBorders>
            <w:vAlign w:val="center"/>
          </w:tcPr>
          <w:p w14:paraId="0235B8C6">
            <w:pPr>
              <w:widowControl/>
              <w:spacing w:line="240" w:lineRule="auto"/>
              <w:ind w:firstLine="0" w:firstLineChars="0"/>
              <w:rPr>
                <w:rFonts w:hint="eastAsia"/>
                <w:sz w:val="21"/>
                <w:szCs w:val="21"/>
              </w:rPr>
            </w:pPr>
            <w:r>
              <w:rPr>
                <w:rFonts w:hint="eastAsia"/>
                <w:sz w:val="21"/>
                <w:szCs w:val="21"/>
              </w:rPr>
              <w:t>支持工单事件详情展示。</w:t>
            </w:r>
          </w:p>
        </w:tc>
      </w:tr>
      <w:tr w14:paraId="061D6F85">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7030477F">
            <w:pPr>
              <w:widowControl/>
              <w:spacing w:line="240" w:lineRule="auto"/>
              <w:ind w:firstLine="0" w:firstLineChars="0"/>
              <w:jc w:val="center"/>
              <w:rPr>
                <w:rFonts w:hint="eastAsia"/>
                <w:sz w:val="21"/>
                <w:szCs w:val="21"/>
              </w:rPr>
            </w:pPr>
            <w:r>
              <w:rPr>
                <w:rFonts w:hint="eastAsia"/>
                <w:sz w:val="21"/>
                <w:szCs w:val="21"/>
              </w:rPr>
              <w:t>13</w:t>
            </w:r>
          </w:p>
        </w:tc>
        <w:tc>
          <w:tcPr>
            <w:tcW w:w="2276" w:type="dxa"/>
            <w:tcBorders>
              <w:top w:val="single" w:color="000000" w:sz="4" w:space="0"/>
              <w:left w:val="nil"/>
              <w:bottom w:val="single" w:color="000000" w:sz="4" w:space="0"/>
              <w:right w:val="single" w:color="000000" w:sz="4" w:space="0"/>
            </w:tcBorders>
            <w:vAlign w:val="center"/>
          </w:tcPr>
          <w:p w14:paraId="0733CACD">
            <w:pPr>
              <w:widowControl/>
              <w:spacing w:line="240" w:lineRule="auto"/>
              <w:ind w:firstLine="0" w:firstLineChars="0"/>
              <w:jc w:val="center"/>
              <w:rPr>
                <w:rFonts w:hint="eastAsia"/>
                <w:sz w:val="21"/>
                <w:szCs w:val="21"/>
              </w:rPr>
            </w:pPr>
            <w:r>
              <w:rPr>
                <w:rFonts w:hint="eastAsia"/>
                <w:sz w:val="21"/>
                <w:szCs w:val="21"/>
              </w:rPr>
              <w:t>事件处理查询</w:t>
            </w:r>
          </w:p>
        </w:tc>
        <w:tc>
          <w:tcPr>
            <w:tcW w:w="5379" w:type="dxa"/>
            <w:tcBorders>
              <w:top w:val="single" w:color="000000" w:sz="4" w:space="0"/>
              <w:left w:val="nil"/>
              <w:bottom w:val="single" w:color="000000" w:sz="4" w:space="0"/>
              <w:right w:val="single" w:color="000000" w:sz="4" w:space="0"/>
            </w:tcBorders>
            <w:vAlign w:val="center"/>
          </w:tcPr>
          <w:p w14:paraId="68F7D118">
            <w:pPr>
              <w:widowControl/>
              <w:spacing w:line="240" w:lineRule="auto"/>
              <w:ind w:firstLine="0" w:firstLineChars="0"/>
              <w:rPr>
                <w:rFonts w:hint="eastAsia"/>
                <w:sz w:val="21"/>
                <w:szCs w:val="21"/>
              </w:rPr>
            </w:pPr>
            <w:r>
              <w:rPr>
                <w:rFonts w:hint="eastAsia"/>
                <w:sz w:val="21"/>
                <w:szCs w:val="21"/>
              </w:rPr>
              <w:t>支持工单事件处理情况查询，工单事件处理进度、处理完成情况等查询。</w:t>
            </w:r>
          </w:p>
        </w:tc>
      </w:tr>
      <w:tr w14:paraId="14F50D0B">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324C0713">
            <w:pPr>
              <w:widowControl/>
              <w:spacing w:line="240" w:lineRule="auto"/>
              <w:ind w:firstLine="0" w:firstLineChars="0"/>
              <w:jc w:val="center"/>
              <w:rPr>
                <w:rFonts w:hint="eastAsia"/>
                <w:sz w:val="21"/>
                <w:szCs w:val="21"/>
              </w:rPr>
            </w:pPr>
            <w:r>
              <w:rPr>
                <w:rFonts w:hint="eastAsia"/>
                <w:sz w:val="21"/>
                <w:szCs w:val="21"/>
              </w:rPr>
              <w:t>14</w:t>
            </w:r>
          </w:p>
        </w:tc>
        <w:tc>
          <w:tcPr>
            <w:tcW w:w="2276" w:type="dxa"/>
            <w:tcBorders>
              <w:top w:val="single" w:color="000000" w:sz="4" w:space="0"/>
              <w:left w:val="nil"/>
              <w:bottom w:val="single" w:color="000000" w:sz="4" w:space="0"/>
              <w:right w:val="single" w:color="000000" w:sz="4" w:space="0"/>
            </w:tcBorders>
            <w:vAlign w:val="center"/>
          </w:tcPr>
          <w:p w14:paraId="29B841DD">
            <w:pPr>
              <w:widowControl/>
              <w:spacing w:line="240" w:lineRule="auto"/>
              <w:ind w:firstLine="0" w:firstLineChars="0"/>
              <w:jc w:val="center"/>
              <w:rPr>
                <w:rFonts w:hint="eastAsia"/>
                <w:sz w:val="21"/>
                <w:szCs w:val="21"/>
              </w:rPr>
            </w:pPr>
            <w:r>
              <w:rPr>
                <w:rFonts w:hint="eastAsia"/>
                <w:sz w:val="21"/>
                <w:szCs w:val="21"/>
              </w:rPr>
              <w:t>工单统计分析</w:t>
            </w:r>
          </w:p>
        </w:tc>
        <w:tc>
          <w:tcPr>
            <w:tcW w:w="5379" w:type="dxa"/>
            <w:tcBorders>
              <w:top w:val="single" w:color="000000" w:sz="4" w:space="0"/>
              <w:left w:val="nil"/>
              <w:bottom w:val="single" w:color="000000" w:sz="4" w:space="0"/>
              <w:right w:val="single" w:color="000000" w:sz="4" w:space="0"/>
            </w:tcBorders>
            <w:vAlign w:val="center"/>
          </w:tcPr>
          <w:p w14:paraId="1CC38C96">
            <w:pPr>
              <w:widowControl/>
              <w:spacing w:line="240" w:lineRule="auto"/>
              <w:ind w:firstLine="0" w:firstLineChars="0"/>
              <w:rPr>
                <w:rFonts w:hint="eastAsia"/>
                <w:sz w:val="21"/>
                <w:szCs w:val="21"/>
              </w:rPr>
            </w:pPr>
            <w:r>
              <w:rPr>
                <w:rFonts w:hint="eastAsia"/>
                <w:sz w:val="21"/>
                <w:szCs w:val="21"/>
              </w:rPr>
              <w:t>设备工单事件统计分析。对工单事件的待处理、处理完成、未处理等事件进行统计分析。</w:t>
            </w:r>
          </w:p>
        </w:tc>
      </w:tr>
      <w:tr w14:paraId="5E26B84B">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18021B77">
            <w:pPr>
              <w:widowControl/>
              <w:spacing w:line="240" w:lineRule="auto"/>
              <w:ind w:firstLine="0" w:firstLineChars="0"/>
              <w:jc w:val="center"/>
              <w:rPr>
                <w:rFonts w:hint="eastAsia"/>
                <w:sz w:val="21"/>
                <w:szCs w:val="21"/>
              </w:rPr>
            </w:pPr>
            <w:r>
              <w:rPr>
                <w:rFonts w:hint="eastAsia"/>
                <w:sz w:val="21"/>
                <w:szCs w:val="21"/>
              </w:rPr>
              <w:t>15</w:t>
            </w:r>
          </w:p>
        </w:tc>
        <w:tc>
          <w:tcPr>
            <w:tcW w:w="2276" w:type="dxa"/>
            <w:tcBorders>
              <w:top w:val="single" w:color="000000" w:sz="4" w:space="0"/>
              <w:left w:val="nil"/>
              <w:bottom w:val="single" w:color="000000" w:sz="4" w:space="0"/>
              <w:right w:val="single" w:color="000000" w:sz="4" w:space="0"/>
            </w:tcBorders>
            <w:vAlign w:val="center"/>
          </w:tcPr>
          <w:p w14:paraId="23E46E1D">
            <w:pPr>
              <w:widowControl/>
              <w:spacing w:line="240" w:lineRule="auto"/>
              <w:ind w:firstLine="0" w:firstLineChars="0"/>
              <w:jc w:val="center"/>
              <w:rPr>
                <w:rFonts w:hint="eastAsia"/>
                <w:sz w:val="21"/>
                <w:szCs w:val="21"/>
              </w:rPr>
            </w:pPr>
            <w:r>
              <w:rPr>
                <w:rFonts w:hint="eastAsia"/>
                <w:sz w:val="21"/>
                <w:szCs w:val="21"/>
              </w:rPr>
              <w:t>运维服务报告</w:t>
            </w:r>
          </w:p>
        </w:tc>
        <w:tc>
          <w:tcPr>
            <w:tcW w:w="5379" w:type="dxa"/>
            <w:tcBorders>
              <w:top w:val="single" w:color="000000" w:sz="4" w:space="0"/>
              <w:left w:val="nil"/>
              <w:bottom w:val="single" w:color="000000" w:sz="4" w:space="0"/>
              <w:right w:val="single" w:color="000000" w:sz="4" w:space="0"/>
            </w:tcBorders>
            <w:vAlign w:val="center"/>
          </w:tcPr>
          <w:p w14:paraId="0D6105C3">
            <w:pPr>
              <w:widowControl/>
              <w:spacing w:line="240" w:lineRule="auto"/>
              <w:ind w:firstLine="0" w:firstLineChars="0"/>
              <w:rPr>
                <w:rFonts w:hint="eastAsia"/>
                <w:sz w:val="21"/>
                <w:szCs w:val="21"/>
              </w:rPr>
            </w:pPr>
            <w:r>
              <w:rPr>
                <w:rFonts w:hint="eastAsia"/>
                <w:sz w:val="21"/>
                <w:szCs w:val="21"/>
              </w:rPr>
              <w:t>支持按照区域、项目、时间维度查看并导出运维服务报告；支持统计设备运行、抓拍数据和故障维修数据；支持用户自定义配置新的报表等</w:t>
            </w:r>
          </w:p>
        </w:tc>
      </w:tr>
      <w:tr w14:paraId="42A8171B">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0E7906C4">
            <w:pPr>
              <w:widowControl/>
              <w:spacing w:line="240" w:lineRule="auto"/>
              <w:ind w:firstLine="0" w:firstLineChars="0"/>
              <w:jc w:val="center"/>
              <w:rPr>
                <w:rFonts w:hint="eastAsia"/>
                <w:sz w:val="21"/>
                <w:szCs w:val="21"/>
              </w:rPr>
            </w:pPr>
            <w:r>
              <w:rPr>
                <w:rFonts w:hint="eastAsia"/>
                <w:sz w:val="21"/>
                <w:szCs w:val="21"/>
              </w:rPr>
              <w:t>16</w:t>
            </w:r>
          </w:p>
        </w:tc>
        <w:tc>
          <w:tcPr>
            <w:tcW w:w="2276" w:type="dxa"/>
            <w:tcBorders>
              <w:top w:val="single" w:color="000000" w:sz="4" w:space="0"/>
              <w:left w:val="nil"/>
              <w:bottom w:val="single" w:color="000000" w:sz="4" w:space="0"/>
              <w:right w:val="single" w:color="000000" w:sz="4" w:space="0"/>
            </w:tcBorders>
            <w:vAlign w:val="center"/>
          </w:tcPr>
          <w:p w14:paraId="540547CC">
            <w:pPr>
              <w:widowControl/>
              <w:spacing w:line="240" w:lineRule="auto"/>
              <w:ind w:firstLine="0" w:firstLineChars="0"/>
              <w:jc w:val="center"/>
              <w:rPr>
                <w:rFonts w:hint="eastAsia"/>
                <w:sz w:val="21"/>
                <w:szCs w:val="21"/>
              </w:rPr>
            </w:pPr>
            <w:r>
              <w:rPr>
                <w:rFonts w:hint="eastAsia"/>
                <w:sz w:val="21"/>
                <w:szCs w:val="21"/>
              </w:rPr>
              <w:t>地图化运维</w:t>
            </w:r>
          </w:p>
        </w:tc>
        <w:tc>
          <w:tcPr>
            <w:tcW w:w="5379" w:type="dxa"/>
            <w:tcBorders>
              <w:top w:val="single" w:color="000000" w:sz="4" w:space="0"/>
              <w:left w:val="nil"/>
              <w:bottom w:val="single" w:color="000000" w:sz="4" w:space="0"/>
              <w:right w:val="single" w:color="000000" w:sz="4" w:space="0"/>
            </w:tcBorders>
            <w:vAlign w:val="center"/>
          </w:tcPr>
          <w:p w14:paraId="69A03898">
            <w:pPr>
              <w:widowControl/>
              <w:spacing w:line="240" w:lineRule="auto"/>
              <w:ind w:firstLine="0" w:firstLineChars="0"/>
              <w:rPr>
                <w:rFonts w:hint="eastAsia"/>
                <w:sz w:val="21"/>
                <w:szCs w:val="21"/>
              </w:rPr>
            </w:pPr>
            <w:r>
              <w:rPr>
                <w:rFonts w:hint="eastAsia"/>
                <w:sz w:val="21"/>
                <w:szCs w:val="21"/>
              </w:rPr>
              <w:t>支持在地图上通过资源名称/IP地址查询设备，查看设备基本信息、告警信息和工单信息，并将告警转成工单</w:t>
            </w:r>
            <w:r>
              <w:rPr>
                <w:rFonts w:hint="eastAsia"/>
                <w:sz w:val="21"/>
                <w:szCs w:val="21"/>
              </w:rPr>
              <w:br w:type="textWrapping"/>
            </w:r>
            <w:r>
              <w:rPr>
                <w:rFonts w:hint="eastAsia"/>
                <w:sz w:val="21"/>
                <w:szCs w:val="21"/>
              </w:rPr>
              <w:t>支持在地图上通过设备/路口/路段/道路查询关联设备信息；支持在地图上通过区域、设备类型等信息进行筛选，展现设备运行数据，实现设备资源一图展现，设备信息一屏全览</w:t>
            </w:r>
          </w:p>
        </w:tc>
      </w:tr>
      <w:tr w14:paraId="13FD07EA">
        <w:tblPrEx>
          <w:tblCellMar>
            <w:top w:w="0" w:type="dxa"/>
            <w:left w:w="108" w:type="dxa"/>
            <w:bottom w:w="0" w:type="dxa"/>
            <w:right w:w="108" w:type="dxa"/>
          </w:tblCellMar>
        </w:tblPrEx>
        <w:trPr>
          <w:trHeight w:val="280" w:hRule="atLeast"/>
        </w:trPr>
        <w:tc>
          <w:tcPr>
            <w:tcW w:w="704" w:type="dxa"/>
            <w:tcBorders>
              <w:top w:val="nil"/>
              <w:left w:val="single" w:color="000000" w:sz="4" w:space="0"/>
              <w:bottom w:val="single" w:color="000000" w:sz="4" w:space="0"/>
              <w:right w:val="single" w:color="000000" w:sz="4" w:space="0"/>
            </w:tcBorders>
            <w:vAlign w:val="center"/>
          </w:tcPr>
          <w:p w14:paraId="458B3243">
            <w:pPr>
              <w:widowControl/>
              <w:spacing w:line="240" w:lineRule="auto"/>
              <w:ind w:firstLine="0" w:firstLineChars="0"/>
              <w:jc w:val="center"/>
              <w:rPr>
                <w:rFonts w:hint="eastAsia"/>
                <w:sz w:val="21"/>
                <w:szCs w:val="21"/>
              </w:rPr>
            </w:pPr>
            <w:r>
              <w:rPr>
                <w:rFonts w:hint="eastAsia"/>
                <w:sz w:val="21"/>
                <w:szCs w:val="21"/>
              </w:rPr>
              <w:t>17</w:t>
            </w:r>
          </w:p>
        </w:tc>
        <w:tc>
          <w:tcPr>
            <w:tcW w:w="2276" w:type="dxa"/>
            <w:tcBorders>
              <w:top w:val="single" w:color="000000" w:sz="4" w:space="0"/>
              <w:left w:val="nil"/>
              <w:bottom w:val="single" w:color="000000" w:sz="4" w:space="0"/>
              <w:right w:val="single" w:color="000000" w:sz="4" w:space="0"/>
            </w:tcBorders>
            <w:vAlign w:val="center"/>
          </w:tcPr>
          <w:p w14:paraId="08140AD0">
            <w:pPr>
              <w:widowControl/>
              <w:spacing w:line="240" w:lineRule="auto"/>
              <w:ind w:firstLine="0" w:firstLineChars="0"/>
              <w:jc w:val="center"/>
              <w:rPr>
                <w:rFonts w:hint="eastAsia"/>
                <w:sz w:val="21"/>
                <w:szCs w:val="21"/>
              </w:rPr>
            </w:pPr>
            <w:r>
              <w:rPr>
                <w:rFonts w:hint="eastAsia"/>
                <w:sz w:val="21"/>
                <w:szCs w:val="21"/>
              </w:rPr>
              <w:t>咨询与问题管理</w:t>
            </w:r>
          </w:p>
        </w:tc>
        <w:tc>
          <w:tcPr>
            <w:tcW w:w="5379" w:type="dxa"/>
            <w:tcBorders>
              <w:top w:val="single" w:color="000000" w:sz="4" w:space="0"/>
              <w:left w:val="nil"/>
              <w:bottom w:val="single" w:color="000000" w:sz="4" w:space="0"/>
              <w:right w:val="single" w:color="000000" w:sz="4" w:space="0"/>
            </w:tcBorders>
            <w:vAlign w:val="center"/>
          </w:tcPr>
          <w:p w14:paraId="03EF7235">
            <w:pPr>
              <w:widowControl/>
              <w:spacing w:line="240" w:lineRule="auto"/>
              <w:ind w:firstLine="0" w:firstLineChars="0"/>
              <w:rPr>
                <w:rFonts w:hint="eastAsia"/>
                <w:sz w:val="21"/>
                <w:szCs w:val="21"/>
              </w:rPr>
            </w:pPr>
            <w:r>
              <w:rPr>
                <w:rFonts w:hint="eastAsia"/>
                <w:sz w:val="21"/>
                <w:szCs w:val="21"/>
              </w:rPr>
              <w:t>提供咨询单、问题单的发起功能；支持派单、催单、自动催办、结单等功能；支持历史维修故障查询；提供日常巡检单配置、下发功能；支持按照工单状态分类展示</w:t>
            </w:r>
          </w:p>
        </w:tc>
      </w:tr>
    </w:tbl>
    <w:p w14:paraId="05BD9259">
      <w:pPr>
        <w:ind w:firstLineChars="0"/>
        <w:rPr>
          <w:rFonts w:hint="eastAsia"/>
        </w:rPr>
      </w:pPr>
    </w:p>
    <w:bookmarkEnd w:id="17"/>
    <w:p w14:paraId="516E8BD1">
      <w:pPr>
        <w:pStyle w:val="2"/>
        <w:rPr>
          <w:rFonts w:hint="eastAsia"/>
        </w:rPr>
      </w:pPr>
      <w:bookmarkStart w:id="18" w:name="_Toc63785503"/>
      <w:r>
        <w:rPr>
          <w:rFonts w:hint="eastAsia"/>
        </w:rPr>
        <w:t>电子政务云资源需求</w:t>
      </w:r>
    </w:p>
    <w:p w14:paraId="18F6A838">
      <w:pPr>
        <w:snapToGrid w:val="0"/>
        <w:rPr>
          <w:rFonts w:hint="eastAsia"/>
        </w:rPr>
      </w:pPr>
      <w:r>
        <w:rPr>
          <w:rFonts w:hint="eastAsia"/>
        </w:rPr>
        <w:t>根据项目前期资源现状，本次建设根据估算拟向电子政务云申请2台应用服务器资源CPU32核 、内存64G、存储4000G，申请资源均为虚拟机，用于包括成品软件、软件开发部分除水印管控外全部功能的部署与运行。投标人应根据相关资源情况在投标文件中给出合理的资源配置。</w:t>
      </w:r>
    </w:p>
    <w:p w14:paraId="33FF4D66">
      <w:pPr>
        <w:pStyle w:val="2"/>
        <w:rPr>
          <w:rFonts w:hint="eastAsia"/>
        </w:rPr>
      </w:pPr>
      <w:r>
        <w:rPr>
          <w:rFonts w:hint="eastAsia"/>
        </w:rPr>
        <w:t>其他工作要求</w:t>
      </w:r>
      <w:bookmarkEnd w:id="18"/>
    </w:p>
    <w:p w14:paraId="07F2CB03">
      <w:pPr>
        <w:pStyle w:val="3"/>
        <w:rPr>
          <w:rFonts w:hint="eastAsia"/>
        </w:rPr>
      </w:pPr>
      <w:r>
        <w:rPr>
          <w:rFonts w:hint="eastAsia"/>
        </w:rPr>
        <w:t>售后服务要求</w:t>
      </w:r>
    </w:p>
    <w:p w14:paraId="0862E0EC">
      <w:pPr>
        <w:snapToGrid w:val="0"/>
        <w:rPr>
          <w:rFonts w:hint="eastAsia"/>
        </w:rPr>
      </w:pPr>
      <w:r>
        <w:rPr>
          <w:rFonts w:hint="eastAsia"/>
        </w:rPr>
        <w:t>本项目从系统验收通过之日起1年内提供</w:t>
      </w:r>
      <w:r>
        <w:t>7*24小时免费技术支持</w:t>
      </w:r>
      <w:r>
        <w:rPr>
          <w:rFonts w:hint="eastAsia"/>
        </w:rPr>
        <w:t>和售后服务，</w:t>
      </w:r>
      <w:r>
        <w:rPr>
          <w:rFonts w:hint="eastAsia"/>
          <w:highlight w:val="yellow"/>
        </w:rPr>
        <w:t>1年后</w:t>
      </w:r>
      <w:r>
        <w:rPr>
          <w:rFonts w:hint="eastAsia"/>
        </w:rPr>
        <w:t>进入有偿维护期。</w:t>
      </w:r>
    </w:p>
    <w:p w14:paraId="545B855D">
      <w:pPr>
        <w:snapToGrid w:val="0"/>
        <w:rPr>
          <w:rFonts w:hint="eastAsia"/>
        </w:rPr>
      </w:pPr>
      <w:r>
        <w:rPr>
          <w:rFonts w:hint="eastAsia"/>
        </w:rPr>
        <w:t>在质量保证期内，供应商将按照售后服务的承诺提供保修和运行维护服务，如果厂商对信息系统中软件产品中的部分保修期超过上述期限的，则按照厂商的规定进行免费保修。</w:t>
      </w:r>
    </w:p>
    <w:p w14:paraId="586DCD0F">
      <w:pPr>
        <w:snapToGrid w:val="0"/>
        <w:rPr>
          <w:rFonts w:hint="eastAsia"/>
        </w:rPr>
      </w:pPr>
      <w:r>
        <w:rPr>
          <w:rFonts w:hint="eastAsia"/>
        </w:rPr>
        <w:t>在质量保证期内，供应商负责信息系统的运行维护工作，确保信息系统安全、稳定、可靠地运行。</w:t>
      </w:r>
    </w:p>
    <w:p w14:paraId="22F83C91">
      <w:pPr>
        <w:pStyle w:val="3"/>
        <w:rPr>
          <w:rFonts w:hint="eastAsia"/>
        </w:rPr>
      </w:pPr>
      <w:bookmarkStart w:id="19" w:name="_Toc63785506"/>
      <w:bookmarkStart w:id="20" w:name="_Toc63785507"/>
      <w:r>
        <w:rPr>
          <w:rFonts w:hint="eastAsia"/>
        </w:rPr>
        <w:t>应急响应要求</w:t>
      </w:r>
      <w:bookmarkEnd w:id="19"/>
    </w:p>
    <w:p w14:paraId="28385667">
      <w:pPr>
        <w:pStyle w:val="11"/>
        <w:snapToGrid w:val="0"/>
        <w:spacing w:line="360" w:lineRule="auto"/>
        <w:ind w:firstLine="480"/>
        <w:rPr>
          <w:rFonts w:hint="eastAsia" w:ascii="宋体" w:hAnsi="宋体"/>
          <w:sz w:val="24"/>
          <w:szCs w:val="24"/>
        </w:rPr>
      </w:pPr>
      <w:r>
        <w:rPr>
          <w:rFonts w:hint="eastAsia" w:ascii="宋体" w:hAnsi="宋体"/>
          <w:sz w:val="24"/>
          <w:szCs w:val="24"/>
        </w:rPr>
        <w:t>供应商对故障应能够实时响应，若系统或设备发生故障，接到通知后</w:t>
      </w:r>
      <w:r>
        <w:rPr>
          <w:rFonts w:ascii="宋体" w:hAnsi="宋体"/>
          <w:sz w:val="24"/>
          <w:szCs w:val="24"/>
        </w:rPr>
        <w:t>30分钟之内响应，专业工程师2小时内到达现场</w:t>
      </w:r>
      <w:r>
        <w:rPr>
          <w:rFonts w:hint="eastAsia" w:ascii="宋体" w:hAnsi="宋体"/>
          <w:sz w:val="24"/>
          <w:szCs w:val="24"/>
        </w:rPr>
        <w:t>。特殊故障与客户沟通协商后，按照协商的方式制定解决方案并进行处理。</w:t>
      </w:r>
    </w:p>
    <w:p w14:paraId="14576B16">
      <w:pPr>
        <w:pStyle w:val="11"/>
        <w:snapToGrid w:val="0"/>
        <w:spacing w:line="360" w:lineRule="auto"/>
        <w:ind w:firstLine="480"/>
        <w:rPr>
          <w:rFonts w:hint="eastAsia" w:ascii="宋体" w:hAnsi="宋体"/>
          <w:sz w:val="24"/>
          <w:szCs w:val="24"/>
        </w:rPr>
      </w:pPr>
      <w:r>
        <w:rPr>
          <w:rFonts w:hint="eastAsia" w:ascii="宋体" w:hAnsi="宋体"/>
          <w:sz w:val="24"/>
          <w:szCs w:val="24"/>
        </w:rPr>
        <w:t>具体故障级别及对应的应急响应要求如下：</w:t>
      </w:r>
    </w:p>
    <w:p w14:paraId="78B3F146">
      <w:pPr>
        <w:pStyle w:val="11"/>
        <w:snapToGrid w:val="0"/>
        <w:spacing w:line="360" w:lineRule="auto"/>
        <w:ind w:firstLine="480"/>
        <w:rPr>
          <w:rFonts w:hint="eastAsia"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14:paraId="2A3BF2CE">
      <w:pPr>
        <w:pStyle w:val="11"/>
        <w:snapToGrid w:val="0"/>
        <w:spacing w:line="360" w:lineRule="auto"/>
        <w:ind w:firstLine="480"/>
        <w:rPr>
          <w:rFonts w:hint="eastAsia" w:ascii="宋体" w:hAnsi="宋体"/>
          <w:sz w:val="24"/>
          <w:szCs w:val="24"/>
        </w:rPr>
      </w:pPr>
      <w:r>
        <w:rPr>
          <w:rFonts w:hint="eastAsia" w:ascii="宋体" w:hAnsi="宋体"/>
          <w:sz w:val="24"/>
          <w:szCs w:val="24"/>
        </w:rPr>
        <w:t>二级故障：在</w:t>
      </w:r>
      <w:r>
        <w:rPr>
          <w:rFonts w:ascii="宋体" w:hAnsi="宋体"/>
          <w:sz w:val="24"/>
          <w:szCs w:val="24"/>
        </w:rPr>
        <w:t>2小时内确诊，并在4小时内由专家到达现场确诊并解决，总故障解决时间不超过8小时；</w:t>
      </w:r>
    </w:p>
    <w:p w14:paraId="58DEA3B9">
      <w:pPr>
        <w:pStyle w:val="11"/>
        <w:snapToGrid w:val="0"/>
        <w:spacing w:line="360" w:lineRule="auto"/>
        <w:ind w:firstLine="480"/>
        <w:rPr>
          <w:rFonts w:hint="eastAsia" w:ascii="宋体" w:hAnsi="宋体"/>
          <w:sz w:val="24"/>
          <w:szCs w:val="24"/>
        </w:rPr>
      </w:pPr>
      <w:r>
        <w:rPr>
          <w:rFonts w:hint="eastAsia" w:ascii="宋体" w:hAnsi="宋体"/>
          <w:sz w:val="24"/>
          <w:szCs w:val="24"/>
        </w:rPr>
        <w:t>三、四级故障：在</w:t>
      </w:r>
      <w:r>
        <w:rPr>
          <w:rFonts w:ascii="宋体" w:hAnsi="宋体"/>
          <w:sz w:val="24"/>
          <w:szCs w:val="24"/>
        </w:rPr>
        <w:t>4小时内确诊故障，总故障解决时间不超过16小时。</w:t>
      </w:r>
    </w:p>
    <w:p w14:paraId="1D306EA6">
      <w:pPr>
        <w:pStyle w:val="3"/>
        <w:rPr>
          <w:rFonts w:hint="eastAsia"/>
        </w:rPr>
      </w:pPr>
      <w:r>
        <w:rPr>
          <w:rFonts w:hint="eastAsia"/>
        </w:rPr>
        <w:t>培训要求</w:t>
      </w:r>
      <w:bookmarkEnd w:id="20"/>
    </w:p>
    <w:p w14:paraId="5890DD5B">
      <w:pPr>
        <w:rPr>
          <w:rFonts w:hint="eastAsia"/>
        </w:rPr>
      </w:pPr>
      <w:bookmarkStart w:id="21" w:name="_Toc63785509"/>
      <w:r>
        <w:rPr>
          <w:rFonts w:hint="eastAsia"/>
        </w:rPr>
        <w:t>对系统使用单位提供业务操作培训，应提供详细培训方案。</w:t>
      </w:r>
    </w:p>
    <w:p w14:paraId="4888CCF1">
      <w:pPr>
        <w:rPr>
          <w:rFonts w:hint="eastAsia"/>
        </w:rPr>
      </w:pPr>
      <w:r>
        <w:rPr>
          <w:rFonts w:hint="eastAsia"/>
        </w:rPr>
        <w:t>(1)在12个月的质量保证期内，提供2次与项目相关的必要培训。</w:t>
      </w:r>
    </w:p>
    <w:p w14:paraId="432B0E12">
      <w:pPr>
        <w:rPr>
          <w:rFonts w:hint="eastAsia"/>
        </w:rPr>
      </w:pPr>
      <w:r>
        <w:rPr>
          <w:rFonts w:hint="eastAsia"/>
        </w:rPr>
        <w:t>(2)供应商需要开展分层次的人员培训工作，每次培训后应对参加培训人员进行测试，评估培训成果。培训应具有培训教材、培训环境和高水平的培训讲师。</w:t>
      </w:r>
    </w:p>
    <w:p w14:paraId="65C79E2E">
      <w:pPr>
        <w:rPr>
          <w:rFonts w:hint="eastAsia"/>
          <w:strike/>
          <w:szCs w:val="21"/>
        </w:rPr>
      </w:pPr>
      <w:r>
        <w:rPr>
          <w:rFonts w:hint="eastAsia"/>
        </w:rPr>
        <w:t>(3)供应商应提供一般用户的基础操作培训和部门信息管理员的日常应用维护的培训，确保用户对象能够掌握对应的操作技能。</w:t>
      </w:r>
    </w:p>
    <w:p w14:paraId="4CA86F41">
      <w:pPr>
        <w:pStyle w:val="3"/>
        <w:rPr>
          <w:rFonts w:hint="eastAsia"/>
        </w:rPr>
      </w:pPr>
      <w:r>
        <w:rPr>
          <w:rFonts w:hint="eastAsia"/>
        </w:rPr>
        <w:t>进度要求</w:t>
      </w:r>
      <w:bookmarkEnd w:id="21"/>
    </w:p>
    <w:p w14:paraId="37C849D3">
      <w:pPr>
        <w:rPr>
          <w:rFonts w:hint="eastAsia"/>
        </w:rPr>
      </w:pPr>
      <w:r>
        <w:rPr>
          <w:rFonts w:hint="eastAsia"/>
        </w:rPr>
        <w:t>投标人应根据建设内容，分阶段制定合理的时间进度，并且应根据招标方要求进行调整和细化。</w:t>
      </w:r>
    </w:p>
    <w:p w14:paraId="74C0F7C9">
      <w:pPr>
        <w:rPr>
          <w:rFonts w:hint="eastAsia"/>
        </w:rPr>
      </w:pPr>
      <w:r>
        <w:rPr>
          <w:rFonts w:hint="eastAsia" w:cs="仿宋" w:asciiTheme="minorEastAsia" w:hAnsiTheme="minorEastAsia" w:eastAsiaTheme="minorEastAsia"/>
        </w:rPr>
        <w:t>2025年11月10日前完成供货、安装和调试</w:t>
      </w:r>
      <w:r>
        <w:rPr>
          <w:rFonts w:hint="eastAsia"/>
        </w:rPr>
        <w:t>。</w:t>
      </w:r>
    </w:p>
    <w:p w14:paraId="63F87629">
      <w:pPr>
        <w:pStyle w:val="3"/>
        <w:rPr>
          <w:rFonts w:hint="eastAsia"/>
        </w:rPr>
      </w:pPr>
      <w:bookmarkStart w:id="22" w:name="_Toc63785511"/>
      <w:bookmarkStart w:id="23" w:name="_Toc63785510"/>
      <w:r>
        <w:t>等级保护要求</w:t>
      </w:r>
      <w:bookmarkEnd w:id="22"/>
    </w:p>
    <w:p w14:paraId="3DCCFDBD">
      <w:pPr>
        <w:rPr>
          <w:rFonts w:hint="eastAsia"/>
        </w:rPr>
      </w:pPr>
      <w:r>
        <w:t>本项目</w:t>
      </w:r>
      <w:r>
        <w:rPr>
          <w:rFonts w:hint="eastAsia"/>
        </w:rPr>
        <w:t>软件开发部分按照等保2.0第三级进行建设。</w:t>
      </w:r>
    </w:p>
    <w:p w14:paraId="7C2F1F16">
      <w:pPr>
        <w:pStyle w:val="3"/>
        <w:rPr>
          <w:rFonts w:hint="eastAsia"/>
        </w:rPr>
      </w:pPr>
      <w:r>
        <w:rPr>
          <w:rFonts w:hint="eastAsia"/>
        </w:rPr>
        <w:t>商业密码应用需求</w:t>
      </w:r>
    </w:p>
    <w:p w14:paraId="36C8909E">
      <w:pPr>
        <w:rPr>
          <w:rFonts w:hint="eastAsia"/>
        </w:rPr>
      </w:pPr>
      <w:r>
        <w:rPr>
          <w:rFonts w:hint="eastAsia"/>
        </w:rPr>
        <w:t>本项目软件开发部分依据商用密码应用三级信息系统要求建设。</w:t>
      </w:r>
    </w:p>
    <w:p w14:paraId="29EEDECB">
      <w:pPr>
        <w:pStyle w:val="3"/>
        <w:rPr>
          <w:rFonts w:hint="eastAsia"/>
        </w:rPr>
      </w:pPr>
      <w:r>
        <w:rPr>
          <w:rFonts w:hint="eastAsia"/>
        </w:rPr>
        <w:t>项目团队及驻场人员要求</w:t>
      </w:r>
      <w:bookmarkEnd w:id="23"/>
    </w:p>
    <w:p w14:paraId="4BE5E67D">
      <w:pPr>
        <w:rPr>
          <w:rFonts w:hint="eastAsia"/>
        </w:rPr>
      </w:pPr>
      <w:r>
        <w:rPr>
          <w:rFonts w:hint="eastAsia"/>
        </w:rPr>
        <w:t>1、在项目实施的阶段，中标单位需确保有足够、合适的人员进驻项目组进行设计、开发、系统部署、调试、培训、平稳切换、试运行和验收等整体实施工作；</w:t>
      </w:r>
    </w:p>
    <w:p w14:paraId="4DC833F5">
      <w:pPr>
        <w:rPr>
          <w:rFonts w:hint="eastAsia"/>
        </w:rPr>
      </w:pPr>
      <w:r>
        <w:rPr>
          <w:rFonts w:hint="eastAsia"/>
        </w:rPr>
        <w:t>2、因本项目工程量大，时间紧，为保证项目能够按时完成。投标书中要提交项目团队中所有人员名单（不得少于10人）、资质、岗位分工、工作经历；其中项目负责人应具备高级工程师资质认证，技术负责人、工程师应具备中级及以上工程师资质认证；</w:t>
      </w:r>
    </w:p>
    <w:p w14:paraId="147E2316">
      <w:pPr>
        <w:rPr>
          <w:rFonts w:hint="eastAsia"/>
        </w:rPr>
      </w:pPr>
      <w:r>
        <w:rPr>
          <w:rFonts w:hint="eastAsia"/>
        </w:rPr>
        <w:t>3、投标人须具有稳定的在职技术保障力量，能够提供及时的技术支援或服务，供应商具有ISO20000IT信息技术服务管理体系认证、ISO27001信息安全管理体系认证、ISO9001质量管理体系认证的；</w:t>
      </w:r>
    </w:p>
    <w:p w14:paraId="206B60F1">
      <w:pPr>
        <w:rPr>
          <w:rFonts w:hint="eastAsia"/>
        </w:rPr>
      </w:pPr>
      <w:r>
        <w:rPr>
          <w:rFonts w:hint="eastAsia"/>
          <w:lang w:val="en-US" w:eastAsia="zh-CN"/>
        </w:rPr>
        <w:t>4、</w:t>
      </w:r>
      <w:r>
        <w:rPr>
          <w:rFonts w:hint="eastAsia"/>
        </w:rPr>
        <w:t>供应商在质保期内投入不少于3人驻场服务团队。</w:t>
      </w:r>
    </w:p>
    <w:p w14:paraId="4614B7BE">
      <w:pPr>
        <w:rPr>
          <w:rFonts w:hint="eastAsia"/>
        </w:rPr>
      </w:pPr>
      <w:r>
        <w:rPr>
          <w:rFonts w:hint="eastAsia"/>
          <w:lang w:val="en-US" w:eastAsia="zh-CN"/>
        </w:rPr>
        <w:t>5</w:t>
      </w:r>
      <w:bookmarkStart w:id="24" w:name="_GoBack"/>
      <w:bookmarkEnd w:id="24"/>
      <w:r>
        <w:rPr>
          <w:rFonts w:hint="eastAsia"/>
        </w:rPr>
        <w:t>、人员在非甲方认可下，不得随意调整。</w:t>
      </w:r>
    </w:p>
    <w:p w14:paraId="7562556B">
      <w:pPr>
        <w:pStyle w:val="3"/>
        <w:rPr>
          <w:rFonts w:hint="eastAsia"/>
        </w:rPr>
      </w:pPr>
      <w:r>
        <w:rPr>
          <w:rFonts w:hint="eastAsia"/>
        </w:rPr>
        <w:t>技术文件要求</w:t>
      </w:r>
    </w:p>
    <w:p w14:paraId="5873CF53">
      <w:pPr>
        <w:rPr>
          <w:rFonts w:hint="eastAsia"/>
        </w:rPr>
      </w:pPr>
      <w:r>
        <w:rPr>
          <w:rFonts w:hint="eastAsia"/>
        </w:rPr>
        <w:t>投标人提供的书面技术资料应能确保系统正常运行所需的管理、运营及维护有关的全套文件。技术文件应该全面、完整、详细。投标人提供的技术文件至少应包括：</w:t>
      </w:r>
    </w:p>
    <w:p w14:paraId="6DE57AE4">
      <w:pPr>
        <w:rPr>
          <w:rFonts w:hint="eastAsia"/>
        </w:rPr>
      </w:pPr>
      <w:r>
        <w:rPr>
          <w:rFonts w:hint="eastAsia"/>
        </w:rPr>
        <w:t>－</w:t>
      </w:r>
      <w:r>
        <w:t xml:space="preserve"> 系统说明文件； </w:t>
      </w:r>
    </w:p>
    <w:p w14:paraId="17A87192">
      <w:pPr>
        <w:rPr>
          <w:rFonts w:hint="eastAsia"/>
        </w:rPr>
      </w:pPr>
      <w:r>
        <w:rPr>
          <w:rFonts w:hint="eastAsia"/>
        </w:rPr>
        <w:t>－</w:t>
      </w:r>
      <w:r>
        <w:t xml:space="preserve"> 技术手册(安装、测试、操作、维护、故障排除等)； </w:t>
      </w:r>
    </w:p>
    <w:p w14:paraId="3419A184">
      <w:pPr>
        <w:rPr>
          <w:rFonts w:hint="eastAsia"/>
        </w:rPr>
      </w:pPr>
      <w:r>
        <w:rPr>
          <w:rFonts w:hint="eastAsia"/>
        </w:rPr>
        <w:t>－</w:t>
      </w:r>
      <w:r>
        <w:t xml:space="preserve"> 项目文档，应该包括：</w:t>
      </w:r>
    </w:p>
    <w:p w14:paraId="565616A0">
      <w:pPr>
        <w:rPr>
          <w:rFonts w:hint="eastAsia"/>
        </w:rPr>
      </w:pPr>
      <w:r>
        <w:t>(1)</w:t>
      </w:r>
      <w:r>
        <w:rPr>
          <w:rFonts w:hint="eastAsia"/>
        </w:rPr>
        <w:t>软硬件</w:t>
      </w:r>
      <w:r>
        <w:t>需求说明书</w:t>
      </w:r>
    </w:p>
    <w:p w14:paraId="3FAED184">
      <w:pPr>
        <w:rPr>
          <w:rFonts w:hint="eastAsia"/>
        </w:rPr>
      </w:pPr>
      <w:r>
        <w:t>(2)系统总体设计说明书</w:t>
      </w:r>
    </w:p>
    <w:p w14:paraId="30A8832E">
      <w:pPr>
        <w:rPr>
          <w:rFonts w:hint="eastAsia"/>
        </w:rPr>
      </w:pPr>
      <w:r>
        <w:t>(3)</w:t>
      </w:r>
      <w:r>
        <w:rPr>
          <w:rFonts w:hint="eastAsia"/>
        </w:rPr>
        <w:t>软硬件</w:t>
      </w:r>
      <w:r>
        <w:t>功能清单</w:t>
      </w:r>
    </w:p>
    <w:p w14:paraId="4630FB25">
      <w:pPr>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9206">
    <w:pPr>
      <w:pStyle w:val="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D347">
    <w:pPr>
      <w:pStyle w:val="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932F">
    <w:pPr>
      <w:rPr>
        <w:rFonts w:hint="eastAsia"/>
        <w:lang w:val="zh-CN"/>
      </w:rPr>
    </w:pPr>
  </w:p>
  <w:p w14:paraId="721957E6">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A156">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7062D">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A80A">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isLgl/>
      <w:suff w:val="nothing"/>
      <w:lvlText w:val="%1.%2.%3、"/>
      <w:lvlJc w:val="left"/>
      <w:pPr>
        <w:ind w:left="1069" w:hanging="1069"/>
      </w:pPr>
      <w:rPr>
        <w:rFonts w:hint="default" w:ascii="宋体" w:hAnsi="宋体" w:eastAsia="宋体" w:cs="Arial"/>
      </w:rPr>
    </w:lvl>
    <w:lvl w:ilvl="3" w:tentative="0">
      <w:start w:val="1"/>
      <w:numFmt w:val="decimal"/>
      <w:isLgl/>
      <w:suff w:val="nothing"/>
      <w:lvlText w:val="%1.%2.%3.%4、"/>
      <w:lvlJc w:val="left"/>
      <w:pPr>
        <w:ind w:left="3403" w:hanging="851"/>
      </w:p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1">
    <w:nsid w:val="6BAE522D"/>
    <w:multiLevelType w:val="multilevel"/>
    <w:tmpl w:val="6BAE522D"/>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OTMyYmVkNDBiZGZjOTJjNzg0ZTljMGM2NGM1NWEifQ=="/>
  </w:docVars>
  <w:rsids>
    <w:rsidRoot w:val="009E75EF"/>
    <w:rsid w:val="0001152A"/>
    <w:rsid w:val="0001521B"/>
    <w:rsid w:val="000373D0"/>
    <w:rsid w:val="00050858"/>
    <w:rsid w:val="000742FF"/>
    <w:rsid w:val="000842D0"/>
    <w:rsid w:val="00095421"/>
    <w:rsid w:val="00097888"/>
    <w:rsid w:val="000A5FD2"/>
    <w:rsid w:val="000B19A3"/>
    <w:rsid w:val="000D1DEE"/>
    <w:rsid w:val="000E27BC"/>
    <w:rsid w:val="000E57BE"/>
    <w:rsid w:val="000F7932"/>
    <w:rsid w:val="001459E2"/>
    <w:rsid w:val="00170EA2"/>
    <w:rsid w:val="0017203C"/>
    <w:rsid w:val="00174C30"/>
    <w:rsid w:val="00186DD9"/>
    <w:rsid w:val="001A0277"/>
    <w:rsid w:val="001D116B"/>
    <w:rsid w:val="001D1C33"/>
    <w:rsid w:val="001E4238"/>
    <w:rsid w:val="00203049"/>
    <w:rsid w:val="00225AE7"/>
    <w:rsid w:val="00251516"/>
    <w:rsid w:val="002730A2"/>
    <w:rsid w:val="00274F6B"/>
    <w:rsid w:val="002A2A09"/>
    <w:rsid w:val="002A42C2"/>
    <w:rsid w:val="002B1D88"/>
    <w:rsid w:val="002B4B34"/>
    <w:rsid w:val="002D0F4B"/>
    <w:rsid w:val="002D1B9F"/>
    <w:rsid w:val="002E3D51"/>
    <w:rsid w:val="00303C16"/>
    <w:rsid w:val="003167F4"/>
    <w:rsid w:val="00333390"/>
    <w:rsid w:val="0034638E"/>
    <w:rsid w:val="00347D6F"/>
    <w:rsid w:val="00353897"/>
    <w:rsid w:val="00362864"/>
    <w:rsid w:val="003A2DAE"/>
    <w:rsid w:val="003A41E8"/>
    <w:rsid w:val="004039DD"/>
    <w:rsid w:val="004042AF"/>
    <w:rsid w:val="00414D7C"/>
    <w:rsid w:val="00470CC8"/>
    <w:rsid w:val="00486A13"/>
    <w:rsid w:val="004A1BF9"/>
    <w:rsid w:val="004E35CA"/>
    <w:rsid w:val="004E61AF"/>
    <w:rsid w:val="004F161C"/>
    <w:rsid w:val="00502068"/>
    <w:rsid w:val="005166DE"/>
    <w:rsid w:val="005222D3"/>
    <w:rsid w:val="00533C04"/>
    <w:rsid w:val="00540EF5"/>
    <w:rsid w:val="00555B6A"/>
    <w:rsid w:val="00577518"/>
    <w:rsid w:val="00595EBA"/>
    <w:rsid w:val="005A718A"/>
    <w:rsid w:val="005A7E01"/>
    <w:rsid w:val="005D019F"/>
    <w:rsid w:val="005D146C"/>
    <w:rsid w:val="005E7775"/>
    <w:rsid w:val="005F441D"/>
    <w:rsid w:val="00607B52"/>
    <w:rsid w:val="006169AB"/>
    <w:rsid w:val="00621340"/>
    <w:rsid w:val="006A29E0"/>
    <w:rsid w:val="006E0CC9"/>
    <w:rsid w:val="006E5586"/>
    <w:rsid w:val="007146A3"/>
    <w:rsid w:val="00760046"/>
    <w:rsid w:val="00766D09"/>
    <w:rsid w:val="00793DFC"/>
    <w:rsid w:val="007D4D23"/>
    <w:rsid w:val="007F126D"/>
    <w:rsid w:val="00830FEE"/>
    <w:rsid w:val="008371A3"/>
    <w:rsid w:val="00870C2D"/>
    <w:rsid w:val="00884BB3"/>
    <w:rsid w:val="008865FC"/>
    <w:rsid w:val="00886FA7"/>
    <w:rsid w:val="00895F4C"/>
    <w:rsid w:val="008B3CAC"/>
    <w:rsid w:val="008E3DAA"/>
    <w:rsid w:val="009076F0"/>
    <w:rsid w:val="00910ADE"/>
    <w:rsid w:val="009542BA"/>
    <w:rsid w:val="009543B9"/>
    <w:rsid w:val="0097784E"/>
    <w:rsid w:val="00991032"/>
    <w:rsid w:val="009933EC"/>
    <w:rsid w:val="00995771"/>
    <w:rsid w:val="009A7348"/>
    <w:rsid w:val="009E75EF"/>
    <w:rsid w:val="009F17E8"/>
    <w:rsid w:val="00A31C5F"/>
    <w:rsid w:val="00A32CCE"/>
    <w:rsid w:val="00A46A3F"/>
    <w:rsid w:val="00A629F6"/>
    <w:rsid w:val="00A8264B"/>
    <w:rsid w:val="00A84D41"/>
    <w:rsid w:val="00AA1194"/>
    <w:rsid w:val="00AA4555"/>
    <w:rsid w:val="00AD7528"/>
    <w:rsid w:val="00B24CE5"/>
    <w:rsid w:val="00B25C6C"/>
    <w:rsid w:val="00B461F2"/>
    <w:rsid w:val="00B62851"/>
    <w:rsid w:val="00B65AAC"/>
    <w:rsid w:val="00B74A3E"/>
    <w:rsid w:val="00B84FBC"/>
    <w:rsid w:val="00BA00B3"/>
    <w:rsid w:val="00BA4A27"/>
    <w:rsid w:val="00BB6F70"/>
    <w:rsid w:val="00BC209D"/>
    <w:rsid w:val="00BF6954"/>
    <w:rsid w:val="00C10028"/>
    <w:rsid w:val="00C21AD0"/>
    <w:rsid w:val="00C22585"/>
    <w:rsid w:val="00C379D6"/>
    <w:rsid w:val="00C41E5F"/>
    <w:rsid w:val="00C42E65"/>
    <w:rsid w:val="00C501BA"/>
    <w:rsid w:val="00C81EB1"/>
    <w:rsid w:val="00C87B92"/>
    <w:rsid w:val="00C96701"/>
    <w:rsid w:val="00CD2DEF"/>
    <w:rsid w:val="00CD5746"/>
    <w:rsid w:val="00CD7FB9"/>
    <w:rsid w:val="00D042EC"/>
    <w:rsid w:val="00D57545"/>
    <w:rsid w:val="00D66021"/>
    <w:rsid w:val="00D77E57"/>
    <w:rsid w:val="00D827EB"/>
    <w:rsid w:val="00DA2FFA"/>
    <w:rsid w:val="00DB6FC7"/>
    <w:rsid w:val="00DC2385"/>
    <w:rsid w:val="00DD467D"/>
    <w:rsid w:val="00DD6B3C"/>
    <w:rsid w:val="00DE57D8"/>
    <w:rsid w:val="00DF253D"/>
    <w:rsid w:val="00E24230"/>
    <w:rsid w:val="00E254A9"/>
    <w:rsid w:val="00E25F8F"/>
    <w:rsid w:val="00E454B7"/>
    <w:rsid w:val="00E727CD"/>
    <w:rsid w:val="00E96431"/>
    <w:rsid w:val="00EB3949"/>
    <w:rsid w:val="00EC0D91"/>
    <w:rsid w:val="00EC5B07"/>
    <w:rsid w:val="00EE042A"/>
    <w:rsid w:val="00EE0471"/>
    <w:rsid w:val="00F316BC"/>
    <w:rsid w:val="00F51F10"/>
    <w:rsid w:val="00F935B9"/>
    <w:rsid w:val="00F97558"/>
    <w:rsid w:val="00FA28D1"/>
    <w:rsid w:val="00FA6AA3"/>
    <w:rsid w:val="00FE098C"/>
    <w:rsid w:val="00FE41ED"/>
    <w:rsid w:val="043E5E3C"/>
    <w:rsid w:val="1C840F80"/>
    <w:rsid w:val="1E70680E"/>
    <w:rsid w:val="473C6F42"/>
    <w:rsid w:val="5D1041BB"/>
    <w:rsid w:val="645D785C"/>
    <w:rsid w:val="6EBB1271"/>
    <w:rsid w:val="7280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link w:val="13"/>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15"/>
    <w:uiPriority w:val="0"/>
    <w:pPr>
      <w:tabs>
        <w:tab w:val="center" w:pos="4153"/>
        <w:tab w:val="right" w:pos="8306"/>
      </w:tabs>
      <w:snapToGrid w:val="0"/>
      <w:spacing w:line="240" w:lineRule="auto"/>
      <w:jc w:val="left"/>
    </w:pPr>
    <w:rPr>
      <w:sz w:val="18"/>
      <w:szCs w:val="18"/>
    </w:rPr>
  </w:style>
  <w:style w:type="paragraph" w:styleId="7">
    <w:name w:val="header"/>
    <w:basedOn w:val="1"/>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
    <w:autoRedefine/>
    <w:qFormat/>
    <w:uiPriority w:val="0"/>
    <w:pPr>
      <w:spacing w:line="240" w:lineRule="auto"/>
      <w:ind w:firstLine="420"/>
    </w:pPr>
    <w:rPr>
      <w:rFonts w:ascii="Times New Roman" w:hAnsi="Times New Roman"/>
      <w:sz w:val="21"/>
      <w:szCs w:val="20"/>
    </w:rPr>
  </w:style>
  <w:style w:type="paragraph" w:customStyle="1" w:styleId="12">
    <w:name w:val="正文正文2"/>
    <w:basedOn w:val="1"/>
    <w:autoRedefine/>
    <w:qFormat/>
    <w:uiPriority w:val="0"/>
    <w:pPr>
      <w:ind w:firstLine="0" w:firstLineChars="0"/>
      <w:jc w:val="center"/>
    </w:pPr>
    <w:rPr>
      <w:rFonts w:ascii="黑体" w:hAnsi="黑体" w:eastAsia="黑体"/>
      <w:sz w:val="32"/>
      <w:szCs w:val="32"/>
    </w:rPr>
  </w:style>
  <w:style w:type="character" w:customStyle="1" w:styleId="13">
    <w:name w:val="标题 2 字符"/>
    <w:basedOn w:val="10"/>
    <w:link w:val="3"/>
    <w:uiPriority w:val="9"/>
    <w:rPr>
      <w:rFonts w:ascii="宋体" w:hAnsi="宋体" w:eastAsia="宋体" w:cs="Times New Roman"/>
      <w:b/>
      <w:bCs/>
      <w:kern w:val="2"/>
      <w:sz w:val="30"/>
      <w:szCs w:val="32"/>
    </w:rPr>
  </w:style>
  <w:style w:type="paragraph" w:customStyle="1" w:styleId="14">
    <w:name w:val="样式2"/>
    <w:basedOn w:val="1"/>
    <w:qFormat/>
    <w:uiPriority w:val="0"/>
    <w:pPr>
      <w:widowControl/>
      <w:adjustRightInd w:val="0"/>
    </w:pPr>
    <w:rPr>
      <w:kern w:val="0"/>
      <w:lang w:eastAsia="en-US"/>
    </w:rPr>
  </w:style>
  <w:style w:type="character" w:customStyle="1" w:styleId="15">
    <w:name w:val="页脚 字符"/>
    <w:basedOn w:val="10"/>
    <w:link w:val="6"/>
    <w:uiPriority w:val="0"/>
    <w:rPr>
      <w:rFonts w:ascii="宋体" w:hAnsi="宋体" w:eastAsia="宋体" w:cs="Times New Roman"/>
      <w:kern w:val="2"/>
      <w:sz w:val="18"/>
      <w:szCs w:val="18"/>
    </w:rPr>
  </w:style>
  <w:style w:type="paragraph" w:styleId="16">
    <w:name w:val="List Paragraph"/>
    <w:basedOn w:val="1"/>
    <w:unhideWhenUsed/>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3064</Words>
  <Characters>3251</Characters>
  <Lines>39</Lines>
  <Paragraphs>11</Paragraphs>
  <TotalTime>132</TotalTime>
  <ScaleCrop>false</ScaleCrop>
  <LinksUpToDate>false</LinksUpToDate>
  <CharactersWithSpaces>3260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2025-08-19T06:34:00Z</dcterms:created>
  <dc:creator>user</dc:creator>
  <cp:lastModifiedBy>晋一民</cp:lastModifiedBy>
  <dcterms:modified xsi:type="dcterms:W3CDTF">2025-09-11T01:53:33Z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926C4F329FB34DD29B8A29520FCB81E0_13</vt:lpwstr>
  </property>
  <property fmtid="{D5CDD505-2E9C-101B-9397-08002B2CF9AE}" pid="4" name="KSOTemplateDocerSaveRecord">
    <vt:lpwstr>eyJoZGlkIjoiNGM3MmY0OTNjM2FiYjM2YjE2NGRhZTljZmIyMTQyNWMiLCJ1c2VySWQiOiIxNjQzMTc3ODEwIn0=</vt:lpwstr>
  </property>
</Properties>
</file>