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ED38E">
      <w:pPr>
        <w:pStyle w:val="2"/>
        <w:numPr>
          <w:ilvl w:val="0"/>
          <w:numId w:val="0"/>
        </w:numPr>
        <w:ind w:left="425" w:leftChars="0"/>
        <w:jc w:val="center"/>
        <w:rPr>
          <w:rFonts w:hint="eastAsia"/>
          <w:b w:val="0"/>
          <w:bCs w:val="0"/>
          <w:color w:val="auto"/>
          <w:highlight w:val="none"/>
          <w:lang w:eastAsia="zh-CN"/>
        </w:rPr>
      </w:pPr>
      <w:bookmarkStart w:id="0" w:name="_Toc63785461"/>
      <w:r>
        <w:rPr>
          <w:rFonts w:hint="eastAsia"/>
          <w:b w:val="0"/>
          <w:bCs w:val="0"/>
          <w:color w:val="auto"/>
          <w:highlight w:val="none"/>
          <w:lang w:eastAsia="zh-CN"/>
        </w:rPr>
        <w:t>上海市水文信息平台（升级改造）采购需求</w:t>
      </w:r>
    </w:p>
    <w:p w14:paraId="48C00D50">
      <w:pPr>
        <w:rPr>
          <w:rFonts w:hint="eastAsia"/>
          <w:color w:val="auto"/>
          <w:highlight w:val="none"/>
          <w:lang w:eastAsia="zh-CN"/>
        </w:rPr>
      </w:pPr>
    </w:p>
    <w:p w14:paraId="0C272E97">
      <w:pPr>
        <w:pStyle w:val="2"/>
        <w:ind w:left="314" w:leftChars="131" w:firstLine="163" w:firstLineChars="51"/>
        <w:rPr>
          <w:color w:val="auto"/>
          <w:highlight w:val="none"/>
        </w:rPr>
      </w:pPr>
      <w:r>
        <w:rPr>
          <w:rFonts w:hint="eastAsia"/>
          <w:color w:val="auto"/>
          <w:highlight w:val="none"/>
        </w:rPr>
        <w:t>项目概况</w:t>
      </w:r>
      <w:bookmarkEnd w:id="0"/>
    </w:p>
    <w:p w14:paraId="71629D5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b w:val="0"/>
          <w:bCs/>
          <w:color w:val="auto"/>
          <w:highlight w:val="none"/>
          <w:lang w:val="en-US" w:eastAsia="zh-CN"/>
        </w:rPr>
      </w:pPr>
      <w:r>
        <w:rPr>
          <w:rFonts w:hint="eastAsia"/>
          <w:b/>
          <w:bCs/>
          <w:color w:val="auto"/>
          <w:highlight w:val="none"/>
        </w:rPr>
        <w:t>项目背景</w:t>
      </w:r>
      <w:r>
        <w:rPr>
          <w:rFonts w:hint="eastAsia"/>
          <w:b/>
          <w:bCs/>
          <w:color w:val="auto"/>
          <w:highlight w:val="none"/>
          <w:lang w:eastAsia="zh-CN"/>
        </w:rPr>
        <w:t>：</w:t>
      </w:r>
      <w:r>
        <w:rPr>
          <w:rFonts w:hint="default"/>
          <w:b w:val="0"/>
          <w:bCs/>
          <w:color w:val="auto"/>
          <w:highlight w:val="none"/>
          <w:lang w:val="en-US" w:eastAsia="zh-CN"/>
        </w:rPr>
        <w:t>2014年上海市水文总站启动“上海市水文信息平台”建设，2016年1月通过验收并投入运行</w:t>
      </w:r>
      <w:r>
        <w:rPr>
          <w:rFonts w:hint="eastAsia"/>
          <w:b w:val="0"/>
          <w:bCs/>
          <w:color w:val="auto"/>
          <w:highlight w:val="none"/>
          <w:lang w:val="en-US" w:eastAsia="zh-CN"/>
        </w:rPr>
        <w:t>，建设内容主要</w:t>
      </w:r>
      <w:r>
        <w:rPr>
          <w:rFonts w:hint="default"/>
          <w:b w:val="0"/>
          <w:bCs/>
          <w:color w:val="auto"/>
          <w:highlight w:val="none"/>
        </w:rPr>
        <w:t>包括</w:t>
      </w:r>
      <w:r>
        <w:rPr>
          <w:rFonts w:hint="default"/>
          <w:b w:val="0"/>
          <w:bCs/>
          <w:color w:val="auto"/>
          <w:highlight w:val="none"/>
          <w:lang w:eastAsia="zh-CN"/>
        </w:rPr>
        <w:t>水文监测</w:t>
      </w:r>
      <w:r>
        <w:rPr>
          <w:rFonts w:hint="default"/>
          <w:b w:val="0"/>
          <w:bCs/>
          <w:color w:val="auto"/>
          <w:highlight w:val="none"/>
        </w:rPr>
        <w:t>数据汇集与管理、数据值班管理、数据预处理、水文分析</w:t>
      </w:r>
      <w:r>
        <w:rPr>
          <w:rFonts w:hint="default"/>
          <w:b w:val="0"/>
          <w:bCs/>
          <w:color w:val="auto"/>
          <w:highlight w:val="none"/>
          <w:lang w:eastAsia="zh-CN"/>
        </w:rPr>
        <w:t>功能模块</w:t>
      </w:r>
      <w:r>
        <w:rPr>
          <w:rFonts w:hint="default"/>
          <w:b w:val="0"/>
          <w:bCs/>
          <w:color w:val="auto"/>
          <w:highlight w:val="none"/>
        </w:rPr>
        <w:t>、综合业务应用</w:t>
      </w:r>
      <w:r>
        <w:rPr>
          <w:rFonts w:hint="default"/>
          <w:b w:val="0"/>
          <w:bCs/>
          <w:color w:val="auto"/>
          <w:highlight w:val="none"/>
          <w:lang w:eastAsia="zh-CN"/>
        </w:rPr>
        <w:t>和信息</w:t>
      </w:r>
      <w:r>
        <w:rPr>
          <w:rFonts w:hint="default"/>
          <w:b w:val="0"/>
          <w:bCs/>
          <w:color w:val="auto"/>
          <w:highlight w:val="none"/>
        </w:rPr>
        <w:t>展示等功能。</w:t>
      </w:r>
      <w:r>
        <w:rPr>
          <w:rFonts w:hint="eastAsia"/>
          <w:bCs/>
          <w:color w:val="auto"/>
          <w:highlight w:val="none"/>
          <w:lang w:eastAsia="zh-CN"/>
        </w:rPr>
        <w:t>随着水文业务的不断拓展和水利部、本市水务海洋工作对水文工作的要求不断提升，特别是近年来网络与信息安全面临日益严峻复杂的形势，迫切需要紧密结合水文数字化转型发展和信息系统信创的最新要求进行升级改造，完善业务功能，提升系统性能，强化信息安全。</w:t>
      </w:r>
    </w:p>
    <w:p w14:paraId="1397AB1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b w:val="0"/>
          <w:bCs/>
          <w:color w:val="auto"/>
          <w:highlight w:val="none"/>
        </w:rPr>
      </w:pPr>
      <w:r>
        <w:rPr>
          <w:rFonts w:hint="default" w:ascii="宋体" w:hAnsi="宋体" w:eastAsia="宋体" w:cs="Times New Roman"/>
          <w:b w:val="0"/>
          <w:bCs/>
          <w:color w:val="auto"/>
          <w:highlight w:val="none"/>
        </w:rPr>
        <w:t>2019年水利部提出要</w:t>
      </w:r>
      <w:r>
        <w:rPr>
          <w:rFonts w:hint="eastAsia" w:ascii="宋体" w:hAnsi="宋体" w:eastAsia="宋体" w:cs="Times New Roman"/>
          <w:b w:val="0"/>
          <w:bCs/>
          <w:color w:val="auto"/>
          <w:highlight w:val="none"/>
          <w:lang w:eastAsia="zh-CN"/>
        </w:rPr>
        <w:t>“</w:t>
      </w:r>
      <w:r>
        <w:rPr>
          <w:rFonts w:hint="default" w:ascii="宋体" w:hAnsi="宋体" w:eastAsia="宋体" w:cs="Times New Roman"/>
          <w:b w:val="0"/>
          <w:bCs/>
          <w:color w:val="auto"/>
          <w:highlight w:val="none"/>
        </w:rPr>
        <w:t>全面提升水文资料整编现代化水平</w:t>
      </w:r>
      <w:r>
        <w:rPr>
          <w:rFonts w:hint="eastAsia" w:ascii="宋体" w:hAnsi="宋体" w:eastAsia="宋体" w:cs="Times New Roman"/>
          <w:b w:val="0"/>
          <w:bCs/>
          <w:color w:val="auto"/>
          <w:highlight w:val="none"/>
          <w:lang w:eastAsia="zh-CN"/>
        </w:rPr>
        <w:t>”</w:t>
      </w:r>
      <w:r>
        <w:rPr>
          <w:rFonts w:hint="default" w:ascii="宋体" w:hAnsi="宋体" w:eastAsia="宋体" w:cs="Times New Roman"/>
          <w:b w:val="0"/>
          <w:bCs/>
          <w:color w:val="auto"/>
          <w:highlight w:val="none"/>
        </w:rPr>
        <w:t>（水文技函〔2019〕5号）。2021年12月，水利部《全国水文基础设施建设</w:t>
      </w:r>
      <w:r>
        <w:rPr>
          <w:rFonts w:hint="eastAsia" w:ascii="宋体" w:hAnsi="宋体" w:eastAsia="宋体" w:cs="Times New Roman"/>
          <w:b w:val="0"/>
          <w:bCs/>
          <w:color w:val="auto"/>
          <w:highlight w:val="none"/>
          <w:lang w:eastAsia="zh-CN"/>
        </w:rPr>
        <w:t>“</w:t>
      </w:r>
      <w:r>
        <w:rPr>
          <w:rFonts w:hint="default" w:ascii="宋体" w:hAnsi="宋体" w:eastAsia="宋体" w:cs="Times New Roman"/>
          <w:b w:val="0"/>
          <w:bCs/>
          <w:color w:val="auto"/>
          <w:highlight w:val="none"/>
        </w:rPr>
        <w:t>十四五</w:t>
      </w:r>
      <w:r>
        <w:rPr>
          <w:rFonts w:hint="eastAsia" w:ascii="宋体" w:hAnsi="宋体" w:eastAsia="宋体" w:cs="Times New Roman"/>
          <w:b w:val="0"/>
          <w:bCs/>
          <w:color w:val="auto"/>
          <w:highlight w:val="none"/>
          <w:lang w:eastAsia="zh-CN"/>
        </w:rPr>
        <w:t>”</w:t>
      </w:r>
      <w:r>
        <w:rPr>
          <w:rFonts w:hint="default" w:ascii="宋体" w:hAnsi="宋体" w:eastAsia="宋体" w:cs="Times New Roman"/>
          <w:b w:val="0"/>
          <w:bCs/>
          <w:color w:val="auto"/>
          <w:highlight w:val="none"/>
        </w:rPr>
        <w:t>规划》提出</w:t>
      </w:r>
      <w:r>
        <w:rPr>
          <w:rFonts w:hint="eastAsia" w:ascii="宋体" w:hAnsi="宋体" w:eastAsia="宋体" w:cs="Times New Roman"/>
          <w:b w:val="0"/>
          <w:bCs/>
          <w:color w:val="auto"/>
          <w:highlight w:val="none"/>
          <w:lang w:eastAsia="zh-CN"/>
        </w:rPr>
        <w:t>“</w:t>
      </w:r>
      <w:r>
        <w:rPr>
          <w:rFonts w:hint="default" w:ascii="宋体" w:hAnsi="宋体" w:eastAsia="宋体" w:cs="Times New Roman"/>
          <w:b w:val="0"/>
          <w:bCs/>
          <w:color w:val="auto"/>
          <w:highlight w:val="none"/>
        </w:rPr>
        <w:t>实现水文数据测验与监控、报汛管理、资料整编等功能</w:t>
      </w:r>
      <w:r>
        <w:rPr>
          <w:rFonts w:hint="eastAsia" w:ascii="宋体" w:hAnsi="宋体" w:eastAsia="宋体" w:cs="Times New Roman"/>
          <w:b w:val="0"/>
          <w:bCs/>
          <w:color w:val="auto"/>
          <w:highlight w:val="none"/>
          <w:lang w:eastAsia="zh-CN"/>
        </w:rPr>
        <w:t>”，</w:t>
      </w:r>
      <w:r>
        <w:rPr>
          <w:rFonts w:hint="default" w:ascii="宋体" w:hAnsi="宋体" w:eastAsia="宋体" w:cs="Times New Roman"/>
          <w:b w:val="0"/>
          <w:bCs/>
          <w:color w:val="auto"/>
          <w:highlight w:val="none"/>
        </w:rPr>
        <w:t>要求各省级水文单位完成所属测站的实测数据采集与监控和资料自动整编。2022年12月，上海市水务局</w:t>
      </w:r>
      <w:r>
        <w:rPr>
          <w:rFonts w:hint="eastAsia" w:cs="Times New Roman"/>
          <w:b w:val="0"/>
          <w:bCs/>
          <w:color w:val="auto"/>
          <w:highlight w:val="none"/>
          <w:lang w:eastAsia="zh-CN"/>
        </w:rPr>
        <w:t>印发</w:t>
      </w:r>
      <w:r>
        <w:rPr>
          <w:rFonts w:hint="default" w:ascii="宋体" w:hAnsi="宋体" w:eastAsia="宋体" w:cs="Times New Roman"/>
          <w:b w:val="0"/>
          <w:bCs/>
          <w:color w:val="auto"/>
          <w:highlight w:val="none"/>
        </w:rPr>
        <w:t>《智慧水务海洋三年行动计划（2022-2024年）》（</w:t>
      </w:r>
      <w:r>
        <w:rPr>
          <w:rFonts w:hint="eastAsia" w:cs="Times New Roman"/>
          <w:b w:val="0"/>
          <w:bCs/>
          <w:color w:val="auto"/>
          <w:highlight w:val="none"/>
          <w:lang w:eastAsia="zh-CN"/>
        </w:rPr>
        <w:t>沪水务</w:t>
      </w:r>
      <w:r>
        <w:rPr>
          <w:rFonts w:hint="default" w:ascii="宋体" w:hAnsi="宋体" w:eastAsia="宋体" w:cs="Times New Roman"/>
          <w:b w:val="0"/>
          <w:bCs/>
          <w:color w:val="auto"/>
          <w:highlight w:val="none"/>
        </w:rPr>
        <w:t>〔20</w:t>
      </w:r>
      <w:r>
        <w:rPr>
          <w:rFonts w:hint="eastAsia" w:cs="Times New Roman"/>
          <w:b w:val="0"/>
          <w:bCs/>
          <w:color w:val="auto"/>
          <w:highlight w:val="none"/>
          <w:lang w:val="en-US" w:eastAsia="zh-CN"/>
        </w:rPr>
        <w:t>22</w:t>
      </w:r>
      <w:r>
        <w:rPr>
          <w:rFonts w:hint="default" w:ascii="宋体" w:hAnsi="宋体" w:eastAsia="宋体" w:cs="Times New Roman"/>
          <w:b w:val="0"/>
          <w:bCs/>
          <w:color w:val="auto"/>
          <w:highlight w:val="none"/>
        </w:rPr>
        <w:t>〕</w:t>
      </w:r>
      <w:r>
        <w:rPr>
          <w:rFonts w:hint="eastAsia" w:cs="Times New Roman"/>
          <w:b w:val="0"/>
          <w:bCs/>
          <w:color w:val="auto"/>
          <w:highlight w:val="none"/>
          <w:lang w:val="en-US" w:eastAsia="zh-CN"/>
        </w:rPr>
        <w:t>864</w:t>
      </w:r>
      <w:r>
        <w:rPr>
          <w:rFonts w:hint="default" w:ascii="宋体" w:hAnsi="宋体" w:eastAsia="宋体" w:cs="Times New Roman"/>
          <w:b w:val="0"/>
          <w:bCs/>
          <w:color w:val="auto"/>
          <w:highlight w:val="none"/>
        </w:rPr>
        <w:t>号）</w:t>
      </w:r>
      <w:r>
        <w:rPr>
          <w:rFonts w:hint="eastAsia" w:cs="Times New Roman"/>
          <w:b w:val="0"/>
          <w:bCs/>
          <w:color w:val="auto"/>
          <w:highlight w:val="none"/>
          <w:lang w:eastAsia="zh-CN"/>
        </w:rPr>
        <w:t>，其中</w:t>
      </w:r>
      <w:r>
        <w:rPr>
          <w:rFonts w:hint="default" w:ascii="宋体" w:hAnsi="宋体" w:eastAsia="宋体" w:cs="Times New Roman"/>
          <w:b w:val="0"/>
          <w:bCs/>
          <w:color w:val="auto"/>
          <w:highlight w:val="none"/>
        </w:rPr>
        <w:t>上海市水文总站负责</w:t>
      </w:r>
      <w:r>
        <w:rPr>
          <w:rFonts w:hint="eastAsia" w:cs="Times New Roman"/>
          <w:b w:val="0"/>
          <w:bCs/>
          <w:color w:val="auto"/>
          <w:highlight w:val="none"/>
          <w:lang w:eastAsia="zh-CN"/>
        </w:rPr>
        <w:t>建设</w:t>
      </w:r>
      <w:r>
        <w:rPr>
          <w:rFonts w:hint="default" w:ascii="宋体" w:hAnsi="宋体" w:eastAsia="宋体" w:cs="Times New Roman"/>
          <w:b w:val="0"/>
          <w:bCs/>
          <w:color w:val="auto"/>
          <w:highlight w:val="none"/>
        </w:rPr>
        <w:t>水文资料整编及管理功能模块</w:t>
      </w:r>
      <w:r>
        <w:rPr>
          <w:rFonts w:hint="default" w:ascii="宋体" w:hAnsi="宋体" w:eastAsia="宋体" w:cs="Times New Roman"/>
          <w:b w:val="0"/>
          <w:bCs/>
          <w:color w:val="auto"/>
          <w:highlight w:val="none"/>
          <w:lang w:val="zh-CN"/>
        </w:rPr>
        <w:t>。</w:t>
      </w:r>
      <w:r>
        <w:rPr>
          <w:rFonts w:hint="default" w:ascii="宋体" w:hAnsi="宋体" w:eastAsia="宋体" w:cs="Times New Roman"/>
          <w:b w:val="0"/>
          <w:bCs/>
          <w:color w:val="auto"/>
          <w:highlight w:val="none"/>
        </w:rPr>
        <w:t>《上海水文现代化建设规划（2023-2025</w:t>
      </w:r>
      <w:r>
        <w:rPr>
          <w:rFonts w:hint="default" w:ascii="宋体" w:hAnsi="宋体" w:eastAsia="宋体" w:cs="Times New Roman"/>
          <w:b w:val="0"/>
          <w:bCs/>
          <w:color w:val="auto"/>
          <w:highlight w:val="none"/>
          <w:lang w:val="en-US" w:eastAsia="zh-CN"/>
        </w:rPr>
        <w:t>年</w:t>
      </w:r>
      <w:r>
        <w:rPr>
          <w:rFonts w:hint="default" w:ascii="宋体" w:hAnsi="宋体" w:eastAsia="宋体" w:cs="Times New Roman"/>
          <w:b w:val="0"/>
          <w:bCs/>
          <w:color w:val="auto"/>
          <w:highlight w:val="none"/>
        </w:rPr>
        <w:t>）》</w:t>
      </w:r>
      <w:r>
        <w:rPr>
          <w:rFonts w:hint="eastAsia" w:cs="Times New Roman"/>
          <w:b w:val="0"/>
          <w:bCs/>
          <w:color w:val="auto"/>
          <w:highlight w:val="none"/>
          <w:lang w:eastAsia="zh-CN"/>
        </w:rPr>
        <w:t>进一步明确</w:t>
      </w:r>
      <w:r>
        <w:rPr>
          <w:rFonts w:hint="default" w:ascii="宋体" w:hAnsi="宋体" w:eastAsia="宋体" w:cs="Times New Roman"/>
          <w:b w:val="0"/>
          <w:bCs/>
          <w:color w:val="auto"/>
          <w:highlight w:val="none"/>
        </w:rPr>
        <w:t>构建水文资料在线整编模块，并纳入全市水文信息平台。</w:t>
      </w:r>
    </w:p>
    <w:p w14:paraId="41330B12">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宋体" w:hAnsi="宋体" w:eastAsia="宋体" w:cs="Times New Roman"/>
          <w:b w:val="0"/>
          <w:bCs/>
          <w:color w:val="auto"/>
          <w:highlight w:val="none"/>
          <w:lang w:val="en-US" w:eastAsia="zh-CN"/>
        </w:rPr>
      </w:pPr>
      <w:r>
        <w:rPr>
          <w:rFonts w:hint="default" w:ascii="宋体" w:hAnsi="宋体" w:eastAsia="宋体" w:cs="Times New Roman"/>
          <w:b w:val="0"/>
          <w:bCs/>
          <w:color w:val="auto"/>
          <w:highlight w:val="none"/>
        </w:rPr>
        <w:t>自2022年起，</w:t>
      </w:r>
      <w:r>
        <w:rPr>
          <w:rFonts w:hint="eastAsia" w:cs="Times New Roman"/>
          <w:b w:val="0"/>
          <w:bCs/>
          <w:color w:val="auto"/>
          <w:highlight w:val="none"/>
          <w:lang w:eastAsia="zh-CN"/>
        </w:rPr>
        <w:t>上海</w:t>
      </w:r>
      <w:r>
        <w:rPr>
          <w:rFonts w:hint="default" w:ascii="宋体" w:hAnsi="宋体" w:eastAsia="宋体" w:cs="Times New Roman"/>
          <w:b w:val="0"/>
          <w:bCs/>
          <w:color w:val="auto"/>
          <w:highlight w:val="none"/>
        </w:rPr>
        <w:t>市水文总站履行水情预报发布、水情分析职责</w:t>
      </w:r>
      <w:r>
        <w:rPr>
          <w:rFonts w:hint="default" w:ascii="宋体" w:hAnsi="宋体" w:eastAsia="宋体" w:cs="Times New Roman"/>
          <w:b w:val="0"/>
          <w:bCs/>
          <w:color w:val="auto"/>
          <w:highlight w:val="none"/>
          <w:lang w:eastAsia="zh-CN"/>
        </w:rPr>
        <w:t>，</w:t>
      </w:r>
      <w:r>
        <w:rPr>
          <w:rFonts w:hint="default" w:ascii="宋体" w:hAnsi="宋体" w:eastAsia="宋体" w:cs="Times New Roman"/>
          <w:b w:val="0"/>
          <w:bCs/>
          <w:color w:val="auto"/>
          <w:highlight w:val="none"/>
          <w:lang w:val="en-US" w:eastAsia="zh-CN"/>
        </w:rPr>
        <w:t>强化水情专题分析，提升</w:t>
      </w:r>
      <w:r>
        <w:rPr>
          <w:rFonts w:hint="eastAsia" w:cs="Times New Roman"/>
          <w:b w:val="0"/>
          <w:bCs/>
          <w:color w:val="auto"/>
          <w:highlight w:val="none"/>
          <w:lang w:val="en-US" w:eastAsia="zh-CN"/>
        </w:rPr>
        <w:t>水情</w:t>
      </w:r>
      <w:r>
        <w:rPr>
          <w:rFonts w:hint="default" w:ascii="宋体" w:hAnsi="宋体" w:eastAsia="宋体" w:cs="Times New Roman"/>
          <w:b w:val="0"/>
          <w:bCs/>
          <w:color w:val="auto"/>
          <w:highlight w:val="none"/>
          <w:lang w:val="en-US" w:eastAsia="zh-CN"/>
        </w:rPr>
        <w:t>预警、预报、预演、预案</w:t>
      </w:r>
      <w:r>
        <w:rPr>
          <w:rFonts w:hint="eastAsia" w:ascii="宋体" w:hAnsi="宋体" w:eastAsia="宋体" w:cs="Times New Roman"/>
          <w:b w:val="0"/>
          <w:bCs/>
          <w:color w:val="auto"/>
          <w:highlight w:val="none"/>
          <w:lang w:val="en-US" w:eastAsia="zh-CN"/>
        </w:rPr>
        <w:t>“</w:t>
      </w:r>
      <w:r>
        <w:rPr>
          <w:rFonts w:hint="default" w:ascii="宋体" w:hAnsi="宋体" w:eastAsia="宋体" w:cs="Times New Roman"/>
          <w:b w:val="0"/>
          <w:bCs/>
          <w:color w:val="auto"/>
          <w:highlight w:val="none"/>
          <w:lang w:val="en-US" w:eastAsia="zh-CN"/>
        </w:rPr>
        <w:t>四预</w:t>
      </w:r>
      <w:r>
        <w:rPr>
          <w:rFonts w:hint="eastAsia" w:ascii="宋体" w:hAnsi="宋体" w:eastAsia="宋体" w:cs="Times New Roman"/>
          <w:b w:val="0"/>
          <w:bCs/>
          <w:color w:val="auto"/>
          <w:highlight w:val="none"/>
          <w:lang w:val="en-US" w:eastAsia="zh-CN"/>
        </w:rPr>
        <w:t>”</w:t>
      </w:r>
      <w:r>
        <w:rPr>
          <w:rFonts w:hint="default" w:ascii="宋体" w:hAnsi="宋体" w:eastAsia="宋体" w:cs="Times New Roman"/>
          <w:b w:val="0"/>
          <w:bCs/>
          <w:color w:val="auto"/>
          <w:highlight w:val="none"/>
          <w:lang w:val="en-US" w:eastAsia="zh-CN"/>
        </w:rPr>
        <w:t>水平，</w:t>
      </w:r>
      <w:r>
        <w:rPr>
          <w:rFonts w:hint="eastAsia" w:ascii="宋体" w:hAnsi="宋体" w:eastAsia="宋体" w:cs="Times New Roman"/>
          <w:b w:val="0"/>
          <w:bCs/>
          <w:color w:val="auto"/>
          <w:highlight w:val="none"/>
          <w:lang w:val="en-US" w:eastAsia="zh-CN"/>
        </w:rPr>
        <w:t>需求</w:t>
      </w:r>
      <w:r>
        <w:rPr>
          <w:rFonts w:hint="default" w:ascii="宋体" w:hAnsi="宋体" w:eastAsia="宋体" w:cs="Times New Roman"/>
          <w:b w:val="0"/>
          <w:bCs/>
          <w:color w:val="auto"/>
          <w:highlight w:val="none"/>
          <w:lang w:val="en-US" w:eastAsia="zh-CN"/>
        </w:rPr>
        <w:t>迫切。</w:t>
      </w:r>
    </w:p>
    <w:p w14:paraId="4299FD97">
      <w:pPr>
        <w:pStyle w:val="5"/>
        <w:spacing w:after="0"/>
        <w:rPr>
          <w:rFonts w:hint="default"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bCs w:val="0"/>
          <w:color w:val="auto"/>
          <w:kern w:val="2"/>
          <w:sz w:val="24"/>
          <w:szCs w:val="24"/>
          <w:highlight w:val="none"/>
          <w:lang w:val="en-US" w:eastAsia="zh-CN" w:bidi="ar-SA"/>
        </w:rPr>
        <w:t>项目现状：</w:t>
      </w:r>
      <w:r>
        <w:rPr>
          <w:rFonts w:hint="eastAsia" w:ascii="宋体" w:hAnsi="宋体" w:eastAsia="宋体" w:cs="Times New Roman"/>
          <w:b w:val="0"/>
          <w:bCs/>
          <w:color w:val="auto"/>
          <w:kern w:val="2"/>
          <w:sz w:val="24"/>
          <w:szCs w:val="24"/>
          <w:highlight w:val="none"/>
          <w:lang w:val="en-US" w:eastAsia="zh-CN" w:bidi="ar-SA"/>
        </w:rPr>
        <w:t>上海市水文信息平台主要用于汇聚</w:t>
      </w:r>
      <w:r>
        <w:rPr>
          <w:rFonts w:hint="default" w:ascii="宋体" w:hAnsi="宋体" w:eastAsia="宋体" w:cs="Times New Roman"/>
          <w:b w:val="0"/>
          <w:bCs/>
          <w:color w:val="auto"/>
          <w:kern w:val="2"/>
          <w:sz w:val="24"/>
          <w:szCs w:val="24"/>
          <w:highlight w:val="none"/>
          <w:lang w:val="en-US" w:eastAsia="zh-CN" w:bidi="ar-SA"/>
        </w:rPr>
        <w:t>存储</w:t>
      </w:r>
      <w:r>
        <w:rPr>
          <w:rFonts w:hint="eastAsia" w:ascii="宋体" w:hAnsi="宋体" w:eastAsia="宋体" w:cs="Times New Roman"/>
          <w:b w:val="0"/>
          <w:bCs/>
          <w:color w:val="auto"/>
          <w:kern w:val="2"/>
          <w:sz w:val="24"/>
          <w:szCs w:val="24"/>
          <w:highlight w:val="none"/>
          <w:lang w:val="en-US" w:eastAsia="zh-CN" w:bidi="ar-SA"/>
        </w:rPr>
        <w:t>本市水文行业</w:t>
      </w:r>
      <w:r>
        <w:rPr>
          <w:rFonts w:hint="default" w:ascii="宋体" w:hAnsi="宋体" w:eastAsia="宋体" w:cs="Times New Roman"/>
          <w:b w:val="0"/>
          <w:bCs/>
          <w:color w:val="auto"/>
          <w:kern w:val="2"/>
          <w:sz w:val="24"/>
          <w:szCs w:val="24"/>
          <w:highlight w:val="none"/>
          <w:lang w:val="en-US" w:eastAsia="zh-CN" w:bidi="ar-SA"/>
        </w:rPr>
        <w:t>不同来源</w:t>
      </w:r>
      <w:r>
        <w:rPr>
          <w:rFonts w:hint="eastAsia" w:ascii="宋体" w:hAnsi="宋体" w:eastAsia="宋体" w:cs="Times New Roman"/>
          <w:b w:val="0"/>
          <w:bCs/>
          <w:color w:val="auto"/>
          <w:kern w:val="2"/>
          <w:sz w:val="24"/>
          <w:szCs w:val="24"/>
          <w:highlight w:val="none"/>
          <w:lang w:val="en-US" w:eastAsia="zh-CN" w:bidi="ar-SA"/>
        </w:rPr>
        <w:t>监测</w:t>
      </w:r>
      <w:r>
        <w:rPr>
          <w:rFonts w:hint="default" w:ascii="宋体" w:hAnsi="宋体" w:eastAsia="宋体" w:cs="Times New Roman"/>
          <w:b w:val="0"/>
          <w:bCs/>
          <w:color w:val="auto"/>
          <w:kern w:val="2"/>
          <w:sz w:val="24"/>
          <w:szCs w:val="24"/>
          <w:highlight w:val="none"/>
          <w:lang w:val="en-US" w:eastAsia="zh-CN" w:bidi="ar-SA"/>
        </w:rPr>
        <w:t>数据，具备基本的数据管理和统计分析功能，并通过GIS界面展示信息。</w:t>
      </w:r>
    </w:p>
    <w:p w14:paraId="4D29B9F8">
      <w:pPr>
        <w:ind w:firstLine="480"/>
        <w:rPr>
          <w:rFonts w:hint="default" w:ascii="宋体" w:hAnsi="宋体" w:eastAsia="宋体" w:cs="Times New Roman"/>
          <w:b w:val="0"/>
          <w:bCs/>
          <w:color w:val="auto"/>
          <w:kern w:val="2"/>
          <w:sz w:val="24"/>
          <w:szCs w:val="24"/>
          <w:highlight w:val="none"/>
          <w:lang w:val="en-US" w:eastAsia="zh-CN" w:bidi="ar-SA"/>
        </w:rPr>
      </w:pPr>
      <w:r>
        <w:rPr>
          <w:rFonts w:hint="eastAsia"/>
          <w:color w:val="auto"/>
          <w:highlight w:val="none"/>
          <w:lang w:eastAsia="zh-CN"/>
        </w:rPr>
        <w:t>根据</w:t>
      </w:r>
      <w:r>
        <w:rPr>
          <w:color w:val="auto"/>
          <w:highlight w:val="none"/>
        </w:rPr>
        <w:t>上海市政务信息系统整合</w:t>
      </w:r>
      <w:r>
        <w:rPr>
          <w:rFonts w:hint="eastAsia"/>
          <w:color w:val="auto"/>
          <w:highlight w:val="none"/>
          <w:lang w:eastAsia="zh-CN"/>
        </w:rPr>
        <w:t>工作相关要求，</w:t>
      </w:r>
      <w:r>
        <w:rPr>
          <w:rFonts w:hint="eastAsia" w:ascii="宋体" w:hAnsi="宋体" w:eastAsia="宋体" w:cs="Times New Roman"/>
          <w:b w:val="0"/>
          <w:bCs/>
          <w:color w:val="auto"/>
          <w:kern w:val="2"/>
          <w:sz w:val="24"/>
          <w:szCs w:val="24"/>
          <w:highlight w:val="none"/>
          <w:lang w:val="en-US" w:eastAsia="zh-CN" w:bidi="ar-SA"/>
        </w:rPr>
        <w:t>水文信息平台</w:t>
      </w:r>
      <w:r>
        <w:rPr>
          <w:rFonts w:hint="eastAsia"/>
          <w:color w:val="auto"/>
          <w:highlight w:val="none"/>
          <w:lang w:eastAsia="zh-CN"/>
        </w:rPr>
        <w:t>升级改造将</w:t>
      </w:r>
      <w:r>
        <w:rPr>
          <w:color w:val="auto"/>
          <w:highlight w:val="none"/>
        </w:rPr>
        <w:t>基于</w:t>
      </w:r>
      <w:r>
        <w:rPr>
          <w:rFonts w:hint="eastAsia"/>
          <w:color w:val="auto"/>
          <w:highlight w:val="none"/>
          <w:lang w:eastAsia="zh-CN"/>
        </w:rPr>
        <w:t>上海市电子</w:t>
      </w:r>
      <w:r>
        <w:rPr>
          <w:color w:val="auto"/>
          <w:highlight w:val="none"/>
        </w:rPr>
        <w:t>政务云平台，</w:t>
      </w:r>
      <w:r>
        <w:rPr>
          <w:rFonts w:hint="eastAsia"/>
          <w:color w:val="auto"/>
          <w:highlight w:val="none"/>
          <w:lang w:eastAsia="zh-CN"/>
        </w:rPr>
        <w:t>成为上海市水文行业综合管理系统的子系统之一。在水文行业综合管理系统已有</w:t>
      </w:r>
      <w:r>
        <w:rPr>
          <w:rFonts w:hint="eastAsia"/>
          <w:color w:val="auto"/>
          <w:highlight w:val="none"/>
        </w:rPr>
        <w:t>应用</w:t>
      </w:r>
      <w:r>
        <w:rPr>
          <w:rFonts w:hint="eastAsia"/>
          <w:color w:val="auto"/>
          <w:highlight w:val="none"/>
          <w:lang w:eastAsia="zh-CN"/>
        </w:rPr>
        <w:t>建设</w:t>
      </w:r>
      <w:r>
        <w:rPr>
          <w:rFonts w:hint="eastAsia"/>
          <w:color w:val="auto"/>
          <w:highlight w:val="none"/>
        </w:rPr>
        <w:t>成果基础上，对</w:t>
      </w:r>
      <w:r>
        <w:rPr>
          <w:rFonts w:hint="eastAsia"/>
          <w:color w:val="auto"/>
          <w:highlight w:val="none"/>
          <w:lang w:eastAsia="zh-CN"/>
        </w:rPr>
        <w:t>水文信息平台</w:t>
      </w:r>
      <w:r>
        <w:rPr>
          <w:rFonts w:hint="eastAsia"/>
          <w:color w:val="auto"/>
          <w:highlight w:val="none"/>
        </w:rPr>
        <w:t>原</w:t>
      </w:r>
      <w:r>
        <w:rPr>
          <w:rFonts w:hint="eastAsia"/>
          <w:color w:val="auto"/>
          <w:highlight w:val="none"/>
          <w:lang w:eastAsia="zh-CN"/>
        </w:rPr>
        <w:t>有</w:t>
      </w:r>
      <w:r>
        <w:rPr>
          <w:rFonts w:hint="eastAsia"/>
          <w:color w:val="auto"/>
          <w:highlight w:val="none"/>
        </w:rPr>
        <w:t>系统</w:t>
      </w:r>
      <w:r>
        <w:rPr>
          <w:rFonts w:hint="eastAsia"/>
          <w:color w:val="auto"/>
          <w:highlight w:val="none"/>
          <w:lang w:eastAsia="zh-CN"/>
        </w:rPr>
        <w:t>功能和</w:t>
      </w:r>
      <w:r>
        <w:rPr>
          <w:rFonts w:hint="eastAsia"/>
          <w:color w:val="auto"/>
          <w:highlight w:val="none"/>
        </w:rPr>
        <w:t>业务流程进行</w:t>
      </w:r>
      <w:r>
        <w:rPr>
          <w:rFonts w:hint="eastAsia"/>
          <w:color w:val="auto"/>
          <w:highlight w:val="none"/>
          <w:lang w:eastAsia="zh-CN"/>
        </w:rPr>
        <w:t>整合</w:t>
      </w:r>
      <w:r>
        <w:rPr>
          <w:rFonts w:hint="eastAsia"/>
          <w:color w:val="auto"/>
          <w:highlight w:val="none"/>
        </w:rPr>
        <w:t>优化</w:t>
      </w:r>
      <w:r>
        <w:rPr>
          <w:rFonts w:hint="eastAsia"/>
          <w:color w:val="auto"/>
          <w:highlight w:val="none"/>
          <w:lang w:eastAsia="zh-CN"/>
        </w:rPr>
        <w:t>，舍弃功能重复的模块，对确需保留</w:t>
      </w:r>
      <w:r>
        <w:rPr>
          <w:rFonts w:hint="eastAsia" w:ascii="宋体" w:hAnsi="宋体" w:eastAsia="宋体" w:cs="Times New Roman"/>
          <w:b w:val="0"/>
          <w:bCs/>
          <w:color w:val="auto"/>
          <w:kern w:val="2"/>
          <w:sz w:val="24"/>
          <w:szCs w:val="24"/>
          <w:highlight w:val="none"/>
          <w:lang w:val="en-US" w:eastAsia="zh-CN" w:bidi="ar-SA"/>
        </w:rPr>
        <w:t>和部分</w:t>
      </w:r>
      <w:r>
        <w:rPr>
          <w:rFonts w:hint="default" w:ascii="宋体" w:hAnsi="宋体" w:eastAsia="宋体" w:cs="Times New Roman"/>
          <w:b w:val="0"/>
          <w:bCs/>
          <w:color w:val="auto"/>
          <w:kern w:val="2"/>
          <w:sz w:val="24"/>
          <w:szCs w:val="24"/>
          <w:highlight w:val="none"/>
          <w:lang w:val="en-US" w:eastAsia="zh-CN" w:bidi="ar-SA"/>
        </w:rPr>
        <w:t>功能需求发生变化、无法支撑当前水文业务流程的</w:t>
      </w:r>
      <w:r>
        <w:rPr>
          <w:rFonts w:hint="eastAsia" w:ascii="宋体" w:hAnsi="宋体" w:eastAsia="宋体" w:cs="Times New Roman"/>
          <w:b w:val="0"/>
          <w:bCs/>
          <w:color w:val="auto"/>
          <w:kern w:val="2"/>
          <w:sz w:val="24"/>
          <w:szCs w:val="24"/>
          <w:highlight w:val="none"/>
          <w:lang w:val="en-US" w:eastAsia="zh-CN" w:bidi="ar-SA"/>
        </w:rPr>
        <w:t>模块</w:t>
      </w:r>
      <w:r>
        <w:rPr>
          <w:rFonts w:hint="default" w:ascii="宋体" w:hAnsi="宋体" w:eastAsia="宋体" w:cs="Times New Roman"/>
          <w:b w:val="0"/>
          <w:bCs/>
          <w:color w:val="auto"/>
          <w:kern w:val="2"/>
          <w:sz w:val="24"/>
          <w:szCs w:val="24"/>
          <w:highlight w:val="none"/>
          <w:lang w:val="en-US" w:eastAsia="zh-CN" w:bidi="ar-SA"/>
        </w:rPr>
        <w:t>进行优化</w:t>
      </w:r>
      <w:r>
        <w:rPr>
          <w:rFonts w:hint="eastAsia" w:ascii="宋体" w:hAnsi="宋体" w:eastAsia="宋体" w:cs="Times New Roman"/>
          <w:b w:val="0"/>
          <w:bCs/>
          <w:color w:val="auto"/>
          <w:kern w:val="2"/>
          <w:sz w:val="24"/>
          <w:szCs w:val="24"/>
          <w:highlight w:val="none"/>
          <w:lang w:val="en-US" w:eastAsia="zh-CN" w:bidi="ar-SA"/>
        </w:rPr>
        <w:t>和适配改造；同时</w:t>
      </w:r>
      <w:r>
        <w:rPr>
          <w:rFonts w:hint="default" w:ascii="宋体" w:hAnsi="宋体" w:eastAsia="宋体" w:cs="Times New Roman"/>
          <w:b w:val="0"/>
          <w:bCs/>
          <w:color w:val="auto"/>
          <w:kern w:val="2"/>
          <w:sz w:val="24"/>
          <w:szCs w:val="24"/>
          <w:highlight w:val="none"/>
          <w:lang w:val="en-US" w:eastAsia="zh-CN" w:bidi="ar-SA"/>
        </w:rPr>
        <w:t>新建水文资料自动整编、水情专题分析功能模块</w:t>
      </w:r>
      <w:r>
        <w:rPr>
          <w:rFonts w:hint="eastAsia" w:ascii="宋体" w:hAnsi="宋体" w:eastAsia="宋体" w:cs="Times New Roman"/>
          <w:b w:val="0"/>
          <w:bCs/>
          <w:color w:val="auto"/>
          <w:kern w:val="2"/>
          <w:sz w:val="24"/>
          <w:szCs w:val="24"/>
          <w:highlight w:val="none"/>
          <w:lang w:val="en-US" w:eastAsia="zh-CN" w:bidi="ar-SA"/>
        </w:rPr>
        <w:t>，</w:t>
      </w:r>
      <w:r>
        <w:rPr>
          <w:rFonts w:hint="eastAsia" w:cs="Times New Roman"/>
          <w:b w:val="0"/>
          <w:bCs/>
          <w:color w:val="auto"/>
          <w:kern w:val="2"/>
          <w:sz w:val="24"/>
          <w:szCs w:val="24"/>
          <w:highlight w:val="none"/>
          <w:lang w:val="en-US" w:eastAsia="zh-CN" w:bidi="ar-SA"/>
        </w:rPr>
        <w:t>新增</w:t>
      </w:r>
      <w:r>
        <w:rPr>
          <w:rFonts w:hint="eastAsia" w:ascii="宋体" w:hAnsi="宋体" w:eastAsia="宋体" w:cs="Times New Roman"/>
          <w:b w:val="0"/>
          <w:bCs/>
          <w:color w:val="auto"/>
          <w:kern w:val="2"/>
          <w:sz w:val="24"/>
          <w:szCs w:val="24"/>
          <w:highlight w:val="none"/>
          <w:lang w:val="en-US" w:eastAsia="zh-CN" w:bidi="ar-SA"/>
        </w:rPr>
        <w:t>密码应用</w:t>
      </w:r>
      <w:r>
        <w:rPr>
          <w:rFonts w:hint="default" w:ascii="宋体" w:hAnsi="宋体" w:eastAsia="宋体" w:cs="Times New Roman"/>
          <w:b w:val="0"/>
          <w:bCs/>
          <w:color w:val="auto"/>
          <w:kern w:val="2"/>
          <w:sz w:val="24"/>
          <w:szCs w:val="24"/>
          <w:highlight w:val="none"/>
          <w:lang w:val="en-US" w:eastAsia="zh-CN" w:bidi="ar-SA"/>
        </w:rPr>
        <w:t>。</w:t>
      </w:r>
    </w:p>
    <w:p w14:paraId="3DF9F687">
      <w:pPr>
        <w:ind w:firstLine="482"/>
        <w:rPr>
          <w:rFonts w:hint="eastAsia" w:eastAsia="宋体"/>
          <w:color w:val="auto"/>
          <w:highlight w:val="none"/>
          <w:lang w:eastAsia="zh-CN"/>
        </w:rPr>
      </w:pPr>
      <w:r>
        <w:rPr>
          <w:rFonts w:hint="eastAsia"/>
          <w:b/>
          <w:color w:val="auto"/>
          <w:highlight w:val="none"/>
        </w:rPr>
        <w:t>是否接受联合体投标：</w:t>
      </w:r>
      <w:r>
        <w:rPr>
          <w:rFonts w:hint="eastAsia"/>
          <w:color w:val="auto"/>
          <w:highlight w:val="none"/>
          <w:lang w:eastAsia="zh-CN"/>
        </w:rPr>
        <w:t>是</w:t>
      </w:r>
    </w:p>
    <w:p w14:paraId="62FE70C8">
      <w:pPr>
        <w:ind w:firstLine="482"/>
        <w:rPr>
          <w:color w:val="auto"/>
          <w:highlight w:val="none"/>
        </w:rPr>
      </w:pPr>
      <w:r>
        <w:rPr>
          <w:b/>
          <w:color w:val="auto"/>
          <w:highlight w:val="none"/>
        </w:rPr>
        <w:t>是否按信创要求建设：</w:t>
      </w:r>
      <w:r>
        <w:rPr>
          <w:color w:val="auto"/>
          <w:highlight w:val="none"/>
        </w:rPr>
        <w:t>是</w:t>
      </w:r>
    </w:p>
    <w:p w14:paraId="11A3C54B">
      <w:pPr>
        <w:pStyle w:val="2"/>
        <w:ind w:left="314" w:leftChars="131" w:firstLine="163" w:firstLineChars="51"/>
        <w:rPr>
          <w:color w:val="auto"/>
          <w:highlight w:val="none"/>
        </w:rPr>
      </w:pPr>
      <w:bookmarkStart w:id="1" w:name="_Toc47531634"/>
      <w:bookmarkEnd w:id="1"/>
      <w:bookmarkStart w:id="2" w:name="_Toc47532255"/>
      <w:bookmarkEnd w:id="2"/>
      <w:bookmarkStart w:id="3" w:name="_Toc47533256"/>
      <w:bookmarkEnd w:id="3"/>
      <w:bookmarkStart w:id="4" w:name="_Toc47537134"/>
      <w:bookmarkEnd w:id="4"/>
      <w:bookmarkStart w:id="5" w:name="_Toc47532891"/>
      <w:bookmarkEnd w:id="5"/>
      <w:bookmarkStart w:id="6" w:name="_Toc47536272"/>
      <w:bookmarkEnd w:id="6"/>
      <w:bookmarkStart w:id="7" w:name="_Toc47539070"/>
      <w:bookmarkEnd w:id="7"/>
      <w:bookmarkStart w:id="8" w:name="_Toc47536644"/>
      <w:bookmarkEnd w:id="8"/>
      <w:bookmarkStart w:id="9" w:name="_Toc63785463"/>
      <w:bookmarkStart w:id="10" w:name="_Toc48223882"/>
      <w:r>
        <w:rPr>
          <w:rFonts w:hint="eastAsia"/>
          <w:color w:val="auto"/>
          <w:highlight w:val="none"/>
        </w:rPr>
        <w:t>建设目标</w:t>
      </w:r>
      <w:bookmarkEnd w:id="9"/>
      <w:bookmarkEnd w:id="10"/>
    </w:p>
    <w:p w14:paraId="4BFF5B92">
      <w:pPr>
        <w:keepNext w:val="0"/>
        <w:keepLines w:val="0"/>
        <w:pageBreakBefore w:val="0"/>
        <w:widowControl/>
        <w:kinsoku/>
        <w:wordWrap/>
        <w:overflowPunct/>
        <w:topLinePunct w:val="0"/>
        <w:autoSpaceDE/>
        <w:autoSpaceDN/>
        <w:bidi w:val="0"/>
        <w:adjustRightInd/>
        <w:snapToGrid/>
        <w:spacing w:line="360" w:lineRule="auto"/>
        <w:ind w:left="0" w:leftChars="0" w:firstLine="482" w:firstLineChars="0"/>
        <w:textAlignment w:val="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顺应国家信息安全趋势，围绕上海市水务海洋“更安全、更优质、更生态、更智慧的水”发展目标，</w:t>
      </w:r>
      <w:r>
        <w:rPr>
          <w:rFonts w:hint="eastAsia" w:cs="Times New Roman"/>
          <w:color w:val="auto"/>
          <w:highlight w:val="none"/>
          <w:lang w:eastAsia="zh-CN"/>
        </w:rPr>
        <w:t>采用最新信息技术和网络信息安全</w:t>
      </w:r>
      <w:r>
        <w:rPr>
          <w:rFonts w:hint="eastAsia" w:ascii="宋体" w:hAnsi="宋体" w:eastAsia="宋体" w:cs="Times New Roman"/>
          <w:color w:val="auto"/>
          <w:highlight w:val="none"/>
          <w:lang w:eastAsia="zh-CN"/>
        </w:rPr>
        <w:t>要求</w:t>
      </w:r>
      <w:r>
        <w:rPr>
          <w:rFonts w:hint="eastAsia" w:cs="Times New Roman"/>
          <w:color w:val="auto"/>
          <w:highlight w:val="none"/>
          <w:lang w:eastAsia="zh-CN"/>
        </w:rPr>
        <w:t>升级改造</w:t>
      </w:r>
      <w:r>
        <w:rPr>
          <w:rFonts w:hint="eastAsia" w:ascii="宋体" w:hAnsi="宋体" w:eastAsia="宋体" w:cs="Times New Roman"/>
          <w:color w:val="auto"/>
          <w:highlight w:val="none"/>
          <w:lang w:eastAsia="zh-CN"/>
        </w:rPr>
        <w:t>上海市水文信息平台，</w:t>
      </w:r>
      <w:r>
        <w:rPr>
          <w:rFonts w:hint="eastAsia" w:cs="Times New Roman"/>
          <w:color w:val="auto"/>
          <w:highlight w:val="none"/>
          <w:lang w:eastAsia="zh-CN"/>
        </w:rPr>
        <w:t>建设水文资料在线自动整编、水情专题分析、密码应用等功能模块</w:t>
      </w:r>
      <w:r>
        <w:rPr>
          <w:rFonts w:hint="eastAsia" w:cs="Times New Roman"/>
          <w:color w:val="auto"/>
          <w:highlight w:val="none"/>
          <w:lang w:val="en-US" w:eastAsia="zh-CN"/>
        </w:rPr>
        <w:t>，</w:t>
      </w:r>
      <w:r>
        <w:rPr>
          <w:rFonts w:hint="eastAsia" w:ascii="宋体" w:hAnsi="宋体" w:eastAsia="宋体" w:cs="Times New Roman"/>
          <w:color w:val="auto"/>
          <w:highlight w:val="none"/>
          <w:lang w:eastAsia="zh-CN"/>
        </w:rPr>
        <w:t>落实安全可靠技术和产品在该平台应用，切实提高自主可控水平，进一步提升水文现代化能力，服务水务海洋高质量发展。</w:t>
      </w:r>
    </w:p>
    <w:p w14:paraId="1BE6327F">
      <w:pPr>
        <w:pStyle w:val="3"/>
        <w:keepNext/>
        <w:keepLines/>
        <w:pageBreakBefore w:val="0"/>
        <w:widowControl w:val="0"/>
        <w:numPr>
          <w:ilvl w:val="-1"/>
          <w:numId w:val="0"/>
        </w:numPr>
        <w:tabs>
          <w:tab w:val="left" w:pos="1120"/>
          <w:tab w:val="left" w:pos="1400"/>
        </w:tabs>
        <w:kinsoku/>
        <w:wordWrap/>
        <w:overflowPunct/>
        <w:topLinePunct w:val="0"/>
        <w:autoSpaceDE w:val="0"/>
        <w:autoSpaceDN w:val="0"/>
        <w:bidi w:val="0"/>
        <w:adjustRightInd w:val="0"/>
        <w:snapToGrid/>
        <w:spacing w:before="0" w:after="0" w:line="360" w:lineRule="auto"/>
        <w:ind w:left="573"/>
        <w:jc w:val="both"/>
        <w:textAlignment w:val="auto"/>
        <w:rPr>
          <w:rFonts w:hint="default" w:ascii="宋体" w:hAnsi="宋体" w:eastAsia="宋体" w:cs="Times New Roman"/>
          <w:b/>
          <w:bCs w:val="0"/>
          <w:color w:val="auto"/>
          <w:kern w:val="2"/>
          <w:sz w:val="24"/>
          <w:szCs w:val="24"/>
          <w:highlight w:val="none"/>
          <w:lang w:val="en-US" w:eastAsia="zh-CN" w:bidi="ar-SA"/>
        </w:rPr>
      </w:pPr>
      <w:bookmarkStart w:id="11" w:name="_Toc133411190"/>
      <w:bookmarkStart w:id="12" w:name="_Toc1432764113"/>
      <w:r>
        <w:rPr>
          <w:rFonts w:hint="eastAsia" w:cs="Times New Roman"/>
          <w:b/>
          <w:bCs w:val="0"/>
          <w:color w:val="auto"/>
          <w:kern w:val="2"/>
          <w:sz w:val="24"/>
          <w:szCs w:val="24"/>
          <w:highlight w:val="none"/>
          <w:lang w:val="en-US" w:eastAsia="zh-CN" w:bidi="ar-SA"/>
        </w:rPr>
        <w:t xml:space="preserve">2.1  </w:t>
      </w:r>
      <w:r>
        <w:rPr>
          <w:rFonts w:hint="default" w:ascii="宋体" w:hAnsi="宋体" w:eastAsia="宋体" w:cs="Times New Roman"/>
          <w:b/>
          <w:bCs w:val="0"/>
          <w:color w:val="auto"/>
          <w:kern w:val="2"/>
          <w:sz w:val="24"/>
          <w:szCs w:val="24"/>
          <w:highlight w:val="none"/>
          <w:lang w:val="en-US" w:eastAsia="zh-CN" w:bidi="ar-SA"/>
        </w:rPr>
        <w:t>业务绩效考核目标</w:t>
      </w:r>
      <w:bookmarkEnd w:id="11"/>
      <w:bookmarkEnd w:id="12"/>
    </w:p>
    <w:p w14:paraId="42CB4908">
      <w:pPr>
        <w:ind w:firstLine="482"/>
        <w:rPr>
          <w:rFonts w:hint="default" w:ascii="宋体" w:hAnsi="宋体" w:eastAsia="宋体" w:cs="Times New Roman"/>
          <w:b w:val="0"/>
          <w:bCs/>
          <w:color w:val="auto"/>
          <w:highlight w:val="none"/>
          <w:lang w:val="en-US" w:eastAsia="zh-CN"/>
        </w:rPr>
      </w:pPr>
      <w:r>
        <w:rPr>
          <w:rFonts w:hint="default" w:ascii="宋体" w:hAnsi="宋体" w:eastAsia="宋体" w:cs="Times New Roman"/>
          <w:b w:val="0"/>
          <w:bCs/>
          <w:color w:val="auto"/>
          <w:highlight w:val="none"/>
          <w:lang w:val="en-US" w:eastAsia="zh-CN"/>
        </w:rPr>
        <w:t>一是实现市区两级水文部门水文全要素资料在线自动整编，达到</w:t>
      </w:r>
      <w:r>
        <w:rPr>
          <w:rFonts w:hint="eastAsia" w:ascii="宋体" w:hAnsi="宋体" w:eastAsia="宋体" w:cs="Times New Roman"/>
          <w:b w:val="0"/>
          <w:bCs/>
          <w:color w:val="auto"/>
          <w:highlight w:val="none"/>
          <w:lang w:val="en-US" w:eastAsia="zh-CN"/>
        </w:rPr>
        <w:t>“</w:t>
      </w:r>
      <w:r>
        <w:rPr>
          <w:rFonts w:hint="default" w:ascii="宋体" w:hAnsi="宋体" w:eastAsia="宋体" w:cs="Times New Roman"/>
          <w:b w:val="0"/>
          <w:bCs/>
          <w:color w:val="auto"/>
          <w:highlight w:val="none"/>
          <w:lang w:val="en-US" w:eastAsia="zh-CN"/>
        </w:rPr>
        <w:t>日清月结</w:t>
      </w:r>
      <w:r>
        <w:rPr>
          <w:rFonts w:hint="eastAsia" w:ascii="宋体" w:hAnsi="宋体" w:eastAsia="宋体" w:cs="Times New Roman"/>
          <w:b w:val="0"/>
          <w:bCs/>
          <w:color w:val="auto"/>
          <w:highlight w:val="none"/>
          <w:lang w:val="en-US" w:eastAsia="zh-CN"/>
        </w:rPr>
        <w:t>”</w:t>
      </w:r>
      <w:r>
        <w:rPr>
          <w:rFonts w:hint="default" w:ascii="宋体" w:hAnsi="宋体" w:eastAsia="宋体" w:cs="Times New Roman"/>
          <w:b w:val="0"/>
          <w:bCs/>
          <w:color w:val="auto"/>
          <w:highlight w:val="none"/>
          <w:lang w:val="en-US" w:eastAsia="zh-CN"/>
        </w:rPr>
        <w:t>工作要求，提升水文资料整编工作效率和数据治理专业化水平；二是实现</w:t>
      </w:r>
      <w:r>
        <w:rPr>
          <w:rFonts w:hint="eastAsia" w:cs="Times New Roman"/>
          <w:b w:val="0"/>
          <w:bCs/>
          <w:color w:val="auto"/>
          <w:highlight w:val="none"/>
          <w:lang w:val="en-US" w:eastAsia="zh-CN"/>
        </w:rPr>
        <w:t>基于</w:t>
      </w:r>
      <w:r>
        <w:rPr>
          <w:rFonts w:hint="default" w:ascii="宋体" w:hAnsi="宋体" w:eastAsia="宋体" w:cs="Times New Roman"/>
          <w:b w:val="0"/>
          <w:bCs/>
          <w:color w:val="auto"/>
          <w:highlight w:val="none"/>
          <w:lang w:val="en-US" w:eastAsia="zh-CN"/>
        </w:rPr>
        <w:t>历史特征数据的场次水情</w:t>
      </w:r>
      <w:r>
        <w:rPr>
          <w:rFonts w:hint="eastAsia" w:cs="Times New Roman"/>
          <w:b w:val="0"/>
          <w:bCs/>
          <w:color w:val="auto"/>
          <w:highlight w:val="none"/>
          <w:lang w:val="en-US" w:eastAsia="zh-CN"/>
        </w:rPr>
        <w:t>多要素</w:t>
      </w:r>
      <w:r>
        <w:rPr>
          <w:rFonts w:hint="default" w:ascii="宋体" w:hAnsi="宋体" w:eastAsia="宋体" w:cs="Times New Roman"/>
          <w:b w:val="0"/>
          <w:bCs/>
          <w:color w:val="auto"/>
          <w:highlight w:val="none"/>
          <w:lang w:val="en-US" w:eastAsia="zh-CN"/>
        </w:rPr>
        <w:t>特征快速统计分析、阶段特征分析和典型水情专题对比分析。</w:t>
      </w:r>
    </w:p>
    <w:p w14:paraId="5D4D05E1">
      <w:pPr>
        <w:pageBreakBefore w:val="0"/>
        <w:kinsoku/>
        <w:wordWrap/>
        <w:overflowPunct/>
        <w:topLinePunct w:val="0"/>
        <w:bidi w:val="0"/>
        <w:snapToGrid w:val="0"/>
        <w:spacing w:line="500" w:lineRule="exact"/>
        <w:ind w:firstLine="560" w:firstLineChars="0"/>
        <w:jc w:val="both"/>
        <w:textAlignment w:val="auto"/>
        <w:rPr>
          <w:rFonts w:hint="default" w:ascii="宋体" w:hAnsi="宋体" w:eastAsia="宋体" w:cs="Times New Roman"/>
          <w:b w:val="0"/>
          <w:bCs/>
          <w:color w:val="auto"/>
          <w:kern w:val="2"/>
          <w:sz w:val="24"/>
          <w:szCs w:val="24"/>
          <w:highlight w:val="none"/>
          <w:lang w:val="en-US" w:eastAsia="zh-CN" w:bidi="ar-SA"/>
        </w:rPr>
      </w:pPr>
    </w:p>
    <w:p w14:paraId="097A745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宋体" w:hAnsi="宋体" w:eastAsia="宋体" w:cs="Times New Roman"/>
          <w:b w:val="0"/>
          <w:bCs/>
          <w:color w:val="auto"/>
          <w:kern w:val="2"/>
          <w:sz w:val="24"/>
          <w:szCs w:val="24"/>
          <w:highlight w:val="none"/>
          <w:lang w:val="en-US" w:eastAsia="zh-CN" w:bidi="ar-SA"/>
        </w:rPr>
      </w:pPr>
      <w:r>
        <w:rPr>
          <w:rFonts w:hint="default" w:ascii="宋体" w:hAnsi="宋体" w:eastAsia="宋体" w:cs="Times New Roman"/>
          <w:b w:val="0"/>
          <w:bCs/>
          <w:color w:val="auto"/>
          <w:kern w:val="2"/>
          <w:sz w:val="24"/>
          <w:szCs w:val="24"/>
          <w:highlight w:val="none"/>
          <w:lang w:val="en-US" w:eastAsia="zh-CN" w:bidi="ar-SA"/>
        </w:rPr>
        <w:t>表2-1  上海市水文信息平台升级改造业务绩效目标</w:t>
      </w:r>
    </w:p>
    <w:tbl>
      <w:tblPr>
        <w:tblStyle w:val="8"/>
        <w:tblW w:w="899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8"/>
        <w:gridCol w:w="1326"/>
        <w:gridCol w:w="1792"/>
        <w:gridCol w:w="2720"/>
        <w:gridCol w:w="1160"/>
        <w:gridCol w:w="1293"/>
      </w:tblGrid>
      <w:tr w14:paraId="70CCEE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9" w:hRule="atLeast"/>
          <w:tblHeader/>
          <w:jc w:val="center"/>
        </w:trPr>
        <w:tc>
          <w:tcPr>
            <w:tcW w:w="708" w:type="dxa"/>
            <w:shd w:val="clear" w:color="auto" w:fill="auto"/>
            <w:vAlign w:val="center"/>
          </w:tcPr>
          <w:p w14:paraId="0D97AB8B">
            <w:pPr>
              <w:pStyle w:val="12"/>
              <w:widowControl w:val="0"/>
              <w:jc w:val="center"/>
              <w:rPr>
                <w:rFonts w:hint="default" w:ascii="宋体" w:hAnsi="宋体" w:eastAsia="宋体" w:cs="Times New Roman"/>
                <w:b/>
                <w:bCs w:val="0"/>
                <w:color w:val="auto"/>
                <w:kern w:val="2"/>
                <w:sz w:val="22"/>
                <w:szCs w:val="22"/>
                <w:highlight w:val="none"/>
                <w:lang w:val="en-US" w:eastAsia="zh-CN" w:bidi="ar-SA"/>
              </w:rPr>
            </w:pPr>
            <w:r>
              <w:rPr>
                <w:rFonts w:hint="default" w:ascii="宋体" w:hAnsi="宋体" w:eastAsia="宋体" w:cs="Times New Roman"/>
                <w:b/>
                <w:bCs w:val="0"/>
                <w:color w:val="auto"/>
                <w:kern w:val="2"/>
                <w:sz w:val="22"/>
                <w:szCs w:val="22"/>
                <w:highlight w:val="none"/>
                <w:lang w:val="en-US" w:eastAsia="zh-CN" w:bidi="ar-SA"/>
              </w:rPr>
              <w:t>序号</w:t>
            </w:r>
          </w:p>
        </w:tc>
        <w:tc>
          <w:tcPr>
            <w:tcW w:w="1326" w:type="dxa"/>
            <w:shd w:val="clear" w:color="auto" w:fill="auto"/>
            <w:vAlign w:val="center"/>
          </w:tcPr>
          <w:p w14:paraId="1B8E6B0A">
            <w:pPr>
              <w:pStyle w:val="12"/>
              <w:widowControl w:val="0"/>
              <w:jc w:val="center"/>
              <w:rPr>
                <w:rFonts w:hint="default" w:ascii="宋体" w:hAnsi="宋体" w:eastAsia="宋体" w:cs="Times New Roman"/>
                <w:b/>
                <w:bCs w:val="0"/>
                <w:color w:val="auto"/>
                <w:kern w:val="2"/>
                <w:sz w:val="22"/>
                <w:szCs w:val="22"/>
                <w:highlight w:val="none"/>
                <w:lang w:val="en-US" w:eastAsia="zh-CN" w:bidi="ar-SA"/>
              </w:rPr>
            </w:pPr>
            <w:r>
              <w:rPr>
                <w:rFonts w:hint="default" w:ascii="宋体" w:hAnsi="宋体" w:eastAsia="宋体" w:cs="Times New Roman"/>
                <w:b/>
                <w:bCs w:val="0"/>
                <w:color w:val="auto"/>
                <w:kern w:val="2"/>
                <w:sz w:val="22"/>
                <w:szCs w:val="22"/>
                <w:highlight w:val="none"/>
                <w:lang w:val="en-US" w:eastAsia="zh-CN" w:bidi="ar-SA"/>
              </w:rPr>
              <w:t>一级指标</w:t>
            </w:r>
          </w:p>
        </w:tc>
        <w:tc>
          <w:tcPr>
            <w:tcW w:w="1792" w:type="dxa"/>
            <w:shd w:val="clear" w:color="auto" w:fill="auto"/>
            <w:vAlign w:val="center"/>
          </w:tcPr>
          <w:p w14:paraId="157CD8B8">
            <w:pPr>
              <w:pStyle w:val="12"/>
              <w:widowControl w:val="0"/>
              <w:jc w:val="center"/>
              <w:rPr>
                <w:rFonts w:hint="default" w:ascii="宋体" w:hAnsi="宋体" w:eastAsia="宋体" w:cs="Times New Roman"/>
                <w:b/>
                <w:bCs w:val="0"/>
                <w:color w:val="auto"/>
                <w:kern w:val="2"/>
                <w:sz w:val="22"/>
                <w:szCs w:val="22"/>
                <w:highlight w:val="none"/>
                <w:lang w:val="en-US" w:eastAsia="zh-CN" w:bidi="ar-SA"/>
              </w:rPr>
            </w:pPr>
            <w:r>
              <w:rPr>
                <w:rFonts w:hint="default" w:ascii="宋体" w:hAnsi="宋体" w:eastAsia="宋体" w:cs="Times New Roman"/>
                <w:b/>
                <w:bCs w:val="0"/>
                <w:color w:val="auto"/>
                <w:kern w:val="2"/>
                <w:sz w:val="22"/>
                <w:szCs w:val="22"/>
                <w:highlight w:val="none"/>
                <w:lang w:val="en-US" w:eastAsia="zh-CN" w:bidi="ar-SA"/>
              </w:rPr>
              <w:t>二级指标</w:t>
            </w:r>
          </w:p>
        </w:tc>
        <w:tc>
          <w:tcPr>
            <w:tcW w:w="2720" w:type="dxa"/>
            <w:shd w:val="clear" w:color="auto" w:fill="auto"/>
            <w:vAlign w:val="center"/>
          </w:tcPr>
          <w:p w14:paraId="49F8DFAD">
            <w:pPr>
              <w:pStyle w:val="12"/>
              <w:widowControl w:val="0"/>
              <w:jc w:val="center"/>
              <w:rPr>
                <w:rFonts w:hint="default" w:ascii="宋体" w:hAnsi="宋体" w:eastAsia="宋体" w:cs="Times New Roman"/>
                <w:b/>
                <w:bCs w:val="0"/>
                <w:color w:val="auto"/>
                <w:kern w:val="2"/>
                <w:sz w:val="22"/>
                <w:szCs w:val="22"/>
                <w:highlight w:val="none"/>
                <w:lang w:val="en-US" w:eastAsia="zh-CN" w:bidi="ar-SA"/>
              </w:rPr>
            </w:pPr>
            <w:r>
              <w:rPr>
                <w:rFonts w:hint="default" w:ascii="宋体" w:hAnsi="宋体" w:eastAsia="宋体" w:cs="Times New Roman"/>
                <w:b/>
                <w:bCs w:val="0"/>
                <w:color w:val="auto"/>
                <w:kern w:val="2"/>
                <w:sz w:val="22"/>
                <w:szCs w:val="22"/>
                <w:highlight w:val="none"/>
                <w:lang w:val="en-US" w:eastAsia="zh-CN" w:bidi="ar-SA"/>
              </w:rPr>
              <w:t>三级指标</w:t>
            </w:r>
          </w:p>
        </w:tc>
        <w:tc>
          <w:tcPr>
            <w:tcW w:w="1160" w:type="dxa"/>
          </w:tcPr>
          <w:p w14:paraId="690D03D3">
            <w:pPr>
              <w:pStyle w:val="12"/>
              <w:widowControl w:val="0"/>
              <w:jc w:val="center"/>
              <w:rPr>
                <w:rFonts w:hint="default" w:ascii="宋体" w:hAnsi="宋体" w:eastAsia="宋体" w:cs="Times New Roman"/>
                <w:b/>
                <w:bCs w:val="0"/>
                <w:color w:val="auto"/>
                <w:kern w:val="2"/>
                <w:sz w:val="22"/>
                <w:szCs w:val="22"/>
                <w:highlight w:val="none"/>
                <w:lang w:val="en-US" w:eastAsia="zh-CN" w:bidi="ar-SA"/>
              </w:rPr>
            </w:pPr>
            <w:r>
              <w:rPr>
                <w:rFonts w:hint="default" w:ascii="宋体" w:hAnsi="宋体" w:eastAsia="宋体" w:cs="Times New Roman"/>
                <w:b/>
                <w:bCs w:val="0"/>
                <w:color w:val="auto"/>
                <w:kern w:val="2"/>
                <w:sz w:val="22"/>
                <w:szCs w:val="22"/>
                <w:highlight w:val="none"/>
                <w:lang w:val="en-US" w:eastAsia="zh-CN" w:bidi="ar-SA"/>
              </w:rPr>
              <w:t>四级指标</w:t>
            </w:r>
          </w:p>
        </w:tc>
        <w:tc>
          <w:tcPr>
            <w:tcW w:w="1293" w:type="dxa"/>
            <w:shd w:val="clear" w:color="auto" w:fill="auto"/>
            <w:vAlign w:val="center"/>
          </w:tcPr>
          <w:p w14:paraId="43F3B70C">
            <w:pPr>
              <w:pStyle w:val="12"/>
              <w:widowControl w:val="0"/>
              <w:jc w:val="center"/>
              <w:rPr>
                <w:rFonts w:hint="default" w:ascii="宋体" w:hAnsi="宋体" w:eastAsia="宋体" w:cs="Times New Roman"/>
                <w:b/>
                <w:bCs w:val="0"/>
                <w:color w:val="auto"/>
                <w:kern w:val="2"/>
                <w:sz w:val="22"/>
                <w:szCs w:val="22"/>
                <w:highlight w:val="none"/>
                <w:lang w:val="en-US" w:eastAsia="zh-CN" w:bidi="ar-SA"/>
              </w:rPr>
            </w:pPr>
            <w:r>
              <w:rPr>
                <w:rFonts w:hint="default" w:ascii="宋体" w:hAnsi="宋体" w:eastAsia="宋体" w:cs="Times New Roman"/>
                <w:b/>
                <w:bCs w:val="0"/>
                <w:color w:val="auto"/>
                <w:kern w:val="2"/>
                <w:sz w:val="22"/>
                <w:szCs w:val="22"/>
                <w:highlight w:val="none"/>
                <w:lang w:val="en-US" w:eastAsia="zh-CN" w:bidi="ar-SA"/>
              </w:rPr>
              <w:t>指标值</w:t>
            </w:r>
          </w:p>
        </w:tc>
      </w:tr>
      <w:tr w14:paraId="5E24C9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6" w:hRule="atLeast"/>
          <w:jc w:val="center"/>
        </w:trPr>
        <w:tc>
          <w:tcPr>
            <w:tcW w:w="708" w:type="dxa"/>
            <w:shd w:val="clear" w:color="auto" w:fill="auto"/>
            <w:vAlign w:val="center"/>
          </w:tcPr>
          <w:p w14:paraId="48BEB818">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1</w:t>
            </w:r>
          </w:p>
        </w:tc>
        <w:tc>
          <w:tcPr>
            <w:tcW w:w="1326" w:type="dxa"/>
            <w:shd w:val="clear" w:color="auto" w:fill="auto"/>
            <w:vAlign w:val="center"/>
          </w:tcPr>
          <w:p w14:paraId="295FC7E3">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通用指标</w:t>
            </w:r>
          </w:p>
        </w:tc>
        <w:tc>
          <w:tcPr>
            <w:tcW w:w="1792" w:type="dxa"/>
            <w:shd w:val="clear" w:color="auto" w:fill="auto"/>
            <w:vAlign w:val="center"/>
          </w:tcPr>
          <w:p w14:paraId="1A86B622">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数量指标</w:t>
            </w:r>
          </w:p>
        </w:tc>
        <w:tc>
          <w:tcPr>
            <w:tcW w:w="2720" w:type="dxa"/>
            <w:shd w:val="clear" w:color="auto" w:fill="auto"/>
            <w:vAlign w:val="center"/>
          </w:tcPr>
          <w:p w14:paraId="39AD695E">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覆盖水文要素种类</w:t>
            </w:r>
          </w:p>
        </w:tc>
        <w:tc>
          <w:tcPr>
            <w:tcW w:w="1160" w:type="dxa"/>
          </w:tcPr>
          <w:p w14:paraId="0A0C773A">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eastAsia" w:ascii="宋体" w:hAnsi="宋体" w:eastAsia="宋体" w:cs="Times New Roman"/>
                <w:b w:val="0"/>
                <w:bCs/>
                <w:color w:val="auto"/>
                <w:kern w:val="2"/>
                <w:sz w:val="22"/>
                <w:szCs w:val="22"/>
                <w:highlight w:val="none"/>
                <w:lang w:val="en-US" w:eastAsia="zh-CN" w:bidi="ar-SA"/>
              </w:rPr>
              <w:t>/</w:t>
            </w:r>
          </w:p>
        </w:tc>
        <w:tc>
          <w:tcPr>
            <w:tcW w:w="1293" w:type="dxa"/>
            <w:shd w:val="clear" w:color="auto" w:fill="auto"/>
            <w:vAlign w:val="center"/>
          </w:tcPr>
          <w:p w14:paraId="1BF27D13">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6</w:t>
            </w:r>
          </w:p>
        </w:tc>
      </w:tr>
      <w:tr w14:paraId="688566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6" w:hRule="atLeast"/>
          <w:jc w:val="center"/>
        </w:trPr>
        <w:tc>
          <w:tcPr>
            <w:tcW w:w="708" w:type="dxa"/>
            <w:shd w:val="clear" w:color="auto" w:fill="auto"/>
            <w:vAlign w:val="center"/>
          </w:tcPr>
          <w:p w14:paraId="65341948">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2</w:t>
            </w:r>
          </w:p>
        </w:tc>
        <w:tc>
          <w:tcPr>
            <w:tcW w:w="1326" w:type="dxa"/>
            <w:shd w:val="clear" w:color="auto" w:fill="auto"/>
            <w:vAlign w:val="center"/>
          </w:tcPr>
          <w:p w14:paraId="4E7B99E5">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通用指标</w:t>
            </w:r>
          </w:p>
        </w:tc>
        <w:tc>
          <w:tcPr>
            <w:tcW w:w="1792" w:type="dxa"/>
            <w:shd w:val="clear" w:color="auto" w:fill="auto"/>
            <w:vAlign w:val="center"/>
          </w:tcPr>
          <w:p w14:paraId="7D4398FB">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数量指标</w:t>
            </w:r>
          </w:p>
        </w:tc>
        <w:tc>
          <w:tcPr>
            <w:tcW w:w="2720" w:type="dxa"/>
            <w:shd w:val="clear" w:color="auto" w:fill="auto"/>
            <w:vAlign w:val="center"/>
          </w:tcPr>
          <w:p w14:paraId="076B5B3F">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年数据处理量</w:t>
            </w:r>
          </w:p>
        </w:tc>
        <w:tc>
          <w:tcPr>
            <w:tcW w:w="1160" w:type="dxa"/>
          </w:tcPr>
          <w:p w14:paraId="13118154">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eastAsia" w:ascii="宋体" w:hAnsi="宋体" w:eastAsia="宋体" w:cs="Times New Roman"/>
                <w:b w:val="0"/>
                <w:bCs/>
                <w:color w:val="auto"/>
                <w:kern w:val="2"/>
                <w:sz w:val="22"/>
                <w:szCs w:val="22"/>
                <w:highlight w:val="none"/>
                <w:lang w:val="en-US" w:eastAsia="zh-CN" w:bidi="ar-SA"/>
              </w:rPr>
              <w:t>/</w:t>
            </w:r>
          </w:p>
        </w:tc>
        <w:tc>
          <w:tcPr>
            <w:tcW w:w="1293" w:type="dxa"/>
            <w:shd w:val="clear" w:color="auto" w:fill="auto"/>
            <w:vAlign w:val="center"/>
          </w:tcPr>
          <w:p w14:paraId="475D34C3">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1300万组</w:t>
            </w:r>
          </w:p>
        </w:tc>
      </w:tr>
      <w:tr w14:paraId="5EFC85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6" w:hRule="atLeast"/>
          <w:jc w:val="center"/>
        </w:trPr>
        <w:tc>
          <w:tcPr>
            <w:tcW w:w="708" w:type="dxa"/>
            <w:shd w:val="clear" w:color="auto" w:fill="auto"/>
            <w:vAlign w:val="center"/>
          </w:tcPr>
          <w:p w14:paraId="1F252CD7">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3</w:t>
            </w:r>
          </w:p>
        </w:tc>
        <w:tc>
          <w:tcPr>
            <w:tcW w:w="1326" w:type="dxa"/>
            <w:shd w:val="clear" w:color="auto" w:fill="auto"/>
            <w:vAlign w:val="center"/>
          </w:tcPr>
          <w:p w14:paraId="7EFCA9C7">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通用指标</w:t>
            </w:r>
          </w:p>
        </w:tc>
        <w:tc>
          <w:tcPr>
            <w:tcW w:w="1792" w:type="dxa"/>
            <w:shd w:val="clear" w:color="auto" w:fill="auto"/>
            <w:vAlign w:val="center"/>
          </w:tcPr>
          <w:p w14:paraId="614407CD">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数量指标</w:t>
            </w:r>
          </w:p>
        </w:tc>
        <w:tc>
          <w:tcPr>
            <w:tcW w:w="2720" w:type="dxa"/>
            <w:shd w:val="clear" w:color="auto" w:fill="auto"/>
            <w:vAlign w:val="center"/>
          </w:tcPr>
          <w:p w14:paraId="33B4F69E">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形成成果数据</w:t>
            </w:r>
          </w:p>
        </w:tc>
        <w:tc>
          <w:tcPr>
            <w:tcW w:w="1160" w:type="dxa"/>
          </w:tcPr>
          <w:p w14:paraId="2703FF1A">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eastAsia" w:ascii="宋体" w:hAnsi="宋体" w:eastAsia="宋体" w:cs="Times New Roman"/>
                <w:b w:val="0"/>
                <w:bCs/>
                <w:color w:val="auto"/>
                <w:kern w:val="2"/>
                <w:sz w:val="22"/>
                <w:szCs w:val="22"/>
                <w:highlight w:val="none"/>
                <w:lang w:val="en-US" w:eastAsia="zh-CN" w:bidi="ar-SA"/>
              </w:rPr>
              <w:t>/</w:t>
            </w:r>
          </w:p>
        </w:tc>
        <w:tc>
          <w:tcPr>
            <w:tcW w:w="1293" w:type="dxa"/>
            <w:shd w:val="clear" w:color="auto" w:fill="auto"/>
            <w:vAlign w:val="center"/>
          </w:tcPr>
          <w:p w14:paraId="507B1979">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1000万组</w:t>
            </w:r>
          </w:p>
        </w:tc>
      </w:tr>
      <w:tr w14:paraId="2F65AF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6" w:hRule="atLeast"/>
          <w:jc w:val="center"/>
        </w:trPr>
        <w:tc>
          <w:tcPr>
            <w:tcW w:w="708" w:type="dxa"/>
            <w:shd w:val="clear" w:color="auto" w:fill="auto"/>
            <w:vAlign w:val="center"/>
          </w:tcPr>
          <w:p w14:paraId="0E50E5BA">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4</w:t>
            </w:r>
          </w:p>
        </w:tc>
        <w:tc>
          <w:tcPr>
            <w:tcW w:w="1326" w:type="dxa"/>
            <w:shd w:val="clear" w:color="auto" w:fill="auto"/>
            <w:vAlign w:val="center"/>
          </w:tcPr>
          <w:p w14:paraId="4BE5293D">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行业指标</w:t>
            </w:r>
          </w:p>
        </w:tc>
        <w:tc>
          <w:tcPr>
            <w:tcW w:w="1792" w:type="dxa"/>
            <w:shd w:val="clear" w:color="auto" w:fill="auto"/>
            <w:vAlign w:val="center"/>
          </w:tcPr>
          <w:p w14:paraId="7A7D861E">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质量指标</w:t>
            </w:r>
          </w:p>
        </w:tc>
        <w:tc>
          <w:tcPr>
            <w:tcW w:w="2720" w:type="dxa"/>
            <w:shd w:val="clear" w:color="auto" w:fill="auto"/>
            <w:vAlign w:val="center"/>
          </w:tcPr>
          <w:p w14:paraId="08B43C36">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符合整编规范要求</w:t>
            </w:r>
          </w:p>
        </w:tc>
        <w:tc>
          <w:tcPr>
            <w:tcW w:w="1160" w:type="dxa"/>
          </w:tcPr>
          <w:p w14:paraId="3D6869FD">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eastAsia" w:ascii="宋体" w:hAnsi="宋体" w:eastAsia="宋体" w:cs="Times New Roman"/>
                <w:b w:val="0"/>
                <w:bCs/>
                <w:color w:val="auto"/>
                <w:kern w:val="2"/>
                <w:sz w:val="22"/>
                <w:szCs w:val="22"/>
                <w:highlight w:val="none"/>
                <w:lang w:val="en-US" w:eastAsia="zh-CN" w:bidi="ar-SA"/>
              </w:rPr>
              <w:t>/</w:t>
            </w:r>
          </w:p>
        </w:tc>
        <w:tc>
          <w:tcPr>
            <w:tcW w:w="1293" w:type="dxa"/>
            <w:shd w:val="clear" w:color="auto" w:fill="auto"/>
            <w:vAlign w:val="center"/>
          </w:tcPr>
          <w:p w14:paraId="6DB779E7">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符合</w:t>
            </w:r>
          </w:p>
        </w:tc>
      </w:tr>
      <w:tr w14:paraId="10F49A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6" w:hRule="atLeast"/>
          <w:jc w:val="center"/>
        </w:trPr>
        <w:tc>
          <w:tcPr>
            <w:tcW w:w="708" w:type="dxa"/>
            <w:shd w:val="clear" w:color="auto" w:fill="auto"/>
            <w:vAlign w:val="center"/>
          </w:tcPr>
          <w:p w14:paraId="3C901F54">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5</w:t>
            </w:r>
          </w:p>
        </w:tc>
        <w:tc>
          <w:tcPr>
            <w:tcW w:w="1326" w:type="dxa"/>
            <w:shd w:val="clear" w:color="auto" w:fill="auto"/>
            <w:vAlign w:val="center"/>
          </w:tcPr>
          <w:p w14:paraId="3ECA2BD0">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行业指标</w:t>
            </w:r>
          </w:p>
        </w:tc>
        <w:tc>
          <w:tcPr>
            <w:tcW w:w="1792" w:type="dxa"/>
            <w:shd w:val="clear" w:color="auto" w:fill="auto"/>
            <w:vAlign w:val="center"/>
          </w:tcPr>
          <w:p w14:paraId="3E42CC0D">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时效指标</w:t>
            </w:r>
          </w:p>
        </w:tc>
        <w:tc>
          <w:tcPr>
            <w:tcW w:w="2720" w:type="dxa"/>
            <w:shd w:val="clear" w:color="auto" w:fill="auto"/>
            <w:vAlign w:val="center"/>
          </w:tcPr>
          <w:p w14:paraId="6C561A7A">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整编流程完成最大时间</w:t>
            </w:r>
          </w:p>
        </w:tc>
        <w:tc>
          <w:tcPr>
            <w:tcW w:w="1160" w:type="dxa"/>
          </w:tcPr>
          <w:p w14:paraId="31B2D72B">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eastAsia" w:ascii="宋体" w:hAnsi="宋体" w:eastAsia="宋体" w:cs="Times New Roman"/>
                <w:b w:val="0"/>
                <w:bCs/>
                <w:color w:val="auto"/>
                <w:kern w:val="2"/>
                <w:sz w:val="22"/>
                <w:szCs w:val="22"/>
                <w:highlight w:val="none"/>
                <w:lang w:val="en-US" w:eastAsia="zh-CN" w:bidi="ar-SA"/>
              </w:rPr>
              <w:t>/</w:t>
            </w:r>
          </w:p>
        </w:tc>
        <w:tc>
          <w:tcPr>
            <w:tcW w:w="1293" w:type="dxa"/>
            <w:shd w:val="clear" w:color="auto" w:fill="auto"/>
            <w:vAlign w:val="center"/>
          </w:tcPr>
          <w:p w14:paraId="19E68CD6">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24小时</w:t>
            </w:r>
          </w:p>
        </w:tc>
      </w:tr>
      <w:tr w14:paraId="388F53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6" w:hRule="atLeast"/>
          <w:jc w:val="center"/>
        </w:trPr>
        <w:tc>
          <w:tcPr>
            <w:tcW w:w="708" w:type="dxa"/>
            <w:shd w:val="clear" w:color="auto" w:fill="auto"/>
            <w:vAlign w:val="center"/>
          </w:tcPr>
          <w:p w14:paraId="768393C3">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6</w:t>
            </w:r>
          </w:p>
        </w:tc>
        <w:tc>
          <w:tcPr>
            <w:tcW w:w="1326" w:type="dxa"/>
            <w:shd w:val="clear" w:color="auto" w:fill="auto"/>
            <w:vAlign w:val="center"/>
          </w:tcPr>
          <w:p w14:paraId="0A10EBA6">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行业指标</w:t>
            </w:r>
          </w:p>
        </w:tc>
        <w:tc>
          <w:tcPr>
            <w:tcW w:w="1792" w:type="dxa"/>
            <w:shd w:val="clear" w:color="auto" w:fill="auto"/>
            <w:vAlign w:val="center"/>
          </w:tcPr>
          <w:p w14:paraId="0EEB2E74">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时效指标</w:t>
            </w:r>
          </w:p>
        </w:tc>
        <w:tc>
          <w:tcPr>
            <w:tcW w:w="2720" w:type="dxa"/>
            <w:shd w:val="clear" w:color="auto" w:fill="auto"/>
            <w:vAlign w:val="center"/>
          </w:tcPr>
          <w:p w14:paraId="76559C4E">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资料汇交及时性</w:t>
            </w:r>
          </w:p>
        </w:tc>
        <w:tc>
          <w:tcPr>
            <w:tcW w:w="1160" w:type="dxa"/>
          </w:tcPr>
          <w:p w14:paraId="1473F74B">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eastAsia" w:ascii="宋体" w:hAnsi="宋体" w:eastAsia="宋体" w:cs="Times New Roman"/>
                <w:b w:val="0"/>
                <w:bCs/>
                <w:color w:val="auto"/>
                <w:kern w:val="2"/>
                <w:sz w:val="22"/>
                <w:szCs w:val="22"/>
                <w:highlight w:val="none"/>
                <w:lang w:val="en-US" w:eastAsia="zh-CN" w:bidi="ar-SA"/>
              </w:rPr>
              <w:t>/</w:t>
            </w:r>
          </w:p>
        </w:tc>
        <w:tc>
          <w:tcPr>
            <w:tcW w:w="1293" w:type="dxa"/>
            <w:shd w:val="clear" w:color="auto" w:fill="auto"/>
            <w:vAlign w:val="center"/>
          </w:tcPr>
          <w:p w14:paraId="5D5A9B63">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及时</w:t>
            </w:r>
          </w:p>
        </w:tc>
      </w:tr>
      <w:tr w14:paraId="39DC1C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6" w:hRule="atLeast"/>
          <w:jc w:val="center"/>
        </w:trPr>
        <w:tc>
          <w:tcPr>
            <w:tcW w:w="708" w:type="dxa"/>
            <w:shd w:val="clear" w:color="auto" w:fill="auto"/>
            <w:vAlign w:val="center"/>
          </w:tcPr>
          <w:p w14:paraId="28982D1B">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7</w:t>
            </w:r>
          </w:p>
        </w:tc>
        <w:tc>
          <w:tcPr>
            <w:tcW w:w="1326" w:type="dxa"/>
            <w:shd w:val="clear" w:color="auto" w:fill="auto"/>
            <w:vAlign w:val="center"/>
          </w:tcPr>
          <w:p w14:paraId="4F6C9399">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行业指标</w:t>
            </w:r>
          </w:p>
        </w:tc>
        <w:tc>
          <w:tcPr>
            <w:tcW w:w="1792" w:type="dxa"/>
            <w:shd w:val="clear" w:color="auto" w:fill="auto"/>
            <w:vAlign w:val="center"/>
          </w:tcPr>
          <w:p w14:paraId="17BB3074">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时效指标</w:t>
            </w:r>
          </w:p>
        </w:tc>
        <w:tc>
          <w:tcPr>
            <w:tcW w:w="2720" w:type="dxa"/>
            <w:shd w:val="clear" w:color="auto" w:fill="auto"/>
            <w:vAlign w:val="center"/>
          </w:tcPr>
          <w:p w14:paraId="0C269242">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eastAsia" w:ascii="宋体" w:hAnsi="宋体" w:eastAsia="宋体" w:cs="Times New Roman"/>
                <w:b w:val="0"/>
                <w:bCs/>
                <w:color w:val="auto"/>
                <w:kern w:val="2"/>
                <w:sz w:val="22"/>
                <w:szCs w:val="22"/>
                <w:highlight w:val="none"/>
                <w:lang w:val="en-US" w:eastAsia="zh-CN" w:bidi="ar-SA"/>
              </w:rPr>
              <w:t>形成</w:t>
            </w:r>
            <w:r>
              <w:rPr>
                <w:rFonts w:hint="default" w:ascii="宋体" w:hAnsi="宋体" w:eastAsia="宋体" w:cs="Times New Roman"/>
                <w:b w:val="0"/>
                <w:bCs/>
                <w:color w:val="auto"/>
                <w:kern w:val="2"/>
                <w:sz w:val="22"/>
                <w:szCs w:val="22"/>
                <w:highlight w:val="none"/>
                <w:lang w:val="en-US" w:eastAsia="zh-CN" w:bidi="ar-SA"/>
              </w:rPr>
              <w:t>水情快报</w:t>
            </w:r>
            <w:r>
              <w:rPr>
                <w:rFonts w:hint="eastAsia" w:ascii="宋体" w:hAnsi="宋体" w:eastAsia="宋体" w:cs="Times New Roman"/>
                <w:b w:val="0"/>
                <w:bCs/>
                <w:color w:val="auto"/>
                <w:kern w:val="2"/>
                <w:sz w:val="22"/>
                <w:szCs w:val="22"/>
                <w:highlight w:val="none"/>
                <w:lang w:val="en-US" w:eastAsia="zh-CN" w:bidi="ar-SA"/>
              </w:rPr>
              <w:t>数据</w:t>
            </w:r>
          </w:p>
        </w:tc>
        <w:tc>
          <w:tcPr>
            <w:tcW w:w="1160" w:type="dxa"/>
          </w:tcPr>
          <w:p w14:paraId="11EB0219">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eastAsia" w:ascii="宋体" w:hAnsi="宋体" w:eastAsia="宋体" w:cs="Times New Roman"/>
                <w:b w:val="0"/>
                <w:bCs/>
                <w:color w:val="auto"/>
                <w:kern w:val="2"/>
                <w:sz w:val="22"/>
                <w:szCs w:val="22"/>
                <w:highlight w:val="none"/>
                <w:lang w:val="en-US" w:eastAsia="zh-CN" w:bidi="ar-SA"/>
              </w:rPr>
              <w:t>/</w:t>
            </w:r>
          </w:p>
        </w:tc>
        <w:tc>
          <w:tcPr>
            <w:tcW w:w="1293" w:type="dxa"/>
            <w:shd w:val="clear" w:color="auto" w:fill="auto"/>
            <w:vAlign w:val="center"/>
          </w:tcPr>
          <w:p w14:paraId="500B3E35">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4小时</w:t>
            </w:r>
          </w:p>
        </w:tc>
      </w:tr>
      <w:tr w14:paraId="26412A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6" w:hRule="atLeast"/>
          <w:jc w:val="center"/>
        </w:trPr>
        <w:tc>
          <w:tcPr>
            <w:tcW w:w="708" w:type="dxa"/>
            <w:shd w:val="clear" w:color="auto" w:fill="auto"/>
            <w:vAlign w:val="center"/>
          </w:tcPr>
          <w:p w14:paraId="3D3C21EE">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8</w:t>
            </w:r>
          </w:p>
        </w:tc>
        <w:tc>
          <w:tcPr>
            <w:tcW w:w="1326" w:type="dxa"/>
            <w:shd w:val="clear" w:color="auto" w:fill="auto"/>
            <w:vAlign w:val="center"/>
          </w:tcPr>
          <w:p w14:paraId="019B33F1">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行业指标</w:t>
            </w:r>
          </w:p>
        </w:tc>
        <w:tc>
          <w:tcPr>
            <w:tcW w:w="1792" w:type="dxa"/>
            <w:shd w:val="clear" w:color="auto" w:fill="auto"/>
            <w:vAlign w:val="center"/>
          </w:tcPr>
          <w:p w14:paraId="700B9162">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时效指标</w:t>
            </w:r>
          </w:p>
        </w:tc>
        <w:tc>
          <w:tcPr>
            <w:tcW w:w="2720" w:type="dxa"/>
            <w:shd w:val="clear" w:color="auto" w:fill="auto"/>
            <w:vAlign w:val="center"/>
          </w:tcPr>
          <w:p w14:paraId="2DF32AE1">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eastAsia" w:ascii="宋体" w:hAnsi="宋体" w:eastAsia="宋体" w:cs="Times New Roman"/>
                <w:b w:val="0"/>
                <w:bCs/>
                <w:color w:val="auto"/>
                <w:kern w:val="2"/>
                <w:sz w:val="22"/>
                <w:szCs w:val="22"/>
                <w:highlight w:val="none"/>
                <w:lang w:val="en-US" w:eastAsia="zh-CN" w:bidi="ar-SA"/>
              </w:rPr>
              <w:t>形成</w:t>
            </w:r>
            <w:r>
              <w:rPr>
                <w:rFonts w:hint="default" w:ascii="宋体" w:hAnsi="宋体" w:eastAsia="宋体" w:cs="Times New Roman"/>
                <w:b w:val="0"/>
                <w:bCs/>
                <w:color w:val="auto"/>
                <w:kern w:val="2"/>
                <w:sz w:val="22"/>
                <w:szCs w:val="22"/>
                <w:highlight w:val="none"/>
                <w:lang w:val="en-US" w:eastAsia="zh-CN" w:bidi="ar-SA"/>
              </w:rPr>
              <w:t>水情月报</w:t>
            </w:r>
            <w:r>
              <w:rPr>
                <w:rFonts w:hint="eastAsia" w:ascii="宋体" w:hAnsi="宋体" w:eastAsia="宋体" w:cs="Times New Roman"/>
                <w:b w:val="0"/>
                <w:bCs/>
                <w:color w:val="auto"/>
                <w:kern w:val="2"/>
                <w:sz w:val="22"/>
                <w:szCs w:val="22"/>
                <w:highlight w:val="none"/>
                <w:lang w:val="en-US" w:eastAsia="zh-CN" w:bidi="ar-SA"/>
              </w:rPr>
              <w:t>数据</w:t>
            </w:r>
          </w:p>
        </w:tc>
        <w:tc>
          <w:tcPr>
            <w:tcW w:w="1160" w:type="dxa"/>
          </w:tcPr>
          <w:p w14:paraId="20B0D804">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eastAsia" w:ascii="宋体" w:hAnsi="宋体" w:eastAsia="宋体" w:cs="Times New Roman"/>
                <w:b w:val="0"/>
                <w:bCs/>
                <w:color w:val="auto"/>
                <w:kern w:val="2"/>
                <w:sz w:val="22"/>
                <w:szCs w:val="22"/>
                <w:highlight w:val="none"/>
                <w:lang w:val="en-US" w:eastAsia="zh-CN" w:bidi="ar-SA"/>
              </w:rPr>
              <w:t>/</w:t>
            </w:r>
          </w:p>
        </w:tc>
        <w:tc>
          <w:tcPr>
            <w:tcW w:w="1293" w:type="dxa"/>
            <w:shd w:val="clear" w:color="auto" w:fill="auto"/>
            <w:vAlign w:val="center"/>
          </w:tcPr>
          <w:p w14:paraId="56B2E694">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5个工作日</w:t>
            </w:r>
          </w:p>
        </w:tc>
      </w:tr>
      <w:tr w14:paraId="7D5866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6" w:hRule="atLeast"/>
          <w:jc w:val="center"/>
        </w:trPr>
        <w:tc>
          <w:tcPr>
            <w:tcW w:w="708" w:type="dxa"/>
            <w:shd w:val="clear" w:color="auto" w:fill="auto"/>
            <w:vAlign w:val="center"/>
          </w:tcPr>
          <w:p w14:paraId="7B581984">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9</w:t>
            </w:r>
          </w:p>
        </w:tc>
        <w:tc>
          <w:tcPr>
            <w:tcW w:w="1326" w:type="dxa"/>
            <w:shd w:val="clear" w:color="auto" w:fill="auto"/>
            <w:vAlign w:val="center"/>
          </w:tcPr>
          <w:p w14:paraId="08C63F89">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行业指标</w:t>
            </w:r>
          </w:p>
        </w:tc>
        <w:tc>
          <w:tcPr>
            <w:tcW w:w="1792" w:type="dxa"/>
            <w:shd w:val="clear" w:color="auto" w:fill="auto"/>
            <w:vAlign w:val="center"/>
          </w:tcPr>
          <w:p w14:paraId="0553D3D4">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时效指标</w:t>
            </w:r>
          </w:p>
        </w:tc>
        <w:tc>
          <w:tcPr>
            <w:tcW w:w="2720" w:type="dxa"/>
            <w:shd w:val="clear" w:color="auto" w:fill="auto"/>
            <w:vAlign w:val="center"/>
          </w:tcPr>
          <w:p w14:paraId="127C44EF">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eastAsia" w:ascii="宋体" w:hAnsi="宋体" w:eastAsia="宋体" w:cs="Times New Roman"/>
                <w:b w:val="0"/>
                <w:bCs/>
                <w:color w:val="auto"/>
                <w:kern w:val="2"/>
                <w:sz w:val="22"/>
                <w:szCs w:val="22"/>
                <w:highlight w:val="none"/>
                <w:lang w:val="en-US" w:eastAsia="zh-CN" w:bidi="ar-SA"/>
              </w:rPr>
              <w:t>形成</w:t>
            </w:r>
            <w:r>
              <w:rPr>
                <w:rFonts w:hint="default" w:ascii="宋体" w:hAnsi="宋体" w:eastAsia="宋体" w:cs="Times New Roman"/>
                <w:b w:val="0"/>
                <w:bCs/>
                <w:color w:val="auto"/>
                <w:kern w:val="2"/>
                <w:sz w:val="22"/>
                <w:szCs w:val="22"/>
                <w:highlight w:val="none"/>
                <w:lang w:val="en-US" w:eastAsia="zh-CN" w:bidi="ar-SA"/>
              </w:rPr>
              <w:t>水情专题分析</w:t>
            </w:r>
            <w:r>
              <w:rPr>
                <w:rFonts w:hint="eastAsia" w:ascii="宋体" w:hAnsi="宋体" w:eastAsia="宋体" w:cs="Times New Roman"/>
                <w:b w:val="0"/>
                <w:bCs/>
                <w:color w:val="auto"/>
                <w:kern w:val="2"/>
                <w:sz w:val="22"/>
                <w:szCs w:val="22"/>
                <w:highlight w:val="none"/>
                <w:lang w:val="en-US" w:eastAsia="zh-CN" w:bidi="ar-SA"/>
              </w:rPr>
              <w:t>数据</w:t>
            </w:r>
          </w:p>
        </w:tc>
        <w:tc>
          <w:tcPr>
            <w:tcW w:w="1160" w:type="dxa"/>
          </w:tcPr>
          <w:p w14:paraId="482E82B4">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eastAsia" w:ascii="宋体" w:hAnsi="宋体" w:eastAsia="宋体" w:cs="Times New Roman"/>
                <w:b w:val="0"/>
                <w:bCs/>
                <w:color w:val="auto"/>
                <w:kern w:val="2"/>
                <w:sz w:val="22"/>
                <w:szCs w:val="22"/>
                <w:highlight w:val="none"/>
                <w:lang w:val="en-US" w:eastAsia="zh-CN" w:bidi="ar-SA"/>
              </w:rPr>
              <w:t>/</w:t>
            </w:r>
          </w:p>
        </w:tc>
        <w:tc>
          <w:tcPr>
            <w:tcW w:w="1293" w:type="dxa"/>
            <w:shd w:val="clear" w:color="auto" w:fill="auto"/>
            <w:vAlign w:val="center"/>
          </w:tcPr>
          <w:p w14:paraId="526CC244">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2个工作日</w:t>
            </w:r>
          </w:p>
        </w:tc>
      </w:tr>
      <w:tr w14:paraId="540044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6" w:hRule="atLeast"/>
          <w:jc w:val="center"/>
        </w:trPr>
        <w:tc>
          <w:tcPr>
            <w:tcW w:w="708" w:type="dxa"/>
            <w:shd w:val="clear" w:color="auto" w:fill="auto"/>
            <w:vAlign w:val="center"/>
          </w:tcPr>
          <w:p w14:paraId="68D51639">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10</w:t>
            </w:r>
          </w:p>
        </w:tc>
        <w:tc>
          <w:tcPr>
            <w:tcW w:w="1326" w:type="dxa"/>
            <w:shd w:val="clear" w:color="auto" w:fill="auto"/>
            <w:vAlign w:val="center"/>
          </w:tcPr>
          <w:p w14:paraId="7A87F060">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效益指标</w:t>
            </w:r>
          </w:p>
        </w:tc>
        <w:tc>
          <w:tcPr>
            <w:tcW w:w="1792" w:type="dxa"/>
            <w:shd w:val="clear" w:color="auto" w:fill="auto"/>
            <w:vAlign w:val="center"/>
          </w:tcPr>
          <w:p w14:paraId="2D781B75">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可持续影响指标</w:t>
            </w:r>
          </w:p>
        </w:tc>
        <w:tc>
          <w:tcPr>
            <w:tcW w:w="2720" w:type="dxa"/>
            <w:shd w:val="clear" w:color="auto" w:fill="auto"/>
            <w:vAlign w:val="center"/>
          </w:tcPr>
          <w:p w14:paraId="5F7153E5">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服务支撑</w:t>
            </w:r>
            <w:r>
              <w:rPr>
                <w:rFonts w:hint="eastAsia" w:ascii="宋体" w:hAnsi="宋体" w:eastAsia="宋体" w:cs="Times New Roman"/>
                <w:b w:val="0"/>
                <w:bCs/>
                <w:color w:val="auto"/>
                <w:kern w:val="2"/>
                <w:sz w:val="22"/>
                <w:szCs w:val="22"/>
                <w:highlight w:val="none"/>
                <w:lang w:val="en-US" w:eastAsia="zh-CN" w:bidi="ar-SA"/>
              </w:rPr>
              <w:t>“</w:t>
            </w:r>
            <w:r>
              <w:rPr>
                <w:rFonts w:hint="default" w:ascii="宋体" w:hAnsi="宋体" w:eastAsia="宋体" w:cs="Times New Roman"/>
                <w:b w:val="0"/>
                <w:bCs/>
                <w:color w:val="auto"/>
                <w:kern w:val="2"/>
                <w:sz w:val="22"/>
                <w:szCs w:val="22"/>
                <w:highlight w:val="none"/>
                <w:lang w:val="en-US" w:eastAsia="zh-CN" w:bidi="ar-SA"/>
              </w:rPr>
              <w:t>四预</w:t>
            </w:r>
            <w:r>
              <w:rPr>
                <w:rFonts w:hint="eastAsia" w:ascii="宋体" w:hAnsi="宋体" w:eastAsia="宋体" w:cs="Times New Roman"/>
                <w:b w:val="0"/>
                <w:bCs/>
                <w:color w:val="auto"/>
                <w:kern w:val="2"/>
                <w:sz w:val="22"/>
                <w:szCs w:val="22"/>
                <w:highlight w:val="none"/>
                <w:lang w:val="en-US" w:eastAsia="zh-CN" w:bidi="ar-SA"/>
              </w:rPr>
              <w:t>”</w:t>
            </w:r>
            <w:r>
              <w:rPr>
                <w:rFonts w:hint="default" w:ascii="宋体" w:hAnsi="宋体" w:eastAsia="宋体" w:cs="Times New Roman"/>
                <w:b w:val="0"/>
                <w:bCs/>
                <w:color w:val="auto"/>
                <w:kern w:val="2"/>
                <w:sz w:val="22"/>
                <w:szCs w:val="22"/>
                <w:highlight w:val="none"/>
                <w:lang w:val="en-US" w:eastAsia="zh-CN" w:bidi="ar-SA"/>
              </w:rPr>
              <w:t>工作</w:t>
            </w:r>
          </w:p>
        </w:tc>
        <w:tc>
          <w:tcPr>
            <w:tcW w:w="1160" w:type="dxa"/>
          </w:tcPr>
          <w:p w14:paraId="6FCD371A">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eastAsia" w:ascii="宋体" w:hAnsi="宋体" w:eastAsia="宋体" w:cs="Times New Roman"/>
                <w:b w:val="0"/>
                <w:bCs/>
                <w:color w:val="auto"/>
                <w:kern w:val="2"/>
                <w:sz w:val="22"/>
                <w:szCs w:val="22"/>
                <w:highlight w:val="none"/>
                <w:lang w:val="en-US" w:eastAsia="zh-CN" w:bidi="ar-SA"/>
              </w:rPr>
              <w:t>/</w:t>
            </w:r>
          </w:p>
        </w:tc>
        <w:tc>
          <w:tcPr>
            <w:tcW w:w="1293" w:type="dxa"/>
            <w:shd w:val="clear" w:color="auto" w:fill="auto"/>
            <w:vAlign w:val="center"/>
          </w:tcPr>
          <w:p w14:paraId="44ADC614">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应用</w:t>
            </w:r>
          </w:p>
        </w:tc>
      </w:tr>
      <w:tr w14:paraId="5982E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6" w:hRule="atLeast"/>
          <w:jc w:val="center"/>
        </w:trPr>
        <w:tc>
          <w:tcPr>
            <w:tcW w:w="708" w:type="dxa"/>
            <w:shd w:val="clear" w:color="auto" w:fill="auto"/>
            <w:vAlign w:val="center"/>
          </w:tcPr>
          <w:p w14:paraId="46830DA4">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11</w:t>
            </w:r>
          </w:p>
        </w:tc>
        <w:tc>
          <w:tcPr>
            <w:tcW w:w="1326" w:type="dxa"/>
            <w:shd w:val="clear" w:color="auto" w:fill="auto"/>
            <w:vAlign w:val="center"/>
          </w:tcPr>
          <w:p w14:paraId="1697627B">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效益指标</w:t>
            </w:r>
          </w:p>
        </w:tc>
        <w:tc>
          <w:tcPr>
            <w:tcW w:w="1792" w:type="dxa"/>
            <w:shd w:val="clear" w:color="auto" w:fill="auto"/>
            <w:vAlign w:val="center"/>
          </w:tcPr>
          <w:p w14:paraId="36E9F441">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可持续影响指标</w:t>
            </w:r>
          </w:p>
        </w:tc>
        <w:tc>
          <w:tcPr>
            <w:tcW w:w="2720" w:type="dxa"/>
            <w:shd w:val="clear" w:color="auto" w:fill="auto"/>
            <w:vAlign w:val="center"/>
          </w:tcPr>
          <w:p w14:paraId="255F099E">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在线整编工作机制健全性</w:t>
            </w:r>
          </w:p>
        </w:tc>
        <w:tc>
          <w:tcPr>
            <w:tcW w:w="1160" w:type="dxa"/>
          </w:tcPr>
          <w:p w14:paraId="19CEE7B3">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eastAsia" w:ascii="宋体" w:hAnsi="宋体" w:eastAsia="宋体" w:cs="Times New Roman"/>
                <w:b w:val="0"/>
                <w:bCs/>
                <w:color w:val="auto"/>
                <w:kern w:val="2"/>
                <w:sz w:val="22"/>
                <w:szCs w:val="22"/>
                <w:highlight w:val="none"/>
                <w:lang w:val="en-US" w:eastAsia="zh-CN" w:bidi="ar-SA"/>
              </w:rPr>
              <w:t>/</w:t>
            </w:r>
          </w:p>
        </w:tc>
        <w:tc>
          <w:tcPr>
            <w:tcW w:w="1293" w:type="dxa"/>
            <w:shd w:val="clear" w:color="auto" w:fill="auto"/>
            <w:vAlign w:val="center"/>
          </w:tcPr>
          <w:p w14:paraId="05AAF640">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健全</w:t>
            </w:r>
          </w:p>
        </w:tc>
      </w:tr>
      <w:tr w14:paraId="718B2D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6" w:hRule="atLeast"/>
          <w:jc w:val="center"/>
        </w:trPr>
        <w:tc>
          <w:tcPr>
            <w:tcW w:w="708" w:type="dxa"/>
            <w:shd w:val="clear" w:color="auto" w:fill="auto"/>
            <w:vAlign w:val="center"/>
          </w:tcPr>
          <w:p w14:paraId="7E187EB9">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12</w:t>
            </w:r>
          </w:p>
        </w:tc>
        <w:tc>
          <w:tcPr>
            <w:tcW w:w="1326" w:type="dxa"/>
            <w:shd w:val="clear" w:color="auto" w:fill="auto"/>
            <w:vAlign w:val="center"/>
          </w:tcPr>
          <w:p w14:paraId="54316E89">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满意度指标</w:t>
            </w:r>
          </w:p>
        </w:tc>
        <w:tc>
          <w:tcPr>
            <w:tcW w:w="1792" w:type="dxa"/>
            <w:shd w:val="clear" w:color="auto" w:fill="auto"/>
            <w:vAlign w:val="center"/>
          </w:tcPr>
          <w:p w14:paraId="2CB68EE7">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用户满意度</w:t>
            </w:r>
          </w:p>
        </w:tc>
        <w:tc>
          <w:tcPr>
            <w:tcW w:w="2720" w:type="dxa"/>
            <w:shd w:val="clear" w:color="auto" w:fill="auto"/>
            <w:vAlign w:val="center"/>
          </w:tcPr>
          <w:p w14:paraId="08F86DAF">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用户满意程度</w:t>
            </w:r>
          </w:p>
        </w:tc>
        <w:tc>
          <w:tcPr>
            <w:tcW w:w="1160" w:type="dxa"/>
          </w:tcPr>
          <w:p w14:paraId="6E390D85">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eastAsia" w:ascii="宋体" w:hAnsi="宋体" w:eastAsia="宋体" w:cs="Times New Roman"/>
                <w:b w:val="0"/>
                <w:bCs/>
                <w:color w:val="auto"/>
                <w:kern w:val="2"/>
                <w:sz w:val="22"/>
                <w:szCs w:val="22"/>
                <w:highlight w:val="none"/>
                <w:lang w:val="en-US" w:eastAsia="zh-CN" w:bidi="ar-SA"/>
              </w:rPr>
              <w:t>/</w:t>
            </w:r>
          </w:p>
        </w:tc>
        <w:tc>
          <w:tcPr>
            <w:tcW w:w="1293" w:type="dxa"/>
            <w:shd w:val="clear" w:color="auto" w:fill="auto"/>
            <w:vAlign w:val="center"/>
          </w:tcPr>
          <w:p w14:paraId="68D6C351">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大于80%</w:t>
            </w:r>
          </w:p>
        </w:tc>
      </w:tr>
    </w:tbl>
    <w:p w14:paraId="1D36DE1D">
      <w:pPr>
        <w:pStyle w:val="3"/>
        <w:keepNext/>
        <w:keepLines/>
        <w:pageBreakBefore w:val="0"/>
        <w:widowControl w:val="0"/>
        <w:numPr>
          <w:ilvl w:val="-1"/>
          <w:numId w:val="0"/>
        </w:numPr>
        <w:tabs>
          <w:tab w:val="left" w:pos="1120"/>
          <w:tab w:val="left" w:pos="1400"/>
        </w:tabs>
        <w:kinsoku/>
        <w:wordWrap/>
        <w:overflowPunct/>
        <w:topLinePunct w:val="0"/>
        <w:autoSpaceDE w:val="0"/>
        <w:autoSpaceDN w:val="0"/>
        <w:bidi w:val="0"/>
        <w:adjustRightInd w:val="0"/>
        <w:snapToGrid w:val="0"/>
        <w:spacing w:before="0" w:after="0" w:line="500" w:lineRule="exact"/>
        <w:ind w:left="573"/>
        <w:jc w:val="both"/>
        <w:textAlignment w:val="auto"/>
        <w:rPr>
          <w:rFonts w:hint="default" w:ascii="宋体" w:hAnsi="宋体" w:eastAsia="宋体" w:cs="Times New Roman"/>
          <w:b/>
          <w:bCs w:val="0"/>
          <w:color w:val="auto"/>
          <w:kern w:val="2"/>
          <w:sz w:val="24"/>
          <w:szCs w:val="24"/>
          <w:highlight w:val="none"/>
          <w:lang w:val="en-US" w:eastAsia="zh-CN" w:bidi="ar-SA"/>
        </w:rPr>
      </w:pPr>
      <w:bookmarkStart w:id="13" w:name="_Toc1495682904"/>
      <w:r>
        <w:rPr>
          <w:rFonts w:hint="eastAsia" w:cs="Times New Roman"/>
          <w:b/>
          <w:bCs w:val="0"/>
          <w:color w:val="auto"/>
          <w:kern w:val="2"/>
          <w:sz w:val="24"/>
          <w:szCs w:val="24"/>
          <w:highlight w:val="none"/>
          <w:lang w:val="en-US" w:eastAsia="zh-CN" w:bidi="ar-SA"/>
        </w:rPr>
        <w:t xml:space="preserve">2.2  </w:t>
      </w:r>
      <w:r>
        <w:rPr>
          <w:rFonts w:hint="default" w:ascii="宋体" w:hAnsi="宋体" w:eastAsia="宋体" w:cs="Times New Roman"/>
          <w:b/>
          <w:bCs w:val="0"/>
          <w:color w:val="auto"/>
          <w:kern w:val="2"/>
          <w:sz w:val="24"/>
          <w:szCs w:val="24"/>
          <w:highlight w:val="none"/>
          <w:lang w:val="en-US" w:eastAsia="zh-CN" w:bidi="ar-SA"/>
        </w:rPr>
        <w:t>技术绩效考核目标</w:t>
      </w:r>
      <w:bookmarkEnd w:id="13"/>
    </w:p>
    <w:p w14:paraId="4E4AC8CD">
      <w:pPr>
        <w:ind w:firstLine="482"/>
        <w:rPr>
          <w:rFonts w:hint="default" w:ascii="宋体" w:hAnsi="宋体" w:eastAsia="宋体" w:cs="Times New Roman"/>
          <w:b w:val="0"/>
          <w:bCs/>
          <w:color w:val="auto"/>
          <w:highlight w:val="none"/>
          <w:lang w:val="en-US" w:eastAsia="zh-CN"/>
        </w:rPr>
      </w:pPr>
      <w:r>
        <w:rPr>
          <w:rFonts w:hint="default" w:ascii="宋体" w:hAnsi="宋体" w:eastAsia="宋体" w:cs="Times New Roman"/>
          <w:b w:val="0"/>
          <w:bCs/>
          <w:color w:val="auto"/>
          <w:highlight w:val="none"/>
          <w:lang w:val="en-US" w:eastAsia="zh-CN"/>
        </w:rPr>
        <w:t>本项目技术绩效目标包括并发用户数量、响应时间、不间断运行时间、故障恢复时间、密码应用、操作行为记录等6项，具体如下表所示。</w:t>
      </w:r>
    </w:p>
    <w:p w14:paraId="7961F008">
      <w:pPr>
        <w:pageBreakBefore w:val="0"/>
        <w:kinsoku/>
        <w:wordWrap/>
        <w:overflowPunct/>
        <w:topLinePunct w:val="0"/>
        <w:bidi w:val="0"/>
        <w:snapToGrid w:val="0"/>
        <w:spacing w:line="500" w:lineRule="exact"/>
        <w:ind w:firstLine="560" w:firstLineChars="0"/>
        <w:jc w:val="both"/>
        <w:textAlignment w:val="auto"/>
        <w:rPr>
          <w:rFonts w:hint="default" w:ascii="宋体" w:hAnsi="宋体" w:eastAsia="宋体" w:cs="Times New Roman"/>
          <w:b w:val="0"/>
          <w:bCs/>
          <w:color w:val="auto"/>
          <w:kern w:val="2"/>
          <w:sz w:val="24"/>
          <w:szCs w:val="24"/>
          <w:highlight w:val="none"/>
          <w:lang w:val="en-US" w:eastAsia="zh-CN" w:bidi="ar-SA"/>
        </w:rPr>
      </w:pPr>
    </w:p>
    <w:p w14:paraId="0B74610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宋体" w:hAnsi="宋体" w:eastAsia="宋体" w:cs="Times New Roman"/>
          <w:b w:val="0"/>
          <w:bCs/>
          <w:color w:val="auto"/>
          <w:kern w:val="2"/>
          <w:sz w:val="24"/>
          <w:szCs w:val="24"/>
          <w:highlight w:val="none"/>
          <w:lang w:val="en-US" w:eastAsia="zh-CN" w:bidi="ar-SA"/>
        </w:rPr>
      </w:pPr>
      <w:r>
        <w:rPr>
          <w:rFonts w:hint="default" w:ascii="宋体" w:hAnsi="宋体" w:eastAsia="宋体" w:cs="Times New Roman"/>
          <w:b w:val="0"/>
          <w:bCs/>
          <w:color w:val="auto"/>
          <w:kern w:val="2"/>
          <w:sz w:val="24"/>
          <w:szCs w:val="24"/>
          <w:highlight w:val="none"/>
          <w:lang w:val="en-US" w:eastAsia="zh-CN" w:bidi="ar-SA"/>
        </w:rPr>
        <w:t>表2-2</w:t>
      </w:r>
      <w:r>
        <w:rPr>
          <w:rFonts w:hint="eastAsia" w:ascii="宋体" w:hAnsi="宋体" w:eastAsia="宋体" w:cs="Times New Roman"/>
          <w:b w:val="0"/>
          <w:bCs/>
          <w:color w:val="auto"/>
          <w:kern w:val="2"/>
          <w:sz w:val="24"/>
          <w:szCs w:val="24"/>
          <w:highlight w:val="none"/>
          <w:lang w:val="en-US" w:eastAsia="zh-CN" w:bidi="ar-SA"/>
        </w:rPr>
        <w:t xml:space="preserve"> </w:t>
      </w:r>
      <w:r>
        <w:rPr>
          <w:rFonts w:hint="default" w:ascii="宋体" w:hAnsi="宋体" w:eastAsia="宋体" w:cs="Times New Roman"/>
          <w:b w:val="0"/>
          <w:bCs/>
          <w:color w:val="auto"/>
          <w:kern w:val="2"/>
          <w:sz w:val="24"/>
          <w:szCs w:val="24"/>
          <w:highlight w:val="none"/>
          <w:lang w:val="en-US" w:eastAsia="zh-CN" w:bidi="ar-SA"/>
        </w:rPr>
        <w:t xml:space="preserve">  上海市水文信息平台升级改造技术绩效目标</w:t>
      </w:r>
    </w:p>
    <w:tbl>
      <w:tblPr>
        <w:tblStyle w:val="8"/>
        <w:tblW w:w="833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7"/>
        <w:gridCol w:w="1325"/>
        <w:gridCol w:w="1374"/>
        <w:gridCol w:w="2035"/>
        <w:gridCol w:w="1221"/>
        <w:gridCol w:w="1673"/>
      </w:tblGrid>
      <w:tr w14:paraId="17BB9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9" w:hRule="atLeast"/>
          <w:jc w:val="center"/>
        </w:trPr>
        <w:tc>
          <w:tcPr>
            <w:tcW w:w="2032" w:type="dxa"/>
            <w:gridSpan w:val="2"/>
            <w:shd w:val="clear" w:color="auto" w:fill="auto"/>
            <w:vAlign w:val="center"/>
          </w:tcPr>
          <w:p w14:paraId="4961C140">
            <w:pPr>
              <w:pStyle w:val="12"/>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技术目标</w:t>
            </w:r>
          </w:p>
        </w:tc>
        <w:tc>
          <w:tcPr>
            <w:tcW w:w="6303" w:type="dxa"/>
            <w:gridSpan w:val="4"/>
          </w:tcPr>
          <w:p w14:paraId="73ABBF25">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eastAsia" w:ascii="宋体" w:hAnsi="宋体" w:eastAsia="宋体" w:cs="Times New Roman"/>
                <w:b w:val="0"/>
                <w:bCs/>
                <w:color w:val="auto"/>
                <w:kern w:val="2"/>
                <w:sz w:val="22"/>
                <w:szCs w:val="22"/>
                <w:highlight w:val="none"/>
                <w:lang w:val="en-US" w:eastAsia="zh-CN" w:bidi="ar-SA"/>
              </w:rPr>
              <w:t>具体指标</w:t>
            </w:r>
          </w:p>
        </w:tc>
      </w:tr>
      <w:tr w14:paraId="60F6FB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9" w:hRule="atLeast"/>
          <w:jc w:val="center"/>
        </w:trPr>
        <w:tc>
          <w:tcPr>
            <w:tcW w:w="707" w:type="dxa"/>
            <w:shd w:val="clear" w:color="auto" w:fill="auto"/>
            <w:vAlign w:val="center"/>
          </w:tcPr>
          <w:p w14:paraId="01E186F7">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序号</w:t>
            </w:r>
          </w:p>
        </w:tc>
        <w:tc>
          <w:tcPr>
            <w:tcW w:w="1325" w:type="dxa"/>
            <w:shd w:val="clear" w:color="auto" w:fill="auto"/>
            <w:vAlign w:val="center"/>
          </w:tcPr>
          <w:p w14:paraId="734011E6">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一级指标</w:t>
            </w:r>
          </w:p>
        </w:tc>
        <w:tc>
          <w:tcPr>
            <w:tcW w:w="1374" w:type="dxa"/>
            <w:shd w:val="clear" w:color="auto" w:fill="auto"/>
            <w:vAlign w:val="center"/>
          </w:tcPr>
          <w:p w14:paraId="4907CE79">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二级指标</w:t>
            </w:r>
          </w:p>
        </w:tc>
        <w:tc>
          <w:tcPr>
            <w:tcW w:w="2035" w:type="dxa"/>
            <w:shd w:val="clear" w:color="auto" w:fill="auto"/>
            <w:vAlign w:val="center"/>
          </w:tcPr>
          <w:p w14:paraId="3DD20A3C">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三级指标</w:t>
            </w:r>
          </w:p>
        </w:tc>
        <w:tc>
          <w:tcPr>
            <w:tcW w:w="1221" w:type="dxa"/>
          </w:tcPr>
          <w:p w14:paraId="7DC60664">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四级指标</w:t>
            </w:r>
          </w:p>
        </w:tc>
        <w:tc>
          <w:tcPr>
            <w:tcW w:w="1673" w:type="dxa"/>
            <w:shd w:val="clear" w:color="auto" w:fill="auto"/>
            <w:vAlign w:val="center"/>
          </w:tcPr>
          <w:p w14:paraId="2AC7A9E6">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指标值</w:t>
            </w:r>
          </w:p>
        </w:tc>
      </w:tr>
      <w:tr w14:paraId="7CF0B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9" w:hRule="atLeast"/>
          <w:jc w:val="center"/>
        </w:trPr>
        <w:tc>
          <w:tcPr>
            <w:tcW w:w="707" w:type="dxa"/>
            <w:shd w:val="clear" w:color="auto" w:fill="auto"/>
            <w:vAlign w:val="center"/>
          </w:tcPr>
          <w:p w14:paraId="653D78E9">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1</w:t>
            </w:r>
          </w:p>
        </w:tc>
        <w:tc>
          <w:tcPr>
            <w:tcW w:w="1325" w:type="dxa"/>
            <w:shd w:val="clear" w:color="auto" w:fill="auto"/>
            <w:vAlign w:val="center"/>
          </w:tcPr>
          <w:p w14:paraId="0D46AA18">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通用指标</w:t>
            </w:r>
          </w:p>
        </w:tc>
        <w:tc>
          <w:tcPr>
            <w:tcW w:w="1374" w:type="dxa"/>
            <w:shd w:val="clear" w:color="auto" w:fill="auto"/>
            <w:vAlign w:val="center"/>
          </w:tcPr>
          <w:p w14:paraId="72E854C3">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数量指标</w:t>
            </w:r>
          </w:p>
        </w:tc>
        <w:tc>
          <w:tcPr>
            <w:tcW w:w="2035" w:type="dxa"/>
            <w:shd w:val="clear" w:color="auto" w:fill="auto"/>
            <w:vAlign w:val="center"/>
          </w:tcPr>
          <w:p w14:paraId="408DD594">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并发用户数量</w:t>
            </w:r>
          </w:p>
        </w:tc>
        <w:tc>
          <w:tcPr>
            <w:tcW w:w="1221" w:type="dxa"/>
          </w:tcPr>
          <w:p w14:paraId="0551D743">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eastAsia" w:ascii="宋体" w:hAnsi="宋体" w:eastAsia="宋体" w:cs="Times New Roman"/>
                <w:b w:val="0"/>
                <w:bCs/>
                <w:color w:val="auto"/>
                <w:kern w:val="2"/>
                <w:sz w:val="22"/>
                <w:szCs w:val="22"/>
                <w:highlight w:val="none"/>
                <w:lang w:val="en-US" w:eastAsia="zh-CN" w:bidi="ar-SA"/>
              </w:rPr>
              <w:t>/</w:t>
            </w:r>
          </w:p>
        </w:tc>
        <w:tc>
          <w:tcPr>
            <w:tcW w:w="1673" w:type="dxa"/>
            <w:shd w:val="clear" w:color="auto" w:fill="auto"/>
            <w:vAlign w:val="center"/>
          </w:tcPr>
          <w:p w14:paraId="2C5C608E">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大于100人</w:t>
            </w:r>
          </w:p>
        </w:tc>
      </w:tr>
      <w:tr w14:paraId="3315D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9" w:hRule="atLeast"/>
          <w:jc w:val="center"/>
        </w:trPr>
        <w:tc>
          <w:tcPr>
            <w:tcW w:w="707" w:type="dxa"/>
            <w:shd w:val="clear" w:color="auto" w:fill="auto"/>
            <w:vAlign w:val="center"/>
          </w:tcPr>
          <w:p w14:paraId="3AEBDB32">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2</w:t>
            </w:r>
          </w:p>
        </w:tc>
        <w:tc>
          <w:tcPr>
            <w:tcW w:w="1325" w:type="dxa"/>
            <w:shd w:val="clear" w:color="auto" w:fill="auto"/>
            <w:vAlign w:val="center"/>
          </w:tcPr>
          <w:p w14:paraId="737FBB9C">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通用指标</w:t>
            </w:r>
          </w:p>
        </w:tc>
        <w:tc>
          <w:tcPr>
            <w:tcW w:w="1374" w:type="dxa"/>
            <w:shd w:val="clear" w:color="auto" w:fill="auto"/>
            <w:vAlign w:val="center"/>
          </w:tcPr>
          <w:p w14:paraId="316402D3">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时效指标</w:t>
            </w:r>
          </w:p>
        </w:tc>
        <w:tc>
          <w:tcPr>
            <w:tcW w:w="2035" w:type="dxa"/>
            <w:shd w:val="clear" w:color="auto" w:fill="auto"/>
            <w:vAlign w:val="center"/>
          </w:tcPr>
          <w:p w14:paraId="34E4A635">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响应时间</w:t>
            </w:r>
          </w:p>
        </w:tc>
        <w:tc>
          <w:tcPr>
            <w:tcW w:w="1221" w:type="dxa"/>
          </w:tcPr>
          <w:p w14:paraId="17DF79D8">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eastAsia" w:ascii="宋体" w:hAnsi="宋体" w:eastAsia="宋体" w:cs="Times New Roman"/>
                <w:b w:val="0"/>
                <w:bCs/>
                <w:color w:val="auto"/>
                <w:kern w:val="2"/>
                <w:sz w:val="22"/>
                <w:szCs w:val="22"/>
                <w:highlight w:val="none"/>
                <w:lang w:val="en-US" w:eastAsia="zh-CN" w:bidi="ar-SA"/>
              </w:rPr>
              <w:t>/</w:t>
            </w:r>
          </w:p>
        </w:tc>
        <w:tc>
          <w:tcPr>
            <w:tcW w:w="1673" w:type="dxa"/>
            <w:shd w:val="clear" w:color="auto" w:fill="auto"/>
            <w:vAlign w:val="center"/>
          </w:tcPr>
          <w:p w14:paraId="15FC4E2E">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小于5秒</w:t>
            </w:r>
          </w:p>
        </w:tc>
      </w:tr>
      <w:tr w14:paraId="5AA52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9" w:hRule="atLeast"/>
          <w:jc w:val="center"/>
        </w:trPr>
        <w:tc>
          <w:tcPr>
            <w:tcW w:w="707" w:type="dxa"/>
            <w:shd w:val="clear" w:color="auto" w:fill="auto"/>
            <w:vAlign w:val="center"/>
          </w:tcPr>
          <w:p w14:paraId="216AC1A0">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3</w:t>
            </w:r>
          </w:p>
        </w:tc>
        <w:tc>
          <w:tcPr>
            <w:tcW w:w="1325" w:type="dxa"/>
            <w:shd w:val="clear" w:color="auto" w:fill="auto"/>
            <w:vAlign w:val="center"/>
          </w:tcPr>
          <w:p w14:paraId="5EB7825E">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通用指标</w:t>
            </w:r>
          </w:p>
        </w:tc>
        <w:tc>
          <w:tcPr>
            <w:tcW w:w="1374" w:type="dxa"/>
            <w:shd w:val="clear" w:color="auto" w:fill="auto"/>
            <w:vAlign w:val="center"/>
          </w:tcPr>
          <w:p w14:paraId="27CA4073">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时效指标</w:t>
            </w:r>
          </w:p>
        </w:tc>
        <w:tc>
          <w:tcPr>
            <w:tcW w:w="2035" w:type="dxa"/>
            <w:shd w:val="clear" w:color="auto" w:fill="auto"/>
            <w:vAlign w:val="center"/>
          </w:tcPr>
          <w:p w14:paraId="7AC0C76F">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不间断运行时间</w:t>
            </w:r>
          </w:p>
        </w:tc>
        <w:tc>
          <w:tcPr>
            <w:tcW w:w="1221" w:type="dxa"/>
          </w:tcPr>
          <w:p w14:paraId="2CDEC0C9">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eastAsia" w:ascii="宋体" w:hAnsi="宋体" w:eastAsia="宋体" w:cs="Times New Roman"/>
                <w:b w:val="0"/>
                <w:bCs/>
                <w:color w:val="auto"/>
                <w:kern w:val="2"/>
                <w:sz w:val="22"/>
                <w:szCs w:val="22"/>
                <w:highlight w:val="none"/>
                <w:lang w:val="en-US" w:eastAsia="zh-CN" w:bidi="ar-SA"/>
              </w:rPr>
              <w:t>/</w:t>
            </w:r>
          </w:p>
        </w:tc>
        <w:tc>
          <w:tcPr>
            <w:tcW w:w="1673" w:type="dxa"/>
            <w:shd w:val="clear" w:color="auto" w:fill="auto"/>
            <w:vAlign w:val="center"/>
          </w:tcPr>
          <w:p w14:paraId="3ECBE752">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7*24小时</w:t>
            </w:r>
          </w:p>
        </w:tc>
      </w:tr>
      <w:tr w14:paraId="6A547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9" w:hRule="atLeast"/>
          <w:jc w:val="center"/>
        </w:trPr>
        <w:tc>
          <w:tcPr>
            <w:tcW w:w="707" w:type="dxa"/>
            <w:shd w:val="clear" w:color="auto" w:fill="auto"/>
            <w:vAlign w:val="center"/>
          </w:tcPr>
          <w:p w14:paraId="2D3AED9D">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4</w:t>
            </w:r>
          </w:p>
        </w:tc>
        <w:tc>
          <w:tcPr>
            <w:tcW w:w="1325" w:type="dxa"/>
            <w:shd w:val="clear" w:color="auto" w:fill="auto"/>
            <w:vAlign w:val="center"/>
          </w:tcPr>
          <w:p w14:paraId="6B097FD0">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通用指标</w:t>
            </w:r>
          </w:p>
        </w:tc>
        <w:tc>
          <w:tcPr>
            <w:tcW w:w="1374" w:type="dxa"/>
            <w:shd w:val="clear" w:color="auto" w:fill="auto"/>
            <w:vAlign w:val="center"/>
          </w:tcPr>
          <w:p w14:paraId="667B4654">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质量指标</w:t>
            </w:r>
          </w:p>
        </w:tc>
        <w:tc>
          <w:tcPr>
            <w:tcW w:w="2035" w:type="dxa"/>
            <w:shd w:val="clear" w:color="auto" w:fill="auto"/>
            <w:vAlign w:val="center"/>
          </w:tcPr>
          <w:p w14:paraId="50922E0D">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故障恢复时间</w:t>
            </w:r>
          </w:p>
        </w:tc>
        <w:tc>
          <w:tcPr>
            <w:tcW w:w="1221" w:type="dxa"/>
          </w:tcPr>
          <w:p w14:paraId="3AFF374D">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eastAsia" w:ascii="宋体" w:hAnsi="宋体" w:eastAsia="宋体" w:cs="Times New Roman"/>
                <w:b w:val="0"/>
                <w:bCs/>
                <w:color w:val="auto"/>
                <w:kern w:val="2"/>
                <w:sz w:val="22"/>
                <w:szCs w:val="22"/>
                <w:highlight w:val="none"/>
                <w:lang w:val="en-US" w:eastAsia="zh-CN" w:bidi="ar-SA"/>
              </w:rPr>
              <w:t>/</w:t>
            </w:r>
          </w:p>
        </w:tc>
        <w:tc>
          <w:tcPr>
            <w:tcW w:w="1673" w:type="dxa"/>
            <w:shd w:val="clear" w:color="auto" w:fill="auto"/>
            <w:vAlign w:val="center"/>
          </w:tcPr>
          <w:p w14:paraId="0EC78192">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小于1小时</w:t>
            </w:r>
          </w:p>
        </w:tc>
      </w:tr>
      <w:tr w14:paraId="0A02C6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9" w:hRule="atLeast"/>
          <w:jc w:val="center"/>
        </w:trPr>
        <w:tc>
          <w:tcPr>
            <w:tcW w:w="707" w:type="dxa"/>
            <w:shd w:val="clear" w:color="auto" w:fill="auto"/>
            <w:vAlign w:val="center"/>
          </w:tcPr>
          <w:p w14:paraId="2F136B26">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5</w:t>
            </w:r>
          </w:p>
        </w:tc>
        <w:tc>
          <w:tcPr>
            <w:tcW w:w="1325" w:type="dxa"/>
            <w:shd w:val="clear" w:color="auto" w:fill="auto"/>
            <w:vAlign w:val="center"/>
          </w:tcPr>
          <w:p w14:paraId="29FB3452">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安全指标</w:t>
            </w:r>
          </w:p>
        </w:tc>
        <w:tc>
          <w:tcPr>
            <w:tcW w:w="1374" w:type="dxa"/>
            <w:shd w:val="clear" w:color="auto" w:fill="auto"/>
            <w:vAlign w:val="center"/>
          </w:tcPr>
          <w:p w14:paraId="2B0D9A25">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数据保护</w:t>
            </w:r>
          </w:p>
        </w:tc>
        <w:tc>
          <w:tcPr>
            <w:tcW w:w="2035" w:type="dxa"/>
            <w:shd w:val="clear" w:color="auto" w:fill="auto"/>
            <w:vAlign w:val="center"/>
          </w:tcPr>
          <w:p w14:paraId="4D016815">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密码应用</w:t>
            </w:r>
          </w:p>
        </w:tc>
        <w:tc>
          <w:tcPr>
            <w:tcW w:w="1221" w:type="dxa"/>
          </w:tcPr>
          <w:p w14:paraId="09E162D0">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eastAsia" w:ascii="宋体" w:hAnsi="宋体" w:eastAsia="宋体" w:cs="Times New Roman"/>
                <w:b w:val="0"/>
                <w:bCs/>
                <w:color w:val="auto"/>
                <w:kern w:val="2"/>
                <w:sz w:val="22"/>
                <w:szCs w:val="22"/>
                <w:highlight w:val="none"/>
                <w:lang w:val="en-US" w:eastAsia="zh-CN" w:bidi="ar-SA"/>
              </w:rPr>
              <w:t>/</w:t>
            </w:r>
          </w:p>
        </w:tc>
        <w:tc>
          <w:tcPr>
            <w:tcW w:w="1673" w:type="dxa"/>
            <w:shd w:val="clear" w:color="auto" w:fill="auto"/>
            <w:vAlign w:val="center"/>
          </w:tcPr>
          <w:p w14:paraId="4287DB37">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满足</w:t>
            </w:r>
          </w:p>
        </w:tc>
      </w:tr>
      <w:tr w14:paraId="580F81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9" w:hRule="atLeast"/>
          <w:jc w:val="center"/>
        </w:trPr>
        <w:tc>
          <w:tcPr>
            <w:tcW w:w="707" w:type="dxa"/>
            <w:shd w:val="clear" w:color="auto" w:fill="auto"/>
            <w:vAlign w:val="center"/>
          </w:tcPr>
          <w:p w14:paraId="67D33D70">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6</w:t>
            </w:r>
          </w:p>
        </w:tc>
        <w:tc>
          <w:tcPr>
            <w:tcW w:w="1325" w:type="dxa"/>
            <w:shd w:val="clear" w:color="auto" w:fill="auto"/>
            <w:vAlign w:val="center"/>
          </w:tcPr>
          <w:p w14:paraId="68532671">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安全指标</w:t>
            </w:r>
          </w:p>
        </w:tc>
        <w:tc>
          <w:tcPr>
            <w:tcW w:w="1374" w:type="dxa"/>
            <w:shd w:val="clear" w:color="auto" w:fill="auto"/>
            <w:vAlign w:val="center"/>
          </w:tcPr>
          <w:p w14:paraId="554B6FFC">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行为审计</w:t>
            </w:r>
          </w:p>
        </w:tc>
        <w:tc>
          <w:tcPr>
            <w:tcW w:w="2035" w:type="dxa"/>
            <w:shd w:val="clear" w:color="auto" w:fill="auto"/>
            <w:vAlign w:val="center"/>
          </w:tcPr>
          <w:p w14:paraId="59F9F607">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操作行为记录</w:t>
            </w:r>
          </w:p>
        </w:tc>
        <w:tc>
          <w:tcPr>
            <w:tcW w:w="1221" w:type="dxa"/>
          </w:tcPr>
          <w:p w14:paraId="3088E599">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eastAsia" w:ascii="宋体" w:hAnsi="宋体" w:eastAsia="宋体" w:cs="Times New Roman"/>
                <w:b w:val="0"/>
                <w:bCs/>
                <w:color w:val="auto"/>
                <w:kern w:val="2"/>
                <w:sz w:val="22"/>
                <w:szCs w:val="22"/>
                <w:highlight w:val="none"/>
                <w:lang w:val="en-US" w:eastAsia="zh-CN" w:bidi="ar-SA"/>
              </w:rPr>
              <w:t>/</w:t>
            </w:r>
          </w:p>
        </w:tc>
        <w:tc>
          <w:tcPr>
            <w:tcW w:w="1673" w:type="dxa"/>
            <w:shd w:val="clear" w:color="auto" w:fill="auto"/>
            <w:vAlign w:val="center"/>
          </w:tcPr>
          <w:p w14:paraId="1E3F886B">
            <w:pPr>
              <w:pStyle w:val="12"/>
              <w:widowControl w:val="0"/>
              <w:jc w:val="center"/>
              <w:rPr>
                <w:rFonts w:hint="default" w:ascii="宋体" w:hAnsi="宋体" w:eastAsia="宋体" w:cs="Times New Roman"/>
                <w:b w:val="0"/>
                <w:bCs/>
                <w:color w:val="auto"/>
                <w:kern w:val="2"/>
                <w:sz w:val="22"/>
                <w:szCs w:val="22"/>
                <w:highlight w:val="none"/>
                <w:lang w:val="en-US" w:eastAsia="zh-CN" w:bidi="ar-SA"/>
              </w:rPr>
            </w:pPr>
            <w:r>
              <w:rPr>
                <w:rFonts w:hint="default" w:ascii="宋体" w:hAnsi="宋体" w:eastAsia="宋体" w:cs="Times New Roman"/>
                <w:b w:val="0"/>
                <w:bCs/>
                <w:color w:val="auto"/>
                <w:kern w:val="2"/>
                <w:sz w:val="22"/>
                <w:szCs w:val="22"/>
                <w:highlight w:val="none"/>
                <w:lang w:val="en-US" w:eastAsia="zh-CN" w:bidi="ar-SA"/>
              </w:rPr>
              <w:t>具备</w:t>
            </w:r>
          </w:p>
        </w:tc>
      </w:tr>
    </w:tbl>
    <w:p w14:paraId="0B3639CF">
      <w:pPr>
        <w:ind w:firstLine="482"/>
        <w:rPr>
          <w:rFonts w:hint="eastAsia"/>
          <w:b w:val="0"/>
          <w:bCs/>
          <w:color w:val="auto"/>
          <w:highlight w:val="none"/>
        </w:rPr>
      </w:pPr>
    </w:p>
    <w:p w14:paraId="1C3A0EFD">
      <w:pPr>
        <w:pStyle w:val="2"/>
        <w:ind w:left="314" w:leftChars="131" w:firstLine="163" w:firstLineChars="51"/>
        <w:rPr>
          <w:color w:val="auto"/>
          <w:highlight w:val="none"/>
        </w:rPr>
      </w:pPr>
      <w:bookmarkStart w:id="14" w:name="_Toc47533288"/>
      <w:bookmarkEnd w:id="14"/>
      <w:bookmarkStart w:id="15" w:name="_Toc47539102"/>
      <w:bookmarkEnd w:id="15"/>
      <w:bookmarkStart w:id="16" w:name="_Toc47532923"/>
      <w:bookmarkEnd w:id="16"/>
      <w:bookmarkStart w:id="17" w:name="_Toc47536676"/>
      <w:bookmarkEnd w:id="17"/>
      <w:bookmarkStart w:id="18" w:name="_Toc47536304"/>
      <w:bookmarkEnd w:id="18"/>
      <w:bookmarkStart w:id="19" w:name="_Toc47537166"/>
      <w:bookmarkEnd w:id="19"/>
      <w:r>
        <w:rPr>
          <w:rFonts w:hint="eastAsia"/>
          <w:color w:val="auto"/>
          <w:highlight w:val="none"/>
        </w:rPr>
        <w:t>项目建设内容</w:t>
      </w:r>
    </w:p>
    <w:p w14:paraId="28527121">
      <w:pPr>
        <w:ind w:left="0" w:leftChars="0" w:firstLine="480" w:firstLineChars="200"/>
        <w:rPr>
          <w:rFonts w:hint="default"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bCs/>
          <w:color w:val="auto"/>
          <w:highlight w:val="none"/>
          <w:lang w:eastAsia="zh-CN"/>
        </w:rPr>
        <w:t>系统开发总体要求：</w:t>
      </w:r>
      <w:r>
        <w:rPr>
          <w:rFonts w:hint="default" w:ascii="宋体" w:hAnsi="宋体" w:eastAsia="宋体" w:cs="Times New Roman"/>
          <w:color w:val="auto"/>
          <w:highlight w:val="none"/>
          <w:lang w:eastAsia="zh-CN"/>
        </w:rPr>
        <w:t>立足于</w:t>
      </w:r>
      <w:r>
        <w:rPr>
          <w:rFonts w:hint="eastAsia" w:ascii="宋体" w:hAnsi="宋体" w:eastAsia="宋体" w:cs="Times New Roman"/>
          <w:color w:val="auto"/>
          <w:highlight w:val="none"/>
          <w:lang w:eastAsia="zh-CN"/>
        </w:rPr>
        <w:t>水文资料</w:t>
      </w:r>
      <w:r>
        <w:rPr>
          <w:rFonts w:hint="eastAsia" w:cs="Times New Roman"/>
          <w:color w:val="auto"/>
          <w:highlight w:val="none"/>
          <w:lang w:eastAsia="zh-CN"/>
        </w:rPr>
        <w:t>在线自动</w:t>
      </w:r>
      <w:r>
        <w:rPr>
          <w:rFonts w:hint="eastAsia" w:ascii="宋体" w:hAnsi="宋体" w:eastAsia="宋体" w:cs="Times New Roman"/>
          <w:color w:val="auto"/>
          <w:highlight w:val="none"/>
          <w:lang w:eastAsia="zh-CN"/>
        </w:rPr>
        <w:t>整编、水情分析</w:t>
      </w:r>
      <w:r>
        <w:rPr>
          <w:rFonts w:hint="default" w:ascii="宋体" w:hAnsi="宋体" w:eastAsia="宋体" w:cs="Times New Roman"/>
          <w:color w:val="auto"/>
          <w:highlight w:val="none"/>
          <w:lang w:eastAsia="zh-CN"/>
        </w:rPr>
        <w:t>工作需求，</w:t>
      </w:r>
      <w:r>
        <w:rPr>
          <w:rFonts w:hint="default" w:ascii="Times New Roman" w:hAnsi="Times New Roman" w:cs="Times New Roman"/>
          <w:color w:val="auto"/>
          <w:highlight w:val="none"/>
        </w:rPr>
        <w:t>按照市、区水文资料整编工作体系和技术规范要求进行业务流程</w:t>
      </w:r>
      <w:r>
        <w:rPr>
          <w:rFonts w:hint="default" w:ascii="Times New Roman" w:hAnsi="Times New Roman" w:cs="Times New Roman"/>
          <w:color w:val="auto"/>
          <w:highlight w:val="none"/>
          <w:lang w:eastAsia="zh-CN"/>
        </w:rPr>
        <w:t>梳理和规则构建</w:t>
      </w:r>
      <w:r>
        <w:rPr>
          <w:rFonts w:hint="eastAsia" w:ascii="Times New Roman" w:hAnsi="Times New Roman" w:cs="Times New Roman"/>
          <w:color w:val="auto"/>
          <w:highlight w:val="none"/>
          <w:lang w:eastAsia="zh-CN"/>
        </w:rPr>
        <w:t>。</w:t>
      </w:r>
      <w:r>
        <w:rPr>
          <w:rFonts w:hint="eastAsia" w:ascii="Times New Roman" w:hAnsi="Times New Roman" w:cs="Times New Roman"/>
          <w:b/>
          <w:bCs/>
          <w:color w:val="auto"/>
          <w:highlight w:val="none"/>
          <w:lang w:eastAsia="zh-CN"/>
        </w:rPr>
        <w:t>一是</w:t>
      </w:r>
      <w:r>
        <w:rPr>
          <w:rFonts w:hint="eastAsia" w:ascii="宋体" w:hAnsi="宋体" w:eastAsia="宋体" w:cs="Times New Roman"/>
          <w:b w:val="0"/>
          <w:bCs w:val="0"/>
          <w:color w:val="auto"/>
          <w:kern w:val="2"/>
          <w:sz w:val="24"/>
          <w:szCs w:val="24"/>
          <w:highlight w:val="none"/>
          <w:lang w:val="en-US" w:eastAsia="zh-CN" w:bidi="ar-SA"/>
        </w:rPr>
        <w:t>在业务功能上，确保新增功能与</w:t>
      </w:r>
      <w:r>
        <w:rPr>
          <w:rFonts w:hint="eastAsia" w:cs="Times New Roman"/>
          <w:b w:val="0"/>
          <w:bCs w:val="0"/>
          <w:color w:val="auto"/>
          <w:kern w:val="2"/>
          <w:sz w:val="24"/>
          <w:szCs w:val="24"/>
          <w:highlight w:val="none"/>
          <w:lang w:val="en-US" w:eastAsia="zh-CN" w:bidi="ar-SA"/>
        </w:rPr>
        <w:t>水文总站</w:t>
      </w:r>
      <w:r>
        <w:rPr>
          <w:rFonts w:hint="eastAsia" w:ascii="宋体" w:hAnsi="宋体" w:eastAsia="宋体" w:cs="Times New Roman"/>
          <w:b w:val="0"/>
          <w:bCs w:val="0"/>
          <w:color w:val="auto"/>
          <w:kern w:val="2"/>
          <w:sz w:val="24"/>
          <w:szCs w:val="24"/>
          <w:highlight w:val="none"/>
          <w:lang w:val="en-US" w:eastAsia="zh-CN" w:bidi="ar-SA"/>
        </w:rPr>
        <w:t>已有业务系统功能有效融合对接；</w:t>
      </w:r>
      <w:r>
        <w:rPr>
          <w:rFonts w:hint="eastAsia" w:ascii="宋体" w:hAnsi="宋体" w:eastAsia="宋体" w:cs="Times New Roman"/>
          <w:b/>
          <w:bCs/>
          <w:color w:val="auto"/>
          <w:kern w:val="2"/>
          <w:sz w:val="24"/>
          <w:szCs w:val="24"/>
          <w:highlight w:val="none"/>
          <w:lang w:val="en-US" w:eastAsia="zh-CN" w:bidi="ar-SA"/>
        </w:rPr>
        <w:t>二是</w:t>
      </w:r>
      <w:r>
        <w:rPr>
          <w:rFonts w:hint="eastAsia" w:ascii="宋体" w:hAnsi="宋体" w:eastAsia="宋体" w:cs="Times New Roman"/>
          <w:b w:val="0"/>
          <w:bCs w:val="0"/>
          <w:color w:val="auto"/>
          <w:kern w:val="2"/>
          <w:sz w:val="24"/>
          <w:szCs w:val="24"/>
          <w:highlight w:val="none"/>
          <w:lang w:val="en-US" w:eastAsia="zh-CN" w:bidi="ar-SA"/>
        </w:rPr>
        <w:t>应用系统软件开发设计必须符合上海市水务局、大数据中心等现有的信息化标准、规范和信创要求；</w:t>
      </w:r>
      <w:r>
        <w:rPr>
          <w:rFonts w:hint="eastAsia" w:ascii="宋体" w:hAnsi="宋体" w:eastAsia="宋体" w:cs="Times New Roman"/>
          <w:b/>
          <w:bCs/>
          <w:color w:val="auto"/>
          <w:kern w:val="2"/>
          <w:sz w:val="24"/>
          <w:szCs w:val="24"/>
          <w:highlight w:val="none"/>
          <w:lang w:val="en-US" w:eastAsia="zh-CN" w:bidi="ar-SA"/>
        </w:rPr>
        <w:t>三是</w:t>
      </w:r>
      <w:r>
        <w:rPr>
          <w:rFonts w:hint="eastAsia" w:ascii="宋体" w:hAnsi="宋体" w:eastAsia="宋体" w:cs="Times New Roman"/>
          <w:b w:val="0"/>
          <w:bCs w:val="0"/>
          <w:color w:val="auto"/>
          <w:kern w:val="2"/>
          <w:sz w:val="24"/>
          <w:szCs w:val="24"/>
          <w:highlight w:val="none"/>
          <w:lang w:val="en-US" w:eastAsia="zh-CN" w:bidi="ar-SA"/>
        </w:rPr>
        <w:t>数据库设计建设上，遵循现行的国家、水文行业相关标准和规范，结合本期建设业务需求，对数据库进行整合和完善，加强对数据分析和相关应用的支撑能力。</w:t>
      </w:r>
    </w:p>
    <w:p w14:paraId="0BDB29B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b/>
          <w:color w:val="auto"/>
          <w:highlight w:val="none"/>
        </w:rPr>
      </w:pPr>
      <w:r>
        <w:rPr>
          <w:rFonts w:hint="eastAsia"/>
          <w:b/>
          <w:color w:val="auto"/>
          <w:highlight w:val="none"/>
          <w:lang w:val="en-US" w:eastAsia="zh-CN"/>
        </w:rPr>
        <w:t xml:space="preserve">3.1  </w:t>
      </w:r>
      <w:r>
        <w:rPr>
          <w:rFonts w:hint="eastAsia"/>
          <w:b/>
          <w:color w:val="auto"/>
          <w:highlight w:val="none"/>
        </w:rPr>
        <w:t>软件开发清单</w:t>
      </w:r>
    </w:p>
    <w:p w14:paraId="6A5E048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b/>
          <w:color w:val="auto"/>
          <w:highlight w:val="none"/>
        </w:rPr>
      </w:pPr>
    </w:p>
    <w:p w14:paraId="40D69827">
      <w:pPr>
        <w:pStyle w:val="5"/>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eastAsia"/>
          <w:color w:val="auto"/>
          <w:highlight w:val="none"/>
        </w:rPr>
      </w:pPr>
      <w:r>
        <w:rPr>
          <w:rFonts w:hint="default" w:ascii="宋体" w:hAnsi="宋体" w:eastAsia="宋体" w:cs="Times New Roman"/>
          <w:b w:val="0"/>
          <w:bCs/>
          <w:color w:val="auto"/>
          <w:kern w:val="2"/>
          <w:sz w:val="24"/>
          <w:szCs w:val="24"/>
          <w:highlight w:val="none"/>
          <w:lang w:val="en-US" w:eastAsia="zh-CN" w:bidi="ar-SA"/>
        </w:rPr>
        <w:t>表</w:t>
      </w:r>
      <w:r>
        <w:rPr>
          <w:rFonts w:hint="eastAsia" w:ascii="宋体" w:hAnsi="宋体" w:eastAsia="宋体" w:cs="Times New Roman"/>
          <w:b w:val="0"/>
          <w:bCs/>
          <w:color w:val="auto"/>
          <w:kern w:val="2"/>
          <w:sz w:val="24"/>
          <w:szCs w:val="24"/>
          <w:highlight w:val="none"/>
          <w:lang w:val="en-US" w:eastAsia="zh-CN" w:bidi="ar-SA"/>
        </w:rPr>
        <w:t>3</w:t>
      </w:r>
      <w:r>
        <w:rPr>
          <w:rFonts w:hint="default" w:ascii="宋体" w:hAnsi="宋体" w:eastAsia="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 xml:space="preserve">1 </w:t>
      </w:r>
      <w:r>
        <w:rPr>
          <w:rFonts w:hint="default" w:ascii="宋体" w:hAnsi="宋体" w:eastAsia="宋体" w:cs="Times New Roman"/>
          <w:b w:val="0"/>
          <w:bCs/>
          <w:color w:val="auto"/>
          <w:kern w:val="2"/>
          <w:sz w:val="24"/>
          <w:szCs w:val="24"/>
          <w:highlight w:val="none"/>
          <w:lang w:val="en-US" w:eastAsia="zh-CN" w:bidi="ar-SA"/>
        </w:rPr>
        <w:t xml:space="preserve">  上海市水文信息平台</w:t>
      </w:r>
      <w:r>
        <w:rPr>
          <w:rFonts w:hint="eastAsia" w:ascii="宋体" w:hAnsi="宋体" w:eastAsia="宋体" w:cs="Times New Roman"/>
          <w:b w:val="0"/>
          <w:bCs/>
          <w:color w:val="auto"/>
          <w:kern w:val="2"/>
          <w:sz w:val="24"/>
          <w:szCs w:val="24"/>
          <w:highlight w:val="none"/>
          <w:lang w:val="en-US" w:eastAsia="zh-CN" w:bidi="ar-SA"/>
        </w:rPr>
        <w:t>（</w:t>
      </w:r>
      <w:r>
        <w:rPr>
          <w:rFonts w:hint="default" w:ascii="宋体" w:hAnsi="宋体" w:eastAsia="宋体" w:cs="Times New Roman"/>
          <w:b w:val="0"/>
          <w:bCs/>
          <w:color w:val="auto"/>
          <w:kern w:val="2"/>
          <w:sz w:val="24"/>
          <w:szCs w:val="24"/>
          <w:highlight w:val="none"/>
          <w:lang w:val="en-US" w:eastAsia="zh-CN" w:bidi="ar-SA"/>
        </w:rPr>
        <w:t>升级改造</w:t>
      </w:r>
      <w:r>
        <w:rPr>
          <w:rFonts w:hint="eastAsia" w:ascii="宋体" w:hAnsi="宋体" w:eastAsia="宋体" w:cs="Times New Roman"/>
          <w:b w:val="0"/>
          <w:bCs/>
          <w:color w:val="auto"/>
          <w:kern w:val="2"/>
          <w:sz w:val="24"/>
          <w:szCs w:val="24"/>
          <w:highlight w:val="none"/>
          <w:lang w:val="en-US" w:eastAsia="zh-CN" w:bidi="ar-SA"/>
        </w:rPr>
        <w:t>）建设清单</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7"/>
        <w:gridCol w:w="666"/>
        <w:gridCol w:w="1279"/>
        <w:gridCol w:w="6156"/>
      </w:tblGrid>
      <w:tr w14:paraId="1319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BC7B">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序号</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460E">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模块名称</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B947">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功能名称</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0649">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功能描述</w:t>
            </w:r>
          </w:p>
        </w:tc>
      </w:tr>
      <w:tr w14:paraId="669BB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7E11">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01888">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信创改造</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2122">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非文本数据处理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AEB6">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能够对非文本数据进行处理并转存到文件服务器。</w:t>
            </w:r>
          </w:p>
        </w:tc>
      </w:tr>
      <w:tr w14:paraId="115B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343B">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13341">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077B">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各种传输协议支持</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DBD4">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支持SQL、FTP等传输协议，保证系统的兼容性和可扩展性。</w:t>
            </w:r>
          </w:p>
        </w:tc>
      </w:tr>
      <w:tr w14:paraId="0DEEF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34B6">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58726">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048A">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关系型数据解析</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60C8">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将接收到的各类关系数据文件解析转换提交给数据汇集服务。</w:t>
            </w:r>
          </w:p>
        </w:tc>
      </w:tr>
      <w:tr w14:paraId="26AA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CAD7">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F6106">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DD8F">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数据加密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2D1A">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由于长系列的水文数据具有保密性要求，在传输过程中要提供数据加密能力，根据服务请求要求，对数据进行加密存储服务。</w:t>
            </w:r>
          </w:p>
        </w:tc>
      </w:tr>
      <w:tr w14:paraId="1FF75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3400">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2E3AB">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9FF5">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数据接口定义</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A562">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能够将需要访问的水文数据进行接口适配定义，通过相应的协议或标准接口将传输的数据以一定的格式、协议传输，从而满足数据汇集的需求。</w:t>
            </w:r>
          </w:p>
        </w:tc>
      </w:tr>
      <w:tr w14:paraId="4B548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ADE6">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11C2A">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8617">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数据解密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7952">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相对应加密服务，能够提供数据解密能力，根据服务请求，对加密数据进行解密存储服务。</w:t>
            </w:r>
          </w:p>
        </w:tc>
      </w:tr>
      <w:tr w14:paraId="313F6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1666">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7</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E10A7">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A579">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数据验证</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7B50">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在提供数据访问，能够优先检查请求者访问数据的权限，对通过数据权限检验的，才提供相应的请求服务，确保数据被访问的安全。</w:t>
            </w:r>
          </w:p>
        </w:tc>
      </w:tr>
      <w:tr w14:paraId="4388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426E">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8</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BDA7F">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2159">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数据字典管理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6756">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建立数据字典，表明数据元素和数据结构组成，列出清单，明确细节和相互关系。</w:t>
            </w:r>
          </w:p>
        </w:tc>
      </w:tr>
      <w:tr w14:paraId="6152D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551A">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9</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C8D61">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604F">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同步分发管理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47D4">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能够对数据的同步和分发进行有规则的管理，将水文等数据按各系统需求推送到相应专题数据库中，实现数据的同步分发。包含：分发服务注册、分发服务查询、分发服务策略定制。</w:t>
            </w:r>
          </w:p>
        </w:tc>
      </w:tr>
      <w:tr w14:paraId="6C71B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B409">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F6D13">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E2BF">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文本数据解析</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A3C1">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实现文本文件解析。</w:t>
            </w:r>
          </w:p>
        </w:tc>
      </w:tr>
      <w:tr w14:paraId="2D3CA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7BCA">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11</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F1A87">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8E22">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数据许可权限管理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D53B">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通过Web Service的方式定制数据访问接口。通过用户名、密码认证后，通过Web Service接口读取数据，完成数据共享。</w:t>
            </w:r>
          </w:p>
        </w:tc>
      </w:tr>
      <w:tr w14:paraId="0ED24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E7A7">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12</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A4CC7">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C696">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服务器配置</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AE9C">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显示服务器和系统的运行状态，对服务器中数据库IP、端口、用户名、密码等信息进行管理。</w:t>
            </w:r>
          </w:p>
        </w:tc>
      </w:tr>
      <w:tr w14:paraId="5FC9D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5471">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13</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D31DA">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986C">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文件路径设置</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0A59">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能够设置资料导入、导出的系统默认路径。系统提供两种方式，一是按文件大类管理路径；二是按成果表进行管理文件路径。</w:t>
            </w:r>
          </w:p>
        </w:tc>
      </w:tr>
      <w:tr w14:paraId="50ED0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0C91">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14</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02542">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AB3A">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数据库适配改造</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811A">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基于信创要求，数据库表的设计根据新增或者优化的业务功能进行优化或者扩展</w:t>
            </w:r>
          </w:p>
        </w:tc>
      </w:tr>
      <w:tr w14:paraId="6CD19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3A66">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44DF6">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FE5C">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历史数据迁移</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28E8">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对系统中现有数据迁移到信创环境中</w:t>
            </w:r>
          </w:p>
        </w:tc>
      </w:tr>
      <w:tr w14:paraId="62310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BB25">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16</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5465D">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功能优化</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3F44">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数据传输</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B7FB">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确保数据在不同系统传输同时要保证数据的完整性。数据交换传输模式支持任务区块完成，以及支持数据交换前后的记录与跟踪管理等功能。</w:t>
            </w:r>
          </w:p>
        </w:tc>
      </w:tr>
      <w:tr w14:paraId="5CA68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253D">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17</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751F3">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A615">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数据存储入库</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E9A7">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能够将同步的水文、水尺考证、水温、断面测量、水位面积关系、流量比测、走航ADCP、代表流速关系等数据统一存储到综合数据库中。数据存储入库支持按流程提出存储任务需求，经过审批后方可执行存储任务。同时支持对存储任务进行记录与跟踪管理等功能。</w:t>
            </w:r>
          </w:p>
        </w:tc>
      </w:tr>
      <w:tr w14:paraId="38B97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F3BC">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18</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97DCA">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9578">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数据任务管理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CB7E">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根据对整编数据操作流程的不同，针对流量、水位、潮位、降雨、水温、蒸发等数据资料发起修改、计算、订正任务，并统计任务完成情况。</w:t>
            </w:r>
          </w:p>
        </w:tc>
      </w:tr>
      <w:tr w14:paraId="22FE8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B1EA">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19</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9C23F">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EFB8">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流程任务管理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1CD0">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根据对整编数据操作流程的不同，针对整编数据发起填报、校对、审查、复审任务，并统计任务完成情况。</w:t>
            </w:r>
          </w:p>
        </w:tc>
      </w:tr>
      <w:tr w14:paraId="6413B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652A">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9CC45">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BA61">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整编成果数据展示与导出</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7D46">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通过自动整编及交互整编，对流量、水位、潮位、降雨、水温、蒸发等要素进行审查和整理，最终形成各类日、月、年的整编成果表。提供整编成果报表输出，输出格式符合整编成果相关规范。</w:t>
            </w:r>
          </w:p>
        </w:tc>
      </w:tr>
      <w:tr w14:paraId="7BDD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2E6E">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21</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A5886">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1A25">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汇编刊印成果数据展示与导出</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4FD6">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通过自动整编及交互整编，对流量、水位、潮位、降雨、水温、蒸发等要素进行审查和整理，最终形成各类日、月、年的整编成果表。提供对整编成果的汇编刊印报表输出，输出格式符合汇编成果刊印相关规范。</w:t>
            </w:r>
          </w:p>
        </w:tc>
      </w:tr>
      <w:tr w14:paraId="03E0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8F93">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22</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745C6">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EF6E">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基础数据管理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5293">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提供测站等基础数据/元数据管理，实现对基础数据/元数据的增加、修改、查询、统计等。同时，支持按角色对基础数据的增加、修改、查询、统计、填报、校对、审查、复审等功能。</w:t>
            </w:r>
          </w:p>
        </w:tc>
      </w:tr>
      <w:tr w14:paraId="5CCE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B136">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23</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3B2B8">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EE7B">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降水量数据预处理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65C2">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能够按照国家水文资料整编规范，并结合实际工作需要，对不同来源的降水量数据进行预处理工作，同时，按照相关规范构建自动算法，支持自动判断降水量数据的正确性以及按规程预处理。</w:t>
            </w:r>
          </w:p>
        </w:tc>
      </w:tr>
      <w:tr w14:paraId="559AA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E5F4">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24</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11328">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3BC6">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流速流量数据预处理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5F1C">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能够按照国家水文资料整编规范，并结合实际工作需要，对不同来源的流速（点、线、面），流量，潮量，大断面等数据进行预处理工作。同时，按照相关规范构建自动算法，支持自动判断流速流量数据的正确性以及按规程预处理。</w:t>
            </w:r>
          </w:p>
        </w:tc>
      </w:tr>
      <w:tr w14:paraId="36FF1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F48D">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C2CFC">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8CBD">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蒸发量数据预处理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6300">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能够按照国家水文资料整编规范，并结合实际工作需要，对不同来源的蒸发量数据进行预处理工作。同时，按照相关规范构建自动算法，支持自动判断蒸发量数据的正确性以及按规程预处理。</w:t>
            </w:r>
          </w:p>
        </w:tc>
      </w:tr>
      <w:tr w14:paraId="1E31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3E9E">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26</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BF21C">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072F">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水位数据预处理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4FAA">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能够按照国家水文资料整编规范，并结合实际工作需要，对不同来源的潮位和地表水位数据进行预处理工作。同时，按照相关规范构建自动算法，支持自动判断水文数据的正确性以及按规程预处理。</w:t>
            </w:r>
          </w:p>
        </w:tc>
      </w:tr>
      <w:tr w14:paraId="0228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6441">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27</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0654D">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FA36">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南方片程序集成</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ED82">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支持联通国家南方片程序，生成符合南方片整编程序的文件，同时支持南方片程序整编成果的文件导入及查看功能。</w:t>
            </w:r>
          </w:p>
        </w:tc>
      </w:tr>
      <w:tr w14:paraId="0993E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4D86">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28</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A8F68">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026E">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数据导入</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3DBE">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能够根据事先定义好的水文、水尺考证、断面测量、走航ADCP流量、水温、自动设备水面蒸发数据表格格式，实现数据的导入功能，主要包括Excel表导入、实测表的导入等功能组成。</w:t>
            </w:r>
          </w:p>
        </w:tc>
      </w:tr>
      <w:tr w14:paraId="712F3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8F45">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29</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E8291">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DAFA">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数据输出</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93B1">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系统支持水文、水尺考证、断面测量、走航ADCP流量、水温、自动设备水面蒸发数据的查询结果，生成报表并导出。</w:t>
            </w:r>
          </w:p>
        </w:tc>
      </w:tr>
      <w:tr w14:paraId="474A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F11B">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EAF00">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6FC7">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文本格式转换工具</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790C">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将水位、流速流量、降水量、水尺考证、断面测量、走航ADCP流量、水温、自动设备水面蒸发数据等进行表格和结构化数据的转换和统一。</w:t>
            </w:r>
          </w:p>
        </w:tc>
      </w:tr>
      <w:tr w14:paraId="37102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8B88">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31</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946B7">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F719">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系统参数设置</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1E28">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对整编工作流程中各子功能参数进行设置，包括要素选择、开始时间、结束时间、存储路径、是否开启管理日、水位资料拟合参数设置、流量定线优化计算参数设置、自动设备水面蒸发量数据预处理液面高度转换参数设置，自动整编机器人运行参数等参数设置。</w:t>
            </w:r>
          </w:p>
        </w:tc>
      </w:tr>
      <w:tr w14:paraId="12A35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1EF9">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32</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410D7">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C7D7">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水温数据预处理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974E">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能够按照国家水文资料整编规范，并结合实际工作需要，对水温数据进行预处理工作。同时，按照相关规范构建自动算法，支持自动判断水文数据的正确性以及按规程预处理。</w:t>
            </w:r>
          </w:p>
        </w:tc>
      </w:tr>
      <w:tr w14:paraId="218E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9587">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33</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49004">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369E">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水尺考证数据预处理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87DB">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能够按照国家水文资料整编规范，并结合实际工作需要，对水尺考证数据进行预处理工作。同时，按照相关规范构建自动算法，支持测量结果自动判定以及测量记录自动生成。</w:t>
            </w:r>
          </w:p>
        </w:tc>
      </w:tr>
      <w:tr w14:paraId="35A3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9376">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34</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112EC">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A1F8">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断面测量数据预处理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EC8D">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能够按照国家水文资料整编规范，并结合实际工作需要，对断面测量数据进行预处理工作，支持断面测量数据转换为水位面积关系。</w:t>
            </w:r>
          </w:p>
        </w:tc>
      </w:tr>
      <w:tr w14:paraId="1B8EE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CE5B">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DF780">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693D">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走航流量数据预处理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EAF4">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能够按照国家水文资料整编规范，并结合实际工作需要，对走航流量数据进行预处理工作。同时，按照相关规范构建自动算法，支持自动判断走航流量数据的正确性以及按规程预处理。</w:t>
            </w:r>
          </w:p>
        </w:tc>
      </w:tr>
      <w:tr w14:paraId="1434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B810">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36</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85380">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功能新增</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B259">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降水量数据整编处理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05AA">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按照国家水文资料整编规范，建立降水量数据自动整编模型，自动完成降水量资料说明表、降水量过程表、逐日降水量表、降水量摘录表、各时段最大降水量表计算。</w:t>
            </w:r>
          </w:p>
        </w:tc>
      </w:tr>
      <w:tr w14:paraId="1572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B820">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37</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67BF5">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8EE3">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流速流量数据整编处理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9B39">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按照国家水文资料整编规范，建立流速流量数据自动整编模型，自动完成潮流量资料说明表、流量过程表、潮流量计算表、实测潮流量成果统计表、实测潮流量月年统计表、引排水量计算表、实测引排水量成果统计表、逐日平均流量表计算。</w:t>
            </w:r>
          </w:p>
        </w:tc>
      </w:tr>
      <w:tr w14:paraId="6686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C83D">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38</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BC262">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8620">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水位数据整编处理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E4A0">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按照国家水文资料整编规范，建立水位数据自动整编模型，自动完成水位资料说明表、水位过程表、逐潮高低潮位表、潮位月年统计表、逐日最高最低水位表、潮水位观测月报表、逐日平均水位表计算。</w:t>
            </w:r>
          </w:p>
        </w:tc>
      </w:tr>
      <w:tr w14:paraId="15EFC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1467">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39</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C96D9">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F9C9">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水温数据整编处理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E507">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按照国家水文资料整编规范，建立水温数据自动整编模型，自动完成水温资料整编说明表、水温过程表、逐日水温表、水温月年统计表计算。</w:t>
            </w:r>
          </w:p>
        </w:tc>
      </w:tr>
      <w:tr w14:paraId="24BD7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4E3E">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6E6CB">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5384">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水面蒸发量数据整编处理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D9A2">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按照国家水文资料整编规范，建立水面蒸发量数据自动整编模型，自动完成蒸发量资料整编说明表、蒸发量过程表、逐日蒸发量表计算。</w:t>
            </w:r>
          </w:p>
        </w:tc>
      </w:tr>
      <w:tr w14:paraId="6B07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461A">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41</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5F734">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1602">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水尺考证数据整编处理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1137">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按照国家水文资料整编规范，建立水尺考证数据自动整编模型，自动完成水准测量记载表、水准测量计算表、水准点高程测量统计表、水尺高程测量统计表、水准点考证成果表、水尺考证成果表计算。</w:t>
            </w:r>
          </w:p>
        </w:tc>
      </w:tr>
      <w:tr w14:paraId="0C7D4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0886">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42</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A3196">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D52F">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断面测量数据整编处理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7FE6">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按照国家水文资料整编规范，建立断面测量数据自动整编模型，自动完成实测大断面成果表、实测大断面成果图、水位面积关系表、大断面对比图计算。</w:t>
            </w:r>
          </w:p>
        </w:tc>
      </w:tr>
      <w:tr w14:paraId="5EDFF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6CF2">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43</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AF66D">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2502">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走航流量数据整编处理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4EAA">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按照国家水文资料整编规范，建立走航流量数据自动整编模型，自动完成比测成果表、流量定线成果表、流量定线成果图、流量检验成果表计算。</w:t>
            </w:r>
          </w:p>
        </w:tc>
      </w:tr>
      <w:tr w14:paraId="28720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DB6F">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44</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65CA8">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D94C">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机器人自动整编</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B5DC">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控制虚拟机器人运行完成降水量、流速流量、水位数据、水温、水面蒸发量、水尺考证、断面测量、走航流量数据自动整编功能。</w:t>
            </w:r>
          </w:p>
        </w:tc>
      </w:tr>
      <w:tr w14:paraId="67744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E0D4">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40B52">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61F6">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人工干预整编</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D88F">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设定干预环节，对自动整编的降水量、流速流量、水位数据、水温、水面蒸发量、水尺考证、断面测量、走航流量数据成果按需进行人工干预整编。</w:t>
            </w:r>
          </w:p>
        </w:tc>
      </w:tr>
      <w:tr w14:paraId="43987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8A71">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46</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1EFC7">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FCA9">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自动整编流程任务管理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B9E7">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水文资料整编按计算、校对、填报、审查、复审流程，设立不同的任务，分配给不同的虚拟机器人角色或人工角色完成。</w:t>
            </w:r>
          </w:p>
        </w:tc>
      </w:tr>
      <w:tr w14:paraId="2369D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F5CD">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47</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6B7C3">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B745">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自动整编运行管理</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E0D9">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根据水文资料整编的不同流程按站建立不同的任务与角色对应关系，自动将任务分配给不同的角色，统计任务完成情况并展示。建立整编成果数据合理性验证模型，自动检查不合理数据，生成校对、审查任务。</w:t>
            </w:r>
          </w:p>
        </w:tc>
      </w:tr>
      <w:tr w14:paraId="6C6A6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E553">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48</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FA0E5">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A3A4">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水位统计</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4F7E">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代表站不同时段潮位、水位特征值统计分析及其历史同期对比、历史排序。</w:t>
            </w:r>
          </w:p>
        </w:tc>
      </w:tr>
      <w:tr w14:paraId="5FB8B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AAF1">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49</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339F6">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BEF2">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水位对比分析</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0707">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不同区域代表站水位特征值对比分析，代表站水位涨幅、超警时长等与历史对比分析。</w:t>
            </w:r>
          </w:p>
        </w:tc>
      </w:tr>
      <w:tr w14:paraId="314D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57C3">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5A88C">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5B85">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防汛代表站警戒水位分析</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3D28">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防汛代表站超警统计及展示。</w:t>
            </w:r>
          </w:p>
        </w:tc>
      </w:tr>
      <w:tr w14:paraId="2C946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1D94">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51</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99312">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0882">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潮位查询与分析</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CAB3">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统计不同区域代表站不同时段潮位特征值，并与历史同期对比。</w:t>
            </w:r>
          </w:p>
        </w:tc>
      </w:tr>
      <w:tr w14:paraId="14557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3132">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52</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6FA36">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8613">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雨量查询与分析</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EAD6">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不同时段、不同区域面雨量统计及与历史对比分析。单场暴雨的不同暴雨特征值的统计分析及其与历史极值对比分析。</w:t>
            </w:r>
          </w:p>
        </w:tc>
      </w:tr>
      <w:tr w14:paraId="4BC0F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7100">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53</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5CAEE">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E8CE">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流量查询与分析</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628D">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按时段统计分析黄浦江干流、苏州河来水统计查询分析。</w:t>
            </w:r>
          </w:p>
        </w:tc>
      </w:tr>
      <w:tr w14:paraId="680A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9C7B">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54</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FF695">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密码应用</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ED42">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用户身份认证机制模块</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83E8">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实现对PC端和服务端身份的鉴别。</w:t>
            </w:r>
          </w:p>
        </w:tc>
      </w:tr>
      <w:tr w14:paraId="27FE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6FDB">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8C307">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62FF">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业务重要数据安全传输模块</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600F">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实现应用系统通信数据的机密性和完整性保护。</w:t>
            </w:r>
          </w:p>
        </w:tc>
      </w:tr>
      <w:tr w14:paraId="3A605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2308">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56</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CF532">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0A35">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服务器虚拟机设备日志/访问控制信息完整性模块</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EB70">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实现应用服务器虚拟机、数据库服务器虚拟机等设备日志/访问控制信息的完整性保护。</w:t>
            </w:r>
          </w:p>
        </w:tc>
      </w:tr>
      <w:tr w14:paraId="1EBD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6F10">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57</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43D7C">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5F74">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重要可执行程序签名验签模块</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B700">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实现重要可执行程序的完整性、来源真实性保护。</w:t>
            </w:r>
          </w:p>
        </w:tc>
      </w:tr>
      <w:tr w14:paraId="24EBA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2274">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58</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A7DE6">
            <w:pPr>
              <w:keepNext w:val="0"/>
              <w:keepLines w:val="0"/>
              <w:pageBreakBefore w:val="0"/>
              <w:kinsoku/>
              <w:wordWrap/>
              <w:overflowPunct/>
              <w:topLinePunct w:val="0"/>
              <w:autoSpaceDE/>
              <w:autoSpaceDN/>
              <w:bidi w:val="0"/>
              <w:adjustRightInd/>
              <w:snapToGrid/>
              <w:spacing w:line="0" w:lineRule="atLeast"/>
              <w:ind w:firstLine="0" w:firstLineChars="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50F8">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用户访问控制信息签名验签模块</w:t>
            </w:r>
          </w:p>
        </w:tc>
        <w:tc>
          <w:tcPr>
            <w:tcW w:w="6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7E3C">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实现应用系统登录用户的访问控制列表完整性保护。</w:t>
            </w:r>
          </w:p>
        </w:tc>
      </w:tr>
    </w:tbl>
    <w:p w14:paraId="52C9AFB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b/>
          <w:color w:val="auto"/>
          <w:highlight w:val="none"/>
          <w:lang w:val="en-US" w:eastAsia="zh-CN"/>
        </w:rPr>
      </w:pPr>
    </w:p>
    <w:p w14:paraId="760B6F7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b/>
          <w:color w:val="auto"/>
          <w:highlight w:val="none"/>
        </w:rPr>
      </w:pPr>
      <w:r>
        <w:rPr>
          <w:rFonts w:hint="eastAsia"/>
          <w:b/>
          <w:color w:val="auto"/>
          <w:highlight w:val="none"/>
          <w:lang w:val="en-US" w:eastAsia="zh-CN"/>
        </w:rPr>
        <w:t xml:space="preserve">3.2  </w:t>
      </w:r>
      <w:r>
        <w:rPr>
          <w:rFonts w:hint="eastAsia"/>
          <w:b/>
          <w:color w:val="auto"/>
          <w:highlight w:val="none"/>
        </w:rPr>
        <w:t>硬件购置清单：</w:t>
      </w:r>
      <w:r>
        <w:rPr>
          <w:rFonts w:hint="eastAsia"/>
          <w:b/>
          <w:color w:val="auto"/>
          <w:highlight w:val="none"/>
          <w:lang w:val="en-US" w:eastAsia="zh-CN"/>
        </w:rPr>
        <w:t xml:space="preserve"> 无。</w:t>
      </w:r>
    </w:p>
    <w:p w14:paraId="50CAB05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olor w:val="auto"/>
          <w:highlight w:val="none"/>
          <w:lang w:eastAsia="zh-CN"/>
        </w:rPr>
      </w:pPr>
      <w:r>
        <w:rPr>
          <w:rFonts w:hint="eastAsia"/>
          <w:b/>
          <w:color w:val="auto"/>
          <w:highlight w:val="none"/>
          <w:lang w:val="en-US" w:eastAsia="zh-CN"/>
        </w:rPr>
        <w:t xml:space="preserve">3.3  </w:t>
      </w:r>
      <w:r>
        <w:rPr>
          <w:rFonts w:hint="eastAsia"/>
          <w:b/>
          <w:color w:val="auto"/>
          <w:highlight w:val="none"/>
        </w:rPr>
        <w:t>产品软件购置清单：</w:t>
      </w:r>
      <w:r>
        <w:rPr>
          <w:rFonts w:hint="eastAsia"/>
          <w:b/>
          <w:color w:val="auto"/>
          <w:highlight w:val="none"/>
          <w:lang w:eastAsia="zh-CN"/>
        </w:rPr>
        <w:t>无</w:t>
      </w:r>
      <w:r>
        <w:rPr>
          <w:rFonts w:hint="eastAsia"/>
          <w:color w:val="auto"/>
          <w:highlight w:val="none"/>
          <w:lang w:eastAsia="zh-CN"/>
        </w:rPr>
        <w:t>。</w:t>
      </w:r>
    </w:p>
    <w:p w14:paraId="7491580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eastAsia="宋体"/>
          <w:b/>
          <w:bCs/>
          <w:color w:val="auto"/>
          <w:highlight w:val="none"/>
          <w:lang w:eastAsia="zh-CN"/>
        </w:rPr>
      </w:pPr>
      <w:r>
        <w:rPr>
          <w:rFonts w:hint="eastAsia"/>
          <w:b/>
          <w:bCs/>
          <w:color w:val="auto"/>
          <w:highlight w:val="none"/>
          <w:lang w:val="en-US" w:eastAsia="zh-CN"/>
        </w:rPr>
        <w:t xml:space="preserve">3.4  </w:t>
      </w:r>
      <w:r>
        <w:rPr>
          <w:rFonts w:hint="eastAsia"/>
          <w:b/>
          <w:bCs/>
          <w:color w:val="auto"/>
          <w:highlight w:val="none"/>
        </w:rPr>
        <w:t>安全产品购置清单：</w:t>
      </w:r>
      <w:r>
        <w:rPr>
          <w:rFonts w:hint="eastAsia"/>
          <w:b/>
          <w:bCs/>
          <w:color w:val="auto"/>
          <w:highlight w:val="none"/>
          <w:lang w:eastAsia="zh-CN"/>
        </w:rPr>
        <w:t>无。</w:t>
      </w:r>
    </w:p>
    <w:p w14:paraId="183F99C7">
      <w:pPr>
        <w:ind w:firstLine="482"/>
        <w:rPr>
          <w:b/>
          <w:color w:val="auto"/>
          <w:highlight w:val="none"/>
        </w:rPr>
      </w:pPr>
    </w:p>
    <w:p w14:paraId="566B91E8">
      <w:pPr>
        <w:pStyle w:val="2"/>
        <w:ind w:left="314" w:leftChars="131" w:firstLine="163" w:firstLineChars="51"/>
        <w:rPr>
          <w:color w:val="auto"/>
          <w:highlight w:val="none"/>
        </w:rPr>
      </w:pPr>
      <w:bookmarkStart w:id="20" w:name="_Toc63785502"/>
      <w:r>
        <w:rPr>
          <w:rFonts w:hint="eastAsia"/>
          <w:color w:val="auto"/>
          <w:highlight w:val="none"/>
        </w:rPr>
        <w:t>电子政务云资源需求</w:t>
      </w:r>
      <w:bookmarkEnd w:id="20"/>
    </w:p>
    <w:p w14:paraId="5CAE1D65">
      <w:pPr>
        <w:rPr>
          <w:rFonts w:hint="default" w:eastAsia="宋体"/>
          <w:color w:val="auto"/>
          <w:highlight w:val="none"/>
          <w:lang w:val="en-US" w:eastAsia="zh-CN"/>
        </w:rPr>
      </w:pPr>
      <w:r>
        <w:rPr>
          <w:rFonts w:hint="eastAsia"/>
          <w:color w:val="auto"/>
          <w:highlight w:val="none"/>
        </w:rPr>
        <w:t>根据项目前期资源现状，本次建设根据估算拟向电子政务云申请</w:t>
      </w:r>
      <w:r>
        <w:rPr>
          <w:rFonts w:hint="eastAsia"/>
          <w:color w:val="auto"/>
          <w:highlight w:val="none"/>
          <w:lang w:val="en-US" w:eastAsia="zh-CN"/>
        </w:rPr>
        <w:t>6</w:t>
      </w:r>
      <w:r>
        <w:rPr>
          <w:rFonts w:hint="eastAsia"/>
          <w:color w:val="auto"/>
          <w:highlight w:val="none"/>
        </w:rPr>
        <w:t>台服务器资源CPU</w:t>
      </w:r>
      <w:r>
        <w:rPr>
          <w:rFonts w:hint="eastAsia"/>
          <w:color w:val="auto"/>
          <w:highlight w:val="none"/>
          <w:lang w:val="en-US" w:eastAsia="zh-CN"/>
        </w:rPr>
        <w:t xml:space="preserve"> 80</w:t>
      </w:r>
      <w:r>
        <w:rPr>
          <w:rFonts w:hint="eastAsia"/>
          <w:color w:val="auto"/>
          <w:highlight w:val="none"/>
        </w:rPr>
        <w:t>核 、内存</w:t>
      </w:r>
      <w:r>
        <w:rPr>
          <w:rFonts w:hint="eastAsia"/>
          <w:color w:val="auto"/>
          <w:highlight w:val="none"/>
          <w:lang w:val="en-US" w:eastAsia="zh-CN"/>
        </w:rPr>
        <w:t>192</w:t>
      </w:r>
      <w:r>
        <w:rPr>
          <w:rFonts w:hint="eastAsia"/>
          <w:color w:val="auto"/>
          <w:highlight w:val="none"/>
        </w:rPr>
        <w:t>G、存储</w:t>
      </w:r>
      <w:r>
        <w:rPr>
          <w:rFonts w:hint="eastAsia"/>
          <w:color w:val="auto"/>
          <w:highlight w:val="none"/>
          <w:lang w:val="en-US" w:eastAsia="zh-CN"/>
        </w:rPr>
        <w:t>4.6</w:t>
      </w:r>
      <w:r>
        <w:rPr>
          <w:rFonts w:hint="eastAsia"/>
          <w:color w:val="auto"/>
          <w:highlight w:val="none"/>
        </w:rPr>
        <w:t>T，其中虚拟机</w:t>
      </w:r>
      <w:r>
        <w:rPr>
          <w:color w:val="auto"/>
          <w:highlight w:val="none"/>
        </w:rPr>
        <w:t>6</w:t>
      </w:r>
      <w:r>
        <w:rPr>
          <w:rFonts w:hint="eastAsia"/>
          <w:color w:val="auto"/>
          <w:highlight w:val="none"/>
        </w:rPr>
        <w:t>台</w:t>
      </w:r>
      <w:r>
        <w:rPr>
          <w:rFonts w:hint="eastAsia"/>
          <w:color w:val="auto"/>
          <w:highlight w:val="none"/>
          <w:lang w:eastAsia="zh-CN"/>
        </w:rPr>
        <w:t>，数据库</w:t>
      </w:r>
      <w:r>
        <w:rPr>
          <w:rFonts w:hint="eastAsia"/>
          <w:color w:val="auto"/>
          <w:highlight w:val="none"/>
          <w:lang w:val="en-US" w:eastAsia="zh-CN"/>
        </w:rPr>
        <w:t>2套</w:t>
      </w:r>
      <w:r>
        <w:rPr>
          <w:rFonts w:hint="eastAsia"/>
          <w:color w:val="auto"/>
          <w:highlight w:val="none"/>
        </w:rPr>
        <w:t>。</w:t>
      </w:r>
      <w:r>
        <w:rPr>
          <w:rFonts w:hint="eastAsia"/>
          <w:color w:val="auto"/>
          <w:highlight w:val="none"/>
          <w:lang w:eastAsia="zh-CN"/>
        </w:rPr>
        <w:t>具体见表</w:t>
      </w:r>
      <w:r>
        <w:rPr>
          <w:rFonts w:hint="eastAsia"/>
          <w:color w:val="auto"/>
          <w:highlight w:val="none"/>
          <w:lang w:val="en-US" w:eastAsia="zh-CN"/>
        </w:rPr>
        <w:t>4-1。</w:t>
      </w:r>
    </w:p>
    <w:p w14:paraId="25962147">
      <w:pPr>
        <w:ind w:firstLine="0" w:firstLineChars="0"/>
        <w:rPr>
          <w:rFonts w:hint="eastAsia"/>
          <w:color w:val="auto"/>
          <w:highlight w:val="none"/>
        </w:rPr>
      </w:pPr>
    </w:p>
    <w:p w14:paraId="7C048D3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宋体" w:hAnsi="宋体" w:eastAsia="宋体" w:cs="Times New Roman"/>
          <w:b w:val="0"/>
          <w:bCs/>
          <w:color w:val="auto"/>
          <w:kern w:val="2"/>
          <w:sz w:val="24"/>
          <w:szCs w:val="24"/>
          <w:highlight w:val="none"/>
          <w:lang w:val="en-US" w:eastAsia="zh-CN" w:bidi="ar-SA"/>
        </w:rPr>
      </w:pPr>
      <w:r>
        <w:rPr>
          <w:rFonts w:hint="default" w:ascii="宋体" w:hAnsi="宋体" w:eastAsia="宋体" w:cs="Times New Roman"/>
          <w:b w:val="0"/>
          <w:bCs/>
          <w:color w:val="auto"/>
          <w:kern w:val="2"/>
          <w:sz w:val="24"/>
          <w:szCs w:val="24"/>
          <w:highlight w:val="none"/>
          <w:lang w:val="en-US" w:eastAsia="zh-CN" w:bidi="ar-SA"/>
        </w:rPr>
        <w:t>表</w:t>
      </w:r>
      <w:r>
        <w:rPr>
          <w:rFonts w:hint="eastAsia" w:ascii="宋体" w:hAnsi="宋体" w:eastAsia="宋体" w:cs="Times New Roman"/>
          <w:b w:val="0"/>
          <w:bCs/>
          <w:color w:val="auto"/>
          <w:kern w:val="2"/>
          <w:sz w:val="24"/>
          <w:szCs w:val="24"/>
          <w:highlight w:val="none"/>
          <w:lang w:val="en-US" w:eastAsia="zh-CN" w:bidi="ar-SA"/>
        </w:rPr>
        <w:t>4</w:t>
      </w:r>
      <w:r>
        <w:rPr>
          <w:rFonts w:hint="default" w:ascii="宋体" w:hAnsi="宋体" w:eastAsia="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 xml:space="preserve">1 </w:t>
      </w:r>
      <w:r>
        <w:rPr>
          <w:rFonts w:hint="default" w:ascii="宋体" w:hAnsi="宋体" w:eastAsia="宋体" w:cs="Times New Roman"/>
          <w:b w:val="0"/>
          <w:bCs/>
          <w:color w:val="auto"/>
          <w:kern w:val="2"/>
          <w:sz w:val="24"/>
          <w:szCs w:val="24"/>
          <w:highlight w:val="none"/>
          <w:lang w:val="en-US" w:eastAsia="zh-CN" w:bidi="ar-SA"/>
        </w:rPr>
        <w:t xml:space="preserve">  上海市水文信息平台升级改造</w:t>
      </w:r>
      <w:r>
        <w:rPr>
          <w:rFonts w:hint="eastAsia" w:ascii="宋体" w:hAnsi="宋体" w:eastAsia="宋体" w:cs="Times New Roman"/>
          <w:b w:val="0"/>
          <w:bCs/>
          <w:color w:val="auto"/>
          <w:kern w:val="2"/>
          <w:sz w:val="24"/>
          <w:szCs w:val="24"/>
          <w:highlight w:val="none"/>
          <w:lang w:val="en-US" w:eastAsia="zh-CN" w:bidi="ar-SA"/>
        </w:rPr>
        <w:t>电子政务云资源需求</w:t>
      </w:r>
    </w:p>
    <w:tbl>
      <w:tblPr>
        <w:tblStyle w:val="8"/>
        <w:tblW w:w="8949" w:type="dxa"/>
        <w:jc w:val="center"/>
        <w:tblLayout w:type="fixed"/>
        <w:tblCellMar>
          <w:top w:w="0" w:type="dxa"/>
          <w:left w:w="108" w:type="dxa"/>
          <w:bottom w:w="0" w:type="dxa"/>
          <w:right w:w="108" w:type="dxa"/>
        </w:tblCellMar>
      </w:tblPr>
      <w:tblGrid>
        <w:gridCol w:w="422"/>
        <w:gridCol w:w="588"/>
        <w:gridCol w:w="1093"/>
        <w:gridCol w:w="707"/>
        <w:gridCol w:w="427"/>
        <w:gridCol w:w="651"/>
        <w:gridCol w:w="699"/>
        <w:gridCol w:w="878"/>
        <w:gridCol w:w="878"/>
        <w:gridCol w:w="613"/>
        <w:gridCol w:w="677"/>
        <w:gridCol w:w="646"/>
        <w:gridCol w:w="670"/>
      </w:tblGrid>
      <w:tr w14:paraId="04DDE194">
        <w:tblPrEx>
          <w:tblCellMar>
            <w:top w:w="0" w:type="dxa"/>
            <w:left w:w="108" w:type="dxa"/>
            <w:bottom w:w="0" w:type="dxa"/>
            <w:right w:w="108" w:type="dxa"/>
          </w:tblCellMar>
        </w:tblPrEx>
        <w:trPr>
          <w:trHeight w:val="270" w:hRule="atLeast"/>
          <w:jc w:val="center"/>
        </w:trPr>
        <w:tc>
          <w:tcPr>
            <w:tcW w:w="422" w:type="dxa"/>
            <w:vMerge w:val="restart"/>
            <w:tcBorders>
              <w:top w:val="single" w:color="auto" w:sz="4" w:space="0"/>
              <w:left w:val="single" w:color="auto" w:sz="4" w:space="0"/>
              <w:bottom w:val="single" w:color="auto" w:sz="4" w:space="0"/>
              <w:right w:val="single" w:color="auto" w:sz="4" w:space="0"/>
            </w:tcBorders>
            <w:noWrap w:val="0"/>
            <w:vAlign w:val="center"/>
          </w:tcPr>
          <w:p w14:paraId="176C2610">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序号</w:t>
            </w:r>
          </w:p>
        </w:tc>
        <w:tc>
          <w:tcPr>
            <w:tcW w:w="588" w:type="dxa"/>
            <w:vMerge w:val="restart"/>
            <w:tcBorders>
              <w:top w:val="single" w:color="auto" w:sz="4" w:space="0"/>
              <w:left w:val="single" w:color="auto" w:sz="4" w:space="0"/>
              <w:bottom w:val="single" w:color="auto" w:sz="4" w:space="0"/>
              <w:right w:val="single" w:color="auto" w:sz="4" w:space="0"/>
            </w:tcBorders>
            <w:noWrap w:val="0"/>
            <w:vAlign w:val="center"/>
          </w:tcPr>
          <w:p w14:paraId="6C9B902B">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网络区域</w:t>
            </w:r>
          </w:p>
        </w:tc>
        <w:tc>
          <w:tcPr>
            <w:tcW w:w="1093" w:type="dxa"/>
            <w:vMerge w:val="restart"/>
            <w:tcBorders>
              <w:top w:val="single" w:color="auto" w:sz="4" w:space="0"/>
              <w:left w:val="single" w:color="auto" w:sz="4" w:space="0"/>
              <w:bottom w:val="single" w:color="auto" w:sz="4" w:space="0"/>
              <w:right w:val="single" w:color="auto" w:sz="4" w:space="0"/>
            </w:tcBorders>
            <w:noWrap w:val="0"/>
            <w:vAlign w:val="center"/>
          </w:tcPr>
          <w:p w14:paraId="497983ED">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名称</w:t>
            </w:r>
          </w:p>
        </w:tc>
        <w:tc>
          <w:tcPr>
            <w:tcW w:w="707" w:type="dxa"/>
            <w:vMerge w:val="restart"/>
            <w:tcBorders>
              <w:top w:val="single" w:color="auto" w:sz="4" w:space="0"/>
              <w:left w:val="single" w:color="auto" w:sz="4" w:space="0"/>
              <w:bottom w:val="single" w:color="auto" w:sz="4" w:space="0"/>
              <w:right w:val="single" w:color="auto" w:sz="4" w:space="0"/>
            </w:tcBorders>
            <w:noWrap w:val="0"/>
            <w:vAlign w:val="center"/>
          </w:tcPr>
          <w:p w14:paraId="12799BC5">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类型</w:t>
            </w:r>
          </w:p>
        </w:tc>
        <w:tc>
          <w:tcPr>
            <w:tcW w:w="427" w:type="dxa"/>
            <w:vMerge w:val="restart"/>
            <w:tcBorders>
              <w:top w:val="single" w:color="auto" w:sz="4" w:space="0"/>
              <w:left w:val="single" w:color="auto" w:sz="4" w:space="0"/>
              <w:bottom w:val="single" w:color="auto" w:sz="4" w:space="0"/>
              <w:right w:val="single" w:color="auto" w:sz="4" w:space="0"/>
            </w:tcBorders>
            <w:noWrap w:val="0"/>
            <w:vAlign w:val="center"/>
          </w:tcPr>
          <w:p w14:paraId="1DBDA2C6">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数量</w:t>
            </w:r>
          </w:p>
        </w:tc>
        <w:tc>
          <w:tcPr>
            <w:tcW w:w="5042" w:type="dxa"/>
            <w:gridSpan w:val="7"/>
            <w:tcBorders>
              <w:top w:val="single" w:color="auto" w:sz="4" w:space="0"/>
              <w:left w:val="nil"/>
              <w:bottom w:val="single" w:color="auto" w:sz="4" w:space="0"/>
              <w:right w:val="single" w:color="auto" w:sz="4" w:space="0"/>
            </w:tcBorders>
            <w:noWrap w:val="0"/>
            <w:vAlign w:val="center"/>
          </w:tcPr>
          <w:p w14:paraId="2AEB0085">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单台配置</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1187D925">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
                <w:bCs/>
                <w:color w:val="auto"/>
                <w:sz w:val="20"/>
                <w:szCs w:val="20"/>
                <w:highlight w:val="none"/>
              </w:rPr>
            </w:pPr>
            <w:r>
              <w:rPr>
                <w:rFonts w:hint="default" w:ascii="Times New Roman" w:hAnsi="Times New Roman" w:eastAsia="仿宋_GB2312" w:cs="Times New Roman"/>
                <w:b/>
                <w:bCs/>
                <w:color w:val="auto"/>
                <w:sz w:val="20"/>
                <w:szCs w:val="20"/>
                <w:highlight w:val="none"/>
              </w:rPr>
              <w:t>备注</w:t>
            </w:r>
          </w:p>
        </w:tc>
      </w:tr>
      <w:tr w14:paraId="7C7EF1E5">
        <w:tblPrEx>
          <w:tblCellMar>
            <w:top w:w="0" w:type="dxa"/>
            <w:left w:w="108" w:type="dxa"/>
            <w:bottom w:w="0" w:type="dxa"/>
            <w:right w:w="108" w:type="dxa"/>
          </w:tblCellMar>
        </w:tblPrEx>
        <w:trPr>
          <w:trHeight w:val="765" w:hRule="atLeast"/>
          <w:jc w:val="center"/>
        </w:trPr>
        <w:tc>
          <w:tcPr>
            <w:tcW w:w="422" w:type="dxa"/>
            <w:vMerge w:val="continue"/>
            <w:tcBorders>
              <w:top w:val="single" w:color="auto" w:sz="4" w:space="0"/>
              <w:left w:val="single" w:color="auto" w:sz="4" w:space="0"/>
              <w:bottom w:val="single" w:color="auto" w:sz="4" w:space="0"/>
              <w:right w:val="single" w:color="auto" w:sz="4" w:space="0"/>
            </w:tcBorders>
            <w:noWrap w:val="0"/>
            <w:vAlign w:val="center"/>
          </w:tcPr>
          <w:p w14:paraId="338DD0BD">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b/>
                <w:bCs/>
                <w:color w:val="auto"/>
                <w:sz w:val="18"/>
                <w:szCs w:val="18"/>
                <w:highlight w:val="none"/>
              </w:rPr>
            </w:pPr>
          </w:p>
        </w:tc>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14:paraId="7DD6EC1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b/>
                <w:bCs/>
                <w:color w:val="auto"/>
                <w:sz w:val="18"/>
                <w:szCs w:val="18"/>
                <w:highlight w:val="none"/>
              </w:rPr>
            </w:pPr>
          </w:p>
        </w:tc>
        <w:tc>
          <w:tcPr>
            <w:tcW w:w="1093" w:type="dxa"/>
            <w:vMerge w:val="continue"/>
            <w:tcBorders>
              <w:top w:val="single" w:color="auto" w:sz="4" w:space="0"/>
              <w:left w:val="single" w:color="auto" w:sz="4" w:space="0"/>
              <w:bottom w:val="single" w:color="auto" w:sz="4" w:space="0"/>
              <w:right w:val="single" w:color="auto" w:sz="4" w:space="0"/>
            </w:tcBorders>
            <w:noWrap w:val="0"/>
            <w:vAlign w:val="center"/>
          </w:tcPr>
          <w:p w14:paraId="003D68B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b/>
                <w:bCs/>
                <w:color w:val="auto"/>
                <w:sz w:val="18"/>
                <w:szCs w:val="18"/>
                <w:highlight w:val="none"/>
              </w:rPr>
            </w:pPr>
          </w:p>
        </w:tc>
        <w:tc>
          <w:tcPr>
            <w:tcW w:w="707" w:type="dxa"/>
            <w:vMerge w:val="continue"/>
            <w:tcBorders>
              <w:top w:val="single" w:color="auto" w:sz="4" w:space="0"/>
              <w:left w:val="single" w:color="auto" w:sz="4" w:space="0"/>
              <w:bottom w:val="single" w:color="auto" w:sz="4" w:space="0"/>
              <w:right w:val="single" w:color="auto" w:sz="4" w:space="0"/>
            </w:tcBorders>
            <w:noWrap w:val="0"/>
            <w:vAlign w:val="center"/>
          </w:tcPr>
          <w:p w14:paraId="56B491FE">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b/>
                <w:bCs/>
                <w:color w:val="auto"/>
                <w:sz w:val="18"/>
                <w:szCs w:val="18"/>
                <w:highlight w:val="none"/>
              </w:rPr>
            </w:pPr>
          </w:p>
        </w:tc>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059BCF9E">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b/>
                <w:bCs/>
                <w:color w:val="auto"/>
                <w:sz w:val="18"/>
                <w:szCs w:val="18"/>
                <w:highlight w:val="none"/>
              </w:rPr>
            </w:pPr>
          </w:p>
        </w:tc>
        <w:tc>
          <w:tcPr>
            <w:tcW w:w="651" w:type="dxa"/>
            <w:tcBorders>
              <w:top w:val="nil"/>
              <w:left w:val="nil"/>
              <w:bottom w:val="single" w:color="auto" w:sz="4" w:space="0"/>
              <w:right w:val="single" w:color="auto" w:sz="4" w:space="0"/>
            </w:tcBorders>
            <w:noWrap w:val="0"/>
            <w:vAlign w:val="center"/>
          </w:tcPr>
          <w:p w14:paraId="42DAA752">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CPU（核）</w:t>
            </w:r>
          </w:p>
        </w:tc>
        <w:tc>
          <w:tcPr>
            <w:tcW w:w="699" w:type="dxa"/>
            <w:tcBorders>
              <w:top w:val="nil"/>
              <w:left w:val="nil"/>
              <w:bottom w:val="single" w:color="auto" w:sz="4" w:space="0"/>
              <w:right w:val="single" w:color="auto" w:sz="4" w:space="0"/>
            </w:tcBorders>
            <w:noWrap w:val="0"/>
            <w:vAlign w:val="center"/>
          </w:tcPr>
          <w:p w14:paraId="570C31B7">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内存（GB）</w:t>
            </w:r>
          </w:p>
        </w:tc>
        <w:tc>
          <w:tcPr>
            <w:tcW w:w="878" w:type="dxa"/>
            <w:tcBorders>
              <w:top w:val="nil"/>
              <w:left w:val="nil"/>
              <w:bottom w:val="single" w:color="auto" w:sz="4" w:space="0"/>
              <w:right w:val="single" w:color="auto" w:sz="4" w:space="0"/>
            </w:tcBorders>
            <w:noWrap w:val="0"/>
            <w:vAlign w:val="center"/>
          </w:tcPr>
          <w:p w14:paraId="064C2C47">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系统存储（GB）</w:t>
            </w:r>
          </w:p>
        </w:tc>
        <w:tc>
          <w:tcPr>
            <w:tcW w:w="878" w:type="dxa"/>
            <w:tcBorders>
              <w:top w:val="nil"/>
              <w:left w:val="nil"/>
              <w:bottom w:val="single" w:color="auto" w:sz="4" w:space="0"/>
              <w:right w:val="single" w:color="auto" w:sz="4" w:space="0"/>
            </w:tcBorders>
            <w:noWrap w:val="0"/>
            <w:vAlign w:val="center"/>
          </w:tcPr>
          <w:p w14:paraId="32D7EBBC">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数据存储（GB）</w:t>
            </w:r>
          </w:p>
        </w:tc>
        <w:tc>
          <w:tcPr>
            <w:tcW w:w="613" w:type="dxa"/>
            <w:tcBorders>
              <w:top w:val="nil"/>
              <w:left w:val="nil"/>
              <w:bottom w:val="single" w:color="auto" w:sz="4" w:space="0"/>
              <w:right w:val="single" w:color="auto" w:sz="4" w:space="0"/>
            </w:tcBorders>
            <w:noWrap w:val="0"/>
            <w:vAlign w:val="center"/>
          </w:tcPr>
          <w:p w14:paraId="231B4A10">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操作系统</w:t>
            </w:r>
          </w:p>
        </w:tc>
        <w:tc>
          <w:tcPr>
            <w:tcW w:w="677" w:type="dxa"/>
            <w:tcBorders>
              <w:top w:val="nil"/>
              <w:left w:val="nil"/>
              <w:bottom w:val="single" w:color="auto" w:sz="4" w:space="0"/>
              <w:right w:val="single" w:color="auto" w:sz="4" w:space="0"/>
            </w:tcBorders>
            <w:noWrap w:val="0"/>
            <w:vAlign w:val="center"/>
          </w:tcPr>
          <w:p w14:paraId="1882BA84">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中间件</w:t>
            </w:r>
          </w:p>
        </w:tc>
        <w:tc>
          <w:tcPr>
            <w:tcW w:w="646" w:type="dxa"/>
            <w:tcBorders>
              <w:top w:val="nil"/>
              <w:left w:val="nil"/>
              <w:bottom w:val="single" w:color="auto" w:sz="4" w:space="0"/>
              <w:right w:val="single" w:color="auto" w:sz="4" w:space="0"/>
            </w:tcBorders>
            <w:noWrap w:val="0"/>
            <w:vAlign w:val="center"/>
          </w:tcPr>
          <w:p w14:paraId="483D86D4">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数据库软件</w:t>
            </w: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456895B4">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
                <w:bCs/>
                <w:color w:val="auto"/>
                <w:sz w:val="20"/>
                <w:szCs w:val="20"/>
                <w:highlight w:val="none"/>
              </w:rPr>
            </w:pPr>
          </w:p>
        </w:tc>
      </w:tr>
      <w:tr w14:paraId="2A28D2BF">
        <w:tblPrEx>
          <w:tblCellMar>
            <w:top w:w="0" w:type="dxa"/>
            <w:left w:w="108" w:type="dxa"/>
            <w:bottom w:w="0" w:type="dxa"/>
            <w:right w:w="108" w:type="dxa"/>
          </w:tblCellMar>
        </w:tblPrEx>
        <w:trPr>
          <w:trHeight w:val="531" w:hRule="atLeast"/>
          <w:jc w:val="center"/>
        </w:trPr>
        <w:tc>
          <w:tcPr>
            <w:tcW w:w="422" w:type="dxa"/>
            <w:tcBorders>
              <w:top w:val="nil"/>
              <w:left w:val="single" w:color="auto" w:sz="4" w:space="0"/>
              <w:bottom w:val="single" w:color="auto" w:sz="4" w:space="0"/>
              <w:right w:val="single" w:color="auto" w:sz="4" w:space="0"/>
            </w:tcBorders>
            <w:noWrap w:val="0"/>
            <w:vAlign w:val="center"/>
          </w:tcPr>
          <w:p w14:paraId="113F3DCC">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1</w:t>
            </w:r>
          </w:p>
        </w:tc>
        <w:tc>
          <w:tcPr>
            <w:tcW w:w="588" w:type="dxa"/>
            <w:vMerge w:val="restart"/>
            <w:tcBorders>
              <w:top w:val="nil"/>
              <w:left w:val="single" w:color="auto" w:sz="4" w:space="0"/>
              <w:bottom w:val="single" w:color="auto" w:sz="4" w:space="0"/>
              <w:right w:val="single" w:color="auto" w:sz="4" w:space="0"/>
            </w:tcBorders>
            <w:noWrap w:val="0"/>
            <w:vAlign w:val="center"/>
          </w:tcPr>
          <w:p w14:paraId="4F4F6670">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政务外网</w:t>
            </w:r>
          </w:p>
        </w:tc>
        <w:tc>
          <w:tcPr>
            <w:tcW w:w="1093" w:type="dxa"/>
            <w:tcBorders>
              <w:top w:val="nil"/>
              <w:left w:val="nil"/>
              <w:bottom w:val="single" w:color="auto" w:sz="4" w:space="0"/>
              <w:right w:val="single" w:color="auto" w:sz="4" w:space="0"/>
            </w:tcBorders>
            <w:noWrap w:val="0"/>
            <w:vAlign w:val="center"/>
          </w:tcPr>
          <w:p w14:paraId="42A9AA8A">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数据库服务器</w:t>
            </w:r>
          </w:p>
        </w:tc>
        <w:tc>
          <w:tcPr>
            <w:tcW w:w="707" w:type="dxa"/>
            <w:tcBorders>
              <w:top w:val="nil"/>
              <w:left w:val="nil"/>
              <w:bottom w:val="single" w:color="auto" w:sz="4" w:space="0"/>
              <w:right w:val="single" w:color="auto" w:sz="4" w:space="0"/>
            </w:tcBorders>
            <w:noWrap w:val="0"/>
            <w:vAlign w:val="center"/>
          </w:tcPr>
          <w:p w14:paraId="038BA8FA">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虚拟机</w:t>
            </w:r>
          </w:p>
        </w:tc>
        <w:tc>
          <w:tcPr>
            <w:tcW w:w="427" w:type="dxa"/>
            <w:tcBorders>
              <w:top w:val="nil"/>
              <w:left w:val="nil"/>
              <w:bottom w:val="single" w:color="auto" w:sz="4" w:space="0"/>
              <w:right w:val="single" w:color="auto" w:sz="4" w:space="0"/>
            </w:tcBorders>
            <w:noWrap w:val="0"/>
            <w:vAlign w:val="center"/>
          </w:tcPr>
          <w:p w14:paraId="212CD5C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2</w:t>
            </w:r>
          </w:p>
        </w:tc>
        <w:tc>
          <w:tcPr>
            <w:tcW w:w="651" w:type="dxa"/>
            <w:tcBorders>
              <w:top w:val="nil"/>
              <w:left w:val="nil"/>
              <w:bottom w:val="single" w:color="auto" w:sz="4" w:space="0"/>
              <w:right w:val="single" w:color="auto" w:sz="4" w:space="0"/>
            </w:tcBorders>
            <w:noWrap w:val="0"/>
            <w:vAlign w:val="center"/>
          </w:tcPr>
          <w:p w14:paraId="6A96E60B">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16</w:t>
            </w:r>
          </w:p>
        </w:tc>
        <w:tc>
          <w:tcPr>
            <w:tcW w:w="699" w:type="dxa"/>
            <w:tcBorders>
              <w:top w:val="nil"/>
              <w:left w:val="nil"/>
              <w:bottom w:val="single" w:color="auto" w:sz="4" w:space="0"/>
              <w:right w:val="single" w:color="auto" w:sz="4" w:space="0"/>
            </w:tcBorders>
            <w:noWrap w:val="0"/>
            <w:vAlign w:val="center"/>
          </w:tcPr>
          <w:p w14:paraId="41F4C7D7">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32</w:t>
            </w:r>
          </w:p>
        </w:tc>
        <w:tc>
          <w:tcPr>
            <w:tcW w:w="878" w:type="dxa"/>
            <w:tcBorders>
              <w:top w:val="nil"/>
              <w:left w:val="nil"/>
              <w:bottom w:val="single" w:color="auto" w:sz="4" w:space="0"/>
              <w:right w:val="single" w:color="auto" w:sz="4" w:space="0"/>
            </w:tcBorders>
            <w:noWrap w:val="0"/>
            <w:vAlign w:val="center"/>
          </w:tcPr>
          <w:p w14:paraId="0F5A2C3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100</w:t>
            </w:r>
          </w:p>
        </w:tc>
        <w:tc>
          <w:tcPr>
            <w:tcW w:w="878" w:type="dxa"/>
            <w:tcBorders>
              <w:top w:val="nil"/>
              <w:left w:val="nil"/>
              <w:bottom w:val="single" w:color="auto" w:sz="4" w:space="0"/>
              <w:right w:val="single" w:color="auto" w:sz="4" w:space="0"/>
            </w:tcBorders>
            <w:noWrap w:val="0"/>
            <w:vAlign w:val="center"/>
          </w:tcPr>
          <w:p w14:paraId="5408AC2A">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1</w:t>
            </w:r>
            <w:r>
              <w:rPr>
                <w:rFonts w:hint="eastAsia" w:asciiTheme="minorEastAsia" w:hAnsiTheme="minorEastAsia" w:eastAsiaTheme="minorEastAsia" w:cstheme="minorEastAsia"/>
                <w:color w:val="auto"/>
                <w:sz w:val="20"/>
                <w:szCs w:val="20"/>
                <w:highlight w:val="none"/>
              </w:rPr>
              <w:t>000</w:t>
            </w:r>
          </w:p>
        </w:tc>
        <w:tc>
          <w:tcPr>
            <w:tcW w:w="613" w:type="dxa"/>
            <w:tcBorders>
              <w:top w:val="nil"/>
              <w:left w:val="nil"/>
              <w:bottom w:val="single" w:color="auto" w:sz="4" w:space="0"/>
              <w:right w:val="single" w:color="auto" w:sz="4" w:space="0"/>
            </w:tcBorders>
            <w:noWrap w:val="0"/>
            <w:vAlign w:val="center"/>
          </w:tcPr>
          <w:p w14:paraId="368A21BB">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2</w:t>
            </w:r>
          </w:p>
        </w:tc>
        <w:tc>
          <w:tcPr>
            <w:tcW w:w="677" w:type="dxa"/>
            <w:tcBorders>
              <w:top w:val="nil"/>
              <w:left w:val="nil"/>
              <w:bottom w:val="single" w:color="auto" w:sz="4" w:space="0"/>
              <w:right w:val="single" w:color="auto" w:sz="4" w:space="0"/>
            </w:tcBorders>
            <w:noWrap w:val="0"/>
            <w:vAlign w:val="center"/>
          </w:tcPr>
          <w:p w14:paraId="058610CF">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w:t>
            </w:r>
          </w:p>
        </w:tc>
        <w:tc>
          <w:tcPr>
            <w:tcW w:w="646" w:type="dxa"/>
            <w:tcBorders>
              <w:top w:val="nil"/>
              <w:left w:val="nil"/>
              <w:bottom w:val="single" w:color="auto" w:sz="4" w:space="0"/>
              <w:right w:val="single" w:color="auto" w:sz="4" w:space="0"/>
            </w:tcBorders>
            <w:noWrap w:val="0"/>
            <w:vAlign w:val="center"/>
          </w:tcPr>
          <w:p w14:paraId="29614128">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2</w:t>
            </w:r>
          </w:p>
        </w:tc>
        <w:tc>
          <w:tcPr>
            <w:tcW w:w="670" w:type="dxa"/>
            <w:tcBorders>
              <w:top w:val="nil"/>
              <w:left w:val="nil"/>
              <w:bottom w:val="single" w:color="auto" w:sz="4" w:space="0"/>
              <w:right w:val="single" w:color="auto" w:sz="4" w:space="0"/>
            </w:tcBorders>
            <w:noWrap w:val="0"/>
            <w:vAlign w:val="center"/>
          </w:tcPr>
          <w:p w14:paraId="4CFBF2C6">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一主一备</w:t>
            </w:r>
          </w:p>
        </w:tc>
      </w:tr>
      <w:tr w14:paraId="7483383A">
        <w:tblPrEx>
          <w:tblCellMar>
            <w:top w:w="0" w:type="dxa"/>
            <w:left w:w="108" w:type="dxa"/>
            <w:bottom w:w="0" w:type="dxa"/>
            <w:right w:w="108" w:type="dxa"/>
          </w:tblCellMar>
        </w:tblPrEx>
        <w:trPr>
          <w:trHeight w:val="793" w:hRule="atLeast"/>
          <w:jc w:val="center"/>
        </w:trPr>
        <w:tc>
          <w:tcPr>
            <w:tcW w:w="422" w:type="dxa"/>
            <w:tcBorders>
              <w:top w:val="nil"/>
              <w:left w:val="single" w:color="auto" w:sz="4" w:space="0"/>
              <w:bottom w:val="single" w:color="auto" w:sz="4" w:space="0"/>
              <w:right w:val="single" w:color="auto" w:sz="4" w:space="0"/>
            </w:tcBorders>
            <w:noWrap w:val="0"/>
            <w:vAlign w:val="center"/>
          </w:tcPr>
          <w:p w14:paraId="2F41675A">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2</w:t>
            </w:r>
          </w:p>
        </w:tc>
        <w:tc>
          <w:tcPr>
            <w:tcW w:w="588" w:type="dxa"/>
            <w:vMerge w:val="continue"/>
            <w:tcBorders>
              <w:top w:val="nil"/>
              <w:left w:val="single" w:color="auto" w:sz="4" w:space="0"/>
              <w:bottom w:val="single" w:color="auto" w:sz="4" w:space="0"/>
              <w:right w:val="single" w:color="auto" w:sz="4" w:space="0"/>
            </w:tcBorders>
            <w:noWrap w:val="0"/>
            <w:vAlign w:val="center"/>
          </w:tcPr>
          <w:p w14:paraId="312A2C8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b/>
                <w:bCs/>
                <w:color w:val="auto"/>
                <w:sz w:val="20"/>
                <w:szCs w:val="20"/>
                <w:highlight w:val="none"/>
              </w:rPr>
            </w:pPr>
          </w:p>
        </w:tc>
        <w:tc>
          <w:tcPr>
            <w:tcW w:w="1093" w:type="dxa"/>
            <w:tcBorders>
              <w:top w:val="nil"/>
              <w:left w:val="nil"/>
              <w:bottom w:val="single" w:color="auto" w:sz="4" w:space="0"/>
              <w:right w:val="single" w:color="auto" w:sz="4" w:space="0"/>
            </w:tcBorders>
            <w:noWrap w:val="0"/>
            <w:vAlign w:val="center"/>
          </w:tcPr>
          <w:p w14:paraId="691B326E">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数据交换与计算服务器</w:t>
            </w:r>
          </w:p>
        </w:tc>
        <w:tc>
          <w:tcPr>
            <w:tcW w:w="707" w:type="dxa"/>
            <w:tcBorders>
              <w:top w:val="nil"/>
              <w:left w:val="nil"/>
              <w:bottom w:val="single" w:color="auto" w:sz="4" w:space="0"/>
              <w:right w:val="single" w:color="auto" w:sz="4" w:space="0"/>
            </w:tcBorders>
            <w:noWrap w:val="0"/>
            <w:vAlign w:val="center"/>
          </w:tcPr>
          <w:p w14:paraId="5E0B57A7">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虚拟机</w:t>
            </w:r>
          </w:p>
        </w:tc>
        <w:tc>
          <w:tcPr>
            <w:tcW w:w="427" w:type="dxa"/>
            <w:tcBorders>
              <w:top w:val="nil"/>
              <w:left w:val="nil"/>
              <w:bottom w:val="single" w:color="auto" w:sz="4" w:space="0"/>
              <w:right w:val="single" w:color="auto" w:sz="4" w:space="0"/>
            </w:tcBorders>
            <w:noWrap w:val="0"/>
            <w:vAlign w:val="center"/>
          </w:tcPr>
          <w:p w14:paraId="7DCF0214">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2</w:t>
            </w:r>
          </w:p>
        </w:tc>
        <w:tc>
          <w:tcPr>
            <w:tcW w:w="651" w:type="dxa"/>
            <w:tcBorders>
              <w:top w:val="nil"/>
              <w:left w:val="nil"/>
              <w:bottom w:val="single" w:color="auto" w:sz="4" w:space="0"/>
              <w:right w:val="single" w:color="auto" w:sz="4" w:space="0"/>
            </w:tcBorders>
            <w:noWrap w:val="0"/>
            <w:vAlign w:val="center"/>
          </w:tcPr>
          <w:p w14:paraId="4F5850B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16</w:t>
            </w:r>
          </w:p>
        </w:tc>
        <w:tc>
          <w:tcPr>
            <w:tcW w:w="699" w:type="dxa"/>
            <w:tcBorders>
              <w:top w:val="nil"/>
              <w:left w:val="nil"/>
              <w:bottom w:val="single" w:color="auto" w:sz="4" w:space="0"/>
              <w:right w:val="single" w:color="auto" w:sz="4" w:space="0"/>
            </w:tcBorders>
            <w:noWrap w:val="0"/>
            <w:vAlign w:val="center"/>
          </w:tcPr>
          <w:p w14:paraId="2BC8ACA1">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32</w:t>
            </w:r>
          </w:p>
        </w:tc>
        <w:tc>
          <w:tcPr>
            <w:tcW w:w="878" w:type="dxa"/>
            <w:tcBorders>
              <w:top w:val="nil"/>
              <w:left w:val="nil"/>
              <w:bottom w:val="single" w:color="auto" w:sz="4" w:space="0"/>
              <w:right w:val="single" w:color="auto" w:sz="4" w:space="0"/>
            </w:tcBorders>
            <w:noWrap w:val="0"/>
            <w:vAlign w:val="center"/>
          </w:tcPr>
          <w:p w14:paraId="6EA117D7">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100</w:t>
            </w:r>
          </w:p>
        </w:tc>
        <w:tc>
          <w:tcPr>
            <w:tcW w:w="878" w:type="dxa"/>
            <w:tcBorders>
              <w:top w:val="nil"/>
              <w:left w:val="nil"/>
              <w:bottom w:val="single" w:color="auto" w:sz="4" w:space="0"/>
              <w:right w:val="single" w:color="auto" w:sz="4" w:space="0"/>
            </w:tcBorders>
            <w:noWrap w:val="0"/>
            <w:vAlign w:val="center"/>
          </w:tcPr>
          <w:p w14:paraId="03E95730">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500</w:t>
            </w:r>
          </w:p>
        </w:tc>
        <w:tc>
          <w:tcPr>
            <w:tcW w:w="613" w:type="dxa"/>
            <w:tcBorders>
              <w:top w:val="nil"/>
              <w:left w:val="nil"/>
              <w:bottom w:val="single" w:color="auto" w:sz="4" w:space="0"/>
              <w:right w:val="single" w:color="auto" w:sz="4" w:space="0"/>
            </w:tcBorders>
            <w:noWrap w:val="0"/>
            <w:vAlign w:val="center"/>
          </w:tcPr>
          <w:p w14:paraId="62B00D3E">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2</w:t>
            </w:r>
          </w:p>
        </w:tc>
        <w:tc>
          <w:tcPr>
            <w:tcW w:w="677" w:type="dxa"/>
            <w:tcBorders>
              <w:top w:val="nil"/>
              <w:left w:val="nil"/>
              <w:bottom w:val="single" w:color="auto" w:sz="4" w:space="0"/>
              <w:right w:val="single" w:color="auto" w:sz="4" w:space="0"/>
            </w:tcBorders>
            <w:noWrap w:val="0"/>
            <w:vAlign w:val="center"/>
          </w:tcPr>
          <w:p w14:paraId="46D4A32B">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2</w:t>
            </w:r>
          </w:p>
        </w:tc>
        <w:tc>
          <w:tcPr>
            <w:tcW w:w="646" w:type="dxa"/>
            <w:tcBorders>
              <w:top w:val="nil"/>
              <w:left w:val="nil"/>
              <w:bottom w:val="single" w:color="auto" w:sz="4" w:space="0"/>
              <w:right w:val="single" w:color="auto" w:sz="4" w:space="0"/>
            </w:tcBorders>
            <w:noWrap w:val="0"/>
            <w:vAlign w:val="center"/>
          </w:tcPr>
          <w:p w14:paraId="20DE133E">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w:t>
            </w:r>
          </w:p>
        </w:tc>
        <w:tc>
          <w:tcPr>
            <w:tcW w:w="670" w:type="dxa"/>
            <w:tcBorders>
              <w:top w:val="nil"/>
              <w:left w:val="nil"/>
              <w:bottom w:val="single" w:color="auto" w:sz="4" w:space="0"/>
              <w:right w:val="single" w:color="auto" w:sz="4" w:space="0"/>
            </w:tcBorders>
            <w:noWrap w:val="0"/>
            <w:vAlign w:val="center"/>
          </w:tcPr>
          <w:p w14:paraId="65D82E37">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p>
        </w:tc>
      </w:tr>
      <w:tr w14:paraId="67D51952">
        <w:tblPrEx>
          <w:tblCellMar>
            <w:top w:w="0" w:type="dxa"/>
            <w:left w:w="108" w:type="dxa"/>
            <w:bottom w:w="0" w:type="dxa"/>
            <w:right w:w="108" w:type="dxa"/>
          </w:tblCellMar>
        </w:tblPrEx>
        <w:trPr>
          <w:trHeight w:val="793" w:hRule="atLeast"/>
          <w:jc w:val="center"/>
        </w:trPr>
        <w:tc>
          <w:tcPr>
            <w:tcW w:w="422" w:type="dxa"/>
            <w:tcBorders>
              <w:top w:val="nil"/>
              <w:left w:val="single" w:color="auto" w:sz="4" w:space="0"/>
              <w:bottom w:val="single" w:color="auto" w:sz="4" w:space="0"/>
              <w:right w:val="single" w:color="auto" w:sz="4" w:space="0"/>
            </w:tcBorders>
            <w:noWrap w:val="0"/>
            <w:vAlign w:val="center"/>
          </w:tcPr>
          <w:p w14:paraId="07D3A43E">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3</w:t>
            </w:r>
          </w:p>
        </w:tc>
        <w:tc>
          <w:tcPr>
            <w:tcW w:w="588" w:type="dxa"/>
            <w:vMerge w:val="continue"/>
            <w:tcBorders>
              <w:top w:val="nil"/>
              <w:left w:val="single" w:color="auto" w:sz="4" w:space="0"/>
              <w:bottom w:val="single" w:color="auto" w:sz="4" w:space="0"/>
              <w:right w:val="single" w:color="auto" w:sz="4" w:space="0"/>
            </w:tcBorders>
            <w:noWrap w:val="0"/>
            <w:vAlign w:val="center"/>
          </w:tcPr>
          <w:p w14:paraId="667D251D">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b/>
                <w:bCs/>
                <w:color w:val="auto"/>
                <w:sz w:val="20"/>
                <w:szCs w:val="20"/>
                <w:highlight w:val="none"/>
              </w:rPr>
            </w:pPr>
          </w:p>
        </w:tc>
        <w:tc>
          <w:tcPr>
            <w:tcW w:w="1093" w:type="dxa"/>
            <w:tcBorders>
              <w:top w:val="nil"/>
              <w:left w:val="nil"/>
              <w:bottom w:val="single" w:color="auto" w:sz="4" w:space="0"/>
              <w:right w:val="single" w:color="auto" w:sz="4" w:space="0"/>
            </w:tcBorders>
            <w:noWrap w:val="0"/>
            <w:vAlign w:val="center"/>
          </w:tcPr>
          <w:p w14:paraId="35F93783">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业务综合应用服务器</w:t>
            </w:r>
          </w:p>
        </w:tc>
        <w:tc>
          <w:tcPr>
            <w:tcW w:w="707" w:type="dxa"/>
            <w:tcBorders>
              <w:top w:val="nil"/>
              <w:left w:val="nil"/>
              <w:bottom w:val="single" w:color="auto" w:sz="4" w:space="0"/>
              <w:right w:val="single" w:color="auto" w:sz="4" w:space="0"/>
            </w:tcBorders>
            <w:noWrap w:val="0"/>
            <w:vAlign w:val="center"/>
          </w:tcPr>
          <w:p w14:paraId="4EEBA590">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虚拟机</w:t>
            </w:r>
          </w:p>
        </w:tc>
        <w:tc>
          <w:tcPr>
            <w:tcW w:w="427" w:type="dxa"/>
            <w:tcBorders>
              <w:top w:val="nil"/>
              <w:left w:val="nil"/>
              <w:bottom w:val="single" w:color="auto" w:sz="4" w:space="0"/>
              <w:right w:val="single" w:color="auto" w:sz="4" w:space="0"/>
            </w:tcBorders>
            <w:noWrap w:val="0"/>
            <w:vAlign w:val="center"/>
          </w:tcPr>
          <w:p w14:paraId="0785FDD1">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2</w:t>
            </w:r>
          </w:p>
        </w:tc>
        <w:tc>
          <w:tcPr>
            <w:tcW w:w="651" w:type="dxa"/>
            <w:tcBorders>
              <w:top w:val="nil"/>
              <w:left w:val="nil"/>
              <w:bottom w:val="single" w:color="auto" w:sz="4" w:space="0"/>
              <w:right w:val="single" w:color="auto" w:sz="4" w:space="0"/>
            </w:tcBorders>
            <w:noWrap w:val="0"/>
            <w:vAlign w:val="center"/>
          </w:tcPr>
          <w:p w14:paraId="0248BD38">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8</w:t>
            </w:r>
          </w:p>
        </w:tc>
        <w:tc>
          <w:tcPr>
            <w:tcW w:w="699" w:type="dxa"/>
            <w:tcBorders>
              <w:top w:val="nil"/>
              <w:left w:val="nil"/>
              <w:bottom w:val="single" w:color="auto" w:sz="4" w:space="0"/>
              <w:right w:val="single" w:color="auto" w:sz="4" w:space="0"/>
            </w:tcBorders>
            <w:noWrap w:val="0"/>
            <w:vAlign w:val="center"/>
          </w:tcPr>
          <w:p w14:paraId="798F240F">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32</w:t>
            </w:r>
          </w:p>
        </w:tc>
        <w:tc>
          <w:tcPr>
            <w:tcW w:w="878" w:type="dxa"/>
            <w:tcBorders>
              <w:top w:val="nil"/>
              <w:left w:val="nil"/>
              <w:bottom w:val="single" w:color="auto" w:sz="4" w:space="0"/>
              <w:right w:val="single" w:color="auto" w:sz="4" w:space="0"/>
            </w:tcBorders>
            <w:noWrap w:val="0"/>
            <w:vAlign w:val="center"/>
          </w:tcPr>
          <w:p w14:paraId="18D78C86">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100</w:t>
            </w:r>
          </w:p>
        </w:tc>
        <w:tc>
          <w:tcPr>
            <w:tcW w:w="878" w:type="dxa"/>
            <w:tcBorders>
              <w:top w:val="nil"/>
              <w:left w:val="nil"/>
              <w:bottom w:val="single" w:color="auto" w:sz="4" w:space="0"/>
              <w:right w:val="single" w:color="auto" w:sz="4" w:space="0"/>
            </w:tcBorders>
            <w:noWrap w:val="0"/>
            <w:vAlign w:val="center"/>
          </w:tcPr>
          <w:p w14:paraId="3BA91BA7">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500</w:t>
            </w:r>
          </w:p>
        </w:tc>
        <w:tc>
          <w:tcPr>
            <w:tcW w:w="613" w:type="dxa"/>
            <w:tcBorders>
              <w:top w:val="nil"/>
              <w:left w:val="nil"/>
              <w:bottom w:val="single" w:color="auto" w:sz="4" w:space="0"/>
              <w:right w:val="single" w:color="auto" w:sz="4" w:space="0"/>
            </w:tcBorders>
            <w:noWrap w:val="0"/>
            <w:vAlign w:val="center"/>
          </w:tcPr>
          <w:p w14:paraId="7943B2F0">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2</w:t>
            </w:r>
          </w:p>
        </w:tc>
        <w:tc>
          <w:tcPr>
            <w:tcW w:w="677" w:type="dxa"/>
            <w:tcBorders>
              <w:top w:val="nil"/>
              <w:left w:val="nil"/>
              <w:bottom w:val="single" w:color="auto" w:sz="4" w:space="0"/>
              <w:right w:val="single" w:color="auto" w:sz="4" w:space="0"/>
            </w:tcBorders>
            <w:noWrap w:val="0"/>
            <w:vAlign w:val="center"/>
          </w:tcPr>
          <w:p w14:paraId="7990D041">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2</w:t>
            </w:r>
          </w:p>
        </w:tc>
        <w:tc>
          <w:tcPr>
            <w:tcW w:w="646" w:type="dxa"/>
            <w:tcBorders>
              <w:top w:val="nil"/>
              <w:left w:val="nil"/>
              <w:bottom w:val="single" w:color="auto" w:sz="4" w:space="0"/>
              <w:right w:val="single" w:color="auto" w:sz="4" w:space="0"/>
            </w:tcBorders>
            <w:noWrap w:val="0"/>
            <w:vAlign w:val="center"/>
          </w:tcPr>
          <w:p w14:paraId="1CAFB6B2">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w:t>
            </w:r>
          </w:p>
        </w:tc>
        <w:tc>
          <w:tcPr>
            <w:tcW w:w="670" w:type="dxa"/>
            <w:tcBorders>
              <w:top w:val="nil"/>
              <w:left w:val="nil"/>
              <w:bottom w:val="single" w:color="auto" w:sz="4" w:space="0"/>
              <w:right w:val="single" w:color="auto" w:sz="4" w:space="0"/>
            </w:tcBorders>
            <w:noWrap w:val="0"/>
            <w:vAlign w:val="center"/>
          </w:tcPr>
          <w:p w14:paraId="08602EBC">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0"/>
                <w:szCs w:val="20"/>
                <w:highlight w:val="none"/>
              </w:rPr>
            </w:pPr>
          </w:p>
        </w:tc>
      </w:tr>
    </w:tbl>
    <w:p w14:paraId="2726A44D">
      <w:pPr>
        <w:pageBreakBefore w:val="0"/>
        <w:kinsoku/>
        <w:wordWrap/>
        <w:overflowPunct/>
        <w:topLinePunct w:val="0"/>
        <w:bidi w:val="0"/>
        <w:snapToGrid w:val="0"/>
        <w:spacing w:line="500" w:lineRule="exact"/>
        <w:ind w:firstLine="560" w:firstLineChars="0"/>
        <w:jc w:val="both"/>
        <w:textAlignment w:val="auto"/>
        <w:rPr>
          <w:rFonts w:hint="default" w:ascii="宋体" w:hAnsi="宋体" w:eastAsia="宋体" w:cs="Times New Roman"/>
          <w:b w:val="0"/>
          <w:bCs/>
          <w:color w:val="auto"/>
          <w:kern w:val="2"/>
          <w:sz w:val="24"/>
          <w:szCs w:val="24"/>
          <w:highlight w:val="none"/>
          <w:lang w:val="en-US" w:eastAsia="zh-CN" w:bidi="ar-SA"/>
        </w:rPr>
      </w:pPr>
    </w:p>
    <w:p w14:paraId="443A9F1D">
      <w:pPr>
        <w:pStyle w:val="2"/>
        <w:ind w:left="314" w:leftChars="131" w:firstLine="163" w:firstLineChars="51"/>
        <w:rPr>
          <w:color w:val="auto"/>
          <w:highlight w:val="none"/>
        </w:rPr>
      </w:pPr>
      <w:bookmarkStart w:id="21" w:name="_Toc63785503"/>
      <w:r>
        <w:rPr>
          <w:rFonts w:hint="eastAsia"/>
          <w:color w:val="auto"/>
          <w:highlight w:val="none"/>
        </w:rPr>
        <w:t>其他工作要求</w:t>
      </w:r>
      <w:bookmarkEnd w:id="21"/>
    </w:p>
    <w:p w14:paraId="30967534">
      <w:pPr>
        <w:keepNext/>
        <w:keepLines/>
        <w:numPr>
          <w:ilvl w:val="1"/>
          <w:numId w:val="3"/>
        </w:numPr>
        <w:tabs>
          <w:tab w:val="left" w:pos="360"/>
        </w:tabs>
        <w:spacing w:before="120" w:line="240" w:lineRule="auto"/>
        <w:ind w:left="0" w:firstLine="0" w:firstLineChars="0"/>
        <w:outlineLvl w:val="1"/>
        <w:rPr>
          <w:rFonts w:ascii="仿宋" w:hAnsi="仿宋" w:eastAsia="仿宋"/>
          <w:b/>
          <w:vanish/>
          <w:color w:val="auto"/>
          <w:sz w:val="28"/>
          <w:szCs w:val="20"/>
          <w:highlight w:val="none"/>
        </w:rPr>
      </w:pPr>
      <w:bookmarkStart w:id="22" w:name="_Toc63785439"/>
      <w:bookmarkEnd w:id="22"/>
      <w:bookmarkStart w:id="23" w:name="_Toc62209488"/>
      <w:bookmarkEnd w:id="23"/>
      <w:bookmarkStart w:id="24" w:name="_Toc61968111"/>
      <w:bookmarkEnd w:id="24"/>
      <w:bookmarkStart w:id="25" w:name="_Toc63785504"/>
      <w:bookmarkEnd w:id="25"/>
      <w:bookmarkStart w:id="26" w:name="_Toc62219358"/>
      <w:bookmarkEnd w:id="26"/>
      <w:bookmarkStart w:id="27" w:name="_Toc63151871"/>
      <w:bookmarkEnd w:id="27"/>
      <w:bookmarkStart w:id="28" w:name="_Toc63585480"/>
      <w:bookmarkEnd w:id="28"/>
      <w:bookmarkStart w:id="29" w:name="_Toc63762370"/>
      <w:bookmarkEnd w:id="29"/>
    </w:p>
    <w:p w14:paraId="20AE330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Times New Roman"/>
          <w:b/>
          <w:bCs/>
          <w:color w:val="auto"/>
          <w:highlight w:val="none"/>
          <w:lang w:val="en-US" w:eastAsia="zh-CN"/>
        </w:rPr>
      </w:pPr>
      <w:bookmarkStart w:id="30" w:name="_Toc63785505"/>
      <w:r>
        <w:rPr>
          <w:rFonts w:hint="eastAsia" w:ascii="宋体" w:hAnsi="宋体" w:eastAsia="宋体" w:cs="Times New Roman"/>
          <w:b/>
          <w:bCs/>
          <w:color w:val="auto"/>
          <w:highlight w:val="none"/>
          <w:lang w:val="en-US" w:eastAsia="zh-CN"/>
        </w:rPr>
        <w:t>5.1</w:t>
      </w:r>
      <w:r>
        <w:rPr>
          <w:rFonts w:hint="eastAsia" w:cs="Times New Roman"/>
          <w:b/>
          <w:bCs/>
          <w:color w:val="auto"/>
          <w:highlight w:val="none"/>
          <w:lang w:val="en-US" w:eastAsia="zh-CN"/>
        </w:rPr>
        <w:t xml:space="preserve">  </w:t>
      </w:r>
      <w:r>
        <w:rPr>
          <w:rFonts w:hint="eastAsia" w:ascii="宋体" w:hAnsi="宋体" w:eastAsia="宋体" w:cs="Times New Roman"/>
          <w:b/>
          <w:bCs/>
          <w:color w:val="auto"/>
          <w:highlight w:val="none"/>
          <w:lang w:val="en-US" w:eastAsia="zh-CN"/>
        </w:rPr>
        <w:t>售后服务要求</w:t>
      </w:r>
      <w:bookmarkEnd w:id="30"/>
    </w:p>
    <w:p w14:paraId="616D3C76">
      <w:pPr>
        <w:pStyle w:val="10"/>
        <w:snapToGrid/>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本项目从系统验收通过之日起1年内提供</w:t>
      </w:r>
      <w:r>
        <w:rPr>
          <w:rFonts w:ascii="宋体" w:hAnsi="宋体"/>
          <w:color w:val="auto"/>
          <w:sz w:val="24"/>
          <w:szCs w:val="24"/>
          <w:highlight w:val="none"/>
        </w:rPr>
        <w:t>7*24小时免费技术支持</w:t>
      </w:r>
      <w:r>
        <w:rPr>
          <w:rFonts w:hint="eastAsia" w:ascii="宋体" w:hAnsi="宋体"/>
          <w:color w:val="auto"/>
          <w:sz w:val="24"/>
          <w:szCs w:val="24"/>
          <w:highlight w:val="none"/>
        </w:rPr>
        <w:t>和售后服务，1年后进入有偿维护期。</w:t>
      </w:r>
    </w:p>
    <w:p w14:paraId="7C90A265">
      <w:pPr>
        <w:pStyle w:val="10"/>
        <w:snapToGrid/>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在质量保证期内，供应商将按照售后服务的承诺提供保修和运行维护服务，如果厂商对信息系统中软、硬件设备等产品中的部分保修期超过上述期限的，则按照厂商的规定进行免费保修。</w:t>
      </w:r>
    </w:p>
    <w:p w14:paraId="66C52E3F">
      <w:pPr>
        <w:pStyle w:val="10"/>
        <w:snapToGrid/>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在质量保证期内，供应商负责信息系统的运行维护工作，确保信息系统安全、稳定、可靠地运行。本项目涉及的运行维护工作范围为：</w:t>
      </w:r>
      <w:r>
        <w:rPr>
          <w:rFonts w:hint="eastAsia" w:ascii="宋体" w:hAnsi="宋体"/>
          <w:color w:val="auto"/>
          <w:sz w:val="24"/>
          <w:szCs w:val="24"/>
          <w:highlight w:val="none"/>
          <w:lang w:eastAsia="zh-CN"/>
        </w:rPr>
        <w:t>水文资料整编、水情分析和密码应用</w:t>
      </w:r>
      <w:r>
        <w:rPr>
          <w:rFonts w:hint="eastAsia" w:ascii="宋体" w:hAnsi="宋体"/>
          <w:color w:val="auto"/>
          <w:sz w:val="24"/>
          <w:szCs w:val="24"/>
          <w:highlight w:val="none"/>
        </w:rPr>
        <w:t>。</w:t>
      </w:r>
    </w:p>
    <w:p w14:paraId="7E7FCD5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Times New Roman"/>
          <w:b/>
          <w:bCs/>
          <w:color w:val="auto"/>
          <w:highlight w:val="none"/>
          <w:lang w:val="en-US" w:eastAsia="zh-CN"/>
        </w:rPr>
      </w:pPr>
      <w:bookmarkStart w:id="31" w:name="_Toc63785506"/>
      <w:r>
        <w:rPr>
          <w:rFonts w:hint="eastAsia" w:ascii="宋体" w:hAnsi="宋体" w:eastAsia="宋体" w:cs="Times New Roman"/>
          <w:b/>
          <w:bCs/>
          <w:color w:val="auto"/>
          <w:highlight w:val="none"/>
          <w:lang w:val="en-US" w:eastAsia="zh-CN"/>
        </w:rPr>
        <w:t>5.2应急响应要求</w:t>
      </w:r>
      <w:bookmarkEnd w:id="31"/>
    </w:p>
    <w:p w14:paraId="352B18FB">
      <w:pPr>
        <w:pStyle w:val="10"/>
        <w:snapToGrid/>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供应商对系统故障应能够实时响应，若系统发生故障，接到通知后</w:t>
      </w:r>
      <w:r>
        <w:rPr>
          <w:rFonts w:ascii="宋体" w:hAnsi="宋体"/>
          <w:color w:val="auto"/>
          <w:sz w:val="24"/>
          <w:szCs w:val="24"/>
          <w:highlight w:val="none"/>
        </w:rPr>
        <w:t>30分钟之内响应，</w:t>
      </w:r>
      <w:r>
        <w:rPr>
          <w:rFonts w:ascii="宋体" w:hAnsi="宋体"/>
          <w:b/>
          <w:bCs/>
          <w:i/>
          <w:iCs/>
          <w:color w:val="auto"/>
          <w:sz w:val="24"/>
          <w:szCs w:val="24"/>
          <w:highlight w:val="none"/>
        </w:rPr>
        <w:t>专业工程师</w:t>
      </w:r>
      <w:r>
        <w:rPr>
          <w:rFonts w:hint="eastAsia" w:ascii="宋体" w:hAnsi="宋体"/>
          <w:b/>
          <w:bCs/>
          <w:i/>
          <w:iCs/>
          <w:color w:val="auto"/>
          <w:sz w:val="24"/>
          <w:szCs w:val="24"/>
          <w:highlight w:val="none"/>
          <w:lang w:val="en-US" w:eastAsia="zh-CN"/>
        </w:rPr>
        <w:t>2小时内线上响应，必要时到现场解决故障</w:t>
      </w:r>
      <w:r>
        <w:rPr>
          <w:rFonts w:hint="eastAsia" w:ascii="宋体" w:hAnsi="宋体"/>
          <w:b/>
          <w:bCs/>
          <w:i/>
          <w:iCs/>
          <w:color w:val="auto"/>
          <w:sz w:val="24"/>
          <w:szCs w:val="24"/>
          <w:highlight w:val="none"/>
          <w:lang w:eastAsia="zh-CN"/>
        </w:rPr>
        <w:t>。</w:t>
      </w:r>
      <w:r>
        <w:rPr>
          <w:rFonts w:hint="eastAsia" w:ascii="宋体" w:hAnsi="宋体"/>
          <w:color w:val="auto"/>
          <w:sz w:val="24"/>
          <w:szCs w:val="24"/>
          <w:highlight w:val="none"/>
        </w:rPr>
        <w:t>特殊故障与客户沟通协商后，按照协商的方式制定解决方案并进行处理。</w:t>
      </w:r>
    </w:p>
    <w:p w14:paraId="6A33F036">
      <w:pPr>
        <w:pStyle w:val="10"/>
        <w:snapToGrid/>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具体故障级别及对应的应急响应要求如下：</w:t>
      </w:r>
    </w:p>
    <w:p w14:paraId="4BE631C7">
      <w:pPr>
        <w:pStyle w:val="10"/>
        <w:snapToGrid/>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一级故障：在</w:t>
      </w:r>
      <w:r>
        <w:rPr>
          <w:rFonts w:ascii="宋体" w:hAnsi="宋体"/>
          <w:color w:val="auto"/>
          <w:sz w:val="24"/>
          <w:szCs w:val="24"/>
          <w:highlight w:val="none"/>
        </w:rPr>
        <w:t>1小时内确诊，总故障解决时间不超过4小时。</w:t>
      </w:r>
    </w:p>
    <w:p w14:paraId="16E98F67">
      <w:pPr>
        <w:pStyle w:val="10"/>
        <w:snapToGrid/>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二级故障：在</w:t>
      </w:r>
      <w:r>
        <w:rPr>
          <w:rFonts w:ascii="宋体" w:hAnsi="宋体"/>
          <w:color w:val="auto"/>
          <w:sz w:val="24"/>
          <w:szCs w:val="24"/>
          <w:highlight w:val="none"/>
        </w:rPr>
        <w:t>2小时内确诊，并在4小时内由专家到达现场确诊并解决，总故障解决时间不超过8小时；</w:t>
      </w:r>
    </w:p>
    <w:p w14:paraId="50AD23F6">
      <w:pPr>
        <w:pStyle w:val="10"/>
        <w:snapToGrid/>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三、四级故障：在</w:t>
      </w:r>
      <w:r>
        <w:rPr>
          <w:rFonts w:ascii="宋体" w:hAnsi="宋体"/>
          <w:color w:val="auto"/>
          <w:sz w:val="24"/>
          <w:szCs w:val="24"/>
          <w:highlight w:val="none"/>
        </w:rPr>
        <w:t>4小时内确诊故障，总故障解决时间不超过16小时。</w:t>
      </w:r>
    </w:p>
    <w:p w14:paraId="66594D0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Times New Roman"/>
          <w:b/>
          <w:bCs/>
          <w:color w:val="auto"/>
          <w:highlight w:val="none"/>
          <w:lang w:val="en-US" w:eastAsia="zh-CN"/>
        </w:rPr>
      </w:pPr>
      <w:bookmarkStart w:id="32" w:name="_Toc63785507"/>
      <w:r>
        <w:rPr>
          <w:rFonts w:hint="eastAsia" w:ascii="宋体" w:hAnsi="宋体" w:eastAsia="宋体" w:cs="Times New Roman"/>
          <w:b/>
          <w:bCs/>
          <w:color w:val="auto"/>
          <w:highlight w:val="none"/>
          <w:lang w:val="en-US" w:eastAsia="zh-CN"/>
        </w:rPr>
        <w:t>5.3培训要求</w:t>
      </w:r>
      <w:bookmarkEnd w:id="32"/>
    </w:p>
    <w:p w14:paraId="48CCF3B7">
      <w:pPr>
        <w:rPr>
          <w:color w:val="auto"/>
          <w:highlight w:val="none"/>
        </w:rPr>
      </w:pPr>
      <w:r>
        <w:rPr>
          <w:rFonts w:hint="eastAsia"/>
          <w:color w:val="auto"/>
          <w:highlight w:val="none"/>
        </w:rPr>
        <w:t>对系统使用单位提供业务操作培训，应提供详细培训方案。</w:t>
      </w:r>
    </w:p>
    <w:p w14:paraId="31920BE2">
      <w:pPr>
        <w:rPr>
          <w:color w:val="auto"/>
          <w:highlight w:val="none"/>
        </w:rPr>
      </w:pPr>
      <w:r>
        <w:rPr>
          <w:rFonts w:hint="eastAsia"/>
          <w:color w:val="auto"/>
          <w:szCs w:val="21"/>
          <w:highlight w:val="none"/>
          <w:lang w:eastAsia="zh-CN"/>
        </w:rPr>
        <w:t>（</w:t>
      </w:r>
      <w:r>
        <w:rPr>
          <w:color w:val="auto"/>
          <w:szCs w:val="21"/>
          <w:highlight w:val="none"/>
        </w:rPr>
        <w:t>1）</w:t>
      </w:r>
      <w:r>
        <w:rPr>
          <w:rFonts w:hint="eastAsia"/>
          <w:color w:val="auto"/>
          <w:highlight w:val="none"/>
        </w:rPr>
        <w:t>在12个月的质量保证期内，提供2次与项目相关的培训。</w:t>
      </w:r>
    </w:p>
    <w:p w14:paraId="0D2586DF">
      <w:pPr>
        <w:rPr>
          <w:color w:val="auto"/>
          <w:highlight w:val="none"/>
        </w:rPr>
      </w:pPr>
      <w:r>
        <w:rPr>
          <w:rFonts w:hint="eastAsia"/>
          <w:color w:val="auto"/>
          <w:szCs w:val="21"/>
          <w:highlight w:val="none"/>
          <w:lang w:eastAsia="zh-CN"/>
        </w:rPr>
        <w:t>（</w:t>
      </w:r>
      <w:r>
        <w:rPr>
          <w:rFonts w:hint="eastAsia"/>
          <w:color w:val="auto"/>
          <w:szCs w:val="21"/>
          <w:highlight w:val="none"/>
          <w:lang w:val="en-US" w:eastAsia="zh-CN"/>
        </w:rPr>
        <w:t>2</w:t>
      </w:r>
      <w:r>
        <w:rPr>
          <w:color w:val="auto"/>
          <w:szCs w:val="21"/>
          <w:highlight w:val="none"/>
        </w:rPr>
        <w:t>）</w:t>
      </w:r>
      <w:r>
        <w:rPr>
          <w:rFonts w:hint="eastAsia"/>
          <w:color w:val="auto"/>
          <w:highlight w:val="none"/>
        </w:rPr>
        <w:t>供应商需要开展分层次的人员培训工作</w:t>
      </w:r>
      <w:r>
        <w:rPr>
          <w:rFonts w:hint="eastAsia"/>
          <w:color w:val="auto"/>
          <w:highlight w:val="none"/>
          <w:lang w:eastAsia="zh-CN"/>
        </w:rPr>
        <w:t>，</w:t>
      </w:r>
      <w:r>
        <w:rPr>
          <w:rFonts w:hint="eastAsia"/>
          <w:color w:val="auto"/>
          <w:highlight w:val="none"/>
        </w:rPr>
        <w:t>培训应具有培训教材、培训环境和高水平的培训讲师。</w:t>
      </w:r>
    </w:p>
    <w:p w14:paraId="5230AE3E">
      <w:pPr>
        <w:rPr>
          <w:rFonts w:hint="eastAsia"/>
          <w:color w:val="auto"/>
          <w:highlight w:val="none"/>
        </w:rPr>
      </w:pPr>
      <w:r>
        <w:rPr>
          <w:rFonts w:hint="eastAsia"/>
          <w:color w:val="auto"/>
          <w:szCs w:val="21"/>
          <w:highlight w:val="none"/>
          <w:lang w:eastAsia="zh-CN"/>
        </w:rPr>
        <w:t>（</w:t>
      </w:r>
      <w:r>
        <w:rPr>
          <w:rFonts w:hint="eastAsia"/>
          <w:color w:val="auto"/>
          <w:szCs w:val="21"/>
          <w:highlight w:val="none"/>
          <w:lang w:val="en-US" w:eastAsia="zh-CN"/>
        </w:rPr>
        <w:t>3</w:t>
      </w:r>
      <w:r>
        <w:rPr>
          <w:color w:val="auto"/>
          <w:szCs w:val="21"/>
          <w:highlight w:val="none"/>
        </w:rPr>
        <w:t>）</w:t>
      </w:r>
      <w:r>
        <w:rPr>
          <w:rFonts w:hint="eastAsia"/>
          <w:color w:val="auto"/>
          <w:highlight w:val="none"/>
        </w:rPr>
        <w:t>供应商应提供一般用户的基础操作培训和部门信息管理员的日常应用维护的培训，确保用户对象能够掌握对应的操作技能。</w:t>
      </w:r>
    </w:p>
    <w:p w14:paraId="61E2196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5.4验收要求</w:t>
      </w:r>
    </w:p>
    <w:p w14:paraId="3D02EB60">
      <w:pPr>
        <w:rPr>
          <w:color w:val="auto"/>
          <w:szCs w:val="21"/>
          <w:highlight w:val="none"/>
        </w:rPr>
      </w:pPr>
      <w:r>
        <w:rPr>
          <w:rFonts w:hint="eastAsia"/>
          <w:color w:val="auto"/>
          <w:szCs w:val="21"/>
          <w:highlight w:val="none"/>
        </w:rPr>
        <w:t>本项目按下述方式开展验收。</w:t>
      </w:r>
    </w:p>
    <w:p w14:paraId="6BB30171">
      <w:pPr>
        <w:rPr>
          <w:color w:val="auto"/>
          <w:szCs w:val="21"/>
          <w:highlight w:val="none"/>
        </w:rPr>
      </w:pPr>
      <w:r>
        <w:rPr>
          <w:rFonts w:hint="eastAsia"/>
          <w:color w:val="auto"/>
          <w:szCs w:val="21"/>
          <w:highlight w:val="none"/>
        </w:rPr>
        <w:t>（</w:t>
      </w:r>
      <w:r>
        <w:rPr>
          <w:color w:val="auto"/>
          <w:szCs w:val="21"/>
          <w:highlight w:val="none"/>
        </w:rPr>
        <w:t>1）验收分初验和终验。</w:t>
      </w:r>
    </w:p>
    <w:p w14:paraId="3AB3C41F">
      <w:pPr>
        <w:rPr>
          <w:color w:val="auto"/>
          <w:szCs w:val="21"/>
          <w:highlight w:val="none"/>
        </w:rPr>
      </w:pPr>
      <w:r>
        <w:rPr>
          <w:rFonts w:hint="eastAsia"/>
          <w:color w:val="auto"/>
          <w:szCs w:val="21"/>
          <w:highlight w:val="none"/>
        </w:rPr>
        <w:t>（</w:t>
      </w:r>
      <w:r>
        <w:rPr>
          <w:color w:val="auto"/>
          <w:szCs w:val="21"/>
          <w:highlight w:val="none"/>
        </w:rPr>
        <w:t>2）初验前，供应商须完成软件开发、软硬件安装和信息系统的调试等，并对本项目进行功能和运行检测，确保所有信息系统功能模块能够正常运行且已达到本项目约定的各类标准要求。供应商应以书面形式向</w:t>
      </w:r>
      <w:r>
        <w:rPr>
          <w:rFonts w:hint="eastAsia"/>
          <w:color w:val="auto"/>
          <w:szCs w:val="21"/>
          <w:highlight w:val="none"/>
          <w:lang w:eastAsia="zh-CN"/>
        </w:rPr>
        <w:t>采购人</w:t>
      </w:r>
      <w:r>
        <w:rPr>
          <w:color w:val="auto"/>
          <w:szCs w:val="21"/>
          <w:highlight w:val="none"/>
        </w:rPr>
        <w:t>递交初验通知书。</w:t>
      </w:r>
      <w:r>
        <w:rPr>
          <w:rFonts w:hint="eastAsia"/>
          <w:color w:val="auto"/>
          <w:szCs w:val="21"/>
          <w:highlight w:val="none"/>
          <w:lang w:eastAsia="zh-CN"/>
        </w:rPr>
        <w:t>采购人</w:t>
      </w:r>
      <w:r>
        <w:rPr>
          <w:color w:val="auto"/>
          <w:szCs w:val="21"/>
          <w:highlight w:val="none"/>
        </w:rPr>
        <w:t>应当在接到通知后的5个工作日内确定初验的具体日期，由双方按照本项目的约定完成本项目的初验。</w:t>
      </w:r>
      <w:r>
        <w:rPr>
          <w:rFonts w:hint="eastAsia"/>
          <w:color w:val="auto"/>
          <w:szCs w:val="21"/>
          <w:highlight w:val="none"/>
          <w:lang w:eastAsia="zh-CN"/>
        </w:rPr>
        <w:t>采购人</w:t>
      </w:r>
      <w:r>
        <w:rPr>
          <w:color w:val="auto"/>
          <w:szCs w:val="21"/>
          <w:highlight w:val="none"/>
        </w:rPr>
        <w:t>有权委托第三方检测机构进行验收，对此供应商应当配合。</w:t>
      </w:r>
    </w:p>
    <w:p w14:paraId="1F3836C6">
      <w:pPr>
        <w:rPr>
          <w:color w:val="auto"/>
          <w:szCs w:val="21"/>
          <w:highlight w:val="none"/>
        </w:rPr>
      </w:pPr>
      <w:r>
        <w:rPr>
          <w:rFonts w:hint="eastAsia"/>
          <w:color w:val="auto"/>
          <w:szCs w:val="21"/>
          <w:highlight w:val="none"/>
        </w:rPr>
        <w:t>（</w:t>
      </w:r>
      <w:r>
        <w:rPr>
          <w:color w:val="auto"/>
          <w:szCs w:val="21"/>
          <w:highlight w:val="none"/>
        </w:rPr>
        <w:t>3）初验时，供应商须提供软件文档包括《用户需求说明书》《系统概要设计说明书》《系统详细设计说明书》</w:t>
      </w:r>
      <w:r>
        <w:rPr>
          <w:rFonts w:hint="eastAsia"/>
          <w:color w:val="auto"/>
          <w:szCs w:val="21"/>
          <w:highlight w:val="none"/>
        </w:rPr>
        <w:t>《三方功能需求确认单》</w:t>
      </w:r>
      <w:r>
        <w:rPr>
          <w:color w:val="auto"/>
          <w:szCs w:val="21"/>
          <w:highlight w:val="none"/>
        </w:rPr>
        <w:t>《测试报告》《用户使用手册》《系统部署文档》</w:t>
      </w:r>
      <w:r>
        <w:rPr>
          <w:rFonts w:hint="eastAsia"/>
          <w:color w:val="auto"/>
          <w:szCs w:val="21"/>
          <w:highlight w:val="none"/>
          <w:lang w:eastAsia="zh-CN"/>
        </w:rPr>
        <w:t>《应急预案》</w:t>
      </w:r>
      <w:r>
        <w:rPr>
          <w:color w:val="auto"/>
          <w:szCs w:val="21"/>
          <w:highlight w:val="none"/>
        </w:rPr>
        <w:t>等及可安装的程序运行文件。所交付的文档与文件应当是可供自然人阅读的书面和电子文档。软件文档及可安装的程序运行文件验收通过后，视为初验通过。如有缺陷，</w:t>
      </w:r>
      <w:r>
        <w:rPr>
          <w:rFonts w:hint="eastAsia"/>
          <w:color w:val="auto"/>
          <w:szCs w:val="21"/>
          <w:highlight w:val="none"/>
          <w:lang w:eastAsia="zh-CN"/>
        </w:rPr>
        <w:t>采购人</w:t>
      </w:r>
      <w:r>
        <w:rPr>
          <w:color w:val="auto"/>
          <w:szCs w:val="21"/>
          <w:highlight w:val="none"/>
        </w:rPr>
        <w:t>应向供应商出具书面报告，陈述需要改进的缺陷。供应商应立即严格依照</w:t>
      </w:r>
      <w:r>
        <w:rPr>
          <w:rFonts w:hint="eastAsia"/>
          <w:color w:val="auto"/>
          <w:szCs w:val="21"/>
          <w:highlight w:val="none"/>
          <w:lang w:eastAsia="zh-CN"/>
        </w:rPr>
        <w:t>采购人</w:t>
      </w:r>
      <w:r>
        <w:rPr>
          <w:color w:val="auto"/>
          <w:szCs w:val="21"/>
          <w:highlight w:val="none"/>
        </w:rPr>
        <w:t>的书面报告中的要求改进缺陷，并再次进行初验。</w:t>
      </w:r>
    </w:p>
    <w:p w14:paraId="763D05E6">
      <w:pPr>
        <w:rPr>
          <w:rFonts w:ascii="宋体" w:hAnsi="宋体" w:eastAsia="宋体"/>
          <w:color w:val="auto"/>
          <w:szCs w:val="21"/>
          <w:highlight w:val="none"/>
        </w:rPr>
      </w:pPr>
      <w:r>
        <w:rPr>
          <w:rFonts w:hint="eastAsia"/>
          <w:color w:val="auto"/>
          <w:szCs w:val="21"/>
          <w:highlight w:val="none"/>
        </w:rPr>
        <w:t>（</w:t>
      </w:r>
      <w:r>
        <w:rPr>
          <w:color w:val="auto"/>
          <w:szCs w:val="21"/>
          <w:highlight w:val="none"/>
        </w:rPr>
        <w:t>4）自</w:t>
      </w:r>
      <w:r>
        <w:rPr>
          <w:rFonts w:ascii="宋体" w:hAnsi="宋体" w:eastAsia="宋体"/>
          <w:color w:val="auto"/>
          <w:szCs w:val="21"/>
          <w:highlight w:val="none"/>
        </w:rPr>
        <w:t>初验通过之日起，</w:t>
      </w:r>
      <w:r>
        <w:rPr>
          <w:rFonts w:hint="eastAsia" w:ascii="宋体" w:hAnsi="宋体" w:eastAsia="宋体"/>
          <w:color w:val="auto"/>
          <w:szCs w:val="21"/>
          <w:highlight w:val="none"/>
          <w:lang w:eastAsia="zh-CN"/>
        </w:rPr>
        <w:t>采购人</w:t>
      </w:r>
      <w:r>
        <w:rPr>
          <w:rFonts w:ascii="宋体" w:hAnsi="宋体" w:eastAsia="宋体"/>
          <w:color w:val="auto"/>
          <w:szCs w:val="21"/>
          <w:highlight w:val="none"/>
        </w:rPr>
        <w:t>享有供应商免费提供的</w:t>
      </w:r>
      <w:r>
        <w:rPr>
          <w:rFonts w:hint="eastAsia" w:ascii="宋体" w:hAnsi="宋体" w:eastAsia="宋体"/>
          <w:color w:val="auto"/>
          <w:szCs w:val="21"/>
          <w:highlight w:val="none"/>
          <w:lang w:val="en-US" w:eastAsia="zh-CN"/>
        </w:rPr>
        <w:t>30</w:t>
      </w:r>
      <w:r>
        <w:rPr>
          <w:rFonts w:ascii="宋体" w:hAnsi="宋体" w:eastAsia="宋体"/>
          <w:color w:val="auto"/>
          <w:szCs w:val="21"/>
          <w:highlight w:val="none"/>
        </w:rPr>
        <w:t>天的信息系统试运行现场驻场服务期。该期间内，供应商应当按照</w:t>
      </w:r>
      <w:r>
        <w:rPr>
          <w:rFonts w:hint="eastAsia" w:ascii="宋体" w:hAnsi="宋体" w:eastAsia="宋体"/>
          <w:color w:val="auto"/>
          <w:szCs w:val="21"/>
          <w:highlight w:val="none"/>
          <w:lang w:eastAsia="zh-CN"/>
        </w:rPr>
        <w:t>采购人</w:t>
      </w:r>
      <w:r>
        <w:rPr>
          <w:rFonts w:ascii="宋体" w:hAnsi="宋体" w:eastAsia="宋体"/>
          <w:color w:val="auto"/>
          <w:szCs w:val="21"/>
          <w:highlight w:val="none"/>
        </w:rPr>
        <w:t>的要求提供现场技术支持服务，解决信息系统试运行期间可能出现的各类问题，或进一步提高与完善信息系统运行水平。</w:t>
      </w:r>
    </w:p>
    <w:p w14:paraId="68DE0D3D">
      <w:pPr>
        <w:rPr>
          <w:rFonts w:hint="eastAsia" w:ascii="宋体" w:hAnsi="宋体"/>
        </w:rPr>
      </w:pPr>
      <w:r>
        <w:rPr>
          <w:rFonts w:hint="eastAsia"/>
          <w:color w:val="auto"/>
          <w:szCs w:val="21"/>
          <w:highlight w:val="none"/>
        </w:rPr>
        <w:t>（</w:t>
      </w:r>
      <w:r>
        <w:rPr>
          <w:color w:val="auto"/>
          <w:szCs w:val="21"/>
          <w:highlight w:val="none"/>
        </w:rPr>
        <w:t>5）</w:t>
      </w:r>
      <w:r>
        <w:rPr>
          <w:rFonts w:hint="eastAsia" w:ascii="宋体" w:hAnsi="宋体"/>
        </w:rPr>
        <w:t>初验通过且软件系统试运行达到合同文件规定时间，初验遗留问题已解决，乙方确认软件系统具备正常运行条件，同时已配合甲方完成软件测评、安全测评等国家或地方规定的软件开发类项目的验收要求，</w:t>
      </w:r>
      <w:r>
        <w:rPr>
          <w:rFonts w:hint="eastAsia" w:ascii="宋体"/>
          <w:color w:val="000000"/>
        </w:rPr>
        <w:t>乙方需在初验阶段软件文档的基础上，提供终验阶段软件文档（包括但不限于《建设总结报告》《用户报告》</w:t>
      </w:r>
      <w:r>
        <w:rPr>
          <w:rFonts w:hint="eastAsia" w:ascii="宋体"/>
          <w:color w:val="000000"/>
          <w:lang w:eastAsia="zh-CN"/>
        </w:rPr>
        <w:t>《数据治理报告》《软件测评报告》《安全测评报告》</w:t>
      </w:r>
      <w:r>
        <w:rPr>
          <w:rFonts w:ascii="仿宋_GB2312" w:hAnsi="黑体" w:eastAsia="仿宋_GB2312"/>
          <w:sz w:val="32"/>
          <w:szCs w:val="32"/>
          <w:u w:val="single"/>
        </w:rPr>
        <w:t xml:space="preserve">       </w:t>
      </w:r>
      <w:r>
        <w:rPr>
          <w:rFonts w:hint="eastAsia" w:ascii="宋体"/>
          <w:color w:val="000000"/>
        </w:rPr>
        <w:t>等），并以书面形式通知甲方软件系统已准备就绪等待终验</w:t>
      </w:r>
      <w:r>
        <w:rPr>
          <w:rFonts w:hint="eastAsia" w:ascii="宋体" w:hAnsi="宋体"/>
        </w:rPr>
        <w:t>。</w:t>
      </w:r>
    </w:p>
    <w:p w14:paraId="32457DB0">
      <w:pPr>
        <w:rPr>
          <w:color w:val="auto"/>
          <w:szCs w:val="21"/>
          <w:highlight w:val="none"/>
        </w:rPr>
      </w:pPr>
      <w:r>
        <w:rPr>
          <w:rFonts w:hint="eastAsia"/>
          <w:color w:val="auto"/>
          <w:szCs w:val="21"/>
          <w:highlight w:val="none"/>
        </w:rPr>
        <w:t>（6</w:t>
      </w:r>
      <w:r>
        <w:rPr>
          <w:color w:val="auto"/>
          <w:szCs w:val="21"/>
          <w:highlight w:val="none"/>
        </w:rPr>
        <w:t>）如果属于供应商原因致使本项目未能通过终验，供应商应当排除缺陷，直至本项目完全符合验收标准，由上述情形而产生的相关费用应由供应商自行承担。</w:t>
      </w:r>
    </w:p>
    <w:p w14:paraId="3E784116">
      <w:pPr>
        <w:rPr>
          <w:color w:val="auto"/>
          <w:szCs w:val="21"/>
          <w:highlight w:val="none"/>
        </w:rPr>
      </w:pPr>
      <w:r>
        <w:rPr>
          <w:rFonts w:hint="eastAsia"/>
          <w:color w:val="auto"/>
          <w:szCs w:val="21"/>
          <w:highlight w:val="none"/>
        </w:rPr>
        <w:t>（7</w:t>
      </w:r>
      <w:r>
        <w:rPr>
          <w:color w:val="auto"/>
          <w:szCs w:val="21"/>
          <w:highlight w:val="none"/>
        </w:rPr>
        <w:t>）如果由于</w:t>
      </w:r>
      <w:r>
        <w:rPr>
          <w:rFonts w:hint="eastAsia"/>
          <w:color w:val="auto"/>
          <w:szCs w:val="21"/>
          <w:highlight w:val="none"/>
          <w:lang w:eastAsia="zh-CN"/>
        </w:rPr>
        <w:t>采购人</w:t>
      </w:r>
      <w:r>
        <w:rPr>
          <w:color w:val="auto"/>
          <w:szCs w:val="21"/>
          <w:highlight w:val="none"/>
        </w:rPr>
        <w:t>原因导致本项目在终验通过前出现故障或问题，供应商应及时配合排除该方面的故障或问题。</w:t>
      </w:r>
    </w:p>
    <w:p w14:paraId="70946C19">
      <w:pPr>
        <w:rPr>
          <w:rFonts w:hint="eastAsia"/>
          <w:color w:val="auto"/>
          <w:highlight w:val="none"/>
        </w:rPr>
      </w:pPr>
      <w:r>
        <w:rPr>
          <w:rFonts w:hint="eastAsia"/>
          <w:color w:val="auto"/>
          <w:szCs w:val="21"/>
          <w:highlight w:val="none"/>
        </w:rPr>
        <w:t>（8</w:t>
      </w:r>
      <w:r>
        <w:rPr>
          <w:color w:val="auto"/>
          <w:szCs w:val="21"/>
          <w:highlight w:val="none"/>
        </w:rPr>
        <w:t>）如本项目连续3次验收未通过（含初验未通过或终验未通过），</w:t>
      </w:r>
      <w:r>
        <w:rPr>
          <w:rFonts w:hint="eastAsia"/>
          <w:color w:val="auto"/>
          <w:szCs w:val="21"/>
          <w:highlight w:val="none"/>
          <w:lang w:eastAsia="zh-CN"/>
        </w:rPr>
        <w:t>采购人</w:t>
      </w:r>
      <w:r>
        <w:rPr>
          <w:color w:val="auto"/>
          <w:szCs w:val="21"/>
          <w:highlight w:val="none"/>
        </w:rPr>
        <w:t>有权解除项目，并有权依照本项目约定的违约条款追究供应商的违约责任。</w:t>
      </w:r>
    </w:p>
    <w:p w14:paraId="0CFCD40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Times New Roman"/>
          <w:b/>
          <w:bCs/>
          <w:color w:val="auto"/>
          <w:highlight w:val="none"/>
          <w:lang w:val="en-US" w:eastAsia="zh-CN"/>
        </w:rPr>
      </w:pPr>
      <w:bookmarkStart w:id="33" w:name="_Toc63785509"/>
      <w:r>
        <w:rPr>
          <w:rFonts w:hint="eastAsia" w:ascii="宋体" w:hAnsi="宋体" w:eastAsia="宋体" w:cs="Times New Roman"/>
          <w:b/>
          <w:bCs/>
          <w:color w:val="auto"/>
          <w:highlight w:val="none"/>
          <w:lang w:val="en-US" w:eastAsia="zh-CN"/>
        </w:rPr>
        <w:t>5.5</w:t>
      </w:r>
      <w:r>
        <w:rPr>
          <w:rFonts w:hint="eastAsia" w:cs="Times New Roman"/>
          <w:b/>
          <w:bCs/>
          <w:color w:val="auto"/>
          <w:highlight w:val="none"/>
          <w:lang w:val="en-US" w:eastAsia="zh-CN"/>
        </w:rPr>
        <w:t xml:space="preserve">  </w:t>
      </w:r>
      <w:r>
        <w:rPr>
          <w:rFonts w:hint="eastAsia" w:ascii="宋体" w:hAnsi="宋体" w:eastAsia="宋体" w:cs="Times New Roman"/>
          <w:b/>
          <w:bCs/>
          <w:color w:val="auto"/>
          <w:highlight w:val="none"/>
          <w:lang w:val="en-US" w:eastAsia="zh-CN"/>
        </w:rPr>
        <w:t>进度要求</w:t>
      </w:r>
      <w:bookmarkEnd w:id="33"/>
    </w:p>
    <w:p w14:paraId="2837A6AC">
      <w:pPr>
        <w:rPr>
          <w:rFonts w:hint="eastAsia"/>
          <w:color w:val="auto"/>
          <w:highlight w:val="none"/>
          <w:lang w:val="en-US" w:eastAsia="zh-CN"/>
        </w:rPr>
      </w:pPr>
      <w:r>
        <w:rPr>
          <w:rFonts w:hint="eastAsia"/>
          <w:color w:val="auto"/>
          <w:highlight w:val="none"/>
        </w:rPr>
        <w:t>投标人应根据建设内容，分阶段制定合理的</w:t>
      </w:r>
      <w:r>
        <w:rPr>
          <w:rFonts w:hint="eastAsia"/>
          <w:color w:val="auto"/>
          <w:highlight w:val="none"/>
          <w:lang w:eastAsia="zh-CN"/>
        </w:rPr>
        <w:t>实施</w:t>
      </w:r>
      <w:r>
        <w:rPr>
          <w:rFonts w:hint="eastAsia"/>
          <w:color w:val="auto"/>
          <w:highlight w:val="none"/>
        </w:rPr>
        <w:t>进度</w:t>
      </w:r>
      <w:r>
        <w:rPr>
          <w:rFonts w:hint="eastAsia"/>
          <w:color w:val="auto"/>
          <w:highlight w:val="none"/>
          <w:lang w:eastAsia="zh-CN"/>
        </w:rPr>
        <w:t>计划</w:t>
      </w:r>
      <w:r>
        <w:rPr>
          <w:rFonts w:hint="eastAsia"/>
          <w:color w:val="auto"/>
          <w:highlight w:val="none"/>
        </w:rPr>
        <w:t>，并根据</w:t>
      </w:r>
      <w:r>
        <w:rPr>
          <w:rFonts w:hint="eastAsia"/>
          <w:color w:val="auto"/>
          <w:highlight w:val="none"/>
          <w:lang w:eastAsia="zh-CN"/>
        </w:rPr>
        <w:t>采购人</w:t>
      </w:r>
      <w:r>
        <w:rPr>
          <w:rFonts w:hint="eastAsia"/>
          <w:color w:val="auto"/>
          <w:highlight w:val="none"/>
        </w:rPr>
        <w:t>要求进行</w:t>
      </w:r>
      <w:r>
        <w:rPr>
          <w:rFonts w:hint="eastAsia"/>
          <w:color w:val="auto"/>
          <w:highlight w:val="none"/>
          <w:lang w:eastAsia="zh-CN"/>
        </w:rPr>
        <w:t>动态</w:t>
      </w:r>
      <w:r>
        <w:rPr>
          <w:rFonts w:hint="eastAsia"/>
          <w:color w:val="auto"/>
          <w:highlight w:val="none"/>
        </w:rPr>
        <w:t>调整和细化。需求分析及调研</w:t>
      </w:r>
      <w:r>
        <w:rPr>
          <w:rFonts w:hint="eastAsia"/>
          <w:color w:val="auto"/>
          <w:highlight w:val="none"/>
          <w:lang w:eastAsia="zh-CN"/>
        </w:rPr>
        <w:t>、</w:t>
      </w:r>
      <w:r>
        <w:rPr>
          <w:rFonts w:hint="eastAsia"/>
          <w:color w:val="auto"/>
          <w:highlight w:val="none"/>
        </w:rPr>
        <w:t>详细设计</w:t>
      </w:r>
      <w:r>
        <w:rPr>
          <w:rFonts w:hint="eastAsia"/>
          <w:color w:val="auto"/>
          <w:highlight w:val="none"/>
          <w:lang w:eastAsia="zh-CN"/>
        </w:rPr>
        <w:t>、</w:t>
      </w:r>
      <w:r>
        <w:rPr>
          <w:rFonts w:hint="eastAsia"/>
          <w:color w:val="auto"/>
          <w:highlight w:val="none"/>
        </w:rPr>
        <w:t>系统建设</w:t>
      </w:r>
      <w:r>
        <w:rPr>
          <w:rFonts w:hint="eastAsia"/>
          <w:color w:val="auto"/>
          <w:highlight w:val="none"/>
          <w:lang w:eastAsia="zh-CN"/>
        </w:rPr>
        <w:t>、</w:t>
      </w:r>
      <w:r>
        <w:rPr>
          <w:rFonts w:hint="eastAsia"/>
          <w:color w:val="auto"/>
          <w:highlight w:val="none"/>
        </w:rPr>
        <w:t>系统测试及试运行</w:t>
      </w:r>
      <w:r>
        <w:rPr>
          <w:rFonts w:hint="eastAsia"/>
          <w:color w:val="auto"/>
          <w:highlight w:val="none"/>
          <w:lang w:eastAsia="zh-CN"/>
        </w:rPr>
        <w:t>、</w:t>
      </w:r>
      <w:r>
        <w:rPr>
          <w:rFonts w:hint="eastAsia"/>
          <w:color w:val="auto"/>
          <w:highlight w:val="none"/>
        </w:rPr>
        <w:t>系统培训</w:t>
      </w:r>
      <w:r>
        <w:rPr>
          <w:rFonts w:hint="eastAsia"/>
          <w:color w:val="auto"/>
          <w:highlight w:val="none"/>
          <w:lang w:eastAsia="zh-CN"/>
        </w:rPr>
        <w:t>总体进度如表</w:t>
      </w:r>
      <w:r>
        <w:rPr>
          <w:rFonts w:hint="eastAsia"/>
          <w:color w:val="auto"/>
          <w:highlight w:val="none"/>
          <w:lang w:val="en-US" w:eastAsia="zh-CN"/>
        </w:rPr>
        <w:t>5-1。</w:t>
      </w:r>
    </w:p>
    <w:p w14:paraId="3DF4C3F0">
      <w:pPr>
        <w:ind w:firstLine="0" w:firstLineChars="0"/>
        <w:rPr>
          <w:rFonts w:hint="eastAsia"/>
          <w:color w:val="auto"/>
          <w:highlight w:val="none"/>
          <w:lang w:val="en-US" w:eastAsia="zh-CN"/>
        </w:rPr>
      </w:pPr>
    </w:p>
    <w:p w14:paraId="481CA033">
      <w:pPr>
        <w:ind w:firstLine="0" w:firstLineChars="0"/>
        <w:jc w:val="center"/>
        <w:rPr>
          <w:rFonts w:hint="default"/>
          <w:color w:val="auto"/>
          <w:highlight w:val="none"/>
          <w:lang w:val="en-US" w:eastAsia="zh-CN"/>
        </w:rPr>
      </w:pPr>
      <w:r>
        <w:rPr>
          <w:rFonts w:hint="eastAsia"/>
          <w:color w:val="auto"/>
          <w:highlight w:val="none"/>
          <w:lang w:val="en-US" w:eastAsia="zh-CN"/>
        </w:rPr>
        <w:t>表5-1  水文信息平台升级改造总体实施计划</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6"/>
        <w:gridCol w:w="931"/>
        <w:gridCol w:w="1096"/>
        <w:gridCol w:w="1041"/>
        <w:gridCol w:w="1096"/>
        <w:gridCol w:w="1041"/>
      </w:tblGrid>
      <w:tr w14:paraId="41E1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3406">
            <w:pPr>
              <w:widowControl/>
              <w:spacing w:line="240" w:lineRule="auto"/>
              <w:ind w:firstLine="0" w:firstLineChars="0"/>
              <w:jc w:val="center"/>
              <w:rPr>
                <w:rFonts w:hint="eastAsia" w:ascii="宋体" w:hAnsi="宋体" w:eastAsia="宋体" w:cs="Times New Roman"/>
                <w:color w:val="auto"/>
                <w:sz w:val="22"/>
                <w:szCs w:val="22"/>
                <w:highlight w:val="none"/>
              </w:rPr>
            </w:pPr>
            <w:r>
              <w:rPr>
                <w:rFonts w:hint="default" w:ascii="宋体" w:hAnsi="宋体" w:eastAsia="宋体" w:cs="Times New Roman"/>
                <w:color w:val="auto"/>
                <w:sz w:val="22"/>
                <w:szCs w:val="22"/>
                <w:highlight w:val="none"/>
                <w:lang w:val="en-US" w:eastAsia="zh-CN"/>
              </w:rPr>
              <w:t>项目启动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8D48">
            <w:pPr>
              <w:widowControl/>
              <w:spacing w:line="240" w:lineRule="auto"/>
              <w:ind w:firstLine="0" w:firstLineChars="0"/>
              <w:jc w:val="center"/>
              <w:rPr>
                <w:rFonts w:hint="default" w:ascii="宋体" w:hAnsi="宋体" w:eastAsia="宋体" w:cs="Times New Roman"/>
                <w:color w:val="auto"/>
                <w:sz w:val="22"/>
                <w:szCs w:val="22"/>
                <w:highlight w:val="none"/>
              </w:rPr>
            </w:pPr>
            <w:r>
              <w:rPr>
                <w:rFonts w:hint="default" w:ascii="宋体" w:hAnsi="宋体" w:eastAsia="宋体" w:cs="Times New Roman"/>
                <w:color w:val="auto"/>
                <w:sz w:val="22"/>
                <w:szCs w:val="22"/>
                <w:highlight w:val="none"/>
                <w:lang w:val="en-US" w:eastAsia="zh-CN"/>
              </w:rPr>
              <w:t>T+30天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FC09">
            <w:pPr>
              <w:widowControl/>
              <w:spacing w:line="240" w:lineRule="auto"/>
              <w:ind w:firstLine="0" w:firstLineChars="0"/>
              <w:jc w:val="center"/>
              <w:rPr>
                <w:rFonts w:hint="default" w:ascii="宋体" w:hAnsi="宋体" w:eastAsia="宋体" w:cs="Times New Roman"/>
                <w:color w:val="auto"/>
                <w:sz w:val="22"/>
                <w:szCs w:val="22"/>
                <w:highlight w:val="none"/>
              </w:rPr>
            </w:pPr>
            <w:r>
              <w:rPr>
                <w:rFonts w:hint="default" w:ascii="宋体" w:hAnsi="宋体" w:eastAsia="宋体" w:cs="Times New Roman"/>
                <w:color w:val="auto"/>
                <w:sz w:val="22"/>
                <w:szCs w:val="22"/>
                <w:highlight w:val="none"/>
                <w:lang w:val="en-US" w:eastAsia="zh-CN"/>
              </w:rPr>
              <w:t>项目完成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B0C2">
            <w:pPr>
              <w:widowControl/>
              <w:spacing w:line="240" w:lineRule="auto"/>
              <w:ind w:firstLine="0" w:firstLineChars="0"/>
              <w:jc w:val="center"/>
              <w:rPr>
                <w:rFonts w:hint="default" w:ascii="宋体" w:hAnsi="宋体" w:eastAsia="宋体" w:cs="Times New Roman"/>
                <w:color w:val="auto"/>
                <w:sz w:val="22"/>
                <w:szCs w:val="22"/>
                <w:highlight w:val="none"/>
              </w:rPr>
            </w:pPr>
            <w:r>
              <w:rPr>
                <w:rFonts w:hint="default" w:ascii="宋体" w:hAnsi="宋体" w:eastAsia="宋体" w:cs="Times New Roman"/>
                <w:color w:val="auto"/>
                <w:sz w:val="22"/>
                <w:szCs w:val="22"/>
                <w:highlight w:val="none"/>
                <w:lang w:val="en-US" w:eastAsia="zh-CN"/>
              </w:rPr>
              <w:t>T+330天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1915">
            <w:pPr>
              <w:widowControl/>
              <w:spacing w:line="240" w:lineRule="auto"/>
              <w:ind w:firstLine="0" w:firstLineChars="0"/>
              <w:jc w:val="center"/>
              <w:rPr>
                <w:rFonts w:hint="default" w:ascii="宋体" w:hAnsi="宋体" w:eastAsia="宋体" w:cs="Times New Roman"/>
                <w:color w:val="auto"/>
                <w:sz w:val="22"/>
                <w:szCs w:val="22"/>
                <w:highlight w:val="none"/>
              </w:rPr>
            </w:pPr>
            <w:r>
              <w:rPr>
                <w:rFonts w:hint="default" w:ascii="宋体" w:hAnsi="宋体" w:eastAsia="宋体" w:cs="Times New Roman"/>
                <w:color w:val="auto"/>
                <w:sz w:val="22"/>
                <w:szCs w:val="22"/>
                <w:highlight w:val="none"/>
                <w:lang w:val="en-US" w:eastAsia="zh-CN"/>
              </w:rPr>
              <w:t>项目验收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94B4">
            <w:pPr>
              <w:widowControl/>
              <w:spacing w:line="240" w:lineRule="auto"/>
              <w:ind w:firstLine="0" w:firstLineChars="0"/>
              <w:jc w:val="center"/>
              <w:rPr>
                <w:rFonts w:hint="default" w:ascii="宋体" w:hAnsi="宋体" w:eastAsia="宋体" w:cs="Times New Roman"/>
                <w:color w:val="auto"/>
                <w:sz w:val="22"/>
                <w:szCs w:val="22"/>
                <w:highlight w:val="none"/>
              </w:rPr>
            </w:pPr>
            <w:r>
              <w:rPr>
                <w:rFonts w:hint="default" w:ascii="宋体" w:hAnsi="宋体" w:eastAsia="宋体" w:cs="Times New Roman"/>
                <w:color w:val="auto"/>
                <w:sz w:val="22"/>
                <w:szCs w:val="22"/>
                <w:highlight w:val="none"/>
                <w:lang w:val="en-US" w:eastAsia="zh-CN"/>
              </w:rPr>
              <w:t>T+360天</w:t>
            </w:r>
          </w:p>
        </w:tc>
      </w:tr>
      <w:tr w14:paraId="3C877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A451">
            <w:pPr>
              <w:widowControl/>
              <w:spacing w:line="240" w:lineRule="auto"/>
              <w:ind w:firstLine="0" w:firstLineChars="0"/>
              <w:jc w:val="center"/>
              <w:rPr>
                <w:rFonts w:hint="default" w:ascii="宋体" w:hAnsi="宋体" w:eastAsia="宋体" w:cs="Times New Roman"/>
                <w:color w:val="auto"/>
                <w:sz w:val="22"/>
                <w:szCs w:val="22"/>
                <w:highlight w:val="none"/>
              </w:rPr>
            </w:pPr>
            <w:r>
              <w:rPr>
                <w:rFonts w:hint="default" w:ascii="宋体" w:hAnsi="宋体" w:eastAsia="宋体" w:cs="Times New Roman"/>
                <w:color w:val="auto"/>
                <w:sz w:val="22"/>
                <w:szCs w:val="22"/>
                <w:highlight w:val="none"/>
                <w:lang w:val="en-US" w:eastAsia="zh-CN"/>
              </w:rPr>
              <w:t>项目阶段</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1D31">
            <w:pPr>
              <w:widowControl/>
              <w:spacing w:line="240" w:lineRule="auto"/>
              <w:ind w:firstLine="0" w:firstLineChars="0"/>
              <w:jc w:val="center"/>
              <w:rPr>
                <w:rFonts w:hint="default" w:ascii="宋体" w:hAnsi="宋体" w:eastAsia="宋体" w:cs="Times New Roman"/>
                <w:color w:val="auto"/>
                <w:sz w:val="22"/>
                <w:szCs w:val="22"/>
                <w:highlight w:val="none"/>
              </w:rPr>
            </w:pPr>
            <w:r>
              <w:rPr>
                <w:rFonts w:hint="default" w:ascii="宋体" w:hAnsi="宋体" w:eastAsia="宋体" w:cs="Times New Roman"/>
                <w:color w:val="auto"/>
                <w:sz w:val="22"/>
                <w:szCs w:val="22"/>
                <w:highlight w:val="none"/>
                <w:lang w:val="en-US" w:eastAsia="zh-CN"/>
              </w:rPr>
              <w:t>预估时间</w:t>
            </w:r>
          </w:p>
        </w:tc>
      </w:tr>
      <w:tr w14:paraId="7C191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357CD">
            <w:pPr>
              <w:widowControl/>
              <w:spacing w:line="240" w:lineRule="auto"/>
              <w:ind w:firstLine="0" w:firstLineChars="0"/>
              <w:jc w:val="center"/>
              <w:rPr>
                <w:rFonts w:hint="eastAsia" w:ascii="宋体" w:hAnsi="宋体" w:eastAsia="宋体" w:cs="Times New Roman"/>
                <w:color w:val="auto"/>
                <w:sz w:val="22"/>
                <w:szCs w:val="22"/>
                <w:highlight w:val="none"/>
              </w:rPr>
            </w:pPr>
            <w:r>
              <w:rPr>
                <w:rFonts w:hint="default" w:ascii="宋体" w:hAnsi="宋体" w:eastAsia="宋体" w:cs="Times New Roman"/>
                <w:color w:val="auto"/>
                <w:sz w:val="22"/>
                <w:szCs w:val="22"/>
                <w:highlight w:val="none"/>
                <w:lang w:val="en-US" w:eastAsia="zh-CN"/>
              </w:rPr>
              <w:t>需求分析及调研</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BE7BE8">
            <w:pPr>
              <w:widowControl/>
              <w:spacing w:line="240" w:lineRule="auto"/>
              <w:ind w:firstLine="0" w:firstLineChars="0"/>
              <w:jc w:val="center"/>
              <w:rPr>
                <w:rFonts w:hint="default" w:ascii="宋体" w:hAnsi="宋体" w:eastAsia="宋体" w:cs="Times New Roman"/>
                <w:color w:val="auto"/>
                <w:sz w:val="22"/>
                <w:szCs w:val="22"/>
                <w:highlight w:val="none"/>
              </w:rPr>
            </w:pPr>
            <w:r>
              <w:rPr>
                <w:rFonts w:hint="default" w:ascii="宋体" w:hAnsi="宋体" w:eastAsia="宋体" w:cs="Times New Roman"/>
                <w:color w:val="auto"/>
                <w:sz w:val="22"/>
                <w:szCs w:val="22"/>
                <w:highlight w:val="none"/>
                <w:lang w:val="en-US" w:eastAsia="zh-CN"/>
              </w:rPr>
              <w:t>T+30天</w:t>
            </w:r>
          </w:p>
        </w:tc>
      </w:tr>
      <w:tr w14:paraId="6537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B970A">
            <w:pPr>
              <w:widowControl/>
              <w:spacing w:line="240" w:lineRule="auto"/>
              <w:ind w:firstLine="0" w:firstLineChars="0"/>
              <w:jc w:val="center"/>
              <w:rPr>
                <w:rFonts w:hint="default" w:ascii="宋体" w:hAnsi="宋体" w:eastAsia="宋体" w:cs="Times New Roman"/>
                <w:color w:val="auto"/>
                <w:sz w:val="22"/>
                <w:szCs w:val="22"/>
                <w:highlight w:val="none"/>
              </w:rPr>
            </w:pPr>
            <w:r>
              <w:rPr>
                <w:rFonts w:hint="default" w:ascii="宋体" w:hAnsi="宋体" w:eastAsia="宋体" w:cs="Times New Roman"/>
                <w:color w:val="auto"/>
                <w:sz w:val="22"/>
                <w:szCs w:val="22"/>
                <w:highlight w:val="none"/>
                <w:lang w:val="en-US" w:eastAsia="zh-CN"/>
              </w:rPr>
              <w:t>详细设计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1D1B8F">
            <w:pPr>
              <w:widowControl/>
              <w:spacing w:line="240" w:lineRule="auto"/>
              <w:ind w:firstLine="0" w:firstLineChars="0"/>
              <w:jc w:val="center"/>
              <w:rPr>
                <w:rFonts w:hint="default" w:ascii="宋体" w:hAnsi="宋体" w:eastAsia="宋体" w:cs="Times New Roman"/>
                <w:color w:val="auto"/>
                <w:sz w:val="22"/>
                <w:szCs w:val="22"/>
                <w:highlight w:val="none"/>
              </w:rPr>
            </w:pPr>
            <w:r>
              <w:rPr>
                <w:rFonts w:hint="default" w:ascii="宋体" w:hAnsi="宋体" w:eastAsia="宋体" w:cs="Times New Roman"/>
                <w:color w:val="auto"/>
                <w:sz w:val="22"/>
                <w:szCs w:val="22"/>
                <w:highlight w:val="none"/>
                <w:lang w:val="en-US" w:eastAsia="zh-CN"/>
              </w:rPr>
              <w:t>T+30天</w:t>
            </w:r>
          </w:p>
        </w:tc>
      </w:tr>
      <w:tr w14:paraId="2B71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D4788">
            <w:pPr>
              <w:widowControl/>
              <w:spacing w:line="240" w:lineRule="auto"/>
              <w:ind w:firstLine="0" w:firstLineChars="0"/>
              <w:jc w:val="center"/>
              <w:rPr>
                <w:rFonts w:hint="default" w:ascii="宋体" w:hAnsi="宋体" w:eastAsia="宋体" w:cs="Times New Roman"/>
                <w:color w:val="auto"/>
                <w:sz w:val="22"/>
                <w:szCs w:val="22"/>
                <w:highlight w:val="none"/>
              </w:rPr>
            </w:pPr>
            <w:r>
              <w:rPr>
                <w:rFonts w:hint="default" w:ascii="宋体" w:hAnsi="宋体" w:eastAsia="宋体" w:cs="Times New Roman"/>
                <w:color w:val="auto"/>
                <w:sz w:val="22"/>
                <w:szCs w:val="22"/>
                <w:highlight w:val="none"/>
                <w:lang w:val="en-US" w:eastAsia="zh-CN"/>
              </w:rPr>
              <w:t>系统建设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481B14">
            <w:pPr>
              <w:widowControl/>
              <w:spacing w:line="240" w:lineRule="auto"/>
              <w:ind w:firstLine="0" w:firstLineChars="0"/>
              <w:jc w:val="center"/>
              <w:rPr>
                <w:rFonts w:hint="default" w:ascii="宋体" w:hAnsi="宋体" w:eastAsia="宋体" w:cs="Times New Roman"/>
                <w:color w:val="auto"/>
                <w:sz w:val="22"/>
                <w:szCs w:val="22"/>
                <w:highlight w:val="none"/>
              </w:rPr>
            </w:pPr>
            <w:r>
              <w:rPr>
                <w:rFonts w:hint="default" w:ascii="宋体" w:hAnsi="宋体" w:eastAsia="宋体" w:cs="Times New Roman"/>
                <w:color w:val="auto"/>
                <w:sz w:val="22"/>
                <w:szCs w:val="22"/>
                <w:highlight w:val="none"/>
                <w:lang w:val="en-US" w:eastAsia="zh-CN"/>
              </w:rPr>
              <w:t>T+180天</w:t>
            </w:r>
          </w:p>
        </w:tc>
      </w:tr>
      <w:tr w14:paraId="1F78D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A2B1B">
            <w:pPr>
              <w:widowControl/>
              <w:spacing w:line="240" w:lineRule="auto"/>
              <w:ind w:firstLine="0" w:firstLineChars="0"/>
              <w:jc w:val="center"/>
              <w:rPr>
                <w:rFonts w:hint="default" w:ascii="宋体" w:hAnsi="宋体" w:eastAsia="宋体" w:cs="Times New Roman"/>
                <w:color w:val="auto"/>
                <w:sz w:val="22"/>
                <w:szCs w:val="22"/>
                <w:highlight w:val="none"/>
              </w:rPr>
            </w:pPr>
            <w:r>
              <w:rPr>
                <w:rFonts w:hint="default" w:ascii="宋体" w:hAnsi="宋体" w:eastAsia="宋体" w:cs="Times New Roman"/>
                <w:color w:val="auto"/>
                <w:sz w:val="22"/>
                <w:szCs w:val="22"/>
                <w:highlight w:val="none"/>
                <w:lang w:val="en-US" w:eastAsia="zh-CN"/>
              </w:rPr>
              <w:t>系统测试及试运行</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D98E4E">
            <w:pPr>
              <w:widowControl/>
              <w:spacing w:line="240" w:lineRule="auto"/>
              <w:ind w:firstLine="0" w:firstLineChars="0"/>
              <w:jc w:val="center"/>
              <w:rPr>
                <w:rFonts w:hint="default" w:ascii="宋体" w:hAnsi="宋体" w:eastAsia="宋体" w:cs="Times New Roman"/>
                <w:color w:val="auto"/>
                <w:sz w:val="22"/>
                <w:szCs w:val="22"/>
                <w:highlight w:val="none"/>
              </w:rPr>
            </w:pPr>
            <w:r>
              <w:rPr>
                <w:rFonts w:hint="default" w:ascii="宋体" w:hAnsi="宋体" w:eastAsia="宋体" w:cs="Times New Roman"/>
                <w:color w:val="auto"/>
                <w:sz w:val="22"/>
                <w:szCs w:val="22"/>
                <w:highlight w:val="none"/>
                <w:lang w:val="en-US" w:eastAsia="zh-CN"/>
              </w:rPr>
              <w:t>T+30天</w:t>
            </w:r>
          </w:p>
        </w:tc>
      </w:tr>
      <w:tr w14:paraId="3E113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A5FE4">
            <w:pPr>
              <w:widowControl/>
              <w:spacing w:line="240" w:lineRule="auto"/>
              <w:ind w:firstLine="0" w:firstLineChars="0"/>
              <w:jc w:val="center"/>
              <w:rPr>
                <w:rFonts w:hint="default" w:ascii="宋体" w:hAnsi="宋体" w:eastAsia="宋体" w:cs="Times New Roman"/>
                <w:color w:val="auto"/>
                <w:sz w:val="22"/>
                <w:szCs w:val="22"/>
                <w:highlight w:val="none"/>
              </w:rPr>
            </w:pPr>
            <w:r>
              <w:rPr>
                <w:rFonts w:hint="default" w:ascii="宋体" w:hAnsi="宋体" w:eastAsia="宋体" w:cs="Times New Roman"/>
                <w:color w:val="auto"/>
                <w:sz w:val="22"/>
                <w:szCs w:val="22"/>
                <w:highlight w:val="none"/>
                <w:lang w:val="en-US" w:eastAsia="zh-CN"/>
              </w:rPr>
              <w:t>系统培训</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46F6D5">
            <w:pPr>
              <w:widowControl/>
              <w:spacing w:line="240" w:lineRule="auto"/>
              <w:ind w:firstLine="0" w:firstLineChars="0"/>
              <w:jc w:val="center"/>
              <w:rPr>
                <w:rFonts w:hint="default" w:ascii="宋体" w:hAnsi="宋体" w:eastAsia="宋体" w:cs="Times New Roman"/>
                <w:color w:val="auto"/>
                <w:sz w:val="22"/>
                <w:szCs w:val="22"/>
                <w:highlight w:val="none"/>
              </w:rPr>
            </w:pPr>
            <w:r>
              <w:rPr>
                <w:rFonts w:hint="default" w:ascii="宋体" w:hAnsi="宋体" w:eastAsia="宋体" w:cs="Times New Roman"/>
                <w:color w:val="auto"/>
                <w:sz w:val="22"/>
                <w:szCs w:val="22"/>
                <w:highlight w:val="none"/>
                <w:lang w:val="en-US" w:eastAsia="zh-CN"/>
              </w:rPr>
              <w:t>T+30天</w:t>
            </w:r>
          </w:p>
        </w:tc>
      </w:tr>
    </w:tbl>
    <w:p w14:paraId="302C3103">
      <w:pPr>
        <w:ind w:left="0" w:leftChars="0" w:firstLine="0" w:firstLineChars="0"/>
        <w:rPr>
          <w:rFonts w:hint="eastAsia"/>
          <w:color w:val="auto"/>
          <w:highlight w:val="none"/>
        </w:rPr>
      </w:pPr>
    </w:p>
    <w:p w14:paraId="12049F4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Times New Roman"/>
          <w:b/>
          <w:bCs/>
          <w:color w:val="auto"/>
          <w:highlight w:val="none"/>
          <w:lang w:val="en-US" w:eastAsia="zh-CN"/>
        </w:rPr>
      </w:pPr>
      <w:bookmarkStart w:id="34" w:name="_Toc63785510"/>
      <w:r>
        <w:rPr>
          <w:rFonts w:hint="eastAsia" w:ascii="宋体" w:hAnsi="宋体" w:eastAsia="宋体" w:cs="Times New Roman"/>
          <w:b/>
          <w:bCs/>
          <w:color w:val="auto"/>
          <w:highlight w:val="none"/>
          <w:lang w:val="en-US" w:eastAsia="zh-CN"/>
        </w:rPr>
        <w:t>5.6</w:t>
      </w:r>
      <w:r>
        <w:rPr>
          <w:rFonts w:hint="eastAsia" w:cs="Times New Roman"/>
          <w:b/>
          <w:bCs/>
          <w:color w:val="auto"/>
          <w:highlight w:val="none"/>
          <w:lang w:val="en-US" w:eastAsia="zh-CN"/>
        </w:rPr>
        <w:t xml:space="preserve">  </w:t>
      </w:r>
      <w:r>
        <w:rPr>
          <w:rFonts w:hint="eastAsia" w:ascii="宋体" w:hAnsi="宋体" w:eastAsia="宋体" w:cs="Times New Roman"/>
          <w:b/>
          <w:bCs/>
          <w:color w:val="auto"/>
          <w:highlight w:val="none"/>
          <w:lang w:val="en-US" w:eastAsia="zh-CN"/>
        </w:rPr>
        <w:t>项目团队及驻场人员要求</w:t>
      </w:r>
      <w:bookmarkEnd w:id="34"/>
    </w:p>
    <w:p w14:paraId="1707E1B2">
      <w:pPr>
        <w:rPr>
          <w:color w:val="auto"/>
          <w:highlight w:val="none"/>
        </w:rPr>
      </w:pPr>
      <w:r>
        <w:rPr>
          <w:rFonts w:hint="eastAsia"/>
          <w:color w:val="auto"/>
          <w:highlight w:val="none"/>
          <w:lang w:eastAsia="zh-CN"/>
        </w:rPr>
        <w:t>（</w:t>
      </w:r>
      <w:r>
        <w:rPr>
          <w:color w:val="auto"/>
          <w:highlight w:val="none"/>
        </w:rPr>
        <w:t>1）投标人须具有稳定的在职技术保障力量，能够提供及时的技术支援或服务，应针对本项目提供不少于</w:t>
      </w:r>
      <w:r>
        <w:rPr>
          <w:rFonts w:hint="eastAsia"/>
          <w:color w:val="auto"/>
          <w:highlight w:val="none"/>
          <w:lang w:val="en-US" w:eastAsia="zh-CN"/>
        </w:rPr>
        <w:t>6</w:t>
      </w:r>
      <w:r>
        <w:rPr>
          <w:color w:val="auto"/>
          <w:highlight w:val="none"/>
        </w:rPr>
        <w:t>人的项目服务团队（包括项目经理、产品经理、研发等），投标单位的相关服务人员需具备相应的服务能力，需提供相关证明。</w:t>
      </w:r>
    </w:p>
    <w:p w14:paraId="10A418E3">
      <w:pPr>
        <w:rPr>
          <w:rFonts w:hint="eastAsia"/>
          <w:b w:val="0"/>
          <w:bCs w:val="0"/>
          <w:color w:val="auto"/>
          <w:highlight w:val="none"/>
        </w:rPr>
      </w:pPr>
      <w:r>
        <w:rPr>
          <w:rFonts w:hint="eastAsia"/>
          <w:color w:val="auto"/>
          <w:highlight w:val="none"/>
        </w:rPr>
        <w:t>项目组负责人具</w:t>
      </w:r>
      <w:r>
        <w:rPr>
          <w:rFonts w:hint="eastAsia"/>
          <w:b w:val="0"/>
          <w:bCs w:val="0"/>
          <w:color w:val="auto"/>
          <w:highlight w:val="none"/>
        </w:rPr>
        <w:t>有信息系统项目管理师（高级）证书；</w:t>
      </w:r>
    </w:p>
    <w:p w14:paraId="3236B48A">
      <w:pPr>
        <w:rPr>
          <w:b w:val="0"/>
          <w:bCs w:val="0"/>
          <w:color w:val="auto"/>
          <w:highlight w:val="none"/>
        </w:rPr>
      </w:pPr>
      <w:r>
        <w:rPr>
          <w:rFonts w:hint="eastAsia"/>
          <w:b w:val="0"/>
          <w:bCs w:val="0"/>
          <w:color w:val="auto"/>
          <w:highlight w:val="none"/>
        </w:rPr>
        <w:t>项目组其他人员具有水文相关专业中级或以上职称或具备</w:t>
      </w:r>
      <w:r>
        <w:rPr>
          <w:rFonts w:hint="eastAsia"/>
          <w:b w:val="0"/>
          <w:bCs w:val="0"/>
          <w:color w:val="auto"/>
          <w:highlight w:val="none"/>
          <w:lang w:val="en-US" w:eastAsia="zh-CN"/>
        </w:rPr>
        <w:t>水文相关</w:t>
      </w:r>
      <w:r>
        <w:rPr>
          <w:rFonts w:hint="eastAsia"/>
          <w:b w:val="0"/>
          <w:bCs w:val="0"/>
          <w:color w:val="auto"/>
          <w:highlight w:val="none"/>
        </w:rPr>
        <w:t>专业本科以上学历证书的</w:t>
      </w:r>
      <w:r>
        <w:rPr>
          <w:rFonts w:hint="eastAsia"/>
          <w:b w:val="0"/>
          <w:bCs w:val="0"/>
          <w:color w:val="auto"/>
          <w:highlight w:val="none"/>
          <w:lang w:val="en-US" w:eastAsia="zh-CN"/>
        </w:rPr>
        <w:t>成员的</w:t>
      </w:r>
      <w:r>
        <w:rPr>
          <w:rFonts w:hint="eastAsia"/>
          <w:b w:val="0"/>
          <w:bCs w:val="0"/>
          <w:color w:val="auto"/>
          <w:highlight w:val="none"/>
          <w:lang w:eastAsia="zh-CN"/>
        </w:rPr>
        <w:t>为优</w:t>
      </w:r>
      <w:r>
        <w:rPr>
          <w:rFonts w:hint="eastAsia"/>
          <w:b w:val="0"/>
          <w:bCs w:val="0"/>
          <w:color w:val="auto"/>
          <w:highlight w:val="none"/>
        </w:rPr>
        <w:t>。</w:t>
      </w:r>
      <w:bookmarkStart w:id="38" w:name="_GoBack"/>
      <w:bookmarkEnd w:id="38"/>
    </w:p>
    <w:p w14:paraId="13BAE655">
      <w:pPr>
        <w:rPr>
          <w:color w:val="auto"/>
          <w:highlight w:val="none"/>
        </w:rPr>
      </w:pPr>
    </w:p>
    <w:p w14:paraId="5A514129">
      <w:pPr>
        <w:ind w:firstLine="0" w:firstLineChars="0"/>
        <w:jc w:val="center"/>
        <w:rPr>
          <w:rFonts w:hint="eastAsia"/>
          <w:color w:val="auto"/>
          <w:highlight w:val="none"/>
        </w:rPr>
      </w:pPr>
      <w:r>
        <w:rPr>
          <w:rFonts w:hint="eastAsia"/>
          <w:color w:val="auto"/>
          <w:highlight w:val="none"/>
          <w:lang w:val="en-US" w:eastAsia="zh-CN"/>
        </w:rPr>
        <w:t xml:space="preserve">表5-2  </w:t>
      </w:r>
      <w:r>
        <w:rPr>
          <w:rFonts w:hint="eastAsia"/>
          <w:color w:val="auto"/>
          <w:highlight w:val="none"/>
        </w:rPr>
        <w:t>项目团队及驻场人员要求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908"/>
        <w:gridCol w:w="1096"/>
        <w:gridCol w:w="2168"/>
        <w:gridCol w:w="1180"/>
      </w:tblGrid>
      <w:tr w14:paraId="18AA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176" w:type="dxa"/>
            <w:shd w:val="clear" w:color="auto" w:fill="auto"/>
            <w:noWrap/>
            <w:vAlign w:val="center"/>
          </w:tcPr>
          <w:p w14:paraId="212A3399">
            <w:pPr>
              <w:widowControl/>
              <w:spacing w:line="240" w:lineRule="auto"/>
              <w:ind w:firstLine="0" w:firstLineChars="0"/>
              <w:jc w:val="center"/>
              <w:rPr>
                <w:b/>
                <w:color w:val="auto"/>
                <w:highlight w:val="none"/>
              </w:rPr>
            </w:pPr>
            <w:r>
              <w:rPr>
                <w:rFonts w:hint="eastAsia"/>
                <w:b/>
                <w:color w:val="auto"/>
                <w:highlight w:val="none"/>
              </w:rPr>
              <w:t>角色</w:t>
            </w:r>
          </w:p>
        </w:tc>
        <w:tc>
          <w:tcPr>
            <w:tcW w:w="2908" w:type="dxa"/>
            <w:shd w:val="clear" w:color="auto" w:fill="auto"/>
            <w:noWrap/>
            <w:vAlign w:val="center"/>
          </w:tcPr>
          <w:p w14:paraId="172F2D1F">
            <w:pPr>
              <w:widowControl/>
              <w:spacing w:line="240" w:lineRule="auto"/>
              <w:ind w:firstLine="0" w:firstLineChars="0"/>
              <w:jc w:val="center"/>
              <w:rPr>
                <w:b/>
                <w:color w:val="auto"/>
                <w:highlight w:val="none"/>
              </w:rPr>
            </w:pPr>
            <w:r>
              <w:rPr>
                <w:rFonts w:hint="eastAsia"/>
                <w:b/>
                <w:color w:val="auto"/>
                <w:highlight w:val="none"/>
              </w:rPr>
              <w:t>主要职责</w:t>
            </w:r>
          </w:p>
        </w:tc>
        <w:tc>
          <w:tcPr>
            <w:tcW w:w="1096" w:type="dxa"/>
            <w:shd w:val="clear" w:color="auto" w:fill="auto"/>
            <w:noWrap/>
            <w:vAlign w:val="center"/>
          </w:tcPr>
          <w:p w14:paraId="6C7661DA">
            <w:pPr>
              <w:widowControl/>
              <w:spacing w:line="240" w:lineRule="auto"/>
              <w:ind w:firstLine="0" w:firstLineChars="0"/>
              <w:jc w:val="center"/>
              <w:rPr>
                <w:b/>
                <w:color w:val="auto"/>
                <w:highlight w:val="none"/>
              </w:rPr>
            </w:pPr>
            <w:r>
              <w:rPr>
                <w:rFonts w:hint="eastAsia"/>
                <w:b/>
                <w:color w:val="auto"/>
                <w:highlight w:val="none"/>
              </w:rPr>
              <w:t>人员数量</w:t>
            </w:r>
          </w:p>
        </w:tc>
        <w:tc>
          <w:tcPr>
            <w:tcW w:w="2168" w:type="dxa"/>
            <w:vAlign w:val="center"/>
          </w:tcPr>
          <w:p w14:paraId="41DEBD0C">
            <w:pPr>
              <w:widowControl/>
              <w:spacing w:line="240" w:lineRule="auto"/>
              <w:ind w:firstLine="0" w:firstLineChars="0"/>
              <w:jc w:val="center"/>
              <w:rPr>
                <w:b/>
                <w:color w:val="auto"/>
                <w:highlight w:val="none"/>
              </w:rPr>
            </w:pPr>
            <w:r>
              <w:rPr>
                <w:rFonts w:hint="eastAsia"/>
                <w:b/>
                <w:color w:val="auto"/>
                <w:highlight w:val="none"/>
              </w:rPr>
              <w:t>人员要求</w:t>
            </w:r>
          </w:p>
        </w:tc>
        <w:tc>
          <w:tcPr>
            <w:tcW w:w="1180" w:type="dxa"/>
            <w:shd w:val="clear" w:color="auto" w:fill="auto"/>
            <w:noWrap/>
            <w:vAlign w:val="center"/>
          </w:tcPr>
          <w:p w14:paraId="2460F352">
            <w:pPr>
              <w:widowControl/>
              <w:spacing w:line="240" w:lineRule="auto"/>
              <w:ind w:firstLine="0" w:firstLineChars="0"/>
              <w:jc w:val="center"/>
              <w:rPr>
                <w:b/>
                <w:color w:val="auto"/>
                <w:highlight w:val="none"/>
              </w:rPr>
            </w:pPr>
            <w:r>
              <w:rPr>
                <w:rFonts w:hint="eastAsia"/>
                <w:b/>
                <w:color w:val="auto"/>
                <w:highlight w:val="none"/>
              </w:rPr>
              <w:t>驻场要求</w:t>
            </w:r>
          </w:p>
        </w:tc>
      </w:tr>
      <w:tr w14:paraId="5FCE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5D3DFA82">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项目经理</w:t>
            </w:r>
          </w:p>
        </w:tc>
        <w:tc>
          <w:tcPr>
            <w:tcW w:w="2908" w:type="dxa"/>
            <w:shd w:val="clear" w:color="auto" w:fill="auto"/>
            <w:vAlign w:val="center"/>
          </w:tcPr>
          <w:p w14:paraId="7EB8E3EB">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负责项目质量和进度控制</w:t>
            </w:r>
          </w:p>
        </w:tc>
        <w:tc>
          <w:tcPr>
            <w:tcW w:w="1096" w:type="dxa"/>
            <w:shd w:val="clear" w:color="auto" w:fill="auto"/>
            <w:noWrap/>
            <w:vAlign w:val="center"/>
          </w:tcPr>
          <w:p w14:paraId="28E666EC">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rPr>
              <w:t>人</w:t>
            </w:r>
          </w:p>
        </w:tc>
        <w:tc>
          <w:tcPr>
            <w:tcW w:w="2168" w:type="dxa"/>
            <w:vAlign w:val="center"/>
          </w:tcPr>
          <w:p w14:paraId="6CF7A6E5">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具备信息系统项目管理师资质证书</w:t>
            </w:r>
          </w:p>
        </w:tc>
        <w:tc>
          <w:tcPr>
            <w:tcW w:w="1180" w:type="dxa"/>
            <w:shd w:val="clear" w:color="auto" w:fill="auto"/>
            <w:noWrap/>
            <w:vAlign w:val="center"/>
          </w:tcPr>
          <w:p w14:paraId="64B91AD2">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不驻场</w:t>
            </w:r>
          </w:p>
        </w:tc>
      </w:tr>
      <w:tr w14:paraId="4001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40687552">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产品经理</w:t>
            </w:r>
          </w:p>
        </w:tc>
        <w:tc>
          <w:tcPr>
            <w:tcW w:w="2908" w:type="dxa"/>
            <w:shd w:val="clear" w:color="auto" w:fill="auto"/>
            <w:vAlign w:val="center"/>
          </w:tcPr>
          <w:p w14:paraId="55747E15">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负责项目需求评估与产品设计</w:t>
            </w:r>
          </w:p>
        </w:tc>
        <w:tc>
          <w:tcPr>
            <w:tcW w:w="1096" w:type="dxa"/>
            <w:shd w:val="clear" w:color="auto" w:fill="auto"/>
            <w:noWrap/>
            <w:vAlign w:val="center"/>
          </w:tcPr>
          <w:p w14:paraId="13670ED7">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rPr>
              <w:t>人</w:t>
            </w:r>
          </w:p>
        </w:tc>
        <w:tc>
          <w:tcPr>
            <w:tcW w:w="2168" w:type="dxa"/>
            <w:vAlign w:val="center"/>
          </w:tcPr>
          <w:p w14:paraId="27EBB6AB">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具备信息系统项目管理师资质证书</w:t>
            </w:r>
          </w:p>
        </w:tc>
        <w:tc>
          <w:tcPr>
            <w:tcW w:w="1180" w:type="dxa"/>
            <w:shd w:val="clear" w:color="auto" w:fill="auto"/>
            <w:noWrap/>
            <w:vAlign w:val="center"/>
          </w:tcPr>
          <w:p w14:paraId="5A3F3792">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不驻场</w:t>
            </w:r>
          </w:p>
        </w:tc>
      </w:tr>
      <w:tr w14:paraId="7A7E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76" w:type="dxa"/>
            <w:shd w:val="clear" w:color="auto" w:fill="auto"/>
            <w:noWrap/>
            <w:vAlign w:val="center"/>
          </w:tcPr>
          <w:p w14:paraId="3FD6CD8B">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研发</w:t>
            </w:r>
          </w:p>
        </w:tc>
        <w:tc>
          <w:tcPr>
            <w:tcW w:w="2908" w:type="dxa"/>
            <w:shd w:val="clear" w:color="auto" w:fill="auto"/>
            <w:noWrap/>
            <w:vAlign w:val="center"/>
          </w:tcPr>
          <w:p w14:paraId="52FA5F2A">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负责项目具体开发与实施</w:t>
            </w:r>
          </w:p>
        </w:tc>
        <w:tc>
          <w:tcPr>
            <w:tcW w:w="1096" w:type="dxa"/>
            <w:shd w:val="clear" w:color="auto" w:fill="auto"/>
            <w:noWrap/>
            <w:vAlign w:val="center"/>
          </w:tcPr>
          <w:p w14:paraId="5154C097">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4</w:t>
            </w:r>
            <w:r>
              <w:rPr>
                <w:rFonts w:hint="eastAsia" w:ascii="宋体" w:hAnsi="宋体" w:eastAsia="宋体" w:cs="Times New Roman"/>
                <w:color w:val="auto"/>
                <w:highlight w:val="none"/>
              </w:rPr>
              <w:t>人</w:t>
            </w:r>
          </w:p>
        </w:tc>
        <w:tc>
          <w:tcPr>
            <w:tcW w:w="2168" w:type="dxa"/>
            <w:vAlign w:val="center"/>
          </w:tcPr>
          <w:p w14:paraId="7DE91556">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至少</w:t>
            </w:r>
            <w:r>
              <w:rPr>
                <w:rFonts w:hint="eastAsia" w:ascii="宋体" w:hAnsi="宋体" w:eastAsia="宋体" w:cs="Times New Roman"/>
                <w:color w:val="auto"/>
                <w:highlight w:val="none"/>
                <w:lang w:val="en-US" w:eastAsia="zh-CN"/>
              </w:rPr>
              <w:t>1人</w:t>
            </w:r>
            <w:r>
              <w:rPr>
                <w:rFonts w:hint="eastAsia" w:ascii="宋体" w:hAnsi="宋体" w:eastAsia="宋体" w:cs="Times New Roman"/>
                <w:color w:val="auto"/>
                <w:highlight w:val="none"/>
                <w:lang w:eastAsia="zh-CN"/>
              </w:rPr>
              <w:t>具备水文</w:t>
            </w:r>
            <w:r>
              <w:rPr>
                <w:rFonts w:hint="eastAsia" w:cs="Times New Roman"/>
                <w:color w:val="auto"/>
                <w:highlight w:val="none"/>
                <w:lang w:val="en-US" w:eastAsia="zh-CN"/>
              </w:rPr>
              <w:t>或</w:t>
            </w:r>
            <w:r>
              <w:rPr>
                <w:rFonts w:hint="eastAsia" w:ascii="宋体" w:hAnsi="宋体" w:eastAsia="宋体" w:cs="Times New Roman"/>
                <w:color w:val="auto"/>
                <w:highlight w:val="none"/>
                <w:lang w:eastAsia="zh-CN"/>
              </w:rPr>
              <w:t>相关专业证书</w:t>
            </w:r>
          </w:p>
        </w:tc>
        <w:tc>
          <w:tcPr>
            <w:tcW w:w="1180" w:type="dxa"/>
            <w:shd w:val="clear" w:color="auto" w:fill="auto"/>
            <w:noWrap/>
            <w:vAlign w:val="center"/>
          </w:tcPr>
          <w:p w14:paraId="78F39BDF">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按需</w:t>
            </w:r>
          </w:p>
        </w:tc>
      </w:tr>
    </w:tbl>
    <w:p w14:paraId="0213F4C8">
      <w:pPr>
        <w:numPr>
          <w:ilvl w:val="0"/>
          <w:numId w:val="4"/>
        </w:numPr>
        <w:rPr>
          <w:color w:val="auto"/>
          <w:highlight w:val="none"/>
        </w:rPr>
      </w:pPr>
      <w:r>
        <w:rPr>
          <w:color w:val="auto"/>
          <w:highlight w:val="none"/>
        </w:rPr>
        <w:t>投标人应针对本项目提供不少于</w:t>
      </w:r>
      <w:r>
        <w:rPr>
          <w:rFonts w:hint="eastAsia"/>
          <w:color w:val="auto"/>
          <w:highlight w:val="none"/>
          <w:lang w:val="en-US" w:eastAsia="zh-CN"/>
        </w:rPr>
        <w:t>3</w:t>
      </w:r>
      <w:r>
        <w:rPr>
          <w:color w:val="auto"/>
          <w:highlight w:val="none"/>
        </w:rPr>
        <w:t>人的质保期间支撑团队（其中</w:t>
      </w:r>
      <w:r>
        <w:rPr>
          <w:rFonts w:hint="eastAsia"/>
          <w:color w:val="auto"/>
          <w:highlight w:val="none"/>
          <w:lang w:eastAsia="zh-CN"/>
        </w:rPr>
        <w:t>项目</w:t>
      </w:r>
      <w:r>
        <w:rPr>
          <w:color w:val="auto"/>
          <w:highlight w:val="none"/>
        </w:rPr>
        <w:t>经理</w:t>
      </w:r>
      <w:r>
        <w:rPr>
          <w:rFonts w:hint="eastAsia"/>
          <w:color w:val="auto"/>
          <w:highlight w:val="none"/>
          <w:lang w:val="en-US" w:eastAsia="zh-CN"/>
        </w:rPr>
        <w:t>1</w:t>
      </w:r>
      <w:r>
        <w:rPr>
          <w:color w:val="auto"/>
          <w:highlight w:val="none"/>
        </w:rPr>
        <w:t>人，产品经理</w:t>
      </w:r>
      <w:r>
        <w:rPr>
          <w:rFonts w:hint="eastAsia"/>
          <w:color w:val="auto"/>
          <w:highlight w:val="none"/>
          <w:lang w:val="en-US" w:eastAsia="zh-CN"/>
        </w:rPr>
        <w:t>1</w:t>
      </w:r>
      <w:r>
        <w:rPr>
          <w:color w:val="auto"/>
          <w:highlight w:val="none"/>
        </w:rPr>
        <w:t>人，技术工程师不少于</w:t>
      </w:r>
      <w:r>
        <w:rPr>
          <w:rFonts w:hint="eastAsia"/>
          <w:color w:val="auto"/>
          <w:highlight w:val="none"/>
          <w:lang w:val="en-US" w:eastAsia="zh-CN"/>
        </w:rPr>
        <w:t>1</w:t>
      </w:r>
      <w:r>
        <w:rPr>
          <w:color w:val="auto"/>
          <w:highlight w:val="none"/>
        </w:rPr>
        <w:t>人）；投标人的相关服务人员需具备相应的服务能力，需提供相关证明（最近一个季度</w:t>
      </w:r>
      <w:r>
        <w:rPr>
          <w:rFonts w:hint="eastAsia"/>
          <w:color w:val="auto"/>
          <w:highlight w:val="none"/>
          <w:lang w:val="en-US" w:eastAsia="zh-CN"/>
        </w:rPr>
        <w:t>内任一月</w:t>
      </w:r>
      <w:r>
        <w:rPr>
          <w:color w:val="auto"/>
          <w:highlight w:val="none"/>
        </w:rPr>
        <w:t>缴纳社保费证明）。</w:t>
      </w:r>
    </w:p>
    <w:p w14:paraId="6264C354">
      <w:pPr>
        <w:numPr>
          <w:ilvl w:val="-1"/>
          <w:numId w:val="0"/>
        </w:numPr>
        <w:snapToGrid w:val="0"/>
        <w:ind w:firstLine="420" w:firstLineChars="0"/>
        <w:rPr>
          <w:rFonts w:hint="eastAsia" w:eastAsia="宋体"/>
          <w:color w:val="auto"/>
          <w:highlight w:val="none"/>
          <w:lang w:eastAsia="zh-CN"/>
        </w:rPr>
      </w:pPr>
      <w:r>
        <w:rPr>
          <w:rFonts w:hint="eastAsia"/>
          <w:color w:val="auto"/>
          <w:highlight w:val="none"/>
        </w:rPr>
        <w:t>投标人</w:t>
      </w:r>
      <w:r>
        <w:rPr>
          <w:rFonts w:hint="eastAsia"/>
          <w:color w:val="auto"/>
          <w:highlight w:val="none"/>
          <w:lang w:eastAsia="zh-CN"/>
        </w:rPr>
        <w:t>需</w:t>
      </w:r>
      <w:r>
        <w:rPr>
          <w:rFonts w:hint="eastAsia"/>
          <w:color w:val="auto"/>
          <w:highlight w:val="none"/>
        </w:rPr>
        <w:t>承诺在接到故障通知后的2小时内响应并到达管理中心现场</w:t>
      </w:r>
      <w:r>
        <w:rPr>
          <w:rFonts w:hint="eastAsia"/>
          <w:color w:val="auto"/>
          <w:highlight w:val="none"/>
          <w:lang w:eastAsia="zh-CN"/>
        </w:rPr>
        <w:t>。</w:t>
      </w:r>
    </w:p>
    <w:p w14:paraId="659373C2">
      <w:pPr>
        <w:ind w:firstLine="0" w:firstLineChars="0"/>
        <w:jc w:val="center"/>
        <w:rPr>
          <w:rFonts w:hint="eastAsia"/>
          <w:color w:val="auto"/>
          <w:highlight w:val="none"/>
        </w:rPr>
      </w:pPr>
      <w:r>
        <w:rPr>
          <w:rFonts w:hint="eastAsia"/>
          <w:color w:val="auto"/>
          <w:highlight w:val="none"/>
          <w:lang w:val="en-US" w:eastAsia="zh-CN"/>
        </w:rPr>
        <w:t xml:space="preserve">表5-3  </w:t>
      </w:r>
      <w:r>
        <w:rPr>
          <w:rFonts w:hint="eastAsia"/>
          <w:color w:val="auto"/>
          <w:highlight w:val="none"/>
        </w:rPr>
        <w:t>质保期间支撑团队要求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605"/>
        <w:gridCol w:w="1180"/>
        <w:gridCol w:w="2147"/>
        <w:gridCol w:w="1180"/>
      </w:tblGrid>
      <w:tr w14:paraId="6364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0" w:type="auto"/>
            <w:shd w:val="clear" w:color="auto" w:fill="auto"/>
            <w:noWrap/>
            <w:vAlign w:val="center"/>
          </w:tcPr>
          <w:p w14:paraId="2A705D6D">
            <w:pPr>
              <w:widowControl/>
              <w:spacing w:line="240" w:lineRule="auto"/>
              <w:ind w:firstLine="0" w:firstLineChars="0"/>
              <w:jc w:val="center"/>
              <w:rPr>
                <w:b/>
                <w:color w:val="auto"/>
                <w:highlight w:val="none"/>
              </w:rPr>
            </w:pPr>
            <w:r>
              <w:rPr>
                <w:rFonts w:hint="eastAsia"/>
                <w:b/>
                <w:color w:val="auto"/>
                <w:highlight w:val="none"/>
              </w:rPr>
              <w:t>角色</w:t>
            </w:r>
          </w:p>
        </w:tc>
        <w:tc>
          <w:tcPr>
            <w:tcW w:w="0" w:type="auto"/>
            <w:shd w:val="clear" w:color="auto" w:fill="auto"/>
            <w:noWrap/>
            <w:vAlign w:val="center"/>
          </w:tcPr>
          <w:p w14:paraId="54CC0DA6">
            <w:pPr>
              <w:widowControl/>
              <w:spacing w:line="240" w:lineRule="auto"/>
              <w:ind w:firstLine="0" w:firstLineChars="0"/>
              <w:jc w:val="center"/>
              <w:rPr>
                <w:b/>
                <w:color w:val="auto"/>
                <w:highlight w:val="none"/>
              </w:rPr>
            </w:pPr>
            <w:r>
              <w:rPr>
                <w:rFonts w:hint="eastAsia"/>
                <w:b/>
                <w:color w:val="auto"/>
                <w:highlight w:val="none"/>
              </w:rPr>
              <w:t>主要职责</w:t>
            </w:r>
          </w:p>
        </w:tc>
        <w:tc>
          <w:tcPr>
            <w:tcW w:w="0" w:type="auto"/>
            <w:shd w:val="clear" w:color="auto" w:fill="auto"/>
            <w:noWrap/>
            <w:vAlign w:val="center"/>
          </w:tcPr>
          <w:p w14:paraId="225772F0">
            <w:pPr>
              <w:widowControl/>
              <w:spacing w:line="240" w:lineRule="auto"/>
              <w:ind w:firstLine="0" w:firstLineChars="0"/>
              <w:jc w:val="center"/>
              <w:rPr>
                <w:b/>
                <w:color w:val="auto"/>
                <w:highlight w:val="none"/>
              </w:rPr>
            </w:pPr>
            <w:r>
              <w:rPr>
                <w:rFonts w:hint="eastAsia"/>
                <w:b/>
                <w:color w:val="auto"/>
                <w:highlight w:val="none"/>
              </w:rPr>
              <w:t>人员数量</w:t>
            </w:r>
          </w:p>
        </w:tc>
        <w:tc>
          <w:tcPr>
            <w:tcW w:w="0" w:type="auto"/>
            <w:vAlign w:val="center"/>
          </w:tcPr>
          <w:p w14:paraId="76D1F252">
            <w:pPr>
              <w:widowControl/>
              <w:spacing w:line="240" w:lineRule="auto"/>
              <w:ind w:firstLine="0" w:firstLineChars="0"/>
              <w:jc w:val="center"/>
              <w:rPr>
                <w:b/>
                <w:color w:val="auto"/>
                <w:highlight w:val="none"/>
              </w:rPr>
            </w:pPr>
            <w:r>
              <w:rPr>
                <w:rFonts w:hint="eastAsia"/>
                <w:b/>
                <w:color w:val="auto"/>
                <w:highlight w:val="none"/>
              </w:rPr>
              <w:t>人员要求</w:t>
            </w:r>
          </w:p>
        </w:tc>
        <w:tc>
          <w:tcPr>
            <w:tcW w:w="0" w:type="auto"/>
            <w:shd w:val="clear" w:color="auto" w:fill="auto"/>
            <w:noWrap/>
            <w:vAlign w:val="center"/>
          </w:tcPr>
          <w:p w14:paraId="25749822">
            <w:pPr>
              <w:widowControl/>
              <w:spacing w:line="240" w:lineRule="auto"/>
              <w:ind w:firstLine="0" w:firstLineChars="0"/>
              <w:jc w:val="center"/>
              <w:rPr>
                <w:b/>
                <w:color w:val="auto"/>
                <w:highlight w:val="none"/>
              </w:rPr>
            </w:pPr>
            <w:r>
              <w:rPr>
                <w:rFonts w:hint="eastAsia"/>
                <w:b/>
                <w:color w:val="auto"/>
                <w:highlight w:val="none"/>
              </w:rPr>
              <w:t>驻场要求</w:t>
            </w:r>
          </w:p>
        </w:tc>
      </w:tr>
      <w:tr w14:paraId="6E35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15F6C8E9">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color w:val="auto"/>
                <w:highlight w:val="none"/>
              </w:rPr>
            </w:pPr>
            <w:r>
              <w:rPr>
                <w:rFonts w:hint="eastAsia"/>
                <w:color w:val="auto"/>
                <w:highlight w:val="none"/>
              </w:rPr>
              <w:t>项目经理</w:t>
            </w:r>
          </w:p>
        </w:tc>
        <w:tc>
          <w:tcPr>
            <w:tcW w:w="0" w:type="auto"/>
            <w:shd w:val="clear" w:color="auto" w:fill="auto"/>
            <w:vAlign w:val="center"/>
          </w:tcPr>
          <w:p w14:paraId="00A476A4">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color w:val="auto"/>
                <w:highlight w:val="none"/>
              </w:rPr>
            </w:pPr>
            <w:r>
              <w:rPr>
                <w:rFonts w:hint="eastAsia"/>
                <w:color w:val="auto"/>
                <w:highlight w:val="none"/>
              </w:rPr>
              <w:t>负责项目质量和进度控制</w:t>
            </w:r>
          </w:p>
        </w:tc>
        <w:tc>
          <w:tcPr>
            <w:tcW w:w="0" w:type="auto"/>
            <w:shd w:val="clear" w:color="auto" w:fill="auto"/>
            <w:noWrap/>
            <w:vAlign w:val="center"/>
          </w:tcPr>
          <w:p w14:paraId="76EA7545">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color w:val="auto"/>
                <w:highlight w:val="none"/>
              </w:rPr>
            </w:pPr>
            <w:r>
              <w:rPr>
                <w:rFonts w:hint="eastAsia"/>
                <w:color w:val="auto"/>
                <w:highlight w:val="none"/>
                <w:lang w:val="en-US" w:eastAsia="zh-CN"/>
              </w:rPr>
              <w:t>1</w:t>
            </w:r>
            <w:r>
              <w:rPr>
                <w:rFonts w:hint="eastAsia"/>
                <w:color w:val="auto"/>
                <w:highlight w:val="none"/>
              </w:rPr>
              <w:t>人</w:t>
            </w:r>
          </w:p>
        </w:tc>
        <w:tc>
          <w:tcPr>
            <w:tcW w:w="0" w:type="auto"/>
            <w:vAlign w:val="center"/>
          </w:tcPr>
          <w:p w14:paraId="6851E701">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color w:val="auto"/>
                <w:highlight w:val="none"/>
              </w:rPr>
            </w:pPr>
            <w:r>
              <w:rPr>
                <w:rFonts w:hint="eastAsia"/>
                <w:color w:val="auto"/>
                <w:highlight w:val="none"/>
              </w:rPr>
              <w:t>项目经理具备信息系统项目管理师资质证书</w:t>
            </w:r>
          </w:p>
        </w:tc>
        <w:tc>
          <w:tcPr>
            <w:tcW w:w="0" w:type="auto"/>
            <w:shd w:val="clear" w:color="auto" w:fill="auto"/>
            <w:noWrap/>
            <w:vAlign w:val="center"/>
          </w:tcPr>
          <w:p w14:paraId="12CF94DF">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color w:val="auto"/>
                <w:highlight w:val="none"/>
              </w:rPr>
            </w:pPr>
            <w:r>
              <w:rPr>
                <w:rFonts w:hint="eastAsia"/>
                <w:color w:val="auto"/>
                <w:highlight w:val="none"/>
              </w:rPr>
              <w:t>不驻场</w:t>
            </w:r>
          </w:p>
        </w:tc>
      </w:tr>
      <w:tr w14:paraId="6EE2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423210BA">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color w:val="auto"/>
                <w:highlight w:val="none"/>
              </w:rPr>
            </w:pPr>
            <w:r>
              <w:rPr>
                <w:rFonts w:hint="eastAsia"/>
                <w:color w:val="auto"/>
                <w:highlight w:val="none"/>
              </w:rPr>
              <w:t>产品经理</w:t>
            </w:r>
          </w:p>
        </w:tc>
        <w:tc>
          <w:tcPr>
            <w:tcW w:w="0" w:type="auto"/>
            <w:shd w:val="clear" w:color="auto" w:fill="auto"/>
            <w:vAlign w:val="center"/>
          </w:tcPr>
          <w:p w14:paraId="44584335">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color w:val="auto"/>
                <w:highlight w:val="none"/>
              </w:rPr>
            </w:pPr>
            <w:r>
              <w:rPr>
                <w:rFonts w:hint="eastAsia"/>
                <w:color w:val="auto"/>
                <w:highlight w:val="none"/>
              </w:rPr>
              <w:t>负责项目需求评估与产品设计</w:t>
            </w:r>
          </w:p>
        </w:tc>
        <w:tc>
          <w:tcPr>
            <w:tcW w:w="0" w:type="auto"/>
            <w:shd w:val="clear" w:color="auto" w:fill="auto"/>
            <w:noWrap/>
            <w:vAlign w:val="center"/>
          </w:tcPr>
          <w:p w14:paraId="31D03BD5">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color w:val="auto"/>
                <w:highlight w:val="none"/>
              </w:rPr>
            </w:pPr>
            <w:r>
              <w:rPr>
                <w:rFonts w:hint="eastAsia"/>
                <w:color w:val="auto"/>
                <w:highlight w:val="none"/>
                <w:lang w:val="en-US" w:eastAsia="zh-CN"/>
              </w:rPr>
              <w:t>1</w:t>
            </w:r>
            <w:r>
              <w:rPr>
                <w:rFonts w:hint="eastAsia"/>
                <w:color w:val="auto"/>
                <w:highlight w:val="none"/>
              </w:rPr>
              <w:t>人</w:t>
            </w:r>
          </w:p>
        </w:tc>
        <w:tc>
          <w:tcPr>
            <w:tcW w:w="0" w:type="auto"/>
            <w:vAlign w:val="center"/>
          </w:tcPr>
          <w:p w14:paraId="4AD4FC07">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color w:val="auto"/>
                <w:highlight w:val="none"/>
              </w:rPr>
            </w:pPr>
          </w:p>
        </w:tc>
        <w:tc>
          <w:tcPr>
            <w:tcW w:w="0" w:type="auto"/>
            <w:shd w:val="clear" w:color="auto" w:fill="auto"/>
            <w:noWrap/>
            <w:vAlign w:val="center"/>
          </w:tcPr>
          <w:p w14:paraId="15901F03">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color w:val="auto"/>
                <w:highlight w:val="none"/>
              </w:rPr>
            </w:pPr>
            <w:r>
              <w:rPr>
                <w:rFonts w:hint="eastAsia"/>
                <w:color w:val="auto"/>
                <w:highlight w:val="none"/>
              </w:rPr>
              <w:t>不驻场</w:t>
            </w:r>
          </w:p>
        </w:tc>
      </w:tr>
      <w:tr w14:paraId="07EF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0" w:type="auto"/>
            <w:shd w:val="clear" w:color="auto" w:fill="auto"/>
            <w:noWrap/>
            <w:vAlign w:val="center"/>
          </w:tcPr>
          <w:p w14:paraId="00B21AF7">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color w:val="auto"/>
                <w:highlight w:val="none"/>
              </w:rPr>
            </w:pPr>
            <w:r>
              <w:rPr>
                <w:rFonts w:hint="eastAsia"/>
                <w:color w:val="auto"/>
                <w:highlight w:val="none"/>
              </w:rPr>
              <w:t>技术工程师</w:t>
            </w:r>
          </w:p>
        </w:tc>
        <w:tc>
          <w:tcPr>
            <w:tcW w:w="0" w:type="auto"/>
            <w:shd w:val="clear" w:color="auto" w:fill="auto"/>
            <w:noWrap/>
            <w:vAlign w:val="center"/>
          </w:tcPr>
          <w:p w14:paraId="5CDDCD19">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color w:val="auto"/>
                <w:highlight w:val="none"/>
              </w:rPr>
            </w:pPr>
            <w:r>
              <w:rPr>
                <w:rFonts w:hint="eastAsia"/>
                <w:color w:val="auto"/>
                <w:highlight w:val="none"/>
              </w:rPr>
              <w:t>负责项目运行维护</w:t>
            </w:r>
          </w:p>
        </w:tc>
        <w:tc>
          <w:tcPr>
            <w:tcW w:w="0" w:type="auto"/>
            <w:shd w:val="clear" w:color="auto" w:fill="auto"/>
            <w:noWrap/>
            <w:vAlign w:val="center"/>
          </w:tcPr>
          <w:p w14:paraId="21CC4C95">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color w:val="auto"/>
                <w:highlight w:val="none"/>
              </w:rPr>
            </w:pPr>
            <w:r>
              <w:rPr>
                <w:rFonts w:hint="eastAsia"/>
                <w:color w:val="auto"/>
                <w:highlight w:val="none"/>
                <w:lang w:val="en-US" w:eastAsia="zh-CN"/>
              </w:rPr>
              <w:t>1</w:t>
            </w:r>
            <w:r>
              <w:rPr>
                <w:rFonts w:hint="eastAsia"/>
                <w:color w:val="auto"/>
                <w:highlight w:val="none"/>
              </w:rPr>
              <w:t>人</w:t>
            </w:r>
          </w:p>
        </w:tc>
        <w:tc>
          <w:tcPr>
            <w:tcW w:w="0" w:type="auto"/>
            <w:vAlign w:val="center"/>
          </w:tcPr>
          <w:p w14:paraId="3E0C5D03">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color w:val="auto"/>
                <w:highlight w:val="none"/>
              </w:rPr>
            </w:pPr>
          </w:p>
        </w:tc>
        <w:tc>
          <w:tcPr>
            <w:tcW w:w="0" w:type="auto"/>
            <w:shd w:val="clear" w:color="auto" w:fill="auto"/>
            <w:noWrap/>
            <w:vAlign w:val="center"/>
          </w:tcPr>
          <w:p w14:paraId="351251D1">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eastAsia="宋体"/>
                <w:color w:val="auto"/>
                <w:highlight w:val="none"/>
                <w:lang w:eastAsia="zh-CN"/>
              </w:rPr>
            </w:pPr>
            <w:r>
              <w:rPr>
                <w:rFonts w:hint="eastAsia"/>
                <w:strike w:val="0"/>
                <w:color w:val="auto"/>
                <w:highlight w:val="none"/>
                <w:lang w:eastAsia="zh-CN"/>
              </w:rPr>
              <w:t>按需</w:t>
            </w:r>
          </w:p>
        </w:tc>
      </w:tr>
    </w:tbl>
    <w:p w14:paraId="39C0FFC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s="Times New Roman"/>
          <w:b w:val="0"/>
          <w:bCs w:val="0"/>
          <w:color w:val="auto"/>
          <w:highlight w:val="none"/>
          <w:lang w:val="en-US" w:eastAsia="zh-CN"/>
        </w:rPr>
      </w:pPr>
      <w:bookmarkStart w:id="35" w:name="_Toc63785511"/>
    </w:p>
    <w:p w14:paraId="4E8560D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Times New Roman"/>
          <w:b w:val="0"/>
          <w:bCs w:val="0"/>
          <w:color w:val="auto"/>
          <w:highlight w:val="none"/>
          <w:lang w:val="en-US" w:eastAsia="zh-CN"/>
        </w:rPr>
      </w:pPr>
      <w:r>
        <w:rPr>
          <w:rFonts w:hint="eastAsia" w:cs="Times New Roman"/>
          <w:b w:val="0"/>
          <w:bCs w:val="0"/>
          <w:color w:val="auto"/>
          <w:highlight w:val="none"/>
          <w:lang w:val="en-US" w:eastAsia="zh-CN"/>
        </w:rPr>
        <w:t>（3）投标人具有ISO20000IT信息技术服务管理体系认证、ISO27001信息安全管理体系认证证书、ITSS信息技术服务运行维护标准符合性证书（二级）的为优。</w:t>
      </w:r>
    </w:p>
    <w:p w14:paraId="13AB24E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5.7</w:t>
      </w:r>
      <w:r>
        <w:rPr>
          <w:rFonts w:hint="eastAsia" w:cs="Times New Roman"/>
          <w:b/>
          <w:bCs/>
          <w:color w:val="auto"/>
          <w:highlight w:val="none"/>
          <w:lang w:val="en-US" w:eastAsia="zh-CN"/>
        </w:rPr>
        <w:t xml:space="preserve">  </w:t>
      </w:r>
      <w:r>
        <w:rPr>
          <w:rFonts w:hint="eastAsia" w:ascii="宋体" w:hAnsi="宋体" w:eastAsia="宋体" w:cs="Times New Roman"/>
          <w:b/>
          <w:bCs/>
          <w:color w:val="auto"/>
          <w:highlight w:val="none"/>
          <w:lang w:val="en-US" w:eastAsia="zh-CN"/>
        </w:rPr>
        <w:t>等级保护要求</w:t>
      </w:r>
      <w:bookmarkEnd w:id="35"/>
    </w:p>
    <w:p w14:paraId="435A89CF">
      <w:pPr>
        <w:rPr>
          <w:color w:val="auto"/>
          <w:highlight w:val="none"/>
        </w:rPr>
      </w:pPr>
      <w:r>
        <w:rPr>
          <w:color w:val="auto"/>
          <w:highlight w:val="none"/>
        </w:rPr>
        <w:t>本项目</w:t>
      </w:r>
      <w:r>
        <w:rPr>
          <w:b w:val="0"/>
          <w:bCs w:val="0"/>
          <w:color w:val="auto"/>
          <w:highlight w:val="none"/>
        </w:rPr>
        <w:t>等级保护要求：</w:t>
      </w:r>
      <w:r>
        <w:rPr>
          <w:rFonts w:hint="eastAsia"/>
          <w:b w:val="0"/>
          <w:bCs w:val="0"/>
          <w:color w:val="auto"/>
          <w:highlight w:val="none"/>
        </w:rPr>
        <w:t>按照等保2.0第</w:t>
      </w:r>
      <w:r>
        <w:rPr>
          <w:rFonts w:hint="eastAsia"/>
          <w:b w:val="0"/>
          <w:bCs w:val="0"/>
          <w:color w:val="auto"/>
          <w:highlight w:val="none"/>
          <w:lang w:eastAsia="zh-CN"/>
        </w:rPr>
        <w:t>二</w:t>
      </w:r>
      <w:r>
        <w:rPr>
          <w:rFonts w:hint="eastAsia"/>
          <w:b w:val="0"/>
          <w:bCs w:val="0"/>
          <w:color w:val="auto"/>
          <w:highlight w:val="none"/>
        </w:rPr>
        <w:t>级进行建设</w:t>
      </w:r>
    </w:p>
    <w:p w14:paraId="43EEBD3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5.8</w:t>
      </w:r>
      <w:r>
        <w:rPr>
          <w:rFonts w:hint="eastAsia" w:cs="Times New Roman"/>
          <w:b/>
          <w:bCs/>
          <w:color w:val="auto"/>
          <w:highlight w:val="none"/>
          <w:lang w:val="en-US" w:eastAsia="zh-CN"/>
        </w:rPr>
        <w:t xml:space="preserve">  </w:t>
      </w:r>
      <w:r>
        <w:rPr>
          <w:rFonts w:hint="eastAsia" w:ascii="宋体" w:hAnsi="宋体" w:eastAsia="宋体" w:cs="Times New Roman"/>
          <w:b/>
          <w:bCs/>
          <w:color w:val="auto"/>
          <w:highlight w:val="none"/>
          <w:lang w:val="en-US" w:eastAsia="zh-CN"/>
        </w:rPr>
        <w:t>商业密码应用需求</w:t>
      </w:r>
    </w:p>
    <w:p w14:paraId="7228EA6C">
      <w:pPr>
        <w:rPr>
          <w:rFonts w:hint="eastAsia"/>
          <w:color w:val="auto"/>
          <w:highlight w:val="none"/>
        </w:rPr>
      </w:pPr>
      <w:bookmarkStart w:id="36" w:name="_Toc63785512"/>
      <w:r>
        <w:rPr>
          <w:rFonts w:hint="eastAsia"/>
          <w:color w:val="auto"/>
          <w:highlight w:val="none"/>
        </w:rPr>
        <w:t>参照</w:t>
      </w:r>
      <w:r>
        <w:rPr>
          <w:color w:val="auto"/>
          <w:highlight w:val="none"/>
        </w:rPr>
        <w:t>GB/T 39786-2021《信息安全技术 信息系统密码应用基本要求》</w:t>
      </w:r>
      <w:r>
        <w:rPr>
          <w:rFonts w:hint="eastAsia"/>
          <w:color w:val="auto"/>
          <w:highlight w:val="none"/>
        </w:rPr>
        <w:t>第</w:t>
      </w:r>
      <w:r>
        <w:rPr>
          <w:rFonts w:hint="eastAsia"/>
          <w:color w:val="auto"/>
          <w:highlight w:val="none"/>
          <w:lang w:eastAsia="zh-CN"/>
        </w:rPr>
        <w:t>二</w:t>
      </w:r>
      <w:r>
        <w:rPr>
          <w:rFonts w:hint="eastAsia"/>
          <w:color w:val="auto"/>
          <w:highlight w:val="none"/>
        </w:rPr>
        <w:t>级</w:t>
      </w:r>
      <w:r>
        <w:rPr>
          <w:color w:val="auto"/>
          <w:highlight w:val="none"/>
        </w:rPr>
        <w:t>信息系统要求</w:t>
      </w:r>
      <w:r>
        <w:rPr>
          <w:rFonts w:hint="eastAsia"/>
          <w:color w:val="auto"/>
          <w:highlight w:val="none"/>
        </w:rPr>
        <w:t>建设。</w:t>
      </w:r>
    </w:p>
    <w:p w14:paraId="27A18A5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5.9</w:t>
      </w:r>
      <w:r>
        <w:rPr>
          <w:rFonts w:hint="eastAsia" w:cs="Times New Roman"/>
          <w:b/>
          <w:bCs/>
          <w:color w:val="auto"/>
          <w:highlight w:val="none"/>
          <w:lang w:val="en-US" w:eastAsia="zh-CN"/>
        </w:rPr>
        <w:t xml:space="preserve">  </w:t>
      </w:r>
      <w:r>
        <w:rPr>
          <w:rFonts w:hint="eastAsia" w:ascii="宋体" w:hAnsi="宋体" w:eastAsia="宋体" w:cs="Times New Roman"/>
          <w:b/>
          <w:bCs/>
          <w:color w:val="auto"/>
          <w:highlight w:val="none"/>
          <w:lang w:val="en-US" w:eastAsia="zh-CN"/>
        </w:rPr>
        <w:t>技术文件要求</w:t>
      </w:r>
    </w:p>
    <w:p w14:paraId="4287AADB">
      <w:pPr>
        <w:rPr>
          <w:rFonts w:hint="eastAsia"/>
          <w:color w:val="C00000"/>
          <w:highlight w:val="none"/>
        </w:rPr>
      </w:pPr>
      <w:r>
        <w:rPr>
          <w:rFonts w:hint="eastAsia"/>
          <w:color w:val="auto"/>
          <w:highlight w:val="none"/>
          <w:lang w:eastAsia="zh-CN"/>
        </w:rPr>
        <w:t>中标</w:t>
      </w:r>
      <w:r>
        <w:rPr>
          <w:rFonts w:hint="eastAsia"/>
          <w:color w:val="auto"/>
          <w:highlight w:val="none"/>
        </w:rPr>
        <w:t>人提供的书面技术资料应能确保系统正常运行所需的管理、运营及维护有关的全套文件。技术文件应该全面、完整、详细。</w:t>
      </w:r>
    </w:p>
    <w:p w14:paraId="5ACEDE23">
      <w:pPr>
        <w:rPr>
          <w:color w:val="auto"/>
          <w:highlight w:val="none"/>
        </w:rPr>
      </w:pPr>
      <w:r>
        <w:rPr>
          <w:rFonts w:hint="eastAsia"/>
          <w:color w:val="auto"/>
          <w:highlight w:val="none"/>
          <w:lang w:val="en-US" w:eastAsia="zh-CN"/>
        </w:rPr>
        <w:t>1、</w:t>
      </w:r>
      <w:r>
        <w:rPr>
          <w:rFonts w:hint="eastAsia"/>
          <w:color w:val="auto"/>
          <w:highlight w:val="none"/>
        </w:rPr>
        <w:t>技术文件至少应包括：</w:t>
      </w:r>
    </w:p>
    <w:p w14:paraId="17730F0B">
      <w:pPr>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 系统说明文件； </w:t>
      </w:r>
    </w:p>
    <w:p w14:paraId="6B921187">
      <w:pPr>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 技术手册(安装、测试、操作、维护、故障排除等)； </w:t>
      </w:r>
    </w:p>
    <w:p w14:paraId="45A5119D">
      <w:pPr>
        <w:rPr>
          <w:rFonts w:hint="eastAsia" w:ascii="宋体" w:hAnsi="宋体" w:eastAsia="宋体" w:cs="Times New Roman"/>
          <w:color w:val="auto"/>
          <w:highlight w:val="none"/>
        </w:rPr>
      </w:pPr>
      <w:r>
        <w:rPr>
          <w:rFonts w:hint="eastAsia" w:ascii="宋体" w:hAnsi="宋体" w:eastAsia="宋体" w:cs="Times New Roman"/>
          <w:color w:val="auto"/>
          <w:highlight w:val="none"/>
        </w:rPr>
        <w:t>－ 项目文档，应该包括：</w:t>
      </w:r>
    </w:p>
    <w:p w14:paraId="42DFBF64">
      <w:pPr>
        <w:rPr>
          <w:rFonts w:hint="eastAsia" w:ascii="宋体" w:hAnsi="宋体" w:eastAsia="宋体" w:cs="Times New Roman"/>
          <w:color w:val="auto"/>
          <w:highlight w:val="none"/>
        </w:rPr>
      </w:pPr>
      <w:r>
        <w:rPr>
          <w:rFonts w:hint="eastAsia"/>
          <w:color w:val="auto"/>
          <w:szCs w:val="21"/>
          <w:highlight w:val="none"/>
          <w:lang w:eastAsia="zh-CN"/>
        </w:rPr>
        <w:t>《</w:t>
      </w:r>
      <w:r>
        <w:rPr>
          <w:color w:val="auto"/>
          <w:szCs w:val="21"/>
          <w:highlight w:val="none"/>
        </w:rPr>
        <w:t>用户需求说明书》《系统概要设计说明书》《系统详细设计说明书》</w:t>
      </w:r>
      <w:r>
        <w:rPr>
          <w:rFonts w:hint="eastAsia"/>
          <w:color w:val="auto"/>
          <w:szCs w:val="21"/>
          <w:highlight w:val="none"/>
        </w:rPr>
        <w:t>《三方功能需求确认单》</w:t>
      </w:r>
      <w:r>
        <w:rPr>
          <w:color w:val="auto"/>
          <w:szCs w:val="21"/>
          <w:highlight w:val="none"/>
        </w:rPr>
        <w:t>《测试报告》《用户使用手册》《系统部署文档》</w:t>
      </w:r>
      <w:r>
        <w:rPr>
          <w:rFonts w:hint="eastAsia"/>
          <w:color w:val="auto"/>
          <w:szCs w:val="21"/>
          <w:highlight w:val="none"/>
          <w:lang w:eastAsia="zh-CN"/>
        </w:rPr>
        <w:t>《数据治理报告》《应急预案》</w:t>
      </w:r>
      <w:r>
        <w:rPr>
          <w:rFonts w:hint="eastAsia" w:ascii="宋体"/>
          <w:color w:val="000000"/>
        </w:rPr>
        <w:t>《建设总结报告》《用户报告》</w:t>
      </w:r>
      <w:r>
        <w:rPr>
          <w:rFonts w:hint="eastAsia" w:ascii="宋体"/>
          <w:color w:val="000000"/>
          <w:lang w:eastAsia="zh-CN"/>
        </w:rPr>
        <w:t>《</w:t>
      </w:r>
      <w:r>
        <w:rPr>
          <w:rFonts w:hint="eastAsia"/>
          <w:color w:val="auto"/>
          <w:szCs w:val="21"/>
          <w:highlight w:val="none"/>
          <w:lang w:eastAsia="zh-CN"/>
        </w:rPr>
        <w:t>软件测评</w:t>
      </w:r>
      <w:r>
        <w:rPr>
          <w:rFonts w:hint="eastAsia" w:ascii="宋体"/>
          <w:color w:val="000000"/>
          <w:lang w:eastAsia="zh-CN"/>
        </w:rPr>
        <w:t>》</w:t>
      </w:r>
      <w:r>
        <w:rPr>
          <w:rFonts w:hint="eastAsia"/>
          <w:color w:val="auto"/>
          <w:szCs w:val="21"/>
          <w:highlight w:val="none"/>
          <w:lang w:eastAsia="zh-CN"/>
        </w:rPr>
        <w:t>《安全测评》《密码测评》《</w:t>
      </w:r>
      <w:r>
        <w:rPr>
          <w:rFonts w:hint="eastAsia"/>
          <w:color w:val="auto"/>
          <w:highlight w:val="none"/>
        </w:rPr>
        <w:t>使用说明书</w:t>
      </w:r>
      <w:r>
        <w:rPr>
          <w:color w:val="auto"/>
          <w:highlight w:val="none"/>
        </w:rPr>
        <w:t>/用户手册</w:t>
      </w:r>
      <w:r>
        <w:rPr>
          <w:rFonts w:hint="eastAsia"/>
          <w:color w:val="auto"/>
          <w:szCs w:val="21"/>
          <w:highlight w:val="none"/>
          <w:lang w:eastAsia="zh-CN"/>
        </w:rPr>
        <w:t>》《</w:t>
      </w:r>
      <w:r>
        <w:rPr>
          <w:color w:val="auto"/>
          <w:highlight w:val="none"/>
        </w:rPr>
        <w:t>系统维护说明书</w:t>
      </w:r>
      <w:r>
        <w:rPr>
          <w:rFonts w:hint="eastAsia"/>
          <w:color w:val="auto"/>
          <w:szCs w:val="21"/>
          <w:highlight w:val="none"/>
          <w:lang w:eastAsia="zh-CN"/>
        </w:rPr>
        <w:t>》。</w:t>
      </w:r>
    </w:p>
    <w:p w14:paraId="6A0BD3FC">
      <w:pPr>
        <w:rPr>
          <w:color w:val="auto"/>
          <w:highlight w:val="none"/>
        </w:rPr>
      </w:pPr>
      <w:r>
        <w:rPr>
          <w:rFonts w:hint="eastAsia" w:ascii="宋体" w:hAnsi="宋体" w:eastAsia="宋体" w:cs="Times New Roman"/>
          <w:color w:val="auto"/>
          <w:highlight w:val="none"/>
        </w:rPr>
        <w:t>提供全套技术文件纸介质3套以及电子文件1套。</w:t>
      </w:r>
      <w:bookmarkEnd w:id="36"/>
    </w:p>
    <w:p w14:paraId="30B61315">
      <w:pPr>
        <w:ind w:firstLine="480"/>
        <w:rPr>
          <w:b w:val="0"/>
          <w:bCs w:val="0"/>
          <w:color w:val="auto"/>
          <w:highlight w:val="none"/>
        </w:rPr>
      </w:pPr>
      <w:r>
        <w:rPr>
          <w:b w:val="0"/>
          <w:bCs w:val="0"/>
          <w:color w:val="auto"/>
          <w:highlight w:val="none"/>
        </w:rPr>
        <w:t>2、程序源代码交付</w:t>
      </w:r>
    </w:p>
    <w:p w14:paraId="526693AF">
      <w:pPr>
        <w:ind w:firstLine="480"/>
        <w:rPr>
          <w:rFonts w:hint="eastAsia"/>
          <w:b w:val="0"/>
          <w:bCs w:val="0"/>
          <w:color w:val="auto"/>
          <w:highlight w:val="none"/>
        </w:rPr>
      </w:pPr>
      <w:r>
        <w:rPr>
          <w:rFonts w:hint="eastAsia"/>
          <w:b w:val="0"/>
          <w:bCs w:val="0"/>
          <w:color w:val="auto"/>
          <w:highlight w:val="none"/>
        </w:rPr>
        <w:t>提供项目开发的源代码</w:t>
      </w:r>
      <w:r>
        <w:rPr>
          <w:rFonts w:hint="eastAsia"/>
          <w:b w:val="0"/>
          <w:bCs w:val="0"/>
          <w:color w:val="auto"/>
          <w:highlight w:val="none"/>
          <w:lang w:eastAsia="zh-CN"/>
        </w:rPr>
        <w:t>及注释</w:t>
      </w:r>
      <w:r>
        <w:rPr>
          <w:rFonts w:hint="eastAsia"/>
          <w:b w:val="0"/>
          <w:bCs w:val="0"/>
          <w:color w:val="auto"/>
          <w:highlight w:val="none"/>
        </w:rPr>
        <w:t>，包含数据库建库脚本，完整代码及良好注释等。</w:t>
      </w:r>
    </w:p>
    <w:p w14:paraId="1B468067">
      <w:pPr>
        <w:ind w:firstLine="0" w:firstLineChars="0"/>
        <w:rPr>
          <w:rFonts w:hint="eastAsia"/>
          <w:b w:val="0"/>
          <w:bCs w:val="0"/>
          <w:color w:val="auto"/>
          <w:highlight w:val="none"/>
        </w:rPr>
      </w:pPr>
    </w:p>
    <w:p w14:paraId="52E6F648">
      <w:pPr>
        <w:pStyle w:val="2"/>
        <w:ind w:left="314" w:leftChars="131" w:firstLine="163" w:firstLineChars="51"/>
        <w:rPr>
          <w:color w:val="auto"/>
          <w:highlight w:val="none"/>
        </w:rPr>
      </w:pPr>
      <w:bookmarkStart w:id="37" w:name="_Toc68798863"/>
      <w:r>
        <w:rPr>
          <w:rFonts w:hint="eastAsia"/>
          <w:color w:val="auto"/>
          <w:highlight w:val="none"/>
        </w:rPr>
        <w:t>附录</w:t>
      </w:r>
      <w:bookmarkEnd w:id="37"/>
    </w:p>
    <w:p w14:paraId="42B78069">
      <w:pPr>
        <w:ind w:firstLine="482"/>
        <w:rPr>
          <w:b/>
          <w:color w:val="auto"/>
          <w:highlight w:val="none"/>
        </w:rPr>
      </w:pPr>
      <w:r>
        <w:rPr>
          <w:rFonts w:hint="eastAsia"/>
          <w:b/>
          <w:color w:val="auto"/>
          <w:highlight w:val="none"/>
        </w:rPr>
        <w:t>若项目建设过程中需符合相关技术标准或规范文件的要求，请将相关文件作为附件列出。</w:t>
      </w:r>
    </w:p>
    <w:p w14:paraId="26B3D1D2">
      <w:pPr>
        <w:ind w:firstLine="482"/>
        <w:rPr>
          <w:color w:val="auto"/>
          <w:highlight w:val="none"/>
        </w:rPr>
      </w:pPr>
      <w:r>
        <w:rPr>
          <w:rFonts w:hint="eastAsia"/>
          <w:b/>
          <w:color w:val="auto"/>
          <w:highlight w:val="none"/>
        </w:rPr>
        <w:t>参考如下：</w:t>
      </w:r>
    </w:p>
    <w:p w14:paraId="153A4110">
      <w:pPr>
        <w:ind w:firstLine="0" w:firstLineChars="0"/>
        <w:rPr>
          <w:color w:val="auto"/>
          <w:highlight w:val="none"/>
        </w:rPr>
      </w:pPr>
      <w:r>
        <w:rPr>
          <w:rFonts w:hint="eastAsia"/>
          <w:color w:val="auto"/>
          <w:highlight w:val="none"/>
        </w:rPr>
        <w:t>1、</w:t>
      </w:r>
      <w:r>
        <w:rPr>
          <w:color w:val="auto"/>
          <w:highlight w:val="none"/>
        </w:rPr>
        <w:t>《政务网络安全监测平台总体技术要求》</w:t>
      </w:r>
    </w:p>
    <w:p w14:paraId="5E42B87F">
      <w:pPr>
        <w:ind w:firstLine="0" w:firstLineChars="0"/>
        <w:jc w:val="left"/>
        <w:rPr>
          <w:color w:val="auto"/>
          <w:highlight w:val="none"/>
        </w:rPr>
      </w:pPr>
      <w:r>
        <w:rPr>
          <w:rFonts w:hint="eastAsia"/>
          <w:color w:val="auto"/>
          <w:highlight w:val="none"/>
        </w:rPr>
        <w:t>2、《上海市电子政务外网建设和运行管理指南（试行）》</w:t>
      </w:r>
    </w:p>
    <w:p w14:paraId="492D71A0">
      <w:pPr>
        <w:numPr>
          <w:ilvl w:val="0"/>
          <w:numId w:val="5"/>
        </w:numPr>
        <w:ind w:firstLine="0" w:firstLineChars="0"/>
        <w:jc w:val="left"/>
        <w:rPr>
          <w:rFonts w:hint="eastAsia"/>
          <w:color w:val="auto"/>
          <w:highlight w:val="none"/>
        </w:rPr>
      </w:pPr>
      <w:r>
        <w:rPr>
          <w:rFonts w:hint="eastAsia"/>
          <w:color w:val="auto"/>
          <w:highlight w:val="none"/>
        </w:rPr>
        <w:t>其他标准</w:t>
      </w:r>
    </w:p>
    <w:p w14:paraId="48FDD33C">
      <w:pPr>
        <w:rPr>
          <w:rFonts w:hint="eastAsia" w:cs="Times New Roman"/>
          <w:color w:val="auto"/>
          <w:highlight w:val="none"/>
          <w:lang w:val="en-US" w:eastAsia="zh-CN"/>
        </w:rPr>
      </w:pPr>
      <w:r>
        <w:rPr>
          <w:rFonts w:hint="eastAsia" w:ascii="宋体" w:hAnsi="宋体" w:eastAsia="宋体" w:cs="Times New Roman"/>
          <w:color w:val="auto"/>
          <w:highlight w:val="none"/>
        </w:rPr>
        <w:t>《水文资料整编规范》 SL</w:t>
      </w:r>
      <w:r>
        <w:rPr>
          <w:rFonts w:hint="eastAsia" w:cs="Times New Roman"/>
          <w:color w:val="auto"/>
          <w:highlight w:val="none"/>
          <w:lang w:val="en-US" w:eastAsia="zh-CN"/>
        </w:rPr>
        <w:t>/T</w:t>
      </w:r>
      <w:r>
        <w:rPr>
          <w:rFonts w:hint="eastAsia" w:ascii="宋体" w:hAnsi="宋体" w:eastAsia="宋体" w:cs="Times New Roman"/>
          <w:color w:val="auto"/>
          <w:highlight w:val="none"/>
        </w:rPr>
        <w:t xml:space="preserve"> 24</w:t>
      </w:r>
      <w:r>
        <w:rPr>
          <w:rFonts w:hint="eastAsia" w:cs="Times New Roman"/>
          <w:color w:val="auto"/>
          <w:highlight w:val="none"/>
          <w:lang w:val="en-US" w:eastAsia="zh-CN"/>
        </w:rPr>
        <w:t>7</w:t>
      </w:r>
      <w:r>
        <w:rPr>
          <w:rFonts w:hint="eastAsia" w:ascii="宋体" w:hAnsi="宋体" w:eastAsia="宋体" w:cs="Times New Roman"/>
          <w:color w:val="auto"/>
          <w:highlight w:val="none"/>
        </w:rPr>
        <w:t>—20</w:t>
      </w:r>
      <w:r>
        <w:rPr>
          <w:rFonts w:hint="eastAsia" w:cs="Times New Roman"/>
          <w:color w:val="auto"/>
          <w:highlight w:val="none"/>
          <w:lang w:val="en-US" w:eastAsia="zh-CN"/>
        </w:rPr>
        <w:t>20</w:t>
      </w:r>
    </w:p>
    <w:p w14:paraId="2D56D529">
      <w:pPr>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实时雨水情数据库表结构与标识符</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 xml:space="preserve"> </w:t>
      </w:r>
      <w:r>
        <w:rPr>
          <w:rFonts w:hint="eastAsia" w:ascii="宋体" w:hAnsi="宋体" w:eastAsia="宋体" w:cs="Times New Roman"/>
          <w:color w:val="auto"/>
          <w:highlight w:val="none"/>
        </w:rPr>
        <w:t>SL 323-2011</w:t>
      </w:r>
    </w:p>
    <w:p w14:paraId="688BC027">
      <w:pPr>
        <w:ind w:firstLine="480" w:firstLineChars="200"/>
        <w:jc w:val="left"/>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基础水文数据库表结构及标识符标准</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 xml:space="preserve"> </w:t>
      </w:r>
      <w:r>
        <w:rPr>
          <w:rFonts w:hint="eastAsia" w:ascii="宋体" w:hAnsi="宋体" w:eastAsia="宋体" w:cs="Times New Roman"/>
          <w:color w:val="auto"/>
          <w:highlight w:val="none"/>
        </w:rPr>
        <w:t>SL 324-2005</w:t>
      </w:r>
    </w:p>
    <w:p w14:paraId="5CEBBF88">
      <w:pPr>
        <w:widowControl/>
        <w:ind w:firstLine="480" w:firstLineChars="200"/>
        <w:jc w:val="left"/>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水文数据库表结构及标识符</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 xml:space="preserve"> </w:t>
      </w:r>
      <w:r>
        <w:rPr>
          <w:rFonts w:hint="eastAsia" w:ascii="宋体" w:hAnsi="宋体" w:eastAsia="宋体" w:cs="Times New Roman"/>
          <w:color w:val="auto"/>
          <w:highlight w:val="none"/>
        </w:rPr>
        <w:t xml:space="preserve">SL 324-2019 </w:t>
      </w:r>
    </w:p>
    <w:p w14:paraId="4D2869D9">
      <w:pPr>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rPr>
        <w:t>《水文年鉴汇编刊印规范》 SL</w:t>
      </w:r>
      <w:r>
        <w:rPr>
          <w:rFonts w:hint="eastAsia" w:cs="Times New Roman"/>
          <w:color w:val="auto"/>
          <w:highlight w:val="none"/>
          <w:lang w:val="en-US" w:eastAsia="zh-CN"/>
        </w:rPr>
        <w:t>/T</w:t>
      </w:r>
      <w:r>
        <w:rPr>
          <w:rFonts w:hint="eastAsia" w:ascii="宋体" w:hAnsi="宋体" w:eastAsia="宋体" w:cs="Times New Roman"/>
          <w:color w:val="auto"/>
          <w:highlight w:val="none"/>
        </w:rPr>
        <w:t xml:space="preserve"> 460—20</w:t>
      </w:r>
      <w:r>
        <w:rPr>
          <w:rFonts w:hint="eastAsia" w:cs="Times New Roman"/>
          <w:color w:val="auto"/>
          <w:highlight w:val="none"/>
          <w:lang w:val="en-US" w:eastAsia="zh-CN"/>
        </w:rPr>
        <w:t>20</w:t>
      </w:r>
    </w:p>
    <w:p w14:paraId="2CF45737">
      <w:pPr>
        <w:rPr>
          <w:rFonts w:hint="eastAsia" w:ascii="宋体" w:hAnsi="宋体" w:eastAsia="宋体" w:cs="Times New Roman"/>
          <w:color w:val="auto"/>
          <w:highlight w:val="none"/>
        </w:rPr>
      </w:pPr>
      <w:r>
        <w:rPr>
          <w:rFonts w:hint="eastAsia" w:ascii="宋体" w:hAnsi="宋体" w:eastAsia="宋体" w:cs="Times New Roman"/>
          <w:color w:val="auto"/>
          <w:highlight w:val="none"/>
        </w:rPr>
        <w:t>《水文测站考证技术规范》 SL</w:t>
      </w:r>
      <w:r>
        <w:rPr>
          <w:rFonts w:hint="eastAsia" w:cs="Times New Roman"/>
          <w:color w:val="auto"/>
          <w:highlight w:val="none"/>
          <w:lang w:val="en-US" w:eastAsia="zh-CN"/>
        </w:rPr>
        <w:t>/T</w:t>
      </w:r>
      <w:r>
        <w:rPr>
          <w:rFonts w:hint="eastAsia" w:ascii="宋体" w:hAnsi="宋体" w:eastAsia="宋体" w:cs="Times New Roman"/>
          <w:color w:val="auto"/>
          <w:highlight w:val="none"/>
        </w:rPr>
        <w:t xml:space="preserve"> 742—2017</w:t>
      </w:r>
    </w:p>
    <w:p w14:paraId="7BF0673D">
      <w:pPr>
        <w:keepNext w:val="0"/>
        <w:keepLines w:val="0"/>
        <w:widowControl/>
        <w:suppressLineNumbers w:val="0"/>
        <w:ind w:left="0" w:leftChars="0" w:firstLine="480" w:firstLineChars="200"/>
        <w:jc w:val="left"/>
        <w:rPr>
          <w:rFonts w:hint="eastAsia"/>
          <w:color w:val="auto"/>
          <w:highlight w:val="none"/>
        </w:rPr>
      </w:pPr>
      <w:r>
        <w:rPr>
          <w:rFonts w:hint="eastAsia" w:ascii="宋体" w:hAnsi="宋体" w:eastAsia="宋体" w:cs="Times New Roman"/>
          <w:color w:val="auto"/>
          <w:highlight w:val="none"/>
          <w:lang w:val="en-US" w:eastAsia="zh-CN"/>
        </w:rPr>
        <w:t>《政务信息资源共享与交换实施规范》</w:t>
      </w:r>
      <w:r>
        <w:rPr>
          <w:rFonts w:hint="eastAsia" w:ascii="宋体" w:hAnsi="宋体" w:eastAsia="宋体" w:cs="Times New Roman"/>
          <w:color w:val="auto"/>
          <w:kern w:val="2"/>
          <w:sz w:val="24"/>
          <w:szCs w:val="24"/>
          <w:highlight w:val="none"/>
          <w:lang w:val="en-US" w:eastAsia="zh-CN" w:bidi="ar"/>
        </w:rPr>
        <w:t xml:space="preserve">DB 31/T 745—2013 </w:t>
      </w:r>
    </w:p>
    <w:p w14:paraId="7804035C">
      <w:pPr>
        <w:rPr>
          <w:rFonts w:hint="default" w:ascii="宋体" w:hAnsi="宋体" w:eastAsia="宋体" w:cs="Times New Roman"/>
          <w:color w:val="auto"/>
          <w:highlight w:val="none"/>
          <w:lang w:val="en-US" w:eastAsia="zh-CN"/>
        </w:rPr>
      </w:pPr>
      <w:r>
        <w:rPr>
          <w:rFonts w:hint="eastAsia" w:cs="Times New Roman"/>
          <w:color w:val="auto"/>
          <w:highlight w:val="none"/>
          <w:lang w:eastAsia="zh-CN"/>
        </w:rPr>
        <w:t>《</w:t>
      </w:r>
      <w:r>
        <w:rPr>
          <w:rFonts w:hint="eastAsia" w:cs="Times New Roman"/>
          <w:color w:val="auto"/>
          <w:highlight w:val="none"/>
          <w:lang w:val="en-US" w:eastAsia="zh-CN"/>
        </w:rPr>
        <w:t>感潮河段与濒海水文测验及资料整编技术规范</w:t>
      </w:r>
      <w:r>
        <w:rPr>
          <w:rFonts w:hint="eastAsia" w:cs="Times New Roman"/>
          <w:color w:val="auto"/>
          <w:highlight w:val="none"/>
          <w:lang w:eastAsia="zh-CN"/>
        </w:rPr>
        <w:t>》</w:t>
      </w:r>
      <w:r>
        <w:rPr>
          <w:rFonts w:hint="eastAsia" w:cs="Times New Roman"/>
          <w:color w:val="auto"/>
          <w:highlight w:val="none"/>
          <w:lang w:val="en-US" w:eastAsia="zh-CN"/>
        </w:rPr>
        <w:t xml:space="preserve"> DB 31/T 763—2013</w:t>
      </w:r>
    </w:p>
    <w:p w14:paraId="6FF137D2">
      <w:pPr>
        <w:rPr>
          <w:highlight w:val="none"/>
        </w:rPr>
      </w:pPr>
    </w:p>
    <w:sectPr>
      <w:footerReference r:id="rId6" w:type="first"/>
      <w:footerReference r:id="rId5" w:type="default"/>
      <w:pgSz w:w="11906" w:h="16838"/>
      <w:pgMar w:top="1440" w:right="1797" w:bottom="1440" w:left="1797" w:header="850" w:footer="850" w:gutter="0"/>
      <w:pgBorders>
        <w:top w:val="none" w:sz="0" w:space="0"/>
        <w:left w:val="none" w:sz="0" w:space="0"/>
        <w:bottom w:val="none" w:sz="0" w:space="0"/>
        <w:right w:val="none" w:sz="0" w:space="0"/>
      </w:pgBorders>
      <w:pgNumType w:start="1"/>
      <w:cols w:space="0" w:num="1"/>
      <w:titlePg/>
      <w:rtlGutter w:val="0"/>
      <w:docGrid w:type="linesAndChar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F4E5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6F3D0">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E6F3D0">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0D91D">
    <w:pPr>
      <w:ind w:firstLine="0" w:firstLineChars="0"/>
      <w:jc w:val="center"/>
      <w:rPr>
        <w:lang w:val="zh-CN"/>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58F8B">
                          <w:pPr>
                            <w:ind w:firstLine="0" w:firstLineChars="0"/>
                            <w:jc w:val="cente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858F8B">
                    <w:pPr>
                      <w:ind w:firstLine="0" w:firstLineChars="0"/>
                      <w:jc w:val="cente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txbxContent>
              </v:textbox>
            </v:shape>
          </w:pict>
        </mc:Fallback>
      </mc:AlternateContent>
    </w:r>
  </w:p>
  <w:p w14:paraId="7C99AF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B22EF192"/>
    <w:multiLevelType w:val="singleLevel"/>
    <w:tmpl w:val="B22EF192"/>
    <w:lvl w:ilvl="0" w:tentative="0">
      <w:start w:val="3"/>
      <w:numFmt w:val="decimal"/>
      <w:suff w:val="nothing"/>
      <w:lvlText w:val="%1、"/>
      <w:lvlJc w:val="left"/>
    </w:lvl>
  </w:abstractNum>
  <w:abstractNum w:abstractNumId="2">
    <w:nsid w:val="C8EC71E6"/>
    <w:multiLevelType w:val="multilevel"/>
    <w:tmpl w:val="C8EC71E6"/>
    <w:lvl w:ilvl="0" w:tentative="0">
      <w:start w:val="1"/>
      <w:numFmt w:val="decimal"/>
      <w:lvlText w:val="%1."/>
      <w:lvlJc w:val="left"/>
      <w:pPr>
        <w:ind w:left="0" w:leftChars="0" w:firstLine="0" w:firstLineChars="0"/>
      </w:pPr>
      <w:rPr>
        <w:rFonts w:hint="default" w:ascii="Times New Roman" w:hAnsi="Times New Roman" w:cs="Times New Roman"/>
      </w:rPr>
    </w:lvl>
    <w:lvl w:ilvl="1" w:tentative="0">
      <w:start w:val="1"/>
      <w:numFmt w:val="decimal"/>
      <w:lvlText w:val="%1.%2."/>
      <w:lvlJc w:val="left"/>
      <w:pPr>
        <w:ind w:left="575" w:hanging="575"/>
      </w:pPr>
      <w:rPr>
        <w:rFonts w:hint="default" w:ascii="Times New Roman" w:hAnsi="Times New Roman" w:cs="Times New Roman"/>
      </w:rPr>
    </w:lvl>
    <w:lvl w:ilvl="2" w:tentative="0">
      <w:start w:val="1"/>
      <w:numFmt w:val="decimal"/>
      <w:lvlText w:val="%1.%2.%3."/>
      <w:lvlJc w:val="left"/>
      <w:pPr>
        <w:ind w:left="720" w:hanging="720"/>
      </w:pPr>
      <w:rPr>
        <w:rFonts w:hint="default" w:ascii="Times New Roman" w:hAnsi="Times New Roman" w:cs="Times New Roman"/>
      </w:rPr>
    </w:lvl>
    <w:lvl w:ilvl="3" w:tentative="0">
      <w:start w:val="1"/>
      <w:numFmt w:val="decimal"/>
      <w:lvlText w:val="%1.%2.%3.%4."/>
      <w:lvlJc w:val="left"/>
      <w:pPr>
        <w:ind w:left="864" w:hanging="864"/>
      </w:pPr>
      <w:rPr>
        <w:rFonts w:hint="default" w:ascii="Times New Roman" w:hAnsi="Times New Roman" w:cs="Times New Roman"/>
      </w:rPr>
    </w:lvl>
    <w:lvl w:ilvl="4" w:tentative="0">
      <w:start w:val="1"/>
      <w:numFmt w:val="decimal"/>
      <w:lvlText w:val="%1.%2.%3.%4.%5."/>
      <w:lvlJc w:val="left"/>
      <w:pPr>
        <w:ind w:left="1008" w:hanging="1008"/>
      </w:pPr>
      <w:rPr>
        <w:rFonts w:hint="default" w:ascii="Times New Roman" w:hAnsi="Times New Roman" w:cs="Times New Roman"/>
      </w:rPr>
    </w:lvl>
    <w:lvl w:ilvl="5" w:tentative="0">
      <w:start w:val="1"/>
      <w:numFmt w:val="decimal"/>
      <w:pStyle w:val="4"/>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6A2F4AB3"/>
    <w:multiLevelType w:val="multilevel"/>
    <w:tmpl w:val="6A2F4AB3"/>
    <w:lvl w:ilvl="0" w:tentative="0">
      <w:start w:val="1"/>
      <w:numFmt w:val="chineseCountingThousand"/>
      <w:pStyle w:val="2"/>
      <w:suff w:val="nothing"/>
      <w:lvlText w:val="%1、"/>
      <w:lvlJc w:val="left"/>
      <w:pPr>
        <w:ind w:left="797"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4">
    <w:nsid w:val="6FFE1CF3"/>
    <w:multiLevelType w:val="singleLevel"/>
    <w:tmpl w:val="6FFE1CF3"/>
    <w:lvl w:ilvl="0" w:tentative="0">
      <w:start w:val="2"/>
      <w:numFmt w:val="decimal"/>
      <w:suff w:val="nothing"/>
      <w:lvlText w:val="（%1）"/>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NjJkZDE1ODNmYTQ4NDk0ZDNlYmQ0YjEyN2E0NGQifQ=="/>
  </w:docVars>
  <w:rsids>
    <w:rsidRoot w:val="00000000"/>
    <w:rsid w:val="0FF7E27D"/>
    <w:rsid w:val="13FF27EE"/>
    <w:rsid w:val="15EF11A4"/>
    <w:rsid w:val="199E17F3"/>
    <w:rsid w:val="1CED6FF7"/>
    <w:rsid w:val="1ED78C6D"/>
    <w:rsid w:val="1F77ABBD"/>
    <w:rsid w:val="2AFF6E45"/>
    <w:rsid w:val="2BBE23E3"/>
    <w:rsid w:val="2D4F35F1"/>
    <w:rsid w:val="325D263D"/>
    <w:rsid w:val="37A3A2D8"/>
    <w:rsid w:val="37F45BC0"/>
    <w:rsid w:val="3CFF68C4"/>
    <w:rsid w:val="3DBB65C2"/>
    <w:rsid w:val="3DDDAF7E"/>
    <w:rsid w:val="3F3F960B"/>
    <w:rsid w:val="3FBFADF5"/>
    <w:rsid w:val="457B4686"/>
    <w:rsid w:val="4F9FF735"/>
    <w:rsid w:val="53DEDF87"/>
    <w:rsid w:val="57FFC0BA"/>
    <w:rsid w:val="5AAF65A6"/>
    <w:rsid w:val="5AFEE9AD"/>
    <w:rsid w:val="5B5FA397"/>
    <w:rsid w:val="5DBFAD7B"/>
    <w:rsid w:val="5EEE7DDD"/>
    <w:rsid w:val="5FD3B1B5"/>
    <w:rsid w:val="5FD7593B"/>
    <w:rsid w:val="5FD7B707"/>
    <w:rsid w:val="5FFFB20A"/>
    <w:rsid w:val="645D785C"/>
    <w:rsid w:val="679CF56A"/>
    <w:rsid w:val="67EBEAF4"/>
    <w:rsid w:val="67F25B76"/>
    <w:rsid w:val="6957BDF9"/>
    <w:rsid w:val="6BBD2AC9"/>
    <w:rsid w:val="6BFF638B"/>
    <w:rsid w:val="6DDF67C8"/>
    <w:rsid w:val="6DDF8A61"/>
    <w:rsid w:val="6DFB8824"/>
    <w:rsid w:val="6F8D8664"/>
    <w:rsid w:val="6FAB0361"/>
    <w:rsid w:val="6FBD6CB7"/>
    <w:rsid w:val="6FDD0839"/>
    <w:rsid w:val="6FEF84B8"/>
    <w:rsid w:val="6FF4DB1B"/>
    <w:rsid w:val="723AC0A7"/>
    <w:rsid w:val="735BE020"/>
    <w:rsid w:val="73DDCD4B"/>
    <w:rsid w:val="7657815D"/>
    <w:rsid w:val="766FFAE1"/>
    <w:rsid w:val="773722FE"/>
    <w:rsid w:val="77F4E195"/>
    <w:rsid w:val="77FF1302"/>
    <w:rsid w:val="799C438E"/>
    <w:rsid w:val="79F70F37"/>
    <w:rsid w:val="7A7F24C7"/>
    <w:rsid w:val="7AFC44C5"/>
    <w:rsid w:val="7B7F930C"/>
    <w:rsid w:val="7BDD3F7E"/>
    <w:rsid w:val="7BFF0B97"/>
    <w:rsid w:val="7CD796AB"/>
    <w:rsid w:val="7D9A2964"/>
    <w:rsid w:val="7DEC63D8"/>
    <w:rsid w:val="7DFC0D08"/>
    <w:rsid w:val="7EF236BC"/>
    <w:rsid w:val="7EF39E23"/>
    <w:rsid w:val="7EF7F2C9"/>
    <w:rsid w:val="7EFF1FCB"/>
    <w:rsid w:val="7F5F9931"/>
    <w:rsid w:val="7FAB5F2A"/>
    <w:rsid w:val="7FB974CA"/>
    <w:rsid w:val="7FBB93F4"/>
    <w:rsid w:val="7FD677A2"/>
    <w:rsid w:val="7FD7D995"/>
    <w:rsid w:val="7FE7B7E9"/>
    <w:rsid w:val="7FF744D4"/>
    <w:rsid w:val="7FFB606B"/>
    <w:rsid w:val="871C7151"/>
    <w:rsid w:val="8EFD8182"/>
    <w:rsid w:val="95729049"/>
    <w:rsid w:val="9B330DDE"/>
    <w:rsid w:val="9BD7D1B4"/>
    <w:rsid w:val="9EDE5D05"/>
    <w:rsid w:val="9FA9EDBD"/>
    <w:rsid w:val="A7DF8962"/>
    <w:rsid w:val="AFC792CB"/>
    <w:rsid w:val="B6EB4A80"/>
    <w:rsid w:val="BB612689"/>
    <w:rsid w:val="BDD7A750"/>
    <w:rsid w:val="BEEDE56D"/>
    <w:rsid w:val="BEF706B3"/>
    <w:rsid w:val="BFD56478"/>
    <w:rsid w:val="C1DF0317"/>
    <w:rsid w:val="C8B72FB9"/>
    <w:rsid w:val="C9BE44B9"/>
    <w:rsid w:val="CDFC449F"/>
    <w:rsid w:val="CFFF9E6A"/>
    <w:rsid w:val="D0F6E676"/>
    <w:rsid w:val="D17380CE"/>
    <w:rsid w:val="D1FF6861"/>
    <w:rsid w:val="D693062B"/>
    <w:rsid w:val="D6BFDF8C"/>
    <w:rsid w:val="D7DF6101"/>
    <w:rsid w:val="D9E2FF21"/>
    <w:rsid w:val="DBCB3540"/>
    <w:rsid w:val="DBEC8065"/>
    <w:rsid w:val="DE8F2C4A"/>
    <w:rsid w:val="DEA9C6F3"/>
    <w:rsid w:val="DF5E8A34"/>
    <w:rsid w:val="DFB56050"/>
    <w:rsid w:val="E5699D9F"/>
    <w:rsid w:val="E7EFEF00"/>
    <w:rsid w:val="EDDF0B0A"/>
    <w:rsid w:val="EE35A193"/>
    <w:rsid w:val="EF7F26AD"/>
    <w:rsid w:val="F3B76F43"/>
    <w:rsid w:val="F7EC050C"/>
    <w:rsid w:val="FA570101"/>
    <w:rsid w:val="FAEFB79D"/>
    <w:rsid w:val="FB7F8FE2"/>
    <w:rsid w:val="FBAE61E6"/>
    <w:rsid w:val="FBBB0B5A"/>
    <w:rsid w:val="FDBFB284"/>
    <w:rsid w:val="FDEDE0AF"/>
    <w:rsid w:val="FDF54F8E"/>
    <w:rsid w:val="FDFB29F0"/>
    <w:rsid w:val="FE77961C"/>
    <w:rsid w:val="FEFD3173"/>
    <w:rsid w:val="FF5EB6C0"/>
    <w:rsid w:val="FF6F0E3B"/>
    <w:rsid w:val="FF7DF3A6"/>
    <w:rsid w:val="FFEFF159"/>
    <w:rsid w:val="FFFB19F1"/>
    <w:rsid w:val="FFFF38BE"/>
    <w:rsid w:val="FFFF7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paragraph" w:styleId="4">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customStyle="1" w:styleId="10">
    <w:name w:val="正文缩进1"/>
    <w:basedOn w:val="1"/>
    <w:qFormat/>
    <w:uiPriority w:val="0"/>
    <w:pPr>
      <w:spacing w:line="240" w:lineRule="auto"/>
      <w:ind w:firstLine="420"/>
    </w:pPr>
    <w:rPr>
      <w:rFonts w:ascii="Times New Roman" w:hAnsi="Times New Roman"/>
      <w:sz w:val="21"/>
      <w:szCs w:val="20"/>
    </w:rPr>
  </w:style>
  <w:style w:type="paragraph" w:customStyle="1" w:styleId="11">
    <w:name w:val="正文正文2"/>
    <w:basedOn w:val="1"/>
    <w:qFormat/>
    <w:uiPriority w:val="0"/>
    <w:pPr>
      <w:ind w:firstLine="460"/>
    </w:pPr>
    <w:rPr>
      <w:sz w:val="21"/>
      <w:szCs w:val="21"/>
    </w:rPr>
  </w:style>
  <w:style w:type="paragraph" w:customStyle="1" w:styleId="12">
    <w:name w:val="B-表正文"/>
    <w:qFormat/>
    <w:uiPriority w:val="0"/>
    <w:rPr>
      <w:rFonts w:ascii="Times New Roman" w:hAnsi="Times New Roman" w:eastAsia="仿宋" w:cstheme="minorBidi"/>
      <w:kern w:val="2"/>
      <w:sz w:val="21"/>
      <w:szCs w:val="24"/>
      <w:lang w:val="en-US" w:eastAsia="zh-CN" w:bidi="ar-SA"/>
    </w:rPr>
  </w:style>
  <w:style w:type="character" w:customStyle="1" w:styleId="13">
    <w:name w:val="font81"/>
    <w:basedOn w:val="9"/>
    <w:qFormat/>
    <w:uiPriority w:val="0"/>
    <w:rPr>
      <w:rFonts w:hint="eastAsia" w:ascii="宋体" w:hAnsi="宋体" w:eastAsia="宋体" w:cs="宋体"/>
      <w:color w:val="000000"/>
      <w:sz w:val="24"/>
      <w:szCs w:val="24"/>
      <w:u w:val="none"/>
    </w:rPr>
  </w:style>
  <w:style w:type="character" w:customStyle="1" w:styleId="14">
    <w:name w:val="font51"/>
    <w:basedOn w:val="9"/>
    <w:qFormat/>
    <w:uiPriority w:val="0"/>
    <w:rPr>
      <w:rFonts w:hint="eastAsia" w:ascii="宋体" w:hAnsi="宋体" w:eastAsia="宋体" w:cs="宋体"/>
      <w:color w:val="000000"/>
      <w:sz w:val="24"/>
      <w:szCs w:val="24"/>
      <w:u w:val="none"/>
    </w:rPr>
  </w:style>
  <w:style w:type="character" w:customStyle="1" w:styleId="15">
    <w:name w:val="font6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1952</Words>
  <Characters>2027</Characters>
  <Lines>0</Lines>
  <Paragraphs>0</Paragraphs>
  <TotalTime>15</TotalTime>
  <ScaleCrop>false</ScaleCrop>
  <LinksUpToDate>false</LinksUpToDate>
  <CharactersWithSpaces>2041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2024-05-18T23:04:00Z</dcterms:created>
  <dc:creator>user</dc:creator>
  <cp:lastModifiedBy>晋一民</cp:lastModifiedBy>
  <dcterms:modified xsi:type="dcterms:W3CDTF">2025-03-27T03:07:29Z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AA2280A1AA1CF1A702DBD767408F1EF8_43</vt:lpwstr>
  </property>
  <property fmtid="{D5CDD505-2E9C-101B-9397-08002B2CF9AE}" pid="4" name="KSOTemplateDocerSaveRecord">
    <vt:lpwstr>eyJoZGlkIjoiZGZjMGI5ZWMxZGU0NWY1ZWJmZmU1NjgzYzMzYTMzMjIiLCJ1c2VySWQiOiIxNjQzMTc3ODEwIn0=</vt:lpwstr>
  </property>
</Properties>
</file>