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Times New Roman" w:hAnsi="Times New Roman" w:eastAsia="黑体"/>
          <w:sz w:val="48"/>
          <w:szCs w:val="48"/>
        </w:rPr>
      </w:pPr>
    </w:p>
    <w:p>
      <w:pPr>
        <w:ind w:firstLine="0" w:firstLineChars="0"/>
        <w:jc w:val="center"/>
        <w:rPr>
          <w:rFonts w:ascii="Times New Roman" w:hAnsi="Times New Roman" w:eastAsia="黑体"/>
          <w:sz w:val="48"/>
          <w:szCs w:val="48"/>
        </w:rPr>
      </w:pPr>
    </w:p>
    <w:p>
      <w:pPr>
        <w:pStyle w:val="19"/>
        <w:ind w:left="1960" w:right="1960" w:firstLine="560"/>
      </w:pPr>
    </w:p>
    <w:p>
      <w:pPr>
        <w:pStyle w:val="19"/>
        <w:ind w:left="1960" w:right="1960" w:firstLine="560"/>
      </w:pPr>
    </w:p>
    <w:p>
      <w:pPr>
        <w:pStyle w:val="19"/>
        <w:ind w:left="1960" w:right="1960" w:firstLine="560"/>
      </w:pPr>
    </w:p>
    <w:p>
      <w:pPr>
        <w:ind w:firstLine="0" w:firstLineChars="0"/>
        <w:jc w:val="center"/>
        <w:rPr>
          <w:rFonts w:ascii="Times New Roman" w:hAnsi="Times New Roman" w:eastAsia="黑体"/>
          <w:sz w:val="52"/>
          <w:szCs w:val="52"/>
        </w:rPr>
      </w:pPr>
      <w:r>
        <w:rPr>
          <w:rFonts w:hint="eastAsia" w:ascii="Times New Roman" w:hAnsi="Times New Roman" w:eastAsia="黑体"/>
          <w:sz w:val="52"/>
          <w:szCs w:val="52"/>
        </w:rPr>
        <w:t>民政综合服务系统建设项目</w:t>
      </w:r>
    </w:p>
    <w:p>
      <w:pPr>
        <w:ind w:firstLine="0" w:firstLineChars="0"/>
        <w:jc w:val="center"/>
        <w:rPr>
          <w:rFonts w:ascii="黑体" w:hAnsi="黑体" w:eastAsia="黑体"/>
          <w:sz w:val="52"/>
          <w:szCs w:val="52"/>
        </w:rPr>
      </w:pPr>
      <w:r>
        <w:rPr>
          <w:rFonts w:hint="eastAsia" w:ascii="Times New Roman" w:hAnsi="Times New Roman" w:eastAsia="黑体"/>
          <w:sz w:val="52"/>
          <w:szCs w:val="52"/>
        </w:rPr>
        <w:t>（2025年升级改造）</w:t>
      </w:r>
    </w:p>
    <w:p>
      <w:pPr>
        <w:ind w:firstLine="0" w:firstLineChars="0"/>
        <w:jc w:val="center"/>
        <w:rPr>
          <w:rFonts w:ascii="Times New Roman" w:hAnsi="Times New Roman" w:eastAsia="黑体"/>
          <w:sz w:val="52"/>
          <w:szCs w:val="52"/>
        </w:rPr>
      </w:pPr>
      <w:r>
        <w:rPr>
          <w:rFonts w:ascii="Times New Roman" w:hAnsi="Times New Roman" w:eastAsia="黑体"/>
          <w:sz w:val="52"/>
          <w:szCs w:val="52"/>
        </w:rPr>
        <w:t>采购需求</w:t>
      </w:r>
    </w:p>
    <w:p>
      <w:pPr>
        <w:ind w:firstLine="0" w:firstLineChars="0"/>
        <w:jc w:val="center"/>
        <w:rPr>
          <w:rFonts w:ascii="Times New Roman" w:hAnsi="Times New Roman" w:eastAsia="黑体"/>
          <w:sz w:val="72"/>
          <w:szCs w:val="72"/>
        </w:rPr>
      </w:pPr>
    </w:p>
    <w:p>
      <w:pPr>
        <w:ind w:firstLine="0" w:firstLineChars="0"/>
        <w:jc w:val="center"/>
        <w:rPr>
          <w:rFonts w:ascii="Times New Roman" w:hAnsi="Times New Roman" w:eastAsia="黑体"/>
          <w:sz w:val="48"/>
          <w:szCs w:val="48"/>
        </w:rPr>
      </w:pPr>
    </w:p>
    <w:p>
      <w:pPr>
        <w:ind w:firstLine="0" w:firstLineChars="0"/>
        <w:jc w:val="center"/>
        <w:rPr>
          <w:rFonts w:ascii="Times New Roman" w:hAnsi="Times New Roman" w:eastAsia="黑体"/>
          <w:sz w:val="52"/>
          <w:szCs w:val="52"/>
        </w:rPr>
      </w:pPr>
    </w:p>
    <w:p>
      <w:pPr>
        <w:ind w:firstLine="1040"/>
        <w:rPr>
          <w:rFonts w:ascii="Times New Roman" w:hAnsi="Times New Roman" w:eastAsia="黑体"/>
          <w:sz w:val="52"/>
          <w:szCs w:val="52"/>
        </w:rPr>
      </w:pPr>
    </w:p>
    <w:p>
      <w:pPr>
        <w:ind w:firstLine="560"/>
        <w:rPr>
          <w:rFonts w:ascii="Times New Roman" w:hAnsi="Times New Roman"/>
        </w:rPr>
      </w:pPr>
    </w:p>
    <w:p>
      <w:pPr>
        <w:ind w:firstLine="560"/>
        <w:rPr>
          <w:rFonts w:ascii="Times New Roman" w:hAnsi="Times New Roman"/>
        </w:rPr>
      </w:pPr>
    </w:p>
    <w:p>
      <w:pPr>
        <w:ind w:firstLine="560"/>
        <w:rPr>
          <w:rFonts w:ascii="Times New Roman" w:hAnsi="Times New Roman"/>
        </w:rPr>
      </w:pPr>
    </w:p>
    <w:p>
      <w:pPr>
        <w:ind w:firstLine="560"/>
        <w:rPr>
          <w:rFonts w:ascii="Times New Roman" w:hAnsi="Times New Roman"/>
        </w:rPr>
      </w:pPr>
    </w:p>
    <w:p>
      <w:pPr>
        <w:ind w:firstLine="560"/>
        <w:rPr>
          <w:rFonts w:ascii="Times New Roman" w:hAnsi="Times New Roman"/>
        </w:rPr>
      </w:pPr>
    </w:p>
    <w:p>
      <w:pPr>
        <w:ind w:firstLine="1040"/>
        <w:rPr>
          <w:rFonts w:ascii="Times New Roman" w:hAnsi="Times New Roman" w:eastAsia="黑体"/>
          <w:sz w:val="52"/>
          <w:szCs w:val="52"/>
        </w:rPr>
      </w:pPr>
    </w:p>
    <w:p>
      <w:pPr>
        <w:ind w:firstLine="560"/>
        <w:jc w:val="center"/>
        <w:rPr>
          <w:rFonts w:ascii="Times New Roman" w:hAnsi="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pPr>
        <w:pStyle w:val="3"/>
      </w:pPr>
      <w:bookmarkStart w:id="0" w:name="_Toc63785461"/>
      <w:bookmarkStart w:id="1" w:name="_Toc152938296"/>
      <w:r>
        <w:rPr>
          <w:rFonts w:hint="eastAsia"/>
        </w:rPr>
        <w:t>、</w:t>
      </w:r>
      <w:r>
        <w:t>项目概况</w:t>
      </w:r>
      <w:bookmarkEnd w:id="0"/>
      <w:bookmarkEnd w:id="1"/>
    </w:p>
    <w:p>
      <w:pPr>
        <w:adjustRightInd w:val="0"/>
        <w:snapToGrid w:val="0"/>
        <w:ind w:firstLine="560"/>
        <w:rPr>
          <w:rFonts w:ascii="仿宋" w:hAnsi="仿宋"/>
        </w:rPr>
      </w:pPr>
      <w:r>
        <w:rPr>
          <w:rFonts w:hint="eastAsia" w:ascii="仿宋" w:hAnsi="仿宋"/>
        </w:rPr>
        <w:t>根据《“十四五”民政信息化发展规划》、《上海民政数字政府建设规划（2024-2026年）》，以及上海市民政局推进“一网通办”改革工作要点，民政综合服务系统拟开展民服务以及民政资金内控2项内容的建设。</w:t>
      </w:r>
    </w:p>
    <w:p>
      <w:pPr>
        <w:adjustRightInd w:val="0"/>
        <w:snapToGrid w:val="0"/>
        <w:ind w:firstLine="560"/>
        <w:rPr>
          <w:rFonts w:ascii="仿宋" w:hAnsi="仿宋"/>
        </w:rPr>
      </w:pPr>
      <w:r>
        <w:rPr>
          <w:rFonts w:hint="eastAsia" w:ascii="仿宋" w:hAnsi="仿宋"/>
        </w:rPr>
        <w:t>1、民服务子系统建设</w:t>
      </w:r>
    </w:p>
    <w:p>
      <w:pPr>
        <w:adjustRightInd w:val="0"/>
        <w:snapToGrid w:val="0"/>
        <w:ind w:firstLine="560"/>
        <w:rPr>
          <w:rFonts w:ascii="仿宋" w:hAnsi="仿宋"/>
        </w:rPr>
      </w:pPr>
      <w:r>
        <w:rPr>
          <w:rFonts w:hint="eastAsia" w:ascii="仿宋" w:hAnsi="仿宋"/>
        </w:rPr>
        <w:t>为扎实做好民政领域的政策归集与解读，更加精准的主动匹配服务对象需求，进一步拓展“免申即享”、“政策找人”事项覆盖范围，拟建设民政为民服务的统一“掌上”窗口——民服务子系统，作为民政领域业务服务资源供需对接的线上平台，提供政策解读宣传、政策在线体检、政策主动推送、政策关联服务，帮助服务对象更全面地了解民政领域业务政策，更加便捷、清晰地查询或申请各项民政服务。</w:t>
      </w:r>
    </w:p>
    <w:p>
      <w:pPr>
        <w:adjustRightInd w:val="0"/>
        <w:snapToGrid w:val="0"/>
        <w:ind w:firstLine="560"/>
        <w:rPr>
          <w:rFonts w:ascii="仿宋" w:hAnsi="仿宋"/>
        </w:rPr>
      </w:pPr>
      <w:r>
        <w:rPr>
          <w:rFonts w:hint="eastAsia" w:ascii="仿宋" w:hAnsi="仿宋"/>
        </w:rPr>
        <w:t>2、上海市民政资金内控监管子系统升级改造</w:t>
      </w:r>
    </w:p>
    <w:p>
      <w:pPr>
        <w:adjustRightInd w:val="0"/>
        <w:snapToGrid w:val="0"/>
        <w:ind w:firstLine="560"/>
        <w:rPr>
          <w:rFonts w:ascii="仿宋" w:hAnsi="仿宋"/>
        </w:rPr>
      </w:pPr>
      <w:r>
        <w:rPr>
          <w:rFonts w:hint="eastAsia" w:ascii="仿宋" w:hAnsi="仿宋"/>
        </w:rPr>
        <w:t>充分利用上海市民政资金内控监管子系统建设基础，进行“夯基础、补短板、强弱项”，进一步优化各专项资金业务系统之间的数据交换标准，优化交换流程，推动资金发放相关数据汇聚贯通，推进数据应用、融合，以及业务协同。根据业务流程和场景变化，进一步“查漏补缺”，强化转移支付资金收入、使用、发放过程中的监管手段和能力，进一步提升我市民政资金发放和监管过程中业务、财务的精准化、全面化、数字化管理水平，减轻基层工作人员负担，提升工作效率。</w:t>
      </w:r>
    </w:p>
    <w:p>
      <w:pPr>
        <w:spacing w:line="560" w:lineRule="exact"/>
        <w:ind w:firstLine="562"/>
        <w:rPr>
          <w:rFonts w:ascii="Times New Roman" w:hAnsi="Times New Roman"/>
        </w:rPr>
      </w:pPr>
      <w:r>
        <w:rPr>
          <w:rFonts w:ascii="Times New Roman" w:hAnsi="Times New Roman"/>
          <w:b/>
          <w:bCs/>
        </w:rPr>
        <w:t>建设期限</w:t>
      </w:r>
      <w:r>
        <w:rPr>
          <w:rFonts w:ascii="Times New Roman" w:hAnsi="Times New Roman"/>
        </w:rPr>
        <w:t>：</w:t>
      </w:r>
      <w:r>
        <w:rPr>
          <w:rFonts w:hint="eastAsia" w:ascii="Times New Roman" w:hAnsi="Times New Roman"/>
        </w:rPr>
        <w:t>从合同签订之日起7个月内完成</w:t>
      </w:r>
      <w:r>
        <w:rPr>
          <w:rFonts w:ascii="仿宋" w:hAnsi="仿宋"/>
        </w:rPr>
        <w:t>（包含至少一个月的试运行）</w:t>
      </w:r>
    </w:p>
    <w:p>
      <w:pPr>
        <w:spacing w:line="560" w:lineRule="exact"/>
        <w:ind w:firstLine="562"/>
        <w:rPr>
          <w:rFonts w:ascii="Times New Roman" w:hAnsi="Times New Roman"/>
        </w:rPr>
      </w:pPr>
      <w:r>
        <w:rPr>
          <w:rFonts w:ascii="Times New Roman" w:hAnsi="Times New Roman"/>
          <w:b/>
          <w:bCs/>
        </w:rPr>
        <w:t>建设地点</w:t>
      </w:r>
      <w:r>
        <w:rPr>
          <w:rFonts w:ascii="Times New Roman" w:hAnsi="Times New Roman"/>
        </w:rPr>
        <w:t>：上海市</w:t>
      </w:r>
    </w:p>
    <w:p>
      <w:pPr>
        <w:spacing w:line="560" w:lineRule="exact"/>
        <w:ind w:firstLine="562"/>
        <w:rPr>
          <w:rFonts w:ascii="Times New Roman" w:hAnsi="Times New Roman"/>
        </w:rPr>
      </w:pPr>
      <w:r>
        <w:rPr>
          <w:rFonts w:hint="eastAsia" w:ascii="Times New Roman" w:hAnsi="Times New Roman"/>
          <w:b/>
          <w:bCs/>
        </w:rPr>
        <w:t>预算金额</w:t>
      </w:r>
      <w:r>
        <w:rPr>
          <w:rFonts w:hint="eastAsia" w:ascii="Times New Roman" w:hAnsi="Times New Roman"/>
        </w:rPr>
        <w:t>：1745000元</w:t>
      </w:r>
    </w:p>
    <w:p>
      <w:pPr>
        <w:spacing w:line="560" w:lineRule="exact"/>
        <w:ind w:firstLine="562"/>
        <w:rPr>
          <w:rFonts w:ascii="Times New Roman" w:hAnsi="Times New Roman"/>
        </w:rPr>
      </w:pPr>
      <w:r>
        <w:rPr>
          <w:rFonts w:hint="eastAsia" w:ascii="Times New Roman" w:hAnsi="Times New Roman"/>
          <w:b/>
          <w:bCs/>
        </w:rPr>
        <w:t>采购金额（最高限价）</w:t>
      </w:r>
      <w:r>
        <w:rPr>
          <w:rFonts w:hint="eastAsia" w:ascii="Times New Roman" w:hAnsi="Times New Roman"/>
        </w:rPr>
        <w:t>：1745000元</w:t>
      </w:r>
    </w:p>
    <w:p>
      <w:pPr>
        <w:spacing w:line="560" w:lineRule="exact"/>
        <w:ind w:firstLine="562"/>
        <w:rPr>
          <w:rFonts w:ascii="Times New Roman" w:hAnsi="Times New Roman"/>
        </w:rPr>
      </w:pPr>
      <w:r>
        <w:rPr>
          <w:rFonts w:hint="eastAsia" w:ascii="Times New Roman" w:hAnsi="Times New Roman"/>
          <w:b/>
          <w:bCs/>
        </w:rPr>
        <w:t>组织形式</w:t>
      </w:r>
      <w:r>
        <w:rPr>
          <w:rFonts w:hint="eastAsia" w:ascii="Times New Roman" w:hAnsi="Times New Roman"/>
        </w:rPr>
        <w:t>：集中采购</w:t>
      </w:r>
    </w:p>
    <w:p>
      <w:pPr>
        <w:spacing w:line="560" w:lineRule="exact"/>
        <w:ind w:firstLine="562"/>
        <w:rPr>
          <w:rFonts w:ascii="Times New Roman" w:hAnsi="Times New Roman"/>
        </w:rPr>
      </w:pPr>
      <w:r>
        <w:rPr>
          <w:rFonts w:hint="eastAsia" w:ascii="Times New Roman" w:hAnsi="Times New Roman"/>
          <w:b/>
          <w:bCs/>
        </w:rPr>
        <w:t>采购方式</w:t>
      </w:r>
      <w:r>
        <w:rPr>
          <w:rFonts w:hint="eastAsia" w:ascii="Times New Roman" w:hAnsi="Times New Roman"/>
        </w:rPr>
        <w:t>：竞争性磋商</w:t>
      </w:r>
    </w:p>
    <w:p>
      <w:pPr>
        <w:spacing w:line="560" w:lineRule="exact"/>
        <w:ind w:firstLine="562"/>
        <w:rPr>
          <w:rFonts w:ascii="Times New Roman" w:hAnsi="Times New Roman"/>
        </w:rPr>
      </w:pPr>
      <w:r>
        <w:rPr>
          <w:rFonts w:hint="eastAsia" w:ascii="Times New Roman" w:hAnsi="Times New Roman"/>
          <w:b/>
          <w:bCs/>
        </w:rPr>
        <w:t>是否接受联合体投标</w:t>
      </w:r>
      <w:r>
        <w:rPr>
          <w:rFonts w:hint="eastAsia" w:ascii="Times New Roman" w:hAnsi="Times New Roman"/>
        </w:rPr>
        <w:t>：否</w:t>
      </w:r>
    </w:p>
    <w:p>
      <w:pPr>
        <w:ind w:firstLine="562"/>
        <w:rPr>
          <w:rFonts w:ascii="Times New Roman" w:hAnsi="Times New Roman"/>
        </w:rPr>
      </w:pPr>
      <w:r>
        <w:rPr>
          <w:rFonts w:ascii="Times New Roman" w:hAnsi="Times New Roman"/>
          <w:b/>
          <w:bCs/>
        </w:rPr>
        <w:t>是否按信创要求建设</w:t>
      </w:r>
      <w:r>
        <w:rPr>
          <w:rFonts w:ascii="Times New Roman" w:hAnsi="Times New Roman"/>
        </w:rPr>
        <w:t>：是</w:t>
      </w:r>
    </w:p>
    <w:p>
      <w:pPr>
        <w:ind w:firstLine="562"/>
        <w:rPr>
          <w:rFonts w:ascii="Times New Roman" w:hAnsi="Times New Roman"/>
          <w:color w:val="FF0000"/>
        </w:rPr>
      </w:pPr>
      <w:r>
        <w:rPr>
          <w:rFonts w:ascii="Times New Roman" w:hAnsi="Times New Roman"/>
          <w:b/>
          <w:bCs/>
        </w:rPr>
        <w:t>运维后所属大系统</w:t>
      </w:r>
      <w:r>
        <w:rPr>
          <w:rFonts w:ascii="Times New Roman" w:hAnsi="Times New Roman"/>
        </w:rPr>
        <w:t>：</w:t>
      </w:r>
      <w:r>
        <w:rPr>
          <w:rFonts w:hint="eastAsia"/>
        </w:rPr>
        <w:t>民政综合服务系统</w:t>
      </w:r>
    </w:p>
    <w:p>
      <w:pPr>
        <w:pStyle w:val="3"/>
      </w:pPr>
      <w:bookmarkStart w:id="2" w:name="_Toc47539070"/>
      <w:bookmarkEnd w:id="2"/>
      <w:bookmarkStart w:id="3" w:name="_Toc47532255"/>
      <w:bookmarkEnd w:id="3"/>
      <w:bookmarkStart w:id="4" w:name="_Toc47536272"/>
      <w:bookmarkEnd w:id="4"/>
      <w:bookmarkStart w:id="5" w:name="_Toc47531634"/>
      <w:bookmarkEnd w:id="5"/>
      <w:bookmarkStart w:id="6" w:name="_Toc47533256"/>
      <w:bookmarkEnd w:id="6"/>
      <w:bookmarkStart w:id="7" w:name="_Toc47537134"/>
      <w:bookmarkEnd w:id="7"/>
      <w:bookmarkStart w:id="8" w:name="_Toc47536644"/>
      <w:bookmarkEnd w:id="8"/>
      <w:bookmarkStart w:id="9" w:name="_Toc47532891"/>
      <w:bookmarkEnd w:id="9"/>
      <w:bookmarkStart w:id="10" w:name="_Toc48223882"/>
      <w:bookmarkStart w:id="11" w:name="_Toc63785463"/>
      <w:bookmarkStart w:id="12" w:name="_Toc152938297"/>
      <w:r>
        <w:rPr>
          <w:rFonts w:hint="eastAsia"/>
        </w:rPr>
        <w:t>、</w:t>
      </w:r>
      <w:r>
        <w:t>建设目标</w:t>
      </w:r>
      <w:bookmarkEnd w:id="10"/>
      <w:bookmarkEnd w:id="11"/>
      <w:bookmarkEnd w:id="12"/>
    </w:p>
    <w:p>
      <w:pPr>
        <w:adjustRightInd w:val="0"/>
        <w:snapToGrid w:val="0"/>
        <w:ind w:firstLine="560"/>
        <w:rPr>
          <w:rFonts w:ascii="仿宋" w:hAnsi="仿宋"/>
        </w:rPr>
      </w:pPr>
      <w:r>
        <w:rPr>
          <w:rFonts w:hint="eastAsia" w:ascii="仿宋" w:hAnsi="仿宋"/>
        </w:rPr>
        <w:t>立足于民政信息系统运行实际，对上海市民政综合服务系统进行升级改造，新建民服务子系统，打造民政为民服务的统一“掌上”窗口，升级资金内控支撑能力，提升民政工作的信息化服务、管理和业务水平，推进民政工作的数字化转型，促进民政事业高质量发展。</w:t>
      </w:r>
    </w:p>
    <w:p>
      <w:pPr>
        <w:ind w:firstLine="562"/>
        <w:rPr>
          <w:rFonts w:ascii="Times New Roman" w:hAnsi="Times New Roman"/>
          <w:b/>
        </w:rPr>
      </w:pPr>
      <w:r>
        <w:rPr>
          <w:rFonts w:ascii="Times New Roman" w:hAnsi="Times New Roman"/>
          <w:b/>
        </w:rPr>
        <w:t>（一）应用指标</w:t>
      </w:r>
    </w:p>
    <w:p>
      <w:pPr>
        <w:adjustRightInd w:val="0"/>
        <w:snapToGrid w:val="0"/>
        <w:ind w:firstLine="560"/>
        <w:rPr>
          <w:rFonts w:ascii="仿宋" w:hAnsi="仿宋"/>
        </w:rPr>
      </w:pPr>
      <w:r>
        <w:rPr>
          <w:rFonts w:hint="eastAsia" w:ascii="仿宋" w:hAnsi="仿宋"/>
        </w:rPr>
        <w:t>1、民服务子系统</w:t>
      </w:r>
    </w:p>
    <w:p>
      <w:pPr>
        <w:adjustRightInd w:val="0"/>
        <w:snapToGrid w:val="0"/>
        <w:ind w:firstLine="560"/>
        <w:rPr>
          <w:rFonts w:ascii="仿宋" w:hAnsi="仿宋"/>
        </w:rPr>
      </w:pPr>
      <w:r>
        <w:rPr>
          <w:rFonts w:hint="eastAsia" w:ascii="仿宋" w:hAnsi="仿宋"/>
        </w:rPr>
        <w:t>依托市“随申办”APP统一入口，建设面向服务对象的民服务子系统前端应用，包括政策通、民服务、我的民政等3大类服务。后台管理，面向管理端提供政策管理、服务管理、统计查询、用户权限管理等功能，并与民政业务数据海进行对接，实现相关业务数据的共享交互。建设民服务智能问答大模型，提供知识库管理、语义分析管理功能。</w:t>
      </w:r>
    </w:p>
    <w:p>
      <w:pPr>
        <w:adjustRightInd w:val="0"/>
        <w:snapToGrid w:val="0"/>
        <w:ind w:firstLine="560"/>
        <w:rPr>
          <w:rFonts w:ascii="仿宋" w:hAnsi="仿宋"/>
        </w:rPr>
      </w:pPr>
      <w:r>
        <w:rPr>
          <w:rFonts w:hint="eastAsia" w:ascii="仿宋" w:hAnsi="仿宋"/>
        </w:rPr>
        <w:t>2、上海市民政资金内控监管子系统</w:t>
      </w:r>
    </w:p>
    <w:p>
      <w:pPr>
        <w:adjustRightInd w:val="0"/>
        <w:snapToGrid w:val="0"/>
        <w:ind w:firstLine="560"/>
        <w:rPr>
          <w:rFonts w:ascii="仿宋" w:hAnsi="仿宋"/>
        </w:rPr>
      </w:pPr>
      <w:r>
        <w:rPr>
          <w:rFonts w:hint="eastAsia" w:ascii="仿宋" w:hAnsi="仿宋"/>
        </w:rPr>
        <w:t>上海市民政资金内控监管子系统升级改造，完成资金发放过程管理、预算资金管理、区级调整预算管理、预算清算数据管理、资金发放数据交换标准管理共5个模块。</w:t>
      </w:r>
    </w:p>
    <w:p>
      <w:pPr>
        <w:adjustRightInd w:val="0"/>
        <w:snapToGrid w:val="0"/>
        <w:ind w:firstLine="560"/>
        <w:rPr>
          <w:rFonts w:ascii="仿宋" w:hAnsi="仿宋"/>
        </w:rPr>
      </w:pPr>
    </w:p>
    <w:p>
      <w:pPr>
        <w:ind w:firstLine="562"/>
        <w:rPr>
          <w:rFonts w:ascii="Times New Roman" w:hAnsi="Times New Roman"/>
          <w:b/>
        </w:rPr>
      </w:pPr>
      <w:r>
        <w:rPr>
          <w:rFonts w:ascii="Times New Roman" w:hAnsi="Times New Roman"/>
          <w:b/>
        </w:rPr>
        <w:t>（二）技术指标</w:t>
      </w:r>
    </w:p>
    <w:p>
      <w:pPr>
        <w:adjustRightInd w:val="0"/>
        <w:snapToGrid w:val="0"/>
        <w:ind w:firstLine="560"/>
        <w:rPr>
          <w:rFonts w:ascii="Times New Roman" w:hAnsi="Times New Roman"/>
          <w:bCs/>
        </w:rPr>
      </w:pPr>
      <w:r>
        <w:rPr>
          <w:rFonts w:hint="eastAsia" w:ascii="Times New Roman" w:hAnsi="Times New Roman"/>
          <w:bCs/>
        </w:rPr>
        <w:t>1、民服务子系统</w:t>
      </w:r>
    </w:p>
    <w:p>
      <w:pPr>
        <w:adjustRightInd w:val="0"/>
        <w:snapToGrid w:val="0"/>
        <w:ind w:firstLine="560"/>
        <w:rPr>
          <w:rFonts w:ascii="Times New Roman" w:hAnsi="Times New Roman"/>
          <w:bCs/>
        </w:rPr>
      </w:pPr>
      <w:r>
        <w:rPr>
          <w:rFonts w:hint="eastAsia" w:ascii="Times New Roman" w:hAnsi="Times New Roman"/>
          <w:bCs/>
        </w:rPr>
        <w:t>前端总用户量≥5万人，后端用户量≥100人，</w:t>
      </w:r>
      <w:r>
        <w:rPr>
          <w:rFonts w:ascii="Times New Roman" w:hAnsi="Times New Roman"/>
          <w:bCs/>
          <w:color w:val="000000"/>
        </w:rPr>
        <w:t>满足不少于100个并发用户单笔业务处理，</w:t>
      </w:r>
      <w:r>
        <w:rPr>
          <w:rFonts w:ascii="Times New Roman" w:hAnsi="Times New Roman"/>
          <w:bCs/>
        </w:rPr>
        <w:t>90%的响应时间</w:t>
      </w:r>
      <w:bookmarkStart w:id="13" w:name="_Hlk98175374"/>
      <w:r>
        <w:rPr>
          <w:rFonts w:hint="eastAsia" w:cs="宋体"/>
          <w:bCs/>
        </w:rPr>
        <w:t>≦</w:t>
      </w:r>
      <w:r>
        <w:rPr>
          <w:rFonts w:ascii="Times New Roman" w:hAnsi="Times New Roman"/>
          <w:bCs/>
        </w:rPr>
        <w:t>3秒</w:t>
      </w:r>
      <w:bookmarkEnd w:id="13"/>
      <w:r>
        <w:rPr>
          <w:rFonts w:ascii="Times New Roman" w:hAnsi="Times New Roman"/>
          <w:bCs/>
        </w:rPr>
        <w:t>，具有跨平台性，能适配国产化环境，支持UNIX、LINUX和Windows操作系统</w:t>
      </w:r>
      <w:r>
        <w:rPr>
          <w:rFonts w:hint="eastAsia" w:ascii="Times New Roman" w:hAnsi="Times New Roman"/>
          <w:bCs/>
        </w:rPr>
        <w:t>，需通过第三方软件测评、密码测评及安全测评。</w:t>
      </w:r>
    </w:p>
    <w:p>
      <w:pPr>
        <w:adjustRightInd w:val="0"/>
        <w:snapToGrid w:val="0"/>
        <w:ind w:firstLine="560"/>
        <w:rPr>
          <w:rFonts w:ascii="Times New Roman" w:hAnsi="Times New Roman"/>
          <w:bCs/>
        </w:rPr>
      </w:pPr>
      <w:r>
        <w:rPr>
          <w:rFonts w:hint="eastAsia" w:ascii="Times New Roman" w:hAnsi="Times New Roman"/>
          <w:bCs/>
        </w:rPr>
        <w:t>2、上海市民政资金内控监管子系统</w:t>
      </w:r>
    </w:p>
    <w:p>
      <w:pPr>
        <w:adjustRightInd w:val="0"/>
        <w:snapToGrid w:val="0"/>
        <w:ind w:firstLine="560"/>
        <w:rPr>
          <w:rFonts w:ascii="Times New Roman" w:hAnsi="Times New Roman"/>
          <w:bCs/>
        </w:rPr>
      </w:pPr>
      <w:r>
        <w:rPr>
          <w:rFonts w:hint="eastAsia" w:ascii="仿宋" w:hAnsi="仿宋"/>
        </w:rPr>
        <w:t>系统总用户量&gt;2000人员，满足不少于30个并发，90%的响应时间≤5秒，能适配国产化环境，</w:t>
      </w:r>
      <w:r>
        <w:rPr>
          <w:rFonts w:hint="eastAsia" w:ascii="Times New Roman" w:hAnsi="Times New Roman"/>
          <w:bCs/>
        </w:rPr>
        <w:t>需通过第三方软件测评、密码测评及安全测评。</w:t>
      </w:r>
    </w:p>
    <w:p>
      <w:pPr>
        <w:ind w:firstLine="562"/>
        <w:rPr>
          <w:rFonts w:ascii="Times New Roman" w:hAnsi="Times New Roman"/>
          <w:b/>
        </w:rPr>
      </w:pPr>
      <w:r>
        <w:rPr>
          <w:rFonts w:ascii="Times New Roman" w:hAnsi="Times New Roman"/>
          <w:b/>
        </w:rPr>
        <w:t>（三）绩效目标</w:t>
      </w:r>
    </w:p>
    <w:p>
      <w:pPr>
        <w:adjustRightInd w:val="0"/>
        <w:snapToGrid w:val="0"/>
        <w:ind w:firstLine="560"/>
        <w:rPr>
          <w:rFonts w:ascii="仿宋" w:hAnsi="仿宋"/>
          <w:bCs/>
        </w:rPr>
      </w:pPr>
      <w:r>
        <w:rPr>
          <w:rFonts w:hint="eastAsia" w:ascii="仿宋" w:hAnsi="仿宋"/>
          <w:bCs/>
        </w:rPr>
        <w:t>推进系统迭代升级，保证系统如期保质的建设完成。</w:t>
      </w:r>
    </w:p>
    <w:p>
      <w:pPr>
        <w:adjustRightInd w:val="0"/>
        <w:snapToGrid w:val="0"/>
        <w:ind w:firstLine="560"/>
        <w:rPr>
          <w:rFonts w:ascii="仿宋" w:hAnsi="仿宋"/>
          <w:bCs/>
        </w:rPr>
      </w:pPr>
      <w:r>
        <w:rPr>
          <w:rFonts w:hint="eastAsia" w:ascii="仿宋" w:hAnsi="仿宋"/>
          <w:bCs/>
        </w:rPr>
        <w:t>1、持续打造“民服务·真为侬”服务品牌，搭建民政服务领域供需对接线上平台，进一步做好民政政策归集梳理和解读宣传，方便群众查询掌握；推进惠企利民政策和服务精准送达，让市民更加便捷地享受政务服务。</w:t>
      </w:r>
    </w:p>
    <w:p>
      <w:pPr>
        <w:adjustRightInd w:val="0"/>
        <w:snapToGrid w:val="0"/>
        <w:ind w:firstLine="560"/>
        <w:rPr>
          <w:rFonts w:ascii="仿宋" w:hAnsi="仿宋"/>
          <w:bCs/>
        </w:rPr>
      </w:pPr>
      <w:r>
        <w:rPr>
          <w:rFonts w:hint="eastAsia" w:ascii="仿宋" w:hAnsi="仿宋"/>
          <w:bCs/>
        </w:rPr>
        <w:t>2、完善上海民政各业务领域内部之间、上海民政与协同部门和机构业务或系统之间的衔接和校验，规范业务操作，加强内控监督，提高资金管理水平，从而有效防止资金的“跑冒滴漏”。</w:t>
      </w:r>
    </w:p>
    <w:p>
      <w:pPr>
        <w:pStyle w:val="3"/>
      </w:pPr>
      <w:bookmarkStart w:id="14" w:name="_Toc47537166"/>
      <w:bookmarkEnd w:id="14"/>
      <w:bookmarkStart w:id="15" w:name="_Toc47536676"/>
      <w:bookmarkEnd w:id="15"/>
      <w:bookmarkStart w:id="16" w:name="_Toc47533288"/>
      <w:bookmarkEnd w:id="16"/>
      <w:bookmarkStart w:id="17" w:name="_Toc47532923"/>
      <w:bookmarkEnd w:id="17"/>
      <w:bookmarkStart w:id="18" w:name="_Toc47539102"/>
      <w:bookmarkEnd w:id="18"/>
      <w:bookmarkStart w:id="19" w:name="_Toc47536304"/>
      <w:bookmarkEnd w:id="19"/>
      <w:bookmarkStart w:id="20" w:name="_Toc152938298"/>
      <w:r>
        <w:rPr>
          <w:rFonts w:hint="eastAsia"/>
        </w:rPr>
        <w:t>、</w:t>
      </w:r>
      <w:r>
        <w:t>项目建设内容</w:t>
      </w:r>
      <w:bookmarkEnd w:id="20"/>
    </w:p>
    <w:p>
      <w:pPr>
        <w:pStyle w:val="4"/>
        <w:ind w:left="0"/>
      </w:pPr>
      <w:bookmarkStart w:id="21" w:name="_Toc152938300"/>
      <w:r>
        <w:rPr>
          <w:rFonts w:hint="eastAsia"/>
        </w:rPr>
        <w:t>技术路线</w:t>
      </w:r>
      <w:bookmarkEnd w:id="21"/>
    </w:p>
    <w:p>
      <w:pPr>
        <w:adjustRightInd w:val="0"/>
        <w:snapToGrid w:val="0"/>
        <w:ind w:firstLine="560"/>
      </w:pPr>
      <w:r>
        <w:t>遵循</w:t>
      </w:r>
      <w:r>
        <w:rPr>
          <w:rFonts w:hint="eastAsia"/>
        </w:rPr>
        <w:t>上海民政一体化总体规划，主要技术路线如下：</w:t>
      </w:r>
    </w:p>
    <w:p>
      <w:pPr>
        <w:numPr>
          <w:ilvl w:val="0"/>
          <w:numId w:val="5"/>
        </w:numPr>
        <w:adjustRightInd w:val="0"/>
        <w:snapToGrid w:val="0"/>
        <w:ind w:firstLine="560"/>
      </w:pPr>
      <w:r>
        <w:rPr>
          <w:rFonts w:hint="eastAsia"/>
        </w:rPr>
        <w:t>采用微服务架构，以J2EE体系和Spring Boot框架为基础。</w:t>
      </w:r>
    </w:p>
    <w:p>
      <w:pPr>
        <w:numPr>
          <w:ilvl w:val="0"/>
          <w:numId w:val="5"/>
        </w:numPr>
        <w:adjustRightInd w:val="0"/>
        <w:snapToGrid w:val="0"/>
        <w:ind w:firstLine="560"/>
      </w:pPr>
      <w:r>
        <w:rPr>
          <w:rFonts w:hint="eastAsia"/>
        </w:rPr>
        <w:t>充分利用上海民政一体化平台提供的基础支撑能力进行开发。</w:t>
      </w:r>
    </w:p>
    <w:p>
      <w:pPr>
        <w:adjustRightInd w:val="0"/>
        <w:snapToGrid w:val="0"/>
        <w:ind w:firstLine="560"/>
      </w:pPr>
      <w:r>
        <w:rPr>
          <w:rFonts w:hint="eastAsia"/>
        </w:rPr>
        <w:t>（3）采用B/S模式进行实现，B端兼容IE、Chrome、Firefox、Safari等主流浏览器，S端支持Linux、Windows、Unix跨平台部署。</w:t>
      </w:r>
    </w:p>
    <w:p>
      <w:pPr>
        <w:adjustRightInd w:val="0"/>
        <w:snapToGrid w:val="0"/>
        <w:ind w:firstLine="560"/>
      </w:pPr>
      <w:r>
        <w:rPr>
          <w:rFonts w:hint="eastAsia"/>
        </w:rPr>
        <w:t>（4）移动端接入“随申办”，符合“随申办”接入规范。</w:t>
      </w:r>
    </w:p>
    <w:p>
      <w:pPr>
        <w:adjustRightInd w:val="0"/>
        <w:snapToGrid w:val="0"/>
        <w:ind w:firstLine="560"/>
      </w:pPr>
      <w:r>
        <w:rPr>
          <w:rFonts w:hint="eastAsia"/>
        </w:rPr>
        <w:t>（5）将AI人工智能技术应用于民政服务，建设民服务智能问答大模型。</w:t>
      </w:r>
    </w:p>
    <w:p>
      <w:pPr>
        <w:adjustRightInd w:val="0"/>
        <w:snapToGrid w:val="0"/>
        <w:ind w:firstLine="560"/>
      </w:pPr>
      <w:r>
        <w:rPr>
          <w:rFonts w:hint="eastAsia"/>
        </w:rPr>
        <w:t>（6）与外部系统之间的接口，支持根据情况采用Webservice接口技术和Restful接口技术。</w:t>
      </w:r>
    </w:p>
    <w:p>
      <w:pPr>
        <w:adjustRightInd w:val="0"/>
        <w:snapToGrid w:val="0"/>
        <w:ind w:firstLine="560"/>
        <w:rPr>
          <w:highlight w:val="yellow"/>
        </w:rPr>
      </w:pPr>
      <w:r>
        <w:rPr>
          <w:rFonts w:hint="eastAsia"/>
        </w:rPr>
        <w:t>（7）本项目拟部署于市电子政务云，采用云计算及虚拟化技术，充分利用云资源环境。</w:t>
      </w:r>
    </w:p>
    <w:p>
      <w:pPr>
        <w:pStyle w:val="4"/>
      </w:pPr>
      <w:bookmarkStart w:id="22" w:name="_Toc152938301"/>
      <w:r>
        <w:rPr>
          <w:rFonts w:hint="eastAsia"/>
        </w:rPr>
        <w:t>项目建设</w:t>
      </w:r>
      <w:r>
        <w:t>清单</w:t>
      </w:r>
      <w:bookmarkEnd w:id="22"/>
    </w:p>
    <w:p>
      <w:pPr>
        <w:pStyle w:val="5"/>
      </w:pPr>
      <w:r>
        <w:rPr>
          <w:rFonts w:hint="eastAsia"/>
        </w:rPr>
        <w:t>民服务子系统</w:t>
      </w:r>
    </w:p>
    <w:tbl>
      <w:tblPr>
        <w:tblStyle w:val="30"/>
        <w:tblW w:w="8413" w:type="dxa"/>
        <w:jc w:val="center"/>
        <w:tblLayout w:type="fixed"/>
        <w:tblCellMar>
          <w:top w:w="0" w:type="dxa"/>
          <w:left w:w="108" w:type="dxa"/>
          <w:bottom w:w="0" w:type="dxa"/>
          <w:right w:w="108" w:type="dxa"/>
        </w:tblCellMar>
      </w:tblPr>
      <w:tblGrid>
        <w:gridCol w:w="762"/>
        <w:gridCol w:w="2684"/>
        <w:gridCol w:w="4967"/>
      </w:tblGrid>
      <w:tr>
        <w:tblPrEx>
          <w:tblCellMar>
            <w:top w:w="0" w:type="dxa"/>
            <w:left w:w="108" w:type="dxa"/>
            <w:bottom w:w="0" w:type="dxa"/>
            <w:right w:w="108" w:type="dxa"/>
          </w:tblCellMar>
        </w:tblPrEx>
        <w:trPr>
          <w:trHeight w:val="51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b/>
                <w:bCs/>
                <w:sz w:val="21"/>
                <w:szCs w:val="21"/>
              </w:rPr>
            </w:pPr>
            <w:r>
              <w:rPr>
                <w:rFonts w:hint="eastAsia" w:ascii="仿宋" w:hAnsi="仿宋" w:cs="仿宋"/>
                <w:b/>
                <w:bCs/>
                <w:sz w:val="21"/>
                <w:szCs w:val="21"/>
              </w:rPr>
              <w:t>序号</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b/>
                <w:bCs/>
                <w:sz w:val="21"/>
                <w:szCs w:val="21"/>
              </w:rPr>
            </w:pPr>
            <w:r>
              <w:rPr>
                <w:rFonts w:hint="eastAsia" w:ascii="仿宋" w:hAnsi="仿宋" w:cs="仿宋"/>
                <w:b/>
                <w:bCs/>
                <w:sz w:val="21"/>
                <w:szCs w:val="21"/>
              </w:rPr>
              <w:t>功能模块</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b/>
                <w:bCs/>
                <w:sz w:val="21"/>
                <w:szCs w:val="21"/>
              </w:rPr>
            </w:pPr>
            <w:r>
              <w:rPr>
                <w:rFonts w:hint="eastAsia" w:ascii="仿宋" w:hAnsi="仿宋" w:cs="仿宋"/>
                <w:b/>
                <w:bCs/>
                <w:sz w:val="21"/>
                <w:szCs w:val="21"/>
              </w:rPr>
              <w:t>功能描述</w:t>
            </w:r>
          </w:p>
        </w:tc>
      </w:tr>
      <w:tr>
        <w:tblPrEx>
          <w:tblCellMar>
            <w:top w:w="0" w:type="dxa"/>
            <w:left w:w="108" w:type="dxa"/>
            <w:bottom w:w="0" w:type="dxa"/>
            <w:right w:w="108" w:type="dxa"/>
          </w:tblCellMar>
        </w:tblPrEx>
        <w:trPr>
          <w:trHeight w:val="159"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1</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民服务前端应用-政策通-热点资讯</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展示最新或群众热点关注的民政政策及服务，提供图文查看、申请渠道入口或介绍，支持收藏功能。</w:t>
            </w:r>
          </w:p>
        </w:tc>
      </w:tr>
      <w:tr>
        <w:tblPrEx>
          <w:tblCellMar>
            <w:top w:w="0" w:type="dxa"/>
            <w:left w:w="108" w:type="dxa"/>
            <w:bottom w:w="0" w:type="dxa"/>
            <w:right w:w="108" w:type="dxa"/>
          </w:tblCellMar>
        </w:tblPrEx>
        <w:trPr>
          <w:trHeight w:val="218"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2</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民服务前端应用-政策通-政策解读</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根据政策结构化的结果以及业务人员确认的内容，提供民政政策图文解读，支持“政策解读”专栏进入，“政策树”服务转入查看。</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3</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民服务前端应用-民服务-业务服务（救助、养老、残福、儿福4大板块）</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互联网访问用户通过随申办的“民服务”专栏进入后，按照四大民政服务板块，通过关联性图标和文字进入对应服务。</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4</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民服务前端应用-民服务-互动问答引导</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通过业务板块进入后，自动弹出互动问答式引导，通过简要问题选择，完善基本信息和关注内容，包括基本问题和业务关联问题。</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5</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民服务前端应用-民服务-家庭成员维护</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民服务支持添加家庭成员，认证成功后可查看家庭成员相关的民政服务。</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6</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民服务前端应用-民服务-民政“政策树”（4类业务政策树）</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1）政策树“果实”展示：政策树以“果实”的形式代表各项福利政策，通过“树”的形式汇聚展示4个领域的福利政策。</w:t>
            </w:r>
          </w:p>
          <w:p>
            <w:pPr>
              <w:numPr>
                <w:ilvl w:val="0"/>
                <w:numId w:val="6"/>
              </w:numPr>
              <w:spacing w:line="240" w:lineRule="auto"/>
              <w:ind w:firstLine="0" w:firstLineChars="0"/>
              <w:rPr>
                <w:rFonts w:ascii="仿宋" w:hAnsi="仿宋" w:cs="仿宋"/>
                <w:sz w:val="21"/>
                <w:szCs w:val="21"/>
              </w:rPr>
            </w:pPr>
            <w:r>
              <w:rPr>
                <w:rFonts w:hint="eastAsia" w:ascii="仿宋" w:hAnsi="仿宋" w:cs="仿宋"/>
                <w:sz w:val="21"/>
                <w:szCs w:val="21"/>
              </w:rPr>
              <w:t>果实“颜色”关联个人业务状态：系统与民政一体化平台对接，获取最新的民政业务经办和服务现状，果实通过红、黄、绿三种颜色，展示不同的业务状态。</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7</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民服务前端应用-民服务-正在享受的政策查询</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对于“红色果实”即正在享受的政策，可进入查看。系统根据用户业务享受状态最新情况，动态调整红色果实的颜色。</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8</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民服务前端应用-民服务-可能享受的政策测评（四类业务）</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支持四类业务政策树上所有政策的测评，每个政策的测评问题和逻辑判断均不同。</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9</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民服务前端应用-民服务-在线办服务</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首页提供“在线办”专栏，系统对接3端（一网通办的支付宝端、微信端、随申办App端）的线上办件入口。</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10</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民服务前端应用-民服务-意见征集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提供意见征集模块，支持在线留言、提供建议或评价。</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11</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民服务前端应用-个人中心（我的）-我的服务</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查看本人享受的民政服务，包括业务状态和对应的业务经办信息。</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12</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民服务前端应用-个人中心（我的）-我的账本</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记录展示个人民政相关福利待遇的发放明细和数据统计。</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13</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民服务前端应用-个人中心（我的）-我的意见反馈</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我的意见反馈，可查看已提交、已反馈意见信息。</w:t>
            </w:r>
          </w:p>
        </w:tc>
      </w:tr>
      <w:tr>
        <w:tblPrEx>
          <w:tblCellMar>
            <w:top w:w="0" w:type="dxa"/>
            <w:left w:w="108" w:type="dxa"/>
            <w:bottom w:w="0" w:type="dxa"/>
            <w:right w:w="108" w:type="dxa"/>
          </w:tblCellMar>
        </w:tblPrEx>
        <w:trPr>
          <w:trHeight w:val="765"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14</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民服务前端应用-个人中心（我的）-我的收藏</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可查看在热点资讯、政策解读、常见问题中收藏的内容，支持取消收藏。</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15</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民服务前端应用-个人中心（我的）-我的家庭成员</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提供“我的家庭成员”管理，可查看或添加家庭成员。</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16</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民服务前端应用-个人中心（我的）-我的信息</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对个人基本信息进行维护管理。</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17</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民服务前端应用-个人中心（我的）-我的消息</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可查看我的系统通知消息、业务状态消息、认证授权消息。</w:t>
            </w:r>
          </w:p>
        </w:tc>
      </w:tr>
      <w:tr>
        <w:tblPrEx>
          <w:tblCellMar>
            <w:top w:w="0" w:type="dxa"/>
            <w:left w:w="108" w:type="dxa"/>
            <w:bottom w:w="0" w:type="dxa"/>
            <w:right w:w="108" w:type="dxa"/>
          </w:tblCellMar>
        </w:tblPrEx>
        <w:trPr>
          <w:trHeight w:val="10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18</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民服务后端管理-政策管理-热点资讯管理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为业务人员提供热点资讯编辑或导入、发布、下架服务。</w:t>
            </w:r>
          </w:p>
        </w:tc>
      </w:tr>
      <w:tr>
        <w:tblPrEx>
          <w:tblCellMar>
            <w:top w:w="0" w:type="dxa"/>
            <w:left w:w="108" w:type="dxa"/>
            <w:bottom w:w="0" w:type="dxa"/>
            <w:right w:w="108" w:type="dxa"/>
          </w:tblCellMar>
        </w:tblPrEx>
        <w:trPr>
          <w:trHeight w:val="1096"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19</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民服务后端管理-政策管理-政策文件管理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与上海民政业务统一信息管理平台对接，获取政策树上需要展示的政策；并与民政业务数据海对接，获取政策结构化之后的信息。基于获取的政策数据，提供政策文件查询和管理功能。支持对政策增加解读。</w:t>
            </w:r>
          </w:p>
        </w:tc>
      </w:tr>
      <w:tr>
        <w:tblPrEx>
          <w:tblCellMar>
            <w:top w:w="0" w:type="dxa"/>
            <w:left w:w="108" w:type="dxa"/>
            <w:bottom w:w="0" w:type="dxa"/>
            <w:right w:w="108"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20</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民服务后端管理-政策管理-政策发布管理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对结构化之后的政策文件，提供政策发布样式预览、发布、修改和下架等管理功能。</w:t>
            </w:r>
          </w:p>
        </w:tc>
      </w:tr>
      <w:tr>
        <w:tblPrEx>
          <w:tblCellMar>
            <w:top w:w="0" w:type="dxa"/>
            <w:left w:w="108" w:type="dxa"/>
            <w:bottom w:w="0" w:type="dxa"/>
            <w:right w:w="108" w:type="dxa"/>
          </w:tblCellMar>
        </w:tblPrEx>
        <w:trPr>
          <w:trHeight w:val="76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21</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民服务后端管理-政策管理-政策问答管理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提供政策有关常见问题的录入或导入，及维护管理。</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22</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民服务后端管理-政策管理-政策测评管理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业务人员可通过政策测评管理进行测评问题设置和更新管理，支持4类业务不同政策的测评问题设置和计算。</w:t>
            </w:r>
          </w:p>
        </w:tc>
      </w:tr>
      <w:tr>
        <w:tblPrEx>
          <w:tblCellMar>
            <w:top w:w="0" w:type="dxa"/>
            <w:left w:w="108" w:type="dxa"/>
            <w:bottom w:w="0" w:type="dxa"/>
            <w:right w:w="108" w:type="dxa"/>
          </w:tblCellMar>
        </w:tblPrEx>
        <w:trPr>
          <w:trHeight w:val="41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23</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民服务后端管理-服务管理-互动引导问题设置</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对于前端民服务的互动引导问题，提供基本问题和4类业务不同政策关联问题设置和更新维护。</w:t>
            </w:r>
          </w:p>
        </w:tc>
      </w:tr>
      <w:tr>
        <w:tblPrEx>
          <w:tblCellMar>
            <w:top w:w="0" w:type="dxa"/>
            <w:left w:w="108" w:type="dxa"/>
            <w:bottom w:w="0" w:type="dxa"/>
            <w:right w:w="108" w:type="dxa"/>
          </w:tblCellMar>
        </w:tblPrEx>
        <w:trPr>
          <w:trHeight w:val="409"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24</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民服务后端管理-服务管理-人员标签管理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1）系统对接自然人主题库，获取人员基本信息标签;</w:t>
            </w:r>
          </w:p>
          <w:p>
            <w:pPr>
              <w:spacing w:line="240" w:lineRule="auto"/>
              <w:ind w:firstLine="0" w:firstLineChars="0"/>
              <w:rPr>
                <w:rFonts w:ascii="仿宋" w:hAnsi="仿宋" w:cs="仿宋"/>
                <w:sz w:val="21"/>
                <w:szCs w:val="21"/>
              </w:rPr>
            </w:pPr>
            <w:r>
              <w:rPr>
                <w:rFonts w:hint="eastAsia" w:ascii="仿宋" w:hAnsi="仿宋" w:cs="仿宋"/>
                <w:sz w:val="21"/>
                <w:szCs w:val="21"/>
              </w:rPr>
              <w:t>2）系统对接民政业务数据海，获取人员业务属性标签；</w:t>
            </w:r>
          </w:p>
          <w:p>
            <w:pPr>
              <w:spacing w:line="240" w:lineRule="auto"/>
              <w:ind w:firstLine="0" w:firstLineChars="0"/>
              <w:rPr>
                <w:rFonts w:ascii="仿宋" w:hAnsi="仿宋" w:cs="仿宋"/>
                <w:sz w:val="21"/>
                <w:szCs w:val="21"/>
              </w:rPr>
            </w:pPr>
            <w:r>
              <w:rPr>
                <w:rFonts w:hint="eastAsia" w:ascii="仿宋" w:hAnsi="仿宋" w:cs="仿宋"/>
                <w:sz w:val="21"/>
                <w:szCs w:val="21"/>
              </w:rPr>
              <w:t>3）同时结合随申办前端，提供人员标签添加功能，即人员自己选择符合自己身份特征的标签，进行个人标签管理。</w:t>
            </w:r>
          </w:p>
          <w:p>
            <w:pPr>
              <w:spacing w:line="240" w:lineRule="auto"/>
              <w:ind w:firstLine="0" w:firstLineChars="0"/>
              <w:rPr>
                <w:rFonts w:ascii="仿宋" w:hAnsi="仿宋" w:cs="仿宋"/>
                <w:sz w:val="21"/>
                <w:szCs w:val="21"/>
              </w:rPr>
            </w:pPr>
            <w:r>
              <w:rPr>
                <w:rFonts w:hint="eastAsia" w:ascii="仿宋" w:hAnsi="仿宋" w:cs="仿宋"/>
                <w:sz w:val="21"/>
                <w:szCs w:val="21"/>
              </w:rPr>
              <w:t>4）系统基于多来源标签，建立民服务标签管理体系。</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25</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民服务后端管理-服务管理-关联政策推送服务</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系统建立关联政策匹配规则和推送方案，为服务对象推送个性化关联政策。</w:t>
            </w:r>
          </w:p>
        </w:tc>
      </w:tr>
      <w:tr>
        <w:tblPrEx>
          <w:tblCellMar>
            <w:top w:w="0" w:type="dxa"/>
            <w:left w:w="108" w:type="dxa"/>
            <w:bottom w:w="0" w:type="dxa"/>
            <w:right w:w="108" w:type="dxa"/>
          </w:tblCellMar>
        </w:tblPrEx>
        <w:trPr>
          <w:trHeight w:val="568"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26</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民服务后端管理-服务管理-在线意见处理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建立在线意见反馈的后台管理和回复闭环。</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27</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民服务后端管理-服务管理-消息服务管理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系统通过站内信面向用户推送消息，包括系统通知消息、业务状态消息、认证授权消息等。</w:t>
            </w:r>
          </w:p>
        </w:tc>
      </w:tr>
      <w:tr>
        <w:tblPrEx>
          <w:tblCellMar>
            <w:top w:w="0" w:type="dxa"/>
            <w:left w:w="108" w:type="dxa"/>
            <w:bottom w:w="0" w:type="dxa"/>
            <w:right w:w="108" w:type="dxa"/>
          </w:tblCellMar>
        </w:tblPrEx>
        <w:trPr>
          <w:trHeight w:val="56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28</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民服务后端管理-统计查询-服务数据统计</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提供民服务运行过程中有关数据的统计分析。</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29</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民服务后端管理-统计查询-标签分类统计</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提供基于标签的服务对象分类统计功能。</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30</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民服务后端管理-用户权限管理-互联网访问用户权限管理和身份认证</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“民服务”前端应用接入“随申办”，因此与市“随申办”对接，对“民服务”访问用户的身份进行认证。</w:t>
            </w:r>
          </w:p>
        </w:tc>
      </w:tr>
      <w:tr>
        <w:tblPrEx>
          <w:tblCellMar>
            <w:top w:w="0" w:type="dxa"/>
            <w:left w:w="108" w:type="dxa"/>
            <w:bottom w:w="0" w:type="dxa"/>
            <w:right w:w="108" w:type="dxa"/>
          </w:tblCellMar>
        </w:tblPrEx>
        <w:trPr>
          <w:trHeight w:val="1275"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31</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民服务后端管理-用户权限管理-政务网访问用户权限管理和身份认证</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与上海市民政业务统一信息管理平台的用户体系对接，实现从统一平台进行单点登录，进行用户身份认证；后端管理基于统一平台的用户体系对本系统功能菜单的操作权限进行配置。</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32</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民服务后端管理-服务调用-与民政业务数据海对接</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与民政业务数据海对接，获取民政服务对象人员标签和业务办结、资金发放信息。</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33</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民服务智能问答大模型-知识库管理-知识库管理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包括主题知识库管理、内部知识库、综合查询、知识库状态管理。</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34</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民服务智能问答大模型-知识库管理-语义分析管理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仿宋" w:hAnsi="仿宋" w:cs="仿宋"/>
                <w:sz w:val="21"/>
                <w:szCs w:val="21"/>
              </w:rPr>
            </w:pPr>
            <w:r>
              <w:rPr>
                <w:rFonts w:hint="eastAsia" w:ascii="仿宋" w:hAnsi="仿宋" w:cs="仿宋"/>
                <w:sz w:val="21"/>
                <w:szCs w:val="21"/>
              </w:rPr>
              <w:t>包括语义语料库管理、音视频分析管理、文本分割策略管理、文件的QA拆分管理、权限范围管理。</w:t>
            </w:r>
          </w:p>
        </w:tc>
      </w:tr>
    </w:tbl>
    <w:p>
      <w:pPr>
        <w:pStyle w:val="5"/>
      </w:pPr>
      <w:r>
        <w:rPr>
          <w:rFonts w:hint="eastAsia"/>
        </w:rPr>
        <w:t>上海市民政资金内控监管子系统</w:t>
      </w:r>
    </w:p>
    <w:tbl>
      <w:tblPr>
        <w:tblStyle w:val="30"/>
        <w:tblW w:w="8414" w:type="dxa"/>
        <w:jc w:val="center"/>
        <w:tblLayout w:type="fixed"/>
        <w:tblCellMar>
          <w:top w:w="0" w:type="dxa"/>
          <w:left w:w="108" w:type="dxa"/>
          <w:bottom w:w="0" w:type="dxa"/>
          <w:right w:w="108" w:type="dxa"/>
        </w:tblCellMar>
      </w:tblPr>
      <w:tblGrid>
        <w:gridCol w:w="762"/>
        <w:gridCol w:w="2684"/>
        <w:gridCol w:w="4968"/>
      </w:tblGrid>
      <w:tr>
        <w:tblPrEx>
          <w:tblCellMar>
            <w:top w:w="0" w:type="dxa"/>
            <w:left w:w="108" w:type="dxa"/>
            <w:bottom w:w="0" w:type="dxa"/>
            <w:right w:w="108" w:type="dxa"/>
          </w:tblCellMar>
        </w:tblPrEx>
        <w:trPr>
          <w:trHeight w:val="51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序号</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功能名称</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功能描述</w:t>
            </w:r>
          </w:p>
        </w:tc>
      </w:tr>
      <w:tr>
        <w:tblPrEx>
          <w:tblCellMar>
            <w:top w:w="0" w:type="dxa"/>
            <w:left w:w="108" w:type="dxa"/>
            <w:bottom w:w="0" w:type="dxa"/>
            <w:right w:w="108" w:type="dxa"/>
          </w:tblCellMar>
        </w:tblPrEx>
        <w:trPr>
          <w:trHeight w:val="240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1</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资金发放过程管理-一户多卡银行账户变更审核管理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支持单个或批量提交、删除、审核变更单；待审核、已审核状态的单据无法删除；支持一户多卡导入模板管理；支持导入一户多卡申请文件；支持上传情况说明附件，支持将申请情况说明文件下载；支持按管理单位、档案类型、姓名、证件号码、审核状态进行查询。支持将查询结果导出为excel，可作为线下签字流程附件，也可以作为后续对变更记录进行批量抽检核查时使用。</w:t>
            </w:r>
          </w:p>
        </w:tc>
      </w:tr>
      <w:tr>
        <w:tblPrEx>
          <w:tblCellMar>
            <w:top w:w="0" w:type="dxa"/>
            <w:left w:w="108" w:type="dxa"/>
            <w:bottom w:w="0" w:type="dxa"/>
            <w:right w:w="108" w:type="dxa"/>
          </w:tblCellMar>
        </w:tblPrEx>
        <w:trPr>
          <w:trHeight w:val="1018"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2</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资金发放过程管理-一户多卡银行账户新增审核管理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补贴资金发放过程中，补贴发放对象存在一户多卡的情况，由业务人员发起一户多卡账户新增申请，提交后进行后续审核、审批流程。</w:t>
            </w:r>
          </w:p>
        </w:tc>
      </w:tr>
      <w:tr>
        <w:tblPrEx>
          <w:tblCellMar>
            <w:top w:w="0" w:type="dxa"/>
            <w:left w:w="108" w:type="dxa"/>
            <w:bottom w:w="0" w:type="dxa"/>
            <w:right w:w="108" w:type="dxa"/>
          </w:tblCellMar>
        </w:tblPrEx>
        <w:trPr>
          <w:trHeight w:val="48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3</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资金发放过程管理-机构账户统一信用代码管理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机构资金发放时，需要机构账户的统一信用代码作为唯一标识。通过系统进行统一维护，支持机构统一信用代码的新增、修改、删除、查询</w:t>
            </w:r>
          </w:p>
        </w:tc>
      </w:tr>
      <w:tr>
        <w:tblPrEx>
          <w:tblCellMar>
            <w:top w:w="0" w:type="dxa"/>
            <w:left w:w="108" w:type="dxa"/>
            <w:bottom w:w="0" w:type="dxa"/>
            <w:right w:w="108" w:type="dxa"/>
          </w:tblCellMar>
        </w:tblPrEx>
        <w:trPr>
          <w:trHeight w:val="762"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4</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资金发放过程管理-财政代发数据监管</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根据财政平台批量代发文件格式，系统支持生成对应代发文件，并导出excel。包含1）代发文件生成。2）代发数据校验。3）财政平台转账统计。</w:t>
            </w:r>
          </w:p>
        </w:tc>
      </w:tr>
      <w:tr>
        <w:tblPrEx>
          <w:tblCellMar>
            <w:top w:w="0" w:type="dxa"/>
            <w:left w:w="108" w:type="dxa"/>
            <w:bottom w:w="0" w:type="dxa"/>
            <w:right w:w="108" w:type="dxa"/>
          </w:tblCellMar>
        </w:tblPrEx>
        <w:trPr>
          <w:trHeight w:val="192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5</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资金发放过程管理-线下发放成功确认管理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因发放账户限制、现金发放等特殊原因无法通过系统线上完成发放的，由工作人员在系统中完成实发编制审核，线下实际完成发放动作后，再通过系统进行发放成功确认操作。包含1）线下发放成功确认单新增。2)线下发放成功确认审核、取消审核。3）实发单据和对象查询、线下发放记录确认单据查询、发放账户明细查询。4）线下发放确认单、发放账户明细列表保存列宽 。</w:t>
            </w:r>
          </w:p>
        </w:tc>
      </w:tr>
      <w:tr>
        <w:tblPrEx>
          <w:tblCellMar>
            <w:top w:w="0" w:type="dxa"/>
            <w:left w:w="108" w:type="dxa"/>
            <w:bottom w:w="0" w:type="dxa"/>
            <w:right w:w="108" w:type="dxa"/>
          </w:tblCellMar>
        </w:tblPrEx>
        <w:trPr>
          <w:trHeight w:val="1745"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6</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资金发放过程管理-取消发放管理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过程中，因特殊原因需要取消发放的，由工作人员发起取消发放流程，提交取消发放申请。支持从之前生成的实发单中选择取消发放对象。支持单个或批量提交、删除单据；支持单个或批量审核单据；待审核、已审核状态的单据无法删除；支持按管理单位、财务账期、实发单据、资金科目、审核状态进行查询。支持将查询结果导出为excel。</w:t>
            </w:r>
          </w:p>
        </w:tc>
      </w:tr>
      <w:tr>
        <w:tblPrEx>
          <w:tblCellMar>
            <w:top w:w="0" w:type="dxa"/>
            <w:left w:w="108" w:type="dxa"/>
            <w:bottom w:w="0" w:type="dxa"/>
            <w:right w:w="108" w:type="dxa"/>
          </w:tblCellMar>
        </w:tblPrEx>
        <w:trPr>
          <w:trHeight w:val="188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7</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资金发放过程管理-发放失败补发管理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对于发放失败的对象，经工作人员核实修正信息后，需要继续发放的，由工作人员发起失败补发流程。包含1）发放失败补发申请。2）发放失败补发审核（单个、批量）。3）发放失败补发记录查询、发放账户明细查询、发放对象明细查询。4）发放失败补发申请删除、修改。</w:t>
            </w:r>
          </w:p>
        </w:tc>
      </w:tr>
      <w:tr>
        <w:tblPrEx>
          <w:tblCellMar>
            <w:top w:w="0" w:type="dxa"/>
            <w:left w:w="108" w:type="dxa"/>
            <w:bottom w:w="0" w:type="dxa"/>
            <w:right w:w="108" w:type="dxa"/>
          </w:tblCellMar>
        </w:tblPrEx>
        <w:trPr>
          <w:trHeight w:val="1759"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8</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资金发放过程管理-对公账户转账明细管理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个人补贴资金通过对公账户发放的，属于相对特殊的情况，需要进行单独查看和管理。支持按管理单位、财务账期、资金项目、发放状态等查询对公账户转账记录进行汇总统计。对公转账明细记录查询。支持按管理单位、财务账期、资金项目、证件号码、姓名等查询对公账户转账明细记录。</w:t>
            </w:r>
          </w:p>
        </w:tc>
      </w:tr>
      <w:tr>
        <w:tblPrEx>
          <w:tblCellMar>
            <w:top w:w="0" w:type="dxa"/>
            <w:left w:w="108" w:type="dxa"/>
            <w:bottom w:w="0" w:type="dxa"/>
            <w:right w:w="108" w:type="dxa"/>
          </w:tblCellMar>
        </w:tblPrEx>
        <w:trPr>
          <w:trHeight w:val="72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9</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预算资金管理-预算项目模板管理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提供项目模板定义功能，支持对民政转移支付项目的清算周期、归口部门、项目概况、项目单位概况、项目实施方案、预算主要内容及资金测算依据、相关文件及佐证材料等内容进行定义，后续可调用模板编辑项目。支持模板的新增、修改、删除、查询操作。</w:t>
            </w:r>
          </w:p>
        </w:tc>
      </w:tr>
      <w:tr>
        <w:tblPrEx>
          <w:tblCellMar>
            <w:top w:w="0" w:type="dxa"/>
            <w:left w:w="108" w:type="dxa"/>
            <w:bottom w:w="0" w:type="dxa"/>
            <w:right w:w="108" w:type="dxa"/>
          </w:tblCellMar>
        </w:tblPrEx>
        <w:trPr>
          <w:trHeight w:val="48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10</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预算资金管理-预算项目周期及清算周期管理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不同项目涉及不同的项目周期和清算周期，需要根据周期的不同对项目是否可以继续开展，对项目涉及的资金是否需要清算进行限制，同时系统根据选定的周期进行判断。支持查看和修改。</w:t>
            </w:r>
          </w:p>
        </w:tc>
      </w:tr>
      <w:tr>
        <w:tblPrEx>
          <w:tblCellMar>
            <w:top w:w="0" w:type="dxa"/>
            <w:left w:w="108" w:type="dxa"/>
            <w:bottom w:w="0" w:type="dxa"/>
            <w:right w:w="108" w:type="dxa"/>
          </w:tblCellMar>
        </w:tblPrEx>
        <w:trPr>
          <w:trHeight w:val="969"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11</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预算资金管理-项目清算额度管理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根据各项目的清算周期、预算金额、支出金额等规则，系统计算出项目清算额度的数字，用户可与手工账清算额度进行比对，对系统清算额度进行调整。</w:t>
            </w:r>
          </w:p>
        </w:tc>
      </w:tr>
      <w:tr>
        <w:tblPrEx>
          <w:tblCellMar>
            <w:top w:w="0" w:type="dxa"/>
            <w:left w:w="108" w:type="dxa"/>
            <w:bottom w:w="0" w:type="dxa"/>
            <w:right w:w="108" w:type="dxa"/>
          </w:tblCellMar>
        </w:tblPrEx>
        <w:trPr>
          <w:trHeight w:val="271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12</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预算资金管理-预算填报审核管理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实现年度预算填报阶段，市财务-市业务-区业务-市业务-市财务之间的模板下发、预算填报、预算调整、预算告知数下发等环节的过程管理，包含市财务人员项目设定、市业务人员项目模板设定、市业务项目模板下发、区级预算填报提交、市区两级业务预算汇总计算、市级业务预算调整、市级财务汇总预算审核、市级财务汇总计算、项目预算单项或批量调整、预告知数下发等场景。</w:t>
            </w:r>
          </w:p>
        </w:tc>
      </w:tr>
      <w:tr>
        <w:tblPrEx>
          <w:tblCellMar>
            <w:top w:w="0" w:type="dxa"/>
            <w:left w:w="108" w:type="dxa"/>
            <w:bottom w:w="0" w:type="dxa"/>
            <w:right w:w="108" w:type="dxa"/>
          </w:tblCellMar>
        </w:tblPrEx>
        <w:trPr>
          <w:trHeight w:val="168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13</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区级调整预算管理-区级项目结余资金管理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按照社会救助、儿童、养老、残疾人两补业务条线权限划分，业务人员对所属范围内的项目结余资金进行录入，支持根据项目周期、状态等选择项目，可查看项目预算金额、支出金额、细化金额等数据。可提供结余资金说明附件材料。提交后，按照社会救助、儿童、养老、残疾人两补业务条线权限划分，按流程对进行审核、审批。</w:t>
            </w:r>
          </w:p>
        </w:tc>
      </w:tr>
      <w:tr>
        <w:tblPrEx>
          <w:tblCellMar>
            <w:top w:w="0" w:type="dxa"/>
            <w:left w:w="108" w:type="dxa"/>
            <w:bottom w:w="0" w:type="dxa"/>
            <w:right w:w="108" w:type="dxa"/>
          </w:tblCellMar>
        </w:tblPrEx>
        <w:trPr>
          <w:trHeight w:val="72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14</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区级调整预算管理-年度项目预算变更管理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区业务根据项目当年的资金实际和计划使用情况，进行项目预算资金调增、调减的申请，调整提交后由市业务进行审核。支持在预算变更申请时，上传说明材料附件。提交后，市业务人员对变更申请进行审核，通过或不通过操作。</w:t>
            </w:r>
          </w:p>
        </w:tc>
      </w:tr>
      <w:tr>
        <w:tblPrEx>
          <w:tblCellMar>
            <w:top w:w="0" w:type="dxa"/>
            <w:left w:w="108" w:type="dxa"/>
            <w:bottom w:w="0" w:type="dxa"/>
            <w:right w:w="108" w:type="dxa"/>
          </w:tblCellMar>
        </w:tblPrEx>
        <w:trPr>
          <w:trHeight w:val="96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15</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区级调整预算管理-项目资金上缴管理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对于涉及项目资金上缴的情况，各区根据情况在系统中进行上缴金额登记，提交后进行复核流程。项目资金上缴申请记录查看 ，包含项目信息、上缴金额信息、上缴附件凭证信息等。项目资金上缴凭证附件上传。提交后，主管部门对项目资金上缴申请单据进行审核，支持审核通过或不通过操作。</w:t>
            </w:r>
          </w:p>
        </w:tc>
      </w:tr>
      <w:tr>
        <w:tblPrEx>
          <w:tblCellMar>
            <w:top w:w="0" w:type="dxa"/>
            <w:left w:w="108" w:type="dxa"/>
            <w:bottom w:w="0" w:type="dxa"/>
            <w:right w:w="108" w:type="dxa"/>
          </w:tblCellMar>
        </w:tblPrEx>
        <w:trPr>
          <w:trHeight w:val="168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16</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区级调整预算管理-额度管理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对项目使用过程中，超出原定预算范围，需要优先调整额度，年底财力结算的项目进行管理，超出原预算的额度，由区级自行承担。申请额度后预计不再需要支出，对额度进行归还。项目额度查询、额度调整记录查询。根据登录账户权限，查看管辖范围内的项目额度和调整记录情况。</w:t>
            </w:r>
          </w:p>
        </w:tc>
      </w:tr>
      <w:tr>
        <w:tblPrEx>
          <w:tblCellMar>
            <w:top w:w="0" w:type="dxa"/>
            <w:left w:w="108" w:type="dxa"/>
            <w:bottom w:w="0" w:type="dxa"/>
            <w:right w:w="108" w:type="dxa"/>
          </w:tblCellMar>
        </w:tblPrEx>
        <w:trPr>
          <w:trHeight w:val="1107"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17</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区级调整预算管理-项目分配资金细化管理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为更好的管理市级资金下达各发放单位的使用，根据业务的管理要求，区业务人员将下达的总项目额度进一步进行项目拆分和分配，并明确项目细化的使用范围。</w:t>
            </w:r>
          </w:p>
        </w:tc>
      </w:tr>
      <w:tr>
        <w:tblPrEx>
          <w:tblCellMar>
            <w:top w:w="0" w:type="dxa"/>
            <w:left w:w="108" w:type="dxa"/>
            <w:bottom w:w="0" w:type="dxa"/>
            <w:right w:w="108" w:type="dxa"/>
          </w:tblCellMar>
        </w:tblPrEx>
        <w:trPr>
          <w:trHeight w:val="144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18</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区级调整预算管理-项目预算资金细化调整管理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在资金使用过程中，根据不同的需求，将细化管理的下达资金项目进行调整，关联调整后的项目细化范围。区业务可以根据不同的业务场景灵活进行过程调整。由于项目资金的分配情况，影响后续该项目资金的支出和项目清算金额，所以对细化金额的调整进行管控。</w:t>
            </w:r>
          </w:p>
        </w:tc>
      </w:tr>
      <w:tr>
        <w:tblPrEx>
          <w:tblCellMar>
            <w:top w:w="0" w:type="dxa"/>
            <w:left w:w="108" w:type="dxa"/>
            <w:bottom w:w="0" w:type="dxa"/>
            <w:right w:w="108" w:type="dxa"/>
          </w:tblCellMar>
        </w:tblPrEx>
        <w:trPr>
          <w:trHeight w:val="144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19</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预算清算数据管理-市与区财力结算下达资金数据管理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对市级各项目财力结算下达金额，以及各区各项目财力结算下达情况进行汇总数据管理，用于各级对本级部门数据进行查询、核验，同时为来年预算申报时的各项目、资金分配提供依据。</w:t>
            </w:r>
          </w:p>
        </w:tc>
      </w:tr>
      <w:tr>
        <w:tblPrEx>
          <w:tblCellMar>
            <w:top w:w="0" w:type="dxa"/>
            <w:left w:w="108" w:type="dxa"/>
            <w:bottom w:w="0" w:type="dxa"/>
            <w:right w:w="108" w:type="dxa"/>
          </w:tblCellMar>
        </w:tblPrEx>
        <w:trPr>
          <w:trHeight w:val="144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20</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预算清算数据管理-项目年初预算统计数据管理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对市级各项目年初预算金额，以及各区各项目年初预算情况进行汇总数据管理，用于各级对本级部门数据进行查询、核验，同时为来年预算申报时的各项目、资金分配提供依据。</w:t>
            </w:r>
          </w:p>
        </w:tc>
      </w:tr>
      <w:tr>
        <w:tblPrEx>
          <w:tblCellMar>
            <w:top w:w="0" w:type="dxa"/>
            <w:left w:w="108" w:type="dxa"/>
            <w:bottom w:w="0" w:type="dxa"/>
            <w:right w:w="108" w:type="dxa"/>
          </w:tblCellMar>
        </w:tblPrEx>
        <w:trPr>
          <w:trHeight w:val="96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21</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预算清算数据管理-调整后预分配情况数据管理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对市级、各区各项目调整后预分配金额进行管理。项目调整后预分配统计。系统对项目调整后预分配金额进行汇总。</w:t>
            </w:r>
          </w:p>
        </w:tc>
      </w:tr>
      <w:tr>
        <w:tblPrEx>
          <w:tblCellMar>
            <w:top w:w="0" w:type="dxa"/>
            <w:left w:w="108" w:type="dxa"/>
            <w:bottom w:w="0" w:type="dxa"/>
            <w:right w:w="108" w:type="dxa"/>
          </w:tblCellMar>
        </w:tblPrEx>
        <w:trPr>
          <w:trHeight w:val="144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22</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预算清算数据管理-预分配余额数据管理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对市级各项目预分配余额，以及各区各项目预分配余额情况进行汇总数据管理，用于各级对本级部门数据进行查询、核验，同时为来年预算申报时的各项目、资金分配提供依据。</w:t>
            </w:r>
          </w:p>
        </w:tc>
      </w:tr>
      <w:tr>
        <w:tblPrEx>
          <w:tblCellMar>
            <w:top w:w="0" w:type="dxa"/>
            <w:left w:w="108" w:type="dxa"/>
            <w:bottom w:w="0" w:type="dxa"/>
            <w:right w:w="108" w:type="dxa"/>
          </w:tblCellMar>
        </w:tblPrEx>
        <w:trPr>
          <w:trHeight w:val="168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23</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预算清算数据管理-项目分配资金细化支出数据管理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分析业务管理项目要求，细化项目使用内容，根据细化项目的支出情况，分析项目细化的源头项目信息，及涉及的细化的支出管理情况。支持按资金来源、项目切换统计形式，支持元、万元切换显示数据。支持按项目导出、按资金来源导出。</w:t>
            </w:r>
          </w:p>
        </w:tc>
      </w:tr>
      <w:tr>
        <w:tblPrEx>
          <w:tblCellMar>
            <w:top w:w="0" w:type="dxa"/>
            <w:left w:w="108" w:type="dxa"/>
            <w:bottom w:w="0" w:type="dxa"/>
            <w:right w:w="108" w:type="dxa"/>
          </w:tblCellMar>
        </w:tblPrEx>
        <w:trPr>
          <w:trHeight w:val="144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24</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预算清算数据管理-各区项目分配细化未支出资金数据管理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对各区各项目细化资金的未使用情况，进行汇总数据管理，用于各级对本级部门数据进行查询、核验，同时为来年预算申报时的各项目、资金分配提供依据。</w:t>
            </w:r>
          </w:p>
        </w:tc>
      </w:tr>
      <w:tr>
        <w:tblPrEx>
          <w:tblCellMar>
            <w:top w:w="0" w:type="dxa"/>
            <w:left w:w="108" w:type="dxa"/>
            <w:bottom w:w="0" w:type="dxa"/>
            <w:right w:w="108" w:type="dxa"/>
          </w:tblCellMar>
        </w:tblPrEx>
        <w:trPr>
          <w:trHeight w:val="144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25</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预算清算数据管理-各区项目清算数据管理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对各区各项目第一次清算、第二次清算情况，进行汇总数据管理，用于各级对本级部门数据进行查询、核验，同时为来年预算申报时的各项目、资金分配提供依据。</w:t>
            </w:r>
          </w:p>
        </w:tc>
      </w:tr>
      <w:tr>
        <w:tblPrEx>
          <w:tblCellMar>
            <w:top w:w="0" w:type="dxa"/>
            <w:left w:w="108" w:type="dxa"/>
            <w:bottom w:w="0" w:type="dxa"/>
            <w:right w:w="108" w:type="dxa"/>
          </w:tblCellMar>
        </w:tblPrEx>
        <w:trPr>
          <w:trHeight w:val="9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26</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预算清算数据管理-项目综合统计</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对项目的应下达金额、年初预算金额、到账金额、调整后预算金额、支出金额、调整后预算余额、清算金额等进行汇总分析。支持按单位、部门、项目年度、项目状态、项目名称、资金来源等进行查询。支持按项目、资金来源方式切换统计方式。支持按照不同统计方式导出excel。</w:t>
            </w:r>
          </w:p>
        </w:tc>
      </w:tr>
      <w:tr>
        <w:tblPrEx>
          <w:tblCellMar>
            <w:top w:w="0" w:type="dxa"/>
            <w:left w:w="108" w:type="dxa"/>
            <w:bottom w:w="0" w:type="dxa"/>
            <w:right w:w="108" w:type="dxa"/>
          </w:tblCellMar>
        </w:tblPrEx>
        <w:trPr>
          <w:trHeight w:val="288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27</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资金发放数据交换标准管理-账户稽核名单系统对接交换标准管理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lang w:bidi="ar"/>
              </w:rPr>
            </w:pPr>
            <w:r>
              <w:rPr>
                <w:rFonts w:hint="eastAsia" w:ascii="仿宋" w:hAnsi="仿宋" w:cs="仿宋"/>
                <w:sz w:val="21"/>
                <w:szCs w:val="21"/>
                <w:lang w:bidi="ar"/>
              </w:rPr>
              <w:t>业务系统推送已建档且需要稽核银行信息的对象明细（机构信息不校验），由本系统进行稽核。系统需根据各区签约银行判定推送数据中是否有未签约银行，若有未签约银行则在稽核异常接口返回失败原因本区未签约该银行。该区签约银行范围内其余比对账户稽核状态未稽核的定时报盘银行稽核。对与业务系统交换账户稽核名单的的标准和格式进行管理，以便数据交换时按照标准进行转换和清洗，保证交换数据符合各自要求。</w:t>
            </w:r>
          </w:p>
          <w:p>
            <w:pPr>
              <w:spacing w:line="240" w:lineRule="auto"/>
              <w:ind w:firstLine="0" w:firstLineChars="0"/>
              <w:jc w:val="left"/>
              <w:rPr>
                <w:rFonts w:ascii="仿宋" w:hAnsi="仿宋" w:cs="仿宋"/>
                <w:sz w:val="21"/>
                <w:szCs w:val="21"/>
                <w:lang w:bidi="ar"/>
              </w:rPr>
            </w:pPr>
            <w:r>
              <w:rPr>
                <w:rFonts w:hint="eastAsia" w:ascii="仿宋" w:hAnsi="仿宋" w:cs="仿宋"/>
                <w:sz w:val="21"/>
                <w:szCs w:val="21"/>
                <w:lang w:bidi="ar"/>
              </w:rPr>
              <w:t>1）账户稽核名单交换标准查看、启用/关闭功能。用于查看账户稽核名单交换标准。对账户稽核名单交换标准启用、关闭。需要支持社救、残疾人两补、儿童、养老等不同业务或资金科目进行单独设置</w:t>
            </w:r>
          </w:p>
          <w:p>
            <w:pPr>
              <w:spacing w:line="240" w:lineRule="auto"/>
              <w:ind w:firstLine="0" w:firstLineChars="0"/>
              <w:jc w:val="left"/>
              <w:rPr>
                <w:rFonts w:ascii="仿宋" w:hAnsi="仿宋" w:cs="仿宋"/>
                <w:sz w:val="21"/>
                <w:szCs w:val="21"/>
                <w:lang w:bidi="ar"/>
              </w:rPr>
            </w:pPr>
            <w:r>
              <w:rPr>
                <w:rFonts w:hint="eastAsia" w:ascii="仿宋" w:hAnsi="仿宋" w:cs="仿宋"/>
                <w:sz w:val="21"/>
                <w:szCs w:val="21"/>
                <w:lang w:bidi="ar"/>
              </w:rPr>
              <w:t>2）账户稽核名单交换标准新增、修改、删除功能。对账户稽核名单交换标准进行修改、删除。</w:t>
            </w:r>
          </w:p>
          <w:p>
            <w:pPr>
              <w:spacing w:line="240" w:lineRule="auto"/>
              <w:ind w:firstLine="0" w:firstLineChars="0"/>
              <w:jc w:val="left"/>
              <w:rPr>
                <w:rFonts w:ascii="仿宋" w:hAnsi="仿宋" w:cs="仿宋"/>
                <w:sz w:val="21"/>
                <w:szCs w:val="21"/>
                <w:lang w:bidi="ar"/>
              </w:rPr>
            </w:pPr>
            <w:r>
              <w:rPr>
                <w:rFonts w:hint="eastAsia" w:ascii="仿宋" w:hAnsi="仿宋" w:cs="仿宋"/>
                <w:sz w:val="21"/>
                <w:szCs w:val="21"/>
                <w:lang w:bidi="ar"/>
              </w:rPr>
              <w:t>3）账户稽核名单交换标准字段定义。提供可视化界面，让用户可以定义数据字段的名称、数据类型、长度、是否必填等属性。</w:t>
            </w:r>
          </w:p>
          <w:p>
            <w:pPr>
              <w:spacing w:line="240" w:lineRule="auto"/>
              <w:ind w:firstLine="0" w:firstLineChars="0"/>
              <w:jc w:val="left"/>
              <w:rPr>
                <w:rFonts w:ascii="仿宋" w:hAnsi="仿宋" w:cs="仿宋"/>
                <w:sz w:val="21"/>
                <w:szCs w:val="21"/>
                <w:lang w:bidi="ar"/>
              </w:rPr>
            </w:pPr>
            <w:r>
              <w:rPr>
                <w:rFonts w:hint="eastAsia" w:ascii="仿宋" w:hAnsi="仿宋" w:cs="仿宋"/>
                <w:sz w:val="21"/>
                <w:szCs w:val="21"/>
                <w:lang w:bidi="ar"/>
              </w:rPr>
              <w:t>4）账户稽核名单交换标准字段映射。支持源系统字段与目标系统字段的映射配置，通过拖拽或选择方式建立映射关系。</w:t>
            </w:r>
          </w:p>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5）账户稽核名单交换标准字段验证规则。允许用户为字段设置验证规则，如格式验证、长度验证等，确保数据质量。</w:t>
            </w:r>
          </w:p>
        </w:tc>
      </w:tr>
      <w:tr>
        <w:tblPrEx>
          <w:tblCellMar>
            <w:top w:w="0" w:type="dxa"/>
            <w:left w:w="108" w:type="dxa"/>
            <w:bottom w:w="0" w:type="dxa"/>
            <w:right w:w="108" w:type="dxa"/>
          </w:tblCellMar>
        </w:tblPrEx>
        <w:trPr>
          <w:trHeight w:val="144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28</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资金发放数据交换标准管理-账户稽核名单导入标准管理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lang w:bidi="ar"/>
              </w:rPr>
            </w:pPr>
            <w:r>
              <w:rPr>
                <w:rFonts w:hint="eastAsia" w:ascii="仿宋" w:hAnsi="仿宋" w:cs="仿宋"/>
                <w:sz w:val="21"/>
                <w:szCs w:val="21"/>
                <w:lang w:bidi="ar"/>
              </w:rPr>
              <w:t>由于个人、机构所需字段不同，分别对手工导入的个人、机构账户稽核名单的标准和格式进行管理，以便数据交换时按照标准进行转换和清洗，保证交换数据符合各自要求。</w:t>
            </w:r>
          </w:p>
          <w:p>
            <w:pPr>
              <w:spacing w:line="240" w:lineRule="auto"/>
              <w:ind w:firstLine="0" w:firstLineChars="0"/>
              <w:jc w:val="left"/>
              <w:rPr>
                <w:rFonts w:ascii="仿宋" w:hAnsi="仿宋" w:cs="仿宋"/>
                <w:sz w:val="21"/>
                <w:szCs w:val="21"/>
                <w:lang w:bidi="ar"/>
              </w:rPr>
            </w:pPr>
            <w:r>
              <w:rPr>
                <w:rFonts w:hint="eastAsia" w:ascii="仿宋" w:hAnsi="仿宋" w:cs="仿宋"/>
                <w:sz w:val="21"/>
                <w:szCs w:val="21"/>
                <w:lang w:bidi="ar"/>
              </w:rPr>
              <w:t>1）个人账户稽核名单交换标准查看新增、修改、删除、启用/关闭。需要支持社救、残疾人两补、儿童、养老等不同业务或资金科目进行单独设置。</w:t>
            </w:r>
          </w:p>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2）机构账户稽核名单交换标准查看新增、修改、删除、启用/关闭。需要支持社救、残疾人两补、儿童、养老等不同业务或资金科目进行单独设置。</w:t>
            </w:r>
          </w:p>
        </w:tc>
      </w:tr>
      <w:tr>
        <w:tblPrEx>
          <w:tblCellMar>
            <w:top w:w="0" w:type="dxa"/>
            <w:left w:w="108" w:type="dxa"/>
            <w:bottom w:w="0" w:type="dxa"/>
            <w:right w:w="108" w:type="dxa"/>
          </w:tblCellMar>
        </w:tblPrEx>
        <w:trPr>
          <w:trHeight w:val="360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29</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资金发放数据交换标准管理-资金发放名册系统对接交换标准管理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对业务系统每月推送资金发放数据标准进行管理。对与业务系统交换资金发放名册的的标准和格式进行管理，以便数据交换时按照标准进行转换和清洗，保证交换数据符合各自要求。名册接收时，不做拆分处理。同步完成后，生成正常、补发的名单和失败重发的名单。失败重发名单，业务确认失败重发名单后，实发单内发放状态改为“待发放”，可以进行重发。重发数据确认重发时，通过资金ID找到上次发放数据，判断与上次发放数据的差异，单独标识发放方式变更（“个人转机构”“机构转个人”）或“变更银行类型”单独标记展示调整情况，并生成变更日志。接收有重发标志的数据时，判断原始资金id，只接收发放状态为发放失败的数据，其他状态“发放成功、不予发放”推送报文通知业务系统接收失败。</w:t>
            </w:r>
          </w:p>
        </w:tc>
      </w:tr>
      <w:tr>
        <w:tblPrEx>
          <w:tblCellMar>
            <w:top w:w="0" w:type="dxa"/>
            <w:left w:w="108" w:type="dxa"/>
            <w:bottom w:w="0" w:type="dxa"/>
            <w:right w:w="108" w:type="dxa"/>
          </w:tblCellMar>
        </w:tblPrEx>
        <w:trPr>
          <w:trHeight w:val="144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30</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资金发放数据交换标准管理-资金发放名册导入标准管理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由于个人、机构所需字段不同，分别对与手工导入的个人、机构资金发放名册的标准和格式进行管理，以便数据交换时按照标准进行转换和清洗，保证交换数据符合各自要求</w:t>
            </w:r>
          </w:p>
        </w:tc>
      </w:tr>
      <w:tr>
        <w:tblPrEx>
          <w:tblCellMar>
            <w:top w:w="0" w:type="dxa"/>
            <w:left w:w="108" w:type="dxa"/>
            <w:bottom w:w="0" w:type="dxa"/>
            <w:right w:w="108" w:type="dxa"/>
          </w:tblCellMar>
        </w:tblPrEx>
        <w:trPr>
          <w:trHeight w:val="264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31</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资金发放数据交换标准管理-取消实发资金交换标准管理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取消发放资格，由业务系统推送给本系统，本系统取消发放资金。根据推送资金信息每条发放资金id，推送信息。发放过程中（生成支付单后），不接收，反馈推送失败结果。只有待发放与发放失败接收取消发放数据，其他状态反馈业务系统推送失败。对与业务系统交换取消实发资金名单的的字段名称、字段格式、是否必填等标准和格式进行管理，以便数据交换时按照标准进行转换和清洗，保证交换数据符合各自要求。</w:t>
            </w:r>
          </w:p>
        </w:tc>
      </w:tr>
      <w:tr>
        <w:tblPrEx>
          <w:tblCellMar>
            <w:top w:w="0" w:type="dxa"/>
            <w:left w:w="108" w:type="dxa"/>
            <w:bottom w:w="0" w:type="dxa"/>
            <w:right w:w="108" w:type="dxa"/>
          </w:tblCellMar>
        </w:tblPrEx>
        <w:trPr>
          <w:trHeight w:val="288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32</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资金发放数据交换标准管理-退款实发资金交换标准管理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业务系统发生退款资金情况，由业务系统送到本系统，由本系统进行同步录入。记录退款信息，区划信息，实发单信息，批次信息，退款对象退款相关字段记录。仅状态为发放成功的对象使用，发放过程中（生成支付单后），不接收，会推送失败。对与业务系统交换退款实发资金名单的标准和格式进行管理，以便数据交换时按照标准进行转换和清洗，保证交换数据符合各自要求。支持对社救、儿童、残疾人两补、殡葬等业务的标准进行新增、修改、删除、查询。</w:t>
            </w:r>
          </w:p>
        </w:tc>
      </w:tr>
      <w:tr>
        <w:tblPrEx>
          <w:tblCellMar>
            <w:top w:w="0" w:type="dxa"/>
            <w:left w:w="108" w:type="dxa"/>
            <w:bottom w:w="0" w:type="dxa"/>
            <w:right w:w="108" w:type="dxa"/>
          </w:tblCellMar>
        </w:tblPrEx>
        <w:trPr>
          <w:trHeight w:val="264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33</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资金发放数据交换标准管理-发放结果交换标准管理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本系统在实发之后，向业务系统推送本月实发明细的发放结果，根据资金名册批次推送，可能发放结果会进行调整，会多次推送。对与业务系统交换发放结果明细的标准和格式进行管理，以便数据交换时按照标准进行转换和清洗，保证交换数据符合各自要求。支持对社救、儿童、残疾人两补、殡葬等业务的标准进行新增、修改、删除、查询。</w:t>
            </w:r>
          </w:p>
        </w:tc>
      </w:tr>
      <w:tr>
        <w:tblPrEx>
          <w:tblCellMar>
            <w:top w:w="0" w:type="dxa"/>
            <w:left w:w="108" w:type="dxa"/>
            <w:bottom w:w="0" w:type="dxa"/>
            <w:right w:w="108" w:type="dxa"/>
          </w:tblCellMar>
        </w:tblPrEx>
        <w:trPr>
          <w:trHeight w:val="312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34</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资金发放数据交换标准管理-账户稽核结果交换标准管理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对与业务系统交换账户稽核结果的标准和格式进行管理，以便数据交换时按照标准进行转换和清洗，保证交换数据符合各自要求。系统先判断业务系统推送的稽核信息中的银行类型，是否属于本区的签约银行。非签约银行、机构账户直接返给业务系统校验状态本区未签约该银行，属于本区的签约银行，系统自动报盘稽核。稽核文件回盘的系统推送报盘文件稽核结果，增加手动推送补充定时稽核和自动推送不完整的情况。</w:t>
            </w:r>
          </w:p>
        </w:tc>
      </w:tr>
      <w:tr>
        <w:tblPrEx>
          <w:tblCellMar>
            <w:top w:w="0" w:type="dxa"/>
            <w:left w:w="108" w:type="dxa"/>
            <w:bottom w:w="0" w:type="dxa"/>
            <w:right w:w="108" w:type="dxa"/>
          </w:tblCellMar>
        </w:tblPrEx>
        <w:trPr>
          <w:trHeight w:val="312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35</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资金发放数据交换标准管理-批次作废交换标准管理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对与业务系统交换批次作废数据的标准和格式进行管理，以便数据交换时按照标准进行转换和清洗，保证交换数据符合各自要求。将作废业务由本系统推送批次号（仅正常以及补发的批次可作废，直接同步作废资金批次），给到业务系统。作废批次后删系统里同步的资金记录。已操作实发需要修改数据（例如修改卡号、资金信息等，需要将实发全部退回后才能取消）。作废月名册档案批次时同步作废资金批次。重发批次没有作废，修改数据需重新拉取数据覆盖最新重发信息。没有支付中的数据，才可以进行作废处理。</w:t>
            </w:r>
          </w:p>
        </w:tc>
      </w:tr>
      <w:tr>
        <w:tblPrEx>
          <w:tblCellMar>
            <w:top w:w="0" w:type="dxa"/>
            <w:left w:w="108" w:type="dxa"/>
            <w:bottom w:w="0" w:type="dxa"/>
            <w:right w:w="108" w:type="dxa"/>
          </w:tblCellMar>
        </w:tblPrEx>
        <w:trPr>
          <w:trHeight w:val="1227"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36</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资金发放数据交换标准管理-批次反馈交换标准管理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对与业务系统交换批次反馈数据的标准和格式进行管理，以便数据交换时按照标准进行转换和清洗，保证交换数据符合各自要求。双方接收到数据以后，推送数据检查后的异常明细。</w:t>
            </w:r>
          </w:p>
        </w:tc>
      </w:tr>
      <w:tr>
        <w:tblPrEx>
          <w:tblCellMar>
            <w:top w:w="0" w:type="dxa"/>
            <w:left w:w="108" w:type="dxa"/>
            <w:bottom w:w="0" w:type="dxa"/>
            <w:right w:w="108" w:type="dxa"/>
          </w:tblCellMar>
        </w:tblPrEx>
        <w:trPr>
          <w:trHeight w:val="168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37</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资金发放数据交换标准管理-手工数据校验规则管理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由于个人、机构所需字段不同，同时社救、残疾人两补、儿童等不同业务或资金科目的校验要求不同，对导入的个人、机构数据校验规则进行管理。由于社救、残疾人两补、儿童等各业务涉及的数据字段项存在一定差异，管理需要针对各业务进行单独设置。</w:t>
            </w:r>
          </w:p>
        </w:tc>
      </w:tr>
      <w:tr>
        <w:tblPrEx>
          <w:tblCellMar>
            <w:top w:w="0" w:type="dxa"/>
            <w:left w:w="108" w:type="dxa"/>
            <w:bottom w:w="0" w:type="dxa"/>
            <w:right w:w="108" w:type="dxa"/>
          </w:tblCellMar>
        </w:tblPrEx>
        <w:trPr>
          <w:trHeight w:val="6695"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38</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资金发放数据交换标准管理-文件导入导出管理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为资金发放、预算清算等业务过程中涉及文件导入导出场景，提供功能。包含1）财政报盘模板导入。2）财政报盘模板导出。3）财政报盘代发文件导出4）财政报盘代发结果文件导入。5）一户多卡变更名单导出。6）一户多卡新增名单导出。7）取消发放记录导出。8）发放失败补发记录导出。9）线下发放确认汇总记录导出。10）线下发放明细对象名单导出。11）对公转账记录导出。12）项目基本信息导出。13）项目预算绩效导出。14）区级预算项目上报数据导出。15）区级项目结余资金数据导出。16）年度项目预算变更记录导出。17）项目分配资金细化记录导出。18）项目预算资金细化调整记录导出。19）市与区财力结算下达资金数据导出。20）项目年初预算统计数据导出。21）调整后预分配情况数据导出。22）预分配余额数据导出。23）项目分配资金细化支出数据导出。24）各区项目分配细化未支出资金数据导出。25）各区项目清算数据导出。26）项目综合信息导出。27）个人类资金发放数据手工导入模板导入。28）个人类资金发放数据手工导入模板导出。29）机构类资金发放数据手工导入模板导入。30）机构类资金发放数据手工导入模板导出。</w:t>
            </w:r>
          </w:p>
        </w:tc>
      </w:tr>
      <w:tr>
        <w:tblPrEx>
          <w:tblCellMar>
            <w:top w:w="0" w:type="dxa"/>
            <w:left w:w="108" w:type="dxa"/>
            <w:bottom w:w="0" w:type="dxa"/>
            <w:right w:w="108" w:type="dxa"/>
          </w:tblCellMar>
        </w:tblPrEx>
        <w:trPr>
          <w:trHeight w:val="1680" w:hRule="atLeast"/>
          <w:jc w:val="center"/>
        </w:trPr>
        <w:tc>
          <w:tcPr>
            <w:tcW w:w="76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39</w:t>
            </w:r>
          </w:p>
        </w:tc>
        <w:tc>
          <w:tcPr>
            <w:tcW w:w="268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资金发放数据交换标准管理-附件管理</w:t>
            </w:r>
          </w:p>
        </w:tc>
        <w:tc>
          <w:tcPr>
            <w:tcW w:w="496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仿宋" w:hAnsi="仿宋" w:cs="仿宋"/>
                <w:sz w:val="21"/>
                <w:szCs w:val="21"/>
              </w:rPr>
            </w:pPr>
            <w:r>
              <w:rPr>
                <w:rFonts w:hint="eastAsia" w:ascii="仿宋" w:hAnsi="仿宋" w:cs="仿宋"/>
                <w:sz w:val="21"/>
                <w:szCs w:val="21"/>
                <w:lang w:bidi="ar"/>
              </w:rPr>
              <w:t>为资金发放、预算清算等业务过程中涉及附件进行管理。包含1）一户多卡变更附件管理。2）一户多卡新增附件管理。3）取消发放附件管理。4）项目预算调整附件管理。5）项目资金上缴凭证依据附件管理。6）项目额度调整附件管理。7）项目细化附件管理。</w:t>
            </w:r>
          </w:p>
        </w:tc>
      </w:tr>
    </w:tbl>
    <w:p>
      <w:pPr>
        <w:pStyle w:val="3"/>
      </w:pPr>
      <w:bookmarkStart w:id="23" w:name="_Toc63785502"/>
      <w:bookmarkStart w:id="24" w:name="_Toc152938306"/>
      <w:r>
        <w:rPr>
          <w:rFonts w:hint="eastAsia"/>
        </w:rPr>
        <w:t>、</w:t>
      </w:r>
      <w:r>
        <w:t>电子政务云资源需求</w:t>
      </w:r>
      <w:bookmarkEnd w:id="23"/>
      <w:bookmarkEnd w:id="24"/>
    </w:p>
    <w:p>
      <w:pPr>
        <w:adjustRightInd w:val="0"/>
        <w:snapToGrid w:val="0"/>
        <w:ind w:firstLine="560"/>
        <w:rPr>
          <w:rFonts w:ascii="仿宋" w:hAnsi="仿宋"/>
        </w:rPr>
      </w:pPr>
      <w:r>
        <w:rPr>
          <w:rFonts w:hint="eastAsia" w:ascii="仿宋" w:hAnsi="仿宋"/>
        </w:rPr>
        <w:t>（1）民服务子系统</w:t>
      </w:r>
    </w:p>
    <w:p>
      <w:pPr>
        <w:adjustRightInd w:val="0"/>
        <w:snapToGrid w:val="0"/>
        <w:ind w:firstLine="560"/>
        <w:rPr>
          <w:rFonts w:ascii="仿宋" w:hAnsi="仿宋"/>
        </w:rPr>
      </w:pPr>
      <w:r>
        <w:rPr>
          <w:rFonts w:hint="eastAsia" w:ascii="仿宋" w:hAnsi="仿宋"/>
        </w:rPr>
        <w:t>民服务前端应用和后台管理，</w:t>
      </w:r>
      <w:r>
        <w:rPr>
          <w:rFonts w:ascii="仿宋" w:hAnsi="仿宋"/>
        </w:rPr>
        <w:t>根据估算拟向</w:t>
      </w:r>
      <w:r>
        <w:rPr>
          <w:rFonts w:hint="eastAsia" w:ascii="仿宋" w:hAnsi="仿宋"/>
        </w:rPr>
        <w:t>市</w:t>
      </w:r>
      <w:r>
        <w:rPr>
          <w:rFonts w:ascii="仿宋" w:hAnsi="仿宋"/>
        </w:rPr>
        <w:t>电子政务云申请</w:t>
      </w:r>
      <w:r>
        <w:rPr>
          <w:rFonts w:hint="eastAsia" w:ascii="仿宋" w:hAnsi="仿宋"/>
        </w:rPr>
        <w:t>10</w:t>
      </w:r>
      <w:r>
        <w:rPr>
          <w:rFonts w:ascii="仿宋" w:hAnsi="仿宋"/>
        </w:rPr>
        <w:t>台服务器资源</w:t>
      </w:r>
      <w:r>
        <w:rPr>
          <w:rFonts w:hint="eastAsia" w:ascii="仿宋" w:hAnsi="仿宋"/>
        </w:rPr>
        <w:t>，</w:t>
      </w:r>
      <w:r>
        <w:rPr>
          <w:rFonts w:ascii="仿宋" w:hAnsi="仿宋"/>
        </w:rPr>
        <w:t>CPU</w:t>
      </w:r>
      <w:r>
        <w:rPr>
          <w:rFonts w:hint="eastAsia" w:ascii="仿宋" w:hAnsi="仿宋"/>
        </w:rPr>
        <w:t>96</w:t>
      </w:r>
      <w:r>
        <w:rPr>
          <w:rFonts w:ascii="仿宋" w:hAnsi="仿宋"/>
        </w:rPr>
        <w:t>核、内存</w:t>
      </w:r>
      <w:r>
        <w:rPr>
          <w:rFonts w:hint="eastAsia" w:ascii="仿宋" w:hAnsi="仿宋"/>
        </w:rPr>
        <w:t>,384</w:t>
      </w:r>
      <w:r>
        <w:rPr>
          <w:rFonts w:ascii="仿宋" w:hAnsi="仿宋"/>
        </w:rPr>
        <w:t>G、存储</w:t>
      </w:r>
      <w:r>
        <w:rPr>
          <w:rFonts w:hint="eastAsia" w:ascii="仿宋" w:hAnsi="仿宋"/>
        </w:rPr>
        <w:t>2500</w:t>
      </w:r>
      <w:r>
        <w:rPr>
          <w:rFonts w:ascii="仿宋" w:hAnsi="仿宋"/>
        </w:rPr>
        <w:t>G，均为虚拟机</w:t>
      </w:r>
      <w:r>
        <w:rPr>
          <w:rFonts w:hint="eastAsia" w:ascii="仿宋" w:hAnsi="仿宋"/>
        </w:rPr>
        <w:t>，同时根据需求，拟申请系统软件资源包括10套操作系统，2套数据库，以及3套中间件。</w:t>
      </w:r>
    </w:p>
    <w:p>
      <w:pPr>
        <w:adjustRightInd w:val="0"/>
        <w:snapToGrid w:val="0"/>
        <w:ind w:firstLine="560"/>
        <w:rPr>
          <w:rFonts w:ascii="仿宋" w:hAnsi="仿宋"/>
        </w:rPr>
      </w:pPr>
      <w:r>
        <w:rPr>
          <w:rFonts w:hint="eastAsia" w:ascii="仿宋" w:hAnsi="仿宋"/>
        </w:rPr>
        <w:t>民服务智能问答大模型部分，根据估算拟向市电子政务云申请4台物理机资源，分别用于部署大模型应用和数据库服务，申请2台GPU服务器，用于大模型训练服务、推理服务，同时申请对应的系统软件资源。</w:t>
      </w:r>
    </w:p>
    <w:p>
      <w:pPr>
        <w:adjustRightInd w:val="0"/>
        <w:snapToGrid w:val="0"/>
        <w:ind w:firstLine="560"/>
        <w:rPr>
          <w:rFonts w:ascii="仿宋" w:hAnsi="仿宋"/>
        </w:rPr>
      </w:pPr>
      <w:r>
        <w:rPr>
          <w:rFonts w:hint="eastAsia" w:ascii="仿宋" w:hAnsi="仿宋"/>
        </w:rPr>
        <w:t>（2）上海市民政资金内控监管子系统</w:t>
      </w:r>
    </w:p>
    <w:p>
      <w:pPr>
        <w:adjustRightInd w:val="0"/>
        <w:snapToGrid w:val="0"/>
        <w:ind w:firstLine="560"/>
        <w:rPr>
          <w:rFonts w:ascii="仿宋" w:hAnsi="仿宋"/>
        </w:rPr>
      </w:pPr>
      <w:r>
        <w:rPr>
          <w:rFonts w:ascii="仿宋" w:hAnsi="仿宋"/>
        </w:rPr>
        <w:t>根据项目前期资源现状，本次</w:t>
      </w:r>
      <w:r>
        <w:rPr>
          <w:rFonts w:hint="eastAsia" w:ascii="仿宋" w:hAnsi="仿宋"/>
        </w:rPr>
        <w:t>升级改造暂不申请服务器资源，后续再按需申请</w:t>
      </w:r>
      <w:r>
        <w:rPr>
          <w:rFonts w:ascii="仿宋" w:hAnsi="仿宋"/>
        </w:rPr>
        <w:t>。</w:t>
      </w:r>
    </w:p>
    <w:p>
      <w:pPr>
        <w:pStyle w:val="3"/>
      </w:pPr>
      <w:bookmarkStart w:id="25" w:name="_Toc63785503"/>
      <w:bookmarkStart w:id="26" w:name="_Toc152938307"/>
      <w:r>
        <w:rPr>
          <w:rFonts w:hint="eastAsia"/>
        </w:rPr>
        <w:t>、</w:t>
      </w:r>
      <w:r>
        <w:t>其他工作要求</w:t>
      </w:r>
      <w:bookmarkEnd w:id="25"/>
      <w:bookmarkEnd w:id="26"/>
    </w:p>
    <w:p>
      <w:pPr>
        <w:pStyle w:val="4"/>
      </w:pPr>
      <w:bookmarkStart w:id="27" w:name="_Toc63785505"/>
      <w:bookmarkStart w:id="28" w:name="_Toc152938308"/>
      <w:r>
        <w:t>售后服务要求</w:t>
      </w:r>
      <w:bookmarkEnd w:id="27"/>
      <w:bookmarkEnd w:id="28"/>
    </w:p>
    <w:p>
      <w:pPr>
        <w:adjustRightInd w:val="0"/>
        <w:snapToGrid w:val="0"/>
        <w:ind w:firstLine="560"/>
        <w:rPr>
          <w:rFonts w:ascii="仿宋" w:hAnsi="仿宋"/>
        </w:rPr>
      </w:pPr>
      <w:r>
        <w:rPr>
          <w:rFonts w:ascii="仿宋" w:hAnsi="仿宋"/>
        </w:rPr>
        <w:t>（1）本项目从系统验收通过之日起1年内，供应商须提供</w:t>
      </w:r>
      <w:r>
        <w:rPr>
          <w:rFonts w:hint="eastAsia" w:ascii="仿宋" w:hAnsi="仿宋"/>
        </w:rPr>
        <w:t>免费运维</w:t>
      </w:r>
      <w:r>
        <w:rPr>
          <w:rFonts w:ascii="仿宋" w:hAnsi="仿宋"/>
        </w:rPr>
        <w:t>服务。</w:t>
      </w:r>
    </w:p>
    <w:p>
      <w:pPr>
        <w:adjustRightInd w:val="0"/>
        <w:snapToGrid w:val="0"/>
        <w:ind w:firstLine="560"/>
        <w:rPr>
          <w:rFonts w:ascii="仿宋" w:hAnsi="仿宋"/>
        </w:rPr>
      </w:pPr>
      <w:bookmarkStart w:id="29" w:name="_Hlk91771099"/>
      <w:r>
        <w:rPr>
          <w:rFonts w:ascii="仿宋" w:hAnsi="仿宋"/>
        </w:rPr>
        <w:t>（2）供应商须提供5×8小时本地语言（中文）支持，对系统发生影响到实时操作的故障，供应商需要在30分钟内响应，对需要进行现场维护的，在2小时内赶到现场，查找原因，提出解决方案排除故障。修复时间一般不超过2</w:t>
      </w:r>
      <w:r>
        <w:rPr>
          <w:rFonts w:hint="eastAsia" w:ascii="仿宋" w:hAnsi="仿宋"/>
        </w:rPr>
        <w:t>个工作日</w:t>
      </w:r>
      <w:r>
        <w:rPr>
          <w:rFonts w:ascii="仿宋" w:hAnsi="仿宋"/>
        </w:rPr>
        <w:t>。</w:t>
      </w:r>
    </w:p>
    <w:p>
      <w:pPr>
        <w:adjustRightInd w:val="0"/>
        <w:snapToGrid w:val="0"/>
        <w:ind w:firstLine="560"/>
        <w:rPr>
          <w:rFonts w:ascii="仿宋" w:hAnsi="仿宋"/>
        </w:rPr>
      </w:pPr>
      <w:r>
        <w:rPr>
          <w:rFonts w:ascii="仿宋" w:hAnsi="仿宋"/>
        </w:rPr>
        <w:t>（3）在系统维护期内供应商须提供电话支持、应急响应服务、季度巡检服务等，确保系统的正常运行。</w:t>
      </w:r>
    </w:p>
    <w:p>
      <w:pPr>
        <w:adjustRightInd w:val="0"/>
        <w:snapToGrid w:val="0"/>
        <w:ind w:firstLine="560"/>
        <w:rPr>
          <w:rFonts w:ascii="仿宋" w:hAnsi="仿宋"/>
        </w:rPr>
      </w:pPr>
      <w:r>
        <w:rPr>
          <w:rFonts w:ascii="仿宋" w:hAnsi="仿宋"/>
        </w:rPr>
        <w:t>（4）供应商须作出无推诿承诺。即提供特殊措施，无论由于哪一方产生的问题而使系统发生不正常情况时，并在得到采购人通知后，须立即派工程师到场，全力协助采购人和其他供应商，使系统尽快恢复正常。</w:t>
      </w:r>
      <w:bookmarkEnd w:id="29"/>
    </w:p>
    <w:p>
      <w:pPr>
        <w:pStyle w:val="4"/>
      </w:pPr>
      <w:bookmarkStart w:id="30" w:name="_Toc63785506"/>
      <w:bookmarkStart w:id="31" w:name="_Toc152938309"/>
      <w:r>
        <w:t>应急响应要求</w:t>
      </w:r>
      <w:bookmarkEnd w:id="30"/>
      <w:bookmarkEnd w:id="31"/>
    </w:p>
    <w:p>
      <w:pPr>
        <w:adjustRightInd w:val="0"/>
        <w:snapToGrid w:val="0"/>
        <w:ind w:firstLine="560"/>
        <w:rPr>
          <w:rFonts w:ascii="仿宋" w:hAnsi="仿宋"/>
        </w:rPr>
      </w:pPr>
      <w:r>
        <w:rPr>
          <w:rFonts w:ascii="仿宋" w:hAnsi="仿宋"/>
        </w:rPr>
        <w:t>供应商对系统故障应能够实时响应，若系统发生故障，接到通知后30分钟之内响应，专业工程师2小时内到达现场。特殊故障与客户沟通协商后，按照协商的方式制定解决方案并进行处理。</w:t>
      </w:r>
    </w:p>
    <w:p>
      <w:pPr>
        <w:adjustRightInd w:val="0"/>
        <w:snapToGrid w:val="0"/>
        <w:ind w:firstLine="560"/>
        <w:rPr>
          <w:rFonts w:ascii="仿宋" w:hAnsi="仿宋"/>
        </w:rPr>
      </w:pPr>
      <w:r>
        <w:rPr>
          <w:rFonts w:ascii="仿宋" w:hAnsi="仿宋"/>
        </w:rPr>
        <w:t>具体故障级别及对应的应急响应要求如下：</w:t>
      </w:r>
    </w:p>
    <w:p>
      <w:pPr>
        <w:adjustRightInd w:val="0"/>
        <w:snapToGrid w:val="0"/>
        <w:ind w:firstLine="560"/>
        <w:rPr>
          <w:rFonts w:ascii="仿宋" w:hAnsi="仿宋"/>
        </w:rPr>
      </w:pPr>
      <w:r>
        <w:rPr>
          <w:rFonts w:ascii="仿宋" w:hAnsi="仿宋"/>
        </w:rPr>
        <w:t>一级故障：在1小时内确诊，总故障解决时间不超过4小时。</w:t>
      </w:r>
    </w:p>
    <w:p>
      <w:pPr>
        <w:adjustRightInd w:val="0"/>
        <w:snapToGrid w:val="0"/>
        <w:ind w:firstLine="560"/>
        <w:rPr>
          <w:rFonts w:ascii="仿宋" w:hAnsi="仿宋"/>
        </w:rPr>
      </w:pPr>
      <w:r>
        <w:rPr>
          <w:rFonts w:ascii="仿宋" w:hAnsi="仿宋"/>
        </w:rPr>
        <w:t>二级故障：在2小时内确诊，总故障解决时间不超过8小时；</w:t>
      </w:r>
    </w:p>
    <w:p>
      <w:pPr>
        <w:adjustRightInd w:val="0"/>
        <w:snapToGrid w:val="0"/>
        <w:ind w:firstLine="560"/>
        <w:rPr>
          <w:rFonts w:ascii="仿宋" w:hAnsi="仿宋"/>
        </w:rPr>
      </w:pPr>
      <w:r>
        <w:rPr>
          <w:rFonts w:ascii="仿宋" w:hAnsi="仿宋"/>
        </w:rPr>
        <w:t>三、四级故障：在4小时内确诊故障，总故障解决时间不超过16小时。</w:t>
      </w:r>
    </w:p>
    <w:p>
      <w:pPr>
        <w:pStyle w:val="4"/>
      </w:pPr>
      <w:bookmarkStart w:id="32" w:name="_Toc63785507"/>
      <w:bookmarkStart w:id="33" w:name="_Toc152938310"/>
      <w:r>
        <w:t>培训要求</w:t>
      </w:r>
      <w:bookmarkEnd w:id="32"/>
      <w:bookmarkEnd w:id="33"/>
    </w:p>
    <w:p>
      <w:pPr>
        <w:adjustRightInd w:val="0"/>
        <w:snapToGrid w:val="0"/>
        <w:ind w:firstLine="560"/>
        <w:rPr>
          <w:rFonts w:ascii="仿宋" w:hAnsi="仿宋"/>
        </w:rPr>
      </w:pPr>
      <w:r>
        <w:rPr>
          <w:rFonts w:ascii="仿宋" w:hAnsi="仿宋"/>
        </w:rPr>
        <w:t>供应商应具有完善的培训体系，结合本项目的实际情况，制订全面、合理、符合项目情况的培训方案，需从培训目标、内容、地点、方式、课程安排、培训计划等方面进行详细的描述说明，保障在系统上线后，采购人能熟练、准确地使用、管理、维护系统成果。</w:t>
      </w:r>
    </w:p>
    <w:p>
      <w:pPr>
        <w:adjustRightInd w:val="0"/>
        <w:snapToGrid w:val="0"/>
        <w:ind w:firstLine="560"/>
        <w:rPr>
          <w:rFonts w:ascii="仿宋" w:hAnsi="仿宋"/>
        </w:rPr>
      </w:pPr>
      <w:r>
        <w:rPr>
          <w:rFonts w:ascii="仿宋" w:hAnsi="仿宋"/>
        </w:rPr>
        <w:t>（1）提供与项目相关的必要培训。</w:t>
      </w:r>
    </w:p>
    <w:p>
      <w:pPr>
        <w:adjustRightInd w:val="0"/>
        <w:snapToGrid w:val="0"/>
        <w:ind w:firstLine="560"/>
        <w:rPr>
          <w:rFonts w:ascii="仿宋" w:hAnsi="仿宋"/>
        </w:rPr>
      </w:pPr>
      <w:r>
        <w:rPr>
          <w:rFonts w:ascii="仿宋" w:hAnsi="仿宋"/>
        </w:rPr>
        <w:t>（2）供应商需要开展分层次的人员培训工作，每次培训后应对参加培训人员进行测试，评估培训成果。培训应配备培训教材、培训环境和高水平的培训讲师。</w:t>
      </w:r>
    </w:p>
    <w:p>
      <w:pPr>
        <w:adjustRightInd w:val="0"/>
        <w:snapToGrid w:val="0"/>
        <w:ind w:firstLine="560"/>
        <w:rPr>
          <w:rFonts w:ascii="仿宋" w:hAnsi="仿宋"/>
        </w:rPr>
      </w:pPr>
      <w:r>
        <w:rPr>
          <w:rFonts w:ascii="仿宋" w:hAnsi="仿宋"/>
        </w:rPr>
        <w:t>（3）供应商应提供一般用户的基础操作培训和部门信息管理员的日常应用维护的培训，确保用户对象能够掌握对应的操作技能。</w:t>
      </w:r>
    </w:p>
    <w:p>
      <w:pPr>
        <w:pStyle w:val="4"/>
      </w:pPr>
      <w:bookmarkStart w:id="34" w:name="_Toc152938311"/>
      <w:bookmarkStart w:id="35" w:name="_Toc63785508"/>
      <w:r>
        <w:t>验收要求</w:t>
      </w:r>
      <w:bookmarkEnd w:id="34"/>
      <w:bookmarkEnd w:id="35"/>
    </w:p>
    <w:p>
      <w:pPr>
        <w:adjustRightInd w:val="0"/>
        <w:snapToGrid w:val="0"/>
        <w:ind w:firstLine="560"/>
        <w:rPr>
          <w:rFonts w:ascii="仿宋" w:hAnsi="仿宋"/>
        </w:rPr>
      </w:pPr>
      <w:r>
        <w:rPr>
          <w:rFonts w:hint="eastAsia" w:ascii="仿宋" w:hAnsi="仿宋"/>
        </w:rPr>
        <w:t>（</w:t>
      </w:r>
      <w:r>
        <w:rPr>
          <w:rFonts w:ascii="仿宋" w:hAnsi="仿宋"/>
        </w:rPr>
        <w:t>1</w:t>
      </w:r>
      <w:r>
        <w:rPr>
          <w:rFonts w:hint="eastAsia" w:ascii="仿宋" w:hAnsi="仿宋"/>
        </w:rPr>
        <w:t>）验收合格的条件必须至少满足以下要求：已完成项目要求的全部软件开发和应用功能；试运行时性能满足合同要求；软件测试和试运行验收时出现的问题已被解决；按照上海市信息化建设项目的程序和要求，通过由业主方或相关主管部门组织的项目竣工验收。</w:t>
      </w:r>
    </w:p>
    <w:p>
      <w:pPr>
        <w:adjustRightInd w:val="0"/>
        <w:snapToGrid w:val="0"/>
        <w:ind w:firstLine="560"/>
        <w:rPr>
          <w:rFonts w:ascii="仿宋" w:hAnsi="仿宋"/>
        </w:rPr>
      </w:pPr>
      <w:r>
        <w:rPr>
          <w:rFonts w:hint="eastAsia" w:ascii="仿宋" w:hAnsi="仿宋"/>
        </w:rPr>
        <w:t>（</w:t>
      </w:r>
      <w:r>
        <w:rPr>
          <w:rFonts w:ascii="仿宋" w:hAnsi="仿宋"/>
        </w:rPr>
        <w:t>2</w:t>
      </w:r>
      <w:r>
        <w:rPr>
          <w:rFonts w:hint="eastAsia" w:ascii="仿宋" w:hAnsi="仿宋"/>
        </w:rPr>
        <w:t>）如果属于供应商原因致使本项目未能通过终验，供应商应当排除缺陷，直至本项目完全符合验收标准，由上述情形而产生的相关费用应由供应商自行承担。</w:t>
      </w:r>
    </w:p>
    <w:p>
      <w:pPr>
        <w:adjustRightInd w:val="0"/>
        <w:snapToGrid w:val="0"/>
        <w:ind w:firstLine="560"/>
        <w:rPr>
          <w:rFonts w:ascii="仿宋" w:hAnsi="仿宋"/>
        </w:rPr>
      </w:pPr>
      <w:r>
        <w:rPr>
          <w:rFonts w:hint="eastAsia" w:ascii="仿宋" w:hAnsi="仿宋"/>
        </w:rPr>
        <w:t>（</w:t>
      </w:r>
      <w:r>
        <w:rPr>
          <w:rFonts w:ascii="仿宋" w:hAnsi="仿宋"/>
        </w:rPr>
        <w:t>3</w:t>
      </w:r>
      <w:r>
        <w:rPr>
          <w:rFonts w:hint="eastAsia" w:ascii="仿宋" w:hAnsi="仿宋"/>
        </w:rPr>
        <w:t>）如果由于招标方原因导致本项目在终验通过前出现故障或问题，供应商应及时配合排除该方面的故障或问题。</w:t>
      </w:r>
    </w:p>
    <w:p>
      <w:pPr>
        <w:adjustRightInd w:val="0"/>
        <w:snapToGrid w:val="0"/>
        <w:ind w:firstLine="560"/>
        <w:rPr>
          <w:rFonts w:ascii="仿宋" w:hAnsi="仿宋"/>
        </w:rPr>
      </w:pPr>
      <w:r>
        <w:rPr>
          <w:rFonts w:hint="eastAsia" w:ascii="仿宋" w:hAnsi="仿宋"/>
        </w:rPr>
        <w:t>（</w:t>
      </w:r>
      <w:r>
        <w:rPr>
          <w:rFonts w:ascii="仿宋" w:hAnsi="仿宋"/>
        </w:rPr>
        <w:t>4</w:t>
      </w:r>
      <w:r>
        <w:rPr>
          <w:rFonts w:hint="eastAsia" w:ascii="仿宋" w:hAnsi="仿宋"/>
        </w:rPr>
        <w:t>）如本项目连续2次验收未通过（含初验未通过或终验未通过），招标方有权解除项目，并有权依照本项目约定的违约条款追究供应商的违约责任。</w:t>
      </w:r>
    </w:p>
    <w:p>
      <w:pPr>
        <w:pStyle w:val="4"/>
      </w:pPr>
      <w:bookmarkStart w:id="36" w:name="_Toc152938313"/>
      <w:bookmarkStart w:id="37" w:name="_Toc152938312"/>
      <w:bookmarkStart w:id="38" w:name="_Toc63785510"/>
      <w:bookmarkStart w:id="39" w:name="_Toc63785509"/>
      <w:r>
        <w:t>进度要求</w:t>
      </w:r>
      <w:bookmarkEnd w:id="36"/>
    </w:p>
    <w:p>
      <w:pPr>
        <w:adjustRightInd w:val="0"/>
        <w:snapToGrid w:val="0"/>
        <w:ind w:firstLine="560"/>
        <w:rPr>
          <w:rFonts w:ascii="仿宋" w:hAnsi="仿宋"/>
        </w:rPr>
      </w:pPr>
      <w:r>
        <w:rPr>
          <w:rFonts w:ascii="仿宋" w:hAnsi="仿宋"/>
        </w:rPr>
        <w:t>供应商应根据建设内容，分阶段制定合理的时间进度，并且应根据采购人要求进行调整和细化。</w:t>
      </w:r>
    </w:p>
    <w:p>
      <w:pPr>
        <w:adjustRightInd w:val="0"/>
        <w:snapToGrid w:val="0"/>
        <w:ind w:firstLine="560"/>
        <w:rPr>
          <w:rFonts w:ascii="仿宋" w:hAnsi="仿宋"/>
        </w:rPr>
      </w:pPr>
      <w:r>
        <w:rPr>
          <w:rFonts w:hint="eastAsia" w:ascii="仿宋" w:hAnsi="仿宋"/>
        </w:rPr>
        <w:t>本项目总体建设周期为合同签订后7</w:t>
      </w:r>
      <w:r>
        <w:rPr>
          <w:rFonts w:ascii="仿宋" w:hAnsi="仿宋"/>
        </w:rPr>
        <w:t>个月</w:t>
      </w:r>
      <w:r>
        <w:rPr>
          <w:rFonts w:hint="eastAsia" w:ascii="仿宋" w:hAnsi="仿宋"/>
        </w:rPr>
        <w:t>完成，分为5个阶段</w:t>
      </w:r>
      <w:r>
        <w:rPr>
          <w:rFonts w:ascii="仿宋" w:hAnsi="仿宋"/>
        </w:rPr>
        <w:t>。</w:t>
      </w:r>
    </w:p>
    <w:p>
      <w:pPr>
        <w:adjustRightInd w:val="0"/>
        <w:snapToGrid w:val="0"/>
        <w:ind w:firstLine="560"/>
        <w:rPr>
          <w:rFonts w:ascii="仿宋" w:hAnsi="仿宋"/>
        </w:rPr>
      </w:pPr>
      <w:r>
        <w:rPr>
          <w:rFonts w:hint="eastAsia" w:ascii="仿宋" w:hAnsi="仿宋"/>
        </w:rPr>
        <w:t>第一阶段为需求调研</w:t>
      </w:r>
      <w:r>
        <w:rPr>
          <w:rFonts w:ascii="仿宋" w:hAnsi="仿宋"/>
        </w:rPr>
        <w:t>1个月，完成系统升级改造需求调研和分析。</w:t>
      </w:r>
    </w:p>
    <w:p>
      <w:pPr>
        <w:adjustRightInd w:val="0"/>
        <w:snapToGrid w:val="0"/>
        <w:ind w:firstLine="560"/>
        <w:rPr>
          <w:rFonts w:ascii="仿宋" w:hAnsi="仿宋"/>
        </w:rPr>
      </w:pPr>
      <w:r>
        <w:rPr>
          <w:rFonts w:hint="eastAsia" w:ascii="仿宋" w:hAnsi="仿宋"/>
        </w:rPr>
        <w:t>第二阶段为系统设计</w:t>
      </w:r>
      <w:r>
        <w:rPr>
          <w:rFonts w:ascii="仿宋" w:hAnsi="仿宋"/>
        </w:rPr>
        <w:t>1个月，完成系统设计。</w:t>
      </w:r>
    </w:p>
    <w:p>
      <w:pPr>
        <w:adjustRightInd w:val="0"/>
        <w:snapToGrid w:val="0"/>
        <w:ind w:firstLine="560"/>
        <w:rPr>
          <w:rFonts w:ascii="仿宋" w:hAnsi="仿宋"/>
        </w:rPr>
      </w:pPr>
      <w:r>
        <w:rPr>
          <w:rFonts w:hint="eastAsia" w:ascii="仿宋" w:hAnsi="仿宋"/>
        </w:rPr>
        <w:t>第三阶段为系统开发与测试4</w:t>
      </w:r>
      <w:r>
        <w:rPr>
          <w:rFonts w:ascii="仿宋" w:hAnsi="仿宋"/>
        </w:rPr>
        <w:t>个月，完成详细设计、代码开发和系统测试工作。</w:t>
      </w:r>
    </w:p>
    <w:p>
      <w:pPr>
        <w:adjustRightInd w:val="0"/>
        <w:snapToGrid w:val="0"/>
        <w:ind w:firstLine="560"/>
        <w:rPr>
          <w:rFonts w:ascii="仿宋" w:hAnsi="仿宋"/>
        </w:rPr>
      </w:pPr>
      <w:r>
        <w:rPr>
          <w:rFonts w:hint="eastAsia" w:ascii="仿宋" w:hAnsi="仿宋"/>
        </w:rPr>
        <w:t>第四阶段为系统部署试运行</w:t>
      </w:r>
      <w:r>
        <w:rPr>
          <w:rFonts w:ascii="仿宋" w:hAnsi="仿宋"/>
        </w:rPr>
        <w:t>1个月，完成系统安装部署和上线试运行。</w:t>
      </w:r>
    </w:p>
    <w:p>
      <w:pPr>
        <w:pStyle w:val="4"/>
      </w:pPr>
      <w:r>
        <w:t>项目团队及驻场人员要求</w:t>
      </w:r>
      <w:bookmarkEnd w:id="37"/>
      <w:bookmarkEnd w:id="38"/>
    </w:p>
    <w:p>
      <w:pPr>
        <w:adjustRightInd w:val="0"/>
        <w:snapToGrid w:val="0"/>
        <w:ind w:firstLine="560"/>
        <w:rPr>
          <w:rFonts w:ascii="仿宋" w:hAnsi="仿宋"/>
        </w:rPr>
      </w:pPr>
      <w:r>
        <w:rPr>
          <w:rFonts w:hint="eastAsia" w:ascii="仿宋" w:hAnsi="仿宋"/>
        </w:rPr>
        <w:t>（1）</w:t>
      </w:r>
      <w:r>
        <w:rPr>
          <w:rFonts w:ascii="仿宋" w:hAnsi="仿宋"/>
        </w:rPr>
        <w:t>供应商须具有稳定的在职技术保障力量，能够提供及时的技术支援或服务，应针对本项目提供</w:t>
      </w:r>
      <w:r>
        <w:rPr>
          <w:rFonts w:hint="eastAsia" w:ascii="仿宋" w:hAnsi="仿宋"/>
        </w:rPr>
        <w:t>不少于10</w:t>
      </w:r>
      <w:r>
        <w:rPr>
          <w:rFonts w:ascii="仿宋" w:hAnsi="仿宋"/>
        </w:rPr>
        <w:t>人的项目服务团队</w:t>
      </w:r>
      <w:r>
        <w:rPr>
          <w:rFonts w:hint="eastAsia" w:ascii="仿宋" w:hAnsi="仿宋"/>
        </w:rPr>
        <w:t>，驻场不少于3人。</w:t>
      </w:r>
      <w:r>
        <w:rPr>
          <w:rFonts w:ascii="仿宋" w:hAnsi="仿宋"/>
        </w:rPr>
        <w:t>供应商的相关服务人员需具备相应的服务能力，需提供相关证明（</w:t>
      </w:r>
      <w:r>
        <w:rPr>
          <w:rFonts w:hint="eastAsia" w:ascii="仿宋" w:hAnsi="仿宋"/>
        </w:rPr>
        <w:t>项目组成员缴纳的近三个月中任意一个月的社保证明凭证</w:t>
      </w:r>
      <w:r>
        <w:rPr>
          <w:rFonts w:ascii="仿宋" w:hAnsi="仿宋"/>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43"/>
        <w:gridCol w:w="709"/>
        <w:gridCol w:w="3969"/>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17" w:type="dxa"/>
            <w:noWrap/>
            <w:vAlign w:val="center"/>
          </w:tcPr>
          <w:p>
            <w:pPr>
              <w:pStyle w:val="20"/>
              <w:adjustRightInd w:val="0"/>
              <w:snapToGrid w:val="0"/>
              <w:jc w:val="center"/>
              <w:rPr>
                <w:rFonts w:ascii="仿宋" w:hAnsi="仿宋"/>
                <w:b/>
                <w:szCs w:val="24"/>
              </w:rPr>
            </w:pPr>
            <w:r>
              <w:rPr>
                <w:rFonts w:ascii="仿宋" w:hAnsi="仿宋"/>
                <w:b/>
                <w:szCs w:val="24"/>
              </w:rPr>
              <w:t>角色</w:t>
            </w:r>
          </w:p>
        </w:tc>
        <w:tc>
          <w:tcPr>
            <w:tcW w:w="1843" w:type="dxa"/>
            <w:noWrap/>
            <w:vAlign w:val="center"/>
          </w:tcPr>
          <w:p>
            <w:pPr>
              <w:pStyle w:val="20"/>
              <w:adjustRightInd w:val="0"/>
              <w:snapToGrid w:val="0"/>
              <w:jc w:val="center"/>
              <w:rPr>
                <w:rFonts w:ascii="仿宋" w:hAnsi="仿宋"/>
                <w:b/>
                <w:szCs w:val="24"/>
              </w:rPr>
            </w:pPr>
            <w:r>
              <w:rPr>
                <w:rFonts w:ascii="仿宋" w:hAnsi="仿宋"/>
                <w:b/>
                <w:szCs w:val="24"/>
              </w:rPr>
              <w:t>主要职责</w:t>
            </w:r>
          </w:p>
        </w:tc>
        <w:tc>
          <w:tcPr>
            <w:tcW w:w="709" w:type="dxa"/>
            <w:noWrap/>
            <w:vAlign w:val="center"/>
          </w:tcPr>
          <w:p>
            <w:pPr>
              <w:pStyle w:val="20"/>
              <w:adjustRightInd w:val="0"/>
              <w:snapToGrid w:val="0"/>
              <w:jc w:val="center"/>
              <w:rPr>
                <w:rFonts w:ascii="仿宋" w:hAnsi="仿宋"/>
                <w:b/>
                <w:szCs w:val="24"/>
              </w:rPr>
            </w:pPr>
            <w:r>
              <w:rPr>
                <w:rFonts w:ascii="仿宋" w:hAnsi="仿宋"/>
                <w:b/>
                <w:szCs w:val="24"/>
              </w:rPr>
              <w:t>人员</w:t>
            </w:r>
          </w:p>
          <w:p>
            <w:pPr>
              <w:pStyle w:val="20"/>
              <w:adjustRightInd w:val="0"/>
              <w:snapToGrid w:val="0"/>
              <w:jc w:val="center"/>
              <w:rPr>
                <w:rFonts w:ascii="仿宋" w:hAnsi="仿宋"/>
                <w:b/>
                <w:szCs w:val="24"/>
              </w:rPr>
            </w:pPr>
            <w:r>
              <w:rPr>
                <w:rFonts w:ascii="仿宋" w:hAnsi="仿宋"/>
                <w:b/>
                <w:szCs w:val="24"/>
              </w:rPr>
              <w:t>数量</w:t>
            </w:r>
          </w:p>
        </w:tc>
        <w:tc>
          <w:tcPr>
            <w:tcW w:w="3969" w:type="dxa"/>
            <w:vAlign w:val="center"/>
          </w:tcPr>
          <w:p>
            <w:pPr>
              <w:pStyle w:val="20"/>
              <w:adjustRightInd w:val="0"/>
              <w:snapToGrid w:val="0"/>
              <w:jc w:val="center"/>
              <w:rPr>
                <w:rFonts w:ascii="仿宋" w:hAnsi="仿宋"/>
                <w:b/>
                <w:szCs w:val="24"/>
              </w:rPr>
            </w:pPr>
            <w:r>
              <w:rPr>
                <w:rFonts w:ascii="仿宋" w:hAnsi="仿宋"/>
                <w:b/>
                <w:szCs w:val="24"/>
              </w:rPr>
              <w:t>人员要求</w:t>
            </w:r>
          </w:p>
        </w:tc>
        <w:tc>
          <w:tcPr>
            <w:tcW w:w="751" w:type="dxa"/>
            <w:noWrap/>
            <w:vAlign w:val="center"/>
          </w:tcPr>
          <w:p>
            <w:pPr>
              <w:pStyle w:val="20"/>
              <w:adjustRightInd w:val="0"/>
              <w:snapToGrid w:val="0"/>
              <w:jc w:val="center"/>
              <w:rPr>
                <w:rFonts w:ascii="仿宋" w:hAnsi="仿宋"/>
                <w:b/>
                <w:szCs w:val="24"/>
              </w:rPr>
            </w:pPr>
            <w:r>
              <w:rPr>
                <w:rFonts w:ascii="仿宋" w:hAnsi="仿宋"/>
                <w:b/>
                <w:szCs w:val="24"/>
              </w:rPr>
              <w:t>驻场</w:t>
            </w:r>
          </w:p>
          <w:p>
            <w:pPr>
              <w:pStyle w:val="20"/>
              <w:adjustRightInd w:val="0"/>
              <w:snapToGrid w:val="0"/>
              <w:jc w:val="center"/>
              <w:rPr>
                <w:rFonts w:ascii="仿宋" w:hAnsi="仿宋"/>
                <w:b/>
                <w:szCs w:val="24"/>
              </w:rPr>
            </w:pPr>
            <w:r>
              <w:rPr>
                <w:rFonts w:ascii="仿宋" w:hAnsi="仿宋"/>
                <w:b/>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17" w:type="dxa"/>
            <w:noWrap/>
            <w:vAlign w:val="center"/>
          </w:tcPr>
          <w:p>
            <w:pPr>
              <w:pStyle w:val="20"/>
              <w:adjustRightInd w:val="0"/>
              <w:snapToGrid w:val="0"/>
              <w:jc w:val="center"/>
              <w:rPr>
                <w:rFonts w:ascii="仿宋" w:hAnsi="仿宋"/>
                <w:sz w:val="18"/>
                <w:szCs w:val="18"/>
              </w:rPr>
            </w:pPr>
            <w:r>
              <w:rPr>
                <w:rFonts w:ascii="仿宋" w:hAnsi="仿宋"/>
                <w:sz w:val="18"/>
                <w:szCs w:val="18"/>
              </w:rPr>
              <w:t>项目</w:t>
            </w:r>
          </w:p>
          <w:p>
            <w:pPr>
              <w:pStyle w:val="20"/>
              <w:adjustRightInd w:val="0"/>
              <w:snapToGrid w:val="0"/>
              <w:jc w:val="center"/>
              <w:rPr>
                <w:rFonts w:ascii="仿宋" w:hAnsi="仿宋"/>
                <w:sz w:val="18"/>
                <w:szCs w:val="18"/>
              </w:rPr>
            </w:pPr>
            <w:r>
              <w:rPr>
                <w:rFonts w:ascii="仿宋" w:hAnsi="仿宋"/>
                <w:sz w:val="18"/>
                <w:szCs w:val="18"/>
              </w:rPr>
              <w:t>经理</w:t>
            </w:r>
          </w:p>
        </w:tc>
        <w:tc>
          <w:tcPr>
            <w:tcW w:w="1843" w:type="dxa"/>
            <w:vAlign w:val="center"/>
          </w:tcPr>
          <w:p>
            <w:pPr>
              <w:pStyle w:val="20"/>
              <w:adjustRightInd w:val="0"/>
              <w:snapToGrid w:val="0"/>
              <w:jc w:val="center"/>
              <w:rPr>
                <w:rFonts w:ascii="仿宋" w:hAnsi="仿宋"/>
                <w:sz w:val="18"/>
                <w:szCs w:val="18"/>
              </w:rPr>
            </w:pPr>
            <w:r>
              <w:rPr>
                <w:rFonts w:ascii="仿宋" w:hAnsi="仿宋"/>
                <w:sz w:val="18"/>
                <w:szCs w:val="18"/>
              </w:rPr>
              <w:t>负责项目质量</w:t>
            </w:r>
          </w:p>
          <w:p>
            <w:pPr>
              <w:pStyle w:val="20"/>
              <w:adjustRightInd w:val="0"/>
              <w:snapToGrid w:val="0"/>
              <w:jc w:val="center"/>
              <w:rPr>
                <w:rFonts w:ascii="仿宋" w:hAnsi="仿宋"/>
                <w:sz w:val="18"/>
                <w:szCs w:val="18"/>
              </w:rPr>
            </w:pPr>
            <w:r>
              <w:rPr>
                <w:rFonts w:ascii="仿宋" w:hAnsi="仿宋"/>
                <w:sz w:val="18"/>
                <w:szCs w:val="18"/>
              </w:rPr>
              <w:t>和进度控制</w:t>
            </w:r>
          </w:p>
        </w:tc>
        <w:tc>
          <w:tcPr>
            <w:tcW w:w="709" w:type="dxa"/>
            <w:noWrap/>
            <w:vAlign w:val="center"/>
          </w:tcPr>
          <w:p>
            <w:pPr>
              <w:pStyle w:val="20"/>
              <w:adjustRightInd w:val="0"/>
              <w:snapToGrid w:val="0"/>
              <w:jc w:val="center"/>
              <w:rPr>
                <w:rFonts w:ascii="仿宋" w:hAnsi="仿宋"/>
                <w:sz w:val="18"/>
                <w:szCs w:val="18"/>
              </w:rPr>
            </w:pPr>
            <w:r>
              <w:rPr>
                <w:rFonts w:ascii="仿宋" w:hAnsi="仿宋"/>
                <w:sz w:val="18"/>
                <w:szCs w:val="18"/>
              </w:rPr>
              <w:t>1</w:t>
            </w:r>
            <w:r>
              <w:rPr>
                <w:rFonts w:hint="eastAsia" w:ascii="仿宋" w:hAnsi="仿宋"/>
                <w:sz w:val="18"/>
                <w:szCs w:val="18"/>
              </w:rPr>
              <w:t>人</w:t>
            </w:r>
          </w:p>
        </w:tc>
        <w:tc>
          <w:tcPr>
            <w:tcW w:w="3969" w:type="dxa"/>
            <w:vAlign w:val="center"/>
          </w:tcPr>
          <w:p>
            <w:pPr>
              <w:pStyle w:val="20"/>
              <w:adjustRightInd w:val="0"/>
              <w:snapToGrid w:val="0"/>
              <w:rPr>
                <w:rFonts w:ascii="仿宋" w:hAnsi="仿宋"/>
                <w:sz w:val="18"/>
                <w:szCs w:val="18"/>
              </w:rPr>
            </w:pPr>
            <w:r>
              <w:rPr>
                <w:rFonts w:hint="eastAsia" w:ascii="仿宋" w:hAnsi="仿宋"/>
                <w:sz w:val="18"/>
                <w:szCs w:val="18"/>
              </w:rPr>
              <w:t>应具备本科或以上学历且有5 年以上从业经历，</w:t>
            </w:r>
            <w:r>
              <w:rPr>
                <w:rFonts w:ascii="仿宋" w:hAnsi="仿宋"/>
                <w:sz w:val="18"/>
                <w:szCs w:val="18"/>
              </w:rPr>
              <w:t>具有类似项目实施经验</w:t>
            </w:r>
            <w:r>
              <w:rPr>
                <w:rFonts w:hint="eastAsia" w:ascii="仿宋" w:hAnsi="仿宋"/>
                <w:sz w:val="18"/>
                <w:szCs w:val="18"/>
              </w:rPr>
              <w:t>,</w:t>
            </w:r>
            <w:r>
              <w:rPr>
                <w:rFonts w:ascii="仿宋" w:hAnsi="仿宋"/>
                <w:sz w:val="18"/>
                <w:szCs w:val="18"/>
              </w:rPr>
              <w:t>持有信息系统项目管理师</w:t>
            </w:r>
            <w:r>
              <w:rPr>
                <w:rFonts w:hint="eastAsia" w:ascii="仿宋" w:hAnsi="仿宋"/>
                <w:sz w:val="18"/>
                <w:szCs w:val="18"/>
              </w:rPr>
              <w:t>资格证书</w:t>
            </w:r>
          </w:p>
        </w:tc>
        <w:tc>
          <w:tcPr>
            <w:tcW w:w="751" w:type="dxa"/>
            <w:noWrap/>
            <w:vAlign w:val="center"/>
          </w:tcPr>
          <w:p>
            <w:pPr>
              <w:pStyle w:val="20"/>
              <w:adjustRightInd w:val="0"/>
              <w:snapToGrid w:val="0"/>
              <w:jc w:val="center"/>
              <w:rPr>
                <w:rFonts w:ascii="仿宋" w:hAnsi="仿宋"/>
                <w:sz w:val="18"/>
                <w:szCs w:val="18"/>
              </w:rPr>
            </w:pPr>
            <w:r>
              <w:rPr>
                <w:rFonts w:hint="eastAsia" w:ascii="仿宋" w:hAnsi="仿宋"/>
                <w:sz w:val="18"/>
                <w:szCs w:val="18"/>
              </w:rPr>
              <w:t>不</w:t>
            </w:r>
            <w:r>
              <w:rPr>
                <w:rFonts w:ascii="仿宋" w:hAnsi="仿宋"/>
                <w:sz w:val="18"/>
                <w:szCs w:val="18"/>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17" w:type="dxa"/>
            <w:noWrap/>
            <w:vAlign w:val="center"/>
          </w:tcPr>
          <w:p>
            <w:pPr>
              <w:pStyle w:val="20"/>
              <w:adjustRightInd w:val="0"/>
              <w:snapToGrid w:val="0"/>
              <w:jc w:val="center"/>
              <w:rPr>
                <w:rFonts w:ascii="仿宋" w:hAnsi="仿宋"/>
                <w:sz w:val="18"/>
                <w:szCs w:val="18"/>
              </w:rPr>
            </w:pPr>
            <w:r>
              <w:rPr>
                <w:rFonts w:hint="eastAsia" w:ascii="仿宋" w:hAnsi="仿宋"/>
                <w:sz w:val="18"/>
                <w:szCs w:val="18"/>
              </w:rPr>
              <w:t>实施</w:t>
            </w:r>
            <w:r>
              <w:rPr>
                <w:rFonts w:ascii="仿宋" w:hAnsi="仿宋"/>
                <w:sz w:val="18"/>
                <w:szCs w:val="18"/>
              </w:rPr>
              <w:t>经理</w:t>
            </w:r>
          </w:p>
        </w:tc>
        <w:tc>
          <w:tcPr>
            <w:tcW w:w="1843" w:type="dxa"/>
            <w:noWrap/>
            <w:vAlign w:val="center"/>
          </w:tcPr>
          <w:p>
            <w:pPr>
              <w:pStyle w:val="20"/>
              <w:adjustRightInd w:val="0"/>
              <w:snapToGrid w:val="0"/>
              <w:jc w:val="center"/>
              <w:rPr>
                <w:rFonts w:ascii="仿宋" w:hAnsi="仿宋"/>
                <w:sz w:val="18"/>
                <w:szCs w:val="18"/>
              </w:rPr>
            </w:pPr>
            <w:r>
              <w:rPr>
                <w:rFonts w:ascii="仿宋" w:hAnsi="仿宋"/>
                <w:sz w:val="18"/>
                <w:szCs w:val="18"/>
              </w:rPr>
              <w:t>负责项目需求评估</w:t>
            </w:r>
            <w:r>
              <w:rPr>
                <w:rFonts w:hint="eastAsia" w:ascii="仿宋" w:hAnsi="仿宋"/>
                <w:sz w:val="18"/>
                <w:szCs w:val="18"/>
              </w:rPr>
              <w:t>、软件</w:t>
            </w:r>
            <w:r>
              <w:rPr>
                <w:rFonts w:ascii="仿宋" w:hAnsi="仿宋"/>
                <w:sz w:val="18"/>
                <w:szCs w:val="18"/>
              </w:rPr>
              <w:t>设计</w:t>
            </w:r>
            <w:r>
              <w:rPr>
                <w:rFonts w:hint="eastAsia" w:ascii="仿宋" w:hAnsi="仿宋"/>
                <w:sz w:val="18"/>
                <w:szCs w:val="18"/>
              </w:rPr>
              <w:t>与开发</w:t>
            </w:r>
          </w:p>
        </w:tc>
        <w:tc>
          <w:tcPr>
            <w:tcW w:w="709" w:type="dxa"/>
            <w:noWrap/>
            <w:vAlign w:val="center"/>
          </w:tcPr>
          <w:p>
            <w:pPr>
              <w:pStyle w:val="20"/>
              <w:adjustRightInd w:val="0"/>
              <w:snapToGrid w:val="0"/>
              <w:jc w:val="center"/>
              <w:rPr>
                <w:rFonts w:ascii="仿宋" w:hAnsi="仿宋"/>
                <w:sz w:val="18"/>
                <w:szCs w:val="18"/>
              </w:rPr>
            </w:pPr>
            <w:r>
              <w:rPr>
                <w:rFonts w:ascii="仿宋" w:hAnsi="仿宋"/>
                <w:sz w:val="18"/>
                <w:szCs w:val="18"/>
              </w:rPr>
              <w:t>1</w:t>
            </w:r>
            <w:r>
              <w:rPr>
                <w:rFonts w:hint="eastAsia" w:ascii="仿宋" w:hAnsi="仿宋"/>
                <w:sz w:val="18"/>
                <w:szCs w:val="18"/>
              </w:rPr>
              <w:t>人</w:t>
            </w:r>
          </w:p>
        </w:tc>
        <w:tc>
          <w:tcPr>
            <w:tcW w:w="3969" w:type="dxa"/>
            <w:vAlign w:val="center"/>
          </w:tcPr>
          <w:p>
            <w:pPr>
              <w:pStyle w:val="20"/>
              <w:adjustRightInd w:val="0"/>
              <w:snapToGrid w:val="0"/>
              <w:jc w:val="center"/>
              <w:rPr>
                <w:rFonts w:ascii="仿宋" w:hAnsi="仿宋"/>
                <w:sz w:val="18"/>
                <w:szCs w:val="18"/>
              </w:rPr>
            </w:pPr>
            <w:r>
              <w:rPr>
                <w:rFonts w:hint="eastAsia" w:ascii="仿宋" w:hAnsi="仿宋"/>
                <w:sz w:val="18"/>
                <w:szCs w:val="18"/>
              </w:rPr>
              <w:t>应具备本科或以上学历，具有类似项目经验。</w:t>
            </w:r>
          </w:p>
        </w:tc>
        <w:tc>
          <w:tcPr>
            <w:tcW w:w="751" w:type="dxa"/>
            <w:noWrap/>
            <w:vAlign w:val="center"/>
          </w:tcPr>
          <w:p>
            <w:pPr>
              <w:pStyle w:val="20"/>
              <w:adjustRightInd w:val="0"/>
              <w:snapToGrid w:val="0"/>
              <w:jc w:val="center"/>
              <w:rPr>
                <w:rFonts w:ascii="仿宋" w:hAnsi="仿宋"/>
                <w:sz w:val="18"/>
                <w:szCs w:val="18"/>
              </w:rPr>
            </w:pPr>
            <w:r>
              <w:rPr>
                <w:rFonts w:hint="eastAsia" w:ascii="仿宋" w:hAnsi="仿宋"/>
                <w:sz w:val="18"/>
                <w:szCs w:val="18"/>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17" w:type="dxa"/>
            <w:noWrap/>
            <w:vAlign w:val="center"/>
          </w:tcPr>
          <w:p>
            <w:pPr>
              <w:pStyle w:val="20"/>
              <w:adjustRightInd w:val="0"/>
              <w:snapToGrid w:val="0"/>
              <w:jc w:val="center"/>
              <w:rPr>
                <w:rFonts w:ascii="仿宋" w:hAnsi="仿宋"/>
                <w:sz w:val="18"/>
                <w:szCs w:val="18"/>
              </w:rPr>
            </w:pPr>
            <w:r>
              <w:rPr>
                <w:rFonts w:hint="eastAsia" w:ascii="仿宋" w:hAnsi="仿宋"/>
                <w:sz w:val="18"/>
                <w:szCs w:val="18"/>
              </w:rPr>
              <w:t>技术负责人</w:t>
            </w:r>
          </w:p>
        </w:tc>
        <w:tc>
          <w:tcPr>
            <w:tcW w:w="1843" w:type="dxa"/>
            <w:noWrap/>
            <w:vAlign w:val="center"/>
          </w:tcPr>
          <w:p>
            <w:pPr>
              <w:pStyle w:val="20"/>
              <w:adjustRightInd w:val="0"/>
              <w:snapToGrid w:val="0"/>
              <w:jc w:val="center"/>
              <w:rPr>
                <w:rFonts w:ascii="仿宋" w:hAnsi="仿宋"/>
                <w:sz w:val="18"/>
                <w:szCs w:val="18"/>
              </w:rPr>
            </w:pPr>
            <w:r>
              <w:rPr>
                <w:rFonts w:ascii="仿宋" w:hAnsi="仿宋"/>
                <w:sz w:val="18"/>
                <w:szCs w:val="18"/>
              </w:rPr>
              <w:t>负责项目开发与实施</w:t>
            </w:r>
            <w:r>
              <w:rPr>
                <w:rFonts w:hint="eastAsia" w:ascii="仿宋" w:hAnsi="仿宋"/>
                <w:sz w:val="18"/>
                <w:szCs w:val="18"/>
              </w:rPr>
              <w:t>的指导与监督</w:t>
            </w:r>
          </w:p>
        </w:tc>
        <w:tc>
          <w:tcPr>
            <w:tcW w:w="709" w:type="dxa"/>
            <w:noWrap/>
            <w:vAlign w:val="center"/>
          </w:tcPr>
          <w:p>
            <w:pPr>
              <w:pStyle w:val="20"/>
              <w:adjustRightInd w:val="0"/>
              <w:snapToGrid w:val="0"/>
              <w:jc w:val="center"/>
              <w:rPr>
                <w:rFonts w:ascii="仿宋" w:hAnsi="仿宋"/>
                <w:sz w:val="18"/>
                <w:szCs w:val="18"/>
              </w:rPr>
            </w:pPr>
            <w:r>
              <w:rPr>
                <w:rFonts w:hint="eastAsia" w:ascii="仿宋" w:hAnsi="仿宋"/>
                <w:sz w:val="18"/>
                <w:szCs w:val="18"/>
              </w:rPr>
              <w:t>1人</w:t>
            </w:r>
          </w:p>
        </w:tc>
        <w:tc>
          <w:tcPr>
            <w:tcW w:w="3969" w:type="dxa"/>
            <w:vAlign w:val="center"/>
          </w:tcPr>
          <w:p>
            <w:pPr>
              <w:pStyle w:val="20"/>
              <w:adjustRightInd w:val="0"/>
              <w:snapToGrid w:val="0"/>
              <w:jc w:val="center"/>
              <w:rPr>
                <w:rFonts w:ascii="仿宋" w:hAnsi="仿宋"/>
                <w:sz w:val="18"/>
                <w:szCs w:val="18"/>
              </w:rPr>
            </w:pPr>
            <w:r>
              <w:rPr>
                <w:rFonts w:hint="eastAsia" w:ascii="仿宋" w:hAnsi="仿宋"/>
                <w:sz w:val="18"/>
                <w:szCs w:val="18"/>
              </w:rPr>
              <w:t>应具备本科或以上学历,持有系统架构设计师证书</w:t>
            </w:r>
          </w:p>
        </w:tc>
        <w:tc>
          <w:tcPr>
            <w:tcW w:w="751" w:type="dxa"/>
            <w:noWrap/>
            <w:vAlign w:val="center"/>
          </w:tcPr>
          <w:p>
            <w:pPr>
              <w:pStyle w:val="20"/>
              <w:adjustRightInd w:val="0"/>
              <w:snapToGrid w:val="0"/>
              <w:jc w:val="center"/>
              <w:rPr>
                <w:rFonts w:ascii="仿宋" w:hAnsi="仿宋"/>
                <w:sz w:val="18"/>
                <w:szCs w:val="18"/>
              </w:rPr>
            </w:pPr>
            <w:r>
              <w:rPr>
                <w:rFonts w:hint="eastAsia" w:ascii="仿宋" w:hAnsi="仿宋"/>
                <w:sz w:val="18"/>
                <w:szCs w:val="18"/>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17" w:type="dxa"/>
            <w:noWrap/>
            <w:vAlign w:val="center"/>
          </w:tcPr>
          <w:p>
            <w:pPr>
              <w:pStyle w:val="20"/>
              <w:adjustRightInd w:val="0"/>
              <w:snapToGrid w:val="0"/>
              <w:jc w:val="center"/>
              <w:rPr>
                <w:rFonts w:ascii="仿宋" w:hAnsi="仿宋"/>
                <w:sz w:val="18"/>
                <w:szCs w:val="18"/>
              </w:rPr>
            </w:pPr>
            <w:r>
              <w:rPr>
                <w:rFonts w:ascii="仿宋" w:hAnsi="仿宋"/>
                <w:sz w:val="18"/>
                <w:szCs w:val="18"/>
              </w:rPr>
              <w:t>研发</w:t>
            </w:r>
          </w:p>
        </w:tc>
        <w:tc>
          <w:tcPr>
            <w:tcW w:w="1843" w:type="dxa"/>
            <w:noWrap/>
            <w:vAlign w:val="center"/>
          </w:tcPr>
          <w:p>
            <w:pPr>
              <w:pStyle w:val="20"/>
              <w:adjustRightInd w:val="0"/>
              <w:snapToGrid w:val="0"/>
              <w:jc w:val="center"/>
              <w:rPr>
                <w:rFonts w:ascii="仿宋" w:hAnsi="仿宋"/>
                <w:sz w:val="18"/>
                <w:szCs w:val="18"/>
              </w:rPr>
            </w:pPr>
            <w:r>
              <w:rPr>
                <w:rFonts w:ascii="仿宋" w:hAnsi="仿宋"/>
                <w:sz w:val="18"/>
                <w:szCs w:val="18"/>
              </w:rPr>
              <w:t>负责项目</w:t>
            </w:r>
          </w:p>
          <w:p>
            <w:pPr>
              <w:pStyle w:val="20"/>
              <w:adjustRightInd w:val="0"/>
              <w:snapToGrid w:val="0"/>
              <w:jc w:val="center"/>
              <w:rPr>
                <w:rFonts w:ascii="仿宋" w:hAnsi="仿宋"/>
                <w:sz w:val="18"/>
                <w:szCs w:val="18"/>
              </w:rPr>
            </w:pPr>
            <w:r>
              <w:rPr>
                <w:rFonts w:ascii="仿宋" w:hAnsi="仿宋"/>
                <w:sz w:val="18"/>
                <w:szCs w:val="18"/>
              </w:rPr>
              <w:t>具体开发与实施</w:t>
            </w:r>
          </w:p>
        </w:tc>
        <w:tc>
          <w:tcPr>
            <w:tcW w:w="709" w:type="dxa"/>
            <w:noWrap/>
            <w:vAlign w:val="center"/>
          </w:tcPr>
          <w:p>
            <w:pPr>
              <w:pStyle w:val="20"/>
              <w:adjustRightInd w:val="0"/>
              <w:snapToGrid w:val="0"/>
              <w:jc w:val="center"/>
              <w:rPr>
                <w:rFonts w:ascii="仿宋" w:hAnsi="仿宋"/>
                <w:sz w:val="18"/>
                <w:szCs w:val="18"/>
              </w:rPr>
            </w:pPr>
            <w:r>
              <w:rPr>
                <w:rFonts w:hint="eastAsia" w:ascii="仿宋" w:hAnsi="仿宋"/>
                <w:sz w:val="18"/>
                <w:szCs w:val="18"/>
              </w:rPr>
              <w:t>6人</w:t>
            </w:r>
          </w:p>
        </w:tc>
        <w:tc>
          <w:tcPr>
            <w:tcW w:w="3969" w:type="dxa"/>
            <w:vAlign w:val="center"/>
          </w:tcPr>
          <w:p>
            <w:pPr>
              <w:pStyle w:val="20"/>
              <w:adjustRightInd w:val="0"/>
              <w:snapToGrid w:val="0"/>
              <w:rPr>
                <w:rFonts w:ascii="仿宋" w:hAnsi="仿宋"/>
                <w:sz w:val="18"/>
                <w:szCs w:val="18"/>
              </w:rPr>
            </w:pPr>
            <w:r>
              <w:rPr>
                <w:rFonts w:hint="eastAsia" w:ascii="仿宋" w:hAnsi="仿宋"/>
                <w:sz w:val="18"/>
                <w:szCs w:val="18"/>
              </w:rPr>
              <w:t>至少2人具有计算机技术与软件专业技术资格（水平）考试中级资格证书</w:t>
            </w:r>
          </w:p>
        </w:tc>
        <w:tc>
          <w:tcPr>
            <w:tcW w:w="751" w:type="dxa"/>
            <w:noWrap/>
            <w:vAlign w:val="center"/>
          </w:tcPr>
          <w:p>
            <w:pPr>
              <w:pStyle w:val="20"/>
              <w:adjustRightInd w:val="0"/>
              <w:snapToGrid w:val="0"/>
              <w:jc w:val="center"/>
              <w:rPr>
                <w:rFonts w:ascii="仿宋" w:hAnsi="仿宋"/>
                <w:sz w:val="18"/>
                <w:szCs w:val="18"/>
              </w:rPr>
            </w:pPr>
            <w:r>
              <w:rPr>
                <w:rFonts w:hint="eastAsia" w:ascii="仿宋" w:hAnsi="仿宋"/>
                <w:sz w:val="18"/>
                <w:szCs w:val="18"/>
              </w:rPr>
              <w:t>2</w:t>
            </w:r>
            <w:r>
              <w:rPr>
                <w:rFonts w:ascii="仿宋" w:hAnsi="仿宋"/>
                <w:sz w:val="18"/>
                <w:szCs w:val="18"/>
              </w:rPr>
              <w:t>人</w:t>
            </w:r>
          </w:p>
          <w:p>
            <w:pPr>
              <w:pStyle w:val="20"/>
              <w:adjustRightInd w:val="0"/>
              <w:snapToGrid w:val="0"/>
              <w:jc w:val="center"/>
              <w:rPr>
                <w:rFonts w:ascii="仿宋" w:hAnsi="仿宋"/>
                <w:sz w:val="18"/>
                <w:szCs w:val="18"/>
              </w:rPr>
            </w:pPr>
            <w:r>
              <w:rPr>
                <w:rFonts w:ascii="仿宋" w:hAnsi="仿宋"/>
                <w:sz w:val="18"/>
                <w:szCs w:val="18"/>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17" w:type="dxa"/>
            <w:noWrap/>
            <w:vAlign w:val="center"/>
          </w:tcPr>
          <w:p>
            <w:pPr>
              <w:pStyle w:val="20"/>
              <w:adjustRightInd w:val="0"/>
              <w:snapToGrid w:val="0"/>
              <w:jc w:val="center"/>
              <w:rPr>
                <w:rFonts w:ascii="仿宋" w:hAnsi="仿宋"/>
                <w:sz w:val="18"/>
                <w:szCs w:val="18"/>
              </w:rPr>
            </w:pPr>
            <w:r>
              <w:rPr>
                <w:rFonts w:hint="eastAsia" w:ascii="仿宋" w:hAnsi="仿宋"/>
                <w:sz w:val="18"/>
                <w:szCs w:val="18"/>
              </w:rPr>
              <w:t>测试</w:t>
            </w:r>
          </w:p>
        </w:tc>
        <w:tc>
          <w:tcPr>
            <w:tcW w:w="1843" w:type="dxa"/>
            <w:noWrap/>
            <w:vAlign w:val="center"/>
          </w:tcPr>
          <w:p>
            <w:pPr>
              <w:pStyle w:val="20"/>
              <w:adjustRightInd w:val="0"/>
              <w:snapToGrid w:val="0"/>
              <w:jc w:val="center"/>
              <w:rPr>
                <w:rFonts w:ascii="仿宋" w:hAnsi="仿宋"/>
                <w:sz w:val="18"/>
                <w:szCs w:val="18"/>
              </w:rPr>
            </w:pPr>
            <w:r>
              <w:rPr>
                <w:rFonts w:hint="eastAsia" w:ascii="仿宋" w:hAnsi="仿宋"/>
                <w:sz w:val="18"/>
                <w:szCs w:val="18"/>
              </w:rPr>
              <w:t>负责项目开发阶段测试工作</w:t>
            </w:r>
          </w:p>
        </w:tc>
        <w:tc>
          <w:tcPr>
            <w:tcW w:w="709" w:type="dxa"/>
            <w:noWrap/>
            <w:vAlign w:val="center"/>
          </w:tcPr>
          <w:p>
            <w:pPr>
              <w:pStyle w:val="20"/>
              <w:adjustRightInd w:val="0"/>
              <w:snapToGrid w:val="0"/>
              <w:jc w:val="center"/>
              <w:rPr>
                <w:rFonts w:ascii="仿宋" w:hAnsi="仿宋"/>
                <w:sz w:val="18"/>
                <w:szCs w:val="18"/>
              </w:rPr>
            </w:pPr>
            <w:r>
              <w:rPr>
                <w:rFonts w:hint="eastAsia" w:ascii="仿宋" w:hAnsi="仿宋"/>
                <w:sz w:val="18"/>
                <w:szCs w:val="18"/>
              </w:rPr>
              <w:t>1人</w:t>
            </w:r>
          </w:p>
        </w:tc>
        <w:tc>
          <w:tcPr>
            <w:tcW w:w="3969" w:type="dxa"/>
            <w:vAlign w:val="center"/>
          </w:tcPr>
          <w:p>
            <w:pPr>
              <w:pStyle w:val="20"/>
              <w:adjustRightInd w:val="0"/>
              <w:snapToGrid w:val="0"/>
              <w:jc w:val="center"/>
              <w:rPr>
                <w:rFonts w:ascii="仿宋" w:hAnsi="仿宋"/>
                <w:sz w:val="18"/>
                <w:szCs w:val="18"/>
              </w:rPr>
            </w:pPr>
            <w:r>
              <w:rPr>
                <w:rFonts w:hint="eastAsia" w:ascii="仿宋" w:hAnsi="仿宋"/>
                <w:sz w:val="18"/>
                <w:szCs w:val="18"/>
              </w:rPr>
              <w:t>应具备专科或以上学历，具有类似测试经验。</w:t>
            </w:r>
          </w:p>
        </w:tc>
        <w:tc>
          <w:tcPr>
            <w:tcW w:w="751" w:type="dxa"/>
            <w:noWrap/>
            <w:vAlign w:val="center"/>
          </w:tcPr>
          <w:p>
            <w:pPr>
              <w:pStyle w:val="20"/>
              <w:adjustRightInd w:val="0"/>
              <w:snapToGrid w:val="0"/>
              <w:jc w:val="center"/>
              <w:rPr>
                <w:rFonts w:ascii="仿宋" w:hAnsi="仿宋"/>
                <w:sz w:val="18"/>
                <w:szCs w:val="18"/>
              </w:rPr>
            </w:pPr>
            <w:r>
              <w:rPr>
                <w:rFonts w:hint="eastAsia" w:ascii="仿宋" w:hAnsi="仿宋"/>
                <w:sz w:val="18"/>
                <w:szCs w:val="18"/>
              </w:rPr>
              <w:t>不驻场</w:t>
            </w:r>
          </w:p>
        </w:tc>
      </w:tr>
    </w:tbl>
    <w:p>
      <w:pPr>
        <w:adjustRightInd w:val="0"/>
        <w:snapToGrid w:val="0"/>
        <w:spacing w:line="240" w:lineRule="auto"/>
        <w:ind w:firstLine="560"/>
        <w:rPr>
          <w:rFonts w:ascii="仿宋" w:hAnsi="仿宋"/>
        </w:rPr>
      </w:pPr>
    </w:p>
    <w:p>
      <w:pPr>
        <w:adjustRightInd w:val="0"/>
        <w:snapToGrid w:val="0"/>
        <w:ind w:firstLine="560"/>
        <w:rPr>
          <w:rFonts w:ascii="仿宋" w:hAnsi="仿宋"/>
        </w:rPr>
      </w:pPr>
      <w:r>
        <w:rPr>
          <w:rFonts w:hint="eastAsia" w:ascii="仿宋" w:hAnsi="仿宋"/>
        </w:rPr>
        <w:t>（2）</w:t>
      </w:r>
      <w:r>
        <w:rPr>
          <w:rFonts w:ascii="仿宋" w:hAnsi="仿宋"/>
        </w:rPr>
        <w:t>供应商应针对本项目提供不少于</w:t>
      </w:r>
      <w:r>
        <w:rPr>
          <w:rFonts w:hint="eastAsia" w:ascii="仿宋" w:hAnsi="仿宋"/>
        </w:rPr>
        <w:t>2</w:t>
      </w:r>
      <w:r>
        <w:rPr>
          <w:rFonts w:ascii="仿宋" w:hAnsi="仿宋"/>
        </w:rPr>
        <w:t>人的质保期间支撑团队</w:t>
      </w:r>
      <w:r>
        <w:rPr>
          <w:rFonts w:hint="eastAsia" w:ascii="仿宋" w:hAnsi="仿宋"/>
        </w:rPr>
        <w:t>，</w:t>
      </w:r>
      <w:r>
        <w:rPr>
          <w:rFonts w:ascii="仿宋" w:hAnsi="仿宋"/>
        </w:rPr>
        <w:t>供应商的相关服务人员需具备相应的服务能力，需提供相关证明（</w:t>
      </w:r>
      <w:r>
        <w:rPr>
          <w:rFonts w:hint="eastAsia" w:ascii="仿宋" w:hAnsi="仿宋"/>
        </w:rPr>
        <w:t>项目组成员缴纳的近三个月中任意一个月的社保证明凭证</w:t>
      </w:r>
      <w:r>
        <w:rPr>
          <w:rFonts w:ascii="仿宋" w:hAnsi="仿宋"/>
        </w:rPr>
        <w:t>）。</w:t>
      </w:r>
    </w:p>
    <w:tbl>
      <w:tblPr>
        <w:tblStyle w:val="30"/>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709"/>
        <w:gridCol w:w="396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noWrap/>
            <w:vAlign w:val="center"/>
          </w:tcPr>
          <w:p>
            <w:pPr>
              <w:widowControl/>
              <w:adjustRightInd w:val="0"/>
              <w:snapToGrid w:val="0"/>
              <w:spacing w:line="240" w:lineRule="auto"/>
              <w:ind w:firstLine="0" w:firstLineChars="0"/>
              <w:jc w:val="center"/>
              <w:rPr>
                <w:rFonts w:ascii="仿宋" w:hAnsi="仿宋"/>
                <w:b/>
                <w:sz w:val="24"/>
                <w:szCs w:val="24"/>
              </w:rPr>
            </w:pPr>
            <w:r>
              <w:rPr>
                <w:rFonts w:ascii="仿宋" w:hAnsi="仿宋"/>
                <w:b/>
                <w:sz w:val="24"/>
                <w:szCs w:val="24"/>
              </w:rPr>
              <w:t>角色</w:t>
            </w:r>
          </w:p>
        </w:tc>
        <w:tc>
          <w:tcPr>
            <w:tcW w:w="1843" w:type="dxa"/>
            <w:noWrap/>
            <w:vAlign w:val="center"/>
          </w:tcPr>
          <w:p>
            <w:pPr>
              <w:widowControl/>
              <w:adjustRightInd w:val="0"/>
              <w:snapToGrid w:val="0"/>
              <w:spacing w:line="240" w:lineRule="auto"/>
              <w:ind w:firstLine="0" w:firstLineChars="0"/>
              <w:jc w:val="center"/>
              <w:rPr>
                <w:rFonts w:ascii="仿宋" w:hAnsi="仿宋"/>
                <w:b/>
                <w:sz w:val="24"/>
                <w:szCs w:val="24"/>
              </w:rPr>
            </w:pPr>
            <w:r>
              <w:rPr>
                <w:rFonts w:ascii="仿宋" w:hAnsi="仿宋"/>
                <w:b/>
                <w:sz w:val="24"/>
                <w:szCs w:val="24"/>
              </w:rPr>
              <w:t>主要职责</w:t>
            </w:r>
          </w:p>
        </w:tc>
        <w:tc>
          <w:tcPr>
            <w:tcW w:w="709" w:type="dxa"/>
            <w:noWrap/>
            <w:vAlign w:val="center"/>
          </w:tcPr>
          <w:p>
            <w:pPr>
              <w:widowControl/>
              <w:adjustRightInd w:val="0"/>
              <w:snapToGrid w:val="0"/>
              <w:spacing w:line="240" w:lineRule="auto"/>
              <w:ind w:firstLine="0" w:firstLineChars="0"/>
              <w:jc w:val="center"/>
              <w:rPr>
                <w:rFonts w:ascii="仿宋" w:hAnsi="仿宋"/>
                <w:b/>
                <w:sz w:val="24"/>
                <w:szCs w:val="24"/>
              </w:rPr>
            </w:pPr>
            <w:r>
              <w:rPr>
                <w:rFonts w:ascii="仿宋" w:hAnsi="仿宋"/>
                <w:b/>
                <w:sz w:val="24"/>
                <w:szCs w:val="24"/>
              </w:rPr>
              <w:t>人员数量</w:t>
            </w:r>
          </w:p>
        </w:tc>
        <w:tc>
          <w:tcPr>
            <w:tcW w:w="3969" w:type="dxa"/>
            <w:vAlign w:val="center"/>
          </w:tcPr>
          <w:p>
            <w:pPr>
              <w:widowControl/>
              <w:adjustRightInd w:val="0"/>
              <w:snapToGrid w:val="0"/>
              <w:spacing w:line="240" w:lineRule="auto"/>
              <w:ind w:firstLine="0" w:firstLineChars="0"/>
              <w:jc w:val="center"/>
              <w:rPr>
                <w:rFonts w:ascii="仿宋" w:hAnsi="仿宋"/>
                <w:b/>
                <w:sz w:val="24"/>
                <w:szCs w:val="24"/>
              </w:rPr>
            </w:pPr>
            <w:r>
              <w:rPr>
                <w:rFonts w:ascii="仿宋" w:hAnsi="仿宋"/>
                <w:b/>
                <w:sz w:val="24"/>
                <w:szCs w:val="24"/>
              </w:rPr>
              <w:t>人员要求</w:t>
            </w:r>
          </w:p>
        </w:tc>
        <w:tc>
          <w:tcPr>
            <w:tcW w:w="708" w:type="dxa"/>
            <w:noWrap/>
            <w:vAlign w:val="center"/>
          </w:tcPr>
          <w:p>
            <w:pPr>
              <w:widowControl/>
              <w:adjustRightInd w:val="0"/>
              <w:snapToGrid w:val="0"/>
              <w:spacing w:line="240" w:lineRule="auto"/>
              <w:ind w:firstLine="0" w:firstLineChars="0"/>
              <w:jc w:val="center"/>
              <w:rPr>
                <w:rFonts w:ascii="仿宋" w:hAnsi="仿宋"/>
                <w:b/>
                <w:sz w:val="24"/>
                <w:szCs w:val="24"/>
              </w:rPr>
            </w:pPr>
            <w:r>
              <w:rPr>
                <w:rFonts w:ascii="仿宋" w:hAnsi="仿宋"/>
                <w:b/>
                <w:sz w:val="24"/>
                <w:szCs w:val="24"/>
              </w:rPr>
              <w:t>驻场</w:t>
            </w:r>
          </w:p>
          <w:p>
            <w:pPr>
              <w:widowControl/>
              <w:adjustRightInd w:val="0"/>
              <w:snapToGrid w:val="0"/>
              <w:spacing w:line="240" w:lineRule="auto"/>
              <w:ind w:firstLine="0" w:firstLineChars="0"/>
              <w:jc w:val="center"/>
              <w:rPr>
                <w:rFonts w:ascii="仿宋" w:hAnsi="仿宋"/>
                <w:b/>
                <w:sz w:val="24"/>
                <w:szCs w:val="24"/>
              </w:rPr>
            </w:pPr>
            <w:r>
              <w:rPr>
                <w:rFonts w:ascii="仿宋" w:hAnsi="仿宋"/>
                <w:b/>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noWrap/>
            <w:vAlign w:val="center"/>
          </w:tcPr>
          <w:p>
            <w:pPr>
              <w:widowControl/>
              <w:adjustRightInd w:val="0"/>
              <w:snapToGrid w:val="0"/>
              <w:spacing w:line="240" w:lineRule="auto"/>
              <w:ind w:firstLine="0" w:firstLineChars="0"/>
              <w:jc w:val="center"/>
              <w:rPr>
                <w:rFonts w:ascii="仿宋" w:hAnsi="仿宋"/>
                <w:sz w:val="18"/>
                <w:szCs w:val="18"/>
              </w:rPr>
            </w:pPr>
            <w:r>
              <w:rPr>
                <w:rFonts w:hint="eastAsia" w:ascii="仿宋" w:hAnsi="仿宋"/>
                <w:sz w:val="18"/>
                <w:szCs w:val="18"/>
              </w:rPr>
              <w:t>项目</w:t>
            </w:r>
          </w:p>
          <w:p>
            <w:pPr>
              <w:widowControl/>
              <w:adjustRightInd w:val="0"/>
              <w:snapToGrid w:val="0"/>
              <w:spacing w:line="240" w:lineRule="auto"/>
              <w:ind w:firstLine="0" w:firstLineChars="0"/>
              <w:jc w:val="center"/>
              <w:rPr>
                <w:rFonts w:ascii="仿宋" w:hAnsi="仿宋"/>
                <w:sz w:val="18"/>
                <w:szCs w:val="18"/>
              </w:rPr>
            </w:pPr>
            <w:r>
              <w:rPr>
                <w:rFonts w:hint="eastAsia" w:ascii="仿宋" w:hAnsi="仿宋"/>
                <w:sz w:val="18"/>
                <w:szCs w:val="18"/>
              </w:rPr>
              <w:t>经理</w:t>
            </w:r>
          </w:p>
        </w:tc>
        <w:tc>
          <w:tcPr>
            <w:tcW w:w="1843" w:type="dxa"/>
            <w:vAlign w:val="center"/>
          </w:tcPr>
          <w:p>
            <w:pPr>
              <w:widowControl/>
              <w:adjustRightInd w:val="0"/>
              <w:snapToGrid w:val="0"/>
              <w:spacing w:line="240" w:lineRule="auto"/>
              <w:ind w:firstLine="0" w:firstLineChars="0"/>
              <w:jc w:val="center"/>
              <w:rPr>
                <w:rFonts w:ascii="仿宋" w:hAnsi="仿宋"/>
                <w:sz w:val="18"/>
                <w:szCs w:val="18"/>
              </w:rPr>
            </w:pPr>
            <w:r>
              <w:rPr>
                <w:rFonts w:ascii="仿宋" w:hAnsi="仿宋"/>
                <w:sz w:val="18"/>
                <w:szCs w:val="18"/>
              </w:rPr>
              <w:t>负责项目质量</w:t>
            </w:r>
          </w:p>
          <w:p>
            <w:pPr>
              <w:widowControl/>
              <w:adjustRightInd w:val="0"/>
              <w:snapToGrid w:val="0"/>
              <w:spacing w:line="240" w:lineRule="auto"/>
              <w:ind w:firstLine="0" w:firstLineChars="0"/>
              <w:jc w:val="center"/>
              <w:rPr>
                <w:rFonts w:ascii="仿宋" w:hAnsi="仿宋"/>
                <w:sz w:val="18"/>
                <w:szCs w:val="18"/>
              </w:rPr>
            </w:pPr>
            <w:r>
              <w:rPr>
                <w:rFonts w:ascii="仿宋" w:hAnsi="仿宋"/>
                <w:sz w:val="18"/>
                <w:szCs w:val="18"/>
              </w:rPr>
              <w:t>和进度控制</w:t>
            </w:r>
          </w:p>
        </w:tc>
        <w:tc>
          <w:tcPr>
            <w:tcW w:w="709" w:type="dxa"/>
            <w:noWrap/>
            <w:vAlign w:val="center"/>
          </w:tcPr>
          <w:p>
            <w:pPr>
              <w:widowControl/>
              <w:adjustRightInd w:val="0"/>
              <w:snapToGrid w:val="0"/>
              <w:spacing w:line="240" w:lineRule="auto"/>
              <w:ind w:firstLine="0" w:firstLineChars="0"/>
              <w:jc w:val="center"/>
              <w:rPr>
                <w:rFonts w:ascii="仿宋" w:hAnsi="仿宋"/>
                <w:sz w:val="18"/>
                <w:szCs w:val="18"/>
              </w:rPr>
            </w:pPr>
            <w:r>
              <w:rPr>
                <w:rFonts w:hint="eastAsia" w:ascii="仿宋" w:hAnsi="仿宋"/>
                <w:sz w:val="18"/>
                <w:szCs w:val="18"/>
              </w:rPr>
              <w:t>1</w:t>
            </w:r>
          </w:p>
        </w:tc>
        <w:tc>
          <w:tcPr>
            <w:tcW w:w="3969" w:type="dxa"/>
            <w:vAlign w:val="center"/>
          </w:tcPr>
          <w:p>
            <w:pPr>
              <w:widowControl/>
              <w:adjustRightInd w:val="0"/>
              <w:snapToGrid w:val="0"/>
              <w:spacing w:line="240" w:lineRule="auto"/>
              <w:ind w:firstLine="0" w:firstLineChars="0"/>
              <w:rPr>
                <w:rFonts w:ascii="仿宋" w:hAnsi="仿宋"/>
                <w:sz w:val="18"/>
                <w:szCs w:val="18"/>
              </w:rPr>
            </w:pPr>
            <w:r>
              <w:rPr>
                <w:rFonts w:ascii="仿宋" w:hAnsi="仿宋"/>
                <w:sz w:val="18"/>
                <w:szCs w:val="18"/>
              </w:rPr>
              <w:t>大学本科或以上学历，具有类似项目实施经验</w:t>
            </w:r>
            <w:r>
              <w:rPr>
                <w:rFonts w:hint="eastAsia" w:ascii="仿宋" w:hAnsi="仿宋"/>
                <w:sz w:val="18"/>
                <w:szCs w:val="18"/>
              </w:rPr>
              <w:t>，</w:t>
            </w:r>
            <w:r>
              <w:rPr>
                <w:rFonts w:ascii="仿宋" w:hAnsi="仿宋"/>
                <w:sz w:val="18"/>
                <w:szCs w:val="18"/>
              </w:rPr>
              <w:t>持有信息系统项目管理师</w:t>
            </w:r>
            <w:r>
              <w:rPr>
                <w:rFonts w:hint="eastAsia" w:ascii="仿宋" w:hAnsi="仿宋"/>
                <w:sz w:val="18"/>
                <w:szCs w:val="18"/>
              </w:rPr>
              <w:t>资格</w:t>
            </w:r>
          </w:p>
        </w:tc>
        <w:tc>
          <w:tcPr>
            <w:tcW w:w="708" w:type="dxa"/>
            <w:noWrap/>
            <w:vAlign w:val="center"/>
          </w:tcPr>
          <w:p>
            <w:pPr>
              <w:widowControl/>
              <w:adjustRightInd w:val="0"/>
              <w:snapToGrid w:val="0"/>
              <w:spacing w:line="240" w:lineRule="auto"/>
              <w:ind w:firstLine="0" w:firstLineChars="0"/>
              <w:jc w:val="center"/>
              <w:rPr>
                <w:rFonts w:ascii="仿宋" w:hAnsi="仿宋"/>
                <w:sz w:val="18"/>
                <w:szCs w:val="18"/>
              </w:rPr>
            </w:pPr>
            <w:r>
              <w:rPr>
                <w:rFonts w:hint="eastAsia" w:ascii="仿宋" w:hAnsi="仿宋"/>
                <w:sz w:val="18"/>
                <w:szCs w:val="18"/>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noWrap/>
            <w:vAlign w:val="center"/>
          </w:tcPr>
          <w:p>
            <w:pPr>
              <w:widowControl/>
              <w:adjustRightInd w:val="0"/>
              <w:snapToGrid w:val="0"/>
              <w:spacing w:line="240" w:lineRule="auto"/>
              <w:ind w:firstLine="0" w:firstLineChars="0"/>
              <w:jc w:val="center"/>
              <w:rPr>
                <w:rFonts w:ascii="仿宋" w:hAnsi="仿宋"/>
                <w:sz w:val="18"/>
                <w:szCs w:val="18"/>
              </w:rPr>
            </w:pPr>
            <w:r>
              <w:rPr>
                <w:rFonts w:ascii="仿宋" w:hAnsi="仿宋"/>
                <w:sz w:val="18"/>
                <w:szCs w:val="18"/>
              </w:rPr>
              <w:t>技术</w:t>
            </w:r>
          </w:p>
          <w:p>
            <w:pPr>
              <w:widowControl/>
              <w:adjustRightInd w:val="0"/>
              <w:snapToGrid w:val="0"/>
              <w:spacing w:line="240" w:lineRule="auto"/>
              <w:ind w:firstLine="0" w:firstLineChars="0"/>
              <w:jc w:val="center"/>
              <w:rPr>
                <w:rFonts w:ascii="仿宋" w:hAnsi="仿宋"/>
                <w:sz w:val="18"/>
                <w:szCs w:val="18"/>
              </w:rPr>
            </w:pPr>
            <w:r>
              <w:rPr>
                <w:rFonts w:ascii="仿宋" w:hAnsi="仿宋"/>
                <w:sz w:val="18"/>
                <w:szCs w:val="18"/>
              </w:rPr>
              <w:t>工程师</w:t>
            </w:r>
          </w:p>
        </w:tc>
        <w:tc>
          <w:tcPr>
            <w:tcW w:w="1843" w:type="dxa"/>
            <w:noWrap/>
            <w:vAlign w:val="center"/>
          </w:tcPr>
          <w:p>
            <w:pPr>
              <w:widowControl/>
              <w:adjustRightInd w:val="0"/>
              <w:snapToGrid w:val="0"/>
              <w:spacing w:line="240" w:lineRule="auto"/>
              <w:ind w:firstLine="0" w:firstLineChars="0"/>
              <w:jc w:val="center"/>
              <w:rPr>
                <w:rFonts w:ascii="仿宋" w:hAnsi="仿宋"/>
                <w:sz w:val="18"/>
                <w:szCs w:val="18"/>
              </w:rPr>
            </w:pPr>
            <w:r>
              <w:rPr>
                <w:rFonts w:ascii="仿宋" w:hAnsi="仿宋"/>
                <w:sz w:val="18"/>
                <w:szCs w:val="18"/>
              </w:rPr>
              <w:t>负责项目运行维护</w:t>
            </w:r>
          </w:p>
        </w:tc>
        <w:tc>
          <w:tcPr>
            <w:tcW w:w="709" w:type="dxa"/>
            <w:noWrap/>
            <w:vAlign w:val="center"/>
          </w:tcPr>
          <w:p>
            <w:pPr>
              <w:widowControl/>
              <w:adjustRightInd w:val="0"/>
              <w:snapToGrid w:val="0"/>
              <w:spacing w:line="240" w:lineRule="auto"/>
              <w:ind w:firstLine="0" w:firstLineChars="0"/>
              <w:jc w:val="center"/>
              <w:rPr>
                <w:rFonts w:ascii="仿宋" w:hAnsi="仿宋"/>
                <w:sz w:val="18"/>
                <w:szCs w:val="18"/>
              </w:rPr>
            </w:pPr>
            <w:r>
              <w:rPr>
                <w:rFonts w:hint="eastAsia" w:ascii="仿宋" w:hAnsi="仿宋"/>
                <w:sz w:val="18"/>
                <w:szCs w:val="18"/>
              </w:rPr>
              <w:t>1</w:t>
            </w:r>
          </w:p>
        </w:tc>
        <w:tc>
          <w:tcPr>
            <w:tcW w:w="3969" w:type="dxa"/>
            <w:vAlign w:val="center"/>
          </w:tcPr>
          <w:p>
            <w:pPr>
              <w:widowControl/>
              <w:adjustRightInd w:val="0"/>
              <w:snapToGrid w:val="0"/>
              <w:spacing w:line="240" w:lineRule="auto"/>
              <w:ind w:firstLine="0" w:firstLineChars="0"/>
              <w:jc w:val="center"/>
              <w:rPr>
                <w:rFonts w:ascii="仿宋" w:hAnsi="仿宋"/>
                <w:sz w:val="18"/>
                <w:szCs w:val="18"/>
              </w:rPr>
            </w:pPr>
            <w:r>
              <w:rPr>
                <w:rFonts w:ascii="仿宋" w:hAnsi="仿宋"/>
                <w:sz w:val="18"/>
                <w:szCs w:val="18"/>
              </w:rPr>
              <w:t>/</w:t>
            </w:r>
          </w:p>
        </w:tc>
        <w:tc>
          <w:tcPr>
            <w:tcW w:w="708" w:type="dxa"/>
            <w:noWrap/>
            <w:vAlign w:val="center"/>
          </w:tcPr>
          <w:p>
            <w:pPr>
              <w:widowControl/>
              <w:adjustRightInd w:val="0"/>
              <w:snapToGrid w:val="0"/>
              <w:spacing w:line="240" w:lineRule="auto"/>
              <w:ind w:firstLine="0" w:firstLineChars="0"/>
              <w:jc w:val="center"/>
              <w:rPr>
                <w:rFonts w:ascii="仿宋" w:hAnsi="仿宋"/>
                <w:sz w:val="18"/>
                <w:szCs w:val="18"/>
              </w:rPr>
            </w:pPr>
            <w:r>
              <w:rPr>
                <w:rFonts w:hint="eastAsia" w:ascii="仿宋" w:hAnsi="仿宋"/>
                <w:sz w:val="18"/>
                <w:szCs w:val="18"/>
              </w:rPr>
              <w:t>驻场</w:t>
            </w:r>
          </w:p>
        </w:tc>
      </w:tr>
    </w:tbl>
    <w:p>
      <w:pPr>
        <w:pStyle w:val="20"/>
      </w:pPr>
    </w:p>
    <w:bookmarkEnd w:id="39"/>
    <w:p>
      <w:pPr>
        <w:pStyle w:val="4"/>
        <w:adjustRightInd w:val="0"/>
        <w:snapToGrid w:val="0"/>
        <w:rPr>
          <w:rFonts w:ascii="Times New Roman" w:hAnsi="Times New Roman" w:eastAsia="仿宋"/>
        </w:rPr>
      </w:pPr>
      <w:r>
        <w:rPr>
          <w:rFonts w:hint="eastAsia" w:ascii="Times New Roman" w:hAnsi="Times New Roman"/>
        </w:rPr>
        <w:t>安全要求</w:t>
      </w:r>
    </w:p>
    <w:p>
      <w:pPr>
        <w:pStyle w:val="5"/>
        <w:adjustRightInd w:val="0"/>
        <w:snapToGrid w:val="0"/>
      </w:pPr>
      <w:r>
        <w:rPr>
          <w:rFonts w:hint="eastAsia"/>
        </w:rPr>
        <w:t>安全设计要求</w:t>
      </w:r>
    </w:p>
    <w:p>
      <w:pPr>
        <w:adjustRightInd w:val="0"/>
        <w:snapToGrid w:val="0"/>
        <w:ind w:firstLine="560"/>
        <w:rPr>
          <w:rFonts w:ascii="Times New Roman" w:hAnsi="Times New Roman"/>
        </w:rPr>
      </w:pPr>
      <w:r>
        <w:rPr>
          <w:rFonts w:hint="eastAsia" w:ascii="Times New Roman" w:hAnsi="Times New Roman"/>
        </w:rPr>
        <w:t>投标人须结合本项目应用场景，制定详细的项目安全方案，包括但不限于安全需求分析、在应用安全和数据安全方面采取的安全措施、应急处置等方面内容，保证项目能够安全、平稳、高效运行。项目安全方案应满足等保三级要求。</w:t>
      </w:r>
    </w:p>
    <w:p>
      <w:pPr>
        <w:pStyle w:val="5"/>
      </w:pPr>
      <w:bookmarkStart w:id="40" w:name="_Toc152938315"/>
      <w:r>
        <w:t>商业密码应用需求</w:t>
      </w:r>
      <w:bookmarkEnd w:id="40"/>
    </w:p>
    <w:p>
      <w:pPr>
        <w:adjustRightInd w:val="0"/>
        <w:snapToGrid w:val="0"/>
        <w:ind w:firstLine="560"/>
        <w:rPr>
          <w:rFonts w:ascii="Times New Roman" w:hAnsi="Times New Roman"/>
        </w:rPr>
      </w:pPr>
      <w:r>
        <w:rPr>
          <w:rFonts w:hint="eastAsia" w:ascii="Times New Roman" w:hAnsi="Times New Roman"/>
        </w:rPr>
        <w:t>本次项目建设内容需要符合商业密码应用需求。采用密码技术对登陆用户进行身份鉴别，保证应用系统用户身份的真实性；采用密码技术保证应用系统的访问控制信息的完整性；采用密码技术保证应用系统重要数据在传输和存储过程中的机密性；采用密码技术保证应用系统重要数据在传输和存储过程中的完整性。</w:t>
      </w:r>
    </w:p>
    <w:p>
      <w:pPr>
        <w:pStyle w:val="4"/>
      </w:pPr>
      <w:bookmarkStart w:id="41" w:name="_Toc152938316"/>
      <w:bookmarkStart w:id="42" w:name="_Toc63785512"/>
      <w:r>
        <w:t>技术文件要求</w:t>
      </w:r>
      <w:bookmarkEnd w:id="41"/>
    </w:p>
    <w:p>
      <w:pPr>
        <w:adjustRightInd w:val="0"/>
        <w:snapToGrid w:val="0"/>
        <w:ind w:firstLine="560"/>
        <w:rPr>
          <w:rFonts w:ascii="Times New Roman" w:hAnsi="Times New Roman"/>
        </w:rPr>
      </w:pPr>
      <w:r>
        <w:rPr>
          <w:rFonts w:hint="eastAsia" w:ascii="Times New Roman" w:hAnsi="Times New Roman"/>
        </w:rPr>
        <w:t>供应商提供的书面技术资料应能确保系统正常运行所需的管理、运营及维护有关的全套文件。技术文件应该全面、完整、详细。供应商提供的技术文件至少应包括：</w:t>
      </w:r>
    </w:p>
    <w:p>
      <w:pPr>
        <w:adjustRightInd w:val="0"/>
        <w:snapToGrid w:val="0"/>
        <w:ind w:firstLine="560"/>
        <w:rPr>
          <w:rFonts w:ascii="Times New Roman" w:hAnsi="Times New Roman"/>
        </w:rPr>
      </w:pPr>
      <w:r>
        <w:rPr>
          <w:rFonts w:hint="eastAsia" w:ascii="Times New Roman" w:hAnsi="Times New Roman"/>
        </w:rPr>
        <w:t>－系统说明文件；</w:t>
      </w:r>
    </w:p>
    <w:p>
      <w:pPr>
        <w:adjustRightInd w:val="0"/>
        <w:snapToGrid w:val="0"/>
        <w:ind w:firstLine="560"/>
        <w:rPr>
          <w:rFonts w:ascii="Times New Roman" w:hAnsi="Times New Roman"/>
        </w:rPr>
      </w:pPr>
      <w:r>
        <w:rPr>
          <w:rFonts w:hint="eastAsia" w:ascii="Times New Roman" w:hAnsi="Times New Roman"/>
        </w:rPr>
        <w:t>－技术手册（安装、测试、操作、维护、故障排除等）；</w:t>
      </w:r>
    </w:p>
    <w:p>
      <w:pPr>
        <w:adjustRightInd w:val="0"/>
        <w:snapToGrid w:val="0"/>
        <w:ind w:firstLine="560"/>
        <w:rPr>
          <w:rFonts w:ascii="Times New Roman" w:hAnsi="Times New Roman"/>
        </w:rPr>
      </w:pPr>
      <w:r>
        <w:rPr>
          <w:rFonts w:hint="eastAsia" w:ascii="Times New Roman" w:hAnsi="Times New Roman"/>
        </w:rPr>
        <w:t>－项目文档，应该包括：</w:t>
      </w:r>
    </w:p>
    <w:p>
      <w:pPr>
        <w:adjustRightInd w:val="0"/>
        <w:snapToGrid w:val="0"/>
        <w:ind w:firstLine="560"/>
        <w:rPr>
          <w:rFonts w:ascii="Times New Roman" w:hAnsi="Times New Roman"/>
        </w:rPr>
      </w:pPr>
      <w:r>
        <w:rPr>
          <w:rFonts w:hint="eastAsia" w:ascii="Times New Roman" w:hAnsi="Times New Roman"/>
        </w:rPr>
        <w:t>（1）需求说明书</w:t>
      </w:r>
    </w:p>
    <w:p>
      <w:pPr>
        <w:adjustRightInd w:val="0"/>
        <w:snapToGrid w:val="0"/>
        <w:ind w:firstLine="560"/>
        <w:rPr>
          <w:rFonts w:ascii="Times New Roman" w:hAnsi="Times New Roman"/>
        </w:rPr>
      </w:pPr>
      <w:r>
        <w:rPr>
          <w:rFonts w:hint="eastAsia" w:ascii="Times New Roman" w:hAnsi="Times New Roman"/>
        </w:rPr>
        <w:t>（2）系统设计说明书</w:t>
      </w:r>
    </w:p>
    <w:p>
      <w:pPr>
        <w:adjustRightInd w:val="0"/>
        <w:snapToGrid w:val="0"/>
        <w:ind w:firstLine="560"/>
        <w:rPr>
          <w:rFonts w:ascii="Times New Roman" w:hAnsi="Times New Roman"/>
        </w:rPr>
      </w:pPr>
      <w:r>
        <w:rPr>
          <w:rFonts w:hint="eastAsia" w:ascii="Times New Roman" w:hAnsi="Times New Roman"/>
        </w:rPr>
        <w:t>（3）应用功能清单</w:t>
      </w:r>
    </w:p>
    <w:p>
      <w:pPr>
        <w:adjustRightInd w:val="0"/>
        <w:snapToGrid w:val="0"/>
        <w:ind w:firstLine="560"/>
        <w:rPr>
          <w:rFonts w:ascii="Times New Roman" w:hAnsi="Times New Roman"/>
        </w:rPr>
      </w:pPr>
      <w:r>
        <w:rPr>
          <w:rFonts w:hint="eastAsia" w:ascii="Times New Roman" w:hAnsi="Times New Roman"/>
        </w:rPr>
        <w:t>－采购人认为必要的其他文档，投标人根据实际情况提供，如下：</w:t>
      </w:r>
    </w:p>
    <w:p>
      <w:pPr>
        <w:pStyle w:val="17"/>
        <w:spacing w:line="360" w:lineRule="auto"/>
        <w:ind w:firstLine="482"/>
        <w:jc w:val="center"/>
        <w:rPr>
          <w:color w:val="000000"/>
          <w:kern w:val="0"/>
        </w:rPr>
      </w:pPr>
      <w:r>
        <w:rPr>
          <w:rFonts w:hint="eastAsia"/>
          <w:b/>
          <w:bCs/>
          <w:color w:val="000000"/>
          <w:kern w:val="0"/>
        </w:rPr>
        <w:t>信息化项目全过程文档汇总清单</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5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b/>
                <w:color w:val="000000"/>
                <w:kern w:val="0"/>
                <w:sz w:val="24"/>
                <w:szCs w:val="24"/>
              </w:rPr>
            </w:pPr>
            <w:r>
              <w:rPr>
                <w:rFonts w:hint="eastAsia" w:ascii="仿宋" w:hAnsi="仿宋"/>
                <w:b/>
                <w:color w:val="000000"/>
                <w:kern w:val="0"/>
                <w:sz w:val="24"/>
                <w:szCs w:val="24"/>
              </w:rPr>
              <w:t>文档名称</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b/>
                <w:color w:val="000000"/>
                <w:kern w:val="0"/>
                <w:sz w:val="24"/>
                <w:szCs w:val="24"/>
              </w:rPr>
            </w:pPr>
            <w:r>
              <w:rPr>
                <w:rFonts w:hint="eastAsia" w:ascii="仿宋" w:hAnsi="仿宋"/>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仿宋" w:hAnsi="仿宋"/>
                <w:b/>
                <w:color w:val="000000"/>
                <w:sz w:val="18"/>
                <w:szCs w:val="18"/>
              </w:rPr>
            </w:pPr>
            <w:r>
              <w:rPr>
                <w:rFonts w:hint="eastAsia" w:ascii="仿宋" w:hAnsi="仿宋"/>
                <w:b/>
                <w:color w:val="000000"/>
                <w:kern w:val="0"/>
                <w:sz w:val="18"/>
                <w:szCs w:val="18"/>
              </w:rPr>
              <w:t>实施前期阶段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工程开工报审、开工报告</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项目概况、前期准备工作情况、单位三证合一、相关资质、项目人员名单、项目人员</w:t>
            </w:r>
            <w:r>
              <w:rPr>
                <w:rFonts w:ascii="仿宋" w:hAnsi="仿宋"/>
                <w:color w:val="000000"/>
                <w:kern w:val="0"/>
                <w:sz w:val="18"/>
                <w:szCs w:val="18"/>
              </w:rPr>
              <w:t>BM</w:t>
            </w:r>
            <w:r>
              <w:rPr>
                <w:rFonts w:hint="eastAsia" w:ascii="仿宋" w:hAnsi="仿宋"/>
                <w:color w:val="000000"/>
                <w:kern w:val="0"/>
                <w:sz w:val="18"/>
                <w:szCs w:val="18"/>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需求分析、确认</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项目描述、系统需求概述、系统功能需求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b/>
                <w:color w:val="000000"/>
                <w:kern w:val="0"/>
                <w:sz w:val="18"/>
                <w:szCs w:val="18"/>
              </w:rPr>
            </w:pPr>
            <w:r>
              <w:rPr>
                <w:rFonts w:hint="eastAsia" w:ascii="仿宋" w:hAnsi="仿宋"/>
                <w:b/>
                <w:color w:val="000000"/>
                <w:kern w:val="0"/>
                <w:sz w:val="18"/>
                <w:szCs w:val="18"/>
              </w:rPr>
              <w:t>软件设计阶段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设计开发（编码）计划</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各模块开发时间、人员安排、可系统演示的节点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开发量考核</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人员考勤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概要设计说明书</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概要设计评审（含总体设计、接口设计、应用系统设计）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详细设计说明书</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详细设计评审（含系统概述、系统环境、功能模块设计、代码设计）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数据库结构设计说明书</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数据库整体描述、</w:t>
            </w:r>
            <w:r>
              <w:rPr>
                <w:rFonts w:ascii="仿宋" w:hAnsi="仿宋"/>
                <w:color w:val="000000"/>
                <w:kern w:val="0"/>
                <w:sz w:val="18"/>
                <w:szCs w:val="18"/>
              </w:rPr>
              <w:t>E-R</w:t>
            </w:r>
            <w:r>
              <w:rPr>
                <w:rFonts w:hint="eastAsia" w:ascii="仿宋" w:hAnsi="仿宋"/>
                <w:color w:val="000000"/>
                <w:kern w:val="0"/>
                <w:sz w:val="18"/>
                <w:szCs w:val="18"/>
              </w:rPr>
              <w:t>图或表关系、系统基本表、外部数据需求、数据归集方式选择等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b/>
                <w:color w:val="000000"/>
                <w:kern w:val="0"/>
                <w:sz w:val="18"/>
                <w:szCs w:val="18"/>
              </w:rPr>
            </w:pPr>
            <w:r>
              <w:rPr>
                <w:rFonts w:hint="eastAsia" w:ascii="仿宋" w:hAnsi="仿宋"/>
                <w:b/>
                <w:color w:val="000000"/>
                <w:kern w:val="0"/>
                <w:sz w:val="18"/>
                <w:szCs w:val="18"/>
              </w:rPr>
              <w:t>实施阶段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总体实施方案</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项目实施方案报审</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实施计划</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软件开发，系统测试，试运行计划等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系统集成方案</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系统前期规划，人员配置、系统架构、网络端口地址、配置等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项目变更报审</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按实际情况提供（含变更说明及清单、停产附厂商证明，需求变更需说明情况）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项目阶段性报告</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系统维护手册</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系统上线保障方案</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方案适用范围、保障措施、保障流程、人员分配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应急预案</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测试方案</w:t>
            </w:r>
          </w:p>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测试记录</w:t>
            </w:r>
          </w:p>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测试报告</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含测试环境、浏览器、目标、测试角色、测试地址、流程、内容、人员安排、问题记录等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培训材料</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含培训手册、培训签到、培训内容讲义、培训反馈记录表等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试运行方案</w:t>
            </w:r>
          </w:p>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试运行记录</w:t>
            </w:r>
          </w:p>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试运行报告</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含目的、期限、准备（人员、环境、培训管理、用户培训）、制度（职责、措施）、试运行内容、问题记录等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代码审计</w:t>
            </w:r>
          </w:p>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渗透测试报告</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重大项目原则上在上线前提供代码审计、渗透测试结果及整改复核情况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软件开发源代码</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涉及到软件开发部分，源代码需要备份留存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b/>
                <w:color w:val="000000"/>
                <w:kern w:val="0"/>
                <w:sz w:val="18"/>
                <w:szCs w:val="18"/>
              </w:rPr>
            </w:pPr>
            <w:r>
              <w:rPr>
                <w:rFonts w:hint="eastAsia" w:ascii="仿宋" w:hAnsi="仿宋"/>
                <w:b/>
                <w:color w:val="000000"/>
                <w:kern w:val="0"/>
                <w:sz w:val="18"/>
                <w:szCs w:val="18"/>
              </w:rPr>
              <w:t>验收阶段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初验申请</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仿宋" w:hAnsi="仿宋"/>
                <w:color w:val="000000"/>
                <w:sz w:val="18"/>
                <w:szCs w:val="18"/>
              </w:rPr>
            </w:pPr>
            <w:r>
              <w:rPr>
                <w:rFonts w:hint="eastAsia" w:ascii="仿宋" w:hAnsi="仿宋"/>
                <w:color w:val="000000"/>
                <w:kern w:val="0"/>
                <w:sz w:val="18"/>
                <w:szCs w:val="18"/>
              </w:rPr>
              <w:t>（三方）项目初验检查情况及报告、第三方测评报告、用户报告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center"/>
              <w:rPr>
                <w:rFonts w:ascii="仿宋" w:hAnsi="仿宋"/>
                <w:color w:val="000000"/>
                <w:kern w:val="0"/>
                <w:sz w:val="18"/>
                <w:szCs w:val="18"/>
              </w:rPr>
            </w:pPr>
            <w:r>
              <w:rPr>
                <w:rFonts w:hint="eastAsia" w:ascii="仿宋" w:hAnsi="仿宋"/>
                <w:color w:val="000000"/>
                <w:kern w:val="0"/>
                <w:sz w:val="18"/>
                <w:szCs w:val="18"/>
              </w:rPr>
              <w:t>建设总结</w:t>
            </w:r>
          </w:p>
        </w:tc>
        <w:tc>
          <w:tcPr>
            <w:tcW w:w="59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建设情况（背景、批复、总投资、招投标、建设进度）</w:t>
            </w:r>
          </w:p>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建设成果（建设目标和完成情况、总体架构、应用系统、硬件集成、系统安全建设、土建和配套工程、标准技术）</w:t>
            </w:r>
          </w:p>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经验教训（总体架构、建设方案、项目实施、组织机制）</w:t>
            </w:r>
          </w:p>
          <w:p>
            <w:pPr>
              <w:widowControl/>
              <w:adjustRightInd w:val="0"/>
              <w:snapToGrid w:val="0"/>
              <w:spacing w:line="240" w:lineRule="auto"/>
              <w:ind w:firstLine="0" w:firstLineChars="0"/>
              <w:jc w:val="left"/>
              <w:rPr>
                <w:rFonts w:ascii="仿宋" w:hAnsi="仿宋"/>
                <w:color w:val="000000"/>
                <w:kern w:val="0"/>
                <w:sz w:val="18"/>
                <w:szCs w:val="18"/>
              </w:rPr>
            </w:pPr>
            <w:r>
              <w:rPr>
                <w:rFonts w:hint="eastAsia" w:ascii="仿宋" w:hAnsi="仿宋"/>
                <w:color w:val="000000"/>
                <w:kern w:val="0"/>
                <w:sz w:val="18"/>
                <w:szCs w:val="18"/>
              </w:rPr>
              <w:t>建设评价（项目总体、技术效果、环境影响、社会影响、可持续性）</w:t>
            </w:r>
          </w:p>
        </w:tc>
      </w:tr>
    </w:tbl>
    <w:p>
      <w:pPr>
        <w:pStyle w:val="3"/>
      </w:pPr>
      <w:bookmarkStart w:id="43" w:name="_Toc152938317"/>
      <w:r>
        <w:rPr>
          <w:rFonts w:hint="eastAsia"/>
        </w:rPr>
        <w:t>、</w:t>
      </w:r>
      <w:r>
        <w:t>供应商管理要求</w:t>
      </w:r>
      <w:bookmarkEnd w:id="42"/>
      <w:bookmarkEnd w:id="43"/>
    </w:p>
    <w:p>
      <w:pPr>
        <w:adjustRightInd w:val="0"/>
        <w:snapToGrid w:val="0"/>
        <w:ind w:firstLine="560"/>
        <w:rPr>
          <w:rFonts w:ascii="仿宋" w:hAnsi="仿宋"/>
        </w:rPr>
      </w:pPr>
      <w:r>
        <w:rPr>
          <w:rFonts w:ascii="仿宋" w:hAnsi="仿宋"/>
        </w:rPr>
        <w:t>1、在项目实施期间，中标人应严格执行国家、地方、行业有关本项目业务管理和安全作业的法律、法规和制度并按规定承担相应的费用。中标人因违反规定等原因造成的一切损失和责任由中标人自行承担。</w:t>
      </w:r>
    </w:p>
    <w:p>
      <w:pPr>
        <w:adjustRightInd w:val="0"/>
        <w:snapToGrid w:val="0"/>
        <w:ind w:firstLine="560"/>
        <w:rPr>
          <w:rFonts w:ascii="仿宋" w:hAnsi="仿宋"/>
        </w:rPr>
      </w:pPr>
      <w:r>
        <w:rPr>
          <w:rFonts w:ascii="仿宋" w:hAnsi="仿宋"/>
        </w:rPr>
        <w:t>2、中标人在投标书中承诺并经采购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pPr>
        <w:adjustRightInd w:val="0"/>
        <w:snapToGrid w:val="0"/>
        <w:ind w:firstLine="560"/>
        <w:rPr>
          <w:rFonts w:ascii="仿宋" w:hAnsi="仿宋"/>
        </w:rPr>
      </w:pPr>
      <w:r>
        <w:rPr>
          <w:rFonts w:ascii="仿宋" w:hAnsi="仿宋"/>
        </w:rPr>
        <w:t>3、中标人在项目实施期间，应按项目实际进度与环节落实所对应项目整体及各环节管理工作，按照规范做好项目实施期间相关管理与实施记录。</w:t>
      </w:r>
    </w:p>
    <w:p>
      <w:pPr>
        <w:adjustRightInd w:val="0"/>
        <w:snapToGrid w:val="0"/>
        <w:ind w:firstLine="560"/>
        <w:rPr>
          <w:rFonts w:ascii="仿宋" w:hAnsi="仿宋"/>
        </w:rPr>
      </w:pPr>
      <w:r>
        <w:rPr>
          <w:rFonts w:ascii="仿宋" w:hAnsi="仿宋"/>
        </w:rPr>
        <w:t>4、参与本项目的工作人员应严格遵循采购人的安全制度，保障采购人资料和设备的安全。中标人如需进入采购人机房工作，只能在采购人规定的工作区域内对项目涉及的设备进行操作，严禁触动与项目无关的任何设备（包括任何操作行为），如需跨区操作必须得到采购人项目联系人确认。</w:t>
      </w:r>
    </w:p>
    <w:p>
      <w:pPr>
        <w:adjustRightInd w:val="0"/>
        <w:snapToGrid w:val="0"/>
        <w:ind w:firstLine="560"/>
        <w:rPr>
          <w:rFonts w:ascii="仿宋" w:hAnsi="仿宋"/>
        </w:rPr>
      </w:pPr>
      <w:r>
        <w:rPr>
          <w:rFonts w:ascii="仿宋" w:hAnsi="仿宋"/>
        </w:rPr>
        <w:t>5、中标人在项目实施期间必须遵守采购人的规章制度并提供实施人员名单。</w:t>
      </w:r>
    </w:p>
    <w:p>
      <w:pPr>
        <w:adjustRightInd w:val="0"/>
        <w:snapToGrid w:val="0"/>
        <w:ind w:firstLine="560"/>
        <w:rPr>
          <w:rFonts w:ascii="仿宋" w:hAnsi="仿宋"/>
        </w:rPr>
      </w:pPr>
      <w:r>
        <w:rPr>
          <w:rFonts w:ascii="仿宋" w:hAnsi="仿宋"/>
        </w:rPr>
        <w:t>6、各供应商在投标文件中要结合本项目的特点和采购人上述的具体要求制定相应的管理措施，并在报价中列支相应的费用清单，供应商报价中未列支上述费用清单的，上述费用视为已包含在供应商的投标总报价中。</w:t>
      </w:r>
    </w:p>
    <w:p>
      <w:pPr>
        <w:adjustRightInd w:val="0"/>
        <w:snapToGrid w:val="0"/>
        <w:ind w:firstLine="560"/>
        <w:rPr>
          <w:rFonts w:ascii="仿宋" w:hAnsi="仿宋"/>
        </w:rPr>
      </w:pPr>
      <w:r>
        <w:rPr>
          <w:rFonts w:ascii="仿宋" w:hAnsi="仿宋"/>
        </w:rPr>
        <w:t>7、本项目软件开发及调试将纳入采购人的管理范围，中标人在此过程中须服从上述单位的管理协调。</w:t>
      </w:r>
      <w:bookmarkStart w:id="44" w:name="_Toc63785513"/>
    </w:p>
    <w:p>
      <w:pPr>
        <w:adjustRightInd w:val="0"/>
        <w:snapToGrid w:val="0"/>
        <w:ind w:firstLine="560"/>
        <w:rPr>
          <w:rFonts w:ascii="仿宋" w:hAnsi="仿宋"/>
        </w:rPr>
      </w:pPr>
      <w:r>
        <w:rPr>
          <w:rFonts w:hint="eastAsia" w:ascii="仿宋" w:hAnsi="仿宋"/>
          <w:lang w:val="en-US" w:eastAsia="zh-CN"/>
        </w:rPr>
        <w:t>8.</w:t>
      </w:r>
      <w:r>
        <w:rPr>
          <w:rFonts w:hint="eastAsia" w:ascii="仿宋" w:hAnsi="仿宋"/>
          <w:lang w:eastAsia="zh-CN"/>
        </w:rPr>
        <w:t>供应商</w:t>
      </w:r>
      <w:r>
        <w:rPr>
          <w:rFonts w:hint="eastAsia" w:ascii="仿宋" w:hAnsi="仿宋"/>
        </w:rPr>
        <w:t>具有质量管理体系认证证书、信息技术服务管理体系认证、信息安全管理体系认证证书</w:t>
      </w:r>
      <w:r>
        <w:rPr>
          <w:rFonts w:hint="eastAsia" w:ascii="仿宋" w:hAnsi="仿宋"/>
          <w:lang w:eastAsia="zh-CN"/>
        </w:rPr>
        <w:t>及</w:t>
      </w:r>
      <w:r>
        <w:rPr>
          <w:rFonts w:hint="eastAsia" w:ascii="仿宋" w:hAnsi="仿宋"/>
        </w:rPr>
        <w:t>与本项目需求相关的软件著作权证书</w:t>
      </w:r>
      <w:r>
        <w:rPr>
          <w:rFonts w:hint="eastAsia" w:ascii="仿宋" w:hAnsi="仿宋"/>
          <w:lang w:eastAsia="zh-CN"/>
        </w:rPr>
        <w:t>（</w:t>
      </w:r>
      <w:r>
        <w:rPr>
          <w:rFonts w:hint="eastAsia" w:ascii="仿宋" w:hAnsi="仿宋"/>
        </w:rPr>
        <w:t>包括民政业务、资金内控类</w:t>
      </w:r>
      <w:r>
        <w:rPr>
          <w:rFonts w:hint="eastAsia" w:ascii="仿宋" w:hAnsi="仿宋"/>
          <w:lang w:eastAsia="zh-CN"/>
        </w:rPr>
        <w:t>）的优先考虑</w:t>
      </w:r>
      <w:bookmarkStart w:id="45" w:name="_GoBack"/>
      <w:bookmarkEnd w:id="45"/>
      <w:r>
        <w:rPr>
          <w:rFonts w:hint="eastAsia" w:ascii="仿宋" w:hAnsi="仿宋"/>
        </w:rPr>
        <w:t>。</w:t>
      </w:r>
    </w:p>
    <w:p>
      <w:pPr>
        <w:pStyle w:val="3"/>
        <w:rPr>
          <w:color w:val="000000"/>
        </w:rPr>
      </w:pPr>
      <w:r>
        <w:rPr>
          <w:rFonts w:hint="eastAsia"/>
          <w:color w:val="000000"/>
        </w:rPr>
        <w:t>、知识产权及保密要求</w:t>
      </w:r>
    </w:p>
    <w:p>
      <w:pPr>
        <w:ind w:firstLine="560"/>
        <w:rPr>
          <w:bCs/>
          <w:color w:val="000000"/>
        </w:rPr>
      </w:pPr>
      <w:r>
        <w:rPr>
          <w:bCs/>
          <w:color w:val="000000"/>
        </w:rPr>
        <w:t>1、成交供应商数据、文件、资料知识产权</w:t>
      </w:r>
    </w:p>
    <w:p>
      <w:pPr>
        <w:ind w:firstLine="560"/>
        <w:rPr>
          <w:bCs/>
          <w:color w:val="000000"/>
        </w:rPr>
      </w:pPr>
      <w:r>
        <w:rPr>
          <w:rFonts w:hint="eastAsia"/>
          <w:bCs/>
          <w:color w:val="000000"/>
        </w:rPr>
        <w:t>成交供应商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成交供应商应负责与第三方解决纠纷，若因此导致采购人损失的，采购人有权要求成交供应商赔偿采购人因此遭受的全部损失，包括但不限于直接损失、间接损失、诉讼费</w:t>
      </w:r>
      <w:r>
        <w:rPr>
          <w:bCs/>
          <w:color w:val="000000"/>
        </w:rPr>
        <w:t>/仲裁费、律师费、公证费、鉴定费等。</w:t>
      </w:r>
    </w:p>
    <w:p>
      <w:pPr>
        <w:ind w:firstLine="560"/>
        <w:rPr>
          <w:bCs/>
          <w:color w:val="000000"/>
        </w:rPr>
      </w:pPr>
      <w:r>
        <w:rPr>
          <w:rFonts w:hint="eastAsia"/>
          <w:bCs/>
          <w:color w:val="000000"/>
        </w:rPr>
        <w:t>成交供应商因履行本项目而产生的所有成果的知识产权等权利均归采购人所有，成交供应商应配合采购人进行相关权利登记或申请。未经采购人书面同意，成交供应商不得以任何形式使用或许可他人使用本项目成果的相关内容，不得擅自对外公开发表或向任何第三方透露。</w:t>
      </w:r>
    </w:p>
    <w:p>
      <w:pPr>
        <w:ind w:firstLine="560"/>
        <w:rPr>
          <w:bCs/>
          <w:color w:val="000000"/>
        </w:rPr>
      </w:pPr>
      <w:r>
        <w:rPr>
          <w:rFonts w:hint="eastAsia"/>
          <w:bCs/>
          <w:color w:val="000000"/>
        </w:rPr>
        <w:t>在不影响上述条款规定的由采购人取得所有成果的知识产权的前提下，双方因履行本项目而被授权接触或使用对方之知识产权（包括但不限于商标、专利、著作权等），和</w:t>
      </w:r>
      <w:r>
        <w:rPr>
          <w:bCs/>
          <w:color w:val="000000"/>
        </w:rPr>
        <w:t>/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pPr>
        <w:ind w:firstLine="560"/>
        <w:rPr>
          <w:bCs/>
          <w:color w:val="000000"/>
        </w:rPr>
      </w:pPr>
      <w:r>
        <w:rPr>
          <w:bCs/>
          <w:color w:val="000000"/>
        </w:rPr>
        <w:t>2、项目保密要求</w:t>
      </w:r>
    </w:p>
    <w:p>
      <w:pPr>
        <w:ind w:firstLine="560"/>
        <w:rPr>
          <w:bCs/>
          <w:color w:val="000000"/>
        </w:rPr>
      </w:pPr>
      <w:r>
        <w:rPr>
          <w:rFonts w:hint="eastAsia"/>
          <w:bCs/>
          <w:color w:val="000000"/>
        </w:rPr>
        <w:t>成交供应商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成交供应商不得对外泄露采购人要求保密的信息，不得用于其他用途，否则成交供应商需承担由此引起的法律责任和经济责任，包括但不限于直接损失、间接损失、律师费、诉讼费</w:t>
      </w:r>
      <w:r>
        <w:rPr>
          <w:bCs/>
          <w:color w:val="000000"/>
        </w:rPr>
        <w:t>/仲裁费、调查费、公证费等。</w:t>
      </w:r>
    </w:p>
    <w:p>
      <w:pPr>
        <w:ind w:firstLine="560"/>
        <w:rPr>
          <w:bCs/>
          <w:color w:val="000000"/>
        </w:rPr>
      </w:pPr>
      <w:r>
        <w:rPr>
          <w:rFonts w:hint="eastAsia"/>
          <w:bCs/>
          <w:color w:val="000000"/>
        </w:rPr>
        <w:t>成交供应商应采取必要的有效措施保证其参与本项目的人员（包括成交供应商聘用的人员、借调的人员、实习的人员）无论是在职或离职后，以及成交供应商的合作方无论是合作中或合作终止后，都能够履行本项目约定的保密义务。若成交供应商人员或成交供应商合作方违反保密规定，成交供应商应承担连带责任。</w:t>
      </w:r>
    </w:p>
    <w:p>
      <w:pPr>
        <w:ind w:firstLine="560"/>
        <w:rPr>
          <w:bCs/>
          <w:color w:val="000000"/>
        </w:rPr>
      </w:pPr>
      <w:r>
        <w:rPr>
          <w:rFonts w:hint="eastAsia"/>
          <w:bCs/>
          <w:color w:val="000000"/>
        </w:rPr>
        <w:t>成交供应商（含成交供应商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pPr>
        <w:ind w:firstLine="560"/>
        <w:rPr>
          <w:bCs/>
          <w:color w:val="000000"/>
        </w:rPr>
      </w:pPr>
      <w:r>
        <w:rPr>
          <w:rFonts w:hint="eastAsia"/>
          <w:bCs/>
          <w:color w:val="000000"/>
        </w:rPr>
        <w:t>以上内容的保密期限自成交供应商知悉保密信息起始至保密信息被合法公开之日止。</w:t>
      </w:r>
    </w:p>
    <w:p>
      <w:pPr>
        <w:ind w:firstLine="560"/>
        <w:rPr>
          <w:bCs/>
          <w:color w:val="000000"/>
        </w:rPr>
      </w:pPr>
      <w:r>
        <w:rPr>
          <w:bCs/>
          <w:color w:val="000000"/>
        </w:rPr>
        <w:t>3、临时账号等使用要求</w:t>
      </w:r>
    </w:p>
    <w:p>
      <w:pPr>
        <w:ind w:firstLine="560"/>
        <w:rPr>
          <w:bCs/>
          <w:color w:val="000000"/>
        </w:rPr>
      </w:pPr>
      <w:r>
        <w:rPr>
          <w:rFonts w:hint="eastAsia"/>
          <w:bCs/>
          <w:color w:val="000000"/>
        </w:rPr>
        <w:t>成交供应商对采购人提拱的临时使用账号要保密，不得公开，对组件开发的账号密码需进行加密，避免信息安全的泄露。未经采购人的同意不得利用采购人的网络及平台进行短信、彩信、微信发送，造成的一切后果由成交供应商负责。</w:t>
      </w:r>
    </w:p>
    <w:bookmarkEnd w:id="44"/>
    <w:p>
      <w:pPr>
        <w:widowControl/>
        <w:spacing w:line="240" w:lineRule="auto"/>
        <w:ind w:firstLine="0" w:firstLineChars="0"/>
        <w:jc w:val="left"/>
      </w:pPr>
    </w:p>
    <w:sectPr>
      <w:footerReference r:id="rId11" w:type="first"/>
      <w:pgSz w:w="11906" w:h="16838"/>
      <w:pgMar w:top="1134" w:right="1797" w:bottom="1135" w:left="1797" w:header="340" w:footer="7" w:gutter="0"/>
      <w:cols w:space="720" w:num="1"/>
      <w:titlePg/>
      <w:docGrid w:type="linesAndChar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Calibri Light">
    <w:altName w:val="DejaVu Sans"/>
    <w:panose1 w:val="020F0302020204030204"/>
    <w:charset w:val="00"/>
    <w:family w:val="swiss"/>
    <w:pitch w:val="default"/>
    <w:sig w:usb0="00000000" w:usb1="00000000" w:usb2="00000000" w:usb3="00000000" w:csb0="0000019F" w:csb1="00000000"/>
  </w:font>
  <w:font w:name="方正黑体_GBK">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time">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swiss"/>
    <w:pitch w:val="default"/>
    <w:sig w:usb0="00000000" w:usb1="00000000" w:usb2="00000016" w:usb3="00000000" w:csb0="0004001F" w:csb1="00000000"/>
  </w:font>
  <w:font w:name="等线">
    <w:altName w:val="仿宋_GB2312"/>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jc w:val="center"/>
    </w:pPr>
    <w:r>
      <w:fldChar w:fldCharType="begin"/>
    </w:r>
    <w:r>
      <w:instrText xml:space="preserve">PAGE   \* MERGEFORMAT</w:instrText>
    </w:r>
    <w:r>
      <w:fldChar w:fldCharType="separate"/>
    </w:r>
    <w:r>
      <w:rPr>
        <w:lang w:val="zh-CN"/>
      </w:rPr>
      <w:t>26</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p>
    <w:pPr>
      <w:ind w:firstLine="5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rFonts w:ascii="Times New Roman" w:hAnsi="Times New Roman"/>
        <w:sz w:val="18"/>
        <w:szCs w:val="18"/>
        <w:lang w:val="zh-CN"/>
      </w:rPr>
    </w:pPr>
    <w:r>
      <w:rPr>
        <w:rFonts w:ascii="Times New Roman" w:hAnsi="Times New Roman"/>
        <w:sz w:val="18"/>
        <w:szCs w:val="18"/>
        <w:lang w:val="zh-CN"/>
      </w:rPr>
      <w:fldChar w:fldCharType="begin"/>
    </w:r>
    <w:r>
      <w:rPr>
        <w:rFonts w:ascii="Times New Roman" w:hAnsi="Times New Roman"/>
        <w:sz w:val="18"/>
        <w:szCs w:val="18"/>
        <w:lang w:val="zh-CN"/>
      </w:rPr>
      <w:instrText xml:space="preserve">PAGE   \* MERGEFORMAT</w:instrText>
    </w:r>
    <w:r>
      <w:rPr>
        <w:rFonts w:ascii="Times New Roman" w:hAnsi="Times New Roman"/>
        <w:sz w:val="18"/>
        <w:szCs w:val="18"/>
        <w:lang w:val="zh-CN"/>
      </w:rPr>
      <w:fldChar w:fldCharType="separate"/>
    </w:r>
    <w:r>
      <w:rPr>
        <w:rFonts w:ascii="Times New Roman" w:hAnsi="Times New Roman"/>
        <w:sz w:val="18"/>
        <w:szCs w:val="18"/>
        <w:lang w:val="zh-CN"/>
      </w:rPr>
      <w:t>2</w:t>
    </w:r>
    <w:r>
      <w:rPr>
        <w:rFonts w:ascii="Times New Roman" w:hAnsi="Times New Roman"/>
        <w:sz w:val="18"/>
        <w:szCs w:val="18"/>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p>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6F607"/>
    <w:multiLevelType w:val="singleLevel"/>
    <w:tmpl w:val="9226F607"/>
    <w:lvl w:ilvl="0" w:tentative="0">
      <w:start w:val="2"/>
      <w:numFmt w:val="decimal"/>
      <w:suff w:val="nothing"/>
      <w:lvlText w:val="%1）"/>
      <w:lvlJc w:val="left"/>
    </w:lvl>
  </w:abstractNum>
  <w:abstractNum w:abstractNumId="1">
    <w:nsid w:val="F082A828"/>
    <w:multiLevelType w:val="singleLevel"/>
    <w:tmpl w:val="F082A828"/>
    <w:lvl w:ilvl="0" w:tentative="0">
      <w:start w:val="1"/>
      <w:numFmt w:val="decimal"/>
      <w:suff w:val="nothing"/>
      <w:lvlText w:val="（%1）"/>
      <w:lvlJc w:val="left"/>
    </w:lvl>
  </w:abstractNum>
  <w:abstractNum w:abstractNumId="2">
    <w:nsid w:val="1C5818EB"/>
    <w:multiLevelType w:val="multilevel"/>
    <w:tmpl w:val="1C5818EB"/>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pStyle w:val="128"/>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1D4B76E0"/>
    <w:multiLevelType w:val="multilevel"/>
    <w:tmpl w:val="1D4B76E0"/>
    <w:lvl w:ilvl="0" w:tentative="0">
      <w:start w:val="1"/>
      <w:numFmt w:val="chineseCountingThousand"/>
      <w:pStyle w:val="3"/>
      <w:lvlText w:val="%1"/>
      <w:lvlJc w:val="left"/>
      <w:pPr>
        <w:ind w:left="432" w:hanging="432"/>
      </w:pPr>
      <w:rPr>
        <w:rFonts w:hint="eastAsia"/>
      </w:rPr>
    </w:lvl>
    <w:lvl w:ilvl="1" w:tentative="0">
      <w:start w:val="1"/>
      <w:numFmt w:val="decimal"/>
      <w:pStyle w:val="4"/>
      <w:isLgl/>
      <w:lvlText w:val="%1.%2"/>
      <w:lvlJc w:val="left"/>
      <w:pPr>
        <w:ind w:left="576" w:hanging="576"/>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default"/>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2" w:hanging="1152"/>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4">
    <w:nsid w:val="24D774CB"/>
    <w:multiLevelType w:val="multilevel"/>
    <w:tmpl w:val="24D774C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626919EE"/>
    <w:multiLevelType w:val="singleLevel"/>
    <w:tmpl w:val="626919EE"/>
    <w:lvl w:ilvl="0" w:tentative="0">
      <w:start w:val="1"/>
      <w:numFmt w:val="bullet"/>
      <w:pStyle w:val="16"/>
      <w:lvlText w:val=""/>
      <w:lvlJc w:val="left"/>
      <w:pPr>
        <w:ind w:left="420" w:hanging="420"/>
      </w:pPr>
      <w:rPr>
        <w:rFonts w:hint="default" w:ascii="Wingdings" w:hAnsi="Wingdings"/>
      </w:rPr>
    </w:lvl>
  </w:abstractNum>
  <w:num w:numId="1">
    <w:abstractNumId w:val="3"/>
  </w:num>
  <w:num w:numId="2">
    <w:abstractNumId w:val="5"/>
  </w:num>
  <w:num w:numId="3">
    <w:abstractNumId w:val="2"/>
  </w:num>
  <w:num w:numId="4">
    <w:abstractNumId w:val="4"/>
    <w:lvlOverride w:ilvl="0">
      <w:lvl w:ilvl="0" w:tentative="1">
        <w:start w:val="1"/>
        <w:numFmt w:val="decimal"/>
        <w:pStyle w:val="171"/>
        <w:lvlText w:val="第%1章"/>
        <w:lvlJc w:val="left"/>
        <w:pPr>
          <w:ind w:left="0" w:firstLine="0"/>
        </w:pPr>
        <w:rPr>
          <w:rFonts w:hint="eastAsia"/>
        </w:rPr>
      </w:lvl>
    </w:lvlOverride>
    <w:lvlOverride w:ilvl="1">
      <w:lvl w:ilvl="1" w:tentative="1">
        <w:start w:val="1"/>
        <w:numFmt w:val="decimal"/>
        <w:pStyle w:val="172"/>
        <w:suff w:val="space"/>
        <w:lvlText w:val="%1.%2"/>
        <w:lvlJc w:val="left"/>
        <w:pPr>
          <w:ind w:left="0" w:firstLine="0"/>
        </w:pPr>
        <w:rPr>
          <w:rFonts w:hint="eastAsia"/>
        </w:rPr>
      </w:lvl>
    </w:lvlOverride>
    <w:lvlOverride w:ilvl="2">
      <w:lvl w:ilvl="2" w:tentative="1">
        <w:start w:val="1"/>
        <w:numFmt w:val="decimal"/>
        <w:pStyle w:val="173"/>
        <w:lvlText w:val="%1.%2.%3"/>
        <w:lvlJc w:val="left"/>
        <w:pPr>
          <w:ind w:left="0" w:firstLine="0"/>
        </w:pPr>
        <w:rPr>
          <w:rFonts w:hint="eastAsia"/>
        </w:rPr>
      </w:lvl>
    </w:lvlOverride>
    <w:lvlOverride w:ilvl="3">
      <w:lvl w:ilvl="3" w:tentative="1">
        <w:start w:val="1"/>
        <w:numFmt w:val="decimal"/>
        <w:pStyle w:val="177"/>
        <w:lvlText w:val="%1.%2.%3.%4"/>
        <w:lvlJc w:val="left"/>
        <w:pPr>
          <w:ind w:left="0" w:firstLine="0"/>
        </w:pPr>
        <w:rPr>
          <w:rFonts w:hint="eastAsia"/>
          <w:i w:val="0"/>
          <w:iCs w:val="0"/>
          <w:caps w:val="0"/>
          <w:smallCaps w:val="0"/>
          <w:strike w:val="0"/>
          <w:dstrike w:val="0"/>
          <w:color w:val="000000"/>
          <w:spacing w:val="0"/>
          <w:position w:val="0"/>
          <w:u w:val="none"/>
        </w:rPr>
      </w:lvl>
    </w:lvlOverride>
    <w:lvlOverride w:ilvl="4">
      <w:lvl w:ilvl="4" w:tentative="1">
        <w:start w:val="1"/>
        <w:numFmt w:val="decimal"/>
        <w:pStyle w:val="175"/>
        <w:lvlText w:val="%1.%2.%3.%4.%5"/>
        <w:lvlJc w:val="left"/>
        <w:pPr>
          <w:ind w:left="0" w:firstLine="0"/>
        </w:pPr>
        <w:rPr>
          <w:rFonts w:hint="eastAsia"/>
        </w:rPr>
      </w:lvl>
    </w:lvlOverride>
    <w:lvlOverride w:ilvl="5">
      <w:lvl w:ilvl="5" w:tentative="1">
        <w:start w:val="1"/>
        <w:numFmt w:val="decimal"/>
        <w:pStyle w:val="176"/>
        <w:lvlText w:val="%1.%2.%3.%4.%5.%6"/>
        <w:lvlJc w:val="left"/>
        <w:pPr>
          <w:ind w:left="0" w:firstLine="0"/>
        </w:pPr>
        <w:rPr>
          <w:rFonts w:hint="eastAsia"/>
        </w:rPr>
      </w:lvl>
    </w:lvlOverride>
    <w:lvlOverride w:ilvl="6">
      <w:lvl w:ilvl="6" w:tentative="1">
        <w:start w:val="1"/>
        <w:numFmt w:val="decimal"/>
        <w:lvlText w:val="%1.%2.%3.%4.%5.%6.%7"/>
        <w:lvlJc w:val="left"/>
        <w:pPr>
          <w:ind w:left="0" w:firstLine="0"/>
        </w:pPr>
        <w:rPr>
          <w:rFonts w:hint="eastAsia"/>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OGRmNDliNzhiMTkwYmM3Mjg2ZmUwYzJiZjcyODYifQ=="/>
  </w:docVars>
  <w:rsids>
    <w:rsidRoot w:val="006910C0"/>
    <w:rsid w:val="0000005A"/>
    <w:rsid w:val="00000AED"/>
    <w:rsid w:val="000029DD"/>
    <w:rsid w:val="00003516"/>
    <w:rsid w:val="0000380E"/>
    <w:rsid w:val="00005AFD"/>
    <w:rsid w:val="00006563"/>
    <w:rsid w:val="000074F1"/>
    <w:rsid w:val="00007A41"/>
    <w:rsid w:val="00007DA7"/>
    <w:rsid w:val="00010791"/>
    <w:rsid w:val="00010798"/>
    <w:rsid w:val="00011DEB"/>
    <w:rsid w:val="00012EF0"/>
    <w:rsid w:val="00014AF4"/>
    <w:rsid w:val="000156DE"/>
    <w:rsid w:val="000165AD"/>
    <w:rsid w:val="000179E9"/>
    <w:rsid w:val="00020C18"/>
    <w:rsid w:val="00021432"/>
    <w:rsid w:val="00021EE6"/>
    <w:rsid w:val="0002280E"/>
    <w:rsid w:val="00022C74"/>
    <w:rsid w:val="00025122"/>
    <w:rsid w:val="000252D5"/>
    <w:rsid w:val="00026997"/>
    <w:rsid w:val="00027312"/>
    <w:rsid w:val="00027A64"/>
    <w:rsid w:val="00032D27"/>
    <w:rsid w:val="00032F58"/>
    <w:rsid w:val="00035325"/>
    <w:rsid w:val="00035D5B"/>
    <w:rsid w:val="000378D0"/>
    <w:rsid w:val="00037F2C"/>
    <w:rsid w:val="00042C2A"/>
    <w:rsid w:val="000430EC"/>
    <w:rsid w:val="000447CB"/>
    <w:rsid w:val="00044B95"/>
    <w:rsid w:val="00045594"/>
    <w:rsid w:val="00045B67"/>
    <w:rsid w:val="000463A8"/>
    <w:rsid w:val="00047915"/>
    <w:rsid w:val="00047D06"/>
    <w:rsid w:val="000503B5"/>
    <w:rsid w:val="00050FBD"/>
    <w:rsid w:val="0005107A"/>
    <w:rsid w:val="00051740"/>
    <w:rsid w:val="0005192C"/>
    <w:rsid w:val="00052929"/>
    <w:rsid w:val="0005299F"/>
    <w:rsid w:val="000541D7"/>
    <w:rsid w:val="000545C0"/>
    <w:rsid w:val="00054CDF"/>
    <w:rsid w:val="0005586D"/>
    <w:rsid w:val="00055CFE"/>
    <w:rsid w:val="00056C0E"/>
    <w:rsid w:val="000574A8"/>
    <w:rsid w:val="000574F8"/>
    <w:rsid w:val="00057A49"/>
    <w:rsid w:val="0006231F"/>
    <w:rsid w:val="00062A05"/>
    <w:rsid w:val="00062EE6"/>
    <w:rsid w:val="0006344E"/>
    <w:rsid w:val="00063FEC"/>
    <w:rsid w:val="000649E6"/>
    <w:rsid w:val="00065B52"/>
    <w:rsid w:val="0006794B"/>
    <w:rsid w:val="00067DCA"/>
    <w:rsid w:val="00070063"/>
    <w:rsid w:val="0007087A"/>
    <w:rsid w:val="000710EC"/>
    <w:rsid w:val="0007170B"/>
    <w:rsid w:val="00072237"/>
    <w:rsid w:val="00072472"/>
    <w:rsid w:val="00072ABE"/>
    <w:rsid w:val="00074C8A"/>
    <w:rsid w:val="00074CDB"/>
    <w:rsid w:val="00076529"/>
    <w:rsid w:val="00080B39"/>
    <w:rsid w:val="00083950"/>
    <w:rsid w:val="0008452F"/>
    <w:rsid w:val="00084E8E"/>
    <w:rsid w:val="00085A68"/>
    <w:rsid w:val="00086688"/>
    <w:rsid w:val="000876F8"/>
    <w:rsid w:val="00090625"/>
    <w:rsid w:val="00090948"/>
    <w:rsid w:val="00091CD1"/>
    <w:rsid w:val="00091E41"/>
    <w:rsid w:val="00093791"/>
    <w:rsid w:val="0009460E"/>
    <w:rsid w:val="000951D4"/>
    <w:rsid w:val="00095A49"/>
    <w:rsid w:val="000A2146"/>
    <w:rsid w:val="000A2930"/>
    <w:rsid w:val="000A3276"/>
    <w:rsid w:val="000A3C35"/>
    <w:rsid w:val="000A3E30"/>
    <w:rsid w:val="000A5876"/>
    <w:rsid w:val="000A61D0"/>
    <w:rsid w:val="000A6C67"/>
    <w:rsid w:val="000A6DB8"/>
    <w:rsid w:val="000A6F44"/>
    <w:rsid w:val="000A7596"/>
    <w:rsid w:val="000A768D"/>
    <w:rsid w:val="000A7775"/>
    <w:rsid w:val="000B11A8"/>
    <w:rsid w:val="000B1959"/>
    <w:rsid w:val="000B2E1C"/>
    <w:rsid w:val="000B4459"/>
    <w:rsid w:val="000B4B46"/>
    <w:rsid w:val="000B4F2A"/>
    <w:rsid w:val="000B5363"/>
    <w:rsid w:val="000B53BA"/>
    <w:rsid w:val="000B642F"/>
    <w:rsid w:val="000B6C99"/>
    <w:rsid w:val="000C3F3C"/>
    <w:rsid w:val="000C5A75"/>
    <w:rsid w:val="000C5F90"/>
    <w:rsid w:val="000C75F7"/>
    <w:rsid w:val="000D0AB2"/>
    <w:rsid w:val="000D225C"/>
    <w:rsid w:val="000D36F2"/>
    <w:rsid w:val="000D4B26"/>
    <w:rsid w:val="000D624E"/>
    <w:rsid w:val="000D74DB"/>
    <w:rsid w:val="000E0AC1"/>
    <w:rsid w:val="000E24D6"/>
    <w:rsid w:val="000E45E3"/>
    <w:rsid w:val="000E6072"/>
    <w:rsid w:val="000E6D61"/>
    <w:rsid w:val="000E7A23"/>
    <w:rsid w:val="000F1C29"/>
    <w:rsid w:val="000F1E9E"/>
    <w:rsid w:val="000F2B10"/>
    <w:rsid w:val="000F3F72"/>
    <w:rsid w:val="00101A66"/>
    <w:rsid w:val="00102F4F"/>
    <w:rsid w:val="001055B2"/>
    <w:rsid w:val="00105AFC"/>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1C0"/>
    <w:rsid w:val="00126EDF"/>
    <w:rsid w:val="00127ADA"/>
    <w:rsid w:val="00127BBE"/>
    <w:rsid w:val="00127FEE"/>
    <w:rsid w:val="0013005F"/>
    <w:rsid w:val="001303C2"/>
    <w:rsid w:val="00130721"/>
    <w:rsid w:val="00131990"/>
    <w:rsid w:val="00131D52"/>
    <w:rsid w:val="001329B0"/>
    <w:rsid w:val="001329C1"/>
    <w:rsid w:val="00132C16"/>
    <w:rsid w:val="0013411A"/>
    <w:rsid w:val="00136320"/>
    <w:rsid w:val="00136FFA"/>
    <w:rsid w:val="00137880"/>
    <w:rsid w:val="00137AC6"/>
    <w:rsid w:val="00142CFA"/>
    <w:rsid w:val="00145512"/>
    <w:rsid w:val="001465BD"/>
    <w:rsid w:val="00147B45"/>
    <w:rsid w:val="00150803"/>
    <w:rsid w:val="00151D83"/>
    <w:rsid w:val="001546C9"/>
    <w:rsid w:val="00154A35"/>
    <w:rsid w:val="00154FAE"/>
    <w:rsid w:val="00155E77"/>
    <w:rsid w:val="00156A70"/>
    <w:rsid w:val="00157A5D"/>
    <w:rsid w:val="00160A61"/>
    <w:rsid w:val="00160FC0"/>
    <w:rsid w:val="0016429B"/>
    <w:rsid w:val="00164525"/>
    <w:rsid w:val="00164C50"/>
    <w:rsid w:val="00165CB2"/>
    <w:rsid w:val="001660A6"/>
    <w:rsid w:val="00166767"/>
    <w:rsid w:val="001707CB"/>
    <w:rsid w:val="00171477"/>
    <w:rsid w:val="00171E32"/>
    <w:rsid w:val="00172A1A"/>
    <w:rsid w:val="00172AB9"/>
    <w:rsid w:val="00173251"/>
    <w:rsid w:val="0017499F"/>
    <w:rsid w:val="00176BED"/>
    <w:rsid w:val="0017759D"/>
    <w:rsid w:val="001804A5"/>
    <w:rsid w:val="00181C94"/>
    <w:rsid w:val="00182C84"/>
    <w:rsid w:val="00187031"/>
    <w:rsid w:val="00187643"/>
    <w:rsid w:val="0019188D"/>
    <w:rsid w:val="00191EA4"/>
    <w:rsid w:val="00192B6C"/>
    <w:rsid w:val="00192C30"/>
    <w:rsid w:val="0019381E"/>
    <w:rsid w:val="001938D1"/>
    <w:rsid w:val="00193982"/>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2D5B"/>
    <w:rsid w:val="001B3907"/>
    <w:rsid w:val="001B3B49"/>
    <w:rsid w:val="001B4907"/>
    <w:rsid w:val="001B4DC5"/>
    <w:rsid w:val="001B5505"/>
    <w:rsid w:val="001B6997"/>
    <w:rsid w:val="001C0588"/>
    <w:rsid w:val="001C2180"/>
    <w:rsid w:val="001C29CC"/>
    <w:rsid w:val="001C3217"/>
    <w:rsid w:val="001C3B98"/>
    <w:rsid w:val="001C6028"/>
    <w:rsid w:val="001C6365"/>
    <w:rsid w:val="001C7F57"/>
    <w:rsid w:val="001D0E79"/>
    <w:rsid w:val="001D1BD5"/>
    <w:rsid w:val="001D6049"/>
    <w:rsid w:val="001D7339"/>
    <w:rsid w:val="001E2750"/>
    <w:rsid w:val="001E4343"/>
    <w:rsid w:val="001E48C6"/>
    <w:rsid w:val="001E4CF5"/>
    <w:rsid w:val="001E52BB"/>
    <w:rsid w:val="001E660A"/>
    <w:rsid w:val="001F05D6"/>
    <w:rsid w:val="001F09A5"/>
    <w:rsid w:val="001F2D2C"/>
    <w:rsid w:val="001F46AA"/>
    <w:rsid w:val="001F47A6"/>
    <w:rsid w:val="001F49A6"/>
    <w:rsid w:val="001F4B6A"/>
    <w:rsid w:val="001F55C4"/>
    <w:rsid w:val="001F596F"/>
    <w:rsid w:val="001F5B0A"/>
    <w:rsid w:val="001F640F"/>
    <w:rsid w:val="001F6794"/>
    <w:rsid w:val="001F6F65"/>
    <w:rsid w:val="002002DF"/>
    <w:rsid w:val="0020337E"/>
    <w:rsid w:val="00203A6F"/>
    <w:rsid w:val="00205646"/>
    <w:rsid w:val="002063F7"/>
    <w:rsid w:val="002067F0"/>
    <w:rsid w:val="002129E5"/>
    <w:rsid w:val="00212AA4"/>
    <w:rsid w:val="00212E13"/>
    <w:rsid w:val="002163C8"/>
    <w:rsid w:val="002179FE"/>
    <w:rsid w:val="00220CC0"/>
    <w:rsid w:val="00221A36"/>
    <w:rsid w:val="00223296"/>
    <w:rsid w:val="0022329B"/>
    <w:rsid w:val="002240F7"/>
    <w:rsid w:val="0022486F"/>
    <w:rsid w:val="00225314"/>
    <w:rsid w:val="00225DF4"/>
    <w:rsid w:val="00225E00"/>
    <w:rsid w:val="00226608"/>
    <w:rsid w:val="00226C70"/>
    <w:rsid w:val="002274BC"/>
    <w:rsid w:val="00230C8A"/>
    <w:rsid w:val="00231390"/>
    <w:rsid w:val="00231F98"/>
    <w:rsid w:val="002324F8"/>
    <w:rsid w:val="00232699"/>
    <w:rsid w:val="002348B0"/>
    <w:rsid w:val="00235CDC"/>
    <w:rsid w:val="00237E76"/>
    <w:rsid w:val="00240BBE"/>
    <w:rsid w:val="00241525"/>
    <w:rsid w:val="00241D87"/>
    <w:rsid w:val="00243C55"/>
    <w:rsid w:val="00243D5E"/>
    <w:rsid w:val="002449EF"/>
    <w:rsid w:val="002451EC"/>
    <w:rsid w:val="00245ED4"/>
    <w:rsid w:val="00246B41"/>
    <w:rsid w:val="00246BFE"/>
    <w:rsid w:val="0025002B"/>
    <w:rsid w:val="002500DE"/>
    <w:rsid w:val="00250FBB"/>
    <w:rsid w:val="00252457"/>
    <w:rsid w:val="00252581"/>
    <w:rsid w:val="002535B5"/>
    <w:rsid w:val="002538CB"/>
    <w:rsid w:val="002542BD"/>
    <w:rsid w:val="0025774E"/>
    <w:rsid w:val="00257D64"/>
    <w:rsid w:val="0026340A"/>
    <w:rsid w:val="002654EA"/>
    <w:rsid w:val="00266449"/>
    <w:rsid w:val="00266C11"/>
    <w:rsid w:val="002704EA"/>
    <w:rsid w:val="0027061A"/>
    <w:rsid w:val="002719CC"/>
    <w:rsid w:val="002730C5"/>
    <w:rsid w:val="0027337C"/>
    <w:rsid w:val="0027602B"/>
    <w:rsid w:val="00276D89"/>
    <w:rsid w:val="00277F5E"/>
    <w:rsid w:val="00280084"/>
    <w:rsid w:val="00280490"/>
    <w:rsid w:val="00281099"/>
    <w:rsid w:val="00283693"/>
    <w:rsid w:val="002860B8"/>
    <w:rsid w:val="00286E3F"/>
    <w:rsid w:val="0029206E"/>
    <w:rsid w:val="00293382"/>
    <w:rsid w:val="00294CC3"/>
    <w:rsid w:val="00294F51"/>
    <w:rsid w:val="00295CE8"/>
    <w:rsid w:val="002A0D3C"/>
    <w:rsid w:val="002A1654"/>
    <w:rsid w:val="002A2342"/>
    <w:rsid w:val="002A279E"/>
    <w:rsid w:val="002A47F4"/>
    <w:rsid w:val="002A4FA3"/>
    <w:rsid w:val="002B0FBB"/>
    <w:rsid w:val="002B17C1"/>
    <w:rsid w:val="002B1B68"/>
    <w:rsid w:val="002B3606"/>
    <w:rsid w:val="002B3D80"/>
    <w:rsid w:val="002B4402"/>
    <w:rsid w:val="002B4946"/>
    <w:rsid w:val="002B4C41"/>
    <w:rsid w:val="002B588D"/>
    <w:rsid w:val="002B7E50"/>
    <w:rsid w:val="002C1839"/>
    <w:rsid w:val="002C214A"/>
    <w:rsid w:val="002C28E8"/>
    <w:rsid w:val="002C3027"/>
    <w:rsid w:val="002C674D"/>
    <w:rsid w:val="002C7648"/>
    <w:rsid w:val="002C7DC4"/>
    <w:rsid w:val="002C7F61"/>
    <w:rsid w:val="002D01DF"/>
    <w:rsid w:val="002D03C9"/>
    <w:rsid w:val="002D0821"/>
    <w:rsid w:val="002D1929"/>
    <w:rsid w:val="002D1B73"/>
    <w:rsid w:val="002D3CB0"/>
    <w:rsid w:val="002D4800"/>
    <w:rsid w:val="002D5B21"/>
    <w:rsid w:val="002D6F6D"/>
    <w:rsid w:val="002E17B1"/>
    <w:rsid w:val="002E1FE6"/>
    <w:rsid w:val="002E2EA7"/>
    <w:rsid w:val="002E36D2"/>
    <w:rsid w:val="002E572D"/>
    <w:rsid w:val="002E6661"/>
    <w:rsid w:val="002E748B"/>
    <w:rsid w:val="002F19B0"/>
    <w:rsid w:val="002F2002"/>
    <w:rsid w:val="002F335D"/>
    <w:rsid w:val="002F4E32"/>
    <w:rsid w:val="002F503F"/>
    <w:rsid w:val="002F51DD"/>
    <w:rsid w:val="002F5D08"/>
    <w:rsid w:val="002F6895"/>
    <w:rsid w:val="002F6D13"/>
    <w:rsid w:val="002F7FD4"/>
    <w:rsid w:val="003038D3"/>
    <w:rsid w:val="00303EA2"/>
    <w:rsid w:val="003049C7"/>
    <w:rsid w:val="00304E7B"/>
    <w:rsid w:val="00304F68"/>
    <w:rsid w:val="00305F0E"/>
    <w:rsid w:val="0030667A"/>
    <w:rsid w:val="003106DE"/>
    <w:rsid w:val="00311164"/>
    <w:rsid w:val="00311530"/>
    <w:rsid w:val="00312D31"/>
    <w:rsid w:val="00315216"/>
    <w:rsid w:val="0031691C"/>
    <w:rsid w:val="00317AEF"/>
    <w:rsid w:val="00317F49"/>
    <w:rsid w:val="0032089B"/>
    <w:rsid w:val="0032128C"/>
    <w:rsid w:val="00323450"/>
    <w:rsid w:val="00323643"/>
    <w:rsid w:val="00323D93"/>
    <w:rsid w:val="0032489B"/>
    <w:rsid w:val="00324EB8"/>
    <w:rsid w:val="0032525B"/>
    <w:rsid w:val="003262EF"/>
    <w:rsid w:val="00326A7A"/>
    <w:rsid w:val="00326FEE"/>
    <w:rsid w:val="003315D7"/>
    <w:rsid w:val="00333F43"/>
    <w:rsid w:val="00334DE6"/>
    <w:rsid w:val="0033536D"/>
    <w:rsid w:val="003353FF"/>
    <w:rsid w:val="003366D2"/>
    <w:rsid w:val="003368A5"/>
    <w:rsid w:val="00337C79"/>
    <w:rsid w:val="00337FEF"/>
    <w:rsid w:val="0034084C"/>
    <w:rsid w:val="00340D5E"/>
    <w:rsid w:val="00340EE0"/>
    <w:rsid w:val="003420B5"/>
    <w:rsid w:val="00343646"/>
    <w:rsid w:val="00344CCB"/>
    <w:rsid w:val="00345065"/>
    <w:rsid w:val="00345897"/>
    <w:rsid w:val="0035066B"/>
    <w:rsid w:val="003506B7"/>
    <w:rsid w:val="00351BFC"/>
    <w:rsid w:val="00352D35"/>
    <w:rsid w:val="003542F4"/>
    <w:rsid w:val="0035575E"/>
    <w:rsid w:val="00355E0D"/>
    <w:rsid w:val="00356092"/>
    <w:rsid w:val="003565B4"/>
    <w:rsid w:val="0035671B"/>
    <w:rsid w:val="00362E75"/>
    <w:rsid w:val="003631AA"/>
    <w:rsid w:val="003632D5"/>
    <w:rsid w:val="00363575"/>
    <w:rsid w:val="00363BE8"/>
    <w:rsid w:val="00364EF9"/>
    <w:rsid w:val="00366E04"/>
    <w:rsid w:val="00367579"/>
    <w:rsid w:val="0036795B"/>
    <w:rsid w:val="00370A29"/>
    <w:rsid w:val="003722F9"/>
    <w:rsid w:val="00372349"/>
    <w:rsid w:val="00372CBC"/>
    <w:rsid w:val="00373A61"/>
    <w:rsid w:val="00374BDE"/>
    <w:rsid w:val="00376B39"/>
    <w:rsid w:val="003772C0"/>
    <w:rsid w:val="00377331"/>
    <w:rsid w:val="00377BA6"/>
    <w:rsid w:val="00377BAC"/>
    <w:rsid w:val="00380142"/>
    <w:rsid w:val="00380558"/>
    <w:rsid w:val="00381D3C"/>
    <w:rsid w:val="0038223E"/>
    <w:rsid w:val="00382D92"/>
    <w:rsid w:val="00385AEF"/>
    <w:rsid w:val="00385EFF"/>
    <w:rsid w:val="003860EA"/>
    <w:rsid w:val="0038781A"/>
    <w:rsid w:val="0039080B"/>
    <w:rsid w:val="00391F6B"/>
    <w:rsid w:val="003922BA"/>
    <w:rsid w:val="0039326E"/>
    <w:rsid w:val="00393792"/>
    <w:rsid w:val="00394E22"/>
    <w:rsid w:val="00395784"/>
    <w:rsid w:val="003967A4"/>
    <w:rsid w:val="00397FA3"/>
    <w:rsid w:val="003A0EA0"/>
    <w:rsid w:val="003A11CB"/>
    <w:rsid w:val="003A1596"/>
    <w:rsid w:val="003A2052"/>
    <w:rsid w:val="003A2EEC"/>
    <w:rsid w:val="003A317E"/>
    <w:rsid w:val="003A345B"/>
    <w:rsid w:val="003A4018"/>
    <w:rsid w:val="003A49EE"/>
    <w:rsid w:val="003A5D00"/>
    <w:rsid w:val="003A674D"/>
    <w:rsid w:val="003A7123"/>
    <w:rsid w:val="003B102E"/>
    <w:rsid w:val="003B1680"/>
    <w:rsid w:val="003B2167"/>
    <w:rsid w:val="003B4D25"/>
    <w:rsid w:val="003B5F5D"/>
    <w:rsid w:val="003B62C8"/>
    <w:rsid w:val="003C07E7"/>
    <w:rsid w:val="003C0C62"/>
    <w:rsid w:val="003C12DC"/>
    <w:rsid w:val="003C2CDA"/>
    <w:rsid w:val="003C5F6C"/>
    <w:rsid w:val="003D000A"/>
    <w:rsid w:val="003D02F7"/>
    <w:rsid w:val="003D31E9"/>
    <w:rsid w:val="003D544E"/>
    <w:rsid w:val="003D5980"/>
    <w:rsid w:val="003E0842"/>
    <w:rsid w:val="003E13B0"/>
    <w:rsid w:val="003E1AEE"/>
    <w:rsid w:val="003E2580"/>
    <w:rsid w:val="003E3DEE"/>
    <w:rsid w:val="003E3EBB"/>
    <w:rsid w:val="003E3EEB"/>
    <w:rsid w:val="003E4A4C"/>
    <w:rsid w:val="003E4CBA"/>
    <w:rsid w:val="003E4D2F"/>
    <w:rsid w:val="003E4EDC"/>
    <w:rsid w:val="003E599D"/>
    <w:rsid w:val="003E5C81"/>
    <w:rsid w:val="003E6693"/>
    <w:rsid w:val="003E68D4"/>
    <w:rsid w:val="003E6965"/>
    <w:rsid w:val="003E7310"/>
    <w:rsid w:val="003F00E8"/>
    <w:rsid w:val="003F062D"/>
    <w:rsid w:val="003F0979"/>
    <w:rsid w:val="003F1936"/>
    <w:rsid w:val="003F1BDD"/>
    <w:rsid w:val="003F3BA3"/>
    <w:rsid w:val="003F3BD5"/>
    <w:rsid w:val="003F400E"/>
    <w:rsid w:val="003F446D"/>
    <w:rsid w:val="003F4A0B"/>
    <w:rsid w:val="003F5876"/>
    <w:rsid w:val="003F6CD9"/>
    <w:rsid w:val="003F6F35"/>
    <w:rsid w:val="003F7768"/>
    <w:rsid w:val="00400E8C"/>
    <w:rsid w:val="004017DC"/>
    <w:rsid w:val="00401B53"/>
    <w:rsid w:val="00402668"/>
    <w:rsid w:val="0040281F"/>
    <w:rsid w:val="00404FEC"/>
    <w:rsid w:val="0040534D"/>
    <w:rsid w:val="00405FAD"/>
    <w:rsid w:val="004117AB"/>
    <w:rsid w:val="00412B2F"/>
    <w:rsid w:val="00412F40"/>
    <w:rsid w:val="00415281"/>
    <w:rsid w:val="00415716"/>
    <w:rsid w:val="0041604D"/>
    <w:rsid w:val="00417842"/>
    <w:rsid w:val="00417A6E"/>
    <w:rsid w:val="00421498"/>
    <w:rsid w:val="0042285D"/>
    <w:rsid w:val="00425439"/>
    <w:rsid w:val="00427793"/>
    <w:rsid w:val="00427D2B"/>
    <w:rsid w:val="00430B13"/>
    <w:rsid w:val="00430CE5"/>
    <w:rsid w:val="00430F86"/>
    <w:rsid w:val="0043153C"/>
    <w:rsid w:val="00431D0F"/>
    <w:rsid w:val="004326E8"/>
    <w:rsid w:val="0043481C"/>
    <w:rsid w:val="00435C01"/>
    <w:rsid w:val="00444307"/>
    <w:rsid w:val="0044436F"/>
    <w:rsid w:val="004443EB"/>
    <w:rsid w:val="00444432"/>
    <w:rsid w:val="00444673"/>
    <w:rsid w:val="0044621E"/>
    <w:rsid w:val="00447BF1"/>
    <w:rsid w:val="00450BA4"/>
    <w:rsid w:val="004511FC"/>
    <w:rsid w:val="00453445"/>
    <w:rsid w:val="00453871"/>
    <w:rsid w:val="00455BC1"/>
    <w:rsid w:val="00456784"/>
    <w:rsid w:val="00456DCA"/>
    <w:rsid w:val="00460363"/>
    <w:rsid w:val="00461140"/>
    <w:rsid w:val="004611DB"/>
    <w:rsid w:val="004642E9"/>
    <w:rsid w:val="004658B0"/>
    <w:rsid w:val="0046614B"/>
    <w:rsid w:val="00467FD7"/>
    <w:rsid w:val="00470073"/>
    <w:rsid w:val="004730F8"/>
    <w:rsid w:val="0047339B"/>
    <w:rsid w:val="00474353"/>
    <w:rsid w:val="00474555"/>
    <w:rsid w:val="004750F4"/>
    <w:rsid w:val="00475B74"/>
    <w:rsid w:val="00476CB1"/>
    <w:rsid w:val="00477899"/>
    <w:rsid w:val="00480A48"/>
    <w:rsid w:val="00482501"/>
    <w:rsid w:val="00482E7D"/>
    <w:rsid w:val="00484395"/>
    <w:rsid w:val="00485D02"/>
    <w:rsid w:val="004865FB"/>
    <w:rsid w:val="00486C03"/>
    <w:rsid w:val="0048742E"/>
    <w:rsid w:val="00487FAF"/>
    <w:rsid w:val="00491AB3"/>
    <w:rsid w:val="0049682B"/>
    <w:rsid w:val="00496899"/>
    <w:rsid w:val="00497A33"/>
    <w:rsid w:val="004A1112"/>
    <w:rsid w:val="004A1DA0"/>
    <w:rsid w:val="004A1F20"/>
    <w:rsid w:val="004A2393"/>
    <w:rsid w:val="004A3569"/>
    <w:rsid w:val="004A3B70"/>
    <w:rsid w:val="004A452A"/>
    <w:rsid w:val="004A5718"/>
    <w:rsid w:val="004A5F2C"/>
    <w:rsid w:val="004A6E4F"/>
    <w:rsid w:val="004A720D"/>
    <w:rsid w:val="004B00D0"/>
    <w:rsid w:val="004B1C47"/>
    <w:rsid w:val="004B6084"/>
    <w:rsid w:val="004B7AE0"/>
    <w:rsid w:val="004C0BC4"/>
    <w:rsid w:val="004C260D"/>
    <w:rsid w:val="004C2D47"/>
    <w:rsid w:val="004C2EB8"/>
    <w:rsid w:val="004C4357"/>
    <w:rsid w:val="004C4477"/>
    <w:rsid w:val="004C56E5"/>
    <w:rsid w:val="004C5730"/>
    <w:rsid w:val="004C6397"/>
    <w:rsid w:val="004C668F"/>
    <w:rsid w:val="004C682B"/>
    <w:rsid w:val="004C7321"/>
    <w:rsid w:val="004D1177"/>
    <w:rsid w:val="004D142C"/>
    <w:rsid w:val="004D29F7"/>
    <w:rsid w:val="004D36D8"/>
    <w:rsid w:val="004D4C5C"/>
    <w:rsid w:val="004D52F4"/>
    <w:rsid w:val="004D5A08"/>
    <w:rsid w:val="004D5AB0"/>
    <w:rsid w:val="004D5EAE"/>
    <w:rsid w:val="004D7A0E"/>
    <w:rsid w:val="004E06E7"/>
    <w:rsid w:val="004E08D4"/>
    <w:rsid w:val="004E0AE3"/>
    <w:rsid w:val="004E20D3"/>
    <w:rsid w:val="004E2339"/>
    <w:rsid w:val="004E2C82"/>
    <w:rsid w:val="004E4FAE"/>
    <w:rsid w:val="004E62C7"/>
    <w:rsid w:val="004E68FF"/>
    <w:rsid w:val="004E7A1B"/>
    <w:rsid w:val="004F0654"/>
    <w:rsid w:val="004F0B7F"/>
    <w:rsid w:val="004F1193"/>
    <w:rsid w:val="004F11DC"/>
    <w:rsid w:val="004F1D8F"/>
    <w:rsid w:val="004F2124"/>
    <w:rsid w:val="004F262B"/>
    <w:rsid w:val="004F271B"/>
    <w:rsid w:val="004F3950"/>
    <w:rsid w:val="004F3A52"/>
    <w:rsid w:val="004F449F"/>
    <w:rsid w:val="004F4E7E"/>
    <w:rsid w:val="004F63AB"/>
    <w:rsid w:val="004F6B76"/>
    <w:rsid w:val="004F6BDA"/>
    <w:rsid w:val="004F6C7C"/>
    <w:rsid w:val="004F7F1A"/>
    <w:rsid w:val="004F7FBB"/>
    <w:rsid w:val="005042B3"/>
    <w:rsid w:val="005045AB"/>
    <w:rsid w:val="005052BB"/>
    <w:rsid w:val="00507D43"/>
    <w:rsid w:val="005103F2"/>
    <w:rsid w:val="00510E2C"/>
    <w:rsid w:val="00511FDC"/>
    <w:rsid w:val="005124C6"/>
    <w:rsid w:val="00513728"/>
    <w:rsid w:val="00513EBC"/>
    <w:rsid w:val="0051499A"/>
    <w:rsid w:val="00514CE1"/>
    <w:rsid w:val="00517155"/>
    <w:rsid w:val="00517DB3"/>
    <w:rsid w:val="005200DC"/>
    <w:rsid w:val="005200F2"/>
    <w:rsid w:val="0052369D"/>
    <w:rsid w:val="005246FB"/>
    <w:rsid w:val="005271DB"/>
    <w:rsid w:val="00530D2F"/>
    <w:rsid w:val="0053487C"/>
    <w:rsid w:val="005356E1"/>
    <w:rsid w:val="00536A8B"/>
    <w:rsid w:val="00540418"/>
    <w:rsid w:val="005407AC"/>
    <w:rsid w:val="00541A96"/>
    <w:rsid w:val="00541C6A"/>
    <w:rsid w:val="00542C54"/>
    <w:rsid w:val="00546A43"/>
    <w:rsid w:val="00546C70"/>
    <w:rsid w:val="00547258"/>
    <w:rsid w:val="00547559"/>
    <w:rsid w:val="005500EA"/>
    <w:rsid w:val="00550883"/>
    <w:rsid w:val="00550C0F"/>
    <w:rsid w:val="00550CF0"/>
    <w:rsid w:val="00554F07"/>
    <w:rsid w:val="005559FE"/>
    <w:rsid w:val="005560D6"/>
    <w:rsid w:val="00556D07"/>
    <w:rsid w:val="005611F2"/>
    <w:rsid w:val="00561734"/>
    <w:rsid w:val="00561952"/>
    <w:rsid w:val="00564B9A"/>
    <w:rsid w:val="005652E2"/>
    <w:rsid w:val="00565694"/>
    <w:rsid w:val="00566B42"/>
    <w:rsid w:val="00566DD6"/>
    <w:rsid w:val="005703BA"/>
    <w:rsid w:val="005714EF"/>
    <w:rsid w:val="00571CEC"/>
    <w:rsid w:val="00572FCE"/>
    <w:rsid w:val="0057439C"/>
    <w:rsid w:val="005750DB"/>
    <w:rsid w:val="0057557B"/>
    <w:rsid w:val="005759FC"/>
    <w:rsid w:val="00575B85"/>
    <w:rsid w:val="005760AD"/>
    <w:rsid w:val="00576BC8"/>
    <w:rsid w:val="00576DB9"/>
    <w:rsid w:val="0057738F"/>
    <w:rsid w:val="005805E4"/>
    <w:rsid w:val="0058202F"/>
    <w:rsid w:val="00584221"/>
    <w:rsid w:val="0058439C"/>
    <w:rsid w:val="00584EB6"/>
    <w:rsid w:val="00585C19"/>
    <w:rsid w:val="005863EC"/>
    <w:rsid w:val="00586B68"/>
    <w:rsid w:val="0058774E"/>
    <w:rsid w:val="005878CF"/>
    <w:rsid w:val="00587D2C"/>
    <w:rsid w:val="00590CA0"/>
    <w:rsid w:val="00591488"/>
    <w:rsid w:val="00595B01"/>
    <w:rsid w:val="00595D02"/>
    <w:rsid w:val="00596321"/>
    <w:rsid w:val="00596D98"/>
    <w:rsid w:val="005979A5"/>
    <w:rsid w:val="00597EBD"/>
    <w:rsid w:val="005A0021"/>
    <w:rsid w:val="005A017B"/>
    <w:rsid w:val="005A0908"/>
    <w:rsid w:val="005A2AEC"/>
    <w:rsid w:val="005A412D"/>
    <w:rsid w:val="005A5212"/>
    <w:rsid w:val="005B002D"/>
    <w:rsid w:val="005B0FFF"/>
    <w:rsid w:val="005B1686"/>
    <w:rsid w:val="005B19AF"/>
    <w:rsid w:val="005B258C"/>
    <w:rsid w:val="005B61DD"/>
    <w:rsid w:val="005B6735"/>
    <w:rsid w:val="005B7831"/>
    <w:rsid w:val="005C0CD6"/>
    <w:rsid w:val="005C12D9"/>
    <w:rsid w:val="005C2146"/>
    <w:rsid w:val="005C309D"/>
    <w:rsid w:val="005C3B40"/>
    <w:rsid w:val="005C544B"/>
    <w:rsid w:val="005C54F6"/>
    <w:rsid w:val="005C5916"/>
    <w:rsid w:val="005C5AEE"/>
    <w:rsid w:val="005C76CE"/>
    <w:rsid w:val="005C774A"/>
    <w:rsid w:val="005D1C36"/>
    <w:rsid w:val="005D3062"/>
    <w:rsid w:val="005D3734"/>
    <w:rsid w:val="005D4F16"/>
    <w:rsid w:val="005D5A53"/>
    <w:rsid w:val="005D5DA0"/>
    <w:rsid w:val="005D7FBD"/>
    <w:rsid w:val="005E07C3"/>
    <w:rsid w:val="005E17C1"/>
    <w:rsid w:val="005E19B4"/>
    <w:rsid w:val="005E1D6B"/>
    <w:rsid w:val="005E227A"/>
    <w:rsid w:val="005E2CF8"/>
    <w:rsid w:val="005E3126"/>
    <w:rsid w:val="005E5B1C"/>
    <w:rsid w:val="005E6E0F"/>
    <w:rsid w:val="005E6E24"/>
    <w:rsid w:val="005E7075"/>
    <w:rsid w:val="005E75A7"/>
    <w:rsid w:val="005E7C04"/>
    <w:rsid w:val="005F051A"/>
    <w:rsid w:val="005F1EA6"/>
    <w:rsid w:val="005F38E2"/>
    <w:rsid w:val="005F3EE6"/>
    <w:rsid w:val="005F6736"/>
    <w:rsid w:val="005F6CE7"/>
    <w:rsid w:val="0060164E"/>
    <w:rsid w:val="00602C10"/>
    <w:rsid w:val="00602EBD"/>
    <w:rsid w:val="006042E4"/>
    <w:rsid w:val="00604CF2"/>
    <w:rsid w:val="00604DF5"/>
    <w:rsid w:val="00606DFF"/>
    <w:rsid w:val="00606FB7"/>
    <w:rsid w:val="00610533"/>
    <w:rsid w:val="006110F6"/>
    <w:rsid w:val="006112EF"/>
    <w:rsid w:val="00611FA1"/>
    <w:rsid w:val="00612522"/>
    <w:rsid w:val="00612DA6"/>
    <w:rsid w:val="0061365B"/>
    <w:rsid w:val="006138B6"/>
    <w:rsid w:val="00614BC6"/>
    <w:rsid w:val="00614E33"/>
    <w:rsid w:val="006158B8"/>
    <w:rsid w:val="00616DD1"/>
    <w:rsid w:val="0061706D"/>
    <w:rsid w:val="006173DA"/>
    <w:rsid w:val="00617EF9"/>
    <w:rsid w:val="00620295"/>
    <w:rsid w:val="006205C5"/>
    <w:rsid w:val="0062212B"/>
    <w:rsid w:val="00622F8E"/>
    <w:rsid w:val="00626AC8"/>
    <w:rsid w:val="00627912"/>
    <w:rsid w:val="00631548"/>
    <w:rsid w:val="0063195F"/>
    <w:rsid w:val="00636C0A"/>
    <w:rsid w:val="00637509"/>
    <w:rsid w:val="00637EC6"/>
    <w:rsid w:val="0064240C"/>
    <w:rsid w:val="00642F12"/>
    <w:rsid w:val="00642FF5"/>
    <w:rsid w:val="006430FB"/>
    <w:rsid w:val="00643992"/>
    <w:rsid w:val="00644DBC"/>
    <w:rsid w:val="00646FE6"/>
    <w:rsid w:val="006474CD"/>
    <w:rsid w:val="00647744"/>
    <w:rsid w:val="006479A0"/>
    <w:rsid w:val="006500D9"/>
    <w:rsid w:val="00651521"/>
    <w:rsid w:val="00653B0B"/>
    <w:rsid w:val="00653B54"/>
    <w:rsid w:val="006541A3"/>
    <w:rsid w:val="00654FAD"/>
    <w:rsid w:val="00655749"/>
    <w:rsid w:val="00655C9F"/>
    <w:rsid w:val="006567FF"/>
    <w:rsid w:val="00656867"/>
    <w:rsid w:val="0066109F"/>
    <w:rsid w:val="00664B26"/>
    <w:rsid w:val="0066596B"/>
    <w:rsid w:val="00666F71"/>
    <w:rsid w:val="00670295"/>
    <w:rsid w:val="006704F5"/>
    <w:rsid w:val="00672894"/>
    <w:rsid w:val="00672DDF"/>
    <w:rsid w:val="00674B47"/>
    <w:rsid w:val="006753BA"/>
    <w:rsid w:val="0067609E"/>
    <w:rsid w:val="00676508"/>
    <w:rsid w:val="00677749"/>
    <w:rsid w:val="00680776"/>
    <w:rsid w:val="00680E07"/>
    <w:rsid w:val="00682070"/>
    <w:rsid w:val="00682B9D"/>
    <w:rsid w:val="00683806"/>
    <w:rsid w:val="006841AF"/>
    <w:rsid w:val="00686AF9"/>
    <w:rsid w:val="00690F7B"/>
    <w:rsid w:val="006910C0"/>
    <w:rsid w:val="00691954"/>
    <w:rsid w:val="00691FAA"/>
    <w:rsid w:val="0069320E"/>
    <w:rsid w:val="00693D13"/>
    <w:rsid w:val="00694A6A"/>
    <w:rsid w:val="00694F58"/>
    <w:rsid w:val="006955BC"/>
    <w:rsid w:val="006959E2"/>
    <w:rsid w:val="00695E1D"/>
    <w:rsid w:val="00696920"/>
    <w:rsid w:val="00697EB9"/>
    <w:rsid w:val="006A20D4"/>
    <w:rsid w:val="006A268D"/>
    <w:rsid w:val="006A350F"/>
    <w:rsid w:val="006A3957"/>
    <w:rsid w:val="006A39A4"/>
    <w:rsid w:val="006A3C05"/>
    <w:rsid w:val="006A41D6"/>
    <w:rsid w:val="006A5114"/>
    <w:rsid w:val="006A6047"/>
    <w:rsid w:val="006A669D"/>
    <w:rsid w:val="006A6E41"/>
    <w:rsid w:val="006B012F"/>
    <w:rsid w:val="006B27CF"/>
    <w:rsid w:val="006B41BD"/>
    <w:rsid w:val="006B4898"/>
    <w:rsid w:val="006B5678"/>
    <w:rsid w:val="006B62B2"/>
    <w:rsid w:val="006C1C57"/>
    <w:rsid w:val="006C5760"/>
    <w:rsid w:val="006C6D6F"/>
    <w:rsid w:val="006D0D78"/>
    <w:rsid w:val="006D1128"/>
    <w:rsid w:val="006D2848"/>
    <w:rsid w:val="006D30E0"/>
    <w:rsid w:val="006D4FC6"/>
    <w:rsid w:val="006D5521"/>
    <w:rsid w:val="006D5FE9"/>
    <w:rsid w:val="006D6CBB"/>
    <w:rsid w:val="006D712F"/>
    <w:rsid w:val="006D76A9"/>
    <w:rsid w:val="006D77F4"/>
    <w:rsid w:val="006E0898"/>
    <w:rsid w:val="006E41CD"/>
    <w:rsid w:val="006F28A7"/>
    <w:rsid w:val="006F3BEC"/>
    <w:rsid w:val="006F4FB7"/>
    <w:rsid w:val="00700FC8"/>
    <w:rsid w:val="00701ADC"/>
    <w:rsid w:val="007023EF"/>
    <w:rsid w:val="00703C00"/>
    <w:rsid w:val="007057CC"/>
    <w:rsid w:val="007066F2"/>
    <w:rsid w:val="00706AE5"/>
    <w:rsid w:val="007071F5"/>
    <w:rsid w:val="0070740A"/>
    <w:rsid w:val="00707567"/>
    <w:rsid w:val="00711AA2"/>
    <w:rsid w:val="00711F93"/>
    <w:rsid w:val="00712940"/>
    <w:rsid w:val="0071428C"/>
    <w:rsid w:val="00714905"/>
    <w:rsid w:val="007152D4"/>
    <w:rsid w:val="00715A16"/>
    <w:rsid w:val="007164B0"/>
    <w:rsid w:val="007166FF"/>
    <w:rsid w:val="00722348"/>
    <w:rsid w:val="007260CC"/>
    <w:rsid w:val="00726543"/>
    <w:rsid w:val="00726DB4"/>
    <w:rsid w:val="0073353E"/>
    <w:rsid w:val="00736633"/>
    <w:rsid w:val="00741EE7"/>
    <w:rsid w:val="00743A79"/>
    <w:rsid w:val="007444D4"/>
    <w:rsid w:val="0074594D"/>
    <w:rsid w:val="007459F3"/>
    <w:rsid w:val="00746E35"/>
    <w:rsid w:val="007470E2"/>
    <w:rsid w:val="00747C1C"/>
    <w:rsid w:val="0075232F"/>
    <w:rsid w:val="00752B5E"/>
    <w:rsid w:val="00753132"/>
    <w:rsid w:val="007550B3"/>
    <w:rsid w:val="00757516"/>
    <w:rsid w:val="00760451"/>
    <w:rsid w:val="0077182A"/>
    <w:rsid w:val="00771913"/>
    <w:rsid w:val="00772718"/>
    <w:rsid w:val="00775BCF"/>
    <w:rsid w:val="007808EA"/>
    <w:rsid w:val="007818AA"/>
    <w:rsid w:val="007819C4"/>
    <w:rsid w:val="00783140"/>
    <w:rsid w:val="007838B6"/>
    <w:rsid w:val="00783E77"/>
    <w:rsid w:val="00785644"/>
    <w:rsid w:val="00785674"/>
    <w:rsid w:val="00785BF6"/>
    <w:rsid w:val="00786F3B"/>
    <w:rsid w:val="007906F1"/>
    <w:rsid w:val="0079121B"/>
    <w:rsid w:val="00791E2B"/>
    <w:rsid w:val="0079243D"/>
    <w:rsid w:val="00793FDA"/>
    <w:rsid w:val="00794A9B"/>
    <w:rsid w:val="0079583B"/>
    <w:rsid w:val="00796602"/>
    <w:rsid w:val="00797185"/>
    <w:rsid w:val="007976B7"/>
    <w:rsid w:val="00797A7E"/>
    <w:rsid w:val="00797D6F"/>
    <w:rsid w:val="007A0BF3"/>
    <w:rsid w:val="007A561C"/>
    <w:rsid w:val="007B014B"/>
    <w:rsid w:val="007B0830"/>
    <w:rsid w:val="007B0D88"/>
    <w:rsid w:val="007B306F"/>
    <w:rsid w:val="007B3141"/>
    <w:rsid w:val="007B4714"/>
    <w:rsid w:val="007B4E82"/>
    <w:rsid w:val="007B7BE1"/>
    <w:rsid w:val="007C13DD"/>
    <w:rsid w:val="007C1996"/>
    <w:rsid w:val="007C3773"/>
    <w:rsid w:val="007C3F1F"/>
    <w:rsid w:val="007C4936"/>
    <w:rsid w:val="007C563A"/>
    <w:rsid w:val="007C608E"/>
    <w:rsid w:val="007D2D0D"/>
    <w:rsid w:val="007D330E"/>
    <w:rsid w:val="007D3325"/>
    <w:rsid w:val="007D3818"/>
    <w:rsid w:val="007D6A72"/>
    <w:rsid w:val="007D6DC5"/>
    <w:rsid w:val="007D7425"/>
    <w:rsid w:val="007E27F0"/>
    <w:rsid w:val="007E320E"/>
    <w:rsid w:val="007E3280"/>
    <w:rsid w:val="007E4A02"/>
    <w:rsid w:val="007E595C"/>
    <w:rsid w:val="007E59A5"/>
    <w:rsid w:val="007F3332"/>
    <w:rsid w:val="007F3B8C"/>
    <w:rsid w:val="007F41D0"/>
    <w:rsid w:val="007F4B8B"/>
    <w:rsid w:val="007F5957"/>
    <w:rsid w:val="007F5D48"/>
    <w:rsid w:val="007F70B6"/>
    <w:rsid w:val="007F74CA"/>
    <w:rsid w:val="00800F1E"/>
    <w:rsid w:val="0080195A"/>
    <w:rsid w:val="0080239C"/>
    <w:rsid w:val="00802841"/>
    <w:rsid w:val="008037D5"/>
    <w:rsid w:val="00805447"/>
    <w:rsid w:val="008054FA"/>
    <w:rsid w:val="00805518"/>
    <w:rsid w:val="00807096"/>
    <w:rsid w:val="0080717A"/>
    <w:rsid w:val="00807DFA"/>
    <w:rsid w:val="0081009F"/>
    <w:rsid w:val="00810152"/>
    <w:rsid w:val="008115AB"/>
    <w:rsid w:val="008159F4"/>
    <w:rsid w:val="00815DF3"/>
    <w:rsid w:val="008167C1"/>
    <w:rsid w:val="008167C6"/>
    <w:rsid w:val="00816B8F"/>
    <w:rsid w:val="00820331"/>
    <w:rsid w:val="00820BF5"/>
    <w:rsid w:val="008212B1"/>
    <w:rsid w:val="0082155A"/>
    <w:rsid w:val="0082209F"/>
    <w:rsid w:val="008223C2"/>
    <w:rsid w:val="00822DD8"/>
    <w:rsid w:val="008243D5"/>
    <w:rsid w:val="008250A2"/>
    <w:rsid w:val="00825421"/>
    <w:rsid w:val="00825D64"/>
    <w:rsid w:val="0082650B"/>
    <w:rsid w:val="008301CE"/>
    <w:rsid w:val="008312E3"/>
    <w:rsid w:val="00831D5B"/>
    <w:rsid w:val="00832DD6"/>
    <w:rsid w:val="00832F0C"/>
    <w:rsid w:val="008336F2"/>
    <w:rsid w:val="008345D9"/>
    <w:rsid w:val="008347CB"/>
    <w:rsid w:val="00835647"/>
    <w:rsid w:val="008368C8"/>
    <w:rsid w:val="00837A2E"/>
    <w:rsid w:val="00841558"/>
    <w:rsid w:val="00842A68"/>
    <w:rsid w:val="008435BA"/>
    <w:rsid w:val="0084558B"/>
    <w:rsid w:val="0084600B"/>
    <w:rsid w:val="0084654A"/>
    <w:rsid w:val="00847654"/>
    <w:rsid w:val="00851064"/>
    <w:rsid w:val="00853F4D"/>
    <w:rsid w:val="00855543"/>
    <w:rsid w:val="00855C97"/>
    <w:rsid w:val="008566B3"/>
    <w:rsid w:val="008576B7"/>
    <w:rsid w:val="00857F7B"/>
    <w:rsid w:val="00861591"/>
    <w:rsid w:val="00861D0B"/>
    <w:rsid w:val="00861DC7"/>
    <w:rsid w:val="00863287"/>
    <w:rsid w:val="00863DA1"/>
    <w:rsid w:val="00864E44"/>
    <w:rsid w:val="008654A6"/>
    <w:rsid w:val="00865AB1"/>
    <w:rsid w:val="00865D86"/>
    <w:rsid w:val="00865F73"/>
    <w:rsid w:val="00870495"/>
    <w:rsid w:val="00870EA1"/>
    <w:rsid w:val="008710C5"/>
    <w:rsid w:val="00873496"/>
    <w:rsid w:val="00873652"/>
    <w:rsid w:val="00874438"/>
    <w:rsid w:val="00874D7E"/>
    <w:rsid w:val="00874E75"/>
    <w:rsid w:val="008767F3"/>
    <w:rsid w:val="00876CEF"/>
    <w:rsid w:val="00877342"/>
    <w:rsid w:val="008777E8"/>
    <w:rsid w:val="008803C3"/>
    <w:rsid w:val="00881450"/>
    <w:rsid w:val="008817C7"/>
    <w:rsid w:val="00881875"/>
    <w:rsid w:val="008848A3"/>
    <w:rsid w:val="00884AF1"/>
    <w:rsid w:val="00885F7A"/>
    <w:rsid w:val="00886DCC"/>
    <w:rsid w:val="00890712"/>
    <w:rsid w:val="00890D81"/>
    <w:rsid w:val="00892955"/>
    <w:rsid w:val="00893628"/>
    <w:rsid w:val="008941EB"/>
    <w:rsid w:val="00894C8F"/>
    <w:rsid w:val="0089545A"/>
    <w:rsid w:val="00895A02"/>
    <w:rsid w:val="00896A19"/>
    <w:rsid w:val="00896E90"/>
    <w:rsid w:val="008A01EE"/>
    <w:rsid w:val="008A0DAC"/>
    <w:rsid w:val="008A2321"/>
    <w:rsid w:val="008A278E"/>
    <w:rsid w:val="008A3B78"/>
    <w:rsid w:val="008A4166"/>
    <w:rsid w:val="008A468F"/>
    <w:rsid w:val="008A5145"/>
    <w:rsid w:val="008A562B"/>
    <w:rsid w:val="008A7DBF"/>
    <w:rsid w:val="008B136C"/>
    <w:rsid w:val="008B55EF"/>
    <w:rsid w:val="008B6910"/>
    <w:rsid w:val="008B6A94"/>
    <w:rsid w:val="008C0B27"/>
    <w:rsid w:val="008C0B5C"/>
    <w:rsid w:val="008C0DBB"/>
    <w:rsid w:val="008C1343"/>
    <w:rsid w:val="008C3912"/>
    <w:rsid w:val="008C39B5"/>
    <w:rsid w:val="008C53C5"/>
    <w:rsid w:val="008C5598"/>
    <w:rsid w:val="008C5B91"/>
    <w:rsid w:val="008C5C73"/>
    <w:rsid w:val="008C69EA"/>
    <w:rsid w:val="008C6F8B"/>
    <w:rsid w:val="008C76FE"/>
    <w:rsid w:val="008C785E"/>
    <w:rsid w:val="008C7AB7"/>
    <w:rsid w:val="008C7FB4"/>
    <w:rsid w:val="008D2BF1"/>
    <w:rsid w:val="008D2C8C"/>
    <w:rsid w:val="008D3040"/>
    <w:rsid w:val="008D3ECD"/>
    <w:rsid w:val="008D5C03"/>
    <w:rsid w:val="008D674B"/>
    <w:rsid w:val="008D7580"/>
    <w:rsid w:val="008D7C35"/>
    <w:rsid w:val="008E08D4"/>
    <w:rsid w:val="008E1772"/>
    <w:rsid w:val="008E5698"/>
    <w:rsid w:val="008E5733"/>
    <w:rsid w:val="008E77D2"/>
    <w:rsid w:val="008E78FD"/>
    <w:rsid w:val="008F0F33"/>
    <w:rsid w:val="008F11EC"/>
    <w:rsid w:val="008F199D"/>
    <w:rsid w:val="008F38A0"/>
    <w:rsid w:val="008F39C9"/>
    <w:rsid w:val="008F5EB5"/>
    <w:rsid w:val="008F678C"/>
    <w:rsid w:val="008F75A7"/>
    <w:rsid w:val="008F7722"/>
    <w:rsid w:val="008F7E5A"/>
    <w:rsid w:val="00900A7F"/>
    <w:rsid w:val="0090148C"/>
    <w:rsid w:val="00901B2B"/>
    <w:rsid w:val="009036EE"/>
    <w:rsid w:val="009055A7"/>
    <w:rsid w:val="009056C3"/>
    <w:rsid w:val="00905815"/>
    <w:rsid w:val="00905D1D"/>
    <w:rsid w:val="0091016D"/>
    <w:rsid w:val="00910C98"/>
    <w:rsid w:val="00911910"/>
    <w:rsid w:val="00912A58"/>
    <w:rsid w:val="00912C68"/>
    <w:rsid w:val="00913908"/>
    <w:rsid w:val="00913977"/>
    <w:rsid w:val="00913D26"/>
    <w:rsid w:val="009141E2"/>
    <w:rsid w:val="0091438B"/>
    <w:rsid w:val="009147E3"/>
    <w:rsid w:val="00920F7E"/>
    <w:rsid w:val="00920FD2"/>
    <w:rsid w:val="00923685"/>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2C94"/>
    <w:rsid w:val="009559E1"/>
    <w:rsid w:val="009568D5"/>
    <w:rsid w:val="00957CD3"/>
    <w:rsid w:val="00961FC7"/>
    <w:rsid w:val="0096269B"/>
    <w:rsid w:val="00963FB0"/>
    <w:rsid w:val="00964C86"/>
    <w:rsid w:val="009651C2"/>
    <w:rsid w:val="00965E82"/>
    <w:rsid w:val="009664BB"/>
    <w:rsid w:val="009669F8"/>
    <w:rsid w:val="00966F89"/>
    <w:rsid w:val="00967308"/>
    <w:rsid w:val="009736C6"/>
    <w:rsid w:val="00973B5D"/>
    <w:rsid w:val="00975E4C"/>
    <w:rsid w:val="0097755E"/>
    <w:rsid w:val="00980A1C"/>
    <w:rsid w:val="00981467"/>
    <w:rsid w:val="009816E2"/>
    <w:rsid w:val="00981C24"/>
    <w:rsid w:val="009852F6"/>
    <w:rsid w:val="00985DE5"/>
    <w:rsid w:val="00986254"/>
    <w:rsid w:val="009868BB"/>
    <w:rsid w:val="0098729E"/>
    <w:rsid w:val="00990067"/>
    <w:rsid w:val="00990557"/>
    <w:rsid w:val="009919B0"/>
    <w:rsid w:val="00992977"/>
    <w:rsid w:val="00993072"/>
    <w:rsid w:val="009937D4"/>
    <w:rsid w:val="00993C78"/>
    <w:rsid w:val="009948C7"/>
    <w:rsid w:val="00995850"/>
    <w:rsid w:val="00995F77"/>
    <w:rsid w:val="0099796C"/>
    <w:rsid w:val="009A194E"/>
    <w:rsid w:val="009A1EA2"/>
    <w:rsid w:val="009A209E"/>
    <w:rsid w:val="009A31AA"/>
    <w:rsid w:val="009A3F3C"/>
    <w:rsid w:val="009A3FD7"/>
    <w:rsid w:val="009A6008"/>
    <w:rsid w:val="009A6652"/>
    <w:rsid w:val="009A74FD"/>
    <w:rsid w:val="009B25D8"/>
    <w:rsid w:val="009B42E3"/>
    <w:rsid w:val="009B4F11"/>
    <w:rsid w:val="009B4FCF"/>
    <w:rsid w:val="009B5859"/>
    <w:rsid w:val="009B70E6"/>
    <w:rsid w:val="009C3B08"/>
    <w:rsid w:val="009C537D"/>
    <w:rsid w:val="009C6D07"/>
    <w:rsid w:val="009C71A1"/>
    <w:rsid w:val="009C7CEC"/>
    <w:rsid w:val="009D154D"/>
    <w:rsid w:val="009D18EF"/>
    <w:rsid w:val="009D3BE8"/>
    <w:rsid w:val="009D4454"/>
    <w:rsid w:val="009D44E0"/>
    <w:rsid w:val="009D4ED1"/>
    <w:rsid w:val="009D573B"/>
    <w:rsid w:val="009D59A0"/>
    <w:rsid w:val="009D716A"/>
    <w:rsid w:val="009D735E"/>
    <w:rsid w:val="009E0CAD"/>
    <w:rsid w:val="009E1AC4"/>
    <w:rsid w:val="009E20B8"/>
    <w:rsid w:val="009E29A0"/>
    <w:rsid w:val="009E41B5"/>
    <w:rsid w:val="009E55D7"/>
    <w:rsid w:val="009E627C"/>
    <w:rsid w:val="009F0A69"/>
    <w:rsid w:val="009F0CD8"/>
    <w:rsid w:val="009F110B"/>
    <w:rsid w:val="009F128A"/>
    <w:rsid w:val="009F1498"/>
    <w:rsid w:val="009F1E9F"/>
    <w:rsid w:val="009F3793"/>
    <w:rsid w:val="009F54F2"/>
    <w:rsid w:val="009F5DBE"/>
    <w:rsid w:val="00A0056B"/>
    <w:rsid w:val="00A01657"/>
    <w:rsid w:val="00A01A26"/>
    <w:rsid w:val="00A01C65"/>
    <w:rsid w:val="00A0213D"/>
    <w:rsid w:val="00A04C73"/>
    <w:rsid w:val="00A0679A"/>
    <w:rsid w:val="00A06D92"/>
    <w:rsid w:val="00A07A2B"/>
    <w:rsid w:val="00A12375"/>
    <w:rsid w:val="00A125B8"/>
    <w:rsid w:val="00A13124"/>
    <w:rsid w:val="00A15370"/>
    <w:rsid w:val="00A156AB"/>
    <w:rsid w:val="00A16B8D"/>
    <w:rsid w:val="00A21293"/>
    <w:rsid w:val="00A2134B"/>
    <w:rsid w:val="00A21623"/>
    <w:rsid w:val="00A21E6F"/>
    <w:rsid w:val="00A220EB"/>
    <w:rsid w:val="00A22302"/>
    <w:rsid w:val="00A2328D"/>
    <w:rsid w:val="00A23B7F"/>
    <w:rsid w:val="00A23E0A"/>
    <w:rsid w:val="00A24A19"/>
    <w:rsid w:val="00A25F1B"/>
    <w:rsid w:val="00A266E7"/>
    <w:rsid w:val="00A31EE7"/>
    <w:rsid w:val="00A325F3"/>
    <w:rsid w:val="00A33103"/>
    <w:rsid w:val="00A33294"/>
    <w:rsid w:val="00A35DCB"/>
    <w:rsid w:val="00A3690E"/>
    <w:rsid w:val="00A37751"/>
    <w:rsid w:val="00A406B1"/>
    <w:rsid w:val="00A4113E"/>
    <w:rsid w:val="00A42435"/>
    <w:rsid w:val="00A42462"/>
    <w:rsid w:val="00A4355F"/>
    <w:rsid w:val="00A438BA"/>
    <w:rsid w:val="00A446C8"/>
    <w:rsid w:val="00A446FD"/>
    <w:rsid w:val="00A45B76"/>
    <w:rsid w:val="00A46F46"/>
    <w:rsid w:val="00A50C8C"/>
    <w:rsid w:val="00A52CB6"/>
    <w:rsid w:val="00A52F99"/>
    <w:rsid w:val="00A538BB"/>
    <w:rsid w:val="00A54164"/>
    <w:rsid w:val="00A54E94"/>
    <w:rsid w:val="00A56737"/>
    <w:rsid w:val="00A57E78"/>
    <w:rsid w:val="00A60002"/>
    <w:rsid w:val="00A603D8"/>
    <w:rsid w:val="00A60A2C"/>
    <w:rsid w:val="00A60AE2"/>
    <w:rsid w:val="00A60F4F"/>
    <w:rsid w:val="00A61834"/>
    <w:rsid w:val="00A618B0"/>
    <w:rsid w:val="00A62790"/>
    <w:rsid w:val="00A6291F"/>
    <w:rsid w:val="00A63F53"/>
    <w:rsid w:val="00A650FB"/>
    <w:rsid w:val="00A7111E"/>
    <w:rsid w:val="00A737E4"/>
    <w:rsid w:val="00A755B6"/>
    <w:rsid w:val="00A75B1A"/>
    <w:rsid w:val="00A76C66"/>
    <w:rsid w:val="00A80ED4"/>
    <w:rsid w:val="00A816C4"/>
    <w:rsid w:val="00A817EE"/>
    <w:rsid w:val="00A82125"/>
    <w:rsid w:val="00A82981"/>
    <w:rsid w:val="00A844F4"/>
    <w:rsid w:val="00A8549A"/>
    <w:rsid w:val="00A85F1E"/>
    <w:rsid w:val="00A86F10"/>
    <w:rsid w:val="00A87AF2"/>
    <w:rsid w:val="00A90B23"/>
    <w:rsid w:val="00A93170"/>
    <w:rsid w:val="00A93193"/>
    <w:rsid w:val="00A93C2B"/>
    <w:rsid w:val="00A9444B"/>
    <w:rsid w:val="00A94556"/>
    <w:rsid w:val="00A94646"/>
    <w:rsid w:val="00A9676F"/>
    <w:rsid w:val="00A974CB"/>
    <w:rsid w:val="00AA1EAC"/>
    <w:rsid w:val="00AA45E2"/>
    <w:rsid w:val="00AA59D0"/>
    <w:rsid w:val="00AA7AC1"/>
    <w:rsid w:val="00AB6327"/>
    <w:rsid w:val="00AB6B8F"/>
    <w:rsid w:val="00AC0C65"/>
    <w:rsid w:val="00AC0FB2"/>
    <w:rsid w:val="00AC3721"/>
    <w:rsid w:val="00AC41C6"/>
    <w:rsid w:val="00AC70C7"/>
    <w:rsid w:val="00AC7458"/>
    <w:rsid w:val="00AC74AA"/>
    <w:rsid w:val="00AC76B7"/>
    <w:rsid w:val="00AC79A5"/>
    <w:rsid w:val="00AD0223"/>
    <w:rsid w:val="00AD123A"/>
    <w:rsid w:val="00AD15F8"/>
    <w:rsid w:val="00AD15FF"/>
    <w:rsid w:val="00AD1AA5"/>
    <w:rsid w:val="00AD2920"/>
    <w:rsid w:val="00AD2CD5"/>
    <w:rsid w:val="00AD2DFC"/>
    <w:rsid w:val="00AD38C4"/>
    <w:rsid w:val="00AD5A4A"/>
    <w:rsid w:val="00AD60EE"/>
    <w:rsid w:val="00AD6A2B"/>
    <w:rsid w:val="00AD73D4"/>
    <w:rsid w:val="00AE1EA2"/>
    <w:rsid w:val="00AE2874"/>
    <w:rsid w:val="00AE2F98"/>
    <w:rsid w:val="00AE35AA"/>
    <w:rsid w:val="00AE3602"/>
    <w:rsid w:val="00AE398A"/>
    <w:rsid w:val="00AE5342"/>
    <w:rsid w:val="00AE5987"/>
    <w:rsid w:val="00AE6472"/>
    <w:rsid w:val="00AF0994"/>
    <w:rsid w:val="00AF1345"/>
    <w:rsid w:val="00AF38A8"/>
    <w:rsid w:val="00AF5CFD"/>
    <w:rsid w:val="00AF63EB"/>
    <w:rsid w:val="00AF6DE7"/>
    <w:rsid w:val="00AF6E9B"/>
    <w:rsid w:val="00B016D2"/>
    <w:rsid w:val="00B018EC"/>
    <w:rsid w:val="00B019DA"/>
    <w:rsid w:val="00B02216"/>
    <w:rsid w:val="00B041C8"/>
    <w:rsid w:val="00B060C7"/>
    <w:rsid w:val="00B1067E"/>
    <w:rsid w:val="00B11981"/>
    <w:rsid w:val="00B11AB7"/>
    <w:rsid w:val="00B12213"/>
    <w:rsid w:val="00B12B4B"/>
    <w:rsid w:val="00B13710"/>
    <w:rsid w:val="00B2097D"/>
    <w:rsid w:val="00B219DC"/>
    <w:rsid w:val="00B22549"/>
    <w:rsid w:val="00B22881"/>
    <w:rsid w:val="00B22E68"/>
    <w:rsid w:val="00B23EFC"/>
    <w:rsid w:val="00B24B72"/>
    <w:rsid w:val="00B25DB8"/>
    <w:rsid w:val="00B2656C"/>
    <w:rsid w:val="00B266E6"/>
    <w:rsid w:val="00B27245"/>
    <w:rsid w:val="00B2731B"/>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0A7F"/>
    <w:rsid w:val="00B4232D"/>
    <w:rsid w:val="00B42682"/>
    <w:rsid w:val="00B43065"/>
    <w:rsid w:val="00B43AE3"/>
    <w:rsid w:val="00B44784"/>
    <w:rsid w:val="00B449D0"/>
    <w:rsid w:val="00B456AB"/>
    <w:rsid w:val="00B46C2A"/>
    <w:rsid w:val="00B47E8B"/>
    <w:rsid w:val="00B51C67"/>
    <w:rsid w:val="00B53F86"/>
    <w:rsid w:val="00B53FDC"/>
    <w:rsid w:val="00B55431"/>
    <w:rsid w:val="00B55667"/>
    <w:rsid w:val="00B55CAE"/>
    <w:rsid w:val="00B576C6"/>
    <w:rsid w:val="00B615F2"/>
    <w:rsid w:val="00B61A28"/>
    <w:rsid w:val="00B64794"/>
    <w:rsid w:val="00B65C6D"/>
    <w:rsid w:val="00B66B06"/>
    <w:rsid w:val="00B67862"/>
    <w:rsid w:val="00B70634"/>
    <w:rsid w:val="00B70BE4"/>
    <w:rsid w:val="00B73880"/>
    <w:rsid w:val="00B73A3C"/>
    <w:rsid w:val="00B73CF1"/>
    <w:rsid w:val="00B745B3"/>
    <w:rsid w:val="00B75895"/>
    <w:rsid w:val="00B7599D"/>
    <w:rsid w:val="00B7648F"/>
    <w:rsid w:val="00B76E13"/>
    <w:rsid w:val="00B771EE"/>
    <w:rsid w:val="00B7765B"/>
    <w:rsid w:val="00B77B4B"/>
    <w:rsid w:val="00B80ABC"/>
    <w:rsid w:val="00B814C2"/>
    <w:rsid w:val="00B900FE"/>
    <w:rsid w:val="00B9064C"/>
    <w:rsid w:val="00B91DE6"/>
    <w:rsid w:val="00B929E1"/>
    <w:rsid w:val="00B93017"/>
    <w:rsid w:val="00BA004B"/>
    <w:rsid w:val="00BA0A14"/>
    <w:rsid w:val="00BA1347"/>
    <w:rsid w:val="00BA2E1D"/>
    <w:rsid w:val="00BA398D"/>
    <w:rsid w:val="00BA39D3"/>
    <w:rsid w:val="00BA5BB9"/>
    <w:rsid w:val="00BA5BD5"/>
    <w:rsid w:val="00BA5C56"/>
    <w:rsid w:val="00BA776F"/>
    <w:rsid w:val="00BA7E11"/>
    <w:rsid w:val="00BB0B5C"/>
    <w:rsid w:val="00BB0C0D"/>
    <w:rsid w:val="00BB0D69"/>
    <w:rsid w:val="00BB366E"/>
    <w:rsid w:val="00BB3AF0"/>
    <w:rsid w:val="00BB4F70"/>
    <w:rsid w:val="00BB67FF"/>
    <w:rsid w:val="00BC11B9"/>
    <w:rsid w:val="00BC138C"/>
    <w:rsid w:val="00BC14CF"/>
    <w:rsid w:val="00BC1659"/>
    <w:rsid w:val="00BC1A82"/>
    <w:rsid w:val="00BC1EAC"/>
    <w:rsid w:val="00BC2C91"/>
    <w:rsid w:val="00BC3A57"/>
    <w:rsid w:val="00BC3A9C"/>
    <w:rsid w:val="00BC5288"/>
    <w:rsid w:val="00BC5BAE"/>
    <w:rsid w:val="00BC6A71"/>
    <w:rsid w:val="00BC6B2F"/>
    <w:rsid w:val="00BD0637"/>
    <w:rsid w:val="00BD08A8"/>
    <w:rsid w:val="00BD0D58"/>
    <w:rsid w:val="00BD1BAC"/>
    <w:rsid w:val="00BD1BF5"/>
    <w:rsid w:val="00BD1FA8"/>
    <w:rsid w:val="00BD25A6"/>
    <w:rsid w:val="00BD4564"/>
    <w:rsid w:val="00BD4C95"/>
    <w:rsid w:val="00BD65FC"/>
    <w:rsid w:val="00BD7660"/>
    <w:rsid w:val="00BD76E7"/>
    <w:rsid w:val="00BE0666"/>
    <w:rsid w:val="00BE150D"/>
    <w:rsid w:val="00BE24B9"/>
    <w:rsid w:val="00BE2AE8"/>
    <w:rsid w:val="00BE2D55"/>
    <w:rsid w:val="00BE37C5"/>
    <w:rsid w:val="00BE38DD"/>
    <w:rsid w:val="00BE3C0A"/>
    <w:rsid w:val="00BE4AB1"/>
    <w:rsid w:val="00BE50BC"/>
    <w:rsid w:val="00BF16C3"/>
    <w:rsid w:val="00BF2FA0"/>
    <w:rsid w:val="00BF3200"/>
    <w:rsid w:val="00BF38E0"/>
    <w:rsid w:val="00BF44FA"/>
    <w:rsid w:val="00BF57E1"/>
    <w:rsid w:val="00C003B4"/>
    <w:rsid w:val="00C00A5F"/>
    <w:rsid w:val="00C013A0"/>
    <w:rsid w:val="00C042E0"/>
    <w:rsid w:val="00C048B5"/>
    <w:rsid w:val="00C051D9"/>
    <w:rsid w:val="00C05D3D"/>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988"/>
    <w:rsid w:val="00C4316E"/>
    <w:rsid w:val="00C453A9"/>
    <w:rsid w:val="00C465D5"/>
    <w:rsid w:val="00C4725F"/>
    <w:rsid w:val="00C4756A"/>
    <w:rsid w:val="00C47C39"/>
    <w:rsid w:val="00C50649"/>
    <w:rsid w:val="00C50E1F"/>
    <w:rsid w:val="00C51C09"/>
    <w:rsid w:val="00C528DE"/>
    <w:rsid w:val="00C52BB6"/>
    <w:rsid w:val="00C53471"/>
    <w:rsid w:val="00C53F94"/>
    <w:rsid w:val="00C54D53"/>
    <w:rsid w:val="00C55143"/>
    <w:rsid w:val="00C556EC"/>
    <w:rsid w:val="00C55C7C"/>
    <w:rsid w:val="00C5611B"/>
    <w:rsid w:val="00C5695E"/>
    <w:rsid w:val="00C60AE6"/>
    <w:rsid w:val="00C61528"/>
    <w:rsid w:val="00C63457"/>
    <w:rsid w:val="00C638F0"/>
    <w:rsid w:val="00C63DFF"/>
    <w:rsid w:val="00C640DB"/>
    <w:rsid w:val="00C64964"/>
    <w:rsid w:val="00C660F5"/>
    <w:rsid w:val="00C6631E"/>
    <w:rsid w:val="00C66AA4"/>
    <w:rsid w:val="00C67473"/>
    <w:rsid w:val="00C67AA4"/>
    <w:rsid w:val="00C7148C"/>
    <w:rsid w:val="00C72192"/>
    <w:rsid w:val="00C732E5"/>
    <w:rsid w:val="00C73D0B"/>
    <w:rsid w:val="00C75017"/>
    <w:rsid w:val="00C765B4"/>
    <w:rsid w:val="00C76E2D"/>
    <w:rsid w:val="00C7705E"/>
    <w:rsid w:val="00C813EA"/>
    <w:rsid w:val="00C81496"/>
    <w:rsid w:val="00C82700"/>
    <w:rsid w:val="00C82CE6"/>
    <w:rsid w:val="00C82E22"/>
    <w:rsid w:val="00C8344C"/>
    <w:rsid w:val="00C846FD"/>
    <w:rsid w:val="00C85144"/>
    <w:rsid w:val="00C85B8B"/>
    <w:rsid w:val="00C86738"/>
    <w:rsid w:val="00C86A27"/>
    <w:rsid w:val="00C902BE"/>
    <w:rsid w:val="00C91517"/>
    <w:rsid w:val="00C929BD"/>
    <w:rsid w:val="00C92E30"/>
    <w:rsid w:val="00C931A2"/>
    <w:rsid w:val="00C94A37"/>
    <w:rsid w:val="00C960C2"/>
    <w:rsid w:val="00C96753"/>
    <w:rsid w:val="00CA02E1"/>
    <w:rsid w:val="00CA14EA"/>
    <w:rsid w:val="00CA15DA"/>
    <w:rsid w:val="00CA224E"/>
    <w:rsid w:val="00CA26AC"/>
    <w:rsid w:val="00CA41C5"/>
    <w:rsid w:val="00CA42B7"/>
    <w:rsid w:val="00CA4A53"/>
    <w:rsid w:val="00CA51F5"/>
    <w:rsid w:val="00CA55A2"/>
    <w:rsid w:val="00CB218A"/>
    <w:rsid w:val="00CB225A"/>
    <w:rsid w:val="00CB503F"/>
    <w:rsid w:val="00CB69E6"/>
    <w:rsid w:val="00CB761B"/>
    <w:rsid w:val="00CC13DF"/>
    <w:rsid w:val="00CC1D51"/>
    <w:rsid w:val="00CC1EEE"/>
    <w:rsid w:val="00CC369E"/>
    <w:rsid w:val="00CC4BBF"/>
    <w:rsid w:val="00CC562B"/>
    <w:rsid w:val="00CC6C15"/>
    <w:rsid w:val="00CC7FCF"/>
    <w:rsid w:val="00CD2749"/>
    <w:rsid w:val="00CD2A60"/>
    <w:rsid w:val="00CD306F"/>
    <w:rsid w:val="00CD3971"/>
    <w:rsid w:val="00CD3DAB"/>
    <w:rsid w:val="00CD5050"/>
    <w:rsid w:val="00CD5B3D"/>
    <w:rsid w:val="00CE0DF1"/>
    <w:rsid w:val="00CE1E82"/>
    <w:rsid w:val="00CE3786"/>
    <w:rsid w:val="00CE4027"/>
    <w:rsid w:val="00CE47CC"/>
    <w:rsid w:val="00CE5F80"/>
    <w:rsid w:val="00CE61A6"/>
    <w:rsid w:val="00CE68F6"/>
    <w:rsid w:val="00CE6BFB"/>
    <w:rsid w:val="00CE792D"/>
    <w:rsid w:val="00CE7E27"/>
    <w:rsid w:val="00CF04D0"/>
    <w:rsid w:val="00CF22AC"/>
    <w:rsid w:val="00CF2F0A"/>
    <w:rsid w:val="00CF63E2"/>
    <w:rsid w:val="00CF6843"/>
    <w:rsid w:val="00CF79E8"/>
    <w:rsid w:val="00D015AA"/>
    <w:rsid w:val="00D01EAF"/>
    <w:rsid w:val="00D021B8"/>
    <w:rsid w:val="00D034A7"/>
    <w:rsid w:val="00D03C57"/>
    <w:rsid w:val="00D03D90"/>
    <w:rsid w:val="00D04024"/>
    <w:rsid w:val="00D043EB"/>
    <w:rsid w:val="00D052F7"/>
    <w:rsid w:val="00D06705"/>
    <w:rsid w:val="00D06A9B"/>
    <w:rsid w:val="00D0750D"/>
    <w:rsid w:val="00D07DD8"/>
    <w:rsid w:val="00D1038F"/>
    <w:rsid w:val="00D10BF7"/>
    <w:rsid w:val="00D10FEB"/>
    <w:rsid w:val="00D140A0"/>
    <w:rsid w:val="00D15147"/>
    <w:rsid w:val="00D2026B"/>
    <w:rsid w:val="00D203D1"/>
    <w:rsid w:val="00D2057A"/>
    <w:rsid w:val="00D20B43"/>
    <w:rsid w:val="00D21D98"/>
    <w:rsid w:val="00D22FF7"/>
    <w:rsid w:val="00D2317F"/>
    <w:rsid w:val="00D231A9"/>
    <w:rsid w:val="00D24391"/>
    <w:rsid w:val="00D2472B"/>
    <w:rsid w:val="00D253DD"/>
    <w:rsid w:val="00D26E6B"/>
    <w:rsid w:val="00D26FFA"/>
    <w:rsid w:val="00D30234"/>
    <w:rsid w:val="00D307E6"/>
    <w:rsid w:val="00D3215D"/>
    <w:rsid w:val="00D33352"/>
    <w:rsid w:val="00D33E09"/>
    <w:rsid w:val="00D347D9"/>
    <w:rsid w:val="00D35565"/>
    <w:rsid w:val="00D36A19"/>
    <w:rsid w:val="00D40DCF"/>
    <w:rsid w:val="00D41075"/>
    <w:rsid w:val="00D41C76"/>
    <w:rsid w:val="00D41DD8"/>
    <w:rsid w:val="00D4222C"/>
    <w:rsid w:val="00D425CE"/>
    <w:rsid w:val="00D42F40"/>
    <w:rsid w:val="00D4396C"/>
    <w:rsid w:val="00D4439C"/>
    <w:rsid w:val="00D4446F"/>
    <w:rsid w:val="00D44B55"/>
    <w:rsid w:val="00D45490"/>
    <w:rsid w:val="00D457B8"/>
    <w:rsid w:val="00D457E1"/>
    <w:rsid w:val="00D47BEB"/>
    <w:rsid w:val="00D50487"/>
    <w:rsid w:val="00D50563"/>
    <w:rsid w:val="00D505FD"/>
    <w:rsid w:val="00D50F50"/>
    <w:rsid w:val="00D5235F"/>
    <w:rsid w:val="00D52F50"/>
    <w:rsid w:val="00D55A98"/>
    <w:rsid w:val="00D55E58"/>
    <w:rsid w:val="00D56B49"/>
    <w:rsid w:val="00D6053F"/>
    <w:rsid w:val="00D6073D"/>
    <w:rsid w:val="00D618D6"/>
    <w:rsid w:val="00D62426"/>
    <w:rsid w:val="00D62804"/>
    <w:rsid w:val="00D6448F"/>
    <w:rsid w:val="00D6460F"/>
    <w:rsid w:val="00D64D00"/>
    <w:rsid w:val="00D70F55"/>
    <w:rsid w:val="00D70FA5"/>
    <w:rsid w:val="00D7341A"/>
    <w:rsid w:val="00D73E98"/>
    <w:rsid w:val="00D74171"/>
    <w:rsid w:val="00D7474C"/>
    <w:rsid w:val="00D752B3"/>
    <w:rsid w:val="00D76348"/>
    <w:rsid w:val="00D8032C"/>
    <w:rsid w:val="00D80CE2"/>
    <w:rsid w:val="00D82E56"/>
    <w:rsid w:val="00D83080"/>
    <w:rsid w:val="00D84D5F"/>
    <w:rsid w:val="00D851E2"/>
    <w:rsid w:val="00D86958"/>
    <w:rsid w:val="00D86AF3"/>
    <w:rsid w:val="00D87FFA"/>
    <w:rsid w:val="00D91419"/>
    <w:rsid w:val="00D92A09"/>
    <w:rsid w:val="00D92D2A"/>
    <w:rsid w:val="00D92EEC"/>
    <w:rsid w:val="00D93470"/>
    <w:rsid w:val="00D9395F"/>
    <w:rsid w:val="00D93965"/>
    <w:rsid w:val="00D93B05"/>
    <w:rsid w:val="00D93D55"/>
    <w:rsid w:val="00D941FA"/>
    <w:rsid w:val="00D94B59"/>
    <w:rsid w:val="00D95315"/>
    <w:rsid w:val="00D95EAB"/>
    <w:rsid w:val="00DA023F"/>
    <w:rsid w:val="00DA02D8"/>
    <w:rsid w:val="00DA0B39"/>
    <w:rsid w:val="00DA1203"/>
    <w:rsid w:val="00DA2316"/>
    <w:rsid w:val="00DA25E0"/>
    <w:rsid w:val="00DA2700"/>
    <w:rsid w:val="00DA3001"/>
    <w:rsid w:val="00DA3C5D"/>
    <w:rsid w:val="00DA3EFF"/>
    <w:rsid w:val="00DA7769"/>
    <w:rsid w:val="00DB08C6"/>
    <w:rsid w:val="00DB1801"/>
    <w:rsid w:val="00DB1BC2"/>
    <w:rsid w:val="00DB1CBB"/>
    <w:rsid w:val="00DB21C2"/>
    <w:rsid w:val="00DB2289"/>
    <w:rsid w:val="00DB31ED"/>
    <w:rsid w:val="00DB4124"/>
    <w:rsid w:val="00DB4511"/>
    <w:rsid w:val="00DB4F0C"/>
    <w:rsid w:val="00DB76B7"/>
    <w:rsid w:val="00DC0176"/>
    <w:rsid w:val="00DC043F"/>
    <w:rsid w:val="00DC093E"/>
    <w:rsid w:val="00DC0E29"/>
    <w:rsid w:val="00DC0E7A"/>
    <w:rsid w:val="00DC217C"/>
    <w:rsid w:val="00DC2A65"/>
    <w:rsid w:val="00DC2A86"/>
    <w:rsid w:val="00DC3631"/>
    <w:rsid w:val="00DC37F7"/>
    <w:rsid w:val="00DC625D"/>
    <w:rsid w:val="00DC6F54"/>
    <w:rsid w:val="00DD03EC"/>
    <w:rsid w:val="00DD0C00"/>
    <w:rsid w:val="00DD0F8C"/>
    <w:rsid w:val="00DD116C"/>
    <w:rsid w:val="00DD23D5"/>
    <w:rsid w:val="00DD2AF1"/>
    <w:rsid w:val="00DD46DA"/>
    <w:rsid w:val="00DD6072"/>
    <w:rsid w:val="00DD62BE"/>
    <w:rsid w:val="00DD77D9"/>
    <w:rsid w:val="00DD7CA4"/>
    <w:rsid w:val="00DE167C"/>
    <w:rsid w:val="00DE3B70"/>
    <w:rsid w:val="00DE5813"/>
    <w:rsid w:val="00DE67BB"/>
    <w:rsid w:val="00DF10B1"/>
    <w:rsid w:val="00DF1FDA"/>
    <w:rsid w:val="00DF3DD0"/>
    <w:rsid w:val="00DF4D50"/>
    <w:rsid w:val="00DF538C"/>
    <w:rsid w:val="00DF6928"/>
    <w:rsid w:val="00E021C2"/>
    <w:rsid w:val="00E024A3"/>
    <w:rsid w:val="00E0423D"/>
    <w:rsid w:val="00E05345"/>
    <w:rsid w:val="00E057B5"/>
    <w:rsid w:val="00E0581E"/>
    <w:rsid w:val="00E05EC3"/>
    <w:rsid w:val="00E05F59"/>
    <w:rsid w:val="00E07916"/>
    <w:rsid w:val="00E079C5"/>
    <w:rsid w:val="00E07CBD"/>
    <w:rsid w:val="00E07F56"/>
    <w:rsid w:val="00E10A16"/>
    <w:rsid w:val="00E1112F"/>
    <w:rsid w:val="00E1318F"/>
    <w:rsid w:val="00E13B3B"/>
    <w:rsid w:val="00E13E29"/>
    <w:rsid w:val="00E14E43"/>
    <w:rsid w:val="00E16857"/>
    <w:rsid w:val="00E16C3A"/>
    <w:rsid w:val="00E20651"/>
    <w:rsid w:val="00E2107C"/>
    <w:rsid w:val="00E21E70"/>
    <w:rsid w:val="00E224DE"/>
    <w:rsid w:val="00E22F4B"/>
    <w:rsid w:val="00E23DCE"/>
    <w:rsid w:val="00E26363"/>
    <w:rsid w:val="00E268B7"/>
    <w:rsid w:val="00E272A4"/>
    <w:rsid w:val="00E27CE1"/>
    <w:rsid w:val="00E305F9"/>
    <w:rsid w:val="00E306AC"/>
    <w:rsid w:val="00E322B3"/>
    <w:rsid w:val="00E34446"/>
    <w:rsid w:val="00E3633B"/>
    <w:rsid w:val="00E364B0"/>
    <w:rsid w:val="00E36870"/>
    <w:rsid w:val="00E374E1"/>
    <w:rsid w:val="00E379BF"/>
    <w:rsid w:val="00E37CEA"/>
    <w:rsid w:val="00E37E76"/>
    <w:rsid w:val="00E4079F"/>
    <w:rsid w:val="00E411E5"/>
    <w:rsid w:val="00E417AB"/>
    <w:rsid w:val="00E43D48"/>
    <w:rsid w:val="00E4542D"/>
    <w:rsid w:val="00E45BE0"/>
    <w:rsid w:val="00E46CAD"/>
    <w:rsid w:val="00E47521"/>
    <w:rsid w:val="00E4760C"/>
    <w:rsid w:val="00E507A6"/>
    <w:rsid w:val="00E52219"/>
    <w:rsid w:val="00E52D80"/>
    <w:rsid w:val="00E5375C"/>
    <w:rsid w:val="00E538B2"/>
    <w:rsid w:val="00E55552"/>
    <w:rsid w:val="00E561AD"/>
    <w:rsid w:val="00E57FAF"/>
    <w:rsid w:val="00E60BA9"/>
    <w:rsid w:val="00E6153F"/>
    <w:rsid w:val="00E62E23"/>
    <w:rsid w:val="00E63510"/>
    <w:rsid w:val="00E635EA"/>
    <w:rsid w:val="00E63B11"/>
    <w:rsid w:val="00E655E5"/>
    <w:rsid w:val="00E65F4E"/>
    <w:rsid w:val="00E662E0"/>
    <w:rsid w:val="00E67B6F"/>
    <w:rsid w:val="00E67D5D"/>
    <w:rsid w:val="00E71C7A"/>
    <w:rsid w:val="00E73119"/>
    <w:rsid w:val="00E73474"/>
    <w:rsid w:val="00E73595"/>
    <w:rsid w:val="00E73E1E"/>
    <w:rsid w:val="00E7544C"/>
    <w:rsid w:val="00E767FF"/>
    <w:rsid w:val="00E813CE"/>
    <w:rsid w:val="00E84C91"/>
    <w:rsid w:val="00E84E60"/>
    <w:rsid w:val="00E8556E"/>
    <w:rsid w:val="00E86AA2"/>
    <w:rsid w:val="00E86B2D"/>
    <w:rsid w:val="00E86EC4"/>
    <w:rsid w:val="00E86F4D"/>
    <w:rsid w:val="00E87D08"/>
    <w:rsid w:val="00E904BB"/>
    <w:rsid w:val="00E90D0E"/>
    <w:rsid w:val="00E91B2D"/>
    <w:rsid w:val="00E92FCA"/>
    <w:rsid w:val="00E95CAA"/>
    <w:rsid w:val="00EA0A39"/>
    <w:rsid w:val="00EA0EB2"/>
    <w:rsid w:val="00EA236F"/>
    <w:rsid w:val="00EA3023"/>
    <w:rsid w:val="00EA3E49"/>
    <w:rsid w:val="00EA3FC8"/>
    <w:rsid w:val="00EA5B8C"/>
    <w:rsid w:val="00EA7DEB"/>
    <w:rsid w:val="00EB0D3A"/>
    <w:rsid w:val="00EB0DC9"/>
    <w:rsid w:val="00EB1383"/>
    <w:rsid w:val="00EB252D"/>
    <w:rsid w:val="00EB253A"/>
    <w:rsid w:val="00EB29FA"/>
    <w:rsid w:val="00EB2CCE"/>
    <w:rsid w:val="00EB2E81"/>
    <w:rsid w:val="00EB385F"/>
    <w:rsid w:val="00EB3E49"/>
    <w:rsid w:val="00EB5FC3"/>
    <w:rsid w:val="00EB69EF"/>
    <w:rsid w:val="00EB6DA9"/>
    <w:rsid w:val="00EB736D"/>
    <w:rsid w:val="00EB7CEA"/>
    <w:rsid w:val="00EC1561"/>
    <w:rsid w:val="00EC1FCD"/>
    <w:rsid w:val="00EC2F65"/>
    <w:rsid w:val="00EC462E"/>
    <w:rsid w:val="00EC6A53"/>
    <w:rsid w:val="00EC6CD8"/>
    <w:rsid w:val="00EC786F"/>
    <w:rsid w:val="00ED1866"/>
    <w:rsid w:val="00ED3134"/>
    <w:rsid w:val="00ED38E2"/>
    <w:rsid w:val="00ED58CC"/>
    <w:rsid w:val="00ED5C44"/>
    <w:rsid w:val="00ED635B"/>
    <w:rsid w:val="00EE5892"/>
    <w:rsid w:val="00EE742D"/>
    <w:rsid w:val="00EF0983"/>
    <w:rsid w:val="00EF0A22"/>
    <w:rsid w:val="00EF1267"/>
    <w:rsid w:val="00EF180C"/>
    <w:rsid w:val="00EF3B6B"/>
    <w:rsid w:val="00EF4B43"/>
    <w:rsid w:val="00EF6750"/>
    <w:rsid w:val="00EF770B"/>
    <w:rsid w:val="00EF7E99"/>
    <w:rsid w:val="00F02836"/>
    <w:rsid w:val="00F02A88"/>
    <w:rsid w:val="00F02FB5"/>
    <w:rsid w:val="00F0466F"/>
    <w:rsid w:val="00F0534E"/>
    <w:rsid w:val="00F05C30"/>
    <w:rsid w:val="00F0787E"/>
    <w:rsid w:val="00F1036E"/>
    <w:rsid w:val="00F109AB"/>
    <w:rsid w:val="00F10F1B"/>
    <w:rsid w:val="00F14179"/>
    <w:rsid w:val="00F15496"/>
    <w:rsid w:val="00F15786"/>
    <w:rsid w:val="00F167C5"/>
    <w:rsid w:val="00F20B5A"/>
    <w:rsid w:val="00F21F0B"/>
    <w:rsid w:val="00F236AB"/>
    <w:rsid w:val="00F23C2B"/>
    <w:rsid w:val="00F24EA4"/>
    <w:rsid w:val="00F26614"/>
    <w:rsid w:val="00F27087"/>
    <w:rsid w:val="00F272D7"/>
    <w:rsid w:val="00F2773C"/>
    <w:rsid w:val="00F300B3"/>
    <w:rsid w:val="00F3058E"/>
    <w:rsid w:val="00F30DB9"/>
    <w:rsid w:val="00F30FB8"/>
    <w:rsid w:val="00F31D68"/>
    <w:rsid w:val="00F3286C"/>
    <w:rsid w:val="00F33152"/>
    <w:rsid w:val="00F338F2"/>
    <w:rsid w:val="00F346FF"/>
    <w:rsid w:val="00F349D3"/>
    <w:rsid w:val="00F3533E"/>
    <w:rsid w:val="00F35B84"/>
    <w:rsid w:val="00F402B5"/>
    <w:rsid w:val="00F4072F"/>
    <w:rsid w:val="00F40C3E"/>
    <w:rsid w:val="00F42839"/>
    <w:rsid w:val="00F441C6"/>
    <w:rsid w:val="00F44CC0"/>
    <w:rsid w:val="00F450BA"/>
    <w:rsid w:val="00F4623B"/>
    <w:rsid w:val="00F4684B"/>
    <w:rsid w:val="00F46BE9"/>
    <w:rsid w:val="00F47C3B"/>
    <w:rsid w:val="00F506CA"/>
    <w:rsid w:val="00F51424"/>
    <w:rsid w:val="00F515EF"/>
    <w:rsid w:val="00F53A7A"/>
    <w:rsid w:val="00F53EA1"/>
    <w:rsid w:val="00F541E0"/>
    <w:rsid w:val="00F54FCD"/>
    <w:rsid w:val="00F5785C"/>
    <w:rsid w:val="00F648AA"/>
    <w:rsid w:val="00F64FCB"/>
    <w:rsid w:val="00F65E3C"/>
    <w:rsid w:val="00F67076"/>
    <w:rsid w:val="00F67467"/>
    <w:rsid w:val="00F677FA"/>
    <w:rsid w:val="00F67859"/>
    <w:rsid w:val="00F7115A"/>
    <w:rsid w:val="00F717AA"/>
    <w:rsid w:val="00F72714"/>
    <w:rsid w:val="00F72DB8"/>
    <w:rsid w:val="00F744C3"/>
    <w:rsid w:val="00F756D3"/>
    <w:rsid w:val="00F75EE2"/>
    <w:rsid w:val="00F75F69"/>
    <w:rsid w:val="00F76014"/>
    <w:rsid w:val="00F802D3"/>
    <w:rsid w:val="00F80A93"/>
    <w:rsid w:val="00F80F94"/>
    <w:rsid w:val="00F81BA2"/>
    <w:rsid w:val="00F823A4"/>
    <w:rsid w:val="00F8412F"/>
    <w:rsid w:val="00F84791"/>
    <w:rsid w:val="00F85995"/>
    <w:rsid w:val="00F85FC5"/>
    <w:rsid w:val="00F86C22"/>
    <w:rsid w:val="00F90CB3"/>
    <w:rsid w:val="00F90D15"/>
    <w:rsid w:val="00F912A2"/>
    <w:rsid w:val="00F913A3"/>
    <w:rsid w:val="00F925C3"/>
    <w:rsid w:val="00F960F1"/>
    <w:rsid w:val="00FA0109"/>
    <w:rsid w:val="00FA458B"/>
    <w:rsid w:val="00FA5EC5"/>
    <w:rsid w:val="00FA601C"/>
    <w:rsid w:val="00FA7016"/>
    <w:rsid w:val="00FA7174"/>
    <w:rsid w:val="00FA793D"/>
    <w:rsid w:val="00FB020E"/>
    <w:rsid w:val="00FB0F17"/>
    <w:rsid w:val="00FB1155"/>
    <w:rsid w:val="00FB1221"/>
    <w:rsid w:val="00FB3AA3"/>
    <w:rsid w:val="00FB4B9D"/>
    <w:rsid w:val="00FB50ED"/>
    <w:rsid w:val="00FB6E18"/>
    <w:rsid w:val="00FC0A09"/>
    <w:rsid w:val="00FC144B"/>
    <w:rsid w:val="00FC19F8"/>
    <w:rsid w:val="00FC2169"/>
    <w:rsid w:val="00FC28E2"/>
    <w:rsid w:val="00FC3BF6"/>
    <w:rsid w:val="00FC3D22"/>
    <w:rsid w:val="00FC6FE1"/>
    <w:rsid w:val="00FC77FF"/>
    <w:rsid w:val="00FD0C3D"/>
    <w:rsid w:val="00FD2E1A"/>
    <w:rsid w:val="00FD2F6B"/>
    <w:rsid w:val="00FD777C"/>
    <w:rsid w:val="00FE064A"/>
    <w:rsid w:val="00FE0B55"/>
    <w:rsid w:val="00FE1E98"/>
    <w:rsid w:val="00FE204A"/>
    <w:rsid w:val="00FE2452"/>
    <w:rsid w:val="00FE5469"/>
    <w:rsid w:val="00FE66C2"/>
    <w:rsid w:val="00FE684A"/>
    <w:rsid w:val="00FE6F23"/>
    <w:rsid w:val="00FF0F8C"/>
    <w:rsid w:val="00FF3723"/>
    <w:rsid w:val="00FF408B"/>
    <w:rsid w:val="00FF43E1"/>
    <w:rsid w:val="00FF4CC8"/>
    <w:rsid w:val="0126167E"/>
    <w:rsid w:val="024A25BD"/>
    <w:rsid w:val="02861915"/>
    <w:rsid w:val="03430854"/>
    <w:rsid w:val="036A0F9F"/>
    <w:rsid w:val="039F5FA6"/>
    <w:rsid w:val="045B4021"/>
    <w:rsid w:val="056866C8"/>
    <w:rsid w:val="06A53A0D"/>
    <w:rsid w:val="06F51A39"/>
    <w:rsid w:val="07556951"/>
    <w:rsid w:val="07DB29DD"/>
    <w:rsid w:val="088357C4"/>
    <w:rsid w:val="09305ADA"/>
    <w:rsid w:val="093F0D49"/>
    <w:rsid w:val="09F558AC"/>
    <w:rsid w:val="0A391FAB"/>
    <w:rsid w:val="0A9B46A5"/>
    <w:rsid w:val="0AB749FA"/>
    <w:rsid w:val="0AF4446C"/>
    <w:rsid w:val="0B0E0F85"/>
    <w:rsid w:val="0BF7590B"/>
    <w:rsid w:val="0CF06F2A"/>
    <w:rsid w:val="0D0D6878"/>
    <w:rsid w:val="0E4D1B61"/>
    <w:rsid w:val="0E8013B7"/>
    <w:rsid w:val="0EE47EED"/>
    <w:rsid w:val="0FE31523"/>
    <w:rsid w:val="10D604C6"/>
    <w:rsid w:val="11B515E0"/>
    <w:rsid w:val="12485112"/>
    <w:rsid w:val="126070DC"/>
    <w:rsid w:val="132A5E72"/>
    <w:rsid w:val="13A53267"/>
    <w:rsid w:val="13F970D2"/>
    <w:rsid w:val="141F1EA3"/>
    <w:rsid w:val="14665D24"/>
    <w:rsid w:val="146D2C0E"/>
    <w:rsid w:val="14AA4136"/>
    <w:rsid w:val="14F96AF1"/>
    <w:rsid w:val="15175270"/>
    <w:rsid w:val="15D46CBD"/>
    <w:rsid w:val="163A420B"/>
    <w:rsid w:val="166162C7"/>
    <w:rsid w:val="17345C65"/>
    <w:rsid w:val="173C7157"/>
    <w:rsid w:val="17606A5A"/>
    <w:rsid w:val="19413B26"/>
    <w:rsid w:val="1A8B2B53"/>
    <w:rsid w:val="1A9A2283"/>
    <w:rsid w:val="1BDB5EF1"/>
    <w:rsid w:val="1C6D3688"/>
    <w:rsid w:val="1CC63D0A"/>
    <w:rsid w:val="1D343817"/>
    <w:rsid w:val="1DC2081A"/>
    <w:rsid w:val="1DD94266"/>
    <w:rsid w:val="1EF36406"/>
    <w:rsid w:val="1F9D0947"/>
    <w:rsid w:val="1FFB29C6"/>
    <w:rsid w:val="20601E11"/>
    <w:rsid w:val="214B077B"/>
    <w:rsid w:val="22A158DD"/>
    <w:rsid w:val="22AF3620"/>
    <w:rsid w:val="22E70AD4"/>
    <w:rsid w:val="24116A6F"/>
    <w:rsid w:val="24E0216B"/>
    <w:rsid w:val="24F1508D"/>
    <w:rsid w:val="266F634F"/>
    <w:rsid w:val="26B85453"/>
    <w:rsid w:val="26BC4E62"/>
    <w:rsid w:val="277E29F7"/>
    <w:rsid w:val="291059EA"/>
    <w:rsid w:val="2B3E6C5B"/>
    <w:rsid w:val="2B4D6605"/>
    <w:rsid w:val="2BBF12EC"/>
    <w:rsid w:val="2BC649D9"/>
    <w:rsid w:val="2C794D88"/>
    <w:rsid w:val="2ECB0229"/>
    <w:rsid w:val="2F174B67"/>
    <w:rsid w:val="30887EF2"/>
    <w:rsid w:val="31B732C3"/>
    <w:rsid w:val="32F81DE5"/>
    <w:rsid w:val="338F2783"/>
    <w:rsid w:val="3498562E"/>
    <w:rsid w:val="3515160D"/>
    <w:rsid w:val="35877517"/>
    <w:rsid w:val="35B93AAE"/>
    <w:rsid w:val="3606514F"/>
    <w:rsid w:val="36633235"/>
    <w:rsid w:val="377445D8"/>
    <w:rsid w:val="37DA7D0B"/>
    <w:rsid w:val="38A948C0"/>
    <w:rsid w:val="39290F4A"/>
    <w:rsid w:val="39EC25BE"/>
    <w:rsid w:val="3A8635B8"/>
    <w:rsid w:val="3AFD4787"/>
    <w:rsid w:val="3BE43684"/>
    <w:rsid w:val="3BE850ED"/>
    <w:rsid w:val="3C377134"/>
    <w:rsid w:val="3C7D00D8"/>
    <w:rsid w:val="3CA06C0C"/>
    <w:rsid w:val="3CD56890"/>
    <w:rsid w:val="3EA25851"/>
    <w:rsid w:val="3F6C3757"/>
    <w:rsid w:val="3FFF0DEB"/>
    <w:rsid w:val="40574C0C"/>
    <w:rsid w:val="405D6A10"/>
    <w:rsid w:val="409F1AF2"/>
    <w:rsid w:val="41255C8E"/>
    <w:rsid w:val="41DA6594"/>
    <w:rsid w:val="431A7B56"/>
    <w:rsid w:val="444A3FC3"/>
    <w:rsid w:val="444C1A75"/>
    <w:rsid w:val="44A3526F"/>
    <w:rsid w:val="44B032F4"/>
    <w:rsid w:val="457D25F7"/>
    <w:rsid w:val="4588674E"/>
    <w:rsid w:val="468341CD"/>
    <w:rsid w:val="472C2589"/>
    <w:rsid w:val="48D03BAE"/>
    <w:rsid w:val="49170DBF"/>
    <w:rsid w:val="4925565A"/>
    <w:rsid w:val="49641B2B"/>
    <w:rsid w:val="4A4E6A63"/>
    <w:rsid w:val="4A760AEB"/>
    <w:rsid w:val="4B8C7661"/>
    <w:rsid w:val="4BCB2F1A"/>
    <w:rsid w:val="4C820C46"/>
    <w:rsid w:val="4E257ADB"/>
    <w:rsid w:val="4E8F1524"/>
    <w:rsid w:val="4F3162CA"/>
    <w:rsid w:val="4F4F0B87"/>
    <w:rsid w:val="50D95873"/>
    <w:rsid w:val="526102AF"/>
    <w:rsid w:val="528444DA"/>
    <w:rsid w:val="52C75FEC"/>
    <w:rsid w:val="5340075C"/>
    <w:rsid w:val="537745D5"/>
    <w:rsid w:val="53F52874"/>
    <w:rsid w:val="552306F6"/>
    <w:rsid w:val="55FF50B5"/>
    <w:rsid w:val="564C2999"/>
    <w:rsid w:val="56E352D5"/>
    <w:rsid w:val="57E435FE"/>
    <w:rsid w:val="582D0655"/>
    <w:rsid w:val="588F539A"/>
    <w:rsid w:val="58951D01"/>
    <w:rsid w:val="5951205C"/>
    <w:rsid w:val="597457F6"/>
    <w:rsid w:val="59B241EC"/>
    <w:rsid w:val="59D079E8"/>
    <w:rsid w:val="59D40847"/>
    <w:rsid w:val="5AE37F25"/>
    <w:rsid w:val="5B2D6AF3"/>
    <w:rsid w:val="5BC62847"/>
    <w:rsid w:val="5C6C0930"/>
    <w:rsid w:val="5C7F0CFE"/>
    <w:rsid w:val="5CB23D47"/>
    <w:rsid w:val="5E2558D5"/>
    <w:rsid w:val="5E316028"/>
    <w:rsid w:val="5F8E67D9"/>
    <w:rsid w:val="5FAF09C4"/>
    <w:rsid w:val="608C4642"/>
    <w:rsid w:val="618342B2"/>
    <w:rsid w:val="61A163A5"/>
    <w:rsid w:val="621912AD"/>
    <w:rsid w:val="62426A55"/>
    <w:rsid w:val="62795572"/>
    <w:rsid w:val="62EF6174"/>
    <w:rsid w:val="6329013B"/>
    <w:rsid w:val="633D721D"/>
    <w:rsid w:val="63A0092B"/>
    <w:rsid w:val="63A05426"/>
    <w:rsid w:val="641C5084"/>
    <w:rsid w:val="64295D11"/>
    <w:rsid w:val="64DD6417"/>
    <w:rsid w:val="65DA6FA5"/>
    <w:rsid w:val="66004745"/>
    <w:rsid w:val="66CC0FE3"/>
    <w:rsid w:val="67C57DAC"/>
    <w:rsid w:val="67F07D03"/>
    <w:rsid w:val="67FA3259"/>
    <w:rsid w:val="69342E70"/>
    <w:rsid w:val="69D87C9F"/>
    <w:rsid w:val="6A567F20"/>
    <w:rsid w:val="6A7462CB"/>
    <w:rsid w:val="6C9F4AA4"/>
    <w:rsid w:val="6CD97953"/>
    <w:rsid w:val="6D8617C0"/>
    <w:rsid w:val="6DA700B4"/>
    <w:rsid w:val="6ED30FD7"/>
    <w:rsid w:val="6F6D294A"/>
    <w:rsid w:val="6FD022B7"/>
    <w:rsid w:val="701B7C7C"/>
    <w:rsid w:val="7075449A"/>
    <w:rsid w:val="709F3929"/>
    <w:rsid w:val="7128150C"/>
    <w:rsid w:val="71C54FAD"/>
    <w:rsid w:val="727D78FD"/>
    <w:rsid w:val="72A15BB9"/>
    <w:rsid w:val="72AB0578"/>
    <w:rsid w:val="732C6966"/>
    <w:rsid w:val="73CC655F"/>
    <w:rsid w:val="73EC45BC"/>
    <w:rsid w:val="73F37429"/>
    <w:rsid w:val="755B7BD5"/>
    <w:rsid w:val="758111EB"/>
    <w:rsid w:val="75957445"/>
    <w:rsid w:val="75D01AE1"/>
    <w:rsid w:val="75F23CF2"/>
    <w:rsid w:val="76982C90"/>
    <w:rsid w:val="77524363"/>
    <w:rsid w:val="776F784A"/>
    <w:rsid w:val="77B917B5"/>
    <w:rsid w:val="77FE30B9"/>
    <w:rsid w:val="781B5927"/>
    <w:rsid w:val="78703975"/>
    <w:rsid w:val="78F41CD4"/>
    <w:rsid w:val="799A701D"/>
    <w:rsid w:val="79BD2A0E"/>
    <w:rsid w:val="7A820695"/>
    <w:rsid w:val="7BE420FD"/>
    <w:rsid w:val="7C145851"/>
    <w:rsid w:val="7C9C4B5C"/>
    <w:rsid w:val="7D0D296B"/>
    <w:rsid w:val="7D4E0B54"/>
    <w:rsid w:val="7D503E78"/>
    <w:rsid w:val="7E0160D4"/>
    <w:rsid w:val="7E286BB7"/>
    <w:rsid w:val="D6E1EB3B"/>
    <w:rsid w:val="DFF37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qFormat="1" w:uiPriority="0" w:semiHidden="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qFormat="1" w:uiPriority="0" w:semiHidden="0" w:name="Date"/>
    <w:lsdException w:qFormat="1" w:uiPriority="99" w:semiHidden="0" w:name="Body Text First Indent"/>
    <w:lsdException w:unhideWhenUsed="0" w:uiPriority="0" w:semiHidden="0" w:name="Body Text First Indent 2"/>
    <w:lsdException w:uiPriority="0" w:name="Note Heading"/>
    <w:lsdException w:qFormat="1" w:uiPriority="99" w:semiHidden="0" w:name="Body Text 2"/>
    <w:lsdException w:qFormat="1" w:unhideWhenUsed="0" w:uiPriority="0" w:semiHidden="0" w:name="Body Text 3"/>
    <w:lsdException w:uiPriority="0" w:name="Body Text Indent 2"/>
    <w:lsdException w:uiPriority="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仿宋" w:cs="Times New Roman"/>
      <w:kern w:val="2"/>
      <w:sz w:val="28"/>
      <w:szCs w:val="22"/>
      <w:lang w:val="en-US" w:eastAsia="zh-CN" w:bidi="ar-SA"/>
    </w:rPr>
  </w:style>
  <w:style w:type="paragraph" w:styleId="3">
    <w:name w:val="heading 1"/>
    <w:basedOn w:val="1"/>
    <w:next w:val="1"/>
    <w:link w:val="39"/>
    <w:qFormat/>
    <w:uiPriority w:val="9"/>
    <w:pPr>
      <w:keepNext/>
      <w:keepLines/>
      <w:numPr>
        <w:ilvl w:val="0"/>
        <w:numId w:val="1"/>
      </w:numPr>
      <w:spacing w:before="340" w:after="330" w:line="578" w:lineRule="auto"/>
      <w:ind w:firstLine="0" w:firstLineChars="0"/>
      <w:outlineLvl w:val="0"/>
    </w:pPr>
    <w:rPr>
      <w:rFonts w:eastAsia="宋体"/>
      <w:b/>
      <w:bCs/>
      <w:kern w:val="44"/>
      <w:sz w:val="32"/>
      <w:szCs w:val="44"/>
    </w:rPr>
  </w:style>
  <w:style w:type="paragraph" w:styleId="4">
    <w:name w:val="heading 2"/>
    <w:basedOn w:val="1"/>
    <w:next w:val="1"/>
    <w:link w:val="40"/>
    <w:unhideWhenUsed/>
    <w:qFormat/>
    <w:uiPriority w:val="9"/>
    <w:pPr>
      <w:keepNext/>
      <w:keepLines/>
      <w:numPr>
        <w:ilvl w:val="1"/>
        <w:numId w:val="1"/>
      </w:numPr>
      <w:spacing w:before="260" w:after="260" w:line="415" w:lineRule="auto"/>
      <w:ind w:firstLine="0" w:firstLineChars="0"/>
      <w:outlineLvl w:val="1"/>
    </w:pPr>
    <w:rPr>
      <w:rFonts w:ascii="Cambria" w:hAnsi="Cambria" w:eastAsia="宋体"/>
      <w:b/>
      <w:bCs/>
      <w:sz w:val="30"/>
      <w:szCs w:val="32"/>
    </w:rPr>
  </w:style>
  <w:style w:type="paragraph" w:styleId="5">
    <w:name w:val="heading 3"/>
    <w:basedOn w:val="1"/>
    <w:next w:val="1"/>
    <w:link w:val="41"/>
    <w:unhideWhenUsed/>
    <w:qFormat/>
    <w:uiPriority w:val="9"/>
    <w:pPr>
      <w:keepNext/>
      <w:keepLines/>
      <w:numPr>
        <w:ilvl w:val="2"/>
        <w:numId w:val="1"/>
      </w:numPr>
      <w:spacing w:before="260" w:after="260" w:line="416" w:lineRule="auto"/>
      <w:ind w:firstLine="0" w:firstLineChars="0"/>
      <w:outlineLvl w:val="2"/>
    </w:pPr>
    <w:rPr>
      <w:rFonts w:eastAsia="宋体"/>
      <w:b/>
      <w:bCs/>
      <w:szCs w:val="32"/>
    </w:rPr>
  </w:style>
  <w:style w:type="paragraph" w:styleId="6">
    <w:name w:val="heading 4"/>
    <w:basedOn w:val="1"/>
    <w:next w:val="1"/>
    <w:link w:val="42"/>
    <w:unhideWhenUsed/>
    <w:qFormat/>
    <w:uiPriority w:val="9"/>
    <w:pPr>
      <w:keepNext/>
      <w:keepLines/>
      <w:numPr>
        <w:ilvl w:val="3"/>
        <w:numId w:val="1"/>
      </w:numPr>
      <w:spacing w:before="280" w:after="290" w:line="377" w:lineRule="auto"/>
      <w:ind w:left="0" w:firstLine="0" w:firstLineChars="0"/>
      <w:outlineLvl w:val="3"/>
    </w:pPr>
    <w:rPr>
      <w:rFonts w:ascii="Cambria" w:hAnsi="Cambria"/>
      <w:b/>
      <w:bCs/>
      <w:szCs w:val="28"/>
    </w:rPr>
  </w:style>
  <w:style w:type="paragraph" w:styleId="7">
    <w:name w:val="heading 5"/>
    <w:basedOn w:val="1"/>
    <w:next w:val="1"/>
    <w:link w:val="43"/>
    <w:unhideWhenUsed/>
    <w:qFormat/>
    <w:uiPriority w:val="9"/>
    <w:pPr>
      <w:keepNext/>
      <w:keepLines/>
      <w:numPr>
        <w:ilvl w:val="4"/>
        <w:numId w:val="1"/>
      </w:numPr>
      <w:spacing w:before="280" w:after="290" w:line="376" w:lineRule="auto"/>
      <w:ind w:firstLine="0" w:firstLineChars="0"/>
      <w:outlineLvl w:val="4"/>
    </w:pPr>
    <w:rPr>
      <w:b/>
      <w:bCs/>
      <w:szCs w:val="28"/>
    </w:rPr>
  </w:style>
  <w:style w:type="paragraph" w:styleId="8">
    <w:name w:val="heading 6"/>
    <w:basedOn w:val="1"/>
    <w:next w:val="1"/>
    <w:link w:val="44"/>
    <w:unhideWhenUsed/>
    <w:qFormat/>
    <w:uiPriority w:val="9"/>
    <w:pPr>
      <w:keepNext/>
      <w:keepLines/>
      <w:numPr>
        <w:ilvl w:val="5"/>
        <w:numId w:val="1"/>
      </w:numPr>
      <w:spacing w:before="240" w:after="64" w:line="320" w:lineRule="auto"/>
      <w:ind w:firstLine="0" w:firstLineChars="0"/>
      <w:outlineLvl w:val="5"/>
    </w:pPr>
    <w:rPr>
      <w:rFonts w:ascii="Cambria" w:hAnsi="Cambria" w:eastAsia="宋体"/>
      <w:b/>
      <w:bCs/>
      <w:sz w:val="24"/>
      <w:szCs w:val="24"/>
    </w:rPr>
  </w:style>
  <w:style w:type="paragraph" w:styleId="9">
    <w:name w:val="heading 7"/>
    <w:basedOn w:val="1"/>
    <w:next w:val="1"/>
    <w:link w:val="45"/>
    <w:unhideWhenUsed/>
    <w:qFormat/>
    <w:uiPriority w:val="9"/>
    <w:pPr>
      <w:keepNext/>
      <w:keepLines/>
      <w:numPr>
        <w:ilvl w:val="6"/>
        <w:numId w:val="1"/>
      </w:numPr>
      <w:spacing w:before="240" w:after="64" w:line="320" w:lineRule="auto"/>
      <w:ind w:firstLine="0" w:firstLineChars="0"/>
      <w:outlineLvl w:val="6"/>
    </w:pPr>
    <w:rPr>
      <w:b/>
      <w:bCs/>
      <w:sz w:val="24"/>
      <w:szCs w:val="24"/>
    </w:rPr>
  </w:style>
  <w:style w:type="paragraph" w:styleId="10">
    <w:name w:val="heading 8"/>
    <w:basedOn w:val="1"/>
    <w:next w:val="1"/>
    <w:link w:val="46"/>
    <w:unhideWhenUsed/>
    <w:qFormat/>
    <w:uiPriority w:val="9"/>
    <w:pPr>
      <w:keepNext/>
      <w:keepLines/>
      <w:numPr>
        <w:ilvl w:val="7"/>
        <w:numId w:val="1"/>
      </w:numPr>
      <w:spacing w:before="240" w:after="64" w:line="320" w:lineRule="auto"/>
      <w:ind w:firstLine="0" w:firstLineChars="0"/>
      <w:outlineLvl w:val="7"/>
    </w:pPr>
    <w:rPr>
      <w:rFonts w:ascii="Cambria" w:hAnsi="Cambria" w:eastAsia="宋体"/>
      <w:sz w:val="24"/>
      <w:szCs w:val="24"/>
    </w:rPr>
  </w:style>
  <w:style w:type="paragraph" w:styleId="11">
    <w:name w:val="heading 9"/>
    <w:basedOn w:val="1"/>
    <w:next w:val="1"/>
    <w:link w:val="47"/>
    <w:unhideWhenUsed/>
    <w:qFormat/>
    <w:uiPriority w:val="9"/>
    <w:pPr>
      <w:keepNext/>
      <w:keepLines/>
      <w:numPr>
        <w:ilvl w:val="8"/>
        <w:numId w:val="1"/>
      </w:numPr>
      <w:spacing w:before="240" w:after="64" w:line="320" w:lineRule="auto"/>
      <w:ind w:firstLine="0" w:firstLineChars="0"/>
      <w:outlineLvl w:val="8"/>
    </w:pPr>
    <w:rPr>
      <w:rFonts w:ascii="Cambria" w:hAnsi="Cambria" w:eastAsia="宋体"/>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macro"/>
    <w:link w:val="38"/>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Normal Indent"/>
    <w:basedOn w:val="1"/>
    <w:link w:val="48"/>
    <w:qFormat/>
    <w:uiPriority w:val="0"/>
    <w:pPr>
      <w:ind w:firstLine="420"/>
    </w:pPr>
  </w:style>
  <w:style w:type="paragraph" w:styleId="13">
    <w:name w:val="caption"/>
    <w:basedOn w:val="1"/>
    <w:next w:val="1"/>
    <w:link w:val="49"/>
    <w:unhideWhenUsed/>
    <w:qFormat/>
    <w:uiPriority w:val="35"/>
    <w:rPr>
      <w:rFonts w:ascii="Calibri Light" w:hAnsi="Calibri Light" w:eastAsia="黑体"/>
      <w:kern w:val="0"/>
      <w:sz w:val="20"/>
      <w:szCs w:val="20"/>
    </w:rPr>
  </w:style>
  <w:style w:type="paragraph" w:styleId="14">
    <w:name w:val="Document Map"/>
    <w:basedOn w:val="1"/>
    <w:link w:val="50"/>
    <w:unhideWhenUsed/>
    <w:qFormat/>
    <w:uiPriority w:val="99"/>
    <w:rPr>
      <w:rFonts w:ascii="宋体" w:eastAsia="宋体"/>
      <w:sz w:val="18"/>
      <w:szCs w:val="18"/>
    </w:rPr>
  </w:style>
  <w:style w:type="paragraph" w:styleId="15">
    <w:name w:val="annotation text"/>
    <w:basedOn w:val="1"/>
    <w:link w:val="51"/>
    <w:unhideWhenUsed/>
    <w:qFormat/>
    <w:uiPriority w:val="99"/>
    <w:pPr>
      <w:jc w:val="left"/>
    </w:pPr>
  </w:style>
  <w:style w:type="paragraph" w:styleId="16">
    <w:name w:val="Body Text 3"/>
    <w:basedOn w:val="1"/>
    <w:link w:val="52"/>
    <w:qFormat/>
    <w:uiPriority w:val="0"/>
    <w:pPr>
      <w:numPr>
        <w:ilvl w:val="0"/>
        <w:numId w:val="2"/>
      </w:numPr>
      <w:spacing w:afterLines="50"/>
      <w:ind w:firstLine="200"/>
    </w:pPr>
    <w:rPr>
      <w:rFonts w:ascii="Times New Roman" w:hAnsi="Times New Roman" w:eastAsia="宋体"/>
      <w:sz w:val="24"/>
      <w:szCs w:val="16"/>
    </w:rPr>
  </w:style>
  <w:style w:type="paragraph" w:styleId="17">
    <w:name w:val="Body Text"/>
    <w:basedOn w:val="1"/>
    <w:link w:val="53"/>
    <w:unhideWhenUsed/>
    <w:qFormat/>
    <w:uiPriority w:val="0"/>
    <w:pPr>
      <w:spacing w:after="120" w:line="240" w:lineRule="atLeast"/>
      <w:ind w:firstLine="960"/>
    </w:pPr>
    <w:rPr>
      <w:rFonts w:ascii="宋体" w:hAnsi="宋体" w:eastAsia="宋体"/>
      <w:sz w:val="24"/>
      <w:szCs w:val="24"/>
    </w:rPr>
  </w:style>
  <w:style w:type="paragraph" w:styleId="18">
    <w:name w:val="Body Text Indent"/>
    <w:basedOn w:val="1"/>
    <w:link w:val="54"/>
    <w:unhideWhenUsed/>
    <w:qFormat/>
    <w:uiPriority w:val="99"/>
    <w:pPr>
      <w:spacing w:after="120"/>
      <w:ind w:left="420" w:leftChars="200"/>
    </w:pPr>
  </w:style>
  <w:style w:type="paragraph" w:styleId="19">
    <w:name w:val="Block Text"/>
    <w:basedOn w:val="1"/>
    <w:unhideWhenUsed/>
    <w:qFormat/>
    <w:uiPriority w:val="99"/>
    <w:pPr>
      <w:spacing w:after="120"/>
      <w:ind w:left="1440" w:leftChars="700" w:right="700" w:rightChars="700"/>
    </w:pPr>
  </w:style>
  <w:style w:type="paragraph" w:styleId="20">
    <w:name w:val="Plain Text"/>
    <w:basedOn w:val="1"/>
    <w:link w:val="55"/>
    <w:qFormat/>
    <w:uiPriority w:val="0"/>
    <w:pPr>
      <w:spacing w:line="240" w:lineRule="auto"/>
      <w:ind w:firstLine="0" w:firstLineChars="0"/>
    </w:pPr>
    <w:rPr>
      <w:rFonts w:ascii="宋体"/>
      <w:sz w:val="24"/>
    </w:rPr>
  </w:style>
  <w:style w:type="paragraph" w:styleId="21">
    <w:name w:val="Date"/>
    <w:basedOn w:val="1"/>
    <w:next w:val="1"/>
    <w:link w:val="56"/>
    <w:unhideWhenUsed/>
    <w:qFormat/>
    <w:uiPriority w:val="0"/>
    <w:pPr>
      <w:ind w:left="100" w:leftChars="2500"/>
    </w:pPr>
    <w:rPr>
      <w:rFonts w:ascii="Times New Roman" w:hAnsi="Times New Roman"/>
      <w:szCs w:val="24"/>
    </w:rPr>
  </w:style>
  <w:style w:type="paragraph" w:styleId="22">
    <w:name w:val="Balloon Text"/>
    <w:basedOn w:val="1"/>
    <w:link w:val="57"/>
    <w:unhideWhenUsed/>
    <w:qFormat/>
    <w:uiPriority w:val="99"/>
    <w:rPr>
      <w:sz w:val="18"/>
      <w:szCs w:val="18"/>
    </w:rPr>
  </w:style>
  <w:style w:type="paragraph" w:styleId="23">
    <w:name w:val="footer"/>
    <w:basedOn w:val="1"/>
    <w:link w:val="58"/>
    <w:unhideWhenUsed/>
    <w:qFormat/>
    <w:uiPriority w:val="99"/>
    <w:pPr>
      <w:tabs>
        <w:tab w:val="center" w:pos="4153"/>
        <w:tab w:val="right" w:pos="8306"/>
      </w:tabs>
      <w:snapToGrid w:val="0"/>
      <w:jc w:val="left"/>
    </w:pPr>
    <w:rPr>
      <w:sz w:val="18"/>
      <w:szCs w:val="18"/>
    </w:rPr>
  </w:style>
  <w:style w:type="paragraph" w:styleId="24">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Body Text 2"/>
    <w:basedOn w:val="1"/>
    <w:link w:val="60"/>
    <w:unhideWhenUsed/>
    <w:qFormat/>
    <w:uiPriority w:val="99"/>
    <w:pPr>
      <w:spacing w:after="120" w:line="480" w:lineRule="auto"/>
      <w:ind w:firstLine="0" w:firstLineChars="0"/>
    </w:pPr>
    <w:rPr>
      <w:rFonts w:eastAsia="宋体"/>
      <w:sz w:val="21"/>
    </w:rPr>
  </w:style>
  <w:style w:type="paragraph" w:styleId="26">
    <w:name w:val="Normal (Web)"/>
    <w:basedOn w:val="1"/>
    <w:qFormat/>
    <w:uiPriority w:val="99"/>
    <w:pPr>
      <w:widowControl/>
      <w:spacing w:before="100" w:beforeAutospacing="1" w:after="100" w:afterAutospacing="1"/>
      <w:jc w:val="left"/>
    </w:pPr>
    <w:rPr>
      <w:rFonts w:ascii="宋体" w:hAnsi="宋体" w:eastAsia="宋体"/>
      <w:color w:val="000000"/>
      <w:kern w:val="0"/>
      <w:sz w:val="24"/>
      <w:szCs w:val="24"/>
    </w:rPr>
  </w:style>
  <w:style w:type="paragraph" w:styleId="27">
    <w:name w:val="Title"/>
    <w:basedOn w:val="1"/>
    <w:next w:val="1"/>
    <w:link w:val="61"/>
    <w:qFormat/>
    <w:uiPriority w:val="0"/>
    <w:pPr>
      <w:spacing w:before="240" w:after="60"/>
      <w:jc w:val="center"/>
      <w:outlineLvl w:val="0"/>
    </w:pPr>
    <w:rPr>
      <w:rFonts w:ascii="等线 Light" w:hAnsi="等线 Light" w:eastAsia="宋体"/>
      <w:b/>
      <w:bCs/>
      <w:sz w:val="32"/>
      <w:szCs w:val="32"/>
    </w:rPr>
  </w:style>
  <w:style w:type="paragraph" w:styleId="28">
    <w:name w:val="annotation subject"/>
    <w:basedOn w:val="15"/>
    <w:next w:val="15"/>
    <w:link w:val="62"/>
    <w:unhideWhenUsed/>
    <w:qFormat/>
    <w:uiPriority w:val="99"/>
    <w:rPr>
      <w:b/>
      <w:bCs/>
    </w:rPr>
  </w:style>
  <w:style w:type="paragraph" w:styleId="29">
    <w:name w:val="Body Text First Indent"/>
    <w:basedOn w:val="17"/>
    <w:link w:val="63"/>
    <w:unhideWhenUsed/>
    <w:qFormat/>
    <w:uiPriority w:val="99"/>
    <w:pPr>
      <w:spacing w:line="240" w:lineRule="auto"/>
      <w:ind w:firstLine="420" w:firstLineChars="100"/>
    </w:pPr>
    <w:rPr>
      <w:rFonts w:ascii="Calibri" w:hAnsi="Calibri"/>
      <w:sz w:val="21"/>
      <w:szCs w:val="22"/>
    </w:rPr>
  </w:style>
  <w:style w:type="table" w:styleId="31">
    <w:name w:val="Table Grid"/>
    <w:basedOn w:val="30"/>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rFonts w:cs="Times New Roman"/>
      <w:b/>
    </w:rPr>
  </w:style>
  <w:style w:type="character" w:styleId="34">
    <w:name w:val="FollowedHyperlink"/>
    <w:unhideWhenUsed/>
    <w:qFormat/>
    <w:uiPriority w:val="99"/>
    <w:rPr>
      <w:color w:val="954F72"/>
      <w:u w:val="single"/>
    </w:rPr>
  </w:style>
  <w:style w:type="character" w:styleId="35">
    <w:name w:val="Emphasis"/>
    <w:qFormat/>
    <w:uiPriority w:val="20"/>
    <w:rPr>
      <w:i/>
      <w:iCs/>
    </w:rPr>
  </w:style>
  <w:style w:type="character" w:styleId="36">
    <w:name w:val="Hyperlink"/>
    <w:unhideWhenUsed/>
    <w:qFormat/>
    <w:uiPriority w:val="99"/>
    <w:rPr>
      <w:color w:val="0000FF"/>
      <w:u w:val="single"/>
    </w:rPr>
  </w:style>
  <w:style w:type="character" w:styleId="37">
    <w:name w:val="annotation reference"/>
    <w:unhideWhenUsed/>
    <w:qFormat/>
    <w:uiPriority w:val="99"/>
    <w:rPr>
      <w:sz w:val="21"/>
      <w:szCs w:val="21"/>
    </w:rPr>
  </w:style>
  <w:style w:type="character" w:customStyle="1" w:styleId="38">
    <w:name w:val="宏文本 Char"/>
    <w:link w:val="2"/>
    <w:qFormat/>
    <w:uiPriority w:val="0"/>
    <w:rPr>
      <w:rFonts w:ascii="Courier New" w:hAnsi="Courier New"/>
      <w:kern w:val="2"/>
      <w:sz w:val="24"/>
      <w:szCs w:val="24"/>
      <w:lang w:bidi="ar-SA"/>
    </w:rPr>
  </w:style>
  <w:style w:type="character" w:customStyle="1" w:styleId="39">
    <w:name w:val="标题 1 Char"/>
    <w:link w:val="3"/>
    <w:qFormat/>
    <w:uiPriority w:val="9"/>
    <w:rPr>
      <w:rFonts w:ascii="Calibri" w:hAnsi="Calibri"/>
      <w:b/>
      <w:bCs/>
      <w:kern w:val="44"/>
      <w:sz w:val="32"/>
      <w:szCs w:val="44"/>
    </w:rPr>
  </w:style>
  <w:style w:type="character" w:customStyle="1" w:styleId="40">
    <w:name w:val="标题 2 Char"/>
    <w:link w:val="4"/>
    <w:qFormat/>
    <w:uiPriority w:val="9"/>
    <w:rPr>
      <w:rFonts w:ascii="Cambria" w:hAnsi="Cambria"/>
      <w:b/>
      <w:bCs/>
      <w:kern w:val="2"/>
      <w:sz w:val="30"/>
      <w:szCs w:val="32"/>
    </w:rPr>
  </w:style>
  <w:style w:type="character" w:customStyle="1" w:styleId="41">
    <w:name w:val="标题 3 Char"/>
    <w:link w:val="5"/>
    <w:qFormat/>
    <w:uiPriority w:val="9"/>
    <w:rPr>
      <w:rFonts w:ascii="Calibri" w:hAnsi="Calibri" w:eastAsia="宋体"/>
      <w:b/>
      <w:bCs/>
      <w:kern w:val="2"/>
      <w:sz w:val="28"/>
      <w:szCs w:val="32"/>
      <w:lang w:val="en-US" w:eastAsia="zh-CN" w:bidi="ar-SA"/>
    </w:rPr>
  </w:style>
  <w:style w:type="character" w:customStyle="1" w:styleId="42">
    <w:name w:val="标题 4 Char"/>
    <w:link w:val="6"/>
    <w:qFormat/>
    <w:uiPriority w:val="9"/>
    <w:rPr>
      <w:rFonts w:ascii="Cambria" w:hAnsi="Cambria" w:eastAsia="仿宋"/>
      <w:b/>
      <w:bCs/>
      <w:kern w:val="2"/>
      <w:sz w:val="28"/>
      <w:szCs w:val="28"/>
    </w:rPr>
  </w:style>
  <w:style w:type="character" w:customStyle="1" w:styleId="43">
    <w:name w:val="标题 5 Char"/>
    <w:link w:val="7"/>
    <w:qFormat/>
    <w:uiPriority w:val="9"/>
    <w:rPr>
      <w:rFonts w:ascii="Calibri" w:hAnsi="Calibri" w:eastAsia="仿宋"/>
      <w:b/>
      <w:bCs/>
      <w:kern w:val="2"/>
      <w:sz w:val="28"/>
      <w:szCs w:val="28"/>
    </w:rPr>
  </w:style>
  <w:style w:type="character" w:customStyle="1" w:styleId="44">
    <w:name w:val="标题 6 Char"/>
    <w:link w:val="8"/>
    <w:qFormat/>
    <w:uiPriority w:val="9"/>
    <w:rPr>
      <w:rFonts w:ascii="Cambria" w:hAnsi="Cambria"/>
      <w:b/>
      <w:bCs/>
      <w:kern w:val="2"/>
      <w:sz w:val="24"/>
      <w:szCs w:val="24"/>
    </w:rPr>
  </w:style>
  <w:style w:type="character" w:customStyle="1" w:styleId="45">
    <w:name w:val="标题 7 Char"/>
    <w:link w:val="9"/>
    <w:qFormat/>
    <w:uiPriority w:val="9"/>
    <w:rPr>
      <w:rFonts w:ascii="Calibri" w:hAnsi="Calibri" w:eastAsia="仿宋"/>
      <w:b/>
      <w:bCs/>
      <w:kern w:val="2"/>
      <w:sz w:val="24"/>
      <w:szCs w:val="24"/>
    </w:rPr>
  </w:style>
  <w:style w:type="character" w:customStyle="1" w:styleId="46">
    <w:name w:val="标题 8 Char"/>
    <w:link w:val="10"/>
    <w:qFormat/>
    <w:uiPriority w:val="9"/>
    <w:rPr>
      <w:rFonts w:ascii="Cambria" w:hAnsi="Cambria"/>
      <w:kern w:val="2"/>
      <w:sz w:val="24"/>
      <w:szCs w:val="24"/>
    </w:rPr>
  </w:style>
  <w:style w:type="character" w:customStyle="1" w:styleId="47">
    <w:name w:val="标题 9 Char"/>
    <w:link w:val="11"/>
    <w:qFormat/>
    <w:uiPriority w:val="9"/>
    <w:rPr>
      <w:rFonts w:ascii="Cambria" w:hAnsi="Cambria"/>
      <w:kern w:val="2"/>
      <w:sz w:val="28"/>
      <w:szCs w:val="21"/>
    </w:rPr>
  </w:style>
  <w:style w:type="character" w:customStyle="1" w:styleId="48">
    <w:name w:val="正文缩进 Char"/>
    <w:link w:val="12"/>
    <w:qFormat/>
    <w:uiPriority w:val="0"/>
    <w:rPr>
      <w:rFonts w:ascii="Calibri" w:hAnsi="Calibri" w:eastAsia="仿宋" w:cs="Times New Roman"/>
      <w:kern w:val="2"/>
      <w:sz w:val="28"/>
      <w:szCs w:val="22"/>
    </w:rPr>
  </w:style>
  <w:style w:type="character" w:customStyle="1" w:styleId="49">
    <w:name w:val="题注 Char"/>
    <w:link w:val="13"/>
    <w:qFormat/>
    <w:uiPriority w:val="35"/>
    <w:rPr>
      <w:rFonts w:ascii="Calibri Light" w:hAnsi="Calibri Light" w:eastAsia="黑体" w:cs="Times New Roman"/>
      <w:sz w:val="20"/>
      <w:szCs w:val="20"/>
    </w:rPr>
  </w:style>
  <w:style w:type="character" w:customStyle="1" w:styleId="50">
    <w:name w:val="文档结构图 Char"/>
    <w:link w:val="14"/>
    <w:semiHidden/>
    <w:qFormat/>
    <w:uiPriority w:val="99"/>
    <w:rPr>
      <w:rFonts w:ascii="宋体" w:hAnsi="Calibri" w:cs="Times New Roman"/>
      <w:kern w:val="2"/>
      <w:sz w:val="18"/>
      <w:szCs w:val="18"/>
    </w:rPr>
  </w:style>
  <w:style w:type="character" w:customStyle="1" w:styleId="51">
    <w:name w:val="批注文字 Char"/>
    <w:link w:val="15"/>
    <w:semiHidden/>
    <w:qFormat/>
    <w:uiPriority w:val="99"/>
    <w:rPr>
      <w:rFonts w:ascii="Calibri" w:hAnsi="Calibri" w:eastAsia="仿宋" w:cs="Times New Roman"/>
      <w:kern w:val="2"/>
      <w:sz w:val="28"/>
      <w:szCs w:val="22"/>
    </w:rPr>
  </w:style>
  <w:style w:type="character" w:customStyle="1" w:styleId="52">
    <w:name w:val="正文文本 3 Char"/>
    <w:link w:val="16"/>
    <w:qFormat/>
    <w:uiPriority w:val="0"/>
    <w:rPr>
      <w:kern w:val="2"/>
      <w:sz w:val="24"/>
      <w:szCs w:val="16"/>
    </w:rPr>
  </w:style>
  <w:style w:type="character" w:customStyle="1" w:styleId="53">
    <w:name w:val="正文文本 Char"/>
    <w:link w:val="17"/>
    <w:semiHidden/>
    <w:qFormat/>
    <w:uiPriority w:val="0"/>
    <w:rPr>
      <w:rFonts w:ascii="宋体" w:hAnsi="宋体"/>
      <w:kern w:val="2"/>
      <w:sz w:val="24"/>
      <w:szCs w:val="24"/>
    </w:rPr>
  </w:style>
  <w:style w:type="character" w:customStyle="1" w:styleId="54">
    <w:name w:val="正文文本缩进 Char"/>
    <w:link w:val="18"/>
    <w:semiHidden/>
    <w:qFormat/>
    <w:uiPriority w:val="99"/>
    <w:rPr>
      <w:rFonts w:ascii="Calibri" w:hAnsi="Calibri" w:eastAsia="仿宋" w:cs="Times New Roman"/>
      <w:kern w:val="2"/>
      <w:sz w:val="28"/>
      <w:szCs w:val="22"/>
    </w:rPr>
  </w:style>
  <w:style w:type="character" w:customStyle="1" w:styleId="55">
    <w:name w:val="纯文本 Char"/>
    <w:link w:val="20"/>
    <w:qFormat/>
    <w:uiPriority w:val="0"/>
    <w:rPr>
      <w:rFonts w:ascii="宋体" w:hAnsi="Calibri" w:eastAsia="仿宋"/>
      <w:kern w:val="2"/>
      <w:sz w:val="24"/>
      <w:szCs w:val="22"/>
    </w:rPr>
  </w:style>
  <w:style w:type="character" w:customStyle="1" w:styleId="56">
    <w:name w:val="日期 Char"/>
    <w:link w:val="21"/>
    <w:qFormat/>
    <w:uiPriority w:val="0"/>
    <w:rPr>
      <w:rFonts w:eastAsia="仿宋"/>
      <w:kern w:val="2"/>
      <w:sz w:val="28"/>
      <w:szCs w:val="24"/>
    </w:rPr>
  </w:style>
  <w:style w:type="character" w:customStyle="1" w:styleId="57">
    <w:name w:val="批注框文本 Char"/>
    <w:link w:val="22"/>
    <w:semiHidden/>
    <w:qFormat/>
    <w:uiPriority w:val="99"/>
    <w:rPr>
      <w:rFonts w:ascii="Calibri" w:hAnsi="Calibri" w:eastAsia="仿宋" w:cs="Times New Roman"/>
      <w:kern w:val="2"/>
      <w:sz w:val="18"/>
      <w:szCs w:val="18"/>
    </w:rPr>
  </w:style>
  <w:style w:type="character" w:customStyle="1" w:styleId="58">
    <w:name w:val="页脚 Char"/>
    <w:link w:val="23"/>
    <w:qFormat/>
    <w:uiPriority w:val="99"/>
    <w:rPr>
      <w:rFonts w:ascii="Calibri" w:hAnsi="Calibri" w:eastAsia="仿宋" w:cs="Times New Roman"/>
      <w:kern w:val="2"/>
      <w:sz w:val="18"/>
      <w:szCs w:val="18"/>
    </w:rPr>
  </w:style>
  <w:style w:type="character" w:customStyle="1" w:styleId="59">
    <w:name w:val="页眉 Char"/>
    <w:link w:val="24"/>
    <w:qFormat/>
    <w:uiPriority w:val="99"/>
    <w:rPr>
      <w:rFonts w:ascii="Calibri" w:hAnsi="Calibri" w:eastAsia="仿宋" w:cs="Times New Roman"/>
      <w:kern w:val="2"/>
      <w:sz w:val="18"/>
      <w:szCs w:val="18"/>
    </w:rPr>
  </w:style>
  <w:style w:type="character" w:customStyle="1" w:styleId="60">
    <w:name w:val="正文文本 2 Char"/>
    <w:link w:val="25"/>
    <w:semiHidden/>
    <w:qFormat/>
    <w:uiPriority w:val="99"/>
    <w:rPr>
      <w:rFonts w:ascii="Calibri" w:hAnsi="Calibri"/>
      <w:kern w:val="2"/>
      <w:sz w:val="21"/>
      <w:szCs w:val="22"/>
    </w:rPr>
  </w:style>
  <w:style w:type="character" w:customStyle="1" w:styleId="61">
    <w:name w:val="标题 Char"/>
    <w:link w:val="27"/>
    <w:qFormat/>
    <w:uiPriority w:val="0"/>
    <w:rPr>
      <w:rFonts w:ascii="等线 Light" w:hAnsi="等线 Light" w:cs="Times New Roman"/>
      <w:b/>
      <w:bCs/>
      <w:kern w:val="2"/>
      <w:sz w:val="32"/>
      <w:szCs w:val="32"/>
    </w:rPr>
  </w:style>
  <w:style w:type="character" w:customStyle="1" w:styleId="62">
    <w:name w:val="批注主题 Char"/>
    <w:link w:val="28"/>
    <w:semiHidden/>
    <w:qFormat/>
    <w:uiPriority w:val="99"/>
    <w:rPr>
      <w:rFonts w:ascii="Calibri" w:hAnsi="Calibri" w:eastAsia="仿宋" w:cs="Times New Roman"/>
      <w:b/>
      <w:bCs/>
      <w:kern w:val="2"/>
      <w:sz w:val="28"/>
      <w:szCs w:val="22"/>
    </w:rPr>
  </w:style>
  <w:style w:type="character" w:customStyle="1" w:styleId="63">
    <w:name w:val="正文首行缩进 Char"/>
    <w:link w:val="29"/>
    <w:semiHidden/>
    <w:qFormat/>
    <w:uiPriority w:val="99"/>
    <w:rPr>
      <w:rFonts w:ascii="Calibri" w:hAnsi="Calibri"/>
      <w:kern w:val="2"/>
      <w:sz w:val="21"/>
      <w:szCs w:val="22"/>
    </w:rPr>
  </w:style>
  <w:style w:type="paragraph" w:customStyle="1" w:styleId="64">
    <w:name w:val="目录 71"/>
    <w:basedOn w:val="1"/>
    <w:next w:val="1"/>
    <w:unhideWhenUsed/>
    <w:qFormat/>
    <w:uiPriority w:val="39"/>
    <w:pPr>
      <w:ind w:left="2520" w:leftChars="1200"/>
    </w:pPr>
  </w:style>
  <w:style w:type="paragraph" w:customStyle="1" w:styleId="65">
    <w:name w:val="目录 51"/>
    <w:basedOn w:val="1"/>
    <w:next w:val="1"/>
    <w:unhideWhenUsed/>
    <w:qFormat/>
    <w:uiPriority w:val="39"/>
    <w:pPr>
      <w:ind w:left="1680" w:leftChars="800"/>
    </w:pPr>
  </w:style>
  <w:style w:type="paragraph" w:customStyle="1" w:styleId="66">
    <w:name w:val="目录 31"/>
    <w:basedOn w:val="1"/>
    <w:next w:val="1"/>
    <w:unhideWhenUsed/>
    <w:qFormat/>
    <w:uiPriority w:val="39"/>
    <w:pPr>
      <w:ind w:left="300" w:leftChars="300" w:firstLine="0" w:firstLineChars="0"/>
    </w:pPr>
  </w:style>
  <w:style w:type="paragraph" w:customStyle="1" w:styleId="67">
    <w:name w:val="目录 81"/>
    <w:basedOn w:val="1"/>
    <w:next w:val="1"/>
    <w:unhideWhenUsed/>
    <w:qFormat/>
    <w:uiPriority w:val="39"/>
    <w:pPr>
      <w:ind w:left="2940" w:leftChars="1400"/>
    </w:pPr>
  </w:style>
  <w:style w:type="paragraph" w:customStyle="1" w:styleId="68">
    <w:name w:val="目录 11"/>
    <w:basedOn w:val="1"/>
    <w:next w:val="1"/>
    <w:unhideWhenUsed/>
    <w:qFormat/>
    <w:uiPriority w:val="39"/>
    <w:pPr>
      <w:tabs>
        <w:tab w:val="left" w:pos="1260"/>
        <w:tab w:val="right" w:leader="dot" w:pos="8302"/>
      </w:tabs>
      <w:ind w:firstLine="0" w:firstLineChars="0"/>
    </w:pPr>
  </w:style>
  <w:style w:type="paragraph" w:customStyle="1" w:styleId="69">
    <w:name w:val="目录 41"/>
    <w:basedOn w:val="1"/>
    <w:next w:val="1"/>
    <w:unhideWhenUsed/>
    <w:qFormat/>
    <w:uiPriority w:val="39"/>
    <w:pPr>
      <w:ind w:left="1260" w:leftChars="600"/>
    </w:pPr>
  </w:style>
  <w:style w:type="paragraph" w:customStyle="1" w:styleId="70">
    <w:name w:val="目录 61"/>
    <w:basedOn w:val="1"/>
    <w:next w:val="1"/>
    <w:unhideWhenUsed/>
    <w:qFormat/>
    <w:uiPriority w:val="39"/>
    <w:pPr>
      <w:ind w:left="2100" w:leftChars="1000"/>
    </w:pPr>
  </w:style>
  <w:style w:type="paragraph" w:customStyle="1" w:styleId="71">
    <w:name w:val="目录 21"/>
    <w:basedOn w:val="1"/>
    <w:next w:val="1"/>
    <w:unhideWhenUsed/>
    <w:qFormat/>
    <w:uiPriority w:val="39"/>
    <w:pPr>
      <w:ind w:left="200" w:leftChars="200" w:firstLine="0" w:firstLineChars="0"/>
    </w:pPr>
  </w:style>
  <w:style w:type="paragraph" w:customStyle="1" w:styleId="72">
    <w:name w:val="目录 91"/>
    <w:basedOn w:val="1"/>
    <w:next w:val="1"/>
    <w:unhideWhenUsed/>
    <w:qFormat/>
    <w:uiPriority w:val="39"/>
    <w:pPr>
      <w:ind w:left="3360" w:leftChars="1600"/>
    </w:pPr>
  </w:style>
  <w:style w:type="paragraph" w:customStyle="1" w:styleId="73">
    <w:name w:val="正文首行缩进 21"/>
    <w:basedOn w:val="18"/>
    <w:link w:val="74"/>
    <w:qFormat/>
    <w:uiPriority w:val="0"/>
    <w:pPr>
      <w:ind w:firstLine="420"/>
    </w:pPr>
    <w:rPr>
      <w:sz w:val="24"/>
      <w:szCs w:val="24"/>
      <w:lang w:val="zh-CN"/>
    </w:rPr>
  </w:style>
  <w:style w:type="character" w:customStyle="1" w:styleId="74">
    <w:name w:val="正文首行缩进 2 Char"/>
    <w:link w:val="73"/>
    <w:qFormat/>
    <w:uiPriority w:val="0"/>
    <w:rPr>
      <w:rFonts w:ascii="Calibri" w:hAnsi="Calibri" w:eastAsia="仿宋" w:cs="Times New Roman"/>
      <w:kern w:val="2"/>
      <w:sz w:val="24"/>
      <w:szCs w:val="24"/>
      <w:lang w:val="zh-CN"/>
    </w:rPr>
  </w:style>
  <w:style w:type="paragraph" w:customStyle="1" w:styleId="75">
    <w:name w:val="*正文"/>
    <w:basedOn w:val="1"/>
    <w:link w:val="76"/>
    <w:qFormat/>
    <w:uiPriority w:val="0"/>
    <w:pPr>
      <w:widowControl/>
      <w:contextualSpacing/>
    </w:pPr>
    <w:rPr>
      <w:rFonts w:ascii="time" w:hAnsi="time" w:eastAsia="宋体"/>
      <w:sz w:val="24"/>
      <w:szCs w:val="24"/>
      <w:lang w:bidi="en-US"/>
    </w:rPr>
  </w:style>
  <w:style w:type="character" w:customStyle="1" w:styleId="76">
    <w:name w:val="*正文 Char"/>
    <w:link w:val="75"/>
    <w:qFormat/>
    <w:uiPriority w:val="0"/>
    <w:rPr>
      <w:rFonts w:ascii="time" w:hAnsi="time" w:eastAsia="宋体" w:cs="Times New Roman"/>
      <w:kern w:val="2"/>
      <w:sz w:val="24"/>
      <w:szCs w:val="24"/>
      <w:lang w:bidi="en-US"/>
    </w:rPr>
  </w:style>
  <w:style w:type="paragraph" w:customStyle="1" w:styleId="77">
    <w:name w:val="1册标题3"/>
    <w:basedOn w:val="1"/>
    <w:next w:val="1"/>
    <w:qFormat/>
    <w:uiPriority w:val="0"/>
    <w:pPr>
      <w:spacing w:line="360" w:lineRule="exact"/>
    </w:pPr>
    <w:rPr>
      <w:rFonts w:ascii="宋体" w:hAnsi="宋体" w:eastAsia="宋体"/>
      <w:szCs w:val="21"/>
    </w:rPr>
  </w:style>
  <w:style w:type="character" w:customStyle="1" w:styleId="78">
    <w:name w:val="font11"/>
    <w:qFormat/>
    <w:uiPriority w:val="0"/>
    <w:rPr>
      <w:rFonts w:hint="eastAsia" w:ascii="仿宋" w:hAnsi="仿宋" w:eastAsia="仿宋" w:cs="仿宋"/>
      <w:color w:val="000000"/>
      <w:sz w:val="24"/>
      <w:szCs w:val="24"/>
      <w:u w:val="none"/>
    </w:rPr>
  </w:style>
  <w:style w:type="character" w:customStyle="1" w:styleId="79">
    <w:name w:val="font21"/>
    <w:qFormat/>
    <w:uiPriority w:val="0"/>
    <w:rPr>
      <w:rFonts w:hint="eastAsia" w:ascii="仿宋" w:hAnsi="仿宋" w:eastAsia="仿宋" w:cs="仿宋"/>
      <w:color w:val="000000"/>
      <w:sz w:val="24"/>
      <w:szCs w:val="24"/>
      <w:u w:val="none"/>
    </w:rPr>
  </w:style>
  <w:style w:type="character" w:customStyle="1" w:styleId="80">
    <w:name w:val="font31"/>
    <w:qFormat/>
    <w:uiPriority w:val="0"/>
    <w:rPr>
      <w:rFonts w:hint="eastAsia" w:ascii="仿宋" w:hAnsi="仿宋" w:eastAsia="仿宋" w:cs="仿宋"/>
      <w:color w:val="000000"/>
      <w:sz w:val="21"/>
      <w:szCs w:val="21"/>
      <w:u w:val="none"/>
    </w:rPr>
  </w:style>
  <w:style w:type="character" w:customStyle="1" w:styleId="81">
    <w:name w:val="font41"/>
    <w:qFormat/>
    <w:uiPriority w:val="0"/>
    <w:rPr>
      <w:rFonts w:hint="eastAsia" w:ascii="仿宋" w:hAnsi="仿宋" w:eastAsia="仿宋" w:cs="仿宋"/>
      <w:color w:val="000000"/>
      <w:sz w:val="24"/>
      <w:szCs w:val="24"/>
      <w:u w:val="none"/>
    </w:rPr>
  </w:style>
  <w:style w:type="character" w:customStyle="1" w:styleId="82">
    <w:name w:val="font51"/>
    <w:qFormat/>
    <w:uiPriority w:val="0"/>
    <w:rPr>
      <w:rFonts w:hint="default" w:ascii="Times New Roman" w:hAnsi="Times New Roman" w:cs="Times New Roman"/>
      <w:color w:val="000000"/>
      <w:sz w:val="24"/>
      <w:szCs w:val="24"/>
      <w:u w:val="none"/>
    </w:rPr>
  </w:style>
  <w:style w:type="character" w:customStyle="1" w:styleId="83">
    <w:name w:val="font61"/>
    <w:qFormat/>
    <w:uiPriority w:val="0"/>
    <w:rPr>
      <w:rFonts w:hint="default" w:ascii="Times New Roman" w:hAnsi="Times New Roman" w:cs="Times New Roman"/>
      <w:color w:val="000000"/>
      <w:sz w:val="24"/>
      <w:szCs w:val="24"/>
      <w:u w:val="none"/>
    </w:rPr>
  </w:style>
  <w:style w:type="character" w:customStyle="1" w:styleId="84">
    <w:name w:val="font71"/>
    <w:qFormat/>
    <w:uiPriority w:val="0"/>
    <w:rPr>
      <w:rFonts w:hint="eastAsia" w:ascii="宋体" w:hAnsi="宋体" w:eastAsia="宋体" w:cs="宋体"/>
      <w:color w:val="000000"/>
      <w:sz w:val="24"/>
      <w:szCs w:val="24"/>
      <w:u w:val="none"/>
    </w:rPr>
  </w:style>
  <w:style w:type="character" w:customStyle="1" w:styleId="85">
    <w:name w:val="标题 4 字符1"/>
    <w:qFormat/>
    <w:uiPriority w:val="0"/>
    <w:rPr>
      <w:rFonts w:ascii="宋体" w:hAnsi="宋体"/>
      <w:b/>
      <w:bCs/>
      <w:kern w:val="2"/>
      <w:sz w:val="30"/>
      <w:szCs w:val="30"/>
    </w:rPr>
  </w:style>
  <w:style w:type="paragraph" w:customStyle="1" w:styleId="86">
    <w:name w:val="TOC 标题1"/>
    <w:basedOn w:val="3"/>
    <w:next w:val="1"/>
    <w:unhideWhenUsed/>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87">
    <w:name w:val="TOC 标题2"/>
    <w:basedOn w:val="3"/>
    <w:next w:val="1"/>
    <w:unhideWhenUsed/>
    <w:qFormat/>
    <w:uiPriority w:val="39"/>
    <w:pPr>
      <w:widowControl/>
      <w:numPr>
        <w:numId w:val="0"/>
      </w:numPr>
      <w:spacing w:before="240" w:after="0" w:line="259" w:lineRule="auto"/>
      <w:jc w:val="left"/>
      <w:outlineLvl w:val="9"/>
    </w:pPr>
    <w:rPr>
      <w:rFonts w:ascii="Cambria" w:hAnsi="Cambria"/>
      <w:b w:val="0"/>
      <w:bCs w:val="0"/>
      <w:color w:val="365F91"/>
      <w:kern w:val="0"/>
      <w:szCs w:val="32"/>
    </w:rPr>
  </w:style>
  <w:style w:type="paragraph" w:customStyle="1" w:styleId="88">
    <w:name w:val="WPSOffice手动目录 1"/>
    <w:qFormat/>
    <w:uiPriority w:val="0"/>
    <w:rPr>
      <w:rFonts w:ascii="Times New Roman" w:hAnsi="Times New Roman" w:eastAsia="宋体" w:cs="Times New Roman"/>
      <w:lang w:val="en-US" w:eastAsia="zh-CN" w:bidi="ar-SA"/>
    </w:rPr>
  </w:style>
  <w:style w:type="paragraph" w:customStyle="1" w:styleId="8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90">
    <w:name w:val="标题 1 字符1"/>
    <w:qFormat/>
    <w:uiPriority w:val="0"/>
    <w:rPr>
      <w:rFonts w:ascii="宋体" w:hAnsi="宋体" w:eastAsia="黑体"/>
      <w:b/>
      <w:bCs/>
      <w:kern w:val="44"/>
      <w:sz w:val="32"/>
      <w:szCs w:val="28"/>
    </w:rPr>
  </w:style>
  <w:style w:type="paragraph" w:customStyle="1" w:styleId="91">
    <w:name w:val="表图内容"/>
    <w:basedOn w:val="1"/>
    <w:qFormat/>
    <w:uiPriority w:val="0"/>
    <w:rPr>
      <w:rFonts w:ascii="Times New Roman" w:hAnsi="Times New Roman"/>
      <w:color w:val="000000"/>
      <w:sz w:val="24"/>
    </w:rPr>
  </w:style>
  <w:style w:type="character" w:customStyle="1" w:styleId="92">
    <w:name w:val="标题 3 字符2"/>
    <w:qFormat/>
    <w:uiPriority w:val="0"/>
    <w:rPr>
      <w:rFonts w:ascii="宋体" w:hAnsi="宋体"/>
      <w:b/>
      <w:bCs/>
      <w:kern w:val="2"/>
      <w:sz w:val="28"/>
      <w:szCs w:val="28"/>
    </w:rPr>
  </w:style>
  <w:style w:type="paragraph" w:customStyle="1" w:styleId="93">
    <w:name w:val="段落正文"/>
    <w:basedOn w:val="1"/>
    <w:link w:val="94"/>
    <w:qFormat/>
    <w:uiPriority w:val="0"/>
    <w:rPr>
      <w:rFonts w:ascii="Times New Roman" w:hAnsi="Times New Roman" w:eastAsia="宋体"/>
      <w:sz w:val="24"/>
      <w:szCs w:val="24"/>
    </w:rPr>
  </w:style>
  <w:style w:type="character" w:customStyle="1" w:styleId="94">
    <w:name w:val="段落正文 Char"/>
    <w:link w:val="93"/>
    <w:qFormat/>
    <w:uiPriority w:val="0"/>
    <w:rPr>
      <w:kern w:val="2"/>
      <w:sz w:val="24"/>
      <w:szCs w:val="24"/>
    </w:rPr>
  </w:style>
  <w:style w:type="paragraph" w:customStyle="1" w:styleId="95">
    <w:name w:val="列出段落1"/>
    <w:basedOn w:val="1"/>
    <w:link w:val="96"/>
    <w:qFormat/>
    <w:uiPriority w:val="99"/>
    <w:pPr>
      <w:ind w:firstLine="420"/>
    </w:pPr>
  </w:style>
  <w:style w:type="character" w:customStyle="1" w:styleId="96">
    <w:name w:val="列出段落 Char"/>
    <w:link w:val="95"/>
    <w:qFormat/>
    <w:uiPriority w:val="99"/>
    <w:rPr>
      <w:rFonts w:ascii="Calibri" w:hAnsi="Calibri" w:eastAsia="仿宋" w:cs="Times New Roman"/>
      <w:kern w:val="2"/>
      <w:sz w:val="28"/>
      <w:szCs w:val="22"/>
    </w:rPr>
  </w:style>
  <w:style w:type="character" w:customStyle="1" w:styleId="97">
    <w:name w:val="标题 5 字符1"/>
    <w:qFormat/>
    <w:uiPriority w:val="0"/>
    <w:rPr>
      <w:rFonts w:ascii="宋体" w:hAnsi="宋体"/>
      <w:b/>
      <w:bCs/>
      <w:kern w:val="2"/>
      <w:sz w:val="24"/>
      <w:szCs w:val="28"/>
    </w:rPr>
  </w:style>
  <w:style w:type="character" w:customStyle="1" w:styleId="98">
    <w:name w:val="标题 2 字符1"/>
    <w:qFormat/>
    <w:uiPriority w:val="9"/>
    <w:rPr>
      <w:rFonts w:ascii="宋体" w:hAnsi="宋体"/>
      <w:b/>
      <w:bCs/>
      <w:kern w:val="2"/>
      <w:sz w:val="30"/>
      <w:szCs w:val="32"/>
    </w:rPr>
  </w:style>
  <w:style w:type="character" w:customStyle="1" w:styleId="99">
    <w:name w:val="标题 6 字符1"/>
    <w:qFormat/>
    <w:uiPriority w:val="0"/>
    <w:rPr>
      <w:rFonts w:ascii="Cambria" w:hAnsi="Cambria"/>
      <w:b/>
      <w:bCs/>
      <w:kern w:val="2"/>
      <w:sz w:val="24"/>
      <w:szCs w:val="24"/>
    </w:rPr>
  </w:style>
  <w:style w:type="table" w:customStyle="1" w:styleId="100">
    <w:name w:val="网格型1"/>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1">
    <w:name w:val="未处理的提及1"/>
    <w:unhideWhenUsed/>
    <w:qFormat/>
    <w:uiPriority w:val="99"/>
    <w:rPr>
      <w:color w:val="605E5C"/>
      <w:shd w:val="clear" w:color="auto" w:fill="E1DFDD"/>
    </w:rPr>
  </w:style>
  <w:style w:type="paragraph" w:styleId="102">
    <w:name w:val="No Spacing"/>
    <w:link w:val="103"/>
    <w:qFormat/>
    <w:uiPriority w:val="1"/>
    <w:pPr>
      <w:widowControl w:val="0"/>
      <w:ind w:firstLine="200" w:firstLineChars="200"/>
      <w:jc w:val="both"/>
    </w:pPr>
    <w:rPr>
      <w:rFonts w:ascii="Calibri" w:hAnsi="Calibri" w:eastAsia="仿宋" w:cs="Times New Roman"/>
      <w:kern w:val="2"/>
      <w:sz w:val="28"/>
      <w:szCs w:val="22"/>
      <w:lang w:val="en-US" w:eastAsia="zh-CN" w:bidi="ar-SA"/>
    </w:rPr>
  </w:style>
  <w:style w:type="character" w:customStyle="1" w:styleId="103">
    <w:name w:val="无间隔 Char"/>
    <w:link w:val="102"/>
    <w:qFormat/>
    <w:uiPriority w:val="1"/>
    <w:rPr>
      <w:rFonts w:ascii="Calibri" w:hAnsi="Calibri" w:eastAsia="仿宋"/>
      <w:kern w:val="2"/>
      <w:sz w:val="28"/>
      <w:szCs w:val="22"/>
      <w:lang w:bidi="ar-SA"/>
    </w:rPr>
  </w:style>
  <w:style w:type="paragraph" w:customStyle="1" w:styleId="104">
    <w:name w:val="正文-可研"/>
    <w:basedOn w:val="1"/>
    <w:link w:val="105"/>
    <w:qFormat/>
    <w:uiPriority w:val="0"/>
    <w:pPr>
      <w:ind w:firstLine="480"/>
    </w:pPr>
    <w:rPr>
      <w:rFonts w:ascii="Times New Roman" w:hAnsi="Times New Roman" w:eastAsia="宋体"/>
      <w:sz w:val="24"/>
    </w:rPr>
  </w:style>
  <w:style w:type="character" w:customStyle="1" w:styleId="105">
    <w:name w:val="正文-可研 字符"/>
    <w:link w:val="104"/>
    <w:qFormat/>
    <w:uiPriority w:val="0"/>
    <w:rPr>
      <w:rFonts w:cs="Times New Roman"/>
      <w:kern w:val="2"/>
      <w:sz w:val="24"/>
      <w:szCs w:val="22"/>
    </w:rPr>
  </w:style>
  <w:style w:type="character" w:customStyle="1" w:styleId="106">
    <w:name w:val="正文正文2 Char"/>
    <w:link w:val="107"/>
    <w:qFormat/>
    <w:uiPriority w:val="0"/>
    <w:rPr>
      <w:rFonts w:ascii="宋体" w:hAnsi="宋体"/>
      <w:kern w:val="2"/>
      <w:sz w:val="21"/>
      <w:szCs w:val="21"/>
    </w:rPr>
  </w:style>
  <w:style w:type="paragraph" w:customStyle="1" w:styleId="107">
    <w:name w:val="正文正文2"/>
    <w:basedOn w:val="1"/>
    <w:link w:val="106"/>
    <w:qFormat/>
    <w:uiPriority w:val="0"/>
    <w:pPr>
      <w:ind w:firstLine="460"/>
    </w:pPr>
    <w:rPr>
      <w:rFonts w:ascii="宋体" w:hAnsi="宋体" w:eastAsia="宋体"/>
      <w:sz w:val="21"/>
      <w:szCs w:val="21"/>
    </w:rPr>
  </w:style>
  <w:style w:type="paragraph" w:customStyle="1" w:styleId="108">
    <w:name w:val="可研正文"/>
    <w:basedOn w:val="1"/>
    <w:link w:val="109"/>
    <w:qFormat/>
    <w:uiPriority w:val="0"/>
    <w:rPr>
      <w:rFonts w:ascii="仿宋" w:hAnsi="仿宋"/>
      <w:szCs w:val="28"/>
    </w:rPr>
  </w:style>
  <w:style w:type="character" w:customStyle="1" w:styleId="109">
    <w:name w:val="可研正文 Char"/>
    <w:link w:val="108"/>
    <w:qFormat/>
    <w:uiPriority w:val="0"/>
    <w:rPr>
      <w:rFonts w:ascii="仿宋" w:hAnsi="仿宋" w:eastAsia="仿宋"/>
      <w:kern w:val="2"/>
      <w:sz w:val="28"/>
      <w:szCs w:val="28"/>
    </w:rPr>
  </w:style>
  <w:style w:type="paragraph" w:customStyle="1" w:styleId="110">
    <w:name w:val="题注1"/>
    <w:basedOn w:val="1"/>
    <w:next w:val="1"/>
    <w:unhideWhenUsed/>
    <w:qFormat/>
    <w:uiPriority w:val="0"/>
    <w:pPr>
      <w:spacing w:line="240" w:lineRule="auto"/>
      <w:ind w:firstLine="0" w:firstLineChars="0"/>
    </w:pPr>
    <w:rPr>
      <w:rFonts w:ascii="Calibri Light" w:hAnsi="Calibri Light" w:eastAsia="黑体"/>
      <w:sz w:val="20"/>
      <w:szCs w:val="20"/>
    </w:rPr>
  </w:style>
  <w:style w:type="paragraph" w:customStyle="1" w:styleId="111">
    <w:name w:val="标题1"/>
    <w:basedOn w:val="1"/>
    <w:next w:val="1"/>
    <w:link w:val="112"/>
    <w:qFormat/>
    <w:uiPriority w:val="10"/>
    <w:pPr>
      <w:spacing w:before="240" w:after="60" w:line="240" w:lineRule="auto"/>
      <w:ind w:firstLine="0" w:firstLineChars="0"/>
      <w:jc w:val="center"/>
      <w:outlineLvl w:val="0"/>
    </w:pPr>
    <w:rPr>
      <w:rFonts w:ascii="Calibri Light" w:hAnsi="Calibri Light" w:eastAsia="宋体"/>
      <w:b/>
      <w:bCs/>
      <w:kern w:val="0"/>
      <w:sz w:val="32"/>
      <w:szCs w:val="32"/>
    </w:rPr>
  </w:style>
  <w:style w:type="character" w:customStyle="1" w:styleId="112">
    <w:name w:val="标题 字符"/>
    <w:link w:val="111"/>
    <w:qFormat/>
    <w:uiPriority w:val="10"/>
    <w:rPr>
      <w:rFonts w:ascii="Calibri Light" w:hAnsi="Calibri Light" w:eastAsia="宋体" w:cs="Times New Roman"/>
      <w:b/>
      <w:bCs/>
      <w:sz w:val="32"/>
      <w:szCs w:val="32"/>
    </w:rPr>
  </w:style>
  <w:style w:type="table" w:customStyle="1" w:styleId="113">
    <w:name w:val="网格型2"/>
    <w:basedOn w:val="30"/>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4">
    <w:name w:val="标题 1 字符"/>
    <w:qFormat/>
    <w:uiPriority w:val="9"/>
    <w:rPr>
      <w:b/>
      <w:bCs/>
      <w:kern w:val="44"/>
      <w:sz w:val="44"/>
      <w:szCs w:val="44"/>
    </w:rPr>
  </w:style>
  <w:style w:type="character" w:customStyle="1" w:styleId="115">
    <w:name w:val="标题 2 字符"/>
    <w:qFormat/>
    <w:uiPriority w:val="9"/>
    <w:rPr>
      <w:rFonts w:ascii="黑体" w:hAnsi="黑体" w:eastAsia="黑体" w:cs="Times New Roman"/>
      <w:b/>
      <w:bCs/>
      <w:kern w:val="2"/>
      <w:sz w:val="36"/>
      <w:szCs w:val="36"/>
    </w:rPr>
  </w:style>
  <w:style w:type="character" w:customStyle="1" w:styleId="116">
    <w:name w:val="标题 3 字符"/>
    <w:qFormat/>
    <w:uiPriority w:val="9"/>
    <w:rPr>
      <w:rFonts w:ascii="黑体" w:hAnsi="黑体" w:eastAsia="黑体"/>
      <w:b/>
      <w:bCs/>
      <w:kern w:val="2"/>
      <w:sz w:val="32"/>
      <w:szCs w:val="32"/>
    </w:rPr>
  </w:style>
  <w:style w:type="character" w:customStyle="1" w:styleId="117">
    <w:name w:val="标题 4 字符"/>
    <w:qFormat/>
    <w:uiPriority w:val="9"/>
    <w:rPr>
      <w:rFonts w:ascii="黑体" w:hAnsi="黑体" w:eastAsia="黑体" w:cs="Times New Roman"/>
      <w:bCs/>
      <w:kern w:val="2"/>
      <w:sz w:val="30"/>
      <w:szCs w:val="30"/>
    </w:rPr>
  </w:style>
  <w:style w:type="character" w:customStyle="1" w:styleId="118">
    <w:name w:val="标题 5 字符"/>
    <w:qFormat/>
    <w:uiPriority w:val="9"/>
    <w:rPr>
      <w:rFonts w:ascii="仿宋" w:hAnsi="仿宋" w:eastAsia="仿宋"/>
      <w:b/>
      <w:bCs/>
      <w:kern w:val="2"/>
      <w:sz w:val="28"/>
      <w:szCs w:val="28"/>
    </w:rPr>
  </w:style>
  <w:style w:type="character" w:customStyle="1" w:styleId="119">
    <w:name w:val="标题 6 字符"/>
    <w:qFormat/>
    <w:uiPriority w:val="9"/>
    <w:rPr>
      <w:rFonts w:ascii="Calibri Light" w:hAnsi="Calibri Light" w:eastAsia="宋体" w:cs="Times New Roman"/>
      <w:b/>
      <w:bCs/>
      <w:kern w:val="2"/>
      <w:sz w:val="24"/>
      <w:szCs w:val="24"/>
    </w:rPr>
  </w:style>
  <w:style w:type="character" w:customStyle="1" w:styleId="120">
    <w:name w:val="标题 7 字符"/>
    <w:qFormat/>
    <w:uiPriority w:val="9"/>
    <w:rPr>
      <w:b/>
      <w:bCs/>
      <w:kern w:val="2"/>
      <w:sz w:val="24"/>
      <w:szCs w:val="24"/>
    </w:rPr>
  </w:style>
  <w:style w:type="character" w:customStyle="1" w:styleId="121">
    <w:name w:val="标题 8 字符"/>
    <w:qFormat/>
    <w:uiPriority w:val="9"/>
    <w:rPr>
      <w:rFonts w:ascii="Calibri Light" w:hAnsi="Calibri Light" w:eastAsia="宋体" w:cs="Times New Roman"/>
      <w:kern w:val="2"/>
      <w:sz w:val="24"/>
      <w:szCs w:val="24"/>
    </w:rPr>
  </w:style>
  <w:style w:type="character" w:customStyle="1" w:styleId="122">
    <w:name w:val="标题 9 字符"/>
    <w:qFormat/>
    <w:uiPriority w:val="9"/>
    <w:rPr>
      <w:rFonts w:ascii="Calibri Light" w:hAnsi="Calibri Light" w:eastAsia="宋体" w:cs="Times New Roman"/>
      <w:kern w:val="2"/>
      <w:sz w:val="21"/>
      <w:szCs w:val="21"/>
    </w:rPr>
  </w:style>
  <w:style w:type="paragraph" w:customStyle="1" w:styleId="123">
    <w:name w:val="可研标题"/>
    <w:basedOn w:val="27"/>
    <w:link w:val="124"/>
    <w:qFormat/>
    <w:uiPriority w:val="0"/>
    <w:pPr>
      <w:ind w:firstLine="0" w:firstLineChars="0"/>
    </w:pPr>
    <w:rPr>
      <w:rFonts w:ascii="微软雅黑" w:hAnsi="微软雅黑" w:eastAsia="微软雅黑"/>
      <w:b w:val="0"/>
      <w:sz w:val="52"/>
      <w:szCs w:val="52"/>
    </w:rPr>
  </w:style>
  <w:style w:type="character" w:customStyle="1" w:styleId="124">
    <w:name w:val="可研标题 Char"/>
    <w:link w:val="123"/>
    <w:qFormat/>
    <w:uiPriority w:val="0"/>
    <w:rPr>
      <w:rFonts w:ascii="微软雅黑" w:hAnsi="微软雅黑" w:eastAsia="微软雅黑" w:cs="Times New Roman"/>
      <w:bCs/>
      <w:kern w:val="2"/>
      <w:sz w:val="52"/>
      <w:szCs w:val="52"/>
    </w:rPr>
  </w:style>
  <w:style w:type="character" w:customStyle="1" w:styleId="125">
    <w:name w:val="页眉 字符"/>
    <w:qFormat/>
    <w:uiPriority w:val="99"/>
    <w:rPr>
      <w:sz w:val="18"/>
      <w:szCs w:val="18"/>
    </w:rPr>
  </w:style>
  <w:style w:type="character" w:customStyle="1" w:styleId="126">
    <w:name w:val="页脚 字符"/>
    <w:qFormat/>
    <w:uiPriority w:val="99"/>
    <w:rPr>
      <w:sz w:val="18"/>
      <w:szCs w:val="18"/>
    </w:rPr>
  </w:style>
  <w:style w:type="paragraph" w:customStyle="1" w:styleId="127">
    <w:name w:val="图表题注"/>
    <w:basedOn w:val="13"/>
    <w:next w:val="1"/>
    <w:qFormat/>
    <w:uiPriority w:val="0"/>
    <w:pPr>
      <w:spacing w:line="240" w:lineRule="auto"/>
      <w:ind w:firstLine="0" w:firstLineChars="0"/>
      <w:jc w:val="center"/>
    </w:pPr>
    <w:rPr>
      <w:rFonts w:ascii="仿宋" w:hAnsi="仿宋" w:eastAsia="仿宋"/>
      <w:kern w:val="2"/>
      <w:sz w:val="28"/>
      <w:szCs w:val="28"/>
    </w:rPr>
  </w:style>
  <w:style w:type="paragraph" w:customStyle="1" w:styleId="128">
    <w:name w:val="N-4"/>
    <w:basedOn w:val="6"/>
    <w:qFormat/>
    <w:uiPriority w:val="0"/>
    <w:pPr>
      <w:numPr>
        <w:numId w:val="3"/>
      </w:numPr>
      <w:tabs>
        <w:tab w:val="left" w:pos="2160"/>
      </w:tabs>
      <w:spacing w:before="160" w:after="160" w:line="240" w:lineRule="auto"/>
    </w:pPr>
    <w:rPr>
      <w:rFonts w:ascii="Arial" w:hAnsi="Arial" w:eastAsia="黑体"/>
      <w:b w:val="0"/>
      <w:sz w:val="21"/>
      <w:szCs w:val="20"/>
    </w:rPr>
  </w:style>
  <w:style w:type="character" w:customStyle="1" w:styleId="129">
    <w:name w:val="批注框文本 字符"/>
    <w:semiHidden/>
    <w:qFormat/>
    <w:uiPriority w:val="99"/>
    <w:rPr>
      <w:sz w:val="18"/>
      <w:szCs w:val="18"/>
    </w:rPr>
  </w:style>
  <w:style w:type="character" w:customStyle="1" w:styleId="130">
    <w:name w:val="列表段落 字符"/>
    <w:qFormat/>
    <w:uiPriority w:val="34"/>
    <w:rPr>
      <w:rFonts w:ascii="Times New Roman" w:hAnsi="Times New Roman" w:eastAsia="宋体" w:cs="Times New Roman"/>
      <w:szCs w:val="24"/>
    </w:rPr>
  </w:style>
  <w:style w:type="character" w:customStyle="1" w:styleId="131">
    <w:name w:val="未处理的提及11"/>
    <w:unhideWhenUsed/>
    <w:qFormat/>
    <w:uiPriority w:val="99"/>
    <w:rPr>
      <w:color w:val="605E5C"/>
      <w:shd w:val="clear" w:color="auto" w:fill="E1DFDD"/>
    </w:rPr>
  </w:style>
  <w:style w:type="character" w:customStyle="1" w:styleId="132">
    <w:name w:val="样式2 Char"/>
    <w:link w:val="133"/>
    <w:qFormat/>
    <w:uiPriority w:val="0"/>
    <w:rPr>
      <w:rFonts w:ascii="宋体" w:hAnsi="宋体"/>
      <w:sz w:val="24"/>
      <w:szCs w:val="24"/>
      <w:lang w:eastAsia="en-US"/>
    </w:rPr>
  </w:style>
  <w:style w:type="paragraph" w:customStyle="1" w:styleId="133">
    <w:name w:val="样式2"/>
    <w:basedOn w:val="1"/>
    <w:link w:val="132"/>
    <w:qFormat/>
    <w:uiPriority w:val="0"/>
    <w:pPr>
      <w:widowControl/>
      <w:adjustRightInd w:val="0"/>
      <w:ind w:firstLine="480"/>
    </w:pPr>
    <w:rPr>
      <w:rFonts w:ascii="宋体" w:hAnsi="宋体" w:eastAsia="宋体"/>
      <w:kern w:val="0"/>
      <w:sz w:val="24"/>
      <w:szCs w:val="24"/>
      <w:lang w:eastAsia="en-US"/>
    </w:rPr>
  </w:style>
  <w:style w:type="paragraph" w:customStyle="1" w:styleId="134">
    <w:name w:val="表格样式"/>
    <w:basedOn w:val="1"/>
    <w:link w:val="135"/>
    <w:qFormat/>
    <w:uiPriority w:val="0"/>
    <w:pPr>
      <w:spacing w:line="240" w:lineRule="auto"/>
      <w:ind w:firstLine="0" w:firstLineChars="0"/>
      <w:jc w:val="left"/>
    </w:pPr>
    <w:rPr>
      <w:rFonts w:ascii="Times New Roman" w:hAnsi="Times New Roman" w:eastAsia="宋体"/>
      <w:sz w:val="21"/>
      <w:szCs w:val="24"/>
    </w:rPr>
  </w:style>
  <w:style w:type="character" w:customStyle="1" w:styleId="135">
    <w:name w:val="表格样式 字符"/>
    <w:link w:val="134"/>
    <w:qFormat/>
    <w:uiPriority w:val="0"/>
    <w:rPr>
      <w:kern w:val="2"/>
      <w:sz w:val="21"/>
      <w:szCs w:val="24"/>
    </w:rPr>
  </w:style>
  <w:style w:type="character" w:customStyle="1" w:styleId="136">
    <w:name w:val="批注文字 字符"/>
    <w:qFormat/>
    <w:uiPriority w:val="0"/>
    <w:rPr>
      <w:rFonts w:ascii="Times New Roman" w:hAnsi="Times New Roman" w:eastAsia="宋体" w:cs="Times New Roman"/>
      <w:kern w:val="2"/>
      <w:sz w:val="24"/>
      <w:szCs w:val="22"/>
    </w:rPr>
  </w:style>
  <w:style w:type="paragraph" w:customStyle="1" w:styleId="137">
    <w:name w:val="正文-使用"/>
    <w:basedOn w:val="1"/>
    <w:link w:val="138"/>
    <w:qFormat/>
    <w:uiPriority w:val="0"/>
    <w:pPr>
      <w:ind w:firstLine="480"/>
    </w:pPr>
    <w:rPr>
      <w:rFonts w:ascii="宋体" w:hAnsi="宋体" w:eastAsia="宋体"/>
      <w:sz w:val="24"/>
      <w:szCs w:val="24"/>
    </w:rPr>
  </w:style>
  <w:style w:type="character" w:customStyle="1" w:styleId="138">
    <w:name w:val="正文-使用 字符"/>
    <w:link w:val="137"/>
    <w:qFormat/>
    <w:uiPriority w:val="0"/>
    <w:rPr>
      <w:rFonts w:ascii="宋体" w:hAnsi="宋体"/>
      <w:kern w:val="2"/>
      <w:sz w:val="24"/>
      <w:szCs w:val="24"/>
    </w:rPr>
  </w:style>
  <w:style w:type="paragraph" w:customStyle="1" w:styleId="139">
    <w:name w:val="！正文"/>
    <w:basedOn w:val="1"/>
    <w:qFormat/>
    <w:uiPriority w:val="0"/>
    <w:pPr>
      <w:widowControl/>
      <w:autoSpaceDE w:val="0"/>
      <w:autoSpaceDN w:val="0"/>
      <w:adjustRightInd w:val="0"/>
      <w:spacing w:afterLines="50" w:line="560" w:lineRule="exact"/>
    </w:pPr>
    <w:rPr>
      <w:rFonts w:ascii="仿宋_GB2312" w:hAnsi="Times New Roman" w:eastAsia="仿宋_GB2312"/>
      <w:sz w:val="32"/>
      <w:szCs w:val="28"/>
      <w:lang w:val="zh-CN"/>
    </w:rPr>
  </w:style>
  <w:style w:type="paragraph" w:customStyle="1" w:styleId="140">
    <w:name w:val="表格"/>
    <w:basedOn w:val="1"/>
    <w:link w:val="141"/>
    <w:qFormat/>
    <w:uiPriority w:val="0"/>
    <w:pPr>
      <w:widowControl/>
      <w:spacing w:line="240" w:lineRule="auto"/>
      <w:ind w:firstLine="0" w:firstLineChars="0"/>
      <w:jc w:val="center"/>
    </w:pPr>
    <w:rPr>
      <w:rFonts w:ascii="Times New Roman" w:hAnsi="Times New Roman"/>
      <w:sz w:val="24"/>
      <w:szCs w:val="24"/>
    </w:rPr>
  </w:style>
  <w:style w:type="character" w:customStyle="1" w:styleId="141">
    <w:name w:val="表格 字符"/>
    <w:link w:val="140"/>
    <w:qFormat/>
    <w:uiPriority w:val="0"/>
    <w:rPr>
      <w:rFonts w:eastAsia="仿宋"/>
      <w:kern w:val="2"/>
      <w:sz w:val="24"/>
      <w:szCs w:val="24"/>
    </w:rPr>
  </w:style>
  <w:style w:type="character" w:customStyle="1" w:styleId="142">
    <w:name w:val="正文文本 字符"/>
    <w:qFormat/>
    <w:uiPriority w:val="1"/>
    <w:rPr>
      <w:kern w:val="2"/>
      <w:sz w:val="21"/>
      <w:szCs w:val="22"/>
    </w:rPr>
  </w:style>
  <w:style w:type="paragraph" w:customStyle="1" w:styleId="143">
    <w:name w:val="!标题4 Ctrl+4"/>
    <w:basedOn w:val="1"/>
    <w:next w:val="1"/>
    <w:qFormat/>
    <w:uiPriority w:val="0"/>
    <w:pPr>
      <w:adjustRightInd w:val="0"/>
      <w:snapToGrid w:val="0"/>
      <w:spacing w:beforeLines="50" w:afterLines="50"/>
      <w:ind w:left="851" w:firstLine="0" w:firstLineChars="0"/>
      <w:outlineLvl w:val="3"/>
    </w:pPr>
    <w:rPr>
      <w:rFonts w:ascii="Times New Roman" w:hAnsi="Times New Roman" w:eastAsia="黑体"/>
      <w:b/>
      <w:szCs w:val="30"/>
    </w:rPr>
  </w:style>
  <w:style w:type="paragraph" w:customStyle="1" w:styleId="144">
    <w:name w:val="样式 四号 行距: 1.5 倍行距1"/>
    <w:basedOn w:val="1"/>
    <w:qFormat/>
    <w:uiPriority w:val="0"/>
    <w:pPr>
      <w:ind w:firstLine="0" w:firstLineChars="0"/>
    </w:pPr>
    <w:rPr>
      <w:rFonts w:ascii="Times New Roman" w:hAnsi="Times New Roman" w:eastAsia="宋体" w:cs="宋体"/>
      <w:sz w:val="24"/>
      <w:szCs w:val="20"/>
    </w:rPr>
  </w:style>
  <w:style w:type="table" w:customStyle="1" w:styleId="145">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46">
    <w:name w:val="Table Paragraph"/>
    <w:basedOn w:val="1"/>
    <w:qFormat/>
    <w:uiPriority w:val="1"/>
    <w:pPr>
      <w:autoSpaceDE w:val="0"/>
      <w:autoSpaceDN w:val="0"/>
      <w:spacing w:line="240" w:lineRule="auto"/>
      <w:ind w:firstLine="0" w:firstLineChars="0"/>
      <w:jc w:val="left"/>
    </w:pPr>
    <w:rPr>
      <w:rFonts w:ascii="宋体" w:hAnsi="宋体" w:eastAsia="宋体" w:cs="宋体"/>
      <w:kern w:val="0"/>
      <w:sz w:val="22"/>
    </w:rPr>
  </w:style>
  <w:style w:type="character" w:customStyle="1" w:styleId="147">
    <w:name w:val="正文缩进 字符"/>
    <w:qFormat/>
    <w:uiPriority w:val="0"/>
    <w:rPr>
      <w:rFonts w:ascii="Times New Roman" w:hAnsi="Times New Roman" w:eastAsia="宋体" w:cs="Times New Roman"/>
      <w:kern w:val="2"/>
      <w:sz w:val="24"/>
    </w:rPr>
  </w:style>
  <w:style w:type="paragraph" w:customStyle="1" w:styleId="148">
    <w:name w:val="列表段落211"/>
    <w:basedOn w:val="1"/>
    <w:qFormat/>
    <w:uiPriority w:val="34"/>
    <w:pPr>
      <w:spacing w:line="240" w:lineRule="auto"/>
      <w:ind w:firstLine="0" w:firstLineChars="0"/>
    </w:pPr>
    <w:rPr>
      <w:rFonts w:ascii="Times New Roman" w:hAnsi="Times New Roman" w:eastAsia="宋体"/>
      <w:sz w:val="21"/>
    </w:rPr>
  </w:style>
  <w:style w:type="paragraph" w:customStyle="1" w:styleId="149">
    <w:name w:val="Default"/>
    <w:next w:val="1"/>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150">
    <w:name w:val="方案正文"/>
    <w:basedOn w:val="1"/>
    <w:link w:val="151"/>
    <w:qFormat/>
    <w:uiPriority w:val="0"/>
    <w:rPr>
      <w:rFonts w:ascii="Times New Roman" w:hAnsi="Times New Roman" w:eastAsia="宋体"/>
      <w:sz w:val="24"/>
      <w:szCs w:val="24"/>
    </w:rPr>
  </w:style>
  <w:style w:type="character" w:customStyle="1" w:styleId="151">
    <w:name w:val="方案正文 Char"/>
    <w:link w:val="150"/>
    <w:qFormat/>
    <w:uiPriority w:val="0"/>
    <w:rPr>
      <w:kern w:val="2"/>
      <w:sz w:val="24"/>
      <w:szCs w:val="24"/>
    </w:rPr>
  </w:style>
  <w:style w:type="character" w:customStyle="1" w:styleId="152">
    <w:name w:val="批注主题 字符"/>
    <w:qFormat/>
    <w:uiPriority w:val="99"/>
  </w:style>
  <w:style w:type="paragraph" w:customStyle="1" w:styleId="153">
    <w:name w:val="修订版本号"/>
    <w:semiHidden/>
    <w:qFormat/>
    <w:uiPriority w:val="99"/>
    <w:rPr>
      <w:rFonts w:ascii="Calibri" w:hAnsi="Calibri" w:eastAsia="宋体" w:cs="Times New Roman"/>
      <w:kern w:val="2"/>
      <w:sz w:val="24"/>
      <w:szCs w:val="24"/>
      <w:lang w:val="en-US" w:eastAsia="zh-CN" w:bidi="ar-SA"/>
    </w:rPr>
  </w:style>
  <w:style w:type="table" w:customStyle="1" w:styleId="154">
    <w:name w:val="_Style 58"/>
    <w:basedOn w:val="30"/>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155">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156">
    <w:name w:val="xl65"/>
    <w:basedOn w:val="1"/>
    <w:qFormat/>
    <w:uiPriority w:val="0"/>
    <w:pPr>
      <w:widowControl/>
      <w:spacing w:before="100" w:beforeAutospacing="1" w:after="100" w:afterAutospacing="1" w:line="240" w:lineRule="auto"/>
      <w:ind w:firstLine="0" w:firstLineChars="0"/>
      <w:jc w:val="left"/>
      <w:textAlignment w:val="top"/>
    </w:pPr>
    <w:rPr>
      <w:rFonts w:eastAsia="宋体" w:cs="Calibri"/>
      <w:kern w:val="0"/>
      <w:sz w:val="24"/>
      <w:szCs w:val="24"/>
    </w:rPr>
  </w:style>
  <w:style w:type="paragraph" w:customStyle="1" w:styleId="157">
    <w:name w:val="xl66"/>
    <w:basedOn w:val="1"/>
    <w:qFormat/>
    <w:uiPriority w:val="0"/>
    <w:pPr>
      <w:widowControl/>
      <w:pBdr>
        <w:bottom w:val="single" w:color="auto" w:sz="4" w:space="0"/>
      </w:pBdr>
      <w:spacing w:before="100" w:beforeAutospacing="1" w:after="100" w:afterAutospacing="1" w:line="240" w:lineRule="auto"/>
      <w:ind w:firstLine="0" w:firstLineChars="0"/>
      <w:jc w:val="left"/>
      <w:textAlignment w:val="top"/>
    </w:pPr>
    <w:rPr>
      <w:rFonts w:eastAsia="宋体" w:cs="Calibri"/>
      <w:kern w:val="0"/>
      <w:sz w:val="24"/>
      <w:szCs w:val="24"/>
    </w:rPr>
  </w:style>
  <w:style w:type="paragraph" w:customStyle="1" w:styleId="158">
    <w:name w:val="xl67"/>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top"/>
    </w:pPr>
    <w:rPr>
      <w:rFonts w:eastAsia="宋体" w:cs="Calibri"/>
      <w:b/>
      <w:bCs/>
      <w:kern w:val="0"/>
      <w:sz w:val="24"/>
      <w:szCs w:val="24"/>
    </w:rPr>
  </w:style>
  <w:style w:type="paragraph" w:customStyle="1" w:styleId="159">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top"/>
    </w:pPr>
    <w:rPr>
      <w:rFonts w:eastAsia="宋体" w:cs="Calibri"/>
      <w:b/>
      <w:bCs/>
      <w:kern w:val="0"/>
      <w:sz w:val="24"/>
      <w:szCs w:val="24"/>
    </w:rPr>
  </w:style>
  <w:style w:type="paragraph" w:customStyle="1" w:styleId="16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top"/>
    </w:pPr>
    <w:rPr>
      <w:rFonts w:eastAsia="宋体" w:cs="Calibri"/>
      <w:kern w:val="0"/>
      <w:sz w:val="24"/>
      <w:szCs w:val="24"/>
    </w:rPr>
  </w:style>
  <w:style w:type="paragraph" w:customStyle="1" w:styleId="161">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top"/>
    </w:pPr>
    <w:rPr>
      <w:rFonts w:eastAsia="宋体" w:cs="Calibri"/>
      <w:kern w:val="0"/>
      <w:sz w:val="24"/>
      <w:szCs w:val="24"/>
    </w:rPr>
  </w:style>
  <w:style w:type="paragraph" w:customStyle="1" w:styleId="162">
    <w:name w:val="xl71"/>
    <w:basedOn w:val="1"/>
    <w:qFormat/>
    <w:uiPriority w:val="0"/>
    <w:pPr>
      <w:widowControl/>
      <w:spacing w:before="100" w:beforeAutospacing="1" w:after="100" w:afterAutospacing="1" w:line="240" w:lineRule="auto"/>
      <w:ind w:firstLine="0" w:firstLineChars="0"/>
      <w:jc w:val="center"/>
      <w:textAlignment w:val="top"/>
    </w:pPr>
    <w:rPr>
      <w:rFonts w:eastAsia="宋体" w:cs="Calibri"/>
      <w:b/>
      <w:bCs/>
      <w:kern w:val="0"/>
      <w:sz w:val="36"/>
      <w:szCs w:val="36"/>
    </w:rPr>
  </w:style>
  <w:style w:type="paragraph" w:customStyle="1" w:styleId="163">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Calibri"/>
      <w:b/>
      <w:bCs/>
      <w:kern w:val="0"/>
      <w:sz w:val="24"/>
      <w:szCs w:val="24"/>
    </w:rPr>
  </w:style>
  <w:style w:type="paragraph" w:customStyle="1" w:styleId="164">
    <w:name w:val="xl73"/>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pPr>
    <w:rPr>
      <w:rFonts w:eastAsia="宋体" w:cs="Calibri"/>
      <w:b/>
      <w:bCs/>
      <w:kern w:val="0"/>
      <w:sz w:val="24"/>
      <w:szCs w:val="24"/>
    </w:rPr>
  </w:style>
  <w:style w:type="paragraph" w:customStyle="1" w:styleId="165">
    <w:name w:val="_Style 69"/>
    <w:semiHidden/>
    <w:qFormat/>
    <w:uiPriority w:val="99"/>
    <w:rPr>
      <w:rFonts w:ascii="Times New Roman" w:hAnsi="Times New Roman" w:eastAsia="仿宋" w:cs="Times New Roman"/>
      <w:kern w:val="2"/>
      <w:sz w:val="28"/>
      <w:szCs w:val="24"/>
      <w:lang w:val="en-US" w:eastAsia="zh-CN" w:bidi="ar-SA"/>
    </w:rPr>
  </w:style>
  <w:style w:type="paragraph" w:customStyle="1" w:styleId="166">
    <w:name w:val="_Style 70"/>
    <w:basedOn w:val="3"/>
    <w:next w:val="1"/>
    <w:qFormat/>
    <w:uiPriority w:val="39"/>
    <w:pPr>
      <w:pageBreakBefore/>
      <w:widowControl/>
      <w:numPr>
        <w:numId w:val="0"/>
      </w:numPr>
      <w:spacing w:before="240" w:after="0" w:line="259" w:lineRule="auto"/>
      <w:jc w:val="left"/>
      <w:outlineLvl w:val="9"/>
    </w:pPr>
    <w:rPr>
      <w:rFonts w:ascii="等线 Light" w:hAnsi="等线 Light" w:eastAsia="等线 Light"/>
      <w:b w:val="0"/>
      <w:bCs w:val="0"/>
      <w:color w:val="2F5496"/>
      <w:kern w:val="0"/>
      <w:szCs w:val="32"/>
    </w:rPr>
  </w:style>
  <w:style w:type="table" w:customStyle="1" w:styleId="167">
    <w:name w:val="_Style 73"/>
    <w:basedOn w:val="30"/>
    <w:qFormat/>
    <w:uiPriority w:val="46"/>
    <w:rPr>
      <w:rFonts w:ascii="Calibri" w:hAnsi="Calibri"/>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168">
    <w:name w:val="T-图居中"/>
    <w:next w:val="1"/>
    <w:qFormat/>
    <w:uiPriority w:val="0"/>
    <w:pPr>
      <w:jc w:val="center"/>
    </w:pPr>
    <w:rPr>
      <w:rFonts w:ascii="Times New Roman" w:hAnsi="Times New Roman" w:eastAsia="宋体" w:cs="Times New Roman"/>
      <w:kern w:val="2"/>
      <w:sz w:val="24"/>
      <w:szCs w:val="24"/>
      <w:lang w:val="en-US" w:eastAsia="zh-CN" w:bidi="ar-SA"/>
    </w:rPr>
  </w:style>
  <w:style w:type="paragraph" w:customStyle="1" w:styleId="169">
    <w:name w:val="_Style 80"/>
    <w:basedOn w:val="1"/>
    <w:next w:val="95"/>
    <w:qFormat/>
    <w:uiPriority w:val="34"/>
    <w:pPr>
      <w:spacing w:line="240" w:lineRule="auto"/>
      <w:ind w:firstLine="420"/>
    </w:pPr>
    <w:rPr>
      <w:rFonts w:ascii="Times New Roman" w:hAnsi="Times New Roman" w:eastAsia="宋体"/>
      <w:sz w:val="21"/>
    </w:rPr>
  </w:style>
  <w:style w:type="paragraph" w:customStyle="1" w:styleId="170">
    <w:name w:val="my正文"/>
    <w:basedOn w:val="1"/>
    <w:qFormat/>
    <w:uiPriority w:val="0"/>
    <w:pPr>
      <w:pageBreakBefore/>
      <w:widowControl/>
      <w:spacing w:line="240" w:lineRule="auto"/>
    </w:pPr>
    <w:rPr>
      <w:rFonts w:ascii="Times New Roman" w:hAnsi="Times New Roman" w:eastAsia="宋体"/>
      <w:kern w:val="0"/>
      <w:sz w:val="24"/>
      <w:szCs w:val="20"/>
    </w:rPr>
  </w:style>
  <w:style w:type="paragraph" w:customStyle="1" w:styleId="171">
    <w:name w:val="!标题1 Ctrl+1"/>
    <w:basedOn w:val="3"/>
    <w:next w:val="1"/>
    <w:qFormat/>
    <w:uiPriority w:val="0"/>
    <w:pPr>
      <w:keepNext w:val="0"/>
      <w:keepLines w:val="0"/>
      <w:pageBreakBefore/>
      <w:numPr>
        <w:numId w:val="4"/>
      </w:numPr>
      <w:tabs>
        <w:tab w:val="left" w:pos="360"/>
        <w:tab w:val="left" w:pos="1800"/>
      </w:tabs>
      <w:adjustRightInd w:val="0"/>
      <w:snapToGrid w:val="0"/>
      <w:spacing w:beforeLines="100" w:afterLines="100" w:line="240" w:lineRule="auto"/>
      <w:jc w:val="center"/>
    </w:pPr>
    <w:rPr>
      <w:rFonts w:ascii="Times New Roman" w:hAnsi="Times New Roman" w:eastAsia="黑体"/>
      <w:kern w:val="2"/>
      <w:sz w:val="44"/>
    </w:rPr>
  </w:style>
  <w:style w:type="paragraph" w:customStyle="1" w:styleId="172">
    <w:name w:val="!标题2 Ctrl+2"/>
    <w:basedOn w:val="4"/>
    <w:next w:val="1"/>
    <w:qFormat/>
    <w:uiPriority w:val="0"/>
    <w:pPr>
      <w:keepNext w:val="0"/>
      <w:keepLines w:val="0"/>
      <w:numPr>
        <w:numId w:val="4"/>
      </w:numPr>
      <w:tabs>
        <w:tab w:val="left" w:pos="360"/>
        <w:tab w:val="left" w:pos="425"/>
      </w:tabs>
      <w:adjustRightInd w:val="0"/>
      <w:snapToGrid w:val="0"/>
      <w:spacing w:beforeLines="200" w:afterLines="50" w:line="360" w:lineRule="auto"/>
    </w:pPr>
    <w:rPr>
      <w:rFonts w:ascii="Times New Roman" w:hAnsi="Times New Roman" w:eastAsia="黑体"/>
      <w:bCs w:val="0"/>
      <w:sz w:val="32"/>
      <w:szCs w:val="36"/>
    </w:rPr>
  </w:style>
  <w:style w:type="paragraph" w:customStyle="1" w:styleId="173">
    <w:name w:val="!标题3 Ctrl+3"/>
    <w:basedOn w:val="5"/>
    <w:next w:val="1"/>
    <w:link w:val="174"/>
    <w:qFormat/>
    <w:uiPriority w:val="0"/>
    <w:pPr>
      <w:keepNext w:val="0"/>
      <w:keepLines w:val="0"/>
      <w:numPr>
        <w:numId w:val="4"/>
      </w:numPr>
      <w:tabs>
        <w:tab w:val="left" w:pos="425"/>
      </w:tabs>
      <w:adjustRightInd w:val="0"/>
      <w:snapToGrid w:val="0"/>
      <w:spacing w:beforeLines="75" w:afterLines="25" w:line="360" w:lineRule="auto"/>
    </w:pPr>
    <w:rPr>
      <w:rFonts w:ascii="Times New Roman" w:hAnsi="Times New Roman" w:eastAsia="黑体"/>
      <w:bCs w:val="0"/>
      <w:sz w:val="30"/>
    </w:rPr>
  </w:style>
  <w:style w:type="character" w:customStyle="1" w:styleId="174">
    <w:name w:val="!标题3 Ctrl+3 Char Char"/>
    <w:link w:val="173"/>
    <w:qFormat/>
    <w:uiPriority w:val="0"/>
    <w:rPr>
      <w:rFonts w:eastAsia="黑体"/>
      <w:b/>
      <w:kern w:val="2"/>
      <w:sz w:val="30"/>
      <w:szCs w:val="32"/>
    </w:rPr>
  </w:style>
  <w:style w:type="paragraph" w:customStyle="1" w:styleId="175">
    <w:name w:val="!标题5 Ctrl+5"/>
    <w:basedOn w:val="1"/>
    <w:next w:val="1"/>
    <w:qFormat/>
    <w:uiPriority w:val="0"/>
    <w:pPr>
      <w:numPr>
        <w:ilvl w:val="4"/>
        <w:numId w:val="4"/>
      </w:numPr>
      <w:adjustRightInd w:val="0"/>
      <w:snapToGrid w:val="0"/>
      <w:spacing w:beforeLines="75" w:afterLines="50" w:line="240" w:lineRule="auto"/>
      <w:ind w:firstLineChars="0"/>
      <w:outlineLvl w:val="4"/>
    </w:pPr>
    <w:rPr>
      <w:rFonts w:ascii="Arial" w:hAnsi="Arial" w:eastAsia="黑体"/>
      <w:b/>
      <w:szCs w:val="28"/>
    </w:rPr>
  </w:style>
  <w:style w:type="paragraph" w:customStyle="1" w:styleId="176">
    <w:name w:val="!标题6 Ctrl+6"/>
    <w:basedOn w:val="1"/>
    <w:next w:val="1"/>
    <w:qFormat/>
    <w:uiPriority w:val="0"/>
    <w:pPr>
      <w:numPr>
        <w:ilvl w:val="5"/>
        <w:numId w:val="4"/>
      </w:numPr>
      <w:adjustRightInd w:val="0"/>
      <w:snapToGrid w:val="0"/>
      <w:spacing w:beforeLines="75" w:afterLines="50" w:line="240" w:lineRule="auto"/>
      <w:ind w:firstLineChars="0"/>
      <w:outlineLvl w:val="5"/>
    </w:pPr>
    <w:rPr>
      <w:rFonts w:ascii="Arial" w:hAnsi="Arial" w:eastAsia="黑体"/>
      <w:b/>
      <w:sz w:val="24"/>
      <w:szCs w:val="24"/>
    </w:rPr>
  </w:style>
  <w:style w:type="paragraph" w:customStyle="1" w:styleId="177">
    <w:name w:val="样式4新"/>
    <w:basedOn w:val="176"/>
    <w:next w:val="1"/>
    <w:qFormat/>
    <w:uiPriority w:val="0"/>
    <w:pPr>
      <w:numPr>
        <w:ilvl w:val="3"/>
      </w:numPr>
      <w:spacing w:afterLines="25" w:line="360" w:lineRule="auto"/>
      <w:outlineLvl w:val="3"/>
    </w:pPr>
    <w:rPr>
      <w:sz w:val="30"/>
    </w:rPr>
  </w:style>
  <w:style w:type="paragraph" w:customStyle="1" w:styleId="178">
    <w:name w:val="默认段落字体 Para Char Char Char"/>
    <w:basedOn w:val="1"/>
    <w:qFormat/>
    <w:uiPriority w:val="0"/>
    <w:pPr>
      <w:spacing w:line="240" w:lineRule="auto"/>
      <w:ind w:firstLine="0" w:firstLineChars="0"/>
    </w:pPr>
    <w:rPr>
      <w:rFonts w:ascii="Times New Roman" w:hAnsi="Times New Roman" w:eastAsia="宋体"/>
      <w:sz w:val="21"/>
      <w:szCs w:val="20"/>
    </w:rPr>
  </w:style>
  <w:style w:type="character" w:customStyle="1" w:styleId="179">
    <w:name w:val="_Style 86"/>
    <w:unhideWhenUsed/>
    <w:qFormat/>
    <w:uiPriority w:val="99"/>
    <w:rPr>
      <w:color w:val="605E5C"/>
      <w:shd w:val="clear" w:color="auto" w:fill="E1DFDD"/>
    </w:rPr>
  </w:style>
  <w:style w:type="character" w:customStyle="1" w:styleId="180">
    <w:name w:val="未处理的提及2"/>
    <w:unhideWhenUsed/>
    <w:qFormat/>
    <w:uiPriority w:val="99"/>
    <w:rPr>
      <w:color w:val="605E5C"/>
      <w:shd w:val="clear" w:color="auto" w:fill="E1DFDD"/>
    </w:rPr>
  </w:style>
  <w:style w:type="paragraph" w:customStyle="1" w:styleId="181">
    <w:name w:val="font5"/>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82">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仿宋" w:hAnsi="仿宋" w:cs="宋体"/>
      <w:b/>
      <w:bCs/>
      <w:color w:val="000000"/>
      <w:kern w:val="0"/>
      <w:szCs w:val="28"/>
    </w:rPr>
  </w:style>
  <w:style w:type="paragraph" w:customStyle="1" w:styleId="183">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仿宋" w:hAnsi="仿宋" w:cs="宋体"/>
      <w:b/>
      <w:bCs/>
      <w:color w:val="000000"/>
      <w:kern w:val="0"/>
      <w:szCs w:val="28"/>
    </w:rPr>
  </w:style>
  <w:style w:type="paragraph" w:customStyle="1" w:styleId="18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仿宋" w:hAnsi="仿宋" w:cs="宋体"/>
      <w:b/>
      <w:bCs/>
      <w:color w:val="000000"/>
      <w:kern w:val="0"/>
      <w:szCs w:val="28"/>
    </w:rPr>
  </w:style>
  <w:style w:type="paragraph" w:customStyle="1" w:styleId="185">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textAlignment w:val="center"/>
    </w:pPr>
    <w:rPr>
      <w:rFonts w:ascii="仿宋" w:hAnsi="仿宋" w:cs="宋体"/>
      <w:b/>
      <w:bCs/>
      <w:color w:val="000000"/>
      <w:kern w:val="0"/>
      <w:szCs w:val="28"/>
    </w:rPr>
  </w:style>
  <w:style w:type="paragraph" w:customStyle="1" w:styleId="186">
    <w:name w:val="xl76"/>
    <w:basedOn w:val="1"/>
    <w:qFormat/>
    <w:uiPriority w:val="0"/>
    <w:pPr>
      <w:widowControl/>
      <w:pBdr>
        <w:top w:val="single" w:color="auto" w:sz="4" w:space="0"/>
        <w:left w:val="single" w:color="auto" w:sz="4" w:space="27"/>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仿宋" w:hAnsi="仿宋" w:cs="宋体"/>
      <w:b/>
      <w:bCs/>
      <w:color w:val="000000"/>
      <w:kern w:val="0"/>
      <w:szCs w:val="28"/>
    </w:rPr>
  </w:style>
  <w:style w:type="paragraph" w:customStyle="1" w:styleId="18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仿宋" w:hAnsi="仿宋" w:cs="宋体"/>
      <w:b/>
      <w:bCs/>
      <w:color w:val="000000"/>
      <w:kern w:val="0"/>
      <w:szCs w:val="28"/>
    </w:rPr>
  </w:style>
  <w:style w:type="paragraph" w:customStyle="1" w:styleId="188">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仿宋" w:hAnsi="仿宋" w:cs="宋体"/>
      <w:color w:val="000000"/>
      <w:kern w:val="0"/>
      <w:szCs w:val="28"/>
    </w:rPr>
  </w:style>
  <w:style w:type="paragraph" w:customStyle="1" w:styleId="189">
    <w:name w:val="xl7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仿宋" w:hAnsi="仿宋" w:cs="宋体"/>
      <w:color w:val="000000"/>
      <w:kern w:val="0"/>
      <w:szCs w:val="28"/>
    </w:rPr>
  </w:style>
  <w:style w:type="paragraph" w:customStyle="1" w:styleId="190">
    <w:name w:val="xl80"/>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仿宋" w:hAnsi="仿宋" w:cs="宋体"/>
      <w:color w:val="000000"/>
      <w:kern w:val="0"/>
      <w:szCs w:val="28"/>
    </w:rPr>
  </w:style>
  <w:style w:type="paragraph" w:customStyle="1" w:styleId="191">
    <w:name w:val="xl8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仿宋" w:hAnsi="仿宋" w:cs="宋体"/>
      <w:color w:val="000000"/>
      <w:kern w:val="0"/>
      <w:szCs w:val="28"/>
    </w:rPr>
  </w:style>
  <w:style w:type="paragraph" w:customStyle="1" w:styleId="192">
    <w:name w:val="xl8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仿宋" w:hAnsi="仿宋" w:cs="宋体"/>
      <w:color w:val="000000"/>
      <w:kern w:val="0"/>
      <w:szCs w:val="28"/>
    </w:rPr>
  </w:style>
  <w:style w:type="paragraph" w:customStyle="1" w:styleId="193">
    <w:name w:val="xl83"/>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仿宋" w:hAnsi="仿宋" w:cs="宋体"/>
      <w:color w:val="000000"/>
      <w:kern w:val="0"/>
      <w:szCs w:val="28"/>
    </w:rPr>
  </w:style>
  <w:style w:type="paragraph" w:customStyle="1" w:styleId="194">
    <w:name w:val="xl8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仿宋" w:hAnsi="仿宋" w:cs="宋体"/>
      <w:color w:val="000000"/>
      <w:kern w:val="0"/>
      <w:szCs w:val="28"/>
    </w:rPr>
  </w:style>
  <w:style w:type="paragraph" w:customStyle="1" w:styleId="19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仿宋" w:hAnsi="仿宋" w:cs="宋体"/>
      <w:b/>
      <w:bCs/>
      <w:color w:val="000000"/>
      <w:kern w:val="0"/>
      <w:sz w:val="48"/>
      <w:szCs w:val="48"/>
    </w:rPr>
  </w:style>
  <w:style w:type="paragraph" w:customStyle="1" w:styleId="19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仿宋" w:hAnsi="仿宋" w:cs="宋体"/>
      <w:b/>
      <w:bCs/>
      <w:color w:val="000000"/>
      <w:kern w:val="0"/>
      <w:sz w:val="48"/>
      <w:szCs w:val="48"/>
    </w:rPr>
  </w:style>
  <w:style w:type="paragraph" w:customStyle="1" w:styleId="19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textAlignment w:val="center"/>
    </w:pPr>
    <w:rPr>
      <w:rFonts w:ascii="仿宋" w:hAnsi="仿宋" w:cs="宋体"/>
      <w:color w:val="000000"/>
      <w:kern w:val="0"/>
      <w:szCs w:val="28"/>
    </w:rPr>
  </w:style>
  <w:style w:type="paragraph" w:customStyle="1" w:styleId="198">
    <w:name w:val="xl88"/>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仿宋" w:hAnsi="仿宋" w:cs="宋体"/>
      <w:color w:val="000000"/>
      <w:kern w:val="0"/>
      <w:szCs w:val="28"/>
    </w:rPr>
  </w:style>
  <w:style w:type="paragraph" w:customStyle="1" w:styleId="199">
    <w:name w:val="xl8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仿宋" w:hAnsi="仿宋" w:cs="宋体"/>
      <w:color w:val="000000"/>
      <w:kern w:val="0"/>
      <w:szCs w:val="28"/>
    </w:rPr>
  </w:style>
  <w:style w:type="character" w:customStyle="1" w:styleId="200">
    <w:name w:val="未处理的提及3"/>
    <w:unhideWhenUsed/>
    <w:qFormat/>
    <w:uiPriority w:val="99"/>
    <w:rPr>
      <w:color w:val="605E5C"/>
      <w:shd w:val="clear" w:color="auto" w:fill="E1DFDD"/>
    </w:rPr>
  </w:style>
  <w:style w:type="paragraph" w:customStyle="1" w:styleId="201">
    <w:name w:val="font6"/>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202">
    <w:name w:val="xl90"/>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20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204">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205">
    <w:name w:val="xl93"/>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206">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207">
    <w:name w:val="_Style 206"/>
    <w:semiHidden/>
    <w:qFormat/>
    <w:uiPriority w:val="99"/>
    <w:rPr>
      <w:rFonts w:ascii="Calibri" w:hAnsi="Calibri" w:eastAsia="宋体" w:cs="Times New Roman"/>
      <w:kern w:val="2"/>
      <w:sz w:val="21"/>
      <w:szCs w:val="22"/>
      <w:lang w:val="en-US" w:eastAsia="zh-CN" w:bidi="ar-SA"/>
    </w:rPr>
  </w:style>
  <w:style w:type="paragraph" w:customStyle="1" w:styleId="208">
    <w:name w:val="xl95"/>
    <w:basedOn w:val="1"/>
    <w:qFormat/>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line="240" w:lineRule="auto"/>
      <w:ind w:firstLine="0" w:firstLineChars="0"/>
      <w:jc w:val="left"/>
    </w:pPr>
    <w:rPr>
      <w:rFonts w:ascii="宋体" w:hAnsi="宋体" w:eastAsia="宋体" w:cs="宋体"/>
      <w:b/>
      <w:bCs/>
      <w:kern w:val="0"/>
      <w:sz w:val="24"/>
      <w:szCs w:val="24"/>
    </w:rPr>
  </w:style>
  <w:style w:type="paragraph" w:customStyle="1" w:styleId="209">
    <w:name w:val="xl9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10">
    <w:name w:val="xl9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b/>
      <w:bCs/>
      <w:kern w:val="0"/>
      <w:sz w:val="24"/>
      <w:szCs w:val="24"/>
    </w:rPr>
  </w:style>
  <w:style w:type="paragraph" w:customStyle="1" w:styleId="211">
    <w:name w:val="xl9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12">
    <w:name w:val="xl9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b/>
      <w:bCs/>
      <w:kern w:val="0"/>
      <w:sz w:val="24"/>
      <w:szCs w:val="24"/>
    </w:rPr>
  </w:style>
  <w:style w:type="paragraph" w:customStyle="1" w:styleId="213">
    <w:name w:val="xl10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line="240" w:lineRule="auto"/>
      <w:ind w:firstLine="0" w:firstLineChars="0"/>
      <w:jc w:val="left"/>
    </w:pPr>
    <w:rPr>
      <w:rFonts w:ascii="宋体" w:hAnsi="宋体" w:eastAsia="宋体" w:cs="宋体"/>
      <w:b/>
      <w:bCs/>
      <w:kern w:val="0"/>
      <w:sz w:val="24"/>
      <w:szCs w:val="24"/>
    </w:rPr>
  </w:style>
  <w:style w:type="paragraph" w:customStyle="1" w:styleId="214">
    <w:name w:val="xl10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15">
    <w:name w:val="xl10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16">
    <w:name w:val="xl10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17">
    <w:name w:val="xl10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18">
    <w:name w:val="xl10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19">
    <w:name w:val="xl10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20">
    <w:name w:val="xl10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21">
    <w:name w:val="xl10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b/>
      <w:bCs/>
      <w:kern w:val="0"/>
      <w:sz w:val="24"/>
      <w:szCs w:val="24"/>
    </w:rPr>
  </w:style>
  <w:style w:type="paragraph" w:customStyle="1" w:styleId="222">
    <w:name w:val="xl10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23">
    <w:name w:val="xl11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b/>
      <w:bCs/>
      <w:kern w:val="0"/>
      <w:sz w:val="24"/>
      <w:szCs w:val="24"/>
    </w:rPr>
  </w:style>
  <w:style w:type="paragraph" w:customStyle="1" w:styleId="224">
    <w:name w:val="xl11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25">
    <w:name w:val="xl11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26">
    <w:name w:val="xl11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27">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28">
    <w:name w:val="xl115"/>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29">
    <w:name w:val="xl11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30">
    <w:name w:val="xl11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31">
    <w:name w:val="xl11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32">
    <w:name w:val="xl11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33">
    <w:name w:val="xl120"/>
    <w:basedOn w:val="1"/>
    <w:qFormat/>
    <w:uiPriority w:val="0"/>
    <w:pPr>
      <w:widowControl/>
      <w:pBdr>
        <w:top w:val="single" w:color="auto" w:sz="4" w:space="0"/>
        <w:left w:val="single" w:color="auto" w:sz="4" w:space="0"/>
        <w:bottom w:val="single" w:color="auto" w:sz="8" w:space="0"/>
      </w:pBdr>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34">
    <w:name w:val="xl121"/>
    <w:basedOn w:val="1"/>
    <w:qFormat/>
    <w:uiPriority w:val="0"/>
    <w:pPr>
      <w:widowControl/>
      <w:pBdr>
        <w:top w:val="single" w:color="auto" w:sz="4" w:space="0"/>
        <w:bottom w:val="single" w:color="auto" w:sz="8" w:space="0"/>
      </w:pBdr>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35">
    <w:name w:val="xl122"/>
    <w:basedOn w:val="1"/>
    <w:qFormat/>
    <w:uiPriority w:val="0"/>
    <w:pPr>
      <w:widowControl/>
      <w:pBdr>
        <w:top w:val="single" w:color="auto" w:sz="4" w:space="0"/>
        <w:bottom w:val="single" w:color="auto" w:sz="8"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36">
    <w:name w:val="xl123"/>
    <w:basedOn w:val="1"/>
    <w:qFormat/>
    <w:uiPriority w:val="0"/>
    <w:pPr>
      <w:widowControl/>
      <w:pBdr>
        <w:left w:val="single" w:color="auto" w:sz="4" w:space="0"/>
        <w:bottom w:val="single" w:color="auto" w:sz="4" w:space="0"/>
        <w:right w:val="single" w:color="auto" w:sz="4" w:space="0"/>
      </w:pBdr>
      <w:shd w:val="clear" w:color="000000" w:fill="E2EFDA"/>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37">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38">
    <w:name w:val="xl125"/>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39">
    <w:name w:val="xl12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40">
    <w:name w:val="xl12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41">
    <w:name w:val="xl128"/>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42">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43">
    <w:name w:val="xl130"/>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44">
    <w:name w:val="xl131"/>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45">
    <w:name w:val="xl132"/>
    <w:basedOn w:val="1"/>
    <w:qFormat/>
    <w:uiPriority w:val="0"/>
    <w:pPr>
      <w:widowControl/>
      <w:pBdr>
        <w:lef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46">
    <w:name w:val="xl133"/>
    <w:basedOn w:val="1"/>
    <w:qFormat/>
    <w:uiPriority w:val="0"/>
    <w:pPr>
      <w:widowControl/>
      <w:pBdr>
        <w:left w:val="single" w:color="auto" w:sz="4" w:space="0"/>
        <w:bottom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47">
    <w:name w:val="xl134"/>
    <w:basedOn w:val="1"/>
    <w:qFormat/>
    <w:uiPriority w:val="0"/>
    <w:pPr>
      <w:widowControl/>
      <w:pBdr>
        <w:top w:val="single" w:color="auto" w:sz="4" w:space="0"/>
        <w:left w:val="single" w:color="auto" w:sz="4" w:space="0"/>
        <w:right w:val="single" w:color="auto" w:sz="4" w:space="0"/>
      </w:pBdr>
      <w:shd w:val="clear" w:color="000000" w:fill="FEF5F0"/>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48">
    <w:name w:val="xl135"/>
    <w:basedOn w:val="1"/>
    <w:qFormat/>
    <w:uiPriority w:val="0"/>
    <w:pPr>
      <w:widowControl/>
      <w:pBdr>
        <w:left w:val="single" w:color="auto" w:sz="4" w:space="0"/>
        <w:right w:val="single" w:color="auto" w:sz="4" w:space="0"/>
      </w:pBdr>
      <w:shd w:val="clear" w:color="000000" w:fill="FEF5F0"/>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49">
    <w:name w:val="xl136"/>
    <w:basedOn w:val="1"/>
    <w:qFormat/>
    <w:uiPriority w:val="0"/>
    <w:pPr>
      <w:widowControl/>
      <w:pBdr>
        <w:top w:val="single" w:color="auto" w:sz="4" w:space="0"/>
        <w:left w:val="single" w:color="auto" w:sz="4" w:space="0"/>
        <w:right w:val="single" w:color="auto" w:sz="4" w:space="0"/>
      </w:pBdr>
      <w:shd w:val="clear" w:color="000000" w:fill="E2EFDA"/>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50">
    <w:name w:val="xl137"/>
    <w:basedOn w:val="1"/>
    <w:qFormat/>
    <w:uiPriority w:val="0"/>
    <w:pPr>
      <w:widowControl/>
      <w:pBdr>
        <w:left w:val="single" w:color="auto" w:sz="4" w:space="0"/>
        <w:right w:val="single" w:color="auto" w:sz="4" w:space="0"/>
      </w:pBdr>
      <w:shd w:val="clear" w:color="000000" w:fill="E2EFDA"/>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51">
    <w:name w:val="xl138"/>
    <w:basedOn w:val="1"/>
    <w:qFormat/>
    <w:uiPriority w:val="0"/>
    <w:pPr>
      <w:widowControl/>
      <w:pBdr>
        <w:left w:val="single" w:color="auto" w:sz="4" w:space="0"/>
        <w:bottom w:val="single" w:color="auto" w:sz="4" w:space="0"/>
        <w:right w:val="single" w:color="auto" w:sz="4" w:space="0"/>
      </w:pBdr>
      <w:shd w:val="clear" w:color="000000" w:fill="E2EFDA"/>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52">
    <w:name w:val="xl139"/>
    <w:basedOn w:val="1"/>
    <w:qFormat/>
    <w:uiPriority w:val="0"/>
    <w:pPr>
      <w:widowControl/>
      <w:pBdr>
        <w:top w:val="single" w:color="auto" w:sz="4" w:space="0"/>
        <w:left w:val="single" w:color="auto" w:sz="4" w:space="0"/>
        <w:right w:val="single" w:color="auto" w:sz="4" w:space="0"/>
      </w:pBdr>
      <w:shd w:val="clear" w:color="000000" w:fill="FCE4D6"/>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53">
    <w:name w:val="xl140"/>
    <w:basedOn w:val="1"/>
    <w:qFormat/>
    <w:uiPriority w:val="0"/>
    <w:pPr>
      <w:widowControl/>
      <w:pBdr>
        <w:left w:val="single" w:color="auto" w:sz="4" w:space="0"/>
        <w:right w:val="single" w:color="auto" w:sz="4" w:space="0"/>
      </w:pBdr>
      <w:shd w:val="clear" w:color="000000" w:fill="FCE4D6"/>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54">
    <w:name w:val="xl141"/>
    <w:basedOn w:val="1"/>
    <w:qFormat/>
    <w:uiPriority w:val="0"/>
    <w:pPr>
      <w:widowControl/>
      <w:pBdr>
        <w:left w:val="single" w:color="auto" w:sz="4" w:space="0"/>
        <w:bottom w:val="single" w:color="auto" w:sz="4" w:space="0"/>
        <w:right w:val="single" w:color="auto" w:sz="4" w:space="0"/>
      </w:pBdr>
      <w:shd w:val="clear" w:color="000000" w:fill="FCE4D6"/>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55">
    <w:name w:val="xl142"/>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56">
    <w:name w:val="xl143"/>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57">
    <w:name w:val="xl144"/>
    <w:basedOn w:val="1"/>
    <w:qFormat/>
    <w:uiPriority w:val="0"/>
    <w:pPr>
      <w:widowControl/>
      <w:pBdr>
        <w:left w:val="single" w:color="auto" w:sz="4" w:space="0"/>
        <w:bottom w:val="single" w:color="auto" w:sz="8"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58">
    <w:name w:val="xl145"/>
    <w:basedOn w:val="1"/>
    <w:qFormat/>
    <w:uiPriority w:val="0"/>
    <w:pPr>
      <w:widowControl/>
      <w:pBdr>
        <w:top w:val="single" w:color="auto" w:sz="4" w:space="0"/>
        <w:left w:val="single" w:color="auto" w:sz="4" w:space="0"/>
        <w:bottom w:val="single" w:color="auto" w:sz="8"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59">
    <w:name w:val="xl146"/>
    <w:basedOn w:val="1"/>
    <w:qFormat/>
    <w:uiPriority w:val="0"/>
    <w:pPr>
      <w:widowControl/>
      <w:pBdr>
        <w:top w:val="single" w:color="auto" w:sz="4" w:space="0"/>
        <w:bottom w:val="single" w:color="auto" w:sz="8"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60">
    <w:name w:val="xl147"/>
    <w:basedOn w:val="1"/>
    <w:qFormat/>
    <w:uiPriority w:val="0"/>
    <w:pPr>
      <w:widowControl/>
      <w:pBdr>
        <w:top w:val="single" w:color="auto" w:sz="4" w:space="0"/>
        <w:lef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61">
    <w:name w:val="xl148"/>
    <w:basedOn w:val="1"/>
    <w:qFormat/>
    <w:uiPriority w:val="0"/>
    <w:pPr>
      <w:widowControl/>
      <w:pBdr>
        <w:top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62">
    <w:name w:val="xl14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63">
    <w:name w:val="xl15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64">
    <w:name w:val="xl151"/>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65">
    <w:name w:val="xl15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66">
    <w:name w:val="xl15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67">
    <w:name w:val="xl15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68">
    <w:name w:val="xl155"/>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69">
    <w:name w:val="xl15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宋体" w:cs="宋体"/>
      <w:b/>
      <w:bCs/>
      <w:kern w:val="0"/>
      <w:sz w:val="24"/>
      <w:szCs w:val="24"/>
    </w:rPr>
  </w:style>
  <w:style w:type="paragraph" w:customStyle="1" w:styleId="270">
    <w:name w:val="xl15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71">
    <w:name w:val="xl158"/>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72">
    <w:name w:val="xl15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273">
    <w:name w:val="未处理的提及4"/>
    <w:unhideWhenUsed/>
    <w:qFormat/>
    <w:uiPriority w:val="99"/>
    <w:rPr>
      <w:color w:val="605E5C"/>
      <w:shd w:val="clear" w:color="auto" w:fill="E1DFDD"/>
    </w:rPr>
  </w:style>
  <w:style w:type="table" w:customStyle="1" w:styleId="274">
    <w:name w:val="网格型11"/>
    <w:basedOn w:val="3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5">
    <w:name w:val="未处理的提及5"/>
    <w:unhideWhenUsed/>
    <w:qFormat/>
    <w:uiPriority w:val="99"/>
    <w:rPr>
      <w:color w:val="605E5C"/>
      <w:shd w:val="clear" w:color="auto" w:fill="E1DFDD"/>
    </w:rPr>
  </w:style>
  <w:style w:type="character" w:customStyle="1" w:styleId="276">
    <w:name w:val="未处理的提及6"/>
    <w:unhideWhenUsed/>
    <w:qFormat/>
    <w:uiPriority w:val="99"/>
    <w:rPr>
      <w:color w:val="605E5C"/>
      <w:shd w:val="clear" w:color="auto" w:fill="E1DFDD"/>
    </w:rPr>
  </w:style>
  <w:style w:type="paragraph" w:customStyle="1" w:styleId="277">
    <w:name w:val="修订1"/>
    <w:hidden/>
    <w:unhideWhenUsed/>
    <w:qFormat/>
    <w:uiPriority w:val="99"/>
    <w:rPr>
      <w:rFonts w:ascii="Calibri" w:hAnsi="Calibri" w:eastAsia="仿宋"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CADD0496-508A-4297-BCAB-B2ECA720421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2889</Words>
  <Characters>16468</Characters>
  <Lines>137</Lines>
  <Paragraphs>38</Paragraphs>
  <TotalTime>19</TotalTime>
  <ScaleCrop>false</ScaleCrop>
  <LinksUpToDate>false</LinksUpToDate>
  <CharactersWithSpaces>19319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2025-03-13T01:45:00Z</dcterms:created>
  <dc:creator>xxzx</dc:creator>
  <cp:lastModifiedBy>顾文林</cp:lastModifiedBy>
  <cp:lastPrinted>2020-08-07T12:08:00Z</cp:lastPrinted>
  <dcterms:modified xsi:type="dcterms:W3CDTF">2025-04-07T11:20:40Z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3D5C9F1D2EDE7D45BC3FEE67713E02F1_43</vt:lpwstr>
  </property>
  <property fmtid="{D5CDD505-2E9C-101B-9397-08002B2CF9AE}" pid="4" name="KSOTemplateDocerSaveRecord">
    <vt:lpwstr>eyJoZGlkIjoiZDQzZmU2MDMxYjk1ZWZkNmRkZGRmYjk1NmZlMzM5NDkiLCJ1c2VySWQiOiI0MzE1OTA5NzEifQ==</vt:lpwstr>
  </property>
  <property fmtid="{D5CDD505-2E9C-101B-9397-08002B2CF9AE}" pid="5" name="_DocHome">
    <vt:i4>359870267</vt:i4>
  </property>
</Properties>
</file>