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4B2F" w:rsidRDefault="00C54B2F">
      <w:pPr>
        <w:ind w:firstLineChars="0" w:firstLine="0"/>
        <w:jc w:val="center"/>
        <w:rPr>
          <w:rFonts w:ascii="黑体" w:eastAsia="黑体" w:hAnsi="黑体"/>
          <w:sz w:val="48"/>
          <w:szCs w:val="48"/>
        </w:rPr>
      </w:pPr>
    </w:p>
    <w:p w:rsidR="00C54B2F" w:rsidRDefault="00C54B2F">
      <w:pPr>
        <w:ind w:firstLineChars="0" w:firstLine="0"/>
        <w:jc w:val="center"/>
        <w:rPr>
          <w:rFonts w:ascii="黑体" w:eastAsia="黑体" w:hAnsi="黑体"/>
          <w:sz w:val="48"/>
          <w:szCs w:val="48"/>
        </w:rPr>
      </w:pPr>
    </w:p>
    <w:p w:rsidR="00C54B2F" w:rsidRDefault="00A150F9">
      <w:pPr>
        <w:ind w:firstLineChars="0" w:firstLine="0"/>
        <w:jc w:val="center"/>
        <w:rPr>
          <w:rFonts w:ascii="黑体" w:eastAsia="黑体" w:hAnsi="黑体"/>
          <w:sz w:val="52"/>
          <w:szCs w:val="52"/>
        </w:rPr>
      </w:pPr>
      <w:r>
        <w:rPr>
          <w:rFonts w:ascii="黑体" w:eastAsia="黑体" w:hAnsi="黑体" w:hint="eastAsia"/>
          <w:sz w:val="52"/>
          <w:szCs w:val="52"/>
        </w:rPr>
        <w:t>财政资金审计监督子系统建设项目</w:t>
      </w:r>
    </w:p>
    <w:p w:rsidR="00C54B2F" w:rsidRDefault="00A150F9">
      <w:pPr>
        <w:ind w:firstLineChars="0" w:firstLine="0"/>
        <w:jc w:val="center"/>
        <w:rPr>
          <w:rFonts w:ascii="黑体" w:eastAsia="黑体" w:hAnsi="黑体"/>
          <w:sz w:val="52"/>
          <w:szCs w:val="52"/>
        </w:rPr>
      </w:pPr>
      <w:r>
        <w:rPr>
          <w:rFonts w:ascii="黑体" w:eastAsia="黑体" w:hAnsi="黑体" w:hint="eastAsia"/>
          <w:sz w:val="52"/>
          <w:szCs w:val="52"/>
        </w:rPr>
        <w:t>采购需求</w:t>
      </w:r>
    </w:p>
    <w:p w:rsidR="00C54B2F" w:rsidRDefault="00C54B2F">
      <w:pPr>
        <w:ind w:firstLineChars="0" w:firstLine="0"/>
        <w:jc w:val="center"/>
        <w:rPr>
          <w:rFonts w:ascii="黑体" w:eastAsia="黑体" w:hAnsi="黑体"/>
          <w:sz w:val="72"/>
          <w:szCs w:val="72"/>
        </w:rPr>
      </w:pPr>
    </w:p>
    <w:p w:rsidR="00C54B2F" w:rsidRDefault="00C54B2F">
      <w:pPr>
        <w:ind w:firstLineChars="0" w:firstLine="0"/>
        <w:jc w:val="center"/>
        <w:rPr>
          <w:rFonts w:ascii="黑体" w:eastAsia="黑体" w:hAnsi="黑体"/>
          <w:sz w:val="48"/>
          <w:szCs w:val="48"/>
        </w:rPr>
      </w:pPr>
    </w:p>
    <w:p w:rsidR="00C54B2F" w:rsidRDefault="00C54B2F">
      <w:pPr>
        <w:ind w:firstLineChars="0" w:firstLine="0"/>
        <w:jc w:val="center"/>
        <w:rPr>
          <w:rFonts w:ascii="黑体" w:eastAsia="黑体" w:hAnsi="黑体"/>
          <w:sz w:val="52"/>
          <w:szCs w:val="52"/>
        </w:rPr>
      </w:pPr>
    </w:p>
    <w:p w:rsidR="00C54B2F" w:rsidRDefault="00C54B2F">
      <w:pPr>
        <w:ind w:firstLine="1040"/>
        <w:rPr>
          <w:rFonts w:ascii="黑体" w:eastAsia="黑体" w:hAnsi="黑体"/>
          <w:sz w:val="52"/>
          <w:szCs w:val="52"/>
        </w:rPr>
      </w:pPr>
    </w:p>
    <w:p w:rsidR="00C54B2F" w:rsidRDefault="00C54B2F"/>
    <w:p w:rsidR="00C54B2F" w:rsidRDefault="00C54B2F"/>
    <w:p w:rsidR="00C54B2F" w:rsidRDefault="00C54B2F"/>
    <w:p w:rsidR="00C54B2F" w:rsidRDefault="00C54B2F"/>
    <w:p w:rsidR="00C54B2F" w:rsidRDefault="00C54B2F"/>
    <w:p w:rsidR="00C54B2F" w:rsidRDefault="00C54B2F">
      <w:pPr>
        <w:ind w:firstLine="1040"/>
        <w:rPr>
          <w:rFonts w:ascii="黑体" w:eastAsia="黑体" w:hAnsi="黑体"/>
          <w:sz w:val="52"/>
          <w:szCs w:val="52"/>
        </w:rPr>
      </w:pPr>
    </w:p>
    <w:p w:rsidR="00C54B2F" w:rsidRDefault="00C54B2F">
      <w:pPr>
        <w:jc w:val="center"/>
        <w:sectPr w:rsidR="00C54B2F">
          <w:headerReference w:type="even" r:id="rId8"/>
          <w:headerReference w:type="default" r:id="rId9"/>
          <w:footerReference w:type="even" r:id="rId10"/>
          <w:footerReference w:type="default" r:id="rId11"/>
          <w:headerReference w:type="first" r:id="rId12"/>
          <w:footerReference w:type="first" r:id="rId13"/>
          <w:pgSz w:w="11906" w:h="16838"/>
          <w:pgMar w:top="1134" w:right="1797" w:bottom="1135" w:left="1797" w:header="340" w:footer="7" w:gutter="0"/>
          <w:pgNumType w:start="1"/>
          <w:cols w:space="720"/>
          <w:titlePg/>
          <w:docGrid w:type="linesAndChars" w:linePitch="326"/>
        </w:sectPr>
      </w:pPr>
    </w:p>
    <w:p w:rsidR="00C54B2F" w:rsidRDefault="00A150F9">
      <w:pPr>
        <w:pStyle w:val="1"/>
      </w:pPr>
      <w:bookmarkStart w:id="0" w:name="_Toc63785461"/>
      <w:r>
        <w:rPr>
          <w:rFonts w:hint="eastAsia"/>
        </w:rPr>
        <w:lastRenderedPageBreak/>
        <w:t>项目概况</w:t>
      </w:r>
      <w:bookmarkEnd w:id="0"/>
    </w:p>
    <w:p w:rsidR="00C54B2F" w:rsidRDefault="00A150F9">
      <w:pPr>
        <w:pStyle w:val="2"/>
      </w:pPr>
      <w:r>
        <w:rPr>
          <w:rFonts w:hint="eastAsia"/>
        </w:rPr>
        <w:t>项目背景和现状</w:t>
      </w:r>
    </w:p>
    <w:p w:rsidR="00C54B2F" w:rsidRDefault="00A150F9">
      <w:pPr>
        <w:widowControl/>
        <w:ind w:firstLineChars="236" w:firstLine="566"/>
      </w:pPr>
      <w:r>
        <w:rPr>
          <w:rFonts w:hint="eastAsia"/>
        </w:rPr>
        <w:t>审计是党和国家监督体系的重要组成部分。习近平总书记在中央审计委员会会议上指出，“要深化审计制度改革，解放思想、与时俱进，创新审计理念，及时揭示和反映经济社会各领域的新情况、新问题、新趋势。要坚持科技强审，加强审计信息化建设。”“要依法全面履行审计监督职责，做好‘常态化经济体检’，不仅要查病，更要‘治已病’、‘防未病’”“努力构建集中统一、全面覆盖、权威高效的审计监督体系”。市委审计委员会会议强调，“要靠现代科技技术为审计工作增加动力，加大数据共享力度”。为进一步提升审计监督效能，满足审计人员业务需求，通过建设财政资金审计监督子系统，提高审计工作效能。</w:t>
      </w:r>
    </w:p>
    <w:p w:rsidR="00C54B2F" w:rsidRDefault="00A150F9">
      <w:pPr>
        <w:pStyle w:val="2"/>
      </w:pPr>
      <w:r>
        <w:rPr>
          <w:rFonts w:hint="eastAsia"/>
        </w:rPr>
        <w:t>建设期限</w:t>
      </w:r>
    </w:p>
    <w:p w:rsidR="00C54B2F" w:rsidRDefault="00A150F9">
      <w:pPr>
        <w:spacing w:line="560" w:lineRule="exact"/>
      </w:pPr>
      <w:r>
        <w:rPr>
          <w:rFonts w:hint="eastAsia"/>
        </w:rPr>
        <w:t>自合同签订之日起至2024年12月31日完成项目</w:t>
      </w:r>
      <w:r>
        <w:t>建设</w:t>
      </w:r>
      <w:r>
        <w:rPr>
          <w:rFonts w:hint="eastAsia"/>
        </w:rPr>
        <w:t>并</w:t>
      </w:r>
      <w:r>
        <w:t>通过</w:t>
      </w:r>
      <w:r>
        <w:rPr>
          <w:rFonts w:hint="eastAsia"/>
        </w:rPr>
        <w:t>验收</w:t>
      </w:r>
      <w:r>
        <w:t>，其中</w:t>
      </w:r>
      <w:r>
        <w:rPr>
          <w:rFonts w:hint="eastAsia"/>
        </w:rPr>
        <w:t>包括为期</w:t>
      </w:r>
      <w:r>
        <w:t>一个月的</w:t>
      </w:r>
      <w:r>
        <w:rPr>
          <w:rFonts w:hint="eastAsia"/>
        </w:rPr>
        <w:t>试运行。</w:t>
      </w:r>
    </w:p>
    <w:p w:rsidR="00C54B2F" w:rsidRDefault="00A150F9">
      <w:pPr>
        <w:pStyle w:val="2"/>
      </w:pPr>
      <w:r>
        <w:rPr>
          <w:rFonts w:hint="eastAsia"/>
        </w:rPr>
        <w:t>建设地点</w:t>
      </w:r>
    </w:p>
    <w:p w:rsidR="00C54B2F" w:rsidRDefault="00A150F9">
      <w:pPr>
        <w:pStyle w:val="2"/>
        <w:numPr>
          <w:ilvl w:val="255"/>
          <w:numId w:val="0"/>
        </w:numPr>
        <w:ind w:firstLineChars="200" w:firstLine="480"/>
      </w:pPr>
      <w:r>
        <w:rPr>
          <w:rFonts w:hint="eastAsia"/>
          <w:b w:val="0"/>
          <w:bCs w:val="0"/>
          <w:sz w:val="24"/>
          <w:szCs w:val="24"/>
        </w:rPr>
        <w:t>世博村路300号（上海市审计局）、市大数据中心</w:t>
      </w:r>
    </w:p>
    <w:p w:rsidR="00C54B2F" w:rsidRDefault="00A150F9">
      <w:pPr>
        <w:pStyle w:val="2"/>
      </w:pPr>
      <w:r>
        <w:rPr>
          <w:rFonts w:hint="eastAsia"/>
        </w:rPr>
        <w:t>采购方式</w:t>
      </w:r>
    </w:p>
    <w:p w:rsidR="00C54B2F" w:rsidRDefault="00A150F9">
      <w:pPr>
        <w:pStyle w:val="1f3"/>
        <w:ind w:left="567" w:firstLineChars="0" w:firstLine="0"/>
        <w:rPr>
          <w:sz w:val="24"/>
          <w:szCs w:val="32"/>
        </w:rPr>
      </w:pPr>
      <w:r>
        <w:rPr>
          <w:rFonts w:hint="eastAsia"/>
          <w:sz w:val="24"/>
          <w:szCs w:val="32"/>
        </w:rPr>
        <w:t>公开招标</w:t>
      </w:r>
    </w:p>
    <w:p w:rsidR="00C54B2F" w:rsidRDefault="00A150F9">
      <w:pPr>
        <w:pStyle w:val="2"/>
      </w:pPr>
      <w:r>
        <w:t>是否按信创要求建设</w:t>
      </w:r>
    </w:p>
    <w:p w:rsidR="00C54B2F" w:rsidRDefault="00A150F9">
      <w:r>
        <w:rPr>
          <w:rFonts w:hint="eastAsia"/>
          <w:szCs w:val="32"/>
        </w:rPr>
        <w:t>本项目需要按信创要求建设。</w:t>
      </w:r>
    </w:p>
    <w:p w:rsidR="00C54B2F" w:rsidRDefault="00C54B2F">
      <w:pPr>
        <w:spacing w:line="240" w:lineRule="auto"/>
      </w:pPr>
    </w:p>
    <w:p w:rsidR="00C54B2F" w:rsidRDefault="00A150F9">
      <w:pPr>
        <w:pStyle w:val="1"/>
      </w:pPr>
      <w:bookmarkStart w:id="1" w:name="_Toc47533256"/>
      <w:bookmarkStart w:id="2" w:name="_Toc47536272"/>
      <w:bookmarkStart w:id="3" w:name="_Toc47536644"/>
      <w:bookmarkStart w:id="4" w:name="_Toc47532255"/>
      <w:bookmarkStart w:id="5" w:name="_Toc47532891"/>
      <w:bookmarkStart w:id="6" w:name="_Toc47539070"/>
      <w:bookmarkStart w:id="7" w:name="_Toc47537134"/>
      <w:bookmarkStart w:id="8" w:name="_Toc47531634"/>
      <w:bookmarkStart w:id="9" w:name="_Toc63785463"/>
      <w:bookmarkStart w:id="10" w:name="_Toc48223882"/>
      <w:bookmarkEnd w:id="1"/>
      <w:bookmarkEnd w:id="2"/>
      <w:bookmarkEnd w:id="3"/>
      <w:bookmarkEnd w:id="4"/>
      <w:bookmarkEnd w:id="5"/>
      <w:bookmarkEnd w:id="6"/>
      <w:bookmarkEnd w:id="7"/>
      <w:bookmarkEnd w:id="8"/>
      <w:r>
        <w:rPr>
          <w:rFonts w:hint="eastAsia"/>
        </w:rPr>
        <w:t>建设目标</w:t>
      </w:r>
      <w:bookmarkEnd w:id="9"/>
      <w:bookmarkEnd w:id="10"/>
    </w:p>
    <w:p w:rsidR="00C54B2F" w:rsidRDefault="00A150F9">
      <w:pPr>
        <w:pStyle w:val="2"/>
      </w:pPr>
      <w:r>
        <w:rPr>
          <w:rFonts w:hint="eastAsia"/>
        </w:rPr>
        <w:t>项目建设目标</w:t>
      </w:r>
    </w:p>
    <w:p w:rsidR="00C54B2F" w:rsidRDefault="00A150F9">
      <w:r>
        <w:rPr>
          <w:rFonts w:hint="eastAsia"/>
        </w:rPr>
        <w:t>本项目的主要建设目标：</w:t>
      </w:r>
    </w:p>
    <w:p w:rsidR="00C54B2F" w:rsidRDefault="00A150F9">
      <w:r>
        <w:rPr>
          <w:rFonts w:hint="eastAsia"/>
        </w:rPr>
        <w:lastRenderedPageBreak/>
        <w:t>依托大数据中心的数据中台，融合审计自有数据，为本次项目的建设提供数据支撑，通过建设财政板块、行政事业板块等，同时构建完善审计探索场景、审计工具箱等功能，以点到面，为审计人员提供多种审计场景下，实现跨单位、跨部门、跨行业的数据综合分析，发现传统审计方式难以发现的、隐藏在数据背后的、具有一定普遍性、倾向性的问题，更好地服务上海经济社会的发展，促进改善和优化本市营商环境。</w:t>
      </w:r>
    </w:p>
    <w:p w:rsidR="00C54B2F" w:rsidRDefault="00A150F9">
      <w:pPr>
        <w:pStyle w:val="2"/>
      </w:pPr>
      <w:r>
        <w:rPr>
          <w:rFonts w:hint="eastAsia"/>
        </w:rPr>
        <w:t>拟实现的绩效目标</w:t>
      </w:r>
    </w:p>
    <w:p w:rsidR="00C54B2F" w:rsidRDefault="00A150F9">
      <w:pPr>
        <w:pStyle w:val="3"/>
      </w:pPr>
      <w:r>
        <w:t>业务绩效考核目标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196"/>
        <w:gridCol w:w="1208"/>
        <w:gridCol w:w="3725"/>
        <w:gridCol w:w="2173"/>
      </w:tblGrid>
      <w:tr w:rsidR="00C54B2F" w:rsidTr="00AF7AC9">
        <w:trPr>
          <w:cantSplit/>
          <w:trHeight w:val="340"/>
          <w:jc w:val="center"/>
        </w:trPr>
        <w:tc>
          <w:tcPr>
            <w:tcW w:w="720" w:type="pct"/>
            <w:vAlign w:val="center"/>
          </w:tcPr>
          <w:p w:rsidR="00C54B2F" w:rsidRDefault="00A150F9">
            <w:pPr>
              <w:ind w:firstLineChars="0" w:firstLine="0"/>
            </w:pPr>
            <w:r>
              <w:t>一级指标</w:t>
            </w:r>
          </w:p>
        </w:tc>
        <w:tc>
          <w:tcPr>
            <w:tcW w:w="727" w:type="pct"/>
            <w:vAlign w:val="center"/>
          </w:tcPr>
          <w:p w:rsidR="00C54B2F" w:rsidRDefault="00A150F9">
            <w:pPr>
              <w:ind w:firstLineChars="0" w:firstLine="0"/>
            </w:pPr>
            <w:r>
              <w:t>二级指标</w:t>
            </w:r>
          </w:p>
        </w:tc>
        <w:tc>
          <w:tcPr>
            <w:tcW w:w="2243" w:type="pct"/>
            <w:vAlign w:val="center"/>
          </w:tcPr>
          <w:p w:rsidR="00C54B2F" w:rsidRDefault="00A150F9">
            <w:r>
              <w:t>三级指标</w:t>
            </w:r>
          </w:p>
        </w:tc>
        <w:tc>
          <w:tcPr>
            <w:tcW w:w="1309" w:type="pct"/>
            <w:vAlign w:val="center"/>
          </w:tcPr>
          <w:p w:rsidR="00C54B2F" w:rsidRDefault="00A150F9">
            <w:pPr>
              <w:jc w:val="left"/>
            </w:pPr>
            <w:r>
              <w:t>指标值</w:t>
            </w:r>
          </w:p>
        </w:tc>
      </w:tr>
      <w:tr w:rsidR="00C54B2F" w:rsidTr="00AF7AC9">
        <w:trPr>
          <w:cantSplit/>
          <w:trHeight w:val="340"/>
          <w:jc w:val="center"/>
        </w:trPr>
        <w:tc>
          <w:tcPr>
            <w:tcW w:w="720" w:type="pct"/>
            <w:vMerge w:val="restart"/>
            <w:vAlign w:val="center"/>
          </w:tcPr>
          <w:p w:rsidR="00C54B2F" w:rsidRDefault="00A150F9">
            <w:pPr>
              <w:adjustRightInd w:val="0"/>
              <w:snapToGrid w:val="0"/>
              <w:ind w:firstLineChars="0" w:firstLine="0"/>
            </w:pPr>
            <w:r>
              <w:t>产出指标</w:t>
            </w:r>
          </w:p>
        </w:tc>
        <w:tc>
          <w:tcPr>
            <w:tcW w:w="727" w:type="pct"/>
            <w:vMerge w:val="restart"/>
            <w:vAlign w:val="center"/>
          </w:tcPr>
          <w:p w:rsidR="00C54B2F" w:rsidRDefault="00A150F9">
            <w:pPr>
              <w:adjustRightInd w:val="0"/>
              <w:snapToGrid w:val="0"/>
              <w:ind w:firstLineChars="0" w:firstLine="0"/>
            </w:pPr>
            <w:r>
              <w:t>数量指标</w:t>
            </w:r>
          </w:p>
        </w:tc>
        <w:tc>
          <w:tcPr>
            <w:tcW w:w="2243" w:type="pct"/>
            <w:vAlign w:val="center"/>
          </w:tcPr>
          <w:p w:rsidR="00C54B2F" w:rsidRDefault="00A150F9">
            <w:pPr>
              <w:adjustRightInd w:val="0"/>
              <w:snapToGrid w:val="0"/>
            </w:pPr>
            <w:r>
              <w:rPr>
                <w:rFonts w:hint="eastAsia"/>
              </w:rPr>
              <w:t>完成架构整合（实现统一门户架构）</w:t>
            </w:r>
          </w:p>
        </w:tc>
        <w:tc>
          <w:tcPr>
            <w:tcW w:w="1309" w:type="pct"/>
            <w:vAlign w:val="center"/>
          </w:tcPr>
          <w:p w:rsidR="00C54B2F" w:rsidRDefault="00A150F9">
            <w:pPr>
              <w:adjustRightInd w:val="0"/>
              <w:snapToGrid w:val="0"/>
            </w:pPr>
            <w:r>
              <w:rPr>
                <w:rFonts w:hint="eastAsia"/>
              </w:rPr>
              <w:t>1</w:t>
            </w:r>
          </w:p>
        </w:tc>
      </w:tr>
      <w:tr w:rsidR="00C54B2F" w:rsidTr="00AF7AC9">
        <w:trPr>
          <w:cantSplit/>
          <w:trHeight w:val="616"/>
          <w:jc w:val="center"/>
        </w:trPr>
        <w:tc>
          <w:tcPr>
            <w:tcW w:w="720" w:type="pct"/>
            <w:vMerge/>
            <w:vAlign w:val="center"/>
          </w:tcPr>
          <w:p w:rsidR="00C54B2F" w:rsidRDefault="00C54B2F">
            <w:pPr>
              <w:adjustRightInd w:val="0"/>
              <w:snapToGrid w:val="0"/>
            </w:pPr>
          </w:p>
        </w:tc>
        <w:tc>
          <w:tcPr>
            <w:tcW w:w="727" w:type="pct"/>
            <w:vMerge/>
            <w:vAlign w:val="center"/>
          </w:tcPr>
          <w:p w:rsidR="00C54B2F" w:rsidRDefault="00C54B2F">
            <w:pPr>
              <w:adjustRightInd w:val="0"/>
              <w:snapToGrid w:val="0"/>
            </w:pPr>
          </w:p>
        </w:tc>
        <w:tc>
          <w:tcPr>
            <w:tcW w:w="2243" w:type="pct"/>
            <w:vAlign w:val="center"/>
          </w:tcPr>
          <w:p w:rsidR="00C54B2F" w:rsidRDefault="00A150F9">
            <w:pPr>
              <w:adjustRightInd w:val="0"/>
              <w:snapToGrid w:val="0"/>
            </w:pPr>
            <w:r>
              <w:rPr>
                <w:rFonts w:hint="eastAsia"/>
              </w:rPr>
              <w:t>覆盖行业板块（财政、行政事业）</w:t>
            </w:r>
          </w:p>
        </w:tc>
        <w:tc>
          <w:tcPr>
            <w:tcW w:w="1309" w:type="pct"/>
            <w:vAlign w:val="center"/>
          </w:tcPr>
          <w:p w:rsidR="00C54B2F" w:rsidRDefault="00A150F9">
            <w:pPr>
              <w:adjustRightInd w:val="0"/>
              <w:snapToGrid w:val="0"/>
            </w:pPr>
            <w:r>
              <w:rPr>
                <w:rFonts w:hint="eastAsia"/>
              </w:rPr>
              <w:t>2</w:t>
            </w:r>
          </w:p>
        </w:tc>
      </w:tr>
      <w:tr w:rsidR="00C54B2F" w:rsidTr="00AF7AC9">
        <w:trPr>
          <w:cantSplit/>
          <w:trHeight w:val="910"/>
          <w:jc w:val="center"/>
        </w:trPr>
        <w:tc>
          <w:tcPr>
            <w:tcW w:w="720" w:type="pct"/>
            <w:vMerge/>
            <w:vAlign w:val="center"/>
          </w:tcPr>
          <w:p w:rsidR="00C54B2F" w:rsidRDefault="00C54B2F">
            <w:pPr>
              <w:adjustRightInd w:val="0"/>
              <w:snapToGrid w:val="0"/>
            </w:pPr>
          </w:p>
        </w:tc>
        <w:tc>
          <w:tcPr>
            <w:tcW w:w="727" w:type="pct"/>
            <w:vMerge/>
            <w:vAlign w:val="center"/>
          </w:tcPr>
          <w:p w:rsidR="00C54B2F" w:rsidRDefault="00C54B2F">
            <w:pPr>
              <w:adjustRightInd w:val="0"/>
              <w:snapToGrid w:val="0"/>
            </w:pPr>
          </w:p>
        </w:tc>
        <w:tc>
          <w:tcPr>
            <w:tcW w:w="2243" w:type="pct"/>
            <w:vAlign w:val="center"/>
          </w:tcPr>
          <w:p w:rsidR="00C54B2F" w:rsidRDefault="00A150F9">
            <w:pPr>
              <w:adjustRightInd w:val="0"/>
              <w:snapToGrid w:val="0"/>
            </w:pPr>
            <w:r>
              <w:rPr>
                <w:rFonts w:hint="eastAsia"/>
              </w:rPr>
              <w:t>实现技战能力（数据资源全景、审计探索场景、审计工具箱）</w:t>
            </w:r>
          </w:p>
        </w:tc>
        <w:tc>
          <w:tcPr>
            <w:tcW w:w="1309" w:type="pct"/>
            <w:vAlign w:val="center"/>
          </w:tcPr>
          <w:p w:rsidR="00C54B2F" w:rsidRDefault="00A150F9">
            <w:pPr>
              <w:adjustRightInd w:val="0"/>
              <w:snapToGrid w:val="0"/>
            </w:pPr>
            <w:r>
              <w:rPr>
                <w:rFonts w:hint="eastAsia"/>
              </w:rPr>
              <w:t>3</w:t>
            </w:r>
          </w:p>
        </w:tc>
      </w:tr>
      <w:tr w:rsidR="00C54B2F" w:rsidTr="00AF7AC9">
        <w:trPr>
          <w:cantSplit/>
          <w:trHeight w:val="340"/>
          <w:jc w:val="center"/>
        </w:trPr>
        <w:tc>
          <w:tcPr>
            <w:tcW w:w="720" w:type="pct"/>
            <w:vMerge w:val="restart"/>
            <w:vAlign w:val="center"/>
          </w:tcPr>
          <w:p w:rsidR="00C54B2F" w:rsidRDefault="00A150F9">
            <w:r>
              <w:rPr>
                <w:rFonts w:hint="eastAsia"/>
              </w:rPr>
              <w:t>政策</w:t>
            </w:r>
          </w:p>
        </w:tc>
        <w:tc>
          <w:tcPr>
            <w:tcW w:w="727" w:type="pct"/>
            <w:vMerge/>
            <w:vAlign w:val="center"/>
          </w:tcPr>
          <w:p w:rsidR="00C54B2F" w:rsidRDefault="00C54B2F"/>
        </w:tc>
        <w:tc>
          <w:tcPr>
            <w:tcW w:w="2243" w:type="pct"/>
            <w:vAlign w:val="center"/>
          </w:tcPr>
          <w:p w:rsidR="00C54B2F" w:rsidRDefault="00A150F9">
            <w:pPr>
              <w:adjustRightInd w:val="0"/>
              <w:snapToGrid w:val="0"/>
            </w:pPr>
            <w:r>
              <w:rPr>
                <w:rFonts w:hint="eastAsia"/>
              </w:rPr>
              <w:t>系统运行是否符合信创设计要求</w:t>
            </w:r>
          </w:p>
        </w:tc>
        <w:tc>
          <w:tcPr>
            <w:tcW w:w="1309" w:type="pct"/>
            <w:vAlign w:val="center"/>
          </w:tcPr>
          <w:p w:rsidR="00C54B2F" w:rsidRDefault="00A150F9">
            <w:pPr>
              <w:adjustRightInd w:val="0"/>
              <w:snapToGrid w:val="0"/>
            </w:pPr>
            <w:r>
              <w:rPr>
                <w:rFonts w:hint="eastAsia"/>
              </w:rPr>
              <w:t>符合</w:t>
            </w:r>
          </w:p>
        </w:tc>
      </w:tr>
      <w:tr w:rsidR="00C54B2F" w:rsidTr="00AF7AC9">
        <w:trPr>
          <w:cantSplit/>
          <w:trHeight w:val="340"/>
          <w:jc w:val="center"/>
        </w:trPr>
        <w:tc>
          <w:tcPr>
            <w:tcW w:w="720" w:type="pct"/>
            <w:vMerge/>
            <w:vAlign w:val="center"/>
          </w:tcPr>
          <w:p w:rsidR="00C54B2F" w:rsidRDefault="00C54B2F"/>
        </w:tc>
        <w:tc>
          <w:tcPr>
            <w:tcW w:w="727" w:type="pct"/>
            <w:vMerge/>
            <w:vAlign w:val="center"/>
          </w:tcPr>
          <w:p w:rsidR="00C54B2F" w:rsidRDefault="00C54B2F"/>
        </w:tc>
        <w:tc>
          <w:tcPr>
            <w:tcW w:w="2243" w:type="pct"/>
            <w:vAlign w:val="center"/>
          </w:tcPr>
          <w:p w:rsidR="00C54B2F" w:rsidRDefault="00A150F9">
            <w:pPr>
              <w:adjustRightInd w:val="0"/>
              <w:snapToGrid w:val="0"/>
            </w:pPr>
            <w:r>
              <w:rPr>
                <w:rFonts w:hint="eastAsia"/>
              </w:rPr>
              <w:t>系统设计和目标完成度</w:t>
            </w:r>
          </w:p>
        </w:tc>
        <w:tc>
          <w:tcPr>
            <w:tcW w:w="1309" w:type="pct"/>
            <w:vAlign w:val="center"/>
          </w:tcPr>
          <w:p w:rsidR="00C54B2F" w:rsidRDefault="00A150F9">
            <w:pPr>
              <w:adjustRightInd w:val="0"/>
              <w:snapToGrid w:val="0"/>
            </w:pPr>
            <w:r>
              <w:t>100%</w:t>
            </w:r>
          </w:p>
        </w:tc>
      </w:tr>
      <w:tr w:rsidR="00C54B2F" w:rsidTr="00AF7AC9">
        <w:trPr>
          <w:cantSplit/>
          <w:trHeight w:val="340"/>
          <w:jc w:val="center"/>
        </w:trPr>
        <w:tc>
          <w:tcPr>
            <w:tcW w:w="720" w:type="pct"/>
            <w:vMerge/>
            <w:vAlign w:val="center"/>
          </w:tcPr>
          <w:p w:rsidR="00C54B2F" w:rsidRDefault="00C54B2F"/>
        </w:tc>
        <w:tc>
          <w:tcPr>
            <w:tcW w:w="727" w:type="pct"/>
            <w:vAlign w:val="center"/>
          </w:tcPr>
          <w:p w:rsidR="00C54B2F" w:rsidRDefault="00A150F9">
            <w:pPr>
              <w:ind w:firstLineChars="0" w:firstLine="0"/>
            </w:pPr>
            <w:r>
              <w:t>时效指标</w:t>
            </w:r>
          </w:p>
        </w:tc>
        <w:tc>
          <w:tcPr>
            <w:tcW w:w="2243" w:type="pct"/>
            <w:vAlign w:val="center"/>
          </w:tcPr>
          <w:p w:rsidR="00C54B2F" w:rsidRDefault="00A150F9">
            <w:r>
              <w:rPr>
                <w:rFonts w:hint="eastAsia"/>
              </w:rPr>
              <w:t>项目建设期限</w:t>
            </w:r>
          </w:p>
        </w:tc>
        <w:tc>
          <w:tcPr>
            <w:tcW w:w="1309" w:type="pct"/>
            <w:vAlign w:val="center"/>
          </w:tcPr>
          <w:p w:rsidR="00C54B2F" w:rsidRDefault="00A150F9" w:rsidP="00AF7AC9">
            <w:pPr>
              <w:spacing w:line="560" w:lineRule="exact"/>
              <w:ind w:firstLineChars="0" w:firstLine="0"/>
            </w:pPr>
            <w:r>
              <w:rPr>
                <w:rFonts w:hint="eastAsia"/>
              </w:rPr>
              <w:t>自合同签订之日起至2024年12月31日完成项目</w:t>
            </w:r>
            <w:r>
              <w:t>建设</w:t>
            </w:r>
            <w:r>
              <w:rPr>
                <w:rFonts w:hint="eastAsia"/>
              </w:rPr>
              <w:t>并</w:t>
            </w:r>
            <w:r>
              <w:t>通过</w:t>
            </w:r>
            <w:r>
              <w:rPr>
                <w:rFonts w:hint="eastAsia"/>
              </w:rPr>
              <w:t>验收</w:t>
            </w:r>
            <w:r>
              <w:t>，其中</w:t>
            </w:r>
            <w:r>
              <w:rPr>
                <w:rFonts w:hint="eastAsia"/>
              </w:rPr>
              <w:t>包括为期</w:t>
            </w:r>
            <w:r>
              <w:t>一个月的</w:t>
            </w:r>
            <w:r>
              <w:rPr>
                <w:rFonts w:hint="eastAsia"/>
              </w:rPr>
              <w:t>试运行。</w:t>
            </w:r>
          </w:p>
        </w:tc>
      </w:tr>
      <w:tr w:rsidR="00C54B2F" w:rsidTr="00AF7AC9">
        <w:trPr>
          <w:cantSplit/>
          <w:trHeight w:val="340"/>
          <w:jc w:val="center"/>
        </w:trPr>
        <w:tc>
          <w:tcPr>
            <w:tcW w:w="720" w:type="pct"/>
            <w:vMerge/>
            <w:vAlign w:val="center"/>
          </w:tcPr>
          <w:p w:rsidR="00C54B2F" w:rsidRDefault="00C54B2F">
            <w:pPr>
              <w:widowControl/>
              <w:jc w:val="left"/>
              <w:rPr>
                <w:rFonts w:eastAsia="仿宋_GB2312"/>
                <w:bCs/>
              </w:rPr>
            </w:pPr>
          </w:p>
        </w:tc>
        <w:tc>
          <w:tcPr>
            <w:tcW w:w="727" w:type="pct"/>
            <w:vMerge w:val="restart"/>
            <w:vAlign w:val="center"/>
          </w:tcPr>
          <w:p w:rsidR="00C54B2F" w:rsidRDefault="00A150F9">
            <w:pPr>
              <w:ind w:firstLineChars="0" w:firstLine="0"/>
            </w:pPr>
            <w:r>
              <w:t>成本指标</w:t>
            </w:r>
          </w:p>
        </w:tc>
        <w:tc>
          <w:tcPr>
            <w:tcW w:w="2243" w:type="pct"/>
            <w:vAlign w:val="center"/>
          </w:tcPr>
          <w:p w:rsidR="00C54B2F" w:rsidRDefault="00A150F9">
            <w:r>
              <w:rPr>
                <w:rFonts w:hint="eastAsia"/>
              </w:rPr>
              <w:t>预算刚性约束</w:t>
            </w:r>
          </w:p>
        </w:tc>
        <w:tc>
          <w:tcPr>
            <w:tcW w:w="1309" w:type="pct"/>
            <w:vAlign w:val="center"/>
          </w:tcPr>
          <w:p w:rsidR="00C54B2F" w:rsidRDefault="00A150F9">
            <w:pPr>
              <w:jc w:val="left"/>
            </w:pPr>
            <w:r>
              <w:rPr>
                <w:rFonts w:hint="eastAsia"/>
              </w:rPr>
              <w:t>不超批复预算</w:t>
            </w:r>
          </w:p>
        </w:tc>
      </w:tr>
      <w:tr w:rsidR="00C54B2F" w:rsidTr="00AF7AC9">
        <w:trPr>
          <w:cantSplit/>
          <w:trHeight w:val="340"/>
          <w:jc w:val="center"/>
        </w:trPr>
        <w:tc>
          <w:tcPr>
            <w:tcW w:w="720" w:type="pct"/>
            <w:vMerge/>
            <w:vAlign w:val="center"/>
          </w:tcPr>
          <w:p w:rsidR="00C54B2F" w:rsidRDefault="00C54B2F">
            <w:pPr>
              <w:widowControl/>
              <w:jc w:val="left"/>
              <w:rPr>
                <w:rFonts w:eastAsia="仿宋_GB2312"/>
                <w:bCs/>
              </w:rPr>
            </w:pPr>
          </w:p>
        </w:tc>
        <w:tc>
          <w:tcPr>
            <w:tcW w:w="727" w:type="pct"/>
            <w:vMerge/>
            <w:vAlign w:val="center"/>
          </w:tcPr>
          <w:p w:rsidR="00C54B2F" w:rsidRDefault="00C54B2F"/>
        </w:tc>
        <w:tc>
          <w:tcPr>
            <w:tcW w:w="2243" w:type="pct"/>
            <w:vAlign w:val="center"/>
          </w:tcPr>
          <w:p w:rsidR="00C54B2F" w:rsidRDefault="00A150F9">
            <w:pPr>
              <w:adjustRightInd w:val="0"/>
              <w:snapToGrid w:val="0"/>
            </w:pPr>
            <w:r>
              <w:rPr>
                <w:rFonts w:hint="eastAsia"/>
              </w:rPr>
              <w:t>控制成本管理规范性</w:t>
            </w:r>
          </w:p>
        </w:tc>
        <w:tc>
          <w:tcPr>
            <w:tcW w:w="1309" w:type="pct"/>
            <w:vAlign w:val="center"/>
          </w:tcPr>
          <w:p w:rsidR="00C54B2F" w:rsidRDefault="00A150F9">
            <w:pPr>
              <w:adjustRightInd w:val="0"/>
              <w:snapToGrid w:val="0"/>
            </w:pPr>
            <w:r>
              <w:rPr>
                <w:rFonts w:hint="eastAsia"/>
              </w:rPr>
              <w:t>规范</w:t>
            </w:r>
          </w:p>
        </w:tc>
      </w:tr>
    </w:tbl>
    <w:p w:rsidR="00C54B2F" w:rsidRDefault="00C54B2F"/>
    <w:p w:rsidR="00C54B2F" w:rsidRDefault="00A150F9">
      <w:pPr>
        <w:pStyle w:val="3"/>
      </w:pPr>
      <w:r>
        <w:lastRenderedPageBreak/>
        <w:t>技术绩效考核目标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
        <w:gridCol w:w="2336"/>
        <w:gridCol w:w="5046"/>
      </w:tblGrid>
      <w:tr w:rsidR="00C54B2F">
        <w:trPr>
          <w:trHeight w:val="301"/>
        </w:trPr>
        <w:tc>
          <w:tcPr>
            <w:tcW w:w="554" w:type="pct"/>
            <w:shd w:val="clear" w:color="auto" w:fill="auto"/>
            <w:vAlign w:val="center"/>
          </w:tcPr>
          <w:p w:rsidR="00C54B2F" w:rsidRDefault="00A150F9">
            <w:pPr>
              <w:ind w:firstLineChars="0" w:firstLine="0"/>
            </w:pPr>
            <w:r>
              <w:rPr>
                <w:rFonts w:hint="eastAsia"/>
              </w:rPr>
              <w:t>一级指标</w:t>
            </w:r>
          </w:p>
        </w:tc>
        <w:tc>
          <w:tcPr>
            <w:tcW w:w="1407" w:type="pct"/>
            <w:shd w:val="clear" w:color="auto" w:fill="auto"/>
            <w:vAlign w:val="center"/>
          </w:tcPr>
          <w:p w:rsidR="00C54B2F" w:rsidRDefault="00A150F9">
            <w:r>
              <w:rPr>
                <w:rFonts w:hint="eastAsia"/>
              </w:rPr>
              <w:t>二级指标</w:t>
            </w:r>
          </w:p>
        </w:tc>
        <w:tc>
          <w:tcPr>
            <w:tcW w:w="3039" w:type="pct"/>
            <w:shd w:val="clear" w:color="auto" w:fill="auto"/>
            <w:vAlign w:val="center"/>
          </w:tcPr>
          <w:p w:rsidR="00C54B2F" w:rsidRDefault="00A150F9">
            <w:r>
              <w:rPr>
                <w:rFonts w:hint="eastAsia"/>
              </w:rPr>
              <w:t>指标要求</w:t>
            </w:r>
          </w:p>
        </w:tc>
      </w:tr>
      <w:tr w:rsidR="00C54B2F">
        <w:trPr>
          <w:trHeight w:val="58"/>
        </w:trPr>
        <w:tc>
          <w:tcPr>
            <w:tcW w:w="554" w:type="pct"/>
            <w:vMerge w:val="restart"/>
            <w:shd w:val="clear" w:color="auto" w:fill="auto"/>
            <w:vAlign w:val="center"/>
          </w:tcPr>
          <w:p w:rsidR="00C54B2F" w:rsidRDefault="00A150F9">
            <w:pPr>
              <w:ind w:firstLineChars="0" w:firstLine="0"/>
            </w:pPr>
            <w:r>
              <w:rPr>
                <w:rFonts w:hint="eastAsia"/>
              </w:rPr>
              <w:t>技术</w:t>
            </w:r>
            <w:r>
              <w:t>绩效指标</w:t>
            </w:r>
          </w:p>
        </w:tc>
        <w:tc>
          <w:tcPr>
            <w:tcW w:w="1407" w:type="pct"/>
            <w:vMerge w:val="restart"/>
            <w:shd w:val="clear" w:color="auto" w:fill="auto"/>
            <w:vAlign w:val="center"/>
          </w:tcPr>
          <w:p w:rsidR="00C54B2F" w:rsidRDefault="00A150F9">
            <w:r>
              <w:rPr>
                <w:rFonts w:hint="eastAsia"/>
              </w:rPr>
              <w:t>可用性要求</w:t>
            </w:r>
          </w:p>
        </w:tc>
        <w:tc>
          <w:tcPr>
            <w:tcW w:w="3039" w:type="pct"/>
            <w:shd w:val="clear" w:color="auto" w:fill="auto"/>
            <w:vAlign w:val="center"/>
          </w:tcPr>
          <w:p w:rsidR="00C54B2F" w:rsidRDefault="00A150F9">
            <w:r>
              <w:rPr>
                <w:rFonts w:hint="eastAsia"/>
              </w:rPr>
              <w:t>≥</w:t>
            </w:r>
            <w:r>
              <w:t>99</w:t>
            </w:r>
            <w:r>
              <w:rPr>
                <w:rFonts w:hint="eastAsia"/>
              </w:rPr>
              <w:t>．</w:t>
            </w:r>
            <w:r>
              <w:t>9</w:t>
            </w:r>
            <w:r>
              <w:rPr>
                <w:rFonts w:hint="eastAsia"/>
              </w:rPr>
              <w:t>％</w:t>
            </w:r>
            <w:r>
              <w:t>(MTBF(</w:t>
            </w:r>
            <w:r>
              <w:rPr>
                <w:rFonts w:hint="eastAsia"/>
              </w:rPr>
              <w:t>平均无故障工作时间</w:t>
            </w:r>
            <w:r>
              <w:t>)</w:t>
            </w:r>
            <w:r>
              <w:rPr>
                <w:rFonts w:hint="eastAsia"/>
              </w:rPr>
              <w:t>／</w:t>
            </w:r>
            <w:r>
              <w:t>MTBF+MTTR(</w:t>
            </w:r>
            <w:r>
              <w:rPr>
                <w:rFonts w:hint="eastAsia"/>
              </w:rPr>
              <w:t>平均维修时间</w:t>
            </w:r>
            <w:r>
              <w:t>)</w:t>
            </w:r>
          </w:p>
        </w:tc>
      </w:tr>
      <w:tr w:rsidR="00C54B2F">
        <w:trPr>
          <w:trHeight w:val="550"/>
        </w:trPr>
        <w:tc>
          <w:tcPr>
            <w:tcW w:w="554" w:type="pct"/>
            <w:vMerge/>
            <w:shd w:val="clear" w:color="auto" w:fill="auto"/>
            <w:vAlign w:val="center"/>
          </w:tcPr>
          <w:p w:rsidR="00C54B2F" w:rsidRDefault="00C54B2F"/>
        </w:tc>
        <w:tc>
          <w:tcPr>
            <w:tcW w:w="1407" w:type="pct"/>
            <w:vMerge/>
            <w:vAlign w:val="center"/>
          </w:tcPr>
          <w:p w:rsidR="00C54B2F" w:rsidRDefault="00C54B2F"/>
        </w:tc>
        <w:tc>
          <w:tcPr>
            <w:tcW w:w="3039" w:type="pct"/>
            <w:shd w:val="clear" w:color="auto" w:fill="auto"/>
            <w:vAlign w:val="center"/>
          </w:tcPr>
          <w:p w:rsidR="00C54B2F" w:rsidRDefault="00A150F9">
            <w:r>
              <w:rPr>
                <w:rFonts w:hint="eastAsia"/>
              </w:rPr>
              <w:t>平台能够保证7*24小时安全运行，系统有效运行时间99%；具备连续5000小时以上连续运行不关机，不重启，不宕机；系统故障平均间隔时间：&gt;100天；</w:t>
            </w:r>
          </w:p>
        </w:tc>
      </w:tr>
      <w:tr w:rsidR="00C54B2F">
        <w:trPr>
          <w:trHeight w:val="773"/>
        </w:trPr>
        <w:tc>
          <w:tcPr>
            <w:tcW w:w="554" w:type="pct"/>
            <w:vMerge/>
            <w:vAlign w:val="center"/>
          </w:tcPr>
          <w:p w:rsidR="00C54B2F" w:rsidRDefault="00C54B2F"/>
        </w:tc>
        <w:tc>
          <w:tcPr>
            <w:tcW w:w="1407" w:type="pct"/>
            <w:shd w:val="clear" w:color="auto" w:fill="auto"/>
            <w:vAlign w:val="center"/>
          </w:tcPr>
          <w:p w:rsidR="00C54B2F" w:rsidRDefault="00A150F9">
            <w:r>
              <w:rPr>
                <w:rFonts w:hint="eastAsia"/>
              </w:rPr>
              <w:t>可靠性指标</w:t>
            </w:r>
          </w:p>
        </w:tc>
        <w:tc>
          <w:tcPr>
            <w:tcW w:w="3039" w:type="pct"/>
            <w:shd w:val="clear" w:color="auto" w:fill="auto"/>
            <w:vAlign w:val="center"/>
          </w:tcPr>
          <w:p w:rsidR="00C54B2F" w:rsidRDefault="00A150F9">
            <w:r>
              <w:rPr>
                <w:rFonts w:hint="eastAsia"/>
              </w:rPr>
              <w:t>系统需具备</w:t>
            </w:r>
            <w:r>
              <w:t>7*24</w:t>
            </w:r>
            <w:r>
              <w:rPr>
                <w:rFonts w:hint="eastAsia"/>
              </w:rPr>
              <w:t>小时连续服务的能力。在连续正常负荷运行过程中，系统不会出现响应性能和响应能力下降、资源占用显著增加等现象。</w:t>
            </w:r>
          </w:p>
        </w:tc>
      </w:tr>
      <w:tr w:rsidR="00C54B2F">
        <w:trPr>
          <w:trHeight w:val="1244"/>
        </w:trPr>
        <w:tc>
          <w:tcPr>
            <w:tcW w:w="554" w:type="pct"/>
            <w:vMerge/>
            <w:vAlign w:val="center"/>
          </w:tcPr>
          <w:p w:rsidR="00C54B2F" w:rsidRDefault="00C54B2F"/>
        </w:tc>
        <w:tc>
          <w:tcPr>
            <w:tcW w:w="1407" w:type="pct"/>
            <w:shd w:val="clear" w:color="auto" w:fill="auto"/>
            <w:vAlign w:val="center"/>
          </w:tcPr>
          <w:p w:rsidR="00C54B2F" w:rsidRDefault="00A150F9">
            <w:r>
              <w:rPr>
                <w:rFonts w:hint="eastAsia"/>
              </w:rPr>
              <w:t>安全指标</w:t>
            </w:r>
          </w:p>
        </w:tc>
        <w:tc>
          <w:tcPr>
            <w:tcW w:w="3039" w:type="pct"/>
            <w:shd w:val="clear" w:color="auto" w:fill="auto"/>
            <w:vAlign w:val="center"/>
          </w:tcPr>
          <w:p w:rsidR="00C54B2F" w:rsidRDefault="00A150F9">
            <w:r>
              <w:rPr>
                <w:rFonts w:hint="eastAsia"/>
              </w:rPr>
              <w:t>本项目的总体安全管理体系需要达到等级保护三级保护要求，须全方位、多层次地从技术、管理等方面进行全面的安全设计和建设，综合采用覆盖安全保障各个环节的防护、检测、响应和恢复等多种安全措施和手段，对系统进行动态的、综合的保护。</w:t>
            </w:r>
          </w:p>
        </w:tc>
      </w:tr>
      <w:tr w:rsidR="00C54B2F">
        <w:trPr>
          <w:trHeight w:val="770"/>
        </w:trPr>
        <w:tc>
          <w:tcPr>
            <w:tcW w:w="554" w:type="pct"/>
            <w:vMerge/>
            <w:vAlign w:val="center"/>
          </w:tcPr>
          <w:p w:rsidR="00C54B2F" w:rsidRDefault="00C54B2F"/>
        </w:tc>
        <w:tc>
          <w:tcPr>
            <w:tcW w:w="1407" w:type="pct"/>
            <w:shd w:val="clear" w:color="auto" w:fill="auto"/>
            <w:vAlign w:val="center"/>
          </w:tcPr>
          <w:p w:rsidR="00C54B2F" w:rsidRDefault="00A150F9">
            <w:r>
              <w:rPr>
                <w:rFonts w:hint="eastAsia"/>
              </w:rPr>
              <w:t>在线用户数和并发数</w:t>
            </w:r>
          </w:p>
        </w:tc>
        <w:tc>
          <w:tcPr>
            <w:tcW w:w="3039" w:type="pct"/>
            <w:shd w:val="clear" w:color="auto" w:fill="auto"/>
            <w:vAlign w:val="center"/>
          </w:tcPr>
          <w:p w:rsidR="00C54B2F" w:rsidRDefault="00A150F9">
            <w:r>
              <w:rPr>
                <w:rFonts w:hint="eastAsia"/>
              </w:rPr>
              <w:t>支持同时在线用户数5</w:t>
            </w:r>
            <w:r>
              <w:t>0个以上，并发用户数10个以上</w:t>
            </w:r>
            <w:r>
              <w:rPr>
                <w:rFonts w:hint="eastAsia"/>
              </w:rPr>
              <w:t>。</w:t>
            </w:r>
          </w:p>
        </w:tc>
      </w:tr>
      <w:tr w:rsidR="00C54B2F">
        <w:trPr>
          <w:trHeight w:val="1244"/>
        </w:trPr>
        <w:tc>
          <w:tcPr>
            <w:tcW w:w="554" w:type="pct"/>
            <w:vMerge/>
            <w:vAlign w:val="center"/>
          </w:tcPr>
          <w:p w:rsidR="00C54B2F" w:rsidRDefault="00C54B2F"/>
        </w:tc>
        <w:tc>
          <w:tcPr>
            <w:tcW w:w="1407" w:type="pct"/>
            <w:shd w:val="clear" w:color="auto" w:fill="auto"/>
            <w:vAlign w:val="center"/>
          </w:tcPr>
          <w:p w:rsidR="00C54B2F" w:rsidRDefault="00A150F9">
            <w:r>
              <w:rPr>
                <w:rFonts w:hint="eastAsia"/>
              </w:rPr>
              <w:t>其他性能指标</w:t>
            </w:r>
          </w:p>
        </w:tc>
        <w:tc>
          <w:tcPr>
            <w:tcW w:w="3039" w:type="pct"/>
            <w:shd w:val="clear" w:color="auto" w:fill="auto"/>
            <w:vAlign w:val="center"/>
          </w:tcPr>
          <w:p w:rsidR="00C54B2F" w:rsidRDefault="00A150F9">
            <w:r>
              <w:rPr>
                <w:rFonts w:hint="eastAsia"/>
              </w:rPr>
              <w:t>1.普通业务操作响应时间：5秒内</w:t>
            </w:r>
          </w:p>
          <w:p w:rsidR="00C54B2F" w:rsidRDefault="00A150F9">
            <w:r>
              <w:rPr>
                <w:rFonts w:hint="eastAsia"/>
              </w:rPr>
              <w:t>2.万级数据量查询响应时间：8秒内</w:t>
            </w:r>
          </w:p>
          <w:p w:rsidR="00C54B2F" w:rsidRDefault="00A150F9">
            <w:r>
              <w:rPr>
                <w:rFonts w:hint="eastAsia"/>
              </w:rPr>
              <w:t>3.百万级数据量查询响应时间：10秒内</w:t>
            </w:r>
          </w:p>
          <w:p w:rsidR="00C54B2F" w:rsidRDefault="00A150F9">
            <w:r>
              <w:rPr>
                <w:rFonts w:hint="eastAsia"/>
              </w:rPr>
              <w:t>4.千万级别数据量查询响应时间：20秒内</w:t>
            </w:r>
          </w:p>
        </w:tc>
      </w:tr>
    </w:tbl>
    <w:p w:rsidR="00C54B2F" w:rsidRDefault="00C54B2F"/>
    <w:p w:rsidR="00C54B2F" w:rsidRDefault="00A150F9">
      <w:pPr>
        <w:pStyle w:val="1"/>
      </w:pPr>
      <w:bookmarkStart w:id="11" w:name="_Toc47536676"/>
      <w:bookmarkStart w:id="12" w:name="_Toc47532923"/>
      <w:bookmarkStart w:id="13" w:name="_Toc47536304"/>
      <w:bookmarkStart w:id="14" w:name="_Toc47533288"/>
      <w:bookmarkStart w:id="15" w:name="_Toc47537166"/>
      <w:bookmarkStart w:id="16" w:name="_Toc47539102"/>
      <w:bookmarkEnd w:id="11"/>
      <w:bookmarkEnd w:id="12"/>
      <w:bookmarkEnd w:id="13"/>
      <w:bookmarkEnd w:id="14"/>
      <w:bookmarkEnd w:id="15"/>
      <w:bookmarkEnd w:id="16"/>
      <w:r>
        <w:rPr>
          <w:rFonts w:hint="eastAsia"/>
        </w:rPr>
        <w:lastRenderedPageBreak/>
        <w:t>项目建设内容</w:t>
      </w:r>
    </w:p>
    <w:p w:rsidR="00C54B2F" w:rsidRDefault="00A150F9">
      <w:pPr>
        <w:pStyle w:val="3"/>
      </w:pPr>
      <w:r>
        <w:rPr>
          <w:rFonts w:hint="eastAsia"/>
        </w:rPr>
        <w:t>软件开发清单：</w:t>
      </w:r>
    </w:p>
    <w:tbl>
      <w:tblPr>
        <w:tblW w:w="8300" w:type="dxa"/>
        <w:tblInd w:w="113" w:type="dxa"/>
        <w:tblLook w:val="04A0" w:firstRow="1" w:lastRow="0" w:firstColumn="1" w:lastColumn="0" w:noHBand="0" w:noVBand="1"/>
      </w:tblPr>
      <w:tblGrid>
        <w:gridCol w:w="960"/>
        <w:gridCol w:w="1640"/>
        <w:gridCol w:w="1300"/>
        <w:gridCol w:w="4400"/>
      </w:tblGrid>
      <w:tr w:rsidR="00C54B2F">
        <w:trPr>
          <w:trHeight w:val="288"/>
        </w:trPr>
        <w:tc>
          <w:tcPr>
            <w:tcW w:w="960" w:type="dxa"/>
            <w:tcBorders>
              <w:top w:val="single" w:sz="4" w:space="0" w:color="auto"/>
              <w:left w:val="single" w:sz="4" w:space="0" w:color="auto"/>
              <w:bottom w:val="single" w:sz="4" w:space="0" w:color="auto"/>
              <w:right w:val="single" w:sz="4" w:space="0" w:color="auto"/>
            </w:tcBorders>
            <w:shd w:val="clear" w:color="000000" w:fill="F3F8FC"/>
            <w:noWrap/>
            <w:vAlign w:val="center"/>
          </w:tcPr>
          <w:p w:rsidR="00C54B2F" w:rsidRDefault="00A150F9">
            <w:pPr>
              <w:widowControl/>
              <w:spacing w:line="240" w:lineRule="auto"/>
              <w:ind w:firstLineChars="0" w:firstLine="0"/>
              <w:jc w:val="center"/>
              <w:rPr>
                <w:rFonts w:cs="宋体"/>
                <w:b/>
                <w:bCs/>
                <w:kern w:val="0"/>
                <w:sz w:val="22"/>
                <w:szCs w:val="22"/>
              </w:rPr>
            </w:pPr>
            <w:r>
              <w:rPr>
                <w:rFonts w:cs="宋体" w:hint="eastAsia"/>
                <w:b/>
                <w:bCs/>
                <w:kern w:val="0"/>
                <w:sz w:val="22"/>
                <w:szCs w:val="22"/>
              </w:rPr>
              <w:t>序号</w:t>
            </w:r>
          </w:p>
        </w:tc>
        <w:tc>
          <w:tcPr>
            <w:tcW w:w="1640" w:type="dxa"/>
            <w:tcBorders>
              <w:top w:val="single" w:sz="4" w:space="0" w:color="auto"/>
              <w:left w:val="nil"/>
              <w:bottom w:val="single" w:sz="4" w:space="0" w:color="auto"/>
              <w:right w:val="single" w:sz="4" w:space="0" w:color="auto"/>
            </w:tcBorders>
            <w:shd w:val="clear" w:color="000000" w:fill="F3F8FC"/>
            <w:noWrap/>
            <w:vAlign w:val="center"/>
          </w:tcPr>
          <w:p w:rsidR="00C54B2F" w:rsidRDefault="00A150F9">
            <w:pPr>
              <w:widowControl/>
              <w:spacing w:line="240" w:lineRule="auto"/>
              <w:ind w:firstLineChars="0" w:firstLine="0"/>
              <w:jc w:val="center"/>
              <w:rPr>
                <w:rFonts w:cs="宋体"/>
                <w:b/>
                <w:bCs/>
                <w:kern w:val="0"/>
                <w:sz w:val="22"/>
                <w:szCs w:val="22"/>
              </w:rPr>
            </w:pPr>
            <w:r>
              <w:rPr>
                <w:rFonts w:cs="宋体" w:hint="eastAsia"/>
                <w:b/>
                <w:bCs/>
                <w:kern w:val="0"/>
                <w:sz w:val="22"/>
                <w:szCs w:val="22"/>
              </w:rPr>
              <w:t>模块名称</w:t>
            </w:r>
          </w:p>
        </w:tc>
        <w:tc>
          <w:tcPr>
            <w:tcW w:w="1300" w:type="dxa"/>
            <w:tcBorders>
              <w:top w:val="single" w:sz="4" w:space="0" w:color="auto"/>
              <w:left w:val="nil"/>
              <w:bottom w:val="single" w:sz="4" w:space="0" w:color="auto"/>
              <w:right w:val="single" w:sz="4" w:space="0" w:color="auto"/>
            </w:tcBorders>
            <w:shd w:val="clear" w:color="000000" w:fill="F3F8FC"/>
            <w:noWrap/>
            <w:vAlign w:val="center"/>
          </w:tcPr>
          <w:p w:rsidR="00C54B2F" w:rsidRDefault="00A150F9">
            <w:pPr>
              <w:widowControl/>
              <w:spacing w:line="240" w:lineRule="auto"/>
              <w:ind w:firstLineChars="0" w:firstLine="0"/>
              <w:jc w:val="center"/>
              <w:rPr>
                <w:rFonts w:cs="宋体"/>
                <w:b/>
                <w:bCs/>
                <w:kern w:val="0"/>
                <w:sz w:val="22"/>
                <w:szCs w:val="22"/>
              </w:rPr>
            </w:pPr>
            <w:r>
              <w:rPr>
                <w:rFonts w:cs="宋体" w:hint="eastAsia"/>
                <w:b/>
                <w:bCs/>
                <w:kern w:val="0"/>
                <w:sz w:val="22"/>
                <w:szCs w:val="22"/>
              </w:rPr>
              <w:t>功能名称</w:t>
            </w:r>
          </w:p>
        </w:tc>
        <w:tc>
          <w:tcPr>
            <w:tcW w:w="4400" w:type="dxa"/>
            <w:tcBorders>
              <w:top w:val="single" w:sz="4" w:space="0" w:color="auto"/>
              <w:left w:val="nil"/>
              <w:bottom w:val="single" w:sz="4" w:space="0" w:color="auto"/>
              <w:right w:val="single" w:sz="4" w:space="0" w:color="auto"/>
            </w:tcBorders>
            <w:shd w:val="clear" w:color="000000" w:fill="F3F8FC"/>
            <w:vAlign w:val="center"/>
          </w:tcPr>
          <w:p w:rsidR="00C54B2F" w:rsidRDefault="00A150F9">
            <w:pPr>
              <w:widowControl/>
              <w:spacing w:line="240" w:lineRule="auto"/>
              <w:ind w:firstLineChars="0" w:firstLine="0"/>
              <w:jc w:val="center"/>
              <w:rPr>
                <w:rFonts w:cs="宋体"/>
                <w:b/>
                <w:bCs/>
                <w:kern w:val="0"/>
                <w:sz w:val="22"/>
                <w:szCs w:val="22"/>
              </w:rPr>
            </w:pPr>
            <w:r>
              <w:rPr>
                <w:rFonts w:cs="宋体" w:hint="eastAsia"/>
                <w:b/>
                <w:bCs/>
                <w:kern w:val="0"/>
                <w:sz w:val="22"/>
                <w:szCs w:val="22"/>
              </w:rPr>
              <w:t>功能描述</w:t>
            </w:r>
          </w:p>
        </w:tc>
      </w:tr>
      <w:tr w:rsidR="00C54B2F">
        <w:trPr>
          <w:trHeight w:val="1932"/>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1</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统一门户</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首页</w:t>
            </w:r>
            <w:r>
              <w:rPr>
                <w:rFonts w:ascii="Tahoma" w:eastAsia="等线" w:hAnsi="Tahoma" w:cs="Tahoma"/>
                <w:kern w:val="0"/>
                <w:sz w:val="22"/>
                <w:szCs w:val="22"/>
              </w:rPr>
              <w:t>-</w:t>
            </w:r>
            <w:r>
              <w:rPr>
                <w:rFonts w:ascii="Tahoma" w:eastAsia="等线" w:hAnsi="Tahoma" w:cs="Tahoma"/>
                <w:kern w:val="0"/>
                <w:sz w:val="22"/>
                <w:szCs w:val="22"/>
              </w:rPr>
              <w:t>趋势看板</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用户可以查询数据表变化情况，企业变动等分析图表。根据领导和审计人员，提供不同的趋势查看功能。趋势看板主要应用于中屏内容展示，指标数据要围绕数据资产进行设计，重点要凸显数据整体情况，如果一页内容不够简约，可以使用展开子页面或者下钻明细表的方式进行补充描述。</w:t>
            </w:r>
          </w:p>
        </w:tc>
      </w:tr>
      <w:tr w:rsidR="00C54B2F">
        <w:trPr>
          <w:trHeight w:val="552"/>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2</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统一门户</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首页</w:t>
            </w:r>
            <w:r>
              <w:rPr>
                <w:rFonts w:ascii="Tahoma" w:eastAsia="等线" w:hAnsi="Tahoma" w:cs="Tahoma"/>
                <w:kern w:val="0"/>
                <w:sz w:val="22"/>
                <w:szCs w:val="22"/>
              </w:rPr>
              <w:t>-</w:t>
            </w:r>
            <w:r>
              <w:rPr>
                <w:rFonts w:ascii="Tahoma" w:eastAsia="等线" w:hAnsi="Tahoma" w:cs="Tahoma"/>
                <w:kern w:val="0"/>
                <w:sz w:val="22"/>
                <w:szCs w:val="22"/>
              </w:rPr>
              <w:t>资源全景</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支持用户查看整个数据资源中心，提供查询、页面展示功能。</w:t>
            </w:r>
          </w:p>
        </w:tc>
      </w:tr>
      <w:tr w:rsidR="00C54B2F">
        <w:trPr>
          <w:trHeight w:val="1104"/>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3</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统一门户</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首页</w:t>
            </w:r>
            <w:r>
              <w:rPr>
                <w:rFonts w:ascii="Tahoma" w:eastAsia="等线" w:hAnsi="Tahoma" w:cs="Tahoma"/>
                <w:kern w:val="0"/>
                <w:sz w:val="22"/>
                <w:szCs w:val="22"/>
              </w:rPr>
              <w:t>-</w:t>
            </w:r>
            <w:r>
              <w:rPr>
                <w:rFonts w:ascii="Tahoma" w:eastAsia="等线" w:hAnsi="Tahoma" w:cs="Tahoma"/>
                <w:kern w:val="0"/>
                <w:sz w:val="22"/>
                <w:szCs w:val="22"/>
              </w:rPr>
              <w:t>个人看板</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查看自己生成的报告、已完成工作项和待完成工作项。对于不同角色的用户提供个性化的看板内容，指标内容可以是数据资产，也可以是业务方向，或者整个平台的使用情况。</w:t>
            </w:r>
          </w:p>
        </w:tc>
      </w:tr>
      <w:tr w:rsidR="00C54B2F">
        <w:trPr>
          <w:trHeight w:val="1104"/>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4</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统一门户</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首页</w:t>
            </w:r>
            <w:r>
              <w:rPr>
                <w:rFonts w:ascii="Tahoma" w:eastAsia="等线" w:hAnsi="Tahoma" w:cs="Tahoma"/>
                <w:kern w:val="0"/>
                <w:sz w:val="22"/>
                <w:szCs w:val="22"/>
              </w:rPr>
              <w:t>-</w:t>
            </w:r>
            <w:r>
              <w:rPr>
                <w:rFonts w:ascii="Tahoma" w:eastAsia="等线" w:hAnsi="Tahoma" w:cs="Tahoma"/>
                <w:kern w:val="0"/>
                <w:sz w:val="22"/>
                <w:szCs w:val="22"/>
              </w:rPr>
              <w:t>帮助中心</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支持用户在帮助中心里面查询常见的数据问题和功能操作手册。运维人员需要在帮助中心里上传、更新支持类文档、操作手册、相关工作依据、安全说明等内容。</w:t>
            </w:r>
          </w:p>
        </w:tc>
      </w:tr>
      <w:tr w:rsidR="00C54B2F">
        <w:trPr>
          <w:trHeight w:val="1380"/>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5</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统一门户</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一站式搜索</w:t>
            </w:r>
            <w:r>
              <w:rPr>
                <w:rFonts w:ascii="Tahoma" w:eastAsia="等线" w:hAnsi="Tahoma" w:cs="Tahoma"/>
                <w:kern w:val="0"/>
                <w:sz w:val="22"/>
                <w:szCs w:val="22"/>
              </w:rPr>
              <w:t>-</w:t>
            </w:r>
            <w:r>
              <w:rPr>
                <w:rFonts w:ascii="Tahoma" w:eastAsia="等线" w:hAnsi="Tahoma" w:cs="Tahoma"/>
                <w:kern w:val="0"/>
                <w:sz w:val="22"/>
                <w:szCs w:val="22"/>
              </w:rPr>
              <w:t>便捷查询悬浮窗</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便捷查询悬浮窗是为了方便用户在浏览页面的同时进行查询，无需跳转到查询页面再进行操作。在本项目的企业查询页面上添加便捷查询悬浮窗，在悬浮窗中支持企业关键字搜索等，用户可以通过查询悬浮窗进行快速查询。</w:t>
            </w:r>
          </w:p>
        </w:tc>
      </w:tr>
      <w:tr w:rsidR="00C54B2F">
        <w:trPr>
          <w:trHeight w:val="1380"/>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6</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统一门户</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一站式搜索</w:t>
            </w:r>
            <w:r>
              <w:rPr>
                <w:rFonts w:ascii="Tahoma" w:eastAsia="等线" w:hAnsi="Tahoma" w:cs="Tahoma"/>
                <w:kern w:val="0"/>
                <w:sz w:val="22"/>
                <w:szCs w:val="22"/>
              </w:rPr>
              <w:t>-</w:t>
            </w:r>
            <w:r>
              <w:rPr>
                <w:rFonts w:ascii="Tahoma" w:eastAsia="等线" w:hAnsi="Tahoma" w:cs="Tahoma"/>
                <w:kern w:val="0"/>
                <w:sz w:val="22"/>
                <w:szCs w:val="22"/>
              </w:rPr>
              <w:t>检索历史，清空检索历史</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在本项目的企业查询页面上添加检索历史记录，用户可以方便快捷地查看自己的查询历史。同时，为了节省系统空间，我们可在右侧添加清空检索历史记录的功能，用户可以灵活地管理自己的查询记录。</w:t>
            </w:r>
          </w:p>
        </w:tc>
      </w:tr>
      <w:tr w:rsidR="00C54B2F">
        <w:trPr>
          <w:trHeight w:val="1380"/>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7</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统一门户</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一站式搜索</w:t>
            </w:r>
            <w:r>
              <w:rPr>
                <w:rFonts w:ascii="Tahoma" w:eastAsia="等线" w:hAnsi="Tahoma" w:cs="Tahoma"/>
                <w:kern w:val="0"/>
                <w:sz w:val="22"/>
                <w:szCs w:val="22"/>
              </w:rPr>
              <w:t>-</w:t>
            </w:r>
            <w:r>
              <w:rPr>
                <w:rFonts w:ascii="Tahoma" w:eastAsia="等线" w:hAnsi="Tahoma" w:cs="Tahoma"/>
                <w:kern w:val="0"/>
                <w:sz w:val="22"/>
                <w:szCs w:val="22"/>
              </w:rPr>
              <w:t>增加标签的搜索条件</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为了方便用户进行查询和检索，需要在本项目的企业查询页面上增加标签的搜索条件。标签是按照一定的规则对企业进行分类的，通过增加标签的搜索条件，用户可以更加准确地查找到自己需要的企业信息。</w:t>
            </w:r>
          </w:p>
        </w:tc>
      </w:tr>
      <w:tr w:rsidR="00C54B2F">
        <w:trPr>
          <w:trHeight w:val="1104"/>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8</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统一门户</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审计工作台</w:t>
            </w:r>
            <w:r>
              <w:rPr>
                <w:rFonts w:ascii="Tahoma" w:eastAsia="等线" w:hAnsi="Tahoma" w:cs="Tahoma"/>
                <w:kern w:val="0"/>
                <w:sz w:val="22"/>
                <w:szCs w:val="22"/>
              </w:rPr>
              <w:t>-</w:t>
            </w:r>
            <w:r>
              <w:rPr>
                <w:rFonts w:ascii="Tahoma" w:eastAsia="等线" w:hAnsi="Tahoma" w:cs="Tahoma"/>
                <w:kern w:val="0"/>
                <w:sz w:val="22"/>
                <w:szCs w:val="22"/>
              </w:rPr>
              <w:t>收藏</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收藏夹为满足用户提供收藏主体单位的需求，在浏览企业列表时，对需要关注的企业点击收藏即可添加。支持移除收藏。收藏企</w:t>
            </w:r>
            <w:r>
              <w:rPr>
                <w:rFonts w:ascii="Tahoma" w:eastAsia="等线" w:hAnsi="Tahoma" w:cs="Tahoma"/>
                <w:kern w:val="0"/>
                <w:sz w:val="22"/>
                <w:szCs w:val="22"/>
              </w:rPr>
              <w:lastRenderedPageBreak/>
              <w:t>业名称可以多选，然后带入到关联分析的功能模块中。</w:t>
            </w:r>
          </w:p>
        </w:tc>
      </w:tr>
      <w:tr w:rsidR="00C54B2F">
        <w:trPr>
          <w:trHeight w:val="828"/>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9</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统一门户</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审计工作台</w:t>
            </w:r>
            <w:r>
              <w:rPr>
                <w:rFonts w:ascii="Tahoma" w:eastAsia="等线" w:hAnsi="Tahoma" w:cs="Tahoma"/>
                <w:kern w:val="0"/>
                <w:sz w:val="22"/>
                <w:szCs w:val="22"/>
              </w:rPr>
              <w:t>-</w:t>
            </w:r>
            <w:r>
              <w:rPr>
                <w:rFonts w:ascii="Tahoma" w:eastAsia="等线" w:hAnsi="Tahoma" w:cs="Tahoma"/>
                <w:kern w:val="0"/>
                <w:sz w:val="22"/>
                <w:szCs w:val="22"/>
              </w:rPr>
              <w:t>报告</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素材内容：通过分析平台产生的结果，存储在工作台的素材内容中，素材的格式分为图像、表格、文本。</w:t>
            </w:r>
          </w:p>
        </w:tc>
      </w:tr>
      <w:tr w:rsidR="00C54B2F">
        <w:trPr>
          <w:trHeight w:val="1380"/>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10</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统一门户</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审计工作台</w:t>
            </w:r>
            <w:r>
              <w:rPr>
                <w:rFonts w:ascii="Tahoma" w:eastAsia="等线" w:hAnsi="Tahoma" w:cs="Tahoma"/>
                <w:kern w:val="0"/>
                <w:sz w:val="22"/>
                <w:szCs w:val="22"/>
              </w:rPr>
              <w:t>-</w:t>
            </w:r>
            <w:r>
              <w:rPr>
                <w:rFonts w:ascii="Tahoma" w:eastAsia="等线" w:hAnsi="Tahoma" w:cs="Tahoma"/>
                <w:kern w:val="0"/>
                <w:sz w:val="22"/>
                <w:szCs w:val="22"/>
              </w:rPr>
              <w:t>线索总览</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审计人员对线索需要有一个直观的总体认知，根据审计项目和审计场景的分析查证的结果也需要进行统计分析，支持如统计分析线索总量，已处置线索总量，已忽略线索总量不同维度的多个指标，反映线索的变动情况。</w:t>
            </w:r>
          </w:p>
        </w:tc>
      </w:tr>
      <w:tr w:rsidR="00C54B2F">
        <w:trPr>
          <w:trHeight w:val="1380"/>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11</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数据资源全景</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资产一张图</w:t>
            </w:r>
            <w:r>
              <w:rPr>
                <w:rFonts w:ascii="Tahoma" w:eastAsia="等线" w:hAnsi="Tahoma" w:cs="Tahoma"/>
                <w:kern w:val="0"/>
                <w:sz w:val="22"/>
                <w:szCs w:val="22"/>
              </w:rPr>
              <w:t>-</w:t>
            </w:r>
            <w:r>
              <w:rPr>
                <w:rFonts w:ascii="Tahoma" w:eastAsia="等线" w:hAnsi="Tahoma" w:cs="Tahoma"/>
                <w:kern w:val="0"/>
                <w:sz w:val="22"/>
                <w:szCs w:val="22"/>
              </w:rPr>
              <w:t>展现数据接入、治理、应用情况等内容</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以可视化大图方式展现数据接入、治理、应用情况，供相关领导及业务人员对系统当前所应用数据及数据接入趋势做整体把控。</w:t>
            </w:r>
          </w:p>
        </w:tc>
      </w:tr>
      <w:tr w:rsidR="00C54B2F">
        <w:trPr>
          <w:trHeight w:val="828"/>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12</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数据资源全景</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数据资源管理</w:t>
            </w:r>
            <w:r>
              <w:rPr>
                <w:rFonts w:ascii="Tahoma" w:eastAsia="等线" w:hAnsi="Tahoma" w:cs="Tahoma"/>
                <w:kern w:val="0"/>
                <w:sz w:val="22"/>
                <w:szCs w:val="22"/>
              </w:rPr>
              <w:t>-</w:t>
            </w:r>
            <w:r>
              <w:rPr>
                <w:rFonts w:ascii="Tahoma" w:eastAsia="等线" w:hAnsi="Tahoma" w:cs="Tahoma"/>
                <w:kern w:val="0"/>
                <w:sz w:val="22"/>
                <w:szCs w:val="22"/>
              </w:rPr>
              <w:t>资产目录管理</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提供全量数据表及表结构查询功能。通过树状组织结构对所有数据表进行归类汇总，方便用户快速查询浏览。</w:t>
            </w:r>
          </w:p>
        </w:tc>
      </w:tr>
      <w:tr w:rsidR="00C54B2F">
        <w:trPr>
          <w:trHeight w:val="828"/>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13</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数据资源全景</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数据资源管理</w:t>
            </w:r>
            <w:r>
              <w:rPr>
                <w:rFonts w:ascii="Tahoma" w:eastAsia="等线" w:hAnsi="Tahoma" w:cs="Tahoma"/>
                <w:kern w:val="0"/>
                <w:sz w:val="22"/>
                <w:szCs w:val="22"/>
              </w:rPr>
              <w:t>-</w:t>
            </w:r>
            <w:r>
              <w:rPr>
                <w:rFonts w:ascii="Tahoma" w:eastAsia="等线" w:hAnsi="Tahoma" w:cs="Tahoma"/>
                <w:kern w:val="0"/>
                <w:sz w:val="22"/>
                <w:szCs w:val="22"/>
              </w:rPr>
              <w:t>资源展示配置</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支持用户配置资源在页面上展示的宽度、顺序、是否展示等内容，从而更灵活的根据实际业务需求使用产品。</w:t>
            </w:r>
          </w:p>
        </w:tc>
      </w:tr>
      <w:tr w:rsidR="00C54B2F">
        <w:trPr>
          <w:trHeight w:val="1104"/>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14</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数据资源全景</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数据资源管理</w:t>
            </w:r>
            <w:r>
              <w:rPr>
                <w:rFonts w:ascii="Tahoma" w:eastAsia="等线" w:hAnsi="Tahoma" w:cs="Tahoma"/>
                <w:kern w:val="0"/>
                <w:sz w:val="22"/>
                <w:szCs w:val="22"/>
              </w:rPr>
              <w:t>-</w:t>
            </w:r>
            <w:r>
              <w:rPr>
                <w:rFonts w:ascii="Tahoma" w:eastAsia="等线" w:hAnsi="Tahoma" w:cs="Tahoma"/>
                <w:kern w:val="0"/>
                <w:sz w:val="22"/>
                <w:szCs w:val="22"/>
              </w:rPr>
              <w:t>数据字典映射</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支持对数据进行数据字典映射和业务字典管理，支持创建业务字典项、修改业务字典项、删除业务字典项、导入业务字典、导入业务字典。</w:t>
            </w:r>
          </w:p>
        </w:tc>
      </w:tr>
      <w:tr w:rsidR="00C54B2F">
        <w:trPr>
          <w:trHeight w:val="1104"/>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15</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数据资源全景</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数据资源管理</w:t>
            </w:r>
            <w:r>
              <w:rPr>
                <w:rFonts w:ascii="Tahoma" w:eastAsia="等线" w:hAnsi="Tahoma" w:cs="Tahoma"/>
                <w:kern w:val="0"/>
                <w:sz w:val="22"/>
                <w:szCs w:val="22"/>
              </w:rPr>
              <w:t>-</w:t>
            </w:r>
            <w:r>
              <w:rPr>
                <w:rFonts w:ascii="Tahoma" w:eastAsia="等线" w:hAnsi="Tahoma" w:cs="Tahoma"/>
                <w:kern w:val="0"/>
                <w:sz w:val="22"/>
                <w:szCs w:val="22"/>
              </w:rPr>
              <w:t>模型授权配置</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支持用户在权限范围内维护表模型授权，支持配置项管理，涉及增、删、改、查配置项，从而更方便高效的管理表模型。能够一次为一张表单选择多个用户进行授权。</w:t>
            </w:r>
          </w:p>
        </w:tc>
      </w:tr>
      <w:tr w:rsidR="00C54B2F">
        <w:trPr>
          <w:trHeight w:val="828"/>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16</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数据资源全景</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数据资源管理</w:t>
            </w:r>
            <w:r>
              <w:rPr>
                <w:rFonts w:ascii="Tahoma" w:eastAsia="等线" w:hAnsi="Tahoma" w:cs="Tahoma"/>
                <w:kern w:val="0"/>
                <w:sz w:val="22"/>
                <w:szCs w:val="22"/>
              </w:rPr>
              <w:t>-</w:t>
            </w:r>
            <w:r>
              <w:rPr>
                <w:rFonts w:ascii="Tahoma" w:eastAsia="等线" w:hAnsi="Tahoma" w:cs="Tahoma"/>
                <w:kern w:val="0"/>
                <w:sz w:val="22"/>
                <w:szCs w:val="22"/>
              </w:rPr>
              <w:t>批量列授权配置</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支持用户针对同类型对象进行批量列授权配置（一次选多个，并可以配置查询条件、展示方式等），从而提高用户的工作效率。</w:t>
            </w:r>
          </w:p>
        </w:tc>
      </w:tr>
      <w:tr w:rsidR="00C54B2F">
        <w:trPr>
          <w:trHeight w:val="1104"/>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17</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数据资源全景</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数据资源管理</w:t>
            </w:r>
            <w:r>
              <w:rPr>
                <w:rFonts w:ascii="Tahoma" w:eastAsia="等线" w:hAnsi="Tahoma" w:cs="Tahoma"/>
                <w:kern w:val="0"/>
                <w:sz w:val="22"/>
                <w:szCs w:val="22"/>
              </w:rPr>
              <w:t>-</w:t>
            </w:r>
            <w:r>
              <w:rPr>
                <w:rFonts w:ascii="Tahoma" w:eastAsia="等线" w:hAnsi="Tahoma" w:cs="Tahoma"/>
                <w:kern w:val="0"/>
                <w:sz w:val="22"/>
                <w:szCs w:val="22"/>
              </w:rPr>
              <w:t>资源模型上、下架</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支持用户在权限范围内进行资源模型的上下架操作，从而更方便的管理资源。资源查询页面里面，对于上架的资源可以做下架处理，方便处理一些新旧替换或者模型需要变更的表单。</w:t>
            </w:r>
          </w:p>
        </w:tc>
      </w:tr>
      <w:tr w:rsidR="00C54B2F">
        <w:trPr>
          <w:trHeight w:val="1380"/>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lastRenderedPageBreak/>
              <w:t>18</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数据资源全景</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数据资源管理</w:t>
            </w:r>
            <w:r>
              <w:rPr>
                <w:rFonts w:ascii="Tahoma" w:eastAsia="等线" w:hAnsi="Tahoma" w:cs="Tahoma"/>
                <w:kern w:val="0"/>
                <w:sz w:val="22"/>
                <w:szCs w:val="22"/>
              </w:rPr>
              <w:t>-</w:t>
            </w:r>
            <w:r>
              <w:rPr>
                <w:rFonts w:ascii="Tahoma" w:eastAsia="等线" w:hAnsi="Tahoma" w:cs="Tahoma"/>
                <w:kern w:val="0"/>
                <w:sz w:val="22"/>
                <w:szCs w:val="22"/>
              </w:rPr>
              <w:t>主题分类管理维护</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目前有</w:t>
            </w:r>
            <w:r>
              <w:rPr>
                <w:rFonts w:ascii="Tahoma" w:eastAsia="等线" w:hAnsi="Tahoma" w:cs="Tahoma"/>
                <w:kern w:val="0"/>
                <w:sz w:val="22"/>
                <w:szCs w:val="22"/>
              </w:rPr>
              <w:t>12</w:t>
            </w:r>
            <w:r>
              <w:rPr>
                <w:rFonts w:ascii="Tahoma" w:eastAsia="等线" w:hAnsi="Tahoma" w:cs="Tahoma"/>
                <w:kern w:val="0"/>
                <w:sz w:val="22"/>
                <w:szCs w:val="22"/>
              </w:rPr>
              <w:t>个主题表单内容，后续可以根据新增的数据表模型扩展主题分类，或者修改已有的主题分类。支持在左侧分类树的界面内维护数据主题分类，对主题分类进行增、删、改、查的操作。</w:t>
            </w:r>
          </w:p>
        </w:tc>
      </w:tr>
      <w:tr w:rsidR="00C54B2F">
        <w:trPr>
          <w:trHeight w:val="828"/>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19</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数据资源全景</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数据资源管理</w:t>
            </w:r>
            <w:r>
              <w:rPr>
                <w:rFonts w:ascii="Tahoma" w:eastAsia="等线" w:hAnsi="Tahoma" w:cs="Tahoma"/>
                <w:kern w:val="0"/>
                <w:sz w:val="22"/>
                <w:szCs w:val="22"/>
              </w:rPr>
              <w:t>-</w:t>
            </w:r>
            <w:r>
              <w:rPr>
                <w:rFonts w:ascii="Tahoma" w:eastAsia="等线" w:hAnsi="Tahoma" w:cs="Tahoma"/>
                <w:kern w:val="0"/>
                <w:sz w:val="22"/>
                <w:szCs w:val="22"/>
              </w:rPr>
              <w:t>模型分类管理维护</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模型分类管理，支持模型分类维护功能，支持在左侧分类树的界面内维护管理模型分类，对模型进行增、删、改、查的操作。</w:t>
            </w:r>
          </w:p>
        </w:tc>
      </w:tr>
      <w:tr w:rsidR="00C54B2F">
        <w:trPr>
          <w:trHeight w:val="1104"/>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20</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数据资源全景</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数据资源查询</w:t>
            </w:r>
            <w:r>
              <w:rPr>
                <w:rFonts w:ascii="Tahoma" w:eastAsia="等线" w:hAnsi="Tahoma" w:cs="Tahoma"/>
                <w:kern w:val="0"/>
                <w:sz w:val="22"/>
                <w:szCs w:val="22"/>
              </w:rPr>
              <w:t>-</w:t>
            </w:r>
            <w:r>
              <w:rPr>
                <w:rFonts w:ascii="Tahoma" w:eastAsia="等线" w:hAnsi="Tahoma" w:cs="Tahoma"/>
                <w:kern w:val="0"/>
                <w:sz w:val="22"/>
                <w:szCs w:val="22"/>
              </w:rPr>
              <w:t>批量查询</w:t>
            </w:r>
            <w:r>
              <w:rPr>
                <w:rFonts w:ascii="Tahoma" w:eastAsia="等线" w:hAnsi="Tahoma" w:cs="Tahoma"/>
                <w:kern w:val="0"/>
                <w:sz w:val="22"/>
                <w:szCs w:val="22"/>
              </w:rPr>
              <w:t>-</w:t>
            </w:r>
            <w:r>
              <w:rPr>
                <w:rFonts w:ascii="Tahoma" w:eastAsia="等线" w:hAnsi="Tahoma" w:cs="Tahoma"/>
                <w:kern w:val="0"/>
                <w:sz w:val="22"/>
                <w:szCs w:val="22"/>
              </w:rPr>
              <w:t>文本输入查询</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该功能点旨在实现用户可以直接输入多个主体的名称或</w:t>
            </w:r>
            <w:r>
              <w:rPr>
                <w:rFonts w:ascii="Tahoma" w:eastAsia="等线" w:hAnsi="Tahoma" w:cs="Tahoma"/>
                <w:kern w:val="0"/>
                <w:sz w:val="22"/>
                <w:szCs w:val="22"/>
              </w:rPr>
              <w:t>ID</w:t>
            </w:r>
            <w:r>
              <w:rPr>
                <w:rFonts w:ascii="Tahoma" w:eastAsia="等线" w:hAnsi="Tahoma" w:cs="Tahoma"/>
                <w:kern w:val="0"/>
                <w:sz w:val="22"/>
                <w:szCs w:val="22"/>
              </w:rPr>
              <w:t>，通过批量查询的方式获取相应的数据资源。用户可以将主体数据用逗号或换行符隔开，以方便查询和导出。</w:t>
            </w:r>
          </w:p>
        </w:tc>
      </w:tr>
      <w:tr w:rsidR="00C54B2F">
        <w:trPr>
          <w:trHeight w:val="1380"/>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21</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数据资源全景</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数据资源查询</w:t>
            </w:r>
            <w:r>
              <w:rPr>
                <w:rFonts w:ascii="Tahoma" w:eastAsia="等线" w:hAnsi="Tahoma" w:cs="Tahoma"/>
                <w:kern w:val="0"/>
                <w:sz w:val="22"/>
                <w:szCs w:val="22"/>
              </w:rPr>
              <w:t>-</w:t>
            </w:r>
            <w:r>
              <w:rPr>
                <w:rFonts w:ascii="Tahoma" w:eastAsia="等线" w:hAnsi="Tahoma" w:cs="Tahoma"/>
                <w:kern w:val="0"/>
                <w:sz w:val="22"/>
                <w:szCs w:val="22"/>
              </w:rPr>
              <w:t>批量查询</w:t>
            </w:r>
            <w:r>
              <w:rPr>
                <w:rFonts w:ascii="Tahoma" w:eastAsia="等线" w:hAnsi="Tahoma" w:cs="Tahoma"/>
                <w:kern w:val="0"/>
                <w:sz w:val="22"/>
                <w:szCs w:val="22"/>
              </w:rPr>
              <w:t>-</w:t>
            </w:r>
            <w:r>
              <w:rPr>
                <w:rFonts w:ascii="Tahoma" w:eastAsia="等线" w:hAnsi="Tahoma" w:cs="Tahoma"/>
                <w:kern w:val="0"/>
                <w:sz w:val="22"/>
                <w:szCs w:val="22"/>
              </w:rPr>
              <w:t>文件导入查询</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该功能点旨在实现用户可以上传一个包含多个主体名称或</w:t>
            </w:r>
            <w:r>
              <w:rPr>
                <w:rFonts w:ascii="Tahoma" w:eastAsia="等线" w:hAnsi="Tahoma" w:cs="Tahoma"/>
                <w:kern w:val="0"/>
                <w:sz w:val="22"/>
                <w:szCs w:val="22"/>
              </w:rPr>
              <w:t>ID</w:t>
            </w:r>
            <w:r>
              <w:rPr>
                <w:rFonts w:ascii="Tahoma" w:eastAsia="等线" w:hAnsi="Tahoma" w:cs="Tahoma"/>
                <w:kern w:val="0"/>
                <w:sz w:val="22"/>
                <w:szCs w:val="22"/>
              </w:rPr>
              <w:t>的文件，通过批量查询的方式获取相应的数据资源。系统将支持多种文件格式，如</w:t>
            </w:r>
            <w:r>
              <w:rPr>
                <w:rFonts w:ascii="Tahoma" w:eastAsia="等线" w:hAnsi="Tahoma" w:cs="Tahoma"/>
                <w:kern w:val="0"/>
                <w:sz w:val="22"/>
                <w:szCs w:val="22"/>
              </w:rPr>
              <w:t>Excel</w:t>
            </w:r>
            <w:r>
              <w:rPr>
                <w:rFonts w:ascii="Tahoma" w:eastAsia="等线" w:hAnsi="Tahoma" w:cs="Tahoma"/>
                <w:kern w:val="0"/>
                <w:sz w:val="22"/>
                <w:szCs w:val="22"/>
              </w:rPr>
              <w:t>、</w:t>
            </w:r>
            <w:r>
              <w:rPr>
                <w:rFonts w:ascii="Tahoma" w:eastAsia="等线" w:hAnsi="Tahoma" w:cs="Tahoma"/>
                <w:kern w:val="0"/>
                <w:sz w:val="22"/>
                <w:szCs w:val="22"/>
              </w:rPr>
              <w:t>CSV</w:t>
            </w:r>
            <w:r>
              <w:rPr>
                <w:rFonts w:ascii="Tahoma" w:eastAsia="等线" w:hAnsi="Tahoma" w:cs="Tahoma"/>
                <w:kern w:val="0"/>
                <w:sz w:val="22"/>
                <w:szCs w:val="22"/>
              </w:rPr>
              <w:t>等，提高用户的使用体验和便利性。</w:t>
            </w:r>
          </w:p>
        </w:tc>
      </w:tr>
      <w:tr w:rsidR="00C54B2F">
        <w:trPr>
          <w:trHeight w:val="1104"/>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22</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数据资源全景</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数据资源查询</w:t>
            </w:r>
            <w:r>
              <w:rPr>
                <w:rFonts w:ascii="Tahoma" w:eastAsia="等线" w:hAnsi="Tahoma" w:cs="Tahoma"/>
                <w:kern w:val="0"/>
                <w:sz w:val="22"/>
                <w:szCs w:val="22"/>
              </w:rPr>
              <w:t>-</w:t>
            </w:r>
            <w:r>
              <w:rPr>
                <w:rFonts w:ascii="Tahoma" w:eastAsia="等线" w:hAnsi="Tahoma" w:cs="Tahoma"/>
                <w:kern w:val="0"/>
                <w:sz w:val="22"/>
                <w:szCs w:val="22"/>
              </w:rPr>
              <w:t>查询结果查看</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该功能点旨在实现用户可以查看批量查询后的结果，并进行排序、筛选、编辑和导出等操作。用户可以通过可视化界面，方便地查看和管理查询结果，提高查询效率和精度。</w:t>
            </w:r>
          </w:p>
        </w:tc>
      </w:tr>
      <w:tr w:rsidR="00C54B2F">
        <w:trPr>
          <w:trHeight w:val="1380"/>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23</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数据资源全景</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数据资源查询</w:t>
            </w:r>
            <w:r>
              <w:rPr>
                <w:rFonts w:ascii="Tahoma" w:eastAsia="等线" w:hAnsi="Tahoma" w:cs="Tahoma"/>
                <w:kern w:val="0"/>
                <w:sz w:val="22"/>
                <w:szCs w:val="22"/>
              </w:rPr>
              <w:t>-</w:t>
            </w:r>
            <w:r>
              <w:rPr>
                <w:rFonts w:ascii="Tahoma" w:eastAsia="等线" w:hAnsi="Tahoma" w:cs="Tahoma"/>
                <w:kern w:val="0"/>
                <w:sz w:val="22"/>
                <w:szCs w:val="22"/>
              </w:rPr>
              <w:t>资源鉴权管理的集成配置</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该功能点旨在实现数据资源的查询与鉴权管理的集成配置，确保查询结果的可靠性和安全性。系统将根据用户身份和权限，对查询结果进行鉴权和访问控制，保护数据资源的使用权益。</w:t>
            </w:r>
          </w:p>
        </w:tc>
      </w:tr>
      <w:tr w:rsidR="00C54B2F">
        <w:trPr>
          <w:trHeight w:val="2208"/>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24</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财政板块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总量分析</w:t>
            </w:r>
            <w:r>
              <w:rPr>
                <w:rFonts w:ascii="Tahoma" w:eastAsia="等线" w:hAnsi="Tahoma" w:cs="Tahoma"/>
                <w:kern w:val="0"/>
                <w:sz w:val="22"/>
                <w:szCs w:val="22"/>
              </w:rPr>
              <w:t>-</w:t>
            </w:r>
            <w:r>
              <w:rPr>
                <w:rFonts w:ascii="Tahoma" w:eastAsia="等线" w:hAnsi="Tahoma" w:cs="Tahoma"/>
                <w:kern w:val="0"/>
                <w:sz w:val="22"/>
                <w:szCs w:val="22"/>
              </w:rPr>
              <w:t>财政全景</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财政全景，通过该功能可以直观的对市本级财政的总体情况进行快速宏观的查看和分析，掌握资金的主要结构、主要变化、主要分布等内容。体现财政板块的全景数量分析：如年度财政专项资金总额、财政扶持专项数量、特定流向的财务分析资金总额，项目总数、主管预算单位数量、全市概览等。同时可按主管预算单位、基层预算单位等不同颗粒度进行分析。</w:t>
            </w:r>
          </w:p>
        </w:tc>
      </w:tr>
      <w:tr w:rsidR="00C54B2F">
        <w:trPr>
          <w:trHeight w:val="2208"/>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25</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财政板块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总量分析</w:t>
            </w:r>
            <w:r>
              <w:rPr>
                <w:rFonts w:ascii="Tahoma" w:eastAsia="等线" w:hAnsi="Tahoma" w:cs="Tahoma"/>
                <w:kern w:val="0"/>
                <w:sz w:val="22"/>
                <w:szCs w:val="22"/>
              </w:rPr>
              <w:t>-</w:t>
            </w:r>
            <w:r>
              <w:rPr>
                <w:rFonts w:ascii="Tahoma" w:eastAsia="等线" w:hAnsi="Tahoma" w:cs="Tahoma"/>
                <w:kern w:val="0"/>
                <w:sz w:val="22"/>
                <w:szCs w:val="22"/>
              </w:rPr>
              <w:t>四本预算</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hint="eastAsia"/>
                <w:kern w:val="0"/>
                <w:sz w:val="22"/>
                <w:szCs w:val="22"/>
              </w:rPr>
              <w:t>四本预算，共同构成了完整的预算体系，其关系到保障和改善民生，维持国家机构完整运作，支持特定公共事业发展等。审计人员对四本预算情况往往是关注的重点目标，故需要支持审计人员通过图形化的方式对公共预算、政府性基金预算、国有资本经营预算、社会保险基金预算的总量情况进行统计分析，可支持按年度按分类等多维度进行数</w:t>
            </w:r>
            <w:r>
              <w:rPr>
                <w:rFonts w:ascii="Tahoma" w:eastAsia="等线" w:hAnsi="Tahoma" w:cs="Tahoma" w:hint="eastAsia"/>
                <w:kern w:val="0"/>
                <w:sz w:val="22"/>
                <w:szCs w:val="22"/>
              </w:rPr>
              <w:lastRenderedPageBreak/>
              <w:t>据的筛选，并展示相关来源分类。并支持将每本预算的收入支出进行动态直观的呈现，并且实现层层推进和动态关联的效果</w:t>
            </w:r>
            <w:r>
              <w:rPr>
                <w:rFonts w:ascii="Tahoma" w:eastAsia="等线" w:hAnsi="Tahoma" w:cs="Tahoma"/>
                <w:kern w:val="0"/>
                <w:sz w:val="22"/>
                <w:szCs w:val="22"/>
              </w:rPr>
              <w:t>。</w:t>
            </w:r>
          </w:p>
        </w:tc>
      </w:tr>
      <w:tr w:rsidR="00C54B2F">
        <w:trPr>
          <w:trHeight w:val="1932"/>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26</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财政板块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总量分析</w:t>
            </w:r>
            <w:r>
              <w:rPr>
                <w:rFonts w:ascii="Tahoma" w:eastAsia="等线" w:hAnsi="Tahoma" w:cs="Tahoma"/>
                <w:kern w:val="0"/>
                <w:sz w:val="22"/>
                <w:szCs w:val="22"/>
              </w:rPr>
              <w:t>-</w:t>
            </w:r>
            <w:r>
              <w:rPr>
                <w:rFonts w:ascii="Tahoma" w:eastAsia="等线" w:hAnsi="Tahoma" w:cs="Tahoma"/>
                <w:kern w:val="0"/>
                <w:sz w:val="22"/>
                <w:szCs w:val="22"/>
              </w:rPr>
              <w:t>非税收入</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方便审计人员对全市的非税收入的总体结构及其变化有一个快速直观的了解，为确定审计方向和重点提供支撑，例如通过图形化的方式对非税收入的结构分布，总量，以及变化趋势进行分析，突出展示不同主管预算单位、基层预算单位的结构分布区别，并可对疑似非税收入的异常情况进行分析。</w:t>
            </w:r>
          </w:p>
        </w:tc>
      </w:tr>
      <w:tr w:rsidR="00C54B2F">
        <w:trPr>
          <w:trHeight w:val="1656"/>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27</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财政板块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总量分析</w:t>
            </w:r>
            <w:r>
              <w:rPr>
                <w:rFonts w:ascii="Tahoma" w:eastAsia="等线" w:hAnsi="Tahoma" w:cs="Tahoma"/>
                <w:kern w:val="0"/>
                <w:sz w:val="22"/>
                <w:szCs w:val="22"/>
              </w:rPr>
              <w:t>-</w:t>
            </w:r>
            <w:r>
              <w:rPr>
                <w:rFonts w:ascii="Tahoma" w:eastAsia="等线" w:hAnsi="Tahoma" w:cs="Tahoma"/>
                <w:kern w:val="0"/>
                <w:sz w:val="22"/>
                <w:szCs w:val="22"/>
              </w:rPr>
              <w:t>政府采购</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审计对政府采购内容审查需要对采购预算、采购参与人资质、采购方式、采购合同、采购行为进行全面审查。对全市的政府采购行为，包括招投标、电子集市采购与分散采购等进行总体的结构趋势的展示，结合采购预算采购合同等，初步分析存在疑似违规采购的线索。</w:t>
            </w:r>
          </w:p>
        </w:tc>
      </w:tr>
      <w:tr w:rsidR="00C54B2F">
        <w:trPr>
          <w:trHeight w:val="2208"/>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28</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财政板块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财政专项</w:t>
            </w:r>
            <w:r>
              <w:rPr>
                <w:rFonts w:ascii="Tahoma" w:eastAsia="等线" w:hAnsi="Tahoma" w:cs="Tahoma"/>
                <w:kern w:val="0"/>
                <w:sz w:val="22"/>
                <w:szCs w:val="22"/>
              </w:rPr>
              <w:t>-</w:t>
            </w:r>
            <w:r>
              <w:rPr>
                <w:rFonts w:ascii="Tahoma" w:eastAsia="等线" w:hAnsi="Tahoma" w:cs="Tahoma"/>
                <w:kern w:val="0"/>
                <w:sz w:val="22"/>
                <w:szCs w:val="22"/>
              </w:rPr>
              <w:t>总量情况</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对财政大专项的总体情况进行分析展示，让审计人员快速对市本级的财政专项的支出结构，预算单位分布变化趋势有一个宏观全局的掌握：如年度专项资金总额、财政扶持专项数量、特定流向的财务分析资金总额，项目总数、主管预算单位数量、全市、全区部门预算总览等。同时可按主管预算单位、基层预算单位等不同颗粒度进行分析。</w:t>
            </w:r>
          </w:p>
        </w:tc>
      </w:tr>
      <w:tr w:rsidR="00C54B2F">
        <w:trPr>
          <w:trHeight w:val="2484"/>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29</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财政板块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财政专项</w:t>
            </w:r>
            <w:r>
              <w:rPr>
                <w:rFonts w:ascii="Tahoma" w:eastAsia="等线" w:hAnsi="Tahoma" w:cs="Tahoma"/>
                <w:kern w:val="0"/>
                <w:sz w:val="22"/>
                <w:szCs w:val="22"/>
              </w:rPr>
              <w:t>-</w:t>
            </w:r>
            <w:r>
              <w:rPr>
                <w:rFonts w:ascii="Tahoma" w:eastAsia="等线" w:hAnsi="Tahoma" w:cs="Tahoma"/>
                <w:kern w:val="0"/>
                <w:sz w:val="22"/>
                <w:szCs w:val="22"/>
              </w:rPr>
              <w:t>支出云图</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对财政专项资金按不同维度（资金来源，支出方向，项目类别等等）进行统计分析，并以词云图的方式进行直观体现。可以是的审计人员对财政专项中的高频条目有直观的认知，以词云图的方式展示支出项目中涉及较多的支出关键词，帮助审计人员对高频关键词进行分析和统计，同时以重要性或权重进行关键词的突出展示分析。同时支持时间跨度筛选，按年份、按细分专项等不同颗粒度进行分析。</w:t>
            </w:r>
          </w:p>
        </w:tc>
      </w:tr>
      <w:tr w:rsidR="00C54B2F">
        <w:trPr>
          <w:trHeight w:val="1932"/>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lastRenderedPageBreak/>
              <w:t>30</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财政板块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财政专项</w:t>
            </w:r>
            <w:r>
              <w:rPr>
                <w:rFonts w:ascii="Tahoma" w:eastAsia="等线" w:hAnsi="Tahoma" w:cs="Tahoma"/>
                <w:kern w:val="0"/>
                <w:sz w:val="22"/>
                <w:szCs w:val="22"/>
              </w:rPr>
              <w:t>-</w:t>
            </w:r>
            <w:r>
              <w:rPr>
                <w:rFonts w:ascii="Tahoma" w:eastAsia="等线" w:hAnsi="Tahoma" w:cs="Tahoma"/>
                <w:kern w:val="0"/>
                <w:sz w:val="22"/>
                <w:szCs w:val="22"/>
              </w:rPr>
              <w:t>专项排列</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展示全市专项在不同功能科目间的按年度的静态排列和不同年度间的变化情况，让审计人员直观掌握专项投向的结构和变化趋势。有效加强审计人员对重点资金额和项目的深度审计，在不同维度和不同颗粒度下，基于数据变动带来的专项排列变动，突出体现审计署</w:t>
            </w:r>
            <w:r>
              <w:rPr>
                <w:rFonts w:ascii="Tahoma" w:eastAsia="等线" w:hAnsi="Tahoma" w:cs="Tahoma"/>
                <w:kern w:val="0"/>
                <w:sz w:val="22"/>
                <w:szCs w:val="22"/>
              </w:rPr>
              <w:t>“</w:t>
            </w:r>
            <w:r>
              <w:rPr>
                <w:rFonts w:ascii="Tahoma" w:eastAsia="等线" w:hAnsi="Tahoma" w:cs="Tahoma"/>
                <w:kern w:val="0"/>
                <w:sz w:val="22"/>
                <w:szCs w:val="22"/>
              </w:rPr>
              <w:t>常审常新</w:t>
            </w:r>
            <w:r>
              <w:rPr>
                <w:rFonts w:ascii="Tahoma" w:eastAsia="等线" w:hAnsi="Tahoma" w:cs="Tahoma"/>
                <w:kern w:val="0"/>
                <w:sz w:val="22"/>
                <w:szCs w:val="22"/>
              </w:rPr>
              <w:t>”</w:t>
            </w:r>
            <w:r>
              <w:rPr>
                <w:rFonts w:ascii="Tahoma" w:eastAsia="等线" w:hAnsi="Tahoma" w:cs="Tahoma"/>
                <w:kern w:val="0"/>
                <w:sz w:val="22"/>
                <w:szCs w:val="22"/>
              </w:rPr>
              <w:t>的审计新要求。</w:t>
            </w:r>
          </w:p>
        </w:tc>
      </w:tr>
      <w:tr w:rsidR="00C54B2F">
        <w:trPr>
          <w:trHeight w:val="1932"/>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31</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财政板块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财政专项</w:t>
            </w:r>
            <w:r>
              <w:rPr>
                <w:rFonts w:ascii="Tahoma" w:eastAsia="等线" w:hAnsi="Tahoma" w:cs="Tahoma"/>
                <w:kern w:val="0"/>
                <w:sz w:val="22"/>
                <w:szCs w:val="22"/>
              </w:rPr>
              <w:t>-</w:t>
            </w:r>
            <w:r>
              <w:rPr>
                <w:rFonts w:ascii="Tahoma" w:eastAsia="等线" w:hAnsi="Tahoma" w:cs="Tahoma"/>
                <w:kern w:val="0"/>
                <w:sz w:val="22"/>
                <w:szCs w:val="22"/>
              </w:rPr>
              <w:t>项目分布</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对于财政专项下的项目分布，审计人员需要清晰掌握项目分布情况，尤其对项目分布集中在某些领域的场景，往往成为审计人员的终点，故需要支持如：以图形化的形式进行项目分布的统计分析，如三高投向、投向污染源等，支持对不同年度的项目进行统计筛选，并可支持按不同来源等多个维度进行统计分析筛选。</w:t>
            </w:r>
          </w:p>
        </w:tc>
      </w:tr>
      <w:tr w:rsidR="00C54B2F">
        <w:trPr>
          <w:trHeight w:val="1380"/>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32</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财政板块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财政专项</w:t>
            </w:r>
            <w:r>
              <w:rPr>
                <w:rFonts w:ascii="Tahoma" w:eastAsia="等线" w:hAnsi="Tahoma" w:cs="Tahoma"/>
                <w:kern w:val="0"/>
                <w:sz w:val="22"/>
                <w:szCs w:val="22"/>
              </w:rPr>
              <w:t>-</w:t>
            </w:r>
            <w:r>
              <w:rPr>
                <w:rFonts w:ascii="Tahoma" w:eastAsia="等线" w:hAnsi="Tahoma" w:cs="Tahoma"/>
                <w:kern w:val="0"/>
                <w:sz w:val="22"/>
                <w:szCs w:val="22"/>
              </w:rPr>
              <w:t>具体专项</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对于财政具体专项的审计，可有效对提高专项资金的经济性、效率和效果产生积极影响。通过该功能让审计人员按不同维度选择某具体专项，对专项的立项、预算、支出、政府采购等情况进行综合详细的展示分析。</w:t>
            </w:r>
          </w:p>
        </w:tc>
      </w:tr>
      <w:tr w:rsidR="00C54B2F">
        <w:trPr>
          <w:trHeight w:val="1932"/>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33</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财政板块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财政专项</w:t>
            </w:r>
            <w:r>
              <w:rPr>
                <w:rFonts w:ascii="Tahoma" w:eastAsia="等线" w:hAnsi="Tahoma" w:cs="Tahoma"/>
                <w:kern w:val="0"/>
                <w:sz w:val="22"/>
                <w:szCs w:val="22"/>
              </w:rPr>
              <w:t>-</w:t>
            </w:r>
            <w:r>
              <w:rPr>
                <w:rFonts w:ascii="Tahoma" w:eastAsia="等线" w:hAnsi="Tahoma" w:cs="Tahoma"/>
                <w:kern w:val="0"/>
                <w:sz w:val="22"/>
                <w:szCs w:val="22"/>
              </w:rPr>
              <w:t>趋势分析</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审计人员需要掌握财政专项的变化趋势，为审计人员对财政专项的趋势掌握进行支撑，让审计人员发现潜在问题等提供保证，如：以图形化的形式体现财政专项的趋势分析，按不同类型进行多图标展示，突出历年财政专项的数量趋势变化情况并支持时间跨度筛选，同时可展示或取消展示不同类型项。</w:t>
            </w:r>
          </w:p>
        </w:tc>
      </w:tr>
      <w:tr w:rsidR="00C54B2F">
        <w:trPr>
          <w:trHeight w:val="2208"/>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34</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财政板块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财政专项</w:t>
            </w:r>
            <w:r>
              <w:rPr>
                <w:rFonts w:ascii="Tahoma" w:eastAsia="等线" w:hAnsi="Tahoma" w:cs="Tahoma"/>
                <w:kern w:val="0"/>
                <w:sz w:val="22"/>
                <w:szCs w:val="22"/>
              </w:rPr>
              <w:t>-</w:t>
            </w:r>
            <w:r>
              <w:rPr>
                <w:rFonts w:ascii="Tahoma" w:eastAsia="等线" w:hAnsi="Tahoma" w:cs="Tahoma"/>
                <w:kern w:val="0"/>
                <w:sz w:val="22"/>
                <w:szCs w:val="22"/>
              </w:rPr>
              <w:t>特定投向</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审计人员对特定投向的领域往往是重中之重，审计人员需要将特定投向领域进行专门分析。如：对特定投向的财政专项进行具体类型的分析，包括详细信息的展示，如特定投向到污染源、三高投向等。通过该功能可以挖掘投向三高或污染源企业、皮包公司等特定对象的支出并进行综合展示，结合投向资金情况，预算单位等信息分析查证提供具体的疑点线索。</w:t>
            </w:r>
          </w:p>
        </w:tc>
      </w:tr>
      <w:tr w:rsidR="00C54B2F">
        <w:trPr>
          <w:trHeight w:val="1656"/>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35</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财政板块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资金流图</w:t>
            </w:r>
            <w:r>
              <w:rPr>
                <w:rFonts w:ascii="Tahoma" w:eastAsia="等线" w:hAnsi="Tahoma" w:cs="Tahoma"/>
                <w:kern w:val="0"/>
                <w:sz w:val="22"/>
                <w:szCs w:val="22"/>
              </w:rPr>
              <w:t>-</w:t>
            </w:r>
            <w:r>
              <w:rPr>
                <w:rFonts w:ascii="Tahoma" w:eastAsia="等线" w:hAnsi="Tahoma" w:cs="Tahoma"/>
                <w:kern w:val="0"/>
                <w:sz w:val="22"/>
                <w:szCs w:val="22"/>
              </w:rPr>
              <w:t>总体流向</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对于审计人员需要以全局性的视角，对财政的资金全流向进行审计分析查证，形成不同维度、不同审计视角的流向图，将财政资金由中央拨付通过各个层级到达具体企事业单位或个人的路径进行全覆盖，并需突出多维视角的审计业务的层级分类。</w:t>
            </w:r>
          </w:p>
        </w:tc>
      </w:tr>
      <w:tr w:rsidR="00C54B2F">
        <w:trPr>
          <w:trHeight w:val="2208"/>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lastRenderedPageBreak/>
              <w:t>36</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财政板块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资金流图</w:t>
            </w:r>
            <w:r>
              <w:rPr>
                <w:rFonts w:ascii="Tahoma" w:eastAsia="等线" w:hAnsi="Tahoma" w:cs="Tahoma"/>
                <w:kern w:val="0"/>
                <w:sz w:val="22"/>
                <w:szCs w:val="22"/>
              </w:rPr>
              <w:t>-</w:t>
            </w:r>
            <w:r>
              <w:rPr>
                <w:rFonts w:ascii="Tahoma" w:eastAsia="等线" w:hAnsi="Tahoma" w:cs="Tahoma"/>
                <w:kern w:val="0"/>
                <w:sz w:val="22"/>
                <w:szCs w:val="22"/>
              </w:rPr>
              <w:t>层级模拟</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审计关注的视角维度复杂多样，如科技、教育、医疗等功能科目的视角、会议费、培训费等经济科目的视角、如四本预算视角等等，不同的视角逻辑需要按不同逻辑层级进行模拟（并非简单的属性字段分类，需抽象审计业务逻辑后进行聚合并定位），以实现不同视角下的层级划分，帮助审计业务人员快速定位具体层级。清晰体现各视角下的层级逻辑。</w:t>
            </w:r>
          </w:p>
        </w:tc>
      </w:tr>
      <w:tr w:rsidR="00C54B2F">
        <w:trPr>
          <w:trHeight w:val="1932"/>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37</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财政板块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资金流图</w:t>
            </w:r>
            <w:r>
              <w:rPr>
                <w:rFonts w:ascii="Tahoma" w:eastAsia="等线" w:hAnsi="Tahoma" w:cs="Tahoma"/>
                <w:kern w:val="0"/>
                <w:sz w:val="22"/>
                <w:szCs w:val="22"/>
              </w:rPr>
              <w:t>-</w:t>
            </w:r>
            <w:r>
              <w:rPr>
                <w:rFonts w:ascii="Tahoma" w:eastAsia="等线" w:hAnsi="Tahoma" w:cs="Tahoma"/>
                <w:kern w:val="0"/>
                <w:sz w:val="22"/>
                <w:szCs w:val="22"/>
              </w:rPr>
              <w:t>节点拓展</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对于审计人员，当发现某个节点或边的可疑时，需要对该节点层层推进，聚焦定位到具体某几个点或某几条边上，方便审计人员对局部点边资金流向进行查证分析。审计人员可根据不同场景，对单层或多层主体和关系进行拓展和收缩，支持从点到面和从面到点的双向分析思路。</w:t>
            </w:r>
          </w:p>
        </w:tc>
      </w:tr>
      <w:tr w:rsidR="00C54B2F">
        <w:trPr>
          <w:trHeight w:val="602"/>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38</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财政板块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资金流图</w:t>
            </w:r>
            <w:r>
              <w:rPr>
                <w:rFonts w:ascii="Tahoma" w:eastAsia="等线" w:hAnsi="Tahoma" w:cs="Tahoma"/>
                <w:kern w:val="0"/>
                <w:sz w:val="22"/>
                <w:szCs w:val="22"/>
              </w:rPr>
              <w:t>-</w:t>
            </w:r>
            <w:r>
              <w:rPr>
                <w:rFonts w:ascii="Tahoma" w:eastAsia="等线" w:hAnsi="Tahoma" w:cs="Tahoma"/>
                <w:kern w:val="0"/>
                <w:sz w:val="22"/>
                <w:szCs w:val="22"/>
              </w:rPr>
              <w:t>层级流向</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层级流向分为上下层间流向和同层级流向。以审计人员不同的业务视角对不同层级间的主体和同层级间的资金流向进行分析查证，不同层级间和相同层级间均可支持不同资金种类的区别并体现其流向和层级。同时，审计人员还可结合层级间流向和同层级流向发现如：是否有多重申报，同一项目多笔资金来源异常等审计线索，极大提高审计人员发现问题效率。</w:t>
            </w:r>
          </w:p>
        </w:tc>
      </w:tr>
      <w:tr w:rsidR="00C54B2F">
        <w:trPr>
          <w:trHeight w:val="2208"/>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39</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财政板块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资金流图</w:t>
            </w:r>
            <w:r>
              <w:rPr>
                <w:rFonts w:ascii="Tahoma" w:eastAsia="等线" w:hAnsi="Tahoma" w:cs="Tahoma"/>
                <w:kern w:val="0"/>
                <w:sz w:val="22"/>
                <w:szCs w:val="22"/>
              </w:rPr>
              <w:t>-</w:t>
            </w:r>
            <w:r>
              <w:rPr>
                <w:rFonts w:ascii="Tahoma" w:eastAsia="等线" w:hAnsi="Tahoma" w:cs="Tahoma"/>
                <w:kern w:val="0"/>
                <w:sz w:val="22"/>
                <w:szCs w:val="22"/>
              </w:rPr>
              <w:t>属性关联</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按审计人员不同的业务视角，会将不同维度的资金流图下的主体进行多维度（功能科目、经济科目、四本预算）属性筛选、限定，如资金限定：既可以看到某本预算的资金分配，又可看到如会议费等经济科目的资金分配。基于灵活的属性关联，对于同一批具有相同属性或具有相同审计场景特征的主体，可以点到面的方式体现共性问题。提高审计人员效率。</w:t>
            </w:r>
          </w:p>
        </w:tc>
      </w:tr>
      <w:tr w:rsidR="00C54B2F">
        <w:trPr>
          <w:trHeight w:val="1380"/>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40</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财政板块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资金流图</w:t>
            </w:r>
            <w:r>
              <w:rPr>
                <w:rFonts w:ascii="Tahoma" w:eastAsia="等线" w:hAnsi="Tahoma" w:cs="Tahoma"/>
                <w:kern w:val="0"/>
                <w:sz w:val="22"/>
                <w:szCs w:val="22"/>
              </w:rPr>
              <w:t>-</w:t>
            </w:r>
            <w:r>
              <w:rPr>
                <w:rFonts w:ascii="Tahoma" w:eastAsia="等线" w:hAnsi="Tahoma" w:cs="Tahoma"/>
                <w:kern w:val="0"/>
                <w:sz w:val="22"/>
                <w:szCs w:val="22"/>
              </w:rPr>
              <w:t>关键节点</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关键节点一般是审计人员发现可疑线索的重点，或从关键节点衍生的的审计线索，所以审计人员需要对关键节点进行清晰定位和判断，从而在海量资金流向中明确发现问题，突出本质定义关键节点。</w:t>
            </w:r>
          </w:p>
        </w:tc>
      </w:tr>
      <w:tr w:rsidR="00C54B2F">
        <w:trPr>
          <w:trHeight w:val="1380"/>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41</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财政板块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资金流图</w:t>
            </w:r>
            <w:r>
              <w:rPr>
                <w:rFonts w:ascii="Tahoma" w:eastAsia="等线" w:hAnsi="Tahoma" w:cs="Tahoma"/>
                <w:kern w:val="0"/>
                <w:sz w:val="22"/>
                <w:szCs w:val="22"/>
              </w:rPr>
              <w:t>-</w:t>
            </w:r>
            <w:r>
              <w:rPr>
                <w:rFonts w:ascii="Tahoma" w:eastAsia="等线" w:hAnsi="Tahoma" w:cs="Tahoma"/>
                <w:kern w:val="0"/>
                <w:sz w:val="22"/>
                <w:szCs w:val="22"/>
              </w:rPr>
              <w:t>路径发现</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审计人员需要对于不同层级的节点进行路径发现，以清晰体现某笔资金的流向如何一层层通过不同业务视角下的不同层级的流向情况，方便审计人员清晰明了的展现潜在多层的关联关系。</w:t>
            </w:r>
          </w:p>
        </w:tc>
      </w:tr>
      <w:tr w:rsidR="00C54B2F">
        <w:trPr>
          <w:trHeight w:val="1656"/>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lastRenderedPageBreak/>
              <w:t>42</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财政板块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资金流图</w:t>
            </w:r>
            <w:r>
              <w:rPr>
                <w:rFonts w:ascii="Tahoma" w:eastAsia="等线" w:hAnsi="Tahoma" w:cs="Tahoma"/>
                <w:kern w:val="0"/>
                <w:sz w:val="22"/>
                <w:szCs w:val="22"/>
              </w:rPr>
              <w:t>-</w:t>
            </w:r>
            <w:r>
              <w:rPr>
                <w:rFonts w:ascii="Tahoma" w:eastAsia="等线" w:hAnsi="Tahoma" w:cs="Tahoma"/>
                <w:kern w:val="0"/>
                <w:sz w:val="22"/>
                <w:szCs w:val="22"/>
              </w:rPr>
              <w:t>资金追踪</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对于某一笔疑点资金或某个疑点企业，审计人员需要追溯其多个上层或多层级往上的资金来源。审计人员可以结合历史变化趋势，或该企业画像、上下游和购销链路情况分析该笔资金或该疑点企业是否异常，资金追踪对并清晰体现其层级流向和不同属性的资金流转情况。</w:t>
            </w:r>
          </w:p>
        </w:tc>
      </w:tr>
      <w:tr w:rsidR="00C54B2F">
        <w:trPr>
          <w:trHeight w:val="2484"/>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43</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财政板块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资金流图</w:t>
            </w:r>
            <w:r>
              <w:rPr>
                <w:rFonts w:ascii="Tahoma" w:eastAsia="等线" w:hAnsi="Tahoma" w:cs="Tahoma"/>
                <w:kern w:val="0"/>
                <w:sz w:val="22"/>
                <w:szCs w:val="22"/>
              </w:rPr>
              <w:t>-</w:t>
            </w:r>
            <w:r>
              <w:rPr>
                <w:rFonts w:ascii="Tahoma" w:eastAsia="等线" w:hAnsi="Tahoma" w:cs="Tahoma"/>
                <w:kern w:val="0"/>
                <w:sz w:val="22"/>
                <w:szCs w:val="22"/>
              </w:rPr>
              <w:t>主管单位流图</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主管预算体系内的资金流向图。以教委、发改委等一个主管预算体系为核心，通过该图可以清晰查看整体资金来源（中央财政、市财政、横向单位），在下属单位间的资金分布，以及下属单位间的资金往来，以及作为预算整体的预算资金去向分布。可以看到某主管预算单位的资金总量，下属间分配，以及总体合并看的总资金去向。每条线上可以点开查看具体资金的预算单位、项目、时间等。</w:t>
            </w:r>
          </w:p>
        </w:tc>
      </w:tr>
      <w:tr w:rsidR="00C54B2F">
        <w:trPr>
          <w:trHeight w:val="439"/>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44</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财政板块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资金流图</w:t>
            </w:r>
            <w:r>
              <w:rPr>
                <w:rFonts w:ascii="Tahoma" w:eastAsia="等线" w:hAnsi="Tahoma" w:cs="Tahoma"/>
                <w:kern w:val="0"/>
                <w:sz w:val="22"/>
                <w:szCs w:val="22"/>
              </w:rPr>
              <w:t>-</w:t>
            </w:r>
            <w:r>
              <w:rPr>
                <w:rFonts w:ascii="Tahoma" w:eastAsia="等线" w:hAnsi="Tahoma" w:cs="Tahoma"/>
                <w:kern w:val="0"/>
                <w:sz w:val="22"/>
                <w:szCs w:val="22"/>
              </w:rPr>
              <w:t>基层单位流图</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具体预算单位的资金流向图。以教委下的某一大学，或发改委下的发改委本部等单一基层预算单位为核心。通过该图查看资金来源，具体项目分布，与外单位的资金往来，与体系内其他单位的资金往来，以及资金的具体去向分布。直接展示基层预算单位间的往来关系。</w:t>
            </w:r>
          </w:p>
        </w:tc>
      </w:tr>
      <w:tr w:rsidR="00C54B2F">
        <w:trPr>
          <w:trHeight w:val="1104"/>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45</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财政板块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资金流图</w:t>
            </w:r>
            <w:r>
              <w:rPr>
                <w:rFonts w:ascii="Tahoma" w:eastAsia="等线" w:hAnsi="Tahoma" w:cs="Tahoma"/>
                <w:kern w:val="0"/>
                <w:sz w:val="22"/>
                <w:szCs w:val="22"/>
              </w:rPr>
              <w:t>-</w:t>
            </w:r>
            <w:r>
              <w:rPr>
                <w:rFonts w:ascii="Tahoma" w:eastAsia="等线" w:hAnsi="Tahoma" w:cs="Tahoma"/>
                <w:kern w:val="0"/>
                <w:sz w:val="22"/>
                <w:szCs w:val="22"/>
              </w:rPr>
              <w:t>企业资金流图</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审计人员往往以某一企业或收款人为核心。对其从不同预算单位获取的资金总额和项目分布进行查证分析。结合发票明细数据，可以查看具体发票、货物明细内容。</w:t>
            </w:r>
          </w:p>
        </w:tc>
      </w:tr>
      <w:tr w:rsidR="00C54B2F">
        <w:trPr>
          <w:trHeight w:val="828"/>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46</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财政板块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资金流图</w:t>
            </w:r>
            <w:r>
              <w:rPr>
                <w:rFonts w:ascii="Tahoma" w:eastAsia="等线" w:hAnsi="Tahoma" w:cs="Tahoma"/>
                <w:kern w:val="0"/>
                <w:sz w:val="22"/>
                <w:szCs w:val="22"/>
              </w:rPr>
              <w:t>-</w:t>
            </w:r>
            <w:r>
              <w:rPr>
                <w:rFonts w:ascii="Tahoma" w:eastAsia="等线" w:hAnsi="Tahoma" w:cs="Tahoma"/>
                <w:kern w:val="0"/>
                <w:sz w:val="22"/>
                <w:szCs w:val="22"/>
              </w:rPr>
              <w:t>下钻分析</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审计人员需要深挖资金中的问题，仅仅是某一数值无法完全支持审计人员的深挖诉求，所以需要支持。</w:t>
            </w:r>
          </w:p>
        </w:tc>
      </w:tr>
      <w:tr w:rsidR="00C54B2F">
        <w:trPr>
          <w:trHeight w:val="1380"/>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47</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财政板块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资金流图</w:t>
            </w:r>
            <w:r>
              <w:rPr>
                <w:rFonts w:ascii="Tahoma" w:eastAsia="等线" w:hAnsi="Tahoma" w:cs="Tahoma"/>
                <w:kern w:val="0"/>
                <w:sz w:val="22"/>
                <w:szCs w:val="22"/>
              </w:rPr>
              <w:t>-</w:t>
            </w:r>
            <w:r>
              <w:rPr>
                <w:rFonts w:ascii="Tahoma" w:eastAsia="等线" w:hAnsi="Tahoma" w:cs="Tahoma"/>
                <w:kern w:val="0"/>
                <w:sz w:val="22"/>
                <w:szCs w:val="22"/>
              </w:rPr>
              <w:t>时序分析</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资金流向的过程中，审计人员需要对某笔资金进行详细分析，需要利用时间节点和支出对象，描绘某一项目的支出的分布和时序特征，通过分布和时序特征定位到某笔支出以及某笔批次的情况，清晰体现出时间顺序下的明细。</w:t>
            </w:r>
          </w:p>
        </w:tc>
      </w:tr>
      <w:tr w:rsidR="00C54B2F">
        <w:trPr>
          <w:trHeight w:val="1380"/>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48</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财政板块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资金流图</w:t>
            </w:r>
            <w:r>
              <w:rPr>
                <w:rFonts w:ascii="Tahoma" w:eastAsia="等线" w:hAnsi="Tahoma" w:cs="Tahoma"/>
                <w:kern w:val="0"/>
                <w:sz w:val="22"/>
                <w:szCs w:val="22"/>
              </w:rPr>
              <w:t>-</w:t>
            </w:r>
            <w:r>
              <w:rPr>
                <w:rFonts w:ascii="Tahoma" w:eastAsia="等线" w:hAnsi="Tahoma" w:cs="Tahoma"/>
                <w:kern w:val="0"/>
                <w:sz w:val="22"/>
                <w:szCs w:val="22"/>
              </w:rPr>
              <w:t>异常分析</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结合企业标签、企业画像等因素（如企业上下游交易情况，购销品类情况，所属集团和所在层级等），根据项目支出的特征（如支出类目，支出来源单位等），挖掘支出对象异常、支出类别异常、支出时间异常等线索。</w:t>
            </w:r>
          </w:p>
        </w:tc>
      </w:tr>
      <w:tr w:rsidR="00C54B2F">
        <w:trPr>
          <w:trHeight w:val="2208"/>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lastRenderedPageBreak/>
              <w:t>49</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行政事业板块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板块分析</w:t>
            </w:r>
            <w:r>
              <w:rPr>
                <w:rFonts w:ascii="Tahoma" w:eastAsia="等线" w:hAnsi="Tahoma" w:cs="Tahoma"/>
                <w:kern w:val="0"/>
                <w:sz w:val="22"/>
                <w:szCs w:val="22"/>
              </w:rPr>
              <w:t>-</w:t>
            </w:r>
            <w:r>
              <w:rPr>
                <w:rFonts w:ascii="Tahoma" w:eastAsia="等线" w:hAnsi="Tahoma" w:cs="Tahoma"/>
                <w:kern w:val="0"/>
                <w:sz w:val="22"/>
                <w:szCs w:val="22"/>
              </w:rPr>
              <w:t>总量情况</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行政事业审计是审计主体依法对行政事业单位的财政、财务收支及其相关经济业务活动进行审查，以监督、评价其真实性、合法性和效益性，以及有关经济资料的真实性和公允性的独立经济监督活动。对行政事业单位的总量情况，通过该功能可以直观的对行政单位的总体情况进行快速宏观的查看和分析，掌握资金的主要结构、主要变化、主要分布等内容。</w:t>
            </w:r>
          </w:p>
        </w:tc>
      </w:tr>
      <w:tr w:rsidR="00C54B2F">
        <w:trPr>
          <w:trHeight w:val="1104"/>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50</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行政事业板块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板块分析</w:t>
            </w:r>
            <w:r>
              <w:rPr>
                <w:rFonts w:ascii="Tahoma" w:eastAsia="等线" w:hAnsi="Tahoma" w:cs="Tahoma"/>
                <w:kern w:val="0"/>
                <w:sz w:val="22"/>
                <w:szCs w:val="22"/>
              </w:rPr>
              <w:t>-</w:t>
            </w:r>
            <w:r>
              <w:rPr>
                <w:rFonts w:ascii="Tahoma" w:eastAsia="等线" w:hAnsi="Tahoma" w:cs="Tahoma"/>
                <w:kern w:val="0"/>
                <w:sz w:val="22"/>
                <w:szCs w:val="22"/>
              </w:rPr>
              <w:t>历年变化</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审计人员对行政事业板块的历年变化进行分析，可以掌握各板块下各项指标及详细信息的变化趋势，有助于审计人员概括性的了解其变化。</w:t>
            </w:r>
          </w:p>
        </w:tc>
      </w:tr>
      <w:tr w:rsidR="00C54B2F">
        <w:trPr>
          <w:trHeight w:val="552"/>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51</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行政事业板块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板块分析</w:t>
            </w:r>
            <w:r>
              <w:rPr>
                <w:rFonts w:ascii="Tahoma" w:eastAsia="等线" w:hAnsi="Tahoma" w:cs="Tahoma"/>
                <w:kern w:val="0"/>
                <w:sz w:val="22"/>
                <w:szCs w:val="22"/>
              </w:rPr>
              <w:t>-</w:t>
            </w:r>
            <w:r>
              <w:rPr>
                <w:rFonts w:ascii="Tahoma" w:eastAsia="等线" w:hAnsi="Tahoma" w:cs="Tahoma"/>
                <w:kern w:val="0"/>
                <w:sz w:val="22"/>
                <w:szCs w:val="22"/>
              </w:rPr>
              <w:t>来源分析</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审计人员对于板块资金的来源分析，能够方便快速的对资金来源进行掌握</w:t>
            </w:r>
          </w:p>
        </w:tc>
      </w:tr>
      <w:tr w:rsidR="00C54B2F">
        <w:trPr>
          <w:trHeight w:val="828"/>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52</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行政事业板块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资产分析</w:t>
            </w:r>
            <w:r>
              <w:rPr>
                <w:rFonts w:ascii="Tahoma" w:eastAsia="等线" w:hAnsi="Tahoma" w:cs="Tahoma"/>
                <w:kern w:val="0"/>
                <w:sz w:val="22"/>
                <w:szCs w:val="22"/>
              </w:rPr>
              <w:t>-</w:t>
            </w:r>
            <w:r>
              <w:rPr>
                <w:rFonts w:ascii="Tahoma" w:eastAsia="等线" w:hAnsi="Tahoma" w:cs="Tahoma"/>
                <w:kern w:val="0"/>
                <w:sz w:val="22"/>
                <w:szCs w:val="22"/>
              </w:rPr>
              <w:t>总量情况</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对行政事业板块的资产，首先审计人员需要进行全局性的信息掌握，对整体的分布和数量情况可以进行查证分析</w:t>
            </w:r>
          </w:p>
        </w:tc>
      </w:tr>
      <w:tr w:rsidR="00C54B2F">
        <w:trPr>
          <w:trHeight w:val="1380"/>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53</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行政事业板块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资产分析</w:t>
            </w:r>
            <w:r>
              <w:rPr>
                <w:rFonts w:ascii="Tahoma" w:eastAsia="等线" w:hAnsi="Tahoma" w:cs="Tahoma"/>
                <w:kern w:val="0"/>
                <w:sz w:val="22"/>
                <w:szCs w:val="22"/>
              </w:rPr>
              <w:t>-</w:t>
            </w:r>
            <w:r>
              <w:rPr>
                <w:rFonts w:ascii="Tahoma" w:eastAsia="等线" w:hAnsi="Tahoma" w:cs="Tahoma"/>
                <w:kern w:val="0"/>
                <w:sz w:val="22"/>
                <w:szCs w:val="22"/>
              </w:rPr>
              <w:t>结构分析</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审计人员往往需要对资产的结构进行层次化分析，包括各层次下的分类类目等，以体现资产结构的合理性，同时灵活选择细分类目，时间等，也可反映资产结构的调整状态及变化情况，使得审计人员对资产结构了然于胸。</w:t>
            </w:r>
          </w:p>
        </w:tc>
      </w:tr>
      <w:tr w:rsidR="00C54B2F">
        <w:trPr>
          <w:trHeight w:val="1104"/>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54</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行政事业板块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资产分析</w:t>
            </w:r>
            <w:r>
              <w:rPr>
                <w:rFonts w:ascii="Tahoma" w:eastAsia="等线" w:hAnsi="Tahoma" w:cs="Tahoma"/>
                <w:kern w:val="0"/>
                <w:sz w:val="22"/>
                <w:szCs w:val="22"/>
              </w:rPr>
              <w:t>-</w:t>
            </w:r>
            <w:r>
              <w:rPr>
                <w:rFonts w:ascii="Tahoma" w:eastAsia="等线" w:hAnsi="Tahoma" w:cs="Tahoma"/>
                <w:kern w:val="0"/>
                <w:sz w:val="22"/>
                <w:szCs w:val="22"/>
              </w:rPr>
              <w:t>资产处置</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审计人员需要对资产处置情况进行分析，如没有按规定报批，没有进行资产评估等情况，这些不合规情况容易导致国有资产流失，对资产处置情况需要支撑。</w:t>
            </w:r>
          </w:p>
        </w:tc>
      </w:tr>
      <w:tr w:rsidR="00C54B2F">
        <w:trPr>
          <w:trHeight w:val="2484"/>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55</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行政事业板块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资产分析</w:t>
            </w:r>
            <w:r>
              <w:rPr>
                <w:rFonts w:ascii="Tahoma" w:eastAsia="等线" w:hAnsi="Tahoma" w:cs="Tahoma"/>
                <w:kern w:val="0"/>
                <w:sz w:val="22"/>
                <w:szCs w:val="22"/>
              </w:rPr>
              <w:t>-</w:t>
            </w:r>
            <w:r>
              <w:rPr>
                <w:rFonts w:ascii="Tahoma" w:eastAsia="等线" w:hAnsi="Tahoma" w:cs="Tahoma"/>
                <w:kern w:val="0"/>
                <w:sz w:val="22"/>
                <w:szCs w:val="22"/>
              </w:rPr>
              <w:t>资产存量</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对于资产存量的了解，有助于审计人员发现资产存量的真实状况以及其中涉及到的相关问题：如办公用房、业务用房等房屋完工后未及时办理竣工财务决算，未在固定资产账上登记；未定期盘账对账等情况。鉴于此情况，需要支撑审计人员的功能如：对资产存量情况进行图形化分析展示，可以按主管预算单位、基层预算单位等不同范围对资产的总量、金额、明细进行分析、查询和展示。</w:t>
            </w:r>
          </w:p>
        </w:tc>
      </w:tr>
      <w:tr w:rsidR="00C54B2F">
        <w:trPr>
          <w:trHeight w:val="1656"/>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56</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行政事业板块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资产分析</w:t>
            </w:r>
            <w:r>
              <w:rPr>
                <w:rFonts w:ascii="Tahoma" w:eastAsia="等线" w:hAnsi="Tahoma" w:cs="Tahoma"/>
                <w:kern w:val="0"/>
                <w:sz w:val="22"/>
                <w:szCs w:val="22"/>
              </w:rPr>
              <w:t>-</w:t>
            </w:r>
            <w:r>
              <w:rPr>
                <w:rFonts w:ascii="Tahoma" w:eastAsia="等线" w:hAnsi="Tahoma" w:cs="Tahoma"/>
                <w:kern w:val="0"/>
                <w:sz w:val="22"/>
                <w:szCs w:val="22"/>
              </w:rPr>
              <w:t>同类分析</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对同一类目下的资产进行横向对比，能够体现有助于审计人员发现同类资产的一般情况和特殊情况，方便审计人员对对同类资产进行直观的分析比对，如购买资金、人均数量、更新频次等进行对比分析，以图形化的形式进行对比展现，突出体现同类资产异常情况。</w:t>
            </w:r>
          </w:p>
        </w:tc>
      </w:tr>
      <w:tr w:rsidR="00C54B2F">
        <w:trPr>
          <w:trHeight w:val="1656"/>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lastRenderedPageBreak/>
              <w:t>57</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行政事业板块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资产分析</w:t>
            </w:r>
            <w:r>
              <w:rPr>
                <w:rFonts w:ascii="Tahoma" w:eastAsia="等线" w:hAnsi="Tahoma" w:cs="Tahoma"/>
                <w:kern w:val="0"/>
                <w:sz w:val="22"/>
                <w:szCs w:val="22"/>
              </w:rPr>
              <w:t>-</w:t>
            </w:r>
            <w:r>
              <w:rPr>
                <w:rFonts w:ascii="Tahoma" w:eastAsia="等线" w:hAnsi="Tahoma" w:cs="Tahoma"/>
                <w:kern w:val="0"/>
                <w:sz w:val="22"/>
                <w:szCs w:val="22"/>
              </w:rPr>
              <w:t>专项分析</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对于房产和车辆等特殊专项的资产按主管预算单位、基层预算单位等不同范围，不同维度进行图形化分析，突出关键性的特殊资产专项的详细情况，有助于审计人员在对总体资产了解的情况下，结合特殊专项情况进行查证，易于定位审计问题。</w:t>
            </w:r>
          </w:p>
        </w:tc>
      </w:tr>
      <w:tr w:rsidR="00C54B2F">
        <w:trPr>
          <w:trHeight w:val="1656"/>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58</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行政事业板块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资产分析</w:t>
            </w:r>
            <w:r>
              <w:rPr>
                <w:rFonts w:ascii="Tahoma" w:eastAsia="等线" w:hAnsi="Tahoma" w:cs="Tahoma"/>
                <w:kern w:val="0"/>
                <w:sz w:val="22"/>
                <w:szCs w:val="22"/>
              </w:rPr>
              <w:t>-</w:t>
            </w:r>
            <w:r>
              <w:rPr>
                <w:rFonts w:ascii="Tahoma" w:eastAsia="等线" w:hAnsi="Tahoma" w:cs="Tahoma"/>
                <w:kern w:val="0"/>
                <w:sz w:val="22"/>
                <w:szCs w:val="22"/>
              </w:rPr>
              <w:t>变化趋势</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资产的变化趋势一直是审计人员关注的重要方面，从资产总量的变化到细分类目的变化以及不同维度下的变化趋势让审计人员充分掌握历年的趋势如：展现资产总量多种详细指标、历年变化趋势，并可按主管预算单位、基层预算单位等不同范围，不同维度进行筛选和展示。</w:t>
            </w:r>
          </w:p>
        </w:tc>
      </w:tr>
      <w:tr w:rsidR="00C54B2F">
        <w:trPr>
          <w:trHeight w:val="1380"/>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59</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行政事业板块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财务分析</w:t>
            </w:r>
            <w:r>
              <w:rPr>
                <w:rFonts w:ascii="Tahoma" w:eastAsia="等线" w:hAnsi="Tahoma" w:cs="Tahoma"/>
                <w:kern w:val="0"/>
                <w:sz w:val="22"/>
                <w:szCs w:val="22"/>
              </w:rPr>
              <w:t>-</w:t>
            </w:r>
            <w:r>
              <w:rPr>
                <w:rFonts w:ascii="Tahoma" w:eastAsia="等线" w:hAnsi="Tahoma" w:cs="Tahoma"/>
                <w:kern w:val="0"/>
                <w:sz w:val="22"/>
                <w:szCs w:val="22"/>
              </w:rPr>
              <w:t>会计科目分析</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按照审计署统一要求，每年市审计局负责采集市、区两级千余家预算单位的财务数据，报送审计署，同时按照一级预算单位审计全覆盖的要求，需要对上述财务数据进行总体分析和多维度深入挖掘。</w:t>
            </w:r>
          </w:p>
        </w:tc>
      </w:tr>
      <w:tr w:rsidR="00C54B2F">
        <w:trPr>
          <w:trHeight w:val="828"/>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60</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行政事业板块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财务分析</w:t>
            </w:r>
            <w:r>
              <w:rPr>
                <w:rFonts w:ascii="Tahoma" w:eastAsia="等线" w:hAnsi="Tahoma" w:cs="Tahoma"/>
                <w:kern w:val="0"/>
                <w:sz w:val="22"/>
                <w:szCs w:val="22"/>
              </w:rPr>
              <w:t>-</w:t>
            </w:r>
            <w:r>
              <w:rPr>
                <w:rFonts w:ascii="Tahoma" w:eastAsia="等线" w:hAnsi="Tahoma" w:cs="Tahoma"/>
                <w:kern w:val="0"/>
                <w:sz w:val="22"/>
                <w:szCs w:val="22"/>
              </w:rPr>
              <w:t>辅助账分析</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按全覆盖审计对象分析不同维度进行分析展示。可按维度包括：时间跨度、集团系、同一预算部门、每家。</w:t>
            </w:r>
          </w:p>
        </w:tc>
      </w:tr>
      <w:tr w:rsidR="00C54B2F">
        <w:trPr>
          <w:trHeight w:val="552"/>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61</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行政事业板块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财务分析</w:t>
            </w:r>
            <w:r>
              <w:rPr>
                <w:rFonts w:ascii="Tahoma" w:eastAsia="等线" w:hAnsi="Tahoma" w:cs="Tahoma"/>
                <w:kern w:val="0"/>
                <w:sz w:val="22"/>
                <w:szCs w:val="22"/>
              </w:rPr>
              <w:t>-</w:t>
            </w:r>
            <w:r>
              <w:rPr>
                <w:rFonts w:ascii="Tahoma" w:eastAsia="等线" w:hAnsi="Tahoma" w:cs="Tahoma"/>
                <w:kern w:val="0"/>
                <w:sz w:val="22"/>
                <w:szCs w:val="22"/>
              </w:rPr>
              <w:t>其他账表分析</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对分析结果和明细需要支持标记，筛选，排序等。</w:t>
            </w:r>
          </w:p>
        </w:tc>
      </w:tr>
      <w:tr w:rsidR="00C54B2F">
        <w:trPr>
          <w:trHeight w:val="828"/>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62</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行政事业板块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财务分析</w:t>
            </w:r>
            <w:r>
              <w:rPr>
                <w:rFonts w:ascii="Tahoma" w:eastAsia="等线" w:hAnsi="Tahoma" w:cs="Tahoma"/>
                <w:kern w:val="0"/>
                <w:sz w:val="22"/>
                <w:szCs w:val="22"/>
              </w:rPr>
              <w:t>-</w:t>
            </w:r>
            <w:r>
              <w:rPr>
                <w:rFonts w:ascii="Tahoma" w:eastAsia="等线" w:hAnsi="Tahoma" w:cs="Tahoma"/>
                <w:kern w:val="0"/>
                <w:sz w:val="22"/>
                <w:szCs w:val="22"/>
              </w:rPr>
              <w:t>人员经费</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对审计收集的近千家预算单位的财务数据中的人员经费支出，结合社保等其他维度数据进行分析展示。</w:t>
            </w:r>
          </w:p>
        </w:tc>
      </w:tr>
      <w:tr w:rsidR="00C54B2F">
        <w:trPr>
          <w:trHeight w:val="828"/>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63</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行政事业板块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财务分析</w:t>
            </w:r>
            <w:r>
              <w:rPr>
                <w:rFonts w:ascii="Tahoma" w:eastAsia="等线" w:hAnsi="Tahoma" w:cs="Tahoma"/>
                <w:kern w:val="0"/>
                <w:sz w:val="22"/>
                <w:szCs w:val="22"/>
              </w:rPr>
              <w:t>-</w:t>
            </w:r>
            <w:r>
              <w:rPr>
                <w:rFonts w:ascii="Tahoma" w:eastAsia="等线" w:hAnsi="Tahoma" w:cs="Tahoma"/>
                <w:kern w:val="0"/>
                <w:sz w:val="22"/>
                <w:szCs w:val="22"/>
              </w:rPr>
              <w:t>内部往来</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对审计收集的近千家预算单位的财务数据中的应收应付等往来账款，结合国库支付等其他维度数据进行分析展示。</w:t>
            </w:r>
          </w:p>
        </w:tc>
      </w:tr>
      <w:tr w:rsidR="00C54B2F">
        <w:trPr>
          <w:trHeight w:val="2208"/>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64</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行政事业板块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预算单位画像</w:t>
            </w:r>
            <w:r>
              <w:rPr>
                <w:rFonts w:ascii="Tahoma" w:eastAsia="等线" w:hAnsi="Tahoma" w:cs="Tahoma"/>
                <w:kern w:val="0"/>
                <w:sz w:val="22"/>
                <w:szCs w:val="22"/>
              </w:rPr>
              <w:t>-</w:t>
            </w:r>
            <w:r>
              <w:rPr>
                <w:rFonts w:ascii="Tahoma" w:eastAsia="等线" w:hAnsi="Tahoma" w:cs="Tahoma"/>
                <w:kern w:val="0"/>
                <w:sz w:val="22"/>
                <w:szCs w:val="22"/>
              </w:rPr>
              <w:t>基本信息</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该功能让审计人员能够概括性的对预算单位的基本情况有直观的了解，对于基础性的关键信息和统计口径能够一目了然的识别和判断，并且还可以提供如：图形化的形式对预算单位基本情况、单位性质、资金类别、人员信息、单位地址、三定信息、成立时间、上链信息，组织机构代码（统一社会信用代码）、法人信息等基本信息记性统计分析展示。</w:t>
            </w:r>
          </w:p>
        </w:tc>
      </w:tr>
      <w:tr w:rsidR="00C54B2F">
        <w:trPr>
          <w:trHeight w:val="1380"/>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65</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行政事业板块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预算单位画像</w:t>
            </w:r>
            <w:r>
              <w:rPr>
                <w:rFonts w:ascii="Tahoma" w:eastAsia="等线" w:hAnsi="Tahoma" w:cs="Tahoma"/>
                <w:kern w:val="0"/>
                <w:sz w:val="22"/>
                <w:szCs w:val="22"/>
              </w:rPr>
              <w:t>-</w:t>
            </w:r>
            <w:r>
              <w:rPr>
                <w:rFonts w:ascii="Tahoma" w:eastAsia="等线" w:hAnsi="Tahoma" w:cs="Tahoma"/>
                <w:kern w:val="0"/>
                <w:sz w:val="22"/>
                <w:szCs w:val="22"/>
              </w:rPr>
              <w:t>内设机构</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审计人员往往需要对预算单位的内设机构和分布构成有直观的了解，支持审计人员快速定位到相关负责的内设机构单位，从而快速找到问题所属机构，支持如：展现预算单位下的内设机构，以层级架构图的形式展示。</w:t>
            </w:r>
          </w:p>
        </w:tc>
      </w:tr>
      <w:tr w:rsidR="00C54B2F">
        <w:trPr>
          <w:trHeight w:val="1656"/>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lastRenderedPageBreak/>
              <w:t>66</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行政事业板块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预算单位画像</w:t>
            </w:r>
            <w:r>
              <w:rPr>
                <w:rFonts w:ascii="Tahoma" w:eastAsia="等线" w:hAnsi="Tahoma" w:cs="Tahoma"/>
                <w:kern w:val="0"/>
                <w:sz w:val="22"/>
                <w:szCs w:val="22"/>
              </w:rPr>
              <w:t>-</w:t>
            </w:r>
            <w:r>
              <w:rPr>
                <w:rFonts w:ascii="Tahoma" w:eastAsia="等线" w:hAnsi="Tahoma" w:cs="Tahoma"/>
                <w:kern w:val="0"/>
                <w:sz w:val="22"/>
                <w:szCs w:val="22"/>
              </w:rPr>
              <w:t>权利清单</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审计人员在发现审计线索时，需要对预算单位的所拥有的处罚权、行政执法权利等进行清晰的了解，可协助审计人员对问题的定性，溯源提供强有力的支撑，需要支持对应预算单位的如行政处罚，等权利清单展现和其相关性合规性的体现。</w:t>
            </w:r>
          </w:p>
        </w:tc>
      </w:tr>
      <w:tr w:rsidR="00C54B2F">
        <w:trPr>
          <w:trHeight w:val="1932"/>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67</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行政事业板块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预算单位画像</w:t>
            </w:r>
            <w:r>
              <w:rPr>
                <w:rFonts w:ascii="Tahoma" w:eastAsia="等线" w:hAnsi="Tahoma" w:cs="Tahoma"/>
                <w:kern w:val="0"/>
                <w:sz w:val="22"/>
                <w:szCs w:val="22"/>
              </w:rPr>
              <w:t>-</w:t>
            </w:r>
            <w:r>
              <w:rPr>
                <w:rFonts w:ascii="Tahoma" w:eastAsia="等线" w:hAnsi="Tahoma" w:cs="Tahoma"/>
                <w:kern w:val="0"/>
                <w:sz w:val="22"/>
                <w:szCs w:val="22"/>
              </w:rPr>
              <w:t>固定资产</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审计人员对预算单位的固定资产的了解，有助于审计人员对其资产情况分析和查证，通过相关核心指标和不同维度的趋势判断以及多维度呈现，如固定资产详情目录、固定资产数量和金额等同时也支持不同年份和不同维度的数据值的统计、筛选、排序分析等。让审计人员灵活的进行分析查证。</w:t>
            </w:r>
          </w:p>
        </w:tc>
      </w:tr>
      <w:tr w:rsidR="00C54B2F">
        <w:trPr>
          <w:trHeight w:val="828"/>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68</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行政事业板块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预算单位画像</w:t>
            </w:r>
            <w:r>
              <w:rPr>
                <w:rFonts w:ascii="Tahoma" w:eastAsia="等线" w:hAnsi="Tahoma" w:cs="Tahoma"/>
                <w:kern w:val="0"/>
                <w:sz w:val="22"/>
                <w:szCs w:val="22"/>
              </w:rPr>
              <w:t>-</w:t>
            </w:r>
            <w:r>
              <w:rPr>
                <w:rFonts w:ascii="Tahoma" w:eastAsia="等线" w:hAnsi="Tahoma" w:cs="Tahoma"/>
                <w:kern w:val="0"/>
                <w:sz w:val="22"/>
                <w:szCs w:val="22"/>
              </w:rPr>
              <w:t>收支状况</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预算单位的收支情况一直是审计人员关注的重点，如预算单位的预算编制、执行率情况、落实过</w:t>
            </w:r>
            <w:r>
              <w:rPr>
                <w:rFonts w:ascii="Tahoma" w:eastAsia="等线" w:hAnsi="Tahoma" w:cs="Tahoma"/>
                <w:kern w:val="0"/>
                <w:sz w:val="22"/>
                <w:szCs w:val="22"/>
              </w:rPr>
              <w:t>“</w:t>
            </w:r>
            <w:r>
              <w:rPr>
                <w:rFonts w:ascii="Tahoma" w:eastAsia="等线" w:hAnsi="Tahoma" w:cs="Tahoma"/>
                <w:kern w:val="0"/>
                <w:sz w:val="22"/>
                <w:szCs w:val="22"/>
              </w:rPr>
              <w:t>紧日子</w:t>
            </w:r>
            <w:r>
              <w:rPr>
                <w:rFonts w:ascii="Tahoma" w:eastAsia="等线" w:hAnsi="Tahoma" w:cs="Tahoma"/>
                <w:kern w:val="0"/>
                <w:sz w:val="22"/>
                <w:szCs w:val="22"/>
              </w:rPr>
              <w:t>”</w:t>
            </w:r>
            <w:r>
              <w:rPr>
                <w:rFonts w:ascii="Tahoma" w:eastAsia="等线" w:hAnsi="Tahoma" w:cs="Tahoma"/>
                <w:kern w:val="0"/>
                <w:sz w:val="22"/>
                <w:szCs w:val="22"/>
              </w:rPr>
              <w:t>要求是否达成等</w:t>
            </w:r>
          </w:p>
        </w:tc>
      </w:tr>
      <w:tr w:rsidR="00C54B2F">
        <w:trPr>
          <w:trHeight w:val="626"/>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69</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行政事业板块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预算单位画像</w:t>
            </w:r>
            <w:r>
              <w:rPr>
                <w:rFonts w:ascii="Tahoma" w:eastAsia="等线" w:hAnsi="Tahoma" w:cs="Tahoma"/>
                <w:kern w:val="0"/>
                <w:sz w:val="22"/>
                <w:szCs w:val="22"/>
              </w:rPr>
              <w:t>-</w:t>
            </w:r>
            <w:r>
              <w:rPr>
                <w:rFonts w:ascii="Tahoma" w:eastAsia="等线" w:hAnsi="Tahoma" w:cs="Tahoma"/>
                <w:kern w:val="0"/>
                <w:sz w:val="22"/>
                <w:szCs w:val="22"/>
              </w:rPr>
              <w:t>采购项目</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采购项目一度是审计人员发现问题的重灾区，审计人员在取得部门预算、财政部批复的部门预算、所有追加及追减预算文件的基础上，审查部门政府采购预算是否按照预算法和部门预算编制要求编制，审查是否存在已列入支出预算的货物、工程和服务未按规定编报政府采购预算；审查年中因追加预算、政府采购目录及限额标准调整或者其他原因而需要补报的政府采购项目。</w:t>
            </w:r>
          </w:p>
        </w:tc>
      </w:tr>
      <w:tr w:rsidR="00C54B2F">
        <w:trPr>
          <w:trHeight w:val="1656"/>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70</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行政事业板块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主管单位画像</w:t>
            </w:r>
            <w:r>
              <w:rPr>
                <w:rFonts w:ascii="Tahoma" w:eastAsia="等线" w:hAnsi="Tahoma" w:cs="Tahoma"/>
                <w:kern w:val="0"/>
                <w:sz w:val="22"/>
                <w:szCs w:val="22"/>
              </w:rPr>
              <w:t>-</w:t>
            </w:r>
            <w:r>
              <w:rPr>
                <w:rFonts w:ascii="Tahoma" w:eastAsia="等线" w:hAnsi="Tahoma" w:cs="Tahoma"/>
                <w:kern w:val="0"/>
                <w:sz w:val="22"/>
                <w:szCs w:val="22"/>
              </w:rPr>
              <w:t>下属单位</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以图形化展现主管单位下属的分布，展示两级、三级下属单位能够让审计人员一目了然的掌握主管单位的下属单位分布和构成情况。同时体现出下属单位的相关性以及基础信息，同时，审计人员需要以关键性的指标和分析对下属单位情况进行详细掌握。</w:t>
            </w:r>
          </w:p>
        </w:tc>
      </w:tr>
      <w:tr w:rsidR="00C54B2F">
        <w:trPr>
          <w:trHeight w:val="1104"/>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71</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行政事业板块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主管单位画像</w:t>
            </w:r>
            <w:r>
              <w:rPr>
                <w:rFonts w:ascii="Tahoma" w:eastAsia="等线" w:hAnsi="Tahoma" w:cs="Tahoma"/>
                <w:kern w:val="0"/>
                <w:sz w:val="22"/>
                <w:szCs w:val="22"/>
              </w:rPr>
              <w:t>-</w:t>
            </w:r>
            <w:r>
              <w:rPr>
                <w:rFonts w:ascii="Tahoma" w:eastAsia="等线" w:hAnsi="Tahoma" w:cs="Tahoma"/>
                <w:kern w:val="0"/>
                <w:sz w:val="22"/>
                <w:szCs w:val="22"/>
              </w:rPr>
              <w:t>单位性质</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审计人员需要对下属单位的单位性质进行了解，如社团、协会分布数量和明细。如此可以让审计人员对该主管单位下属单位的性质有初步的判断和账务</w:t>
            </w:r>
          </w:p>
        </w:tc>
      </w:tr>
      <w:tr w:rsidR="00C54B2F">
        <w:trPr>
          <w:trHeight w:val="1104"/>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72</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行政事业板块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主管单位画像</w:t>
            </w:r>
            <w:r>
              <w:rPr>
                <w:rFonts w:ascii="Tahoma" w:eastAsia="等线" w:hAnsi="Tahoma" w:cs="Tahoma"/>
                <w:kern w:val="0"/>
                <w:sz w:val="22"/>
                <w:szCs w:val="22"/>
              </w:rPr>
              <w:t>-</w:t>
            </w:r>
            <w:r>
              <w:rPr>
                <w:rFonts w:ascii="Tahoma" w:eastAsia="等线" w:hAnsi="Tahoma" w:cs="Tahoma"/>
                <w:kern w:val="0"/>
                <w:sz w:val="22"/>
                <w:szCs w:val="22"/>
              </w:rPr>
              <w:t>项目情况</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主管单位的项目情况反映了该主管单位涉及的领域以及项目的进展情况，审计人员可以根据目前的审计重点工作相结合，有重点的对涉及的项目进行重点查证分析</w:t>
            </w:r>
          </w:p>
        </w:tc>
      </w:tr>
      <w:tr w:rsidR="00C54B2F">
        <w:trPr>
          <w:trHeight w:val="1104"/>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73</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行政事业板块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主管单位画像</w:t>
            </w:r>
            <w:r>
              <w:rPr>
                <w:rFonts w:ascii="Tahoma" w:eastAsia="等线" w:hAnsi="Tahoma" w:cs="Tahoma"/>
                <w:kern w:val="0"/>
                <w:sz w:val="22"/>
                <w:szCs w:val="22"/>
              </w:rPr>
              <w:t>-</w:t>
            </w:r>
            <w:r>
              <w:rPr>
                <w:rFonts w:ascii="Tahoma" w:eastAsia="等线" w:hAnsi="Tahoma" w:cs="Tahoma"/>
                <w:kern w:val="0"/>
                <w:sz w:val="22"/>
                <w:szCs w:val="22"/>
              </w:rPr>
              <w:t>审计情况</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审计人员需要以图形化的方式展示审计人员对当前的主管单位审计情况，如按审计类型、问题类型对审计情况分析展现，基于当前主管单位详细情况进行重点展示</w:t>
            </w:r>
          </w:p>
        </w:tc>
      </w:tr>
      <w:tr w:rsidR="00C54B2F">
        <w:trPr>
          <w:trHeight w:val="2208"/>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lastRenderedPageBreak/>
              <w:t>74</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行政事业板块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主管单位画像</w:t>
            </w:r>
            <w:r>
              <w:rPr>
                <w:rFonts w:ascii="Tahoma" w:eastAsia="等线" w:hAnsi="Tahoma" w:cs="Tahoma"/>
                <w:kern w:val="0"/>
                <w:sz w:val="22"/>
                <w:szCs w:val="22"/>
              </w:rPr>
              <w:t>-</w:t>
            </w:r>
            <w:r>
              <w:rPr>
                <w:rFonts w:ascii="Tahoma" w:eastAsia="等线" w:hAnsi="Tahoma" w:cs="Tahoma"/>
                <w:kern w:val="0"/>
                <w:sz w:val="22"/>
                <w:szCs w:val="22"/>
              </w:rPr>
              <w:t>资金排列</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对于主管单位及其下属单位的资金排列情况，可以给与审计人员以不同维度的视角进行审计重点的确认和分析查证，如：按资金总数、项目数、单位数、资金总量、收入总量、支出总量、不同维度、资金来源、项目资金进行排列。可清晰直观将如资金量过大、支出总量过大的主管单位或其下属单位确定为审计重点，进行有的放矢的审计工作。</w:t>
            </w:r>
          </w:p>
        </w:tc>
      </w:tr>
      <w:tr w:rsidR="00C54B2F">
        <w:trPr>
          <w:trHeight w:val="2208"/>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75</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行政事业板块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主管单位画像</w:t>
            </w:r>
            <w:r>
              <w:rPr>
                <w:rFonts w:ascii="Tahoma" w:eastAsia="等线" w:hAnsi="Tahoma" w:cs="Tahoma"/>
                <w:kern w:val="0"/>
                <w:sz w:val="22"/>
                <w:szCs w:val="22"/>
              </w:rPr>
              <w:t>-</w:t>
            </w:r>
            <w:r>
              <w:rPr>
                <w:rFonts w:ascii="Tahoma" w:eastAsia="等线" w:hAnsi="Tahoma" w:cs="Tahoma" w:hint="eastAsia"/>
                <w:kern w:val="0"/>
                <w:sz w:val="22"/>
                <w:szCs w:val="22"/>
              </w:rPr>
              <w:t>资产总量</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hint="eastAsia"/>
                <w:kern w:val="0"/>
                <w:sz w:val="22"/>
                <w:szCs w:val="22"/>
              </w:rPr>
              <w:t>资产总量反应了主管单位的资产情况，尤其是某些特殊领域的资产情况也是审计重点需要查证分析的，所以支持如：图形化的形式统计分析主管单位及其下属单位的资产总量情况和资产分布。如资产结构分布、资产历年变化趋势、资产明细情况。对于重点关注类目（如房屋等）进行详细分析。支持按类别、按年份、按所属单位进行筛选统计分析，对于资产明细可进行资产条目、时间、资产类编等筛选统计分析</w:t>
            </w:r>
            <w:r>
              <w:rPr>
                <w:rFonts w:ascii="Tahoma" w:eastAsia="等线" w:hAnsi="Tahoma" w:cs="Tahoma"/>
                <w:kern w:val="0"/>
                <w:sz w:val="22"/>
                <w:szCs w:val="22"/>
              </w:rPr>
              <w:t>。</w:t>
            </w:r>
          </w:p>
        </w:tc>
      </w:tr>
      <w:tr w:rsidR="00C54B2F">
        <w:trPr>
          <w:trHeight w:val="1656"/>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76</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行业监督应用</w:t>
            </w:r>
            <w:r>
              <w:rPr>
                <w:rFonts w:ascii="Tahoma" w:eastAsia="等线" w:hAnsi="Tahoma" w:cs="Tahoma"/>
                <w:kern w:val="0"/>
                <w:sz w:val="22"/>
                <w:szCs w:val="22"/>
              </w:rPr>
              <w:t>-</w:t>
            </w:r>
            <w:r>
              <w:rPr>
                <w:rFonts w:ascii="等线" w:eastAsia="等线" w:hAnsi="等线" w:cs="Tahoma" w:hint="eastAsia"/>
                <w:kern w:val="0"/>
                <w:sz w:val="22"/>
                <w:szCs w:val="22"/>
              </w:rPr>
              <w:t>行政事业板块</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主管单位画像</w:t>
            </w:r>
            <w:r>
              <w:rPr>
                <w:rFonts w:ascii="Tahoma" w:eastAsia="等线" w:hAnsi="Tahoma" w:cs="Tahoma"/>
                <w:kern w:val="0"/>
                <w:sz w:val="22"/>
                <w:szCs w:val="22"/>
              </w:rPr>
              <w:t>-</w:t>
            </w:r>
            <w:r>
              <w:rPr>
                <w:rFonts w:ascii="Tahoma" w:eastAsia="等线" w:hAnsi="Tahoma" w:cs="Tahoma"/>
                <w:kern w:val="0"/>
                <w:sz w:val="22"/>
                <w:szCs w:val="22"/>
              </w:rPr>
              <w:t>异常分析</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审计人员往往对某些重点领域会特别关注：如对下属单位执行率、三公执行率、支出均衡性、内部往来和公务用车等异常情况，通常，审计人员以以关键指标和图形化展现进行查证和分析，并支持使用多维度的视角（如按功能科目、按时间、按不同主题等）进行分析。</w:t>
            </w:r>
          </w:p>
        </w:tc>
      </w:tr>
      <w:tr w:rsidR="00C54B2F">
        <w:trPr>
          <w:trHeight w:val="2208"/>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77</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审计探索场景</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上下游交易链</w:t>
            </w:r>
            <w:r>
              <w:rPr>
                <w:rFonts w:ascii="Tahoma" w:eastAsia="等线" w:hAnsi="Tahoma" w:cs="Tahoma"/>
                <w:kern w:val="0"/>
                <w:sz w:val="22"/>
                <w:szCs w:val="22"/>
              </w:rPr>
              <w:t>-</w:t>
            </w:r>
            <w:r>
              <w:rPr>
                <w:rFonts w:ascii="Tahoma" w:eastAsia="等线" w:hAnsi="Tahoma" w:cs="Tahoma"/>
                <w:kern w:val="0"/>
                <w:sz w:val="22"/>
                <w:szCs w:val="22"/>
              </w:rPr>
              <w:t>链路扩展</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上下游交易链能够帮助审计人员对某企业的上下游及相关性进行充分的判断和了解，提供该企业上下游多年份多维度的上下游交易情况，同时展示其交易明细，多维度的变化趋势等。需要支撑的功能如：上下游交易链功能支持查看</w:t>
            </w:r>
            <w:r>
              <w:rPr>
                <w:rFonts w:ascii="Tahoma" w:eastAsia="等线" w:hAnsi="Tahoma" w:cs="Tahoma"/>
                <w:kern w:val="0"/>
                <w:sz w:val="22"/>
                <w:szCs w:val="22"/>
              </w:rPr>
              <w:t>top20</w:t>
            </w:r>
            <w:r>
              <w:rPr>
                <w:rFonts w:ascii="Tahoma" w:eastAsia="等线" w:hAnsi="Tahoma" w:cs="Tahoma"/>
                <w:kern w:val="0"/>
                <w:sz w:val="22"/>
                <w:szCs w:val="22"/>
              </w:rPr>
              <w:t>，</w:t>
            </w:r>
            <w:r>
              <w:rPr>
                <w:rFonts w:ascii="Tahoma" w:eastAsia="等线" w:hAnsi="Tahoma" w:cs="Tahoma"/>
                <w:kern w:val="0"/>
                <w:sz w:val="22"/>
                <w:szCs w:val="22"/>
              </w:rPr>
              <w:t>top50</w:t>
            </w:r>
            <w:r>
              <w:rPr>
                <w:rFonts w:ascii="Tahoma" w:eastAsia="等线" w:hAnsi="Tahoma" w:cs="Tahoma"/>
                <w:kern w:val="0"/>
                <w:sz w:val="22"/>
                <w:szCs w:val="22"/>
              </w:rPr>
              <w:t>甚至更多的选项。在每个公司节点上，汇总展示该公司年度总开出发票金额，和总收到发票金额。</w:t>
            </w:r>
          </w:p>
        </w:tc>
      </w:tr>
      <w:tr w:rsidR="00C54B2F">
        <w:trPr>
          <w:trHeight w:val="1104"/>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78</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审计探索场景</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上下游交易链</w:t>
            </w:r>
            <w:r>
              <w:rPr>
                <w:rFonts w:ascii="Tahoma" w:eastAsia="等线" w:hAnsi="Tahoma" w:cs="Tahoma"/>
                <w:kern w:val="0"/>
                <w:sz w:val="22"/>
                <w:szCs w:val="22"/>
              </w:rPr>
              <w:t>-</w:t>
            </w:r>
            <w:r>
              <w:rPr>
                <w:rFonts w:ascii="Tahoma" w:eastAsia="等线" w:hAnsi="Tahoma" w:cs="Tahoma"/>
                <w:kern w:val="0"/>
                <w:sz w:val="22"/>
                <w:szCs w:val="22"/>
              </w:rPr>
              <w:t>主体配置</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审计人员需要灵活的对上下游交易链中出现的主体进行层层递进和深度挖掘，对与在交易链中出现的主体，需要支持如：直接切换中心企业，同时数据也能够对应联动展现</w:t>
            </w:r>
          </w:p>
        </w:tc>
      </w:tr>
      <w:tr w:rsidR="00C54B2F">
        <w:trPr>
          <w:trHeight w:val="1656"/>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79</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审计探索场景</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关联关系穿透</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审计人员需要对企业的股权关联关系进行清晰的掌握，方便审计人员进行穿透式分析，完成如背后同一实控人或为关联公司等场景的判断，辅助结合企业画像、交易情况等信息定位潜在的关系交易，发现审计线索和疑点，针对当前企业关联关系情况进行分析</w:t>
            </w:r>
          </w:p>
        </w:tc>
      </w:tr>
      <w:tr w:rsidR="00C54B2F">
        <w:trPr>
          <w:trHeight w:val="2760"/>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lastRenderedPageBreak/>
              <w:t>80</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审计探索场景</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购销品类分析</w:t>
            </w:r>
            <w:r>
              <w:rPr>
                <w:rFonts w:ascii="Tahoma" w:eastAsia="等线" w:hAnsi="Tahoma" w:cs="Tahoma"/>
                <w:kern w:val="0"/>
                <w:sz w:val="22"/>
                <w:szCs w:val="22"/>
              </w:rPr>
              <w:t>-</w:t>
            </w:r>
            <w:r>
              <w:rPr>
                <w:rFonts w:ascii="Tahoma" w:eastAsia="等线" w:hAnsi="Tahoma" w:cs="Tahoma"/>
                <w:kern w:val="0"/>
                <w:sz w:val="22"/>
                <w:szCs w:val="22"/>
              </w:rPr>
              <w:t>货物品类分析</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审计人员对交易的购方销方需要以多维的视角进行审计分析和查证。所以首先购销品类分析支持购方和销方的维度切换，其次对于不同层级品类维度，需要让审计人员清晰的掌握该品类下的货物结构、占比、明细分类等，并使用图形化的展示方式直观体现，对于审计人员发现的可疑的货物分类占比异常、结构异常等情况，支持不同时间维度分析查证和明细说明，同时支持附加条件的多重筛选和查询分析，实现审计疑点的穿透式分析。</w:t>
            </w:r>
          </w:p>
        </w:tc>
      </w:tr>
      <w:tr w:rsidR="00C54B2F">
        <w:trPr>
          <w:trHeight w:val="1656"/>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81</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审计探索场景</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购销品类分析</w:t>
            </w:r>
            <w:r>
              <w:rPr>
                <w:rFonts w:ascii="Tahoma" w:eastAsia="等线" w:hAnsi="Tahoma" w:cs="Tahoma"/>
                <w:kern w:val="0"/>
                <w:sz w:val="22"/>
                <w:szCs w:val="22"/>
              </w:rPr>
              <w:t>-</w:t>
            </w:r>
            <w:r>
              <w:rPr>
                <w:rFonts w:ascii="Tahoma" w:eastAsia="等线" w:hAnsi="Tahoma" w:cs="Tahoma"/>
                <w:kern w:val="0"/>
                <w:sz w:val="22"/>
                <w:szCs w:val="22"/>
              </w:rPr>
              <w:t>层级下钻</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审计穿透式的分析需要按照货物品类的多重层级进行层层下钻，如在多个一级货物分类下，需要贯穿式展现其下属层级的货物品品类详细情况，并可选择具体某一下级分类进行分析查证，查证内容包括如：占比情况，排序情况等多维分析角度，并以可视化的方式呈现。</w:t>
            </w:r>
          </w:p>
        </w:tc>
      </w:tr>
      <w:tr w:rsidR="00C54B2F">
        <w:trPr>
          <w:trHeight w:val="3864"/>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82</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审计探索场景</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组织架构分析</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行政事业单位的组织架构体现了行政事业单位各个处室和机构的架构和从属关系，其中大部分架构和从属关系以树状结构进行分布和排列，审计人员可从该结构中清晰梳理出整体行政事业单位的脉络架构和权责所属关系，方便审计人员精确定位到具体处室和机构，同时对于复杂的组织架构，支持审计人员灵活的进行层次的扩展与收缩，也可以聚焦于某一局部的处室和下属机构，同时还支持关键目标的精准定位，重要指标的排列展示的查证分析方法，基于重要指标数据，还可支持审计人员穿透式的进行同级对比和全局对比，并可以按时间时间跨度，板块等多维度进行数据联动的分析查证。</w:t>
            </w:r>
          </w:p>
        </w:tc>
      </w:tr>
      <w:tr w:rsidR="00C54B2F">
        <w:trPr>
          <w:trHeight w:val="3312"/>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83</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审计工具箱</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管理工具</w:t>
            </w:r>
            <w:r>
              <w:rPr>
                <w:rFonts w:ascii="Tahoma" w:eastAsia="等线" w:hAnsi="Tahoma" w:cs="Tahoma"/>
                <w:kern w:val="0"/>
                <w:sz w:val="22"/>
                <w:szCs w:val="22"/>
              </w:rPr>
              <w:t>-</w:t>
            </w:r>
            <w:r>
              <w:rPr>
                <w:rFonts w:ascii="Tahoma" w:eastAsia="等线" w:hAnsi="Tahoma" w:cs="Tahoma"/>
                <w:kern w:val="0"/>
                <w:sz w:val="22"/>
                <w:szCs w:val="22"/>
              </w:rPr>
              <w:t>定时扫描</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w:t>
            </w:r>
            <w:r>
              <w:rPr>
                <w:rFonts w:ascii="Tahoma" w:eastAsia="等线" w:hAnsi="Tahoma" w:cs="Tahoma"/>
                <w:kern w:val="0"/>
                <w:sz w:val="22"/>
                <w:szCs w:val="22"/>
              </w:rPr>
              <w:t>常审常新</w:t>
            </w:r>
            <w:r>
              <w:rPr>
                <w:rFonts w:ascii="Tahoma" w:eastAsia="等线" w:hAnsi="Tahoma" w:cs="Tahoma"/>
                <w:kern w:val="0"/>
                <w:sz w:val="22"/>
                <w:szCs w:val="22"/>
              </w:rPr>
              <w:t>”</w:t>
            </w:r>
            <w:r>
              <w:rPr>
                <w:rFonts w:ascii="Tahoma" w:eastAsia="等线" w:hAnsi="Tahoma" w:cs="Tahoma"/>
                <w:kern w:val="0"/>
                <w:sz w:val="22"/>
                <w:szCs w:val="22"/>
              </w:rPr>
              <w:t>是审计突出的要求，审计人员需要周期性、阶段性的审计对审计主体进行充分的审计查证分析，以往过程中，对于沉淀的场景无法做到周期性、阶段性的</w:t>
            </w:r>
            <w:r>
              <w:rPr>
                <w:rFonts w:ascii="Tahoma" w:eastAsia="等线" w:hAnsi="Tahoma" w:cs="Tahoma"/>
                <w:kern w:val="0"/>
                <w:sz w:val="22"/>
                <w:szCs w:val="22"/>
              </w:rPr>
              <w:t>“</w:t>
            </w:r>
            <w:r>
              <w:rPr>
                <w:rFonts w:ascii="Tahoma" w:eastAsia="等线" w:hAnsi="Tahoma" w:cs="Tahoma"/>
                <w:kern w:val="0"/>
                <w:sz w:val="22"/>
                <w:szCs w:val="22"/>
              </w:rPr>
              <w:t>回头看</w:t>
            </w:r>
            <w:r>
              <w:rPr>
                <w:rFonts w:ascii="Tahoma" w:eastAsia="等线" w:hAnsi="Tahoma" w:cs="Tahoma"/>
                <w:kern w:val="0"/>
                <w:sz w:val="22"/>
                <w:szCs w:val="22"/>
              </w:rPr>
              <w:t>”</w:t>
            </w:r>
            <w:r>
              <w:rPr>
                <w:rFonts w:ascii="Tahoma" w:eastAsia="等线" w:hAnsi="Tahoma" w:cs="Tahoma"/>
                <w:kern w:val="0"/>
                <w:sz w:val="22"/>
                <w:szCs w:val="22"/>
              </w:rPr>
              <w:t>，故对于典型和常用的审计场景，需要审计人员持续的关注，对于场景抽象出的模型需要周期性的进行定时扫描，审计人员可以对扫描任务进行统一管理配置，并可对单一扫描任务重的主体、执行图谱等多个维度进行定义，同时也可支持审计人员对扫描结果进行推送。可自动化的支持常规的、典型的周期性审计任务的判断和分析查证。</w:t>
            </w:r>
          </w:p>
        </w:tc>
      </w:tr>
      <w:tr w:rsidR="00C54B2F">
        <w:trPr>
          <w:trHeight w:val="2760"/>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lastRenderedPageBreak/>
              <w:t>84</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审计工具箱</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管理工具</w:t>
            </w:r>
            <w:r>
              <w:rPr>
                <w:rFonts w:ascii="Tahoma" w:eastAsia="等线" w:hAnsi="Tahoma" w:cs="Tahoma"/>
                <w:kern w:val="0"/>
                <w:sz w:val="22"/>
                <w:szCs w:val="22"/>
              </w:rPr>
              <w:t>-</w:t>
            </w:r>
            <w:r>
              <w:rPr>
                <w:rFonts w:ascii="Tahoma" w:eastAsia="等线" w:hAnsi="Tahoma" w:cs="Tahoma"/>
                <w:kern w:val="0"/>
                <w:sz w:val="22"/>
                <w:szCs w:val="22"/>
              </w:rPr>
              <w:t>定时调度</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审计人员在审计过程中，往往以阶段性专项、主体进行审计任务推进，故对于周期性的定时扫描需要依照审计人员当前的阶段任务特点进行合理的策略调整，如对扫描周期和频次的调整，支持按月、按周、按日等自然日历的维度，同时也支持每周</w:t>
            </w:r>
            <w:r>
              <w:rPr>
                <w:rFonts w:ascii="Tahoma" w:eastAsia="等线" w:hAnsi="Tahoma" w:cs="Tahoma"/>
                <w:kern w:val="0"/>
                <w:sz w:val="22"/>
                <w:szCs w:val="22"/>
              </w:rPr>
              <w:t>/</w:t>
            </w:r>
            <w:r>
              <w:rPr>
                <w:rFonts w:ascii="Tahoma" w:eastAsia="等线" w:hAnsi="Tahoma" w:cs="Tahoma"/>
                <w:kern w:val="0"/>
                <w:sz w:val="22"/>
                <w:szCs w:val="22"/>
              </w:rPr>
              <w:t>每月第</w:t>
            </w:r>
            <w:r>
              <w:rPr>
                <w:rFonts w:ascii="Tahoma" w:eastAsia="等线" w:hAnsi="Tahoma" w:cs="Tahoma"/>
                <w:kern w:val="0"/>
                <w:sz w:val="22"/>
                <w:szCs w:val="22"/>
              </w:rPr>
              <w:t>X</w:t>
            </w:r>
            <w:r>
              <w:rPr>
                <w:rFonts w:ascii="Tahoma" w:eastAsia="等线" w:hAnsi="Tahoma" w:cs="Tahoma"/>
                <w:kern w:val="0"/>
                <w:sz w:val="22"/>
                <w:szCs w:val="22"/>
              </w:rPr>
              <w:t>天等的灵活设置，对于扫描出的疑点还可以根据审计人员自身需要，进行重要性、提示性的配置，灵活的满足审计人员在各阶段不同的审计重点的支撑和疑点关注。</w:t>
            </w:r>
          </w:p>
        </w:tc>
      </w:tr>
      <w:tr w:rsidR="00C54B2F">
        <w:trPr>
          <w:trHeight w:val="3036"/>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85</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审计工具箱</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管理工具</w:t>
            </w:r>
            <w:r>
              <w:rPr>
                <w:rFonts w:ascii="Tahoma" w:eastAsia="等线" w:hAnsi="Tahoma" w:cs="Tahoma"/>
                <w:kern w:val="0"/>
                <w:sz w:val="22"/>
                <w:szCs w:val="22"/>
              </w:rPr>
              <w:t>-</w:t>
            </w:r>
            <w:r>
              <w:rPr>
                <w:rFonts w:ascii="Tahoma" w:eastAsia="等线" w:hAnsi="Tahoma" w:cs="Tahoma"/>
                <w:kern w:val="0"/>
                <w:sz w:val="22"/>
                <w:szCs w:val="22"/>
              </w:rPr>
              <w:t>图谱查证</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审计人员对于图谱的查证往往是基于某个特定的审计场景，但是审计人员同时需要以企业或行政事业单位等主体的角度进行图谱查证结果的分析，这些主体可能出现在一个或者多个的审计场景下，可能存在作为风险线索的关键疑点企业，也可能仅是相关疑点的关联企业，所以我们需要支持审计人员以业务主体的视角出发，将该主体图谱查证后的结果进行分析展示，包括涉及到的多个场景和场景中的具体定位，已经风险程度，方便审计人员对该主体的疑点判断提供强有力的支撑和佐证。</w:t>
            </w:r>
          </w:p>
        </w:tc>
      </w:tr>
      <w:tr w:rsidR="00C54B2F">
        <w:trPr>
          <w:trHeight w:val="2760"/>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86</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审计工具箱</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管理工具</w:t>
            </w:r>
            <w:r>
              <w:rPr>
                <w:rFonts w:ascii="Tahoma" w:eastAsia="等线" w:hAnsi="Tahoma" w:cs="Tahoma"/>
                <w:kern w:val="0"/>
                <w:sz w:val="22"/>
                <w:szCs w:val="22"/>
              </w:rPr>
              <w:t>-</w:t>
            </w:r>
            <w:r>
              <w:rPr>
                <w:rFonts w:ascii="Tahoma" w:eastAsia="等线" w:hAnsi="Tahoma" w:cs="Tahoma"/>
                <w:kern w:val="0"/>
                <w:sz w:val="22"/>
                <w:szCs w:val="22"/>
              </w:rPr>
              <w:t>图谱配置</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图谱上的节点信息和关系信息随着时间的边变化在逐渐演变，对于审计人员希望使用到最新的数据信息支持对审计场景和可疑节点的查证分析，所以需要对图谱更新情况进行管理，所以图谱配置可支持图谱更新策略、启用停用及其他配置信息的管理操作，另外审计人员对于模型的应用也可能对历史图谱数据进行回溯和分析比对，所以对于历史图谱的保存配置和管理也为审计人员对于数据前后演进和变化提供良好的支撑。</w:t>
            </w:r>
          </w:p>
        </w:tc>
      </w:tr>
      <w:tr w:rsidR="00C54B2F" w:rsidTr="00AF7AC9">
        <w:trPr>
          <w:trHeight w:val="417"/>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87</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审计工具箱</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管理工具</w:t>
            </w:r>
            <w:r>
              <w:rPr>
                <w:rFonts w:ascii="Tahoma" w:eastAsia="等线" w:hAnsi="Tahoma" w:cs="Tahoma"/>
                <w:kern w:val="0"/>
                <w:sz w:val="22"/>
                <w:szCs w:val="22"/>
              </w:rPr>
              <w:t>-</w:t>
            </w:r>
            <w:r>
              <w:rPr>
                <w:rFonts w:ascii="Tahoma" w:eastAsia="等线" w:hAnsi="Tahoma" w:cs="Tahoma"/>
                <w:kern w:val="0"/>
                <w:sz w:val="22"/>
                <w:szCs w:val="22"/>
              </w:rPr>
              <w:t>模型配置</w:t>
            </w:r>
            <w:r>
              <w:rPr>
                <w:rFonts w:ascii="Tahoma" w:eastAsia="等线" w:hAnsi="Tahoma" w:cs="Tahoma"/>
                <w:kern w:val="0"/>
                <w:sz w:val="22"/>
                <w:szCs w:val="22"/>
              </w:rPr>
              <w:t>-</w:t>
            </w:r>
            <w:r>
              <w:rPr>
                <w:rFonts w:ascii="Tahoma" w:eastAsia="等线" w:hAnsi="Tahoma" w:cs="Tahoma"/>
                <w:kern w:val="0"/>
                <w:sz w:val="22"/>
                <w:szCs w:val="22"/>
              </w:rPr>
              <w:t>模板定义</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模板定义支持审计人员对常见的相对固化的场景以模板的形式进行配置，一方面模板可以为审计人员提供良好的场景抽象能力，审计人员在多重场景下只需要修改特定日期、条件即可将相似的场景进行覆盖，如之前针对企业的国企任职高管亲属在经商并与国企有业务往来的场景，在行政事业单位板块，可以抽象该场景为模板，将原有对节点的类型设定改为行政事业单位以及其他相关条件的修改，即可复用该场景，另一方面对于特定场景下，审计人员可以对比模板的不同参</w:t>
            </w:r>
            <w:r>
              <w:rPr>
                <w:rFonts w:ascii="Tahoma" w:eastAsia="等线" w:hAnsi="Tahoma" w:cs="Tahoma"/>
                <w:kern w:val="0"/>
                <w:sz w:val="22"/>
                <w:szCs w:val="22"/>
              </w:rPr>
              <w:lastRenderedPageBreak/>
              <w:t>数，以灵活的方式进行优化和比对，提升审计人员效率。</w:t>
            </w:r>
          </w:p>
        </w:tc>
      </w:tr>
      <w:tr w:rsidR="00C54B2F">
        <w:trPr>
          <w:trHeight w:val="732"/>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88</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审计工具箱</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管理工具</w:t>
            </w:r>
            <w:r>
              <w:rPr>
                <w:rFonts w:ascii="Tahoma" w:eastAsia="等线" w:hAnsi="Tahoma" w:cs="Tahoma"/>
                <w:kern w:val="0"/>
                <w:sz w:val="22"/>
                <w:szCs w:val="22"/>
              </w:rPr>
              <w:t>-</w:t>
            </w:r>
            <w:r>
              <w:rPr>
                <w:rFonts w:ascii="Tahoma" w:eastAsia="等线" w:hAnsi="Tahoma" w:cs="Tahoma"/>
                <w:kern w:val="0"/>
                <w:sz w:val="22"/>
                <w:szCs w:val="22"/>
              </w:rPr>
              <w:t>模型配置</w:t>
            </w:r>
            <w:r>
              <w:rPr>
                <w:rFonts w:ascii="Tahoma" w:eastAsia="等线" w:hAnsi="Tahoma" w:cs="Tahoma"/>
                <w:kern w:val="0"/>
                <w:sz w:val="22"/>
                <w:szCs w:val="22"/>
              </w:rPr>
              <w:t>-</w:t>
            </w:r>
            <w:r>
              <w:rPr>
                <w:rFonts w:ascii="Tahoma" w:eastAsia="等线" w:hAnsi="Tahoma" w:cs="Tahoma"/>
                <w:kern w:val="0"/>
                <w:sz w:val="22"/>
                <w:szCs w:val="22"/>
              </w:rPr>
              <w:t>脚本参数化</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结构化模型配置：审计场景中较为场景的一种分析形式是确定某种特定结构下的关联关系分析，需要审计人员支持对特定结构的结构化配置，以及对于该结构中主体和关系的配置，同时灵活的增加限定和筛选条件，并且在画布上支持多维度可视化操作（以托拉拽的方式配置点边种类、条件、属性等），并需要支持结构化生成语句，当审计人员完成该结构化特定场景配置，还需对这些配置进行管理，从而有效支持审计人员对特定结构场景下的审计模式进行查证分析和挖掘。</w:t>
            </w:r>
          </w:p>
        </w:tc>
      </w:tr>
      <w:tr w:rsidR="00C54B2F">
        <w:trPr>
          <w:trHeight w:val="3312"/>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89</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审计工具箱</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管理工具</w:t>
            </w:r>
            <w:r>
              <w:rPr>
                <w:rFonts w:ascii="Tahoma" w:eastAsia="等线" w:hAnsi="Tahoma" w:cs="Tahoma"/>
                <w:kern w:val="0"/>
                <w:sz w:val="22"/>
                <w:szCs w:val="22"/>
              </w:rPr>
              <w:t>-</w:t>
            </w:r>
            <w:r>
              <w:rPr>
                <w:rFonts w:ascii="Tahoma" w:eastAsia="等线" w:hAnsi="Tahoma" w:cs="Tahoma"/>
                <w:kern w:val="0"/>
                <w:sz w:val="22"/>
                <w:szCs w:val="22"/>
              </w:rPr>
              <w:t>模型配置</w:t>
            </w:r>
            <w:r>
              <w:rPr>
                <w:rFonts w:ascii="Tahoma" w:eastAsia="等线" w:hAnsi="Tahoma" w:cs="Tahoma"/>
                <w:kern w:val="0"/>
                <w:sz w:val="22"/>
                <w:szCs w:val="22"/>
              </w:rPr>
              <w:t>-</w:t>
            </w:r>
            <w:r>
              <w:rPr>
                <w:rFonts w:ascii="Tahoma" w:eastAsia="等线" w:hAnsi="Tahoma" w:cs="Tahoma"/>
                <w:kern w:val="0"/>
                <w:sz w:val="22"/>
                <w:szCs w:val="22"/>
              </w:rPr>
              <w:t>结构化生成</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针对图谱查询语句较为复杂的场景，审计人员无法有效的将审计业务逻辑恰当的应用在复杂的场景中，因此，需要支持审计人员简单的参数化配置对审计场景进行抽象，通过固化常用的审计模型并开发参数化的配置能力能有效的提高审计人员将审计业务逻辑耦合进图谱查询语句，不但支持业务逻辑的参数化配置调整，也可支持对参数的阈值调整，支持对流向，出入度，关系限定条件等多维度的支持，保证审计人员对业务场景应用在模型上的灵活性。同时对于多维参数化，参数阈值进行可视化的管理及调整。</w:t>
            </w:r>
          </w:p>
        </w:tc>
      </w:tr>
      <w:tr w:rsidR="00C54B2F">
        <w:trPr>
          <w:trHeight w:val="1656"/>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90</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审计工具箱</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分析工具</w:t>
            </w:r>
            <w:r>
              <w:rPr>
                <w:rFonts w:ascii="Tahoma" w:eastAsia="等线" w:hAnsi="Tahoma" w:cs="Tahoma"/>
                <w:kern w:val="0"/>
                <w:sz w:val="22"/>
                <w:szCs w:val="22"/>
              </w:rPr>
              <w:t>-</w:t>
            </w:r>
            <w:r>
              <w:rPr>
                <w:rFonts w:ascii="Tahoma" w:eastAsia="等线" w:hAnsi="Tahoma" w:cs="Tahoma"/>
                <w:kern w:val="0"/>
                <w:sz w:val="22"/>
                <w:szCs w:val="22"/>
              </w:rPr>
              <w:t>蓝图定义</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审计人员对于底层的蓝图数据需要进行抽象，将企业、自然人、项目等主体、资金情况，亲属关系等进行抽象，形成审计分析场景的基础关系，通过审计人员的审计经验，将各种主体及关系进行场景应用，帮助审计人员发现潜在疑点和问题定位。</w:t>
            </w:r>
          </w:p>
        </w:tc>
      </w:tr>
      <w:tr w:rsidR="00C54B2F">
        <w:trPr>
          <w:trHeight w:val="552"/>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91</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密码应用改造</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用户身份认证机制模块</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开发用户身份认证机制模块，调用云平台提供的安全认证网关服务接口，实现身份的鉴别。</w:t>
            </w:r>
          </w:p>
        </w:tc>
      </w:tr>
      <w:tr w:rsidR="00C54B2F">
        <w:trPr>
          <w:trHeight w:val="828"/>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92</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密码应用改造</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业务重要数据安全传输模块</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开发业务重要数据安全传输模块，调用云平台提供的安全认证网关服务接口，实现应用系统通信数据的机密性和完整性保护。</w:t>
            </w:r>
          </w:p>
        </w:tc>
      </w:tr>
      <w:tr w:rsidR="00C54B2F">
        <w:trPr>
          <w:trHeight w:val="828"/>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93</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密码应用改造</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业务应用日志</w:t>
            </w:r>
            <w:r>
              <w:rPr>
                <w:rFonts w:ascii="Tahoma" w:eastAsia="等线" w:hAnsi="Tahoma" w:cs="Tahoma"/>
                <w:kern w:val="0"/>
                <w:sz w:val="22"/>
                <w:szCs w:val="22"/>
              </w:rPr>
              <w:t>/</w:t>
            </w:r>
            <w:r>
              <w:rPr>
                <w:rFonts w:ascii="Tahoma" w:eastAsia="等线" w:hAnsi="Tahoma" w:cs="Tahoma"/>
                <w:kern w:val="0"/>
                <w:sz w:val="22"/>
                <w:szCs w:val="22"/>
              </w:rPr>
              <w:t>访问日志完整性模块</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开发业务应用日志</w:t>
            </w:r>
            <w:r>
              <w:rPr>
                <w:rFonts w:ascii="Tahoma" w:eastAsia="等线" w:hAnsi="Tahoma" w:cs="Tahoma"/>
                <w:kern w:val="0"/>
                <w:sz w:val="22"/>
                <w:szCs w:val="22"/>
              </w:rPr>
              <w:t>/</w:t>
            </w:r>
            <w:r>
              <w:rPr>
                <w:rFonts w:ascii="Tahoma" w:eastAsia="等线" w:hAnsi="Tahoma" w:cs="Tahoma"/>
                <w:kern w:val="0"/>
                <w:sz w:val="22"/>
                <w:szCs w:val="22"/>
              </w:rPr>
              <w:t>访问日志完整性模块，调用云平台提供的签名验签服务接口，实现对应用日志及访问日的完整性保护。</w:t>
            </w:r>
          </w:p>
        </w:tc>
      </w:tr>
      <w:tr w:rsidR="00C54B2F">
        <w:trPr>
          <w:trHeight w:val="1104"/>
        </w:trPr>
        <w:tc>
          <w:tcPr>
            <w:tcW w:w="960" w:type="dxa"/>
            <w:tcBorders>
              <w:top w:val="nil"/>
              <w:left w:val="single" w:sz="4" w:space="0" w:color="auto"/>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94</w:t>
            </w:r>
          </w:p>
        </w:tc>
        <w:tc>
          <w:tcPr>
            <w:tcW w:w="164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等线" w:eastAsia="等线" w:hAnsi="等线" w:cs="Tahoma" w:hint="eastAsia"/>
                <w:kern w:val="0"/>
                <w:sz w:val="22"/>
                <w:szCs w:val="22"/>
              </w:rPr>
              <w:t>密码应用改造</w:t>
            </w:r>
          </w:p>
        </w:tc>
        <w:tc>
          <w:tcPr>
            <w:tcW w:w="13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t>应用系统重要数据</w:t>
            </w:r>
            <w:r>
              <w:rPr>
                <w:rFonts w:ascii="Tahoma" w:eastAsia="等线" w:hAnsi="Tahoma" w:cs="Tahoma"/>
                <w:kern w:val="0"/>
                <w:sz w:val="22"/>
                <w:szCs w:val="22"/>
              </w:rPr>
              <w:lastRenderedPageBreak/>
              <w:t>加解密模块</w:t>
            </w:r>
          </w:p>
        </w:tc>
        <w:tc>
          <w:tcPr>
            <w:tcW w:w="4400" w:type="dxa"/>
            <w:tcBorders>
              <w:top w:val="nil"/>
              <w:left w:val="nil"/>
              <w:bottom w:val="single" w:sz="4" w:space="0" w:color="auto"/>
              <w:right w:val="single" w:sz="4" w:space="0" w:color="auto"/>
            </w:tcBorders>
            <w:shd w:val="clear" w:color="000000" w:fill="FFFFFF"/>
            <w:vAlign w:val="center"/>
          </w:tcPr>
          <w:p w:rsidR="00C54B2F" w:rsidRDefault="00A150F9">
            <w:pPr>
              <w:widowControl/>
              <w:spacing w:line="240" w:lineRule="auto"/>
              <w:ind w:firstLineChars="0" w:firstLine="0"/>
              <w:jc w:val="center"/>
              <w:rPr>
                <w:rFonts w:ascii="Tahoma" w:eastAsia="等线" w:hAnsi="Tahoma" w:cs="Tahoma"/>
                <w:kern w:val="0"/>
                <w:sz w:val="22"/>
                <w:szCs w:val="22"/>
              </w:rPr>
            </w:pPr>
            <w:r>
              <w:rPr>
                <w:rFonts w:ascii="Tahoma" w:eastAsia="等线" w:hAnsi="Tahoma" w:cs="Tahoma"/>
                <w:kern w:val="0"/>
                <w:sz w:val="22"/>
                <w:szCs w:val="22"/>
              </w:rPr>
              <w:lastRenderedPageBreak/>
              <w:t>开发应用系统重要数据加解密模块，调用云平台提供的数据库加密服务接口、加密存储</w:t>
            </w:r>
            <w:r>
              <w:rPr>
                <w:rFonts w:ascii="Tahoma" w:eastAsia="等线" w:hAnsi="Tahoma" w:cs="Tahoma"/>
                <w:kern w:val="0"/>
                <w:sz w:val="22"/>
                <w:szCs w:val="22"/>
              </w:rPr>
              <w:lastRenderedPageBreak/>
              <w:t>服务接口，实现登录用户身份鉴别数据、应用重要数据的存储机密性保护。</w:t>
            </w:r>
          </w:p>
        </w:tc>
      </w:tr>
    </w:tbl>
    <w:p w:rsidR="00C54B2F" w:rsidRDefault="00C54B2F">
      <w:pPr>
        <w:ind w:firstLineChars="0"/>
        <w:rPr>
          <w:b/>
        </w:rPr>
      </w:pPr>
    </w:p>
    <w:p w:rsidR="00C54B2F" w:rsidRDefault="00A150F9">
      <w:pPr>
        <w:pStyle w:val="3"/>
      </w:pPr>
      <w:r>
        <w:rPr>
          <w:rFonts w:hint="eastAsia"/>
        </w:rPr>
        <w:t>产品软件购置清单：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1348"/>
        <w:gridCol w:w="4842"/>
        <w:gridCol w:w="702"/>
        <w:gridCol w:w="702"/>
      </w:tblGrid>
      <w:tr w:rsidR="00C54B2F">
        <w:trPr>
          <w:jc w:val="center"/>
        </w:trPr>
        <w:tc>
          <w:tcPr>
            <w:tcW w:w="426" w:type="pct"/>
            <w:shd w:val="clear" w:color="auto" w:fill="auto"/>
            <w:vAlign w:val="center"/>
          </w:tcPr>
          <w:p w:rsidR="00C54B2F" w:rsidRDefault="00A150F9">
            <w:pPr>
              <w:ind w:firstLineChars="0" w:firstLine="0"/>
              <w:jc w:val="center"/>
              <w:rPr>
                <w:rFonts w:cs="宋体"/>
                <w:b/>
                <w:bCs/>
              </w:rPr>
            </w:pPr>
            <w:r>
              <w:rPr>
                <w:rFonts w:cs="宋体" w:hint="eastAsia"/>
                <w:b/>
                <w:bCs/>
              </w:rPr>
              <w:t>序号</w:t>
            </w:r>
          </w:p>
        </w:tc>
        <w:tc>
          <w:tcPr>
            <w:tcW w:w="812" w:type="pct"/>
            <w:shd w:val="clear" w:color="auto" w:fill="auto"/>
            <w:vAlign w:val="center"/>
          </w:tcPr>
          <w:p w:rsidR="00C54B2F" w:rsidRDefault="00A150F9">
            <w:pPr>
              <w:ind w:firstLineChars="0" w:firstLine="0"/>
              <w:jc w:val="center"/>
              <w:rPr>
                <w:rFonts w:cs="宋体"/>
                <w:b/>
                <w:bCs/>
              </w:rPr>
            </w:pPr>
            <w:r>
              <w:rPr>
                <w:rFonts w:cs="宋体" w:hint="eastAsia"/>
                <w:b/>
                <w:bCs/>
              </w:rPr>
              <w:t>软件名称</w:t>
            </w:r>
          </w:p>
        </w:tc>
        <w:tc>
          <w:tcPr>
            <w:tcW w:w="2916" w:type="pct"/>
            <w:shd w:val="clear" w:color="auto" w:fill="auto"/>
            <w:vAlign w:val="center"/>
          </w:tcPr>
          <w:p w:rsidR="00C54B2F" w:rsidRDefault="00A150F9">
            <w:pPr>
              <w:ind w:firstLineChars="0" w:firstLine="0"/>
              <w:jc w:val="center"/>
              <w:rPr>
                <w:rFonts w:cs="宋体"/>
                <w:b/>
                <w:bCs/>
              </w:rPr>
            </w:pPr>
            <w:r>
              <w:rPr>
                <w:rFonts w:cs="宋体" w:hint="eastAsia"/>
                <w:b/>
                <w:bCs/>
              </w:rPr>
              <w:t>功能说明</w:t>
            </w:r>
            <w:r>
              <w:rPr>
                <w:rFonts w:cs="宋体"/>
                <w:b/>
                <w:bCs/>
              </w:rPr>
              <w:t>/配置要求</w:t>
            </w:r>
          </w:p>
        </w:tc>
        <w:tc>
          <w:tcPr>
            <w:tcW w:w="423" w:type="pct"/>
            <w:shd w:val="clear" w:color="auto" w:fill="auto"/>
            <w:vAlign w:val="center"/>
          </w:tcPr>
          <w:p w:rsidR="00C54B2F" w:rsidRDefault="00A150F9">
            <w:pPr>
              <w:ind w:firstLineChars="0" w:firstLine="0"/>
              <w:jc w:val="center"/>
              <w:rPr>
                <w:rFonts w:cs="宋体"/>
                <w:b/>
                <w:bCs/>
              </w:rPr>
            </w:pPr>
            <w:r>
              <w:rPr>
                <w:rFonts w:cs="宋体" w:hint="eastAsia"/>
                <w:b/>
                <w:bCs/>
              </w:rPr>
              <w:t>数量</w:t>
            </w:r>
          </w:p>
        </w:tc>
        <w:tc>
          <w:tcPr>
            <w:tcW w:w="423" w:type="pct"/>
            <w:shd w:val="clear" w:color="auto" w:fill="auto"/>
            <w:vAlign w:val="center"/>
          </w:tcPr>
          <w:p w:rsidR="00C54B2F" w:rsidRDefault="00A150F9">
            <w:pPr>
              <w:ind w:firstLineChars="0" w:firstLine="0"/>
              <w:jc w:val="center"/>
              <w:rPr>
                <w:rFonts w:cs="宋体"/>
                <w:b/>
                <w:bCs/>
              </w:rPr>
            </w:pPr>
            <w:r>
              <w:rPr>
                <w:rFonts w:cs="宋体" w:hint="eastAsia"/>
                <w:b/>
                <w:bCs/>
              </w:rPr>
              <w:t>单位</w:t>
            </w:r>
          </w:p>
        </w:tc>
      </w:tr>
      <w:tr w:rsidR="00C54B2F">
        <w:trPr>
          <w:jc w:val="center"/>
        </w:trPr>
        <w:tc>
          <w:tcPr>
            <w:tcW w:w="426" w:type="pct"/>
            <w:shd w:val="clear" w:color="auto" w:fill="auto"/>
            <w:vAlign w:val="center"/>
          </w:tcPr>
          <w:p w:rsidR="00C54B2F" w:rsidRDefault="00A150F9">
            <w:pPr>
              <w:ind w:firstLineChars="0" w:firstLine="0"/>
              <w:jc w:val="center"/>
              <w:rPr>
                <w:rFonts w:cs="宋体"/>
              </w:rPr>
            </w:pPr>
            <w:r>
              <w:rPr>
                <w:rFonts w:cs="宋体"/>
              </w:rPr>
              <w:t>1</w:t>
            </w:r>
          </w:p>
        </w:tc>
        <w:tc>
          <w:tcPr>
            <w:tcW w:w="812" w:type="pct"/>
            <w:shd w:val="clear" w:color="auto" w:fill="auto"/>
            <w:vAlign w:val="center"/>
          </w:tcPr>
          <w:p w:rsidR="00C54B2F" w:rsidRDefault="00A150F9">
            <w:pPr>
              <w:ind w:firstLineChars="0" w:firstLine="0"/>
              <w:jc w:val="center"/>
              <w:rPr>
                <w:rFonts w:cs="宋体"/>
              </w:rPr>
            </w:pPr>
            <w:r>
              <w:rPr>
                <w:rFonts w:cs="宋体" w:hint="eastAsia"/>
              </w:rPr>
              <w:t>知识图谱工具</w:t>
            </w:r>
          </w:p>
        </w:tc>
        <w:tc>
          <w:tcPr>
            <w:tcW w:w="2916" w:type="pct"/>
            <w:shd w:val="clear" w:color="auto" w:fill="auto"/>
            <w:vAlign w:val="center"/>
          </w:tcPr>
          <w:p w:rsidR="00C54B2F" w:rsidRDefault="00A150F9">
            <w:pPr>
              <w:ind w:firstLineChars="0" w:firstLine="0"/>
              <w:jc w:val="center"/>
              <w:rPr>
                <w:rFonts w:cs="宋体"/>
              </w:rPr>
            </w:pPr>
            <w:r>
              <w:rPr>
                <w:rFonts w:cs="宋体" w:hint="eastAsia"/>
              </w:rPr>
              <w:t>集知识的建模、抽取、融合、存储、计算、推理以及应用为一体的知识图谱产品。支持低代码图谱构建、智能化知识抽取、多模态知识存储、分布式图计算以及多维度的图谱分析。</w:t>
            </w:r>
          </w:p>
        </w:tc>
        <w:tc>
          <w:tcPr>
            <w:tcW w:w="423" w:type="pct"/>
            <w:shd w:val="clear" w:color="auto" w:fill="auto"/>
            <w:vAlign w:val="center"/>
          </w:tcPr>
          <w:p w:rsidR="00C54B2F" w:rsidRDefault="00A150F9">
            <w:pPr>
              <w:ind w:firstLineChars="0" w:firstLine="0"/>
              <w:jc w:val="center"/>
              <w:rPr>
                <w:rFonts w:cs="宋体"/>
              </w:rPr>
            </w:pPr>
            <w:r>
              <w:rPr>
                <w:rFonts w:cs="宋体"/>
              </w:rPr>
              <w:t>1</w:t>
            </w:r>
          </w:p>
        </w:tc>
        <w:tc>
          <w:tcPr>
            <w:tcW w:w="423" w:type="pct"/>
            <w:shd w:val="clear" w:color="auto" w:fill="auto"/>
            <w:vAlign w:val="center"/>
          </w:tcPr>
          <w:p w:rsidR="00C54B2F" w:rsidRDefault="00A150F9">
            <w:pPr>
              <w:ind w:firstLineChars="0" w:firstLine="0"/>
              <w:jc w:val="center"/>
              <w:rPr>
                <w:rFonts w:cs="宋体"/>
              </w:rPr>
            </w:pPr>
            <w:r>
              <w:rPr>
                <w:rFonts w:cs="宋体"/>
              </w:rPr>
              <w:t>套</w:t>
            </w:r>
          </w:p>
        </w:tc>
      </w:tr>
    </w:tbl>
    <w:p w:rsidR="00C54B2F" w:rsidRDefault="00A150F9">
      <w:pPr>
        <w:pStyle w:val="1"/>
      </w:pPr>
      <w:bookmarkStart w:id="17" w:name="_Toc63785502"/>
      <w:r>
        <w:rPr>
          <w:rFonts w:hint="eastAsia"/>
        </w:rPr>
        <w:t>电子政务云资源需求</w:t>
      </w:r>
      <w:bookmarkEnd w:id="17"/>
    </w:p>
    <w:p w:rsidR="00C54B2F" w:rsidRDefault="00A150F9">
      <w:r>
        <w:rPr>
          <w:rFonts w:hint="eastAsia"/>
        </w:rPr>
        <w:t>根据项目前期资源现状，本次建设根据估算拟向电子政务云申请</w:t>
      </w:r>
      <w:r>
        <w:t>10</w:t>
      </w:r>
      <w:r>
        <w:rPr>
          <w:rFonts w:hint="eastAsia"/>
        </w:rPr>
        <w:t>台服务器资源CPU</w:t>
      </w:r>
      <w:r>
        <w:t>1</w:t>
      </w:r>
      <w:r>
        <w:rPr>
          <w:rFonts w:hint="eastAsia"/>
        </w:rPr>
        <w:t>60核 、内存</w:t>
      </w:r>
      <w:r>
        <w:t>640</w:t>
      </w:r>
      <w:r>
        <w:rPr>
          <w:rFonts w:hint="eastAsia"/>
        </w:rPr>
        <w:t>G、存储5T，其中虚拟机</w:t>
      </w:r>
      <w:r>
        <w:t>10</w:t>
      </w:r>
      <w:r>
        <w:rPr>
          <w:rFonts w:hint="eastAsia"/>
        </w:rPr>
        <w:t>台，物理机</w:t>
      </w:r>
      <w:r>
        <w:t>0</w:t>
      </w:r>
      <w:r>
        <w:rPr>
          <w:rFonts w:hint="eastAsia"/>
        </w:rPr>
        <w:t>台。</w:t>
      </w:r>
    </w:p>
    <w:tbl>
      <w:tblPr>
        <w:tblW w:w="5000" w:type="pct"/>
        <w:tblLook w:val="04A0" w:firstRow="1" w:lastRow="0" w:firstColumn="1" w:lastColumn="0" w:noHBand="0" w:noVBand="1"/>
      </w:tblPr>
      <w:tblGrid>
        <w:gridCol w:w="896"/>
        <w:gridCol w:w="895"/>
        <w:gridCol w:w="895"/>
        <w:gridCol w:w="1404"/>
        <w:gridCol w:w="1404"/>
        <w:gridCol w:w="1404"/>
        <w:gridCol w:w="1404"/>
      </w:tblGrid>
      <w:tr w:rsidR="00C54B2F">
        <w:trPr>
          <w:trHeight w:val="540"/>
        </w:trPr>
        <w:tc>
          <w:tcPr>
            <w:tcW w:w="538" w:type="pct"/>
            <w:tcBorders>
              <w:top w:val="single" w:sz="4" w:space="0" w:color="auto"/>
              <w:left w:val="single" w:sz="4" w:space="0" w:color="auto"/>
              <w:bottom w:val="single" w:sz="4" w:space="0" w:color="auto"/>
              <w:right w:val="single" w:sz="4" w:space="0" w:color="auto"/>
            </w:tcBorders>
            <w:shd w:val="clear" w:color="auto" w:fill="auto"/>
            <w:noWrap/>
            <w:vAlign w:val="center"/>
          </w:tcPr>
          <w:p w:rsidR="00C54B2F" w:rsidRDefault="00A150F9">
            <w:pPr>
              <w:widowControl/>
              <w:spacing w:line="240" w:lineRule="auto"/>
              <w:ind w:firstLineChars="0" w:firstLine="0"/>
              <w:jc w:val="center"/>
              <w:rPr>
                <w:rFonts w:cs="宋体"/>
                <w:b/>
                <w:bCs/>
                <w:color w:val="000000"/>
                <w:kern w:val="0"/>
                <w:sz w:val="22"/>
                <w:szCs w:val="22"/>
              </w:rPr>
            </w:pPr>
            <w:r>
              <w:rPr>
                <w:rFonts w:cs="宋体" w:hint="eastAsia"/>
                <w:b/>
                <w:bCs/>
                <w:color w:val="000000"/>
                <w:kern w:val="0"/>
                <w:sz w:val="22"/>
                <w:szCs w:val="22"/>
              </w:rPr>
              <w:t>资源类型</w:t>
            </w:r>
          </w:p>
        </w:tc>
        <w:tc>
          <w:tcPr>
            <w:tcW w:w="538" w:type="pct"/>
            <w:tcBorders>
              <w:top w:val="single" w:sz="4" w:space="0" w:color="auto"/>
              <w:left w:val="nil"/>
              <w:bottom w:val="single" w:sz="4" w:space="0" w:color="auto"/>
              <w:right w:val="single" w:sz="4" w:space="0" w:color="auto"/>
            </w:tcBorders>
            <w:shd w:val="clear" w:color="auto" w:fill="auto"/>
            <w:noWrap/>
            <w:vAlign w:val="center"/>
          </w:tcPr>
          <w:p w:rsidR="00C54B2F" w:rsidRDefault="00A150F9">
            <w:pPr>
              <w:widowControl/>
              <w:spacing w:line="240" w:lineRule="auto"/>
              <w:ind w:firstLineChars="0" w:firstLine="0"/>
              <w:jc w:val="center"/>
              <w:rPr>
                <w:rFonts w:cs="宋体"/>
                <w:b/>
                <w:bCs/>
                <w:color w:val="000000"/>
                <w:kern w:val="0"/>
                <w:sz w:val="22"/>
                <w:szCs w:val="22"/>
              </w:rPr>
            </w:pPr>
            <w:r>
              <w:rPr>
                <w:rFonts w:cs="宋体" w:hint="eastAsia"/>
                <w:b/>
                <w:bCs/>
                <w:color w:val="000000"/>
                <w:kern w:val="0"/>
                <w:sz w:val="22"/>
                <w:szCs w:val="22"/>
              </w:rPr>
              <w:t>资源名称</w:t>
            </w:r>
          </w:p>
        </w:tc>
        <w:tc>
          <w:tcPr>
            <w:tcW w:w="538" w:type="pct"/>
            <w:tcBorders>
              <w:top w:val="single" w:sz="4" w:space="0" w:color="auto"/>
              <w:left w:val="nil"/>
              <w:bottom w:val="single" w:sz="4" w:space="0" w:color="auto"/>
              <w:right w:val="single" w:sz="4" w:space="0" w:color="auto"/>
            </w:tcBorders>
            <w:shd w:val="clear" w:color="auto" w:fill="auto"/>
            <w:noWrap/>
            <w:vAlign w:val="center"/>
          </w:tcPr>
          <w:p w:rsidR="00C54B2F" w:rsidRDefault="00A150F9">
            <w:pPr>
              <w:widowControl/>
              <w:spacing w:line="240" w:lineRule="auto"/>
              <w:ind w:firstLineChars="0" w:firstLine="0"/>
              <w:jc w:val="center"/>
              <w:rPr>
                <w:rFonts w:cs="宋体"/>
                <w:b/>
                <w:bCs/>
                <w:color w:val="000000"/>
                <w:kern w:val="0"/>
                <w:sz w:val="22"/>
                <w:szCs w:val="22"/>
              </w:rPr>
            </w:pPr>
            <w:r>
              <w:rPr>
                <w:rFonts w:cs="宋体" w:hint="eastAsia"/>
                <w:b/>
                <w:bCs/>
                <w:color w:val="000000"/>
                <w:kern w:val="0"/>
                <w:sz w:val="22"/>
                <w:szCs w:val="22"/>
              </w:rPr>
              <w:t>资源说明</w:t>
            </w:r>
          </w:p>
        </w:tc>
        <w:tc>
          <w:tcPr>
            <w:tcW w:w="847" w:type="pct"/>
            <w:tcBorders>
              <w:top w:val="single" w:sz="4" w:space="0" w:color="auto"/>
              <w:left w:val="nil"/>
              <w:bottom w:val="single" w:sz="4" w:space="0" w:color="auto"/>
              <w:right w:val="single" w:sz="4" w:space="0" w:color="auto"/>
            </w:tcBorders>
            <w:shd w:val="clear" w:color="auto" w:fill="auto"/>
            <w:noWrap/>
            <w:vAlign w:val="center"/>
          </w:tcPr>
          <w:p w:rsidR="00C54B2F" w:rsidRDefault="00A150F9">
            <w:pPr>
              <w:widowControl/>
              <w:spacing w:line="240" w:lineRule="auto"/>
              <w:ind w:firstLineChars="0" w:firstLine="0"/>
              <w:jc w:val="center"/>
              <w:rPr>
                <w:rFonts w:cs="宋体"/>
                <w:b/>
                <w:bCs/>
                <w:color w:val="000000"/>
                <w:kern w:val="0"/>
                <w:sz w:val="22"/>
                <w:szCs w:val="22"/>
              </w:rPr>
            </w:pPr>
            <w:r>
              <w:rPr>
                <w:rFonts w:cs="宋体" w:hint="eastAsia"/>
                <w:b/>
                <w:bCs/>
                <w:color w:val="000000"/>
                <w:kern w:val="0"/>
                <w:sz w:val="22"/>
                <w:szCs w:val="22"/>
              </w:rPr>
              <w:t>资源核心（核）</w:t>
            </w:r>
          </w:p>
        </w:tc>
        <w:tc>
          <w:tcPr>
            <w:tcW w:w="847" w:type="pct"/>
            <w:tcBorders>
              <w:top w:val="single" w:sz="4" w:space="0" w:color="auto"/>
              <w:left w:val="nil"/>
              <w:bottom w:val="single" w:sz="4" w:space="0" w:color="auto"/>
              <w:right w:val="single" w:sz="4" w:space="0" w:color="auto"/>
            </w:tcBorders>
            <w:shd w:val="clear" w:color="auto" w:fill="auto"/>
            <w:noWrap/>
            <w:vAlign w:val="center"/>
          </w:tcPr>
          <w:p w:rsidR="00C54B2F" w:rsidRDefault="00A150F9">
            <w:pPr>
              <w:widowControl/>
              <w:spacing w:line="240" w:lineRule="auto"/>
              <w:ind w:firstLineChars="0" w:firstLine="0"/>
              <w:jc w:val="center"/>
              <w:rPr>
                <w:rFonts w:cs="宋体"/>
                <w:b/>
                <w:bCs/>
                <w:color w:val="000000"/>
                <w:kern w:val="0"/>
                <w:sz w:val="22"/>
                <w:szCs w:val="22"/>
              </w:rPr>
            </w:pPr>
            <w:r>
              <w:rPr>
                <w:rFonts w:cs="宋体" w:hint="eastAsia"/>
                <w:b/>
                <w:bCs/>
                <w:color w:val="000000"/>
                <w:kern w:val="0"/>
                <w:sz w:val="22"/>
                <w:szCs w:val="22"/>
              </w:rPr>
              <w:t>资源内存（GB）</w:t>
            </w:r>
          </w:p>
        </w:tc>
        <w:tc>
          <w:tcPr>
            <w:tcW w:w="847" w:type="pct"/>
            <w:tcBorders>
              <w:top w:val="single" w:sz="4" w:space="0" w:color="auto"/>
              <w:left w:val="nil"/>
              <w:bottom w:val="single" w:sz="4" w:space="0" w:color="auto"/>
              <w:right w:val="single" w:sz="4" w:space="0" w:color="auto"/>
            </w:tcBorders>
            <w:shd w:val="clear" w:color="auto" w:fill="auto"/>
            <w:noWrap/>
            <w:vAlign w:val="center"/>
          </w:tcPr>
          <w:p w:rsidR="00C54B2F" w:rsidRDefault="00A150F9">
            <w:pPr>
              <w:widowControl/>
              <w:spacing w:line="240" w:lineRule="auto"/>
              <w:ind w:firstLineChars="0" w:firstLine="0"/>
              <w:jc w:val="center"/>
              <w:rPr>
                <w:rFonts w:cs="宋体"/>
                <w:b/>
                <w:bCs/>
                <w:color w:val="000000"/>
                <w:kern w:val="0"/>
                <w:sz w:val="22"/>
                <w:szCs w:val="22"/>
              </w:rPr>
            </w:pPr>
            <w:r>
              <w:rPr>
                <w:rFonts w:cs="宋体" w:hint="eastAsia"/>
                <w:b/>
                <w:bCs/>
                <w:color w:val="000000"/>
                <w:kern w:val="0"/>
                <w:sz w:val="22"/>
                <w:szCs w:val="22"/>
              </w:rPr>
              <w:t>存储数量（GB）</w:t>
            </w:r>
          </w:p>
        </w:tc>
        <w:tc>
          <w:tcPr>
            <w:tcW w:w="847" w:type="pct"/>
            <w:tcBorders>
              <w:top w:val="single" w:sz="4" w:space="0" w:color="auto"/>
              <w:left w:val="nil"/>
              <w:bottom w:val="single" w:sz="4" w:space="0" w:color="auto"/>
              <w:right w:val="single" w:sz="4" w:space="0" w:color="auto"/>
            </w:tcBorders>
            <w:shd w:val="clear" w:color="auto" w:fill="auto"/>
            <w:noWrap/>
            <w:vAlign w:val="center"/>
          </w:tcPr>
          <w:p w:rsidR="00C54B2F" w:rsidRDefault="00A150F9">
            <w:pPr>
              <w:widowControl/>
              <w:spacing w:line="240" w:lineRule="auto"/>
              <w:ind w:firstLineChars="0" w:firstLine="0"/>
              <w:jc w:val="center"/>
              <w:rPr>
                <w:rFonts w:cs="宋体"/>
                <w:b/>
                <w:bCs/>
                <w:color w:val="000000"/>
                <w:kern w:val="0"/>
                <w:sz w:val="22"/>
                <w:szCs w:val="22"/>
              </w:rPr>
            </w:pPr>
            <w:r>
              <w:rPr>
                <w:rFonts w:cs="宋体" w:hint="eastAsia"/>
                <w:b/>
                <w:bCs/>
                <w:color w:val="000000"/>
                <w:kern w:val="0"/>
                <w:sz w:val="22"/>
                <w:szCs w:val="22"/>
              </w:rPr>
              <w:t>资源数量（台）</w:t>
            </w:r>
          </w:p>
        </w:tc>
      </w:tr>
      <w:tr w:rsidR="00C54B2F">
        <w:trPr>
          <w:trHeight w:val="300"/>
        </w:trPr>
        <w:tc>
          <w:tcPr>
            <w:tcW w:w="538" w:type="pct"/>
            <w:tcBorders>
              <w:top w:val="nil"/>
              <w:left w:val="single" w:sz="4" w:space="0" w:color="auto"/>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虚拟机</w:t>
            </w:r>
          </w:p>
        </w:tc>
        <w:tc>
          <w:tcPr>
            <w:tcW w:w="538"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审计工作台应用服务器</w:t>
            </w:r>
          </w:p>
        </w:tc>
        <w:tc>
          <w:tcPr>
            <w:tcW w:w="538"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审计工作台应用（数据资源全景）</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16</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64</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300</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1</w:t>
            </w:r>
          </w:p>
        </w:tc>
      </w:tr>
      <w:tr w:rsidR="00C54B2F">
        <w:trPr>
          <w:trHeight w:val="300"/>
        </w:trPr>
        <w:tc>
          <w:tcPr>
            <w:tcW w:w="538" w:type="pct"/>
            <w:tcBorders>
              <w:top w:val="nil"/>
              <w:left w:val="single" w:sz="4" w:space="0" w:color="auto"/>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虚拟机</w:t>
            </w:r>
          </w:p>
        </w:tc>
        <w:tc>
          <w:tcPr>
            <w:tcW w:w="538"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应用开发平台（监控，日志、Nacos）</w:t>
            </w:r>
          </w:p>
        </w:tc>
        <w:tc>
          <w:tcPr>
            <w:tcW w:w="538"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应用开发平台（监控，日志、Nacos）</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16</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64</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500</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1</w:t>
            </w:r>
          </w:p>
        </w:tc>
      </w:tr>
      <w:tr w:rsidR="00C54B2F">
        <w:trPr>
          <w:trHeight w:val="300"/>
        </w:trPr>
        <w:tc>
          <w:tcPr>
            <w:tcW w:w="538" w:type="pct"/>
            <w:tcBorders>
              <w:top w:val="nil"/>
              <w:left w:val="single" w:sz="4" w:space="0" w:color="auto"/>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虚拟机</w:t>
            </w:r>
          </w:p>
        </w:tc>
        <w:tc>
          <w:tcPr>
            <w:tcW w:w="538"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应用开发平台（企业画像应用服务器）</w:t>
            </w:r>
          </w:p>
        </w:tc>
        <w:tc>
          <w:tcPr>
            <w:tcW w:w="538"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统一门户、资源配置服务</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16</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64</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300</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1</w:t>
            </w:r>
          </w:p>
        </w:tc>
      </w:tr>
      <w:tr w:rsidR="00C54B2F">
        <w:trPr>
          <w:trHeight w:val="300"/>
        </w:trPr>
        <w:tc>
          <w:tcPr>
            <w:tcW w:w="538" w:type="pct"/>
            <w:tcBorders>
              <w:top w:val="nil"/>
              <w:left w:val="single" w:sz="4" w:space="0" w:color="auto"/>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虚拟机</w:t>
            </w:r>
          </w:p>
        </w:tc>
        <w:tc>
          <w:tcPr>
            <w:tcW w:w="538"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应用开发平台</w:t>
            </w:r>
            <w:r>
              <w:rPr>
                <w:rFonts w:cs="宋体" w:hint="eastAsia"/>
                <w:kern w:val="0"/>
                <w:sz w:val="20"/>
                <w:szCs w:val="20"/>
              </w:rPr>
              <w:lastRenderedPageBreak/>
              <w:t>（资金流图应用服务器）</w:t>
            </w:r>
          </w:p>
        </w:tc>
        <w:tc>
          <w:tcPr>
            <w:tcW w:w="538"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lastRenderedPageBreak/>
              <w:t>资金流图应用</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16</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64</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700</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1</w:t>
            </w:r>
          </w:p>
        </w:tc>
      </w:tr>
      <w:tr w:rsidR="00C54B2F">
        <w:trPr>
          <w:trHeight w:val="300"/>
        </w:trPr>
        <w:tc>
          <w:tcPr>
            <w:tcW w:w="538" w:type="pct"/>
            <w:tcBorders>
              <w:top w:val="nil"/>
              <w:left w:val="single" w:sz="4" w:space="0" w:color="auto"/>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虚拟机</w:t>
            </w:r>
          </w:p>
        </w:tc>
        <w:tc>
          <w:tcPr>
            <w:tcW w:w="538"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应用开发平台（行政职业单位画像应用服务器）</w:t>
            </w:r>
          </w:p>
        </w:tc>
        <w:tc>
          <w:tcPr>
            <w:tcW w:w="538"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行政事业单位画像应用</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16</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64</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500</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1</w:t>
            </w:r>
          </w:p>
        </w:tc>
      </w:tr>
      <w:tr w:rsidR="00C54B2F">
        <w:trPr>
          <w:trHeight w:val="300"/>
        </w:trPr>
        <w:tc>
          <w:tcPr>
            <w:tcW w:w="538" w:type="pct"/>
            <w:tcBorders>
              <w:top w:val="nil"/>
              <w:left w:val="single" w:sz="4" w:space="0" w:color="auto"/>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虚拟机</w:t>
            </w:r>
          </w:p>
        </w:tc>
        <w:tc>
          <w:tcPr>
            <w:tcW w:w="538"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审计工具规则定义应用部署</w:t>
            </w:r>
          </w:p>
        </w:tc>
        <w:tc>
          <w:tcPr>
            <w:tcW w:w="538"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审计工具规则定义应用部署</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16</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64</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700</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1</w:t>
            </w:r>
          </w:p>
        </w:tc>
      </w:tr>
      <w:tr w:rsidR="00C54B2F">
        <w:trPr>
          <w:trHeight w:val="300"/>
        </w:trPr>
        <w:tc>
          <w:tcPr>
            <w:tcW w:w="538" w:type="pct"/>
            <w:tcBorders>
              <w:top w:val="nil"/>
              <w:left w:val="single" w:sz="4" w:space="0" w:color="auto"/>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虚拟机</w:t>
            </w:r>
          </w:p>
        </w:tc>
        <w:tc>
          <w:tcPr>
            <w:tcW w:w="538"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数据库服务器</w:t>
            </w:r>
          </w:p>
        </w:tc>
        <w:tc>
          <w:tcPr>
            <w:tcW w:w="538"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审计工作台应用（数据资源全景）数据库</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16</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64</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300</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1</w:t>
            </w:r>
          </w:p>
        </w:tc>
      </w:tr>
      <w:tr w:rsidR="00C54B2F">
        <w:trPr>
          <w:trHeight w:val="300"/>
        </w:trPr>
        <w:tc>
          <w:tcPr>
            <w:tcW w:w="538" w:type="pct"/>
            <w:tcBorders>
              <w:top w:val="nil"/>
              <w:left w:val="single" w:sz="4" w:space="0" w:color="auto"/>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虚拟机</w:t>
            </w:r>
          </w:p>
        </w:tc>
        <w:tc>
          <w:tcPr>
            <w:tcW w:w="538"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数据库服务器</w:t>
            </w:r>
          </w:p>
        </w:tc>
        <w:tc>
          <w:tcPr>
            <w:tcW w:w="538"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审计工具规则定义、统一门户、资源配置服务应用数据库</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16</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64</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600</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1</w:t>
            </w:r>
          </w:p>
        </w:tc>
      </w:tr>
      <w:tr w:rsidR="00C54B2F">
        <w:trPr>
          <w:trHeight w:val="300"/>
        </w:trPr>
        <w:tc>
          <w:tcPr>
            <w:tcW w:w="538" w:type="pct"/>
            <w:tcBorders>
              <w:top w:val="nil"/>
              <w:left w:val="single" w:sz="4" w:space="0" w:color="auto"/>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虚拟机</w:t>
            </w:r>
          </w:p>
        </w:tc>
        <w:tc>
          <w:tcPr>
            <w:tcW w:w="538"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数据库服务器</w:t>
            </w:r>
          </w:p>
        </w:tc>
        <w:tc>
          <w:tcPr>
            <w:tcW w:w="538"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资金流图应用数据库</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16</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64</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700</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1</w:t>
            </w:r>
          </w:p>
        </w:tc>
      </w:tr>
      <w:tr w:rsidR="00C54B2F">
        <w:trPr>
          <w:trHeight w:val="300"/>
        </w:trPr>
        <w:tc>
          <w:tcPr>
            <w:tcW w:w="538" w:type="pct"/>
            <w:tcBorders>
              <w:top w:val="nil"/>
              <w:left w:val="single" w:sz="4" w:space="0" w:color="auto"/>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虚拟机</w:t>
            </w:r>
          </w:p>
        </w:tc>
        <w:tc>
          <w:tcPr>
            <w:tcW w:w="538"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数据库服务器</w:t>
            </w:r>
          </w:p>
        </w:tc>
        <w:tc>
          <w:tcPr>
            <w:tcW w:w="538"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行政事业单位应用数据库</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16</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64</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400</w:t>
            </w:r>
          </w:p>
        </w:tc>
        <w:tc>
          <w:tcPr>
            <w:tcW w:w="847" w:type="pct"/>
            <w:tcBorders>
              <w:top w:val="nil"/>
              <w:left w:val="nil"/>
              <w:bottom w:val="single" w:sz="4" w:space="0" w:color="auto"/>
              <w:right w:val="single" w:sz="4" w:space="0" w:color="auto"/>
            </w:tcBorders>
            <w:shd w:val="clear" w:color="auto" w:fill="auto"/>
            <w:vAlign w:val="center"/>
          </w:tcPr>
          <w:p w:rsidR="00C54B2F" w:rsidRDefault="00A150F9">
            <w:pPr>
              <w:widowControl/>
              <w:spacing w:line="240" w:lineRule="auto"/>
              <w:ind w:firstLineChars="0" w:firstLine="0"/>
              <w:jc w:val="center"/>
              <w:rPr>
                <w:rFonts w:cs="宋体"/>
                <w:kern w:val="0"/>
                <w:sz w:val="20"/>
                <w:szCs w:val="20"/>
              </w:rPr>
            </w:pPr>
            <w:r>
              <w:rPr>
                <w:rFonts w:cs="宋体" w:hint="eastAsia"/>
                <w:kern w:val="0"/>
                <w:sz w:val="20"/>
                <w:szCs w:val="20"/>
              </w:rPr>
              <w:t>1</w:t>
            </w:r>
          </w:p>
        </w:tc>
      </w:tr>
    </w:tbl>
    <w:p w:rsidR="00C54B2F" w:rsidRDefault="00C54B2F"/>
    <w:p w:rsidR="00C54B2F" w:rsidRDefault="00A150F9">
      <w:pPr>
        <w:pStyle w:val="1"/>
      </w:pPr>
      <w:bookmarkStart w:id="18" w:name="_Toc63785503"/>
      <w:r>
        <w:rPr>
          <w:rFonts w:hint="eastAsia"/>
        </w:rPr>
        <w:lastRenderedPageBreak/>
        <w:t>其他工作要求</w:t>
      </w:r>
      <w:bookmarkEnd w:id="18"/>
    </w:p>
    <w:p w:rsidR="00C54B2F" w:rsidRDefault="00A150F9">
      <w:pPr>
        <w:pStyle w:val="2"/>
      </w:pPr>
      <w:bookmarkStart w:id="19" w:name="_Toc63585480"/>
      <w:bookmarkStart w:id="20" w:name="_Toc62219358"/>
      <w:bookmarkStart w:id="21" w:name="_Toc63785439"/>
      <w:bookmarkStart w:id="22" w:name="_Toc63762370"/>
      <w:bookmarkStart w:id="23" w:name="_Toc63151871"/>
      <w:bookmarkStart w:id="24" w:name="_Toc62209488"/>
      <w:bookmarkStart w:id="25" w:name="_Toc61968111"/>
      <w:bookmarkStart w:id="26" w:name="_Toc63785504"/>
      <w:bookmarkStart w:id="27" w:name="_Toc63785505"/>
      <w:bookmarkEnd w:id="19"/>
      <w:bookmarkEnd w:id="20"/>
      <w:bookmarkEnd w:id="21"/>
      <w:bookmarkEnd w:id="22"/>
      <w:bookmarkEnd w:id="23"/>
      <w:bookmarkEnd w:id="24"/>
      <w:bookmarkEnd w:id="25"/>
      <w:bookmarkEnd w:id="26"/>
      <w:r>
        <w:rPr>
          <w:rFonts w:hint="eastAsia"/>
        </w:rPr>
        <w:t>售后服务要求</w:t>
      </w:r>
      <w:bookmarkEnd w:id="27"/>
    </w:p>
    <w:p w:rsidR="00C54B2F" w:rsidRDefault="00A150F9">
      <w:pPr>
        <w:pStyle w:val="1f"/>
        <w:snapToGrid w:val="0"/>
        <w:spacing w:line="360" w:lineRule="auto"/>
        <w:ind w:firstLine="480"/>
        <w:rPr>
          <w:rFonts w:ascii="宋体" w:hAnsi="宋体"/>
          <w:sz w:val="24"/>
          <w:szCs w:val="24"/>
        </w:rPr>
      </w:pPr>
      <w:r>
        <w:rPr>
          <w:rFonts w:ascii="宋体" w:hAnsi="宋体" w:hint="eastAsia"/>
          <w:sz w:val="24"/>
          <w:szCs w:val="24"/>
        </w:rPr>
        <w:t>本项目从系统验收通过之日起1年内提供</w:t>
      </w:r>
      <w:r>
        <w:rPr>
          <w:rFonts w:ascii="宋体" w:hAnsi="宋体"/>
          <w:sz w:val="24"/>
          <w:szCs w:val="24"/>
        </w:rPr>
        <w:t>7*24小时免费技术支持</w:t>
      </w:r>
      <w:r>
        <w:rPr>
          <w:rFonts w:ascii="宋体" w:hAnsi="宋体" w:hint="eastAsia"/>
          <w:sz w:val="24"/>
          <w:szCs w:val="24"/>
        </w:rPr>
        <w:t>和售后服务，1年后进入有偿维护期。</w:t>
      </w:r>
    </w:p>
    <w:p w:rsidR="00C54B2F" w:rsidRDefault="00A150F9">
      <w:pPr>
        <w:pStyle w:val="1f"/>
        <w:snapToGrid w:val="0"/>
        <w:spacing w:line="360" w:lineRule="auto"/>
        <w:ind w:firstLine="480"/>
        <w:rPr>
          <w:rFonts w:ascii="宋体" w:hAnsi="宋体"/>
          <w:sz w:val="24"/>
          <w:szCs w:val="24"/>
        </w:rPr>
      </w:pPr>
      <w:r>
        <w:rPr>
          <w:rFonts w:ascii="宋体" w:hAnsi="宋体" w:hint="eastAsia"/>
          <w:sz w:val="24"/>
          <w:szCs w:val="24"/>
        </w:rPr>
        <w:t>在质量保证期内，供应商将按照售后服务的承诺提供保修和运行维护服务，如果厂商对信息系统中软、硬件设备等产品中的部分保修期超过上述期限的，则按照厂商的规定进行免费保修。</w:t>
      </w:r>
    </w:p>
    <w:p w:rsidR="00C54B2F" w:rsidRDefault="00A150F9">
      <w:pPr>
        <w:pStyle w:val="1f"/>
        <w:snapToGrid w:val="0"/>
        <w:spacing w:line="360" w:lineRule="auto"/>
        <w:ind w:firstLine="480"/>
        <w:rPr>
          <w:rFonts w:ascii="宋体" w:hAnsi="宋体"/>
          <w:sz w:val="24"/>
          <w:szCs w:val="24"/>
        </w:rPr>
      </w:pPr>
      <w:r>
        <w:rPr>
          <w:rFonts w:ascii="宋体" w:hAnsi="宋体" w:hint="eastAsia"/>
          <w:sz w:val="24"/>
          <w:szCs w:val="24"/>
        </w:rPr>
        <w:t>在质量保证期内，供应商负责信息系统的运行维护工作，确保信息系统安全、稳定、可靠地运行。</w:t>
      </w:r>
    </w:p>
    <w:p w:rsidR="00C54B2F" w:rsidRDefault="00A150F9">
      <w:pPr>
        <w:pStyle w:val="1f"/>
        <w:snapToGrid w:val="0"/>
        <w:spacing w:line="360" w:lineRule="auto"/>
        <w:ind w:firstLine="480"/>
        <w:rPr>
          <w:rFonts w:ascii="宋体" w:hAnsi="宋体"/>
          <w:sz w:val="24"/>
          <w:szCs w:val="24"/>
        </w:rPr>
      </w:pPr>
      <w:r>
        <w:rPr>
          <w:rFonts w:ascii="宋体" w:hAnsi="宋体" w:hint="eastAsia"/>
          <w:sz w:val="24"/>
          <w:szCs w:val="24"/>
        </w:rPr>
        <w:t>供应商提供的应用软件免费维护服务内容包括应用软件的升级与维护等工作，免费维护的范围覆盖本项目所涉及应用系统的全部子系统和功能模块。</w:t>
      </w:r>
    </w:p>
    <w:p w:rsidR="00C54B2F" w:rsidRDefault="00A150F9">
      <w:pPr>
        <w:pStyle w:val="2"/>
      </w:pPr>
      <w:bookmarkStart w:id="28" w:name="_Toc63785506"/>
      <w:r>
        <w:rPr>
          <w:rFonts w:hint="eastAsia"/>
        </w:rPr>
        <w:t>应急响应要求</w:t>
      </w:r>
      <w:bookmarkEnd w:id="28"/>
    </w:p>
    <w:p w:rsidR="00C54B2F" w:rsidRDefault="00A150F9">
      <w:pPr>
        <w:pStyle w:val="1f"/>
        <w:snapToGrid w:val="0"/>
        <w:spacing w:line="360" w:lineRule="auto"/>
        <w:ind w:firstLine="480"/>
        <w:rPr>
          <w:rFonts w:ascii="宋体" w:hAnsi="宋体"/>
          <w:sz w:val="24"/>
          <w:szCs w:val="24"/>
        </w:rPr>
      </w:pPr>
      <w:r>
        <w:rPr>
          <w:rFonts w:ascii="宋体" w:hAnsi="宋体" w:hint="eastAsia"/>
          <w:sz w:val="24"/>
          <w:szCs w:val="24"/>
        </w:rPr>
        <w:t>供应商对系统故障应能够实时响应，若系统发生故障，接到通知后</w:t>
      </w:r>
      <w:r>
        <w:rPr>
          <w:rFonts w:ascii="宋体" w:hAnsi="宋体"/>
          <w:sz w:val="24"/>
          <w:szCs w:val="24"/>
        </w:rPr>
        <w:t>30分钟之内响应，专业工程师</w:t>
      </w:r>
      <w:r>
        <w:rPr>
          <w:rFonts w:ascii="宋体" w:hAnsi="宋体" w:hint="eastAsia"/>
          <w:sz w:val="24"/>
          <w:szCs w:val="24"/>
        </w:rPr>
        <w:t>1</w:t>
      </w:r>
      <w:r>
        <w:rPr>
          <w:rFonts w:ascii="宋体" w:hAnsi="宋体"/>
          <w:sz w:val="24"/>
          <w:szCs w:val="24"/>
        </w:rPr>
        <w:t>小时内到达现场</w:t>
      </w:r>
      <w:r>
        <w:rPr>
          <w:rFonts w:ascii="宋体" w:hAnsi="宋体" w:hint="eastAsia"/>
          <w:sz w:val="24"/>
          <w:szCs w:val="24"/>
        </w:rPr>
        <w:t>。特殊故障与客户沟通协商后，按照协商的方式制定解决方案并进行处理。</w:t>
      </w:r>
    </w:p>
    <w:p w:rsidR="00C54B2F" w:rsidRDefault="00A150F9">
      <w:pPr>
        <w:pStyle w:val="1f"/>
        <w:snapToGrid w:val="0"/>
        <w:spacing w:line="360" w:lineRule="auto"/>
        <w:ind w:firstLine="480"/>
        <w:rPr>
          <w:rFonts w:ascii="宋体" w:hAnsi="宋体"/>
          <w:sz w:val="24"/>
          <w:szCs w:val="24"/>
        </w:rPr>
      </w:pPr>
      <w:r>
        <w:rPr>
          <w:rFonts w:ascii="宋体" w:hAnsi="宋体" w:hint="eastAsia"/>
          <w:sz w:val="24"/>
          <w:szCs w:val="24"/>
        </w:rPr>
        <w:t>具体故障级别及对应的应急响应要求如下：</w:t>
      </w:r>
    </w:p>
    <w:p w:rsidR="00C54B2F" w:rsidRDefault="00A150F9">
      <w:pPr>
        <w:pStyle w:val="1f"/>
        <w:snapToGrid w:val="0"/>
        <w:spacing w:line="360" w:lineRule="auto"/>
        <w:ind w:firstLine="480"/>
        <w:rPr>
          <w:rFonts w:ascii="宋体" w:hAnsi="宋体"/>
          <w:sz w:val="24"/>
          <w:szCs w:val="24"/>
        </w:rPr>
      </w:pPr>
      <w:r>
        <w:rPr>
          <w:rFonts w:ascii="宋体" w:hAnsi="宋体" w:hint="eastAsia"/>
          <w:sz w:val="24"/>
          <w:szCs w:val="24"/>
        </w:rPr>
        <w:t>一级故障：在</w:t>
      </w:r>
      <w:r>
        <w:rPr>
          <w:rFonts w:ascii="宋体" w:hAnsi="宋体"/>
          <w:sz w:val="24"/>
          <w:szCs w:val="24"/>
        </w:rPr>
        <w:t>1小时内确诊，总故障解决时间不超过4小时。</w:t>
      </w:r>
    </w:p>
    <w:p w:rsidR="00C54B2F" w:rsidRDefault="00A150F9">
      <w:pPr>
        <w:pStyle w:val="1f"/>
        <w:snapToGrid w:val="0"/>
        <w:spacing w:line="360" w:lineRule="auto"/>
        <w:ind w:firstLine="480"/>
        <w:rPr>
          <w:rFonts w:ascii="宋体" w:hAnsi="宋体"/>
          <w:sz w:val="24"/>
          <w:szCs w:val="24"/>
        </w:rPr>
      </w:pPr>
      <w:r>
        <w:rPr>
          <w:rFonts w:ascii="宋体" w:hAnsi="宋体" w:hint="eastAsia"/>
          <w:sz w:val="24"/>
          <w:szCs w:val="24"/>
        </w:rPr>
        <w:t>二级故障：在</w:t>
      </w:r>
      <w:r>
        <w:rPr>
          <w:rFonts w:ascii="宋体" w:hAnsi="宋体"/>
          <w:sz w:val="24"/>
          <w:szCs w:val="24"/>
        </w:rPr>
        <w:t>2小时内确诊，并在4小时内由专家到达现场确诊并解决，总故障解决时间不超过8小时；</w:t>
      </w:r>
    </w:p>
    <w:p w:rsidR="00C54B2F" w:rsidRDefault="00A150F9">
      <w:pPr>
        <w:pStyle w:val="1f"/>
        <w:snapToGrid w:val="0"/>
        <w:spacing w:line="360" w:lineRule="auto"/>
        <w:ind w:firstLine="480"/>
        <w:rPr>
          <w:rFonts w:ascii="宋体" w:hAnsi="宋体"/>
          <w:sz w:val="24"/>
          <w:szCs w:val="24"/>
        </w:rPr>
      </w:pPr>
      <w:r>
        <w:rPr>
          <w:rFonts w:ascii="宋体" w:hAnsi="宋体" w:hint="eastAsia"/>
          <w:sz w:val="24"/>
          <w:szCs w:val="24"/>
        </w:rPr>
        <w:t>三、四级故障：在</w:t>
      </w:r>
      <w:r>
        <w:rPr>
          <w:rFonts w:ascii="宋体" w:hAnsi="宋体"/>
          <w:sz w:val="24"/>
          <w:szCs w:val="24"/>
        </w:rPr>
        <w:t>4小时内确诊故障，总故障解决时间不超过16小时。</w:t>
      </w:r>
    </w:p>
    <w:p w:rsidR="00C54B2F" w:rsidRDefault="00A150F9">
      <w:pPr>
        <w:pStyle w:val="2"/>
      </w:pPr>
      <w:bookmarkStart w:id="29" w:name="_Toc63785507"/>
      <w:r>
        <w:rPr>
          <w:rFonts w:hint="eastAsia"/>
        </w:rPr>
        <w:t>培训要求</w:t>
      </w:r>
      <w:bookmarkEnd w:id="29"/>
    </w:p>
    <w:p w:rsidR="00C54B2F" w:rsidRDefault="00A150F9">
      <w:r>
        <w:rPr>
          <w:rFonts w:hint="eastAsia"/>
        </w:rPr>
        <w:t>对系统使用单位提供业务操作培训，应提供详细培训方案。</w:t>
      </w:r>
    </w:p>
    <w:p w:rsidR="00C54B2F" w:rsidRDefault="00A150F9">
      <w:r>
        <w:rPr>
          <w:rFonts w:hint="eastAsia"/>
        </w:rPr>
        <w:t>(1)在12个月的质量保证期内，提供不少于3次与项目相关的必要培训。</w:t>
      </w:r>
    </w:p>
    <w:p w:rsidR="00C54B2F" w:rsidRDefault="00A150F9">
      <w:r>
        <w:rPr>
          <w:rFonts w:hint="eastAsia"/>
        </w:rPr>
        <w:t>(2)供应商需要开展分层次的人员培训工作，每次培训后应对参加培训人员进行测试，评估培训成果。培训应具有培训教材、培训环境和高水平的培训讲师。</w:t>
      </w:r>
    </w:p>
    <w:p w:rsidR="00C54B2F" w:rsidRDefault="00A150F9">
      <w:r>
        <w:rPr>
          <w:rFonts w:hint="eastAsia"/>
        </w:rPr>
        <w:t>(3)供应商应提供一般用户的基础操作培训和部门信息管理员的日常应用维护的培训，确保用户对象能够掌握对应的操作技能。</w:t>
      </w:r>
    </w:p>
    <w:p w:rsidR="00C54B2F" w:rsidRDefault="00A150F9">
      <w:pPr>
        <w:pStyle w:val="2"/>
      </w:pPr>
      <w:bookmarkStart w:id="30" w:name="_Toc63785508"/>
      <w:r>
        <w:rPr>
          <w:rFonts w:hint="eastAsia"/>
        </w:rPr>
        <w:lastRenderedPageBreak/>
        <w:t>验收要求</w:t>
      </w:r>
      <w:bookmarkEnd w:id="30"/>
    </w:p>
    <w:p w:rsidR="00C54B2F" w:rsidRDefault="00A150F9">
      <w:pPr>
        <w:rPr>
          <w:szCs w:val="21"/>
        </w:rPr>
      </w:pPr>
      <w:r>
        <w:rPr>
          <w:rFonts w:hint="eastAsia"/>
          <w:szCs w:val="21"/>
        </w:rPr>
        <w:t>本项目按下述方式开展验收，如上海市大数据中心有最新关于项目验收要求，则按中心最新要求执行。</w:t>
      </w:r>
    </w:p>
    <w:p w:rsidR="00C54B2F" w:rsidRDefault="00A150F9">
      <w:pPr>
        <w:rPr>
          <w:szCs w:val="21"/>
        </w:rPr>
      </w:pPr>
      <w:r>
        <w:rPr>
          <w:rFonts w:hint="eastAsia"/>
          <w:szCs w:val="21"/>
        </w:rPr>
        <w:t>（</w:t>
      </w:r>
      <w:r>
        <w:rPr>
          <w:szCs w:val="21"/>
        </w:rPr>
        <w:t>1）验收分初验和终验。</w:t>
      </w:r>
    </w:p>
    <w:p w:rsidR="00C54B2F" w:rsidRDefault="00A150F9">
      <w:pPr>
        <w:rPr>
          <w:szCs w:val="21"/>
        </w:rPr>
      </w:pPr>
      <w:r>
        <w:rPr>
          <w:rFonts w:hint="eastAsia"/>
          <w:szCs w:val="21"/>
        </w:rPr>
        <w:t>（</w:t>
      </w:r>
      <w:r>
        <w:rPr>
          <w:szCs w:val="21"/>
        </w:rPr>
        <w:t>2）初验前，供应商须完成软件开发、软硬件安装和信息系统的调试等，并对本项目进行功能和运行检测，确保所有信息系统功能模块能够正常运行且已达到本项目约定的各类标准要求。供应商应以书面形式向招标方递交初验通知书。招标方应当在接到通知后的5个工作日内确定初验的具体日期，由双方按照本项目的约定完成本项目的初验。招标方有权委托第三方检测机构进行验收，对此供应商应当配合。</w:t>
      </w:r>
    </w:p>
    <w:p w:rsidR="00C54B2F" w:rsidRDefault="00A150F9">
      <w:pPr>
        <w:rPr>
          <w:szCs w:val="21"/>
        </w:rPr>
      </w:pPr>
      <w:r>
        <w:rPr>
          <w:rFonts w:hint="eastAsia"/>
          <w:szCs w:val="21"/>
        </w:rPr>
        <w:t>（</w:t>
      </w:r>
      <w:r>
        <w:rPr>
          <w:szCs w:val="21"/>
        </w:rPr>
        <w:t>3）初验时，供应商须提供软件文档包括《用户需求说明书》、《系统概要设计说明书》、《系统详细设计说明书》、</w:t>
      </w:r>
      <w:r>
        <w:rPr>
          <w:rFonts w:hint="eastAsia"/>
          <w:szCs w:val="21"/>
        </w:rPr>
        <w:t>《三方功能需求确认单》、</w:t>
      </w:r>
      <w:r>
        <w:rPr>
          <w:szCs w:val="21"/>
        </w:rPr>
        <w:t>《测试报告》、《用户使用手册》、《系统部署文档》等）及可安装的程序运行文件。所交付的文档与文件应当是可供自然人阅读的书面和电子文档。软件文档及可安装的程序运行文件验收通过后，视为初验通过。如有缺陷，招标方应向供应商出具书面报告，陈述需要改进的缺陷。供应商应立即严格依照招标方的书面报告中的要求改进缺陷，并再次进行初验。</w:t>
      </w:r>
    </w:p>
    <w:p w:rsidR="00C54B2F" w:rsidRDefault="00A150F9">
      <w:pPr>
        <w:rPr>
          <w:szCs w:val="21"/>
        </w:rPr>
      </w:pPr>
      <w:r>
        <w:rPr>
          <w:rFonts w:hint="eastAsia"/>
          <w:szCs w:val="21"/>
        </w:rPr>
        <w:t>（</w:t>
      </w:r>
      <w:r>
        <w:rPr>
          <w:szCs w:val="21"/>
        </w:rPr>
        <w:t>4）自初验通过之日起，招标方享有供应商免费提供的</w:t>
      </w:r>
      <w:r>
        <w:rPr>
          <w:rFonts w:hint="eastAsia"/>
          <w:szCs w:val="21"/>
        </w:rPr>
        <w:t>30</w:t>
      </w:r>
      <w:r>
        <w:rPr>
          <w:szCs w:val="21"/>
        </w:rPr>
        <w:t>天的信息系统试运行现场驻场服务期。该期间内，供应商应当按照招标方的要求提供现场技术支持服务，解决信息系统试运行期间可能出现的各类问题，或进一步提高与完善信息系统运行水平。</w:t>
      </w:r>
    </w:p>
    <w:p w:rsidR="00C54B2F" w:rsidRDefault="00A150F9">
      <w:pPr>
        <w:rPr>
          <w:szCs w:val="21"/>
        </w:rPr>
      </w:pPr>
      <w:r>
        <w:rPr>
          <w:rFonts w:hint="eastAsia"/>
          <w:szCs w:val="21"/>
        </w:rPr>
        <w:t>（</w:t>
      </w:r>
      <w:r>
        <w:rPr>
          <w:szCs w:val="21"/>
        </w:rPr>
        <w:t>5）初验通过且信息系统试运行期已经达到本项目约定的时间，经供应商确认信息系统具备正常运行条件，且信息系统通过运行测试，供应商应以书面形式通知招标方信息系统已准备就绪等待终验。招标方在收到终验通知后的</w:t>
      </w:r>
      <w:r>
        <w:rPr>
          <w:rFonts w:hint="eastAsia"/>
          <w:szCs w:val="21"/>
        </w:rPr>
        <w:t>30</w:t>
      </w:r>
      <w:r>
        <w:rPr>
          <w:szCs w:val="21"/>
        </w:rPr>
        <w:t>个工作日内发起组织专家验收会。</w:t>
      </w:r>
    </w:p>
    <w:p w:rsidR="00C54B2F" w:rsidRDefault="00A150F9">
      <w:pPr>
        <w:rPr>
          <w:szCs w:val="21"/>
        </w:rPr>
      </w:pPr>
      <w:r>
        <w:rPr>
          <w:rFonts w:hint="eastAsia"/>
          <w:szCs w:val="21"/>
        </w:rPr>
        <w:t>（6</w:t>
      </w:r>
      <w:r>
        <w:rPr>
          <w:szCs w:val="21"/>
        </w:rPr>
        <w:t>）如果属于供应商原因致使本项目未能通过终验，供应商应当排除缺陷，直至本项目完全符合验收标准，由上述情形而产生的相关费用应由供应商自行承担。</w:t>
      </w:r>
    </w:p>
    <w:p w:rsidR="00C54B2F" w:rsidRDefault="00A150F9">
      <w:pPr>
        <w:rPr>
          <w:szCs w:val="21"/>
        </w:rPr>
      </w:pPr>
      <w:r>
        <w:rPr>
          <w:rFonts w:hint="eastAsia"/>
          <w:szCs w:val="21"/>
        </w:rPr>
        <w:t>（7</w:t>
      </w:r>
      <w:r>
        <w:rPr>
          <w:szCs w:val="21"/>
        </w:rPr>
        <w:t>）如果由于招标方原因导致本项目在终验通过前出现故障或问题，供应</w:t>
      </w:r>
      <w:r>
        <w:rPr>
          <w:szCs w:val="21"/>
        </w:rPr>
        <w:lastRenderedPageBreak/>
        <w:t>商应及时配合排除该方面的故障或问题。</w:t>
      </w:r>
    </w:p>
    <w:p w:rsidR="00C54B2F" w:rsidRDefault="00A150F9">
      <w:pPr>
        <w:rPr>
          <w:szCs w:val="21"/>
        </w:rPr>
      </w:pPr>
      <w:r>
        <w:rPr>
          <w:rFonts w:hint="eastAsia"/>
          <w:szCs w:val="21"/>
        </w:rPr>
        <w:t>（8</w:t>
      </w:r>
      <w:r>
        <w:rPr>
          <w:szCs w:val="21"/>
        </w:rPr>
        <w:t>）如本项目连续3次验收未通过（含初验未通过或终验未通过），招标方有权解除项目，并有权依照本项目约定的违约条款追究供应商的违约责任。</w:t>
      </w:r>
    </w:p>
    <w:p w:rsidR="00C54B2F" w:rsidRDefault="00A150F9">
      <w:pPr>
        <w:pStyle w:val="2"/>
      </w:pPr>
      <w:bookmarkStart w:id="31" w:name="_Toc63785509"/>
      <w:r>
        <w:rPr>
          <w:rFonts w:hint="eastAsia"/>
        </w:rPr>
        <w:t>进度要求</w:t>
      </w:r>
      <w:bookmarkEnd w:id="31"/>
    </w:p>
    <w:p w:rsidR="00C54B2F" w:rsidRDefault="00A150F9">
      <w:r>
        <w:rPr>
          <w:rFonts w:hint="eastAsia"/>
        </w:rPr>
        <w:t>投标人应根据建设内容，分阶段制定合理的时间进度，并且应根据招标方要求进行调整和细化。</w:t>
      </w:r>
    </w:p>
    <w:p w:rsidR="00C54B2F" w:rsidRDefault="00A150F9">
      <w:r>
        <w:rPr>
          <w:rFonts w:hint="eastAsia"/>
        </w:rPr>
        <w:t>总建设周期分为四个阶段。</w:t>
      </w:r>
    </w:p>
    <w:p w:rsidR="00C54B2F" w:rsidRDefault="00A150F9">
      <w:r>
        <w:rPr>
          <w:rFonts w:hint="eastAsia"/>
        </w:rPr>
        <w:t>第一阶段：完成系统规划设计、</w:t>
      </w:r>
      <w:r>
        <w:t>业务需求整理，并进行详细需求分析</w:t>
      </w:r>
      <w:r>
        <w:rPr>
          <w:rFonts w:hint="eastAsia"/>
        </w:rPr>
        <w:t>。</w:t>
      </w:r>
    </w:p>
    <w:p w:rsidR="00C54B2F" w:rsidRDefault="00A150F9">
      <w:r>
        <w:rPr>
          <w:rFonts w:hint="eastAsia"/>
        </w:rPr>
        <w:t>第二阶段：完成</w:t>
      </w:r>
      <w:r>
        <w:t>应用软件开发</w:t>
      </w:r>
      <w:r>
        <w:rPr>
          <w:rFonts w:hint="eastAsia"/>
        </w:rPr>
        <w:t>测试</w:t>
      </w:r>
      <w:r>
        <w:t>、系统集成及部署</w:t>
      </w:r>
      <w:r>
        <w:rPr>
          <w:rFonts w:hint="eastAsia"/>
        </w:rPr>
        <w:t>。</w:t>
      </w:r>
    </w:p>
    <w:p w:rsidR="00C54B2F" w:rsidRDefault="00A150F9">
      <w:pPr>
        <w:pStyle w:val="30"/>
        <w:ind w:leftChars="0" w:left="0"/>
      </w:pPr>
      <w:r>
        <w:rPr>
          <w:rFonts w:hint="eastAsia"/>
        </w:rPr>
        <w:t>第三阶段：完成系统试运行（不少于1</w:t>
      </w:r>
      <w:r>
        <w:t>个月）</w:t>
      </w:r>
      <w:r>
        <w:rPr>
          <w:rFonts w:hint="eastAsia"/>
        </w:rPr>
        <w:t>和迭代开发。</w:t>
      </w:r>
    </w:p>
    <w:p w:rsidR="00C54B2F" w:rsidRDefault="00A150F9">
      <w:r>
        <w:rPr>
          <w:rFonts w:hint="eastAsia"/>
        </w:rPr>
        <w:t>第四阶段：完成系统验收及正式上线运行。</w:t>
      </w:r>
    </w:p>
    <w:p w:rsidR="00C54B2F" w:rsidRDefault="00C54B2F" w:rsidP="00AF7AC9">
      <w:pPr>
        <w:ind w:firstLineChars="0" w:firstLine="0"/>
      </w:pPr>
    </w:p>
    <w:p w:rsidR="00C54B2F" w:rsidRDefault="00A150F9">
      <w:pPr>
        <w:pStyle w:val="2"/>
      </w:pPr>
      <w:bookmarkStart w:id="32" w:name="_Toc63785510"/>
      <w:r>
        <w:rPr>
          <w:rFonts w:hint="eastAsia"/>
        </w:rPr>
        <w:t>项目团队及驻场人员要求</w:t>
      </w:r>
      <w:bookmarkEnd w:id="32"/>
    </w:p>
    <w:p w:rsidR="00C54B2F" w:rsidRDefault="00A150F9">
      <w:r>
        <w:t>1）投标人须具有稳定的在职技术保障力量，能够提供及时的技术支援或服务，应针对本项目提供不少于</w:t>
      </w:r>
      <w:r>
        <w:rPr>
          <w:rFonts w:hint="eastAsia"/>
        </w:rPr>
        <w:t>12</w:t>
      </w:r>
      <w:r>
        <w:t>人的项目服务团队（包括项目经理、产品经理、技术负责人、研发等），投标单位的相关服务人员需具备相应的服务能力，需提供相关证明。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6"/>
        <w:gridCol w:w="2505"/>
        <w:gridCol w:w="1276"/>
        <w:gridCol w:w="2165"/>
        <w:gridCol w:w="1180"/>
      </w:tblGrid>
      <w:tr w:rsidR="00C54B2F" w:rsidTr="00AF7AC9">
        <w:trPr>
          <w:trHeight w:val="285"/>
          <w:jc w:val="center"/>
        </w:trPr>
        <w:tc>
          <w:tcPr>
            <w:tcW w:w="0" w:type="auto"/>
            <w:shd w:val="clear" w:color="auto" w:fill="auto"/>
            <w:noWrap/>
            <w:vAlign w:val="center"/>
          </w:tcPr>
          <w:p w:rsidR="00C54B2F" w:rsidRDefault="00A150F9">
            <w:pPr>
              <w:widowControl/>
              <w:spacing w:line="240" w:lineRule="auto"/>
              <w:ind w:firstLineChars="0" w:firstLine="0"/>
              <w:jc w:val="center"/>
              <w:rPr>
                <w:b/>
              </w:rPr>
            </w:pPr>
            <w:r>
              <w:rPr>
                <w:rFonts w:hint="eastAsia"/>
                <w:b/>
              </w:rPr>
              <w:t>角色</w:t>
            </w:r>
          </w:p>
        </w:tc>
        <w:tc>
          <w:tcPr>
            <w:tcW w:w="2505" w:type="dxa"/>
            <w:shd w:val="clear" w:color="auto" w:fill="auto"/>
            <w:noWrap/>
            <w:vAlign w:val="center"/>
          </w:tcPr>
          <w:p w:rsidR="00C54B2F" w:rsidRDefault="00A150F9">
            <w:pPr>
              <w:widowControl/>
              <w:spacing w:line="240" w:lineRule="auto"/>
              <w:ind w:firstLineChars="0" w:firstLine="0"/>
              <w:jc w:val="center"/>
              <w:rPr>
                <w:b/>
              </w:rPr>
            </w:pPr>
            <w:r>
              <w:rPr>
                <w:rFonts w:hint="eastAsia"/>
                <w:b/>
              </w:rPr>
              <w:t>主要职责</w:t>
            </w:r>
          </w:p>
        </w:tc>
        <w:tc>
          <w:tcPr>
            <w:tcW w:w="1276" w:type="dxa"/>
            <w:shd w:val="clear" w:color="auto" w:fill="auto"/>
            <w:noWrap/>
            <w:vAlign w:val="center"/>
          </w:tcPr>
          <w:p w:rsidR="00C54B2F" w:rsidRDefault="00A150F9">
            <w:pPr>
              <w:widowControl/>
              <w:spacing w:line="240" w:lineRule="auto"/>
              <w:ind w:firstLineChars="0" w:firstLine="0"/>
              <w:jc w:val="center"/>
              <w:rPr>
                <w:b/>
              </w:rPr>
            </w:pPr>
            <w:r>
              <w:rPr>
                <w:rFonts w:hint="eastAsia"/>
                <w:b/>
              </w:rPr>
              <w:t>人员数量</w:t>
            </w:r>
          </w:p>
        </w:tc>
        <w:tc>
          <w:tcPr>
            <w:tcW w:w="2165" w:type="dxa"/>
            <w:vAlign w:val="center"/>
          </w:tcPr>
          <w:p w:rsidR="00C54B2F" w:rsidRDefault="00A150F9">
            <w:pPr>
              <w:widowControl/>
              <w:spacing w:line="240" w:lineRule="auto"/>
              <w:ind w:firstLineChars="0" w:firstLine="0"/>
              <w:jc w:val="center"/>
              <w:rPr>
                <w:b/>
              </w:rPr>
            </w:pPr>
            <w:r>
              <w:rPr>
                <w:rFonts w:hint="eastAsia"/>
                <w:b/>
              </w:rPr>
              <w:t>人员要求</w:t>
            </w:r>
          </w:p>
        </w:tc>
        <w:tc>
          <w:tcPr>
            <w:tcW w:w="0" w:type="auto"/>
            <w:shd w:val="clear" w:color="auto" w:fill="auto"/>
            <w:noWrap/>
            <w:vAlign w:val="center"/>
          </w:tcPr>
          <w:p w:rsidR="00C54B2F" w:rsidRDefault="00A150F9">
            <w:pPr>
              <w:widowControl/>
              <w:spacing w:line="240" w:lineRule="auto"/>
              <w:ind w:firstLineChars="0" w:firstLine="0"/>
              <w:jc w:val="center"/>
              <w:rPr>
                <w:b/>
              </w:rPr>
            </w:pPr>
            <w:r>
              <w:rPr>
                <w:rFonts w:hint="eastAsia"/>
                <w:b/>
              </w:rPr>
              <w:t>驻场要求</w:t>
            </w:r>
          </w:p>
        </w:tc>
      </w:tr>
      <w:tr w:rsidR="00C54B2F" w:rsidTr="00AF7AC9">
        <w:trPr>
          <w:trHeight w:val="285"/>
          <w:jc w:val="center"/>
        </w:trPr>
        <w:tc>
          <w:tcPr>
            <w:tcW w:w="0" w:type="auto"/>
            <w:shd w:val="clear" w:color="auto" w:fill="auto"/>
            <w:noWrap/>
            <w:vAlign w:val="center"/>
          </w:tcPr>
          <w:p w:rsidR="00C54B2F" w:rsidRDefault="00A150F9">
            <w:pPr>
              <w:widowControl/>
              <w:spacing w:line="240" w:lineRule="auto"/>
              <w:ind w:firstLineChars="0" w:firstLine="0"/>
              <w:jc w:val="center"/>
            </w:pPr>
            <w:r>
              <w:rPr>
                <w:rFonts w:hint="eastAsia"/>
              </w:rPr>
              <w:t>项目经理</w:t>
            </w:r>
          </w:p>
        </w:tc>
        <w:tc>
          <w:tcPr>
            <w:tcW w:w="2505" w:type="dxa"/>
            <w:shd w:val="clear" w:color="auto" w:fill="auto"/>
            <w:vAlign w:val="center"/>
          </w:tcPr>
          <w:p w:rsidR="00C54B2F" w:rsidRDefault="00A150F9">
            <w:pPr>
              <w:widowControl/>
              <w:spacing w:line="240" w:lineRule="auto"/>
              <w:ind w:firstLineChars="0" w:firstLine="0"/>
              <w:jc w:val="center"/>
            </w:pPr>
            <w:r>
              <w:rPr>
                <w:rFonts w:hint="eastAsia"/>
              </w:rPr>
              <w:t>负责项目质量和进度控制</w:t>
            </w:r>
          </w:p>
        </w:tc>
        <w:tc>
          <w:tcPr>
            <w:tcW w:w="1276" w:type="dxa"/>
            <w:shd w:val="clear" w:color="auto" w:fill="auto"/>
            <w:noWrap/>
            <w:vAlign w:val="center"/>
          </w:tcPr>
          <w:p w:rsidR="00C54B2F" w:rsidRDefault="00A150F9">
            <w:pPr>
              <w:widowControl/>
              <w:spacing w:line="240" w:lineRule="auto"/>
              <w:ind w:firstLineChars="0" w:firstLine="0"/>
              <w:jc w:val="center"/>
            </w:pPr>
            <w:r>
              <w:t>1</w:t>
            </w:r>
            <w:r>
              <w:rPr>
                <w:rFonts w:hint="eastAsia"/>
              </w:rPr>
              <w:t>人</w:t>
            </w:r>
          </w:p>
        </w:tc>
        <w:tc>
          <w:tcPr>
            <w:tcW w:w="2165" w:type="dxa"/>
            <w:vAlign w:val="center"/>
          </w:tcPr>
          <w:p w:rsidR="00C54B2F" w:rsidRDefault="00A150F9">
            <w:pPr>
              <w:widowControl/>
              <w:spacing w:line="240" w:lineRule="auto"/>
              <w:ind w:firstLineChars="0" w:firstLine="0"/>
              <w:jc w:val="center"/>
            </w:pPr>
            <w:r>
              <w:rPr>
                <w:rFonts w:hint="eastAsia"/>
                <w:sz w:val="21"/>
                <w:szCs w:val="21"/>
              </w:rPr>
              <w:t>本科及以上学历，具备信息系统项目管理师证书</w:t>
            </w:r>
          </w:p>
        </w:tc>
        <w:tc>
          <w:tcPr>
            <w:tcW w:w="0" w:type="auto"/>
            <w:shd w:val="clear" w:color="auto" w:fill="auto"/>
            <w:noWrap/>
            <w:vAlign w:val="center"/>
          </w:tcPr>
          <w:p w:rsidR="00C54B2F" w:rsidRDefault="00A150F9">
            <w:pPr>
              <w:widowControl/>
              <w:spacing w:line="240" w:lineRule="auto"/>
              <w:ind w:firstLineChars="0" w:firstLine="0"/>
              <w:jc w:val="center"/>
            </w:pPr>
            <w:r>
              <w:rPr>
                <w:rFonts w:hint="eastAsia"/>
              </w:rPr>
              <w:t>驻场</w:t>
            </w:r>
          </w:p>
        </w:tc>
      </w:tr>
      <w:tr w:rsidR="00C54B2F" w:rsidTr="00AF7AC9">
        <w:trPr>
          <w:trHeight w:val="285"/>
          <w:jc w:val="center"/>
        </w:trPr>
        <w:tc>
          <w:tcPr>
            <w:tcW w:w="0" w:type="auto"/>
            <w:shd w:val="clear" w:color="auto" w:fill="auto"/>
            <w:noWrap/>
            <w:vAlign w:val="center"/>
          </w:tcPr>
          <w:p w:rsidR="00C54B2F" w:rsidRDefault="00A150F9">
            <w:pPr>
              <w:widowControl/>
              <w:spacing w:line="240" w:lineRule="auto"/>
              <w:ind w:firstLineChars="0" w:firstLine="0"/>
              <w:jc w:val="center"/>
            </w:pPr>
            <w:r>
              <w:rPr>
                <w:rFonts w:hint="eastAsia"/>
              </w:rPr>
              <w:t>产品经理</w:t>
            </w:r>
          </w:p>
        </w:tc>
        <w:tc>
          <w:tcPr>
            <w:tcW w:w="2505" w:type="dxa"/>
            <w:shd w:val="clear" w:color="auto" w:fill="auto"/>
            <w:vAlign w:val="center"/>
          </w:tcPr>
          <w:p w:rsidR="00C54B2F" w:rsidRDefault="00A150F9">
            <w:pPr>
              <w:widowControl/>
              <w:spacing w:line="240" w:lineRule="auto"/>
              <w:ind w:firstLineChars="0" w:firstLine="0"/>
              <w:jc w:val="center"/>
            </w:pPr>
            <w:r>
              <w:rPr>
                <w:rFonts w:hint="eastAsia"/>
              </w:rPr>
              <w:t>负责项目需求评估与产品设计</w:t>
            </w:r>
          </w:p>
        </w:tc>
        <w:tc>
          <w:tcPr>
            <w:tcW w:w="1276" w:type="dxa"/>
            <w:shd w:val="clear" w:color="auto" w:fill="auto"/>
            <w:noWrap/>
            <w:vAlign w:val="center"/>
          </w:tcPr>
          <w:p w:rsidR="00C54B2F" w:rsidRDefault="00A150F9">
            <w:pPr>
              <w:widowControl/>
              <w:spacing w:line="240" w:lineRule="auto"/>
              <w:ind w:firstLineChars="0" w:firstLine="0"/>
              <w:jc w:val="center"/>
            </w:pPr>
            <w:r>
              <w:rPr>
                <w:rFonts w:hint="eastAsia"/>
              </w:rPr>
              <w:t>1人</w:t>
            </w:r>
          </w:p>
        </w:tc>
        <w:tc>
          <w:tcPr>
            <w:tcW w:w="2165" w:type="dxa"/>
            <w:vAlign w:val="center"/>
          </w:tcPr>
          <w:p w:rsidR="00C54B2F" w:rsidRDefault="00A150F9">
            <w:pPr>
              <w:widowControl/>
              <w:spacing w:line="240" w:lineRule="auto"/>
              <w:ind w:firstLineChars="0" w:firstLine="0"/>
              <w:jc w:val="center"/>
            </w:pPr>
            <w:r>
              <w:rPr>
                <w:rFonts w:hint="eastAsia"/>
                <w:sz w:val="21"/>
                <w:szCs w:val="21"/>
              </w:rPr>
              <w:t>本科以上学历，具备计算机技术与软件专业技术资格中级或高级资质证书</w:t>
            </w:r>
          </w:p>
        </w:tc>
        <w:tc>
          <w:tcPr>
            <w:tcW w:w="0" w:type="auto"/>
            <w:shd w:val="clear" w:color="auto" w:fill="auto"/>
            <w:noWrap/>
            <w:vAlign w:val="center"/>
          </w:tcPr>
          <w:p w:rsidR="00C54B2F" w:rsidRDefault="00A150F9">
            <w:pPr>
              <w:widowControl/>
              <w:spacing w:line="240" w:lineRule="auto"/>
              <w:ind w:firstLineChars="0" w:firstLine="0"/>
              <w:jc w:val="center"/>
            </w:pPr>
            <w:r>
              <w:rPr>
                <w:rFonts w:hint="eastAsia"/>
              </w:rPr>
              <w:t>驻场</w:t>
            </w:r>
          </w:p>
        </w:tc>
      </w:tr>
      <w:tr w:rsidR="00C54B2F" w:rsidTr="00AF7AC9">
        <w:trPr>
          <w:trHeight w:val="285"/>
          <w:jc w:val="center"/>
        </w:trPr>
        <w:tc>
          <w:tcPr>
            <w:tcW w:w="0" w:type="auto"/>
            <w:shd w:val="clear" w:color="auto" w:fill="auto"/>
            <w:noWrap/>
            <w:vAlign w:val="center"/>
          </w:tcPr>
          <w:p w:rsidR="00C54B2F" w:rsidRDefault="00A150F9">
            <w:pPr>
              <w:widowControl/>
              <w:spacing w:line="240" w:lineRule="auto"/>
              <w:ind w:firstLineChars="0" w:firstLine="0"/>
              <w:jc w:val="center"/>
            </w:pPr>
            <w:r>
              <w:rPr>
                <w:rFonts w:hint="eastAsia"/>
              </w:rPr>
              <w:t>研发</w:t>
            </w:r>
          </w:p>
        </w:tc>
        <w:tc>
          <w:tcPr>
            <w:tcW w:w="2505" w:type="dxa"/>
            <w:shd w:val="clear" w:color="auto" w:fill="auto"/>
            <w:noWrap/>
            <w:vAlign w:val="center"/>
          </w:tcPr>
          <w:p w:rsidR="00C54B2F" w:rsidRDefault="00A150F9">
            <w:pPr>
              <w:widowControl/>
              <w:spacing w:line="240" w:lineRule="auto"/>
              <w:ind w:firstLineChars="0" w:firstLine="0"/>
              <w:jc w:val="center"/>
            </w:pPr>
            <w:r>
              <w:rPr>
                <w:rFonts w:hint="eastAsia"/>
              </w:rPr>
              <w:t>负责项目具体开发与实施</w:t>
            </w:r>
          </w:p>
        </w:tc>
        <w:tc>
          <w:tcPr>
            <w:tcW w:w="1276" w:type="dxa"/>
            <w:shd w:val="clear" w:color="auto" w:fill="auto"/>
            <w:noWrap/>
            <w:vAlign w:val="center"/>
          </w:tcPr>
          <w:p w:rsidR="00C54B2F" w:rsidRDefault="00A150F9">
            <w:pPr>
              <w:widowControl/>
              <w:spacing w:line="240" w:lineRule="auto"/>
              <w:ind w:firstLineChars="0" w:firstLine="0"/>
              <w:jc w:val="center"/>
            </w:pPr>
            <w:r>
              <w:rPr>
                <w:rFonts w:hint="eastAsia"/>
              </w:rPr>
              <w:t>6人</w:t>
            </w:r>
          </w:p>
        </w:tc>
        <w:tc>
          <w:tcPr>
            <w:tcW w:w="2165" w:type="dxa"/>
            <w:vAlign w:val="center"/>
          </w:tcPr>
          <w:p w:rsidR="00C54B2F" w:rsidRDefault="00A150F9">
            <w:pPr>
              <w:widowControl/>
              <w:spacing w:line="240" w:lineRule="auto"/>
              <w:ind w:firstLineChars="0" w:firstLine="0"/>
              <w:jc w:val="center"/>
              <w:rPr>
                <w:sz w:val="21"/>
                <w:szCs w:val="21"/>
              </w:rPr>
            </w:pPr>
            <w:r>
              <w:rPr>
                <w:rFonts w:hint="eastAsia"/>
                <w:sz w:val="21"/>
                <w:szCs w:val="21"/>
              </w:rPr>
              <w:t>本科学历及以上且工作经验不少于三年</w:t>
            </w:r>
          </w:p>
        </w:tc>
        <w:tc>
          <w:tcPr>
            <w:tcW w:w="0" w:type="auto"/>
            <w:shd w:val="clear" w:color="auto" w:fill="auto"/>
            <w:noWrap/>
            <w:vAlign w:val="center"/>
          </w:tcPr>
          <w:p w:rsidR="00C54B2F" w:rsidRDefault="00A150F9">
            <w:pPr>
              <w:widowControl/>
              <w:spacing w:line="240" w:lineRule="auto"/>
              <w:ind w:firstLineChars="0" w:firstLine="0"/>
              <w:jc w:val="center"/>
            </w:pPr>
            <w:r>
              <w:rPr>
                <w:rFonts w:hint="eastAsia"/>
              </w:rPr>
              <w:t>驻场</w:t>
            </w:r>
          </w:p>
        </w:tc>
      </w:tr>
      <w:tr w:rsidR="00C54B2F" w:rsidTr="00AF7AC9">
        <w:trPr>
          <w:trHeight w:val="285"/>
          <w:jc w:val="center"/>
        </w:trPr>
        <w:tc>
          <w:tcPr>
            <w:tcW w:w="0" w:type="auto"/>
            <w:shd w:val="clear" w:color="auto" w:fill="auto"/>
            <w:noWrap/>
            <w:vAlign w:val="center"/>
          </w:tcPr>
          <w:p w:rsidR="00C54B2F" w:rsidRDefault="00A150F9">
            <w:pPr>
              <w:widowControl/>
              <w:spacing w:line="240" w:lineRule="auto"/>
              <w:ind w:firstLineChars="0" w:firstLine="0"/>
              <w:jc w:val="center"/>
            </w:pPr>
            <w:r>
              <w:rPr>
                <w:rFonts w:hint="eastAsia"/>
              </w:rPr>
              <w:t>研发</w:t>
            </w:r>
          </w:p>
        </w:tc>
        <w:tc>
          <w:tcPr>
            <w:tcW w:w="2505" w:type="dxa"/>
            <w:shd w:val="clear" w:color="auto" w:fill="auto"/>
            <w:noWrap/>
            <w:vAlign w:val="center"/>
          </w:tcPr>
          <w:p w:rsidR="00C54B2F" w:rsidRDefault="00A150F9">
            <w:pPr>
              <w:widowControl/>
              <w:spacing w:line="240" w:lineRule="auto"/>
              <w:ind w:firstLineChars="0" w:firstLine="0"/>
              <w:jc w:val="center"/>
            </w:pPr>
            <w:r>
              <w:rPr>
                <w:rFonts w:hint="eastAsia"/>
              </w:rPr>
              <w:t>负责项目具体开发与实施</w:t>
            </w:r>
          </w:p>
        </w:tc>
        <w:tc>
          <w:tcPr>
            <w:tcW w:w="1276" w:type="dxa"/>
            <w:shd w:val="clear" w:color="auto" w:fill="auto"/>
            <w:noWrap/>
            <w:vAlign w:val="center"/>
          </w:tcPr>
          <w:p w:rsidR="00C54B2F" w:rsidRDefault="00A150F9">
            <w:pPr>
              <w:widowControl/>
              <w:spacing w:line="240" w:lineRule="auto"/>
              <w:ind w:firstLineChars="0" w:firstLine="0"/>
              <w:jc w:val="center"/>
            </w:pPr>
            <w:r>
              <w:rPr>
                <w:rFonts w:hint="eastAsia"/>
              </w:rPr>
              <w:t>4人</w:t>
            </w:r>
          </w:p>
        </w:tc>
        <w:tc>
          <w:tcPr>
            <w:tcW w:w="2165" w:type="dxa"/>
            <w:vAlign w:val="center"/>
          </w:tcPr>
          <w:p w:rsidR="00C54B2F" w:rsidRDefault="00A150F9">
            <w:pPr>
              <w:widowControl/>
              <w:spacing w:line="240" w:lineRule="auto"/>
              <w:ind w:firstLineChars="0" w:firstLine="0"/>
              <w:jc w:val="center"/>
            </w:pPr>
            <w:r>
              <w:rPr>
                <w:rFonts w:hint="eastAsia"/>
                <w:sz w:val="21"/>
                <w:szCs w:val="21"/>
              </w:rPr>
              <w:t>本科学历及以上且工作经验不少于三年</w:t>
            </w:r>
          </w:p>
        </w:tc>
        <w:tc>
          <w:tcPr>
            <w:tcW w:w="0" w:type="auto"/>
            <w:shd w:val="clear" w:color="auto" w:fill="auto"/>
            <w:noWrap/>
            <w:vAlign w:val="center"/>
          </w:tcPr>
          <w:p w:rsidR="00C54B2F" w:rsidRDefault="00A150F9">
            <w:pPr>
              <w:widowControl/>
              <w:spacing w:line="240" w:lineRule="auto"/>
              <w:ind w:firstLineChars="0" w:firstLine="0"/>
              <w:jc w:val="center"/>
            </w:pPr>
            <w:r>
              <w:rPr>
                <w:rFonts w:hint="eastAsia"/>
              </w:rPr>
              <w:t>不驻场</w:t>
            </w:r>
          </w:p>
        </w:tc>
      </w:tr>
    </w:tbl>
    <w:p w:rsidR="00C54B2F" w:rsidRDefault="00A150F9">
      <w:r>
        <w:t>2）投标人应针对本项目提供不少于3人的质保期间支撑团队（其中技术经理1人，产品经理1人，技术工程师不少于1人）；投标人的相关服务人员需具备相应的服务能力，需提供相关证明（最近一个季度依法缴纳社保费的证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2542"/>
        <w:gridCol w:w="1180"/>
        <w:gridCol w:w="1984"/>
        <w:gridCol w:w="1180"/>
      </w:tblGrid>
      <w:tr w:rsidR="00C54B2F">
        <w:trPr>
          <w:trHeight w:val="285"/>
          <w:jc w:val="center"/>
        </w:trPr>
        <w:tc>
          <w:tcPr>
            <w:tcW w:w="0" w:type="auto"/>
            <w:shd w:val="clear" w:color="auto" w:fill="auto"/>
            <w:noWrap/>
            <w:vAlign w:val="center"/>
          </w:tcPr>
          <w:p w:rsidR="00C54B2F" w:rsidRDefault="00A150F9">
            <w:pPr>
              <w:widowControl/>
              <w:spacing w:line="240" w:lineRule="auto"/>
              <w:ind w:firstLineChars="0" w:firstLine="0"/>
              <w:jc w:val="center"/>
              <w:rPr>
                <w:b/>
              </w:rPr>
            </w:pPr>
            <w:r>
              <w:rPr>
                <w:rFonts w:hint="eastAsia"/>
                <w:b/>
              </w:rPr>
              <w:lastRenderedPageBreak/>
              <w:t>角色</w:t>
            </w:r>
          </w:p>
        </w:tc>
        <w:tc>
          <w:tcPr>
            <w:tcW w:w="0" w:type="auto"/>
            <w:shd w:val="clear" w:color="auto" w:fill="auto"/>
            <w:noWrap/>
            <w:vAlign w:val="center"/>
          </w:tcPr>
          <w:p w:rsidR="00C54B2F" w:rsidRDefault="00A150F9">
            <w:pPr>
              <w:widowControl/>
              <w:spacing w:line="240" w:lineRule="auto"/>
              <w:ind w:firstLineChars="0" w:firstLine="0"/>
              <w:jc w:val="center"/>
              <w:rPr>
                <w:b/>
              </w:rPr>
            </w:pPr>
            <w:r>
              <w:rPr>
                <w:rFonts w:hint="eastAsia"/>
                <w:b/>
              </w:rPr>
              <w:t>主要职责</w:t>
            </w:r>
          </w:p>
        </w:tc>
        <w:tc>
          <w:tcPr>
            <w:tcW w:w="0" w:type="auto"/>
            <w:shd w:val="clear" w:color="auto" w:fill="auto"/>
            <w:noWrap/>
            <w:vAlign w:val="center"/>
          </w:tcPr>
          <w:p w:rsidR="00C54B2F" w:rsidRDefault="00A150F9">
            <w:pPr>
              <w:widowControl/>
              <w:spacing w:line="240" w:lineRule="auto"/>
              <w:ind w:firstLineChars="0" w:firstLine="0"/>
              <w:jc w:val="center"/>
              <w:rPr>
                <w:b/>
              </w:rPr>
            </w:pPr>
            <w:r>
              <w:rPr>
                <w:rFonts w:hint="eastAsia"/>
                <w:b/>
              </w:rPr>
              <w:t>人员数量</w:t>
            </w:r>
          </w:p>
        </w:tc>
        <w:tc>
          <w:tcPr>
            <w:tcW w:w="0" w:type="auto"/>
            <w:vAlign w:val="center"/>
          </w:tcPr>
          <w:p w:rsidR="00C54B2F" w:rsidRDefault="00A150F9">
            <w:pPr>
              <w:widowControl/>
              <w:spacing w:line="240" w:lineRule="auto"/>
              <w:ind w:firstLineChars="0" w:firstLine="0"/>
              <w:jc w:val="center"/>
              <w:rPr>
                <w:b/>
              </w:rPr>
            </w:pPr>
            <w:r>
              <w:rPr>
                <w:rFonts w:hint="eastAsia"/>
                <w:b/>
              </w:rPr>
              <w:t>人员要求</w:t>
            </w:r>
          </w:p>
        </w:tc>
        <w:tc>
          <w:tcPr>
            <w:tcW w:w="0" w:type="auto"/>
            <w:shd w:val="clear" w:color="auto" w:fill="auto"/>
            <w:noWrap/>
            <w:vAlign w:val="center"/>
          </w:tcPr>
          <w:p w:rsidR="00C54B2F" w:rsidRDefault="00A150F9">
            <w:pPr>
              <w:widowControl/>
              <w:spacing w:line="240" w:lineRule="auto"/>
              <w:ind w:firstLineChars="0" w:firstLine="0"/>
              <w:jc w:val="center"/>
              <w:rPr>
                <w:b/>
              </w:rPr>
            </w:pPr>
            <w:r>
              <w:rPr>
                <w:rFonts w:hint="eastAsia"/>
                <w:b/>
              </w:rPr>
              <w:t>驻场要求</w:t>
            </w:r>
          </w:p>
        </w:tc>
      </w:tr>
      <w:tr w:rsidR="00C54B2F">
        <w:trPr>
          <w:trHeight w:val="285"/>
          <w:jc w:val="center"/>
        </w:trPr>
        <w:tc>
          <w:tcPr>
            <w:tcW w:w="0" w:type="auto"/>
            <w:shd w:val="clear" w:color="auto" w:fill="auto"/>
            <w:noWrap/>
            <w:vAlign w:val="center"/>
          </w:tcPr>
          <w:p w:rsidR="00C54B2F" w:rsidRDefault="00A150F9">
            <w:pPr>
              <w:widowControl/>
              <w:spacing w:line="240" w:lineRule="auto"/>
              <w:ind w:firstLineChars="0" w:firstLine="0"/>
              <w:jc w:val="center"/>
            </w:pPr>
            <w:r>
              <w:rPr>
                <w:rFonts w:hint="eastAsia"/>
              </w:rPr>
              <w:t>项目经理</w:t>
            </w:r>
          </w:p>
        </w:tc>
        <w:tc>
          <w:tcPr>
            <w:tcW w:w="0" w:type="auto"/>
            <w:shd w:val="clear" w:color="auto" w:fill="auto"/>
            <w:vAlign w:val="center"/>
          </w:tcPr>
          <w:p w:rsidR="00C54B2F" w:rsidRDefault="00A150F9">
            <w:pPr>
              <w:widowControl/>
              <w:spacing w:line="240" w:lineRule="auto"/>
              <w:ind w:firstLineChars="0" w:firstLine="0"/>
              <w:jc w:val="center"/>
            </w:pPr>
            <w:r>
              <w:rPr>
                <w:rFonts w:hint="eastAsia"/>
              </w:rPr>
              <w:t>负责项目质量和进度控制</w:t>
            </w:r>
          </w:p>
        </w:tc>
        <w:tc>
          <w:tcPr>
            <w:tcW w:w="0" w:type="auto"/>
            <w:shd w:val="clear" w:color="auto" w:fill="auto"/>
            <w:noWrap/>
            <w:vAlign w:val="center"/>
          </w:tcPr>
          <w:p w:rsidR="00C54B2F" w:rsidRDefault="00A150F9">
            <w:pPr>
              <w:widowControl/>
              <w:spacing w:line="240" w:lineRule="auto"/>
              <w:ind w:firstLineChars="0" w:firstLine="0"/>
              <w:jc w:val="center"/>
            </w:pPr>
            <w:r>
              <w:rPr>
                <w:rFonts w:hint="eastAsia"/>
              </w:rPr>
              <w:t>1人</w:t>
            </w:r>
          </w:p>
        </w:tc>
        <w:tc>
          <w:tcPr>
            <w:tcW w:w="0" w:type="auto"/>
            <w:vAlign w:val="center"/>
          </w:tcPr>
          <w:p w:rsidR="00C54B2F" w:rsidRDefault="00A150F9">
            <w:pPr>
              <w:widowControl/>
              <w:spacing w:line="240" w:lineRule="auto"/>
              <w:ind w:firstLineChars="0" w:firstLine="0"/>
              <w:jc w:val="center"/>
            </w:pPr>
            <w:r>
              <w:rPr>
                <w:rFonts w:hint="eastAsia"/>
                <w:sz w:val="21"/>
                <w:szCs w:val="21"/>
              </w:rPr>
              <w:t>本科及以上学历，具备信息系统项目管理师证书</w:t>
            </w:r>
          </w:p>
        </w:tc>
        <w:tc>
          <w:tcPr>
            <w:tcW w:w="0" w:type="auto"/>
            <w:shd w:val="clear" w:color="auto" w:fill="auto"/>
            <w:noWrap/>
            <w:vAlign w:val="center"/>
          </w:tcPr>
          <w:p w:rsidR="00C54B2F" w:rsidRDefault="00A150F9">
            <w:pPr>
              <w:widowControl/>
              <w:spacing w:line="240" w:lineRule="auto"/>
              <w:ind w:firstLineChars="0" w:firstLine="0"/>
              <w:jc w:val="center"/>
            </w:pPr>
            <w:r>
              <w:rPr>
                <w:rFonts w:hint="eastAsia"/>
              </w:rPr>
              <w:t>驻场</w:t>
            </w:r>
          </w:p>
        </w:tc>
      </w:tr>
      <w:tr w:rsidR="00C54B2F">
        <w:trPr>
          <w:trHeight w:val="285"/>
          <w:jc w:val="center"/>
        </w:trPr>
        <w:tc>
          <w:tcPr>
            <w:tcW w:w="0" w:type="auto"/>
            <w:shd w:val="clear" w:color="auto" w:fill="auto"/>
            <w:noWrap/>
            <w:vAlign w:val="center"/>
          </w:tcPr>
          <w:p w:rsidR="00C54B2F" w:rsidRDefault="00A150F9">
            <w:pPr>
              <w:widowControl/>
              <w:spacing w:line="240" w:lineRule="auto"/>
              <w:ind w:firstLineChars="0" w:firstLine="0"/>
              <w:jc w:val="center"/>
            </w:pPr>
            <w:r>
              <w:rPr>
                <w:rFonts w:hint="eastAsia"/>
              </w:rPr>
              <w:t>产品经理</w:t>
            </w:r>
          </w:p>
        </w:tc>
        <w:tc>
          <w:tcPr>
            <w:tcW w:w="0" w:type="auto"/>
            <w:shd w:val="clear" w:color="auto" w:fill="auto"/>
            <w:vAlign w:val="center"/>
          </w:tcPr>
          <w:p w:rsidR="00C54B2F" w:rsidRDefault="00A150F9">
            <w:pPr>
              <w:widowControl/>
              <w:spacing w:line="240" w:lineRule="auto"/>
              <w:ind w:firstLineChars="0" w:firstLine="0"/>
              <w:jc w:val="center"/>
            </w:pPr>
            <w:r>
              <w:rPr>
                <w:rFonts w:hint="eastAsia"/>
              </w:rPr>
              <w:t>负责项目需求评估与产品设计</w:t>
            </w:r>
          </w:p>
        </w:tc>
        <w:tc>
          <w:tcPr>
            <w:tcW w:w="0" w:type="auto"/>
            <w:shd w:val="clear" w:color="auto" w:fill="auto"/>
            <w:noWrap/>
            <w:vAlign w:val="center"/>
          </w:tcPr>
          <w:p w:rsidR="00C54B2F" w:rsidRDefault="00A150F9">
            <w:pPr>
              <w:widowControl/>
              <w:spacing w:line="240" w:lineRule="auto"/>
              <w:ind w:firstLineChars="0" w:firstLine="0"/>
              <w:jc w:val="center"/>
            </w:pPr>
            <w:r>
              <w:rPr>
                <w:rFonts w:hint="eastAsia"/>
              </w:rPr>
              <w:t>1人</w:t>
            </w:r>
          </w:p>
        </w:tc>
        <w:tc>
          <w:tcPr>
            <w:tcW w:w="0" w:type="auto"/>
            <w:vAlign w:val="center"/>
          </w:tcPr>
          <w:p w:rsidR="00C54B2F" w:rsidRDefault="00A150F9">
            <w:pPr>
              <w:widowControl/>
              <w:spacing w:line="240" w:lineRule="auto"/>
              <w:ind w:firstLineChars="0" w:firstLine="0"/>
              <w:jc w:val="center"/>
            </w:pPr>
            <w:r>
              <w:rPr>
                <w:rFonts w:hint="eastAsia"/>
                <w:sz w:val="21"/>
                <w:szCs w:val="21"/>
              </w:rPr>
              <w:t>本科以上学历，具备中级或高级资质证书</w:t>
            </w:r>
          </w:p>
        </w:tc>
        <w:tc>
          <w:tcPr>
            <w:tcW w:w="0" w:type="auto"/>
            <w:shd w:val="clear" w:color="auto" w:fill="auto"/>
            <w:noWrap/>
            <w:vAlign w:val="center"/>
          </w:tcPr>
          <w:p w:rsidR="00C54B2F" w:rsidRDefault="00A150F9">
            <w:pPr>
              <w:widowControl/>
              <w:spacing w:line="240" w:lineRule="auto"/>
              <w:ind w:firstLineChars="0" w:firstLine="0"/>
              <w:jc w:val="center"/>
            </w:pPr>
            <w:r>
              <w:rPr>
                <w:rFonts w:hint="eastAsia"/>
              </w:rPr>
              <w:t>不驻场</w:t>
            </w:r>
          </w:p>
        </w:tc>
      </w:tr>
      <w:tr w:rsidR="00C54B2F">
        <w:trPr>
          <w:trHeight w:val="285"/>
          <w:jc w:val="center"/>
        </w:trPr>
        <w:tc>
          <w:tcPr>
            <w:tcW w:w="0" w:type="auto"/>
            <w:shd w:val="clear" w:color="auto" w:fill="auto"/>
            <w:noWrap/>
            <w:vAlign w:val="center"/>
          </w:tcPr>
          <w:p w:rsidR="00C54B2F" w:rsidRDefault="00A150F9">
            <w:pPr>
              <w:widowControl/>
              <w:spacing w:line="240" w:lineRule="auto"/>
              <w:ind w:firstLineChars="0" w:firstLine="0"/>
              <w:jc w:val="center"/>
            </w:pPr>
            <w:r>
              <w:rPr>
                <w:rFonts w:hint="eastAsia"/>
              </w:rPr>
              <w:t>技术工程师</w:t>
            </w:r>
          </w:p>
        </w:tc>
        <w:tc>
          <w:tcPr>
            <w:tcW w:w="0" w:type="auto"/>
            <w:shd w:val="clear" w:color="auto" w:fill="auto"/>
            <w:noWrap/>
            <w:vAlign w:val="center"/>
          </w:tcPr>
          <w:p w:rsidR="00C54B2F" w:rsidRDefault="00A150F9">
            <w:pPr>
              <w:widowControl/>
              <w:spacing w:line="240" w:lineRule="auto"/>
              <w:ind w:firstLineChars="0" w:firstLine="0"/>
              <w:jc w:val="center"/>
            </w:pPr>
            <w:r>
              <w:rPr>
                <w:rFonts w:hint="eastAsia"/>
              </w:rPr>
              <w:t>负责项目运行维护</w:t>
            </w:r>
          </w:p>
        </w:tc>
        <w:tc>
          <w:tcPr>
            <w:tcW w:w="0" w:type="auto"/>
            <w:shd w:val="clear" w:color="auto" w:fill="auto"/>
            <w:noWrap/>
            <w:vAlign w:val="center"/>
          </w:tcPr>
          <w:p w:rsidR="00C54B2F" w:rsidRDefault="00A150F9">
            <w:pPr>
              <w:widowControl/>
              <w:spacing w:line="240" w:lineRule="auto"/>
              <w:ind w:firstLineChars="0" w:firstLine="0"/>
              <w:jc w:val="center"/>
            </w:pPr>
            <w:r>
              <w:t>1</w:t>
            </w:r>
            <w:r>
              <w:rPr>
                <w:rFonts w:hint="eastAsia"/>
              </w:rPr>
              <w:t>人</w:t>
            </w:r>
          </w:p>
        </w:tc>
        <w:tc>
          <w:tcPr>
            <w:tcW w:w="0" w:type="auto"/>
            <w:vAlign w:val="center"/>
          </w:tcPr>
          <w:p w:rsidR="00C54B2F" w:rsidRDefault="00A150F9">
            <w:pPr>
              <w:widowControl/>
              <w:spacing w:line="240" w:lineRule="auto"/>
              <w:ind w:firstLineChars="0" w:firstLine="0"/>
              <w:jc w:val="center"/>
            </w:pPr>
            <w:r>
              <w:rPr>
                <w:rFonts w:hint="eastAsia"/>
                <w:sz w:val="21"/>
                <w:szCs w:val="21"/>
              </w:rPr>
              <w:t>本科学历及以上且工作经验不少于三年</w:t>
            </w:r>
          </w:p>
        </w:tc>
        <w:tc>
          <w:tcPr>
            <w:tcW w:w="0" w:type="auto"/>
            <w:shd w:val="clear" w:color="auto" w:fill="auto"/>
            <w:noWrap/>
            <w:vAlign w:val="center"/>
          </w:tcPr>
          <w:p w:rsidR="00C54B2F" w:rsidRDefault="00A150F9">
            <w:pPr>
              <w:widowControl/>
              <w:spacing w:line="240" w:lineRule="auto"/>
              <w:ind w:firstLineChars="0" w:firstLine="0"/>
              <w:jc w:val="center"/>
            </w:pPr>
            <w:r>
              <w:rPr>
                <w:rFonts w:hint="eastAsia"/>
              </w:rPr>
              <w:t>驻场</w:t>
            </w:r>
          </w:p>
        </w:tc>
      </w:tr>
    </w:tbl>
    <w:p w:rsidR="00C54B2F" w:rsidRDefault="00A150F9">
      <w:pPr>
        <w:pStyle w:val="2"/>
      </w:pPr>
      <w:bookmarkStart w:id="33" w:name="_Toc63785511"/>
      <w:r>
        <w:t>等级保护要求</w:t>
      </w:r>
      <w:bookmarkEnd w:id="33"/>
    </w:p>
    <w:p w:rsidR="00C54B2F" w:rsidRDefault="00A150F9">
      <w:pPr>
        <w:rPr>
          <w:rFonts w:ascii="仿宋_GB2312" w:eastAsia="仿宋_GB2312" w:cs="仿宋_GB2312"/>
          <w:color w:val="000000"/>
          <w:kern w:val="0"/>
          <w:sz w:val="28"/>
          <w:szCs w:val="28"/>
        </w:rPr>
      </w:pPr>
      <w:r>
        <w:t>本项目等级保护要求：</w:t>
      </w:r>
      <w:r>
        <w:rPr>
          <w:rFonts w:hint="eastAsia"/>
        </w:rPr>
        <w:t>按照</w:t>
      </w:r>
      <w:r>
        <w:t>等保</w:t>
      </w:r>
      <w:r>
        <w:rPr>
          <w:rFonts w:hint="eastAsia"/>
        </w:rPr>
        <w:t>2</w:t>
      </w:r>
      <w:r>
        <w:t>.0</w:t>
      </w:r>
      <w:r>
        <w:rPr>
          <w:rFonts w:hint="eastAsia"/>
        </w:rPr>
        <w:t>三</w:t>
      </w:r>
      <w:r>
        <w:t>级要求建设。</w:t>
      </w:r>
    </w:p>
    <w:p w:rsidR="00C54B2F" w:rsidRDefault="00A150F9">
      <w:pPr>
        <w:pStyle w:val="2"/>
      </w:pPr>
      <w:r>
        <w:rPr>
          <w:rFonts w:hint="eastAsia"/>
        </w:rPr>
        <w:t>商业密码应用需求</w:t>
      </w:r>
    </w:p>
    <w:p w:rsidR="00C54B2F" w:rsidRDefault="00A150F9">
      <w:r>
        <w:rPr>
          <w:rFonts w:hint="eastAsia"/>
        </w:rPr>
        <w:t>根据</w:t>
      </w:r>
      <w:r>
        <w:t>GB/T 39786—2021《信息安全技术信息系统密码应用基本要求》，从物理和环境安全、网络和通信安全、设备和计算安全、应用和数据安全、安全管理等层面，</w:t>
      </w:r>
      <w:r>
        <w:rPr>
          <w:rFonts w:hint="eastAsia"/>
        </w:rPr>
        <w:t>按照商业密码</w:t>
      </w:r>
      <w:r>
        <w:t>应用</w:t>
      </w:r>
      <w:r>
        <w:rPr>
          <w:rFonts w:hint="eastAsia"/>
        </w:rPr>
        <w:t>评估方案开展</w:t>
      </w:r>
      <w:r>
        <w:t>建</w:t>
      </w:r>
      <w:r>
        <w:rPr>
          <w:rFonts w:hint="eastAsia"/>
        </w:rPr>
        <w:t>设</w:t>
      </w:r>
      <w:r>
        <w:t>，</w:t>
      </w:r>
      <w:r>
        <w:rPr>
          <w:rFonts w:hint="eastAsia"/>
        </w:rPr>
        <w:t>并通过密码测评</w:t>
      </w:r>
      <w:r>
        <w:t>。</w:t>
      </w:r>
    </w:p>
    <w:p w:rsidR="00C54B2F" w:rsidRDefault="00A150F9">
      <w:pPr>
        <w:pStyle w:val="2"/>
      </w:pPr>
      <w:bookmarkStart w:id="34" w:name="_Toc63785512"/>
      <w:r>
        <w:rPr>
          <w:rFonts w:hint="eastAsia"/>
        </w:rPr>
        <w:t>技术文件要求</w:t>
      </w:r>
    </w:p>
    <w:p w:rsidR="00C54B2F" w:rsidRDefault="00A150F9">
      <w:r>
        <w:rPr>
          <w:rFonts w:hint="eastAsia"/>
        </w:rPr>
        <w:t>投标人提供的书面技术资料应能确保系统正常运行所需的管理、运营及维护有关的全套文件。技术文件应该全面、完整、详细。投标人提供的技术文件至少应包括：</w:t>
      </w:r>
    </w:p>
    <w:p w:rsidR="00C54B2F" w:rsidRDefault="00A150F9">
      <w:r>
        <w:rPr>
          <w:rFonts w:hint="eastAsia"/>
        </w:rPr>
        <w:t>－</w:t>
      </w:r>
      <w:r>
        <w:t xml:space="preserve"> 系统说明文件； </w:t>
      </w:r>
    </w:p>
    <w:p w:rsidR="00C54B2F" w:rsidRDefault="00A150F9">
      <w:r>
        <w:rPr>
          <w:rFonts w:hint="eastAsia"/>
        </w:rPr>
        <w:t>－</w:t>
      </w:r>
      <w:r>
        <w:t xml:space="preserve"> 技术手册(安装、测试、操作、维护、故障排除等)； </w:t>
      </w:r>
    </w:p>
    <w:p w:rsidR="00C54B2F" w:rsidRDefault="00A150F9">
      <w:r>
        <w:rPr>
          <w:rFonts w:hint="eastAsia"/>
        </w:rPr>
        <w:t>－</w:t>
      </w:r>
      <w:r>
        <w:t xml:space="preserve"> 项目文档，应该包括：</w:t>
      </w:r>
    </w:p>
    <w:p w:rsidR="00C54B2F" w:rsidRDefault="00A150F9">
      <w:pPr>
        <w:ind w:left="360"/>
      </w:pPr>
      <w:r>
        <w:t>(1)软件需求说明书</w:t>
      </w:r>
    </w:p>
    <w:p w:rsidR="00C54B2F" w:rsidRDefault="00A150F9">
      <w:pPr>
        <w:ind w:left="360"/>
      </w:pPr>
      <w:r>
        <w:t>(2)</w:t>
      </w:r>
      <w:r>
        <w:tab/>
        <w:t>系统总体设计说明书</w:t>
      </w:r>
    </w:p>
    <w:p w:rsidR="00C54B2F" w:rsidRDefault="00A150F9">
      <w:pPr>
        <w:ind w:left="360"/>
      </w:pPr>
      <w:r>
        <w:t>(3)</w:t>
      </w:r>
      <w:r>
        <w:tab/>
        <w:t>应用软件功能清单</w:t>
      </w:r>
    </w:p>
    <w:p w:rsidR="00C54B2F" w:rsidRDefault="00A150F9">
      <w:r>
        <w:rPr>
          <w:rFonts w:hint="eastAsia"/>
        </w:rPr>
        <w:t>提供全套技术文件纸介质</w:t>
      </w:r>
      <w:r>
        <w:t>3套以及电子文件1套。</w:t>
      </w:r>
    </w:p>
    <w:p w:rsidR="00C54B2F" w:rsidRDefault="00A150F9">
      <w:pPr>
        <w:pStyle w:val="1"/>
      </w:pPr>
      <w:r>
        <w:rPr>
          <w:rFonts w:hint="eastAsia"/>
        </w:rPr>
        <w:t>供应商资质要求</w:t>
      </w:r>
    </w:p>
    <w:p w:rsidR="00C54B2F" w:rsidRDefault="00A150F9">
      <w:r>
        <w:rPr>
          <w:rFonts w:hint="eastAsia"/>
        </w:rPr>
        <w:t>供应商应当具有类似的政务信息系统建设经验，企业通过</w:t>
      </w:r>
      <w:r>
        <w:t>ISO9001质量管理</w:t>
      </w:r>
      <w:r>
        <w:lastRenderedPageBreak/>
        <w:t>体系认证、ISO27001信息安全管理体系认证、ISO20000 IT服务管理体系认证</w:t>
      </w:r>
      <w:r>
        <w:rPr>
          <w:rFonts w:hint="eastAsia"/>
        </w:rPr>
        <w:t>；具有</w:t>
      </w:r>
      <w:r>
        <w:t>ITSS信息技术服务标准符合性证书、CCRC信息安全服务资质(信息系统安全集成服务资质）、信息系统建设和服务能力CS3及以上等级证书。</w:t>
      </w:r>
    </w:p>
    <w:p w:rsidR="00C54B2F" w:rsidRDefault="00A150F9">
      <w:pPr>
        <w:pStyle w:val="1"/>
      </w:pPr>
      <w:r>
        <w:rPr>
          <w:rFonts w:hint="eastAsia"/>
        </w:rPr>
        <w:t>供应商管理要求</w:t>
      </w:r>
      <w:bookmarkEnd w:id="34"/>
    </w:p>
    <w:p w:rsidR="00C54B2F" w:rsidRDefault="00A150F9">
      <w:pPr>
        <w:pStyle w:val="25"/>
        <w:ind w:firstLine="480"/>
        <w:rPr>
          <w:sz w:val="24"/>
          <w:szCs w:val="24"/>
        </w:rPr>
      </w:pPr>
      <w:r>
        <w:rPr>
          <w:rFonts w:hint="eastAsia"/>
          <w:sz w:val="24"/>
          <w:szCs w:val="24"/>
        </w:rPr>
        <w:t>1、在项目实施期间，中标人应严格执行国家、地方、行业有关本项目业务管理和安全作业的法律、法规和制度并按规定承担相应的费用。中标人因违反规定等原因造成的一切损失和责任由中标人自行承担。</w:t>
      </w:r>
    </w:p>
    <w:p w:rsidR="00C54B2F" w:rsidRDefault="00A150F9">
      <w:pPr>
        <w:pStyle w:val="25"/>
        <w:ind w:firstLine="480"/>
        <w:rPr>
          <w:sz w:val="24"/>
          <w:szCs w:val="24"/>
        </w:rPr>
      </w:pPr>
      <w:r>
        <w:rPr>
          <w:rFonts w:hint="eastAsia"/>
          <w:sz w:val="24"/>
          <w:szCs w:val="24"/>
        </w:rPr>
        <w:t>2、中标人在投标书中承诺并经招标人认定的项目负责人及专业技术人员必须是本单位职工（在本单位缴纳社会保障金）和该项目实施现场的实际操作者，应具有类似本项目的实施经验，并应在软件应用调研、安装、试运行等期间常驻项目现场。未经采购人同意，中标人不得调换或撤离上述人员。如采购人认为有必要，可要求中标人对上述人员中的部分人员作出更好的调整。</w:t>
      </w:r>
    </w:p>
    <w:p w:rsidR="00C54B2F" w:rsidRDefault="00A150F9">
      <w:pPr>
        <w:pStyle w:val="25"/>
        <w:ind w:firstLine="480"/>
        <w:rPr>
          <w:sz w:val="24"/>
          <w:szCs w:val="24"/>
        </w:rPr>
      </w:pPr>
      <w:r>
        <w:rPr>
          <w:rFonts w:hint="eastAsia"/>
          <w:sz w:val="24"/>
          <w:szCs w:val="24"/>
        </w:rPr>
        <w:t>3、中标人在项目实施期间，应按项目实际进度与环节落实所对应项目整体及各环节管理工作，按照规范做好项目实施期间相关管理与实施记录。</w:t>
      </w:r>
    </w:p>
    <w:p w:rsidR="00C54B2F" w:rsidRDefault="00A150F9">
      <w:pPr>
        <w:pStyle w:val="25"/>
        <w:ind w:firstLine="480"/>
        <w:rPr>
          <w:sz w:val="24"/>
          <w:szCs w:val="24"/>
        </w:rPr>
      </w:pPr>
      <w:r>
        <w:rPr>
          <w:rFonts w:hint="eastAsia"/>
          <w:sz w:val="24"/>
          <w:szCs w:val="24"/>
        </w:rPr>
        <w:t>4、参与本项目的工作人员应严格遵循采购人的安全制度，保障采购人资料和设备的安全。中标方如需进入采购人机房工作，只能在采购人规定的工作区域内对项目涉及的设备进行操作，严禁触动与项目无关的任何设备（包括任何操作行为），如需跨区操作必须得到采购人项目联系人确认。</w:t>
      </w:r>
    </w:p>
    <w:p w:rsidR="00C54B2F" w:rsidRDefault="00A150F9">
      <w:pPr>
        <w:pStyle w:val="25"/>
        <w:ind w:firstLine="480"/>
        <w:rPr>
          <w:sz w:val="24"/>
          <w:szCs w:val="24"/>
        </w:rPr>
      </w:pPr>
      <w:r>
        <w:rPr>
          <w:rFonts w:hint="eastAsia"/>
          <w:sz w:val="24"/>
          <w:szCs w:val="24"/>
        </w:rPr>
        <w:t>5、中标人在项目实施期间必须遵守采购人的规章制度并提供实施人员名单。</w:t>
      </w:r>
    </w:p>
    <w:p w:rsidR="00C54B2F" w:rsidRDefault="00A150F9">
      <w:pPr>
        <w:pStyle w:val="25"/>
        <w:ind w:firstLine="480"/>
        <w:rPr>
          <w:sz w:val="24"/>
          <w:szCs w:val="24"/>
        </w:rPr>
      </w:pPr>
      <w:r>
        <w:rPr>
          <w:rFonts w:hint="eastAsia"/>
          <w:sz w:val="24"/>
          <w:szCs w:val="24"/>
        </w:rPr>
        <w:t>6、各投标人在投标文件中要结合本项目的特点和采购人上述的具体要求制定相应的管理措施，并在报价中列支相应的费用清单，投标人报价中未列支上述费用清单的，上述费用视为已包含在投标人的投标总报价中。</w:t>
      </w:r>
    </w:p>
    <w:p w:rsidR="00C54B2F" w:rsidRDefault="00A150F9">
      <w:pPr>
        <w:pStyle w:val="25"/>
        <w:ind w:firstLine="480"/>
      </w:pPr>
      <w:r>
        <w:rPr>
          <w:rFonts w:hint="eastAsia"/>
          <w:sz w:val="24"/>
          <w:szCs w:val="24"/>
        </w:rPr>
        <w:t>7、本项目软件开发及调试将纳入采购人的管理范围，中标人在此过程中须服从上述单位的管理协调。</w:t>
      </w:r>
    </w:p>
    <w:p w:rsidR="00C54B2F" w:rsidRDefault="00C54B2F">
      <w:pPr>
        <w:pStyle w:val="25"/>
        <w:ind w:firstLine="420"/>
      </w:pPr>
    </w:p>
    <w:p w:rsidR="00C54B2F" w:rsidRDefault="00C54B2F">
      <w:bookmarkStart w:id="35" w:name="_Toc63785513"/>
    </w:p>
    <w:p w:rsidR="00C54B2F" w:rsidRDefault="00A150F9">
      <w:pPr>
        <w:pStyle w:val="1"/>
      </w:pPr>
      <w:r>
        <w:rPr>
          <w:rFonts w:hint="eastAsia"/>
        </w:rPr>
        <w:t>知识产权及保密要求</w:t>
      </w:r>
      <w:bookmarkEnd w:id="35"/>
    </w:p>
    <w:p w:rsidR="00C54B2F" w:rsidRDefault="00A150F9">
      <w:pPr>
        <w:ind w:firstLine="482"/>
        <w:rPr>
          <w:b/>
        </w:rPr>
      </w:pPr>
      <w:r>
        <w:rPr>
          <w:b/>
        </w:rPr>
        <w:t>1、中标人数据、文件、资料知识产权</w:t>
      </w:r>
    </w:p>
    <w:p w:rsidR="00C54B2F" w:rsidRDefault="00A150F9">
      <w:r>
        <w:rPr>
          <w:rFonts w:hint="eastAsia"/>
        </w:rPr>
        <w:lastRenderedPageBreak/>
        <w:t>中标人保证其所提供的服务和交付的成果以及在履行本项目义务中使用到的所有数据、文件、信息不会引起任何第三方在专利权、著作权、商标权等知识产权方面向采购人或采购人的关联方及合作方（包括但不限于采购人的主管单位和采购人的合作单位等）发出侵权指控或提出索赔。若有，中标人应负责与第三方解决纠纷，若因此导致采购人损失的，采购人有权要求中标人赔偿采购人因此遭受的全部损失，包括但不限于直接损失、间接损失、诉讼费／仲裁费、律师费、公证费、鉴定费等。</w:t>
      </w:r>
    </w:p>
    <w:p w:rsidR="00C54B2F" w:rsidRDefault="00A150F9">
      <w:r>
        <w:rPr>
          <w:rFonts w:hint="eastAsia"/>
        </w:rPr>
        <w:t>中标人因履行本项目而产生的所有成果的知识产权等权利均归采购人所有，中标人应配合采购人进行相关权利登记或申请。未经采购人书面同意，中标人不得以任何形式使用或许可他人使用本项目成果的相关内容，不得擅自对外公开发表或向任何第三方透露。</w:t>
      </w:r>
    </w:p>
    <w:p w:rsidR="00C54B2F" w:rsidRDefault="00A150F9">
      <w:r>
        <w:rPr>
          <w:rFonts w:hint="eastAsia"/>
        </w:rPr>
        <w:t>在不影响上述条款规定的由采购人取得所有成果的知识产权的前提下，双方因履行本项目而被授权接触或使用对方之知识产权（包括但不限于商标、专利、著作权等），和/或任何其他相关资料、数据等涉及的任何权利，均不视为向另一方转让上述权利或在本项目范围外授权许可另一方使用上述权利，上述权利仍应属于提供方，并仅可使用于本项目，被授权接触或使用方未经提供方书面同意，不得擅自挪作他用。</w:t>
      </w:r>
    </w:p>
    <w:p w:rsidR="00C54B2F" w:rsidRDefault="00A150F9">
      <w:pPr>
        <w:ind w:firstLine="482"/>
        <w:rPr>
          <w:b/>
        </w:rPr>
      </w:pPr>
      <w:r>
        <w:rPr>
          <w:b/>
        </w:rPr>
        <w:t>2、项目保密要求</w:t>
      </w:r>
    </w:p>
    <w:p w:rsidR="00C54B2F" w:rsidRDefault="00A150F9">
      <w:r>
        <w:rPr>
          <w:rFonts w:hint="eastAsia"/>
        </w:rPr>
        <w:t>中标人因履行本项目而知悉的所有数据、信息和资料（包括但不限于账号信息、图表、文字、计算过程、任何形式的文件、访谈记录、现场实测数据、采购人相关工作程序等）以及因履行本项目而形成的数据、信息和任何形式的工作成果，均是采购人要求保密的信息。未经采购人书面同意，中标人不得对外泄露采购人要求保密的信息，不得用于其他用途，否则中标人需承担由此引起的法律责任和经济责任，包括但不限于直接损失、间接损失、律师费、诉讼费/仲裁费、调查费、公证费等。</w:t>
      </w:r>
    </w:p>
    <w:p w:rsidR="00C54B2F" w:rsidRDefault="00A150F9">
      <w:r>
        <w:rPr>
          <w:rFonts w:hint="eastAsia"/>
        </w:rPr>
        <w:t>中标人应采取必要的有效措施保证其参与本项目的人员（包括中标人聘用的人员、借调的人员、实习的人员）无论是在职或离职后，以及中标人的合作方无论是合作中或合作终止后，都能够履行本项目约定的保密义务。若中标人人员或中标人合作方违反保密规定，中标人应承担连带责任。</w:t>
      </w:r>
    </w:p>
    <w:p w:rsidR="00C54B2F" w:rsidRDefault="00A150F9">
      <w:r>
        <w:rPr>
          <w:rFonts w:hint="eastAsia"/>
        </w:rPr>
        <w:lastRenderedPageBreak/>
        <w:t>中标人（含中标人参与本项目的人员以及其合作方）未经采购方书面许可，不得以任何形式自行使用或以任何方式向第三方披露、转让、授权、出售与本项目有关的技术成果、计算机软件、源代码、策划文档、技术诀窍、秘密信息、技术资料和其他文件。</w:t>
      </w:r>
    </w:p>
    <w:p w:rsidR="00C54B2F" w:rsidRDefault="00A150F9">
      <w:r>
        <w:rPr>
          <w:rFonts w:hint="eastAsia"/>
        </w:rPr>
        <w:t>以上内容的保密期限自中标人知悉保密信息起始至保密信息被合法公开之日止。</w:t>
      </w:r>
    </w:p>
    <w:p w:rsidR="00C54B2F" w:rsidRDefault="00A150F9">
      <w:pPr>
        <w:ind w:firstLine="482"/>
        <w:rPr>
          <w:b/>
        </w:rPr>
      </w:pPr>
      <w:r>
        <w:rPr>
          <w:b/>
        </w:rPr>
        <w:t>3、临时账号等使用要求</w:t>
      </w:r>
    </w:p>
    <w:p w:rsidR="00C54B2F" w:rsidRDefault="00A150F9">
      <w:r>
        <w:rPr>
          <w:rFonts w:hint="eastAsia"/>
        </w:rPr>
        <w:t>中标人对采购人提拱的临时使用账号要保密，不得公开，对组件开发的账号密码需进行加密，避免信息安全的泄露。未经采购人的同意不得利用采购人的网络及平台进行短信、彩信、微信发送</w:t>
      </w:r>
      <w:r>
        <w:t>,造成的一切后果由中标人负责。</w:t>
      </w:r>
    </w:p>
    <w:p w:rsidR="00C54B2F" w:rsidRDefault="00A150F9">
      <w:pPr>
        <w:pStyle w:val="1"/>
      </w:pPr>
      <w:bookmarkStart w:id="36" w:name="_Toc65170093"/>
      <w:r>
        <w:t>项目的变更、解除和终止</w:t>
      </w:r>
    </w:p>
    <w:p w:rsidR="00C54B2F" w:rsidRDefault="00A150F9">
      <w:r>
        <w:rPr>
          <w:rFonts w:hint="eastAsia"/>
        </w:rPr>
        <w:t>如果中标人丧失履约能力、发生资不抵债或进入破产程序，采购人可在任何时候以书面形式通知中标人终止本项目的执行而不给予中标人补偿。该终止本项目将不损害或影响采购人已经采取或将要采取任何行动或补救措施的权利。</w:t>
      </w:r>
    </w:p>
    <w:p w:rsidR="00C54B2F" w:rsidRDefault="00A150F9">
      <w:r>
        <w:rPr>
          <w:rFonts w:hint="eastAsia"/>
        </w:rPr>
        <w:t>如遇国家、行业管理部门等机构的有关标准和规定调整的，导致本项目内容须做相应调整时，双方应按照公平、合理的原则共同协商修改本项目对应的合同的相关条款。</w:t>
      </w:r>
    </w:p>
    <w:p w:rsidR="00C54B2F" w:rsidRDefault="00A150F9">
      <w:pPr>
        <w:pStyle w:val="1"/>
      </w:pPr>
      <w:r>
        <w:rPr>
          <w:rFonts w:hint="eastAsia"/>
        </w:rPr>
        <w:t>违约责任</w:t>
      </w:r>
      <w:bookmarkEnd w:id="36"/>
    </w:p>
    <w:p w:rsidR="00C54B2F" w:rsidRDefault="00A150F9">
      <w:r>
        <w:t>1、如中标人未按约定的时间或服务标准完成建设工作，采购人可要求中标人在规定的时间内采取补救措施。中标人还应向采购人支付本项目费用总额30%的违约金，违约金不足以弥补采购人损失的，采购人有权要求中标人赔偿超过部分。</w:t>
      </w:r>
    </w:p>
    <w:p w:rsidR="00C54B2F" w:rsidRDefault="00A150F9">
      <w:r>
        <w:t>2、因中标人违反保密义务或知识产权约定的，采购人有权要求中标人支付本项目费用总额30%的违约金，违约金不足以弥补采购人损失的，采购人有权要求中标人赔偿超过部分。若中标人违反保密义务，采购人还有权立即单方解除合同而不承担任何违约责任。</w:t>
      </w:r>
    </w:p>
    <w:p w:rsidR="00C54B2F" w:rsidRDefault="00A150F9">
      <w:r>
        <w:t>3、中标人有其他违反本项目合同约定的行为，中标人应当支付本项目总价款金额的20%作为违约金，违约金不足以弥补采购人损失的，采购人有权要求中</w:t>
      </w:r>
      <w:r>
        <w:lastRenderedPageBreak/>
        <w:t>标人赔偿超过部分。</w:t>
      </w:r>
    </w:p>
    <w:p w:rsidR="00C54B2F" w:rsidRDefault="00A150F9">
      <w:r>
        <w:t>4、中标人有下列情形之一，采购人有权解除合同：</w:t>
      </w:r>
    </w:p>
    <w:p w:rsidR="00C54B2F" w:rsidRDefault="00A150F9">
      <w:r>
        <w:rPr>
          <w:rFonts w:hint="eastAsia"/>
        </w:rPr>
        <w:t>（1</w:t>
      </w:r>
      <w:r>
        <w:t>）因中标人服务质量问题导致采购人无法实现目的；</w:t>
      </w:r>
    </w:p>
    <w:p w:rsidR="00C54B2F" w:rsidRDefault="00A150F9">
      <w:r>
        <w:rPr>
          <w:rFonts w:hint="eastAsia"/>
        </w:rPr>
        <w:t>（2</w:t>
      </w:r>
      <w:r>
        <w:t>）擅自转让或者分包其应履行的义务的；</w:t>
      </w:r>
    </w:p>
    <w:p w:rsidR="00C54B2F" w:rsidRDefault="00A150F9">
      <w:r>
        <w:rPr>
          <w:rFonts w:hint="eastAsia"/>
        </w:rPr>
        <w:t>（3</w:t>
      </w:r>
      <w:r>
        <w:t>）违反或者未履行本项目合同约定的其他相关义务，且在采购人要求的合理时间内未能纠正的。</w:t>
      </w:r>
    </w:p>
    <w:p w:rsidR="00C54B2F" w:rsidRDefault="00C54B2F">
      <w:pPr>
        <w:ind w:firstLineChars="0" w:firstLine="0"/>
        <w:jc w:val="left"/>
        <w:rPr>
          <w:b/>
          <w:bCs/>
        </w:rPr>
      </w:pPr>
      <w:bookmarkStart w:id="37" w:name="_GoBack"/>
      <w:bookmarkEnd w:id="37"/>
    </w:p>
    <w:sectPr w:rsidR="00C54B2F">
      <w:footerReference w:type="first" r:id="rId14"/>
      <w:pgSz w:w="11906" w:h="16838"/>
      <w:pgMar w:top="1134" w:right="1797" w:bottom="1135" w:left="1797" w:header="340" w:footer="7" w:gutter="0"/>
      <w:pgNumType w:start="1"/>
      <w:cols w:space="720"/>
      <w:titlePg/>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B93" w:rsidRDefault="00335B93">
      <w:pPr>
        <w:spacing w:line="240" w:lineRule="auto"/>
      </w:pPr>
      <w:r>
        <w:separator/>
      </w:r>
    </w:p>
  </w:endnote>
  <w:endnote w:type="continuationSeparator" w:id="0">
    <w:p w:rsidR="00335B93" w:rsidRDefault="00335B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6"/>
    <w:family w:val="swiss"/>
    <w:pitch w:val="default"/>
    <w:sig w:usb0="00000000" w:usb1="00000000" w:usb2="0000003F" w:usb3="00000000" w:csb0="603F01FF" w:csb1="FFFF0000"/>
  </w:font>
  <w:font w:name="等线 Light">
    <w:panose1 w:val="02010600030101010101"/>
    <w:charset w:val="86"/>
    <w:family w:val="auto"/>
    <w:pitch w:val="variable"/>
    <w:sig w:usb0="A00002BF" w:usb1="38CF7CFA" w:usb2="00000016" w:usb3="00000000" w:csb0="0004000F" w:csb1="00000000"/>
  </w:font>
  <w:font w:name="time">
    <w:altName w:val="宋体"/>
    <w:charset w:val="00"/>
    <w:family w:val="roman"/>
    <w:pitch w:val="default"/>
    <w:sig w:usb0="00000000" w:usb1="00000000" w:usb2="00000000" w:usb3="00000000" w:csb0="00040001" w:csb1="00000000"/>
  </w:font>
  <w:font w:name="Microsoft YaHei UI">
    <w:altName w:val="宋体"/>
    <w:panose1 w:val="020B0503020204020204"/>
    <w:charset w:val="86"/>
    <w:family w:val="swiss"/>
    <w:pitch w:val="variable"/>
    <w:sig w:usb0="80000287" w:usb1="28CF3C52" w:usb2="00000016" w:usb3="00000000" w:csb0="0004001F" w:csb1="00000000"/>
  </w:font>
  <w:font w:name="Microsoft Sans Serif">
    <w:panose1 w:val="020B0604020202020204"/>
    <w:charset w:val="00"/>
    <w:family w:val="swiss"/>
    <w:pitch w:val="variable"/>
    <w:sig w:usb0="E1002AFF" w:usb1="C0000002" w:usb2="00000008" w:usb3="00000000" w:csb0="000101FF" w:csb1="00000000"/>
  </w:font>
  <w:font w:name="楷体_GB2312">
    <w:charset w:val="86"/>
    <w:family w:val="modern"/>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B2F" w:rsidRDefault="00C54B2F"/>
  <w:p w:rsidR="00C54B2F" w:rsidRDefault="00C54B2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B2F" w:rsidRDefault="00A150F9">
    <w:pPr>
      <w:ind w:firstLineChars="0" w:firstLine="0"/>
      <w:jc w:val="center"/>
    </w:pPr>
    <w:r>
      <w:fldChar w:fldCharType="begin"/>
    </w:r>
    <w:r>
      <w:instrText>PAGE   \* MERGEFORMAT</w:instrText>
    </w:r>
    <w:r>
      <w:fldChar w:fldCharType="separate"/>
    </w:r>
    <w:r w:rsidR="00AF7AC9" w:rsidRPr="00AF7AC9">
      <w:rPr>
        <w:noProof/>
        <w:lang w:val="zh-CN"/>
      </w:rPr>
      <w:t>19</w:t>
    </w:r>
    <w:r>
      <w:rPr>
        <w:lang w:val="zh-CN"/>
      </w:rPr>
      <w:fldChar w:fldCharType="end"/>
    </w:r>
  </w:p>
  <w:p w:rsidR="00C54B2F" w:rsidRDefault="00C54B2F"/>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B2F" w:rsidRDefault="00C54B2F">
    <w:pPr>
      <w:ind w:firstLineChars="0" w:firstLine="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B2F" w:rsidRDefault="00A150F9">
    <w:pPr>
      <w:ind w:firstLineChars="0" w:firstLine="0"/>
      <w:jc w:val="center"/>
      <w:rPr>
        <w:lang w:val="zh-CN"/>
      </w:rPr>
    </w:pPr>
    <w:r>
      <w:rPr>
        <w:lang w:val="zh-CN"/>
      </w:rPr>
      <w:fldChar w:fldCharType="begin"/>
    </w:r>
    <w:r>
      <w:rPr>
        <w:lang w:val="zh-CN"/>
      </w:rPr>
      <w:instrText>PAGE   \* MERGEFORMAT</w:instrText>
    </w:r>
    <w:r>
      <w:rPr>
        <w:lang w:val="zh-CN"/>
      </w:rPr>
      <w:fldChar w:fldCharType="separate"/>
    </w:r>
    <w:r w:rsidR="00AF7AC9">
      <w:rPr>
        <w:noProof/>
        <w:lang w:val="zh-CN"/>
      </w:rPr>
      <w:t>1</w:t>
    </w:r>
    <w:r>
      <w:rPr>
        <w:lang w:val="zh-CN"/>
      </w:rPr>
      <w:fldChar w:fldCharType="end"/>
    </w:r>
  </w:p>
  <w:p w:rsidR="00C54B2F" w:rsidRDefault="00C54B2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B93" w:rsidRDefault="00335B93">
      <w:r>
        <w:separator/>
      </w:r>
    </w:p>
  </w:footnote>
  <w:footnote w:type="continuationSeparator" w:id="0">
    <w:p w:rsidR="00335B93" w:rsidRDefault="00335B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B2F" w:rsidRDefault="00C54B2F"/>
  <w:p w:rsidR="00C54B2F" w:rsidRDefault="00C54B2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B2F" w:rsidRDefault="00C54B2F">
    <w:pPr>
      <w:pStyle w:val="af0"/>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B2F" w:rsidRDefault="00C54B2F">
    <w:pPr>
      <w:pStyle w:val="af0"/>
      <w:pBdr>
        <w:bottom w:val="none" w:sz="0" w:space="0" w:color="auto"/>
      </w:pBd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50366A"/>
    <w:multiLevelType w:val="multilevel"/>
    <w:tmpl w:val="6350366A"/>
    <w:lvl w:ilvl="0">
      <w:start w:val="1"/>
      <w:numFmt w:val="none"/>
      <w:pStyle w:val="a"/>
      <w:lvlText w:val="%1●　"/>
      <w:lvlJc w:val="left"/>
      <w:pPr>
        <w:tabs>
          <w:tab w:val="left" w:pos="760"/>
        </w:tabs>
        <w:ind w:left="717" w:hanging="317"/>
      </w:pPr>
      <w:rPr>
        <w:rFonts w:ascii="宋体" w:eastAsia="宋体" w:hAnsi="Times New Roman" w:hint="eastAsia"/>
        <w:b w:val="0"/>
        <w:i w:val="0"/>
        <w:position w:val="4"/>
        <w:sz w:val="13"/>
      </w:rPr>
    </w:lvl>
    <w:lvl w:ilvl="1">
      <w:start w:val="1"/>
      <w:numFmt w:val="lowerLetter"/>
      <w:lvlText w:val="%2)"/>
      <w:lvlJc w:val="left"/>
      <w:pPr>
        <w:tabs>
          <w:tab w:val="left" w:pos="780"/>
        </w:tabs>
        <w:ind w:left="780" w:hanging="36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71C98C1B"/>
    <w:multiLevelType w:val="multilevel"/>
    <w:tmpl w:val="71C98C1B"/>
    <w:lvl w:ilvl="0">
      <w:start w:val="1"/>
      <w:numFmt w:val="chineseCountingThousand"/>
      <w:pStyle w:val="1"/>
      <w:suff w:val="nothing"/>
      <w:lvlText w:val="%1、"/>
      <w:lvlJc w:val="left"/>
      <w:pPr>
        <w:ind w:left="425" w:hanging="425"/>
      </w:pPr>
      <w:rPr>
        <w:rFonts w:hint="eastAsia"/>
        <w:sz w:val="32"/>
        <w:szCs w:val="32"/>
      </w:rPr>
    </w:lvl>
    <w:lvl w:ilvl="1">
      <w:start w:val="1"/>
      <w:numFmt w:val="decimal"/>
      <w:pStyle w:val="2"/>
      <w:isLgl/>
      <w:suff w:val="nothing"/>
      <w:lvlText w:val="%1.%2、"/>
      <w:lvlJc w:val="left"/>
      <w:pPr>
        <w:ind w:left="1135" w:hanging="1135"/>
      </w:pPr>
      <w:rPr>
        <w:rFonts w:hint="eastAsia"/>
      </w:rPr>
    </w:lvl>
    <w:lvl w:ilvl="2">
      <w:start w:val="1"/>
      <w:numFmt w:val="decimal"/>
      <w:pStyle w:val="3"/>
      <w:isLgl/>
      <w:suff w:val="nothing"/>
      <w:lvlText w:val="%1.%2.%3、"/>
      <w:lvlJc w:val="left"/>
      <w:pPr>
        <w:ind w:left="1069" w:hanging="1069"/>
      </w:pPr>
      <w:rPr>
        <w:rFonts w:ascii="宋体" w:eastAsia="宋体" w:hAnsi="宋体" w:cs="Arial" w:hint="eastAsia"/>
      </w:rPr>
    </w:lvl>
    <w:lvl w:ilvl="3">
      <w:start w:val="1"/>
      <w:numFmt w:val="decimal"/>
      <w:pStyle w:val="4"/>
      <w:isLgl/>
      <w:suff w:val="nothing"/>
      <w:lvlText w:val="%1.%2.%3.%4、"/>
      <w:lvlJc w:val="left"/>
      <w:pPr>
        <w:ind w:left="3403" w:hanging="851"/>
      </w:pPr>
      <w:rPr>
        <w:rFonts w:hint="eastAsia"/>
      </w:rPr>
    </w:lvl>
    <w:lvl w:ilvl="4">
      <w:start w:val="1"/>
      <w:numFmt w:val="decimal"/>
      <w:pStyle w:val="5"/>
      <w:isLgl/>
      <w:suff w:val="nothing"/>
      <w:lvlText w:val="%1.%2.%3.%4.%5、"/>
      <w:lvlJc w:val="left"/>
      <w:pPr>
        <w:ind w:left="3544" w:hanging="992"/>
      </w:pPr>
      <w:rPr>
        <w:rFonts w:hint="eastAsia"/>
      </w:rPr>
    </w:lvl>
    <w:lvl w:ilvl="5">
      <w:start w:val="1"/>
      <w:numFmt w:val="decimal"/>
      <w:pStyle w:val="6"/>
      <w:isLgl/>
      <w:suff w:val="nothing"/>
      <w:lvlText w:val="%1.%2.%3.%4.%5.%6、"/>
      <w:lvlJc w:val="left"/>
      <w:pPr>
        <w:ind w:left="1134" w:hanging="1134"/>
      </w:pPr>
      <w:rPr>
        <w:rFonts w:hint="eastAsia"/>
      </w:rPr>
    </w:lvl>
    <w:lvl w:ilvl="6">
      <w:start w:val="1"/>
      <w:numFmt w:val="decimal"/>
      <w:isLgl/>
      <w:lvlText w:val="%1.%2.%3.%4.%5.%6.%7"/>
      <w:lvlJc w:val="left"/>
      <w:pPr>
        <w:tabs>
          <w:tab w:val="left" w:pos="1800"/>
        </w:tabs>
        <w:ind w:left="1276" w:hanging="1276"/>
      </w:pPr>
      <w:rPr>
        <w:rFonts w:hint="eastAsia"/>
      </w:rPr>
    </w:lvl>
    <w:lvl w:ilvl="7">
      <w:start w:val="1"/>
      <w:numFmt w:val="decimal"/>
      <w:isLgl/>
      <w:lvlText w:val="%1.%2.%3.%4.%5.%6.%7.%8"/>
      <w:lvlJc w:val="left"/>
      <w:pPr>
        <w:tabs>
          <w:tab w:val="left" w:pos="1800"/>
        </w:tabs>
        <w:ind w:left="1418" w:hanging="1418"/>
      </w:pPr>
      <w:rPr>
        <w:rFonts w:hint="eastAsia"/>
      </w:rPr>
    </w:lvl>
    <w:lvl w:ilvl="8">
      <w:start w:val="1"/>
      <w:numFmt w:val="decimal"/>
      <w:isLgl/>
      <w:lvlText w:val="%1.%2.%3.%4.%5.%6.%7.%8.%9"/>
      <w:lvlJc w:val="left"/>
      <w:pPr>
        <w:tabs>
          <w:tab w:val="left" w:pos="2160"/>
        </w:tabs>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20"/>
  <w:drawingGridVerticalSpacing w:val="163"/>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MwNzc0OWIyYWU1MmEyMGRiZjBjMGRiZWE0MDY3YzAifQ=="/>
  </w:docVars>
  <w:rsids>
    <w:rsidRoot w:val="006910C0"/>
    <w:rsid w:val="0000005A"/>
    <w:rsid w:val="00000AED"/>
    <w:rsid w:val="00003516"/>
    <w:rsid w:val="0000380E"/>
    <w:rsid w:val="00005AFD"/>
    <w:rsid w:val="00006563"/>
    <w:rsid w:val="000074F1"/>
    <w:rsid w:val="00007A41"/>
    <w:rsid w:val="00007DA7"/>
    <w:rsid w:val="00012EF0"/>
    <w:rsid w:val="000156DE"/>
    <w:rsid w:val="000165AD"/>
    <w:rsid w:val="000179E9"/>
    <w:rsid w:val="00020C18"/>
    <w:rsid w:val="00021EE6"/>
    <w:rsid w:val="0002280E"/>
    <w:rsid w:val="00022C74"/>
    <w:rsid w:val="00025122"/>
    <w:rsid w:val="000252D5"/>
    <w:rsid w:val="00026997"/>
    <w:rsid w:val="00027A64"/>
    <w:rsid w:val="00032D27"/>
    <w:rsid w:val="00035325"/>
    <w:rsid w:val="00035D5B"/>
    <w:rsid w:val="000378D0"/>
    <w:rsid w:val="00037F2C"/>
    <w:rsid w:val="00042C2A"/>
    <w:rsid w:val="000430EC"/>
    <w:rsid w:val="000447CB"/>
    <w:rsid w:val="00047915"/>
    <w:rsid w:val="00047D06"/>
    <w:rsid w:val="00050FBD"/>
    <w:rsid w:val="0005107A"/>
    <w:rsid w:val="0005192C"/>
    <w:rsid w:val="00052929"/>
    <w:rsid w:val="0005299F"/>
    <w:rsid w:val="000541D7"/>
    <w:rsid w:val="000545C0"/>
    <w:rsid w:val="0005586D"/>
    <w:rsid w:val="00056C0E"/>
    <w:rsid w:val="000574A8"/>
    <w:rsid w:val="000574F8"/>
    <w:rsid w:val="00057A49"/>
    <w:rsid w:val="0006231F"/>
    <w:rsid w:val="00062A05"/>
    <w:rsid w:val="00062EE6"/>
    <w:rsid w:val="0006344E"/>
    <w:rsid w:val="000649E6"/>
    <w:rsid w:val="0006794B"/>
    <w:rsid w:val="00067DCA"/>
    <w:rsid w:val="00070063"/>
    <w:rsid w:val="0007087A"/>
    <w:rsid w:val="000710EC"/>
    <w:rsid w:val="00072237"/>
    <w:rsid w:val="00072ABE"/>
    <w:rsid w:val="00074731"/>
    <w:rsid w:val="00080B39"/>
    <w:rsid w:val="00083950"/>
    <w:rsid w:val="0008452F"/>
    <w:rsid w:val="00084E8E"/>
    <w:rsid w:val="00085A68"/>
    <w:rsid w:val="00090625"/>
    <w:rsid w:val="00090948"/>
    <w:rsid w:val="00091CD1"/>
    <w:rsid w:val="0009460E"/>
    <w:rsid w:val="000951D4"/>
    <w:rsid w:val="000A2146"/>
    <w:rsid w:val="000A2696"/>
    <w:rsid w:val="000A2930"/>
    <w:rsid w:val="000A3276"/>
    <w:rsid w:val="000A3C35"/>
    <w:rsid w:val="000A3E30"/>
    <w:rsid w:val="000A5876"/>
    <w:rsid w:val="000A61D0"/>
    <w:rsid w:val="000A6C67"/>
    <w:rsid w:val="000A6DB8"/>
    <w:rsid w:val="000A7596"/>
    <w:rsid w:val="000B11A8"/>
    <w:rsid w:val="000B1959"/>
    <w:rsid w:val="000B2E1C"/>
    <w:rsid w:val="000B4459"/>
    <w:rsid w:val="000B4B46"/>
    <w:rsid w:val="000B5363"/>
    <w:rsid w:val="000B53BA"/>
    <w:rsid w:val="000B642F"/>
    <w:rsid w:val="000B6C99"/>
    <w:rsid w:val="000C3F3C"/>
    <w:rsid w:val="000C5072"/>
    <w:rsid w:val="000C5A75"/>
    <w:rsid w:val="000C75F7"/>
    <w:rsid w:val="000D0AB2"/>
    <w:rsid w:val="000D225C"/>
    <w:rsid w:val="000D36F2"/>
    <w:rsid w:val="000D4B26"/>
    <w:rsid w:val="000D74DB"/>
    <w:rsid w:val="000E24D6"/>
    <w:rsid w:val="000E6072"/>
    <w:rsid w:val="000E6D61"/>
    <w:rsid w:val="000E7A23"/>
    <w:rsid w:val="000F1C29"/>
    <w:rsid w:val="000F1E9E"/>
    <w:rsid w:val="000F2B10"/>
    <w:rsid w:val="000F3F72"/>
    <w:rsid w:val="001055B2"/>
    <w:rsid w:val="001068F0"/>
    <w:rsid w:val="00106AB8"/>
    <w:rsid w:val="00106C9E"/>
    <w:rsid w:val="00106E16"/>
    <w:rsid w:val="0010768B"/>
    <w:rsid w:val="00111701"/>
    <w:rsid w:val="00112A29"/>
    <w:rsid w:val="001167F6"/>
    <w:rsid w:val="00116C86"/>
    <w:rsid w:val="00121ACF"/>
    <w:rsid w:val="00121D8F"/>
    <w:rsid w:val="00122037"/>
    <w:rsid w:val="0012210C"/>
    <w:rsid w:val="00122A7F"/>
    <w:rsid w:val="00123F98"/>
    <w:rsid w:val="001242A5"/>
    <w:rsid w:val="00124531"/>
    <w:rsid w:val="00126EDF"/>
    <w:rsid w:val="00127BBE"/>
    <w:rsid w:val="00131D52"/>
    <w:rsid w:val="001329C1"/>
    <w:rsid w:val="00132C16"/>
    <w:rsid w:val="00136320"/>
    <w:rsid w:val="00136FFA"/>
    <w:rsid w:val="00137AC6"/>
    <w:rsid w:val="00145512"/>
    <w:rsid w:val="001465BD"/>
    <w:rsid w:val="00147B45"/>
    <w:rsid w:val="00150803"/>
    <w:rsid w:val="00151D83"/>
    <w:rsid w:val="001546C9"/>
    <w:rsid w:val="00154FAE"/>
    <w:rsid w:val="00155E77"/>
    <w:rsid w:val="00156A70"/>
    <w:rsid w:val="00160A61"/>
    <w:rsid w:val="00160FC0"/>
    <w:rsid w:val="0016429B"/>
    <w:rsid w:val="00164525"/>
    <w:rsid w:val="00164C50"/>
    <w:rsid w:val="00165CB2"/>
    <w:rsid w:val="00166203"/>
    <w:rsid w:val="00166767"/>
    <w:rsid w:val="001707CB"/>
    <w:rsid w:val="00171477"/>
    <w:rsid w:val="00172A1A"/>
    <w:rsid w:val="00173251"/>
    <w:rsid w:val="00176BED"/>
    <w:rsid w:val="0017759D"/>
    <w:rsid w:val="001804A5"/>
    <w:rsid w:val="00181C94"/>
    <w:rsid w:val="00182C84"/>
    <w:rsid w:val="00187031"/>
    <w:rsid w:val="00191EA4"/>
    <w:rsid w:val="00192B6C"/>
    <w:rsid w:val="00192C30"/>
    <w:rsid w:val="0019381E"/>
    <w:rsid w:val="00194CF5"/>
    <w:rsid w:val="0019503C"/>
    <w:rsid w:val="00195D94"/>
    <w:rsid w:val="00196F7B"/>
    <w:rsid w:val="001971CB"/>
    <w:rsid w:val="0019795C"/>
    <w:rsid w:val="001A053A"/>
    <w:rsid w:val="001A1424"/>
    <w:rsid w:val="001A22A2"/>
    <w:rsid w:val="001A2971"/>
    <w:rsid w:val="001A3D52"/>
    <w:rsid w:val="001A460A"/>
    <w:rsid w:val="001A4A4C"/>
    <w:rsid w:val="001B0230"/>
    <w:rsid w:val="001B13AB"/>
    <w:rsid w:val="001B3907"/>
    <w:rsid w:val="001B3B49"/>
    <w:rsid w:val="001B4907"/>
    <w:rsid w:val="001B4DC5"/>
    <w:rsid w:val="001B5505"/>
    <w:rsid w:val="001C2180"/>
    <w:rsid w:val="001C29CC"/>
    <w:rsid w:val="001C3217"/>
    <w:rsid w:val="001C3B98"/>
    <w:rsid w:val="001C6028"/>
    <w:rsid w:val="001C6365"/>
    <w:rsid w:val="001C7F57"/>
    <w:rsid w:val="001D0E79"/>
    <w:rsid w:val="001D0F9F"/>
    <w:rsid w:val="001D6049"/>
    <w:rsid w:val="001D7339"/>
    <w:rsid w:val="001E2750"/>
    <w:rsid w:val="001E4343"/>
    <w:rsid w:val="001E52BB"/>
    <w:rsid w:val="001E660A"/>
    <w:rsid w:val="001F05D6"/>
    <w:rsid w:val="001F5B0A"/>
    <w:rsid w:val="001F640F"/>
    <w:rsid w:val="001F6794"/>
    <w:rsid w:val="001F6F65"/>
    <w:rsid w:val="002002DF"/>
    <w:rsid w:val="00203A6F"/>
    <w:rsid w:val="00205646"/>
    <w:rsid w:val="002063F7"/>
    <w:rsid w:val="002129E5"/>
    <w:rsid w:val="00212AA4"/>
    <w:rsid w:val="00212E13"/>
    <w:rsid w:val="002163C8"/>
    <w:rsid w:val="002179FE"/>
    <w:rsid w:val="00220CC0"/>
    <w:rsid w:val="00221A36"/>
    <w:rsid w:val="00223296"/>
    <w:rsid w:val="0022329B"/>
    <w:rsid w:val="002240F7"/>
    <w:rsid w:val="0022486F"/>
    <w:rsid w:val="00225314"/>
    <w:rsid w:val="00225DF4"/>
    <w:rsid w:val="00226C70"/>
    <w:rsid w:val="00230C8A"/>
    <w:rsid w:val="00231F98"/>
    <w:rsid w:val="002324F8"/>
    <w:rsid w:val="002348B0"/>
    <w:rsid w:val="00235CDC"/>
    <w:rsid w:val="00237E76"/>
    <w:rsid w:val="00240BBE"/>
    <w:rsid w:val="00241525"/>
    <w:rsid w:val="002416E9"/>
    <w:rsid w:val="00241D87"/>
    <w:rsid w:val="00243C55"/>
    <w:rsid w:val="00243D5E"/>
    <w:rsid w:val="002451EC"/>
    <w:rsid w:val="00245ED4"/>
    <w:rsid w:val="00246B41"/>
    <w:rsid w:val="0025002B"/>
    <w:rsid w:val="002500DE"/>
    <w:rsid w:val="00252457"/>
    <w:rsid w:val="00252581"/>
    <w:rsid w:val="002535B5"/>
    <w:rsid w:val="002538CB"/>
    <w:rsid w:val="002542BD"/>
    <w:rsid w:val="0025774E"/>
    <w:rsid w:val="00257D64"/>
    <w:rsid w:val="00262D79"/>
    <w:rsid w:val="0026340A"/>
    <w:rsid w:val="002654EA"/>
    <w:rsid w:val="002704EA"/>
    <w:rsid w:val="0027061A"/>
    <w:rsid w:val="002719CC"/>
    <w:rsid w:val="002730C5"/>
    <w:rsid w:val="00273255"/>
    <w:rsid w:val="0027337C"/>
    <w:rsid w:val="0027602B"/>
    <w:rsid w:val="00277F5E"/>
    <w:rsid w:val="00280084"/>
    <w:rsid w:val="00280490"/>
    <w:rsid w:val="002860B8"/>
    <w:rsid w:val="0029206E"/>
    <w:rsid w:val="00293382"/>
    <w:rsid w:val="00294F51"/>
    <w:rsid w:val="002A2342"/>
    <w:rsid w:val="002A279E"/>
    <w:rsid w:val="002A4FA3"/>
    <w:rsid w:val="002B3606"/>
    <w:rsid w:val="002B3D80"/>
    <w:rsid w:val="002B4402"/>
    <w:rsid w:val="002B4946"/>
    <w:rsid w:val="002B4C41"/>
    <w:rsid w:val="002B588D"/>
    <w:rsid w:val="002B6CAE"/>
    <w:rsid w:val="002C1839"/>
    <w:rsid w:val="002C214A"/>
    <w:rsid w:val="002C28E8"/>
    <w:rsid w:val="002C3027"/>
    <w:rsid w:val="002C674D"/>
    <w:rsid w:val="002C7648"/>
    <w:rsid w:val="002C7DC4"/>
    <w:rsid w:val="002D0821"/>
    <w:rsid w:val="002D1929"/>
    <w:rsid w:val="002D1B73"/>
    <w:rsid w:val="002D3CB0"/>
    <w:rsid w:val="002D4800"/>
    <w:rsid w:val="002D5B21"/>
    <w:rsid w:val="002D6F6D"/>
    <w:rsid w:val="002E1FE6"/>
    <w:rsid w:val="002E2EA7"/>
    <w:rsid w:val="002E36D2"/>
    <w:rsid w:val="002E748B"/>
    <w:rsid w:val="002F2002"/>
    <w:rsid w:val="002F335D"/>
    <w:rsid w:val="002F4E32"/>
    <w:rsid w:val="002F503F"/>
    <w:rsid w:val="002F51DD"/>
    <w:rsid w:val="002F5D08"/>
    <w:rsid w:val="002F6895"/>
    <w:rsid w:val="002F6D13"/>
    <w:rsid w:val="003038D3"/>
    <w:rsid w:val="003049C7"/>
    <w:rsid w:val="00305F0E"/>
    <w:rsid w:val="0030667A"/>
    <w:rsid w:val="003106DE"/>
    <w:rsid w:val="00311530"/>
    <w:rsid w:val="00312D31"/>
    <w:rsid w:val="00315216"/>
    <w:rsid w:val="0031691C"/>
    <w:rsid w:val="00317AEF"/>
    <w:rsid w:val="00317F49"/>
    <w:rsid w:val="0032089B"/>
    <w:rsid w:val="00323450"/>
    <w:rsid w:val="00323D93"/>
    <w:rsid w:val="0032489B"/>
    <w:rsid w:val="0032525B"/>
    <w:rsid w:val="00326A7A"/>
    <w:rsid w:val="00326FEE"/>
    <w:rsid w:val="003315D7"/>
    <w:rsid w:val="00334DE6"/>
    <w:rsid w:val="0033536D"/>
    <w:rsid w:val="003353FF"/>
    <w:rsid w:val="00335B93"/>
    <w:rsid w:val="003366D2"/>
    <w:rsid w:val="00337C79"/>
    <w:rsid w:val="00337FEF"/>
    <w:rsid w:val="0034084C"/>
    <w:rsid w:val="00340D5E"/>
    <w:rsid w:val="003420B5"/>
    <w:rsid w:val="00343646"/>
    <w:rsid w:val="00344CCB"/>
    <w:rsid w:val="00345897"/>
    <w:rsid w:val="00351BFC"/>
    <w:rsid w:val="0035575E"/>
    <w:rsid w:val="003565B4"/>
    <w:rsid w:val="00362E75"/>
    <w:rsid w:val="003631AA"/>
    <w:rsid w:val="003632D5"/>
    <w:rsid w:val="00363575"/>
    <w:rsid w:val="00364EF9"/>
    <w:rsid w:val="00367579"/>
    <w:rsid w:val="0036795B"/>
    <w:rsid w:val="00370A29"/>
    <w:rsid w:val="003722F9"/>
    <w:rsid w:val="00372349"/>
    <w:rsid w:val="00372CBC"/>
    <w:rsid w:val="00373A61"/>
    <w:rsid w:val="00374BDE"/>
    <w:rsid w:val="003754A4"/>
    <w:rsid w:val="00376820"/>
    <w:rsid w:val="00376B39"/>
    <w:rsid w:val="00376E9D"/>
    <w:rsid w:val="003772C0"/>
    <w:rsid w:val="00377BAC"/>
    <w:rsid w:val="00380142"/>
    <w:rsid w:val="00380558"/>
    <w:rsid w:val="00381D3C"/>
    <w:rsid w:val="0038223E"/>
    <w:rsid w:val="00382D92"/>
    <w:rsid w:val="00385AEF"/>
    <w:rsid w:val="003860EA"/>
    <w:rsid w:val="0038781A"/>
    <w:rsid w:val="0039080B"/>
    <w:rsid w:val="003910B2"/>
    <w:rsid w:val="0039326E"/>
    <w:rsid w:val="00394E22"/>
    <w:rsid w:val="003967A4"/>
    <w:rsid w:val="00397FA3"/>
    <w:rsid w:val="003A0707"/>
    <w:rsid w:val="003A1596"/>
    <w:rsid w:val="003A317E"/>
    <w:rsid w:val="003A345B"/>
    <w:rsid w:val="003A3A41"/>
    <w:rsid w:val="003A49EE"/>
    <w:rsid w:val="003A674D"/>
    <w:rsid w:val="003A7123"/>
    <w:rsid w:val="003B102E"/>
    <w:rsid w:val="003B2167"/>
    <w:rsid w:val="003B324C"/>
    <w:rsid w:val="003B5520"/>
    <w:rsid w:val="003B5F5D"/>
    <w:rsid w:val="003B62C8"/>
    <w:rsid w:val="003C04E8"/>
    <w:rsid w:val="003C0C62"/>
    <w:rsid w:val="003C12DC"/>
    <w:rsid w:val="003C2CDA"/>
    <w:rsid w:val="003D000A"/>
    <w:rsid w:val="003D31E9"/>
    <w:rsid w:val="003D544E"/>
    <w:rsid w:val="003D5980"/>
    <w:rsid w:val="003E0842"/>
    <w:rsid w:val="003E13B0"/>
    <w:rsid w:val="003E2580"/>
    <w:rsid w:val="003E3DEE"/>
    <w:rsid w:val="003E3EBB"/>
    <w:rsid w:val="003E4A4C"/>
    <w:rsid w:val="003E4CBA"/>
    <w:rsid w:val="003E4D2F"/>
    <w:rsid w:val="003E4EDC"/>
    <w:rsid w:val="003E599D"/>
    <w:rsid w:val="003E5C81"/>
    <w:rsid w:val="003E6965"/>
    <w:rsid w:val="003F00E8"/>
    <w:rsid w:val="003F1936"/>
    <w:rsid w:val="003F1BDD"/>
    <w:rsid w:val="003F3BA3"/>
    <w:rsid w:val="003F3BD5"/>
    <w:rsid w:val="003F400E"/>
    <w:rsid w:val="003F6F35"/>
    <w:rsid w:val="003F7768"/>
    <w:rsid w:val="00400E8C"/>
    <w:rsid w:val="004017DC"/>
    <w:rsid w:val="00401B53"/>
    <w:rsid w:val="00402668"/>
    <w:rsid w:val="00404FEC"/>
    <w:rsid w:val="0040534D"/>
    <w:rsid w:val="00405FAD"/>
    <w:rsid w:val="004117AB"/>
    <w:rsid w:val="00412B2F"/>
    <w:rsid w:val="00415281"/>
    <w:rsid w:val="00415716"/>
    <w:rsid w:val="0041604D"/>
    <w:rsid w:val="00417842"/>
    <w:rsid w:val="00417A6E"/>
    <w:rsid w:val="0042285D"/>
    <w:rsid w:val="0042409E"/>
    <w:rsid w:val="00426FF6"/>
    <w:rsid w:val="00427D2B"/>
    <w:rsid w:val="00430B13"/>
    <w:rsid w:val="00430CE5"/>
    <w:rsid w:val="0043127E"/>
    <w:rsid w:val="0043153C"/>
    <w:rsid w:val="00431D0F"/>
    <w:rsid w:val="00433315"/>
    <w:rsid w:val="0043481C"/>
    <w:rsid w:val="00444307"/>
    <w:rsid w:val="0044436F"/>
    <w:rsid w:val="004443EB"/>
    <w:rsid w:val="00444432"/>
    <w:rsid w:val="00444673"/>
    <w:rsid w:val="0044621E"/>
    <w:rsid w:val="00447BF1"/>
    <w:rsid w:val="00450BA4"/>
    <w:rsid w:val="004511FC"/>
    <w:rsid w:val="00452C09"/>
    <w:rsid w:val="00456784"/>
    <w:rsid w:val="00456DCA"/>
    <w:rsid w:val="00461140"/>
    <w:rsid w:val="004611DB"/>
    <w:rsid w:val="004658B0"/>
    <w:rsid w:val="0046614B"/>
    <w:rsid w:val="00467FD7"/>
    <w:rsid w:val="00470073"/>
    <w:rsid w:val="004730F8"/>
    <w:rsid w:val="00474353"/>
    <w:rsid w:val="00474555"/>
    <w:rsid w:val="004750F4"/>
    <w:rsid w:val="00476CB1"/>
    <w:rsid w:val="00480A48"/>
    <w:rsid w:val="00482501"/>
    <w:rsid w:val="00482E7D"/>
    <w:rsid w:val="004836FE"/>
    <w:rsid w:val="00484395"/>
    <w:rsid w:val="004865FB"/>
    <w:rsid w:val="00486C03"/>
    <w:rsid w:val="00491AB3"/>
    <w:rsid w:val="00497A33"/>
    <w:rsid w:val="004A1112"/>
    <w:rsid w:val="004A1DA0"/>
    <w:rsid w:val="004A1F20"/>
    <w:rsid w:val="004A2393"/>
    <w:rsid w:val="004A3569"/>
    <w:rsid w:val="004A452A"/>
    <w:rsid w:val="004A5F2C"/>
    <w:rsid w:val="004A6E4F"/>
    <w:rsid w:val="004A720D"/>
    <w:rsid w:val="004B00D0"/>
    <w:rsid w:val="004B3B8D"/>
    <w:rsid w:val="004B6084"/>
    <w:rsid w:val="004B7AE0"/>
    <w:rsid w:val="004C0BC4"/>
    <w:rsid w:val="004C260D"/>
    <w:rsid w:val="004C2D47"/>
    <w:rsid w:val="004C4357"/>
    <w:rsid w:val="004C4477"/>
    <w:rsid w:val="004C5730"/>
    <w:rsid w:val="004C6397"/>
    <w:rsid w:val="004C668F"/>
    <w:rsid w:val="004C682B"/>
    <w:rsid w:val="004D142C"/>
    <w:rsid w:val="004D29F7"/>
    <w:rsid w:val="004D36D8"/>
    <w:rsid w:val="004D4C5C"/>
    <w:rsid w:val="004D5AB0"/>
    <w:rsid w:val="004D5EAE"/>
    <w:rsid w:val="004D7A0E"/>
    <w:rsid w:val="004E06E7"/>
    <w:rsid w:val="004E0AE3"/>
    <w:rsid w:val="004E20D3"/>
    <w:rsid w:val="004E2C82"/>
    <w:rsid w:val="004E4FAE"/>
    <w:rsid w:val="004E62C7"/>
    <w:rsid w:val="004E68FF"/>
    <w:rsid w:val="004E7A1B"/>
    <w:rsid w:val="004F0B7F"/>
    <w:rsid w:val="004F1193"/>
    <w:rsid w:val="004F11DC"/>
    <w:rsid w:val="004F2124"/>
    <w:rsid w:val="004F271B"/>
    <w:rsid w:val="004F3A52"/>
    <w:rsid w:val="004F449F"/>
    <w:rsid w:val="004F4E7E"/>
    <w:rsid w:val="004F63AB"/>
    <w:rsid w:val="004F6B76"/>
    <w:rsid w:val="004F6C7C"/>
    <w:rsid w:val="004F7F1A"/>
    <w:rsid w:val="004F7FBB"/>
    <w:rsid w:val="005042B3"/>
    <w:rsid w:val="005045AB"/>
    <w:rsid w:val="00507D43"/>
    <w:rsid w:val="005103F2"/>
    <w:rsid w:val="00510E2C"/>
    <w:rsid w:val="00511FDC"/>
    <w:rsid w:val="005124C6"/>
    <w:rsid w:val="00513EBC"/>
    <w:rsid w:val="00514CE1"/>
    <w:rsid w:val="00517155"/>
    <w:rsid w:val="00517DB3"/>
    <w:rsid w:val="005200DC"/>
    <w:rsid w:val="005200F2"/>
    <w:rsid w:val="0052369D"/>
    <w:rsid w:val="005271DB"/>
    <w:rsid w:val="00530D2F"/>
    <w:rsid w:val="0053487C"/>
    <w:rsid w:val="005356E1"/>
    <w:rsid w:val="00536A8B"/>
    <w:rsid w:val="0053739D"/>
    <w:rsid w:val="00540418"/>
    <w:rsid w:val="00541A96"/>
    <w:rsid w:val="00541C6A"/>
    <w:rsid w:val="00542C54"/>
    <w:rsid w:val="00546A43"/>
    <w:rsid w:val="00546C70"/>
    <w:rsid w:val="00547258"/>
    <w:rsid w:val="00550CF0"/>
    <w:rsid w:val="00554D58"/>
    <w:rsid w:val="005559FE"/>
    <w:rsid w:val="005560D6"/>
    <w:rsid w:val="00556D07"/>
    <w:rsid w:val="0056117B"/>
    <w:rsid w:val="005611F2"/>
    <w:rsid w:val="00561734"/>
    <w:rsid w:val="00561952"/>
    <w:rsid w:val="00564B9A"/>
    <w:rsid w:val="00565694"/>
    <w:rsid w:val="00566DD6"/>
    <w:rsid w:val="005714EF"/>
    <w:rsid w:val="00571CEC"/>
    <w:rsid w:val="00572FCE"/>
    <w:rsid w:val="005750DB"/>
    <w:rsid w:val="005759FC"/>
    <w:rsid w:val="00575B85"/>
    <w:rsid w:val="00576DB9"/>
    <w:rsid w:val="0057738F"/>
    <w:rsid w:val="005805E4"/>
    <w:rsid w:val="0058202F"/>
    <w:rsid w:val="00584221"/>
    <w:rsid w:val="00584EB6"/>
    <w:rsid w:val="00586B68"/>
    <w:rsid w:val="0058774E"/>
    <w:rsid w:val="005878CF"/>
    <w:rsid w:val="00590CA0"/>
    <w:rsid w:val="00595B01"/>
    <w:rsid w:val="00596D98"/>
    <w:rsid w:val="005979A5"/>
    <w:rsid w:val="005A0021"/>
    <w:rsid w:val="005A017B"/>
    <w:rsid w:val="005A2AEC"/>
    <w:rsid w:val="005A412D"/>
    <w:rsid w:val="005A5212"/>
    <w:rsid w:val="005B002D"/>
    <w:rsid w:val="005B0FFF"/>
    <w:rsid w:val="005B19AF"/>
    <w:rsid w:val="005B258C"/>
    <w:rsid w:val="005B5CD1"/>
    <w:rsid w:val="005B61DD"/>
    <w:rsid w:val="005B6735"/>
    <w:rsid w:val="005B7831"/>
    <w:rsid w:val="005C0CD6"/>
    <w:rsid w:val="005C12D9"/>
    <w:rsid w:val="005C2146"/>
    <w:rsid w:val="005C309D"/>
    <w:rsid w:val="005C544B"/>
    <w:rsid w:val="005C5649"/>
    <w:rsid w:val="005C5916"/>
    <w:rsid w:val="005C5AEE"/>
    <w:rsid w:val="005C774A"/>
    <w:rsid w:val="005D3734"/>
    <w:rsid w:val="005D4F16"/>
    <w:rsid w:val="005D5A53"/>
    <w:rsid w:val="005D5DA0"/>
    <w:rsid w:val="005D7FBD"/>
    <w:rsid w:val="005E09C5"/>
    <w:rsid w:val="005E19B4"/>
    <w:rsid w:val="005E1D6B"/>
    <w:rsid w:val="005E227A"/>
    <w:rsid w:val="005E2CF8"/>
    <w:rsid w:val="005E3126"/>
    <w:rsid w:val="005E7075"/>
    <w:rsid w:val="005E75A7"/>
    <w:rsid w:val="005F38E2"/>
    <w:rsid w:val="005F3EE6"/>
    <w:rsid w:val="005F6736"/>
    <w:rsid w:val="00602C10"/>
    <w:rsid w:val="00602EBD"/>
    <w:rsid w:val="00604CF2"/>
    <w:rsid w:val="00606DFF"/>
    <w:rsid w:val="00606FB7"/>
    <w:rsid w:val="00610533"/>
    <w:rsid w:val="006110F6"/>
    <w:rsid w:val="00611FA1"/>
    <w:rsid w:val="00612522"/>
    <w:rsid w:val="00612DA6"/>
    <w:rsid w:val="00612F08"/>
    <w:rsid w:val="0061365B"/>
    <w:rsid w:val="006138B6"/>
    <w:rsid w:val="00614BC6"/>
    <w:rsid w:val="00614E33"/>
    <w:rsid w:val="006158B8"/>
    <w:rsid w:val="0061706D"/>
    <w:rsid w:val="006173DA"/>
    <w:rsid w:val="00617EF9"/>
    <w:rsid w:val="00620295"/>
    <w:rsid w:val="0062278B"/>
    <w:rsid w:val="00622F8E"/>
    <w:rsid w:val="00626AC8"/>
    <w:rsid w:val="00627912"/>
    <w:rsid w:val="0063195F"/>
    <w:rsid w:val="00636C0A"/>
    <w:rsid w:val="00637EC6"/>
    <w:rsid w:val="0064240C"/>
    <w:rsid w:val="00642FF5"/>
    <w:rsid w:val="006430FB"/>
    <w:rsid w:val="00643992"/>
    <w:rsid w:val="00644DBC"/>
    <w:rsid w:val="00646AE1"/>
    <w:rsid w:val="00646FE6"/>
    <w:rsid w:val="006474CD"/>
    <w:rsid w:val="00647744"/>
    <w:rsid w:val="006479A0"/>
    <w:rsid w:val="006500D9"/>
    <w:rsid w:val="00653B54"/>
    <w:rsid w:val="006541A3"/>
    <w:rsid w:val="00654FAD"/>
    <w:rsid w:val="00655C9F"/>
    <w:rsid w:val="006567FF"/>
    <w:rsid w:val="00656867"/>
    <w:rsid w:val="0066109F"/>
    <w:rsid w:val="00663A46"/>
    <w:rsid w:val="00664B26"/>
    <w:rsid w:val="0066596B"/>
    <w:rsid w:val="00666E2F"/>
    <w:rsid w:val="00670295"/>
    <w:rsid w:val="006704F5"/>
    <w:rsid w:val="00672894"/>
    <w:rsid w:val="00674B47"/>
    <w:rsid w:val="0067609E"/>
    <w:rsid w:val="00677749"/>
    <w:rsid w:val="00680E07"/>
    <w:rsid w:val="00682B9D"/>
    <w:rsid w:val="00683806"/>
    <w:rsid w:val="00686AF9"/>
    <w:rsid w:val="006910C0"/>
    <w:rsid w:val="00691954"/>
    <w:rsid w:val="0069320E"/>
    <w:rsid w:val="00693D13"/>
    <w:rsid w:val="00694F58"/>
    <w:rsid w:val="006955BC"/>
    <w:rsid w:val="006959E2"/>
    <w:rsid w:val="00696920"/>
    <w:rsid w:val="00697EB9"/>
    <w:rsid w:val="006A20D4"/>
    <w:rsid w:val="006A268D"/>
    <w:rsid w:val="006A350F"/>
    <w:rsid w:val="006A3957"/>
    <w:rsid w:val="006A39A4"/>
    <w:rsid w:val="006A41D6"/>
    <w:rsid w:val="006A669D"/>
    <w:rsid w:val="006A6E41"/>
    <w:rsid w:val="006B012F"/>
    <w:rsid w:val="006B27CF"/>
    <w:rsid w:val="006B41BD"/>
    <w:rsid w:val="006B5678"/>
    <w:rsid w:val="006B62B2"/>
    <w:rsid w:val="006C1C57"/>
    <w:rsid w:val="006C5760"/>
    <w:rsid w:val="006C6D6F"/>
    <w:rsid w:val="006D0D78"/>
    <w:rsid w:val="006D1128"/>
    <w:rsid w:val="006D2848"/>
    <w:rsid w:val="006D30E0"/>
    <w:rsid w:val="006D5521"/>
    <w:rsid w:val="006D5FE9"/>
    <w:rsid w:val="006D6CBB"/>
    <w:rsid w:val="006D76A9"/>
    <w:rsid w:val="006D77F4"/>
    <w:rsid w:val="006E0898"/>
    <w:rsid w:val="006E41CD"/>
    <w:rsid w:val="006F3BEC"/>
    <w:rsid w:val="00703C00"/>
    <w:rsid w:val="007057CC"/>
    <w:rsid w:val="007066F2"/>
    <w:rsid w:val="00706AE5"/>
    <w:rsid w:val="0070740A"/>
    <w:rsid w:val="00711F93"/>
    <w:rsid w:val="00712940"/>
    <w:rsid w:val="0071428C"/>
    <w:rsid w:val="00715A16"/>
    <w:rsid w:val="007164B0"/>
    <w:rsid w:val="007166FF"/>
    <w:rsid w:val="007260CC"/>
    <w:rsid w:val="00726543"/>
    <w:rsid w:val="0073353E"/>
    <w:rsid w:val="00736633"/>
    <w:rsid w:val="0074035A"/>
    <w:rsid w:val="00741EE7"/>
    <w:rsid w:val="00743A79"/>
    <w:rsid w:val="007444D4"/>
    <w:rsid w:val="0074594D"/>
    <w:rsid w:val="007459F3"/>
    <w:rsid w:val="00746E35"/>
    <w:rsid w:val="007470E2"/>
    <w:rsid w:val="0075232F"/>
    <w:rsid w:val="00752CA2"/>
    <w:rsid w:val="00753132"/>
    <w:rsid w:val="007550B3"/>
    <w:rsid w:val="00760451"/>
    <w:rsid w:val="0077182A"/>
    <w:rsid w:val="00771913"/>
    <w:rsid w:val="00772718"/>
    <w:rsid w:val="00775BCF"/>
    <w:rsid w:val="007815E1"/>
    <w:rsid w:val="007818AA"/>
    <w:rsid w:val="00783140"/>
    <w:rsid w:val="007838B6"/>
    <w:rsid w:val="00783E77"/>
    <w:rsid w:val="007906F1"/>
    <w:rsid w:val="0079243D"/>
    <w:rsid w:val="00794A9B"/>
    <w:rsid w:val="0079583B"/>
    <w:rsid w:val="00796602"/>
    <w:rsid w:val="00797185"/>
    <w:rsid w:val="007976B7"/>
    <w:rsid w:val="00797A7E"/>
    <w:rsid w:val="00797D6F"/>
    <w:rsid w:val="007B014B"/>
    <w:rsid w:val="007B0D88"/>
    <w:rsid w:val="007B306F"/>
    <w:rsid w:val="007B4714"/>
    <w:rsid w:val="007B4E82"/>
    <w:rsid w:val="007C1996"/>
    <w:rsid w:val="007C3773"/>
    <w:rsid w:val="007C3F1F"/>
    <w:rsid w:val="007D2D0D"/>
    <w:rsid w:val="007D3325"/>
    <w:rsid w:val="007D3818"/>
    <w:rsid w:val="007D6DC5"/>
    <w:rsid w:val="007D7425"/>
    <w:rsid w:val="007E320E"/>
    <w:rsid w:val="007E3280"/>
    <w:rsid w:val="007E4A02"/>
    <w:rsid w:val="007E595C"/>
    <w:rsid w:val="007E59A5"/>
    <w:rsid w:val="007F003E"/>
    <w:rsid w:val="007F3B8C"/>
    <w:rsid w:val="007F41D0"/>
    <w:rsid w:val="007F4B8B"/>
    <w:rsid w:val="007F5957"/>
    <w:rsid w:val="007F70B6"/>
    <w:rsid w:val="007F74CA"/>
    <w:rsid w:val="00800F1E"/>
    <w:rsid w:val="0080195A"/>
    <w:rsid w:val="0080239C"/>
    <w:rsid w:val="00802841"/>
    <w:rsid w:val="008037D5"/>
    <w:rsid w:val="00805447"/>
    <w:rsid w:val="008054FA"/>
    <w:rsid w:val="0080717A"/>
    <w:rsid w:val="00807DFA"/>
    <w:rsid w:val="0081009F"/>
    <w:rsid w:val="00810152"/>
    <w:rsid w:val="008115AB"/>
    <w:rsid w:val="00812D2C"/>
    <w:rsid w:val="008159F4"/>
    <w:rsid w:val="008167C1"/>
    <w:rsid w:val="008167C6"/>
    <w:rsid w:val="00816B8F"/>
    <w:rsid w:val="00820331"/>
    <w:rsid w:val="00820BF5"/>
    <w:rsid w:val="008212B1"/>
    <w:rsid w:val="0082155A"/>
    <w:rsid w:val="0082209F"/>
    <w:rsid w:val="008223C2"/>
    <w:rsid w:val="008250A2"/>
    <w:rsid w:val="00825D64"/>
    <w:rsid w:val="0082650B"/>
    <w:rsid w:val="008301CE"/>
    <w:rsid w:val="008312E3"/>
    <w:rsid w:val="00831D5B"/>
    <w:rsid w:val="00831FE3"/>
    <w:rsid w:val="00832DD6"/>
    <w:rsid w:val="00832F0C"/>
    <w:rsid w:val="008336F2"/>
    <w:rsid w:val="008345D9"/>
    <w:rsid w:val="008347CB"/>
    <w:rsid w:val="00835647"/>
    <w:rsid w:val="00835E8F"/>
    <w:rsid w:val="00837A2E"/>
    <w:rsid w:val="00841558"/>
    <w:rsid w:val="00842A68"/>
    <w:rsid w:val="008435BA"/>
    <w:rsid w:val="0084558B"/>
    <w:rsid w:val="0084654A"/>
    <w:rsid w:val="00847654"/>
    <w:rsid w:val="00851064"/>
    <w:rsid w:val="00855543"/>
    <w:rsid w:val="008566B3"/>
    <w:rsid w:val="008576B7"/>
    <w:rsid w:val="00857F7B"/>
    <w:rsid w:val="00863DA1"/>
    <w:rsid w:val="008654A6"/>
    <w:rsid w:val="008659F3"/>
    <w:rsid w:val="00865D86"/>
    <w:rsid w:val="00870495"/>
    <w:rsid w:val="00870EA1"/>
    <w:rsid w:val="008710C5"/>
    <w:rsid w:val="00874438"/>
    <w:rsid w:val="00874E75"/>
    <w:rsid w:val="008767F3"/>
    <w:rsid w:val="00876CEF"/>
    <w:rsid w:val="00877342"/>
    <w:rsid w:val="008803C3"/>
    <w:rsid w:val="00881450"/>
    <w:rsid w:val="008817C7"/>
    <w:rsid w:val="00881875"/>
    <w:rsid w:val="00884330"/>
    <w:rsid w:val="008848A3"/>
    <w:rsid w:val="00884AF1"/>
    <w:rsid w:val="00885F7A"/>
    <w:rsid w:val="00890377"/>
    <w:rsid w:val="00890712"/>
    <w:rsid w:val="00890D81"/>
    <w:rsid w:val="00892955"/>
    <w:rsid w:val="00893628"/>
    <w:rsid w:val="008941EB"/>
    <w:rsid w:val="0089545A"/>
    <w:rsid w:val="00895A02"/>
    <w:rsid w:val="00897692"/>
    <w:rsid w:val="008A01EE"/>
    <w:rsid w:val="008A0DAC"/>
    <w:rsid w:val="008A3B78"/>
    <w:rsid w:val="008A4166"/>
    <w:rsid w:val="008A7DBF"/>
    <w:rsid w:val="008B136C"/>
    <w:rsid w:val="008B33D5"/>
    <w:rsid w:val="008B55EF"/>
    <w:rsid w:val="008B6910"/>
    <w:rsid w:val="008C0B5C"/>
    <w:rsid w:val="008C1343"/>
    <w:rsid w:val="008C3912"/>
    <w:rsid w:val="008C5598"/>
    <w:rsid w:val="008C69EA"/>
    <w:rsid w:val="008C6F8B"/>
    <w:rsid w:val="008C7AB7"/>
    <w:rsid w:val="008C7FB4"/>
    <w:rsid w:val="008D2C8C"/>
    <w:rsid w:val="008D3040"/>
    <w:rsid w:val="008D3ECD"/>
    <w:rsid w:val="008D5C03"/>
    <w:rsid w:val="008D7580"/>
    <w:rsid w:val="008D7C35"/>
    <w:rsid w:val="008E5698"/>
    <w:rsid w:val="008E5733"/>
    <w:rsid w:val="008E77D2"/>
    <w:rsid w:val="008E78FD"/>
    <w:rsid w:val="008F199D"/>
    <w:rsid w:val="008F3374"/>
    <w:rsid w:val="008F38A0"/>
    <w:rsid w:val="008F39C9"/>
    <w:rsid w:val="008F5EB5"/>
    <w:rsid w:val="008F678C"/>
    <w:rsid w:val="008F75A7"/>
    <w:rsid w:val="008F7E5A"/>
    <w:rsid w:val="00900A7F"/>
    <w:rsid w:val="009036EE"/>
    <w:rsid w:val="00905815"/>
    <w:rsid w:val="00905D1D"/>
    <w:rsid w:val="0091016D"/>
    <w:rsid w:val="00910C98"/>
    <w:rsid w:val="00911910"/>
    <w:rsid w:val="00912A58"/>
    <w:rsid w:val="00913908"/>
    <w:rsid w:val="00913D26"/>
    <w:rsid w:val="0091438B"/>
    <w:rsid w:val="009147E3"/>
    <w:rsid w:val="00920FD2"/>
    <w:rsid w:val="00923A43"/>
    <w:rsid w:val="0092439C"/>
    <w:rsid w:val="0092498E"/>
    <w:rsid w:val="00925B91"/>
    <w:rsid w:val="00934461"/>
    <w:rsid w:val="00934F7E"/>
    <w:rsid w:val="00936A1C"/>
    <w:rsid w:val="00942EE7"/>
    <w:rsid w:val="00943E35"/>
    <w:rsid w:val="009451C8"/>
    <w:rsid w:val="00945278"/>
    <w:rsid w:val="0094658D"/>
    <w:rsid w:val="00947678"/>
    <w:rsid w:val="00947878"/>
    <w:rsid w:val="009501EC"/>
    <w:rsid w:val="009504C2"/>
    <w:rsid w:val="0095254A"/>
    <w:rsid w:val="0095273B"/>
    <w:rsid w:val="009559E1"/>
    <w:rsid w:val="009568D5"/>
    <w:rsid w:val="00957CD3"/>
    <w:rsid w:val="0096269B"/>
    <w:rsid w:val="00963FB0"/>
    <w:rsid w:val="00964C86"/>
    <w:rsid w:val="00965E82"/>
    <w:rsid w:val="009664BB"/>
    <w:rsid w:val="009669F8"/>
    <w:rsid w:val="00966F89"/>
    <w:rsid w:val="009720E8"/>
    <w:rsid w:val="00973B5D"/>
    <w:rsid w:val="0097755E"/>
    <w:rsid w:val="00981467"/>
    <w:rsid w:val="00981C24"/>
    <w:rsid w:val="009852F6"/>
    <w:rsid w:val="00985DE5"/>
    <w:rsid w:val="00986254"/>
    <w:rsid w:val="0098729E"/>
    <w:rsid w:val="00990067"/>
    <w:rsid w:val="00992977"/>
    <w:rsid w:val="009937D4"/>
    <w:rsid w:val="00993C78"/>
    <w:rsid w:val="009948C7"/>
    <w:rsid w:val="00995850"/>
    <w:rsid w:val="0099796C"/>
    <w:rsid w:val="009A194E"/>
    <w:rsid w:val="009A1EA2"/>
    <w:rsid w:val="009A209E"/>
    <w:rsid w:val="009A3FD7"/>
    <w:rsid w:val="009A6652"/>
    <w:rsid w:val="009A6DB6"/>
    <w:rsid w:val="009A74FD"/>
    <w:rsid w:val="009B25D8"/>
    <w:rsid w:val="009B42E3"/>
    <w:rsid w:val="009B5859"/>
    <w:rsid w:val="009C6D07"/>
    <w:rsid w:val="009C7CEC"/>
    <w:rsid w:val="009D154D"/>
    <w:rsid w:val="009D18EF"/>
    <w:rsid w:val="009D3BE8"/>
    <w:rsid w:val="009D44E0"/>
    <w:rsid w:val="009D573B"/>
    <w:rsid w:val="009D59A0"/>
    <w:rsid w:val="009D716A"/>
    <w:rsid w:val="009E1AC4"/>
    <w:rsid w:val="009E20B8"/>
    <w:rsid w:val="009E29A0"/>
    <w:rsid w:val="009E41B5"/>
    <w:rsid w:val="009E55D7"/>
    <w:rsid w:val="009E627C"/>
    <w:rsid w:val="009F110B"/>
    <w:rsid w:val="009F1498"/>
    <w:rsid w:val="009F1E9F"/>
    <w:rsid w:val="009F3793"/>
    <w:rsid w:val="009F54F2"/>
    <w:rsid w:val="00A0056B"/>
    <w:rsid w:val="00A00FB7"/>
    <w:rsid w:val="00A01657"/>
    <w:rsid w:val="00A01C65"/>
    <w:rsid w:val="00A0213D"/>
    <w:rsid w:val="00A04C73"/>
    <w:rsid w:val="00A0679A"/>
    <w:rsid w:val="00A07A2B"/>
    <w:rsid w:val="00A12375"/>
    <w:rsid w:val="00A125B8"/>
    <w:rsid w:val="00A13124"/>
    <w:rsid w:val="00A150F9"/>
    <w:rsid w:val="00A15370"/>
    <w:rsid w:val="00A156AB"/>
    <w:rsid w:val="00A16B8D"/>
    <w:rsid w:val="00A21293"/>
    <w:rsid w:val="00A2134B"/>
    <w:rsid w:val="00A21623"/>
    <w:rsid w:val="00A220EB"/>
    <w:rsid w:val="00A22302"/>
    <w:rsid w:val="00A25F1B"/>
    <w:rsid w:val="00A325F3"/>
    <w:rsid w:val="00A33103"/>
    <w:rsid w:val="00A33294"/>
    <w:rsid w:val="00A33DD2"/>
    <w:rsid w:val="00A35DCB"/>
    <w:rsid w:val="00A3690E"/>
    <w:rsid w:val="00A37751"/>
    <w:rsid w:val="00A406B1"/>
    <w:rsid w:val="00A4113E"/>
    <w:rsid w:val="00A42435"/>
    <w:rsid w:val="00A438BA"/>
    <w:rsid w:val="00A446FD"/>
    <w:rsid w:val="00A46F46"/>
    <w:rsid w:val="00A52CB6"/>
    <w:rsid w:val="00A52F99"/>
    <w:rsid w:val="00A538BB"/>
    <w:rsid w:val="00A54164"/>
    <w:rsid w:val="00A56737"/>
    <w:rsid w:val="00A60002"/>
    <w:rsid w:val="00A603D8"/>
    <w:rsid w:val="00A60AE2"/>
    <w:rsid w:val="00A61834"/>
    <w:rsid w:val="00A618B0"/>
    <w:rsid w:val="00A62790"/>
    <w:rsid w:val="00A6291F"/>
    <w:rsid w:val="00A63F53"/>
    <w:rsid w:val="00A7111E"/>
    <w:rsid w:val="00A755B6"/>
    <w:rsid w:val="00A75B1A"/>
    <w:rsid w:val="00A80ED4"/>
    <w:rsid w:val="00A816C4"/>
    <w:rsid w:val="00A82981"/>
    <w:rsid w:val="00A86F10"/>
    <w:rsid w:val="00A87AF2"/>
    <w:rsid w:val="00A90B23"/>
    <w:rsid w:val="00A93193"/>
    <w:rsid w:val="00A93C2B"/>
    <w:rsid w:val="00A94556"/>
    <w:rsid w:val="00A974CB"/>
    <w:rsid w:val="00AA1EAC"/>
    <w:rsid w:val="00AA45E2"/>
    <w:rsid w:val="00AA7AC1"/>
    <w:rsid w:val="00AB6327"/>
    <w:rsid w:val="00AB6B8F"/>
    <w:rsid w:val="00AC0C65"/>
    <w:rsid w:val="00AC0FB2"/>
    <w:rsid w:val="00AC3721"/>
    <w:rsid w:val="00AC41C6"/>
    <w:rsid w:val="00AC70C7"/>
    <w:rsid w:val="00AC76B7"/>
    <w:rsid w:val="00AD0223"/>
    <w:rsid w:val="00AD123A"/>
    <w:rsid w:val="00AD15FF"/>
    <w:rsid w:val="00AD1AA5"/>
    <w:rsid w:val="00AD2920"/>
    <w:rsid w:val="00AD2CD5"/>
    <w:rsid w:val="00AD2DFC"/>
    <w:rsid w:val="00AD38C4"/>
    <w:rsid w:val="00AD3A24"/>
    <w:rsid w:val="00AD5A4A"/>
    <w:rsid w:val="00AD60EE"/>
    <w:rsid w:val="00AD6A2B"/>
    <w:rsid w:val="00AD73D4"/>
    <w:rsid w:val="00AE1987"/>
    <w:rsid w:val="00AE1EA2"/>
    <w:rsid w:val="00AE2874"/>
    <w:rsid w:val="00AE2BA2"/>
    <w:rsid w:val="00AE2F98"/>
    <w:rsid w:val="00AE3602"/>
    <w:rsid w:val="00AE5342"/>
    <w:rsid w:val="00AE5987"/>
    <w:rsid w:val="00AE6472"/>
    <w:rsid w:val="00AF1345"/>
    <w:rsid w:val="00AF38A8"/>
    <w:rsid w:val="00AF63EB"/>
    <w:rsid w:val="00AF7AC9"/>
    <w:rsid w:val="00B016D2"/>
    <w:rsid w:val="00B018EC"/>
    <w:rsid w:val="00B060C7"/>
    <w:rsid w:val="00B11AB7"/>
    <w:rsid w:val="00B12213"/>
    <w:rsid w:val="00B123FB"/>
    <w:rsid w:val="00B13710"/>
    <w:rsid w:val="00B22881"/>
    <w:rsid w:val="00B23EFC"/>
    <w:rsid w:val="00B24B72"/>
    <w:rsid w:val="00B25DB8"/>
    <w:rsid w:val="00B2656C"/>
    <w:rsid w:val="00B266E6"/>
    <w:rsid w:val="00B3094D"/>
    <w:rsid w:val="00B30B04"/>
    <w:rsid w:val="00B311BC"/>
    <w:rsid w:val="00B31810"/>
    <w:rsid w:val="00B31C10"/>
    <w:rsid w:val="00B3446D"/>
    <w:rsid w:val="00B34652"/>
    <w:rsid w:val="00B34F89"/>
    <w:rsid w:val="00B358C8"/>
    <w:rsid w:val="00B36185"/>
    <w:rsid w:val="00B3662F"/>
    <w:rsid w:val="00B373CD"/>
    <w:rsid w:val="00B377C8"/>
    <w:rsid w:val="00B400B8"/>
    <w:rsid w:val="00B404DE"/>
    <w:rsid w:val="00B40765"/>
    <w:rsid w:val="00B4232D"/>
    <w:rsid w:val="00B42682"/>
    <w:rsid w:val="00B43065"/>
    <w:rsid w:val="00B44784"/>
    <w:rsid w:val="00B449D0"/>
    <w:rsid w:val="00B456AB"/>
    <w:rsid w:val="00B46C2A"/>
    <w:rsid w:val="00B47E8B"/>
    <w:rsid w:val="00B51C67"/>
    <w:rsid w:val="00B53F86"/>
    <w:rsid w:val="00B53FDC"/>
    <w:rsid w:val="00B55431"/>
    <w:rsid w:val="00B55CAE"/>
    <w:rsid w:val="00B576C6"/>
    <w:rsid w:val="00B615F2"/>
    <w:rsid w:val="00B61A28"/>
    <w:rsid w:val="00B65C6D"/>
    <w:rsid w:val="00B66B06"/>
    <w:rsid w:val="00B67862"/>
    <w:rsid w:val="00B70634"/>
    <w:rsid w:val="00B70BE4"/>
    <w:rsid w:val="00B73880"/>
    <w:rsid w:val="00B73CF1"/>
    <w:rsid w:val="00B745B3"/>
    <w:rsid w:val="00B7599D"/>
    <w:rsid w:val="00B7648F"/>
    <w:rsid w:val="00B76E13"/>
    <w:rsid w:val="00B771EE"/>
    <w:rsid w:val="00B7765B"/>
    <w:rsid w:val="00B77B4B"/>
    <w:rsid w:val="00B80ABC"/>
    <w:rsid w:val="00B814C2"/>
    <w:rsid w:val="00B900FE"/>
    <w:rsid w:val="00B9064C"/>
    <w:rsid w:val="00BA0A14"/>
    <w:rsid w:val="00BA228D"/>
    <w:rsid w:val="00BA398D"/>
    <w:rsid w:val="00BA39D3"/>
    <w:rsid w:val="00BA5C56"/>
    <w:rsid w:val="00BA776F"/>
    <w:rsid w:val="00BB0C0D"/>
    <w:rsid w:val="00BB0D69"/>
    <w:rsid w:val="00BB366E"/>
    <w:rsid w:val="00BB3AF0"/>
    <w:rsid w:val="00BB4F70"/>
    <w:rsid w:val="00BB67FF"/>
    <w:rsid w:val="00BC11B9"/>
    <w:rsid w:val="00BC138C"/>
    <w:rsid w:val="00BC14CF"/>
    <w:rsid w:val="00BC1659"/>
    <w:rsid w:val="00BC2C91"/>
    <w:rsid w:val="00BC3A9C"/>
    <w:rsid w:val="00BC5288"/>
    <w:rsid w:val="00BC6A71"/>
    <w:rsid w:val="00BC6B2F"/>
    <w:rsid w:val="00BD0637"/>
    <w:rsid w:val="00BD08A8"/>
    <w:rsid w:val="00BD1BAC"/>
    <w:rsid w:val="00BD1FA8"/>
    <w:rsid w:val="00BD25A6"/>
    <w:rsid w:val="00BD3FA2"/>
    <w:rsid w:val="00BD4C95"/>
    <w:rsid w:val="00BD65FC"/>
    <w:rsid w:val="00BD7660"/>
    <w:rsid w:val="00BE0666"/>
    <w:rsid w:val="00BE24B9"/>
    <w:rsid w:val="00BE2AE8"/>
    <w:rsid w:val="00BE2D55"/>
    <w:rsid w:val="00BE38DD"/>
    <w:rsid w:val="00BE4AB1"/>
    <w:rsid w:val="00BF16C3"/>
    <w:rsid w:val="00BF38E0"/>
    <w:rsid w:val="00BF43D5"/>
    <w:rsid w:val="00BF44FA"/>
    <w:rsid w:val="00BF57E1"/>
    <w:rsid w:val="00C003B4"/>
    <w:rsid w:val="00C00A5F"/>
    <w:rsid w:val="00C042E0"/>
    <w:rsid w:val="00C051D9"/>
    <w:rsid w:val="00C06333"/>
    <w:rsid w:val="00C06F68"/>
    <w:rsid w:val="00C075BA"/>
    <w:rsid w:val="00C10A3A"/>
    <w:rsid w:val="00C11E20"/>
    <w:rsid w:val="00C15D16"/>
    <w:rsid w:val="00C20015"/>
    <w:rsid w:val="00C247DD"/>
    <w:rsid w:val="00C25B43"/>
    <w:rsid w:val="00C26A54"/>
    <w:rsid w:val="00C277A1"/>
    <w:rsid w:val="00C31C15"/>
    <w:rsid w:val="00C3261C"/>
    <w:rsid w:val="00C3318B"/>
    <w:rsid w:val="00C331E2"/>
    <w:rsid w:val="00C33C20"/>
    <w:rsid w:val="00C35362"/>
    <w:rsid w:val="00C357EA"/>
    <w:rsid w:val="00C379F8"/>
    <w:rsid w:val="00C37A1C"/>
    <w:rsid w:val="00C42323"/>
    <w:rsid w:val="00C4316E"/>
    <w:rsid w:val="00C453A9"/>
    <w:rsid w:val="00C465D5"/>
    <w:rsid w:val="00C4756A"/>
    <w:rsid w:val="00C47C39"/>
    <w:rsid w:val="00C50649"/>
    <w:rsid w:val="00C50E1F"/>
    <w:rsid w:val="00C5107D"/>
    <w:rsid w:val="00C51C09"/>
    <w:rsid w:val="00C52BB6"/>
    <w:rsid w:val="00C53471"/>
    <w:rsid w:val="00C54B2F"/>
    <w:rsid w:val="00C55143"/>
    <w:rsid w:val="00C5611B"/>
    <w:rsid w:val="00C5695E"/>
    <w:rsid w:val="00C61528"/>
    <w:rsid w:val="00C63457"/>
    <w:rsid w:val="00C64964"/>
    <w:rsid w:val="00C6631E"/>
    <w:rsid w:val="00C67473"/>
    <w:rsid w:val="00C67AA4"/>
    <w:rsid w:val="00C7148C"/>
    <w:rsid w:val="00C72192"/>
    <w:rsid w:val="00C732E5"/>
    <w:rsid w:val="00C73D0B"/>
    <w:rsid w:val="00C75017"/>
    <w:rsid w:val="00C764EA"/>
    <w:rsid w:val="00C765B4"/>
    <w:rsid w:val="00C813EA"/>
    <w:rsid w:val="00C81496"/>
    <w:rsid w:val="00C82CE6"/>
    <w:rsid w:val="00C82E22"/>
    <w:rsid w:val="00C85144"/>
    <w:rsid w:val="00C86738"/>
    <w:rsid w:val="00C86A27"/>
    <w:rsid w:val="00C91517"/>
    <w:rsid w:val="00C929BD"/>
    <w:rsid w:val="00C931A2"/>
    <w:rsid w:val="00CA02E1"/>
    <w:rsid w:val="00CA15DA"/>
    <w:rsid w:val="00CA224E"/>
    <w:rsid w:val="00CA41C5"/>
    <w:rsid w:val="00CA42B7"/>
    <w:rsid w:val="00CA4A53"/>
    <w:rsid w:val="00CA51F5"/>
    <w:rsid w:val="00CB218A"/>
    <w:rsid w:val="00CB225A"/>
    <w:rsid w:val="00CB69E6"/>
    <w:rsid w:val="00CB761B"/>
    <w:rsid w:val="00CB7E33"/>
    <w:rsid w:val="00CC13DF"/>
    <w:rsid w:val="00CC1EEE"/>
    <w:rsid w:val="00CC562B"/>
    <w:rsid w:val="00CC6C15"/>
    <w:rsid w:val="00CC7FCF"/>
    <w:rsid w:val="00CD2749"/>
    <w:rsid w:val="00CD2A60"/>
    <w:rsid w:val="00CD306F"/>
    <w:rsid w:val="00CD3971"/>
    <w:rsid w:val="00CD3DAB"/>
    <w:rsid w:val="00CE0DF1"/>
    <w:rsid w:val="00CE3786"/>
    <w:rsid w:val="00CE4027"/>
    <w:rsid w:val="00CE47CC"/>
    <w:rsid w:val="00CE68F6"/>
    <w:rsid w:val="00CE7E27"/>
    <w:rsid w:val="00CF22AC"/>
    <w:rsid w:val="00CF2F0A"/>
    <w:rsid w:val="00CF79E8"/>
    <w:rsid w:val="00D015AA"/>
    <w:rsid w:val="00D021B8"/>
    <w:rsid w:val="00D03D90"/>
    <w:rsid w:val="00D04024"/>
    <w:rsid w:val="00D043EB"/>
    <w:rsid w:val="00D06705"/>
    <w:rsid w:val="00D06A9B"/>
    <w:rsid w:val="00D0750D"/>
    <w:rsid w:val="00D07DD8"/>
    <w:rsid w:val="00D1038F"/>
    <w:rsid w:val="00D10BF7"/>
    <w:rsid w:val="00D10FEB"/>
    <w:rsid w:val="00D12DC0"/>
    <w:rsid w:val="00D140A0"/>
    <w:rsid w:val="00D203D1"/>
    <w:rsid w:val="00D2057A"/>
    <w:rsid w:val="00D21D98"/>
    <w:rsid w:val="00D2317F"/>
    <w:rsid w:val="00D231A9"/>
    <w:rsid w:val="00D24391"/>
    <w:rsid w:val="00D2472B"/>
    <w:rsid w:val="00D253DD"/>
    <w:rsid w:val="00D26FFA"/>
    <w:rsid w:val="00D3215D"/>
    <w:rsid w:val="00D33352"/>
    <w:rsid w:val="00D347D9"/>
    <w:rsid w:val="00D35565"/>
    <w:rsid w:val="00D36A19"/>
    <w:rsid w:val="00D40DCF"/>
    <w:rsid w:val="00D41075"/>
    <w:rsid w:val="00D41C76"/>
    <w:rsid w:val="00D41DD8"/>
    <w:rsid w:val="00D4222C"/>
    <w:rsid w:val="00D425CE"/>
    <w:rsid w:val="00D42F40"/>
    <w:rsid w:val="00D4396C"/>
    <w:rsid w:val="00D4446F"/>
    <w:rsid w:val="00D44B55"/>
    <w:rsid w:val="00D45490"/>
    <w:rsid w:val="00D457B8"/>
    <w:rsid w:val="00D457E1"/>
    <w:rsid w:val="00D47BEB"/>
    <w:rsid w:val="00D50487"/>
    <w:rsid w:val="00D50563"/>
    <w:rsid w:val="00D50F50"/>
    <w:rsid w:val="00D5235F"/>
    <w:rsid w:val="00D52F50"/>
    <w:rsid w:val="00D55A98"/>
    <w:rsid w:val="00D56B49"/>
    <w:rsid w:val="00D6053F"/>
    <w:rsid w:val="00D6073D"/>
    <w:rsid w:val="00D618D6"/>
    <w:rsid w:val="00D62426"/>
    <w:rsid w:val="00D62804"/>
    <w:rsid w:val="00D70F55"/>
    <w:rsid w:val="00D70FA5"/>
    <w:rsid w:val="00D74171"/>
    <w:rsid w:val="00D7474C"/>
    <w:rsid w:val="00D8032C"/>
    <w:rsid w:val="00D80CE2"/>
    <w:rsid w:val="00D83080"/>
    <w:rsid w:val="00D84D5F"/>
    <w:rsid w:val="00D851E2"/>
    <w:rsid w:val="00D87FFA"/>
    <w:rsid w:val="00D91419"/>
    <w:rsid w:val="00D92A09"/>
    <w:rsid w:val="00D92D2A"/>
    <w:rsid w:val="00D92EEC"/>
    <w:rsid w:val="00D93470"/>
    <w:rsid w:val="00D9395F"/>
    <w:rsid w:val="00D93D55"/>
    <w:rsid w:val="00D941FA"/>
    <w:rsid w:val="00D94B59"/>
    <w:rsid w:val="00D95315"/>
    <w:rsid w:val="00D95EAB"/>
    <w:rsid w:val="00D97D92"/>
    <w:rsid w:val="00DA0B39"/>
    <w:rsid w:val="00DA1203"/>
    <w:rsid w:val="00DA2316"/>
    <w:rsid w:val="00DA25E0"/>
    <w:rsid w:val="00DA2700"/>
    <w:rsid w:val="00DA3001"/>
    <w:rsid w:val="00DA3C5D"/>
    <w:rsid w:val="00DA3EFF"/>
    <w:rsid w:val="00DA4FC1"/>
    <w:rsid w:val="00DA7769"/>
    <w:rsid w:val="00DB08C6"/>
    <w:rsid w:val="00DB1BC2"/>
    <w:rsid w:val="00DB1CBB"/>
    <w:rsid w:val="00DB31ED"/>
    <w:rsid w:val="00DB4124"/>
    <w:rsid w:val="00DB4511"/>
    <w:rsid w:val="00DB4F0C"/>
    <w:rsid w:val="00DC0176"/>
    <w:rsid w:val="00DC043F"/>
    <w:rsid w:val="00DC093E"/>
    <w:rsid w:val="00DC0E29"/>
    <w:rsid w:val="00DC0E7A"/>
    <w:rsid w:val="00DC2A65"/>
    <w:rsid w:val="00DC2A86"/>
    <w:rsid w:val="00DC3631"/>
    <w:rsid w:val="00DC37F7"/>
    <w:rsid w:val="00DC6F54"/>
    <w:rsid w:val="00DD0C00"/>
    <w:rsid w:val="00DD0D73"/>
    <w:rsid w:val="00DD0F8C"/>
    <w:rsid w:val="00DD116C"/>
    <w:rsid w:val="00DD23D5"/>
    <w:rsid w:val="00DD2AF1"/>
    <w:rsid w:val="00DD46DA"/>
    <w:rsid w:val="00DD6072"/>
    <w:rsid w:val="00DD62BE"/>
    <w:rsid w:val="00DD6325"/>
    <w:rsid w:val="00DD6A8C"/>
    <w:rsid w:val="00DD77D9"/>
    <w:rsid w:val="00DD7CA4"/>
    <w:rsid w:val="00DE167C"/>
    <w:rsid w:val="00DE2726"/>
    <w:rsid w:val="00DE2E4F"/>
    <w:rsid w:val="00DE3B70"/>
    <w:rsid w:val="00DE5813"/>
    <w:rsid w:val="00DF10B1"/>
    <w:rsid w:val="00DF1FDA"/>
    <w:rsid w:val="00DF3DD0"/>
    <w:rsid w:val="00DF4D50"/>
    <w:rsid w:val="00DF538C"/>
    <w:rsid w:val="00E021C2"/>
    <w:rsid w:val="00E024A3"/>
    <w:rsid w:val="00E0423D"/>
    <w:rsid w:val="00E057B5"/>
    <w:rsid w:val="00E0581E"/>
    <w:rsid w:val="00E079C5"/>
    <w:rsid w:val="00E07CBD"/>
    <w:rsid w:val="00E07F56"/>
    <w:rsid w:val="00E10A16"/>
    <w:rsid w:val="00E1112F"/>
    <w:rsid w:val="00E1318F"/>
    <w:rsid w:val="00E13B3B"/>
    <w:rsid w:val="00E13E29"/>
    <w:rsid w:val="00E16857"/>
    <w:rsid w:val="00E16C3A"/>
    <w:rsid w:val="00E20651"/>
    <w:rsid w:val="00E2107C"/>
    <w:rsid w:val="00E21E70"/>
    <w:rsid w:val="00E224DE"/>
    <w:rsid w:val="00E23DCE"/>
    <w:rsid w:val="00E26363"/>
    <w:rsid w:val="00E272A4"/>
    <w:rsid w:val="00E305F9"/>
    <w:rsid w:val="00E306AC"/>
    <w:rsid w:val="00E32585"/>
    <w:rsid w:val="00E34446"/>
    <w:rsid w:val="00E3633B"/>
    <w:rsid w:val="00E36870"/>
    <w:rsid w:val="00E374E1"/>
    <w:rsid w:val="00E417AB"/>
    <w:rsid w:val="00E43D48"/>
    <w:rsid w:val="00E4542D"/>
    <w:rsid w:val="00E45BE0"/>
    <w:rsid w:val="00E46CAD"/>
    <w:rsid w:val="00E47521"/>
    <w:rsid w:val="00E4760C"/>
    <w:rsid w:val="00E507A6"/>
    <w:rsid w:val="00E5375C"/>
    <w:rsid w:val="00E561AD"/>
    <w:rsid w:val="00E57FAF"/>
    <w:rsid w:val="00E60BA9"/>
    <w:rsid w:val="00E63510"/>
    <w:rsid w:val="00E635EA"/>
    <w:rsid w:val="00E655E5"/>
    <w:rsid w:val="00E65F4E"/>
    <w:rsid w:val="00E662E0"/>
    <w:rsid w:val="00E67D5D"/>
    <w:rsid w:val="00E71C7A"/>
    <w:rsid w:val="00E73119"/>
    <w:rsid w:val="00E73E1E"/>
    <w:rsid w:val="00E767FF"/>
    <w:rsid w:val="00E84C91"/>
    <w:rsid w:val="00E84E60"/>
    <w:rsid w:val="00E8556E"/>
    <w:rsid w:val="00E86B2D"/>
    <w:rsid w:val="00E86F4D"/>
    <w:rsid w:val="00E87D08"/>
    <w:rsid w:val="00E90D0E"/>
    <w:rsid w:val="00E91B2D"/>
    <w:rsid w:val="00E92FCA"/>
    <w:rsid w:val="00E93D4E"/>
    <w:rsid w:val="00E95CAA"/>
    <w:rsid w:val="00E9725C"/>
    <w:rsid w:val="00EA0A39"/>
    <w:rsid w:val="00EA0EB2"/>
    <w:rsid w:val="00EA236F"/>
    <w:rsid w:val="00EA3023"/>
    <w:rsid w:val="00EA3E49"/>
    <w:rsid w:val="00EA3FC8"/>
    <w:rsid w:val="00EA5B8C"/>
    <w:rsid w:val="00EA6190"/>
    <w:rsid w:val="00EB0DC9"/>
    <w:rsid w:val="00EB1383"/>
    <w:rsid w:val="00EB252D"/>
    <w:rsid w:val="00EB29FA"/>
    <w:rsid w:val="00EB2CCE"/>
    <w:rsid w:val="00EB385F"/>
    <w:rsid w:val="00EB3E49"/>
    <w:rsid w:val="00EB5FC3"/>
    <w:rsid w:val="00EB6DA9"/>
    <w:rsid w:val="00EC1561"/>
    <w:rsid w:val="00EC2788"/>
    <w:rsid w:val="00EC462E"/>
    <w:rsid w:val="00EC6CD8"/>
    <w:rsid w:val="00EC786F"/>
    <w:rsid w:val="00ED1866"/>
    <w:rsid w:val="00ED3134"/>
    <w:rsid w:val="00ED38E2"/>
    <w:rsid w:val="00ED5C44"/>
    <w:rsid w:val="00ED635B"/>
    <w:rsid w:val="00EE742D"/>
    <w:rsid w:val="00EF0A22"/>
    <w:rsid w:val="00EF1267"/>
    <w:rsid w:val="00EF180C"/>
    <w:rsid w:val="00EF3B6B"/>
    <w:rsid w:val="00EF4B43"/>
    <w:rsid w:val="00EF6750"/>
    <w:rsid w:val="00EF770B"/>
    <w:rsid w:val="00F00DDF"/>
    <w:rsid w:val="00F02836"/>
    <w:rsid w:val="00F02FB5"/>
    <w:rsid w:val="00F0534E"/>
    <w:rsid w:val="00F05C30"/>
    <w:rsid w:val="00F10F1B"/>
    <w:rsid w:val="00F14179"/>
    <w:rsid w:val="00F15786"/>
    <w:rsid w:val="00F167C5"/>
    <w:rsid w:val="00F20B5A"/>
    <w:rsid w:val="00F21F0B"/>
    <w:rsid w:val="00F236AB"/>
    <w:rsid w:val="00F24EA4"/>
    <w:rsid w:val="00F27087"/>
    <w:rsid w:val="00F2773C"/>
    <w:rsid w:val="00F300B3"/>
    <w:rsid w:val="00F30DB9"/>
    <w:rsid w:val="00F30FB8"/>
    <w:rsid w:val="00F31D68"/>
    <w:rsid w:val="00F32CEF"/>
    <w:rsid w:val="00F33152"/>
    <w:rsid w:val="00F338F2"/>
    <w:rsid w:val="00F349D3"/>
    <w:rsid w:val="00F3533E"/>
    <w:rsid w:val="00F35B84"/>
    <w:rsid w:val="00F402B5"/>
    <w:rsid w:val="00F4072F"/>
    <w:rsid w:val="00F42839"/>
    <w:rsid w:val="00F44CC0"/>
    <w:rsid w:val="00F450BA"/>
    <w:rsid w:val="00F4684B"/>
    <w:rsid w:val="00F46BE9"/>
    <w:rsid w:val="00F47C3B"/>
    <w:rsid w:val="00F506CA"/>
    <w:rsid w:val="00F53A7A"/>
    <w:rsid w:val="00F54FCD"/>
    <w:rsid w:val="00F5785C"/>
    <w:rsid w:val="00F65E3C"/>
    <w:rsid w:val="00F67076"/>
    <w:rsid w:val="00F677FA"/>
    <w:rsid w:val="00F7115A"/>
    <w:rsid w:val="00F717AA"/>
    <w:rsid w:val="00F72714"/>
    <w:rsid w:val="00F744C3"/>
    <w:rsid w:val="00F75EE2"/>
    <w:rsid w:val="00F75F69"/>
    <w:rsid w:val="00F76014"/>
    <w:rsid w:val="00F802D3"/>
    <w:rsid w:val="00F80F94"/>
    <w:rsid w:val="00F81BA2"/>
    <w:rsid w:val="00F823A4"/>
    <w:rsid w:val="00F8412F"/>
    <w:rsid w:val="00F84791"/>
    <w:rsid w:val="00F84E6B"/>
    <w:rsid w:val="00F85995"/>
    <w:rsid w:val="00F85FC5"/>
    <w:rsid w:val="00F86C22"/>
    <w:rsid w:val="00F90CB3"/>
    <w:rsid w:val="00F912A2"/>
    <w:rsid w:val="00F913A3"/>
    <w:rsid w:val="00F925C3"/>
    <w:rsid w:val="00FA0109"/>
    <w:rsid w:val="00FA1CAF"/>
    <w:rsid w:val="00FA458B"/>
    <w:rsid w:val="00FA5EC5"/>
    <w:rsid w:val="00FA7016"/>
    <w:rsid w:val="00FA7174"/>
    <w:rsid w:val="00FA793D"/>
    <w:rsid w:val="00FB020E"/>
    <w:rsid w:val="00FB0F17"/>
    <w:rsid w:val="00FB3D5A"/>
    <w:rsid w:val="00FB4B9D"/>
    <w:rsid w:val="00FB50ED"/>
    <w:rsid w:val="00FB6E18"/>
    <w:rsid w:val="00FC144B"/>
    <w:rsid w:val="00FC2169"/>
    <w:rsid w:val="00FC28E2"/>
    <w:rsid w:val="00FC3BF6"/>
    <w:rsid w:val="00FC3D22"/>
    <w:rsid w:val="00FC6FE1"/>
    <w:rsid w:val="00FD0C3D"/>
    <w:rsid w:val="00FD2F6B"/>
    <w:rsid w:val="00FE064A"/>
    <w:rsid w:val="00FE0B55"/>
    <w:rsid w:val="00FE1E98"/>
    <w:rsid w:val="00FE2452"/>
    <w:rsid w:val="00FE5469"/>
    <w:rsid w:val="00FE66C2"/>
    <w:rsid w:val="00FE684A"/>
    <w:rsid w:val="00FE6F23"/>
    <w:rsid w:val="00FF0F8C"/>
    <w:rsid w:val="00FF408B"/>
    <w:rsid w:val="00FF43E1"/>
    <w:rsid w:val="0103164E"/>
    <w:rsid w:val="03430854"/>
    <w:rsid w:val="039F5FA6"/>
    <w:rsid w:val="06397ADA"/>
    <w:rsid w:val="09305ADA"/>
    <w:rsid w:val="0C223113"/>
    <w:rsid w:val="0E8013B7"/>
    <w:rsid w:val="10D604C6"/>
    <w:rsid w:val="114809B7"/>
    <w:rsid w:val="11A019A4"/>
    <w:rsid w:val="11B515E0"/>
    <w:rsid w:val="129238D1"/>
    <w:rsid w:val="13A53267"/>
    <w:rsid w:val="13F970D2"/>
    <w:rsid w:val="14AA4136"/>
    <w:rsid w:val="163A420B"/>
    <w:rsid w:val="16C86F1B"/>
    <w:rsid w:val="17B60730"/>
    <w:rsid w:val="19413B26"/>
    <w:rsid w:val="19854DA8"/>
    <w:rsid w:val="1C6D3688"/>
    <w:rsid w:val="1CA84977"/>
    <w:rsid w:val="1CC63D0A"/>
    <w:rsid w:val="1DC2081A"/>
    <w:rsid w:val="1DD94266"/>
    <w:rsid w:val="1EC27FFB"/>
    <w:rsid w:val="1F9D0947"/>
    <w:rsid w:val="1FFB29C6"/>
    <w:rsid w:val="22AF3620"/>
    <w:rsid w:val="22E70AD4"/>
    <w:rsid w:val="22F0425E"/>
    <w:rsid w:val="24F1508D"/>
    <w:rsid w:val="2609342D"/>
    <w:rsid w:val="266F634F"/>
    <w:rsid w:val="270672C5"/>
    <w:rsid w:val="27906186"/>
    <w:rsid w:val="291059EA"/>
    <w:rsid w:val="2BBF12EC"/>
    <w:rsid w:val="2BC649D9"/>
    <w:rsid w:val="2DD901E5"/>
    <w:rsid w:val="313A1C72"/>
    <w:rsid w:val="3515160D"/>
    <w:rsid w:val="370945A4"/>
    <w:rsid w:val="38C8083E"/>
    <w:rsid w:val="3C7D00D8"/>
    <w:rsid w:val="3CA06C0C"/>
    <w:rsid w:val="3CA84977"/>
    <w:rsid w:val="3EA25851"/>
    <w:rsid w:val="3F6C3757"/>
    <w:rsid w:val="405D6A10"/>
    <w:rsid w:val="41DA6594"/>
    <w:rsid w:val="41E36176"/>
    <w:rsid w:val="438E6B53"/>
    <w:rsid w:val="444C1A75"/>
    <w:rsid w:val="44A3526F"/>
    <w:rsid w:val="44B032F4"/>
    <w:rsid w:val="457D25F7"/>
    <w:rsid w:val="464B3EFD"/>
    <w:rsid w:val="468341CD"/>
    <w:rsid w:val="472C2589"/>
    <w:rsid w:val="49EF251D"/>
    <w:rsid w:val="4A760AEB"/>
    <w:rsid w:val="4AD36252"/>
    <w:rsid w:val="4EA81960"/>
    <w:rsid w:val="4F3162CA"/>
    <w:rsid w:val="50D95873"/>
    <w:rsid w:val="526102AF"/>
    <w:rsid w:val="528444DA"/>
    <w:rsid w:val="537745D5"/>
    <w:rsid w:val="552306F6"/>
    <w:rsid w:val="55B063CD"/>
    <w:rsid w:val="56E300D6"/>
    <w:rsid w:val="56E352D5"/>
    <w:rsid w:val="57E435FE"/>
    <w:rsid w:val="582D0655"/>
    <w:rsid w:val="5951205C"/>
    <w:rsid w:val="59D079E8"/>
    <w:rsid w:val="59D40847"/>
    <w:rsid w:val="5AE37F25"/>
    <w:rsid w:val="5BE02FAB"/>
    <w:rsid w:val="5CB23D47"/>
    <w:rsid w:val="5D1F2257"/>
    <w:rsid w:val="5FAF09C4"/>
    <w:rsid w:val="608C4642"/>
    <w:rsid w:val="62795572"/>
    <w:rsid w:val="64DD6417"/>
    <w:rsid w:val="66004745"/>
    <w:rsid w:val="67C77F87"/>
    <w:rsid w:val="6A567F20"/>
    <w:rsid w:val="6C9754CF"/>
    <w:rsid w:val="6CD97953"/>
    <w:rsid w:val="6ED30FD7"/>
    <w:rsid w:val="727078A1"/>
    <w:rsid w:val="727D78FD"/>
    <w:rsid w:val="73CC655F"/>
    <w:rsid w:val="73E839DA"/>
    <w:rsid w:val="75957445"/>
    <w:rsid w:val="75D01AE1"/>
    <w:rsid w:val="77524363"/>
    <w:rsid w:val="778E4093"/>
    <w:rsid w:val="77B917B5"/>
    <w:rsid w:val="78703975"/>
    <w:rsid w:val="7BE420FD"/>
    <w:rsid w:val="7D0D296B"/>
    <w:rsid w:val="7D4E0B54"/>
    <w:rsid w:val="7D503E78"/>
    <w:rsid w:val="7E0160D4"/>
    <w:rsid w:val="7E063A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54279"/>
  <w15:docId w15:val="{87DC82DF-EC8F-402D-B24F-ACE5F544F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99" w:unhideWhenUsed="1" w:qFormat="1"/>
    <w:lsdException w:name="footnote text" w:semiHidden="1" w:unhideWhenUsed="1"/>
    <w:lsdException w:name="annotation text" w:uiPriority="99" w:qFormat="1"/>
    <w:lsdException w:name="header" w:uiPriority="99"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uiPriority="99" w:unhideWhenUsed="1" w:qFormat="1"/>
    <w:lsdException w:name="Strong" w:qFormat="1"/>
    <w:lsdException w:name="Emphasis"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pPr>
      <w:widowControl w:val="0"/>
      <w:spacing w:line="360" w:lineRule="auto"/>
      <w:ind w:firstLineChars="200" w:firstLine="480"/>
      <w:jc w:val="both"/>
    </w:pPr>
    <w:rPr>
      <w:rFonts w:ascii="宋体" w:hAnsi="宋体"/>
      <w:kern w:val="2"/>
      <w:sz w:val="24"/>
      <w:szCs w:val="24"/>
    </w:rPr>
  </w:style>
  <w:style w:type="paragraph" w:styleId="1">
    <w:name w:val="heading 1"/>
    <w:basedOn w:val="a0"/>
    <w:next w:val="a0"/>
    <w:link w:val="11"/>
    <w:autoRedefine/>
    <w:qFormat/>
    <w:pPr>
      <w:keepNext/>
      <w:keepLines/>
      <w:numPr>
        <w:numId w:val="1"/>
      </w:numPr>
      <w:spacing w:before="120" w:after="120"/>
      <w:ind w:firstLineChars="0" w:firstLine="0"/>
      <w:outlineLvl w:val="0"/>
    </w:pPr>
    <w:rPr>
      <w:rFonts w:eastAsia="黑体"/>
      <w:b/>
      <w:bCs/>
      <w:kern w:val="44"/>
      <w:sz w:val="32"/>
      <w:szCs w:val="28"/>
    </w:rPr>
  </w:style>
  <w:style w:type="paragraph" w:styleId="2">
    <w:name w:val="heading 2"/>
    <w:basedOn w:val="a0"/>
    <w:next w:val="a0"/>
    <w:link w:val="21"/>
    <w:autoRedefine/>
    <w:uiPriority w:val="9"/>
    <w:qFormat/>
    <w:pPr>
      <w:keepNext/>
      <w:keepLines/>
      <w:numPr>
        <w:ilvl w:val="1"/>
        <w:numId w:val="1"/>
      </w:numPr>
      <w:spacing w:before="120" w:after="120"/>
      <w:ind w:firstLineChars="0" w:firstLine="0"/>
      <w:outlineLvl w:val="1"/>
    </w:pPr>
    <w:rPr>
      <w:b/>
      <w:bCs/>
      <w:sz w:val="30"/>
      <w:szCs w:val="32"/>
    </w:rPr>
  </w:style>
  <w:style w:type="paragraph" w:styleId="3">
    <w:name w:val="heading 3"/>
    <w:basedOn w:val="a0"/>
    <w:next w:val="a0"/>
    <w:link w:val="32"/>
    <w:autoRedefine/>
    <w:qFormat/>
    <w:pPr>
      <w:keepNext/>
      <w:keepLines/>
      <w:numPr>
        <w:ilvl w:val="2"/>
        <w:numId w:val="1"/>
      </w:numPr>
      <w:spacing w:before="120" w:after="120"/>
      <w:ind w:firstLineChars="0" w:firstLine="0"/>
      <w:outlineLvl w:val="2"/>
    </w:pPr>
    <w:rPr>
      <w:b/>
      <w:bCs/>
      <w:sz w:val="28"/>
      <w:szCs w:val="28"/>
    </w:rPr>
  </w:style>
  <w:style w:type="paragraph" w:styleId="4">
    <w:name w:val="heading 4"/>
    <w:basedOn w:val="a0"/>
    <w:next w:val="a0"/>
    <w:link w:val="41"/>
    <w:autoRedefine/>
    <w:qFormat/>
    <w:pPr>
      <w:keepNext/>
      <w:keepLines/>
      <w:numPr>
        <w:ilvl w:val="3"/>
        <w:numId w:val="1"/>
      </w:numPr>
      <w:spacing w:before="120" w:after="120"/>
      <w:ind w:firstLineChars="0" w:firstLine="0"/>
      <w:outlineLvl w:val="3"/>
    </w:pPr>
    <w:rPr>
      <w:b/>
      <w:bCs/>
      <w:sz w:val="30"/>
      <w:szCs w:val="30"/>
    </w:rPr>
  </w:style>
  <w:style w:type="paragraph" w:styleId="5">
    <w:name w:val="heading 5"/>
    <w:basedOn w:val="a0"/>
    <w:next w:val="a0"/>
    <w:link w:val="51"/>
    <w:autoRedefine/>
    <w:qFormat/>
    <w:pPr>
      <w:keepNext/>
      <w:keepLines/>
      <w:numPr>
        <w:ilvl w:val="4"/>
        <w:numId w:val="1"/>
      </w:numPr>
      <w:spacing w:before="120" w:after="120"/>
      <w:ind w:firstLineChars="0" w:firstLine="0"/>
      <w:outlineLvl w:val="4"/>
    </w:pPr>
    <w:rPr>
      <w:b/>
      <w:bCs/>
      <w:szCs w:val="28"/>
    </w:rPr>
  </w:style>
  <w:style w:type="paragraph" w:styleId="6">
    <w:name w:val="heading 6"/>
    <w:basedOn w:val="a0"/>
    <w:next w:val="a0"/>
    <w:link w:val="61"/>
    <w:autoRedefine/>
    <w:qFormat/>
    <w:pPr>
      <w:keepNext/>
      <w:keepLines/>
      <w:numPr>
        <w:ilvl w:val="5"/>
        <w:numId w:val="1"/>
      </w:numPr>
      <w:spacing w:before="120" w:after="120"/>
      <w:ind w:firstLineChars="0" w:firstLine="0"/>
      <w:outlineLvl w:val="5"/>
    </w:pPr>
    <w:rPr>
      <w:rFonts w:ascii="Cambria" w:hAnsi="Cambria"/>
      <w:b/>
      <w:bCs/>
    </w:rPr>
  </w:style>
  <w:style w:type="paragraph" w:styleId="7">
    <w:name w:val="heading 7"/>
    <w:basedOn w:val="a0"/>
    <w:next w:val="a0"/>
    <w:link w:val="70"/>
    <w:autoRedefine/>
    <w:uiPriority w:val="9"/>
    <w:qFormat/>
    <w:pPr>
      <w:keepNext/>
      <w:keepLines/>
      <w:spacing w:before="240" w:after="64" w:line="319" w:lineRule="auto"/>
      <w:ind w:firstLineChars="0" w:firstLine="0"/>
      <w:outlineLvl w:val="6"/>
    </w:pPr>
    <w:rPr>
      <w:rFonts w:ascii="Times New Roman" w:hAnsi="Times New Roman"/>
      <w:b/>
      <w:bCs/>
      <w:sz w:val="21"/>
    </w:rPr>
  </w:style>
  <w:style w:type="paragraph" w:styleId="8">
    <w:name w:val="heading 8"/>
    <w:basedOn w:val="a0"/>
    <w:next w:val="a0"/>
    <w:link w:val="80"/>
    <w:autoRedefine/>
    <w:uiPriority w:val="9"/>
    <w:qFormat/>
    <w:pPr>
      <w:keepNext/>
      <w:keepLines/>
      <w:spacing w:before="240" w:after="64" w:line="319" w:lineRule="auto"/>
      <w:ind w:firstLineChars="0" w:firstLine="0"/>
      <w:outlineLvl w:val="7"/>
    </w:pPr>
    <w:rPr>
      <w:rFonts w:ascii="Cambria" w:hAnsi="Cambria"/>
      <w:sz w:val="21"/>
    </w:rPr>
  </w:style>
  <w:style w:type="paragraph" w:styleId="9">
    <w:name w:val="heading 9"/>
    <w:basedOn w:val="a0"/>
    <w:next w:val="a0"/>
    <w:link w:val="90"/>
    <w:autoRedefine/>
    <w:uiPriority w:val="9"/>
    <w:qFormat/>
    <w:pPr>
      <w:keepNext/>
      <w:keepLines/>
      <w:spacing w:before="240" w:after="64" w:line="319" w:lineRule="auto"/>
      <w:ind w:firstLineChars="0" w:firstLine="0"/>
      <w:outlineLvl w:val="8"/>
    </w:pPr>
    <w:rPr>
      <w:rFonts w:ascii="Cambria" w:hAnsi="Cambria"/>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71">
    <w:name w:val="toc 7"/>
    <w:basedOn w:val="a0"/>
    <w:next w:val="a0"/>
    <w:autoRedefine/>
    <w:uiPriority w:val="39"/>
    <w:unhideWhenUsed/>
    <w:qFormat/>
    <w:pPr>
      <w:ind w:leftChars="1200" w:left="2520"/>
    </w:pPr>
    <w:rPr>
      <w:rFonts w:ascii="等线" w:eastAsia="等线" w:hAnsi="等线"/>
      <w:szCs w:val="22"/>
    </w:rPr>
  </w:style>
  <w:style w:type="paragraph" w:styleId="a4">
    <w:name w:val="Normal Indent"/>
    <w:basedOn w:val="a0"/>
    <w:autoRedefine/>
    <w:uiPriority w:val="99"/>
    <w:unhideWhenUsed/>
    <w:qFormat/>
    <w:pPr>
      <w:spacing w:line="240" w:lineRule="auto"/>
      <w:ind w:firstLine="420"/>
    </w:pPr>
    <w:rPr>
      <w:rFonts w:ascii="Calibri" w:hAnsi="Calibri"/>
      <w:sz w:val="21"/>
    </w:rPr>
  </w:style>
  <w:style w:type="paragraph" w:styleId="a5">
    <w:name w:val="caption"/>
    <w:basedOn w:val="a0"/>
    <w:next w:val="a0"/>
    <w:link w:val="a6"/>
    <w:autoRedefine/>
    <w:qFormat/>
    <w:pPr>
      <w:spacing w:afterLines="50"/>
      <w:ind w:firstLine="200"/>
    </w:pPr>
    <w:rPr>
      <w:rFonts w:ascii="Arial" w:eastAsia="黑体" w:hAnsi="Arial"/>
      <w:sz w:val="20"/>
      <w:szCs w:val="20"/>
    </w:rPr>
  </w:style>
  <w:style w:type="paragraph" w:styleId="a7">
    <w:name w:val="Document Map"/>
    <w:basedOn w:val="a0"/>
    <w:link w:val="10"/>
    <w:autoRedefine/>
    <w:qFormat/>
    <w:rPr>
      <w:rFonts w:hAnsi="Times New Roman"/>
      <w:sz w:val="18"/>
      <w:szCs w:val="18"/>
    </w:rPr>
  </w:style>
  <w:style w:type="paragraph" w:styleId="a8">
    <w:name w:val="annotation text"/>
    <w:basedOn w:val="a0"/>
    <w:link w:val="12"/>
    <w:autoRedefine/>
    <w:uiPriority w:val="99"/>
    <w:qFormat/>
    <w:pPr>
      <w:jc w:val="left"/>
    </w:pPr>
    <w:rPr>
      <w:rFonts w:ascii="Times New Roman" w:eastAsia="仿宋" w:hAnsi="Times New Roman"/>
      <w:sz w:val="28"/>
    </w:rPr>
  </w:style>
  <w:style w:type="paragraph" w:styleId="a9">
    <w:name w:val="Body Text"/>
    <w:basedOn w:val="a0"/>
    <w:link w:val="aa"/>
    <w:autoRedefine/>
    <w:unhideWhenUsed/>
    <w:qFormat/>
    <w:pPr>
      <w:spacing w:after="120" w:line="240" w:lineRule="auto"/>
      <w:ind w:firstLineChars="0" w:firstLine="0"/>
    </w:pPr>
    <w:rPr>
      <w:rFonts w:ascii="Times New Roman" w:hAnsi="Times New Roman"/>
      <w:sz w:val="21"/>
    </w:rPr>
  </w:style>
  <w:style w:type="paragraph" w:styleId="ab">
    <w:name w:val="Body Text Indent"/>
    <w:basedOn w:val="a0"/>
    <w:link w:val="13"/>
    <w:autoRedefine/>
    <w:qFormat/>
    <w:pPr>
      <w:spacing w:after="120"/>
      <w:ind w:firstLine="200"/>
    </w:pPr>
    <w:rPr>
      <w:rFonts w:ascii="Times New Roman" w:hAnsi="Times New Roman"/>
      <w:sz w:val="21"/>
      <w:szCs w:val="20"/>
    </w:rPr>
  </w:style>
  <w:style w:type="paragraph" w:styleId="50">
    <w:name w:val="toc 5"/>
    <w:basedOn w:val="a0"/>
    <w:next w:val="a0"/>
    <w:autoRedefine/>
    <w:uiPriority w:val="39"/>
    <w:unhideWhenUsed/>
    <w:qFormat/>
    <w:pPr>
      <w:ind w:leftChars="800" w:left="1680"/>
    </w:pPr>
    <w:rPr>
      <w:rFonts w:ascii="等线" w:eastAsia="等线" w:hAnsi="等线"/>
      <w:szCs w:val="22"/>
    </w:rPr>
  </w:style>
  <w:style w:type="paragraph" w:styleId="30">
    <w:name w:val="toc 3"/>
    <w:basedOn w:val="a0"/>
    <w:next w:val="a0"/>
    <w:autoRedefine/>
    <w:uiPriority w:val="39"/>
    <w:qFormat/>
    <w:pPr>
      <w:tabs>
        <w:tab w:val="right" w:leader="dot" w:pos="8302"/>
      </w:tabs>
      <w:ind w:leftChars="400" w:left="840"/>
    </w:pPr>
  </w:style>
  <w:style w:type="paragraph" w:styleId="ac">
    <w:name w:val="Plain Text"/>
    <w:basedOn w:val="a0"/>
    <w:link w:val="14"/>
    <w:autoRedefine/>
    <w:qFormat/>
    <w:pPr>
      <w:spacing w:line="240" w:lineRule="auto"/>
      <w:ind w:firstLineChars="0" w:firstLine="0"/>
    </w:pPr>
    <w:rPr>
      <w:rFonts w:hAnsi="Courier New"/>
      <w:sz w:val="21"/>
      <w:szCs w:val="20"/>
    </w:rPr>
  </w:style>
  <w:style w:type="paragraph" w:styleId="81">
    <w:name w:val="toc 8"/>
    <w:basedOn w:val="a0"/>
    <w:next w:val="a0"/>
    <w:autoRedefine/>
    <w:uiPriority w:val="39"/>
    <w:unhideWhenUsed/>
    <w:qFormat/>
    <w:pPr>
      <w:ind w:leftChars="1400" w:left="2940"/>
    </w:pPr>
    <w:rPr>
      <w:rFonts w:ascii="等线" w:eastAsia="等线" w:hAnsi="等线"/>
      <w:szCs w:val="22"/>
    </w:rPr>
  </w:style>
  <w:style w:type="paragraph" w:styleId="ad">
    <w:name w:val="Date"/>
    <w:basedOn w:val="a0"/>
    <w:next w:val="a0"/>
    <w:link w:val="15"/>
    <w:autoRedefine/>
    <w:qFormat/>
    <w:pPr>
      <w:ind w:leftChars="2500" w:left="100"/>
    </w:pPr>
    <w:rPr>
      <w:rFonts w:ascii="Times New Roman" w:hAnsi="Times New Roman"/>
      <w:sz w:val="21"/>
    </w:rPr>
  </w:style>
  <w:style w:type="paragraph" w:styleId="ae">
    <w:name w:val="Balloon Text"/>
    <w:basedOn w:val="a0"/>
    <w:link w:val="16"/>
    <w:autoRedefine/>
    <w:qFormat/>
    <w:rPr>
      <w:rFonts w:ascii="Times New Roman" w:hAnsi="Times New Roman"/>
      <w:sz w:val="18"/>
      <w:szCs w:val="18"/>
    </w:rPr>
  </w:style>
  <w:style w:type="paragraph" w:styleId="af">
    <w:name w:val="footer"/>
    <w:basedOn w:val="a0"/>
    <w:link w:val="17"/>
    <w:autoRedefine/>
    <w:uiPriority w:val="99"/>
    <w:qFormat/>
    <w:pPr>
      <w:tabs>
        <w:tab w:val="center" w:pos="4153"/>
        <w:tab w:val="right" w:pos="8306"/>
      </w:tabs>
      <w:snapToGrid w:val="0"/>
      <w:jc w:val="center"/>
    </w:pPr>
    <w:rPr>
      <w:rFonts w:ascii="Times New Roman" w:hAnsi="Times New Roman"/>
      <w:sz w:val="18"/>
      <w:szCs w:val="18"/>
    </w:rPr>
  </w:style>
  <w:style w:type="paragraph" w:styleId="af0">
    <w:name w:val="header"/>
    <w:basedOn w:val="a0"/>
    <w:link w:val="18"/>
    <w:autoRedefine/>
    <w:uiPriority w:val="99"/>
    <w:qFormat/>
    <w:pPr>
      <w:pBdr>
        <w:bottom w:val="single" w:sz="4" w:space="0" w:color="auto"/>
      </w:pBdr>
      <w:tabs>
        <w:tab w:val="center" w:pos="4153"/>
        <w:tab w:val="right" w:pos="8306"/>
      </w:tabs>
      <w:snapToGrid w:val="0"/>
      <w:jc w:val="center"/>
    </w:pPr>
    <w:rPr>
      <w:rFonts w:ascii="Times New Roman" w:hAnsi="Times New Roman"/>
      <w:sz w:val="18"/>
      <w:szCs w:val="18"/>
    </w:rPr>
  </w:style>
  <w:style w:type="paragraph" w:styleId="19">
    <w:name w:val="toc 1"/>
    <w:basedOn w:val="a0"/>
    <w:next w:val="a0"/>
    <w:autoRedefine/>
    <w:uiPriority w:val="39"/>
    <w:qFormat/>
  </w:style>
  <w:style w:type="paragraph" w:styleId="40">
    <w:name w:val="toc 4"/>
    <w:basedOn w:val="a0"/>
    <w:next w:val="a0"/>
    <w:autoRedefine/>
    <w:uiPriority w:val="39"/>
    <w:unhideWhenUsed/>
    <w:qFormat/>
    <w:pPr>
      <w:ind w:leftChars="600" w:left="1260"/>
    </w:pPr>
    <w:rPr>
      <w:rFonts w:ascii="等线" w:eastAsia="等线" w:hAnsi="等线"/>
      <w:szCs w:val="22"/>
    </w:rPr>
  </w:style>
  <w:style w:type="paragraph" w:styleId="af1">
    <w:name w:val="Subtitle"/>
    <w:basedOn w:val="a0"/>
    <w:next w:val="a0"/>
    <w:link w:val="1a"/>
    <w:autoRedefine/>
    <w:qFormat/>
    <w:pPr>
      <w:spacing w:before="240" w:after="60" w:line="312" w:lineRule="auto"/>
      <w:jc w:val="center"/>
      <w:outlineLvl w:val="1"/>
    </w:pPr>
    <w:rPr>
      <w:rFonts w:ascii="Calibri Light" w:hAnsi="Calibri Light"/>
      <w:b/>
      <w:bCs/>
      <w:kern w:val="28"/>
      <w:sz w:val="32"/>
      <w:szCs w:val="32"/>
    </w:rPr>
  </w:style>
  <w:style w:type="paragraph" w:styleId="60">
    <w:name w:val="toc 6"/>
    <w:basedOn w:val="a0"/>
    <w:next w:val="a0"/>
    <w:autoRedefine/>
    <w:uiPriority w:val="39"/>
    <w:unhideWhenUsed/>
    <w:qFormat/>
    <w:pPr>
      <w:ind w:leftChars="1000" w:left="2100"/>
    </w:pPr>
    <w:rPr>
      <w:rFonts w:ascii="等线" w:eastAsia="等线" w:hAnsi="等线"/>
      <w:szCs w:val="22"/>
    </w:rPr>
  </w:style>
  <w:style w:type="paragraph" w:styleId="20">
    <w:name w:val="toc 2"/>
    <w:basedOn w:val="a0"/>
    <w:next w:val="a0"/>
    <w:autoRedefine/>
    <w:uiPriority w:val="39"/>
    <w:qFormat/>
    <w:pPr>
      <w:tabs>
        <w:tab w:val="right" w:leader="dot" w:pos="8302"/>
      </w:tabs>
      <w:ind w:leftChars="200" w:left="420"/>
    </w:pPr>
  </w:style>
  <w:style w:type="paragraph" w:styleId="91">
    <w:name w:val="toc 9"/>
    <w:basedOn w:val="a0"/>
    <w:next w:val="a0"/>
    <w:autoRedefine/>
    <w:uiPriority w:val="39"/>
    <w:unhideWhenUsed/>
    <w:qFormat/>
    <w:pPr>
      <w:ind w:leftChars="1600" w:left="3360"/>
    </w:pPr>
    <w:rPr>
      <w:rFonts w:ascii="等线" w:eastAsia="等线" w:hAnsi="等线"/>
      <w:szCs w:val="22"/>
    </w:rPr>
  </w:style>
  <w:style w:type="paragraph" w:styleId="af2">
    <w:name w:val="Normal (Web)"/>
    <w:basedOn w:val="a0"/>
    <w:autoRedefine/>
    <w:uiPriority w:val="99"/>
    <w:qFormat/>
    <w:pPr>
      <w:widowControl/>
      <w:spacing w:before="100" w:after="100"/>
      <w:jc w:val="left"/>
    </w:pPr>
    <w:rPr>
      <w:rFonts w:ascii="Arial Unicode MS" w:eastAsia="Arial Unicode MS" w:hAnsi="Arial Unicode MS" w:hint="eastAsia"/>
      <w:kern w:val="0"/>
    </w:rPr>
  </w:style>
  <w:style w:type="paragraph" w:styleId="af3">
    <w:name w:val="Title"/>
    <w:basedOn w:val="a0"/>
    <w:next w:val="a0"/>
    <w:link w:val="1b"/>
    <w:autoRedefine/>
    <w:qFormat/>
    <w:pPr>
      <w:spacing w:before="240" w:after="60" w:line="960" w:lineRule="auto"/>
      <w:jc w:val="center"/>
    </w:pPr>
    <w:rPr>
      <w:rFonts w:ascii="Cambria" w:eastAsia="黑体" w:hAnsi="Cambria"/>
      <w:b/>
      <w:bCs/>
      <w:sz w:val="52"/>
      <w:szCs w:val="32"/>
    </w:rPr>
  </w:style>
  <w:style w:type="paragraph" w:styleId="af4">
    <w:name w:val="annotation subject"/>
    <w:basedOn w:val="a8"/>
    <w:next w:val="a8"/>
    <w:link w:val="1c"/>
    <w:autoRedefine/>
    <w:qFormat/>
    <w:rPr>
      <w:b/>
      <w:bCs/>
      <w:sz w:val="21"/>
    </w:rPr>
  </w:style>
  <w:style w:type="table" w:styleId="af5">
    <w:name w:val="Table Grid"/>
    <w:basedOn w:val="a2"/>
    <w:autoRedefine/>
    <w:uiPriority w:val="59"/>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page number"/>
    <w:basedOn w:val="a1"/>
    <w:autoRedefine/>
    <w:qFormat/>
  </w:style>
  <w:style w:type="character" w:styleId="af7">
    <w:name w:val="FollowedHyperlink"/>
    <w:autoRedefine/>
    <w:uiPriority w:val="99"/>
    <w:unhideWhenUsed/>
    <w:qFormat/>
    <w:rPr>
      <w:color w:val="954F72"/>
      <w:u w:val="single"/>
    </w:rPr>
  </w:style>
  <w:style w:type="character" w:styleId="af8">
    <w:name w:val="Hyperlink"/>
    <w:autoRedefine/>
    <w:uiPriority w:val="99"/>
    <w:qFormat/>
    <w:rPr>
      <w:color w:val="0000FF"/>
      <w:u w:val="single"/>
    </w:rPr>
  </w:style>
  <w:style w:type="character" w:styleId="af9">
    <w:name w:val="annotation reference"/>
    <w:autoRedefine/>
    <w:uiPriority w:val="99"/>
    <w:qFormat/>
    <w:rPr>
      <w:sz w:val="21"/>
      <w:szCs w:val="21"/>
    </w:rPr>
  </w:style>
  <w:style w:type="character" w:customStyle="1" w:styleId="31">
    <w:name w:val="标题 3 字符1"/>
    <w:autoRedefine/>
    <w:qFormat/>
    <w:rPr>
      <w:rFonts w:ascii="宋体" w:hAnsi="宋体"/>
      <w:b/>
      <w:bCs/>
      <w:kern w:val="2"/>
      <w:sz w:val="28"/>
      <w:szCs w:val="28"/>
    </w:rPr>
  </w:style>
  <w:style w:type="character" w:customStyle="1" w:styleId="Char">
    <w:name w:val="首行缩进正文 Char"/>
    <w:link w:val="afa"/>
    <w:autoRedefine/>
    <w:qFormat/>
    <w:rPr>
      <w:kern w:val="2"/>
      <w:sz w:val="24"/>
    </w:rPr>
  </w:style>
  <w:style w:type="paragraph" w:customStyle="1" w:styleId="afa">
    <w:name w:val="首行缩进正文"/>
    <w:basedOn w:val="a0"/>
    <w:link w:val="Char"/>
    <w:autoRedefine/>
    <w:qFormat/>
    <w:pPr>
      <w:widowControl/>
      <w:adjustRightInd w:val="0"/>
      <w:snapToGrid w:val="0"/>
      <w:spacing w:afterLines="50" w:line="276" w:lineRule="auto"/>
      <w:ind w:firstLineChars="0" w:firstLine="420"/>
      <w:jc w:val="left"/>
    </w:pPr>
    <w:rPr>
      <w:rFonts w:ascii="Times New Roman" w:hAnsi="Times New Roman"/>
      <w:szCs w:val="20"/>
    </w:rPr>
  </w:style>
  <w:style w:type="character" w:customStyle="1" w:styleId="12">
    <w:name w:val="批注文字 字符1"/>
    <w:link w:val="a8"/>
    <w:autoRedefine/>
    <w:uiPriority w:val="99"/>
    <w:qFormat/>
    <w:rPr>
      <w:rFonts w:eastAsia="仿宋"/>
      <w:kern w:val="2"/>
      <w:sz w:val="28"/>
      <w:szCs w:val="24"/>
    </w:rPr>
  </w:style>
  <w:style w:type="character" w:customStyle="1" w:styleId="afb">
    <w:name w:val="日期 字符"/>
    <w:autoRedefine/>
    <w:uiPriority w:val="99"/>
    <w:semiHidden/>
    <w:qFormat/>
    <w:rPr>
      <w:rFonts w:ascii="宋体" w:hAnsi="宋体"/>
      <w:kern w:val="2"/>
      <w:sz w:val="24"/>
      <w:szCs w:val="24"/>
    </w:rPr>
  </w:style>
  <w:style w:type="character" w:customStyle="1" w:styleId="15">
    <w:name w:val="日期 字符1"/>
    <w:link w:val="ad"/>
    <w:autoRedefine/>
    <w:qFormat/>
    <w:rPr>
      <w:kern w:val="2"/>
      <w:sz w:val="21"/>
      <w:szCs w:val="24"/>
    </w:rPr>
  </w:style>
  <w:style w:type="character" w:customStyle="1" w:styleId="90">
    <w:name w:val="标题 9 字符"/>
    <w:link w:val="9"/>
    <w:autoRedefine/>
    <w:uiPriority w:val="9"/>
    <w:qFormat/>
    <w:rPr>
      <w:rFonts w:ascii="Cambria" w:hAnsi="Cambria"/>
      <w:kern w:val="2"/>
      <w:sz w:val="21"/>
      <w:szCs w:val="21"/>
    </w:rPr>
  </w:style>
  <w:style w:type="character" w:customStyle="1" w:styleId="1d">
    <w:name w:val="未处理的提及1"/>
    <w:autoRedefine/>
    <w:uiPriority w:val="99"/>
    <w:unhideWhenUsed/>
    <w:qFormat/>
    <w:rPr>
      <w:color w:val="605E5C"/>
      <w:shd w:val="clear" w:color="auto" w:fill="E1DFDD"/>
    </w:rPr>
  </w:style>
  <w:style w:type="character" w:customStyle="1" w:styleId="1e">
    <w:name w:val="标题 1 字符"/>
    <w:autoRedefine/>
    <w:uiPriority w:val="9"/>
    <w:qFormat/>
    <w:rPr>
      <w:rFonts w:ascii="宋体" w:hAnsi="宋体"/>
      <w:b/>
      <w:bCs/>
      <w:kern w:val="44"/>
      <w:sz w:val="44"/>
      <w:szCs w:val="44"/>
    </w:rPr>
  </w:style>
  <w:style w:type="character" w:customStyle="1" w:styleId="33">
    <w:name w:val="标题 3 字符"/>
    <w:autoRedefine/>
    <w:uiPriority w:val="9"/>
    <w:semiHidden/>
    <w:qFormat/>
    <w:rPr>
      <w:rFonts w:ascii="宋体" w:hAnsi="宋体"/>
      <w:b/>
      <w:bCs/>
      <w:kern w:val="2"/>
      <w:sz w:val="32"/>
      <w:szCs w:val="32"/>
    </w:rPr>
  </w:style>
  <w:style w:type="character" w:customStyle="1" w:styleId="afc">
    <w:name w:val="页脚 字符"/>
    <w:autoRedefine/>
    <w:uiPriority w:val="99"/>
    <w:qFormat/>
  </w:style>
  <w:style w:type="character" w:customStyle="1" w:styleId="52">
    <w:name w:val="标题 5 字符"/>
    <w:autoRedefine/>
    <w:uiPriority w:val="9"/>
    <w:semiHidden/>
    <w:qFormat/>
    <w:rPr>
      <w:rFonts w:ascii="宋体" w:hAnsi="宋体"/>
      <w:b/>
      <w:bCs/>
      <w:kern w:val="2"/>
      <w:sz w:val="28"/>
      <w:szCs w:val="28"/>
    </w:rPr>
  </w:style>
  <w:style w:type="character" w:customStyle="1" w:styleId="a6">
    <w:name w:val="题注 字符"/>
    <w:link w:val="a5"/>
    <w:autoRedefine/>
    <w:qFormat/>
    <w:locked/>
    <w:rPr>
      <w:rFonts w:ascii="Arial" w:eastAsia="黑体" w:hAnsi="Arial"/>
      <w:kern w:val="2"/>
    </w:rPr>
  </w:style>
  <w:style w:type="character" w:customStyle="1" w:styleId="22">
    <w:name w:val="标题 2 字符"/>
    <w:autoRedefine/>
    <w:uiPriority w:val="9"/>
    <w:semiHidden/>
    <w:qFormat/>
    <w:rPr>
      <w:rFonts w:ascii="等线 Light" w:eastAsia="等线 Light" w:hAnsi="等线 Light" w:cs="Times New Roman"/>
      <w:b/>
      <w:bCs/>
      <w:kern w:val="2"/>
      <w:sz w:val="32"/>
      <w:szCs w:val="32"/>
    </w:rPr>
  </w:style>
  <w:style w:type="character" w:customStyle="1" w:styleId="afd">
    <w:name w:val="纯文本 字符"/>
    <w:autoRedefine/>
    <w:qFormat/>
    <w:rPr>
      <w:rFonts w:ascii="宋体" w:hAnsi="Courier New" w:cs="Courier New"/>
      <w:kern w:val="2"/>
      <w:sz w:val="21"/>
      <w:szCs w:val="21"/>
    </w:rPr>
  </w:style>
  <w:style w:type="character" w:customStyle="1" w:styleId="afe">
    <w:name w:val="列表段落 字符"/>
    <w:autoRedefine/>
    <w:uiPriority w:val="34"/>
    <w:qFormat/>
    <w:rPr>
      <w:kern w:val="2"/>
      <w:sz w:val="21"/>
      <w:szCs w:val="22"/>
    </w:rPr>
  </w:style>
  <w:style w:type="character" w:customStyle="1" w:styleId="41">
    <w:name w:val="标题 4 字符1"/>
    <w:link w:val="4"/>
    <w:autoRedefine/>
    <w:qFormat/>
    <w:rPr>
      <w:rFonts w:ascii="宋体" w:hAnsi="宋体"/>
      <w:b/>
      <w:bCs/>
      <w:kern w:val="2"/>
      <w:sz w:val="30"/>
      <w:szCs w:val="30"/>
    </w:rPr>
  </w:style>
  <w:style w:type="character" w:customStyle="1" w:styleId="aa">
    <w:name w:val="正文文本 字符"/>
    <w:link w:val="a9"/>
    <w:autoRedefine/>
    <w:qFormat/>
    <w:rPr>
      <w:kern w:val="2"/>
      <w:sz w:val="21"/>
      <w:szCs w:val="24"/>
    </w:rPr>
  </w:style>
  <w:style w:type="character" w:customStyle="1" w:styleId="aff">
    <w:name w:val="列出段落 字符"/>
    <w:link w:val="aff0"/>
    <w:autoRedefine/>
    <w:uiPriority w:val="34"/>
    <w:qFormat/>
    <w:rPr>
      <w:kern w:val="2"/>
      <w:sz w:val="21"/>
      <w:szCs w:val="24"/>
    </w:rPr>
  </w:style>
  <w:style w:type="paragraph" w:styleId="aff0">
    <w:name w:val="List Paragraph"/>
    <w:basedOn w:val="a0"/>
    <w:link w:val="aff"/>
    <w:autoRedefine/>
    <w:uiPriority w:val="34"/>
    <w:qFormat/>
    <w:pPr>
      <w:ind w:firstLine="420"/>
    </w:pPr>
    <w:rPr>
      <w:rFonts w:ascii="Times New Roman" w:hAnsi="Times New Roman"/>
      <w:sz w:val="21"/>
    </w:rPr>
  </w:style>
  <w:style w:type="character" w:customStyle="1" w:styleId="font21">
    <w:name w:val="font21"/>
    <w:autoRedefine/>
    <w:qFormat/>
    <w:rPr>
      <w:rFonts w:ascii="Calibri" w:hAnsi="Calibri" w:cs="Calibri"/>
      <w:color w:val="000000"/>
      <w:sz w:val="21"/>
      <w:szCs w:val="21"/>
      <w:u w:val="none"/>
    </w:rPr>
  </w:style>
  <w:style w:type="character" w:customStyle="1" w:styleId="Char0">
    <w:name w:val="*正文 Char"/>
    <w:link w:val="aff1"/>
    <w:autoRedefine/>
    <w:qFormat/>
    <w:rPr>
      <w:rFonts w:ascii="time" w:hAnsi="time"/>
      <w:sz w:val="24"/>
      <w:szCs w:val="24"/>
      <w:lang w:bidi="en-US"/>
    </w:rPr>
  </w:style>
  <w:style w:type="paragraph" w:customStyle="1" w:styleId="aff1">
    <w:name w:val="*正文"/>
    <w:basedOn w:val="a0"/>
    <w:link w:val="Char0"/>
    <w:autoRedefine/>
    <w:qFormat/>
    <w:pPr>
      <w:widowControl/>
      <w:ind w:firstLine="200"/>
      <w:contextualSpacing/>
    </w:pPr>
    <w:rPr>
      <w:rFonts w:ascii="time" w:hAnsi="time"/>
      <w:kern w:val="0"/>
      <w:lang w:bidi="en-US"/>
    </w:rPr>
  </w:style>
  <w:style w:type="character" w:customStyle="1" w:styleId="aff2">
    <w:name w:val="正文文本缩进 字符"/>
    <w:autoRedefine/>
    <w:uiPriority w:val="99"/>
    <w:semiHidden/>
    <w:qFormat/>
    <w:rPr>
      <w:rFonts w:ascii="宋体" w:hAnsi="宋体"/>
      <w:kern w:val="2"/>
      <w:sz w:val="24"/>
      <w:szCs w:val="24"/>
    </w:rPr>
  </w:style>
  <w:style w:type="character" w:customStyle="1" w:styleId="14">
    <w:name w:val="纯文本 字符1"/>
    <w:link w:val="ac"/>
    <w:autoRedefine/>
    <w:qFormat/>
    <w:locked/>
    <w:rPr>
      <w:rFonts w:ascii="宋体" w:hAnsi="Courier New"/>
      <w:kern w:val="2"/>
      <w:sz w:val="21"/>
    </w:rPr>
  </w:style>
  <w:style w:type="character" w:customStyle="1" w:styleId="myChar">
    <w:name w:val="my正文 Char"/>
    <w:link w:val="my"/>
    <w:autoRedefine/>
    <w:qFormat/>
    <w:rPr>
      <w:kern w:val="2"/>
      <w:sz w:val="21"/>
      <w:szCs w:val="24"/>
    </w:rPr>
  </w:style>
  <w:style w:type="paragraph" w:customStyle="1" w:styleId="my">
    <w:name w:val="my正文"/>
    <w:basedOn w:val="a0"/>
    <w:link w:val="myChar"/>
    <w:autoRedefine/>
    <w:qFormat/>
    <w:pPr>
      <w:spacing w:line="240" w:lineRule="auto"/>
      <w:ind w:firstLineChars="0" w:firstLine="0"/>
    </w:pPr>
    <w:rPr>
      <w:rFonts w:ascii="Times New Roman" w:hAnsi="Times New Roman"/>
      <w:sz w:val="21"/>
    </w:rPr>
  </w:style>
  <w:style w:type="character" w:customStyle="1" w:styleId="23">
    <w:name w:val="正文2 字符"/>
    <w:link w:val="24"/>
    <w:autoRedefine/>
    <w:qFormat/>
    <w:rPr>
      <w:kern w:val="2"/>
      <w:sz w:val="21"/>
      <w:szCs w:val="24"/>
    </w:rPr>
  </w:style>
  <w:style w:type="paragraph" w:customStyle="1" w:styleId="24">
    <w:name w:val="正文2"/>
    <w:basedOn w:val="a0"/>
    <w:link w:val="23"/>
    <w:autoRedefine/>
    <w:qFormat/>
    <w:pPr>
      <w:ind w:firstLine="420"/>
    </w:pPr>
    <w:rPr>
      <w:rFonts w:ascii="Times New Roman" w:hAnsi="Times New Roman"/>
      <w:sz w:val="21"/>
    </w:rPr>
  </w:style>
  <w:style w:type="character" w:customStyle="1" w:styleId="font41">
    <w:name w:val="font41"/>
    <w:autoRedefine/>
    <w:qFormat/>
    <w:rPr>
      <w:rFonts w:ascii="宋体" w:eastAsia="宋体" w:hAnsi="宋体" w:cs="宋体" w:hint="eastAsia"/>
      <w:color w:val="000000"/>
      <w:sz w:val="21"/>
      <w:szCs w:val="21"/>
      <w:u w:val="none"/>
    </w:rPr>
  </w:style>
  <w:style w:type="character" w:customStyle="1" w:styleId="70">
    <w:name w:val="标题 7 字符"/>
    <w:link w:val="7"/>
    <w:autoRedefine/>
    <w:uiPriority w:val="9"/>
    <w:qFormat/>
    <w:rPr>
      <w:b/>
      <w:bCs/>
      <w:kern w:val="2"/>
      <w:sz w:val="21"/>
      <w:szCs w:val="24"/>
    </w:rPr>
  </w:style>
  <w:style w:type="character" w:customStyle="1" w:styleId="aff3">
    <w:name w:val="批注框文本 字符"/>
    <w:autoRedefine/>
    <w:uiPriority w:val="99"/>
    <w:semiHidden/>
    <w:qFormat/>
    <w:rPr>
      <w:rFonts w:ascii="宋体" w:hAnsi="宋体"/>
      <w:kern w:val="2"/>
      <w:sz w:val="18"/>
      <w:szCs w:val="18"/>
    </w:rPr>
  </w:style>
  <w:style w:type="character" w:customStyle="1" w:styleId="Char1">
    <w:name w:val="副标题 Char1"/>
    <w:autoRedefine/>
    <w:qFormat/>
    <w:rPr>
      <w:rFonts w:ascii="Calibri Light" w:hAnsi="Calibri Light" w:cs="Times New Roman"/>
      <w:b/>
      <w:bCs/>
      <w:kern w:val="28"/>
      <w:sz w:val="32"/>
      <w:szCs w:val="32"/>
    </w:rPr>
  </w:style>
  <w:style w:type="character" w:customStyle="1" w:styleId="11">
    <w:name w:val="标题 1 字符1"/>
    <w:link w:val="1"/>
    <w:autoRedefine/>
    <w:qFormat/>
    <w:rPr>
      <w:rFonts w:ascii="宋体" w:eastAsia="黑体" w:hAnsi="宋体"/>
      <w:b/>
      <w:bCs/>
      <w:kern w:val="44"/>
      <w:sz w:val="32"/>
      <w:szCs w:val="28"/>
    </w:rPr>
  </w:style>
  <w:style w:type="character" w:customStyle="1" w:styleId="aff4">
    <w:name w:val="批注文字 字符"/>
    <w:autoRedefine/>
    <w:uiPriority w:val="99"/>
    <w:qFormat/>
    <w:rPr>
      <w:rFonts w:ascii="宋体" w:hAnsi="宋体"/>
      <w:kern w:val="2"/>
      <w:sz w:val="24"/>
      <w:szCs w:val="24"/>
    </w:rPr>
  </w:style>
  <w:style w:type="character" w:customStyle="1" w:styleId="aff5">
    <w:name w:val="文档结构图 字符"/>
    <w:autoRedefine/>
    <w:uiPriority w:val="99"/>
    <w:semiHidden/>
    <w:qFormat/>
    <w:rPr>
      <w:rFonts w:ascii="Microsoft YaHei UI" w:eastAsia="Microsoft YaHei UI" w:hAnsi="宋体"/>
      <w:kern w:val="2"/>
      <w:sz w:val="18"/>
      <w:szCs w:val="18"/>
    </w:rPr>
  </w:style>
  <w:style w:type="character" w:customStyle="1" w:styleId="62">
    <w:name w:val="标题 6 字符"/>
    <w:autoRedefine/>
    <w:uiPriority w:val="9"/>
    <w:semiHidden/>
    <w:qFormat/>
    <w:rPr>
      <w:rFonts w:ascii="等线 Light" w:eastAsia="等线 Light" w:hAnsi="等线 Light" w:cs="Times New Roman"/>
      <w:b/>
      <w:bCs/>
      <w:kern w:val="2"/>
      <w:sz w:val="24"/>
      <w:szCs w:val="24"/>
    </w:rPr>
  </w:style>
  <w:style w:type="character" w:customStyle="1" w:styleId="2Char">
    <w:name w:val="正文正文2 Char"/>
    <w:link w:val="25"/>
    <w:autoRedefine/>
    <w:qFormat/>
    <w:rPr>
      <w:rFonts w:ascii="宋体" w:hAnsi="宋体"/>
      <w:kern w:val="2"/>
      <w:sz w:val="21"/>
      <w:szCs w:val="21"/>
    </w:rPr>
  </w:style>
  <w:style w:type="paragraph" w:customStyle="1" w:styleId="25">
    <w:name w:val="正文正文2"/>
    <w:basedOn w:val="a0"/>
    <w:link w:val="2Char"/>
    <w:autoRedefine/>
    <w:qFormat/>
    <w:pPr>
      <w:ind w:firstLine="460"/>
    </w:pPr>
    <w:rPr>
      <w:sz w:val="21"/>
      <w:szCs w:val="21"/>
    </w:rPr>
  </w:style>
  <w:style w:type="character" w:customStyle="1" w:styleId="32">
    <w:name w:val="标题 3 字符2"/>
    <w:link w:val="3"/>
    <w:autoRedefine/>
    <w:qFormat/>
    <w:rPr>
      <w:rFonts w:ascii="宋体" w:hAnsi="宋体"/>
      <w:b/>
      <w:bCs/>
      <w:kern w:val="2"/>
      <w:sz w:val="28"/>
      <w:szCs w:val="28"/>
    </w:rPr>
  </w:style>
  <w:style w:type="character" w:customStyle="1" w:styleId="42">
    <w:name w:val="标题 4 字符"/>
    <w:autoRedefine/>
    <w:uiPriority w:val="9"/>
    <w:semiHidden/>
    <w:qFormat/>
    <w:rPr>
      <w:rFonts w:ascii="等线 Light" w:eastAsia="等线 Light" w:hAnsi="等线 Light" w:cs="Times New Roman"/>
      <w:b/>
      <w:bCs/>
      <w:kern w:val="2"/>
      <w:sz w:val="28"/>
      <w:szCs w:val="28"/>
    </w:rPr>
  </w:style>
  <w:style w:type="character" w:customStyle="1" w:styleId="1c">
    <w:name w:val="批注主题 字符1"/>
    <w:link w:val="af4"/>
    <w:autoRedefine/>
    <w:qFormat/>
    <w:rPr>
      <w:rFonts w:eastAsia="仿宋"/>
      <w:b/>
      <w:bCs/>
      <w:kern w:val="2"/>
      <w:sz w:val="21"/>
      <w:szCs w:val="24"/>
    </w:rPr>
  </w:style>
  <w:style w:type="character" w:customStyle="1" w:styleId="aff6">
    <w:name w:val="页眉 字符"/>
    <w:autoRedefine/>
    <w:uiPriority w:val="99"/>
    <w:semiHidden/>
    <w:qFormat/>
    <w:rPr>
      <w:rFonts w:ascii="宋体" w:hAnsi="宋体"/>
      <w:kern w:val="2"/>
      <w:sz w:val="18"/>
      <w:szCs w:val="18"/>
    </w:rPr>
  </w:style>
  <w:style w:type="character" w:customStyle="1" w:styleId="13">
    <w:name w:val="正文文本缩进 字符1"/>
    <w:link w:val="ab"/>
    <w:autoRedefine/>
    <w:qFormat/>
    <w:rPr>
      <w:kern w:val="2"/>
      <w:sz w:val="21"/>
    </w:rPr>
  </w:style>
  <w:style w:type="character" w:customStyle="1" w:styleId="51">
    <w:name w:val="标题 5 字符1"/>
    <w:link w:val="5"/>
    <w:autoRedefine/>
    <w:qFormat/>
    <w:rPr>
      <w:rFonts w:ascii="宋体" w:hAnsi="宋体"/>
      <w:b/>
      <w:bCs/>
      <w:kern w:val="2"/>
      <w:sz w:val="24"/>
      <w:szCs w:val="28"/>
    </w:rPr>
  </w:style>
  <w:style w:type="character" w:customStyle="1" w:styleId="1a">
    <w:name w:val="副标题 字符1"/>
    <w:link w:val="af1"/>
    <w:autoRedefine/>
    <w:qFormat/>
    <w:rPr>
      <w:rFonts w:ascii="Calibri Light" w:hAnsi="Calibri Light"/>
      <w:b/>
      <w:bCs/>
      <w:kern w:val="28"/>
      <w:sz w:val="32"/>
      <w:szCs w:val="32"/>
    </w:rPr>
  </w:style>
  <w:style w:type="character" w:customStyle="1" w:styleId="21">
    <w:name w:val="标题 2 字符1"/>
    <w:link w:val="2"/>
    <w:autoRedefine/>
    <w:uiPriority w:val="9"/>
    <w:qFormat/>
    <w:rPr>
      <w:rFonts w:ascii="宋体" w:hAnsi="宋体"/>
      <w:b/>
      <w:bCs/>
      <w:kern w:val="2"/>
      <w:sz w:val="30"/>
      <w:szCs w:val="32"/>
    </w:rPr>
  </w:style>
  <w:style w:type="character" w:customStyle="1" w:styleId="17">
    <w:name w:val="页脚 字符1"/>
    <w:link w:val="af"/>
    <w:autoRedefine/>
    <w:uiPriority w:val="99"/>
    <w:qFormat/>
    <w:rPr>
      <w:kern w:val="2"/>
      <w:sz w:val="18"/>
      <w:szCs w:val="18"/>
    </w:rPr>
  </w:style>
  <w:style w:type="character" w:customStyle="1" w:styleId="aff7">
    <w:name w:val="批注主题 字符"/>
    <w:autoRedefine/>
    <w:uiPriority w:val="99"/>
    <w:semiHidden/>
    <w:qFormat/>
    <w:rPr>
      <w:rFonts w:ascii="宋体" w:hAnsi="宋体"/>
      <w:b/>
      <w:bCs/>
      <w:kern w:val="2"/>
      <w:sz w:val="24"/>
      <w:szCs w:val="24"/>
    </w:rPr>
  </w:style>
  <w:style w:type="character" w:customStyle="1" w:styleId="10">
    <w:name w:val="文档结构图 字符1"/>
    <w:link w:val="a7"/>
    <w:autoRedefine/>
    <w:qFormat/>
    <w:rPr>
      <w:rFonts w:ascii="宋体"/>
      <w:kern w:val="2"/>
      <w:sz w:val="18"/>
      <w:szCs w:val="18"/>
    </w:rPr>
  </w:style>
  <w:style w:type="character" w:customStyle="1" w:styleId="font31">
    <w:name w:val="font31"/>
    <w:autoRedefine/>
    <w:qFormat/>
    <w:rPr>
      <w:rFonts w:ascii="宋体" w:eastAsia="宋体" w:hAnsi="宋体" w:cs="宋体" w:hint="eastAsia"/>
      <w:color w:val="000000"/>
      <w:sz w:val="21"/>
      <w:szCs w:val="21"/>
      <w:u w:val="none"/>
    </w:rPr>
  </w:style>
  <w:style w:type="character" w:customStyle="1" w:styleId="Char2">
    <w:name w:val="标准正文 Char"/>
    <w:link w:val="aff8"/>
    <w:autoRedefine/>
    <w:qFormat/>
    <w:rPr>
      <w:rFonts w:ascii="Arial" w:hAnsi="Arial"/>
      <w:kern w:val="2"/>
      <w:sz w:val="24"/>
    </w:rPr>
  </w:style>
  <w:style w:type="paragraph" w:customStyle="1" w:styleId="aff8">
    <w:name w:val="标准正文"/>
    <w:basedOn w:val="ab"/>
    <w:link w:val="Char2"/>
    <w:autoRedefine/>
    <w:qFormat/>
    <w:pPr>
      <w:spacing w:before="60" w:after="60"/>
      <w:ind w:firstLineChars="0" w:firstLine="482"/>
    </w:pPr>
    <w:rPr>
      <w:rFonts w:ascii="Arial" w:hAnsi="Arial"/>
      <w:sz w:val="24"/>
    </w:rPr>
  </w:style>
  <w:style w:type="character" w:customStyle="1" w:styleId="1b">
    <w:name w:val="标题 字符1"/>
    <w:link w:val="af3"/>
    <w:autoRedefine/>
    <w:qFormat/>
    <w:rPr>
      <w:rFonts w:ascii="Cambria" w:eastAsia="黑体" w:hAnsi="Cambria"/>
      <w:b/>
      <w:bCs/>
      <w:kern w:val="2"/>
      <w:sz w:val="52"/>
      <w:szCs w:val="32"/>
    </w:rPr>
  </w:style>
  <w:style w:type="character" w:customStyle="1" w:styleId="16">
    <w:name w:val="批注框文本 字符1"/>
    <w:link w:val="ae"/>
    <w:autoRedefine/>
    <w:qFormat/>
    <w:rPr>
      <w:kern w:val="2"/>
      <w:sz w:val="18"/>
      <w:szCs w:val="18"/>
    </w:rPr>
  </w:style>
  <w:style w:type="character" w:customStyle="1" w:styleId="18">
    <w:name w:val="页眉 字符1"/>
    <w:link w:val="af0"/>
    <w:autoRedefine/>
    <w:uiPriority w:val="99"/>
    <w:qFormat/>
    <w:rPr>
      <w:kern w:val="2"/>
      <w:sz w:val="18"/>
      <w:szCs w:val="18"/>
    </w:rPr>
  </w:style>
  <w:style w:type="character" w:customStyle="1" w:styleId="80">
    <w:name w:val="标题 8 字符"/>
    <w:link w:val="8"/>
    <w:autoRedefine/>
    <w:uiPriority w:val="9"/>
    <w:qFormat/>
    <w:rPr>
      <w:rFonts w:ascii="Cambria" w:hAnsi="Cambria"/>
      <w:kern w:val="2"/>
      <w:sz w:val="21"/>
      <w:szCs w:val="24"/>
    </w:rPr>
  </w:style>
  <w:style w:type="character" w:customStyle="1" w:styleId="61">
    <w:name w:val="标题 6 字符1"/>
    <w:link w:val="6"/>
    <w:autoRedefine/>
    <w:qFormat/>
    <w:rPr>
      <w:rFonts w:ascii="Cambria" w:hAnsi="Cambria"/>
      <w:b/>
      <w:bCs/>
      <w:kern w:val="2"/>
      <w:sz w:val="24"/>
      <w:szCs w:val="24"/>
    </w:rPr>
  </w:style>
  <w:style w:type="character" w:customStyle="1" w:styleId="aff9">
    <w:name w:val="标题 字符"/>
    <w:autoRedefine/>
    <w:uiPriority w:val="10"/>
    <w:qFormat/>
    <w:rPr>
      <w:rFonts w:ascii="等线 Light" w:eastAsia="等线 Light" w:hAnsi="等线 Light" w:cs="Times New Roman"/>
      <w:b/>
      <w:bCs/>
      <w:kern w:val="2"/>
      <w:sz w:val="32"/>
      <w:szCs w:val="32"/>
    </w:rPr>
  </w:style>
  <w:style w:type="character" w:customStyle="1" w:styleId="affa">
    <w:name w:val="副标题 字符"/>
    <w:autoRedefine/>
    <w:uiPriority w:val="11"/>
    <w:qFormat/>
    <w:rPr>
      <w:rFonts w:ascii="等线" w:eastAsia="等线" w:hAnsi="等线" w:cs="Times New Roman"/>
      <w:b/>
      <w:bCs/>
      <w:kern w:val="28"/>
      <w:sz w:val="32"/>
      <w:szCs w:val="32"/>
    </w:rPr>
  </w:style>
  <w:style w:type="paragraph" w:customStyle="1" w:styleId="xl72">
    <w:name w:val="xl72"/>
    <w:basedOn w:val="a0"/>
    <w:autoRedefine/>
    <w:qFormat/>
    <w:pPr>
      <w:widowControl/>
      <w:spacing w:before="100" w:beforeAutospacing="1" w:after="100" w:afterAutospacing="1" w:line="240" w:lineRule="auto"/>
      <w:ind w:firstLineChars="0" w:firstLine="0"/>
      <w:jc w:val="center"/>
    </w:pPr>
    <w:rPr>
      <w:rFonts w:cs="宋体"/>
      <w:kern w:val="0"/>
    </w:rPr>
  </w:style>
  <w:style w:type="paragraph" w:customStyle="1" w:styleId="affb">
    <w:name w:val="正文（深信服）"/>
    <w:autoRedefine/>
    <w:qFormat/>
    <w:pPr>
      <w:spacing w:line="360" w:lineRule="auto"/>
      <w:ind w:firstLine="420"/>
    </w:pPr>
    <w:rPr>
      <w:rFonts w:ascii="Arial" w:hAnsi="Arial"/>
      <w:sz w:val="24"/>
      <w:szCs w:val="21"/>
      <w:shd w:val="clear" w:color="auto" w:fill="FFFFFF"/>
    </w:rPr>
  </w:style>
  <w:style w:type="paragraph" w:customStyle="1" w:styleId="xl70">
    <w:name w:val="xl70"/>
    <w:basedOn w:val="a0"/>
    <w:autoRedefine/>
    <w:qFormat/>
    <w:pPr>
      <w:widowControl/>
      <w:pBdr>
        <w:bottom w:val="single" w:sz="4" w:space="0" w:color="auto"/>
        <w:right w:val="single" w:sz="4" w:space="0" w:color="auto"/>
      </w:pBdr>
      <w:spacing w:before="100" w:beforeAutospacing="1" w:after="100" w:afterAutospacing="1" w:line="240" w:lineRule="auto"/>
      <w:ind w:firstLineChars="0" w:firstLine="0"/>
      <w:jc w:val="right"/>
      <w:textAlignment w:val="center"/>
    </w:pPr>
    <w:rPr>
      <w:rFonts w:ascii="Microsoft Sans Serif" w:hAnsi="Microsoft Sans Serif" w:cs="Microsoft Sans Serif"/>
      <w:kern w:val="0"/>
      <w:sz w:val="18"/>
      <w:szCs w:val="18"/>
    </w:rPr>
  </w:style>
  <w:style w:type="paragraph" w:customStyle="1" w:styleId="Style2">
    <w:name w:val="_Style 2"/>
    <w:basedOn w:val="1"/>
    <w:next w:val="a0"/>
    <w:autoRedefine/>
    <w:uiPriority w:val="39"/>
    <w:qFormat/>
    <w:pPr>
      <w:widowControl/>
      <w:numPr>
        <w:numId w:val="0"/>
      </w:numPr>
      <w:spacing w:before="480" w:after="0" w:line="276" w:lineRule="auto"/>
      <w:jc w:val="left"/>
      <w:outlineLvl w:val="9"/>
    </w:pPr>
    <w:rPr>
      <w:rFonts w:ascii="Cambria" w:eastAsia="宋体" w:hAnsi="Cambria"/>
      <w:color w:val="365F91"/>
      <w:kern w:val="0"/>
      <w:sz w:val="28"/>
    </w:rPr>
  </w:style>
  <w:style w:type="paragraph" w:customStyle="1" w:styleId="1f">
    <w:name w:val="正文缩进1"/>
    <w:basedOn w:val="a0"/>
    <w:autoRedefine/>
    <w:qFormat/>
    <w:pPr>
      <w:spacing w:line="240" w:lineRule="auto"/>
      <w:ind w:firstLine="420"/>
    </w:pPr>
    <w:rPr>
      <w:rFonts w:ascii="Times New Roman" w:hAnsi="Times New Roman"/>
      <w:sz w:val="21"/>
      <w:szCs w:val="20"/>
    </w:rPr>
  </w:style>
  <w:style w:type="paragraph" w:customStyle="1" w:styleId="xl68">
    <w:name w:val="xl68"/>
    <w:basedOn w:val="a0"/>
    <w:autoRedefine/>
    <w:qFormat/>
    <w:pPr>
      <w:widowControl/>
      <w:pBdr>
        <w:bottom w:val="single" w:sz="4" w:space="0" w:color="auto"/>
        <w:right w:val="single" w:sz="4" w:space="0" w:color="auto"/>
      </w:pBdr>
      <w:spacing w:before="100" w:beforeAutospacing="1" w:after="100" w:afterAutospacing="1" w:line="240" w:lineRule="auto"/>
      <w:ind w:firstLineChars="0" w:firstLine="0"/>
      <w:jc w:val="left"/>
      <w:textAlignment w:val="center"/>
    </w:pPr>
    <w:rPr>
      <w:rFonts w:ascii="Microsoft Sans Serif" w:hAnsi="Microsoft Sans Serif" w:cs="Microsoft Sans Serif"/>
      <w:kern w:val="0"/>
      <w:sz w:val="18"/>
      <w:szCs w:val="18"/>
    </w:rPr>
  </w:style>
  <w:style w:type="paragraph" w:customStyle="1" w:styleId="affc">
    <w:name w:val="前言、引言标题"/>
    <w:next w:val="a0"/>
    <w:autoRedefine/>
    <w:uiPriority w:val="99"/>
    <w:qFormat/>
    <w:pPr>
      <w:shd w:val="clear" w:color="FFFFFF" w:fill="FFFFFF"/>
      <w:tabs>
        <w:tab w:val="left" w:pos="425"/>
      </w:tabs>
      <w:spacing w:before="640" w:after="560"/>
      <w:jc w:val="center"/>
      <w:outlineLvl w:val="0"/>
    </w:pPr>
    <w:rPr>
      <w:rFonts w:ascii="黑体" w:eastAsia="黑体"/>
      <w:sz w:val="32"/>
    </w:rPr>
  </w:style>
  <w:style w:type="paragraph" w:customStyle="1" w:styleId="IndentNormal">
    <w:name w:val="Indent Normal"/>
    <w:basedOn w:val="a0"/>
    <w:autoRedefine/>
    <w:qFormat/>
    <w:pPr>
      <w:ind w:firstLineChars="150" w:firstLine="150"/>
    </w:pPr>
  </w:style>
  <w:style w:type="paragraph" w:customStyle="1" w:styleId="msonormal0">
    <w:name w:val="msonormal"/>
    <w:basedOn w:val="a0"/>
    <w:autoRedefine/>
    <w:qFormat/>
    <w:pPr>
      <w:widowControl/>
      <w:spacing w:before="100" w:beforeAutospacing="1" w:after="100" w:afterAutospacing="1" w:line="240" w:lineRule="auto"/>
      <w:ind w:firstLineChars="0" w:firstLine="0"/>
      <w:jc w:val="left"/>
    </w:pPr>
    <w:rPr>
      <w:rFonts w:cs="宋体"/>
      <w:kern w:val="0"/>
    </w:rPr>
  </w:style>
  <w:style w:type="paragraph" w:customStyle="1" w:styleId="26">
    <w:name w:val="正文 缩进2字符"/>
    <w:basedOn w:val="a0"/>
    <w:autoRedefine/>
    <w:qFormat/>
    <w:pPr>
      <w:spacing w:afterLines="50" w:line="240" w:lineRule="auto"/>
      <w:ind w:firstLineChars="0" w:firstLine="0"/>
    </w:pPr>
    <w:rPr>
      <w:rFonts w:ascii="Times New Roman" w:hAnsi="Times New Roman" w:cs="宋体"/>
      <w:sz w:val="21"/>
      <w:szCs w:val="20"/>
    </w:rPr>
  </w:style>
  <w:style w:type="paragraph" w:customStyle="1" w:styleId="a">
    <w:name w:val="列项●（二级）"/>
    <w:autoRedefine/>
    <w:qFormat/>
    <w:pPr>
      <w:numPr>
        <w:numId w:val="2"/>
      </w:numPr>
      <w:tabs>
        <w:tab w:val="left" w:pos="840"/>
      </w:tabs>
      <w:ind w:leftChars="400" w:left="600" w:hangingChars="200" w:hanging="200"/>
      <w:jc w:val="both"/>
    </w:pPr>
    <w:rPr>
      <w:rFonts w:ascii="宋体"/>
      <w:sz w:val="21"/>
    </w:rPr>
  </w:style>
  <w:style w:type="paragraph" w:customStyle="1" w:styleId="affd">
    <w:name w:val="助手文本"/>
    <w:basedOn w:val="a0"/>
    <w:autoRedefine/>
    <w:qFormat/>
    <w:pPr>
      <w:autoSpaceDE w:val="0"/>
      <w:autoSpaceDN w:val="0"/>
      <w:adjustRightInd w:val="0"/>
      <w:spacing w:beforeLines="50" w:afterLines="50"/>
      <w:ind w:left="14" w:firstLine="434"/>
      <w:textAlignment w:val="baseline"/>
    </w:pPr>
    <w:rPr>
      <w:rFonts w:ascii="楷体_GB2312" w:eastAsia="楷体_GB2312"/>
      <w:kern w:val="0"/>
      <w:szCs w:val="20"/>
      <w:u w:val="single"/>
    </w:rPr>
  </w:style>
  <w:style w:type="paragraph" w:customStyle="1" w:styleId="xl67">
    <w:name w:val="xl67"/>
    <w:basedOn w:val="a0"/>
    <w:autoRedefine/>
    <w:qFormat/>
    <w:pPr>
      <w:widowControl/>
      <w:pBdr>
        <w:top w:val="single" w:sz="4" w:space="0" w:color="auto"/>
        <w:bottom w:val="single" w:sz="4" w:space="0" w:color="auto"/>
        <w:right w:val="single" w:sz="4" w:space="0" w:color="auto"/>
      </w:pBdr>
      <w:spacing w:before="100" w:beforeAutospacing="1" w:after="100" w:afterAutospacing="1" w:line="240" w:lineRule="auto"/>
      <w:ind w:firstLineChars="0" w:firstLine="0"/>
      <w:jc w:val="center"/>
      <w:textAlignment w:val="center"/>
    </w:pPr>
    <w:rPr>
      <w:rFonts w:ascii="Microsoft Sans Serif" w:hAnsi="Microsoft Sans Serif" w:cs="Microsoft Sans Serif"/>
      <w:b/>
      <w:bCs/>
      <w:kern w:val="0"/>
      <w:sz w:val="18"/>
      <w:szCs w:val="18"/>
    </w:rPr>
  </w:style>
  <w:style w:type="paragraph" w:customStyle="1" w:styleId="affe">
    <w:name w:val="段"/>
    <w:autoRedefine/>
    <w:qFormat/>
    <w:pPr>
      <w:autoSpaceDE w:val="0"/>
      <w:autoSpaceDN w:val="0"/>
      <w:ind w:firstLineChars="200" w:firstLine="200"/>
      <w:jc w:val="both"/>
    </w:pPr>
    <w:rPr>
      <w:rFonts w:ascii="宋体" w:cs="Calibri"/>
      <w:sz w:val="21"/>
    </w:rPr>
  </w:style>
  <w:style w:type="paragraph" w:customStyle="1" w:styleId="xl73">
    <w:name w:val="xl73"/>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textAlignment w:val="center"/>
    </w:pPr>
    <w:rPr>
      <w:rFonts w:cs="宋体"/>
      <w:kern w:val="0"/>
    </w:rPr>
  </w:style>
  <w:style w:type="paragraph" w:customStyle="1" w:styleId="CharCharCharCharCharChar1Char">
    <w:name w:val="Char Char Char Char Char Char1 Char"/>
    <w:basedOn w:val="a0"/>
    <w:autoRedefine/>
    <w:qFormat/>
    <w:pPr>
      <w:widowControl/>
      <w:spacing w:after="160" w:line="240" w:lineRule="exact"/>
      <w:jc w:val="left"/>
    </w:pPr>
  </w:style>
  <w:style w:type="paragraph" w:customStyle="1" w:styleId="PMBody">
    <w:name w:val="PM_Body"/>
    <w:basedOn w:val="a0"/>
    <w:autoRedefine/>
    <w:qFormat/>
    <w:locked/>
    <w:rPr>
      <w:szCs w:val="21"/>
    </w:rPr>
  </w:style>
  <w:style w:type="paragraph" w:customStyle="1" w:styleId="CharChar1">
    <w:name w:val="Char Char1"/>
    <w:basedOn w:val="a0"/>
    <w:autoRedefine/>
    <w:qFormat/>
    <w:pPr>
      <w:widowControl/>
      <w:spacing w:before="120" w:after="120"/>
    </w:pPr>
    <w:rPr>
      <w:rFonts w:ascii="Times New Roman" w:hAnsi="Times New Roman" w:cs="宋体"/>
    </w:rPr>
  </w:style>
  <w:style w:type="paragraph" w:customStyle="1" w:styleId="xl71">
    <w:name w:val="xl71"/>
    <w:basedOn w:val="a0"/>
    <w:autoRedefine/>
    <w:qFormat/>
    <w:pPr>
      <w:widowControl/>
      <w:spacing w:before="100" w:beforeAutospacing="1" w:after="100" w:afterAutospacing="1" w:line="240" w:lineRule="auto"/>
      <w:ind w:firstLineChars="0" w:firstLine="0"/>
      <w:jc w:val="right"/>
      <w:textAlignment w:val="center"/>
    </w:pPr>
    <w:rPr>
      <w:rFonts w:ascii="Microsoft Sans Serif" w:hAnsi="Microsoft Sans Serif" w:cs="Microsoft Sans Serif"/>
      <w:kern w:val="0"/>
      <w:sz w:val="18"/>
      <w:szCs w:val="18"/>
    </w:rPr>
  </w:style>
  <w:style w:type="paragraph" w:customStyle="1" w:styleId="1f0">
    <w:name w:val="修订1"/>
    <w:autoRedefine/>
    <w:uiPriority w:val="99"/>
    <w:unhideWhenUsed/>
    <w:qFormat/>
    <w:rPr>
      <w:rFonts w:ascii="宋体" w:hAnsi="宋体"/>
      <w:kern w:val="2"/>
      <w:sz w:val="24"/>
      <w:szCs w:val="24"/>
    </w:rPr>
  </w:style>
  <w:style w:type="paragraph" w:customStyle="1" w:styleId="27">
    <w:name w:val="列出段落2"/>
    <w:basedOn w:val="a0"/>
    <w:autoRedefine/>
    <w:qFormat/>
    <w:pPr>
      <w:spacing w:line="240" w:lineRule="auto"/>
      <w:ind w:firstLine="420"/>
    </w:pPr>
    <w:rPr>
      <w:rFonts w:ascii="等线" w:eastAsia="等线" w:hAnsi="等线" w:cs="等线"/>
      <w:sz w:val="21"/>
      <w:szCs w:val="21"/>
    </w:rPr>
  </w:style>
  <w:style w:type="paragraph" w:customStyle="1" w:styleId="xl69">
    <w:name w:val="xl69"/>
    <w:basedOn w:val="a0"/>
    <w:autoRedefine/>
    <w:qFormat/>
    <w:pPr>
      <w:widowControl/>
      <w:pBdr>
        <w:bottom w:val="single" w:sz="4" w:space="0" w:color="auto"/>
        <w:right w:val="single" w:sz="4" w:space="0" w:color="auto"/>
      </w:pBdr>
      <w:spacing w:before="100" w:beforeAutospacing="1" w:after="100" w:afterAutospacing="1" w:line="240" w:lineRule="auto"/>
      <w:ind w:firstLineChars="0" w:firstLine="0"/>
      <w:jc w:val="center"/>
      <w:textAlignment w:val="center"/>
    </w:pPr>
    <w:rPr>
      <w:rFonts w:ascii="Microsoft Sans Serif" w:hAnsi="Microsoft Sans Serif" w:cs="Microsoft Sans Serif"/>
      <w:kern w:val="0"/>
      <w:sz w:val="18"/>
      <w:szCs w:val="18"/>
    </w:rPr>
  </w:style>
  <w:style w:type="paragraph" w:customStyle="1" w:styleId="xl66">
    <w:name w:val="xl66"/>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textAlignment w:val="center"/>
    </w:pPr>
    <w:rPr>
      <w:rFonts w:ascii="Microsoft Sans Serif" w:hAnsi="Microsoft Sans Serif" w:cs="Microsoft Sans Serif"/>
      <w:b/>
      <w:bCs/>
      <w:kern w:val="0"/>
      <w:sz w:val="18"/>
      <w:szCs w:val="18"/>
    </w:rPr>
  </w:style>
  <w:style w:type="paragraph" w:customStyle="1" w:styleId="afff">
    <w:name w:val="文档正文文本（中安网脉）"/>
    <w:basedOn w:val="a0"/>
    <w:autoRedefine/>
    <w:qFormat/>
    <w:pPr>
      <w:ind w:firstLine="200"/>
    </w:pPr>
    <w:rPr>
      <w:rFonts w:ascii="Times New Roman" w:eastAsia="仿宋_GB2312" w:hAnsi="Times New Roman"/>
      <w:color w:val="000000"/>
      <w:szCs w:val="28"/>
    </w:rPr>
  </w:style>
  <w:style w:type="paragraph" w:customStyle="1" w:styleId="xl65">
    <w:name w:val="xl65"/>
    <w:basedOn w:val="a0"/>
    <w:autoRedefine/>
    <w:qFormat/>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left"/>
      <w:textAlignment w:val="center"/>
    </w:pPr>
    <w:rPr>
      <w:rFonts w:ascii="Microsoft Sans Serif" w:hAnsi="Microsoft Sans Serif" w:cs="Microsoft Sans Serif"/>
      <w:kern w:val="0"/>
      <w:sz w:val="18"/>
      <w:szCs w:val="18"/>
    </w:rPr>
  </w:style>
  <w:style w:type="paragraph" w:customStyle="1" w:styleId="afff0">
    <w:name w:val="正文样式"/>
    <w:autoRedefine/>
    <w:unhideWhenUsed/>
    <w:qFormat/>
    <w:pPr>
      <w:widowControl w:val="0"/>
      <w:adjustRightInd w:val="0"/>
      <w:snapToGrid w:val="0"/>
      <w:spacing w:line="360" w:lineRule="auto"/>
      <w:ind w:firstLineChars="200" w:firstLine="200"/>
      <w:jc w:val="both"/>
    </w:pPr>
    <w:rPr>
      <w:bCs/>
      <w:snapToGrid w:val="0"/>
      <w:sz w:val="24"/>
      <w:szCs w:val="44"/>
    </w:rPr>
  </w:style>
  <w:style w:type="paragraph" w:customStyle="1" w:styleId="152">
    <w:name w:val="样式 行距: 1.5 倍行距 首行缩进:  2 字符"/>
    <w:basedOn w:val="a0"/>
    <w:autoRedefine/>
    <w:qFormat/>
    <w:pPr>
      <w:ind w:firstLine="560"/>
      <w:jc w:val="left"/>
    </w:pPr>
    <w:rPr>
      <w:rFonts w:ascii="仿宋" w:eastAsia="仿宋" w:hAnsi="仿宋" w:cs="宋体"/>
      <w:sz w:val="28"/>
      <w:szCs w:val="20"/>
    </w:rPr>
  </w:style>
  <w:style w:type="paragraph" w:customStyle="1" w:styleId="TOC1">
    <w:name w:val="TOC 标题1"/>
    <w:basedOn w:val="1"/>
    <w:next w:val="a0"/>
    <w:autoRedefine/>
    <w:uiPriority w:val="39"/>
    <w:qFormat/>
    <w:pPr>
      <w:widowControl/>
      <w:numPr>
        <w:numId w:val="0"/>
      </w:numPr>
      <w:spacing w:before="480" w:after="0" w:line="276" w:lineRule="auto"/>
      <w:jc w:val="left"/>
      <w:outlineLvl w:val="9"/>
    </w:pPr>
    <w:rPr>
      <w:rFonts w:ascii="Cambria" w:eastAsia="宋体" w:hAnsi="Cambria"/>
      <w:color w:val="365F91"/>
      <w:kern w:val="0"/>
      <w:sz w:val="28"/>
    </w:rPr>
  </w:style>
  <w:style w:type="table" w:customStyle="1" w:styleId="1f1">
    <w:name w:val="!我的表格1"/>
    <w:basedOn w:val="a2"/>
    <w:autoRedefine/>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2">
    <w:name w:val="网格型1"/>
    <w:basedOn w:val="a2"/>
    <w:autoRedefine/>
    <w:uiPriority w:val="59"/>
    <w:unhideWhenUsed/>
    <w:qFormat/>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autoRedefine/>
    <w:qFormat/>
    <w:rPr>
      <w:rFonts w:ascii="宋体" w:eastAsia="黑体" w:hAnsi="宋体"/>
      <w:b/>
      <w:bCs/>
      <w:kern w:val="44"/>
      <w:sz w:val="32"/>
      <w:szCs w:val="28"/>
    </w:rPr>
  </w:style>
  <w:style w:type="character" w:customStyle="1" w:styleId="Char20">
    <w:name w:val="纯文本 Char2"/>
    <w:autoRedefine/>
    <w:qFormat/>
    <w:rPr>
      <w:rFonts w:ascii="宋体" w:eastAsia="宋体" w:hAnsi="宋体" w:cs="Times New Roman"/>
      <w:color w:val="000000"/>
      <w:kern w:val="0"/>
      <w:sz w:val="24"/>
      <w:szCs w:val="24"/>
    </w:rPr>
  </w:style>
  <w:style w:type="paragraph" w:customStyle="1" w:styleId="1f3">
    <w:name w:val="列出段落1"/>
    <w:basedOn w:val="a0"/>
    <w:autoRedefine/>
    <w:uiPriority w:val="34"/>
    <w:qFormat/>
    <w:pPr>
      <w:ind w:firstLine="420"/>
    </w:pPr>
    <w:rPr>
      <w:rFonts w:ascii="Times New Roman" w:hAnsi="Times New Roman"/>
      <w:sz w:val="21"/>
    </w:rPr>
  </w:style>
  <w:style w:type="paragraph" w:customStyle="1" w:styleId="B-">
    <w:name w:val="B-表正文"/>
    <w:autoRedefine/>
    <w:qFormat/>
    <w:rPr>
      <w:rFonts w:eastAsia="仿宋"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70F83A-1ED5-48ED-B285-6C3F5A033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3010</Words>
  <Characters>17162</Characters>
  <Application>Microsoft Office Word</Application>
  <DocSecurity>0</DocSecurity>
  <Lines>143</Lines>
  <Paragraphs>40</Paragraphs>
  <ScaleCrop>false</ScaleCrop>
  <Company>Microsoft</Company>
  <LinksUpToDate>false</LinksUpToDate>
  <CharactersWithSpaces>20132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gtig_tzb</dc:creator>
  <cp:lastModifiedBy>李瑶</cp:lastModifiedBy>
  <cp:revision>3</cp:revision>
  <cp:lastPrinted>2020-08-06T12:08:00Z</cp:lastPrinted>
  <dcterms:created xsi:type="dcterms:W3CDTF">2024-03-05T01:52:00Z</dcterms:created>
  <dcterms:modified xsi:type="dcterms:W3CDTF">2024-03-05T01:56:00Z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416EE9E0F4974EDAB79E0EDFCFB46DF9_13</vt:lpwstr>
  </property>
</Properties>
</file>