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02" w:firstLineChars="200"/>
        <w:jc w:val="center"/>
        <w:outlineLvl w:val="0"/>
        <w:rPr>
          <w:rFonts w:eastAsia="黑体"/>
          <w:b/>
          <w:color w:val="auto"/>
          <w:kern w:val="0"/>
          <w:sz w:val="30"/>
          <w:szCs w:val="30"/>
        </w:rPr>
      </w:pPr>
      <w:bookmarkStart w:id="0" w:name="_Toc149899516"/>
      <w:bookmarkStart w:id="1" w:name="_Toc497211592"/>
      <w:r>
        <w:rPr>
          <w:rFonts w:eastAsia="黑体"/>
          <w:b/>
          <w:color w:val="auto"/>
          <w:kern w:val="0"/>
          <w:sz w:val="30"/>
          <w:szCs w:val="30"/>
        </w:rPr>
        <w:t>项目采购需求</w:t>
      </w:r>
      <w:bookmarkEnd w:id="0"/>
      <w:bookmarkEnd w:id="1"/>
    </w:p>
    <w:p>
      <w:pPr>
        <w:adjustRightInd w:val="0"/>
        <w:snapToGrid w:val="0"/>
        <w:jc w:val="center"/>
        <w:outlineLvl w:val="1"/>
        <w:rPr>
          <w:rFonts w:eastAsia="黑体"/>
          <w:color w:val="auto"/>
          <w:sz w:val="30"/>
          <w:szCs w:val="30"/>
        </w:rPr>
      </w:pPr>
      <w:bookmarkStart w:id="2" w:name="_Toc497211593"/>
      <w:bookmarkStart w:id="3" w:name="_Toc149899517"/>
      <w:r>
        <w:rPr>
          <w:rFonts w:hint="eastAsia" w:eastAsia="黑体"/>
          <w:color w:val="auto"/>
          <w:sz w:val="30"/>
          <w:szCs w:val="30"/>
        </w:rPr>
        <w:t>一、</w:t>
      </w:r>
      <w:r>
        <w:rPr>
          <w:rFonts w:eastAsia="黑体"/>
          <w:color w:val="auto"/>
          <w:sz w:val="30"/>
          <w:szCs w:val="30"/>
        </w:rPr>
        <w:t>说明</w:t>
      </w:r>
      <w:bookmarkEnd w:id="2"/>
      <w:bookmarkEnd w:id="3"/>
    </w:p>
    <w:p>
      <w:pPr>
        <w:ind w:firstLine="424" w:firstLineChars="192"/>
        <w:outlineLvl w:val="2"/>
        <w:rPr>
          <w:b/>
          <w:color w:val="auto"/>
          <w:sz w:val="22"/>
        </w:rPr>
      </w:pPr>
      <w:bookmarkStart w:id="4" w:name="_Toc149899518"/>
      <w:bookmarkStart w:id="5" w:name="_Toc497211594"/>
      <w:r>
        <w:rPr>
          <w:b/>
          <w:color w:val="auto"/>
          <w:sz w:val="22"/>
        </w:rPr>
        <w:t>1 总则</w:t>
      </w:r>
      <w:bookmarkEnd w:id="4"/>
      <w:bookmarkEnd w:id="5"/>
    </w:p>
    <w:p>
      <w:pPr>
        <w:adjustRightInd w:val="0"/>
        <w:snapToGrid w:val="0"/>
        <w:ind w:firstLine="440" w:firstLineChars="200"/>
        <w:jc w:val="left"/>
        <w:rPr>
          <w:color w:val="auto"/>
          <w:sz w:val="22"/>
        </w:rPr>
      </w:pPr>
      <w:r>
        <w:rPr>
          <w:color w:val="auto"/>
          <w:sz w:val="22"/>
        </w:rPr>
        <w:t>1.1 投标人应具备国家或行业管理部门规定的，在本市实施本项目所需的资格（资质）和相关手续（如果有），由此引起的所有有关事宜及费用由投标人自行负责。</w:t>
      </w:r>
    </w:p>
    <w:p>
      <w:pPr>
        <w:adjustRightInd w:val="0"/>
        <w:snapToGrid w:val="0"/>
        <w:ind w:firstLine="440" w:firstLineChars="200"/>
        <w:jc w:val="left"/>
        <w:rPr>
          <w:color w:val="auto"/>
          <w:sz w:val="22"/>
        </w:rPr>
      </w:pPr>
      <w:r>
        <w:rPr>
          <w:color w:val="auto"/>
          <w:sz w:val="22"/>
        </w:rPr>
        <w:t xml:space="preserve">1.2 投标人对所提供的服务应当享有合法的所有权，没有侵犯任何第三方的知识产权、技术秘密等权利，而且不存在任何抵押、留置、查封等产权瑕疵。 </w:t>
      </w:r>
    </w:p>
    <w:p>
      <w:pPr>
        <w:adjustRightInd w:val="0"/>
        <w:snapToGrid w:val="0"/>
        <w:ind w:firstLine="440" w:firstLineChars="200"/>
        <w:jc w:val="left"/>
        <w:rPr>
          <w:color w:val="auto"/>
          <w:sz w:val="22"/>
        </w:rPr>
      </w:pPr>
      <w:r>
        <w:rPr>
          <w:color w:val="auto"/>
          <w:sz w:val="22"/>
        </w:rPr>
        <w:t>1.3 投标人提供的服务应当符合招标文件的要求，并且其质量完全符合国家标准、行业标准或地方标准。</w:t>
      </w:r>
    </w:p>
    <w:p>
      <w:pPr>
        <w:adjustRightInd w:val="0"/>
        <w:snapToGrid w:val="0"/>
        <w:ind w:firstLine="440" w:firstLineChars="200"/>
        <w:jc w:val="left"/>
        <w:rPr>
          <w:color w:val="auto"/>
          <w:sz w:val="22"/>
        </w:rPr>
      </w:pPr>
      <w:r>
        <w:rPr>
          <w:color w:val="auto"/>
          <w:sz w:val="22"/>
        </w:rPr>
        <w:t>1.4 投标人在投标前应认真了解项目的实施背景、应提供的服务内容和质量、项目考核管理要求等，一旦中标，应按照招标文件和合同规定的要求提供相关服务。</w:t>
      </w:r>
    </w:p>
    <w:p>
      <w:pPr>
        <w:snapToGrid w:val="0"/>
        <w:ind w:firstLine="440" w:firstLineChars="200"/>
        <w:jc w:val="left"/>
        <w:rPr>
          <w:color w:val="auto"/>
          <w:sz w:val="22"/>
        </w:rPr>
      </w:pPr>
      <w:r>
        <w:rPr>
          <w:color w:val="auto"/>
          <w:sz w:val="22"/>
        </w:rPr>
        <w:t>1.5 投标人认为招标文件（包括招标补充文件）存在排他性或歧视性条款，可在收到或下载招标文件之日起七个工作日内提出，并附相关证据。</w:t>
      </w:r>
    </w:p>
    <w:p>
      <w:pPr>
        <w:snapToGrid w:val="0"/>
        <w:ind w:firstLine="440" w:firstLineChars="200"/>
        <w:jc w:val="left"/>
        <w:rPr>
          <w:b/>
          <w:bCs/>
          <w:color w:val="auto"/>
          <w:sz w:val="22"/>
        </w:rPr>
      </w:pPr>
      <w:r>
        <w:rPr>
          <w:color w:val="auto"/>
          <w:sz w:val="22"/>
        </w:rPr>
        <w:t>1.6投标人提供的服务必须符合国家强制性标准。</w:t>
      </w:r>
    </w:p>
    <w:p>
      <w:pPr>
        <w:rPr>
          <w:color w:val="auto"/>
          <w:sz w:val="22"/>
        </w:rPr>
      </w:pPr>
    </w:p>
    <w:p>
      <w:pPr>
        <w:adjustRightInd w:val="0"/>
        <w:snapToGrid w:val="0"/>
        <w:jc w:val="center"/>
        <w:outlineLvl w:val="1"/>
        <w:rPr>
          <w:rFonts w:eastAsia="黑体"/>
          <w:color w:val="auto"/>
          <w:sz w:val="30"/>
          <w:szCs w:val="30"/>
        </w:rPr>
      </w:pPr>
      <w:bookmarkStart w:id="6" w:name="_Toc497211595"/>
      <w:bookmarkStart w:id="7" w:name="_Toc486947676"/>
      <w:bookmarkStart w:id="8" w:name="_Toc149899519"/>
      <w:r>
        <w:rPr>
          <w:rFonts w:eastAsia="黑体"/>
          <w:color w:val="auto"/>
          <w:sz w:val="30"/>
          <w:szCs w:val="30"/>
        </w:rPr>
        <w:t>二、项目概况</w:t>
      </w:r>
      <w:bookmarkEnd w:id="6"/>
      <w:bookmarkEnd w:id="7"/>
      <w:bookmarkEnd w:id="8"/>
    </w:p>
    <w:p>
      <w:pPr>
        <w:snapToGrid w:val="0"/>
        <w:ind w:firstLine="433" w:firstLineChars="196"/>
        <w:outlineLvl w:val="2"/>
        <w:rPr>
          <w:b/>
          <w:bCs/>
          <w:color w:val="auto"/>
          <w:sz w:val="22"/>
        </w:rPr>
      </w:pPr>
      <w:bookmarkStart w:id="9" w:name="_Toc149899520"/>
      <w:bookmarkStart w:id="10" w:name="_Toc124860825"/>
      <w:r>
        <w:rPr>
          <w:b/>
          <w:bCs/>
          <w:color w:val="auto"/>
          <w:sz w:val="22"/>
        </w:rPr>
        <w:t>2 项目名称</w:t>
      </w:r>
      <w:bookmarkEnd w:id="9"/>
      <w:bookmarkEnd w:id="10"/>
    </w:p>
    <w:p>
      <w:pPr>
        <w:pStyle w:val="127"/>
        <w:rPr>
          <w:bCs w:val="0"/>
          <w:color w:val="auto"/>
          <w:szCs w:val="22"/>
        </w:rPr>
      </w:pPr>
      <w:r>
        <w:rPr>
          <w:bCs w:val="0"/>
          <w:color w:val="auto"/>
          <w:szCs w:val="22"/>
        </w:rPr>
        <w:t>项目名称：</w:t>
      </w:r>
      <w:r>
        <w:rPr>
          <w:rFonts w:hint="eastAsia"/>
          <w:color w:val="auto"/>
          <w:szCs w:val="22"/>
        </w:rPr>
        <w:t>区级林地养护项目</w:t>
      </w:r>
    </w:p>
    <w:p>
      <w:pPr>
        <w:snapToGrid w:val="0"/>
        <w:ind w:firstLine="433" w:firstLineChars="196"/>
        <w:outlineLvl w:val="2"/>
        <w:rPr>
          <w:b/>
          <w:bCs/>
          <w:color w:val="auto"/>
          <w:sz w:val="22"/>
        </w:rPr>
      </w:pPr>
      <w:bookmarkStart w:id="11" w:name="_Toc149899521"/>
      <w:bookmarkStart w:id="12" w:name="_Toc124860826"/>
      <w:r>
        <w:rPr>
          <w:b/>
          <w:bCs/>
          <w:color w:val="auto"/>
          <w:sz w:val="22"/>
        </w:rPr>
        <w:t>3 项目地点</w:t>
      </w:r>
      <w:bookmarkEnd w:id="11"/>
      <w:bookmarkEnd w:id="12"/>
    </w:p>
    <w:p>
      <w:pPr>
        <w:pStyle w:val="127"/>
        <w:rPr>
          <w:rFonts w:hint="eastAsia" w:eastAsia="宋体"/>
          <w:bCs w:val="0"/>
          <w:color w:val="auto"/>
          <w:szCs w:val="22"/>
          <w:lang w:eastAsia="zh-CN"/>
        </w:rPr>
      </w:pPr>
      <w:r>
        <w:rPr>
          <w:bCs w:val="0"/>
          <w:color w:val="auto"/>
          <w:szCs w:val="22"/>
        </w:rPr>
        <w:t>项目地点：</w:t>
      </w:r>
      <w:bookmarkStart w:id="13" w:name="_Toc124860827"/>
      <w:bookmarkStart w:id="14" w:name="_Toc149899522"/>
      <w:r>
        <w:rPr>
          <w:rFonts w:hint="eastAsia"/>
          <w:bCs w:val="0"/>
          <w:color w:val="auto"/>
          <w:szCs w:val="22"/>
        </w:rPr>
        <w:t>绿丽港生态绿地公益林、黄日港生态绿地公益林、临港新片区S2</w:t>
      </w:r>
      <w:r>
        <w:rPr>
          <w:rFonts w:hint="eastAsia"/>
          <w:bCs w:val="0"/>
          <w:color w:val="auto"/>
          <w:szCs w:val="22"/>
          <w:lang w:val="en-US" w:eastAsia="zh-CN"/>
        </w:rPr>
        <w:t>及</w:t>
      </w:r>
      <w:r>
        <w:rPr>
          <w:rFonts w:hint="eastAsia"/>
          <w:bCs w:val="0"/>
          <w:color w:val="auto"/>
          <w:szCs w:val="22"/>
        </w:rPr>
        <w:t>两港大道门户地块公益林、上海中学东校高中部周边生态公益林、封闭测试基地生态林</w:t>
      </w:r>
      <w:r>
        <w:rPr>
          <w:rFonts w:hint="eastAsia"/>
          <w:bCs w:val="0"/>
          <w:color w:val="auto"/>
          <w:szCs w:val="22"/>
          <w:lang w:eastAsia="zh-CN"/>
        </w:rPr>
        <w:t>。</w:t>
      </w:r>
    </w:p>
    <w:p>
      <w:pPr>
        <w:pStyle w:val="127"/>
        <w:ind w:firstLine="424"/>
        <w:rPr>
          <w:b/>
          <w:color w:val="auto"/>
        </w:rPr>
      </w:pPr>
      <w:r>
        <w:rPr>
          <w:b/>
          <w:color w:val="auto"/>
        </w:rPr>
        <w:t xml:space="preserve">4 </w:t>
      </w:r>
      <w:r>
        <w:rPr>
          <w:rFonts w:hint="eastAsia"/>
          <w:b/>
          <w:color w:val="auto"/>
          <w:lang w:eastAsia="zh-CN"/>
        </w:rPr>
        <w:t>招标</w:t>
      </w:r>
      <w:r>
        <w:rPr>
          <w:b/>
          <w:color w:val="auto"/>
        </w:rPr>
        <w:t>范围与内容</w:t>
      </w:r>
      <w:bookmarkEnd w:id="13"/>
      <w:bookmarkEnd w:id="14"/>
    </w:p>
    <w:p>
      <w:pPr>
        <w:snapToGrid w:val="0"/>
        <w:ind w:firstLine="440" w:firstLineChars="200"/>
        <w:jc w:val="left"/>
        <w:rPr>
          <w:color w:val="auto"/>
          <w:sz w:val="22"/>
        </w:rPr>
      </w:pPr>
      <w:r>
        <w:rPr>
          <w:color w:val="auto"/>
          <w:sz w:val="22"/>
        </w:rPr>
        <w:t>4.1 项目招标范围及内容</w:t>
      </w:r>
    </w:p>
    <w:p>
      <w:pPr>
        <w:pStyle w:val="127"/>
        <w:rPr>
          <w:color w:val="auto"/>
          <w:szCs w:val="22"/>
        </w:rPr>
      </w:pPr>
      <w:r>
        <w:rPr>
          <w:color w:val="auto"/>
          <w:szCs w:val="22"/>
        </w:rPr>
        <w:t>招标范围为</w:t>
      </w:r>
      <w:r>
        <w:rPr>
          <w:rFonts w:hint="eastAsia"/>
          <w:color w:val="auto"/>
          <w:szCs w:val="22"/>
        </w:rPr>
        <w:t>绿丽港生态绿地公益林、黄日港生态绿地公益林、封闭测试基地生态林</w:t>
      </w:r>
      <w:r>
        <w:rPr>
          <w:rFonts w:hint="eastAsia"/>
          <w:color w:val="auto"/>
          <w:szCs w:val="22"/>
          <w:lang w:eastAsia="zh-CN"/>
        </w:rPr>
        <w:t>、</w:t>
      </w:r>
      <w:r>
        <w:rPr>
          <w:rFonts w:hint="eastAsia"/>
          <w:color w:val="auto"/>
          <w:szCs w:val="22"/>
        </w:rPr>
        <w:t>临港新片区S2</w:t>
      </w:r>
      <w:r>
        <w:rPr>
          <w:rFonts w:hint="eastAsia"/>
          <w:color w:val="auto"/>
          <w:szCs w:val="22"/>
          <w:lang w:val="en-US" w:eastAsia="zh-CN"/>
        </w:rPr>
        <w:t>及</w:t>
      </w:r>
      <w:r>
        <w:rPr>
          <w:rFonts w:hint="eastAsia"/>
          <w:color w:val="auto"/>
          <w:szCs w:val="22"/>
        </w:rPr>
        <w:t>两港大道门户地块公益林、上海中学东校高中部周边生态公益林</w:t>
      </w:r>
      <w:r>
        <w:rPr>
          <w:color w:val="auto"/>
          <w:szCs w:val="22"/>
        </w:rPr>
        <w:t>，养护面积</w:t>
      </w:r>
      <w:r>
        <w:rPr>
          <w:rFonts w:hint="eastAsia"/>
          <w:color w:val="auto"/>
          <w:szCs w:val="22"/>
        </w:rPr>
        <w:t>2562.58亩</w:t>
      </w:r>
      <w:r>
        <w:rPr>
          <w:rFonts w:hint="eastAsia"/>
          <w:color w:val="auto"/>
          <w:szCs w:val="22"/>
          <w:lang w:eastAsia="zh-CN"/>
        </w:rPr>
        <w:t>。</w:t>
      </w:r>
      <w:r>
        <w:rPr>
          <w:rFonts w:hint="eastAsia"/>
          <w:color w:val="auto"/>
          <w:szCs w:val="22"/>
          <w:lang w:val="en-US" w:eastAsia="zh-CN"/>
        </w:rPr>
        <w:t>其中</w:t>
      </w:r>
      <w:r>
        <w:rPr>
          <w:rFonts w:hint="eastAsia"/>
          <w:color w:val="auto"/>
          <w:szCs w:val="22"/>
        </w:rPr>
        <w:t>绿丽港生态绿地公益林</w:t>
      </w:r>
      <w:r>
        <w:rPr>
          <w:rFonts w:hint="eastAsia"/>
          <w:color w:val="auto"/>
          <w:szCs w:val="22"/>
          <w:lang w:val="en-US" w:eastAsia="zh-CN"/>
        </w:rPr>
        <w:t>面积为1100.2亩、</w:t>
      </w:r>
      <w:r>
        <w:rPr>
          <w:rFonts w:hint="eastAsia"/>
          <w:color w:val="auto"/>
          <w:szCs w:val="22"/>
        </w:rPr>
        <w:t>黄日港生态绿地公益林</w:t>
      </w:r>
      <w:r>
        <w:rPr>
          <w:rFonts w:hint="eastAsia"/>
          <w:color w:val="auto"/>
          <w:szCs w:val="22"/>
          <w:lang w:val="en-US" w:eastAsia="zh-CN"/>
        </w:rPr>
        <w:t>面积为909.38亩，按一级养护林地养护标准；</w:t>
      </w:r>
      <w:r>
        <w:rPr>
          <w:rFonts w:hint="eastAsia"/>
          <w:color w:val="auto"/>
          <w:szCs w:val="22"/>
        </w:rPr>
        <w:t>封闭测试基地生态林</w:t>
      </w:r>
      <w:r>
        <w:rPr>
          <w:rFonts w:hint="eastAsia"/>
          <w:color w:val="auto"/>
          <w:szCs w:val="22"/>
          <w:lang w:val="en-US" w:eastAsia="zh-CN"/>
        </w:rPr>
        <w:t>面积为357亩、</w:t>
      </w:r>
      <w:r>
        <w:rPr>
          <w:rFonts w:hint="eastAsia"/>
          <w:color w:val="auto"/>
          <w:szCs w:val="22"/>
        </w:rPr>
        <w:t>临港新片区S2</w:t>
      </w:r>
      <w:r>
        <w:rPr>
          <w:rFonts w:hint="eastAsia"/>
          <w:color w:val="auto"/>
          <w:szCs w:val="22"/>
          <w:lang w:val="en-US" w:eastAsia="zh-CN"/>
        </w:rPr>
        <w:t>及</w:t>
      </w:r>
      <w:r>
        <w:rPr>
          <w:rFonts w:hint="eastAsia"/>
          <w:color w:val="auto"/>
          <w:szCs w:val="22"/>
        </w:rPr>
        <w:t>两港大道门户地块公益林</w:t>
      </w:r>
      <w:r>
        <w:rPr>
          <w:rFonts w:hint="eastAsia"/>
          <w:color w:val="auto"/>
          <w:szCs w:val="22"/>
          <w:lang w:val="en-US" w:eastAsia="zh-CN"/>
        </w:rPr>
        <w:t>面积为165亩、</w:t>
      </w:r>
      <w:r>
        <w:rPr>
          <w:rFonts w:hint="eastAsia"/>
          <w:color w:val="auto"/>
          <w:szCs w:val="22"/>
        </w:rPr>
        <w:t>上海中学东校高中部周边生态公益林</w:t>
      </w:r>
      <w:r>
        <w:rPr>
          <w:rFonts w:hint="eastAsia"/>
          <w:color w:val="auto"/>
          <w:szCs w:val="22"/>
          <w:lang w:val="en-US" w:eastAsia="zh-CN"/>
        </w:rPr>
        <w:t>面积为31亩，按二级养护林地养护标准。</w:t>
      </w:r>
    </w:p>
    <w:p>
      <w:pPr>
        <w:pStyle w:val="127"/>
        <w:rPr>
          <w:rFonts w:hint="eastAsia" w:eastAsia="宋体"/>
          <w:color w:val="auto"/>
          <w:szCs w:val="22"/>
          <w:lang w:eastAsia="zh-CN"/>
        </w:rPr>
      </w:pPr>
      <w:r>
        <w:rPr>
          <w:rFonts w:hint="eastAsia"/>
          <w:color w:val="auto"/>
          <w:szCs w:val="22"/>
          <w:lang w:val="en-US" w:eastAsia="zh-CN"/>
        </w:rPr>
        <w:t>招标</w:t>
      </w:r>
      <w:r>
        <w:rPr>
          <w:rFonts w:hint="eastAsia"/>
          <w:color w:val="auto"/>
          <w:szCs w:val="22"/>
        </w:rPr>
        <w:t>公益林养护内容主要为公益林日常养护管理，主要为林地管理、林木管理、有害生物防控和基础设施维护四个方面十二项内容。其中，林地管理包括林地资源保存、林相结构、杂草控制、林地保洁、沟渠清理、林地冬翻</w:t>
      </w:r>
      <w:r>
        <w:rPr>
          <w:rFonts w:hint="eastAsia"/>
          <w:color w:val="auto"/>
          <w:szCs w:val="22"/>
          <w:lang w:eastAsia="zh-CN"/>
        </w:rPr>
        <w:t>；</w:t>
      </w:r>
      <w:r>
        <w:rPr>
          <w:rFonts w:hint="eastAsia"/>
          <w:color w:val="auto"/>
          <w:szCs w:val="22"/>
        </w:rPr>
        <w:t>林木生长包括林木长势、林木修剪补植、树木涂白:有害生物防控包括森林病虫及草害等有害生物的防治情况等</w:t>
      </w:r>
      <w:r>
        <w:rPr>
          <w:rFonts w:hint="eastAsia"/>
          <w:color w:val="auto"/>
          <w:szCs w:val="22"/>
          <w:lang w:eastAsia="zh-CN"/>
        </w:rPr>
        <w:t>；</w:t>
      </w:r>
      <w:r>
        <w:rPr>
          <w:rFonts w:hint="eastAsia"/>
          <w:color w:val="auto"/>
          <w:szCs w:val="22"/>
        </w:rPr>
        <w:t>基础设施管护主要为基础设施设备的日常管理维护情况</w:t>
      </w:r>
      <w:r>
        <w:rPr>
          <w:rFonts w:hint="eastAsia"/>
          <w:color w:val="auto"/>
          <w:szCs w:val="22"/>
          <w:lang w:eastAsia="zh-CN"/>
        </w:rPr>
        <w:t>。</w:t>
      </w:r>
    </w:p>
    <w:p>
      <w:pPr>
        <w:snapToGrid w:val="0"/>
        <w:ind w:firstLine="440" w:firstLineChars="200"/>
        <w:jc w:val="left"/>
        <w:rPr>
          <w:color w:val="auto"/>
          <w:sz w:val="22"/>
          <w:highlight w:val="none"/>
        </w:rPr>
      </w:pPr>
      <w:r>
        <w:rPr>
          <w:color w:val="auto"/>
          <w:sz w:val="22"/>
          <w:highlight w:val="none"/>
        </w:rPr>
        <w:t>4.2本项目</w:t>
      </w:r>
      <w:r>
        <w:rPr>
          <w:rFonts w:hint="eastAsia"/>
          <w:color w:val="auto"/>
          <w:sz w:val="22"/>
          <w:highlight w:val="none"/>
        </w:rPr>
        <w:t>合同一年，</w:t>
      </w:r>
      <w:r>
        <w:rPr>
          <w:color w:val="auto"/>
          <w:sz w:val="22"/>
          <w:highlight w:val="none"/>
        </w:rPr>
        <w:t>服务期限具体起始时间以合同签订日期为准。</w:t>
      </w:r>
    </w:p>
    <w:p>
      <w:pPr>
        <w:adjustRightInd w:val="0"/>
        <w:snapToGrid w:val="0"/>
        <w:ind w:firstLine="550" w:firstLineChars="249"/>
        <w:jc w:val="left"/>
        <w:outlineLvl w:val="2"/>
        <w:rPr>
          <w:b/>
          <w:color w:val="auto"/>
          <w:sz w:val="22"/>
        </w:rPr>
      </w:pPr>
      <w:bookmarkStart w:id="15" w:name="_Toc124860828"/>
      <w:bookmarkStart w:id="16" w:name="_Toc149899523"/>
      <w:r>
        <w:rPr>
          <w:b/>
          <w:color w:val="auto"/>
          <w:sz w:val="22"/>
        </w:rPr>
        <w:t>5 承包方式</w:t>
      </w:r>
      <w:bookmarkEnd w:id="15"/>
      <w:bookmarkEnd w:id="16"/>
    </w:p>
    <w:p>
      <w:pPr>
        <w:snapToGrid w:val="0"/>
        <w:ind w:firstLine="550" w:firstLineChars="250"/>
        <w:jc w:val="left"/>
        <w:rPr>
          <w:color w:val="auto"/>
          <w:sz w:val="22"/>
        </w:rPr>
      </w:pPr>
      <w:r>
        <w:rPr>
          <w:color w:val="auto"/>
          <w:sz w:val="22"/>
        </w:rPr>
        <w:t>5.1 依据本项目的招标范围和内容，中标人以</w:t>
      </w:r>
      <w:r>
        <w:rPr>
          <w:color w:val="auto"/>
          <w:sz w:val="22"/>
          <w:u w:val="single"/>
        </w:rPr>
        <w:t>包工、包料、包施工、包质量、包安全、包进度</w:t>
      </w:r>
      <w:r>
        <w:rPr>
          <w:color w:val="auto"/>
          <w:sz w:val="22"/>
        </w:rPr>
        <w:t>的方式实施总承包。</w:t>
      </w:r>
    </w:p>
    <w:p>
      <w:pPr>
        <w:snapToGrid w:val="0"/>
        <w:ind w:firstLine="550" w:firstLineChars="250"/>
        <w:jc w:val="left"/>
        <w:rPr>
          <w:color w:val="auto"/>
          <w:sz w:val="22"/>
        </w:rPr>
      </w:pPr>
      <w:r>
        <w:rPr>
          <w:color w:val="auto"/>
          <w:sz w:val="22"/>
        </w:rPr>
        <w:t>5.2 本项目不允许分包。</w:t>
      </w:r>
    </w:p>
    <w:p>
      <w:pPr>
        <w:adjustRightInd w:val="0"/>
        <w:snapToGrid w:val="0"/>
        <w:ind w:firstLine="550" w:firstLineChars="249"/>
        <w:jc w:val="left"/>
        <w:outlineLvl w:val="2"/>
        <w:rPr>
          <w:b/>
          <w:color w:val="auto"/>
          <w:sz w:val="22"/>
        </w:rPr>
      </w:pPr>
      <w:bookmarkStart w:id="17" w:name="_Toc149899524"/>
      <w:bookmarkStart w:id="18" w:name="_Toc124860829"/>
      <w:r>
        <w:rPr>
          <w:b/>
          <w:color w:val="auto"/>
          <w:sz w:val="22"/>
        </w:rPr>
        <w:t>6 合同的签订</w:t>
      </w:r>
      <w:bookmarkEnd w:id="17"/>
      <w:bookmarkEnd w:id="18"/>
    </w:p>
    <w:p>
      <w:pPr>
        <w:snapToGrid w:val="0"/>
        <w:ind w:firstLine="550" w:firstLineChars="250"/>
        <w:jc w:val="left"/>
        <w:rPr>
          <w:color w:val="auto"/>
          <w:sz w:val="22"/>
        </w:rPr>
      </w:pPr>
      <w:r>
        <w:rPr>
          <w:color w:val="auto"/>
          <w:sz w:val="22"/>
        </w:rPr>
        <w:t>6.1 本项目合同的标的、价格、质量及验收标准、考核管理、履约期限等主要条款应当与招标文件和中标人投标文件的内容一致，并互相补充和解释。</w:t>
      </w:r>
    </w:p>
    <w:p>
      <w:pPr>
        <w:rPr>
          <w:color w:val="auto"/>
          <w:sz w:val="20"/>
          <w:szCs w:val="20"/>
        </w:rPr>
      </w:pPr>
    </w:p>
    <w:p>
      <w:pPr>
        <w:adjustRightInd w:val="0"/>
        <w:snapToGrid w:val="0"/>
        <w:jc w:val="center"/>
        <w:outlineLvl w:val="1"/>
        <w:rPr>
          <w:rFonts w:eastAsia="黑体"/>
          <w:color w:val="auto"/>
          <w:sz w:val="30"/>
          <w:szCs w:val="30"/>
        </w:rPr>
      </w:pPr>
      <w:bookmarkStart w:id="19" w:name="_Toc497211602"/>
      <w:bookmarkStart w:id="20" w:name="_Toc149899526"/>
      <w:r>
        <w:rPr>
          <w:rFonts w:eastAsia="黑体"/>
          <w:color w:val="auto"/>
          <w:sz w:val="30"/>
          <w:szCs w:val="30"/>
        </w:rPr>
        <w:t>三、技术质量要求</w:t>
      </w:r>
      <w:bookmarkEnd w:id="19"/>
      <w:bookmarkEnd w:id="20"/>
    </w:p>
    <w:p>
      <w:pPr>
        <w:adjustRightInd w:val="0"/>
        <w:snapToGrid w:val="0"/>
        <w:ind w:firstLine="433" w:firstLineChars="196"/>
        <w:jc w:val="left"/>
        <w:outlineLvl w:val="2"/>
        <w:rPr>
          <w:b/>
          <w:color w:val="auto"/>
          <w:sz w:val="22"/>
        </w:rPr>
      </w:pPr>
      <w:bookmarkStart w:id="21" w:name="_Toc149899527"/>
      <w:bookmarkStart w:id="22" w:name="_Toc124860832"/>
      <w:r>
        <w:rPr>
          <w:b/>
          <w:color w:val="auto"/>
          <w:sz w:val="22"/>
        </w:rPr>
        <w:t>8 技术规范和规范性文件</w:t>
      </w:r>
      <w:bookmarkEnd w:id="21"/>
      <w:bookmarkEnd w:id="22"/>
    </w:p>
    <w:p>
      <w:pPr>
        <w:snapToGrid w:val="0"/>
        <w:ind w:firstLine="440" w:firstLineChars="200"/>
        <w:jc w:val="left"/>
        <w:rPr>
          <w:b/>
          <w:color w:val="auto"/>
          <w:sz w:val="22"/>
          <w:u w:val="single"/>
        </w:rPr>
      </w:pPr>
      <w:r>
        <w:rPr>
          <w:bCs/>
          <w:color w:val="auto"/>
          <w:sz w:val="22"/>
        </w:rPr>
        <w:t>本项目的养护质量检查评定、养护维修技术标准及养护施工安全文明要求适用国家现行法律、规范、规程、标准以及上海市现行规范标准，具体包括：</w:t>
      </w:r>
    </w:p>
    <w:p>
      <w:pPr>
        <w:tabs>
          <w:tab w:val="left" w:pos="3060"/>
        </w:tabs>
        <w:snapToGrid w:val="0"/>
        <w:ind w:firstLine="440" w:firstLineChars="200"/>
        <w:rPr>
          <w:bCs/>
          <w:color w:val="auto"/>
          <w:sz w:val="22"/>
        </w:rPr>
      </w:pPr>
      <w:r>
        <w:rPr>
          <w:bCs/>
          <w:color w:val="auto"/>
          <w:sz w:val="22"/>
        </w:rPr>
        <w:t>8.1《园林绿化养护技术规程》   DG/TJ08-19-2011 J11852-</w:t>
      </w:r>
      <w:r>
        <w:rPr>
          <w:rFonts w:hint="eastAsia"/>
          <w:bCs/>
          <w:color w:val="auto"/>
          <w:sz w:val="22"/>
          <w:lang w:val="en-US" w:eastAsia="zh-CN"/>
        </w:rPr>
        <w:t>2011</w:t>
      </w:r>
      <w:r>
        <w:rPr>
          <w:bCs/>
          <w:color w:val="auto"/>
          <w:sz w:val="22"/>
        </w:rPr>
        <w:t xml:space="preserve"> </w:t>
      </w:r>
    </w:p>
    <w:p>
      <w:pPr>
        <w:tabs>
          <w:tab w:val="left" w:pos="3060"/>
        </w:tabs>
        <w:snapToGrid w:val="0"/>
        <w:ind w:firstLine="440" w:firstLineChars="200"/>
        <w:rPr>
          <w:bCs/>
          <w:color w:val="auto"/>
          <w:sz w:val="22"/>
        </w:rPr>
      </w:pPr>
      <w:r>
        <w:rPr>
          <w:bCs/>
          <w:color w:val="auto"/>
          <w:sz w:val="22"/>
        </w:rPr>
        <w:t xml:space="preserve">8.2《园林植物栽植技术规程》   DBJ08-18-91 </w:t>
      </w:r>
    </w:p>
    <w:p>
      <w:pPr>
        <w:tabs>
          <w:tab w:val="left" w:pos="3060"/>
        </w:tabs>
        <w:snapToGrid w:val="0"/>
        <w:ind w:firstLine="440" w:firstLineChars="200"/>
        <w:rPr>
          <w:bCs/>
          <w:color w:val="auto"/>
          <w:sz w:val="22"/>
        </w:rPr>
      </w:pPr>
      <w:r>
        <w:rPr>
          <w:bCs/>
          <w:color w:val="auto"/>
          <w:sz w:val="22"/>
        </w:rPr>
        <w:t xml:space="preserve">8.3《园林植物养护技术规程》   DBJ08-19-91 </w:t>
      </w:r>
    </w:p>
    <w:p>
      <w:pPr>
        <w:tabs>
          <w:tab w:val="left" w:pos="3060"/>
        </w:tabs>
        <w:snapToGrid w:val="0"/>
        <w:ind w:firstLine="440" w:firstLineChars="200"/>
        <w:rPr>
          <w:bCs/>
          <w:color w:val="auto"/>
          <w:sz w:val="22"/>
        </w:rPr>
      </w:pPr>
      <w:r>
        <w:rPr>
          <w:bCs/>
          <w:color w:val="auto"/>
          <w:sz w:val="22"/>
        </w:rPr>
        <w:t xml:space="preserve">8.4《园林植物保护技术规程》   DBJ08-35-94 </w:t>
      </w:r>
    </w:p>
    <w:p>
      <w:pPr>
        <w:tabs>
          <w:tab w:val="left" w:pos="3060"/>
        </w:tabs>
        <w:snapToGrid w:val="0"/>
        <w:ind w:firstLine="440" w:firstLineChars="200"/>
        <w:rPr>
          <w:bCs/>
          <w:color w:val="auto"/>
          <w:sz w:val="22"/>
        </w:rPr>
      </w:pPr>
      <w:r>
        <w:rPr>
          <w:bCs/>
          <w:color w:val="auto"/>
          <w:sz w:val="22"/>
        </w:rPr>
        <w:t>8.5《大树移植技术规程》       DBJ08-53-96</w:t>
      </w:r>
    </w:p>
    <w:p>
      <w:pPr>
        <w:tabs>
          <w:tab w:val="left" w:pos="3060"/>
        </w:tabs>
        <w:snapToGrid w:val="0"/>
        <w:ind w:firstLine="440" w:firstLineChars="200"/>
        <w:rPr>
          <w:bCs/>
          <w:color w:val="auto"/>
          <w:sz w:val="22"/>
        </w:rPr>
      </w:pPr>
      <w:r>
        <w:rPr>
          <w:bCs/>
          <w:color w:val="auto"/>
          <w:sz w:val="22"/>
        </w:rPr>
        <w:t>8.6《园林栽植土质量标准》     DBJ08-231-98</w:t>
      </w:r>
    </w:p>
    <w:p>
      <w:pPr>
        <w:tabs>
          <w:tab w:val="left" w:pos="3060"/>
        </w:tabs>
        <w:snapToGrid w:val="0"/>
        <w:ind w:firstLine="440" w:firstLineChars="200"/>
        <w:rPr>
          <w:bCs/>
          <w:color w:val="auto"/>
          <w:sz w:val="22"/>
        </w:rPr>
      </w:pPr>
      <w:r>
        <w:rPr>
          <w:bCs/>
          <w:color w:val="auto"/>
          <w:sz w:val="22"/>
        </w:rPr>
        <w:t xml:space="preserve">8.7《上海市绿化条例》（2015）  </w:t>
      </w:r>
    </w:p>
    <w:p>
      <w:pPr>
        <w:tabs>
          <w:tab w:val="left" w:pos="3060"/>
        </w:tabs>
        <w:snapToGrid w:val="0"/>
        <w:ind w:firstLine="440" w:firstLineChars="200"/>
        <w:rPr>
          <w:bCs/>
          <w:color w:val="auto"/>
          <w:sz w:val="22"/>
        </w:rPr>
      </w:pPr>
      <w:r>
        <w:rPr>
          <w:bCs/>
          <w:color w:val="auto"/>
          <w:sz w:val="22"/>
        </w:rPr>
        <w:t>8.8《上海市环城绿带管理办法》（2002）</w:t>
      </w:r>
    </w:p>
    <w:p>
      <w:pPr>
        <w:tabs>
          <w:tab w:val="left" w:pos="3060"/>
        </w:tabs>
        <w:snapToGrid w:val="0"/>
        <w:ind w:firstLine="440" w:firstLineChars="200"/>
        <w:rPr>
          <w:bCs/>
          <w:color w:val="auto"/>
          <w:sz w:val="22"/>
        </w:rPr>
      </w:pPr>
      <w:r>
        <w:rPr>
          <w:bCs/>
          <w:color w:val="auto"/>
          <w:sz w:val="22"/>
        </w:rPr>
        <w:t>8.9 《</w:t>
      </w:r>
      <w:r>
        <w:rPr>
          <w:color w:val="auto"/>
        </w:rPr>
        <w:fldChar w:fldCharType="begin"/>
      </w:r>
      <w:r>
        <w:rPr>
          <w:color w:val="auto"/>
        </w:rPr>
        <w:instrText xml:space="preserve"> HYPERLINK "http://www.jianbiaoku.com/webarbs/book/20668/597316.shtml" \t "http://www.jianbiaoku.com/webarbs/book/20668/_self" </w:instrText>
      </w:r>
      <w:r>
        <w:rPr>
          <w:color w:val="auto"/>
        </w:rPr>
        <w:fldChar w:fldCharType="separate"/>
      </w:r>
      <w:r>
        <w:rPr>
          <w:bCs/>
          <w:color w:val="auto"/>
          <w:sz w:val="22"/>
        </w:rPr>
        <w:t>上海市生态公益林养护技术规程》 DG/TJ08-2096-2012</w:t>
      </w:r>
      <w:r>
        <w:rPr>
          <w:bCs/>
          <w:color w:val="auto"/>
          <w:sz w:val="22"/>
        </w:rPr>
        <w:fldChar w:fldCharType="end"/>
      </w:r>
    </w:p>
    <w:p>
      <w:pPr>
        <w:tabs>
          <w:tab w:val="left" w:pos="3060"/>
        </w:tabs>
        <w:snapToGrid w:val="0"/>
        <w:ind w:firstLine="440" w:firstLineChars="200"/>
        <w:rPr>
          <w:bCs/>
          <w:color w:val="auto"/>
          <w:sz w:val="22"/>
        </w:rPr>
      </w:pPr>
      <w:r>
        <w:rPr>
          <w:bCs/>
          <w:color w:val="auto"/>
          <w:sz w:val="22"/>
        </w:rPr>
        <w:t>8.10《上海公路绿化养护技术规程》（SZ-36-2004）</w:t>
      </w:r>
    </w:p>
    <w:p>
      <w:pPr>
        <w:tabs>
          <w:tab w:val="left" w:pos="3060"/>
        </w:tabs>
        <w:snapToGrid w:val="0"/>
        <w:ind w:firstLine="440" w:firstLineChars="200"/>
        <w:rPr>
          <w:bCs/>
          <w:color w:val="auto"/>
          <w:sz w:val="22"/>
        </w:rPr>
      </w:pPr>
      <w:r>
        <w:rPr>
          <w:bCs/>
          <w:color w:val="auto"/>
          <w:sz w:val="22"/>
        </w:rPr>
        <w:t>8.11《中华人民共和国安全生产法》（2002年6月29日第九届全国人大常委会第28次会议通过）</w:t>
      </w:r>
    </w:p>
    <w:p>
      <w:pPr>
        <w:tabs>
          <w:tab w:val="left" w:pos="3060"/>
        </w:tabs>
        <w:snapToGrid w:val="0"/>
        <w:ind w:firstLine="440" w:firstLineChars="200"/>
        <w:rPr>
          <w:bCs/>
          <w:color w:val="auto"/>
          <w:sz w:val="22"/>
        </w:rPr>
      </w:pPr>
      <w:r>
        <w:rPr>
          <w:bCs/>
          <w:color w:val="auto"/>
          <w:sz w:val="22"/>
        </w:rPr>
        <w:t>8.12《国务院关于进一步加强企业安全生产工作的通知》（国发〔2010〕23号）</w:t>
      </w:r>
    </w:p>
    <w:p>
      <w:pPr>
        <w:tabs>
          <w:tab w:val="left" w:pos="3060"/>
        </w:tabs>
        <w:snapToGrid w:val="0"/>
        <w:ind w:firstLine="440" w:firstLineChars="200"/>
        <w:rPr>
          <w:bCs/>
          <w:color w:val="auto"/>
          <w:sz w:val="22"/>
        </w:rPr>
      </w:pPr>
      <w:r>
        <w:rPr>
          <w:bCs/>
          <w:color w:val="auto"/>
          <w:sz w:val="22"/>
        </w:rPr>
        <w:t>8.13《上海市安全生产条例》（20</w:t>
      </w:r>
      <w:r>
        <w:rPr>
          <w:rFonts w:hint="eastAsia"/>
          <w:bCs/>
          <w:color w:val="auto"/>
          <w:sz w:val="22"/>
          <w:lang w:val="en-US" w:eastAsia="zh-CN"/>
        </w:rPr>
        <w:t>22</w:t>
      </w:r>
      <w:r>
        <w:rPr>
          <w:bCs/>
          <w:color w:val="auto"/>
          <w:sz w:val="22"/>
        </w:rPr>
        <w:t>年9月22日上海市第1</w:t>
      </w:r>
      <w:r>
        <w:rPr>
          <w:rFonts w:hint="eastAsia"/>
          <w:bCs/>
          <w:color w:val="auto"/>
          <w:sz w:val="22"/>
          <w:lang w:val="en-US" w:eastAsia="zh-CN"/>
        </w:rPr>
        <w:t>3</w:t>
      </w:r>
      <w:r>
        <w:rPr>
          <w:bCs/>
          <w:color w:val="auto"/>
          <w:sz w:val="22"/>
        </w:rPr>
        <w:t>届人大常委会第29次会议</w:t>
      </w:r>
      <w:r>
        <w:rPr>
          <w:rFonts w:hint="eastAsia"/>
          <w:bCs/>
          <w:color w:val="auto"/>
          <w:sz w:val="22"/>
          <w:lang w:val="en-US" w:eastAsia="zh-CN"/>
        </w:rPr>
        <w:t>修订过</w:t>
      </w:r>
      <w:r>
        <w:rPr>
          <w:bCs/>
          <w:color w:val="auto"/>
          <w:sz w:val="22"/>
        </w:rPr>
        <w:t>）</w:t>
      </w:r>
    </w:p>
    <w:p>
      <w:pPr>
        <w:tabs>
          <w:tab w:val="left" w:pos="3060"/>
        </w:tabs>
        <w:snapToGrid w:val="0"/>
        <w:ind w:firstLine="440" w:firstLineChars="200"/>
        <w:rPr>
          <w:bCs/>
          <w:color w:val="auto"/>
          <w:sz w:val="22"/>
        </w:rPr>
      </w:pPr>
      <w:r>
        <w:rPr>
          <w:bCs/>
          <w:color w:val="auto"/>
          <w:sz w:val="22"/>
        </w:rPr>
        <w:t>8.14《上海市建设工程文明施工管理规定》（201</w:t>
      </w:r>
      <w:r>
        <w:rPr>
          <w:rFonts w:hint="eastAsia"/>
          <w:bCs/>
          <w:color w:val="auto"/>
          <w:sz w:val="22"/>
          <w:lang w:val="en-US" w:eastAsia="zh-CN"/>
        </w:rPr>
        <w:t>9</w:t>
      </w:r>
      <w:r>
        <w:rPr>
          <w:bCs/>
          <w:color w:val="auto"/>
          <w:sz w:val="22"/>
        </w:rPr>
        <w:t>年</w:t>
      </w:r>
      <w:r>
        <w:rPr>
          <w:rFonts w:hint="eastAsia"/>
          <w:bCs/>
          <w:color w:val="auto"/>
          <w:sz w:val="22"/>
          <w:lang w:val="en-US" w:eastAsia="zh-CN"/>
        </w:rPr>
        <w:t>9</w:t>
      </w:r>
      <w:r>
        <w:rPr>
          <w:bCs/>
          <w:color w:val="auto"/>
          <w:sz w:val="22"/>
        </w:rPr>
        <w:t>月</w:t>
      </w:r>
      <w:r>
        <w:rPr>
          <w:rFonts w:hint="eastAsia"/>
          <w:bCs/>
          <w:color w:val="auto"/>
          <w:sz w:val="22"/>
          <w:lang w:val="en-US" w:eastAsia="zh-CN"/>
        </w:rPr>
        <w:t>18</w:t>
      </w:r>
      <w:r>
        <w:rPr>
          <w:bCs/>
          <w:color w:val="auto"/>
          <w:sz w:val="22"/>
        </w:rPr>
        <w:t>日上海市人民政府令第</w:t>
      </w:r>
      <w:r>
        <w:rPr>
          <w:rFonts w:hint="eastAsia"/>
          <w:bCs/>
          <w:color w:val="auto"/>
          <w:sz w:val="22"/>
          <w:lang w:val="en-US" w:eastAsia="zh-CN"/>
        </w:rPr>
        <w:t>23</w:t>
      </w:r>
      <w:r>
        <w:rPr>
          <w:bCs/>
          <w:color w:val="auto"/>
          <w:sz w:val="22"/>
        </w:rPr>
        <w:t>号）</w:t>
      </w:r>
    </w:p>
    <w:p>
      <w:pPr>
        <w:tabs>
          <w:tab w:val="left" w:pos="3060"/>
        </w:tabs>
        <w:snapToGrid w:val="0"/>
        <w:ind w:firstLine="440" w:firstLineChars="200"/>
        <w:rPr>
          <w:bCs/>
          <w:color w:val="auto"/>
          <w:sz w:val="22"/>
        </w:rPr>
      </w:pPr>
      <w:r>
        <w:rPr>
          <w:bCs/>
          <w:color w:val="auto"/>
          <w:sz w:val="22"/>
        </w:rPr>
        <w:t>8.15《关于进一步规范本市建筑市场加强建设工程质量安全管理的若干意见》（沪府发〔2011〕1号）</w:t>
      </w:r>
    </w:p>
    <w:p>
      <w:pPr>
        <w:snapToGrid w:val="0"/>
        <w:ind w:firstLine="440" w:firstLineChars="200"/>
        <w:jc w:val="left"/>
        <w:rPr>
          <w:color w:val="auto"/>
          <w:sz w:val="22"/>
        </w:rPr>
      </w:pPr>
      <w:r>
        <w:rPr>
          <w:color w:val="auto"/>
          <w:sz w:val="22"/>
          <w:szCs w:val="20"/>
        </w:rPr>
        <w:t>各投标人应充分注意，凡涉及国家或行业管理部门颁发的相关规范、规程和标准，无论其是否在本招标文件中列明，中标人应无条件执行。标准、规范等不一致的，以要求高者为准。</w:t>
      </w:r>
    </w:p>
    <w:p>
      <w:pPr>
        <w:adjustRightInd w:val="0"/>
        <w:snapToGrid w:val="0"/>
        <w:ind w:firstLine="433" w:firstLineChars="196"/>
        <w:jc w:val="left"/>
        <w:outlineLvl w:val="2"/>
        <w:rPr>
          <w:b/>
          <w:color w:val="auto"/>
          <w:sz w:val="22"/>
        </w:rPr>
      </w:pPr>
      <w:bookmarkStart w:id="23" w:name="_Toc124860833"/>
      <w:bookmarkStart w:id="24" w:name="_Toc149899528"/>
      <w:r>
        <w:rPr>
          <w:b/>
          <w:color w:val="auto"/>
          <w:sz w:val="22"/>
        </w:rPr>
        <w:t>9 招标内容与质量要求</w:t>
      </w:r>
      <w:bookmarkEnd w:id="23"/>
      <w:bookmarkEnd w:id="24"/>
    </w:p>
    <w:p>
      <w:pPr>
        <w:ind w:firstLine="440" w:firstLineChars="200"/>
        <w:rPr>
          <w:color w:val="auto"/>
          <w:sz w:val="22"/>
          <w:szCs w:val="20"/>
        </w:rPr>
      </w:pPr>
      <w:r>
        <w:rPr>
          <w:color w:val="auto"/>
          <w:sz w:val="22"/>
        </w:rPr>
        <w:t>招标范围为</w:t>
      </w:r>
      <w:r>
        <w:rPr>
          <w:rFonts w:hint="eastAsia"/>
          <w:color w:val="auto"/>
          <w:szCs w:val="22"/>
        </w:rPr>
        <w:t>绿丽港生态绿地公益林、黄日港生态绿地公益林、封闭测试基地生态林</w:t>
      </w:r>
      <w:r>
        <w:rPr>
          <w:rFonts w:hint="eastAsia"/>
          <w:color w:val="auto"/>
          <w:szCs w:val="22"/>
          <w:lang w:eastAsia="zh-CN"/>
        </w:rPr>
        <w:t>、</w:t>
      </w:r>
      <w:r>
        <w:rPr>
          <w:rFonts w:hint="eastAsia"/>
          <w:color w:val="auto"/>
          <w:szCs w:val="22"/>
        </w:rPr>
        <w:t>临港新片区S2</w:t>
      </w:r>
      <w:r>
        <w:rPr>
          <w:rFonts w:hint="eastAsia"/>
          <w:color w:val="auto"/>
          <w:szCs w:val="22"/>
          <w:lang w:val="en-US" w:eastAsia="zh-CN"/>
        </w:rPr>
        <w:t>及</w:t>
      </w:r>
      <w:r>
        <w:rPr>
          <w:rFonts w:hint="eastAsia"/>
          <w:color w:val="auto"/>
          <w:szCs w:val="22"/>
        </w:rPr>
        <w:t>两港大道门户地块公益林、上海中学东校高中部周边生态公益林</w:t>
      </w:r>
      <w:r>
        <w:rPr>
          <w:color w:val="auto"/>
          <w:szCs w:val="22"/>
        </w:rPr>
        <w:t>，养护面积</w:t>
      </w:r>
      <w:r>
        <w:rPr>
          <w:rFonts w:hint="eastAsia"/>
          <w:color w:val="auto"/>
          <w:szCs w:val="22"/>
        </w:rPr>
        <w:t>2562.58亩</w:t>
      </w:r>
      <w:r>
        <w:rPr>
          <w:bCs/>
          <w:color w:val="auto"/>
          <w:sz w:val="22"/>
          <w:szCs w:val="20"/>
        </w:rPr>
        <w:t>。</w:t>
      </w:r>
      <w:r>
        <w:rPr>
          <w:rFonts w:hint="eastAsia"/>
          <w:bCs/>
          <w:color w:val="auto"/>
          <w:sz w:val="22"/>
          <w:szCs w:val="20"/>
        </w:rPr>
        <w:t>招标公益林养护内容主要为公益林日常养护管理，主要为林地管理、林木管理、有害生物防控和基础设施维护四个方面十二项内容。其中，林地管理包括林地资源保存、林相结构、杂草控制、林地保洁、沟渠清理、林地冬翻；林木生长包括林木长势、林木修剪补植、树木涂白:有害生物防控包括森林病虫及草害等有害生物的防治情况等；基础设施管护主要为基础设施设备的日常管理维护情况。</w:t>
      </w:r>
    </w:p>
    <w:p>
      <w:pPr>
        <w:snapToGrid w:val="0"/>
        <w:ind w:firstLine="440" w:firstLineChars="200"/>
        <w:jc w:val="left"/>
        <w:rPr>
          <w:bCs/>
          <w:color w:val="auto"/>
          <w:sz w:val="22"/>
        </w:rPr>
      </w:pPr>
      <w:r>
        <w:rPr>
          <w:bCs/>
          <w:color w:val="auto"/>
          <w:sz w:val="22"/>
        </w:rPr>
        <w:t>9.1 设施量清单</w:t>
      </w:r>
    </w:p>
    <w:p>
      <w:pPr>
        <w:snapToGrid w:val="0"/>
        <w:ind w:firstLine="440" w:firstLineChars="200"/>
        <w:jc w:val="center"/>
        <w:rPr>
          <w:rFonts w:hint="eastAsia"/>
          <w:bCs/>
          <w:color w:val="auto"/>
          <w:sz w:val="22"/>
          <w:lang w:val="en-US" w:eastAsia="zh-CN"/>
        </w:rPr>
      </w:pPr>
      <w:r>
        <w:rPr>
          <w:bCs/>
          <w:color w:val="auto"/>
          <w:sz w:val="22"/>
        </w:rPr>
        <w:t>设施量</w:t>
      </w:r>
      <w:r>
        <w:rPr>
          <w:rFonts w:hint="eastAsia"/>
          <w:bCs/>
          <w:color w:val="auto"/>
          <w:sz w:val="22"/>
          <w:lang w:val="en-US" w:eastAsia="zh-CN"/>
        </w:rPr>
        <w:t>汇总表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4913"/>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序号</w:t>
            </w:r>
          </w:p>
        </w:tc>
        <w:tc>
          <w:tcPr>
            <w:tcW w:w="4913" w:type="dxa"/>
            <w:vAlign w:val="center"/>
          </w:tcPr>
          <w:p>
            <w:pPr>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项目名称</w:t>
            </w:r>
          </w:p>
        </w:tc>
        <w:tc>
          <w:tcPr>
            <w:tcW w:w="2487" w:type="dxa"/>
            <w:vAlign w:val="center"/>
          </w:tcPr>
          <w:p>
            <w:pPr>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养护面积（亩）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p>
        </w:tc>
        <w:tc>
          <w:tcPr>
            <w:tcW w:w="4913" w:type="dxa"/>
            <w:vAlign w:val="center"/>
          </w:tcPr>
          <w:p>
            <w:pPr>
              <w:rPr>
                <w:rFonts w:hint="eastAsia" w:asciiTheme="minorEastAsia" w:hAnsiTheme="minorEastAsia" w:eastAsiaTheme="minorEastAsia" w:cstheme="minorEastAsia"/>
                <w:bCs/>
                <w:color w:val="auto"/>
                <w:sz w:val="24"/>
                <w:szCs w:val="24"/>
                <w:u w:val="none"/>
                <w:lang w:val="en-US" w:eastAsia="zh-CN"/>
              </w:rPr>
            </w:pPr>
            <w:r>
              <w:rPr>
                <w:rFonts w:hint="eastAsia" w:asciiTheme="minorEastAsia" w:hAnsiTheme="minorEastAsia" w:eastAsiaTheme="minorEastAsia" w:cstheme="minorEastAsia"/>
                <w:bCs/>
                <w:color w:val="auto"/>
                <w:sz w:val="24"/>
                <w:szCs w:val="24"/>
                <w:u w:val="none"/>
              </w:rPr>
              <w:t>绿丽港生态绿地公益</w:t>
            </w:r>
            <w:r>
              <w:rPr>
                <w:rFonts w:hint="eastAsia" w:asciiTheme="minorEastAsia" w:hAnsiTheme="minorEastAsia" w:eastAsiaTheme="minorEastAsia" w:cstheme="minorEastAsia"/>
                <w:bCs/>
                <w:color w:val="auto"/>
                <w:sz w:val="24"/>
                <w:szCs w:val="24"/>
                <w:u w:val="none"/>
                <w:lang w:val="en-US" w:eastAsia="zh-CN"/>
              </w:rPr>
              <w:t>林</w:t>
            </w:r>
          </w:p>
        </w:tc>
        <w:tc>
          <w:tcPr>
            <w:tcW w:w="2487" w:type="dxa"/>
            <w:vAlign w:val="center"/>
          </w:tcPr>
          <w:p>
            <w:pPr>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w:t>
            </w:r>
          </w:p>
        </w:tc>
        <w:tc>
          <w:tcPr>
            <w:tcW w:w="4913" w:type="dxa"/>
            <w:vAlign w:val="center"/>
          </w:tcPr>
          <w:p>
            <w:pPr>
              <w:rPr>
                <w:rFonts w:hint="eastAsia" w:asciiTheme="minorEastAsia" w:hAnsiTheme="minorEastAsia" w:eastAsiaTheme="minorEastAsia" w:cstheme="minorEastAsia"/>
                <w:bCs/>
                <w:color w:val="auto"/>
                <w:kern w:val="2"/>
                <w:sz w:val="24"/>
                <w:szCs w:val="24"/>
                <w:u w:val="none"/>
                <w:lang w:val="en-US" w:eastAsia="zh-CN" w:bidi="ar-SA"/>
              </w:rPr>
            </w:pPr>
            <w:r>
              <w:rPr>
                <w:rFonts w:hint="eastAsia" w:asciiTheme="minorEastAsia" w:hAnsiTheme="minorEastAsia" w:eastAsiaTheme="minorEastAsia" w:cstheme="minorEastAsia"/>
                <w:bCs/>
                <w:color w:val="auto"/>
                <w:sz w:val="24"/>
                <w:szCs w:val="24"/>
                <w:u w:val="none"/>
              </w:rPr>
              <w:t>黄日港生态绿地公益林</w:t>
            </w:r>
          </w:p>
        </w:tc>
        <w:tc>
          <w:tcPr>
            <w:tcW w:w="2487" w:type="dxa"/>
            <w:vAlign w:val="center"/>
          </w:tcPr>
          <w:p>
            <w:pPr>
              <w:ind w:firstLine="480" w:firstLineChars="20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909.38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vAlign w:val="center"/>
          </w:tcPr>
          <w:p>
            <w:pPr>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w:t>
            </w:r>
          </w:p>
        </w:tc>
        <w:tc>
          <w:tcPr>
            <w:tcW w:w="4913" w:type="dxa"/>
            <w:vAlign w:val="center"/>
          </w:tcPr>
          <w:p>
            <w:pPr>
              <w:rPr>
                <w:rFonts w:hint="eastAsia" w:asciiTheme="minorEastAsia" w:hAnsiTheme="minorEastAsia" w:eastAsiaTheme="minorEastAsia" w:cstheme="minorEastAsia"/>
                <w:bCs/>
                <w:color w:val="auto"/>
                <w:kern w:val="2"/>
                <w:sz w:val="24"/>
                <w:szCs w:val="24"/>
                <w:u w:val="none"/>
                <w:lang w:val="en-US" w:eastAsia="zh-CN" w:bidi="ar-SA"/>
              </w:rPr>
            </w:pPr>
            <w:r>
              <w:rPr>
                <w:rFonts w:hint="eastAsia" w:asciiTheme="minorEastAsia" w:hAnsiTheme="minorEastAsia" w:eastAsiaTheme="minorEastAsia" w:cstheme="minorEastAsia"/>
                <w:bCs/>
                <w:color w:val="auto"/>
                <w:sz w:val="24"/>
                <w:szCs w:val="24"/>
                <w:u w:val="none"/>
              </w:rPr>
              <w:t>封闭测试基地生态林</w:t>
            </w:r>
          </w:p>
        </w:tc>
        <w:tc>
          <w:tcPr>
            <w:tcW w:w="2487" w:type="dxa"/>
            <w:vAlign w:val="center"/>
          </w:tcPr>
          <w:p>
            <w:pPr>
              <w:ind w:firstLine="480" w:firstLineChars="20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w:t>
            </w:r>
          </w:p>
        </w:tc>
        <w:tc>
          <w:tcPr>
            <w:tcW w:w="4913" w:type="dxa"/>
            <w:vAlign w:val="center"/>
          </w:tcPr>
          <w:p>
            <w:pPr>
              <w:rPr>
                <w:rFonts w:hint="eastAsia" w:asciiTheme="minorEastAsia" w:hAnsiTheme="minorEastAsia" w:eastAsiaTheme="minorEastAsia" w:cstheme="minorEastAsia"/>
                <w:bCs/>
                <w:color w:val="auto"/>
                <w:kern w:val="2"/>
                <w:sz w:val="24"/>
                <w:szCs w:val="24"/>
                <w:u w:val="none"/>
                <w:lang w:val="en-US" w:eastAsia="zh-CN" w:bidi="ar-SA"/>
              </w:rPr>
            </w:pPr>
            <w:r>
              <w:rPr>
                <w:rFonts w:hint="eastAsia" w:asciiTheme="minorEastAsia" w:hAnsiTheme="minorEastAsia" w:eastAsiaTheme="minorEastAsia" w:cstheme="minorEastAsia"/>
                <w:bCs/>
                <w:color w:val="auto"/>
                <w:sz w:val="24"/>
                <w:szCs w:val="24"/>
                <w:u w:val="none"/>
              </w:rPr>
              <w:t>林临港新片区S2</w:t>
            </w:r>
            <w:r>
              <w:rPr>
                <w:rFonts w:hint="eastAsia" w:asciiTheme="minorEastAsia" w:hAnsiTheme="minorEastAsia" w:eastAsiaTheme="minorEastAsia" w:cstheme="minorEastAsia"/>
                <w:bCs/>
                <w:color w:val="auto"/>
                <w:sz w:val="24"/>
                <w:szCs w:val="24"/>
                <w:u w:val="none"/>
                <w:lang w:val="en-US" w:eastAsia="zh-CN"/>
              </w:rPr>
              <w:t>及</w:t>
            </w:r>
            <w:r>
              <w:rPr>
                <w:rFonts w:hint="eastAsia" w:asciiTheme="minorEastAsia" w:hAnsiTheme="minorEastAsia" w:eastAsiaTheme="minorEastAsia" w:cstheme="minorEastAsia"/>
                <w:bCs/>
                <w:color w:val="auto"/>
                <w:sz w:val="24"/>
                <w:szCs w:val="24"/>
                <w:u w:val="none"/>
              </w:rPr>
              <w:t>两港大道门户地块公益林</w:t>
            </w:r>
          </w:p>
        </w:tc>
        <w:tc>
          <w:tcPr>
            <w:tcW w:w="2487" w:type="dxa"/>
            <w:vAlign w:val="center"/>
          </w:tcPr>
          <w:p>
            <w:pPr>
              <w:ind w:firstLine="480" w:firstLineChars="20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w:t>
            </w:r>
          </w:p>
        </w:tc>
        <w:tc>
          <w:tcPr>
            <w:tcW w:w="4913" w:type="dxa"/>
            <w:vAlign w:val="center"/>
          </w:tcPr>
          <w:p>
            <w:pPr>
              <w:rPr>
                <w:rFonts w:hint="eastAsia" w:asciiTheme="minorEastAsia" w:hAnsiTheme="minorEastAsia" w:eastAsiaTheme="minorEastAsia" w:cstheme="minorEastAsia"/>
                <w:bCs/>
                <w:color w:val="auto"/>
                <w:kern w:val="2"/>
                <w:sz w:val="24"/>
                <w:szCs w:val="24"/>
                <w:u w:val="none"/>
                <w:lang w:val="en-US" w:eastAsia="zh-CN" w:bidi="ar-SA"/>
              </w:rPr>
            </w:pPr>
            <w:r>
              <w:rPr>
                <w:rFonts w:hint="eastAsia" w:asciiTheme="minorEastAsia" w:hAnsiTheme="minorEastAsia" w:eastAsiaTheme="minorEastAsia" w:cstheme="minorEastAsia"/>
                <w:bCs/>
                <w:color w:val="auto"/>
                <w:sz w:val="24"/>
                <w:szCs w:val="24"/>
                <w:u w:val="none"/>
              </w:rPr>
              <w:t>上海中学东校高中部周边生态公益林</w:t>
            </w:r>
          </w:p>
        </w:tc>
        <w:tc>
          <w:tcPr>
            <w:tcW w:w="2487" w:type="dxa"/>
            <w:vAlign w:val="center"/>
          </w:tcPr>
          <w:p>
            <w:pPr>
              <w:ind w:firstLine="480" w:firstLineChars="20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0" w:type="dxa"/>
            <w:gridSpan w:val="2"/>
            <w:vAlign w:val="center"/>
          </w:tcPr>
          <w:p>
            <w:pPr>
              <w:ind w:firstLine="480" w:firstLineChars="20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合计</w:t>
            </w:r>
          </w:p>
        </w:tc>
        <w:tc>
          <w:tcPr>
            <w:tcW w:w="2487" w:type="dxa"/>
            <w:vAlign w:val="center"/>
          </w:tcPr>
          <w:p>
            <w:pPr>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2562.58</w:t>
            </w:r>
          </w:p>
        </w:tc>
      </w:tr>
    </w:tbl>
    <w:tbl>
      <w:tblPr>
        <w:tblStyle w:val="50"/>
        <w:tblpPr w:leftFromText="180" w:rightFromText="180" w:vertAnchor="text" w:horzAnchor="page" w:tblpX="1839" w:tblpY="44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6"/>
        <w:gridCol w:w="299"/>
        <w:gridCol w:w="864"/>
        <w:gridCol w:w="937"/>
        <w:gridCol w:w="1217"/>
        <w:gridCol w:w="1777"/>
        <w:gridCol w:w="960"/>
        <w:gridCol w:w="118"/>
        <w:gridCol w:w="1443"/>
        <w:gridCol w:w="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15" w:hRule="atLeast"/>
        </w:trPr>
        <w:tc>
          <w:tcPr>
            <w:tcW w:w="8461" w:type="dxa"/>
            <w:gridSpan w:val="9"/>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绿丽港生态绿地公益林建设项目苗木清单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15" w:hRule="atLeast"/>
        </w:trPr>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18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树木名称</w:t>
            </w:r>
          </w:p>
        </w:tc>
        <w:tc>
          <w:tcPr>
            <w:tcW w:w="299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15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 24.1-26.0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 16.1-18.0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2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胸径Φ14.1-16.0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猴樟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女贞</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香泡</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广玉兰</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广玉兰</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南方红豆杉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红楠</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胸径Φ14.1-16.0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浙江楠</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胸径Φ14.1-16.0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青冈栎</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白玉兰</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二乔玉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2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白栎</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2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麻栎</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杂交马褂木</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杂交马褂木</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榉树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胸径Φ24.1-26.0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榉树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胸径Φ16.1-18.0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榉树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榉树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榔榆</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黄山栾树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胸径Φ14.1-16.0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黄山栾树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黄山栾树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银杏</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胸径Φ16.1-18.0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银杏</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朴树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胸径Φ24.1-26.0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朴树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胸径Φ16.1-18.0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朴树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胸径Φ14.1-16.0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朴树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朴树</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无患子</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胸径Φ16.1-18.0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无患子</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胸径Φ14.1-16.0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无患子</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无患子</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纳塔栎</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三角枫</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五角枫</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元宝枫</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乌桕</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杜仲</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国槐</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丝棉木</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黄连木</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红叶臭椿</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香椿</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日本晚樱</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胸径Φ6.1-7.0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高杆石楠</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胸径Φ6.1-7.0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独本桂花</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胸径Φ6.1-7.0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落羽杉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胸径Φ6.1-7.0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池杉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胸径Φ6.1-7.0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胸径Φ13.1-15.0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胸径Φ15.1-20.0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胸径Φ20.1-25.0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胸径Φ25.1-30.0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胸径Φ30.1-35.0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胸径Φ35.1-40.0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胸径Φ40.1-45.0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红梅</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胸径Φ20.1-22.0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紫玉兰</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蓬径P101-140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垂丝海棠</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蓬径P101-140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红枫</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蓬径P101-140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花石榴</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蓬径P81-100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四季桂</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蓬径P121-150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紫薇</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木槿</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蓬径P31-40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木芙蓉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蓬径P41以上</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紫荆</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蓬径P81-100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熊掌木</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蓬径P31-40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狭叶十大功劳</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蓬径P31-35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南天竹</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蓬径P31-40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海桐</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蓬径P31-40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黄馨</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蓬径P41-50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4773.00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红叶石楠</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蓬径P16-20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4389.00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金边（金星）大叶黄杨</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蓬径P31-40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金森女贞</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蓬径P21-30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毛鹃</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蓬径P21-30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常春藤</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扶芳藤</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10318.00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花叶蔓长春</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7394.00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鸢尾</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韭兰</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葱兰</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4336.00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吉祥草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美女樱</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蓬径P16-20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矮蒲苇</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蓬径P81-100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4646.70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细叶芒</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蓬径P16-20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花叶芒</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蓬径P16-20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斑叶芒</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蓬径P16-20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阔叶狼尾草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蓬径P31以上</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粉花绣线菊</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蓬径P20-25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1365.30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矮生红花美人蕉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8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二月兰</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9470.00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8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无尽夏</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蓬径P40-45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8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银姬小蜡</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蓬径P40-45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1265.40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红王子锦带</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蓬径P30-35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1666.80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101</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西伯利亚鸢尾</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13734.00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8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102</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彩叶杞柳</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蓬径P50-60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3568.50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8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103</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千鸟花</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8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104</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蓝花鼠尾草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1503.90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8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105</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亮晶女贞</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蓬径P25-30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7084.80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106</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大花萱草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8680.50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3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107</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金山绣线菊</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蓬径P30-40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1257.30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80"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108</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白花三叶草</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378987.00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109</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金森女贞（绿篱）</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高H41-50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95" w:hRule="atLeast"/>
        </w:trPr>
        <w:tc>
          <w:tcPr>
            <w:tcW w:w="114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110</w:t>
            </w:r>
          </w:p>
        </w:tc>
        <w:tc>
          <w:tcPr>
            <w:tcW w:w="180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红叶石楠（绿篱）</w:t>
            </w:r>
          </w:p>
        </w:tc>
        <w:tc>
          <w:tcPr>
            <w:tcW w:w="299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高H41-50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6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13" w:type="dxa"/>
            <w:gridSpan w:val="1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绿丽港生态绿地公益林建设项目设施设备清单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116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项目部位</w:t>
            </w: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项目名称</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w:t>
            </w: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16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道路养护</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沥青</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17782.42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黄锈石弹石</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2255.60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16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雨水排放设施设备</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砖砌雨水井</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座</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1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接市政排水接口</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1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HDPE双壁波纹管</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管径350</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1187.79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1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畦沟</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ascii="Arial" w:hAnsi="Arial" w:eastAsia="宋体" w:cs="Arial"/>
                <w:i w:val="0"/>
                <w:iCs w:val="0"/>
                <w:caps w:val="0"/>
                <w:color w:val="auto"/>
                <w:spacing w:val="0"/>
                <w:sz w:val="15"/>
                <w:szCs w:val="15"/>
                <w:shd w:val="clear" w:fill="FFFFFF"/>
              </w:rPr>
              <w:t>m³</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467.40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116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浇灌市政给水设施设备</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塑料管 HDPE管</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160/1.0MPa</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1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塑料管 HDPE管</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90/1.0MPa</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11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塑料管 LDPE 管</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40/0.4MPa</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1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阀门 </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PVC63球阀</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w:t>
            </w:r>
          </w:p>
        </w:tc>
        <w:tc>
          <w:tcPr>
            <w:tcW w:w="11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阀门 </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PE40球阀</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11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阀门 </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空气阀 DG-010</w:t>
            </w: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116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浇灌配套手动开关</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auto"/>
                <w:sz w:val="24"/>
                <w:szCs w:val="24"/>
                <w:u w:val="none"/>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1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w:t>
            </w:r>
          </w:p>
        </w:tc>
        <w:tc>
          <w:tcPr>
            <w:tcW w:w="116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养护道路道口</w:t>
            </w: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沥青</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w:t>
            </w: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安砌侧石</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w:t>
            </w: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黄锈石弹石</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w:t>
            </w: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安砌平石 </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300*150*150混凝土路沿石</w:t>
            </w: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w:t>
            </w: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透水砖</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300*300*60</w:t>
            </w: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透水砖盲砖</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300*300*60</w:t>
            </w: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w:t>
            </w: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透水混凝土</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100厚彩色透水混凝土</w:t>
            </w: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w:t>
            </w: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透水砖</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200*100*60</w:t>
            </w: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w:t>
            </w:r>
          </w:p>
        </w:tc>
        <w:tc>
          <w:tcPr>
            <w:tcW w:w="11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21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透水砖盲砖</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200*100*60</w:t>
            </w:r>
          </w:p>
        </w:tc>
        <w:tc>
          <w:tcPr>
            <w:tcW w:w="10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10.89</w:t>
            </w:r>
          </w:p>
        </w:tc>
      </w:tr>
    </w:tbl>
    <w:p>
      <w:pPr>
        <w:snapToGrid w:val="0"/>
        <w:ind w:firstLine="440" w:firstLineChars="200"/>
        <w:jc w:val="left"/>
        <w:rPr>
          <w:rFonts w:hint="eastAsia"/>
          <w:bCs/>
          <w:color w:val="auto"/>
          <w:sz w:val="22"/>
          <w:lang w:val="en-US" w:eastAsia="zh-CN"/>
        </w:rPr>
      </w:pPr>
    </w:p>
    <w:tbl>
      <w:tblPr>
        <w:tblStyle w:val="50"/>
        <w:tblW w:w="84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2144"/>
        <w:gridCol w:w="2282"/>
        <w:gridCol w:w="991"/>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8482" w:type="dxa"/>
            <w:gridSpan w:val="5"/>
            <w:tcBorders>
              <w:top w:val="nil"/>
              <w:left w:val="nil"/>
              <w:bottom w:val="nil"/>
              <w:right w:val="nil"/>
            </w:tcBorders>
            <w:noWrap w:val="0"/>
            <w:vAlign w:val="center"/>
          </w:tcPr>
          <w:tbl>
            <w:tblPr>
              <w:tblStyle w:val="50"/>
              <w:tblW w:w="84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
              <w:gridCol w:w="2371"/>
              <w:gridCol w:w="2788"/>
              <w:gridCol w:w="966"/>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14"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黄日港生态绿地公益林建设项目苗木清单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序号</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树木名称</w:t>
                  </w:r>
                </w:p>
              </w:tc>
              <w:tc>
                <w:tcPr>
                  <w:tcW w:w="27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规格</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单位</w:t>
                  </w: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无患子A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银杏A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胸径Φ15.1-16.0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染井吉野樱A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胸径Φ12.1-14.0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金叶水杉A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黄山栾树A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胸径Φ14.1-15.0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丛生元宝枫</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单支胸径Φ10-12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丛生朴树</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单支胸径Φ10-12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丛生乌桕</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单支胸径Φ10-12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丛生香樟</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单支胸径Φ12-14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香樟A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胸径Φ24.1-25.0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香樟B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胸径Φ18.1-19.0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香樟C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胸径Φ14.1-15.0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香樟D</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香樟E</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胸径Φ6.1-7.0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弗栎A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弗栎B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女贞A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女贞B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辉煌女贞A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辉煌女贞B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金枝国槐A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金枝国槐B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胸径Φ8.1-10.0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金枝柳A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金枝柳B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胸径Φ10.1-11.0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金叶刺槐A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胸径Φ12.1-13.0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金叶刺槐B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黄山栾树A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胸径Φ14.1-15.0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黄山栾树B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胸径Φ10.1-11.0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黄山栾树C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银杏B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东方杉A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东方杉B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东方杉C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池杉A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池杉B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中山杉A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中山杉B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中山杉C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胸径Φ9.1-10.0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金叶水杉A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金叶水杉B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墨西哥落羽杉A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墨西哥落羽杉B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墨西哥落羽杉C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柳叶栎</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娜塔栎A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娜塔栎B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榔榆A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胸径Φ14.1-15.0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榔榆B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榉树A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胸径Φ14.1-16.0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榉树B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胸径Φ10.1-11.0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珊瑚朴</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无患子B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胸径Φ11.1-12.0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无患子C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乌桕A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胸径Φ13.1-14.0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乌桕B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胸径Φ10.1-11.0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朴树A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胸径Φ16.1-18.0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朴树B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朴树C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苦楝</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红叶臭椿</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胸径Φ9.1-10.0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丝棉木A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胸径Φ12.1-13.0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丝棉木B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合欢A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合欢B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枇杷</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香橼A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胸径Φ11.1-12.0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香橼B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彩叶豆梨</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豆梨</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福建山樱花</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北美海棠</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染井吉野樱B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河津樱</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红丝绒紫薇</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“翠冠”梨</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“白玉”枇杷</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“红美人”柑橘</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“波姬红”无花果</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池杉B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胸径Φ8.1-9.0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东方杉B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东方杉C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中山杉C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胸径Φ7.1-8.0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中山杉D</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墨西哥落羽杉B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胸径Φ10.1-12.0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墨西哥落羽杉C</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金桂A（散本）</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金桂B（散本）</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石楠</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照手姬</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照手白</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照手红</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绛桃</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垂丝海棠</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柽柳</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红叶李</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结香</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海滨木槿</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山麻杆</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腊梅</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大紫薇</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红枫</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穗花牡荆</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花石榴</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金森女贞球</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柠檬黄小叶女贞球</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红叶石楠球A</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红叶石楠球B</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金叶锦带球</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金边黄杨球</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花叶香桃木球</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棣棠</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翠芦莉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红叶石楠</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海桐</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大吴风草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束花山茶</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金丝桃</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矮生紫薇</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云南黄馨</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金焰绣线菊</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洒金桃叶珊瑚</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八仙花‘'无尽夏'</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金娃娃萱草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甜蜜黄金‘'鼠尾草'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双荚决明</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紫穗狼尾草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紫娇花</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兰花三七</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白芨</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美丽月见草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黄花石蒜+玉簪‘金旗’</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黄花葱兰</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玉带草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金叶苔草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粉黛乱子草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黄金菊</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金光菊</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金边阔叶麦冬</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矮蒲苇</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千屈菜</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黄花醉鱼草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黄花美人蕉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金叶黄菖蒲</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黄菖蒲</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细叶芒</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水葱</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金线水葱</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马蔺</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路易斯安娜鸢尾</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德国鸢尾</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玉蝉花</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金叶石菖蒲</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再力花</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香蒲</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花叶芦竹</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芦荻</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花叶蔓长春</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黄金锦络石</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地被组合一</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92744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地被组合二</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89477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地被组合三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163</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大花百日草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164</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大花金鸡菊</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165</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大滨菊</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166</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天人菊</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167</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柳叶马鞭草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168</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二月兰+紫茉莉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41694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169</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白花三叶草+红花三叶草</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花境</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草坪</w:t>
                  </w:r>
                </w:p>
              </w:tc>
              <w:tc>
                <w:tcPr>
                  <w:tcW w:w="2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23196</w:t>
                  </w:r>
                </w:p>
              </w:tc>
            </w:tr>
          </w:tbl>
          <w:p>
            <w:pPr>
              <w:snapToGrid w:val="0"/>
              <w:ind w:firstLine="480" w:firstLineChars="200"/>
              <w:jc w:val="left"/>
              <w:rPr>
                <w:rFonts w:hint="eastAsia" w:ascii="宋体" w:hAnsi="宋体" w:eastAsia="宋体" w:cs="宋体"/>
                <w:b w:val="0"/>
                <w:bCs w:val="0"/>
                <w:color w:val="auto"/>
                <w:sz w:val="24"/>
                <w:szCs w:val="24"/>
              </w:rPr>
            </w:pPr>
          </w:p>
          <w:tbl>
            <w:tblPr>
              <w:tblStyle w:val="50"/>
              <w:tblW w:w="8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8"/>
              <w:gridCol w:w="1236"/>
              <w:gridCol w:w="1400"/>
              <w:gridCol w:w="2364"/>
              <w:gridCol w:w="891"/>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32"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黄日港生态绿地公益林建设项目设施设备清单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项目部位</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项目名称</w:t>
                  </w:r>
                </w:p>
              </w:tc>
              <w:tc>
                <w:tcPr>
                  <w:tcW w:w="236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规格</w:t>
                  </w:r>
                </w:p>
              </w:tc>
              <w:tc>
                <w:tcPr>
                  <w:tcW w:w="8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单位</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园路</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道路</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一级园路-5.5宽</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6749.6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道路</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一级园路-3.5宽</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13508.77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道路</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二级园路-透水混凝土</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3635.44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w:t>
                  </w: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道路</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二级园路-砂石路</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3759.93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w:t>
                  </w: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生态碎石铺地</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6287.89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w:t>
                  </w: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汀步</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木栈道</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1924.74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w:t>
                  </w: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沙坑</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w:t>
                  </w:r>
                </w:p>
              </w:tc>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给排水</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草沟排水沟</w:t>
                  </w:r>
                </w:p>
              </w:tc>
              <w:tc>
                <w:tcPr>
                  <w:tcW w:w="23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3414.49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砾石渗沟</w:t>
                  </w:r>
                </w:p>
              </w:tc>
              <w:tc>
                <w:tcPr>
                  <w:tcW w:w="23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5877.76</w:t>
                  </w:r>
                </w:p>
              </w:tc>
            </w:tr>
          </w:tbl>
          <w:p>
            <w:pPr>
              <w:snapToGrid w:val="0"/>
              <w:ind w:firstLine="480" w:firstLineChars="200"/>
              <w:jc w:val="left"/>
              <w:rPr>
                <w:rFonts w:hint="eastAsia" w:ascii="宋体" w:hAnsi="宋体" w:eastAsia="宋体" w:cs="宋体"/>
                <w:b w:val="0"/>
                <w:bCs w:val="0"/>
                <w:color w:val="auto"/>
                <w:sz w:val="24"/>
                <w:szCs w:val="24"/>
              </w:rPr>
            </w:pPr>
          </w:p>
          <w:tbl>
            <w:tblPr>
              <w:tblStyle w:val="50"/>
              <w:tblW w:w="8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3"/>
              <w:gridCol w:w="1855"/>
              <w:gridCol w:w="3100"/>
              <w:gridCol w:w="936"/>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366"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封闭测试基地生态林建设项目苗木清单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序号</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树木名称</w:t>
                  </w:r>
                </w:p>
              </w:tc>
              <w:tc>
                <w:tcPr>
                  <w:tcW w:w="3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规格</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单位</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枫杨</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胸径Φ6.1-7.0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枫杨</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胸径Φ5.1-6.0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国槐</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胸径Φ6.1-7.0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国槐</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胸径Φ5.1-6.0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红叶臭椿</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桑树</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胸径Φ6.1-7.0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桑树</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胸径Φ5.1-6.0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麻栎</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胸径Φ6.1-7.0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麻栎</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胸径Φ5.1-6.0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白榆</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胸径Φ6.1-7.0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白榆</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刺槐</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胸径Φ6.1-7.0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刺槐</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胸径Φ5.1-6.0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朴树</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胸径Φ6.1-7.0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朴树</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胸径Φ5.1-6.0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黄山栾树</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胸径Φ6.1-7.0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黄山栾树</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胸径Φ5.1-6.0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丝绵木</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胸径Φ6.1-7.0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19</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丝绵木</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胸径Φ5.1-6.0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乌桕</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胸径Φ6.1-7.0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乌桕</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胸径Φ5.1-6.0年</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苦楝</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胸径Φ6.1-7.0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苦楝</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胸径Φ5.1-6.0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东方杉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胸径Φ4.1-5.0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池杉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胸径Φ4.1-5.0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26</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落羽杉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胸径Φ4.1-5.0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27</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墨西哥落羽杉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胸径Φ4.1-5.0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1262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水杉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胸径Φ4.1-5.0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中山杉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胸径Φ4.1-5.0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垂丝海棠</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蓬径P121-150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31</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红枫</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蓬径P101-120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32</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木芙蓉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蓬径P121-150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高杆紫薇</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蓬径P131-150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34</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桂花</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蓬径P101-120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35</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日本早樱</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蓬径P151-180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36</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日本晚樱</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蓬径P151-180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37</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花石榴</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蓬径P121-150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38</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白花三叶草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21100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39</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常春藤</w:t>
                  </w:r>
                </w:p>
              </w:tc>
              <w:tc>
                <w:tcPr>
                  <w:tcW w:w="31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6175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二月兰</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3513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41</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扶芳藤</w:t>
                  </w:r>
                </w:p>
              </w:tc>
              <w:tc>
                <w:tcPr>
                  <w:tcW w:w="31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2068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42</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红花酢浆草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w:t>
                  </w:r>
                  <w:r>
                    <w:rPr>
                      <w:rFonts w:hint="eastAsia" w:ascii="宋体" w:hAnsi="宋体" w:cs="宋体"/>
                      <w:b w:val="0"/>
                      <w:bCs w:val="0"/>
                      <w:i w:val="0"/>
                      <w:iCs w:val="0"/>
                      <w:color w:val="auto"/>
                      <w:kern w:val="0"/>
                      <w:sz w:val="24"/>
                      <w:szCs w:val="24"/>
                      <w:u w:val="none"/>
                      <w:lang w:val="en-US" w:eastAsia="zh-CN" w:bidi="ar"/>
                    </w:rPr>
                    <w:t>15</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cs="宋体"/>
                      <w:b w:val="0"/>
                      <w:bCs w:val="0"/>
                      <w:i w:val="0"/>
                      <w:iCs w:val="0"/>
                      <w:color w:val="auto"/>
                      <w:kern w:val="0"/>
                      <w:sz w:val="24"/>
                      <w:szCs w:val="24"/>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3810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花叶蔓长春</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3920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44</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黄馨</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2070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45</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麦冬</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6832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46</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南天竹</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蓬径P41-50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47</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小叶栀子</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蓬径P15-20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48</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鸢尾</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蓬径P15-20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2473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49</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葱兰</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蓬径P15-20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448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吉祥草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蓬径P15-20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51</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大吴风草</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蓬径P15-20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1678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52</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韭兰</w:t>
                  </w:r>
                </w:p>
              </w:tc>
              <w:tc>
                <w:tcPr>
                  <w:tcW w:w="3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蓬径P15-20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424 </w:t>
                  </w:r>
                </w:p>
              </w:tc>
            </w:tr>
          </w:tbl>
          <w:p>
            <w:pPr>
              <w:snapToGrid w:val="0"/>
              <w:ind w:firstLine="480" w:firstLineChars="200"/>
              <w:jc w:val="left"/>
              <w:rPr>
                <w:rFonts w:hint="eastAsia" w:ascii="宋体" w:hAnsi="宋体" w:eastAsia="宋体" w:cs="宋体"/>
                <w:b w:val="0"/>
                <w:bCs w:val="0"/>
                <w:color w:val="auto"/>
                <w:sz w:val="24"/>
                <w:szCs w:val="24"/>
              </w:rPr>
            </w:pPr>
          </w:p>
          <w:tbl>
            <w:tblPr>
              <w:tblStyle w:val="50"/>
              <w:tblW w:w="8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
              <w:gridCol w:w="960"/>
              <w:gridCol w:w="2863"/>
              <w:gridCol w:w="1907"/>
              <w:gridCol w:w="960"/>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358" w:type="dxa"/>
                  <w:gridSpan w:val="6"/>
                  <w:tcBorders>
                    <w:top w:val="nil"/>
                    <w:left w:val="nil"/>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封闭测试基地生态林建设项目设施设备清单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序号</w:t>
                  </w: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项目部位</w:t>
                  </w:r>
                </w:p>
              </w:tc>
              <w:tc>
                <w:tcPr>
                  <w:tcW w:w="286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项目名称</w:t>
                  </w:r>
                </w:p>
              </w:tc>
              <w:tc>
                <w:tcPr>
                  <w:tcW w:w="190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规格</w:t>
                  </w:r>
                </w:p>
              </w:tc>
              <w:tc>
                <w:tcPr>
                  <w:tcW w:w="9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单位</w:t>
                  </w:r>
                </w:p>
              </w:tc>
              <w:tc>
                <w:tcPr>
                  <w:tcW w:w="8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养护道路</w:t>
                  </w:r>
                </w:p>
              </w:tc>
              <w:tc>
                <w:tcPr>
                  <w:tcW w:w="2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沥青混凝土</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沥青混凝土</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506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安砌侧（平、缘） 石</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涵管工程</w:t>
                  </w:r>
                </w:p>
              </w:tc>
              <w:tc>
                <w:tcPr>
                  <w:tcW w:w="2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HDPE排水管 </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DN600</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30 </w:t>
                  </w:r>
                </w:p>
              </w:tc>
            </w:tr>
          </w:tbl>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临港新片区S2及两港大道门户地块公益林建设项目苗木清单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序号</w:t>
            </w:r>
          </w:p>
        </w:tc>
        <w:tc>
          <w:tcPr>
            <w:tcW w:w="21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树木名称</w:t>
            </w:r>
          </w:p>
        </w:tc>
        <w:tc>
          <w:tcPr>
            <w:tcW w:w="22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规格</w:t>
            </w:r>
          </w:p>
        </w:tc>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单位</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墨西哥落羽杉</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 xml:space="preserve">   </w:t>
            </w: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池杉</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中山杉</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水杉</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樱花</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银杏</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北美红枫</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元宝枫</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9</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香樟</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广玉兰</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玉兰</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12</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朴树</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13</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女贞</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14</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榉树</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15</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无患子</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16</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乌桕</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17</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栾树</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18</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纳塔栎</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19</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北美海棠</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株</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20</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白花三叶草</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21</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二月兰</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波斯菊</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23</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大花金鸡菊</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24</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松果菊</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25</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百日菊</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26</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金边黄杨</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红叶石楠</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w:t>
            </w:r>
          </w:p>
        </w:tc>
        <w:tc>
          <w:tcPr>
            <w:tcW w:w="21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南天竹</w:t>
            </w:r>
          </w:p>
        </w:tc>
        <w:tc>
          <w:tcPr>
            <w:tcW w:w="22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val="0"/>
                <w:bCs w:val="0"/>
                <w:i w:val="0"/>
                <w:iCs w:val="0"/>
                <w:color w:val="auto"/>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5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1759</w:t>
            </w:r>
          </w:p>
        </w:tc>
      </w:tr>
    </w:tbl>
    <w:tbl>
      <w:tblPr>
        <w:tblStyle w:val="50"/>
        <w:tblpPr w:leftFromText="180" w:rightFromText="180" w:vertAnchor="text" w:horzAnchor="page" w:tblpX="1806" w:tblpY="186"/>
        <w:tblOverlap w:val="never"/>
        <w:tblW w:w="8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1512"/>
        <w:gridCol w:w="1510"/>
        <w:gridCol w:w="1636"/>
        <w:gridCol w:w="1000"/>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35" w:type="dxa"/>
            <w:gridSpan w:val="6"/>
            <w:tcBorders>
              <w:top w:val="nil"/>
              <w:left w:val="nil"/>
              <w:bottom w:val="nil"/>
              <w:right w:val="nil"/>
            </w:tcBorders>
            <w:shd w:val="clear" w:color="auto" w:fill="auto"/>
            <w:vAlign w:val="center"/>
          </w:tcPr>
          <w:p>
            <w:pPr>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auto"/>
                <w:sz w:val="24"/>
                <w:szCs w:val="24"/>
              </w:rPr>
              <w:br w:type="page"/>
            </w:r>
            <w:r>
              <w:rPr>
                <w:rFonts w:hint="eastAsia" w:ascii="宋体" w:hAnsi="宋体" w:eastAsia="宋体" w:cs="宋体"/>
                <w:b w:val="0"/>
                <w:bCs w:val="0"/>
                <w:i w:val="0"/>
                <w:iCs w:val="0"/>
                <w:color w:val="auto"/>
                <w:kern w:val="0"/>
                <w:sz w:val="24"/>
                <w:szCs w:val="24"/>
                <w:u w:val="none"/>
                <w:lang w:val="en-US" w:eastAsia="zh-CN" w:bidi="ar"/>
              </w:rPr>
              <w:t>临港新片区S2及两港大道门户地块公益林建设项目设施设备清单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项目部位</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项目名称</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排水明沟</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  畦沟</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auto"/>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2" w:hRule="atLeast"/>
        </w:trPr>
        <w:tc>
          <w:tcPr>
            <w:tcW w:w="1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石笼墙</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  石笼挡墙</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b w:val="0"/>
                <w:bCs w:val="0"/>
                <w:i w:val="0"/>
                <w:iCs w:val="0"/>
                <w:color w:val="auto"/>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155</w:t>
            </w:r>
          </w:p>
        </w:tc>
      </w:tr>
    </w:tbl>
    <w:p>
      <w:pPr>
        <w:snapToGrid w:val="0"/>
        <w:jc w:val="left"/>
        <w:rPr>
          <w:rFonts w:hint="eastAsia" w:ascii="宋体" w:hAnsi="宋体" w:eastAsia="宋体" w:cs="宋体"/>
          <w:b w:val="0"/>
          <w:bCs w:val="0"/>
          <w:color w:val="auto"/>
          <w:sz w:val="24"/>
          <w:szCs w:val="24"/>
        </w:rPr>
      </w:pPr>
    </w:p>
    <w:p>
      <w:pPr>
        <w:snapToGrid w:val="0"/>
        <w:ind w:firstLine="480" w:firstLineChars="200"/>
        <w:jc w:val="left"/>
        <w:rPr>
          <w:rFonts w:hint="eastAsia" w:ascii="宋体" w:hAnsi="宋体" w:eastAsia="宋体" w:cs="宋体"/>
          <w:b w:val="0"/>
          <w:bCs w:val="0"/>
          <w:color w:val="auto"/>
          <w:sz w:val="24"/>
          <w:szCs w:val="24"/>
        </w:rPr>
      </w:pPr>
    </w:p>
    <w:tbl>
      <w:tblPr>
        <w:tblStyle w:val="50"/>
        <w:tblW w:w="83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5"/>
        <w:gridCol w:w="2409"/>
        <w:gridCol w:w="1611"/>
        <w:gridCol w:w="1611"/>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8387" w:type="dxa"/>
            <w:gridSpan w:val="5"/>
            <w:tcBorders>
              <w:top w:val="nil"/>
              <w:left w:val="nil"/>
              <w:bottom w:val="single" w:color="auto" w:sz="4" w:space="0"/>
              <w:right w:val="nil"/>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上海中学东校高中部周边生态公益林项目苗木清单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序号</w:t>
            </w:r>
          </w:p>
        </w:tc>
        <w:tc>
          <w:tcPr>
            <w:tcW w:w="2409"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树木名称</w:t>
            </w:r>
          </w:p>
        </w:tc>
        <w:tc>
          <w:tcPr>
            <w:tcW w:w="1611"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规格</w:t>
            </w:r>
          </w:p>
        </w:tc>
        <w:tc>
          <w:tcPr>
            <w:tcW w:w="1611"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单位</w:t>
            </w:r>
          </w:p>
        </w:tc>
        <w:tc>
          <w:tcPr>
            <w:tcW w:w="1611"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240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黑松</w:t>
            </w:r>
          </w:p>
        </w:tc>
        <w:tc>
          <w:tcPr>
            <w:tcW w:w="161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胸径Φ10-20</w:t>
            </w:r>
          </w:p>
        </w:tc>
        <w:tc>
          <w:tcPr>
            <w:tcW w:w="161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棕榈</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胸径Φ10-20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椿树</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香樟</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朴树</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胸径Φ9-10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金桂</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乔木状红叶石楠</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苏铁</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球</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楝树</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柳树</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银杏</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女贞</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东方杉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胸径Φ7-8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中山杉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胸径Φ5-6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落羽杉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胸径Φ6-7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银杏</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胸径Φ11-12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无患子</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胸径Φ13-14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19</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黄山栾树A</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胸径Φ10-11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黄山栾树B</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胸径Φ6-7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21</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三角枫</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胸径Φ8-9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香樟</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胸径Φ11-12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23</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辉煌女贞</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胸径Φ7-8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24</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朴树</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胸径Φ9-10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榉树</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胸径Φ12-13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26</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枫香</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胸径Φ7-8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27</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樱花(染井吉野)</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胸径Φ8-9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红枫</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胸径Φ5-6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金桂</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胸径Φ5-6 </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矮生紫薇</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蓬径P21-30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31</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金焰绣线菊</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蓬径P21-30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32</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金丝桃</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蓬径P21-30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常绿萱草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34</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金叶苔草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35</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小兔子狼尾草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蓬径P41以上</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36</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细叶芒</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蓬径P16-20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37</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大吴风草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蓬径P16-20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38</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植草沿阶草加石蒜</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39</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植草二月兰加紫茉莉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40</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常春藤</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株</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41</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紫花地丁</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42</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天人菊</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43</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蛇鞭菊</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44</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大花金鸡菊</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45</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柳叶马鞭草</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蓬径P21-30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46</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百慕大（草皮）</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47</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果岭草（草皮）</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1090</w:t>
            </w:r>
          </w:p>
        </w:tc>
      </w:tr>
    </w:tbl>
    <w:p>
      <w:pPr>
        <w:snapToGrid w:val="0"/>
        <w:ind w:firstLine="480" w:firstLineChars="200"/>
        <w:jc w:val="left"/>
        <w:rPr>
          <w:rFonts w:hint="eastAsia" w:ascii="宋体" w:hAnsi="宋体" w:eastAsia="宋体" w:cs="宋体"/>
          <w:b w:val="0"/>
          <w:bCs w:val="0"/>
          <w:color w:val="auto"/>
          <w:sz w:val="24"/>
          <w:szCs w:val="24"/>
        </w:rPr>
      </w:pPr>
    </w:p>
    <w:tbl>
      <w:tblPr>
        <w:tblStyle w:val="50"/>
        <w:tblW w:w="8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3"/>
        <w:gridCol w:w="1663"/>
        <w:gridCol w:w="1737"/>
        <w:gridCol w:w="1018"/>
        <w:gridCol w:w="818"/>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8082" w:type="dxa"/>
            <w:gridSpan w:val="6"/>
            <w:tcBorders>
              <w:top w:val="nil"/>
              <w:left w:val="nil"/>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上海中学东校高中部周边生态公益林项目设施设备清单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1273" w:type="dxa"/>
            <w:tcBorders>
              <w:top w:val="single" w:color="auto" w:sz="4" w:space="0"/>
              <w:left w:val="single" w:color="auto" w:sz="4" w:space="0"/>
              <w:bottom w:val="single" w:color="auto"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序号</w:t>
            </w:r>
          </w:p>
        </w:tc>
        <w:tc>
          <w:tcPr>
            <w:tcW w:w="1663" w:type="dxa"/>
            <w:tcBorders>
              <w:top w:val="single" w:color="auto"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项目部位</w:t>
            </w:r>
          </w:p>
        </w:tc>
        <w:tc>
          <w:tcPr>
            <w:tcW w:w="1737" w:type="dxa"/>
            <w:tcBorders>
              <w:top w:val="single" w:color="auto"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项目名称</w:t>
            </w:r>
          </w:p>
        </w:tc>
        <w:tc>
          <w:tcPr>
            <w:tcW w:w="1018" w:type="dxa"/>
            <w:tcBorders>
              <w:top w:val="single" w:color="auto"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规格</w:t>
            </w:r>
          </w:p>
        </w:tc>
        <w:tc>
          <w:tcPr>
            <w:tcW w:w="818" w:type="dxa"/>
            <w:tcBorders>
              <w:top w:val="single" w:color="auto"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单位</w:t>
            </w:r>
          </w:p>
        </w:tc>
        <w:tc>
          <w:tcPr>
            <w:tcW w:w="1573" w:type="dxa"/>
            <w:tcBorders>
              <w:top w:val="single" w:color="auto" w:sz="4" w:space="0"/>
              <w:left w:val="single" w:color="000000" w:sz="4" w:space="0"/>
              <w:bottom w:val="single" w:color="auto" w:sz="4" w:space="0"/>
              <w:right w:val="single" w:color="auto" w:sz="4" w:space="0"/>
            </w:tcBorders>
            <w:shd w:val="clear" w:color="FFFFFF" w:fill="FFFFFF"/>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设施量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127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1663"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园路</w:t>
            </w:r>
          </w:p>
        </w:tc>
        <w:tc>
          <w:tcPr>
            <w:tcW w:w="17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混凝土园路</w:t>
            </w:r>
          </w:p>
        </w:tc>
        <w:tc>
          <w:tcPr>
            <w:tcW w:w="101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1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57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16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碎石园路</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c>
          <w:tcPr>
            <w:tcW w:w="16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亲水平台</w:t>
            </w: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防腐木地板</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w:t>
            </w:r>
          </w:p>
        </w:tc>
        <w:tc>
          <w:tcPr>
            <w:tcW w:w="16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金属扶手、栏杆、栏板</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w:t>
            </w:r>
          </w:p>
        </w:tc>
      </w:tr>
    </w:tbl>
    <w:p>
      <w:pPr>
        <w:snapToGrid w:val="0"/>
        <w:ind w:firstLine="480" w:firstLineChars="200"/>
        <w:jc w:val="left"/>
        <w:rPr>
          <w:rFonts w:hint="eastAsia" w:ascii="宋体" w:hAnsi="宋体" w:eastAsia="宋体" w:cs="宋体"/>
          <w:bCs/>
          <w:color w:val="auto"/>
          <w:sz w:val="24"/>
          <w:szCs w:val="24"/>
        </w:rPr>
      </w:pPr>
    </w:p>
    <w:p>
      <w:pPr>
        <w:snapToGrid w:val="0"/>
        <w:ind w:firstLine="440" w:firstLineChars="200"/>
        <w:rPr>
          <w:b/>
          <w:color w:val="auto"/>
          <w:sz w:val="22"/>
          <w:szCs w:val="20"/>
          <w:highlight w:val="none"/>
        </w:rPr>
      </w:pPr>
      <w:bookmarkStart w:id="51" w:name="_GoBack"/>
      <w:r>
        <w:rPr>
          <w:rFonts w:hint="eastAsia" w:ascii="仿宋_GB2312" w:hAnsi="仿宋_GB2312" w:eastAsia="仿宋_GB2312" w:cs="仿宋_GB2312"/>
          <w:bCs/>
          <w:color w:val="auto"/>
          <w:sz w:val="22"/>
          <w:highlight w:val="none"/>
        </w:rPr>
        <w:t>★</w:t>
      </w:r>
      <w:r>
        <w:rPr>
          <w:bCs/>
          <w:color w:val="auto"/>
          <w:sz w:val="22"/>
          <w:highlight w:val="none"/>
        </w:rPr>
        <w:t>说明：</w:t>
      </w:r>
      <w:r>
        <w:rPr>
          <w:b/>
          <w:color w:val="auto"/>
          <w:sz w:val="22"/>
          <w:szCs w:val="20"/>
          <w:highlight w:val="none"/>
        </w:rPr>
        <w:t>投标人不得对表内</w:t>
      </w:r>
      <w:r>
        <w:rPr>
          <w:rFonts w:hint="eastAsia"/>
          <w:b/>
          <w:color w:val="auto"/>
          <w:sz w:val="22"/>
          <w:szCs w:val="20"/>
          <w:highlight w:val="none"/>
          <w:lang w:eastAsia="zh-CN"/>
        </w:rPr>
        <w:t>数量</w:t>
      </w:r>
      <w:r>
        <w:rPr>
          <w:b/>
          <w:color w:val="auto"/>
          <w:sz w:val="22"/>
          <w:szCs w:val="20"/>
          <w:highlight w:val="none"/>
        </w:rPr>
        <w:t>进行缩减。</w:t>
      </w:r>
    </w:p>
    <w:bookmarkEnd w:id="51"/>
    <w:p>
      <w:pPr>
        <w:snapToGrid w:val="0"/>
        <w:ind w:firstLine="442" w:firstLineChars="200"/>
        <w:rPr>
          <w:b/>
          <w:color w:val="auto"/>
          <w:sz w:val="22"/>
          <w:szCs w:val="20"/>
        </w:rPr>
      </w:pPr>
    </w:p>
    <w:p>
      <w:pPr>
        <w:adjustRightInd w:val="0"/>
        <w:snapToGrid w:val="0"/>
        <w:ind w:firstLine="411" w:firstLineChars="196"/>
        <w:jc w:val="left"/>
        <w:rPr>
          <w:color w:val="auto"/>
          <w:szCs w:val="20"/>
        </w:rPr>
      </w:pPr>
      <w:r>
        <w:rPr>
          <w:rFonts w:hint="eastAsia"/>
          <w:color w:val="auto"/>
          <w:szCs w:val="21"/>
        </w:rPr>
        <w:t>9.2</w:t>
      </w:r>
      <w:r>
        <w:rPr>
          <w:bCs/>
          <w:color w:val="auto"/>
          <w:sz w:val="22"/>
        </w:rPr>
        <w:t>日常养护工作基本要求</w:t>
      </w:r>
    </w:p>
    <w:p>
      <w:pPr>
        <w:snapToGrid w:val="0"/>
        <w:ind w:firstLine="440" w:firstLineChars="200"/>
        <w:jc w:val="left"/>
        <w:rPr>
          <w:color w:val="auto"/>
          <w:sz w:val="22"/>
        </w:rPr>
      </w:pPr>
      <w:r>
        <w:rPr>
          <w:rFonts w:hint="eastAsia"/>
          <w:color w:val="auto"/>
          <w:sz w:val="22"/>
        </w:rPr>
        <w:t>9.2.1生态公益林养护要求</w:t>
      </w:r>
    </w:p>
    <w:p>
      <w:pPr>
        <w:snapToGrid w:val="0"/>
        <w:ind w:firstLine="440" w:firstLineChars="200"/>
        <w:jc w:val="left"/>
        <w:rPr>
          <w:color w:val="auto"/>
          <w:sz w:val="22"/>
        </w:rPr>
      </w:pPr>
      <w:r>
        <w:rPr>
          <w:rFonts w:hint="eastAsia"/>
          <w:color w:val="auto"/>
          <w:sz w:val="22"/>
        </w:rPr>
        <w:t>9.2.1.1一般规定</w:t>
      </w:r>
    </w:p>
    <w:p>
      <w:pPr>
        <w:snapToGrid w:val="0"/>
        <w:ind w:firstLine="440" w:firstLineChars="200"/>
        <w:jc w:val="left"/>
        <w:rPr>
          <w:color w:val="auto"/>
          <w:sz w:val="22"/>
        </w:rPr>
      </w:pPr>
      <w:r>
        <w:rPr>
          <w:rFonts w:hint="eastAsia"/>
          <w:color w:val="auto"/>
          <w:sz w:val="22"/>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pPr>
        <w:snapToGrid w:val="0"/>
        <w:ind w:firstLine="440" w:firstLineChars="200"/>
        <w:jc w:val="left"/>
        <w:rPr>
          <w:color w:val="auto"/>
          <w:sz w:val="22"/>
        </w:rPr>
      </w:pPr>
      <w:r>
        <w:rPr>
          <w:rFonts w:hint="eastAsia"/>
          <w:color w:val="auto"/>
          <w:sz w:val="22"/>
        </w:rPr>
        <w:t>（1）养护内容包括：林相结构、林木生长、林地卫生、排灌、病虫害、杂草控制、防灾减灾、基础设施、养护档案等方面。</w:t>
      </w:r>
    </w:p>
    <w:p>
      <w:pPr>
        <w:snapToGrid w:val="0"/>
        <w:ind w:firstLine="442" w:firstLineChars="200"/>
        <w:jc w:val="left"/>
        <w:rPr>
          <w:b/>
          <w:color w:val="auto"/>
          <w:sz w:val="22"/>
        </w:rPr>
      </w:pPr>
      <w:r>
        <w:rPr>
          <w:rFonts w:hint="eastAsia"/>
          <w:b/>
          <w:color w:val="auto"/>
          <w:sz w:val="22"/>
        </w:rPr>
        <w:t>见附录 A：《公益林养护标准》。</w:t>
      </w:r>
    </w:p>
    <w:p>
      <w:pPr>
        <w:snapToGrid w:val="0"/>
        <w:ind w:firstLine="440" w:firstLineChars="200"/>
        <w:jc w:val="left"/>
        <w:rPr>
          <w:color w:val="auto"/>
          <w:sz w:val="22"/>
        </w:rPr>
      </w:pPr>
      <w:r>
        <w:rPr>
          <w:rFonts w:hint="eastAsia"/>
          <w:color w:val="auto"/>
          <w:sz w:val="22"/>
        </w:rPr>
        <w:t>（1）公益林应划定综合管护责任区，林地管理责任主体与养护单位须按管护责任区签订管护合同，明确权、责、利，落实人员、资金、措施等养护责任制。</w:t>
      </w:r>
    </w:p>
    <w:p>
      <w:pPr>
        <w:snapToGrid w:val="0"/>
        <w:ind w:firstLine="442" w:firstLineChars="200"/>
        <w:jc w:val="left"/>
        <w:rPr>
          <w:b/>
          <w:color w:val="auto"/>
          <w:sz w:val="22"/>
        </w:rPr>
      </w:pPr>
      <w:r>
        <w:rPr>
          <w:rFonts w:hint="eastAsia"/>
          <w:b/>
          <w:color w:val="auto"/>
          <w:sz w:val="22"/>
        </w:rPr>
        <w:t>见附录 B：《上海市公益林主要养护工作月历》。</w:t>
      </w:r>
    </w:p>
    <w:p>
      <w:pPr>
        <w:snapToGrid w:val="0"/>
        <w:ind w:firstLine="440" w:firstLineChars="200"/>
        <w:jc w:val="left"/>
        <w:rPr>
          <w:color w:val="auto"/>
          <w:sz w:val="22"/>
        </w:rPr>
      </w:pPr>
      <w:r>
        <w:rPr>
          <w:rFonts w:hint="eastAsia"/>
          <w:color w:val="auto"/>
          <w:sz w:val="22"/>
        </w:rPr>
        <w:t>（2）养护要求</w:t>
      </w:r>
    </w:p>
    <w:p>
      <w:pPr>
        <w:snapToGrid w:val="0"/>
        <w:ind w:firstLine="440" w:firstLineChars="200"/>
        <w:jc w:val="left"/>
        <w:rPr>
          <w:color w:val="auto"/>
          <w:sz w:val="22"/>
        </w:rPr>
      </w:pPr>
      <w:r>
        <w:rPr>
          <w:rFonts w:hint="eastAsia"/>
          <w:color w:val="auto"/>
          <w:sz w:val="22"/>
        </w:rPr>
        <w:t>公益林应做到全面养护，普遍护林，包括林木、林地、野生动植物、森林防火和病虫害防治等养护管理。</w:t>
      </w:r>
    </w:p>
    <w:p>
      <w:pPr>
        <w:snapToGrid w:val="0"/>
        <w:ind w:firstLine="440" w:firstLineChars="200"/>
        <w:jc w:val="left"/>
        <w:rPr>
          <w:color w:val="auto"/>
          <w:sz w:val="22"/>
        </w:rPr>
      </w:pPr>
      <w:r>
        <w:rPr>
          <w:rFonts w:hint="eastAsia"/>
          <w:color w:val="auto"/>
          <w:sz w:val="22"/>
        </w:rPr>
        <w:t>（3）区域划分</w:t>
      </w:r>
    </w:p>
    <w:p>
      <w:pPr>
        <w:pStyle w:val="127"/>
        <w:rPr>
          <w:color w:val="auto"/>
          <w:szCs w:val="22"/>
        </w:rPr>
      </w:pPr>
      <w:r>
        <w:rPr>
          <w:rFonts w:hint="eastAsia"/>
          <w:color w:val="auto"/>
          <w:sz w:val="22"/>
        </w:rPr>
        <w:t>根据公益林的功能和区位，分为</w:t>
      </w:r>
      <w:r>
        <w:rPr>
          <w:rFonts w:hint="eastAsia"/>
          <w:color w:val="auto"/>
          <w:szCs w:val="22"/>
          <w:lang w:val="en-US" w:eastAsia="zh-CN"/>
        </w:rPr>
        <w:t>一级养护林地养护和二级养护林地养护</w:t>
      </w:r>
    </w:p>
    <w:p>
      <w:pPr>
        <w:snapToGrid w:val="0"/>
        <w:ind w:firstLine="440" w:firstLineChars="200"/>
        <w:jc w:val="left"/>
        <w:rPr>
          <w:color w:val="auto"/>
          <w:sz w:val="22"/>
        </w:rPr>
      </w:pPr>
      <w:r>
        <w:rPr>
          <w:rFonts w:hint="eastAsia"/>
          <w:color w:val="auto"/>
          <w:sz w:val="22"/>
        </w:rPr>
        <w:t>（4）公益林地管理</w:t>
      </w:r>
    </w:p>
    <w:p>
      <w:pPr>
        <w:snapToGrid w:val="0"/>
        <w:ind w:firstLine="440" w:firstLineChars="200"/>
        <w:jc w:val="left"/>
        <w:rPr>
          <w:rFonts w:hint="eastAsia"/>
          <w:color w:val="auto"/>
          <w:sz w:val="22"/>
        </w:rPr>
      </w:pPr>
      <w:r>
        <w:rPr>
          <w:rFonts w:hint="eastAsia"/>
          <w:color w:val="auto"/>
          <w:sz w:val="22"/>
          <w:lang w:val="en-US" w:eastAsia="zh-CN"/>
        </w:rPr>
        <w:t>1）</w:t>
      </w:r>
      <w:r>
        <w:rPr>
          <w:rFonts w:hint="eastAsia"/>
          <w:color w:val="auto"/>
          <w:sz w:val="22"/>
        </w:rPr>
        <w:t>、禁止在公益林林地内筑坟、盗伐、取土、倾倒垃圾、违章堆物和搭建、使用明火等违法行为的发生。</w:t>
      </w:r>
    </w:p>
    <w:p>
      <w:pPr>
        <w:snapToGrid w:val="0"/>
        <w:ind w:firstLine="440" w:firstLineChars="200"/>
        <w:jc w:val="left"/>
        <w:rPr>
          <w:color w:val="auto"/>
          <w:sz w:val="22"/>
        </w:rPr>
      </w:pPr>
      <w:r>
        <w:rPr>
          <w:rFonts w:hint="eastAsia"/>
          <w:color w:val="auto"/>
          <w:sz w:val="22"/>
          <w:lang w:val="en-US" w:eastAsia="zh-CN"/>
        </w:rPr>
        <w:t>2）</w:t>
      </w:r>
      <w:r>
        <w:rPr>
          <w:rFonts w:hint="eastAsia"/>
          <w:color w:val="auto"/>
          <w:sz w:val="22"/>
        </w:rPr>
        <w:t>、禁止在公益林内违法行为的发生。绿地保洁：绿地应每天清扫保洁，做到养护范围内无明显垃圾杂物，清理后的垃圾应集中存放到垃圾箱内，防止垃圾再次污染；修剪后的枝条及时清除到指定点。</w:t>
      </w:r>
    </w:p>
    <w:p>
      <w:pPr>
        <w:snapToGrid w:val="0"/>
        <w:ind w:firstLine="440" w:firstLineChars="200"/>
        <w:jc w:val="left"/>
        <w:rPr>
          <w:color w:val="auto"/>
          <w:sz w:val="22"/>
        </w:rPr>
      </w:pPr>
      <w:r>
        <w:rPr>
          <w:rFonts w:hint="eastAsia"/>
          <w:color w:val="auto"/>
          <w:sz w:val="22"/>
        </w:rPr>
        <w:t>（5）林地卫生</w:t>
      </w:r>
    </w:p>
    <w:p>
      <w:pPr>
        <w:snapToGrid w:val="0"/>
        <w:ind w:firstLine="440" w:firstLineChars="200"/>
        <w:jc w:val="left"/>
        <w:rPr>
          <w:rFonts w:hint="eastAsia"/>
          <w:color w:val="auto"/>
          <w:sz w:val="22"/>
        </w:rPr>
      </w:pPr>
      <w:r>
        <w:rPr>
          <w:rFonts w:hint="eastAsia"/>
          <w:color w:val="auto"/>
          <w:sz w:val="22"/>
          <w:lang w:val="en-US" w:eastAsia="zh-CN"/>
        </w:rPr>
        <w:t>1）</w:t>
      </w:r>
      <w:r>
        <w:rPr>
          <w:rFonts w:hint="eastAsia"/>
          <w:color w:val="auto"/>
          <w:sz w:val="22"/>
        </w:rPr>
        <w:t>、须及时清理林内废弃垃圾，保持林地整洁、自然，林木生长健康。</w:t>
      </w:r>
    </w:p>
    <w:p>
      <w:pPr>
        <w:snapToGrid w:val="0"/>
        <w:ind w:firstLine="440" w:firstLineChars="200"/>
        <w:jc w:val="left"/>
        <w:rPr>
          <w:rFonts w:hint="eastAsia"/>
          <w:color w:val="auto"/>
          <w:sz w:val="22"/>
        </w:rPr>
      </w:pPr>
      <w:r>
        <w:rPr>
          <w:rFonts w:hint="eastAsia"/>
          <w:color w:val="auto"/>
          <w:sz w:val="22"/>
          <w:lang w:val="en-US" w:eastAsia="zh-CN"/>
        </w:rPr>
        <w:t>2）</w:t>
      </w:r>
      <w:r>
        <w:rPr>
          <w:rFonts w:hint="eastAsia"/>
          <w:color w:val="auto"/>
          <w:sz w:val="22"/>
        </w:rPr>
        <w:t>、须保持林内路面平整清洁，沟渠畅通。</w:t>
      </w:r>
    </w:p>
    <w:p>
      <w:pPr>
        <w:snapToGrid w:val="0"/>
        <w:ind w:firstLine="440" w:firstLineChars="200"/>
        <w:jc w:val="left"/>
        <w:rPr>
          <w:color w:val="auto"/>
          <w:sz w:val="22"/>
        </w:rPr>
      </w:pPr>
      <w:r>
        <w:rPr>
          <w:rFonts w:hint="eastAsia"/>
          <w:color w:val="auto"/>
          <w:sz w:val="22"/>
          <w:lang w:val="en-US" w:eastAsia="zh-CN"/>
        </w:rPr>
        <w:t>3）</w:t>
      </w:r>
      <w:r>
        <w:rPr>
          <w:rFonts w:hint="eastAsia"/>
          <w:color w:val="auto"/>
          <w:sz w:val="22"/>
        </w:rPr>
        <w:t>、须保持林内水面清洁，无生产、生活性漂浮物。</w:t>
      </w:r>
    </w:p>
    <w:p>
      <w:pPr>
        <w:snapToGrid w:val="0"/>
        <w:ind w:firstLine="440" w:firstLineChars="200"/>
        <w:jc w:val="left"/>
        <w:rPr>
          <w:color w:val="auto"/>
          <w:sz w:val="22"/>
        </w:rPr>
      </w:pPr>
      <w:r>
        <w:rPr>
          <w:rFonts w:hint="eastAsia"/>
          <w:color w:val="auto"/>
          <w:sz w:val="22"/>
        </w:rPr>
        <w:t>9.2.1.2</w:t>
      </w:r>
      <w:r>
        <w:rPr>
          <w:rFonts w:hint="eastAsia"/>
          <w:color w:val="auto"/>
          <w:sz w:val="22"/>
        </w:rPr>
        <w:tab/>
      </w:r>
      <w:r>
        <w:rPr>
          <w:rFonts w:hint="eastAsia"/>
          <w:color w:val="auto"/>
          <w:sz w:val="22"/>
        </w:rPr>
        <w:t>日常养护</w:t>
      </w:r>
    </w:p>
    <w:p>
      <w:pPr>
        <w:snapToGrid w:val="0"/>
        <w:ind w:firstLine="440" w:firstLineChars="200"/>
        <w:jc w:val="left"/>
        <w:rPr>
          <w:color w:val="auto"/>
          <w:sz w:val="22"/>
        </w:rPr>
      </w:pPr>
      <w:r>
        <w:rPr>
          <w:rFonts w:hint="eastAsia"/>
          <w:color w:val="auto"/>
          <w:sz w:val="22"/>
        </w:rPr>
        <w:t>日常养护包括排灌、施肥、松土、杂草控制和林地基础设施维护等</w:t>
      </w:r>
    </w:p>
    <w:p>
      <w:pPr>
        <w:snapToGrid w:val="0"/>
        <w:ind w:firstLine="440" w:firstLineChars="200"/>
        <w:jc w:val="left"/>
        <w:rPr>
          <w:color w:val="auto"/>
          <w:sz w:val="22"/>
        </w:rPr>
      </w:pPr>
      <w:r>
        <w:rPr>
          <w:rFonts w:hint="eastAsia"/>
          <w:color w:val="auto"/>
          <w:sz w:val="22"/>
        </w:rPr>
        <w:t>（1）排灌</w:t>
      </w:r>
    </w:p>
    <w:p>
      <w:pPr>
        <w:snapToGrid w:val="0"/>
        <w:ind w:firstLine="440" w:firstLineChars="200"/>
        <w:jc w:val="left"/>
        <w:rPr>
          <w:rFonts w:hint="eastAsia"/>
          <w:color w:val="auto"/>
          <w:sz w:val="22"/>
        </w:rPr>
      </w:pPr>
      <w:r>
        <w:rPr>
          <w:rFonts w:hint="eastAsia"/>
          <w:color w:val="auto"/>
          <w:sz w:val="22"/>
          <w:lang w:val="en-US" w:eastAsia="zh-CN"/>
        </w:rPr>
        <w:t>1）</w:t>
      </w:r>
      <w:r>
        <w:rPr>
          <w:rFonts w:hint="eastAsia"/>
          <w:color w:val="auto"/>
          <w:sz w:val="22"/>
        </w:rPr>
        <w:t>、水源宜就近取用，节约用水，严禁使用已污染的水源。在高温季节或连续干旱， 对造成林木生长出现缺水症状的林地须进行科学灌溉。</w:t>
      </w:r>
    </w:p>
    <w:p>
      <w:pPr>
        <w:snapToGrid w:val="0"/>
        <w:ind w:firstLine="440" w:firstLineChars="200"/>
        <w:jc w:val="left"/>
        <w:rPr>
          <w:color w:val="auto"/>
          <w:sz w:val="22"/>
        </w:rPr>
      </w:pPr>
      <w:r>
        <w:rPr>
          <w:rFonts w:hint="eastAsia"/>
          <w:color w:val="auto"/>
          <w:sz w:val="22"/>
          <w:lang w:val="en-US" w:eastAsia="zh-CN"/>
        </w:rPr>
        <w:t>2）</w:t>
      </w:r>
      <w:r>
        <w:rPr>
          <w:rFonts w:hint="eastAsia"/>
          <w:color w:val="auto"/>
          <w:sz w:val="22"/>
        </w:rPr>
        <w:t>、林地出现积水应及时排除，重点养护区或有特殊要求的重点管护生态公益林应在 12 小时内排水完毕。</w:t>
      </w:r>
    </w:p>
    <w:p>
      <w:pPr>
        <w:snapToGrid w:val="0"/>
        <w:ind w:firstLine="440" w:firstLineChars="200"/>
        <w:jc w:val="left"/>
        <w:rPr>
          <w:color w:val="auto"/>
          <w:sz w:val="22"/>
        </w:rPr>
      </w:pPr>
      <w:r>
        <w:rPr>
          <w:rFonts w:hint="eastAsia"/>
          <w:color w:val="auto"/>
          <w:sz w:val="22"/>
        </w:rPr>
        <w:t>（2）施肥</w:t>
      </w:r>
    </w:p>
    <w:p>
      <w:pPr>
        <w:snapToGrid w:val="0"/>
        <w:ind w:firstLine="440" w:firstLineChars="200"/>
        <w:jc w:val="left"/>
        <w:rPr>
          <w:rFonts w:hint="eastAsia"/>
          <w:color w:val="auto"/>
          <w:sz w:val="22"/>
        </w:rPr>
      </w:pPr>
      <w:r>
        <w:rPr>
          <w:rFonts w:hint="eastAsia"/>
          <w:color w:val="auto"/>
          <w:sz w:val="22"/>
          <w:lang w:val="en-US" w:eastAsia="zh-CN"/>
        </w:rPr>
        <w:t>1）</w:t>
      </w:r>
      <w:r>
        <w:rPr>
          <w:rFonts w:hint="eastAsia"/>
          <w:color w:val="auto"/>
          <w:sz w:val="22"/>
        </w:rPr>
        <w:t>、林地出现区域性缺肥现象时应进行施肥，提倡秋冬季节结合土壤冬翻施用有机肥，可根据不同区位下的不同树种确定施肥用量。</w:t>
      </w:r>
    </w:p>
    <w:p>
      <w:pPr>
        <w:snapToGrid w:val="0"/>
        <w:ind w:firstLine="440" w:firstLineChars="200"/>
        <w:jc w:val="left"/>
        <w:rPr>
          <w:color w:val="auto"/>
          <w:sz w:val="22"/>
        </w:rPr>
      </w:pPr>
      <w:r>
        <w:rPr>
          <w:rFonts w:hint="eastAsia"/>
          <w:color w:val="auto"/>
          <w:sz w:val="22"/>
          <w:lang w:val="en-US" w:eastAsia="zh-CN"/>
        </w:rPr>
        <w:t>2）</w:t>
      </w:r>
      <w:r>
        <w:rPr>
          <w:rFonts w:hint="eastAsia"/>
          <w:color w:val="auto"/>
          <w:sz w:val="22"/>
        </w:rPr>
        <w:t>、严禁使用已禁止的肥料产品，水源涵养林内禁止施化肥。林地所施的肥料产品须在主管部门认可的肥料产品目录范围内，否则，须经市林业主管部门审定批准后方可使用。</w:t>
      </w:r>
    </w:p>
    <w:p>
      <w:pPr>
        <w:snapToGrid w:val="0"/>
        <w:ind w:firstLine="440" w:firstLineChars="200"/>
        <w:jc w:val="left"/>
        <w:rPr>
          <w:color w:val="auto"/>
          <w:sz w:val="22"/>
        </w:rPr>
      </w:pPr>
      <w:r>
        <w:rPr>
          <w:rFonts w:hint="eastAsia"/>
          <w:color w:val="auto"/>
          <w:sz w:val="22"/>
        </w:rPr>
        <w:t>（3）松土</w:t>
      </w:r>
    </w:p>
    <w:p>
      <w:pPr>
        <w:snapToGrid w:val="0"/>
        <w:ind w:firstLine="440" w:firstLineChars="200"/>
        <w:jc w:val="left"/>
        <w:rPr>
          <w:rFonts w:hint="eastAsia"/>
          <w:color w:val="auto"/>
          <w:sz w:val="22"/>
        </w:rPr>
      </w:pPr>
      <w:r>
        <w:rPr>
          <w:rFonts w:hint="eastAsia"/>
          <w:color w:val="auto"/>
          <w:sz w:val="22"/>
          <w:lang w:val="en-US" w:eastAsia="zh-CN"/>
        </w:rPr>
        <w:t>1）</w:t>
      </w:r>
      <w:r>
        <w:rPr>
          <w:rFonts w:hint="eastAsia"/>
          <w:color w:val="auto"/>
          <w:sz w:val="22"/>
        </w:rPr>
        <w:t>、原则：里浅外深；树小浅松，树大深松；沙土浅松，粘土深松；湿土浅松，干土深松。</w:t>
      </w:r>
    </w:p>
    <w:p>
      <w:pPr>
        <w:snapToGrid w:val="0"/>
        <w:ind w:firstLine="440" w:firstLineChars="200"/>
        <w:jc w:val="left"/>
        <w:rPr>
          <w:color w:val="auto"/>
          <w:sz w:val="22"/>
        </w:rPr>
      </w:pPr>
      <w:r>
        <w:rPr>
          <w:rFonts w:hint="eastAsia"/>
          <w:color w:val="auto"/>
          <w:sz w:val="22"/>
          <w:lang w:val="en-US" w:eastAsia="zh-CN"/>
        </w:rPr>
        <w:t>2）</w:t>
      </w:r>
      <w:r>
        <w:rPr>
          <w:rFonts w:hint="eastAsia"/>
          <w:color w:val="auto"/>
          <w:sz w:val="22"/>
        </w:rPr>
        <w:t>、时间：结合除草或施肥进行，冬季宜进行土壤冬翻。</w:t>
      </w:r>
    </w:p>
    <w:p>
      <w:pPr>
        <w:snapToGrid w:val="0"/>
        <w:ind w:firstLine="440" w:firstLineChars="200"/>
        <w:jc w:val="left"/>
        <w:rPr>
          <w:bCs/>
          <w:color w:val="auto"/>
          <w:sz w:val="22"/>
        </w:rPr>
      </w:pPr>
      <w:r>
        <w:rPr>
          <w:rFonts w:hint="eastAsia"/>
          <w:bCs/>
          <w:color w:val="auto"/>
          <w:sz w:val="22"/>
        </w:rPr>
        <w:t>（4）杂草控制</w:t>
      </w:r>
    </w:p>
    <w:p>
      <w:pPr>
        <w:snapToGrid w:val="0"/>
        <w:ind w:left="437" w:leftChars="208" w:firstLine="0" w:firstLineChars="0"/>
        <w:jc w:val="left"/>
        <w:rPr>
          <w:rFonts w:hint="eastAsia"/>
          <w:bCs/>
          <w:color w:val="auto"/>
          <w:sz w:val="22"/>
        </w:rPr>
      </w:pPr>
      <w:r>
        <w:rPr>
          <w:rFonts w:hint="eastAsia"/>
          <w:bCs/>
          <w:color w:val="auto"/>
          <w:sz w:val="22"/>
          <w:lang w:val="en-US" w:eastAsia="zh-CN"/>
        </w:rPr>
        <w:t>1）</w:t>
      </w:r>
      <w:r>
        <w:rPr>
          <w:rFonts w:hint="eastAsia"/>
          <w:bCs/>
          <w:color w:val="auto"/>
          <w:sz w:val="22"/>
        </w:rPr>
        <w:t>、林地内恶性杂草、绞杀性藤本植物应及时清除；新植林地内杂草高度宜控制在30cm 以下。</w:t>
      </w:r>
      <w:r>
        <w:rPr>
          <w:rFonts w:hint="eastAsia"/>
          <w:bCs/>
          <w:color w:val="auto"/>
          <w:sz w:val="22"/>
          <w:lang w:val="en-US" w:eastAsia="zh-CN"/>
        </w:rPr>
        <w:t>2）</w:t>
      </w:r>
      <w:r>
        <w:rPr>
          <w:rFonts w:hint="eastAsia"/>
          <w:bCs/>
          <w:color w:val="auto"/>
          <w:sz w:val="22"/>
        </w:rPr>
        <w:t>、控制方法:人工或机械控制。三、林地内严禁使用破坏生态环境的化学除草剂。</w:t>
      </w:r>
    </w:p>
    <w:p>
      <w:pPr>
        <w:snapToGrid w:val="0"/>
        <w:ind w:firstLine="440" w:firstLineChars="200"/>
        <w:jc w:val="left"/>
        <w:rPr>
          <w:bCs/>
          <w:color w:val="auto"/>
          <w:sz w:val="22"/>
        </w:rPr>
      </w:pPr>
      <w:r>
        <w:rPr>
          <w:rFonts w:hint="eastAsia"/>
          <w:bCs/>
          <w:color w:val="auto"/>
          <w:sz w:val="22"/>
        </w:rPr>
        <w:t>（5）林地基础设施维护</w:t>
      </w:r>
    </w:p>
    <w:p>
      <w:pPr>
        <w:snapToGrid w:val="0"/>
        <w:ind w:firstLine="440" w:firstLineChars="200"/>
        <w:jc w:val="left"/>
        <w:rPr>
          <w:rFonts w:hint="eastAsia"/>
          <w:bCs/>
          <w:color w:val="auto"/>
          <w:sz w:val="22"/>
        </w:rPr>
      </w:pPr>
      <w:r>
        <w:rPr>
          <w:rFonts w:hint="eastAsia"/>
          <w:bCs/>
          <w:color w:val="auto"/>
          <w:sz w:val="22"/>
          <w:lang w:val="en-US" w:eastAsia="zh-CN"/>
        </w:rPr>
        <w:t>1）</w:t>
      </w:r>
      <w:r>
        <w:rPr>
          <w:rFonts w:hint="eastAsia"/>
          <w:bCs/>
          <w:color w:val="auto"/>
          <w:sz w:val="22"/>
        </w:rPr>
        <w:t>、林业作业机具、装备应配备齐全，保证功能完好。</w:t>
      </w:r>
    </w:p>
    <w:p>
      <w:pPr>
        <w:snapToGrid w:val="0"/>
        <w:ind w:left="437" w:leftChars="208" w:firstLine="0" w:firstLineChars="0"/>
        <w:jc w:val="left"/>
        <w:rPr>
          <w:rFonts w:hint="eastAsia"/>
          <w:bCs/>
          <w:color w:val="auto"/>
          <w:sz w:val="22"/>
        </w:rPr>
      </w:pPr>
      <w:r>
        <w:rPr>
          <w:rFonts w:hint="eastAsia"/>
          <w:bCs/>
          <w:color w:val="auto"/>
          <w:sz w:val="22"/>
          <w:lang w:val="en-US" w:eastAsia="zh-CN"/>
        </w:rPr>
        <w:t>2）</w:t>
      </w:r>
      <w:r>
        <w:rPr>
          <w:rFonts w:hint="eastAsia"/>
          <w:bCs/>
          <w:color w:val="auto"/>
          <w:sz w:val="22"/>
        </w:rPr>
        <w:t>、应保持和维护道班房的完整，按照不同功能分设道班房，落实防盗、用电等安全措施规范。</w:t>
      </w:r>
      <w:r>
        <w:rPr>
          <w:rFonts w:hint="eastAsia"/>
          <w:bCs/>
          <w:color w:val="auto"/>
          <w:sz w:val="22"/>
          <w:lang w:val="en-US" w:eastAsia="zh-CN"/>
        </w:rPr>
        <w:t>3）</w:t>
      </w:r>
      <w:r>
        <w:rPr>
          <w:rFonts w:hint="eastAsia"/>
          <w:bCs/>
          <w:color w:val="auto"/>
          <w:sz w:val="22"/>
        </w:rPr>
        <w:t>、须保持林区防火通道、生产作业道路系统畅通，路面平整，无严重积水，必要的路口应设置导向标志，便于人员及作业车辆设备通行顺利。</w:t>
      </w:r>
    </w:p>
    <w:p>
      <w:pPr>
        <w:snapToGrid w:val="0"/>
        <w:ind w:left="437" w:leftChars="208" w:firstLine="0" w:firstLineChars="0"/>
        <w:jc w:val="left"/>
        <w:rPr>
          <w:rFonts w:hint="eastAsia"/>
          <w:bCs/>
          <w:color w:val="auto"/>
          <w:sz w:val="22"/>
        </w:rPr>
      </w:pPr>
      <w:r>
        <w:rPr>
          <w:rFonts w:hint="eastAsia"/>
          <w:bCs/>
          <w:color w:val="auto"/>
          <w:sz w:val="22"/>
          <w:lang w:val="en-US" w:eastAsia="zh-CN"/>
        </w:rPr>
        <w:t>4）</w:t>
      </w:r>
      <w:r>
        <w:rPr>
          <w:rFonts w:hint="eastAsia"/>
          <w:bCs/>
          <w:color w:val="auto"/>
          <w:sz w:val="22"/>
        </w:rPr>
        <w:t>、应维护林区水利排灌系统畅通，保证林地内蓄水、排灌渠、排灌等设施设备功能完好，运行正常。</w:t>
      </w:r>
    </w:p>
    <w:p>
      <w:pPr>
        <w:snapToGrid w:val="0"/>
        <w:ind w:left="437" w:leftChars="208" w:firstLine="0" w:firstLineChars="0"/>
        <w:jc w:val="left"/>
        <w:rPr>
          <w:rFonts w:hint="eastAsia"/>
          <w:bCs/>
          <w:color w:val="auto"/>
          <w:sz w:val="22"/>
        </w:rPr>
      </w:pPr>
      <w:r>
        <w:rPr>
          <w:rFonts w:hint="eastAsia"/>
          <w:bCs/>
          <w:color w:val="auto"/>
          <w:sz w:val="22"/>
          <w:lang w:val="en-US" w:eastAsia="zh-CN"/>
        </w:rPr>
        <w:t>5）</w:t>
      </w:r>
      <w:r>
        <w:rPr>
          <w:rFonts w:hint="eastAsia"/>
          <w:bCs/>
          <w:color w:val="auto"/>
          <w:sz w:val="22"/>
        </w:rPr>
        <w:t>、须保持林区瞭望塔、消防栓、贮水塔、等消防系统的完整和安全，禁止在消防装置周边乱堆放杂物、乱搭建。</w:t>
      </w:r>
    </w:p>
    <w:p>
      <w:pPr>
        <w:snapToGrid w:val="0"/>
        <w:ind w:left="437" w:leftChars="208" w:firstLine="0" w:firstLineChars="0"/>
        <w:jc w:val="left"/>
        <w:rPr>
          <w:rFonts w:hint="eastAsia"/>
          <w:bCs/>
          <w:color w:val="auto"/>
          <w:sz w:val="22"/>
        </w:rPr>
      </w:pPr>
      <w:r>
        <w:rPr>
          <w:rFonts w:hint="eastAsia"/>
          <w:bCs/>
          <w:color w:val="auto"/>
          <w:sz w:val="22"/>
          <w:lang w:val="en-US" w:eastAsia="zh-CN"/>
        </w:rPr>
        <w:t>6）</w:t>
      </w:r>
      <w:r>
        <w:rPr>
          <w:rFonts w:hint="eastAsia"/>
          <w:bCs/>
          <w:color w:val="auto"/>
          <w:sz w:val="22"/>
        </w:rPr>
        <w:t>、应维护森林(野生动物)监测站等监测系统的完好，保护科研、资源调查等工作  中设定的样地标记，如标示牌、边界指示物等。</w:t>
      </w:r>
    </w:p>
    <w:p>
      <w:pPr>
        <w:snapToGrid w:val="0"/>
        <w:ind w:left="437" w:leftChars="208" w:firstLine="0" w:firstLineChars="0"/>
        <w:jc w:val="left"/>
        <w:rPr>
          <w:rFonts w:hint="eastAsia"/>
          <w:bCs/>
          <w:color w:val="auto"/>
          <w:sz w:val="22"/>
        </w:rPr>
      </w:pPr>
      <w:r>
        <w:rPr>
          <w:rFonts w:hint="eastAsia"/>
          <w:bCs/>
          <w:color w:val="auto"/>
          <w:sz w:val="22"/>
          <w:lang w:val="en-US" w:eastAsia="zh-CN"/>
        </w:rPr>
        <w:t>7）</w:t>
      </w:r>
      <w:r>
        <w:rPr>
          <w:rFonts w:hint="eastAsia"/>
          <w:bCs/>
          <w:color w:val="auto"/>
          <w:sz w:val="22"/>
        </w:rPr>
        <w:t>、应维护林区警示牌、治安报警点、照明等安全系统。</w:t>
      </w:r>
    </w:p>
    <w:p>
      <w:pPr>
        <w:snapToGrid w:val="0"/>
        <w:ind w:left="437" w:leftChars="208" w:firstLine="0" w:firstLineChars="0"/>
        <w:jc w:val="left"/>
        <w:rPr>
          <w:bCs/>
          <w:color w:val="auto"/>
          <w:sz w:val="22"/>
        </w:rPr>
      </w:pPr>
      <w:r>
        <w:rPr>
          <w:rFonts w:hint="eastAsia"/>
          <w:bCs/>
          <w:color w:val="auto"/>
          <w:sz w:val="22"/>
          <w:lang w:val="en-US" w:eastAsia="zh-CN"/>
        </w:rPr>
        <w:t>8）</w:t>
      </w:r>
      <w:r>
        <w:rPr>
          <w:rFonts w:hint="eastAsia"/>
          <w:bCs/>
          <w:color w:val="auto"/>
          <w:sz w:val="22"/>
        </w:rPr>
        <w:t>、养护设备及药剂管理：应制定安全使用、日常保管、定期保全保养制度，实行专人责任制。</w:t>
      </w:r>
    </w:p>
    <w:p>
      <w:pPr>
        <w:snapToGrid w:val="0"/>
        <w:ind w:firstLine="440" w:firstLineChars="200"/>
        <w:jc w:val="left"/>
        <w:rPr>
          <w:bCs/>
          <w:color w:val="auto"/>
          <w:sz w:val="22"/>
        </w:rPr>
      </w:pPr>
      <w:r>
        <w:rPr>
          <w:rFonts w:hint="eastAsia"/>
          <w:bCs/>
          <w:color w:val="auto"/>
          <w:sz w:val="22"/>
        </w:rPr>
        <w:t>9.2.1.3</w:t>
      </w:r>
      <w:r>
        <w:rPr>
          <w:rFonts w:hint="eastAsia"/>
          <w:bCs/>
          <w:color w:val="auto"/>
          <w:sz w:val="22"/>
        </w:rPr>
        <w:tab/>
      </w:r>
      <w:r>
        <w:rPr>
          <w:rFonts w:hint="eastAsia"/>
          <w:bCs/>
          <w:color w:val="auto"/>
          <w:sz w:val="22"/>
        </w:rPr>
        <w:t>林分抚育</w:t>
      </w:r>
    </w:p>
    <w:p>
      <w:pPr>
        <w:snapToGrid w:val="0"/>
        <w:ind w:firstLine="440" w:firstLineChars="200"/>
        <w:jc w:val="left"/>
        <w:rPr>
          <w:bCs/>
          <w:color w:val="auto"/>
          <w:sz w:val="22"/>
        </w:rPr>
      </w:pPr>
      <w:r>
        <w:rPr>
          <w:rFonts w:hint="eastAsia"/>
          <w:bCs/>
          <w:color w:val="auto"/>
          <w:sz w:val="22"/>
        </w:rPr>
        <w:t>公益林抚育不得破坏林分整体结构，通过林分抚育伐劣抚优，提高林分质量，促进林木生长发育，诱导形成稳定的群落结构，增强森林的主导生态功能。</w:t>
      </w:r>
    </w:p>
    <w:p>
      <w:pPr>
        <w:snapToGrid w:val="0"/>
        <w:ind w:firstLine="440" w:firstLineChars="200"/>
        <w:jc w:val="left"/>
        <w:rPr>
          <w:bCs/>
          <w:color w:val="auto"/>
          <w:sz w:val="22"/>
        </w:rPr>
      </w:pPr>
      <w:r>
        <w:rPr>
          <w:rFonts w:hint="eastAsia"/>
          <w:bCs/>
          <w:color w:val="auto"/>
          <w:sz w:val="22"/>
        </w:rPr>
        <w:t>（1）抚育对象</w:t>
      </w:r>
    </w:p>
    <w:p>
      <w:pPr>
        <w:snapToGrid w:val="0"/>
        <w:ind w:firstLine="440" w:firstLineChars="200"/>
        <w:jc w:val="left"/>
        <w:rPr>
          <w:rFonts w:hint="eastAsia"/>
          <w:bCs/>
          <w:color w:val="auto"/>
          <w:sz w:val="22"/>
        </w:rPr>
      </w:pPr>
      <w:r>
        <w:rPr>
          <w:rFonts w:hint="eastAsia"/>
          <w:bCs/>
          <w:color w:val="auto"/>
          <w:sz w:val="22"/>
          <w:lang w:val="en-US" w:eastAsia="zh-CN"/>
        </w:rPr>
        <w:t>1）</w:t>
      </w:r>
      <w:r>
        <w:rPr>
          <w:rFonts w:hint="eastAsia"/>
          <w:bCs/>
          <w:color w:val="auto"/>
          <w:sz w:val="22"/>
        </w:rPr>
        <w:t>、林分密度大，林木分化严重，林下立木或植被受光困难。</w:t>
      </w:r>
    </w:p>
    <w:p>
      <w:pPr>
        <w:snapToGrid w:val="0"/>
        <w:ind w:firstLine="440" w:firstLineChars="200"/>
        <w:jc w:val="left"/>
        <w:rPr>
          <w:rFonts w:hint="eastAsia"/>
          <w:bCs/>
          <w:color w:val="auto"/>
          <w:sz w:val="22"/>
        </w:rPr>
      </w:pPr>
      <w:r>
        <w:rPr>
          <w:rFonts w:hint="eastAsia"/>
          <w:bCs/>
          <w:color w:val="auto"/>
          <w:sz w:val="22"/>
          <w:lang w:val="en-US" w:eastAsia="zh-CN"/>
        </w:rPr>
        <w:t>2）</w:t>
      </w:r>
      <w:r>
        <w:rPr>
          <w:rFonts w:hint="eastAsia"/>
          <w:bCs/>
          <w:color w:val="auto"/>
          <w:sz w:val="22"/>
        </w:rPr>
        <w:t>、林木生长发育已经影响主导生态功能的发挥，影响人们审美和休闲游憩的需求。</w:t>
      </w:r>
    </w:p>
    <w:p>
      <w:pPr>
        <w:snapToGrid w:val="0"/>
        <w:ind w:firstLine="440" w:firstLineChars="200"/>
        <w:jc w:val="left"/>
        <w:rPr>
          <w:rFonts w:hint="eastAsia"/>
          <w:bCs/>
          <w:color w:val="auto"/>
          <w:sz w:val="22"/>
        </w:rPr>
      </w:pPr>
      <w:r>
        <w:rPr>
          <w:rFonts w:hint="eastAsia"/>
          <w:bCs/>
          <w:color w:val="auto"/>
          <w:sz w:val="22"/>
          <w:lang w:val="en-US" w:eastAsia="zh-CN"/>
        </w:rPr>
        <w:t>3）</w:t>
      </w:r>
      <w:r>
        <w:rPr>
          <w:rFonts w:hint="eastAsia"/>
          <w:bCs/>
          <w:color w:val="auto"/>
          <w:sz w:val="22"/>
        </w:rPr>
        <w:t>、遭受病虫害危害或受到火灾、风折、雪害等自然灾害，病腐木达</w:t>
      </w:r>
      <w:r>
        <w:rPr>
          <w:bCs/>
          <w:color w:val="auto"/>
          <w:sz w:val="22"/>
        </w:rPr>
        <w:t xml:space="preserve"> 5</w:t>
      </w:r>
      <w:r>
        <w:rPr>
          <w:rFonts w:hint="eastAsia"/>
          <w:bCs/>
          <w:color w:val="auto"/>
          <w:sz w:val="22"/>
        </w:rPr>
        <w:t>以上的林分。</w:t>
      </w:r>
    </w:p>
    <w:p>
      <w:pPr>
        <w:snapToGrid w:val="0"/>
        <w:ind w:firstLine="440" w:firstLineChars="200"/>
        <w:jc w:val="left"/>
        <w:rPr>
          <w:bCs/>
          <w:color w:val="auto"/>
          <w:sz w:val="22"/>
        </w:rPr>
      </w:pPr>
      <w:r>
        <w:rPr>
          <w:rFonts w:hint="eastAsia"/>
          <w:bCs/>
          <w:color w:val="auto"/>
          <w:sz w:val="22"/>
          <w:lang w:val="en-US" w:eastAsia="zh-CN"/>
        </w:rPr>
        <w:t>4）</w:t>
      </w:r>
      <w:r>
        <w:rPr>
          <w:rFonts w:hint="eastAsia"/>
          <w:bCs/>
          <w:color w:val="auto"/>
          <w:sz w:val="22"/>
        </w:rPr>
        <w:t>、林木生长相对稳定后一般不再进行抚育间伐。</w:t>
      </w:r>
    </w:p>
    <w:p>
      <w:pPr>
        <w:snapToGrid w:val="0"/>
        <w:ind w:firstLine="440" w:firstLineChars="200"/>
        <w:jc w:val="left"/>
        <w:rPr>
          <w:bCs/>
          <w:color w:val="auto"/>
          <w:sz w:val="22"/>
        </w:rPr>
      </w:pPr>
      <w:r>
        <w:rPr>
          <w:rFonts w:hint="eastAsia"/>
          <w:bCs/>
          <w:color w:val="auto"/>
          <w:sz w:val="22"/>
        </w:rPr>
        <w:t>（2）抚育</w:t>
      </w:r>
    </w:p>
    <w:p>
      <w:pPr>
        <w:snapToGrid w:val="0"/>
        <w:ind w:firstLine="440" w:firstLineChars="200"/>
        <w:jc w:val="left"/>
        <w:rPr>
          <w:bCs/>
          <w:color w:val="auto"/>
          <w:sz w:val="22"/>
        </w:rPr>
      </w:pPr>
      <w:r>
        <w:rPr>
          <w:rFonts w:hint="eastAsia"/>
          <w:bCs/>
          <w:color w:val="auto"/>
          <w:sz w:val="22"/>
          <w:lang w:val="en-US" w:eastAsia="zh-CN"/>
        </w:rPr>
        <w:t>1）</w:t>
      </w:r>
      <w:r>
        <w:rPr>
          <w:rFonts w:hint="eastAsia"/>
          <w:bCs/>
          <w:color w:val="auto"/>
          <w:sz w:val="22"/>
        </w:rPr>
        <w:t>、抚育间伐</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①</w:t>
      </w:r>
      <w:r>
        <w:rPr>
          <w:rFonts w:hint="eastAsia"/>
          <w:bCs/>
          <w:color w:val="auto"/>
          <w:sz w:val="22"/>
        </w:rPr>
        <w:t>间伐方式：主要采用生态疏伐、卫生伐、景观疏伐等抚育方式。可根据林种或其它实际情况选择其中一种或几种间伐方式开展抚育间伐。</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②</w:t>
      </w:r>
      <w:r>
        <w:rPr>
          <w:rFonts w:hint="eastAsia"/>
          <w:bCs/>
          <w:color w:val="auto"/>
          <w:sz w:val="22"/>
        </w:rPr>
        <w:t>郁闭度调控：抚育间伐后郁闭度不得低于 0.6。</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③</w:t>
      </w:r>
      <w:r>
        <w:rPr>
          <w:rFonts w:hint="eastAsia"/>
          <w:bCs/>
          <w:color w:val="auto"/>
          <w:sz w:val="22"/>
        </w:rPr>
        <w:t>作业方式：主要以株间间伐、行间间伐、隔行或隔株间伐等为主。</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④</w:t>
      </w:r>
      <w:r>
        <w:rPr>
          <w:rFonts w:hint="eastAsia"/>
          <w:bCs/>
          <w:color w:val="auto"/>
          <w:sz w:val="22"/>
        </w:rPr>
        <w:t>沿海防护林一般采用卫生伐以株间间伐为主，其他特定功能生态林根据林地调整需要确定合适的作业方式，间伐作业不得破坏林相的整体结构。</w:t>
      </w:r>
    </w:p>
    <w:p>
      <w:pPr>
        <w:snapToGrid w:val="0"/>
        <w:ind w:firstLine="440" w:firstLineChars="200"/>
        <w:jc w:val="left"/>
        <w:rPr>
          <w:bCs/>
          <w:color w:val="auto"/>
          <w:sz w:val="22"/>
        </w:rPr>
      </w:pPr>
      <w:r>
        <w:rPr>
          <w:rFonts w:hint="eastAsia"/>
          <w:bCs/>
          <w:color w:val="auto"/>
          <w:sz w:val="22"/>
          <w:lang w:val="en-US" w:eastAsia="zh-CN"/>
        </w:rPr>
        <w:t>2）</w:t>
      </w:r>
      <w:r>
        <w:rPr>
          <w:rFonts w:hint="eastAsia"/>
          <w:bCs/>
          <w:color w:val="auto"/>
          <w:sz w:val="22"/>
        </w:rPr>
        <w:t>、补植</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①</w:t>
      </w:r>
      <w:r>
        <w:rPr>
          <w:rFonts w:hint="eastAsia"/>
          <w:bCs/>
          <w:color w:val="auto"/>
          <w:sz w:val="22"/>
        </w:rPr>
        <w:t>林隙面积较大的林分，应适当补植目的树种；为调整林分的树种结构和层次结构，可根据情况补植适宜树种。</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②</w:t>
      </w:r>
      <w:r>
        <w:rPr>
          <w:rFonts w:hint="eastAsia"/>
          <w:bCs/>
          <w:color w:val="auto"/>
          <w:sz w:val="22"/>
        </w:rPr>
        <w:t>补植方式</w:t>
      </w:r>
    </w:p>
    <w:p>
      <w:pPr>
        <w:snapToGrid w:val="0"/>
        <w:ind w:firstLine="440" w:firstLineChars="200"/>
        <w:jc w:val="left"/>
        <w:rPr>
          <w:bCs/>
          <w:color w:val="auto"/>
          <w:sz w:val="22"/>
        </w:rPr>
      </w:pPr>
      <w:r>
        <w:rPr>
          <w:rFonts w:hint="eastAsia"/>
          <w:bCs/>
          <w:color w:val="auto"/>
          <w:sz w:val="22"/>
        </w:rPr>
        <w:t>---均匀补植：适用于规则式造林的林分。</w:t>
      </w:r>
    </w:p>
    <w:p>
      <w:pPr>
        <w:snapToGrid w:val="0"/>
        <w:ind w:firstLine="440" w:firstLineChars="200"/>
        <w:jc w:val="left"/>
        <w:rPr>
          <w:bCs/>
          <w:color w:val="auto"/>
          <w:sz w:val="22"/>
        </w:rPr>
      </w:pPr>
      <w:r>
        <w:rPr>
          <w:rFonts w:hint="eastAsia"/>
          <w:bCs/>
          <w:color w:val="auto"/>
          <w:sz w:val="22"/>
        </w:rPr>
        <w:t>---局部补植：适用于形状各异、分布不均匀的林分。</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③</w:t>
      </w:r>
      <w:r>
        <w:rPr>
          <w:rFonts w:hint="eastAsia"/>
          <w:bCs/>
          <w:color w:val="auto"/>
          <w:sz w:val="22"/>
        </w:rPr>
        <w:t>补植时间：宜在春、秋季进行。</w:t>
      </w:r>
    </w:p>
    <w:p>
      <w:pPr>
        <w:snapToGrid w:val="0"/>
        <w:ind w:firstLine="440" w:firstLineChars="200"/>
        <w:jc w:val="left"/>
        <w:rPr>
          <w:bCs/>
          <w:color w:val="auto"/>
          <w:sz w:val="22"/>
        </w:rPr>
      </w:pPr>
      <w:r>
        <w:rPr>
          <w:rFonts w:hint="eastAsia"/>
          <w:bCs/>
          <w:color w:val="auto"/>
          <w:sz w:val="22"/>
          <w:lang w:val="en-US" w:eastAsia="zh-CN"/>
        </w:rPr>
        <w:t>3）</w:t>
      </w:r>
      <w:r>
        <w:rPr>
          <w:rFonts w:hint="eastAsia"/>
          <w:bCs/>
          <w:color w:val="auto"/>
          <w:sz w:val="22"/>
        </w:rPr>
        <w:t>、修枝</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①</w:t>
      </w:r>
      <w:r>
        <w:rPr>
          <w:rFonts w:hint="eastAsia"/>
          <w:bCs/>
          <w:color w:val="auto"/>
          <w:sz w:val="22"/>
        </w:rPr>
        <w:t>修枝对象：林木生长出现病虫枝、枯枝，影响防汛、防火、交通等情形的枝条必须及时修剪。</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②</w:t>
      </w:r>
      <w:r>
        <w:rPr>
          <w:rFonts w:hint="eastAsia"/>
          <w:bCs/>
          <w:color w:val="auto"/>
          <w:sz w:val="22"/>
        </w:rPr>
        <w:t>修枝强度：根据树种特性、树龄、立地条件和树冠发育状况而定，修枝高度不宜超过树高的二分之一。</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③</w:t>
      </w:r>
      <w:r>
        <w:rPr>
          <w:rFonts w:hint="eastAsia"/>
          <w:bCs/>
          <w:color w:val="auto"/>
          <w:sz w:val="22"/>
        </w:rPr>
        <w:t>修枝方式主要采用截枝、疏枝等，截口应平整，过于粗壮的大枝应分段截，防止扯裂。修剪物必须集中无害化处理或综合利用。</w:t>
      </w:r>
    </w:p>
    <w:p>
      <w:pPr>
        <w:snapToGrid w:val="0"/>
        <w:ind w:firstLine="440" w:firstLineChars="200"/>
        <w:jc w:val="left"/>
        <w:rPr>
          <w:bCs/>
          <w:color w:val="auto"/>
          <w:sz w:val="22"/>
        </w:rPr>
      </w:pPr>
      <w:r>
        <w:rPr>
          <w:rFonts w:hint="eastAsia" w:ascii="微软雅黑" w:hAnsi="微软雅黑" w:eastAsia="微软雅黑" w:cs="微软雅黑"/>
          <w:bCs/>
          <w:color w:val="auto"/>
          <w:sz w:val="22"/>
        </w:rPr>
        <w:t>④</w:t>
      </w:r>
      <w:r>
        <w:rPr>
          <w:rFonts w:hint="eastAsia"/>
          <w:bCs/>
          <w:color w:val="auto"/>
          <w:sz w:val="22"/>
        </w:rPr>
        <w:t>修枝时间：宜在春、秋、冬季进行。</w:t>
      </w:r>
    </w:p>
    <w:p>
      <w:pPr>
        <w:snapToGrid w:val="0"/>
        <w:ind w:firstLine="440" w:firstLineChars="200"/>
        <w:jc w:val="left"/>
        <w:rPr>
          <w:bCs/>
          <w:color w:val="auto"/>
          <w:sz w:val="22"/>
        </w:rPr>
      </w:pPr>
      <w:r>
        <w:rPr>
          <w:rFonts w:hint="eastAsia"/>
          <w:bCs/>
          <w:color w:val="auto"/>
          <w:sz w:val="22"/>
        </w:rPr>
        <w:t>9.2.1.4</w:t>
      </w:r>
      <w:r>
        <w:rPr>
          <w:rFonts w:hint="eastAsia"/>
          <w:bCs/>
          <w:color w:val="auto"/>
          <w:sz w:val="22"/>
        </w:rPr>
        <w:tab/>
      </w:r>
      <w:r>
        <w:rPr>
          <w:rFonts w:hint="eastAsia"/>
          <w:bCs/>
          <w:color w:val="auto"/>
          <w:sz w:val="22"/>
        </w:rPr>
        <w:t>病虫防控</w:t>
      </w:r>
    </w:p>
    <w:p>
      <w:pPr>
        <w:snapToGrid w:val="0"/>
        <w:ind w:firstLine="440" w:firstLineChars="200"/>
        <w:jc w:val="left"/>
        <w:rPr>
          <w:bCs/>
          <w:color w:val="auto"/>
          <w:sz w:val="22"/>
        </w:rPr>
      </w:pPr>
      <w:r>
        <w:rPr>
          <w:rFonts w:hint="eastAsia"/>
          <w:bCs/>
          <w:color w:val="auto"/>
          <w:sz w:val="22"/>
        </w:rPr>
        <w:t>（1）病虫防控实行"预防为主、科学防控、依法治理、促进健康"。提倡以生物、物理防  治为主，化学防治为辅。</w:t>
      </w:r>
    </w:p>
    <w:p>
      <w:pPr>
        <w:snapToGrid w:val="0"/>
        <w:ind w:firstLine="440" w:firstLineChars="200"/>
        <w:jc w:val="left"/>
        <w:rPr>
          <w:bCs/>
          <w:color w:val="auto"/>
          <w:sz w:val="22"/>
        </w:rPr>
      </w:pPr>
      <w:r>
        <w:rPr>
          <w:rFonts w:hint="eastAsia"/>
          <w:bCs/>
          <w:color w:val="auto"/>
          <w:sz w:val="22"/>
        </w:rPr>
        <w:t>（2）定期开展病虫巡查和监测，发现病虫为害必须及时向管理部门报告。见附录 C《上海市公益林主要病虫害防治月历》。</w:t>
      </w:r>
    </w:p>
    <w:p>
      <w:pPr>
        <w:snapToGrid w:val="0"/>
        <w:ind w:firstLine="440" w:firstLineChars="200"/>
        <w:jc w:val="left"/>
        <w:rPr>
          <w:bCs/>
          <w:color w:val="auto"/>
          <w:sz w:val="22"/>
        </w:rPr>
      </w:pPr>
      <w:r>
        <w:rPr>
          <w:rFonts w:hint="eastAsia"/>
          <w:bCs/>
          <w:color w:val="auto"/>
          <w:sz w:val="22"/>
        </w:rPr>
        <w:t>（3）发生病虫危害时，应在管理部门的指导下采取有效的技术措施救治。</w:t>
      </w:r>
    </w:p>
    <w:p>
      <w:pPr>
        <w:snapToGrid w:val="0"/>
        <w:ind w:firstLine="440" w:firstLineChars="200"/>
        <w:jc w:val="left"/>
        <w:rPr>
          <w:bCs/>
          <w:color w:val="auto"/>
          <w:sz w:val="22"/>
        </w:rPr>
      </w:pPr>
      <w:r>
        <w:rPr>
          <w:rFonts w:hint="eastAsia"/>
          <w:bCs/>
          <w:color w:val="auto"/>
          <w:sz w:val="22"/>
        </w:rPr>
        <w:t>（4）林地内发现检疫性病虫疫情时，必须配合检疫部门做好疫情扑灭和除治工作。</w:t>
      </w:r>
    </w:p>
    <w:p>
      <w:pPr>
        <w:snapToGrid w:val="0"/>
        <w:ind w:firstLine="440" w:firstLineChars="200"/>
        <w:jc w:val="left"/>
        <w:rPr>
          <w:bCs/>
          <w:color w:val="auto"/>
          <w:sz w:val="22"/>
        </w:rPr>
      </w:pPr>
      <w:r>
        <w:rPr>
          <w:rFonts w:hint="eastAsia"/>
          <w:bCs/>
          <w:color w:val="auto"/>
          <w:sz w:val="22"/>
        </w:rPr>
        <w:t>（5）严禁使用剧毒、高残留化学农药，防治药剂应按规定选用生物农药及高效、低毒、低残留化学农药。林地所使用的农药产品须在主管部门认可的农药产品目录范围内，否则， 须经市林业主管部门审定批准后方可使用。</w:t>
      </w:r>
    </w:p>
    <w:p>
      <w:pPr>
        <w:snapToGrid w:val="0"/>
        <w:ind w:firstLine="440" w:firstLineChars="200"/>
        <w:jc w:val="left"/>
        <w:rPr>
          <w:bCs/>
          <w:color w:val="auto"/>
          <w:sz w:val="22"/>
        </w:rPr>
      </w:pPr>
      <w:r>
        <w:rPr>
          <w:rFonts w:hint="eastAsia"/>
          <w:bCs/>
          <w:color w:val="auto"/>
          <w:sz w:val="22"/>
        </w:rPr>
        <w:t>（6）农药制剂使用过程中须做好作业人员和操作周遍人畜安全防护工作，避免人员中毒，保证生命和环境安全。</w:t>
      </w:r>
    </w:p>
    <w:p>
      <w:pPr>
        <w:snapToGrid w:val="0"/>
        <w:ind w:firstLine="440" w:firstLineChars="200"/>
        <w:jc w:val="left"/>
        <w:rPr>
          <w:bCs/>
          <w:color w:val="auto"/>
          <w:sz w:val="22"/>
        </w:rPr>
      </w:pPr>
      <w:r>
        <w:rPr>
          <w:rFonts w:hint="eastAsia"/>
          <w:bCs/>
          <w:color w:val="auto"/>
          <w:sz w:val="22"/>
        </w:rPr>
        <w:t>9.2.1.5</w:t>
      </w:r>
      <w:r>
        <w:rPr>
          <w:rFonts w:hint="eastAsia"/>
          <w:bCs/>
          <w:color w:val="auto"/>
          <w:sz w:val="22"/>
        </w:rPr>
        <w:tab/>
      </w:r>
      <w:r>
        <w:rPr>
          <w:rFonts w:hint="eastAsia"/>
          <w:bCs/>
          <w:color w:val="auto"/>
          <w:sz w:val="22"/>
        </w:rPr>
        <w:t>防灾减灾</w:t>
      </w:r>
    </w:p>
    <w:p>
      <w:pPr>
        <w:snapToGrid w:val="0"/>
        <w:ind w:firstLine="440" w:firstLineChars="200"/>
        <w:jc w:val="left"/>
        <w:rPr>
          <w:rFonts w:hint="eastAsia"/>
          <w:bCs/>
          <w:color w:val="auto"/>
          <w:sz w:val="22"/>
        </w:rPr>
      </w:pPr>
      <w:r>
        <w:rPr>
          <w:rFonts w:hint="eastAsia"/>
          <w:bCs/>
          <w:color w:val="auto"/>
          <w:sz w:val="22"/>
        </w:rPr>
        <w:t>（1）风灾防控</w:t>
      </w:r>
    </w:p>
    <w:p>
      <w:pPr>
        <w:snapToGrid w:val="0"/>
        <w:ind w:firstLine="440" w:firstLineChars="200"/>
        <w:jc w:val="left"/>
        <w:rPr>
          <w:rFonts w:hint="eastAsia"/>
          <w:bCs/>
          <w:color w:val="auto"/>
          <w:sz w:val="22"/>
        </w:rPr>
      </w:pPr>
      <w:r>
        <w:rPr>
          <w:rFonts w:hint="eastAsia"/>
          <w:bCs/>
          <w:color w:val="auto"/>
          <w:sz w:val="22"/>
          <w:lang w:val="en-US" w:eastAsia="zh-CN"/>
        </w:rPr>
        <w:t>1）</w:t>
      </w:r>
      <w:r>
        <w:rPr>
          <w:rFonts w:hint="eastAsia"/>
          <w:bCs/>
          <w:color w:val="auto"/>
          <w:sz w:val="22"/>
        </w:rPr>
        <w:t>、台风季节前，应通过对浅根性树种采取疏枝、培土等措施，减轻风灾为害。</w:t>
      </w:r>
    </w:p>
    <w:p>
      <w:pPr>
        <w:snapToGrid w:val="0"/>
        <w:ind w:firstLine="440" w:firstLineChars="200"/>
        <w:jc w:val="left"/>
        <w:rPr>
          <w:rFonts w:hint="eastAsia"/>
          <w:bCs/>
          <w:color w:val="auto"/>
          <w:sz w:val="22"/>
        </w:rPr>
      </w:pPr>
      <w:r>
        <w:rPr>
          <w:rFonts w:hint="eastAsia"/>
          <w:bCs/>
          <w:color w:val="auto"/>
          <w:sz w:val="22"/>
          <w:lang w:val="en-US" w:eastAsia="zh-CN"/>
        </w:rPr>
        <w:t>2）</w:t>
      </w:r>
      <w:r>
        <w:rPr>
          <w:rFonts w:hint="eastAsia"/>
          <w:bCs/>
          <w:color w:val="auto"/>
          <w:sz w:val="22"/>
        </w:rPr>
        <w:t>、台风过后，应及时清理风折枝(株)，扶正风倒木等。清理后的残枝、枯木应集中无害化处理后综合利用。</w:t>
      </w:r>
    </w:p>
    <w:p>
      <w:pPr>
        <w:snapToGrid w:val="0"/>
        <w:ind w:firstLine="440" w:firstLineChars="200"/>
        <w:jc w:val="left"/>
        <w:rPr>
          <w:rFonts w:hint="eastAsia"/>
          <w:bCs/>
          <w:color w:val="auto"/>
          <w:sz w:val="22"/>
        </w:rPr>
      </w:pPr>
      <w:r>
        <w:rPr>
          <w:rFonts w:hint="eastAsia"/>
          <w:bCs/>
          <w:color w:val="auto"/>
          <w:sz w:val="22"/>
          <w:lang w:val="en-US" w:eastAsia="zh-CN"/>
        </w:rPr>
        <w:t>3）</w:t>
      </w:r>
      <w:r>
        <w:rPr>
          <w:rFonts w:hint="eastAsia"/>
          <w:bCs/>
          <w:color w:val="auto"/>
          <w:sz w:val="22"/>
        </w:rPr>
        <w:t>、台风期间必须有人员值班，以便处理突发事件。</w:t>
      </w:r>
    </w:p>
    <w:p>
      <w:pPr>
        <w:snapToGrid w:val="0"/>
        <w:ind w:firstLine="440" w:firstLineChars="200"/>
        <w:jc w:val="left"/>
        <w:rPr>
          <w:bCs/>
          <w:color w:val="auto"/>
          <w:sz w:val="22"/>
        </w:rPr>
      </w:pPr>
      <w:r>
        <w:rPr>
          <w:rFonts w:hint="eastAsia"/>
          <w:bCs/>
          <w:color w:val="auto"/>
          <w:sz w:val="22"/>
          <w:lang w:val="en-US" w:eastAsia="zh-CN"/>
        </w:rPr>
        <w:t>4）</w:t>
      </w:r>
      <w:r>
        <w:rPr>
          <w:rFonts w:hint="eastAsia"/>
          <w:bCs/>
          <w:color w:val="auto"/>
          <w:sz w:val="22"/>
        </w:rPr>
        <w:t>、灾后需统计受灾林地面积，并且记录受灾情况，如倒伏，断枝，水淹等上报管理部门。</w:t>
      </w:r>
    </w:p>
    <w:p>
      <w:pPr>
        <w:snapToGrid w:val="0"/>
        <w:ind w:firstLine="440" w:firstLineChars="200"/>
        <w:jc w:val="left"/>
        <w:rPr>
          <w:rFonts w:hint="eastAsia"/>
          <w:bCs/>
          <w:color w:val="auto"/>
          <w:sz w:val="22"/>
        </w:rPr>
      </w:pPr>
      <w:r>
        <w:rPr>
          <w:rFonts w:hint="eastAsia"/>
          <w:bCs/>
          <w:color w:val="auto"/>
          <w:sz w:val="22"/>
        </w:rPr>
        <w:t>（2）火灾预防</w:t>
      </w:r>
    </w:p>
    <w:p>
      <w:pPr>
        <w:snapToGrid w:val="0"/>
        <w:ind w:firstLine="440" w:firstLineChars="200"/>
        <w:jc w:val="left"/>
        <w:rPr>
          <w:rFonts w:hint="eastAsia"/>
          <w:bCs/>
          <w:color w:val="auto"/>
          <w:sz w:val="22"/>
        </w:rPr>
      </w:pPr>
      <w:r>
        <w:rPr>
          <w:rFonts w:hint="eastAsia"/>
          <w:bCs/>
          <w:color w:val="auto"/>
          <w:sz w:val="22"/>
          <w:lang w:val="en-US" w:eastAsia="zh-CN"/>
        </w:rPr>
        <w:t>1）</w:t>
      </w:r>
      <w:r>
        <w:rPr>
          <w:rFonts w:hint="eastAsia"/>
          <w:bCs/>
          <w:color w:val="auto"/>
          <w:sz w:val="22"/>
        </w:rPr>
        <w:t>、林地内严禁使用明火。</w:t>
      </w:r>
    </w:p>
    <w:p>
      <w:pPr>
        <w:snapToGrid w:val="0"/>
        <w:ind w:firstLine="440" w:firstLineChars="200"/>
        <w:jc w:val="left"/>
        <w:rPr>
          <w:rFonts w:hint="eastAsia"/>
          <w:bCs/>
          <w:color w:val="auto"/>
          <w:sz w:val="22"/>
        </w:rPr>
      </w:pPr>
      <w:r>
        <w:rPr>
          <w:rFonts w:hint="eastAsia"/>
          <w:bCs/>
          <w:color w:val="auto"/>
          <w:sz w:val="22"/>
          <w:lang w:val="en-US" w:eastAsia="zh-CN"/>
        </w:rPr>
        <w:t>2）</w:t>
      </w:r>
      <w:r>
        <w:rPr>
          <w:rFonts w:hint="eastAsia"/>
          <w:bCs/>
          <w:color w:val="auto"/>
          <w:sz w:val="22"/>
        </w:rPr>
        <w:t>、林地醒目处必须设置防火警示标牌，宜设置防火宣传栏。</w:t>
      </w:r>
    </w:p>
    <w:p>
      <w:pPr>
        <w:snapToGrid w:val="0"/>
        <w:ind w:firstLine="440" w:firstLineChars="200"/>
        <w:jc w:val="left"/>
        <w:rPr>
          <w:rFonts w:hint="eastAsia"/>
          <w:bCs/>
          <w:color w:val="auto"/>
          <w:sz w:val="22"/>
        </w:rPr>
      </w:pPr>
      <w:r>
        <w:rPr>
          <w:rFonts w:hint="eastAsia"/>
          <w:bCs/>
          <w:color w:val="auto"/>
          <w:sz w:val="22"/>
          <w:lang w:val="en-US" w:eastAsia="zh-CN"/>
        </w:rPr>
        <w:t>3）</w:t>
      </w:r>
      <w:r>
        <w:rPr>
          <w:rFonts w:hint="eastAsia"/>
          <w:bCs/>
          <w:color w:val="auto"/>
          <w:sz w:val="22"/>
        </w:rPr>
        <w:t>、防火期加强林地巡查，发现火情苗子应按程序及时有效处置，发现火灾必须第一时间上报消防部门和上级主管部门，配合做好灭火工作。</w:t>
      </w:r>
    </w:p>
    <w:p>
      <w:pPr>
        <w:snapToGrid w:val="0"/>
        <w:ind w:firstLine="440" w:firstLineChars="200"/>
        <w:jc w:val="left"/>
        <w:rPr>
          <w:bCs/>
          <w:color w:val="auto"/>
          <w:sz w:val="22"/>
        </w:rPr>
      </w:pPr>
      <w:r>
        <w:rPr>
          <w:rFonts w:hint="eastAsia"/>
          <w:bCs/>
          <w:color w:val="auto"/>
          <w:sz w:val="22"/>
          <w:lang w:val="en-US" w:eastAsia="zh-CN"/>
        </w:rPr>
        <w:t>4）</w:t>
      </w:r>
      <w:r>
        <w:rPr>
          <w:rFonts w:hint="eastAsia"/>
          <w:bCs/>
          <w:color w:val="auto"/>
          <w:sz w:val="22"/>
        </w:rPr>
        <w:t>、防火期前须严控火源，及时处理可燃物，消除火灾隐患。</w:t>
      </w:r>
    </w:p>
    <w:p>
      <w:pPr>
        <w:snapToGrid w:val="0"/>
        <w:ind w:firstLine="440" w:firstLineChars="200"/>
        <w:jc w:val="left"/>
        <w:rPr>
          <w:bCs/>
          <w:color w:val="auto"/>
          <w:sz w:val="22"/>
        </w:rPr>
      </w:pPr>
      <w:r>
        <w:rPr>
          <w:rFonts w:hint="eastAsia"/>
          <w:bCs/>
          <w:color w:val="auto"/>
          <w:sz w:val="22"/>
        </w:rPr>
        <w:t>（3）冻(雪)灾防控</w:t>
      </w:r>
    </w:p>
    <w:p>
      <w:pPr>
        <w:snapToGrid w:val="0"/>
        <w:ind w:firstLine="440" w:firstLineChars="200"/>
        <w:jc w:val="left"/>
        <w:rPr>
          <w:rFonts w:hint="eastAsia"/>
          <w:bCs/>
          <w:color w:val="auto"/>
          <w:sz w:val="22"/>
        </w:rPr>
      </w:pPr>
      <w:r>
        <w:rPr>
          <w:rFonts w:hint="eastAsia"/>
          <w:bCs/>
          <w:color w:val="auto"/>
          <w:sz w:val="22"/>
          <w:lang w:val="en-US" w:eastAsia="zh-CN"/>
        </w:rPr>
        <w:t>1）</w:t>
      </w:r>
      <w:r>
        <w:rPr>
          <w:rFonts w:hint="eastAsia"/>
          <w:bCs/>
          <w:color w:val="auto"/>
          <w:sz w:val="22"/>
        </w:rPr>
        <w:t>、灾害来临之前应做好防冻措施，易受冻害树种宜采用树干捆绑草绳、草袋等防寒措施。</w:t>
      </w:r>
    </w:p>
    <w:p>
      <w:pPr>
        <w:snapToGrid w:val="0"/>
        <w:ind w:firstLine="440" w:firstLineChars="200"/>
        <w:jc w:val="left"/>
        <w:rPr>
          <w:rFonts w:hint="eastAsia"/>
          <w:bCs/>
          <w:color w:val="auto"/>
          <w:sz w:val="22"/>
        </w:rPr>
      </w:pPr>
      <w:r>
        <w:rPr>
          <w:rFonts w:hint="eastAsia"/>
          <w:bCs/>
          <w:color w:val="auto"/>
          <w:sz w:val="22"/>
          <w:lang w:val="en-US" w:eastAsia="zh-CN"/>
        </w:rPr>
        <w:t>2）</w:t>
      </w:r>
      <w:r>
        <w:rPr>
          <w:rFonts w:hint="eastAsia"/>
          <w:bCs/>
          <w:color w:val="auto"/>
          <w:sz w:val="22"/>
        </w:rPr>
        <w:t>、雪灾发生时应及时人工或机械除去植株上积雪。</w:t>
      </w:r>
    </w:p>
    <w:p>
      <w:pPr>
        <w:snapToGrid w:val="0"/>
        <w:ind w:firstLine="440" w:firstLineChars="200"/>
        <w:jc w:val="left"/>
        <w:rPr>
          <w:bCs/>
          <w:color w:val="auto"/>
          <w:sz w:val="22"/>
        </w:rPr>
      </w:pPr>
      <w:r>
        <w:rPr>
          <w:rFonts w:hint="eastAsia"/>
          <w:bCs/>
          <w:color w:val="auto"/>
          <w:sz w:val="22"/>
          <w:lang w:val="en-US" w:eastAsia="zh-CN"/>
        </w:rPr>
        <w:t>3）</w:t>
      </w:r>
      <w:r>
        <w:rPr>
          <w:rFonts w:hint="eastAsia"/>
          <w:bCs/>
          <w:color w:val="auto"/>
          <w:sz w:val="22"/>
        </w:rPr>
        <w:t>、灾后应及时扶正倾斜、倒伏的林木，修除压折枝条。</w:t>
      </w:r>
    </w:p>
    <w:p>
      <w:pPr>
        <w:snapToGrid w:val="0"/>
        <w:ind w:firstLine="440" w:firstLineChars="200"/>
        <w:jc w:val="left"/>
        <w:rPr>
          <w:bCs/>
          <w:color w:val="auto"/>
          <w:sz w:val="22"/>
        </w:rPr>
      </w:pPr>
      <w:r>
        <w:rPr>
          <w:rFonts w:hint="eastAsia"/>
          <w:bCs/>
          <w:color w:val="auto"/>
          <w:sz w:val="22"/>
        </w:rPr>
        <w:t>（4）</w:t>
      </w:r>
      <w:r>
        <w:rPr>
          <w:rFonts w:hint="eastAsia"/>
          <w:bCs/>
          <w:color w:val="auto"/>
          <w:sz w:val="22"/>
        </w:rPr>
        <w:tab/>
      </w:r>
      <w:r>
        <w:rPr>
          <w:rFonts w:hint="eastAsia"/>
          <w:bCs/>
          <w:color w:val="auto"/>
          <w:sz w:val="22"/>
        </w:rPr>
        <w:t>必须在养护期间设置应急处理人员，在遇到其他突发情况时能及时处理意外。</w:t>
      </w:r>
    </w:p>
    <w:p>
      <w:pPr>
        <w:snapToGrid w:val="0"/>
        <w:ind w:firstLine="440" w:firstLineChars="200"/>
        <w:jc w:val="left"/>
        <w:rPr>
          <w:bCs/>
          <w:color w:val="auto"/>
          <w:sz w:val="22"/>
        </w:rPr>
      </w:pPr>
      <w:r>
        <w:rPr>
          <w:rFonts w:hint="eastAsia"/>
          <w:bCs/>
          <w:color w:val="auto"/>
          <w:sz w:val="22"/>
        </w:rPr>
        <w:t>9.2.1.6</w:t>
      </w:r>
      <w:r>
        <w:rPr>
          <w:rFonts w:hint="eastAsia"/>
          <w:bCs/>
          <w:color w:val="auto"/>
          <w:sz w:val="22"/>
        </w:rPr>
        <w:tab/>
      </w:r>
      <w:r>
        <w:rPr>
          <w:rFonts w:hint="eastAsia"/>
          <w:bCs/>
          <w:color w:val="auto"/>
          <w:sz w:val="22"/>
        </w:rPr>
        <w:t>养护档案</w:t>
      </w:r>
    </w:p>
    <w:p>
      <w:pPr>
        <w:snapToGrid w:val="0"/>
        <w:ind w:firstLine="440" w:firstLineChars="200"/>
        <w:jc w:val="left"/>
        <w:rPr>
          <w:bCs/>
          <w:color w:val="auto"/>
          <w:sz w:val="22"/>
        </w:rPr>
      </w:pPr>
      <w:r>
        <w:rPr>
          <w:rFonts w:hint="eastAsia"/>
          <w:bCs/>
          <w:color w:val="auto"/>
          <w:sz w:val="22"/>
        </w:rPr>
        <w:t>（1）管理部门须明确权责，监督检查养护单位建立养护档案。</w:t>
      </w:r>
    </w:p>
    <w:p>
      <w:pPr>
        <w:snapToGrid w:val="0"/>
        <w:ind w:firstLine="440" w:firstLineChars="200"/>
        <w:jc w:val="left"/>
        <w:rPr>
          <w:bCs/>
          <w:color w:val="auto"/>
          <w:sz w:val="22"/>
        </w:rPr>
      </w:pPr>
      <w:r>
        <w:rPr>
          <w:rFonts w:hint="eastAsia"/>
          <w:bCs/>
          <w:color w:val="auto"/>
          <w:sz w:val="22"/>
        </w:rPr>
        <w:t>（2）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pPr>
        <w:snapToGrid w:val="0"/>
        <w:jc w:val="left"/>
        <w:rPr>
          <w:b/>
          <w:bCs/>
          <w:color w:val="auto"/>
          <w:sz w:val="22"/>
        </w:rPr>
      </w:pPr>
      <w:r>
        <w:rPr>
          <w:rFonts w:hint="eastAsia" w:ascii="宋体" w:hAnsi="Courier New"/>
          <w:b/>
          <w:color w:val="auto"/>
          <w:szCs w:val="20"/>
        </w:rPr>
        <w:t>附录</w:t>
      </w:r>
      <w:r>
        <w:rPr>
          <w:rFonts w:ascii="宋体" w:hAnsi="Courier New"/>
          <w:b/>
          <w:color w:val="auto"/>
          <w:szCs w:val="20"/>
        </w:rPr>
        <w:t xml:space="preserve"> A</w:t>
      </w:r>
      <w:r>
        <w:rPr>
          <w:rFonts w:hint="eastAsia" w:ascii="宋体" w:hAnsi="Courier New"/>
          <w:b/>
          <w:color w:val="auto"/>
          <w:szCs w:val="20"/>
        </w:rPr>
        <w:t>：公益林养护标准</w:t>
      </w: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10"/>
        <w:gridCol w:w="1629"/>
        <w:gridCol w:w="1385"/>
        <w:gridCol w:w="1343"/>
        <w:gridCol w:w="1362"/>
        <w:gridCol w:w="1362"/>
        <w:gridCol w:w="1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27" w:type="pct"/>
            <w:vMerge w:val="restart"/>
            <w:vAlign w:val="center"/>
          </w:tcPr>
          <w:p>
            <w:pPr>
              <w:snapToGrid w:val="0"/>
              <w:jc w:val="center"/>
              <w:rPr>
                <w:rFonts w:ascii="宋体" w:hAnsi="Courier New"/>
                <w:b/>
                <w:bCs/>
                <w:color w:val="auto"/>
                <w:sz w:val="22"/>
              </w:rPr>
            </w:pPr>
            <w:r>
              <w:rPr>
                <w:rFonts w:hint="eastAsia" w:ascii="宋体" w:hAnsi="Courier New"/>
                <w:b/>
                <w:bCs/>
                <w:color w:val="auto"/>
                <w:sz w:val="22"/>
              </w:rPr>
              <w:t>养护内容年限</w:t>
            </w:r>
            <w:r>
              <w:rPr>
                <w:rFonts w:ascii="宋体" w:hAnsi="Courier New"/>
                <w:b/>
                <w:bCs/>
                <w:color w:val="auto"/>
                <w:sz w:val="22"/>
              </w:rPr>
              <w:t>--</w:t>
            </w:r>
            <w:r>
              <w:rPr>
                <w:rFonts w:hint="eastAsia" w:ascii="宋体" w:hAnsi="Courier New"/>
                <w:b/>
                <w:bCs/>
                <w:color w:val="auto"/>
                <w:sz w:val="22"/>
              </w:rPr>
              <w:t>等级</w:t>
            </w:r>
          </w:p>
        </w:tc>
        <w:tc>
          <w:tcPr>
            <w:tcW w:w="1562" w:type="pct"/>
            <w:gridSpan w:val="2"/>
            <w:vAlign w:val="center"/>
          </w:tcPr>
          <w:p>
            <w:pPr>
              <w:snapToGrid w:val="0"/>
              <w:jc w:val="center"/>
              <w:rPr>
                <w:rFonts w:ascii="宋体" w:hAnsi="Courier New"/>
                <w:b/>
                <w:bCs/>
                <w:color w:val="auto"/>
                <w:sz w:val="22"/>
              </w:rPr>
            </w:pPr>
            <w:r>
              <w:rPr>
                <w:rFonts w:hint="eastAsia" w:ascii="宋体" w:hAnsi="Courier New"/>
                <w:b/>
                <w:bCs/>
                <w:color w:val="auto"/>
                <w:sz w:val="22"/>
              </w:rPr>
              <w:t>（</w:t>
            </w:r>
            <w:r>
              <w:rPr>
                <w:rFonts w:ascii="宋体" w:hAnsi="Courier New"/>
                <w:b/>
                <w:bCs/>
                <w:color w:val="auto"/>
                <w:sz w:val="22"/>
              </w:rPr>
              <w:t xml:space="preserve">1——5 </w:t>
            </w:r>
            <w:r>
              <w:rPr>
                <w:rFonts w:hint="eastAsia" w:ascii="宋体" w:hAnsi="Courier New"/>
                <w:b/>
                <w:bCs/>
                <w:color w:val="auto"/>
                <w:sz w:val="22"/>
              </w:rPr>
              <w:t>年）</w:t>
            </w:r>
          </w:p>
        </w:tc>
        <w:tc>
          <w:tcPr>
            <w:tcW w:w="1402" w:type="pct"/>
            <w:gridSpan w:val="2"/>
            <w:vAlign w:val="center"/>
          </w:tcPr>
          <w:p>
            <w:pPr>
              <w:snapToGrid w:val="0"/>
              <w:jc w:val="center"/>
              <w:rPr>
                <w:rFonts w:ascii="宋体" w:hAnsi="Courier New"/>
                <w:b/>
                <w:bCs/>
                <w:color w:val="auto"/>
                <w:sz w:val="22"/>
              </w:rPr>
            </w:pPr>
            <w:r>
              <w:rPr>
                <w:rFonts w:hint="eastAsia" w:ascii="宋体" w:hAnsi="Courier New"/>
                <w:b/>
                <w:bCs/>
                <w:color w:val="auto"/>
                <w:sz w:val="22"/>
              </w:rPr>
              <w:t>（</w:t>
            </w:r>
            <w:r>
              <w:rPr>
                <w:rFonts w:ascii="宋体" w:hAnsi="Courier New"/>
                <w:b/>
                <w:bCs/>
                <w:color w:val="auto"/>
                <w:sz w:val="22"/>
              </w:rPr>
              <w:t xml:space="preserve">6——14 </w:t>
            </w:r>
            <w:r>
              <w:rPr>
                <w:rFonts w:hint="eastAsia" w:ascii="宋体" w:hAnsi="Courier New"/>
                <w:b/>
                <w:bCs/>
                <w:color w:val="auto"/>
                <w:sz w:val="22"/>
              </w:rPr>
              <w:t>年）</w:t>
            </w:r>
          </w:p>
        </w:tc>
        <w:tc>
          <w:tcPr>
            <w:tcW w:w="1409" w:type="pct"/>
            <w:gridSpan w:val="2"/>
            <w:vAlign w:val="center"/>
          </w:tcPr>
          <w:p>
            <w:pPr>
              <w:snapToGrid w:val="0"/>
              <w:jc w:val="center"/>
              <w:rPr>
                <w:rFonts w:ascii="宋体" w:hAnsi="Courier New"/>
                <w:b/>
                <w:bCs/>
                <w:color w:val="auto"/>
                <w:sz w:val="22"/>
              </w:rPr>
            </w:pPr>
            <w:r>
              <w:rPr>
                <w:rFonts w:hint="eastAsia" w:ascii="宋体" w:hAnsi="Courier New"/>
                <w:b/>
                <w:bCs/>
                <w:color w:val="auto"/>
                <w:sz w:val="22"/>
              </w:rPr>
              <w:t>（</w:t>
            </w:r>
            <w:r>
              <w:rPr>
                <w:rFonts w:ascii="宋体" w:hAnsi="Courier New"/>
                <w:b/>
                <w:bCs/>
                <w:color w:val="auto"/>
                <w:sz w:val="22"/>
              </w:rPr>
              <w:t xml:space="preserve">15 </w:t>
            </w:r>
            <w:r>
              <w:rPr>
                <w:rFonts w:hint="eastAsia" w:ascii="宋体" w:hAnsi="Courier New"/>
                <w:b/>
                <w:bCs/>
                <w:color w:val="auto"/>
                <w:sz w:val="22"/>
              </w:rPr>
              <w:t>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27" w:type="pct"/>
            <w:vMerge w:val="continue"/>
            <w:tcBorders>
              <w:top w:val="nil"/>
            </w:tcBorders>
            <w:vAlign w:val="center"/>
          </w:tcPr>
          <w:p>
            <w:pPr>
              <w:snapToGrid w:val="0"/>
              <w:jc w:val="center"/>
              <w:rPr>
                <w:rFonts w:ascii="宋体" w:hAnsi="Courier New"/>
                <w:bCs/>
                <w:color w:val="auto"/>
                <w:sz w:val="22"/>
              </w:rPr>
            </w:pPr>
          </w:p>
        </w:tc>
        <w:tc>
          <w:tcPr>
            <w:tcW w:w="844" w:type="pct"/>
            <w:vAlign w:val="center"/>
          </w:tcPr>
          <w:p>
            <w:pPr>
              <w:snapToGrid w:val="0"/>
              <w:jc w:val="center"/>
              <w:rPr>
                <w:rFonts w:ascii="宋体" w:hAnsi="Courier New"/>
                <w:bCs/>
                <w:color w:val="auto"/>
                <w:sz w:val="22"/>
              </w:rPr>
            </w:pPr>
            <w:r>
              <w:rPr>
                <w:rFonts w:hint="eastAsia" w:ascii="宋体" w:hAnsi="Courier New"/>
                <w:bCs/>
                <w:color w:val="auto"/>
                <w:sz w:val="22"/>
              </w:rPr>
              <w:t>一</w:t>
            </w:r>
          </w:p>
        </w:tc>
        <w:tc>
          <w:tcPr>
            <w:tcW w:w="718" w:type="pct"/>
            <w:vAlign w:val="center"/>
          </w:tcPr>
          <w:p>
            <w:pPr>
              <w:snapToGrid w:val="0"/>
              <w:jc w:val="center"/>
              <w:rPr>
                <w:rFonts w:ascii="宋体" w:hAnsi="Courier New"/>
                <w:bCs/>
                <w:color w:val="auto"/>
                <w:sz w:val="22"/>
              </w:rPr>
            </w:pPr>
            <w:r>
              <w:rPr>
                <w:rFonts w:hint="eastAsia" w:ascii="宋体" w:hAnsi="Courier New"/>
                <w:bCs/>
                <w:color w:val="auto"/>
                <w:sz w:val="22"/>
              </w:rPr>
              <w:t>二</w:t>
            </w:r>
          </w:p>
        </w:tc>
        <w:tc>
          <w:tcPr>
            <w:tcW w:w="696" w:type="pct"/>
            <w:vAlign w:val="center"/>
          </w:tcPr>
          <w:p>
            <w:pPr>
              <w:snapToGrid w:val="0"/>
              <w:jc w:val="center"/>
              <w:rPr>
                <w:rFonts w:ascii="宋体" w:hAnsi="Courier New"/>
                <w:bCs/>
                <w:color w:val="auto"/>
                <w:sz w:val="22"/>
              </w:rPr>
            </w:pPr>
            <w:r>
              <w:rPr>
                <w:rFonts w:hint="eastAsia" w:ascii="宋体" w:hAnsi="Courier New"/>
                <w:bCs/>
                <w:color w:val="auto"/>
                <w:sz w:val="22"/>
              </w:rPr>
              <w:t>一</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二</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一</w:t>
            </w:r>
          </w:p>
        </w:tc>
        <w:tc>
          <w:tcPr>
            <w:tcW w:w="703" w:type="pct"/>
            <w:vAlign w:val="center"/>
          </w:tcPr>
          <w:p>
            <w:pPr>
              <w:snapToGrid w:val="0"/>
              <w:jc w:val="center"/>
              <w:rPr>
                <w:rFonts w:ascii="宋体" w:hAnsi="Courier New"/>
                <w:bCs/>
                <w:color w:val="auto"/>
                <w:sz w:val="22"/>
              </w:rPr>
            </w:pPr>
            <w:r>
              <w:rPr>
                <w:rFonts w:hint="eastAsia" w:ascii="宋体" w:hAnsi="Courier New"/>
                <w:bCs/>
                <w:color w:val="auto"/>
                <w:sz w:val="22"/>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4" w:hRule="atLeast"/>
        </w:trPr>
        <w:tc>
          <w:tcPr>
            <w:tcW w:w="627" w:type="pct"/>
            <w:vAlign w:val="center"/>
          </w:tcPr>
          <w:p>
            <w:pPr>
              <w:snapToGrid w:val="0"/>
              <w:jc w:val="center"/>
              <w:rPr>
                <w:rFonts w:ascii="宋体" w:hAnsi="Courier New"/>
                <w:bCs/>
                <w:color w:val="auto"/>
                <w:sz w:val="22"/>
              </w:rPr>
            </w:pPr>
            <w:r>
              <w:rPr>
                <w:rFonts w:hint="eastAsia" w:ascii="宋体" w:hAnsi="Courier New"/>
                <w:bCs/>
                <w:color w:val="auto"/>
                <w:sz w:val="22"/>
              </w:rPr>
              <w:t>林相结构</w:t>
            </w:r>
          </w:p>
        </w:tc>
        <w:tc>
          <w:tcPr>
            <w:tcW w:w="844" w:type="pct"/>
            <w:vAlign w:val="center"/>
          </w:tcPr>
          <w:p>
            <w:pPr>
              <w:snapToGrid w:val="0"/>
              <w:jc w:val="center"/>
              <w:rPr>
                <w:rFonts w:ascii="宋体" w:hAnsi="Courier New"/>
                <w:bCs/>
                <w:color w:val="auto"/>
                <w:sz w:val="22"/>
              </w:rPr>
            </w:pPr>
            <w:r>
              <w:rPr>
                <w:rFonts w:hint="eastAsia" w:ascii="宋体" w:hAnsi="Courier New"/>
                <w:bCs/>
                <w:color w:val="auto"/>
                <w:sz w:val="22"/>
              </w:rPr>
              <w:t>土质疏松，根系发达，林木保存完好，</w:t>
            </w:r>
            <w:r>
              <w:rPr>
                <w:rFonts w:ascii="宋体" w:hAnsi="Courier New"/>
                <w:bCs/>
                <w:color w:val="auto"/>
                <w:sz w:val="22"/>
              </w:rPr>
              <w:t xml:space="preserve">1-3 </w:t>
            </w:r>
            <w:r>
              <w:rPr>
                <w:rFonts w:hint="eastAsia" w:ascii="宋体" w:hAnsi="Courier New"/>
                <w:bCs/>
                <w:color w:val="auto"/>
                <w:sz w:val="22"/>
              </w:rPr>
              <w:t>年林木保存率</w:t>
            </w:r>
            <w:r>
              <w:rPr>
                <w:rFonts w:ascii="宋体" w:hAnsi="Courier New"/>
                <w:bCs/>
                <w:color w:val="auto"/>
                <w:sz w:val="22"/>
              </w:rPr>
              <w:t xml:space="preserve"> 95</w:t>
            </w:r>
            <w:r>
              <w:rPr>
                <w:rFonts w:hint="eastAsia" w:ascii="宋体" w:hAnsi="Courier New"/>
                <w:bCs/>
                <w:color w:val="auto"/>
                <w:sz w:val="22"/>
              </w:rPr>
              <w:t>以上，</w:t>
            </w:r>
            <w:r>
              <w:rPr>
                <w:rFonts w:ascii="宋体" w:hAnsi="Courier New"/>
                <w:bCs/>
                <w:color w:val="auto"/>
                <w:sz w:val="22"/>
              </w:rPr>
              <w:t xml:space="preserve">4-5 </w:t>
            </w:r>
            <w:r>
              <w:rPr>
                <w:rFonts w:hint="eastAsia" w:ascii="宋体" w:hAnsi="Courier New"/>
                <w:bCs/>
                <w:color w:val="auto"/>
                <w:sz w:val="22"/>
              </w:rPr>
              <w:t>年林分郁闭度在</w:t>
            </w:r>
            <w:r>
              <w:rPr>
                <w:rFonts w:ascii="宋体" w:hAnsi="Courier New"/>
                <w:bCs/>
                <w:color w:val="auto"/>
                <w:sz w:val="22"/>
              </w:rPr>
              <w:t xml:space="preserve">0.6 </w:t>
            </w:r>
            <w:r>
              <w:rPr>
                <w:rFonts w:hint="eastAsia" w:ascii="宋体" w:hAnsi="Courier New"/>
                <w:bCs/>
                <w:color w:val="auto"/>
                <w:sz w:val="22"/>
              </w:rPr>
              <w:t>以上。</w:t>
            </w:r>
          </w:p>
        </w:tc>
        <w:tc>
          <w:tcPr>
            <w:tcW w:w="718" w:type="pct"/>
            <w:vAlign w:val="center"/>
          </w:tcPr>
          <w:p>
            <w:pPr>
              <w:snapToGrid w:val="0"/>
              <w:jc w:val="center"/>
              <w:rPr>
                <w:rFonts w:ascii="宋体" w:hAnsi="Courier New"/>
                <w:bCs/>
                <w:color w:val="auto"/>
                <w:sz w:val="22"/>
              </w:rPr>
            </w:pPr>
            <w:r>
              <w:rPr>
                <w:rFonts w:hint="eastAsia" w:ascii="宋体" w:hAnsi="Courier New"/>
                <w:bCs/>
                <w:color w:val="auto"/>
                <w:sz w:val="22"/>
              </w:rPr>
              <w:t>土质疏松，根系发达，林木保</w:t>
            </w:r>
            <w:r>
              <w:rPr>
                <w:rFonts w:ascii="宋体" w:hAnsi="Courier New"/>
                <w:bCs/>
                <w:color w:val="auto"/>
                <w:sz w:val="22"/>
              </w:rPr>
              <w:t xml:space="preserve"> </w:t>
            </w:r>
            <w:r>
              <w:rPr>
                <w:rFonts w:hint="eastAsia" w:ascii="宋体" w:hAnsi="Courier New"/>
                <w:bCs/>
                <w:color w:val="auto"/>
                <w:sz w:val="22"/>
              </w:rPr>
              <w:t>存完好，</w:t>
            </w:r>
            <w:r>
              <w:rPr>
                <w:rFonts w:ascii="宋体" w:hAnsi="Courier New"/>
                <w:bCs/>
                <w:color w:val="auto"/>
                <w:sz w:val="22"/>
              </w:rPr>
              <w:t>1-3</w:t>
            </w:r>
            <w:r>
              <w:rPr>
                <w:rFonts w:hint="eastAsia" w:ascii="宋体" w:hAnsi="Courier New"/>
                <w:bCs/>
                <w:color w:val="auto"/>
                <w:sz w:val="22"/>
              </w:rPr>
              <w:t>年</w:t>
            </w:r>
            <w:r>
              <w:rPr>
                <w:rFonts w:ascii="宋体" w:hAnsi="Courier New"/>
                <w:bCs/>
                <w:color w:val="auto"/>
                <w:sz w:val="22"/>
              </w:rPr>
              <w:t xml:space="preserve"> </w:t>
            </w:r>
            <w:r>
              <w:rPr>
                <w:rFonts w:hint="eastAsia" w:ascii="宋体" w:hAnsi="Courier New"/>
                <w:bCs/>
                <w:color w:val="auto"/>
                <w:sz w:val="22"/>
              </w:rPr>
              <w:t>林木保存率</w:t>
            </w:r>
            <w:r>
              <w:rPr>
                <w:rFonts w:ascii="宋体" w:hAnsi="Courier New"/>
                <w:bCs/>
                <w:color w:val="auto"/>
                <w:sz w:val="22"/>
              </w:rPr>
              <w:t xml:space="preserve"> 90</w:t>
            </w:r>
            <w:r>
              <w:rPr>
                <w:rFonts w:hint="eastAsia" w:ascii="宋体" w:hAnsi="Courier New"/>
                <w:bCs/>
                <w:color w:val="auto"/>
                <w:sz w:val="22"/>
              </w:rPr>
              <w:t>以上，</w:t>
            </w:r>
            <w:r>
              <w:rPr>
                <w:rFonts w:ascii="宋体" w:hAnsi="Courier New"/>
                <w:bCs/>
                <w:color w:val="auto"/>
                <w:sz w:val="22"/>
              </w:rPr>
              <w:t xml:space="preserve">4-5 </w:t>
            </w:r>
            <w:r>
              <w:rPr>
                <w:rFonts w:hint="eastAsia" w:ascii="宋体" w:hAnsi="Courier New"/>
                <w:bCs/>
                <w:color w:val="auto"/>
                <w:sz w:val="22"/>
              </w:rPr>
              <w:t>年林</w:t>
            </w:r>
            <w:r>
              <w:rPr>
                <w:rFonts w:ascii="宋体" w:hAnsi="Courier New"/>
                <w:bCs/>
                <w:color w:val="auto"/>
                <w:sz w:val="22"/>
              </w:rPr>
              <w:t xml:space="preserve"> </w:t>
            </w:r>
            <w:r>
              <w:rPr>
                <w:rFonts w:hint="eastAsia" w:ascii="宋体" w:hAnsi="Courier New"/>
                <w:bCs/>
                <w:color w:val="auto"/>
                <w:sz w:val="22"/>
              </w:rPr>
              <w:t>分郁闭度在</w:t>
            </w:r>
            <w:r>
              <w:rPr>
                <w:rFonts w:ascii="宋体" w:hAnsi="Courier New"/>
                <w:bCs/>
                <w:color w:val="auto"/>
                <w:sz w:val="22"/>
              </w:rPr>
              <w:t>0.6</w:t>
            </w:r>
            <w:r>
              <w:rPr>
                <w:rFonts w:hint="eastAsia" w:ascii="宋体" w:hAnsi="Courier New"/>
                <w:bCs/>
                <w:color w:val="auto"/>
                <w:sz w:val="22"/>
              </w:rPr>
              <w:t>以上。</w:t>
            </w:r>
          </w:p>
        </w:tc>
        <w:tc>
          <w:tcPr>
            <w:tcW w:w="696" w:type="pct"/>
            <w:vAlign w:val="center"/>
          </w:tcPr>
          <w:p>
            <w:pPr>
              <w:snapToGrid w:val="0"/>
              <w:jc w:val="center"/>
              <w:rPr>
                <w:rFonts w:ascii="宋体" w:hAnsi="Courier New"/>
                <w:bCs/>
                <w:color w:val="auto"/>
                <w:sz w:val="22"/>
              </w:rPr>
            </w:pPr>
            <w:r>
              <w:rPr>
                <w:rFonts w:hint="eastAsia" w:ascii="宋体" w:hAnsi="Courier New"/>
                <w:bCs/>
                <w:color w:val="auto"/>
                <w:sz w:val="22"/>
              </w:rPr>
              <w:t>林分主导功能突出。群落结构中林木疏密合理，层次分明。林冠线饱满。郁闭度保持</w:t>
            </w:r>
            <w:r>
              <w:rPr>
                <w:rFonts w:ascii="宋体" w:hAnsi="Courier New"/>
                <w:bCs/>
                <w:color w:val="auto"/>
                <w:sz w:val="22"/>
              </w:rPr>
              <w:t xml:space="preserve"> </w:t>
            </w:r>
            <w:r>
              <w:rPr>
                <w:rFonts w:hint="eastAsia" w:ascii="宋体" w:hAnsi="Courier New"/>
                <w:bCs/>
                <w:color w:val="auto"/>
                <w:sz w:val="22"/>
              </w:rPr>
              <w:t>在</w:t>
            </w:r>
          </w:p>
          <w:p>
            <w:pPr>
              <w:snapToGrid w:val="0"/>
              <w:jc w:val="center"/>
              <w:rPr>
                <w:rFonts w:ascii="宋体" w:hAnsi="Courier New"/>
                <w:bCs/>
                <w:color w:val="auto"/>
                <w:sz w:val="22"/>
              </w:rPr>
            </w:pPr>
            <w:r>
              <w:rPr>
                <w:rFonts w:ascii="宋体" w:hAnsi="Courier New"/>
                <w:bCs/>
                <w:color w:val="auto"/>
                <w:sz w:val="22"/>
              </w:rPr>
              <w:t>0.6-0.8</w:t>
            </w:r>
            <w:r>
              <w:rPr>
                <w:rFonts w:hint="eastAsia" w:ascii="宋体" w:hAnsi="Courier New"/>
                <w:bCs/>
                <w:color w:val="auto"/>
                <w:sz w:val="22"/>
              </w:rPr>
              <w:t>。</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林分主导功能明显。群</w:t>
            </w:r>
            <w:r>
              <w:rPr>
                <w:rFonts w:ascii="宋体" w:hAnsi="Courier New"/>
                <w:bCs/>
                <w:color w:val="auto"/>
                <w:sz w:val="22"/>
              </w:rPr>
              <w:t xml:space="preserve"> </w:t>
            </w:r>
            <w:r>
              <w:rPr>
                <w:rFonts w:hint="eastAsia" w:ascii="宋体" w:hAnsi="Courier New"/>
                <w:bCs/>
                <w:color w:val="auto"/>
                <w:sz w:val="22"/>
              </w:rPr>
              <w:t>落结构中林木疏密较合理，层次分明。林冠线</w:t>
            </w:r>
            <w:r>
              <w:rPr>
                <w:rFonts w:ascii="宋体" w:hAnsi="Courier New"/>
                <w:bCs/>
                <w:color w:val="auto"/>
                <w:sz w:val="22"/>
              </w:rPr>
              <w:t xml:space="preserve"> </w:t>
            </w:r>
            <w:r>
              <w:rPr>
                <w:rFonts w:hint="eastAsia" w:ascii="宋体" w:hAnsi="Courier New"/>
                <w:bCs/>
                <w:color w:val="auto"/>
                <w:sz w:val="22"/>
              </w:rPr>
              <w:t>尚完整。郁闭度保持在</w:t>
            </w:r>
            <w:r>
              <w:rPr>
                <w:rFonts w:ascii="宋体" w:hAnsi="Courier New"/>
                <w:bCs/>
                <w:color w:val="auto"/>
                <w:sz w:val="22"/>
              </w:rPr>
              <w:t>0.6-0.8</w:t>
            </w:r>
            <w:r>
              <w:rPr>
                <w:rFonts w:hint="eastAsia" w:ascii="宋体" w:hAnsi="Courier New"/>
                <w:bCs/>
                <w:color w:val="auto"/>
                <w:sz w:val="22"/>
              </w:rPr>
              <w:t>。</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林分主导功能突出。群落结构中林木疏密合理，层次分明。林分季相明显，林冠线饱满。郁闭度保持在</w:t>
            </w:r>
          </w:p>
          <w:p>
            <w:pPr>
              <w:snapToGrid w:val="0"/>
              <w:jc w:val="center"/>
              <w:rPr>
                <w:rFonts w:ascii="宋体" w:hAnsi="Courier New"/>
                <w:bCs/>
                <w:color w:val="auto"/>
                <w:sz w:val="22"/>
              </w:rPr>
            </w:pPr>
            <w:r>
              <w:rPr>
                <w:rFonts w:ascii="宋体" w:hAnsi="Courier New"/>
                <w:bCs/>
                <w:color w:val="auto"/>
                <w:sz w:val="22"/>
              </w:rPr>
              <w:t xml:space="preserve">0.8 </w:t>
            </w:r>
            <w:r>
              <w:rPr>
                <w:rFonts w:hint="eastAsia" w:ascii="宋体" w:hAnsi="Courier New"/>
                <w:bCs/>
                <w:color w:val="auto"/>
                <w:sz w:val="22"/>
              </w:rPr>
              <w:t>以上。</w:t>
            </w:r>
          </w:p>
        </w:tc>
        <w:tc>
          <w:tcPr>
            <w:tcW w:w="703" w:type="pct"/>
            <w:vAlign w:val="center"/>
          </w:tcPr>
          <w:p>
            <w:pPr>
              <w:snapToGrid w:val="0"/>
              <w:jc w:val="center"/>
              <w:rPr>
                <w:rFonts w:ascii="宋体" w:hAnsi="Courier New"/>
                <w:bCs/>
                <w:color w:val="auto"/>
                <w:sz w:val="22"/>
              </w:rPr>
            </w:pPr>
            <w:r>
              <w:rPr>
                <w:rFonts w:hint="eastAsia" w:ascii="宋体" w:hAnsi="Courier New"/>
                <w:bCs/>
                <w:color w:val="auto"/>
                <w:sz w:val="22"/>
              </w:rPr>
              <w:t>林分主导功能明显。群落结构中林木疏密较合理，</w:t>
            </w:r>
            <w:r>
              <w:rPr>
                <w:rFonts w:ascii="宋体" w:hAnsi="Courier New"/>
                <w:bCs/>
                <w:color w:val="auto"/>
                <w:sz w:val="22"/>
              </w:rPr>
              <w:t xml:space="preserve"> </w:t>
            </w:r>
            <w:r>
              <w:rPr>
                <w:rFonts w:hint="eastAsia" w:ascii="宋体" w:hAnsi="Courier New"/>
                <w:bCs/>
                <w:color w:val="auto"/>
                <w:sz w:val="22"/>
              </w:rPr>
              <w:t>层次分明。林分季相明显，林冠线尚完整。郁闭度保持在</w:t>
            </w:r>
            <w:r>
              <w:rPr>
                <w:rFonts w:ascii="宋体" w:hAnsi="Courier New"/>
                <w:bCs/>
                <w:color w:val="auto"/>
                <w:sz w:val="22"/>
              </w:rPr>
              <w:t xml:space="preserve"> 0.8 </w:t>
            </w:r>
            <w:r>
              <w:rPr>
                <w:rFonts w:hint="eastAsia" w:ascii="宋体" w:hAnsi="Courier New"/>
                <w:bCs/>
                <w:color w:val="auto"/>
                <w:sz w:val="22"/>
              </w:rPr>
              <w:t>以</w:t>
            </w:r>
          </w:p>
          <w:p>
            <w:pPr>
              <w:snapToGrid w:val="0"/>
              <w:jc w:val="center"/>
              <w:rPr>
                <w:rFonts w:ascii="宋体" w:hAnsi="Courier New"/>
                <w:bCs/>
                <w:color w:val="auto"/>
                <w:sz w:val="22"/>
              </w:rPr>
            </w:pPr>
            <w:r>
              <w:rPr>
                <w:rFonts w:hint="eastAsia" w:ascii="宋体" w:hAnsi="Courier New"/>
                <w:bCs/>
                <w:color w:val="auto"/>
                <w:sz w:val="22"/>
              </w:rPr>
              <w:t>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7" w:hRule="atLeast"/>
        </w:trPr>
        <w:tc>
          <w:tcPr>
            <w:tcW w:w="627" w:type="pct"/>
            <w:vAlign w:val="center"/>
          </w:tcPr>
          <w:p>
            <w:pPr>
              <w:snapToGrid w:val="0"/>
              <w:jc w:val="center"/>
              <w:rPr>
                <w:rFonts w:ascii="宋体" w:hAnsi="Courier New"/>
                <w:bCs/>
                <w:color w:val="auto"/>
                <w:sz w:val="22"/>
              </w:rPr>
            </w:pPr>
            <w:r>
              <w:rPr>
                <w:rFonts w:hint="eastAsia" w:ascii="宋体" w:hAnsi="Courier New"/>
                <w:bCs/>
                <w:color w:val="auto"/>
                <w:sz w:val="22"/>
              </w:rPr>
              <w:t>林木生长</w:t>
            </w:r>
          </w:p>
        </w:tc>
        <w:tc>
          <w:tcPr>
            <w:tcW w:w="844" w:type="pct"/>
            <w:vAlign w:val="center"/>
          </w:tcPr>
          <w:p>
            <w:pPr>
              <w:snapToGrid w:val="0"/>
              <w:jc w:val="center"/>
              <w:rPr>
                <w:rFonts w:ascii="宋体" w:hAnsi="Courier New"/>
                <w:bCs/>
                <w:color w:val="auto"/>
                <w:sz w:val="22"/>
              </w:rPr>
            </w:pPr>
            <w:r>
              <w:rPr>
                <w:rFonts w:hint="eastAsia" w:ascii="宋体" w:hAnsi="Courier New"/>
                <w:bCs/>
                <w:color w:val="auto"/>
                <w:sz w:val="22"/>
              </w:rPr>
              <w:t>林木生长发育良好，枝叶繁茂，树叶大小和色泽正常。</w:t>
            </w:r>
          </w:p>
        </w:tc>
        <w:tc>
          <w:tcPr>
            <w:tcW w:w="718" w:type="pct"/>
            <w:vAlign w:val="center"/>
          </w:tcPr>
          <w:p>
            <w:pPr>
              <w:snapToGrid w:val="0"/>
              <w:jc w:val="center"/>
              <w:rPr>
                <w:rFonts w:ascii="宋体" w:hAnsi="Courier New"/>
                <w:bCs/>
                <w:color w:val="auto"/>
                <w:sz w:val="22"/>
              </w:rPr>
            </w:pPr>
            <w:r>
              <w:rPr>
                <w:rFonts w:hint="eastAsia" w:ascii="宋体" w:hAnsi="Courier New"/>
                <w:bCs/>
                <w:color w:val="auto"/>
                <w:sz w:val="22"/>
              </w:rPr>
              <w:t>林木生长发育较好，树体树形正常。</w:t>
            </w:r>
          </w:p>
        </w:tc>
        <w:tc>
          <w:tcPr>
            <w:tcW w:w="696" w:type="pct"/>
            <w:vAlign w:val="center"/>
          </w:tcPr>
          <w:p>
            <w:pPr>
              <w:snapToGrid w:val="0"/>
              <w:jc w:val="center"/>
              <w:rPr>
                <w:rFonts w:ascii="宋体" w:hAnsi="Courier New"/>
                <w:bCs/>
                <w:color w:val="auto"/>
                <w:sz w:val="22"/>
              </w:rPr>
            </w:pPr>
            <w:r>
              <w:rPr>
                <w:rFonts w:hint="eastAsia" w:ascii="宋体" w:hAnsi="Courier New"/>
                <w:bCs/>
                <w:color w:val="auto"/>
                <w:sz w:val="22"/>
              </w:rPr>
              <w:t>林木生长良好，枝叶繁茂，叶色正常。</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林木生长较好，树体树形正常。</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林木生长良好，枝叶繁茂，叶色正常。</w:t>
            </w:r>
          </w:p>
        </w:tc>
        <w:tc>
          <w:tcPr>
            <w:tcW w:w="703" w:type="pct"/>
            <w:vAlign w:val="center"/>
          </w:tcPr>
          <w:p>
            <w:pPr>
              <w:snapToGrid w:val="0"/>
              <w:jc w:val="center"/>
              <w:rPr>
                <w:rFonts w:ascii="宋体" w:hAnsi="Courier New"/>
                <w:bCs/>
                <w:color w:val="auto"/>
                <w:sz w:val="22"/>
              </w:rPr>
            </w:pPr>
            <w:r>
              <w:rPr>
                <w:rFonts w:hint="eastAsia" w:ascii="宋体" w:hAnsi="Courier New"/>
                <w:bCs/>
                <w:color w:val="auto"/>
                <w:sz w:val="22"/>
              </w:rPr>
              <w:t>林木生长较好，树体树形正常。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trPr>
        <w:tc>
          <w:tcPr>
            <w:tcW w:w="627" w:type="pct"/>
            <w:vAlign w:val="center"/>
          </w:tcPr>
          <w:p>
            <w:pPr>
              <w:snapToGrid w:val="0"/>
              <w:jc w:val="center"/>
              <w:rPr>
                <w:rFonts w:ascii="宋体" w:hAnsi="Courier New"/>
                <w:bCs/>
                <w:color w:val="auto"/>
                <w:sz w:val="22"/>
              </w:rPr>
            </w:pPr>
            <w:r>
              <w:rPr>
                <w:rFonts w:hint="eastAsia" w:ascii="宋体" w:hAnsi="Courier New"/>
                <w:bCs/>
                <w:color w:val="auto"/>
                <w:sz w:val="22"/>
              </w:rPr>
              <w:t>林地卫生</w:t>
            </w:r>
          </w:p>
        </w:tc>
        <w:tc>
          <w:tcPr>
            <w:tcW w:w="844" w:type="pct"/>
            <w:vAlign w:val="center"/>
          </w:tcPr>
          <w:p>
            <w:pPr>
              <w:snapToGrid w:val="0"/>
              <w:jc w:val="center"/>
              <w:rPr>
                <w:rFonts w:ascii="宋体" w:hAnsi="Courier New"/>
                <w:bCs/>
                <w:color w:val="auto"/>
                <w:sz w:val="22"/>
              </w:rPr>
            </w:pPr>
            <w:r>
              <w:rPr>
                <w:rFonts w:hint="eastAsia" w:ascii="宋体" w:hAnsi="Courier New"/>
                <w:bCs/>
                <w:color w:val="auto"/>
                <w:sz w:val="22"/>
              </w:rPr>
              <w:t>林地整洁，无垃圾堆放、堆物、乱搭建。</w:t>
            </w:r>
          </w:p>
        </w:tc>
        <w:tc>
          <w:tcPr>
            <w:tcW w:w="718" w:type="pct"/>
            <w:vAlign w:val="center"/>
          </w:tcPr>
          <w:p>
            <w:pPr>
              <w:snapToGrid w:val="0"/>
              <w:rPr>
                <w:rFonts w:ascii="宋体" w:hAnsi="Courier New"/>
                <w:bCs/>
                <w:color w:val="auto"/>
                <w:sz w:val="22"/>
              </w:rPr>
            </w:pPr>
            <w:r>
              <w:rPr>
                <w:rFonts w:hint="eastAsia" w:ascii="宋体" w:hAnsi="Courier New"/>
                <w:bCs/>
                <w:color w:val="auto"/>
                <w:sz w:val="22"/>
              </w:rPr>
              <w:t>林地整洁，基</w:t>
            </w:r>
            <w:r>
              <w:rPr>
                <w:rFonts w:ascii="宋体" w:hAnsi="Courier New"/>
                <w:bCs/>
                <w:color w:val="auto"/>
                <w:sz w:val="22"/>
              </w:rPr>
              <w:t xml:space="preserve"> </w:t>
            </w:r>
            <w:r>
              <w:rPr>
                <w:rFonts w:hint="eastAsia" w:ascii="宋体" w:hAnsi="Courier New"/>
                <w:bCs/>
                <w:color w:val="auto"/>
                <w:sz w:val="22"/>
              </w:rPr>
              <w:t>本无垃圾堆放、堆物、乱搭建。</w:t>
            </w:r>
          </w:p>
        </w:tc>
        <w:tc>
          <w:tcPr>
            <w:tcW w:w="696" w:type="pct"/>
            <w:vAlign w:val="center"/>
          </w:tcPr>
          <w:p>
            <w:pPr>
              <w:snapToGrid w:val="0"/>
              <w:jc w:val="center"/>
              <w:rPr>
                <w:rFonts w:ascii="宋体" w:hAnsi="Courier New"/>
                <w:bCs/>
                <w:color w:val="auto"/>
                <w:sz w:val="22"/>
              </w:rPr>
            </w:pPr>
            <w:r>
              <w:rPr>
                <w:rFonts w:hint="eastAsia" w:ascii="宋体" w:hAnsi="Courier New"/>
                <w:bCs/>
                <w:color w:val="auto"/>
                <w:sz w:val="22"/>
              </w:rPr>
              <w:t>无垃圾堆放、堆物、乱搭建。</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基本无垃圾堆放、堆物、</w:t>
            </w:r>
            <w:r>
              <w:rPr>
                <w:rFonts w:ascii="宋体" w:hAnsi="Courier New"/>
                <w:bCs/>
                <w:color w:val="auto"/>
                <w:sz w:val="22"/>
              </w:rPr>
              <w:t xml:space="preserve"> </w:t>
            </w:r>
            <w:r>
              <w:rPr>
                <w:rFonts w:hint="eastAsia" w:ascii="宋体" w:hAnsi="Courier New"/>
                <w:bCs/>
                <w:color w:val="auto"/>
                <w:sz w:val="22"/>
              </w:rPr>
              <w:t>乱搭建。</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无垃圾堆放、堆物、乱搭建。</w:t>
            </w:r>
          </w:p>
        </w:tc>
        <w:tc>
          <w:tcPr>
            <w:tcW w:w="703" w:type="pct"/>
            <w:vAlign w:val="center"/>
          </w:tcPr>
          <w:p>
            <w:pPr>
              <w:snapToGrid w:val="0"/>
              <w:jc w:val="center"/>
              <w:rPr>
                <w:rFonts w:ascii="宋体" w:hAnsi="Courier New"/>
                <w:bCs/>
                <w:color w:val="auto"/>
                <w:sz w:val="22"/>
              </w:rPr>
            </w:pPr>
            <w:r>
              <w:rPr>
                <w:rFonts w:hint="eastAsia" w:ascii="宋体" w:hAnsi="Courier New"/>
                <w:bCs/>
                <w:color w:val="auto"/>
                <w:sz w:val="22"/>
              </w:rPr>
              <w:t>基本无垃圾堆放、堆物、乱搭建。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2" w:hRule="atLeast"/>
        </w:trPr>
        <w:tc>
          <w:tcPr>
            <w:tcW w:w="627" w:type="pct"/>
            <w:vAlign w:val="center"/>
          </w:tcPr>
          <w:p>
            <w:pPr>
              <w:snapToGrid w:val="0"/>
              <w:jc w:val="center"/>
              <w:rPr>
                <w:rFonts w:ascii="宋体" w:hAnsi="Courier New"/>
                <w:bCs/>
                <w:color w:val="auto"/>
                <w:sz w:val="22"/>
              </w:rPr>
            </w:pPr>
            <w:r>
              <w:rPr>
                <w:rFonts w:hint="eastAsia" w:ascii="宋体" w:hAnsi="Courier New"/>
                <w:bCs/>
                <w:color w:val="auto"/>
                <w:sz w:val="22"/>
              </w:rPr>
              <w:t>排灌</w:t>
            </w:r>
          </w:p>
        </w:tc>
        <w:tc>
          <w:tcPr>
            <w:tcW w:w="844" w:type="pct"/>
            <w:vAlign w:val="center"/>
          </w:tcPr>
          <w:p>
            <w:pPr>
              <w:snapToGrid w:val="0"/>
              <w:jc w:val="center"/>
              <w:rPr>
                <w:rFonts w:ascii="宋体" w:hAnsi="Courier New"/>
                <w:bCs/>
                <w:color w:val="auto"/>
                <w:sz w:val="22"/>
              </w:rPr>
            </w:pPr>
            <w:r>
              <w:rPr>
                <w:rFonts w:hint="eastAsia" w:ascii="宋体" w:hAnsi="Courier New"/>
                <w:bCs/>
                <w:color w:val="auto"/>
                <w:sz w:val="22"/>
              </w:rPr>
              <w:t>沟渠畅通，设施完备；因缺水长不良植株在</w:t>
            </w:r>
            <w:r>
              <w:rPr>
                <w:rFonts w:ascii="宋体" w:hAnsi="Courier New"/>
                <w:bCs/>
                <w:color w:val="auto"/>
                <w:sz w:val="22"/>
              </w:rPr>
              <w:t xml:space="preserve"> 5 </w:t>
            </w:r>
            <w:r>
              <w:rPr>
                <w:rFonts w:hint="eastAsia" w:ascii="宋体" w:hAnsi="Courier New"/>
                <w:bCs/>
                <w:color w:val="auto"/>
                <w:sz w:val="22"/>
              </w:rPr>
              <w:t>以下；暴雨后</w:t>
            </w:r>
            <w:r>
              <w:rPr>
                <w:rFonts w:ascii="宋体" w:hAnsi="Courier New"/>
                <w:bCs/>
                <w:color w:val="auto"/>
                <w:sz w:val="22"/>
              </w:rPr>
              <w:t xml:space="preserve">12 </w:t>
            </w:r>
            <w:r>
              <w:rPr>
                <w:rFonts w:hint="eastAsia" w:ascii="宋体" w:hAnsi="Courier New"/>
                <w:bCs/>
                <w:color w:val="auto"/>
                <w:sz w:val="22"/>
              </w:rPr>
              <w:t>小时内能将积水排完。</w:t>
            </w:r>
          </w:p>
        </w:tc>
        <w:tc>
          <w:tcPr>
            <w:tcW w:w="718" w:type="pct"/>
            <w:vAlign w:val="center"/>
          </w:tcPr>
          <w:p>
            <w:pPr>
              <w:snapToGrid w:val="0"/>
              <w:jc w:val="center"/>
              <w:rPr>
                <w:rFonts w:ascii="宋体" w:hAnsi="Courier New"/>
                <w:bCs/>
                <w:color w:val="auto"/>
                <w:sz w:val="22"/>
              </w:rPr>
            </w:pPr>
            <w:r>
              <w:rPr>
                <w:rFonts w:hint="eastAsia" w:ascii="宋体" w:hAnsi="Courier New"/>
                <w:bCs/>
                <w:color w:val="auto"/>
                <w:sz w:val="22"/>
              </w:rPr>
              <w:t>沟渠较畅通，设施良好；因缺水生长不良植株在</w:t>
            </w:r>
            <w:r>
              <w:rPr>
                <w:rFonts w:ascii="宋体" w:hAnsi="Courier New"/>
                <w:bCs/>
                <w:color w:val="auto"/>
                <w:sz w:val="22"/>
              </w:rPr>
              <w:t xml:space="preserve"> 10</w:t>
            </w:r>
            <w:r>
              <w:rPr>
                <w:rFonts w:hint="eastAsia" w:ascii="宋体" w:hAnsi="Courier New"/>
                <w:bCs/>
                <w:color w:val="auto"/>
                <w:sz w:val="22"/>
              </w:rPr>
              <w:t>以下；暴雨后</w:t>
            </w:r>
            <w:r>
              <w:rPr>
                <w:rFonts w:ascii="宋体" w:hAnsi="Courier New"/>
                <w:bCs/>
                <w:color w:val="auto"/>
                <w:sz w:val="22"/>
              </w:rPr>
              <w:t>24</w:t>
            </w:r>
            <w:r>
              <w:rPr>
                <w:rFonts w:hint="eastAsia" w:ascii="宋体" w:hAnsi="Courier New"/>
                <w:bCs/>
                <w:color w:val="auto"/>
                <w:sz w:val="22"/>
              </w:rPr>
              <w:t>小时内</w:t>
            </w:r>
            <w:r>
              <w:rPr>
                <w:rFonts w:ascii="宋体" w:hAnsi="Courier New"/>
                <w:bCs/>
                <w:color w:val="auto"/>
                <w:sz w:val="22"/>
              </w:rPr>
              <w:t xml:space="preserve"> </w:t>
            </w:r>
            <w:r>
              <w:rPr>
                <w:rFonts w:hint="eastAsia" w:ascii="宋体" w:hAnsi="Courier New"/>
                <w:bCs/>
                <w:color w:val="auto"/>
                <w:sz w:val="22"/>
              </w:rPr>
              <w:t>能将积水排完。</w:t>
            </w:r>
          </w:p>
        </w:tc>
        <w:tc>
          <w:tcPr>
            <w:tcW w:w="696" w:type="pct"/>
            <w:vAlign w:val="center"/>
          </w:tcPr>
          <w:p>
            <w:pPr>
              <w:snapToGrid w:val="0"/>
              <w:jc w:val="center"/>
              <w:rPr>
                <w:rFonts w:ascii="宋体" w:hAnsi="Courier New"/>
                <w:bCs/>
                <w:color w:val="auto"/>
                <w:sz w:val="22"/>
              </w:rPr>
            </w:pPr>
            <w:r>
              <w:rPr>
                <w:rFonts w:hint="eastAsia" w:ascii="宋体" w:hAnsi="Courier New"/>
                <w:bCs/>
                <w:color w:val="auto"/>
                <w:sz w:val="22"/>
              </w:rPr>
              <w:t>排灌系统完整；暴雨后</w:t>
            </w:r>
            <w:r>
              <w:rPr>
                <w:rFonts w:ascii="宋体" w:hAnsi="Courier New"/>
                <w:bCs/>
                <w:color w:val="auto"/>
                <w:sz w:val="22"/>
              </w:rPr>
              <w:t xml:space="preserve"> 12</w:t>
            </w:r>
            <w:r>
              <w:rPr>
                <w:rFonts w:hint="eastAsia" w:ascii="宋体" w:hAnsi="Courier New"/>
                <w:bCs/>
                <w:color w:val="auto"/>
                <w:sz w:val="22"/>
              </w:rPr>
              <w:t>小时内能将积水排完。</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排灌系统良好；暴雨后</w:t>
            </w:r>
            <w:r>
              <w:rPr>
                <w:rFonts w:ascii="宋体" w:hAnsi="Courier New"/>
                <w:bCs/>
                <w:color w:val="auto"/>
                <w:sz w:val="22"/>
              </w:rPr>
              <w:t xml:space="preserve"> 24</w:t>
            </w:r>
            <w:r>
              <w:rPr>
                <w:rFonts w:hint="eastAsia" w:ascii="宋体" w:hAnsi="Courier New"/>
                <w:bCs/>
                <w:color w:val="auto"/>
                <w:sz w:val="22"/>
              </w:rPr>
              <w:t>小时内能</w:t>
            </w:r>
            <w:r>
              <w:rPr>
                <w:rFonts w:ascii="宋体" w:hAnsi="Courier New"/>
                <w:bCs/>
                <w:color w:val="auto"/>
                <w:sz w:val="22"/>
              </w:rPr>
              <w:t xml:space="preserve"> </w:t>
            </w:r>
            <w:r>
              <w:rPr>
                <w:rFonts w:hint="eastAsia" w:ascii="宋体" w:hAnsi="Courier New"/>
                <w:bCs/>
                <w:color w:val="auto"/>
                <w:sz w:val="22"/>
              </w:rPr>
              <w:t>将积水排完。</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排灌系统完整；暴雨后</w:t>
            </w:r>
            <w:r>
              <w:rPr>
                <w:rFonts w:ascii="宋体" w:hAnsi="Courier New"/>
                <w:bCs/>
                <w:color w:val="auto"/>
                <w:sz w:val="22"/>
              </w:rPr>
              <w:t xml:space="preserve"> 12 </w:t>
            </w:r>
            <w:r>
              <w:rPr>
                <w:rFonts w:hint="eastAsia" w:ascii="宋体" w:hAnsi="Courier New"/>
                <w:bCs/>
                <w:color w:val="auto"/>
                <w:sz w:val="22"/>
              </w:rPr>
              <w:t>小时内能将积水排完。</w:t>
            </w:r>
          </w:p>
        </w:tc>
        <w:tc>
          <w:tcPr>
            <w:tcW w:w="703" w:type="pct"/>
            <w:vAlign w:val="center"/>
          </w:tcPr>
          <w:p>
            <w:pPr>
              <w:snapToGrid w:val="0"/>
              <w:jc w:val="center"/>
              <w:rPr>
                <w:rFonts w:ascii="宋体" w:hAnsi="Courier New"/>
                <w:bCs/>
                <w:color w:val="auto"/>
                <w:sz w:val="22"/>
              </w:rPr>
            </w:pPr>
            <w:r>
              <w:rPr>
                <w:rFonts w:hint="eastAsia" w:ascii="宋体" w:hAnsi="Courier New"/>
                <w:bCs/>
                <w:color w:val="auto"/>
                <w:sz w:val="22"/>
              </w:rPr>
              <w:t>排灌系统良好；暴雨后</w:t>
            </w:r>
            <w:r>
              <w:rPr>
                <w:rFonts w:ascii="宋体" w:hAnsi="Courier New"/>
                <w:bCs/>
                <w:color w:val="auto"/>
                <w:sz w:val="22"/>
              </w:rPr>
              <w:t xml:space="preserve"> 24</w:t>
            </w:r>
            <w:r>
              <w:rPr>
                <w:rFonts w:hint="eastAsia" w:ascii="宋体" w:hAnsi="Courier New"/>
                <w:bCs/>
                <w:color w:val="auto"/>
                <w:sz w:val="22"/>
              </w:rPr>
              <w:t>小时内能将积水排完。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atLeast"/>
        </w:trPr>
        <w:tc>
          <w:tcPr>
            <w:tcW w:w="627" w:type="pct"/>
            <w:vAlign w:val="center"/>
          </w:tcPr>
          <w:p>
            <w:pPr>
              <w:snapToGrid w:val="0"/>
              <w:jc w:val="center"/>
              <w:rPr>
                <w:rFonts w:ascii="宋体" w:hAnsi="Courier New"/>
                <w:bCs/>
                <w:color w:val="auto"/>
                <w:sz w:val="22"/>
              </w:rPr>
            </w:pPr>
            <w:r>
              <w:rPr>
                <w:rFonts w:hint="eastAsia" w:ascii="宋体" w:hAnsi="Courier New"/>
                <w:bCs/>
                <w:color w:val="auto"/>
                <w:sz w:val="22"/>
              </w:rPr>
              <w:t>病虫害</w:t>
            </w:r>
          </w:p>
        </w:tc>
        <w:tc>
          <w:tcPr>
            <w:tcW w:w="844" w:type="pct"/>
            <w:vAlign w:val="center"/>
          </w:tcPr>
          <w:p>
            <w:pPr>
              <w:snapToGrid w:val="0"/>
              <w:jc w:val="center"/>
              <w:rPr>
                <w:rFonts w:ascii="宋体" w:hAnsi="Courier New"/>
                <w:bCs/>
                <w:color w:val="auto"/>
                <w:sz w:val="22"/>
              </w:rPr>
            </w:pPr>
            <w:r>
              <w:rPr>
                <w:rFonts w:hint="eastAsia" w:ascii="宋体" w:hAnsi="Courier New"/>
                <w:bCs/>
                <w:color w:val="auto"/>
                <w:sz w:val="22"/>
              </w:rPr>
              <w:t>无检疫性病虫疫情；无爆发性病虫灾害发生。病虫疫情为害面积控制在</w:t>
            </w:r>
            <w:r>
              <w:rPr>
                <w:rFonts w:ascii="宋体" w:hAnsi="Courier New"/>
                <w:bCs/>
                <w:color w:val="auto"/>
                <w:sz w:val="22"/>
              </w:rPr>
              <w:t>5</w:t>
            </w:r>
            <w:r>
              <w:rPr>
                <w:rFonts w:hint="eastAsia" w:ascii="宋体" w:hAnsi="Courier New"/>
                <w:bCs/>
                <w:color w:val="auto"/>
                <w:sz w:val="22"/>
              </w:rPr>
              <w:t>以内。</w:t>
            </w:r>
          </w:p>
        </w:tc>
        <w:tc>
          <w:tcPr>
            <w:tcW w:w="718" w:type="pct"/>
            <w:vAlign w:val="center"/>
          </w:tcPr>
          <w:p>
            <w:pPr>
              <w:snapToGrid w:val="0"/>
              <w:jc w:val="center"/>
              <w:rPr>
                <w:rFonts w:ascii="宋体" w:hAnsi="Courier New"/>
                <w:bCs/>
                <w:color w:val="auto"/>
                <w:sz w:val="22"/>
              </w:rPr>
            </w:pPr>
            <w:r>
              <w:rPr>
                <w:rFonts w:hint="eastAsia" w:ascii="宋体" w:hAnsi="Courier New"/>
                <w:bCs/>
                <w:color w:val="auto"/>
                <w:sz w:val="22"/>
              </w:rPr>
              <w:t>无检疫性病虫疫情；无爆发</w:t>
            </w:r>
            <w:r>
              <w:rPr>
                <w:rFonts w:ascii="宋体" w:hAnsi="Courier New"/>
                <w:bCs/>
                <w:color w:val="auto"/>
                <w:sz w:val="22"/>
              </w:rPr>
              <w:t xml:space="preserve"> </w:t>
            </w:r>
            <w:r>
              <w:rPr>
                <w:rFonts w:hint="eastAsia" w:ascii="宋体" w:hAnsi="Courier New"/>
                <w:bCs/>
                <w:color w:val="auto"/>
                <w:sz w:val="22"/>
              </w:rPr>
              <w:t>性病虫灾害发生。病虫疫情为害面积控制在</w:t>
            </w:r>
            <w:r>
              <w:rPr>
                <w:rFonts w:ascii="宋体" w:hAnsi="Courier New"/>
                <w:bCs/>
                <w:color w:val="auto"/>
                <w:sz w:val="22"/>
              </w:rPr>
              <w:t>10</w:t>
            </w:r>
            <w:r>
              <w:rPr>
                <w:rFonts w:hint="eastAsia" w:ascii="宋体" w:hAnsi="Courier New"/>
                <w:bCs/>
                <w:color w:val="auto"/>
                <w:sz w:val="22"/>
              </w:rPr>
              <w:t>以内。</w:t>
            </w:r>
          </w:p>
        </w:tc>
        <w:tc>
          <w:tcPr>
            <w:tcW w:w="696" w:type="pct"/>
            <w:vAlign w:val="center"/>
          </w:tcPr>
          <w:p>
            <w:pPr>
              <w:snapToGrid w:val="0"/>
              <w:jc w:val="center"/>
              <w:rPr>
                <w:rFonts w:ascii="宋体" w:hAnsi="Courier New"/>
                <w:bCs/>
                <w:color w:val="auto"/>
                <w:sz w:val="22"/>
              </w:rPr>
            </w:pPr>
            <w:r>
              <w:rPr>
                <w:rFonts w:hint="eastAsia" w:ascii="宋体" w:hAnsi="Courier New"/>
                <w:bCs/>
                <w:color w:val="auto"/>
                <w:sz w:val="22"/>
              </w:rPr>
              <w:t>无检疫性病虫疫情；</w:t>
            </w:r>
            <w:r>
              <w:rPr>
                <w:rFonts w:ascii="宋体" w:hAnsi="Courier New"/>
                <w:bCs/>
                <w:color w:val="auto"/>
                <w:sz w:val="22"/>
              </w:rPr>
              <w:t xml:space="preserve"> </w:t>
            </w:r>
            <w:r>
              <w:rPr>
                <w:rFonts w:hint="eastAsia" w:ascii="宋体" w:hAnsi="Courier New"/>
                <w:bCs/>
                <w:color w:val="auto"/>
                <w:sz w:val="22"/>
              </w:rPr>
              <w:t>无爆发性病虫灾害发生。病虫疫情为害面积控制在</w:t>
            </w:r>
            <w:r>
              <w:rPr>
                <w:rFonts w:ascii="宋体" w:hAnsi="Courier New"/>
                <w:bCs/>
                <w:color w:val="auto"/>
                <w:sz w:val="22"/>
              </w:rPr>
              <w:t xml:space="preserve"> 5</w:t>
            </w:r>
            <w:r>
              <w:rPr>
                <w:rFonts w:hint="eastAsia" w:ascii="宋体" w:hAnsi="Courier New"/>
                <w:bCs/>
                <w:color w:val="auto"/>
                <w:sz w:val="22"/>
              </w:rPr>
              <w:t>以内。</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无检疫性病虫疫情；无</w:t>
            </w:r>
            <w:r>
              <w:rPr>
                <w:rFonts w:ascii="宋体" w:hAnsi="Courier New"/>
                <w:bCs/>
                <w:color w:val="auto"/>
                <w:sz w:val="22"/>
              </w:rPr>
              <w:t xml:space="preserve"> </w:t>
            </w:r>
            <w:r>
              <w:rPr>
                <w:rFonts w:hint="eastAsia" w:ascii="宋体" w:hAnsi="Courier New"/>
                <w:bCs/>
                <w:color w:val="auto"/>
                <w:sz w:val="22"/>
              </w:rPr>
              <w:t>爆发性病虫灾害发生。病虫疫情为害面积控制在</w:t>
            </w:r>
            <w:r>
              <w:rPr>
                <w:rFonts w:ascii="宋体" w:hAnsi="Courier New"/>
                <w:bCs/>
                <w:color w:val="auto"/>
                <w:sz w:val="22"/>
              </w:rPr>
              <w:t xml:space="preserve"> 15</w:t>
            </w:r>
            <w:r>
              <w:rPr>
                <w:rFonts w:hint="eastAsia" w:ascii="宋体" w:hAnsi="Courier New"/>
                <w:bCs/>
                <w:color w:val="auto"/>
                <w:sz w:val="22"/>
              </w:rPr>
              <w:t>以内。</w:t>
            </w:r>
          </w:p>
        </w:tc>
        <w:tc>
          <w:tcPr>
            <w:tcW w:w="706" w:type="pct"/>
            <w:vAlign w:val="center"/>
          </w:tcPr>
          <w:p>
            <w:pPr>
              <w:snapToGrid w:val="0"/>
              <w:jc w:val="center"/>
              <w:rPr>
                <w:rFonts w:ascii="宋体" w:hAnsi="Courier New"/>
                <w:bCs/>
                <w:color w:val="auto"/>
                <w:sz w:val="22"/>
              </w:rPr>
            </w:pPr>
            <w:r>
              <w:rPr>
                <w:rFonts w:hint="eastAsia" w:ascii="宋体" w:hAnsi="Courier New"/>
                <w:bCs/>
                <w:color w:val="auto"/>
                <w:sz w:val="22"/>
              </w:rPr>
              <w:t>无检疫性病虫疫情；无爆发性病虫灾害发生。病虫疫情为害面积控制在</w:t>
            </w:r>
            <w:r>
              <w:rPr>
                <w:rFonts w:ascii="宋体" w:hAnsi="Courier New"/>
                <w:bCs/>
                <w:color w:val="auto"/>
                <w:sz w:val="22"/>
              </w:rPr>
              <w:t>5</w:t>
            </w:r>
            <w:r>
              <w:rPr>
                <w:rFonts w:hint="eastAsia" w:ascii="宋体" w:hAnsi="Courier New"/>
                <w:bCs/>
                <w:color w:val="auto"/>
                <w:sz w:val="22"/>
              </w:rPr>
              <w:t>以内。</w:t>
            </w:r>
          </w:p>
        </w:tc>
        <w:tc>
          <w:tcPr>
            <w:tcW w:w="703" w:type="pct"/>
            <w:vAlign w:val="center"/>
          </w:tcPr>
          <w:p>
            <w:pPr>
              <w:snapToGrid w:val="0"/>
              <w:jc w:val="center"/>
              <w:rPr>
                <w:rFonts w:ascii="宋体" w:hAnsi="Courier New"/>
                <w:bCs/>
                <w:color w:val="auto"/>
                <w:sz w:val="22"/>
              </w:rPr>
            </w:pPr>
            <w:r>
              <w:rPr>
                <w:rFonts w:hint="eastAsia" w:ascii="宋体" w:hAnsi="Courier New"/>
                <w:bCs/>
                <w:color w:val="auto"/>
                <w:sz w:val="22"/>
              </w:rPr>
              <w:t>无检疫性病虫疫情；无爆发性病虫灾害发生。病虫疫情为害面积控制在</w:t>
            </w:r>
            <w:r>
              <w:rPr>
                <w:rFonts w:ascii="宋体" w:hAnsi="Courier New"/>
                <w:bCs/>
                <w:color w:val="auto"/>
                <w:sz w:val="22"/>
              </w:rPr>
              <w:t xml:space="preserve">15 </w:t>
            </w:r>
            <w:r>
              <w:rPr>
                <w:rFonts w:hint="eastAsia" w:ascii="宋体" w:hAnsi="Courier New"/>
                <w:bCs/>
                <w:color w:val="auto"/>
                <w:sz w:val="22"/>
              </w:rPr>
              <w:t>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1" w:hRule="atLeast"/>
        </w:trPr>
        <w:tc>
          <w:tcPr>
            <w:tcW w:w="627" w:type="pct"/>
            <w:vAlign w:val="center"/>
          </w:tcPr>
          <w:p>
            <w:pPr>
              <w:autoSpaceDE w:val="0"/>
              <w:autoSpaceDN w:val="0"/>
              <w:ind w:left="233" w:right="222"/>
              <w:jc w:val="center"/>
              <w:rPr>
                <w:rFonts w:ascii="宋体" w:hAnsi="宋体" w:cs="宋体"/>
                <w:color w:val="auto"/>
                <w:kern w:val="0"/>
                <w:sz w:val="22"/>
              </w:rPr>
            </w:pPr>
            <w:r>
              <w:rPr>
                <w:rFonts w:hint="eastAsia" w:ascii="宋体" w:hAnsi="宋体" w:cs="宋体"/>
                <w:color w:val="auto"/>
                <w:kern w:val="0"/>
                <w:sz w:val="22"/>
              </w:rPr>
              <w:t>杂草控制</w:t>
            </w:r>
          </w:p>
        </w:tc>
        <w:tc>
          <w:tcPr>
            <w:tcW w:w="844" w:type="pct"/>
            <w:vAlign w:val="center"/>
          </w:tcPr>
          <w:p>
            <w:pPr>
              <w:autoSpaceDE w:val="0"/>
              <w:autoSpaceDN w:val="0"/>
              <w:spacing w:before="140"/>
              <w:ind w:left="107" w:right="37"/>
              <w:jc w:val="center"/>
              <w:rPr>
                <w:rFonts w:ascii="宋体" w:hAnsi="宋体" w:cs="宋体"/>
                <w:color w:val="auto"/>
                <w:kern w:val="0"/>
                <w:sz w:val="22"/>
              </w:rPr>
            </w:pPr>
            <w:r>
              <w:rPr>
                <w:rFonts w:hint="eastAsia" w:ascii="宋体" w:hAnsi="宋体" w:cs="宋体"/>
                <w:color w:val="auto"/>
                <w:spacing w:val="45"/>
                <w:kern w:val="0"/>
                <w:sz w:val="22"/>
              </w:rPr>
              <w:t>无恶性杂</w:t>
            </w:r>
            <w:r>
              <w:rPr>
                <w:rFonts w:hint="eastAsia" w:ascii="宋体" w:hAnsi="宋体" w:cs="宋体"/>
                <w:color w:val="auto"/>
                <w:kern w:val="0"/>
                <w:sz w:val="22"/>
              </w:rPr>
              <w:t>草、绞杀性</w:t>
            </w:r>
            <w:r>
              <w:rPr>
                <w:rFonts w:hint="eastAsia" w:ascii="宋体" w:hAnsi="宋体" w:cs="宋体"/>
                <w:color w:val="auto"/>
                <w:spacing w:val="-1"/>
                <w:kern w:val="0"/>
                <w:sz w:val="22"/>
              </w:rPr>
              <w:t>藤本植物；</w:t>
            </w:r>
            <w:r>
              <w:rPr>
                <w:rFonts w:hint="eastAsia" w:ascii="宋体" w:hAnsi="宋体" w:cs="宋体"/>
                <w:color w:val="auto"/>
                <w:spacing w:val="45"/>
                <w:kern w:val="0"/>
                <w:sz w:val="22"/>
              </w:rPr>
              <w:t>高度控制在</w:t>
            </w:r>
            <w:r>
              <w:rPr>
                <w:rFonts w:ascii="宋体" w:hAnsi="宋体" w:cs="宋体"/>
                <w:color w:val="auto"/>
                <w:spacing w:val="45"/>
                <w:kern w:val="0"/>
                <w:sz w:val="22"/>
              </w:rPr>
              <w:t xml:space="preserve"> 30cm</w:t>
            </w:r>
            <w:r>
              <w:rPr>
                <w:rFonts w:hint="eastAsia" w:ascii="宋体" w:hAnsi="宋体" w:cs="宋体"/>
                <w:color w:val="auto"/>
                <w:spacing w:val="-35"/>
                <w:kern w:val="0"/>
                <w:sz w:val="22"/>
              </w:rPr>
              <w:t>以下。</w:t>
            </w:r>
          </w:p>
        </w:tc>
        <w:tc>
          <w:tcPr>
            <w:tcW w:w="718" w:type="pct"/>
            <w:vAlign w:val="center"/>
          </w:tcPr>
          <w:p>
            <w:pPr>
              <w:autoSpaceDE w:val="0"/>
              <w:autoSpaceDN w:val="0"/>
              <w:ind w:left="107" w:right="94"/>
              <w:jc w:val="center"/>
              <w:rPr>
                <w:rFonts w:ascii="宋体" w:hAnsi="宋体" w:cs="宋体"/>
                <w:color w:val="auto"/>
                <w:kern w:val="0"/>
                <w:sz w:val="22"/>
              </w:rPr>
            </w:pPr>
            <w:r>
              <w:rPr>
                <w:rFonts w:hint="eastAsia" w:ascii="宋体" w:hAnsi="宋体" w:cs="宋体"/>
                <w:color w:val="auto"/>
                <w:spacing w:val="-24"/>
                <w:kern w:val="0"/>
                <w:sz w:val="22"/>
              </w:rPr>
              <w:t>基</w:t>
            </w:r>
            <w:r>
              <w:rPr>
                <w:rFonts w:ascii="宋体" w:hAnsi="宋体" w:cs="宋体"/>
                <w:color w:val="auto"/>
                <w:spacing w:val="-24"/>
                <w:kern w:val="0"/>
                <w:sz w:val="22"/>
              </w:rPr>
              <w:t xml:space="preserve"> </w:t>
            </w:r>
            <w:r>
              <w:rPr>
                <w:rFonts w:hint="eastAsia" w:ascii="宋体" w:hAnsi="宋体" w:cs="宋体"/>
                <w:color w:val="auto"/>
                <w:spacing w:val="-24"/>
                <w:kern w:val="0"/>
                <w:sz w:val="22"/>
              </w:rPr>
              <w:t>本</w:t>
            </w:r>
            <w:r>
              <w:rPr>
                <w:rFonts w:ascii="宋体" w:hAnsi="宋体" w:cs="宋体"/>
                <w:color w:val="auto"/>
                <w:spacing w:val="-24"/>
                <w:kern w:val="0"/>
                <w:sz w:val="22"/>
              </w:rPr>
              <w:t xml:space="preserve"> </w:t>
            </w:r>
            <w:r>
              <w:rPr>
                <w:rFonts w:hint="eastAsia" w:ascii="宋体" w:hAnsi="宋体" w:cs="宋体"/>
                <w:color w:val="auto"/>
                <w:spacing w:val="-24"/>
                <w:kern w:val="0"/>
                <w:sz w:val="22"/>
              </w:rPr>
              <w:t>无</w:t>
            </w:r>
            <w:r>
              <w:rPr>
                <w:rFonts w:ascii="宋体" w:hAnsi="宋体" w:cs="宋体"/>
                <w:color w:val="auto"/>
                <w:spacing w:val="-24"/>
                <w:kern w:val="0"/>
                <w:sz w:val="22"/>
              </w:rPr>
              <w:t xml:space="preserve"> </w:t>
            </w:r>
            <w:r>
              <w:rPr>
                <w:rFonts w:hint="eastAsia" w:ascii="宋体" w:hAnsi="宋体" w:cs="宋体"/>
                <w:color w:val="auto"/>
                <w:spacing w:val="-24"/>
                <w:kern w:val="0"/>
                <w:sz w:val="22"/>
              </w:rPr>
              <w:t>恶</w:t>
            </w:r>
            <w:r>
              <w:rPr>
                <w:rFonts w:hint="eastAsia" w:ascii="宋体" w:hAnsi="宋体" w:cs="宋体"/>
                <w:color w:val="auto"/>
                <w:spacing w:val="-11"/>
                <w:kern w:val="0"/>
                <w:sz w:val="22"/>
              </w:rPr>
              <w:t>性杂草、绞</w:t>
            </w:r>
            <w:r>
              <w:rPr>
                <w:rFonts w:hint="eastAsia" w:ascii="宋体" w:hAnsi="宋体" w:cs="宋体"/>
                <w:color w:val="auto"/>
                <w:spacing w:val="-24"/>
                <w:kern w:val="0"/>
                <w:sz w:val="22"/>
              </w:rPr>
              <w:t>杀</w:t>
            </w:r>
            <w:r>
              <w:rPr>
                <w:rFonts w:ascii="宋体" w:hAnsi="宋体" w:cs="宋体"/>
                <w:color w:val="auto"/>
                <w:spacing w:val="-24"/>
                <w:kern w:val="0"/>
                <w:sz w:val="22"/>
              </w:rPr>
              <w:t xml:space="preserve"> </w:t>
            </w:r>
            <w:r>
              <w:rPr>
                <w:rFonts w:hint="eastAsia" w:ascii="宋体" w:hAnsi="宋体" w:cs="宋体"/>
                <w:color w:val="auto"/>
                <w:spacing w:val="-24"/>
                <w:kern w:val="0"/>
                <w:sz w:val="22"/>
              </w:rPr>
              <w:t>性</w:t>
            </w:r>
            <w:r>
              <w:rPr>
                <w:rFonts w:ascii="宋体" w:hAnsi="宋体" w:cs="宋体"/>
                <w:color w:val="auto"/>
                <w:spacing w:val="-24"/>
                <w:kern w:val="0"/>
                <w:sz w:val="22"/>
              </w:rPr>
              <w:t xml:space="preserve"> </w:t>
            </w:r>
            <w:r>
              <w:rPr>
                <w:rFonts w:hint="eastAsia" w:ascii="宋体" w:hAnsi="宋体" w:cs="宋体"/>
                <w:color w:val="auto"/>
                <w:spacing w:val="-24"/>
                <w:kern w:val="0"/>
                <w:sz w:val="22"/>
              </w:rPr>
              <w:t>藤</w:t>
            </w:r>
            <w:r>
              <w:rPr>
                <w:rFonts w:ascii="宋体" w:hAnsi="宋体" w:cs="宋体"/>
                <w:color w:val="auto"/>
                <w:spacing w:val="-24"/>
                <w:kern w:val="0"/>
                <w:sz w:val="22"/>
              </w:rPr>
              <w:t xml:space="preserve"> </w:t>
            </w:r>
            <w:r>
              <w:rPr>
                <w:rFonts w:hint="eastAsia" w:ascii="宋体" w:hAnsi="宋体" w:cs="宋体"/>
                <w:color w:val="auto"/>
                <w:spacing w:val="-24"/>
                <w:kern w:val="0"/>
                <w:sz w:val="22"/>
              </w:rPr>
              <w:t>本</w:t>
            </w:r>
            <w:r>
              <w:rPr>
                <w:rFonts w:hint="eastAsia" w:ascii="宋体" w:hAnsi="宋体" w:cs="宋体"/>
                <w:color w:val="auto"/>
                <w:spacing w:val="-12"/>
                <w:kern w:val="0"/>
                <w:sz w:val="22"/>
              </w:rPr>
              <w:t>植物；高度</w:t>
            </w:r>
            <w:r>
              <w:rPr>
                <w:rFonts w:hint="eastAsia" w:ascii="宋体" w:hAnsi="宋体" w:cs="宋体"/>
                <w:color w:val="auto"/>
                <w:spacing w:val="11"/>
                <w:kern w:val="0"/>
                <w:sz w:val="22"/>
              </w:rPr>
              <w:t>控</w:t>
            </w:r>
            <w:r>
              <w:rPr>
                <w:rFonts w:ascii="宋体" w:hAnsi="宋体" w:cs="宋体"/>
                <w:color w:val="auto"/>
                <w:spacing w:val="11"/>
                <w:kern w:val="0"/>
                <w:sz w:val="22"/>
              </w:rPr>
              <w:t xml:space="preserve"> </w:t>
            </w:r>
            <w:r>
              <w:rPr>
                <w:rFonts w:hint="eastAsia" w:ascii="宋体" w:hAnsi="宋体" w:cs="宋体"/>
                <w:color w:val="auto"/>
                <w:spacing w:val="11"/>
                <w:kern w:val="0"/>
                <w:sz w:val="22"/>
              </w:rPr>
              <w:t>制</w:t>
            </w:r>
            <w:r>
              <w:rPr>
                <w:rFonts w:ascii="宋体" w:hAnsi="宋体" w:cs="宋体"/>
                <w:color w:val="auto"/>
                <w:spacing w:val="11"/>
                <w:kern w:val="0"/>
                <w:sz w:val="22"/>
              </w:rPr>
              <w:t xml:space="preserve"> </w:t>
            </w:r>
            <w:r>
              <w:rPr>
                <w:rFonts w:hint="eastAsia" w:ascii="宋体" w:hAnsi="宋体" w:cs="宋体"/>
                <w:color w:val="auto"/>
                <w:spacing w:val="11"/>
                <w:kern w:val="0"/>
                <w:sz w:val="22"/>
              </w:rPr>
              <w:t>在</w:t>
            </w:r>
            <w:r>
              <w:rPr>
                <w:rFonts w:ascii="宋体" w:hAnsi="宋体" w:cs="宋体"/>
                <w:color w:val="auto"/>
                <w:kern w:val="0"/>
                <w:sz w:val="22"/>
              </w:rPr>
              <w:t>40cm</w:t>
            </w:r>
            <w:r>
              <w:rPr>
                <w:rFonts w:hint="eastAsia" w:ascii="宋体" w:hAnsi="宋体" w:cs="宋体"/>
                <w:color w:val="auto"/>
                <w:spacing w:val="28"/>
                <w:kern w:val="0"/>
                <w:sz w:val="22"/>
              </w:rPr>
              <w:t>以</w:t>
            </w:r>
            <w:r>
              <w:rPr>
                <w:rFonts w:hint="eastAsia" w:ascii="宋体" w:hAnsi="宋体" w:cs="宋体"/>
                <w:color w:val="auto"/>
                <w:kern w:val="0"/>
                <w:sz w:val="22"/>
              </w:rPr>
              <w:t>下。</w:t>
            </w:r>
          </w:p>
        </w:tc>
        <w:tc>
          <w:tcPr>
            <w:tcW w:w="696" w:type="pct"/>
            <w:vAlign w:val="center"/>
          </w:tcPr>
          <w:p>
            <w:pPr>
              <w:autoSpaceDE w:val="0"/>
              <w:autoSpaceDN w:val="0"/>
              <w:ind w:left="106" w:right="37"/>
              <w:jc w:val="center"/>
              <w:rPr>
                <w:rFonts w:ascii="宋体" w:hAnsi="宋体" w:cs="宋体"/>
                <w:color w:val="auto"/>
                <w:kern w:val="0"/>
                <w:sz w:val="22"/>
              </w:rPr>
            </w:pPr>
            <w:r>
              <w:rPr>
                <w:rFonts w:hint="eastAsia" w:ascii="宋体" w:hAnsi="宋体" w:cs="宋体"/>
                <w:color w:val="auto"/>
                <w:kern w:val="0"/>
                <w:sz w:val="22"/>
              </w:rPr>
              <w:t>无恶性杂草、绞杀性藤本植物。</w:t>
            </w:r>
          </w:p>
        </w:tc>
        <w:tc>
          <w:tcPr>
            <w:tcW w:w="706" w:type="pct"/>
            <w:vAlign w:val="center"/>
          </w:tcPr>
          <w:p>
            <w:pPr>
              <w:autoSpaceDE w:val="0"/>
              <w:autoSpaceDN w:val="0"/>
              <w:spacing w:before="155"/>
              <w:ind w:left="106" w:right="93"/>
              <w:jc w:val="center"/>
              <w:rPr>
                <w:rFonts w:ascii="宋体" w:hAnsi="宋体" w:cs="宋体"/>
                <w:color w:val="auto"/>
                <w:kern w:val="0"/>
                <w:sz w:val="22"/>
              </w:rPr>
            </w:pPr>
            <w:r>
              <w:rPr>
                <w:rFonts w:hint="eastAsia" w:ascii="宋体" w:hAnsi="宋体" w:cs="宋体"/>
                <w:color w:val="auto"/>
                <w:spacing w:val="-24"/>
                <w:kern w:val="0"/>
                <w:sz w:val="22"/>
              </w:rPr>
              <w:t>基</w:t>
            </w:r>
            <w:r>
              <w:rPr>
                <w:rFonts w:ascii="宋体" w:hAnsi="宋体" w:cs="宋体"/>
                <w:color w:val="auto"/>
                <w:spacing w:val="-24"/>
                <w:kern w:val="0"/>
                <w:sz w:val="22"/>
              </w:rPr>
              <w:t xml:space="preserve"> </w:t>
            </w:r>
            <w:r>
              <w:rPr>
                <w:rFonts w:hint="eastAsia" w:ascii="宋体" w:hAnsi="宋体" w:cs="宋体"/>
                <w:color w:val="auto"/>
                <w:spacing w:val="-24"/>
                <w:kern w:val="0"/>
                <w:sz w:val="22"/>
              </w:rPr>
              <w:t>本</w:t>
            </w:r>
            <w:r>
              <w:rPr>
                <w:rFonts w:ascii="宋体" w:hAnsi="宋体" w:cs="宋体"/>
                <w:color w:val="auto"/>
                <w:spacing w:val="-24"/>
                <w:kern w:val="0"/>
                <w:sz w:val="22"/>
              </w:rPr>
              <w:t xml:space="preserve"> </w:t>
            </w:r>
            <w:r>
              <w:rPr>
                <w:rFonts w:hint="eastAsia" w:ascii="宋体" w:hAnsi="宋体" w:cs="宋体"/>
                <w:color w:val="auto"/>
                <w:spacing w:val="-24"/>
                <w:kern w:val="0"/>
                <w:sz w:val="22"/>
              </w:rPr>
              <w:t>无</w:t>
            </w:r>
            <w:r>
              <w:rPr>
                <w:rFonts w:ascii="宋体" w:hAnsi="宋体" w:cs="宋体"/>
                <w:color w:val="auto"/>
                <w:spacing w:val="-24"/>
                <w:kern w:val="0"/>
                <w:sz w:val="22"/>
              </w:rPr>
              <w:t xml:space="preserve"> </w:t>
            </w:r>
            <w:r>
              <w:rPr>
                <w:rFonts w:hint="eastAsia" w:ascii="宋体" w:hAnsi="宋体" w:cs="宋体"/>
                <w:color w:val="auto"/>
                <w:spacing w:val="-24"/>
                <w:kern w:val="0"/>
                <w:sz w:val="22"/>
              </w:rPr>
              <w:t>恶</w:t>
            </w:r>
            <w:r>
              <w:rPr>
                <w:rFonts w:hint="eastAsia" w:ascii="宋体" w:hAnsi="宋体" w:cs="宋体"/>
                <w:color w:val="auto"/>
                <w:spacing w:val="-11"/>
                <w:kern w:val="0"/>
                <w:sz w:val="22"/>
              </w:rPr>
              <w:t>性杂草、绞</w:t>
            </w:r>
            <w:r>
              <w:rPr>
                <w:rFonts w:hint="eastAsia" w:ascii="宋体" w:hAnsi="宋体" w:cs="宋体"/>
                <w:color w:val="auto"/>
                <w:spacing w:val="-24"/>
                <w:kern w:val="0"/>
                <w:sz w:val="22"/>
              </w:rPr>
              <w:t>杀</w:t>
            </w:r>
            <w:r>
              <w:rPr>
                <w:rFonts w:ascii="宋体" w:hAnsi="宋体" w:cs="宋体"/>
                <w:color w:val="auto"/>
                <w:spacing w:val="-24"/>
                <w:kern w:val="0"/>
                <w:sz w:val="22"/>
              </w:rPr>
              <w:t xml:space="preserve"> </w:t>
            </w:r>
            <w:r>
              <w:rPr>
                <w:rFonts w:hint="eastAsia" w:ascii="宋体" w:hAnsi="宋体" w:cs="宋体"/>
                <w:color w:val="auto"/>
                <w:spacing w:val="-24"/>
                <w:kern w:val="0"/>
                <w:sz w:val="22"/>
              </w:rPr>
              <w:t>性</w:t>
            </w:r>
            <w:r>
              <w:rPr>
                <w:rFonts w:ascii="宋体" w:hAnsi="宋体" w:cs="宋体"/>
                <w:color w:val="auto"/>
                <w:spacing w:val="-24"/>
                <w:kern w:val="0"/>
                <w:sz w:val="22"/>
              </w:rPr>
              <w:t xml:space="preserve"> </w:t>
            </w:r>
            <w:r>
              <w:rPr>
                <w:rFonts w:hint="eastAsia" w:ascii="宋体" w:hAnsi="宋体" w:cs="宋体"/>
                <w:color w:val="auto"/>
                <w:spacing w:val="-24"/>
                <w:kern w:val="0"/>
                <w:sz w:val="22"/>
              </w:rPr>
              <w:t>藤</w:t>
            </w:r>
            <w:r>
              <w:rPr>
                <w:rFonts w:ascii="宋体" w:hAnsi="宋体" w:cs="宋体"/>
                <w:color w:val="auto"/>
                <w:spacing w:val="-24"/>
                <w:kern w:val="0"/>
                <w:sz w:val="22"/>
              </w:rPr>
              <w:t xml:space="preserve"> </w:t>
            </w:r>
            <w:r>
              <w:rPr>
                <w:rFonts w:hint="eastAsia" w:ascii="宋体" w:hAnsi="宋体" w:cs="宋体"/>
                <w:color w:val="auto"/>
                <w:spacing w:val="-24"/>
                <w:kern w:val="0"/>
                <w:sz w:val="22"/>
              </w:rPr>
              <w:t>本</w:t>
            </w:r>
            <w:r>
              <w:rPr>
                <w:rFonts w:hint="eastAsia" w:ascii="宋体" w:hAnsi="宋体" w:cs="宋体"/>
                <w:color w:val="auto"/>
                <w:kern w:val="0"/>
                <w:sz w:val="22"/>
              </w:rPr>
              <w:t>植物。</w:t>
            </w:r>
          </w:p>
        </w:tc>
        <w:tc>
          <w:tcPr>
            <w:tcW w:w="706" w:type="pct"/>
            <w:vAlign w:val="center"/>
          </w:tcPr>
          <w:p>
            <w:pPr>
              <w:autoSpaceDE w:val="0"/>
              <w:autoSpaceDN w:val="0"/>
              <w:ind w:left="105" w:right="40"/>
              <w:jc w:val="center"/>
              <w:rPr>
                <w:rFonts w:ascii="宋体" w:hAnsi="宋体" w:cs="宋体"/>
                <w:color w:val="auto"/>
                <w:kern w:val="0"/>
                <w:sz w:val="22"/>
              </w:rPr>
            </w:pPr>
            <w:r>
              <w:rPr>
                <w:rFonts w:hint="eastAsia" w:ascii="宋体" w:hAnsi="宋体" w:cs="宋体"/>
                <w:color w:val="auto"/>
                <w:kern w:val="0"/>
                <w:sz w:val="22"/>
              </w:rPr>
              <w:t>无恶性杂草、绞杀性藤本植物。</w:t>
            </w:r>
          </w:p>
        </w:tc>
        <w:tc>
          <w:tcPr>
            <w:tcW w:w="703" w:type="pct"/>
            <w:vAlign w:val="center"/>
          </w:tcPr>
          <w:p>
            <w:pPr>
              <w:autoSpaceDE w:val="0"/>
              <w:autoSpaceDN w:val="0"/>
              <w:spacing w:before="155"/>
              <w:ind w:left="104" w:right="38"/>
              <w:jc w:val="center"/>
              <w:rPr>
                <w:rFonts w:ascii="宋体" w:hAnsi="宋体" w:cs="宋体"/>
                <w:color w:val="auto"/>
                <w:kern w:val="0"/>
                <w:sz w:val="22"/>
              </w:rPr>
            </w:pPr>
            <w:r>
              <w:rPr>
                <w:rFonts w:hint="eastAsia" w:ascii="宋体" w:hAnsi="宋体" w:cs="宋体"/>
                <w:color w:val="auto"/>
                <w:kern w:val="0"/>
                <w:sz w:val="22"/>
              </w:rPr>
              <w:t>基本无恶性杂草、绞杀性藤本植物。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627" w:type="pct"/>
            <w:vAlign w:val="center"/>
          </w:tcPr>
          <w:p>
            <w:pPr>
              <w:autoSpaceDE w:val="0"/>
              <w:autoSpaceDN w:val="0"/>
              <w:ind w:left="233" w:right="222"/>
              <w:jc w:val="center"/>
              <w:rPr>
                <w:rFonts w:ascii="宋体" w:hAnsi="宋体" w:cs="宋体"/>
                <w:color w:val="auto"/>
                <w:kern w:val="0"/>
                <w:sz w:val="22"/>
              </w:rPr>
            </w:pPr>
            <w:r>
              <w:rPr>
                <w:rFonts w:hint="eastAsia" w:ascii="宋体" w:hAnsi="宋体" w:cs="宋体"/>
                <w:color w:val="auto"/>
                <w:kern w:val="0"/>
                <w:sz w:val="22"/>
              </w:rPr>
              <w:t>防灾减灾</w:t>
            </w:r>
          </w:p>
        </w:tc>
        <w:tc>
          <w:tcPr>
            <w:tcW w:w="844" w:type="pct"/>
            <w:vAlign w:val="center"/>
          </w:tcPr>
          <w:p>
            <w:pPr>
              <w:autoSpaceDE w:val="0"/>
              <w:autoSpaceDN w:val="0"/>
              <w:ind w:left="107" w:right="37"/>
              <w:jc w:val="center"/>
              <w:rPr>
                <w:rFonts w:ascii="宋体" w:hAnsi="宋体" w:cs="宋体"/>
                <w:color w:val="auto"/>
                <w:kern w:val="0"/>
                <w:sz w:val="22"/>
              </w:rPr>
            </w:pPr>
            <w:r>
              <w:rPr>
                <w:rFonts w:hint="eastAsia" w:ascii="宋体" w:hAnsi="宋体" w:cs="宋体"/>
                <w:color w:val="auto"/>
                <w:spacing w:val="45"/>
                <w:kern w:val="0"/>
                <w:sz w:val="22"/>
              </w:rPr>
              <w:t>警示标志完备、整</w:t>
            </w:r>
            <w:r>
              <w:rPr>
                <w:rFonts w:hint="eastAsia" w:ascii="宋体" w:hAnsi="宋体" w:cs="宋体"/>
                <w:color w:val="auto"/>
                <w:kern w:val="0"/>
                <w:sz w:val="22"/>
              </w:rPr>
              <w:t>洁；防灾减</w:t>
            </w:r>
            <w:r>
              <w:rPr>
                <w:rFonts w:hint="eastAsia" w:ascii="宋体" w:hAnsi="宋体" w:cs="宋体"/>
                <w:color w:val="auto"/>
                <w:spacing w:val="10"/>
                <w:w w:val="95"/>
                <w:kern w:val="0"/>
                <w:sz w:val="22"/>
              </w:rPr>
              <w:t>灾设施</w:t>
            </w:r>
            <w:r>
              <w:rPr>
                <w:rFonts w:ascii="宋体" w:hAnsi="宋体" w:cs="宋体"/>
                <w:color w:val="auto"/>
                <w:spacing w:val="10"/>
                <w:w w:val="90"/>
                <w:kern w:val="0"/>
                <w:sz w:val="22"/>
              </w:rPr>
              <w:t>(</w:t>
            </w:r>
            <w:r>
              <w:rPr>
                <w:rFonts w:hint="eastAsia" w:ascii="宋体" w:hAnsi="宋体" w:cs="宋体"/>
                <w:color w:val="auto"/>
                <w:spacing w:val="12"/>
                <w:w w:val="95"/>
                <w:kern w:val="0"/>
                <w:sz w:val="22"/>
              </w:rPr>
              <w:t>备</w:t>
            </w:r>
            <w:r>
              <w:rPr>
                <w:rFonts w:ascii="宋体" w:hAnsi="宋体" w:cs="宋体"/>
                <w:color w:val="auto"/>
                <w:w w:val="90"/>
                <w:kern w:val="0"/>
                <w:sz w:val="22"/>
              </w:rPr>
              <w:t xml:space="preserve">) </w:t>
            </w:r>
            <w:r>
              <w:rPr>
                <w:rFonts w:hint="eastAsia" w:ascii="宋体" w:hAnsi="宋体" w:cs="宋体"/>
                <w:color w:val="auto"/>
                <w:spacing w:val="-1"/>
                <w:kern w:val="0"/>
                <w:sz w:val="22"/>
              </w:rPr>
              <w:t>功能完善；</w:t>
            </w:r>
            <w:r>
              <w:rPr>
                <w:rFonts w:ascii="宋体" w:hAnsi="宋体" w:cs="宋体"/>
                <w:color w:val="auto"/>
                <w:spacing w:val="-1"/>
                <w:kern w:val="0"/>
                <w:sz w:val="22"/>
              </w:rPr>
              <w:t xml:space="preserve"> </w:t>
            </w:r>
            <w:r>
              <w:rPr>
                <w:rFonts w:hint="eastAsia" w:ascii="宋体" w:hAnsi="宋体" w:cs="宋体"/>
                <w:color w:val="auto"/>
                <w:spacing w:val="45"/>
                <w:kern w:val="0"/>
                <w:sz w:val="22"/>
              </w:rPr>
              <w:t>防灾预案</w:t>
            </w:r>
            <w:r>
              <w:rPr>
                <w:rFonts w:hint="eastAsia" w:ascii="宋体" w:hAnsi="宋体" w:cs="宋体"/>
                <w:color w:val="auto"/>
                <w:spacing w:val="-1"/>
                <w:kern w:val="0"/>
                <w:sz w:val="22"/>
              </w:rPr>
              <w:t>详细完整。</w:t>
            </w:r>
          </w:p>
        </w:tc>
        <w:tc>
          <w:tcPr>
            <w:tcW w:w="718" w:type="pct"/>
            <w:vAlign w:val="center"/>
          </w:tcPr>
          <w:p>
            <w:pPr>
              <w:autoSpaceDE w:val="0"/>
              <w:autoSpaceDN w:val="0"/>
              <w:spacing w:before="139"/>
              <w:ind w:left="107" w:right="94"/>
              <w:jc w:val="center"/>
              <w:rPr>
                <w:rFonts w:ascii="宋体" w:hAnsi="宋体" w:cs="宋体"/>
                <w:color w:val="auto"/>
                <w:kern w:val="0"/>
                <w:sz w:val="22"/>
              </w:rPr>
            </w:pPr>
            <w:r>
              <w:rPr>
                <w:rFonts w:hint="eastAsia" w:ascii="宋体" w:hAnsi="宋体" w:cs="宋体"/>
                <w:color w:val="auto"/>
                <w:spacing w:val="-24"/>
                <w:kern w:val="0"/>
                <w:sz w:val="22"/>
              </w:rPr>
              <w:t>警</w:t>
            </w:r>
            <w:r>
              <w:rPr>
                <w:rFonts w:ascii="宋体" w:hAnsi="宋体" w:cs="宋体"/>
                <w:color w:val="auto"/>
                <w:spacing w:val="-24"/>
                <w:kern w:val="0"/>
                <w:sz w:val="22"/>
              </w:rPr>
              <w:t xml:space="preserve"> </w:t>
            </w:r>
            <w:r>
              <w:rPr>
                <w:rFonts w:hint="eastAsia" w:ascii="宋体" w:hAnsi="宋体" w:cs="宋体"/>
                <w:color w:val="auto"/>
                <w:spacing w:val="-24"/>
                <w:kern w:val="0"/>
                <w:sz w:val="22"/>
              </w:rPr>
              <w:t>示</w:t>
            </w:r>
            <w:r>
              <w:rPr>
                <w:rFonts w:ascii="宋体" w:hAnsi="宋体" w:cs="宋体"/>
                <w:color w:val="auto"/>
                <w:spacing w:val="-24"/>
                <w:kern w:val="0"/>
                <w:sz w:val="22"/>
              </w:rPr>
              <w:t xml:space="preserve"> </w:t>
            </w:r>
            <w:r>
              <w:rPr>
                <w:rFonts w:hint="eastAsia" w:ascii="宋体" w:hAnsi="宋体" w:cs="宋体"/>
                <w:color w:val="auto"/>
                <w:spacing w:val="-24"/>
                <w:kern w:val="0"/>
                <w:sz w:val="22"/>
              </w:rPr>
              <w:t>标</w:t>
            </w:r>
            <w:r>
              <w:rPr>
                <w:rFonts w:ascii="宋体" w:hAnsi="宋体" w:cs="宋体"/>
                <w:color w:val="auto"/>
                <w:spacing w:val="-24"/>
                <w:kern w:val="0"/>
                <w:sz w:val="22"/>
              </w:rPr>
              <w:t xml:space="preserve"> </w:t>
            </w:r>
            <w:r>
              <w:rPr>
                <w:rFonts w:hint="eastAsia" w:ascii="宋体" w:hAnsi="宋体" w:cs="宋体"/>
                <w:color w:val="auto"/>
                <w:spacing w:val="-24"/>
                <w:kern w:val="0"/>
                <w:sz w:val="22"/>
              </w:rPr>
              <w:t>志</w:t>
            </w:r>
            <w:r>
              <w:rPr>
                <w:rFonts w:hint="eastAsia" w:ascii="宋体" w:hAnsi="宋体" w:cs="宋体"/>
                <w:color w:val="auto"/>
                <w:spacing w:val="-12"/>
                <w:kern w:val="0"/>
                <w:sz w:val="22"/>
              </w:rPr>
              <w:t>完好；防灾</w:t>
            </w:r>
            <w:r>
              <w:rPr>
                <w:rFonts w:hint="eastAsia" w:ascii="宋体" w:hAnsi="宋体" w:cs="宋体"/>
                <w:color w:val="auto"/>
                <w:spacing w:val="-24"/>
                <w:kern w:val="0"/>
                <w:sz w:val="22"/>
              </w:rPr>
              <w:t>减</w:t>
            </w:r>
            <w:r>
              <w:rPr>
                <w:rFonts w:ascii="宋体" w:hAnsi="宋体" w:cs="宋体"/>
                <w:color w:val="auto"/>
                <w:spacing w:val="-24"/>
                <w:kern w:val="0"/>
                <w:sz w:val="22"/>
              </w:rPr>
              <w:t xml:space="preserve"> </w:t>
            </w:r>
            <w:r>
              <w:rPr>
                <w:rFonts w:hint="eastAsia" w:ascii="宋体" w:hAnsi="宋体" w:cs="宋体"/>
                <w:color w:val="auto"/>
                <w:spacing w:val="-24"/>
                <w:kern w:val="0"/>
                <w:sz w:val="22"/>
              </w:rPr>
              <w:t>灾</w:t>
            </w:r>
            <w:r>
              <w:rPr>
                <w:rFonts w:ascii="宋体" w:hAnsi="宋体" w:cs="宋体"/>
                <w:color w:val="auto"/>
                <w:spacing w:val="-24"/>
                <w:kern w:val="0"/>
                <w:sz w:val="22"/>
              </w:rPr>
              <w:t xml:space="preserve"> </w:t>
            </w:r>
            <w:r>
              <w:rPr>
                <w:rFonts w:hint="eastAsia" w:ascii="宋体" w:hAnsi="宋体" w:cs="宋体"/>
                <w:color w:val="auto"/>
                <w:spacing w:val="-24"/>
                <w:kern w:val="0"/>
                <w:sz w:val="22"/>
              </w:rPr>
              <w:t>设</w:t>
            </w:r>
            <w:r>
              <w:rPr>
                <w:rFonts w:ascii="宋体" w:hAnsi="宋体" w:cs="宋体"/>
                <w:color w:val="auto"/>
                <w:spacing w:val="-24"/>
                <w:kern w:val="0"/>
                <w:sz w:val="22"/>
              </w:rPr>
              <w:t xml:space="preserve"> </w:t>
            </w:r>
            <w:r>
              <w:rPr>
                <w:rFonts w:hint="eastAsia" w:ascii="宋体" w:hAnsi="宋体" w:cs="宋体"/>
                <w:color w:val="auto"/>
                <w:spacing w:val="-24"/>
                <w:kern w:val="0"/>
                <w:sz w:val="22"/>
              </w:rPr>
              <w:t>施</w:t>
            </w:r>
            <w:r>
              <w:rPr>
                <w:rFonts w:ascii="宋体" w:hAnsi="宋体" w:cs="宋体"/>
                <w:color w:val="auto"/>
                <w:spacing w:val="5"/>
                <w:w w:val="90"/>
                <w:kern w:val="0"/>
                <w:sz w:val="22"/>
              </w:rPr>
              <w:t>(</w:t>
            </w:r>
            <w:r>
              <w:rPr>
                <w:rFonts w:hint="eastAsia" w:ascii="宋体" w:hAnsi="宋体" w:cs="宋体"/>
                <w:color w:val="auto"/>
                <w:spacing w:val="5"/>
                <w:w w:val="90"/>
                <w:kern w:val="0"/>
                <w:sz w:val="22"/>
              </w:rPr>
              <w:t>备</w:t>
            </w:r>
            <w:r>
              <w:rPr>
                <w:rFonts w:ascii="宋体" w:hAnsi="宋体" w:cs="宋体"/>
                <w:color w:val="auto"/>
                <w:spacing w:val="5"/>
                <w:w w:val="90"/>
                <w:kern w:val="0"/>
                <w:sz w:val="22"/>
              </w:rPr>
              <w:t>)</w:t>
            </w:r>
            <w:r>
              <w:rPr>
                <w:rFonts w:hint="eastAsia" w:ascii="宋体" w:hAnsi="宋体" w:cs="宋体"/>
                <w:color w:val="auto"/>
                <w:spacing w:val="5"/>
                <w:w w:val="90"/>
                <w:kern w:val="0"/>
                <w:sz w:val="22"/>
              </w:rPr>
              <w:t>正常；</w:t>
            </w:r>
            <w:r>
              <w:rPr>
                <w:rFonts w:ascii="宋体" w:hAnsi="宋体" w:cs="宋体"/>
                <w:color w:val="auto"/>
                <w:spacing w:val="5"/>
                <w:w w:val="90"/>
                <w:kern w:val="0"/>
                <w:sz w:val="22"/>
              </w:rPr>
              <w:t xml:space="preserve"> </w:t>
            </w:r>
            <w:r>
              <w:rPr>
                <w:rFonts w:hint="eastAsia" w:ascii="宋体" w:hAnsi="宋体" w:cs="宋体"/>
                <w:color w:val="auto"/>
                <w:spacing w:val="-24"/>
                <w:kern w:val="0"/>
                <w:sz w:val="22"/>
              </w:rPr>
              <w:t>有</w:t>
            </w:r>
            <w:r>
              <w:rPr>
                <w:rFonts w:ascii="宋体" w:hAnsi="宋体" w:cs="宋体"/>
                <w:color w:val="auto"/>
                <w:spacing w:val="-24"/>
                <w:kern w:val="0"/>
                <w:sz w:val="22"/>
              </w:rPr>
              <w:t xml:space="preserve"> </w:t>
            </w:r>
            <w:r>
              <w:rPr>
                <w:rFonts w:hint="eastAsia" w:ascii="宋体" w:hAnsi="宋体" w:cs="宋体"/>
                <w:color w:val="auto"/>
                <w:spacing w:val="-24"/>
                <w:kern w:val="0"/>
                <w:sz w:val="22"/>
              </w:rPr>
              <w:t>防</w:t>
            </w:r>
            <w:r>
              <w:rPr>
                <w:rFonts w:ascii="宋体" w:hAnsi="宋体" w:cs="宋体"/>
                <w:color w:val="auto"/>
                <w:spacing w:val="-24"/>
                <w:kern w:val="0"/>
                <w:sz w:val="22"/>
              </w:rPr>
              <w:t xml:space="preserve"> </w:t>
            </w:r>
            <w:r>
              <w:rPr>
                <w:rFonts w:hint="eastAsia" w:ascii="宋体" w:hAnsi="宋体" w:cs="宋体"/>
                <w:color w:val="auto"/>
                <w:spacing w:val="-24"/>
                <w:kern w:val="0"/>
                <w:sz w:val="22"/>
              </w:rPr>
              <w:t>灾</w:t>
            </w:r>
            <w:r>
              <w:rPr>
                <w:rFonts w:ascii="宋体" w:hAnsi="宋体" w:cs="宋体"/>
                <w:color w:val="auto"/>
                <w:spacing w:val="-24"/>
                <w:kern w:val="0"/>
                <w:sz w:val="22"/>
              </w:rPr>
              <w:t xml:space="preserve"> </w:t>
            </w:r>
            <w:r>
              <w:rPr>
                <w:rFonts w:hint="eastAsia" w:ascii="宋体" w:hAnsi="宋体" w:cs="宋体"/>
                <w:color w:val="auto"/>
                <w:spacing w:val="-24"/>
                <w:kern w:val="0"/>
                <w:sz w:val="22"/>
              </w:rPr>
              <w:t>预</w:t>
            </w:r>
            <w:r>
              <w:rPr>
                <w:rFonts w:hint="eastAsia" w:ascii="宋体" w:hAnsi="宋体" w:cs="宋体"/>
                <w:color w:val="auto"/>
                <w:kern w:val="0"/>
                <w:sz w:val="22"/>
              </w:rPr>
              <w:t>案。</w:t>
            </w:r>
          </w:p>
        </w:tc>
        <w:tc>
          <w:tcPr>
            <w:tcW w:w="696" w:type="pct"/>
            <w:vAlign w:val="center"/>
          </w:tcPr>
          <w:p>
            <w:pPr>
              <w:autoSpaceDE w:val="0"/>
              <w:autoSpaceDN w:val="0"/>
              <w:ind w:left="106" w:right="37"/>
              <w:jc w:val="center"/>
              <w:rPr>
                <w:rFonts w:ascii="宋体" w:hAnsi="宋体" w:cs="宋体"/>
                <w:color w:val="auto"/>
                <w:kern w:val="0"/>
                <w:sz w:val="22"/>
              </w:rPr>
            </w:pPr>
            <w:r>
              <w:rPr>
                <w:rFonts w:hint="eastAsia" w:ascii="宋体" w:hAnsi="宋体" w:cs="宋体"/>
                <w:color w:val="auto"/>
                <w:spacing w:val="45"/>
                <w:kern w:val="0"/>
                <w:sz w:val="22"/>
              </w:rPr>
              <w:t>警示标志完备、整</w:t>
            </w:r>
            <w:r>
              <w:rPr>
                <w:rFonts w:hint="eastAsia" w:ascii="宋体" w:hAnsi="宋体" w:cs="宋体"/>
                <w:color w:val="auto"/>
                <w:kern w:val="0"/>
                <w:sz w:val="22"/>
              </w:rPr>
              <w:t>洁；防灾减</w:t>
            </w:r>
            <w:r>
              <w:rPr>
                <w:rFonts w:hint="eastAsia" w:ascii="宋体" w:hAnsi="宋体" w:cs="宋体"/>
                <w:color w:val="auto"/>
                <w:spacing w:val="10"/>
                <w:w w:val="95"/>
                <w:kern w:val="0"/>
                <w:sz w:val="22"/>
              </w:rPr>
              <w:t>灾设施</w:t>
            </w:r>
            <w:r>
              <w:rPr>
                <w:rFonts w:ascii="宋体" w:hAnsi="宋体" w:cs="宋体"/>
                <w:color w:val="auto"/>
                <w:spacing w:val="9"/>
                <w:w w:val="90"/>
                <w:kern w:val="0"/>
                <w:sz w:val="22"/>
              </w:rPr>
              <w:t>(</w:t>
            </w:r>
            <w:r>
              <w:rPr>
                <w:rFonts w:hint="eastAsia" w:ascii="宋体" w:hAnsi="宋体" w:cs="宋体"/>
                <w:color w:val="auto"/>
                <w:spacing w:val="12"/>
                <w:w w:val="95"/>
                <w:kern w:val="0"/>
                <w:sz w:val="22"/>
              </w:rPr>
              <w:t>备</w:t>
            </w:r>
            <w:r>
              <w:rPr>
                <w:rFonts w:ascii="宋体" w:hAnsi="宋体" w:cs="宋体"/>
                <w:color w:val="auto"/>
                <w:w w:val="90"/>
                <w:kern w:val="0"/>
                <w:sz w:val="22"/>
              </w:rPr>
              <w:t xml:space="preserve">) </w:t>
            </w:r>
            <w:r>
              <w:rPr>
                <w:rFonts w:hint="eastAsia" w:ascii="宋体" w:hAnsi="宋体" w:cs="宋体"/>
                <w:color w:val="auto"/>
                <w:spacing w:val="-1"/>
                <w:kern w:val="0"/>
                <w:sz w:val="22"/>
              </w:rPr>
              <w:t>功能完善；</w:t>
            </w:r>
            <w:r>
              <w:rPr>
                <w:rFonts w:ascii="宋体" w:hAnsi="宋体" w:cs="宋体"/>
                <w:color w:val="auto"/>
                <w:spacing w:val="-1"/>
                <w:kern w:val="0"/>
                <w:sz w:val="22"/>
              </w:rPr>
              <w:t xml:space="preserve"> </w:t>
            </w:r>
            <w:r>
              <w:rPr>
                <w:rFonts w:hint="eastAsia" w:ascii="宋体" w:hAnsi="宋体" w:cs="宋体"/>
                <w:color w:val="auto"/>
                <w:spacing w:val="45"/>
                <w:kern w:val="0"/>
                <w:sz w:val="22"/>
              </w:rPr>
              <w:t>防灾预案</w:t>
            </w:r>
            <w:r>
              <w:rPr>
                <w:rFonts w:hint="eastAsia" w:ascii="宋体" w:hAnsi="宋体" w:cs="宋体"/>
                <w:color w:val="auto"/>
                <w:spacing w:val="-1"/>
                <w:kern w:val="0"/>
                <w:sz w:val="22"/>
              </w:rPr>
              <w:t>详细完整。</w:t>
            </w:r>
          </w:p>
        </w:tc>
        <w:tc>
          <w:tcPr>
            <w:tcW w:w="706" w:type="pct"/>
            <w:vAlign w:val="center"/>
          </w:tcPr>
          <w:p>
            <w:pPr>
              <w:autoSpaceDE w:val="0"/>
              <w:autoSpaceDN w:val="0"/>
              <w:spacing w:before="139"/>
              <w:ind w:left="106" w:right="93"/>
              <w:jc w:val="center"/>
              <w:rPr>
                <w:rFonts w:ascii="宋体" w:hAnsi="宋体" w:cs="宋体"/>
                <w:color w:val="auto"/>
                <w:kern w:val="0"/>
                <w:sz w:val="22"/>
              </w:rPr>
            </w:pPr>
            <w:r>
              <w:rPr>
                <w:rFonts w:hint="eastAsia" w:ascii="宋体" w:hAnsi="宋体" w:cs="宋体"/>
                <w:color w:val="auto"/>
                <w:spacing w:val="-24"/>
                <w:kern w:val="0"/>
                <w:sz w:val="22"/>
              </w:rPr>
              <w:t>警</w:t>
            </w:r>
            <w:r>
              <w:rPr>
                <w:rFonts w:ascii="宋体" w:hAnsi="宋体" w:cs="宋体"/>
                <w:color w:val="auto"/>
                <w:spacing w:val="-24"/>
                <w:kern w:val="0"/>
                <w:sz w:val="22"/>
              </w:rPr>
              <w:t xml:space="preserve"> </w:t>
            </w:r>
            <w:r>
              <w:rPr>
                <w:rFonts w:hint="eastAsia" w:ascii="宋体" w:hAnsi="宋体" w:cs="宋体"/>
                <w:color w:val="auto"/>
                <w:spacing w:val="-24"/>
                <w:kern w:val="0"/>
                <w:sz w:val="22"/>
              </w:rPr>
              <w:t>示</w:t>
            </w:r>
            <w:r>
              <w:rPr>
                <w:rFonts w:ascii="宋体" w:hAnsi="宋体" w:cs="宋体"/>
                <w:color w:val="auto"/>
                <w:spacing w:val="-24"/>
                <w:kern w:val="0"/>
                <w:sz w:val="22"/>
              </w:rPr>
              <w:t xml:space="preserve"> </w:t>
            </w:r>
            <w:r>
              <w:rPr>
                <w:rFonts w:hint="eastAsia" w:ascii="宋体" w:hAnsi="宋体" w:cs="宋体"/>
                <w:color w:val="auto"/>
                <w:spacing w:val="-24"/>
                <w:kern w:val="0"/>
                <w:sz w:val="22"/>
              </w:rPr>
              <w:t>标</w:t>
            </w:r>
            <w:r>
              <w:rPr>
                <w:rFonts w:ascii="宋体" w:hAnsi="宋体" w:cs="宋体"/>
                <w:color w:val="auto"/>
                <w:spacing w:val="-24"/>
                <w:kern w:val="0"/>
                <w:sz w:val="22"/>
              </w:rPr>
              <w:t xml:space="preserve"> </w:t>
            </w:r>
            <w:r>
              <w:rPr>
                <w:rFonts w:hint="eastAsia" w:ascii="宋体" w:hAnsi="宋体" w:cs="宋体"/>
                <w:color w:val="auto"/>
                <w:spacing w:val="-24"/>
                <w:kern w:val="0"/>
                <w:sz w:val="22"/>
              </w:rPr>
              <w:t>志</w:t>
            </w:r>
            <w:r>
              <w:rPr>
                <w:rFonts w:hint="eastAsia" w:ascii="宋体" w:hAnsi="宋体" w:cs="宋体"/>
                <w:color w:val="auto"/>
                <w:spacing w:val="-12"/>
                <w:kern w:val="0"/>
                <w:sz w:val="22"/>
              </w:rPr>
              <w:t>完好；防灾</w:t>
            </w:r>
            <w:r>
              <w:rPr>
                <w:rFonts w:hint="eastAsia" w:ascii="宋体" w:hAnsi="宋体" w:cs="宋体"/>
                <w:color w:val="auto"/>
                <w:spacing w:val="-24"/>
                <w:kern w:val="0"/>
                <w:sz w:val="22"/>
              </w:rPr>
              <w:t>减</w:t>
            </w:r>
            <w:r>
              <w:rPr>
                <w:rFonts w:ascii="宋体" w:hAnsi="宋体" w:cs="宋体"/>
                <w:color w:val="auto"/>
                <w:spacing w:val="-24"/>
                <w:kern w:val="0"/>
                <w:sz w:val="22"/>
              </w:rPr>
              <w:t xml:space="preserve"> </w:t>
            </w:r>
            <w:r>
              <w:rPr>
                <w:rFonts w:hint="eastAsia" w:ascii="宋体" w:hAnsi="宋体" w:cs="宋体"/>
                <w:color w:val="auto"/>
                <w:spacing w:val="-24"/>
                <w:kern w:val="0"/>
                <w:sz w:val="22"/>
              </w:rPr>
              <w:t>灾</w:t>
            </w:r>
            <w:r>
              <w:rPr>
                <w:rFonts w:ascii="宋体" w:hAnsi="宋体" w:cs="宋体"/>
                <w:color w:val="auto"/>
                <w:spacing w:val="-24"/>
                <w:kern w:val="0"/>
                <w:sz w:val="22"/>
              </w:rPr>
              <w:t xml:space="preserve"> </w:t>
            </w:r>
            <w:r>
              <w:rPr>
                <w:rFonts w:hint="eastAsia" w:ascii="宋体" w:hAnsi="宋体" w:cs="宋体"/>
                <w:color w:val="auto"/>
                <w:spacing w:val="-24"/>
                <w:kern w:val="0"/>
                <w:sz w:val="22"/>
              </w:rPr>
              <w:t>设</w:t>
            </w:r>
            <w:r>
              <w:rPr>
                <w:rFonts w:ascii="宋体" w:hAnsi="宋体" w:cs="宋体"/>
                <w:color w:val="auto"/>
                <w:spacing w:val="-24"/>
                <w:kern w:val="0"/>
                <w:sz w:val="22"/>
              </w:rPr>
              <w:t xml:space="preserve"> </w:t>
            </w:r>
            <w:r>
              <w:rPr>
                <w:rFonts w:hint="eastAsia" w:ascii="宋体" w:hAnsi="宋体" w:cs="宋体"/>
                <w:color w:val="auto"/>
                <w:spacing w:val="-24"/>
                <w:kern w:val="0"/>
                <w:sz w:val="22"/>
              </w:rPr>
              <w:t>施</w:t>
            </w:r>
            <w:r>
              <w:rPr>
                <w:rFonts w:ascii="宋体" w:hAnsi="宋体" w:cs="宋体"/>
                <w:color w:val="auto"/>
                <w:spacing w:val="5"/>
                <w:w w:val="90"/>
                <w:kern w:val="0"/>
                <w:sz w:val="22"/>
              </w:rPr>
              <w:t>(</w:t>
            </w:r>
            <w:r>
              <w:rPr>
                <w:rFonts w:hint="eastAsia" w:ascii="宋体" w:hAnsi="宋体" w:cs="宋体"/>
                <w:color w:val="auto"/>
                <w:spacing w:val="5"/>
                <w:w w:val="90"/>
                <w:kern w:val="0"/>
                <w:sz w:val="22"/>
              </w:rPr>
              <w:t>备</w:t>
            </w:r>
            <w:r>
              <w:rPr>
                <w:rFonts w:ascii="宋体" w:hAnsi="宋体" w:cs="宋体"/>
                <w:color w:val="auto"/>
                <w:spacing w:val="5"/>
                <w:w w:val="90"/>
                <w:kern w:val="0"/>
                <w:sz w:val="22"/>
              </w:rPr>
              <w:t>)</w:t>
            </w:r>
            <w:r>
              <w:rPr>
                <w:rFonts w:hint="eastAsia" w:ascii="宋体" w:hAnsi="宋体" w:cs="宋体"/>
                <w:color w:val="auto"/>
                <w:spacing w:val="5"/>
                <w:w w:val="90"/>
                <w:kern w:val="0"/>
                <w:sz w:val="22"/>
              </w:rPr>
              <w:t>正常；</w:t>
            </w:r>
            <w:r>
              <w:rPr>
                <w:rFonts w:ascii="宋体" w:hAnsi="宋体" w:cs="宋体"/>
                <w:color w:val="auto"/>
                <w:spacing w:val="5"/>
                <w:w w:val="90"/>
                <w:kern w:val="0"/>
                <w:sz w:val="22"/>
              </w:rPr>
              <w:t xml:space="preserve"> </w:t>
            </w:r>
            <w:r>
              <w:rPr>
                <w:rFonts w:hint="eastAsia" w:ascii="宋体" w:hAnsi="宋体" w:cs="宋体"/>
                <w:color w:val="auto"/>
                <w:spacing w:val="-24"/>
                <w:kern w:val="0"/>
                <w:sz w:val="22"/>
              </w:rPr>
              <w:t>有</w:t>
            </w:r>
            <w:r>
              <w:rPr>
                <w:rFonts w:ascii="宋体" w:hAnsi="宋体" w:cs="宋体"/>
                <w:color w:val="auto"/>
                <w:spacing w:val="-24"/>
                <w:kern w:val="0"/>
                <w:sz w:val="22"/>
              </w:rPr>
              <w:t xml:space="preserve"> </w:t>
            </w:r>
            <w:r>
              <w:rPr>
                <w:rFonts w:hint="eastAsia" w:ascii="宋体" w:hAnsi="宋体" w:cs="宋体"/>
                <w:color w:val="auto"/>
                <w:spacing w:val="-24"/>
                <w:kern w:val="0"/>
                <w:sz w:val="22"/>
              </w:rPr>
              <w:t>防</w:t>
            </w:r>
            <w:r>
              <w:rPr>
                <w:rFonts w:ascii="宋体" w:hAnsi="宋体" w:cs="宋体"/>
                <w:color w:val="auto"/>
                <w:spacing w:val="-24"/>
                <w:kern w:val="0"/>
                <w:sz w:val="22"/>
              </w:rPr>
              <w:t xml:space="preserve"> </w:t>
            </w:r>
            <w:r>
              <w:rPr>
                <w:rFonts w:hint="eastAsia" w:ascii="宋体" w:hAnsi="宋体" w:cs="宋体"/>
                <w:color w:val="auto"/>
                <w:spacing w:val="-24"/>
                <w:kern w:val="0"/>
                <w:sz w:val="22"/>
              </w:rPr>
              <w:t>灾</w:t>
            </w:r>
            <w:r>
              <w:rPr>
                <w:rFonts w:ascii="宋体" w:hAnsi="宋体" w:cs="宋体"/>
                <w:color w:val="auto"/>
                <w:spacing w:val="-24"/>
                <w:kern w:val="0"/>
                <w:sz w:val="22"/>
              </w:rPr>
              <w:t xml:space="preserve"> </w:t>
            </w:r>
            <w:r>
              <w:rPr>
                <w:rFonts w:hint="eastAsia" w:ascii="宋体" w:hAnsi="宋体" w:cs="宋体"/>
                <w:color w:val="auto"/>
                <w:spacing w:val="-24"/>
                <w:kern w:val="0"/>
                <w:sz w:val="22"/>
              </w:rPr>
              <w:t>预</w:t>
            </w:r>
            <w:r>
              <w:rPr>
                <w:rFonts w:hint="eastAsia" w:ascii="宋体" w:hAnsi="宋体" w:cs="宋体"/>
                <w:color w:val="auto"/>
                <w:kern w:val="0"/>
                <w:sz w:val="22"/>
              </w:rPr>
              <w:t>案。</w:t>
            </w:r>
          </w:p>
        </w:tc>
        <w:tc>
          <w:tcPr>
            <w:tcW w:w="706" w:type="pct"/>
            <w:vAlign w:val="center"/>
          </w:tcPr>
          <w:p>
            <w:pPr>
              <w:autoSpaceDE w:val="0"/>
              <w:autoSpaceDN w:val="0"/>
              <w:ind w:left="105" w:right="40"/>
              <w:jc w:val="center"/>
              <w:rPr>
                <w:rFonts w:ascii="宋体" w:hAnsi="宋体" w:cs="宋体"/>
                <w:color w:val="auto"/>
                <w:kern w:val="0"/>
                <w:sz w:val="22"/>
              </w:rPr>
            </w:pPr>
            <w:r>
              <w:rPr>
                <w:rFonts w:hint="eastAsia" w:ascii="宋体" w:hAnsi="宋体" w:cs="宋体"/>
                <w:color w:val="auto"/>
                <w:spacing w:val="45"/>
                <w:kern w:val="0"/>
                <w:sz w:val="22"/>
              </w:rPr>
              <w:t>警示标志完备、整</w:t>
            </w:r>
            <w:r>
              <w:rPr>
                <w:rFonts w:hint="eastAsia" w:ascii="宋体" w:hAnsi="宋体" w:cs="宋体"/>
                <w:color w:val="auto"/>
                <w:kern w:val="0"/>
                <w:sz w:val="22"/>
              </w:rPr>
              <w:t>洁；防灾减</w:t>
            </w:r>
            <w:r>
              <w:rPr>
                <w:rFonts w:hint="eastAsia" w:ascii="宋体" w:hAnsi="宋体" w:cs="宋体"/>
                <w:color w:val="auto"/>
                <w:spacing w:val="10"/>
                <w:w w:val="95"/>
                <w:kern w:val="0"/>
                <w:sz w:val="22"/>
              </w:rPr>
              <w:t>灾设施</w:t>
            </w:r>
            <w:r>
              <w:rPr>
                <w:rFonts w:ascii="宋体" w:hAnsi="宋体" w:cs="宋体"/>
                <w:color w:val="auto"/>
                <w:spacing w:val="9"/>
                <w:w w:val="90"/>
                <w:kern w:val="0"/>
                <w:sz w:val="22"/>
              </w:rPr>
              <w:t>(</w:t>
            </w:r>
            <w:r>
              <w:rPr>
                <w:rFonts w:hint="eastAsia" w:ascii="宋体" w:hAnsi="宋体" w:cs="宋体"/>
                <w:color w:val="auto"/>
                <w:spacing w:val="12"/>
                <w:w w:val="95"/>
                <w:kern w:val="0"/>
                <w:sz w:val="22"/>
              </w:rPr>
              <w:t>备</w:t>
            </w:r>
            <w:r>
              <w:rPr>
                <w:rFonts w:ascii="宋体" w:hAnsi="宋体" w:cs="宋体"/>
                <w:color w:val="auto"/>
                <w:w w:val="90"/>
                <w:kern w:val="0"/>
                <w:sz w:val="22"/>
              </w:rPr>
              <w:t xml:space="preserve">) </w:t>
            </w:r>
            <w:r>
              <w:rPr>
                <w:rFonts w:hint="eastAsia" w:ascii="宋体" w:hAnsi="宋体" w:cs="宋体"/>
                <w:color w:val="auto"/>
                <w:spacing w:val="-1"/>
                <w:kern w:val="0"/>
                <w:sz w:val="22"/>
              </w:rPr>
              <w:t>功能完善；</w:t>
            </w:r>
            <w:r>
              <w:rPr>
                <w:rFonts w:ascii="宋体" w:hAnsi="宋体" w:cs="宋体"/>
                <w:color w:val="auto"/>
                <w:spacing w:val="-1"/>
                <w:kern w:val="0"/>
                <w:sz w:val="22"/>
              </w:rPr>
              <w:t xml:space="preserve"> </w:t>
            </w:r>
            <w:r>
              <w:rPr>
                <w:rFonts w:hint="eastAsia" w:ascii="宋体" w:hAnsi="宋体" w:cs="宋体"/>
                <w:color w:val="auto"/>
                <w:spacing w:val="45"/>
                <w:kern w:val="0"/>
                <w:sz w:val="22"/>
              </w:rPr>
              <w:t>防灾预案</w:t>
            </w:r>
          </w:p>
          <w:p>
            <w:pPr>
              <w:autoSpaceDE w:val="0"/>
              <w:autoSpaceDN w:val="0"/>
              <w:ind w:left="105"/>
              <w:jc w:val="center"/>
              <w:rPr>
                <w:rFonts w:ascii="宋体" w:hAnsi="宋体" w:cs="宋体"/>
                <w:color w:val="auto"/>
                <w:kern w:val="0"/>
                <w:sz w:val="22"/>
              </w:rPr>
            </w:pPr>
            <w:r>
              <w:rPr>
                <w:rFonts w:hint="eastAsia" w:ascii="宋体" w:hAnsi="宋体" w:cs="宋体"/>
                <w:color w:val="auto"/>
                <w:spacing w:val="-1"/>
                <w:kern w:val="0"/>
                <w:sz w:val="22"/>
              </w:rPr>
              <w:t>详细完整。</w:t>
            </w:r>
          </w:p>
        </w:tc>
        <w:tc>
          <w:tcPr>
            <w:tcW w:w="703" w:type="pct"/>
            <w:vAlign w:val="center"/>
          </w:tcPr>
          <w:p>
            <w:pPr>
              <w:autoSpaceDE w:val="0"/>
              <w:autoSpaceDN w:val="0"/>
              <w:spacing w:before="139"/>
              <w:ind w:left="104" w:right="38"/>
              <w:jc w:val="center"/>
              <w:rPr>
                <w:rFonts w:ascii="宋体" w:hAnsi="宋体" w:cs="宋体"/>
                <w:color w:val="auto"/>
                <w:kern w:val="0"/>
                <w:sz w:val="22"/>
              </w:rPr>
            </w:pPr>
            <w:r>
              <w:rPr>
                <w:rFonts w:hint="eastAsia" w:ascii="宋体" w:hAnsi="宋体" w:cs="宋体"/>
                <w:color w:val="auto"/>
                <w:kern w:val="0"/>
                <w:sz w:val="22"/>
              </w:rPr>
              <w:t>警示标志完好；防灾减灾设施</w:t>
            </w:r>
            <w:r>
              <w:rPr>
                <w:rFonts w:ascii="宋体" w:hAnsi="宋体" w:cs="宋体"/>
                <w:color w:val="auto"/>
                <w:w w:val="90"/>
                <w:kern w:val="0"/>
                <w:sz w:val="22"/>
              </w:rPr>
              <w:t>(</w:t>
            </w:r>
            <w:r>
              <w:rPr>
                <w:rFonts w:hint="eastAsia" w:ascii="宋体" w:hAnsi="宋体" w:cs="宋体"/>
                <w:color w:val="auto"/>
                <w:w w:val="95"/>
                <w:kern w:val="0"/>
                <w:sz w:val="22"/>
              </w:rPr>
              <w:t>备</w:t>
            </w:r>
            <w:r>
              <w:rPr>
                <w:rFonts w:ascii="宋体" w:hAnsi="宋体" w:cs="宋体"/>
                <w:color w:val="auto"/>
                <w:w w:val="90"/>
                <w:kern w:val="0"/>
                <w:sz w:val="22"/>
              </w:rPr>
              <w:t>)</w:t>
            </w:r>
            <w:r>
              <w:rPr>
                <w:rFonts w:hint="eastAsia" w:ascii="宋体" w:hAnsi="宋体" w:cs="宋体"/>
                <w:color w:val="auto"/>
                <w:w w:val="95"/>
                <w:kern w:val="0"/>
                <w:sz w:val="22"/>
              </w:rPr>
              <w:t>正常；</w:t>
            </w:r>
            <w:r>
              <w:rPr>
                <w:rFonts w:ascii="宋体" w:hAnsi="宋体" w:cs="宋体"/>
                <w:color w:val="auto"/>
                <w:w w:val="95"/>
                <w:kern w:val="0"/>
                <w:sz w:val="22"/>
              </w:rPr>
              <w:t xml:space="preserve"> </w:t>
            </w:r>
            <w:r>
              <w:rPr>
                <w:rFonts w:hint="eastAsia" w:ascii="宋体" w:hAnsi="宋体" w:cs="宋体"/>
                <w:color w:val="auto"/>
                <w:kern w:val="0"/>
                <w:sz w:val="22"/>
              </w:rPr>
              <w:t>有防灾预案。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627" w:type="pct"/>
            <w:vAlign w:val="center"/>
          </w:tcPr>
          <w:p>
            <w:pPr>
              <w:autoSpaceDE w:val="0"/>
              <w:autoSpaceDN w:val="0"/>
              <w:spacing w:before="158"/>
              <w:ind w:left="233" w:right="222"/>
              <w:jc w:val="center"/>
              <w:rPr>
                <w:rFonts w:ascii="宋体" w:hAnsi="宋体" w:cs="宋体"/>
                <w:color w:val="auto"/>
                <w:kern w:val="0"/>
                <w:sz w:val="22"/>
              </w:rPr>
            </w:pPr>
            <w:r>
              <w:rPr>
                <w:rFonts w:hint="eastAsia" w:ascii="宋体" w:hAnsi="宋体" w:cs="宋体"/>
                <w:color w:val="auto"/>
                <w:kern w:val="0"/>
                <w:sz w:val="22"/>
              </w:rPr>
              <w:t>基础设施</w:t>
            </w:r>
          </w:p>
        </w:tc>
        <w:tc>
          <w:tcPr>
            <w:tcW w:w="844" w:type="pct"/>
            <w:vAlign w:val="center"/>
          </w:tcPr>
          <w:p>
            <w:pPr>
              <w:autoSpaceDE w:val="0"/>
              <w:autoSpaceDN w:val="0"/>
              <w:ind w:left="107" w:right="37"/>
              <w:jc w:val="center"/>
              <w:rPr>
                <w:rFonts w:ascii="宋体" w:hAnsi="宋体" w:cs="宋体"/>
                <w:color w:val="auto"/>
                <w:kern w:val="0"/>
                <w:sz w:val="22"/>
              </w:rPr>
            </w:pPr>
            <w:r>
              <w:rPr>
                <w:rFonts w:hint="eastAsia" w:ascii="宋体" w:hAnsi="宋体" w:cs="宋体"/>
                <w:color w:val="auto"/>
                <w:spacing w:val="45"/>
                <w:kern w:val="0"/>
                <w:sz w:val="22"/>
              </w:rPr>
              <w:t>基础设施</w:t>
            </w:r>
            <w:r>
              <w:rPr>
                <w:rFonts w:hint="eastAsia" w:ascii="宋体" w:hAnsi="宋体" w:cs="宋体"/>
                <w:color w:val="auto"/>
                <w:spacing w:val="26"/>
                <w:kern w:val="0"/>
                <w:sz w:val="22"/>
              </w:rPr>
              <w:t>功能正常；</w:t>
            </w:r>
            <w:r>
              <w:rPr>
                <w:rFonts w:ascii="宋体" w:hAnsi="宋体" w:cs="宋体"/>
                <w:color w:val="auto"/>
                <w:spacing w:val="26"/>
                <w:kern w:val="0"/>
                <w:sz w:val="22"/>
              </w:rPr>
              <w:t xml:space="preserve"> </w:t>
            </w:r>
            <w:r>
              <w:rPr>
                <w:rFonts w:hint="eastAsia" w:ascii="宋体" w:hAnsi="宋体" w:cs="宋体"/>
                <w:color w:val="auto"/>
                <w:spacing w:val="45"/>
                <w:kern w:val="0"/>
                <w:sz w:val="22"/>
              </w:rPr>
              <w:t>样地标记</w:t>
            </w:r>
            <w:r>
              <w:rPr>
                <w:rFonts w:hint="eastAsia" w:ascii="宋体" w:hAnsi="宋体" w:cs="宋体"/>
                <w:color w:val="auto"/>
                <w:spacing w:val="-1"/>
                <w:kern w:val="0"/>
                <w:sz w:val="22"/>
              </w:rPr>
              <w:t>保存良好。</w:t>
            </w:r>
          </w:p>
        </w:tc>
        <w:tc>
          <w:tcPr>
            <w:tcW w:w="718" w:type="pct"/>
            <w:vAlign w:val="center"/>
          </w:tcPr>
          <w:p>
            <w:pPr>
              <w:autoSpaceDE w:val="0"/>
              <w:autoSpaceDN w:val="0"/>
              <w:ind w:left="107" w:right="94"/>
              <w:jc w:val="center"/>
              <w:rPr>
                <w:rFonts w:ascii="宋体" w:hAnsi="宋体" w:cs="宋体"/>
                <w:color w:val="auto"/>
                <w:kern w:val="0"/>
                <w:sz w:val="22"/>
              </w:rPr>
            </w:pPr>
            <w:r>
              <w:rPr>
                <w:rFonts w:hint="eastAsia" w:ascii="宋体" w:hAnsi="宋体" w:cs="宋体"/>
                <w:color w:val="auto"/>
                <w:spacing w:val="-24"/>
                <w:kern w:val="0"/>
                <w:sz w:val="22"/>
              </w:rPr>
              <w:t>基</w:t>
            </w:r>
            <w:r>
              <w:rPr>
                <w:rFonts w:ascii="宋体" w:hAnsi="宋体" w:cs="宋体"/>
                <w:color w:val="auto"/>
                <w:spacing w:val="-24"/>
                <w:kern w:val="0"/>
                <w:sz w:val="22"/>
              </w:rPr>
              <w:t xml:space="preserve"> </w:t>
            </w:r>
            <w:r>
              <w:rPr>
                <w:rFonts w:hint="eastAsia" w:ascii="宋体" w:hAnsi="宋体" w:cs="宋体"/>
                <w:color w:val="auto"/>
                <w:spacing w:val="-24"/>
                <w:kern w:val="0"/>
                <w:sz w:val="22"/>
              </w:rPr>
              <w:t>础</w:t>
            </w:r>
            <w:r>
              <w:rPr>
                <w:rFonts w:ascii="宋体" w:hAnsi="宋体" w:cs="宋体"/>
                <w:color w:val="auto"/>
                <w:spacing w:val="-24"/>
                <w:kern w:val="0"/>
                <w:sz w:val="22"/>
              </w:rPr>
              <w:t xml:space="preserve"> </w:t>
            </w:r>
            <w:r>
              <w:rPr>
                <w:rFonts w:hint="eastAsia" w:ascii="宋体" w:hAnsi="宋体" w:cs="宋体"/>
                <w:color w:val="auto"/>
                <w:spacing w:val="-24"/>
                <w:kern w:val="0"/>
                <w:sz w:val="22"/>
              </w:rPr>
              <w:t>设</w:t>
            </w:r>
            <w:r>
              <w:rPr>
                <w:rFonts w:ascii="宋体" w:hAnsi="宋体" w:cs="宋体"/>
                <w:color w:val="auto"/>
                <w:spacing w:val="-24"/>
                <w:kern w:val="0"/>
                <w:sz w:val="22"/>
              </w:rPr>
              <w:t xml:space="preserve"> </w:t>
            </w:r>
            <w:r>
              <w:rPr>
                <w:rFonts w:hint="eastAsia" w:ascii="宋体" w:hAnsi="宋体" w:cs="宋体"/>
                <w:color w:val="auto"/>
                <w:spacing w:val="-24"/>
                <w:kern w:val="0"/>
                <w:sz w:val="22"/>
              </w:rPr>
              <w:t>施</w:t>
            </w:r>
            <w:r>
              <w:rPr>
                <w:rFonts w:hint="eastAsia" w:ascii="宋体" w:hAnsi="宋体" w:cs="宋体"/>
                <w:color w:val="auto"/>
                <w:spacing w:val="-11"/>
                <w:kern w:val="0"/>
                <w:sz w:val="22"/>
              </w:rPr>
              <w:t>无缺损；样</w:t>
            </w:r>
            <w:r>
              <w:rPr>
                <w:rFonts w:hint="eastAsia" w:ascii="宋体" w:hAnsi="宋体" w:cs="宋体"/>
                <w:color w:val="auto"/>
                <w:spacing w:val="-24"/>
                <w:kern w:val="0"/>
                <w:sz w:val="22"/>
              </w:rPr>
              <w:t>地</w:t>
            </w:r>
            <w:r>
              <w:rPr>
                <w:rFonts w:ascii="宋体" w:hAnsi="宋体" w:cs="宋体"/>
                <w:color w:val="auto"/>
                <w:spacing w:val="-24"/>
                <w:kern w:val="0"/>
                <w:sz w:val="22"/>
              </w:rPr>
              <w:t xml:space="preserve"> </w:t>
            </w:r>
            <w:r>
              <w:rPr>
                <w:rFonts w:hint="eastAsia" w:ascii="宋体" w:hAnsi="宋体" w:cs="宋体"/>
                <w:color w:val="auto"/>
                <w:spacing w:val="-24"/>
                <w:kern w:val="0"/>
                <w:sz w:val="22"/>
              </w:rPr>
              <w:t>标</w:t>
            </w:r>
            <w:r>
              <w:rPr>
                <w:rFonts w:ascii="宋体" w:hAnsi="宋体" w:cs="宋体"/>
                <w:color w:val="auto"/>
                <w:spacing w:val="-24"/>
                <w:kern w:val="0"/>
                <w:sz w:val="22"/>
              </w:rPr>
              <w:t xml:space="preserve"> </w:t>
            </w:r>
            <w:r>
              <w:rPr>
                <w:rFonts w:hint="eastAsia" w:ascii="宋体" w:hAnsi="宋体" w:cs="宋体"/>
                <w:color w:val="auto"/>
                <w:spacing w:val="-24"/>
                <w:kern w:val="0"/>
                <w:sz w:val="22"/>
              </w:rPr>
              <w:t>记</w:t>
            </w:r>
            <w:r>
              <w:rPr>
                <w:rFonts w:ascii="宋体" w:hAnsi="宋体" w:cs="宋体"/>
                <w:color w:val="auto"/>
                <w:spacing w:val="-24"/>
                <w:kern w:val="0"/>
                <w:sz w:val="22"/>
              </w:rPr>
              <w:t xml:space="preserve"> </w:t>
            </w:r>
            <w:r>
              <w:rPr>
                <w:rFonts w:hint="eastAsia" w:ascii="宋体" w:hAnsi="宋体" w:cs="宋体"/>
                <w:color w:val="auto"/>
                <w:spacing w:val="-24"/>
                <w:kern w:val="0"/>
                <w:sz w:val="22"/>
              </w:rPr>
              <w:t>无</w:t>
            </w:r>
          </w:p>
          <w:p>
            <w:pPr>
              <w:autoSpaceDE w:val="0"/>
              <w:autoSpaceDN w:val="0"/>
              <w:ind w:left="107"/>
              <w:jc w:val="center"/>
              <w:rPr>
                <w:rFonts w:ascii="宋体" w:hAnsi="宋体" w:cs="宋体"/>
                <w:color w:val="auto"/>
                <w:kern w:val="0"/>
                <w:sz w:val="22"/>
              </w:rPr>
            </w:pPr>
            <w:r>
              <w:rPr>
                <w:rFonts w:hint="eastAsia" w:ascii="宋体" w:hAnsi="宋体" w:cs="宋体"/>
                <w:color w:val="auto"/>
                <w:kern w:val="0"/>
                <w:sz w:val="22"/>
              </w:rPr>
              <w:t>缺损。</w:t>
            </w:r>
          </w:p>
        </w:tc>
        <w:tc>
          <w:tcPr>
            <w:tcW w:w="696" w:type="pct"/>
            <w:vAlign w:val="center"/>
          </w:tcPr>
          <w:p>
            <w:pPr>
              <w:autoSpaceDE w:val="0"/>
              <w:autoSpaceDN w:val="0"/>
              <w:ind w:left="106" w:right="37"/>
              <w:jc w:val="center"/>
              <w:rPr>
                <w:rFonts w:ascii="宋体" w:hAnsi="宋体" w:cs="宋体"/>
                <w:color w:val="auto"/>
                <w:kern w:val="0"/>
                <w:sz w:val="22"/>
              </w:rPr>
            </w:pPr>
            <w:r>
              <w:rPr>
                <w:rFonts w:hint="eastAsia" w:ascii="宋体" w:hAnsi="宋体" w:cs="宋体"/>
                <w:color w:val="auto"/>
                <w:spacing w:val="45"/>
                <w:kern w:val="0"/>
                <w:sz w:val="22"/>
              </w:rPr>
              <w:t>基础设施</w:t>
            </w:r>
            <w:r>
              <w:rPr>
                <w:rFonts w:hint="eastAsia" w:ascii="宋体" w:hAnsi="宋体" w:cs="宋体"/>
                <w:color w:val="auto"/>
                <w:spacing w:val="26"/>
                <w:kern w:val="0"/>
                <w:sz w:val="22"/>
              </w:rPr>
              <w:t>功能正常；</w:t>
            </w:r>
            <w:r>
              <w:rPr>
                <w:rFonts w:ascii="宋体" w:hAnsi="宋体" w:cs="宋体"/>
                <w:color w:val="auto"/>
                <w:spacing w:val="26"/>
                <w:kern w:val="0"/>
                <w:sz w:val="22"/>
              </w:rPr>
              <w:t xml:space="preserve"> </w:t>
            </w:r>
            <w:r>
              <w:rPr>
                <w:rFonts w:hint="eastAsia" w:ascii="宋体" w:hAnsi="宋体" w:cs="宋体"/>
                <w:color w:val="auto"/>
                <w:spacing w:val="45"/>
                <w:kern w:val="0"/>
                <w:sz w:val="22"/>
              </w:rPr>
              <w:t>样地标记</w:t>
            </w:r>
            <w:r>
              <w:rPr>
                <w:rFonts w:hint="eastAsia" w:ascii="宋体" w:hAnsi="宋体" w:cs="宋体"/>
                <w:color w:val="auto"/>
                <w:spacing w:val="-1"/>
                <w:kern w:val="0"/>
                <w:sz w:val="22"/>
              </w:rPr>
              <w:t>保存良好。</w:t>
            </w:r>
          </w:p>
        </w:tc>
        <w:tc>
          <w:tcPr>
            <w:tcW w:w="706" w:type="pct"/>
            <w:vAlign w:val="center"/>
          </w:tcPr>
          <w:p>
            <w:pPr>
              <w:autoSpaceDE w:val="0"/>
              <w:autoSpaceDN w:val="0"/>
              <w:ind w:left="106" w:right="93"/>
              <w:jc w:val="center"/>
              <w:rPr>
                <w:rFonts w:ascii="宋体" w:hAnsi="宋体" w:cs="宋体"/>
                <w:color w:val="auto"/>
                <w:kern w:val="0"/>
                <w:sz w:val="22"/>
              </w:rPr>
            </w:pPr>
            <w:r>
              <w:rPr>
                <w:rFonts w:hint="eastAsia" w:ascii="宋体" w:hAnsi="宋体" w:cs="宋体"/>
                <w:color w:val="auto"/>
                <w:spacing w:val="-24"/>
                <w:kern w:val="0"/>
                <w:sz w:val="22"/>
              </w:rPr>
              <w:t>基</w:t>
            </w:r>
            <w:r>
              <w:rPr>
                <w:rFonts w:ascii="宋体" w:hAnsi="宋体" w:cs="宋体"/>
                <w:color w:val="auto"/>
                <w:spacing w:val="-24"/>
                <w:kern w:val="0"/>
                <w:sz w:val="22"/>
              </w:rPr>
              <w:t xml:space="preserve"> </w:t>
            </w:r>
            <w:r>
              <w:rPr>
                <w:rFonts w:hint="eastAsia" w:ascii="宋体" w:hAnsi="宋体" w:cs="宋体"/>
                <w:color w:val="auto"/>
                <w:spacing w:val="-24"/>
                <w:kern w:val="0"/>
                <w:sz w:val="22"/>
              </w:rPr>
              <w:t>础</w:t>
            </w:r>
            <w:r>
              <w:rPr>
                <w:rFonts w:ascii="宋体" w:hAnsi="宋体" w:cs="宋体"/>
                <w:color w:val="auto"/>
                <w:spacing w:val="-24"/>
                <w:kern w:val="0"/>
                <w:sz w:val="22"/>
              </w:rPr>
              <w:t xml:space="preserve"> </w:t>
            </w:r>
            <w:r>
              <w:rPr>
                <w:rFonts w:hint="eastAsia" w:ascii="宋体" w:hAnsi="宋体" w:cs="宋体"/>
                <w:color w:val="auto"/>
                <w:spacing w:val="-24"/>
                <w:kern w:val="0"/>
                <w:sz w:val="22"/>
              </w:rPr>
              <w:t>设</w:t>
            </w:r>
            <w:r>
              <w:rPr>
                <w:rFonts w:ascii="宋体" w:hAnsi="宋体" w:cs="宋体"/>
                <w:color w:val="auto"/>
                <w:spacing w:val="-24"/>
                <w:kern w:val="0"/>
                <w:sz w:val="22"/>
              </w:rPr>
              <w:t xml:space="preserve"> </w:t>
            </w:r>
            <w:r>
              <w:rPr>
                <w:rFonts w:hint="eastAsia" w:ascii="宋体" w:hAnsi="宋体" w:cs="宋体"/>
                <w:color w:val="auto"/>
                <w:spacing w:val="-24"/>
                <w:kern w:val="0"/>
                <w:sz w:val="22"/>
              </w:rPr>
              <w:t>施</w:t>
            </w:r>
            <w:r>
              <w:rPr>
                <w:rFonts w:hint="eastAsia" w:ascii="宋体" w:hAnsi="宋体" w:cs="宋体"/>
                <w:color w:val="auto"/>
                <w:spacing w:val="-11"/>
                <w:kern w:val="0"/>
                <w:sz w:val="22"/>
              </w:rPr>
              <w:t>无缺损；样</w:t>
            </w:r>
            <w:r>
              <w:rPr>
                <w:rFonts w:hint="eastAsia" w:ascii="宋体" w:hAnsi="宋体" w:cs="宋体"/>
                <w:color w:val="auto"/>
                <w:spacing w:val="-24"/>
                <w:kern w:val="0"/>
                <w:sz w:val="22"/>
              </w:rPr>
              <w:t>地</w:t>
            </w:r>
            <w:r>
              <w:rPr>
                <w:rFonts w:ascii="宋体" w:hAnsi="宋体" w:cs="宋体"/>
                <w:color w:val="auto"/>
                <w:spacing w:val="-24"/>
                <w:kern w:val="0"/>
                <w:sz w:val="22"/>
              </w:rPr>
              <w:t xml:space="preserve"> </w:t>
            </w:r>
            <w:r>
              <w:rPr>
                <w:rFonts w:hint="eastAsia" w:ascii="宋体" w:hAnsi="宋体" w:cs="宋体"/>
                <w:color w:val="auto"/>
                <w:spacing w:val="-24"/>
                <w:kern w:val="0"/>
                <w:sz w:val="22"/>
              </w:rPr>
              <w:t>标</w:t>
            </w:r>
            <w:r>
              <w:rPr>
                <w:rFonts w:ascii="宋体" w:hAnsi="宋体" w:cs="宋体"/>
                <w:color w:val="auto"/>
                <w:spacing w:val="-24"/>
                <w:kern w:val="0"/>
                <w:sz w:val="22"/>
              </w:rPr>
              <w:t xml:space="preserve"> </w:t>
            </w:r>
            <w:r>
              <w:rPr>
                <w:rFonts w:hint="eastAsia" w:ascii="宋体" w:hAnsi="宋体" w:cs="宋体"/>
                <w:color w:val="auto"/>
                <w:spacing w:val="-24"/>
                <w:kern w:val="0"/>
                <w:sz w:val="22"/>
              </w:rPr>
              <w:t>记</w:t>
            </w:r>
            <w:r>
              <w:rPr>
                <w:rFonts w:ascii="宋体" w:hAnsi="宋体" w:cs="宋体"/>
                <w:color w:val="auto"/>
                <w:spacing w:val="-24"/>
                <w:kern w:val="0"/>
                <w:sz w:val="22"/>
              </w:rPr>
              <w:t xml:space="preserve"> </w:t>
            </w:r>
            <w:r>
              <w:rPr>
                <w:rFonts w:hint="eastAsia" w:ascii="宋体" w:hAnsi="宋体" w:cs="宋体"/>
                <w:color w:val="auto"/>
                <w:spacing w:val="-24"/>
                <w:kern w:val="0"/>
                <w:sz w:val="22"/>
              </w:rPr>
              <w:t>无</w:t>
            </w:r>
          </w:p>
          <w:p>
            <w:pPr>
              <w:autoSpaceDE w:val="0"/>
              <w:autoSpaceDN w:val="0"/>
              <w:ind w:left="106"/>
              <w:jc w:val="center"/>
              <w:rPr>
                <w:rFonts w:ascii="宋体" w:hAnsi="宋体" w:cs="宋体"/>
                <w:color w:val="auto"/>
                <w:kern w:val="0"/>
                <w:sz w:val="22"/>
              </w:rPr>
            </w:pPr>
            <w:r>
              <w:rPr>
                <w:rFonts w:hint="eastAsia" w:ascii="宋体" w:hAnsi="宋体" w:cs="宋体"/>
                <w:color w:val="auto"/>
                <w:kern w:val="0"/>
                <w:sz w:val="22"/>
              </w:rPr>
              <w:t>缺损。</w:t>
            </w:r>
          </w:p>
        </w:tc>
        <w:tc>
          <w:tcPr>
            <w:tcW w:w="706" w:type="pct"/>
            <w:vAlign w:val="center"/>
          </w:tcPr>
          <w:p>
            <w:pPr>
              <w:autoSpaceDE w:val="0"/>
              <w:autoSpaceDN w:val="0"/>
              <w:ind w:left="105" w:right="40"/>
              <w:jc w:val="center"/>
              <w:rPr>
                <w:rFonts w:ascii="宋体" w:hAnsi="宋体" w:cs="宋体"/>
                <w:color w:val="auto"/>
                <w:kern w:val="0"/>
                <w:sz w:val="22"/>
              </w:rPr>
            </w:pPr>
            <w:r>
              <w:rPr>
                <w:rFonts w:hint="eastAsia" w:ascii="宋体" w:hAnsi="宋体" w:cs="宋体"/>
                <w:color w:val="auto"/>
                <w:spacing w:val="45"/>
                <w:kern w:val="0"/>
                <w:sz w:val="22"/>
              </w:rPr>
              <w:t>基础设施</w:t>
            </w:r>
            <w:r>
              <w:rPr>
                <w:rFonts w:hint="eastAsia" w:ascii="宋体" w:hAnsi="宋体" w:cs="宋体"/>
                <w:color w:val="auto"/>
                <w:spacing w:val="26"/>
                <w:kern w:val="0"/>
                <w:sz w:val="22"/>
              </w:rPr>
              <w:t>功能正常；</w:t>
            </w:r>
            <w:r>
              <w:rPr>
                <w:rFonts w:hint="eastAsia" w:ascii="宋体" w:hAnsi="宋体" w:cs="宋体"/>
                <w:color w:val="auto"/>
                <w:spacing w:val="45"/>
                <w:kern w:val="0"/>
                <w:sz w:val="22"/>
              </w:rPr>
              <w:t>样地标记</w:t>
            </w:r>
            <w:r>
              <w:rPr>
                <w:rFonts w:hint="eastAsia" w:ascii="宋体" w:hAnsi="宋体" w:cs="宋体"/>
                <w:color w:val="auto"/>
                <w:spacing w:val="-1"/>
                <w:kern w:val="0"/>
                <w:sz w:val="22"/>
              </w:rPr>
              <w:t>保存良好。</w:t>
            </w:r>
          </w:p>
        </w:tc>
        <w:tc>
          <w:tcPr>
            <w:tcW w:w="703" w:type="pct"/>
            <w:vAlign w:val="center"/>
          </w:tcPr>
          <w:p>
            <w:pPr>
              <w:autoSpaceDE w:val="0"/>
              <w:autoSpaceDN w:val="0"/>
              <w:ind w:left="104" w:right="38"/>
              <w:jc w:val="center"/>
              <w:rPr>
                <w:rFonts w:ascii="宋体" w:hAnsi="宋体" w:cs="宋体"/>
                <w:color w:val="auto"/>
                <w:kern w:val="0"/>
                <w:sz w:val="22"/>
              </w:rPr>
            </w:pPr>
            <w:r>
              <w:rPr>
                <w:rFonts w:hint="eastAsia" w:ascii="宋体" w:hAnsi="宋体" w:cs="宋体"/>
                <w:color w:val="auto"/>
                <w:kern w:val="0"/>
                <w:sz w:val="22"/>
              </w:rPr>
              <w:t>基础设施无缺损；样地标记无</w:t>
            </w:r>
          </w:p>
          <w:p>
            <w:pPr>
              <w:autoSpaceDE w:val="0"/>
              <w:autoSpaceDN w:val="0"/>
              <w:ind w:left="104"/>
              <w:jc w:val="center"/>
              <w:rPr>
                <w:rFonts w:ascii="宋体" w:hAnsi="宋体" w:cs="宋体"/>
                <w:color w:val="auto"/>
                <w:kern w:val="0"/>
                <w:sz w:val="22"/>
              </w:rPr>
            </w:pPr>
            <w:r>
              <w:rPr>
                <w:rFonts w:hint="eastAsia" w:ascii="宋体" w:hAnsi="宋体" w:cs="宋体"/>
                <w:color w:val="auto"/>
                <w:kern w:val="0"/>
                <w:sz w:val="22"/>
              </w:rPr>
              <w:t>缺损。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27" w:type="pct"/>
            <w:vAlign w:val="center"/>
          </w:tcPr>
          <w:p>
            <w:pPr>
              <w:autoSpaceDE w:val="0"/>
              <w:autoSpaceDN w:val="0"/>
              <w:spacing w:before="70"/>
              <w:ind w:left="233" w:right="222"/>
              <w:jc w:val="center"/>
              <w:rPr>
                <w:rFonts w:ascii="宋体" w:hAnsi="宋体" w:cs="宋体"/>
                <w:color w:val="auto"/>
                <w:kern w:val="0"/>
                <w:sz w:val="22"/>
              </w:rPr>
            </w:pPr>
            <w:r>
              <w:rPr>
                <w:rFonts w:hint="eastAsia" w:ascii="宋体" w:hAnsi="宋体" w:cs="宋体"/>
                <w:color w:val="auto"/>
                <w:kern w:val="0"/>
                <w:sz w:val="22"/>
              </w:rPr>
              <w:t>档案管理</w:t>
            </w:r>
          </w:p>
        </w:tc>
        <w:tc>
          <w:tcPr>
            <w:tcW w:w="4373" w:type="pct"/>
            <w:gridSpan w:val="6"/>
            <w:vAlign w:val="center"/>
          </w:tcPr>
          <w:p>
            <w:pPr>
              <w:autoSpaceDE w:val="0"/>
              <w:autoSpaceDN w:val="0"/>
              <w:spacing w:before="70"/>
              <w:ind w:left="1838" w:right="1393"/>
              <w:jc w:val="center"/>
              <w:rPr>
                <w:rFonts w:ascii="宋体" w:hAnsi="宋体" w:cs="宋体"/>
                <w:color w:val="auto"/>
                <w:kern w:val="0"/>
                <w:sz w:val="22"/>
              </w:rPr>
            </w:pPr>
            <w:r>
              <w:rPr>
                <w:rFonts w:hint="eastAsia" w:ascii="宋体" w:hAnsi="宋体" w:cs="宋体"/>
                <w:color w:val="auto"/>
                <w:kern w:val="0"/>
                <w:sz w:val="22"/>
              </w:rPr>
              <w:t>档案记录完整清晰，按年度归档，保存完好。</w:t>
            </w:r>
          </w:p>
        </w:tc>
      </w:tr>
    </w:tbl>
    <w:p>
      <w:pPr>
        <w:snapToGrid w:val="0"/>
        <w:jc w:val="left"/>
        <w:rPr>
          <w:bCs/>
          <w:color w:val="auto"/>
          <w:sz w:val="22"/>
        </w:rPr>
      </w:pPr>
    </w:p>
    <w:p>
      <w:pPr>
        <w:tabs>
          <w:tab w:val="left" w:pos="540"/>
          <w:tab w:val="left" w:pos="900"/>
        </w:tabs>
        <w:jc w:val="left"/>
        <w:rPr>
          <w:b/>
          <w:color w:val="auto"/>
          <w:szCs w:val="20"/>
          <w:u w:val="single"/>
        </w:rPr>
      </w:pPr>
      <w:r>
        <w:rPr>
          <w:rFonts w:hint="eastAsia"/>
          <w:b/>
          <w:color w:val="auto"/>
          <w:w w:val="105"/>
          <w:szCs w:val="20"/>
        </w:rPr>
        <w:t>附录</w:t>
      </w:r>
      <w:r>
        <w:rPr>
          <w:b/>
          <w:color w:val="auto"/>
          <w:w w:val="105"/>
          <w:szCs w:val="20"/>
        </w:rPr>
        <w:t xml:space="preserve"> B</w:t>
      </w:r>
      <w:r>
        <w:rPr>
          <w:rFonts w:hint="eastAsia"/>
          <w:b/>
          <w:color w:val="auto"/>
          <w:w w:val="105"/>
          <w:szCs w:val="20"/>
        </w:rPr>
        <w:t>：</w:t>
      </w:r>
      <w:r>
        <w:rPr>
          <w:color w:val="auto"/>
        </w:rPr>
        <w:fldChar w:fldCharType="begin"/>
      </w:r>
      <w:r>
        <w:rPr>
          <w:color w:val="auto"/>
        </w:rPr>
        <w:instrText xml:space="preserve"> HYPERLINK "http://sh.110.com/" \h </w:instrText>
      </w:r>
      <w:r>
        <w:rPr>
          <w:color w:val="auto"/>
        </w:rPr>
        <w:fldChar w:fldCharType="separate"/>
      </w:r>
      <w:r>
        <w:rPr>
          <w:b/>
          <w:color w:val="auto"/>
          <w:w w:val="105"/>
          <w:szCs w:val="20"/>
          <w:u w:val="single"/>
        </w:rPr>
        <w:t xml:space="preserve"> </w:t>
      </w:r>
      <w:r>
        <w:rPr>
          <w:rFonts w:hint="eastAsia"/>
          <w:b/>
          <w:color w:val="auto"/>
          <w:w w:val="105"/>
          <w:szCs w:val="20"/>
          <w:u w:val="single"/>
        </w:rPr>
        <w:t>上海</w:t>
      </w:r>
      <w:r>
        <w:rPr>
          <w:rFonts w:hint="eastAsia"/>
          <w:b/>
          <w:color w:val="auto"/>
          <w:w w:val="105"/>
          <w:szCs w:val="20"/>
          <w:u w:val="single"/>
        </w:rPr>
        <w:fldChar w:fldCharType="end"/>
      </w:r>
      <w:r>
        <w:rPr>
          <w:rFonts w:hint="eastAsia"/>
          <w:b/>
          <w:color w:val="auto"/>
          <w:w w:val="105"/>
          <w:szCs w:val="20"/>
        </w:rPr>
        <w:t>市公益林主要养护工作月历</w:t>
      </w: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62"/>
        <w:gridCol w:w="549"/>
        <w:gridCol w:w="550"/>
        <w:gridCol w:w="550"/>
        <w:gridCol w:w="550"/>
        <w:gridCol w:w="550"/>
        <w:gridCol w:w="550"/>
        <w:gridCol w:w="550"/>
        <w:gridCol w:w="550"/>
        <w:gridCol w:w="550"/>
        <w:gridCol w:w="554"/>
        <w:gridCol w:w="554"/>
        <w:gridCol w:w="556"/>
        <w:gridCol w:w="1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758" w:type="pct"/>
          </w:tcPr>
          <w:p>
            <w:pPr>
              <w:autoSpaceDE w:val="0"/>
              <w:autoSpaceDN w:val="0"/>
              <w:ind w:left="439"/>
              <w:jc w:val="left"/>
              <w:rPr>
                <w:rFonts w:ascii="微软雅黑" w:hAnsi="宋体" w:eastAsia="微软雅黑" w:cs="宋体"/>
                <w:b/>
                <w:color w:val="auto"/>
                <w:kern w:val="0"/>
                <w:sz w:val="22"/>
              </w:rPr>
            </w:pPr>
            <w:r>
              <w:rPr>
                <w:rFonts w:hint="eastAsia" w:ascii="微软雅黑" w:hAnsi="宋体" w:eastAsia="微软雅黑" w:cs="宋体"/>
                <w:b/>
                <w:color w:val="auto"/>
                <w:kern w:val="0"/>
                <w:sz w:val="22"/>
              </w:rPr>
              <w:t>月份</w:t>
            </w:r>
          </w:p>
          <w:p>
            <w:pPr>
              <w:autoSpaceDE w:val="0"/>
              <w:autoSpaceDN w:val="0"/>
              <w:ind w:left="107"/>
              <w:jc w:val="left"/>
              <w:rPr>
                <w:rFonts w:ascii="微软雅黑" w:hAnsi="宋体" w:eastAsia="微软雅黑" w:cs="宋体"/>
                <w:b/>
                <w:color w:val="auto"/>
                <w:kern w:val="0"/>
                <w:sz w:val="22"/>
              </w:rPr>
            </w:pPr>
            <w:r>
              <w:rPr>
                <w:rFonts w:hint="eastAsia" w:ascii="微软雅黑" w:hAnsi="宋体" w:eastAsia="微软雅黑" w:cs="宋体"/>
                <w:b/>
                <w:color w:val="auto"/>
                <w:kern w:val="0"/>
                <w:sz w:val="22"/>
              </w:rPr>
              <w:t>内容</w:t>
            </w:r>
          </w:p>
        </w:tc>
        <w:tc>
          <w:tcPr>
            <w:tcW w:w="285" w:type="pct"/>
          </w:tcPr>
          <w:p>
            <w:pPr>
              <w:autoSpaceDE w:val="0"/>
              <w:autoSpaceDN w:val="0"/>
              <w:spacing w:before="69"/>
              <w:ind w:left="196"/>
              <w:jc w:val="left"/>
              <w:rPr>
                <w:rFonts w:ascii="微软雅黑" w:hAnsi="宋体" w:cs="宋体"/>
                <w:b/>
                <w:color w:val="auto"/>
                <w:kern w:val="0"/>
                <w:sz w:val="22"/>
              </w:rPr>
            </w:pPr>
            <w:r>
              <w:rPr>
                <w:rFonts w:ascii="微软雅黑" w:hAnsi="宋体" w:cs="宋体"/>
                <w:b/>
                <w:color w:val="auto"/>
                <w:w w:val="90"/>
                <w:kern w:val="0"/>
                <w:sz w:val="22"/>
              </w:rPr>
              <w:t>1</w:t>
            </w:r>
          </w:p>
        </w:tc>
        <w:tc>
          <w:tcPr>
            <w:tcW w:w="285" w:type="pct"/>
          </w:tcPr>
          <w:p>
            <w:pPr>
              <w:autoSpaceDE w:val="0"/>
              <w:autoSpaceDN w:val="0"/>
              <w:spacing w:before="69"/>
              <w:ind w:left="194"/>
              <w:jc w:val="left"/>
              <w:rPr>
                <w:rFonts w:ascii="微软雅黑" w:hAnsi="宋体" w:cs="宋体"/>
                <w:b/>
                <w:color w:val="auto"/>
                <w:kern w:val="0"/>
                <w:sz w:val="22"/>
              </w:rPr>
            </w:pPr>
            <w:r>
              <w:rPr>
                <w:rFonts w:ascii="微软雅黑" w:hAnsi="宋体" w:cs="宋体"/>
                <w:b/>
                <w:color w:val="auto"/>
                <w:w w:val="90"/>
                <w:kern w:val="0"/>
                <w:sz w:val="22"/>
              </w:rPr>
              <w:t>2</w:t>
            </w:r>
          </w:p>
        </w:tc>
        <w:tc>
          <w:tcPr>
            <w:tcW w:w="285" w:type="pct"/>
          </w:tcPr>
          <w:p>
            <w:pPr>
              <w:autoSpaceDE w:val="0"/>
              <w:autoSpaceDN w:val="0"/>
              <w:spacing w:before="69"/>
              <w:ind w:left="4"/>
              <w:jc w:val="center"/>
              <w:rPr>
                <w:rFonts w:ascii="微软雅黑" w:hAnsi="宋体" w:cs="宋体"/>
                <w:b/>
                <w:color w:val="auto"/>
                <w:kern w:val="0"/>
                <w:sz w:val="22"/>
              </w:rPr>
            </w:pPr>
            <w:r>
              <w:rPr>
                <w:rFonts w:ascii="微软雅黑" w:hAnsi="宋体" w:cs="宋体"/>
                <w:b/>
                <w:color w:val="auto"/>
                <w:w w:val="90"/>
                <w:kern w:val="0"/>
                <w:sz w:val="22"/>
              </w:rPr>
              <w:t>3</w:t>
            </w:r>
          </w:p>
        </w:tc>
        <w:tc>
          <w:tcPr>
            <w:tcW w:w="285" w:type="pct"/>
          </w:tcPr>
          <w:p>
            <w:pPr>
              <w:autoSpaceDE w:val="0"/>
              <w:autoSpaceDN w:val="0"/>
              <w:spacing w:before="69"/>
              <w:ind w:left="193"/>
              <w:jc w:val="left"/>
              <w:rPr>
                <w:rFonts w:ascii="微软雅黑" w:hAnsi="宋体" w:cs="宋体"/>
                <w:b/>
                <w:color w:val="auto"/>
                <w:kern w:val="0"/>
                <w:sz w:val="22"/>
              </w:rPr>
            </w:pPr>
            <w:r>
              <w:rPr>
                <w:rFonts w:ascii="微软雅黑" w:hAnsi="宋体" w:cs="宋体"/>
                <w:b/>
                <w:color w:val="auto"/>
                <w:w w:val="90"/>
                <w:kern w:val="0"/>
                <w:sz w:val="22"/>
              </w:rPr>
              <w:t>4</w:t>
            </w:r>
          </w:p>
        </w:tc>
        <w:tc>
          <w:tcPr>
            <w:tcW w:w="285" w:type="pct"/>
          </w:tcPr>
          <w:p>
            <w:pPr>
              <w:autoSpaceDE w:val="0"/>
              <w:autoSpaceDN w:val="0"/>
              <w:spacing w:before="69"/>
              <w:ind w:left="4"/>
              <w:jc w:val="center"/>
              <w:rPr>
                <w:rFonts w:ascii="微软雅黑" w:hAnsi="宋体" w:cs="宋体"/>
                <w:b/>
                <w:color w:val="auto"/>
                <w:kern w:val="0"/>
                <w:sz w:val="22"/>
              </w:rPr>
            </w:pPr>
            <w:r>
              <w:rPr>
                <w:rFonts w:ascii="微软雅黑" w:hAnsi="宋体" w:cs="宋体"/>
                <w:b/>
                <w:color w:val="auto"/>
                <w:w w:val="90"/>
                <w:kern w:val="0"/>
                <w:sz w:val="22"/>
              </w:rPr>
              <w:t>5</w:t>
            </w:r>
          </w:p>
        </w:tc>
        <w:tc>
          <w:tcPr>
            <w:tcW w:w="285" w:type="pct"/>
          </w:tcPr>
          <w:p>
            <w:pPr>
              <w:autoSpaceDE w:val="0"/>
              <w:autoSpaceDN w:val="0"/>
              <w:spacing w:before="69"/>
              <w:ind w:left="193"/>
              <w:jc w:val="left"/>
              <w:rPr>
                <w:rFonts w:ascii="微软雅黑" w:hAnsi="宋体" w:cs="宋体"/>
                <w:b/>
                <w:color w:val="auto"/>
                <w:kern w:val="0"/>
                <w:sz w:val="22"/>
              </w:rPr>
            </w:pPr>
            <w:r>
              <w:rPr>
                <w:rFonts w:ascii="微软雅黑" w:hAnsi="宋体" w:cs="宋体"/>
                <w:b/>
                <w:color w:val="auto"/>
                <w:w w:val="90"/>
                <w:kern w:val="0"/>
                <w:sz w:val="22"/>
              </w:rPr>
              <w:t>6</w:t>
            </w:r>
          </w:p>
        </w:tc>
        <w:tc>
          <w:tcPr>
            <w:tcW w:w="285" w:type="pct"/>
          </w:tcPr>
          <w:p>
            <w:pPr>
              <w:autoSpaceDE w:val="0"/>
              <w:autoSpaceDN w:val="0"/>
              <w:spacing w:before="69"/>
              <w:ind w:right="187"/>
              <w:jc w:val="right"/>
              <w:rPr>
                <w:rFonts w:ascii="微软雅黑" w:hAnsi="宋体" w:cs="宋体"/>
                <w:b/>
                <w:color w:val="auto"/>
                <w:kern w:val="0"/>
                <w:sz w:val="22"/>
              </w:rPr>
            </w:pPr>
            <w:r>
              <w:rPr>
                <w:rFonts w:ascii="微软雅黑" w:hAnsi="宋体" w:cs="宋体"/>
                <w:b/>
                <w:color w:val="auto"/>
                <w:w w:val="90"/>
                <w:kern w:val="0"/>
                <w:sz w:val="22"/>
              </w:rPr>
              <w:t>7</w:t>
            </w:r>
          </w:p>
        </w:tc>
        <w:tc>
          <w:tcPr>
            <w:tcW w:w="285" w:type="pct"/>
          </w:tcPr>
          <w:p>
            <w:pPr>
              <w:autoSpaceDE w:val="0"/>
              <w:autoSpaceDN w:val="0"/>
              <w:spacing w:before="69"/>
              <w:ind w:right="187"/>
              <w:jc w:val="right"/>
              <w:rPr>
                <w:rFonts w:ascii="微软雅黑" w:hAnsi="宋体" w:cs="宋体"/>
                <w:b/>
                <w:color w:val="auto"/>
                <w:kern w:val="0"/>
                <w:sz w:val="22"/>
              </w:rPr>
            </w:pPr>
            <w:r>
              <w:rPr>
                <w:rFonts w:ascii="微软雅黑" w:hAnsi="宋体" w:cs="宋体"/>
                <w:b/>
                <w:color w:val="auto"/>
                <w:w w:val="90"/>
                <w:kern w:val="0"/>
                <w:sz w:val="22"/>
              </w:rPr>
              <w:t>8</w:t>
            </w:r>
          </w:p>
        </w:tc>
        <w:tc>
          <w:tcPr>
            <w:tcW w:w="285" w:type="pct"/>
          </w:tcPr>
          <w:p>
            <w:pPr>
              <w:autoSpaceDE w:val="0"/>
              <w:autoSpaceDN w:val="0"/>
              <w:spacing w:before="69"/>
              <w:ind w:right="187"/>
              <w:jc w:val="right"/>
              <w:rPr>
                <w:rFonts w:ascii="微软雅黑" w:hAnsi="宋体" w:cs="宋体"/>
                <w:b/>
                <w:color w:val="auto"/>
                <w:kern w:val="0"/>
                <w:sz w:val="22"/>
              </w:rPr>
            </w:pPr>
            <w:r>
              <w:rPr>
                <w:rFonts w:ascii="微软雅黑" w:hAnsi="宋体" w:cs="宋体"/>
                <w:b/>
                <w:color w:val="auto"/>
                <w:w w:val="90"/>
                <w:kern w:val="0"/>
                <w:sz w:val="22"/>
              </w:rPr>
              <w:t>9</w:t>
            </w:r>
          </w:p>
        </w:tc>
        <w:tc>
          <w:tcPr>
            <w:tcW w:w="287" w:type="pct"/>
          </w:tcPr>
          <w:p>
            <w:pPr>
              <w:autoSpaceDE w:val="0"/>
              <w:autoSpaceDN w:val="0"/>
              <w:spacing w:before="69"/>
              <w:ind w:left="98" w:right="96"/>
              <w:jc w:val="center"/>
              <w:rPr>
                <w:rFonts w:ascii="微软雅黑" w:hAnsi="宋体" w:cs="宋体"/>
                <w:b/>
                <w:color w:val="auto"/>
                <w:kern w:val="0"/>
                <w:sz w:val="22"/>
              </w:rPr>
            </w:pPr>
            <w:r>
              <w:rPr>
                <w:rFonts w:ascii="微软雅黑" w:hAnsi="宋体" w:cs="宋体"/>
                <w:b/>
                <w:color w:val="auto"/>
                <w:kern w:val="0"/>
                <w:sz w:val="22"/>
              </w:rPr>
              <w:t>10</w:t>
            </w:r>
          </w:p>
        </w:tc>
        <w:tc>
          <w:tcPr>
            <w:tcW w:w="287" w:type="pct"/>
          </w:tcPr>
          <w:p>
            <w:pPr>
              <w:autoSpaceDE w:val="0"/>
              <w:autoSpaceDN w:val="0"/>
              <w:spacing w:before="69"/>
              <w:ind w:left="100" w:right="94"/>
              <w:jc w:val="center"/>
              <w:rPr>
                <w:rFonts w:ascii="微软雅黑" w:hAnsi="宋体" w:cs="宋体"/>
                <w:b/>
                <w:color w:val="auto"/>
                <w:kern w:val="0"/>
                <w:sz w:val="22"/>
              </w:rPr>
            </w:pPr>
            <w:r>
              <w:rPr>
                <w:rFonts w:ascii="微软雅黑" w:hAnsi="宋体" w:cs="宋体"/>
                <w:b/>
                <w:color w:val="auto"/>
                <w:kern w:val="0"/>
                <w:sz w:val="22"/>
              </w:rPr>
              <w:t>11</w:t>
            </w:r>
          </w:p>
        </w:tc>
        <w:tc>
          <w:tcPr>
            <w:tcW w:w="288" w:type="pct"/>
          </w:tcPr>
          <w:p>
            <w:pPr>
              <w:autoSpaceDE w:val="0"/>
              <w:autoSpaceDN w:val="0"/>
              <w:spacing w:before="69"/>
              <w:ind w:right="128"/>
              <w:jc w:val="right"/>
              <w:rPr>
                <w:rFonts w:ascii="微软雅黑" w:hAnsi="宋体" w:cs="宋体"/>
                <w:b/>
                <w:color w:val="auto"/>
                <w:kern w:val="0"/>
                <w:sz w:val="22"/>
              </w:rPr>
            </w:pPr>
            <w:r>
              <w:rPr>
                <w:rFonts w:ascii="微软雅黑" w:hAnsi="宋体" w:cs="宋体"/>
                <w:b/>
                <w:color w:val="auto"/>
                <w:kern w:val="0"/>
                <w:sz w:val="22"/>
              </w:rPr>
              <w:t>12</w:t>
            </w:r>
          </w:p>
        </w:tc>
        <w:tc>
          <w:tcPr>
            <w:tcW w:w="815" w:type="pct"/>
          </w:tcPr>
          <w:p>
            <w:pPr>
              <w:autoSpaceDE w:val="0"/>
              <w:autoSpaceDN w:val="0"/>
              <w:spacing w:before="69"/>
              <w:ind w:right="510"/>
              <w:jc w:val="right"/>
              <w:rPr>
                <w:rFonts w:ascii="微软雅黑" w:hAnsi="宋体" w:eastAsia="微软雅黑" w:cs="宋体"/>
                <w:b/>
                <w:color w:val="auto"/>
                <w:kern w:val="0"/>
                <w:sz w:val="22"/>
              </w:rPr>
            </w:pPr>
            <w:r>
              <w:rPr>
                <w:rFonts w:hint="eastAsia" w:ascii="微软雅黑" w:hAnsi="宋体" w:eastAsia="微软雅黑" w:cs="宋体"/>
                <w:b/>
                <w:color w:val="auto"/>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758" w:type="pct"/>
          </w:tcPr>
          <w:p>
            <w:pPr>
              <w:autoSpaceDE w:val="0"/>
              <w:autoSpaceDN w:val="0"/>
              <w:spacing w:before="6"/>
              <w:jc w:val="left"/>
              <w:rPr>
                <w:rFonts w:ascii="宋体" w:hAnsi="宋体" w:cs="宋体"/>
                <w:color w:val="auto"/>
                <w:kern w:val="0"/>
                <w:sz w:val="22"/>
              </w:rPr>
            </w:pPr>
          </w:p>
          <w:p>
            <w:pPr>
              <w:autoSpaceDE w:val="0"/>
              <w:autoSpaceDN w:val="0"/>
              <w:ind w:left="117" w:right="105"/>
              <w:jc w:val="center"/>
              <w:rPr>
                <w:rFonts w:ascii="宋体" w:hAnsi="宋体" w:cs="宋体"/>
                <w:color w:val="auto"/>
                <w:kern w:val="0"/>
                <w:sz w:val="22"/>
              </w:rPr>
            </w:pPr>
            <w:r>
              <w:rPr>
                <w:rFonts w:hint="eastAsia" w:ascii="宋体" w:hAnsi="宋体" w:cs="宋体"/>
                <w:color w:val="auto"/>
                <w:kern w:val="0"/>
                <w:sz w:val="22"/>
              </w:rPr>
              <w:t>控草</w:t>
            </w:r>
          </w:p>
        </w:tc>
        <w:tc>
          <w:tcPr>
            <w:tcW w:w="285" w:type="pct"/>
          </w:tcPr>
          <w:p>
            <w:pPr>
              <w:autoSpaceDE w:val="0"/>
              <w:autoSpaceDN w:val="0"/>
              <w:jc w:val="left"/>
              <w:rPr>
                <w:rFonts w:ascii="宋体" w:hAnsi="宋体" w:cs="宋体"/>
                <w:color w:val="auto"/>
                <w:kern w:val="0"/>
                <w:sz w:val="17"/>
              </w:rPr>
            </w:pPr>
          </w:p>
          <w:p>
            <w:pPr>
              <w:autoSpaceDE w:val="0"/>
              <w:autoSpaceDN w:val="0"/>
              <w:ind w:left="201"/>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99"/>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jc w:val="left"/>
              <w:rPr>
                <w:rFonts w:ascii="宋体" w:hAnsi="宋体" w:cs="宋体"/>
                <w:color w:val="auto"/>
                <w:kern w:val="0"/>
                <w:sz w:val="17"/>
              </w:rPr>
            </w:pPr>
          </w:p>
          <w:p>
            <w:pPr>
              <w:autoSpaceDE w:val="0"/>
              <w:autoSpaceDN w:val="0"/>
              <w:ind w:left="2"/>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jc w:val="left"/>
              <w:rPr>
                <w:rFonts w:ascii="宋体" w:hAnsi="宋体" w:cs="宋体"/>
                <w:color w:val="auto"/>
                <w:kern w:val="0"/>
                <w:sz w:val="17"/>
              </w:rPr>
            </w:pPr>
          </w:p>
          <w:p>
            <w:pPr>
              <w:autoSpaceDE w:val="0"/>
              <w:autoSpaceDN w:val="0"/>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jc w:val="left"/>
              <w:rPr>
                <w:rFonts w:ascii="宋体" w:hAnsi="宋体" w:cs="宋体"/>
                <w:color w:val="auto"/>
                <w:kern w:val="0"/>
                <w:sz w:val="17"/>
              </w:rPr>
            </w:pPr>
          </w:p>
          <w:p>
            <w:pPr>
              <w:autoSpaceDE w:val="0"/>
              <w:autoSpaceDN w:val="0"/>
              <w:ind w:right="195"/>
              <w:jc w:val="right"/>
              <w:rPr>
                <w:rFonts w:ascii="微软雅黑" w:hAnsi="宋体" w:cs="宋体"/>
                <w:b/>
                <w:color w:val="auto"/>
                <w:kern w:val="0"/>
                <w:sz w:val="22"/>
              </w:rPr>
            </w:pPr>
            <w:r>
              <w:rPr>
                <w:rFonts w:ascii="微软雅黑" w:hAnsi="宋体" w:cs="宋体"/>
                <w:b/>
                <w:color w:val="auto"/>
                <w:w w:val="114"/>
                <w:kern w:val="0"/>
                <w:sz w:val="22"/>
              </w:rPr>
              <w:t>-</w:t>
            </w:r>
          </w:p>
        </w:tc>
        <w:tc>
          <w:tcPr>
            <w:tcW w:w="815" w:type="pct"/>
          </w:tcPr>
          <w:p>
            <w:pPr>
              <w:autoSpaceDE w:val="0"/>
              <w:autoSpaceDN w:val="0"/>
              <w:ind w:left="106" w:right="94"/>
              <w:jc w:val="left"/>
              <w:rPr>
                <w:rFonts w:ascii="宋体" w:hAnsi="宋体" w:cs="宋体"/>
                <w:color w:val="auto"/>
                <w:kern w:val="0"/>
                <w:sz w:val="22"/>
              </w:rPr>
            </w:pPr>
            <w:r>
              <w:rPr>
                <w:rFonts w:hint="eastAsia" w:ascii="宋体" w:hAnsi="宋体" w:cs="宋体"/>
                <w:color w:val="auto"/>
                <w:kern w:val="0"/>
                <w:sz w:val="22"/>
              </w:rPr>
              <w:t>全年控草次数不少于</w:t>
            </w:r>
            <w:r>
              <w:rPr>
                <w:rFonts w:ascii="宋体" w:hAnsi="宋体" w:cs="宋体"/>
                <w:color w:val="auto"/>
                <w:kern w:val="0"/>
                <w:sz w:val="22"/>
              </w:rPr>
              <w:t xml:space="preserve"> 4</w:t>
            </w:r>
          </w:p>
          <w:p>
            <w:pPr>
              <w:autoSpaceDE w:val="0"/>
              <w:autoSpaceDN w:val="0"/>
              <w:ind w:left="106"/>
              <w:jc w:val="left"/>
              <w:rPr>
                <w:rFonts w:ascii="宋体" w:hAnsi="宋体" w:cs="宋体"/>
                <w:color w:val="auto"/>
                <w:kern w:val="0"/>
                <w:sz w:val="22"/>
              </w:rPr>
            </w:pPr>
            <w:r>
              <w:rPr>
                <w:rFonts w:hint="eastAsia" w:ascii="宋体" w:hAnsi="宋体" w:cs="宋体"/>
                <w:color w:val="auto"/>
                <w:kern w:val="0"/>
                <w:sz w:val="22"/>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58" w:type="pct"/>
          </w:tcPr>
          <w:p>
            <w:pPr>
              <w:autoSpaceDE w:val="0"/>
              <w:autoSpaceDN w:val="0"/>
              <w:spacing w:before="70"/>
              <w:ind w:left="117" w:right="105"/>
              <w:jc w:val="center"/>
              <w:rPr>
                <w:rFonts w:ascii="宋体" w:hAnsi="宋体" w:cs="宋体"/>
                <w:color w:val="auto"/>
                <w:kern w:val="0"/>
                <w:sz w:val="22"/>
              </w:rPr>
            </w:pPr>
            <w:r>
              <w:rPr>
                <w:rFonts w:hint="eastAsia" w:ascii="宋体" w:hAnsi="宋体" w:cs="宋体"/>
                <w:color w:val="auto"/>
                <w:kern w:val="0"/>
                <w:sz w:val="22"/>
              </w:rPr>
              <w:t>林地巡护</w:t>
            </w:r>
          </w:p>
        </w:tc>
        <w:tc>
          <w:tcPr>
            <w:tcW w:w="285" w:type="pct"/>
          </w:tcPr>
          <w:p>
            <w:pPr>
              <w:autoSpaceDE w:val="0"/>
              <w:autoSpaceDN w:val="0"/>
              <w:ind w:left="146"/>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ind w:left="2"/>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ind w:right="140"/>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815" w:type="pct"/>
          </w:tcPr>
          <w:p>
            <w:pPr>
              <w:autoSpaceDE w:val="0"/>
              <w:autoSpaceDN w:val="0"/>
              <w:spacing w:before="70"/>
              <w:ind w:right="677"/>
              <w:jc w:val="right"/>
              <w:rPr>
                <w:rFonts w:ascii="宋体" w:hAnsi="宋体" w:cs="宋体"/>
                <w:color w:val="auto"/>
                <w:kern w:val="0"/>
                <w:sz w:val="22"/>
              </w:rPr>
            </w:pPr>
            <w:r>
              <w:rPr>
                <w:rFonts w:ascii="宋体" w:hAnsi="宋体" w:cs="宋体"/>
                <w:color w:val="auto"/>
                <w:kern w:val="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58" w:type="pct"/>
          </w:tcPr>
          <w:p>
            <w:pPr>
              <w:autoSpaceDE w:val="0"/>
              <w:autoSpaceDN w:val="0"/>
              <w:spacing w:before="67"/>
              <w:ind w:left="117" w:right="105"/>
              <w:jc w:val="center"/>
              <w:rPr>
                <w:rFonts w:ascii="宋体" w:hAnsi="宋体" w:cs="宋体"/>
                <w:color w:val="auto"/>
                <w:kern w:val="0"/>
                <w:sz w:val="22"/>
              </w:rPr>
            </w:pPr>
            <w:r>
              <w:rPr>
                <w:rFonts w:hint="eastAsia" w:ascii="宋体" w:hAnsi="宋体" w:cs="宋体"/>
                <w:color w:val="auto"/>
                <w:kern w:val="0"/>
                <w:sz w:val="22"/>
              </w:rPr>
              <w:t>施肥</w:t>
            </w:r>
          </w:p>
        </w:tc>
        <w:tc>
          <w:tcPr>
            <w:tcW w:w="285" w:type="pct"/>
          </w:tcPr>
          <w:p>
            <w:pPr>
              <w:autoSpaceDE w:val="0"/>
              <w:autoSpaceDN w:val="0"/>
              <w:ind w:left="201"/>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98"/>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94"/>
              <w:jc w:val="righ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2"/>
              <w:jc w:val="center"/>
              <w:rPr>
                <w:rFonts w:ascii="微软雅黑" w:hAnsi="宋体" w:cs="宋体"/>
                <w:b/>
                <w:color w:val="auto"/>
                <w:kern w:val="0"/>
                <w:sz w:val="22"/>
              </w:rPr>
            </w:pPr>
            <w:r>
              <w:rPr>
                <w:rFonts w:ascii="微软雅黑" w:hAnsi="宋体" w:cs="宋体"/>
                <w:b/>
                <w:color w:val="auto"/>
                <w:w w:val="114"/>
                <w:kern w:val="0"/>
                <w:sz w:val="22"/>
              </w:rPr>
              <w:t>-</w:t>
            </w:r>
          </w:p>
        </w:tc>
        <w:tc>
          <w:tcPr>
            <w:tcW w:w="287" w:type="pct"/>
          </w:tcPr>
          <w:p>
            <w:pPr>
              <w:autoSpaceDE w:val="0"/>
              <w:autoSpaceDN w:val="0"/>
              <w:ind w:left="2"/>
              <w:jc w:val="center"/>
              <w:rPr>
                <w:rFonts w:ascii="微软雅黑" w:hAnsi="宋体" w:cs="宋体"/>
                <w:b/>
                <w:color w:val="auto"/>
                <w:kern w:val="0"/>
                <w:sz w:val="22"/>
              </w:rPr>
            </w:pPr>
            <w:r>
              <w:rPr>
                <w:rFonts w:ascii="微软雅黑" w:hAnsi="宋体" w:cs="宋体"/>
                <w:b/>
                <w:color w:val="auto"/>
                <w:w w:val="114"/>
                <w:kern w:val="0"/>
                <w:sz w:val="22"/>
              </w:rPr>
              <w:t>-</w:t>
            </w:r>
          </w:p>
        </w:tc>
        <w:tc>
          <w:tcPr>
            <w:tcW w:w="287" w:type="pct"/>
          </w:tcPr>
          <w:p>
            <w:pPr>
              <w:autoSpaceDE w:val="0"/>
              <w:autoSpaceDN w:val="0"/>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ind w:right="140"/>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815" w:type="pct"/>
          </w:tcPr>
          <w:p>
            <w:pPr>
              <w:autoSpaceDE w:val="0"/>
              <w:autoSpaceDN w:val="0"/>
              <w:spacing w:before="67"/>
              <w:ind w:right="677"/>
              <w:jc w:val="right"/>
              <w:rPr>
                <w:rFonts w:ascii="宋体" w:hAnsi="宋体" w:cs="宋体"/>
                <w:color w:val="auto"/>
                <w:kern w:val="0"/>
                <w:sz w:val="22"/>
              </w:rPr>
            </w:pPr>
            <w:r>
              <w:rPr>
                <w:rFonts w:ascii="宋体" w:hAnsi="宋体" w:cs="宋体"/>
                <w:color w:val="auto"/>
                <w:kern w:val="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758" w:type="pct"/>
          </w:tcPr>
          <w:p>
            <w:pPr>
              <w:autoSpaceDE w:val="0"/>
              <w:autoSpaceDN w:val="0"/>
              <w:spacing w:before="6"/>
              <w:jc w:val="left"/>
              <w:rPr>
                <w:rFonts w:ascii="宋体" w:hAnsi="宋体" w:cs="宋体"/>
                <w:color w:val="auto"/>
                <w:kern w:val="0"/>
                <w:sz w:val="22"/>
              </w:rPr>
            </w:pPr>
          </w:p>
          <w:p>
            <w:pPr>
              <w:autoSpaceDE w:val="0"/>
              <w:autoSpaceDN w:val="0"/>
              <w:ind w:left="117" w:right="105"/>
              <w:jc w:val="center"/>
              <w:rPr>
                <w:rFonts w:ascii="宋体" w:hAnsi="宋体" w:cs="宋体"/>
                <w:color w:val="auto"/>
                <w:kern w:val="0"/>
                <w:sz w:val="22"/>
              </w:rPr>
            </w:pPr>
            <w:r>
              <w:rPr>
                <w:rFonts w:hint="eastAsia" w:ascii="宋体" w:hAnsi="宋体" w:cs="宋体"/>
                <w:color w:val="auto"/>
                <w:kern w:val="0"/>
                <w:sz w:val="22"/>
              </w:rPr>
              <w:t>病虫防控</w:t>
            </w:r>
          </w:p>
        </w:tc>
        <w:tc>
          <w:tcPr>
            <w:tcW w:w="285" w:type="pct"/>
          </w:tcPr>
          <w:p>
            <w:pPr>
              <w:autoSpaceDE w:val="0"/>
              <w:autoSpaceDN w:val="0"/>
              <w:jc w:val="left"/>
              <w:rPr>
                <w:rFonts w:ascii="宋体" w:hAnsi="宋体" w:cs="宋体"/>
                <w:color w:val="auto"/>
                <w:kern w:val="0"/>
                <w:sz w:val="17"/>
              </w:rPr>
            </w:pPr>
          </w:p>
          <w:p>
            <w:pPr>
              <w:autoSpaceDE w:val="0"/>
              <w:autoSpaceDN w:val="0"/>
              <w:ind w:left="201"/>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99"/>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jc w:val="left"/>
              <w:rPr>
                <w:rFonts w:ascii="宋体" w:hAnsi="宋体" w:cs="宋体"/>
                <w:color w:val="auto"/>
                <w:kern w:val="0"/>
                <w:sz w:val="17"/>
              </w:rPr>
            </w:pPr>
          </w:p>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jc w:val="left"/>
              <w:rPr>
                <w:rFonts w:ascii="宋体" w:hAnsi="宋体" w:cs="宋体"/>
                <w:color w:val="auto"/>
                <w:kern w:val="0"/>
                <w:sz w:val="17"/>
              </w:rPr>
            </w:pPr>
          </w:p>
          <w:p>
            <w:pPr>
              <w:autoSpaceDE w:val="0"/>
              <w:autoSpaceDN w:val="0"/>
              <w:ind w:left="2"/>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jc w:val="left"/>
              <w:rPr>
                <w:rFonts w:ascii="宋体" w:hAnsi="宋体" w:cs="宋体"/>
                <w:color w:val="auto"/>
                <w:kern w:val="0"/>
                <w:sz w:val="17"/>
              </w:rPr>
            </w:pPr>
          </w:p>
          <w:p>
            <w:pPr>
              <w:autoSpaceDE w:val="0"/>
              <w:autoSpaceDN w:val="0"/>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jc w:val="left"/>
              <w:rPr>
                <w:rFonts w:ascii="宋体" w:hAnsi="宋体" w:cs="宋体"/>
                <w:color w:val="auto"/>
                <w:kern w:val="0"/>
                <w:sz w:val="17"/>
              </w:rPr>
            </w:pPr>
          </w:p>
          <w:p>
            <w:pPr>
              <w:autoSpaceDE w:val="0"/>
              <w:autoSpaceDN w:val="0"/>
              <w:ind w:right="140"/>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815" w:type="pct"/>
          </w:tcPr>
          <w:p>
            <w:pPr>
              <w:autoSpaceDE w:val="0"/>
              <w:autoSpaceDN w:val="0"/>
              <w:ind w:left="106" w:right="94"/>
              <w:jc w:val="left"/>
              <w:rPr>
                <w:rFonts w:ascii="宋体" w:hAnsi="宋体" w:cs="宋体"/>
                <w:color w:val="auto"/>
                <w:kern w:val="0"/>
                <w:sz w:val="22"/>
              </w:rPr>
            </w:pPr>
            <w:r>
              <w:rPr>
                <w:rFonts w:hint="eastAsia" w:ascii="宋体" w:hAnsi="宋体" w:cs="宋体"/>
                <w:color w:val="auto"/>
                <w:kern w:val="0"/>
                <w:sz w:val="22"/>
              </w:rPr>
              <w:t>全年预防次数不少于</w:t>
            </w:r>
            <w:r>
              <w:rPr>
                <w:rFonts w:ascii="宋体" w:hAnsi="宋体" w:cs="宋体"/>
                <w:color w:val="auto"/>
                <w:kern w:val="0"/>
                <w:sz w:val="22"/>
              </w:rPr>
              <w:t xml:space="preserve"> 4</w:t>
            </w:r>
          </w:p>
          <w:p>
            <w:pPr>
              <w:autoSpaceDE w:val="0"/>
              <w:autoSpaceDN w:val="0"/>
              <w:ind w:left="106"/>
              <w:jc w:val="left"/>
              <w:rPr>
                <w:rFonts w:ascii="宋体" w:hAnsi="宋体" w:cs="宋体"/>
                <w:color w:val="auto"/>
                <w:kern w:val="0"/>
                <w:sz w:val="22"/>
              </w:rPr>
            </w:pPr>
            <w:r>
              <w:rPr>
                <w:rFonts w:hint="eastAsia" w:ascii="宋体" w:hAnsi="宋体" w:cs="宋体"/>
                <w:color w:val="auto"/>
                <w:kern w:val="0"/>
                <w:sz w:val="22"/>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58" w:type="pct"/>
          </w:tcPr>
          <w:p>
            <w:pPr>
              <w:autoSpaceDE w:val="0"/>
              <w:autoSpaceDN w:val="0"/>
              <w:spacing w:before="68"/>
              <w:ind w:left="117" w:right="105"/>
              <w:jc w:val="center"/>
              <w:rPr>
                <w:rFonts w:ascii="宋体" w:hAnsi="宋体" w:cs="宋体"/>
                <w:color w:val="auto"/>
                <w:kern w:val="0"/>
                <w:sz w:val="22"/>
              </w:rPr>
            </w:pPr>
            <w:r>
              <w:rPr>
                <w:rFonts w:hint="eastAsia" w:ascii="宋体" w:hAnsi="宋体" w:cs="宋体"/>
                <w:color w:val="auto"/>
                <w:kern w:val="0"/>
                <w:sz w:val="22"/>
              </w:rPr>
              <w:t>修枝</w:t>
            </w:r>
          </w:p>
        </w:tc>
        <w:tc>
          <w:tcPr>
            <w:tcW w:w="285" w:type="pct"/>
          </w:tcPr>
          <w:p>
            <w:pPr>
              <w:autoSpaceDE w:val="0"/>
              <w:autoSpaceDN w:val="0"/>
              <w:ind w:left="146"/>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99"/>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98"/>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right="194"/>
              <w:jc w:val="righ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right="194"/>
              <w:jc w:val="righ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2"/>
              <w:jc w:val="center"/>
              <w:rPr>
                <w:rFonts w:ascii="微软雅黑" w:hAnsi="宋体" w:cs="宋体"/>
                <w:b/>
                <w:color w:val="auto"/>
                <w:kern w:val="0"/>
                <w:sz w:val="22"/>
              </w:rPr>
            </w:pPr>
            <w:r>
              <w:rPr>
                <w:rFonts w:ascii="微软雅黑" w:hAnsi="宋体" w:cs="宋体"/>
                <w:b/>
                <w:color w:val="auto"/>
                <w:w w:val="114"/>
                <w:kern w:val="0"/>
                <w:sz w:val="22"/>
              </w:rPr>
              <w:t>-</w:t>
            </w:r>
          </w:p>
        </w:tc>
        <w:tc>
          <w:tcPr>
            <w:tcW w:w="287" w:type="pct"/>
          </w:tcPr>
          <w:p>
            <w:pPr>
              <w:autoSpaceDE w:val="0"/>
              <w:autoSpaceDN w:val="0"/>
              <w:ind w:left="2"/>
              <w:jc w:val="center"/>
              <w:rPr>
                <w:rFonts w:ascii="微软雅黑" w:hAnsi="宋体" w:cs="宋体"/>
                <w:b/>
                <w:color w:val="auto"/>
                <w:kern w:val="0"/>
                <w:sz w:val="22"/>
              </w:rPr>
            </w:pPr>
            <w:r>
              <w:rPr>
                <w:rFonts w:ascii="微软雅黑" w:hAnsi="宋体" w:cs="宋体"/>
                <w:b/>
                <w:color w:val="auto"/>
                <w:w w:val="114"/>
                <w:kern w:val="0"/>
                <w:sz w:val="22"/>
              </w:rPr>
              <w:t>-</w:t>
            </w:r>
          </w:p>
        </w:tc>
        <w:tc>
          <w:tcPr>
            <w:tcW w:w="287" w:type="pct"/>
          </w:tcPr>
          <w:p>
            <w:pPr>
              <w:autoSpaceDE w:val="0"/>
              <w:autoSpaceDN w:val="0"/>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ind w:right="140"/>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815" w:type="pct"/>
          </w:tcPr>
          <w:p>
            <w:pPr>
              <w:autoSpaceDE w:val="0"/>
              <w:autoSpaceDN w:val="0"/>
              <w:spacing w:before="68"/>
              <w:ind w:right="677"/>
              <w:jc w:val="right"/>
              <w:rPr>
                <w:rFonts w:ascii="宋体" w:hAnsi="宋体" w:cs="宋体"/>
                <w:color w:val="auto"/>
                <w:kern w:val="0"/>
                <w:sz w:val="22"/>
              </w:rPr>
            </w:pPr>
            <w:r>
              <w:rPr>
                <w:rFonts w:ascii="宋体" w:hAnsi="宋体" w:cs="宋体"/>
                <w:color w:val="auto"/>
                <w:kern w:val="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58" w:type="pct"/>
          </w:tcPr>
          <w:p>
            <w:pPr>
              <w:autoSpaceDE w:val="0"/>
              <w:autoSpaceDN w:val="0"/>
              <w:spacing w:before="70"/>
              <w:ind w:left="117" w:right="105"/>
              <w:jc w:val="center"/>
              <w:rPr>
                <w:rFonts w:ascii="宋体" w:hAnsi="宋体" w:cs="宋体"/>
                <w:color w:val="auto"/>
                <w:kern w:val="0"/>
                <w:sz w:val="22"/>
              </w:rPr>
            </w:pPr>
            <w:r>
              <w:rPr>
                <w:rFonts w:hint="eastAsia" w:ascii="宋体" w:hAnsi="宋体" w:cs="宋体"/>
                <w:color w:val="auto"/>
                <w:kern w:val="0"/>
                <w:sz w:val="22"/>
              </w:rPr>
              <w:t>涂白</w:t>
            </w:r>
          </w:p>
        </w:tc>
        <w:tc>
          <w:tcPr>
            <w:tcW w:w="285" w:type="pct"/>
          </w:tcPr>
          <w:p>
            <w:pPr>
              <w:autoSpaceDE w:val="0"/>
              <w:autoSpaceDN w:val="0"/>
              <w:ind w:left="146"/>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99"/>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
              <w:jc w:val="center"/>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98"/>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
              <w:jc w:val="center"/>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98"/>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right="194"/>
              <w:jc w:val="righ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right="194"/>
              <w:jc w:val="righ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2"/>
              <w:jc w:val="center"/>
              <w:rPr>
                <w:rFonts w:ascii="微软雅黑" w:hAnsi="宋体" w:cs="宋体"/>
                <w:b/>
                <w:color w:val="auto"/>
                <w:kern w:val="0"/>
                <w:sz w:val="22"/>
              </w:rPr>
            </w:pPr>
            <w:r>
              <w:rPr>
                <w:rFonts w:ascii="微软雅黑" w:hAnsi="宋体" w:cs="宋体"/>
                <w:b/>
                <w:color w:val="auto"/>
                <w:w w:val="114"/>
                <w:kern w:val="0"/>
                <w:sz w:val="22"/>
              </w:rPr>
              <w:t>-</w:t>
            </w:r>
          </w:p>
        </w:tc>
        <w:tc>
          <w:tcPr>
            <w:tcW w:w="287" w:type="pct"/>
          </w:tcPr>
          <w:p>
            <w:pPr>
              <w:autoSpaceDE w:val="0"/>
              <w:autoSpaceDN w:val="0"/>
              <w:ind w:left="2"/>
              <w:jc w:val="center"/>
              <w:rPr>
                <w:rFonts w:ascii="微软雅黑" w:hAnsi="宋体" w:cs="宋体"/>
                <w:b/>
                <w:color w:val="auto"/>
                <w:kern w:val="0"/>
                <w:sz w:val="22"/>
              </w:rPr>
            </w:pPr>
            <w:r>
              <w:rPr>
                <w:rFonts w:ascii="微软雅黑" w:hAnsi="宋体" w:cs="宋体"/>
                <w:b/>
                <w:color w:val="auto"/>
                <w:w w:val="114"/>
                <w:kern w:val="0"/>
                <w:sz w:val="22"/>
              </w:rPr>
              <w:t>-</w:t>
            </w:r>
          </w:p>
        </w:tc>
        <w:tc>
          <w:tcPr>
            <w:tcW w:w="287" w:type="pct"/>
          </w:tcPr>
          <w:p>
            <w:pPr>
              <w:autoSpaceDE w:val="0"/>
              <w:autoSpaceDN w:val="0"/>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ind w:right="140"/>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815" w:type="pct"/>
          </w:tcPr>
          <w:p>
            <w:pPr>
              <w:autoSpaceDE w:val="0"/>
              <w:autoSpaceDN w:val="0"/>
              <w:spacing w:before="70"/>
              <w:ind w:right="677"/>
              <w:jc w:val="right"/>
              <w:rPr>
                <w:rFonts w:ascii="宋体" w:hAnsi="宋体" w:cs="宋体"/>
                <w:color w:val="auto"/>
                <w:kern w:val="0"/>
                <w:sz w:val="22"/>
              </w:rPr>
            </w:pPr>
            <w:r>
              <w:rPr>
                <w:rFonts w:ascii="宋体" w:hAnsi="宋体" w:cs="宋体"/>
                <w:color w:val="auto"/>
                <w:kern w:val="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58" w:type="pct"/>
          </w:tcPr>
          <w:p>
            <w:pPr>
              <w:autoSpaceDE w:val="0"/>
              <w:autoSpaceDN w:val="0"/>
              <w:spacing w:before="70"/>
              <w:ind w:left="117" w:right="108"/>
              <w:jc w:val="center"/>
              <w:rPr>
                <w:rFonts w:ascii="宋体" w:hAnsi="宋体" w:cs="宋体"/>
                <w:color w:val="auto"/>
                <w:kern w:val="0"/>
                <w:sz w:val="22"/>
              </w:rPr>
            </w:pPr>
            <w:r>
              <w:rPr>
                <w:rFonts w:hint="eastAsia" w:ascii="宋体" w:hAnsi="宋体" w:cs="宋体"/>
                <w:color w:val="auto"/>
                <w:kern w:val="0"/>
                <w:sz w:val="22"/>
              </w:rPr>
              <w:t>间伐（挖）</w:t>
            </w:r>
          </w:p>
        </w:tc>
        <w:tc>
          <w:tcPr>
            <w:tcW w:w="285" w:type="pct"/>
          </w:tcPr>
          <w:p>
            <w:pPr>
              <w:autoSpaceDE w:val="0"/>
              <w:autoSpaceDN w:val="0"/>
              <w:ind w:left="146"/>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94"/>
              <w:jc w:val="righ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right="194"/>
              <w:jc w:val="righ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2"/>
              <w:jc w:val="center"/>
              <w:rPr>
                <w:rFonts w:ascii="微软雅黑" w:hAnsi="宋体" w:cs="宋体"/>
                <w:b/>
                <w:color w:val="auto"/>
                <w:kern w:val="0"/>
                <w:sz w:val="22"/>
              </w:rPr>
            </w:pPr>
            <w:r>
              <w:rPr>
                <w:rFonts w:ascii="微软雅黑" w:hAnsi="宋体" w:cs="宋体"/>
                <w:b/>
                <w:color w:val="auto"/>
                <w:w w:val="114"/>
                <w:kern w:val="0"/>
                <w:sz w:val="22"/>
              </w:rPr>
              <w:t>-</w:t>
            </w:r>
          </w:p>
        </w:tc>
        <w:tc>
          <w:tcPr>
            <w:tcW w:w="287" w:type="pct"/>
          </w:tcPr>
          <w:p>
            <w:pPr>
              <w:autoSpaceDE w:val="0"/>
              <w:autoSpaceDN w:val="0"/>
              <w:ind w:left="2"/>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ind w:right="140"/>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815" w:type="pct"/>
          </w:tcPr>
          <w:p>
            <w:pPr>
              <w:autoSpaceDE w:val="0"/>
              <w:autoSpaceDN w:val="0"/>
              <w:spacing w:before="70"/>
              <w:ind w:right="677"/>
              <w:jc w:val="right"/>
              <w:rPr>
                <w:rFonts w:ascii="宋体" w:hAnsi="宋体" w:cs="宋体"/>
                <w:color w:val="auto"/>
                <w:kern w:val="0"/>
                <w:sz w:val="22"/>
              </w:rPr>
            </w:pPr>
            <w:r>
              <w:rPr>
                <w:rFonts w:ascii="宋体" w:hAnsi="宋体" w:cs="宋体"/>
                <w:color w:val="auto"/>
                <w:kern w:val="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58" w:type="pct"/>
          </w:tcPr>
          <w:p>
            <w:pPr>
              <w:autoSpaceDE w:val="0"/>
              <w:autoSpaceDN w:val="0"/>
              <w:spacing w:before="67"/>
              <w:ind w:left="117" w:right="105"/>
              <w:jc w:val="center"/>
              <w:rPr>
                <w:rFonts w:ascii="宋体" w:hAnsi="宋体" w:cs="宋体"/>
                <w:color w:val="auto"/>
                <w:kern w:val="0"/>
                <w:sz w:val="22"/>
              </w:rPr>
            </w:pPr>
            <w:r>
              <w:rPr>
                <w:rFonts w:hint="eastAsia" w:ascii="宋体" w:hAnsi="宋体" w:cs="宋体"/>
                <w:color w:val="auto"/>
                <w:kern w:val="0"/>
                <w:sz w:val="22"/>
              </w:rPr>
              <w:t>防台防汛</w:t>
            </w:r>
          </w:p>
        </w:tc>
        <w:tc>
          <w:tcPr>
            <w:tcW w:w="285" w:type="pct"/>
          </w:tcPr>
          <w:p>
            <w:pPr>
              <w:autoSpaceDE w:val="0"/>
              <w:autoSpaceDN w:val="0"/>
              <w:ind w:left="201"/>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99"/>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
              <w:jc w:val="center"/>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98"/>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
              <w:jc w:val="center"/>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198"/>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ind w:left="2"/>
              <w:jc w:val="center"/>
              <w:rPr>
                <w:rFonts w:ascii="微软雅黑" w:hAnsi="宋体" w:cs="宋体"/>
                <w:b/>
                <w:color w:val="auto"/>
                <w:kern w:val="0"/>
                <w:sz w:val="22"/>
              </w:rPr>
            </w:pPr>
            <w:r>
              <w:rPr>
                <w:rFonts w:ascii="微软雅黑" w:hAnsi="宋体" w:cs="宋体"/>
                <w:b/>
                <w:color w:val="auto"/>
                <w:w w:val="114"/>
                <w:kern w:val="0"/>
                <w:sz w:val="22"/>
              </w:rPr>
              <w:t>-</w:t>
            </w:r>
          </w:p>
        </w:tc>
        <w:tc>
          <w:tcPr>
            <w:tcW w:w="287" w:type="pct"/>
          </w:tcPr>
          <w:p>
            <w:pPr>
              <w:autoSpaceDE w:val="0"/>
              <w:autoSpaceDN w:val="0"/>
              <w:ind w:left="6"/>
              <w:jc w:val="center"/>
              <w:rPr>
                <w:rFonts w:ascii="微软雅黑" w:hAnsi="宋体" w:cs="宋体"/>
                <w:b/>
                <w:color w:val="auto"/>
                <w:kern w:val="0"/>
                <w:sz w:val="22"/>
              </w:rPr>
            </w:pPr>
            <w:r>
              <w:rPr>
                <w:rFonts w:ascii="微软雅黑" w:hAnsi="宋体" w:cs="宋体"/>
                <w:b/>
                <w:color w:val="auto"/>
                <w:w w:val="114"/>
                <w:kern w:val="0"/>
                <w:sz w:val="22"/>
              </w:rPr>
              <w:t>-</w:t>
            </w:r>
          </w:p>
        </w:tc>
        <w:tc>
          <w:tcPr>
            <w:tcW w:w="288" w:type="pct"/>
          </w:tcPr>
          <w:p>
            <w:pPr>
              <w:autoSpaceDE w:val="0"/>
              <w:autoSpaceDN w:val="0"/>
              <w:ind w:right="195"/>
              <w:jc w:val="right"/>
              <w:rPr>
                <w:rFonts w:ascii="微软雅黑" w:hAnsi="宋体" w:cs="宋体"/>
                <w:b/>
                <w:color w:val="auto"/>
                <w:kern w:val="0"/>
                <w:sz w:val="22"/>
              </w:rPr>
            </w:pPr>
            <w:r>
              <w:rPr>
                <w:rFonts w:ascii="微软雅黑" w:hAnsi="宋体" w:cs="宋体"/>
                <w:b/>
                <w:color w:val="auto"/>
                <w:w w:val="114"/>
                <w:kern w:val="0"/>
                <w:sz w:val="22"/>
              </w:rPr>
              <w:t>-</w:t>
            </w:r>
          </w:p>
        </w:tc>
        <w:tc>
          <w:tcPr>
            <w:tcW w:w="815" w:type="pct"/>
          </w:tcPr>
          <w:p>
            <w:pPr>
              <w:autoSpaceDE w:val="0"/>
              <w:autoSpaceDN w:val="0"/>
              <w:spacing w:before="67"/>
              <w:ind w:right="677"/>
              <w:jc w:val="right"/>
              <w:rPr>
                <w:rFonts w:ascii="宋体" w:hAnsi="宋体" w:cs="宋体"/>
                <w:color w:val="auto"/>
                <w:kern w:val="0"/>
                <w:sz w:val="22"/>
              </w:rPr>
            </w:pPr>
            <w:r>
              <w:rPr>
                <w:rFonts w:ascii="宋体" w:hAnsi="宋体" w:cs="宋体"/>
                <w:color w:val="auto"/>
                <w:kern w:val="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58" w:type="pct"/>
          </w:tcPr>
          <w:p>
            <w:pPr>
              <w:autoSpaceDE w:val="0"/>
              <w:autoSpaceDN w:val="0"/>
              <w:spacing w:before="70"/>
              <w:ind w:left="117" w:right="105"/>
              <w:jc w:val="center"/>
              <w:rPr>
                <w:rFonts w:ascii="宋体" w:hAnsi="宋体" w:cs="宋体"/>
                <w:color w:val="auto"/>
                <w:kern w:val="0"/>
                <w:sz w:val="22"/>
              </w:rPr>
            </w:pPr>
            <w:r>
              <w:rPr>
                <w:rFonts w:hint="eastAsia" w:ascii="宋体" w:hAnsi="宋体" w:cs="宋体"/>
                <w:color w:val="auto"/>
                <w:kern w:val="0"/>
                <w:sz w:val="22"/>
              </w:rPr>
              <w:t>补植</w:t>
            </w:r>
          </w:p>
        </w:tc>
        <w:tc>
          <w:tcPr>
            <w:tcW w:w="285" w:type="pct"/>
          </w:tcPr>
          <w:p>
            <w:pPr>
              <w:autoSpaceDE w:val="0"/>
              <w:autoSpaceDN w:val="0"/>
              <w:ind w:left="146"/>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ind w:left="2"/>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ind w:right="140"/>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815" w:type="pct"/>
          </w:tcPr>
          <w:p>
            <w:pPr>
              <w:autoSpaceDE w:val="0"/>
              <w:autoSpaceDN w:val="0"/>
              <w:spacing w:before="70"/>
              <w:ind w:right="677"/>
              <w:jc w:val="right"/>
              <w:rPr>
                <w:rFonts w:ascii="宋体" w:hAnsi="宋体" w:cs="宋体"/>
                <w:color w:val="auto"/>
                <w:kern w:val="0"/>
                <w:sz w:val="22"/>
              </w:rPr>
            </w:pPr>
            <w:r>
              <w:rPr>
                <w:rFonts w:ascii="宋体" w:hAnsi="宋体" w:cs="宋体"/>
                <w:color w:val="auto"/>
                <w:kern w:val="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58" w:type="pct"/>
          </w:tcPr>
          <w:p>
            <w:pPr>
              <w:autoSpaceDE w:val="0"/>
              <w:autoSpaceDN w:val="0"/>
              <w:spacing w:before="70"/>
              <w:ind w:left="117" w:right="105"/>
              <w:jc w:val="center"/>
              <w:rPr>
                <w:rFonts w:ascii="宋体" w:hAnsi="宋体" w:cs="宋体"/>
                <w:color w:val="auto"/>
                <w:kern w:val="0"/>
                <w:sz w:val="22"/>
              </w:rPr>
            </w:pPr>
            <w:r>
              <w:rPr>
                <w:rFonts w:hint="eastAsia" w:ascii="宋体" w:hAnsi="宋体" w:cs="宋体"/>
                <w:color w:val="auto"/>
                <w:kern w:val="0"/>
                <w:sz w:val="22"/>
              </w:rPr>
              <w:t>防火</w:t>
            </w:r>
          </w:p>
        </w:tc>
        <w:tc>
          <w:tcPr>
            <w:tcW w:w="285" w:type="pct"/>
          </w:tcPr>
          <w:p>
            <w:pPr>
              <w:autoSpaceDE w:val="0"/>
              <w:autoSpaceDN w:val="0"/>
              <w:ind w:left="146"/>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ind w:left="198"/>
              <w:jc w:val="lef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right="194"/>
              <w:jc w:val="righ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right="194"/>
              <w:jc w:val="right"/>
              <w:rPr>
                <w:rFonts w:ascii="微软雅黑" w:hAnsi="宋体" w:cs="宋体"/>
                <w:b/>
                <w:color w:val="auto"/>
                <w:kern w:val="0"/>
                <w:sz w:val="22"/>
              </w:rPr>
            </w:pPr>
            <w:r>
              <w:rPr>
                <w:rFonts w:ascii="微软雅黑" w:hAnsi="宋体" w:cs="宋体"/>
                <w:b/>
                <w:color w:val="auto"/>
                <w:w w:val="114"/>
                <w:kern w:val="0"/>
                <w:sz w:val="22"/>
              </w:rPr>
              <w:t>-</w:t>
            </w:r>
          </w:p>
        </w:tc>
        <w:tc>
          <w:tcPr>
            <w:tcW w:w="285" w:type="pct"/>
          </w:tcPr>
          <w:p>
            <w:pPr>
              <w:autoSpaceDE w:val="0"/>
              <w:autoSpaceDN w:val="0"/>
              <w:ind w:left="2"/>
              <w:jc w:val="center"/>
              <w:rPr>
                <w:rFonts w:ascii="微软雅黑" w:hAnsi="宋体" w:cs="宋体"/>
                <w:b/>
                <w:color w:val="auto"/>
                <w:kern w:val="0"/>
                <w:sz w:val="22"/>
              </w:rPr>
            </w:pPr>
            <w:r>
              <w:rPr>
                <w:rFonts w:ascii="微软雅黑" w:hAnsi="宋体" w:cs="宋体"/>
                <w:b/>
                <w:color w:val="auto"/>
                <w:w w:val="114"/>
                <w:kern w:val="0"/>
                <w:sz w:val="22"/>
              </w:rPr>
              <w:t>-</w:t>
            </w:r>
          </w:p>
        </w:tc>
        <w:tc>
          <w:tcPr>
            <w:tcW w:w="287" w:type="pct"/>
          </w:tcPr>
          <w:p>
            <w:pPr>
              <w:autoSpaceDE w:val="0"/>
              <w:autoSpaceDN w:val="0"/>
              <w:ind w:left="2"/>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ind w:right="140"/>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815" w:type="pct"/>
          </w:tcPr>
          <w:p>
            <w:pPr>
              <w:autoSpaceDE w:val="0"/>
              <w:autoSpaceDN w:val="0"/>
              <w:spacing w:before="70"/>
              <w:ind w:right="677"/>
              <w:jc w:val="right"/>
              <w:rPr>
                <w:rFonts w:ascii="宋体" w:hAnsi="宋体" w:cs="宋体"/>
                <w:color w:val="auto"/>
                <w:kern w:val="0"/>
                <w:sz w:val="22"/>
              </w:rPr>
            </w:pPr>
            <w:r>
              <w:rPr>
                <w:rFonts w:ascii="宋体" w:hAnsi="宋体" w:cs="宋体"/>
                <w:color w:val="auto"/>
                <w:kern w:val="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58" w:type="pct"/>
          </w:tcPr>
          <w:p>
            <w:pPr>
              <w:autoSpaceDE w:val="0"/>
              <w:autoSpaceDN w:val="0"/>
              <w:ind w:left="117" w:right="108"/>
              <w:jc w:val="center"/>
              <w:rPr>
                <w:rFonts w:ascii="宋体" w:hAnsi="宋体" w:cs="宋体"/>
                <w:color w:val="auto"/>
                <w:kern w:val="0"/>
                <w:sz w:val="22"/>
              </w:rPr>
            </w:pPr>
            <w:r>
              <w:rPr>
                <w:rFonts w:hint="eastAsia" w:ascii="宋体" w:hAnsi="宋体" w:cs="宋体"/>
                <w:color w:val="auto"/>
                <w:kern w:val="0"/>
                <w:sz w:val="22"/>
              </w:rPr>
              <w:t>设备维护和</w:t>
            </w:r>
          </w:p>
          <w:p>
            <w:pPr>
              <w:autoSpaceDE w:val="0"/>
              <w:autoSpaceDN w:val="0"/>
              <w:spacing w:before="15"/>
              <w:ind w:left="117" w:right="105"/>
              <w:jc w:val="center"/>
              <w:rPr>
                <w:rFonts w:ascii="宋体" w:hAnsi="宋体" w:cs="宋体"/>
                <w:color w:val="auto"/>
                <w:kern w:val="0"/>
                <w:sz w:val="22"/>
              </w:rPr>
            </w:pPr>
            <w:r>
              <w:rPr>
                <w:rFonts w:hint="eastAsia" w:ascii="宋体" w:hAnsi="宋体" w:cs="宋体"/>
                <w:color w:val="auto"/>
                <w:kern w:val="0"/>
                <w:sz w:val="22"/>
              </w:rPr>
              <w:t>管理</w:t>
            </w:r>
          </w:p>
        </w:tc>
        <w:tc>
          <w:tcPr>
            <w:tcW w:w="285" w:type="pct"/>
          </w:tcPr>
          <w:p>
            <w:pPr>
              <w:autoSpaceDE w:val="0"/>
              <w:autoSpaceDN w:val="0"/>
              <w:spacing w:before="69"/>
              <w:ind w:left="146"/>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spacing w:before="69"/>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spacing w:before="69"/>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spacing w:before="69"/>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spacing w:before="69"/>
              <w:ind w:left="1"/>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spacing w:before="69"/>
              <w:ind w:left="143"/>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spacing w:before="69"/>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spacing w:before="69"/>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5" w:type="pct"/>
          </w:tcPr>
          <w:p>
            <w:pPr>
              <w:autoSpaceDE w:val="0"/>
              <w:autoSpaceDN w:val="0"/>
              <w:spacing w:before="69"/>
              <w:ind w:right="139"/>
              <w:jc w:val="righ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spacing w:before="69"/>
              <w:ind w:left="2"/>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7" w:type="pct"/>
          </w:tcPr>
          <w:p>
            <w:pPr>
              <w:autoSpaceDE w:val="0"/>
              <w:autoSpaceDN w:val="0"/>
              <w:spacing w:before="69"/>
              <w:ind w:left="148"/>
              <w:jc w:val="left"/>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288" w:type="pct"/>
          </w:tcPr>
          <w:p>
            <w:pPr>
              <w:autoSpaceDE w:val="0"/>
              <w:autoSpaceDN w:val="0"/>
              <w:spacing w:before="69"/>
              <w:ind w:left="6"/>
              <w:jc w:val="center"/>
              <w:rPr>
                <w:rFonts w:ascii="微软雅黑" w:hAnsi="宋体" w:eastAsia="微软雅黑" w:cs="宋体"/>
                <w:b/>
                <w:color w:val="auto"/>
                <w:kern w:val="0"/>
                <w:sz w:val="22"/>
              </w:rPr>
            </w:pPr>
            <w:r>
              <w:rPr>
                <w:rFonts w:hint="eastAsia" w:ascii="微软雅黑" w:hAnsi="宋体" w:eastAsia="微软雅黑" w:cs="宋体"/>
                <w:b/>
                <w:color w:val="auto"/>
                <w:w w:val="142"/>
                <w:kern w:val="0"/>
                <w:sz w:val="22"/>
              </w:rPr>
              <w:t>√</w:t>
            </w:r>
          </w:p>
        </w:tc>
        <w:tc>
          <w:tcPr>
            <w:tcW w:w="815" w:type="pct"/>
          </w:tcPr>
          <w:p>
            <w:pPr>
              <w:autoSpaceDE w:val="0"/>
              <w:autoSpaceDN w:val="0"/>
              <w:spacing w:before="140"/>
              <w:ind w:right="677"/>
              <w:jc w:val="right"/>
              <w:rPr>
                <w:rFonts w:ascii="宋体" w:hAnsi="宋体" w:cs="宋体"/>
                <w:color w:val="auto"/>
                <w:kern w:val="0"/>
                <w:sz w:val="22"/>
              </w:rPr>
            </w:pPr>
            <w:r>
              <w:rPr>
                <w:rFonts w:ascii="宋体" w:hAnsi="宋体" w:cs="宋体"/>
                <w:color w:val="auto"/>
                <w:kern w:val="0"/>
                <w:sz w:val="22"/>
              </w:rPr>
              <w:t>-</w:t>
            </w:r>
          </w:p>
        </w:tc>
      </w:tr>
    </w:tbl>
    <w:p>
      <w:pPr>
        <w:tabs>
          <w:tab w:val="left" w:pos="540"/>
          <w:tab w:val="left" w:pos="900"/>
        </w:tabs>
        <w:jc w:val="left"/>
        <w:rPr>
          <w:color w:val="auto"/>
          <w:szCs w:val="20"/>
          <w:u w:val="single"/>
        </w:rPr>
      </w:pPr>
    </w:p>
    <w:p>
      <w:pPr>
        <w:tabs>
          <w:tab w:val="left" w:pos="540"/>
          <w:tab w:val="left" w:pos="900"/>
        </w:tabs>
        <w:jc w:val="left"/>
        <w:rPr>
          <w:b/>
          <w:color w:val="auto"/>
          <w:szCs w:val="20"/>
          <w:u w:val="single"/>
        </w:rPr>
      </w:pPr>
      <w:r>
        <w:rPr>
          <w:rFonts w:hint="eastAsia"/>
          <w:b/>
          <w:color w:val="auto"/>
          <w:szCs w:val="20"/>
        </w:rPr>
        <w:t>附录</w:t>
      </w:r>
      <w:r>
        <w:rPr>
          <w:b/>
          <w:color w:val="auto"/>
          <w:szCs w:val="20"/>
        </w:rPr>
        <w:t xml:space="preserve"> C</w:t>
      </w:r>
      <w:r>
        <w:rPr>
          <w:rFonts w:hint="eastAsia"/>
          <w:b/>
          <w:color w:val="auto"/>
          <w:szCs w:val="20"/>
        </w:rPr>
        <w:t>：</w:t>
      </w:r>
      <w:r>
        <w:rPr>
          <w:color w:val="auto"/>
        </w:rPr>
        <w:fldChar w:fldCharType="begin"/>
      </w:r>
      <w:r>
        <w:rPr>
          <w:color w:val="auto"/>
        </w:rPr>
        <w:instrText xml:space="preserve"> HYPERLINK "http://sh.110.com/" \h </w:instrText>
      </w:r>
      <w:r>
        <w:rPr>
          <w:color w:val="auto"/>
        </w:rPr>
        <w:fldChar w:fldCharType="separate"/>
      </w:r>
      <w:r>
        <w:rPr>
          <w:b/>
          <w:color w:val="auto"/>
          <w:szCs w:val="20"/>
          <w:u w:val="single"/>
        </w:rPr>
        <w:t xml:space="preserve"> </w:t>
      </w:r>
      <w:r>
        <w:rPr>
          <w:rFonts w:hint="eastAsia"/>
          <w:b/>
          <w:color w:val="auto"/>
          <w:szCs w:val="20"/>
          <w:u w:val="single"/>
        </w:rPr>
        <w:t>上海</w:t>
      </w:r>
      <w:r>
        <w:rPr>
          <w:rFonts w:hint="eastAsia"/>
          <w:b/>
          <w:color w:val="auto"/>
          <w:szCs w:val="20"/>
          <w:u w:val="single"/>
        </w:rPr>
        <w:fldChar w:fldCharType="end"/>
      </w:r>
      <w:r>
        <w:rPr>
          <w:rFonts w:hint="eastAsia"/>
          <w:b/>
          <w:color w:val="auto"/>
          <w:szCs w:val="20"/>
        </w:rPr>
        <w:t>市公益林主要病虫害防治月历</w:t>
      </w:r>
    </w:p>
    <w:tbl>
      <w:tblPr>
        <w:tblStyle w:val="50"/>
        <w:tblW w:w="50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
        <w:gridCol w:w="1511"/>
        <w:gridCol w:w="1903"/>
        <w:gridCol w:w="1492"/>
        <w:gridCol w:w="1831"/>
        <w:gridCol w:w="1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Align w:val="center"/>
          </w:tcPr>
          <w:p>
            <w:pPr>
              <w:autoSpaceDE w:val="0"/>
              <w:autoSpaceDN w:val="0"/>
              <w:ind w:left="91" w:right="80"/>
              <w:jc w:val="center"/>
              <w:rPr>
                <w:rFonts w:ascii="微软雅黑" w:hAnsi="宋体" w:eastAsia="微软雅黑" w:cs="宋体"/>
                <w:b/>
                <w:color w:val="auto"/>
                <w:kern w:val="0"/>
                <w:sz w:val="22"/>
              </w:rPr>
            </w:pPr>
            <w:r>
              <w:rPr>
                <w:rFonts w:hint="eastAsia" w:ascii="微软雅黑" w:hAnsi="宋体" w:eastAsia="微软雅黑" w:cs="宋体"/>
                <w:b/>
                <w:color w:val="auto"/>
                <w:kern w:val="0"/>
                <w:sz w:val="22"/>
              </w:rPr>
              <w:t>月份</w:t>
            </w:r>
          </w:p>
        </w:tc>
        <w:tc>
          <w:tcPr>
            <w:tcW w:w="779" w:type="pct"/>
            <w:vAlign w:val="center"/>
          </w:tcPr>
          <w:p>
            <w:pPr>
              <w:autoSpaceDE w:val="0"/>
              <w:autoSpaceDN w:val="0"/>
              <w:ind w:left="119" w:right="109"/>
              <w:jc w:val="center"/>
              <w:rPr>
                <w:rFonts w:ascii="微软雅黑" w:hAnsi="宋体" w:eastAsia="微软雅黑" w:cs="宋体"/>
                <w:b/>
                <w:color w:val="auto"/>
                <w:kern w:val="0"/>
                <w:sz w:val="22"/>
              </w:rPr>
            </w:pPr>
            <w:r>
              <w:rPr>
                <w:rFonts w:hint="eastAsia" w:ascii="微软雅黑" w:hAnsi="宋体" w:eastAsia="微软雅黑" w:cs="宋体"/>
                <w:b/>
                <w:color w:val="auto"/>
                <w:kern w:val="0"/>
                <w:sz w:val="22"/>
              </w:rPr>
              <w:t>病虫名称</w:t>
            </w:r>
          </w:p>
        </w:tc>
        <w:tc>
          <w:tcPr>
            <w:tcW w:w="981" w:type="pct"/>
            <w:vAlign w:val="center"/>
          </w:tcPr>
          <w:p>
            <w:pPr>
              <w:autoSpaceDE w:val="0"/>
              <w:autoSpaceDN w:val="0"/>
              <w:ind w:left="22" w:right="15"/>
              <w:jc w:val="center"/>
              <w:rPr>
                <w:rFonts w:ascii="微软雅黑" w:hAnsi="宋体" w:eastAsia="微软雅黑" w:cs="宋体"/>
                <w:b/>
                <w:color w:val="auto"/>
                <w:kern w:val="0"/>
                <w:sz w:val="22"/>
              </w:rPr>
            </w:pPr>
            <w:r>
              <w:rPr>
                <w:rFonts w:hint="eastAsia" w:ascii="微软雅黑" w:hAnsi="宋体" w:eastAsia="微软雅黑" w:cs="宋体"/>
                <w:b/>
                <w:color w:val="auto"/>
                <w:kern w:val="0"/>
                <w:sz w:val="22"/>
              </w:rPr>
              <w:t>防治时间</w:t>
            </w:r>
          </w:p>
        </w:tc>
        <w:tc>
          <w:tcPr>
            <w:tcW w:w="769" w:type="pct"/>
            <w:vAlign w:val="center"/>
          </w:tcPr>
          <w:p>
            <w:pPr>
              <w:autoSpaceDE w:val="0"/>
              <w:autoSpaceDN w:val="0"/>
              <w:ind w:left="109" w:right="101"/>
              <w:jc w:val="center"/>
              <w:rPr>
                <w:rFonts w:ascii="微软雅黑" w:hAnsi="宋体" w:eastAsia="微软雅黑" w:cs="宋体"/>
                <w:b/>
                <w:color w:val="auto"/>
                <w:kern w:val="0"/>
                <w:sz w:val="22"/>
              </w:rPr>
            </w:pPr>
            <w:r>
              <w:rPr>
                <w:rFonts w:hint="eastAsia" w:ascii="微软雅黑" w:hAnsi="宋体" w:eastAsia="微软雅黑" w:cs="宋体"/>
                <w:b/>
                <w:color w:val="auto"/>
                <w:kern w:val="0"/>
                <w:sz w:val="22"/>
              </w:rPr>
              <w:t>防治方法</w:t>
            </w:r>
          </w:p>
        </w:tc>
        <w:tc>
          <w:tcPr>
            <w:tcW w:w="944" w:type="pct"/>
            <w:vAlign w:val="center"/>
          </w:tcPr>
          <w:p>
            <w:pPr>
              <w:autoSpaceDE w:val="0"/>
              <w:autoSpaceDN w:val="0"/>
              <w:ind w:left="7"/>
              <w:jc w:val="center"/>
              <w:rPr>
                <w:rFonts w:ascii="微软雅黑" w:hAnsi="宋体" w:eastAsia="微软雅黑" w:cs="宋体"/>
                <w:b/>
                <w:color w:val="auto"/>
                <w:kern w:val="0"/>
                <w:sz w:val="22"/>
              </w:rPr>
            </w:pPr>
            <w:r>
              <w:rPr>
                <w:rFonts w:hint="eastAsia" w:ascii="微软雅黑" w:hAnsi="宋体" w:eastAsia="微软雅黑" w:cs="宋体"/>
                <w:b/>
                <w:color w:val="auto"/>
                <w:kern w:val="0"/>
                <w:sz w:val="22"/>
              </w:rPr>
              <w:t>防治虫态</w:t>
            </w:r>
          </w:p>
        </w:tc>
        <w:tc>
          <w:tcPr>
            <w:tcW w:w="1030" w:type="pct"/>
            <w:vAlign w:val="center"/>
          </w:tcPr>
          <w:p>
            <w:pPr>
              <w:autoSpaceDE w:val="0"/>
              <w:autoSpaceDN w:val="0"/>
              <w:ind w:left="225" w:right="225"/>
              <w:jc w:val="center"/>
              <w:rPr>
                <w:rFonts w:ascii="微软雅黑" w:hAnsi="宋体" w:eastAsia="微软雅黑" w:cs="宋体"/>
                <w:b/>
                <w:color w:val="auto"/>
                <w:kern w:val="0"/>
                <w:sz w:val="22"/>
              </w:rPr>
            </w:pPr>
            <w:r>
              <w:rPr>
                <w:rFonts w:hint="eastAsia" w:ascii="微软雅黑" w:hAnsi="宋体" w:eastAsia="微软雅黑" w:cs="宋体"/>
                <w:b/>
                <w:color w:val="auto"/>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Align w:val="center"/>
          </w:tcPr>
          <w:p>
            <w:pPr>
              <w:autoSpaceDE w:val="0"/>
              <w:autoSpaceDN w:val="0"/>
              <w:spacing w:before="70"/>
              <w:ind w:left="91" w:right="80"/>
              <w:jc w:val="center"/>
              <w:rPr>
                <w:rFonts w:ascii="宋体" w:hAnsi="宋体" w:cs="宋体"/>
                <w:color w:val="auto"/>
                <w:kern w:val="0"/>
                <w:sz w:val="22"/>
              </w:rPr>
            </w:pPr>
            <w:r>
              <w:rPr>
                <w:rFonts w:hint="eastAsia" w:ascii="宋体" w:hAnsi="宋体" w:cs="宋体"/>
                <w:color w:val="auto"/>
                <w:kern w:val="0"/>
                <w:sz w:val="22"/>
              </w:rPr>
              <w:t>一月</w:t>
            </w:r>
          </w:p>
        </w:tc>
        <w:tc>
          <w:tcPr>
            <w:tcW w:w="779" w:type="pct"/>
            <w:vAlign w:val="center"/>
          </w:tcPr>
          <w:p>
            <w:pPr>
              <w:autoSpaceDE w:val="0"/>
              <w:autoSpaceDN w:val="0"/>
              <w:spacing w:before="70"/>
              <w:ind w:left="5"/>
              <w:jc w:val="center"/>
              <w:rPr>
                <w:rFonts w:ascii="宋体" w:hAnsi="宋体" w:cs="宋体"/>
                <w:color w:val="auto"/>
                <w:kern w:val="0"/>
                <w:sz w:val="22"/>
              </w:rPr>
            </w:pPr>
            <w:r>
              <w:rPr>
                <w:rFonts w:ascii="宋体" w:hAnsi="宋体" w:cs="宋体"/>
                <w:color w:val="auto"/>
                <w:kern w:val="0"/>
                <w:sz w:val="22"/>
              </w:rPr>
              <w:t>-</w:t>
            </w:r>
          </w:p>
        </w:tc>
        <w:tc>
          <w:tcPr>
            <w:tcW w:w="981" w:type="pct"/>
            <w:vAlign w:val="center"/>
          </w:tcPr>
          <w:p>
            <w:pPr>
              <w:autoSpaceDE w:val="0"/>
              <w:autoSpaceDN w:val="0"/>
              <w:ind w:left="3"/>
              <w:jc w:val="center"/>
              <w:rPr>
                <w:rFonts w:ascii="宋体" w:hAnsi="宋体" w:cs="宋体"/>
                <w:color w:val="auto"/>
                <w:kern w:val="0"/>
                <w:sz w:val="22"/>
              </w:rPr>
            </w:pPr>
            <w:r>
              <w:rPr>
                <w:rFonts w:ascii="宋体" w:hAnsi="宋体" w:cs="宋体"/>
                <w:color w:val="auto"/>
                <w:kern w:val="0"/>
                <w:sz w:val="22"/>
              </w:rPr>
              <w:t>-</w:t>
            </w:r>
          </w:p>
        </w:tc>
        <w:tc>
          <w:tcPr>
            <w:tcW w:w="769" w:type="pct"/>
            <w:vAlign w:val="center"/>
          </w:tcPr>
          <w:p>
            <w:pPr>
              <w:autoSpaceDE w:val="0"/>
              <w:autoSpaceDN w:val="0"/>
              <w:ind w:left="4"/>
              <w:jc w:val="center"/>
              <w:rPr>
                <w:rFonts w:ascii="宋体" w:hAnsi="宋体" w:cs="宋体"/>
                <w:color w:val="auto"/>
                <w:kern w:val="0"/>
                <w:sz w:val="22"/>
              </w:rPr>
            </w:pPr>
            <w:r>
              <w:rPr>
                <w:rFonts w:ascii="宋体" w:hAnsi="宋体" w:cs="宋体"/>
                <w:color w:val="auto"/>
                <w:kern w:val="0"/>
                <w:sz w:val="22"/>
              </w:rPr>
              <w:t>-</w:t>
            </w:r>
          </w:p>
        </w:tc>
        <w:tc>
          <w:tcPr>
            <w:tcW w:w="944" w:type="pct"/>
            <w:vAlign w:val="center"/>
          </w:tcPr>
          <w:p>
            <w:pPr>
              <w:autoSpaceDE w:val="0"/>
              <w:autoSpaceDN w:val="0"/>
              <w:ind w:left="2"/>
              <w:jc w:val="center"/>
              <w:rPr>
                <w:rFonts w:ascii="宋体" w:hAnsi="宋体" w:cs="宋体"/>
                <w:color w:val="auto"/>
                <w:kern w:val="0"/>
                <w:sz w:val="22"/>
              </w:rPr>
            </w:pPr>
            <w:r>
              <w:rPr>
                <w:rFonts w:ascii="宋体" w:hAnsi="宋体" w:cs="宋体"/>
                <w:color w:val="auto"/>
                <w:kern w:val="0"/>
                <w:sz w:val="22"/>
              </w:rPr>
              <w:t>-</w:t>
            </w:r>
          </w:p>
        </w:tc>
        <w:tc>
          <w:tcPr>
            <w:tcW w:w="1030" w:type="pct"/>
            <w:vMerge w:val="restart"/>
            <w:vAlign w:val="center"/>
          </w:tcPr>
          <w:p>
            <w:pPr>
              <w:autoSpaceDE w:val="0"/>
              <w:autoSpaceDN w:val="0"/>
              <w:spacing w:before="151"/>
              <w:ind w:left="105" w:right="92"/>
              <w:jc w:val="center"/>
              <w:rPr>
                <w:rFonts w:ascii="宋体" w:hAnsi="宋体" w:cs="宋体"/>
                <w:color w:val="auto"/>
                <w:kern w:val="0"/>
                <w:sz w:val="22"/>
              </w:rPr>
            </w:pPr>
            <w:r>
              <w:rPr>
                <w:rFonts w:hint="eastAsia" w:ascii="宋体" w:hAnsi="宋体" w:cs="宋体"/>
                <w:color w:val="auto"/>
                <w:kern w:val="0"/>
                <w:sz w:val="22"/>
              </w:rPr>
              <w:t>冬季调查、清园等田间管理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95" w:type="pct"/>
            <w:vAlign w:val="center"/>
          </w:tcPr>
          <w:p>
            <w:pPr>
              <w:autoSpaceDE w:val="0"/>
              <w:autoSpaceDN w:val="0"/>
              <w:spacing w:before="70"/>
              <w:ind w:left="91" w:right="80"/>
              <w:jc w:val="center"/>
              <w:rPr>
                <w:rFonts w:ascii="宋体" w:hAnsi="宋体" w:cs="宋体"/>
                <w:color w:val="auto"/>
                <w:kern w:val="0"/>
                <w:sz w:val="22"/>
              </w:rPr>
            </w:pPr>
            <w:r>
              <w:rPr>
                <w:rFonts w:hint="eastAsia" w:ascii="宋体" w:hAnsi="宋体" w:cs="宋体"/>
                <w:color w:val="auto"/>
                <w:kern w:val="0"/>
                <w:sz w:val="22"/>
              </w:rPr>
              <w:t>二月</w:t>
            </w:r>
          </w:p>
        </w:tc>
        <w:tc>
          <w:tcPr>
            <w:tcW w:w="779" w:type="pct"/>
            <w:vAlign w:val="center"/>
          </w:tcPr>
          <w:p>
            <w:pPr>
              <w:autoSpaceDE w:val="0"/>
              <w:autoSpaceDN w:val="0"/>
              <w:spacing w:before="70"/>
              <w:ind w:left="5"/>
              <w:jc w:val="center"/>
              <w:rPr>
                <w:rFonts w:ascii="宋体" w:hAnsi="宋体" w:cs="宋体"/>
                <w:color w:val="auto"/>
                <w:kern w:val="0"/>
                <w:sz w:val="22"/>
              </w:rPr>
            </w:pPr>
            <w:r>
              <w:rPr>
                <w:rFonts w:ascii="宋体" w:hAnsi="宋体" w:cs="宋体"/>
                <w:color w:val="auto"/>
                <w:kern w:val="0"/>
                <w:sz w:val="22"/>
              </w:rPr>
              <w:t>-</w:t>
            </w:r>
          </w:p>
        </w:tc>
        <w:tc>
          <w:tcPr>
            <w:tcW w:w="981" w:type="pct"/>
            <w:vAlign w:val="center"/>
          </w:tcPr>
          <w:p>
            <w:pPr>
              <w:autoSpaceDE w:val="0"/>
              <w:autoSpaceDN w:val="0"/>
              <w:ind w:left="3"/>
              <w:jc w:val="center"/>
              <w:rPr>
                <w:rFonts w:ascii="宋体" w:hAnsi="宋体" w:cs="宋体"/>
                <w:color w:val="auto"/>
                <w:kern w:val="0"/>
                <w:sz w:val="22"/>
              </w:rPr>
            </w:pPr>
            <w:r>
              <w:rPr>
                <w:rFonts w:ascii="宋体" w:hAnsi="宋体" w:cs="宋体"/>
                <w:color w:val="auto"/>
                <w:kern w:val="0"/>
                <w:sz w:val="22"/>
              </w:rPr>
              <w:t>-</w:t>
            </w:r>
          </w:p>
        </w:tc>
        <w:tc>
          <w:tcPr>
            <w:tcW w:w="769" w:type="pct"/>
            <w:vAlign w:val="center"/>
          </w:tcPr>
          <w:p>
            <w:pPr>
              <w:autoSpaceDE w:val="0"/>
              <w:autoSpaceDN w:val="0"/>
              <w:ind w:left="4"/>
              <w:jc w:val="center"/>
              <w:rPr>
                <w:rFonts w:ascii="宋体" w:hAnsi="宋体" w:cs="宋体"/>
                <w:color w:val="auto"/>
                <w:kern w:val="0"/>
                <w:sz w:val="22"/>
              </w:rPr>
            </w:pPr>
            <w:r>
              <w:rPr>
                <w:rFonts w:ascii="宋体" w:hAnsi="宋体" w:cs="宋体"/>
                <w:color w:val="auto"/>
                <w:kern w:val="0"/>
                <w:sz w:val="22"/>
              </w:rPr>
              <w:t>-</w:t>
            </w:r>
          </w:p>
        </w:tc>
        <w:tc>
          <w:tcPr>
            <w:tcW w:w="944" w:type="pct"/>
            <w:vAlign w:val="center"/>
          </w:tcPr>
          <w:p>
            <w:pPr>
              <w:autoSpaceDE w:val="0"/>
              <w:autoSpaceDN w:val="0"/>
              <w:ind w:left="2"/>
              <w:jc w:val="center"/>
              <w:rPr>
                <w:rFonts w:ascii="宋体" w:hAnsi="宋体" w:cs="宋体"/>
                <w:color w:val="auto"/>
                <w:kern w:val="0"/>
                <w:sz w:val="22"/>
              </w:rPr>
            </w:pPr>
            <w:r>
              <w:rPr>
                <w:rFonts w:ascii="宋体" w:hAnsi="宋体" w:cs="宋体"/>
                <w:color w:val="auto"/>
                <w:kern w:val="0"/>
                <w:sz w:val="22"/>
              </w:rPr>
              <w:t>-</w:t>
            </w:r>
          </w:p>
        </w:tc>
        <w:tc>
          <w:tcPr>
            <w:tcW w:w="1030" w:type="pct"/>
            <w:vMerge w:val="continue"/>
            <w:tcBorders>
              <w:top w:val="nil"/>
            </w:tcBorders>
            <w:vAlign w:val="center"/>
          </w:tcPr>
          <w:p>
            <w:pPr>
              <w:jc w:val="cente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restart"/>
            <w:vAlign w:val="center"/>
          </w:tcPr>
          <w:p>
            <w:pPr>
              <w:autoSpaceDE w:val="0"/>
              <w:autoSpaceDN w:val="0"/>
              <w:ind w:left="220"/>
              <w:jc w:val="center"/>
              <w:rPr>
                <w:rFonts w:ascii="宋体" w:hAnsi="宋体" w:cs="宋体"/>
                <w:color w:val="auto"/>
                <w:kern w:val="0"/>
                <w:sz w:val="22"/>
              </w:rPr>
            </w:pPr>
            <w:r>
              <w:rPr>
                <w:rFonts w:hint="eastAsia" w:ascii="宋体" w:hAnsi="宋体" w:cs="宋体"/>
                <w:color w:val="auto"/>
                <w:kern w:val="0"/>
                <w:sz w:val="22"/>
              </w:rPr>
              <w:t>三月</w:t>
            </w:r>
          </w:p>
        </w:tc>
        <w:tc>
          <w:tcPr>
            <w:tcW w:w="779" w:type="pct"/>
            <w:vAlign w:val="center"/>
          </w:tcPr>
          <w:p>
            <w:pPr>
              <w:autoSpaceDE w:val="0"/>
              <w:autoSpaceDN w:val="0"/>
              <w:spacing w:before="67"/>
              <w:ind w:left="119" w:right="109"/>
              <w:jc w:val="center"/>
              <w:rPr>
                <w:rFonts w:ascii="宋体" w:hAnsi="宋体" w:cs="宋体"/>
                <w:color w:val="auto"/>
                <w:kern w:val="0"/>
                <w:sz w:val="22"/>
              </w:rPr>
            </w:pPr>
            <w:r>
              <w:rPr>
                <w:rFonts w:hint="eastAsia" w:ascii="宋体" w:hAnsi="宋体" w:cs="宋体"/>
                <w:color w:val="auto"/>
                <w:kern w:val="0"/>
                <w:sz w:val="22"/>
              </w:rPr>
              <w:t>樟叶蜂</w:t>
            </w:r>
          </w:p>
        </w:tc>
        <w:tc>
          <w:tcPr>
            <w:tcW w:w="981" w:type="pct"/>
            <w:vAlign w:val="center"/>
          </w:tcPr>
          <w:p>
            <w:pPr>
              <w:autoSpaceDE w:val="0"/>
              <w:autoSpaceDN w:val="0"/>
              <w:spacing w:before="67"/>
              <w:ind w:left="20" w:right="15"/>
              <w:jc w:val="center"/>
              <w:rPr>
                <w:rFonts w:ascii="宋体" w:hAnsi="宋体" w:cs="宋体"/>
                <w:color w:val="auto"/>
                <w:kern w:val="0"/>
                <w:sz w:val="22"/>
              </w:rPr>
            </w:pPr>
            <w:r>
              <w:rPr>
                <w:rFonts w:ascii="宋体" w:hAnsi="宋体" w:cs="宋体"/>
                <w:color w:val="auto"/>
                <w:kern w:val="0"/>
                <w:sz w:val="22"/>
              </w:rPr>
              <w:t xml:space="preserve">3 </w:t>
            </w:r>
            <w:r>
              <w:rPr>
                <w:rFonts w:hint="eastAsia" w:ascii="宋体" w:hAnsi="宋体" w:cs="宋体"/>
                <w:color w:val="auto"/>
                <w:kern w:val="0"/>
                <w:sz w:val="22"/>
              </w:rPr>
              <w:t>月中旬</w:t>
            </w:r>
          </w:p>
        </w:tc>
        <w:tc>
          <w:tcPr>
            <w:tcW w:w="769" w:type="pct"/>
            <w:vAlign w:val="center"/>
          </w:tcPr>
          <w:p>
            <w:pPr>
              <w:autoSpaceDE w:val="0"/>
              <w:autoSpaceDN w:val="0"/>
              <w:spacing w:before="67"/>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7"/>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70"/>
              <w:ind w:left="119" w:right="111"/>
              <w:jc w:val="center"/>
              <w:rPr>
                <w:rFonts w:ascii="宋体" w:hAnsi="宋体" w:cs="宋体"/>
                <w:color w:val="auto"/>
                <w:kern w:val="0"/>
                <w:sz w:val="22"/>
              </w:rPr>
            </w:pPr>
            <w:r>
              <w:rPr>
                <w:rFonts w:hint="eastAsia" w:ascii="宋体" w:hAnsi="宋体" w:cs="宋体"/>
                <w:color w:val="auto"/>
                <w:kern w:val="0"/>
                <w:sz w:val="22"/>
              </w:rPr>
              <w:t>双条杉天牛</w:t>
            </w:r>
          </w:p>
        </w:tc>
        <w:tc>
          <w:tcPr>
            <w:tcW w:w="981" w:type="pct"/>
            <w:vAlign w:val="center"/>
          </w:tcPr>
          <w:p>
            <w:pPr>
              <w:autoSpaceDE w:val="0"/>
              <w:autoSpaceDN w:val="0"/>
              <w:spacing w:before="70"/>
              <w:ind w:left="22" w:right="15"/>
              <w:jc w:val="center"/>
              <w:rPr>
                <w:rFonts w:ascii="宋体" w:hAnsi="宋体" w:cs="宋体"/>
                <w:color w:val="auto"/>
                <w:kern w:val="0"/>
                <w:sz w:val="22"/>
              </w:rPr>
            </w:pPr>
            <w:r>
              <w:rPr>
                <w:rFonts w:ascii="宋体" w:hAnsi="宋体" w:cs="宋体"/>
                <w:color w:val="auto"/>
                <w:kern w:val="0"/>
                <w:sz w:val="22"/>
              </w:rPr>
              <w:t xml:space="preserve">3 </w:t>
            </w:r>
            <w:r>
              <w:rPr>
                <w:rFonts w:hint="eastAsia" w:ascii="宋体" w:hAnsi="宋体" w:cs="宋体"/>
                <w:color w:val="auto"/>
                <w:kern w:val="0"/>
                <w:sz w:val="22"/>
              </w:rPr>
              <w:t>月</w:t>
            </w:r>
            <w:r>
              <w:rPr>
                <w:rFonts w:ascii="宋体" w:hAnsi="宋体" w:cs="宋体"/>
                <w:color w:val="auto"/>
                <w:kern w:val="0"/>
                <w:sz w:val="22"/>
              </w:rPr>
              <w:t xml:space="preserve">—4 </w:t>
            </w:r>
            <w:r>
              <w:rPr>
                <w:rFonts w:hint="eastAsia" w:ascii="宋体" w:hAnsi="宋体" w:cs="宋体"/>
                <w:color w:val="auto"/>
                <w:kern w:val="0"/>
                <w:sz w:val="22"/>
              </w:rPr>
              <w:t>月</w:t>
            </w:r>
          </w:p>
        </w:tc>
        <w:tc>
          <w:tcPr>
            <w:tcW w:w="769" w:type="pct"/>
            <w:vAlign w:val="center"/>
          </w:tcPr>
          <w:p>
            <w:pPr>
              <w:autoSpaceDE w:val="0"/>
              <w:autoSpaceDN w:val="0"/>
              <w:spacing w:before="70"/>
              <w:ind w:left="109" w:right="103"/>
              <w:jc w:val="center"/>
              <w:rPr>
                <w:rFonts w:ascii="宋体" w:hAnsi="宋体" w:cs="宋体"/>
                <w:color w:val="auto"/>
                <w:kern w:val="0"/>
                <w:sz w:val="22"/>
              </w:rPr>
            </w:pPr>
            <w:r>
              <w:rPr>
                <w:rFonts w:hint="eastAsia" w:ascii="宋体" w:hAnsi="宋体" w:cs="宋体"/>
                <w:color w:val="auto"/>
                <w:kern w:val="0"/>
                <w:sz w:val="22"/>
              </w:rPr>
              <w:t>药剂、人工</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成虫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95" w:type="pct"/>
            <w:vMerge w:val="restart"/>
            <w:vAlign w:val="center"/>
          </w:tcPr>
          <w:p>
            <w:pPr>
              <w:autoSpaceDE w:val="0"/>
              <w:autoSpaceDN w:val="0"/>
              <w:ind w:left="220"/>
              <w:jc w:val="center"/>
              <w:rPr>
                <w:rFonts w:ascii="宋体" w:hAnsi="宋体" w:cs="宋体"/>
                <w:color w:val="auto"/>
                <w:kern w:val="0"/>
                <w:sz w:val="22"/>
              </w:rPr>
            </w:pPr>
            <w:r>
              <w:rPr>
                <w:rFonts w:hint="eastAsia" w:ascii="宋体" w:hAnsi="宋体" w:cs="宋体"/>
                <w:color w:val="auto"/>
                <w:kern w:val="0"/>
                <w:sz w:val="22"/>
              </w:rPr>
              <w:t>四月</w:t>
            </w: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茶尺蠖</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4 </w:t>
            </w:r>
            <w:r>
              <w:rPr>
                <w:rFonts w:hint="eastAsia" w:ascii="宋体" w:hAnsi="宋体" w:cs="宋体"/>
                <w:color w:val="auto"/>
                <w:kern w:val="0"/>
                <w:sz w:val="22"/>
              </w:rPr>
              <w:t>月上旬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67"/>
              <w:ind w:left="119" w:right="111"/>
              <w:jc w:val="center"/>
              <w:rPr>
                <w:rFonts w:ascii="宋体" w:hAnsi="宋体" w:cs="宋体"/>
                <w:color w:val="auto"/>
                <w:kern w:val="0"/>
                <w:sz w:val="22"/>
              </w:rPr>
            </w:pPr>
            <w:r>
              <w:rPr>
                <w:rFonts w:hint="eastAsia" w:ascii="宋体" w:hAnsi="宋体" w:cs="宋体"/>
                <w:color w:val="auto"/>
                <w:kern w:val="0"/>
                <w:sz w:val="22"/>
              </w:rPr>
              <w:t>分月扇舟蛾</w:t>
            </w:r>
          </w:p>
        </w:tc>
        <w:tc>
          <w:tcPr>
            <w:tcW w:w="981" w:type="pct"/>
            <w:vAlign w:val="center"/>
          </w:tcPr>
          <w:p>
            <w:pPr>
              <w:autoSpaceDE w:val="0"/>
              <w:autoSpaceDN w:val="0"/>
              <w:spacing w:before="67"/>
              <w:ind w:left="20" w:right="15"/>
              <w:jc w:val="center"/>
              <w:rPr>
                <w:rFonts w:ascii="宋体" w:hAnsi="宋体" w:cs="宋体"/>
                <w:color w:val="auto"/>
                <w:kern w:val="0"/>
                <w:sz w:val="22"/>
              </w:rPr>
            </w:pPr>
            <w:r>
              <w:rPr>
                <w:rFonts w:ascii="宋体" w:hAnsi="宋体" w:cs="宋体"/>
                <w:color w:val="auto"/>
                <w:kern w:val="0"/>
                <w:sz w:val="22"/>
              </w:rPr>
              <w:t xml:space="preserve">4 </w:t>
            </w:r>
            <w:r>
              <w:rPr>
                <w:rFonts w:hint="eastAsia" w:ascii="宋体" w:hAnsi="宋体" w:cs="宋体"/>
                <w:color w:val="auto"/>
                <w:kern w:val="0"/>
                <w:sz w:val="22"/>
              </w:rPr>
              <w:t>月中旬</w:t>
            </w:r>
          </w:p>
        </w:tc>
        <w:tc>
          <w:tcPr>
            <w:tcW w:w="769" w:type="pct"/>
            <w:vAlign w:val="center"/>
          </w:tcPr>
          <w:p>
            <w:pPr>
              <w:autoSpaceDE w:val="0"/>
              <w:autoSpaceDN w:val="0"/>
              <w:spacing w:before="67"/>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7"/>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樟木虱</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4 </w:t>
            </w:r>
            <w:r>
              <w:rPr>
                <w:rFonts w:hint="eastAsia" w:ascii="宋体" w:hAnsi="宋体" w:cs="宋体"/>
                <w:color w:val="auto"/>
                <w:kern w:val="0"/>
                <w:sz w:val="22"/>
              </w:rPr>
              <w:t>月中旬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若虫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杨扇舟蛾</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4 </w:t>
            </w:r>
            <w:r>
              <w:rPr>
                <w:rFonts w:hint="eastAsia" w:ascii="宋体" w:hAnsi="宋体" w:cs="宋体"/>
                <w:color w:val="auto"/>
                <w:kern w:val="0"/>
                <w:sz w:val="22"/>
              </w:rPr>
              <w:t>月中旬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68"/>
              <w:ind w:left="119" w:right="111"/>
              <w:jc w:val="center"/>
              <w:rPr>
                <w:rFonts w:ascii="宋体" w:hAnsi="宋体" w:cs="宋体"/>
                <w:color w:val="auto"/>
                <w:kern w:val="0"/>
                <w:sz w:val="22"/>
              </w:rPr>
            </w:pPr>
            <w:r>
              <w:rPr>
                <w:rFonts w:hint="eastAsia" w:ascii="宋体" w:hAnsi="宋体" w:cs="宋体"/>
                <w:color w:val="auto"/>
                <w:kern w:val="0"/>
                <w:sz w:val="22"/>
              </w:rPr>
              <w:t>双条杉天牛</w:t>
            </w:r>
          </w:p>
        </w:tc>
        <w:tc>
          <w:tcPr>
            <w:tcW w:w="981" w:type="pct"/>
            <w:vAlign w:val="center"/>
          </w:tcPr>
          <w:p>
            <w:pPr>
              <w:autoSpaceDE w:val="0"/>
              <w:autoSpaceDN w:val="0"/>
              <w:spacing w:before="68"/>
              <w:ind w:left="20" w:right="15"/>
              <w:jc w:val="center"/>
              <w:rPr>
                <w:rFonts w:ascii="宋体" w:hAnsi="宋体" w:cs="宋体"/>
                <w:color w:val="auto"/>
                <w:kern w:val="0"/>
                <w:sz w:val="22"/>
              </w:rPr>
            </w:pPr>
            <w:r>
              <w:rPr>
                <w:rFonts w:ascii="宋体" w:hAnsi="宋体" w:cs="宋体"/>
                <w:color w:val="auto"/>
                <w:kern w:val="0"/>
                <w:sz w:val="22"/>
              </w:rPr>
              <w:t xml:space="preserve">4 </w:t>
            </w:r>
            <w:r>
              <w:rPr>
                <w:rFonts w:hint="eastAsia" w:ascii="宋体" w:hAnsi="宋体" w:cs="宋体"/>
                <w:color w:val="auto"/>
                <w:kern w:val="0"/>
                <w:sz w:val="22"/>
              </w:rPr>
              <w:t>月下旬</w:t>
            </w:r>
          </w:p>
        </w:tc>
        <w:tc>
          <w:tcPr>
            <w:tcW w:w="769" w:type="pct"/>
            <w:vAlign w:val="center"/>
          </w:tcPr>
          <w:p>
            <w:pPr>
              <w:autoSpaceDE w:val="0"/>
              <w:autoSpaceDN w:val="0"/>
              <w:spacing w:before="68"/>
              <w:ind w:left="109" w:right="103"/>
              <w:jc w:val="center"/>
              <w:rPr>
                <w:rFonts w:ascii="宋体" w:hAnsi="宋体" w:cs="宋体"/>
                <w:color w:val="auto"/>
                <w:kern w:val="0"/>
                <w:sz w:val="22"/>
              </w:rPr>
            </w:pPr>
            <w:r>
              <w:rPr>
                <w:rFonts w:hint="eastAsia" w:ascii="宋体" w:hAnsi="宋体" w:cs="宋体"/>
                <w:color w:val="auto"/>
                <w:kern w:val="0"/>
                <w:sz w:val="22"/>
              </w:rPr>
              <w:t>药剂、放蜂</w:t>
            </w:r>
          </w:p>
        </w:tc>
        <w:tc>
          <w:tcPr>
            <w:tcW w:w="944" w:type="pct"/>
            <w:vAlign w:val="center"/>
          </w:tcPr>
          <w:p>
            <w:pPr>
              <w:autoSpaceDE w:val="0"/>
              <w:autoSpaceDN w:val="0"/>
              <w:spacing w:before="68"/>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星天牛</w:t>
            </w:r>
          </w:p>
        </w:tc>
        <w:tc>
          <w:tcPr>
            <w:tcW w:w="981" w:type="pct"/>
            <w:vAlign w:val="center"/>
          </w:tcPr>
          <w:p>
            <w:pPr>
              <w:autoSpaceDE w:val="0"/>
              <w:autoSpaceDN w:val="0"/>
              <w:spacing w:before="70"/>
              <w:ind w:left="22" w:right="15"/>
              <w:jc w:val="center"/>
              <w:rPr>
                <w:rFonts w:ascii="宋体" w:hAnsi="宋体" w:cs="宋体"/>
                <w:color w:val="auto"/>
                <w:kern w:val="0"/>
                <w:sz w:val="22"/>
              </w:rPr>
            </w:pPr>
            <w:r>
              <w:rPr>
                <w:rFonts w:ascii="宋体" w:hAnsi="宋体" w:cs="宋体"/>
                <w:color w:val="auto"/>
                <w:kern w:val="0"/>
                <w:sz w:val="22"/>
              </w:rPr>
              <w:t xml:space="preserve">4 </w:t>
            </w:r>
            <w:r>
              <w:rPr>
                <w:rFonts w:hint="eastAsia" w:ascii="宋体" w:hAnsi="宋体" w:cs="宋体"/>
                <w:color w:val="auto"/>
                <w:kern w:val="0"/>
                <w:sz w:val="22"/>
              </w:rPr>
              <w:t>月</w:t>
            </w:r>
            <w:r>
              <w:rPr>
                <w:rFonts w:ascii="宋体" w:hAnsi="宋体" w:cs="宋体"/>
                <w:color w:val="auto"/>
                <w:kern w:val="0"/>
                <w:sz w:val="22"/>
              </w:rPr>
              <w:t xml:space="preserve">—8 </w:t>
            </w:r>
            <w:r>
              <w:rPr>
                <w:rFonts w:hint="eastAsia" w:ascii="宋体" w:hAnsi="宋体" w:cs="宋体"/>
                <w:color w:val="auto"/>
                <w:kern w:val="0"/>
                <w:sz w:val="22"/>
              </w:rPr>
              <w:t>月</w:t>
            </w:r>
          </w:p>
        </w:tc>
        <w:tc>
          <w:tcPr>
            <w:tcW w:w="769" w:type="pct"/>
            <w:vAlign w:val="center"/>
          </w:tcPr>
          <w:p>
            <w:pPr>
              <w:autoSpaceDE w:val="0"/>
              <w:autoSpaceDN w:val="0"/>
              <w:spacing w:before="70"/>
              <w:ind w:left="109" w:right="103"/>
              <w:jc w:val="center"/>
              <w:rPr>
                <w:rFonts w:ascii="宋体" w:hAnsi="宋体" w:cs="宋体"/>
                <w:color w:val="auto"/>
                <w:kern w:val="0"/>
                <w:sz w:val="22"/>
              </w:rPr>
            </w:pPr>
            <w:r>
              <w:rPr>
                <w:rFonts w:hint="eastAsia" w:ascii="宋体" w:hAnsi="宋体" w:cs="宋体"/>
                <w:color w:val="auto"/>
                <w:kern w:val="0"/>
                <w:sz w:val="22"/>
              </w:rPr>
              <w:t>药剂、人工</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成虫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70"/>
              <w:ind w:left="119" w:right="111"/>
              <w:jc w:val="center"/>
              <w:rPr>
                <w:rFonts w:ascii="宋体" w:hAnsi="宋体" w:cs="宋体"/>
                <w:color w:val="auto"/>
                <w:kern w:val="0"/>
                <w:sz w:val="22"/>
              </w:rPr>
            </w:pPr>
            <w:r>
              <w:rPr>
                <w:rFonts w:hint="eastAsia" w:ascii="宋体" w:hAnsi="宋体" w:cs="宋体"/>
                <w:color w:val="auto"/>
                <w:kern w:val="0"/>
                <w:sz w:val="22"/>
              </w:rPr>
              <w:t>兰矩瘤蛎蚧</w:t>
            </w:r>
          </w:p>
        </w:tc>
        <w:tc>
          <w:tcPr>
            <w:tcW w:w="981" w:type="pct"/>
            <w:vAlign w:val="center"/>
          </w:tcPr>
          <w:p>
            <w:pPr>
              <w:autoSpaceDE w:val="0"/>
              <w:autoSpaceDN w:val="0"/>
              <w:spacing w:before="70"/>
              <w:ind w:left="22" w:right="15"/>
              <w:jc w:val="center"/>
              <w:rPr>
                <w:rFonts w:ascii="宋体" w:hAnsi="宋体" w:cs="宋体"/>
                <w:color w:val="auto"/>
                <w:kern w:val="0"/>
                <w:sz w:val="22"/>
              </w:rPr>
            </w:pPr>
            <w:r>
              <w:rPr>
                <w:rFonts w:ascii="宋体" w:hAnsi="宋体" w:cs="宋体"/>
                <w:color w:val="auto"/>
                <w:kern w:val="0"/>
                <w:sz w:val="22"/>
              </w:rPr>
              <w:t xml:space="preserve">4 </w:t>
            </w:r>
            <w:r>
              <w:rPr>
                <w:rFonts w:hint="eastAsia" w:ascii="宋体" w:hAnsi="宋体" w:cs="宋体"/>
                <w:color w:val="auto"/>
                <w:kern w:val="0"/>
                <w:sz w:val="22"/>
              </w:rPr>
              <w:t>月下旬</w:t>
            </w:r>
            <w:r>
              <w:rPr>
                <w:rFonts w:ascii="宋体" w:hAnsi="宋体" w:cs="宋体"/>
                <w:color w:val="auto"/>
                <w:kern w:val="0"/>
                <w:sz w:val="22"/>
              </w:rPr>
              <w:t xml:space="preserve">—5 </w:t>
            </w:r>
            <w:r>
              <w:rPr>
                <w:rFonts w:hint="eastAsia" w:ascii="宋体" w:hAnsi="宋体" w:cs="宋体"/>
                <w:color w:val="auto"/>
                <w:kern w:val="0"/>
                <w:sz w:val="22"/>
              </w:rPr>
              <w:t>月</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若虫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67"/>
              <w:ind w:left="119" w:right="111"/>
              <w:jc w:val="center"/>
              <w:rPr>
                <w:rFonts w:ascii="宋体" w:hAnsi="宋体" w:cs="宋体"/>
                <w:color w:val="auto"/>
                <w:kern w:val="0"/>
                <w:sz w:val="22"/>
              </w:rPr>
            </w:pPr>
            <w:r>
              <w:rPr>
                <w:rFonts w:hint="eastAsia" w:ascii="宋体" w:hAnsi="宋体" w:cs="宋体"/>
                <w:color w:val="auto"/>
                <w:kern w:val="0"/>
                <w:sz w:val="22"/>
              </w:rPr>
              <w:t>杨树潜叶蛾</w:t>
            </w:r>
          </w:p>
        </w:tc>
        <w:tc>
          <w:tcPr>
            <w:tcW w:w="981" w:type="pct"/>
            <w:vAlign w:val="center"/>
          </w:tcPr>
          <w:p>
            <w:pPr>
              <w:autoSpaceDE w:val="0"/>
              <w:autoSpaceDN w:val="0"/>
              <w:spacing w:before="67"/>
              <w:ind w:left="20" w:right="15"/>
              <w:jc w:val="center"/>
              <w:rPr>
                <w:rFonts w:ascii="宋体" w:hAnsi="宋体" w:cs="宋体"/>
                <w:color w:val="auto"/>
                <w:kern w:val="0"/>
                <w:sz w:val="22"/>
              </w:rPr>
            </w:pPr>
            <w:r>
              <w:rPr>
                <w:rFonts w:ascii="宋体" w:hAnsi="宋体" w:cs="宋体"/>
                <w:color w:val="auto"/>
                <w:kern w:val="0"/>
                <w:sz w:val="22"/>
              </w:rPr>
              <w:t xml:space="preserve">4 </w:t>
            </w:r>
            <w:r>
              <w:rPr>
                <w:rFonts w:hint="eastAsia" w:ascii="宋体" w:hAnsi="宋体" w:cs="宋体"/>
                <w:color w:val="auto"/>
                <w:kern w:val="0"/>
                <w:sz w:val="22"/>
              </w:rPr>
              <w:t>月下旬</w:t>
            </w:r>
          </w:p>
        </w:tc>
        <w:tc>
          <w:tcPr>
            <w:tcW w:w="769" w:type="pct"/>
            <w:vAlign w:val="center"/>
          </w:tcPr>
          <w:p>
            <w:pPr>
              <w:autoSpaceDE w:val="0"/>
              <w:autoSpaceDN w:val="0"/>
              <w:spacing w:before="67"/>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7"/>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restart"/>
            <w:vAlign w:val="center"/>
          </w:tcPr>
          <w:p>
            <w:pPr>
              <w:autoSpaceDE w:val="0"/>
              <w:autoSpaceDN w:val="0"/>
              <w:ind w:left="220"/>
              <w:jc w:val="center"/>
              <w:rPr>
                <w:rFonts w:ascii="宋体" w:hAnsi="宋体" w:cs="宋体"/>
                <w:color w:val="auto"/>
                <w:kern w:val="0"/>
                <w:sz w:val="22"/>
              </w:rPr>
            </w:pPr>
            <w:r>
              <w:rPr>
                <w:rFonts w:hint="eastAsia" w:ascii="宋体" w:hAnsi="宋体" w:cs="宋体"/>
                <w:color w:val="auto"/>
                <w:kern w:val="0"/>
                <w:sz w:val="22"/>
              </w:rPr>
              <w:t>五月</w:t>
            </w: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茶尺蠖</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w w:val="105"/>
                <w:kern w:val="0"/>
                <w:sz w:val="22"/>
              </w:rPr>
              <w:t xml:space="preserve">5 </w:t>
            </w:r>
            <w:r>
              <w:rPr>
                <w:rFonts w:hint="eastAsia" w:ascii="宋体" w:hAnsi="宋体" w:cs="宋体"/>
                <w:color w:val="auto"/>
                <w:w w:val="105"/>
                <w:kern w:val="0"/>
                <w:sz w:val="22"/>
              </w:rPr>
              <w:t>月</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杨小舟蛾</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5 </w:t>
            </w:r>
            <w:r>
              <w:rPr>
                <w:rFonts w:hint="eastAsia" w:ascii="宋体" w:hAnsi="宋体" w:cs="宋体"/>
                <w:color w:val="auto"/>
                <w:kern w:val="0"/>
                <w:sz w:val="22"/>
              </w:rPr>
              <w:t>月上旬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68"/>
              <w:ind w:left="119" w:right="109"/>
              <w:jc w:val="center"/>
              <w:rPr>
                <w:rFonts w:ascii="宋体" w:hAnsi="宋体" w:cs="宋体"/>
                <w:color w:val="auto"/>
                <w:kern w:val="0"/>
                <w:sz w:val="22"/>
              </w:rPr>
            </w:pPr>
            <w:r>
              <w:rPr>
                <w:rFonts w:hint="eastAsia" w:ascii="宋体" w:hAnsi="宋体" w:cs="宋体"/>
                <w:color w:val="auto"/>
                <w:kern w:val="0"/>
                <w:sz w:val="22"/>
              </w:rPr>
              <w:t>樟叶蜂</w:t>
            </w:r>
          </w:p>
        </w:tc>
        <w:tc>
          <w:tcPr>
            <w:tcW w:w="981" w:type="pct"/>
            <w:vAlign w:val="center"/>
          </w:tcPr>
          <w:p>
            <w:pPr>
              <w:autoSpaceDE w:val="0"/>
              <w:autoSpaceDN w:val="0"/>
              <w:spacing w:before="68"/>
              <w:ind w:left="20" w:right="15"/>
              <w:jc w:val="center"/>
              <w:rPr>
                <w:rFonts w:ascii="宋体" w:hAnsi="宋体" w:cs="宋体"/>
                <w:color w:val="auto"/>
                <w:kern w:val="0"/>
                <w:sz w:val="22"/>
              </w:rPr>
            </w:pPr>
            <w:r>
              <w:rPr>
                <w:rFonts w:ascii="宋体" w:hAnsi="宋体" w:cs="宋体"/>
                <w:color w:val="auto"/>
                <w:kern w:val="0"/>
                <w:sz w:val="22"/>
              </w:rPr>
              <w:t xml:space="preserve">5 </w:t>
            </w:r>
            <w:r>
              <w:rPr>
                <w:rFonts w:hint="eastAsia" w:ascii="宋体" w:hAnsi="宋体" w:cs="宋体"/>
                <w:color w:val="auto"/>
                <w:kern w:val="0"/>
                <w:sz w:val="22"/>
              </w:rPr>
              <w:t>月中旬</w:t>
            </w:r>
          </w:p>
        </w:tc>
        <w:tc>
          <w:tcPr>
            <w:tcW w:w="769" w:type="pct"/>
            <w:vAlign w:val="center"/>
          </w:tcPr>
          <w:p>
            <w:pPr>
              <w:autoSpaceDE w:val="0"/>
              <w:autoSpaceDN w:val="0"/>
              <w:spacing w:before="68"/>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8"/>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杨树锈病</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5 </w:t>
            </w:r>
            <w:r>
              <w:rPr>
                <w:rFonts w:hint="eastAsia" w:ascii="宋体" w:hAnsi="宋体" w:cs="宋体"/>
                <w:color w:val="auto"/>
                <w:kern w:val="0"/>
                <w:sz w:val="22"/>
              </w:rPr>
              <w:t>月中旬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jc w:val="center"/>
              <w:rPr>
                <w:rFonts w:hAnsi="宋体" w:cs="宋体"/>
                <w:color w:val="auto"/>
                <w:kern w:val="0"/>
                <w:sz w:val="22"/>
              </w:rPr>
            </w:pPr>
          </w:p>
        </w:tc>
        <w:tc>
          <w:tcPr>
            <w:tcW w:w="1030" w:type="pct"/>
            <w:vAlign w:val="center"/>
          </w:tcPr>
          <w:p>
            <w:pPr>
              <w:autoSpaceDE w:val="0"/>
              <w:autoSpaceDN w:val="0"/>
              <w:spacing w:before="70"/>
              <w:ind w:left="228" w:right="225"/>
              <w:jc w:val="center"/>
              <w:rPr>
                <w:rFonts w:ascii="宋体" w:hAnsi="宋体" w:cs="宋体"/>
                <w:color w:val="auto"/>
                <w:kern w:val="0"/>
                <w:sz w:val="22"/>
              </w:rPr>
            </w:pPr>
            <w:r>
              <w:rPr>
                <w:rFonts w:hint="eastAsia" w:ascii="宋体" w:hAnsi="宋体" w:cs="宋体"/>
                <w:color w:val="auto"/>
                <w:kern w:val="0"/>
                <w:sz w:val="22"/>
              </w:rPr>
              <w:t>早春预防为主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70"/>
              <w:ind w:left="119" w:right="111"/>
              <w:jc w:val="center"/>
              <w:rPr>
                <w:rFonts w:ascii="宋体" w:hAnsi="宋体" w:cs="宋体"/>
                <w:color w:val="auto"/>
                <w:kern w:val="0"/>
                <w:sz w:val="22"/>
              </w:rPr>
            </w:pPr>
            <w:r>
              <w:rPr>
                <w:rFonts w:hint="eastAsia" w:ascii="宋体" w:hAnsi="宋体" w:cs="宋体"/>
                <w:color w:val="auto"/>
                <w:kern w:val="0"/>
                <w:sz w:val="22"/>
              </w:rPr>
              <w:t>黄杨绢野螟</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5 </w:t>
            </w:r>
            <w:r>
              <w:rPr>
                <w:rFonts w:hint="eastAsia" w:ascii="宋体" w:hAnsi="宋体" w:cs="宋体"/>
                <w:color w:val="auto"/>
                <w:kern w:val="0"/>
                <w:sz w:val="22"/>
              </w:rPr>
              <w:t>月下旬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67"/>
              <w:ind w:left="119" w:right="109"/>
              <w:jc w:val="center"/>
              <w:rPr>
                <w:rFonts w:ascii="宋体" w:hAnsi="宋体" w:cs="宋体"/>
                <w:color w:val="auto"/>
                <w:kern w:val="0"/>
                <w:sz w:val="22"/>
              </w:rPr>
            </w:pPr>
            <w:r>
              <w:rPr>
                <w:rFonts w:hint="eastAsia" w:ascii="宋体" w:hAnsi="宋体" w:cs="宋体"/>
                <w:color w:val="auto"/>
                <w:kern w:val="0"/>
                <w:sz w:val="22"/>
              </w:rPr>
              <w:t>刺蛾</w:t>
            </w:r>
          </w:p>
        </w:tc>
        <w:tc>
          <w:tcPr>
            <w:tcW w:w="981" w:type="pct"/>
            <w:vAlign w:val="center"/>
          </w:tcPr>
          <w:p>
            <w:pPr>
              <w:autoSpaceDE w:val="0"/>
              <w:autoSpaceDN w:val="0"/>
              <w:spacing w:before="67"/>
              <w:ind w:left="20" w:right="15"/>
              <w:jc w:val="center"/>
              <w:rPr>
                <w:rFonts w:ascii="宋体" w:hAnsi="宋体" w:cs="宋体"/>
                <w:color w:val="auto"/>
                <w:kern w:val="0"/>
                <w:sz w:val="22"/>
              </w:rPr>
            </w:pPr>
            <w:r>
              <w:rPr>
                <w:rFonts w:ascii="宋体" w:hAnsi="宋体" w:cs="宋体"/>
                <w:color w:val="auto"/>
                <w:kern w:val="0"/>
                <w:sz w:val="22"/>
              </w:rPr>
              <w:t xml:space="preserve">6 </w:t>
            </w:r>
            <w:r>
              <w:rPr>
                <w:rFonts w:hint="eastAsia" w:ascii="宋体" w:hAnsi="宋体" w:cs="宋体"/>
                <w:color w:val="auto"/>
                <w:kern w:val="0"/>
                <w:sz w:val="22"/>
              </w:rPr>
              <w:t>月上旬</w:t>
            </w:r>
          </w:p>
        </w:tc>
        <w:tc>
          <w:tcPr>
            <w:tcW w:w="769" w:type="pct"/>
            <w:vAlign w:val="center"/>
          </w:tcPr>
          <w:p>
            <w:pPr>
              <w:autoSpaceDE w:val="0"/>
              <w:autoSpaceDN w:val="0"/>
              <w:spacing w:before="67"/>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7"/>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tcBorders>
              <w:top w:val="nil"/>
            </w:tcBorders>
            <w:vAlign w:val="center"/>
          </w:tcPr>
          <w:p>
            <w:pPr>
              <w:jc w:val="center"/>
              <w:rPr>
                <w:color w:val="auto"/>
                <w:sz w:val="2"/>
                <w:szCs w:val="2"/>
              </w:rPr>
            </w:pPr>
          </w:p>
        </w:tc>
        <w:tc>
          <w:tcPr>
            <w:tcW w:w="779" w:type="pct"/>
            <w:vAlign w:val="center"/>
          </w:tcPr>
          <w:p>
            <w:pPr>
              <w:autoSpaceDE w:val="0"/>
              <w:autoSpaceDN w:val="0"/>
              <w:spacing w:before="70"/>
              <w:ind w:left="119" w:right="111"/>
              <w:jc w:val="center"/>
              <w:rPr>
                <w:rFonts w:ascii="宋体" w:hAnsi="宋体" w:cs="宋体"/>
                <w:color w:val="auto"/>
                <w:kern w:val="0"/>
                <w:sz w:val="22"/>
              </w:rPr>
            </w:pPr>
            <w:r>
              <w:rPr>
                <w:rFonts w:hint="eastAsia" w:ascii="宋体" w:hAnsi="宋体" w:cs="宋体"/>
                <w:color w:val="auto"/>
                <w:kern w:val="0"/>
                <w:sz w:val="22"/>
              </w:rPr>
              <w:t>杨树潜叶蛾</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5 </w:t>
            </w:r>
            <w:r>
              <w:rPr>
                <w:rFonts w:hint="eastAsia" w:ascii="宋体" w:hAnsi="宋体" w:cs="宋体"/>
                <w:color w:val="auto"/>
                <w:kern w:val="0"/>
                <w:sz w:val="22"/>
              </w:rPr>
              <w:t>月下旬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95" w:type="pct"/>
            <w:vMerge w:val="restart"/>
            <w:vAlign w:val="center"/>
          </w:tcPr>
          <w:p>
            <w:pPr>
              <w:autoSpaceDE w:val="0"/>
              <w:autoSpaceDN w:val="0"/>
              <w:spacing w:before="153"/>
              <w:ind w:left="220"/>
              <w:jc w:val="center"/>
              <w:rPr>
                <w:rFonts w:ascii="宋体" w:hAnsi="宋体" w:cs="宋体"/>
                <w:color w:val="auto"/>
                <w:kern w:val="0"/>
                <w:sz w:val="22"/>
              </w:rPr>
            </w:pPr>
            <w:r>
              <w:rPr>
                <w:rFonts w:hint="eastAsia" w:ascii="宋体" w:hAnsi="宋体" w:cs="宋体"/>
                <w:color w:val="auto"/>
                <w:kern w:val="0"/>
                <w:sz w:val="22"/>
              </w:rPr>
              <w:t>六月</w:t>
            </w: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杨扇舟蛾</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6 </w:t>
            </w:r>
            <w:r>
              <w:rPr>
                <w:rFonts w:hint="eastAsia" w:ascii="宋体" w:hAnsi="宋体" w:cs="宋体"/>
                <w:color w:val="auto"/>
                <w:kern w:val="0"/>
                <w:sz w:val="22"/>
              </w:rPr>
              <w:t>月上旬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spacing w:before="70"/>
              <w:ind w:left="228" w:right="225"/>
              <w:jc w:val="center"/>
              <w:rPr>
                <w:rFonts w:ascii="宋体" w:hAnsi="宋体" w:cs="宋体"/>
                <w:color w:val="auto"/>
                <w:kern w:val="0"/>
                <w:sz w:val="22"/>
              </w:rPr>
            </w:pPr>
            <w:r>
              <w:rPr>
                <w:rFonts w:hint="eastAsia" w:ascii="宋体" w:hAnsi="宋体" w:cs="宋体"/>
                <w:color w:val="auto"/>
                <w:kern w:val="0"/>
                <w:sz w:val="22"/>
              </w:rPr>
              <w:t>严重危害期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68"/>
              <w:ind w:left="119" w:right="111"/>
              <w:jc w:val="center"/>
              <w:rPr>
                <w:rFonts w:ascii="宋体" w:hAnsi="宋体" w:cs="宋体"/>
                <w:color w:val="auto"/>
                <w:kern w:val="0"/>
                <w:sz w:val="22"/>
              </w:rPr>
            </w:pPr>
            <w:r>
              <w:rPr>
                <w:rFonts w:hint="eastAsia" w:ascii="宋体" w:hAnsi="宋体" w:cs="宋体"/>
                <w:color w:val="auto"/>
                <w:kern w:val="0"/>
                <w:sz w:val="22"/>
              </w:rPr>
              <w:t>分月扇舟蛾</w:t>
            </w:r>
          </w:p>
        </w:tc>
        <w:tc>
          <w:tcPr>
            <w:tcW w:w="981" w:type="pct"/>
            <w:vAlign w:val="center"/>
          </w:tcPr>
          <w:p>
            <w:pPr>
              <w:autoSpaceDE w:val="0"/>
              <w:autoSpaceDN w:val="0"/>
              <w:spacing w:before="68"/>
              <w:ind w:left="20" w:right="15"/>
              <w:jc w:val="center"/>
              <w:rPr>
                <w:rFonts w:ascii="宋体" w:hAnsi="宋体" w:cs="宋体"/>
                <w:color w:val="auto"/>
                <w:kern w:val="0"/>
                <w:sz w:val="22"/>
              </w:rPr>
            </w:pPr>
            <w:r>
              <w:rPr>
                <w:rFonts w:ascii="宋体" w:hAnsi="宋体" w:cs="宋体"/>
                <w:color w:val="auto"/>
                <w:kern w:val="0"/>
                <w:sz w:val="22"/>
              </w:rPr>
              <w:t xml:space="preserve">6 </w:t>
            </w:r>
            <w:r>
              <w:rPr>
                <w:rFonts w:hint="eastAsia" w:ascii="宋体" w:hAnsi="宋体" w:cs="宋体"/>
                <w:color w:val="auto"/>
                <w:kern w:val="0"/>
                <w:sz w:val="22"/>
              </w:rPr>
              <w:t>月上旬</w:t>
            </w:r>
          </w:p>
        </w:tc>
        <w:tc>
          <w:tcPr>
            <w:tcW w:w="769" w:type="pct"/>
            <w:vAlign w:val="center"/>
          </w:tcPr>
          <w:p>
            <w:pPr>
              <w:autoSpaceDE w:val="0"/>
              <w:autoSpaceDN w:val="0"/>
              <w:spacing w:before="68"/>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8"/>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spacing w:before="68"/>
              <w:ind w:left="228" w:right="225"/>
              <w:jc w:val="center"/>
              <w:rPr>
                <w:rFonts w:ascii="宋体" w:hAnsi="宋体" w:cs="宋体"/>
                <w:color w:val="auto"/>
                <w:kern w:val="0"/>
                <w:sz w:val="22"/>
              </w:rPr>
            </w:pPr>
            <w:r>
              <w:rPr>
                <w:rFonts w:hint="eastAsia" w:ascii="宋体" w:hAnsi="宋体" w:cs="宋体"/>
                <w:color w:val="auto"/>
                <w:kern w:val="0"/>
                <w:sz w:val="22"/>
              </w:rPr>
              <w:t>严重危害期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樟巢螟</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6 </w:t>
            </w:r>
            <w:r>
              <w:rPr>
                <w:rFonts w:hint="eastAsia" w:ascii="宋体" w:hAnsi="宋体" w:cs="宋体"/>
                <w:color w:val="auto"/>
                <w:kern w:val="0"/>
                <w:sz w:val="22"/>
              </w:rPr>
              <w:t>月中旬</w:t>
            </w:r>
          </w:p>
        </w:tc>
        <w:tc>
          <w:tcPr>
            <w:tcW w:w="769" w:type="pct"/>
            <w:vAlign w:val="center"/>
          </w:tcPr>
          <w:p>
            <w:pPr>
              <w:autoSpaceDE w:val="0"/>
              <w:autoSpaceDN w:val="0"/>
              <w:spacing w:before="70"/>
              <w:ind w:left="109" w:right="103"/>
              <w:jc w:val="center"/>
              <w:rPr>
                <w:rFonts w:ascii="宋体" w:hAnsi="宋体" w:cs="宋体"/>
                <w:color w:val="auto"/>
                <w:kern w:val="0"/>
                <w:sz w:val="22"/>
              </w:rPr>
            </w:pPr>
            <w:r>
              <w:rPr>
                <w:rFonts w:hint="eastAsia" w:ascii="宋体" w:hAnsi="宋体" w:cs="宋体"/>
                <w:color w:val="auto"/>
                <w:kern w:val="0"/>
                <w:sz w:val="22"/>
              </w:rPr>
              <w:t>药剂、人工</w:t>
            </w:r>
          </w:p>
        </w:tc>
        <w:tc>
          <w:tcPr>
            <w:tcW w:w="944" w:type="pct"/>
            <w:vAlign w:val="center"/>
          </w:tcPr>
          <w:p>
            <w:pPr>
              <w:autoSpaceDE w:val="0"/>
              <w:autoSpaceDN w:val="0"/>
              <w:spacing w:before="70"/>
              <w:ind w:left="91"/>
              <w:jc w:val="center"/>
              <w:rPr>
                <w:rFonts w:ascii="宋体" w:hAnsi="宋体" w:cs="宋体"/>
                <w:color w:val="auto"/>
                <w:kern w:val="0"/>
                <w:sz w:val="22"/>
              </w:rPr>
            </w:pPr>
            <w:r>
              <w:rPr>
                <w:rFonts w:hint="eastAsia" w:ascii="宋体" w:hAnsi="宋体" w:cs="宋体"/>
                <w:color w:val="auto"/>
                <w:kern w:val="0"/>
                <w:sz w:val="22"/>
              </w:rPr>
              <w:t>幼虫“二叶期”</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星天牛</w:t>
            </w:r>
          </w:p>
        </w:tc>
        <w:tc>
          <w:tcPr>
            <w:tcW w:w="981" w:type="pct"/>
            <w:vAlign w:val="center"/>
          </w:tcPr>
          <w:p>
            <w:pPr>
              <w:autoSpaceDE w:val="0"/>
              <w:autoSpaceDN w:val="0"/>
              <w:spacing w:before="70"/>
              <w:ind w:left="22" w:right="15"/>
              <w:jc w:val="center"/>
              <w:rPr>
                <w:rFonts w:ascii="宋体" w:hAnsi="宋体" w:cs="宋体"/>
                <w:color w:val="auto"/>
                <w:kern w:val="0"/>
                <w:sz w:val="22"/>
              </w:rPr>
            </w:pPr>
            <w:r>
              <w:rPr>
                <w:rFonts w:ascii="宋体" w:hAnsi="宋体" w:cs="宋体"/>
                <w:color w:val="auto"/>
                <w:kern w:val="0"/>
                <w:sz w:val="22"/>
              </w:rPr>
              <w:t xml:space="preserve">6 </w:t>
            </w:r>
            <w:r>
              <w:rPr>
                <w:rFonts w:hint="eastAsia" w:ascii="宋体" w:hAnsi="宋体" w:cs="宋体"/>
                <w:color w:val="auto"/>
                <w:kern w:val="0"/>
                <w:sz w:val="22"/>
              </w:rPr>
              <w:t>月</w:t>
            </w:r>
            <w:r>
              <w:rPr>
                <w:rFonts w:ascii="宋体" w:hAnsi="宋体" w:cs="宋体"/>
                <w:color w:val="auto"/>
                <w:kern w:val="0"/>
                <w:sz w:val="22"/>
              </w:rPr>
              <w:t xml:space="preserve">—7 </w:t>
            </w:r>
            <w:r>
              <w:rPr>
                <w:rFonts w:hint="eastAsia" w:ascii="宋体" w:hAnsi="宋体" w:cs="宋体"/>
                <w:color w:val="auto"/>
                <w:kern w:val="0"/>
                <w:sz w:val="22"/>
              </w:rPr>
              <w:t>月上旬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67"/>
              <w:ind w:left="119" w:right="109"/>
              <w:jc w:val="center"/>
              <w:rPr>
                <w:rFonts w:ascii="宋体" w:hAnsi="宋体" w:cs="宋体"/>
                <w:color w:val="auto"/>
                <w:kern w:val="0"/>
                <w:sz w:val="22"/>
              </w:rPr>
            </w:pPr>
            <w:r>
              <w:rPr>
                <w:rFonts w:hint="eastAsia" w:ascii="宋体" w:hAnsi="宋体" w:cs="宋体"/>
                <w:color w:val="auto"/>
                <w:kern w:val="0"/>
                <w:sz w:val="22"/>
              </w:rPr>
              <w:t>木虱</w:t>
            </w:r>
          </w:p>
        </w:tc>
        <w:tc>
          <w:tcPr>
            <w:tcW w:w="981" w:type="pct"/>
            <w:vAlign w:val="center"/>
          </w:tcPr>
          <w:p>
            <w:pPr>
              <w:autoSpaceDE w:val="0"/>
              <w:autoSpaceDN w:val="0"/>
              <w:spacing w:before="67"/>
              <w:ind w:left="20" w:right="15"/>
              <w:jc w:val="center"/>
              <w:rPr>
                <w:rFonts w:ascii="宋体" w:hAnsi="宋体" w:cs="宋体"/>
                <w:color w:val="auto"/>
                <w:kern w:val="0"/>
                <w:sz w:val="22"/>
              </w:rPr>
            </w:pPr>
            <w:r>
              <w:rPr>
                <w:rFonts w:ascii="宋体" w:hAnsi="宋体" w:cs="宋体"/>
                <w:color w:val="auto"/>
                <w:kern w:val="0"/>
                <w:sz w:val="22"/>
              </w:rPr>
              <w:t xml:space="preserve">6 </w:t>
            </w:r>
            <w:r>
              <w:rPr>
                <w:rFonts w:hint="eastAsia" w:ascii="宋体" w:hAnsi="宋体" w:cs="宋体"/>
                <w:color w:val="auto"/>
                <w:kern w:val="0"/>
                <w:sz w:val="22"/>
              </w:rPr>
              <w:t>月下旬</w:t>
            </w:r>
          </w:p>
        </w:tc>
        <w:tc>
          <w:tcPr>
            <w:tcW w:w="769" w:type="pct"/>
            <w:vAlign w:val="center"/>
          </w:tcPr>
          <w:p>
            <w:pPr>
              <w:autoSpaceDE w:val="0"/>
              <w:autoSpaceDN w:val="0"/>
              <w:spacing w:before="67"/>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7"/>
              <w:ind w:left="7"/>
              <w:jc w:val="center"/>
              <w:rPr>
                <w:rFonts w:ascii="宋体" w:hAnsi="宋体" w:cs="宋体"/>
                <w:color w:val="auto"/>
                <w:kern w:val="0"/>
                <w:sz w:val="22"/>
              </w:rPr>
            </w:pPr>
            <w:r>
              <w:rPr>
                <w:rFonts w:hint="eastAsia" w:ascii="宋体" w:hAnsi="宋体" w:cs="宋体"/>
                <w:color w:val="auto"/>
                <w:kern w:val="0"/>
                <w:sz w:val="22"/>
              </w:rPr>
              <w:t>若虫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杨小舟蛾</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6 </w:t>
            </w:r>
            <w:r>
              <w:rPr>
                <w:rFonts w:hint="eastAsia" w:ascii="宋体" w:hAnsi="宋体" w:cs="宋体"/>
                <w:color w:val="auto"/>
                <w:kern w:val="0"/>
                <w:sz w:val="22"/>
              </w:rPr>
              <w:t>月中旬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495" w:type="pct"/>
            <w:vMerge w:val="continue"/>
            <w:tcBorders>
              <w:bottom w:val="single" w:color="000000" w:sz="4" w:space="0"/>
            </w:tcBorders>
            <w:vAlign w:val="center"/>
          </w:tcPr>
          <w:p>
            <w:pPr>
              <w:jc w:val="center"/>
              <w:rPr>
                <w:color w:val="auto"/>
                <w:sz w:val="2"/>
                <w:szCs w:val="2"/>
              </w:rPr>
            </w:pPr>
          </w:p>
        </w:tc>
        <w:tc>
          <w:tcPr>
            <w:tcW w:w="779" w:type="pct"/>
            <w:tcBorders>
              <w:bottom w:val="single" w:color="000000" w:sz="4" w:space="0"/>
            </w:tcBorders>
            <w:vAlign w:val="center"/>
          </w:tcPr>
          <w:p>
            <w:pPr>
              <w:autoSpaceDE w:val="0"/>
              <w:autoSpaceDN w:val="0"/>
              <w:spacing w:before="140"/>
              <w:ind w:left="119" w:right="109"/>
              <w:jc w:val="center"/>
              <w:rPr>
                <w:rFonts w:ascii="宋体" w:hAnsi="宋体" w:cs="宋体"/>
                <w:color w:val="auto"/>
                <w:kern w:val="0"/>
                <w:sz w:val="22"/>
              </w:rPr>
            </w:pPr>
            <w:r>
              <w:rPr>
                <w:rFonts w:hint="eastAsia" w:ascii="宋体" w:hAnsi="宋体" w:cs="宋体"/>
                <w:color w:val="auto"/>
                <w:kern w:val="0"/>
                <w:sz w:val="22"/>
              </w:rPr>
              <w:t>桑天牛</w:t>
            </w:r>
          </w:p>
        </w:tc>
        <w:tc>
          <w:tcPr>
            <w:tcW w:w="981" w:type="pct"/>
            <w:tcBorders>
              <w:bottom w:val="single" w:color="000000" w:sz="4" w:space="0"/>
            </w:tcBorders>
            <w:vAlign w:val="center"/>
          </w:tcPr>
          <w:p>
            <w:pPr>
              <w:autoSpaceDE w:val="0"/>
              <w:autoSpaceDN w:val="0"/>
              <w:ind w:left="22" w:right="15"/>
              <w:jc w:val="center"/>
              <w:rPr>
                <w:rFonts w:ascii="宋体" w:hAnsi="宋体" w:cs="宋体"/>
                <w:color w:val="auto"/>
                <w:kern w:val="0"/>
                <w:sz w:val="22"/>
              </w:rPr>
            </w:pPr>
            <w:r>
              <w:rPr>
                <w:rFonts w:ascii="宋体" w:hAnsi="宋体" w:cs="宋体"/>
                <w:color w:val="auto"/>
                <w:kern w:val="0"/>
                <w:sz w:val="22"/>
              </w:rPr>
              <w:t xml:space="preserve">6 </w:t>
            </w:r>
            <w:r>
              <w:rPr>
                <w:rFonts w:hint="eastAsia" w:ascii="宋体" w:hAnsi="宋体" w:cs="宋体"/>
                <w:color w:val="auto"/>
                <w:kern w:val="0"/>
                <w:sz w:val="22"/>
              </w:rPr>
              <w:t>月下旬</w:t>
            </w:r>
            <w:r>
              <w:rPr>
                <w:rFonts w:ascii="宋体" w:hAnsi="宋体" w:cs="宋体"/>
                <w:color w:val="auto"/>
                <w:kern w:val="0"/>
                <w:sz w:val="22"/>
              </w:rPr>
              <w:t xml:space="preserve">—7 </w:t>
            </w:r>
            <w:r>
              <w:rPr>
                <w:rFonts w:hint="eastAsia" w:ascii="宋体" w:hAnsi="宋体" w:cs="宋体"/>
                <w:color w:val="auto"/>
                <w:kern w:val="0"/>
                <w:sz w:val="22"/>
              </w:rPr>
              <w:t>月</w:t>
            </w:r>
          </w:p>
          <w:p>
            <w:pPr>
              <w:autoSpaceDE w:val="0"/>
              <w:autoSpaceDN w:val="0"/>
              <w:spacing w:before="15"/>
              <w:ind w:left="22" w:right="15"/>
              <w:jc w:val="center"/>
              <w:rPr>
                <w:rFonts w:ascii="宋体" w:hAnsi="宋体" w:cs="宋体"/>
                <w:color w:val="auto"/>
                <w:kern w:val="0"/>
                <w:sz w:val="22"/>
              </w:rPr>
            </w:pPr>
            <w:r>
              <w:rPr>
                <w:rFonts w:hint="eastAsia" w:ascii="宋体" w:hAnsi="宋体" w:cs="宋体"/>
                <w:color w:val="auto"/>
                <w:kern w:val="0"/>
                <w:sz w:val="22"/>
              </w:rPr>
              <w:t>中旬</w:t>
            </w:r>
          </w:p>
        </w:tc>
        <w:tc>
          <w:tcPr>
            <w:tcW w:w="769" w:type="pct"/>
            <w:tcBorders>
              <w:bottom w:val="single" w:color="000000" w:sz="4" w:space="0"/>
            </w:tcBorders>
            <w:vAlign w:val="center"/>
          </w:tcPr>
          <w:p>
            <w:pPr>
              <w:autoSpaceDE w:val="0"/>
              <w:autoSpaceDN w:val="0"/>
              <w:spacing w:before="14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tcBorders>
              <w:bottom w:val="single" w:color="000000" w:sz="4" w:space="0"/>
            </w:tcBorders>
            <w:vAlign w:val="center"/>
          </w:tcPr>
          <w:p>
            <w:pPr>
              <w:autoSpaceDE w:val="0"/>
              <w:autoSpaceDN w:val="0"/>
              <w:spacing w:before="14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tcBorders>
              <w:bottom w:val="single" w:color="000000" w:sz="4" w:space="0"/>
            </w:tcBorders>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restart"/>
            <w:tcBorders>
              <w:top w:val="nil"/>
            </w:tcBorders>
            <w:vAlign w:val="center"/>
          </w:tcPr>
          <w:p>
            <w:pPr>
              <w:jc w:val="center"/>
              <w:rPr>
                <w:color w:val="auto"/>
                <w:sz w:val="22"/>
              </w:rPr>
            </w:pPr>
            <w:r>
              <w:rPr>
                <w:rFonts w:hint="eastAsia"/>
                <w:color w:val="auto"/>
                <w:sz w:val="22"/>
              </w:rPr>
              <w:t>七月</w:t>
            </w:r>
          </w:p>
        </w:tc>
        <w:tc>
          <w:tcPr>
            <w:tcW w:w="779" w:type="pct"/>
            <w:vAlign w:val="center"/>
          </w:tcPr>
          <w:p>
            <w:pPr>
              <w:autoSpaceDE w:val="0"/>
              <w:autoSpaceDN w:val="0"/>
              <w:spacing w:before="70"/>
              <w:ind w:left="119" w:right="111"/>
              <w:jc w:val="center"/>
              <w:rPr>
                <w:rFonts w:ascii="宋体" w:hAnsi="宋体" w:cs="宋体"/>
                <w:color w:val="auto"/>
                <w:kern w:val="0"/>
                <w:sz w:val="22"/>
              </w:rPr>
            </w:pPr>
            <w:r>
              <w:rPr>
                <w:rFonts w:hint="eastAsia" w:ascii="宋体" w:hAnsi="宋体" w:cs="宋体"/>
                <w:color w:val="auto"/>
                <w:kern w:val="0"/>
                <w:sz w:val="22"/>
              </w:rPr>
              <w:t>黄杨绢野螟</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7 </w:t>
            </w:r>
            <w:r>
              <w:rPr>
                <w:rFonts w:hint="eastAsia" w:ascii="宋体" w:hAnsi="宋体" w:cs="宋体"/>
                <w:color w:val="auto"/>
                <w:kern w:val="0"/>
                <w:sz w:val="22"/>
              </w:rPr>
              <w:t>月上旬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68"/>
              <w:ind w:left="119" w:right="109"/>
              <w:jc w:val="center"/>
              <w:rPr>
                <w:rFonts w:ascii="宋体" w:hAnsi="宋体" w:cs="宋体"/>
                <w:color w:val="auto"/>
                <w:kern w:val="0"/>
                <w:sz w:val="22"/>
              </w:rPr>
            </w:pPr>
            <w:r>
              <w:rPr>
                <w:rFonts w:hint="eastAsia" w:ascii="宋体" w:hAnsi="宋体" w:cs="宋体"/>
                <w:color w:val="auto"/>
                <w:kern w:val="0"/>
                <w:sz w:val="22"/>
              </w:rPr>
              <w:t>杨扇舟蛾</w:t>
            </w:r>
          </w:p>
        </w:tc>
        <w:tc>
          <w:tcPr>
            <w:tcW w:w="981" w:type="pct"/>
            <w:vAlign w:val="center"/>
          </w:tcPr>
          <w:p>
            <w:pPr>
              <w:autoSpaceDE w:val="0"/>
              <w:autoSpaceDN w:val="0"/>
              <w:spacing w:before="68"/>
              <w:ind w:left="20" w:right="15"/>
              <w:jc w:val="center"/>
              <w:rPr>
                <w:rFonts w:ascii="宋体" w:hAnsi="宋体" w:cs="宋体"/>
                <w:color w:val="auto"/>
                <w:kern w:val="0"/>
                <w:sz w:val="22"/>
              </w:rPr>
            </w:pPr>
            <w:r>
              <w:rPr>
                <w:rFonts w:ascii="宋体" w:hAnsi="宋体" w:cs="宋体"/>
                <w:color w:val="auto"/>
                <w:kern w:val="0"/>
                <w:sz w:val="22"/>
              </w:rPr>
              <w:t xml:space="preserve">7 </w:t>
            </w:r>
            <w:r>
              <w:rPr>
                <w:rFonts w:hint="eastAsia" w:ascii="宋体" w:hAnsi="宋体" w:cs="宋体"/>
                <w:color w:val="auto"/>
                <w:kern w:val="0"/>
                <w:sz w:val="22"/>
              </w:rPr>
              <w:t>月中旬</w:t>
            </w:r>
          </w:p>
        </w:tc>
        <w:tc>
          <w:tcPr>
            <w:tcW w:w="769" w:type="pct"/>
            <w:vAlign w:val="center"/>
          </w:tcPr>
          <w:p>
            <w:pPr>
              <w:autoSpaceDE w:val="0"/>
              <w:autoSpaceDN w:val="0"/>
              <w:spacing w:before="68"/>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8"/>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杨小舟蛾</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7 </w:t>
            </w:r>
            <w:r>
              <w:rPr>
                <w:rFonts w:hint="eastAsia" w:ascii="宋体" w:hAnsi="宋体" w:cs="宋体"/>
                <w:color w:val="auto"/>
                <w:kern w:val="0"/>
                <w:sz w:val="22"/>
              </w:rPr>
              <w:t>月中旬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樟叶蜂</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7 </w:t>
            </w:r>
            <w:r>
              <w:rPr>
                <w:rFonts w:hint="eastAsia" w:ascii="宋体" w:hAnsi="宋体" w:cs="宋体"/>
                <w:color w:val="auto"/>
                <w:kern w:val="0"/>
                <w:sz w:val="22"/>
              </w:rPr>
              <w:t>月中旬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67"/>
              <w:ind w:left="119" w:right="111"/>
              <w:jc w:val="center"/>
              <w:rPr>
                <w:rFonts w:ascii="宋体" w:hAnsi="宋体" w:cs="宋体"/>
                <w:color w:val="auto"/>
                <w:kern w:val="0"/>
                <w:sz w:val="22"/>
              </w:rPr>
            </w:pPr>
            <w:r>
              <w:rPr>
                <w:rFonts w:hint="eastAsia" w:ascii="宋体" w:hAnsi="宋体" w:cs="宋体"/>
                <w:color w:val="auto"/>
                <w:kern w:val="0"/>
                <w:sz w:val="22"/>
              </w:rPr>
              <w:t>兰矩瘤蛎蚧</w:t>
            </w:r>
          </w:p>
        </w:tc>
        <w:tc>
          <w:tcPr>
            <w:tcW w:w="981" w:type="pct"/>
            <w:vAlign w:val="center"/>
          </w:tcPr>
          <w:p>
            <w:pPr>
              <w:autoSpaceDE w:val="0"/>
              <w:autoSpaceDN w:val="0"/>
              <w:spacing w:before="67"/>
              <w:ind w:left="20" w:right="15"/>
              <w:jc w:val="center"/>
              <w:rPr>
                <w:rFonts w:ascii="宋体" w:hAnsi="宋体" w:cs="宋体"/>
                <w:color w:val="auto"/>
                <w:kern w:val="0"/>
                <w:sz w:val="22"/>
              </w:rPr>
            </w:pPr>
            <w:r>
              <w:rPr>
                <w:rFonts w:ascii="宋体" w:hAnsi="宋体" w:cs="宋体"/>
                <w:color w:val="auto"/>
                <w:kern w:val="0"/>
                <w:sz w:val="22"/>
              </w:rPr>
              <w:t xml:space="preserve">7 </w:t>
            </w:r>
            <w:r>
              <w:rPr>
                <w:rFonts w:hint="eastAsia" w:ascii="宋体" w:hAnsi="宋体" w:cs="宋体"/>
                <w:color w:val="auto"/>
                <w:kern w:val="0"/>
                <w:sz w:val="22"/>
              </w:rPr>
              <w:t>月下旬</w:t>
            </w:r>
          </w:p>
        </w:tc>
        <w:tc>
          <w:tcPr>
            <w:tcW w:w="769" w:type="pct"/>
            <w:vAlign w:val="center"/>
          </w:tcPr>
          <w:p>
            <w:pPr>
              <w:autoSpaceDE w:val="0"/>
              <w:autoSpaceDN w:val="0"/>
              <w:spacing w:before="67"/>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7"/>
              <w:ind w:left="7"/>
              <w:jc w:val="center"/>
              <w:rPr>
                <w:rFonts w:ascii="宋体" w:hAnsi="宋体" w:cs="宋体"/>
                <w:color w:val="auto"/>
                <w:kern w:val="0"/>
                <w:sz w:val="22"/>
              </w:rPr>
            </w:pPr>
            <w:r>
              <w:rPr>
                <w:rFonts w:hint="eastAsia" w:ascii="宋体" w:hAnsi="宋体" w:cs="宋体"/>
                <w:color w:val="auto"/>
                <w:kern w:val="0"/>
                <w:sz w:val="22"/>
              </w:rPr>
              <w:t>若虫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刺蛾</w:t>
            </w:r>
          </w:p>
        </w:tc>
        <w:tc>
          <w:tcPr>
            <w:tcW w:w="981" w:type="pct"/>
            <w:vAlign w:val="center"/>
          </w:tcPr>
          <w:p>
            <w:pPr>
              <w:autoSpaceDE w:val="0"/>
              <w:autoSpaceDN w:val="0"/>
              <w:spacing w:before="70"/>
              <w:ind w:left="20" w:right="15"/>
              <w:jc w:val="center"/>
              <w:rPr>
                <w:rFonts w:ascii="宋体" w:hAnsi="宋体" w:cs="宋体"/>
                <w:color w:val="auto"/>
                <w:kern w:val="0"/>
                <w:sz w:val="22"/>
              </w:rPr>
            </w:pPr>
            <w:r>
              <w:rPr>
                <w:rFonts w:ascii="宋体" w:hAnsi="宋体" w:cs="宋体"/>
                <w:color w:val="auto"/>
                <w:kern w:val="0"/>
                <w:sz w:val="22"/>
              </w:rPr>
              <w:t xml:space="preserve">8 </w:t>
            </w:r>
            <w:r>
              <w:rPr>
                <w:rFonts w:hint="eastAsia" w:ascii="宋体" w:hAnsi="宋体" w:cs="宋体"/>
                <w:color w:val="auto"/>
                <w:kern w:val="0"/>
                <w:sz w:val="22"/>
              </w:rPr>
              <w:t>月上旬</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70"/>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70"/>
              <w:ind w:left="119" w:right="109"/>
              <w:jc w:val="center"/>
              <w:rPr>
                <w:rFonts w:ascii="宋体" w:hAnsi="宋体" w:cs="宋体"/>
                <w:color w:val="auto"/>
                <w:kern w:val="0"/>
                <w:sz w:val="22"/>
              </w:rPr>
            </w:pPr>
            <w:r>
              <w:rPr>
                <w:rFonts w:hint="eastAsia" w:ascii="宋体" w:hAnsi="宋体" w:cs="宋体"/>
                <w:color w:val="auto"/>
                <w:kern w:val="0"/>
                <w:sz w:val="22"/>
              </w:rPr>
              <w:t>桑天牛</w:t>
            </w:r>
          </w:p>
        </w:tc>
        <w:tc>
          <w:tcPr>
            <w:tcW w:w="981" w:type="pct"/>
            <w:vAlign w:val="center"/>
          </w:tcPr>
          <w:p>
            <w:pPr>
              <w:autoSpaceDE w:val="0"/>
              <w:autoSpaceDN w:val="0"/>
              <w:spacing w:before="70"/>
              <w:ind w:left="22" w:right="15"/>
              <w:jc w:val="center"/>
              <w:rPr>
                <w:rFonts w:ascii="宋体" w:hAnsi="宋体" w:cs="宋体"/>
                <w:color w:val="auto"/>
                <w:kern w:val="0"/>
                <w:sz w:val="22"/>
              </w:rPr>
            </w:pPr>
            <w:r>
              <w:rPr>
                <w:rFonts w:ascii="宋体" w:hAnsi="宋体" w:cs="宋体"/>
                <w:color w:val="auto"/>
                <w:kern w:val="0"/>
                <w:sz w:val="22"/>
              </w:rPr>
              <w:t xml:space="preserve">7 </w:t>
            </w:r>
            <w:r>
              <w:rPr>
                <w:rFonts w:hint="eastAsia" w:ascii="宋体" w:hAnsi="宋体" w:cs="宋体"/>
                <w:color w:val="auto"/>
                <w:kern w:val="0"/>
                <w:sz w:val="22"/>
              </w:rPr>
              <w:t>月下旬</w:t>
            </w:r>
            <w:r>
              <w:rPr>
                <w:rFonts w:ascii="宋体" w:hAnsi="宋体" w:cs="宋体"/>
                <w:color w:val="auto"/>
                <w:kern w:val="0"/>
                <w:sz w:val="22"/>
              </w:rPr>
              <w:t xml:space="preserve">—11 </w:t>
            </w:r>
            <w:r>
              <w:rPr>
                <w:rFonts w:hint="eastAsia" w:ascii="宋体" w:hAnsi="宋体" w:cs="宋体"/>
                <w:color w:val="auto"/>
                <w:kern w:val="0"/>
                <w:sz w:val="22"/>
              </w:rPr>
              <w:t>月</w:t>
            </w:r>
          </w:p>
        </w:tc>
        <w:tc>
          <w:tcPr>
            <w:tcW w:w="769" w:type="pct"/>
            <w:vAlign w:val="center"/>
          </w:tcPr>
          <w:p>
            <w:pPr>
              <w:autoSpaceDE w:val="0"/>
              <w:autoSpaceDN w:val="0"/>
              <w:spacing w:before="70"/>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jc w:val="center"/>
              <w:rPr>
                <w:rFonts w:hAnsi="宋体" w:cs="宋体"/>
                <w:color w:val="auto"/>
                <w:kern w:val="0"/>
                <w:sz w:val="20"/>
              </w:rPr>
            </w:pP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Merge w:val="continue"/>
            <w:vAlign w:val="center"/>
          </w:tcPr>
          <w:p>
            <w:pPr>
              <w:jc w:val="center"/>
              <w:rPr>
                <w:color w:val="auto"/>
                <w:sz w:val="2"/>
                <w:szCs w:val="2"/>
              </w:rPr>
            </w:pPr>
          </w:p>
        </w:tc>
        <w:tc>
          <w:tcPr>
            <w:tcW w:w="779" w:type="pct"/>
            <w:vAlign w:val="center"/>
          </w:tcPr>
          <w:p>
            <w:pPr>
              <w:autoSpaceDE w:val="0"/>
              <w:autoSpaceDN w:val="0"/>
              <w:spacing w:before="67"/>
              <w:ind w:left="119" w:right="111"/>
              <w:jc w:val="center"/>
              <w:rPr>
                <w:rFonts w:ascii="宋体" w:hAnsi="宋体" w:cs="宋体"/>
                <w:color w:val="auto"/>
                <w:kern w:val="0"/>
                <w:sz w:val="22"/>
              </w:rPr>
            </w:pPr>
            <w:r>
              <w:rPr>
                <w:rFonts w:hint="eastAsia" w:ascii="宋体" w:hAnsi="宋体" w:cs="宋体"/>
                <w:color w:val="auto"/>
                <w:kern w:val="0"/>
                <w:sz w:val="22"/>
              </w:rPr>
              <w:t>杨树潜叶蛾</w:t>
            </w:r>
          </w:p>
        </w:tc>
        <w:tc>
          <w:tcPr>
            <w:tcW w:w="981" w:type="pct"/>
            <w:vAlign w:val="center"/>
          </w:tcPr>
          <w:p>
            <w:pPr>
              <w:autoSpaceDE w:val="0"/>
              <w:autoSpaceDN w:val="0"/>
              <w:spacing w:before="67"/>
              <w:ind w:left="20" w:right="15"/>
              <w:jc w:val="center"/>
              <w:rPr>
                <w:rFonts w:ascii="宋体" w:hAnsi="宋体" w:cs="宋体"/>
                <w:color w:val="auto"/>
                <w:kern w:val="0"/>
                <w:sz w:val="22"/>
              </w:rPr>
            </w:pPr>
            <w:r>
              <w:rPr>
                <w:rFonts w:ascii="宋体" w:hAnsi="宋体" w:cs="宋体"/>
                <w:color w:val="auto"/>
                <w:kern w:val="0"/>
                <w:sz w:val="22"/>
              </w:rPr>
              <w:t xml:space="preserve">7 </w:t>
            </w:r>
            <w:r>
              <w:rPr>
                <w:rFonts w:hint="eastAsia" w:ascii="宋体" w:hAnsi="宋体" w:cs="宋体"/>
                <w:color w:val="auto"/>
                <w:kern w:val="0"/>
                <w:sz w:val="22"/>
              </w:rPr>
              <w:t>月下旬</w:t>
            </w:r>
          </w:p>
        </w:tc>
        <w:tc>
          <w:tcPr>
            <w:tcW w:w="769" w:type="pct"/>
            <w:vAlign w:val="center"/>
          </w:tcPr>
          <w:p>
            <w:pPr>
              <w:autoSpaceDE w:val="0"/>
              <w:autoSpaceDN w:val="0"/>
              <w:spacing w:before="67"/>
              <w:ind w:left="109" w:right="101"/>
              <w:jc w:val="center"/>
              <w:rPr>
                <w:rFonts w:ascii="宋体" w:hAnsi="宋体" w:cs="宋体"/>
                <w:color w:val="auto"/>
                <w:kern w:val="0"/>
                <w:sz w:val="22"/>
              </w:rPr>
            </w:pPr>
            <w:r>
              <w:rPr>
                <w:rFonts w:hint="eastAsia" w:ascii="宋体" w:hAnsi="宋体" w:cs="宋体"/>
                <w:color w:val="auto"/>
                <w:kern w:val="0"/>
                <w:sz w:val="22"/>
              </w:rPr>
              <w:t>药剂</w:t>
            </w:r>
          </w:p>
        </w:tc>
        <w:tc>
          <w:tcPr>
            <w:tcW w:w="944" w:type="pct"/>
            <w:vAlign w:val="center"/>
          </w:tcPr>
          <w:p>
            <w:pPr>
              <w:autoSpaceDE w:val="0"/>
              <w:autoSpaceDN w:val="0"/>
              <w:spacing w:before="67"/>
              <w:ind w:left="7"/>
              <w:jc w:val="center"/>
              <w:rPr>
                <w:rFonts w:ascii="宋体" w:hAnsi="宋体" w:cs="宋体"/>
                <w:color w:val="auto"/>
                <w:kern w:val="0"/>
                <w:sz w:val="22"/>
              </w:rPr>
            </w:pPr>
            <w:r>
              <w:rPr>
                <w:rFonts w:hint="eastAsia" w:ascii="宋体" w:hAnsi="宋体" w:cs="宋体"/>
                <w:color w:val="auto"/>
                <w:kern w:val="0"/>
                <w:sz w:val="22"/>
              </w:rPr>
              <w:t>幼虫</w:t>
            </w:r>
          </w:p>
        </w:tc>
        <w:tc>
          <w:tcPr>
            <w:tcW w:w="1030" w:type="pct"/>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Align w:val="center"/>
          </w:tcPr>
          <w:p>
            <w:pPr>
              <w:jc w:val="center"/>
              <w:rPr>
                <w:color w:val="auto"/>
                <w:szCs w:val="20"/>
              </w:rPr>
            </w:pPr>
            <w:r>
              <w:rPr>
                <w:rFonts w:hint="eastAsia"/>
                <w:color w:val="auto"/>
                <w:szCs w:val="20"/>
              </w:rPr>
              <w:t>八月</w:t>
            </w:r>
          </w:p>
        </w:tc>
        <w:tc>
          <w:tcPr>
            <w:tcW w:w="779" w:type="pct"/>
            <w:vAlign w:val="center"/>
          </w:tcPr>
          <w:p>
            <w:pPr>
              <w:jc w:val="center"/>
              <w:rPr>
                <w:color w:val="auto"/>
                <w:szCs w:val="20"/>
              </w:rPr>
            </w:pPr>
            <w:r>
              <w:rPr>
                <w:rFonts w:hint="eastAsia"/>
                <w:color w:val="auto"/>
                <w:szCs w:val="20"/>
              </w:rPr>
              <w:t>樟巢螟</w:t>
            </w:r>
          </w:p>
        </w:tc>
        <w:tc>
          <w:tcPr>
            <w:tcW w:w="981" w:type="pct"/>
            <w:vAlign w:val="center"/>
          </w:tcPr>
          <w:p>
            <w:pPr>
              <w:jc w:val="center"/>
              <w:rPr>
                <w:color w:val="auto"/>
                <w:szCs w:val="20"/>
              </w:rPr>
            </w:pPr>
            <w:r>
              <w:rPr>
                <w:rFonts w:hint="eastAsia"/>
                <w:color w:val="auto"/>
                <w:szCs w:val="20"/>
              </w:rPr>
              <w:t>8 月中旬</w:t>
            </w:r>
          </w:p>
        </w:tc>
        <w:tc>
          <w:tcPr>
            <w:tcW w:w="769" w:type="pct"/>
            <w:vAlign w:val="center"/>
          </w:tcPr>
          <w:p>
            <w:pPr>
              <w:jc w:val="center"/>
              <w:rPr>
                <w:color w:val="auto"/>
                <w:szCs w:val="20"/>
              </w:rPr>
            </w:pPr>
            <w:r>
              <w:rPr>
                <w:rFonts w:hint="eastAsia"/>
                <w:color w:val="auto"/>
                <w:szCs w:val="20"/>
              </w:rPr>
              <w:t>药剂、人工</w:t>
            </w:r>
          </w:p>
        </w:tc>
        <w:tc>
          <w:tcPr>
            <w:tcW w:w="944" w:type="pct"/>
            <w:vAlign w:val="center"/>
          </w:tcPr>
          <w:p>
            <w:pPr>
              <w:jc w:val="center"/>
              <w:rPr>
                <w:color w:val="auto"/>
                <w:szCs w:val="20"/>
              </w:rPr>
            </w:pPr>
            <w:r>
              <w:rPr>
                <w:rFonts w:hint="eastAsia"/>
                <w:color w:val="auto"/>
                <w:szCs w:val="20"/>
              </w:rPr>
              <w:t>幼虫“二叶期”</w:t>
            </w:r>
          </w:p>
        </w:tc>
        <w:tc>
          <w:tcPr>
            <w:tcW w:w="1030" w:type="pct"/>
            <w:vAlign w:val="center"/>
          </w:tcPr>
          <w:p>
            <w:pPr>
              <w:jc w:val="center"/>
              <w:rPr>
                <w:color w:val="auto"/>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Align w:val="center"/>
          </w:tcPr>
          <w:p>
            <w:pPr>
              <w:jc w:val="center"/>
              <w:rPr>
                <w:color w:val="auto"/>
                <w:szCs w:val="20"/>
              </w:rPr>
            </w:pPr>
            <w:r>
              <w:rPr>
                <w:rFonts w:hint="eastAsia"/>
                <w:color w:val="auto"/>
                <w:szCs w:val="20"/>
              </w:rPr>
              <w:t>九月</w:t>
            </w:r>
          </w:p>
        </w:tc>
        <w:tc>
          <w:tcPr>
            <w:tcW w:w="779" w:type="pct"/>
            <w:vAlign w:val="center"/>
          </w:tcPr>
          <w:p>
            <w:pPr>
              <w:jc w:val="center"/>
              <w:rPr>
                <w:color w:val="auto"/>
                <w:szCs w:val="20"/>
              </w:rPr>
            </w:pPr>
            <w:r>
              <w:rPr>
                <w:rFonts w:hint="eastAsia"/>
                <w:color w:val="auto"/>
                <w:szCs w:val="20"/>
              </w:rPr>
              <w:t>兰矩瘤蛎蚧</w:t>
            </w:r>
          </w:p>
        </w:tc>
        <w:tc>
          <w:tcPr>
            <w:tcW w:w="981" w:type="pct"/>
            <w:vAlign w:val="center"/>
          </w:tcPr>
          <w:p>
            <w:pPr>
              <w:jc w:val="center"/>
              <w:rPr>
                <w:color w:val="auto"/>
                <w:szCs w:val="20"/>
              </w:rPr>
            </w:pPr>
            <w:r>
              <w:rPr>
                <w:rFonts w:hint="eastAsia"/>
                <w:color w:val="auto"/>
                <w:szCs w:val="20"/>
              </w:rPr>
              <w:t>九月中旬</w:t>
            </w:r>
          </w:p>
        </w:tc>
        <w:tc>
          <w:tcPr>
            <w:tcW w:w="769" w:type="pct"/>
            <w:vAlign w:val="center"/>
          </w:tcPr>
          <w:p>
            <w:pPr>
              <w:jc w:val="center"/>
              <w:rPr>
                <w:color w:val="auto"/>
                <w:szCs w:val="20"/>
              </w:rPr>
            </w:pPr>
            <w:r>
              <w:rPr>
                <w:rFonts w:hint="eastAsia"/>
                <w:color w:val="auto"/>
                <w:szCs w:val="20"/>
              </w:rPr>
              <w:t>药剂</w:t>
            </w:r>
          </w:p>
        </w:tc>
        <w:tc>
          <w:tcPr>
            <w:tcW w:w="944" w:type="pct"/>
            <w:vAlign w:val="center"/>
          </w:tcPr>
          <w:p>
            <w:pPr>
              <w:jc w:val="center"/>
              <w:rPr>
                <w:color w:val="auto"/>
                <w:szCs w:val="20"/>
              </w:rPr>
            </w:pPr>
            <w:r>
              <w:rPr>
                <w:rFonts w:hint="eastAsia"/>
                <w:color w:val="auto"/>
                <w:szCs w:val="20"/>
              </w:rPr>
              <w:t>若虫</w:t>
            </w:r>
          </w:p>
        </w:tc>
        <w:tc>
          <w:tcPr>
            <w:tcW w:w="1030" w:type="pct"/>
            <w:vAlign w:val="center"/>
          </w:tcPr>
          <w:p>
            <w:pPr>
              <w:jc w:val="center"/>
              <w:rPr>
                <w:color w:val="auto"/>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Align w:val="center"/>
          </w:tcPr>
          <w:p>
            <w:pPr>
              <w:jc w:val="center"/>
              <w:rPr>
                <w:color w:val="auto"/>
                <w:szCs w:val="20"/>
              </w:rPr>
            </w:pPr>
            <w:r>
              <w:rPr>
                <w:rFonts w:hint="eastAsia"/>
                <w:color w:val="auto"/>
                <w:szCs w:val="20"/>
              </w:rPr>
              <w:t>十月</w:t>
            </w:r>
          </w:p>
        </w:tc>
        <w:tc>
          <w:tcPr>
            <w:tcW w:w="779" w:type="pct"/>
            <w:vAlign w:val="center"/>
          </w:tcPr>
          <w:p>
            <w:pPr>
              <w:autoSpaceDE w:val="0"/>
              <w:autoSpaceDN w:val="0"/>
              <w:spacing w:before="67"/>
              <w:ind w:left="119" w:right="111"/>
              <w:jc w:val="center"/>
              <w:rPr>
                <w:rFonts w:ascii="宋体" w:hAnsi="宋体" w:cs="宋体"/>
                <w:color w:val="auto"/>
                <w:kern w:val="0"/>
                <w:sz w:val="22"/>
              </w:rPr>
            </w:pPr>
          </w:p>
        </w:tc>
        <w:tc>
          <w:tcPr>
            <w:tcW w:w="981" w:type="pct"/>
            <w:vAlign w:val="center"/>
          </w:tcPr>
          <w:p>
            <w:pPr>
              <w:autoSpaceDE w:val="0"/>
              <w:autoSpaceDN w:val="0"/>
              <w:spacing w:before="67"/>
              <w:ind w:left="20" w:right="15"/>
              <w:jc w:val="center"/>
              <w:rPr>
                <w:rFonts w:ascii="宋体" w:hAnsi="宋体" w:cs="宋体"/>
                <w:color w:val="auto"/>
                <w:kern w:val="0"/>
                <w:sz w:val="22"/>
              </w:rPr>
            </w:pPr>
          </w:p>
        </w:tc>
        <w:tc>
          <w:tcPr>
            <w:tcW w:w="769" w:type="pct"/>
            <w:vAlign w:val="center"/>
          </w:tcPr>
          <w:p>
            <w:pPr>
              <w:autoSpaceDE w:val="0"/>
              <w:autoSpaceDN w:val="0"/>
              <w:spacing w:before="67"/>
              <w:ind w:left="109" w:right="101"/>
              <w:jc w:val="center"/>
              <w:rPr>
                <w:rFonts w:ascii="宋体" w:hAnsi="宋体" w:cs="宋体"/>
                <w:color w:val="auto"/>
                <w:kern w:val="0"/>
                <w:sz w:val="22"/>
              </w:rPr>
            </w:pPr>
          </w:p>
        </w:tc>
        <w:tc>
          <w:tcPr>
            <w:tcW w:w="944" w:type="pct"/>
            <w:vAlign w:val="center"/>
          </w:tcPr>
          <w:p>
            <w:pPr>
              <w:autoSpaceDE w:val="0"/>
              <w:autoSpaceDN w:val="0"/>
              <w:spacing w:before="67"/>
              <w:ind w:left="7"/>
              <w:jc w:val="center"/>
              <w:rPr>
                <w:rFonts w:ascii="宋体" w:hAnsi="宋体" w:cs="宋体"/>
                <w:color w:val="auto"/>
                <w:kern w:val="0"/>
                <w:sz w:val="22"/>
              </w:rPr>
            </w:pPr>
          </w:p>
        </w:tc>
        <w:tc>
          <w:tcPr>
            <w:tcW w:w="1030" w:type="pct"/>
            <w:vMerge w:val="restart"/>
            <w:vAlign w:val="center"/>
          </w:tcPr>
          <w:p>
            <w:pPr>
              <w:autoSpaceDE w:val="0"/>
              <w:autoSpaceDN w:val="0"/>
              <w:jc w:val="center"/>
              <w:rPr>
                <w:rFonts w:hAnsi="宋体" w:cs="宋体"/>
                <w:color w:val="auto"/>
                <w:kern w:val="0"/>
                <w:sz w:val="22"/>
              </w:rPr>
            </w:pPr>
            <w:r>
              <w:rPr>
                <w:rFonts w:hint="eastAsia" w:hAnsi="宋体" w:cs="宋体"/>
                <w:color w:val="auto"/>
                <w:kern w:val="0"/>
                <w:sz w:val="22"/>
              </w:rPr>
              <w:t>冬季调查、清园等田间管理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495" w:type="pct"/>
            <w:vAlign w:val="center"/>
          </w:tcPr>
          <w:p>
            <w:pPr>
              <w:jc w:val="center"/>
              <w:rPr>
                <w:color w:val="auto"/>
                <w:szCs w:val="20"/>
              </w:rPr>
            </w:pPr>
            <w:r>
              <w:rPr>
                <w:rFonts w:hint="eastAsia"/>
                <w:color w:val="auto"/>
                <w:szCs w:val="20"/>
              </w:rPr>
              <w:t>十一月</w:t>
            </w:r>
          </w:p>
        </w:tc>
        <w:tc>
          <w:tcPr>
            <w:tcW w:w="779" w:type="pct"/>
            <w:vAlign w:val="center"/>
          </w:tcPr>
          <w:p>
            <w:pPr>
              <w:autoSpaceDE w:val="0"/>
              <w:autoSpaceDN w:val="0"/>
              <w:spacing w:before="67"/>
              <w:ind w:left="119" w:right="111"/>
              <w:jc w:val="center"/>
              <w:rPr>
                <w:rFonts w:ascii="宋体" w:hAnsi="宋体" w:cs="宋体"/>
                <w:color w:val="auto"/>
                <w:kern w:val="0"/>
                <w:sz w:val="22"/>
              </w:rPr>
            </w:pPr>
          </w:p>
        </w:tc>
        <w:tc>
          <w:tcPr>
            <w:tcW w:w="981" w:type="pct"/>
            <w:vAlign w:val="center"/>
          </w:tcPr>
          <w:p>
            <w:pPr>
              <w:autoSpaceDE w:val="0"/>
              <w:autoSpaceDN w:val="0"/>
              <w:spacing w:before="67"/>
              <w:ind w:left="20" w:right="15"/>
              <w:jc w:val="center"/>
              <w:rPr>
                <w:rFonts w:ascii="宋体" w:hAnsi="宋体" w:cs="宋体"/>
                <w:color w:val="auto"/>
                <w:kern w:val="0"/>
                <w:sz w:val="22"/>
              </w:rPr>
            </w:pPr>
          </w:p>
        </w:tc>
        <w:tc>
          <w:tcPr>
            <w:tcW w:w="769" w:type="pct"/>
            <w:vAlign w:val="center"/>
          </w:tcPr>
          <w:p>
            <w:pPr>
              <w:autoSpaceDE w:val="0"/>
              <w:autoSpaceDN w:val="0"/>
              <w:spacing w:before="67"/>
              <w:ind w:left="109" w:right="101"/>
              <w:jc w:val="center"/>
              <w:rPr>
                <w:rFonts w:ascii="宋体" w:hAnsi="宋体" w:cs="宋体"/>
                <w:color w:val="auto"/>
                <w:kern w:val="0"/>
                <w:sz w:val="22"/>
              </w:rPr>
            </w:pPr>
          </w:p>
        </w:tc>
        <w:tc>
          <w:tcPr>
            <w:tcW w:w="944" w:type="pct"/>
            <w:vAlign w:val="center"/>
          </w:tcPr>
          <w:p>
            <w:pPr>
              <w:autoSpaceDE w:val="0"/>
              <w:autoSpaceDN w:val="0"/>
              <w:spacing w:before="67"/>
              <w:ind w:left="7"/>
              <w:jc w:val="center"/>
              <w:rPr>
                <w:rFonts w:ascii="宋体" w:hAnsi="宋体" w:cs="宋体"/>
                <w:color w:val="auto"/>
                <w:kern w:val="0"/>
                <w:sz w:val="22"/>
              </w:rPr>
            </w:pPr>
          </w:p>
        </w:tc>
        <w:tc>
          <w:tcPr>
            <w:tcW w:w="1030" w:type="pct"/>
            <w:vMerge w:val="continue"/>
            <w:vAlign w:val="center"/>
          </w:tcPr>
          <w:p>
            <w:pPr>
              <w:autoSpaceDE w:val="0"/>
              <w:autoSpaceDN w:val="0"/>
              <w:jc w:val="center"/>
              <w:rPr>
                <w:rFonts w:hAnsi="宋体" w:cs="宋体"/>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495" w:type="pct"/>
            <w:vAlign w:val="center"/>
          </w:tcPr>
          <w:p>
            <w:pPr>
              <w:jc w:val="center"/>
              <w:rPr>
                <w:color w:val="auto"/>
                <w:szCs w:val="20"/>
              </w:rPr>
            </w:pPr>
            <w:r>
              <w:rPr>
                <w:rFonts w:hint="eastAsia"/>
                <w:color w:val="auto"/>
                <w:szCs w:val="20"/>
              </w:rPr>
              <w:t>十二月</w:t>
            </w:r>
          </w:p>
        </w:tc>
        <w:tc>
          <w:tcPr>
            <w:tcW w:w="779" w:type="pct"/>
            <w:vAlign w:val="center"/>
          </w:tcPr>
          <w:p>
            <w:pPr>
              <w:autoSpaceDE w:val="0"/>
              <w:autoSpaceDN w:val="0"/>
              <w:spacing w:before="67"/>
              <w:ind w:left="119" w:right="111"/>
              <w:jc w:val="center"/>
              <w:rPr>
                <w:rFonts w:ascii="宋体" w:hAnsi="宋体" w:cs="宋体"/>
                <w:color w:val="auto"/>
                <w:kern w:val="0"/>
                <w:sz w:val="22"/>
              </w:rPr>
            </w:pPr>
          </w:p>
        </w:tc>
        <w:tc>
          <w:tcPr>
            <w:tcW w:w="981" w:type="pct"/>
            <w:vAlign w:val="center"/>
          </w:tcPr>
          <w:p>
            <w:pPr>
              <w:autoSpaceDE w:val="0"/>
              <w:autoSpaceDN w:val="0"/>
              <w:spacing w:before="67"/>
              <w:ind w:left="20" w:right="15"/>
              <w:jc w:val="center"/>
              <w:rPr>
                <w:rFonts w:ascii="宋体" w:hAnsi="宋体" w:cs="宋体"/>
                <w:color w:val="auto"/>
                <w:kern w:val="0"/>
                <w:sz w:val="22"/>
              </w:rPr>
            </w:pPr>
          </w:p>
        </w:tc>
        <w:tc>
          <w:tcPr>
            <w:tcW w:w="769" w:type="pct"/>
            <w:vAlign w:val="center"/>
          </w:tcPr>
          <w:p>
            <w:pPr>
              <w:autoSpaceDE w:val="0"/>
              <w:autoSpaceDN w:val="0"/>
              <w:spacing w:before="67"/>
              <w:ind w:left="109" w:right="101"/>
              <w:jc w:val="center"/>
              <w:rPr>
                <w:rFonts w:ascii="宋体" w:hAnsi="宋体" w:cs="宋体"/>
                <w:color w:val="auto"/>
                <w:kern w:val="0"/>
                <w:sz w:val="22"/>
              </w:rPr>
            </w:pPr>
          </w:p>
        </w:tc>
        <w:tc>
          <w:tcPr>
            <w:tcW w:w="944" w:type="pct"/>
            <w:vAlign w:val="center"/>
          </w:tcPr>
          <w:p>
            <w:pPr>
              <w:autoSpaceDE w:val="0"/>
              <w:autoSpaceDN w:val="0"/>
              <w:spacing w:before="67"/>
              <w:ind w:left="7"/>
              <w:jc w:val="center"/>
              <w:rPr>
                <w:rFonts w:ascii="宋体" w:hAnsi="宋体" w:cs="宋体"/>
                <w:color w:val="auto"/>
                <w:kern w:val="0"/>
                <w:sz w:val="22"/>
              </w:rPr>
            </w:pPr>
          </w:p>
        </w:tc>
        <w:tc>
          <w:tcPr>
            <w:tcW w:w="1030" w:type="pct"/>
            <w:vMerge w:val="continue"/>
            <w:vAlign w:val="center"/>
          </w:tcPr>
          <w:p>
            <w:pPr>
              <w:autoSpaceDE w:val="0"/>
              <w:autoSpaceDN w:val="0"/>
              <w:jc w:val="center"/>
              <w:rPr>
                <w:rFonts w:hAnsi="宋体" w:cs="宋体"/>
                <w:color w:val="auto"/>
                <w:kern w:val="0"/>
                <w:sz w:val="22"/>
              </w:rPr>
            </w:pPr>
          </w:p>
        </w:tc>
      </w:tr>
    </w:tbl>
    <w:p>
      <w:pPr>
        <w:ind w:firstLine="420" w:firstLineChars="200"/>
        <w:jc w:val="left"/>
        <w:rPr>
          <w:color w:val="auto"/>
          <w:szCs w:val="20"/>
        </w:rPr>
      </w:pPr>
    </w:p>
    <w:p>
      <w:pPr>
        <w:adjustRightInd w:val="0"/>
        <w:snapToGrid w:val="0"/>
        <w:ind w:firstLine="433" w:firstLineChars="196"/>
        <w:jc w:val="left"/>
        <w:outlineLvl w:val="2"/>
        <w:rPr>
          <w:b/>
          <w:color w:val="auto"/>
          <w:sz w:val="22"/>
        </w:rPr>
      </w:pPr>
      <w:bookmarkStart w:id="25" w:name="_Toc149899529"/>
      <w:bookmarkStart w:id="26" w:name="_Toc118988816"/>
      <w:bookmarkStart w:id="27" w:name="_Toc124860834"/>
    </w:p>
    <w:p>
      <w:pPr>
        <w:adjustRightInd w:val="0"/>
        <w:snapToGrid w:val="0"/>
        <w:ind w:firstLine="433" w:firstLineChars="196"/>
        <w:jc w:val="left"/>
        <w:outlineLvl w:val="2"/>
        <w:rPr>
          <w:b/>
          <w:color w:val="auto"/>
          <w:sz w:val="22"/>
        </w:rPr>
      </w:pPr>
      <w:r>
        <w:rPr>
          <w:b/>
          <w:color w:val="auto"/>
          <w:sz w:val="22"/>
        </w:rPr>
        <w:t>10 人员及设备要求</w:t>
      </w:r>
      <w:bookmarkEnd w:id="25"/>
      <w:bookmarkEnd w:id="26"/>
      <w:bookmarkEnd w:id="27"/>
    </w:p>
    <w:p>
      <w:pPr>
        <w:snapToGrid w:val="0"/>
        <w:ind w:firstLine="440" w:firstLineChars="200"/>
        <w:rPr>
          <w:color w:val="auto"/>
          <w:sz w:val="22"/>
        </w:rPr>
      </w:pPr>
      <w:r>
        <w:rPr>
          <w:color w:val="auto"/>
          <w:sz w:val="22"/>
        </w:rPr>
        <w:t>10.1 人员要求</w:t>
      </w:r>
    </w:p>
    <w:p>
      <w:pPr>
        <w:ind w:firstLine="422" w:firstLineChars="192"/>
        <w:rPr>
          <w:bCs/>
          <w:color w:val="auto"/>
          <w:sz w:val="22"/>
          <w:szCs w:val="20"/>
        </w:rPr>
      </w:pPr>
      <w:r>
        <w:rPr>
          <w:bCs/>
          <w:color w:val="auto"/>
          <w:sz w:val="22"/>
        </w:rPr>
        <w:t>10.1.1</w:t>
      </w:r>
      <w:r>
        <w:rPr>
          <w:bCs/>
          <w:color w:val="auto"/>
          <w:sz w:val="22"/>
          <w:szCs w:val="20"/>
        </w:rPr>
        <w:t>供应商拟派的管理人员，实际以养护专业要求为准，</w:t>
      </w:r>
      <w:r>
        <w:rPr>
          <w:color w:val="auto"/>
          <w:sz w:val="22"/>
          <w:szCs w:val="20"/>
        </w:rPr>
        <w:t>供应商应根据项目特点，服务范围和服务要求，合理配备所需人员，并分配各岗点服务人数、安排班次，</w:t>
      </w:r>
      <w:r>
        <w:rPr>
          <w:bCs/>
          <w:color w:val="auto"/>
          <w:sz w:val="22"/>
          <w:szCs w:val="20"/>
        </w:rPr>
        <w:t>且必须是本单位职工，且为该项目施工现场的实际操作者。未经采购人同意，中标人不得调换或撤离上述人员，如采购人认为有必要，可要求中标人对上述人员中的部分人员作出更好的调整。</w:t>
      </w:r>
    </w:p>
    <w:p>
      <w:pPr>
        <w:tabs>
          <w:tab w:val="left" w:pos="3060"/>
        </w:tabs>
        <w:snapToGrid w:val="0"/>
        <w:ind w:firstLine="440" w:firstLineChars="200"/>
        <w:rPr>
          <w:bCs/>
          <w:color w:val="auto"/>
          <w:sz w:val="22"/>
        </w:rPr>
      </w:pPr>
      <w:r>
        <w:rPr>
          <w:bCs/>
          <w:color w:val="auto"/>
          <w:sz w:val="22"/>
        </w:rPr>
        <w:t>10.1.2 管理人员配备要求</w:t>
      </w:r>
    </w:p>
    <w:p>
      <w:pPr>
        <w:snapToGrid w:val="0"/>
        <w:jc w:val="center"/>
        <w:rPr>
          <w:b/>
          <w:bCs/>
          <w:color w:val="auto"/>
          <w:kern w:val="0"/>
          <w:sz w:val="22"/>
        </w:rPr>
      </w:pPr>
      <w:r>
        <w:rPr>
          <w:b/>
          <w:bCs/>
          <w:color w:val="auto"/>
          <w:kern w:val="0"/>
          <w:sz w:val="22"/>
        </w:rPr>
        <w:t>管理人员配置表</w:t>
      </w:r>
    </w:p>
    <w:tbl>
      <w:tblPr>
        <w:tblStyle w:val="50"/>
        <w:tblW w:w="5000" w:type="pct"/>
        <w:jc w:val="center"/>
        <w:tblLayout w:type="autofit"/>
        <w:tblCellMar>
          <w:top w:w="0" w:type="dxa"/>
          <w:left w:w="108" w:type="dxa"/>
          <w:bottom w:w="0" w:type="dxa"/>
          <w:right w:w="108" w:type="dxa"/>
        </w:tblCellMar>
      </w:tblPr>
      <w:tblGrid>
        <w:gridCol w:w="562"/>
        <w:gridCol w:w="1066"/>
        <w:gridCol w:w="1171"/>
        <w:gridCol w:w="1372"/>
        <w:gridCol w:w="613"/>
        <w:gridCol w:w="1725"/>
        <w:gridCol w:w="2005"/>
        <w:gridCol w:w="1340"/>
      </w:tblGrid>
      <w:tr>
        <w:tblPrEx>
          <w:tblCellMar>
            <w:top w:w="0" w:type="dxa"/>
            <w:left w:w="108" w:type="dxa"/>
            <w:bottom w:w="0" w:type="dxa"/>
            <w:right w:w="108" w:type="dxa"/>
          </w:tblCellMar>
        </w:tblPrEx>
        <w:trPr>
          <w:trHeight w:val="637" w:hRule="atLeast"/>
          <w:jc w:val="center"/>
        </w:trPr>
        <w:tc>
          <w:tcPr>
            <w:tcW w:w="285" w:type="pct"/>
            <w:tcBorders>
              <w:top w:val="single" w:color="auto" w:sz="8" w:space="0"/>
              <w:left w:val="single" w:color="auto" w:sz="8"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序号</w:t>
            </w:r>
          </w:p>
        </w:tc>
        <w:tc>
          <w:tcPr>
            <w:tcW w:w="541" w:type="pct"/>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岗位类别</w:t>
            </w:r>
          </w:p>
        </w:tc>
        <w:tc>
          <w:tcPr>
            <w:tcW w:w="594" w:type="pct"/>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岗位名称</w:t>
            </w:r>
          </w:p>
        </w:tc>
        <w:tc>
          <w:tcPr>
            <w:tcW w:w="696" w:type="pct"/>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级别</w:t>
            </w:r>
          </w:p>
        </w:tc>
        <w:tc>
          <w:tcPr>
            <w:tcW w:w="311" w:type="pct"/>
            <w:tcBorders>
              <w:top w:val="single" w:color="auto" w:sz="8" w:space="0"/>
              <w:left w:val="single" w:color="auto" w:sz="4" w:space="0"/>
              <w:bottom w:val="single" w:color="auto" w:sz="4" w:space="0"/>
              <w:right w:val="single" w:color="auto" w:sz="4" w:space="0"/>
            </w:tcBorders>
            <w:vAlign w:val="center"/>
          </w:tcPr>
          <w:p>
            <w:pPr>
              <w:jc w:val="center"/>
              <w:rPr>
                <w:b/>
                <w:color w:val="auto"/>
                <w:sz w:val="20"/>
                <w:szCs w:val="20"/>
              </w:rPr>
            </w:pPr>
          </w:p>
          <w:p>
            <w:pPr>
              <w:widowControl/>
              <w:jc w:val="center"/>
              <w:rPr>
                <w:b/>
                <w:bCs/>
                <w:color w:val="auto"/>
                <w:kern w:val="0"/>
                <w:sz w:val="20"/>
                <w:szCs w:val="20"/>
              </w:rPr>
            </w:pPr>
            <w:r>
              <w:rPr>
                <w:b/>
                <w:bCs/>
                <w:color w:val="auto"/>
                <w:kern w:val="0"/>
                <w:sz w:val="20"/>
                <w:szCs w:val="20"/>
              </w:rPr>
              <w:t>数量</w:t>
            </w:r>
          </w:p>
        </w:tc>
        <w:tc>
          <w:tcPr>
            <w:tcW w:w="875" w:type="pct"/>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应提供资料</w:t>
            </w:r>
          </w:p>
        </w:tc>
        <w:tc>
          <w:tcPr>
            <w:tcW w:w="1015" w:type="pct"/>
            <w:tcBorders>
              <w:top w:val="single" w:color="auto" w:sz="8" w:space="0"/>
              <w:left w:val="single" w:color="auto" w:sz="4" w:space="0"/>
              <w:bottom w:val="single" w:color="auto" w:sz="4" w:space="0"/>
              <w:right w:val="single" w:color="auto" w:sz="8" w:space="0"/>
            </w:tcBorders>
            <w:vAlign w:val="center"/>
          </w:tcPr>
          <w:p>
            <w:pPr>
              <w:widowControl/>
              <w:jc w:val="center"/>
              <w:rPr>
                <w:b/>
                <w:bCs/>
                <w:color w:val="auto"/>
                <w:kern w:val="0"/>
                <w:sz w:val="20"/>
                <w:szCs w:val="20"/>
              </w:rPr>
            </w:pPr>
            <w:r>
              <w:rPr>
                <w:b/>
                <w:bCs/>
                <w:color w:val="auto"/>
                <w:kern w:val="0"/>
                <w:sz w:val="20"/>
                <w:szCs w:val="20"/>
              </w:rPr>
              <w:t>提供其他资料要求（若有，请提供证书扫描件）</w:t>
            </w:r>
          </w:p>
        </w:tc>
        <w:tc>
          <w:tcPr>
            <w:tcW w:w="680" w:type="pct"/>
            <w:tcBorders>
              <w:top w:val="single" w:color="auto" w:sz="8" w:space="0"/>
              <w:left w:val="single" w:color="auto" w:sz="4" w:space="0"/>
              <w:bottom w:val="single" w:color="auto" w:sz="4" w:space="0"/>
              <w:right w:val="single" w:color="auto" w:sz="8" w:space="0"/>
            </w:tcBorders>
            <w:vAlign w:val="center"/>
          </w:tcPr>
          <w:p>
            <w:pPr>
              <w:widowControl/>
              <w:jc w:val="center"/>
              <w:rPr>
                <w:b/>
                <w:bCs/>
                <w:color w:val="auto"/>
                <w:kern w:val="0"/>
                <w:sz w:val="20"/>
                <w:szCs w:val="20"/>
              </w:rPr>
            </w:pPr>
            <w:r>
              <w:rPr>
                <w:b/>
                <w:bCs/>
                <w:color w:val="auto"/>
                <w:kern w:val="0"/>
                <w:sz w:val="20"/>
                <w:szCs w:val="20"/>
              </w:rPr>
              <w:t>备注</w:t>
            </w:r>
          </w:p>
        </w:tc>
      </w:tr>
      <w:tr>
        <w:tblPrEx>
          <w:tblCellMar>
            <w:top w:w="0" w:type="dxa"/>
            <w:left w:w="108" w:type="dxa"/>
            <w:bottom w:w="0" w:type="dxa"/>
            <w:right w:w="108" w:type="dxa"/>
          </w:tblCellMar>
        </w:tblPrEx>
        <w:trPr>
          <w:trHeight w:val="1145" w:hRule="atLeast"/>
          <w:jc w:val="center"/>
        </w:trPr>
        <w:tc>
          <w:tcPr>
            <w:tcW w:w="285" w:type="pct"/>
            <w:tcBorders>
              <w:top w:val="single" w:color="auto" w:sz="4" w:space="0"/>
              <w:left w:val="single" w:color="auto" w:sz="8"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1</w:t>
            </w:r>
          </w:p>
        </w:tc>
        <w:tc>
          <w:tcPr>
            <w:tcW w:w="54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项目经理</w:t>
            </w:r>
          </w:p>
        </w:tc>
        <w:tc>
          <w:tcPr>
            <w:tcW w:w="594"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项目经理</w:t>
            </w: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绿化专业</w:t>
            </w:r>
          </w:p>
          <w:p>
            <w:pPr>
              <w:widowControl/>
              <w:jc w:val="center"/>
              <w:rPr>
                <w:color w:val="auto"/>
                <w:kern w:val="0"/>
                <w:sz w:val="20"/>
                <w:szCs w:val="20"/>
              </w:rPr>
            </w:pPr>
            <w:r>
              <w:rPr>
                <w:color w:val="auto"/>
                <w:kern w:val="0"/>
                <w:sz w:val="20"/>
                <w:szCs w:val="20"/>
              </w:rPr>
              <w:t>中级工程师</w:t>
            </w: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rPr>
                <w:color w:val="auto"/>
                <w:kern w:val="0"/>
                <w:sz w:val="20"/>
                <w:szCs w:val="20"/>
              </w:rPr>
            </w:pPr>
            <w:r>
              <w:rPr>
                <w:color w:val="auto"/>
                <w:kern w:val="0"/>
                <w:sz w:val="20"/>
                <w:szCs w:val="20"/>
              </w:rPr>
              <w:t>社保缴金证明、绿化专业中级工程师及以上</w:t>
            </w:r>
          </w:p>
        </w:tc>
        <w:tc>
          <w:tcPr>
            <w:tcW w:w="1015" w:type="pct"/>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jc w:val="left"/>
              <w:rPr>
                <w:color w:val="auto"/>
                <w:kern w:val="0"/>
                <w:sz w:val="20"/>
                <w:szCs w:val="20"/>
              </w:rPr>
            </w:pPr>
          </w:p>
        </w:tc>
        <w:tc>
          <w:tcPr>
            <w:tcW w:w="680"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rPr>
            </w:pPr>
          </w:p>
        </w:tc>
      </w:tr>
      <w:tr>
        <w:tblPrEx>
          <w:tblCellMar>
            <w:top w:w="0" w:type="dxa"/>
            <w:left w:w="108" w:type="dxa"/>
            <w:bottom w:w="0" w:type="dxa"/>
            <w:right w:w="108" w:type="dxa"/>
          </w:tblCellMar>
        </w:tblPrEx>
        <w:trPr>
          <w:trHeight w:val="567" w:hRule="atLeast"/>
          <w:jc w:val="center"/>
        </w:trPr>
        <w:tc>
          <w:tcPr>
            <w:tcW w:w="285" w:type="pct"/>
            <w:vMerge w:val="restart"/>
            <w:tcBorders>
              <w:top w:val="single" w:color="auto" w:sz="4" w:space="0"/>
              <w:left w:val="single" w:color="auto" w:sz="8" w:space="0"/>
              <w:right w:val="single" w:color="auto" w:sz="4" w:space="0"/>
            </w:tcBorders>
            <w:vAlign w:val="center"/>
          </w:tcPr>
          <w:p>
            <w:pPr>
              <w:widowControl/>
              <w:jc w:val="center"/>
              <w:rPr>
                <w:color w:val="auto"/>
                <w:kern w:val="0"/>
                <w:sz w:val="20"/>
                <w:szCs w:val="20"/>
              </w:rPr>
            </w:pPr>
            <w:r>
              <w:rPr>
                <w:color w:val="auto"/>
                <w:kern w:val="0"/>
                <w:sz w:val="20"/>
                <w:szCs w:val="20"/>
              </w:rPr>
              <w:t>2</w:t>
            </w:r>
          </w:p>
        </w:tc>
        <w:tc>
          <w:tcPr>
            <w:tcW w:w="541" w:type="pct"/>
            <w:vMerge w:val="restart"/>
            <w:tcBorders>
              <w:top w:val="single" w:color="auto" w:sz="4" w:space="0"/>
              <w:left w:val="single" w:color="auto" w:sz="4" w:space="0"/>
              <w:right w:val="single" w:color="auto" w:sz="4" w:space="0"/>
            </w:tcBorders>
            <w:vAlign w:val="center"/>
          </w:tcPr>
          <w:p>
            <w:pPr>
              <w:jc w:val="center"/>
              <w:rPr>
                <w:color w:val="auto"/>
                <w:kern w:val="0"/>
                <w:sz w:val="20"/>
                <w:szCs w:val="20"/>
              </w:rPr>
            </w:pPr>
            <w:r>
              <w:rPr>
                <w:color w:val="auto"/>
                <w:kern w:val="0"/>
                <w:sz w:val="20"/>
                <w:szCs w:val="20"/>
              </w:rPr>
              <w:t>其他专业技术人员</w:t>
            </w:r>
          </w:p>
        </w:tc>
        <w:tc>
          <w:tcPr>
            <w:tcW w:w="594"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质量员</w:t>
            </w: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社保缴金证明</w:t>
            </w:r>
          </w:p>
        </w:tc>
        <w:tc>
          <w:tcPr>
            <w:tcW w:w="1015"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rPr>
            </w:pPr>
          </w:p>
        </w:tc>
        <w:tc>
          <w:tcPr>
            <w:tcW w:w="680"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rPr>
            </w:pPr>
          </w:p>
        </w:tc>
      </w:tr>
      <w:tr>
        <w:tblPrEx>
          <w:tblCellMar>
            <w:top w:w="0" w:type="dxa"/>
            <w:left w:w="108" w:type="dxa"/>
            <w:bottom w:w="0" w:type="dxa"/>
            <w:right w:w="108" w:type="dxa"/>
          </w:tblCellMar>
        </w:tblPrEx>
        <w:trPr>
          <w:trHeight w:val="567" w:hRule="atLeast"/>
          <w:jc w:val="center"/>
        </w:trPr>
        <w:tc>
          <w:tcPr>
            <w:tcW w:w="285" w:type="pct"/>
            <w:vMerge w:val="continue"/>
            <w:tcBorders>
              <w:left w:val="single" w:color="auto" w:sz="8" w:space="0"/>
              <w:right w:val="single" w:color="auto" w:sz="4" w:space="0"/>
            </w:tcBorders>
            <w:vAlign w:val="center"/>
          </w:tcPr>
          <w:p>
            <w:pPr>
              <w:widowControl/>
              <w:jc w:val="center"/>
              <w:rPr>
                <w:color w:val="auto"/>
                <w:kern w:val="0"/>
                <w:sz w:val="20"/>
                <w:szCs w:val="20"/>
              </w:rPr>
            </w:pPr>
          </w:p>
        </w:tc>
        <w:tc>
          <w:tcPr>
            <w:tcW w:w="541" w:type="pct"/>
            <w:vMerge w:val="continue"/>
            <w:tcBorders>
              <w:left w:val="single" w:color="auto" w:sz="4" w:space="0"/>
              <w:right w:val="single" w:color="auto" w:sz="4" w:space="0"/>
            </w:tcBorders>
            <w:vAlign w:val="center"/>
          </w:tcPr>
          <w:p>
            <w:pPr>
              <w:widowControl/>
              <w:jc w:val="center"/>
              <w:rPr>
                <w:color w:val="auto"/>
                <w:kern w:val="0"/>
                <w:sz w:val="20"/>
                <w:szCs w:val="20"/>
              </w:rPr>
            </w:pPr>
          </w:p>
        </w:tc>
        <w:tc>
          <w:tcPr>
            <w:tcW w:w="594"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施工员</w:t>
            </w: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社保缴金证明</w:t>
            </w:r>
          </w:p>
        </w:tc>
        <w:tc>
          <w:tcPr>
            <w:tcW w:w="1015"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rPr>
            </w:pPr>
          </w:p>
        </w:tc>
        <w:tc>
          <w:tcPr>
            <w:tcW w:w="680"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rPr>
            </w:pPr>
          </w:p>
        </w:tc>
      </w:tr>
      <w:tr>
        <w:tblPrEx>
          <w:tblCellMar>
            <w:top w:w="0" w:type="dxa"/>
            <w:left w:w="108" w:type="dxa"/>
            <w:bottom w:w="0" w:type="dxa"/>
            <w:right w:w="108" w:type="dxa"/>
          </w:tblCellMar>
        </w:tblPrEx>
        <w:trPr>
          <w:trHeight w:val="1260" w:hRule="atLeast"/>
          <w:jc w:val="center"/>
        </w:trPr>
        <w:tc>
          <w:tcPr>
            <w:tcW w:w="285" w:type="pct"/>
            <w:vMerge w:val="continue"/>
            <w:tcBorders>
              <w:left w:val="single" w:color="auto" w:sz="8" w:space="0"/>
              <w:right w:val="single" w:color="auto" w:sz="4" w:space="0"/>
            </w:tcBorders>
            <w:vAlign w:val="center"/>
          </w:tcPr>
          <w:p>
            <w:pPr>
              <w:widowControl/>
              <w:jc w:val="center"/>
              <w:rPr>
                <w:color w:val="auto"/>
                <w:kern w:val="0"/>
                <w:sz w:val="20"/>
                <w:szCs w:val="20"/>
              </w:rPr>
            </w:pPr>
          </w:p>
        </w:tc>
        <w:tc>
          <w:tcPr>
            <w:tcW w:w="541" w:type="pct"/>
            <w:vMerge w:val="continue"/>
            <w:tcBorders>
              <w:left w:val="single" w:color="auto" w:sz="4" w:space="0"/>
              <w:right w:val="single" w:color="auto" w:sz="4" w:space="0"/>
            </w:tcBorders>
            <w:vAlign w:val="center"/>
          </w:tcPr>
          <w:p>
            <w:pPr>
              <w:widowControl/>
              <w:jc w:val="center"/>
              <w:rPr>
                <w:color w:val="auto"/>
                <w:kern w:val="0"/>
                <w:sz w:val="20"/>
                <w:szCs w:val="20"/>
              </w:rPr>
            </w:pPr>
          </w:p>
        </w:tc>
        <w:tc>
          <w:tcPr>
            <w:tcW w:w="594"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安全员</w:t>
            </w: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社保缴金证明</w:t>
            </w:r>
          </w:p>
        </w:tc>
        <w:tc>
          <w:tcPr>
            <w:tcW w:w="1015"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rPr>
            </w:pPr>
            <w:r>
              <w:rPr>
                <w:color w:val="auto"/>
                <w:sz w:val="20"/>
                <w:szCs w:val="20"/>
              </w:rPr>
              <w:t>安全员C证</w:t>
            </w:r>
          </w:p>
        </w:tc>
        <w:tc>
          <w:tcPr>
            <w:tcW w:w="680"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rPr>
            </w:pPr>
          </w:p>
        </w:tc>
      </w:tr>
      <w:tr>
        <w:tblPrEx>
          <w:tblCellMar>
            <w:top w:w="0" w:type="dxa"/>
            <w:left w:w="108" w:type="dxa"/>
            <w:bottom w:w="0" w:type="dxa"/>
            <w:right w:w="108" w:type="dxa"/>
          </w:tblCellMar>
        </w:tblPrEx>
        <w:trPr>
          <w:trHeight w:val="567" w:hRule="atLeast"/>
          <w:jc w:val="center"/>
        </w:trPr>
        <w:tc>
          <w:tcPr>
            <w:tcW w:w="285" w:type="pct"/>
            <w:vMerge w:val="continue"/>
            <w:tcBorders>
              <w:left w:val="single" w:color="auto" w:sz="8" w:space="0"/>
              <w:bottom w:val="single" w:color="auto" w:sz="4" w:space="0"/>
              <w:right w:val="single" w:color="auto" w:sz="4" w:space="0"/>
            </w:tcBorders>
            <w:vAlign w:val="center"/>
          </w:tcPr>
          <w:p>
            <w:pPr>
              <w:widowControl/>
              <w:jc w:val="center"/>
              <w:rPr>
                <w:color w:val="auto"/>
                <w:kern w:val="0"/>
                <w:sz w:val="20"/>
                <w:szCs w:val="20"/>
              </w:rPr>
            </w:pPr>
          </w:p>
        </w:tc>
        <w:tc>
          <w:tcPr>
            <w:tcW w:w="541" w:type="pct"/>
            <w:vMerge w:val="continue"/>
            <w:tcBorders>
              <w:left w:val="single" w:color="auto" w:sz="4" w:space="0"/>
              <w:bottom w:val="single" w:color="auto" w:sz="4" w:space="0"/>
              <w:right w:val="single" w:color="auto" w:sz="4" w:space="0"/>
            </w:tcBorders>
            <w:vAlign w:val="center"/>
          </w:tcPr>
          <w:p>
            <w:pPr>
              <w:widowControl/>
              <w:jc w:val="center"/>
              <w:rPr>
                <w:color w:val="auto"/>
                <w:kern w:val="0"/>
                <w:sz w:val="20"/>
                <w:szCs w:val="20"/>
              </w:rPr>
            </w:pPr>
          </w:p>
        </w:tc>
        <w:tc>
          <w:tcPr>
            <w:tcW w:w="594"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资料员</w:t>
            </w: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p>
        </w:tc>
        <w:tc>
          <w:tcPr>
            <w:tcW w:w="311"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1</w:t>
            </w:r>
          </w:p>
        </w:tc>
        <w:tc>
          <w:tcPr>
            <w:tcW w:w="875" w:type="pct"/>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color w:val="auto"/>
                <w:kern w:val="0"/>
                <w:sz w:val="20"/>
                <w:szCs w:val="20"/>
              </w:rPr>
              <w:t>社保缴金证明</w:t>
            </w:r>
          </w:p>
        </w:tc>
        <w:tc>
          <w:tcPr>
            <w:tcW w:w="1015"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rPr>
            </w:pPr>
          </w:p>
        </w:tc>
        <w:tc>
          <w:tcPr>
            <w:tcW w:w="680" w:type="pct"/>
            <w:tcBorders>
              <w:top w:val="single" w:color="auto" w:sz="4" w:space="0"/>
              <w:left w:val="single" w:color="auto" w:sz="4" w:space="0"/>
              <w:bottom w:val="single" w:color="auto" w:sz="4" w:space="0"/>
              <w:right w:val="single" w:color="auto" w:sz="8" w:space="0"/>
            </w:tcBorders>
            <w:vAlign w:val="center"/>
          </w:tcPr>
          <w:p>
            <w:pPr>
              <w:widowControl/>
              <w:jc w:val="center"/>
              <w:rPr>
                <w:color w:val="auto"/>
                <w:kern w:val="0"/>
                <w:sz w:val="20"/>
                <w:szCs w:val="20"/>
              </w:rPr>
            </w:pPr>
          </w:p>
        </w:tc>
      </w:tr>
      <w:tr>
        <w:tblPrEx>
          <w:tblCellMar>
            <w:top w:w="0" w:type="dxa"/>
            <w:left w:w="108" w:type="dxa"/>
            <w:bottom w:w="0" w:type="dxa"/>
            <w:right w:w="108" w:type="dxa"/>
          </w:tblCellMar>
        </w:tblPrEx>
        <w:trPr>
          <w:trHeight w:val="567" w:hRule="atLeast"/>
          <w:jc w:val="center"/>
        </w:trPr>
        <w:tc>
          <w:tcPr>
            <w:tcW w:w="4319" w:type="pct"/>
            <w:gridSpan w:val="7"/>
            <w:tcBorders>
              <w:top w:val="single" w:color="auto" w:sz="4" w:space="0"/>
              <w:left w:val="single" w:color="auto" w:sz="8" w:space="0"/>
              <w:bottom w:val="single" w:color="auto" w:sz="8" w:space="0"/>
              <w:right w:val="single" w:color="auto" w:sz="8" w:space="0"/>
            </w:tcBorders>
            <w:vAlign w:val="center"/>
          </w:tcPr>
          <w:p>
            <w:pPr>
              <w:widowControl/>
              <w:ind w:firstLine="400" w:firstLineChars="200"/>
              <w:jc w:val="center"/>
              <w:rPr>
                <w:color w:val="auto"/>
                <w:kern w:val="0"/>
                <w:sz w:val="20"/>
                <w:szCs w:val="20"/>
              </w:rPr>
            </w:pPr>
            <w:r>
              <w:rPr>
                <w:color w:val="auto"/>
                <w:kern w:val="0"/>
                <w:sz w:val="20"/>
                <w:szCs w:val="20"/>
              </w:rPr>
              <w:t>备注：1、表中人员需提供</w:t>
            </w:r>
            <w:r>
              <w:rPr>
                <w:color w:val="auto"/>
                <w:sz w:val="20"/>
                <w:szCs w:val="20"/>
              </w:rPr>
              <w:t>近12个月内任一月份</w:t>
            </w:r>
            <w:r>
              <w:rPr>
                <w:color w:val="auto"/>
                <w:kern w:val="0"/>
                <w:sz w:val="20"/>
                <w:szCs w:val="20"/>
              </w:rPr>
              <w:t>在投标单位的</w:t>
            </w:r>
            <w:r>
              <w:rPr>
                <w:color w:val="auto"/>
                <w:sz w:val="20"/>
                <w:szCs w:val="20"/>
              </w:rPr>
              <w:t>的社保缴金证明</w:t>
            </w:r>
            <w:r>
              <w:rPr>
                <w:color w:val="auto"/>
                <w:kern w:val="0"/>
                <w:sz w:val="20"/>
                <w:szCs w:val="20"/>
              </w:rPr>
              <w:t>；2、表中人员技术等级证书或资格证书，高等级可用于低等级，但不能重复使用。</w:t>
            </w:r>
          </w:p>
        </w:tc>
        <w:tc>
          <w:tcPr>
            <w:tcW w:w="680" w:type="pct"/>
            <w:tcBorders>
              <w:top w:val="single" w:color="auto" w:sz="4" w:space="0"/>
              <w:left w:val="single" w:color="auto" w:sz="8" w:space="0"/>
              <w:bottom w:val="single" w:color="auto" w:sz="8" w:space="0"/>
              <w:right w:val="single" w:color="auto" w:sz="8" w:space="0"/>
            </w:tcBorders>
            <w:vAlign w:val="center"/>
          </w:tcPr>
          <w:p>
            <w:pPr>
              <w:widowControl/>
              <w:ind w:firstLine="400" w:firstLineChars="200"/>
              <w:jc w:val="center"/>
              <w:rPr>
                <w:color w:val="auto"/>
                <w:kern w:val="0"/>
                <w:sz w:val="20"/>
                <w:szCs w:val="20"/>
              </w:rPr>
            </w:pPr>
          </w:p>
        </w:tc>
      </w:tr>
    </w:tbl>
    <w:p>
      <w:pPr>
        <w:tabs>
          <w:tab w:val="left" w:pos="3060"/>
        </w:tabs>
        <w:snapToGrid w:val="0"/>
        <w:ind w:firstLine="440" w:firstLineChars="200"/>
        <w:rPr>
          <w:bCs/>
          <w:color w:val="auto"/>
          <w:sz w:val="22"/>
        </w:rPr>
      </w:pPr>
      <w:r>
        <w:rPr>
          <w:bCs/>
          <w:color w:val="auto"/>
          <w:sz w:val="22"/>
        </w:rPr>
        <w:t>10.1.3 技术作业工人配备要求</w:t>
      </w:r>
    </w:p>
    <w:p>
      <w:pPr>
        <w:jc w:val="center"/>
        <w:rPr>
          <w:b/>
          <w:bCs/>
          <w:color w:val="auto"/>
          <w:kern w:val="0"/>
          <w:sz w:val="22"/>
        </w:rPr>
      </w:pPr>
      <w:r>
        <w:rPr>
          <w:b/>
          <w:bCs/>
          <w:color w:val="auto"/>
          <w:kern w:val="0"/>
          <w:sz w:val="22"/>
        </w:rPr>
        <w:t>主要技术工人（骨干）配置表</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1492"/>
        <w:gridCol w:w="1387"/>
        <w:gridCol w:w="694"/>
        <w:gridCol w:w="694"/>
        <w:gridCol w:w="1594"/>
        <w:gridCol w:w="177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7" w:hRule="atLeast"/>
          <w:jc w:val="center"/>
        </w:trPr>
        <w:tc>
          <w:tcPr>
            <w:tcW w:w="225" w:type="pct"/>
            <w:vAlign w:val="center"/>
          </w:tcPr>
          <w:p>
            <w:pPr>
              <w:widowControl/>
              <w:jc w:val="center"/>
              <w:rPr>
                <w:b/>
                <w:bCs/>
                <w:color w:val="auto"/>
                <w:kern w:val="0"/>
                <w:sz w:val="20"/>
                <w:szCs w:val="20"/>
              </w:rPr>
            </w:pPr>
            <w:r>
              <w:rPr>
                <w:b/>
                <w:bCs/>
                <w:color w:val="auto"/>
                <w:kern w:val="0"/>
                <w:sz w:val="20"/>
                <w:szCs w:val="20"/>
              </w:rPr>
              <w:t>序号</w:t>
            </w:r>
          </w:p>
        </w:tc>
        <w:tc>
          <w:tcPr>
            <w:tcW w:w="756" w:type="pct"/>
            <w:vAlign w:val="center"/>
          </w:tcPr>
          <w:p>
            <w:pPr>
              <w:widowControl/>
              <w:jc w:val="center"/>
              <w:rPr>
                <w:b/>
                <w:bCs/>
                <w:color w:val="auto"/>
                <w:kern w:val="0"/>
                <w:sz w:val="20"/>
                <w:szCs w:val="20"/>
              </w:rPr>
            </w:pPr>
            <w:r>
              <w:rPr>
                <w:b/>
                <w:bCs/>
                <w:color w:val="auto"/>
                <w:kern w:val="0"/>
                <w:sz w:val="20"/>
                <w:szCs w:val="20"/>
              </w:rPr>
              <w:t>岗位类别</w:t>
            </w:r>
          </w:p>
        </w:tc>
        <w:tc>
          <w:tcPr>
            <w:tcW w:w="704" w:type="pct"/>
            <w:vAlign w:val="center"/>
          </w:tcPr>
          <w:p>
            <w:pPr>
              <w:widowControl/>
              <w:jc w:val="center"/>
              <w:rPr>
                <w:b/>
                <w:bCs/>
                <w:color w:val="auto"/>
                <w:kern w:val="0"/>
                <w:sz w:val="20"/>
                <w:szCs w:val="20"/>
              </w:rPr>
            </w:pPr>
            <w:r>
              <w:rPr>
                <w:b/>
                <w:bCs/>
                <w:color w:val="auto"/>
                <w:kern w:val="0"/>
                <w:sz w:val="20"/>
                <w:szCs w:val="20"/>
              </w:rPr>
              <w:t>专业名称</w:t>
            </w:r>
          </w:p>
        </w:tc>
        <w:tc>
          <w:tcPr>
            <w:tcW w:w="352" w:type="pct"/>
            <w:vAlign w:val="center"/>
          </w:tcPr>
          <w:p>
            <w:pPr>
              <w:widowControl/>
              <w:jc w:val="center"/>
              <w:rPr>
                <w:b/>
                <w:bCs/>
                <w:color w:val="auto"/>
                <w:kern w:val="0"/>
                <w:sz w:val="20"/>
                <w:szCs w:val="20"/>
              </w:rPr>
            </w:pPr>
            <w:r>
              <w:rPr>
                <w:b/>
                <w:bCs/>
                <w:color w:val="auto"/>
                <w:kern w:val="0"/>
                <w:sz w:val="20"/>
                <w:szCs w:val="20"/>
              </w:rPr>
              <w:t>级别</w:t>
            </w:r>
          </w:p>
        </w:tc>
        <w:tc>
          <w:tcPr>
            <w:tcW w:w="352" w:type="pct"/>
            <w:vAlign w:val="center"/>
          </w:tcPr>
          <w:p>
            <w:pPr>
              <w:widowControl/>
              <w:jc w:val="center"/>
              <w:rPr>
                <w:b/>
                <w:bCs/>
                <w:color w:val="auto"/>
                <w:kern w:val="0"/>
                <w:sz w:val="20"/>
                <w:szCs w:val="20"/>
              </w:rPr>
            </w:pPr>
            <w:r>
              <w:rPr>
                <w:b/>
                <w:bCs/>
                <w:color w:val="auto"/>
                <w:kern w:val="0"/>
                <w:sz w:val="20"/>
                <w:szCs w:val="20"/>
              </w:rPr>
              <w:t>数量</w:t>
            </w:r>
          </w:p>
        </w:tc>
        <w:tc>
          <w:tcPr>
            <w:tcW w:w="809" w:type="pct"/>
            <w:vAlign w:val="center"/>
          </w:tcPr>
          <w:p>
            <w:pPr>
              <w:widowControl/>
              <w:jc w:val="center"/>
              <w:rPr>
                <w:b/>
                <w:bCs/>
                <w:color w:val="auto"/>
                <w:kern w:val="0"/>
                <w:sz w:val="20"/>
                <w:szCs w:val="20"/>
              </w:rPr>
            </w:pPr>
            <w:r>
              <w:rPr>
                <w:b/>
                <w:bCs/>
                <w:color w:val="auto"/>
                <w:kern w:val="0"/>
                <w:sz w:val="20"/>
                <w:szCs w:val="20"/>
              </w:rPr>
              <w:t>应提供资料</w:t>
            </w:r>
          </w:p>
        </w:tc>
        <w:tc>
          <w:tcPr>
            <w:tcW w:w="901" w:type="pct"/>
            <w:vAlign w:val="center"/>
          </w:tcPr>
          <w:p>
            <w:pPr>
              <w:jc w:val="center"/>
              <w:rPr>
                <w:b/>
                <w:bCs/>
                <w:color w:val="auto"/>
                <w:kern w:val="0"/>
                <w:sz w:val="20"/>
                <w:szCs w:val="20"/>
              </w:rPr>
            </w:pPr>
            <w:r>
              <w:rPr>
                <w:b/>
                <w:bCs/>
                <w:color w:val="auto"/>
                <w:kern w:val="0"/>
                <w:sz w:val="20"/>
                <w:szCs w:val="20"/>
              </w:rPr>
              <w:t>提供其他资料要求（若有，请提供证书扫描件）</w:t>
            </w:r>
          </w:p>
        </w:tc>
        <w:tc>
          <w:tcPr>
            <w:tcW w:w="900" w:type="pct"/>
            <w:vAlign w:val="center"/>
          </w:tcPr>
          <w:p>
            <w:pPr>
              <w:jc w:val="center"/>
              <w:rPr>
                <w:b/>
                <w:bCs/>
                <w:color w:val="auto"/>
                <w:kern w:val="0"/>
                <w:sz w:val="20"/>
                <w:szCs w:val="20"/>
              </w:rPr>
            </w:pPr>
            <w:r>
              <w:rPr>
                <w:b/>
                <w:bCs/>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25" w:type="pct"/>
            <w:vAlign w:val="center"/>
          </w:tcPr>
          <w:p>
            <w:pPr>
              <w:widowControl/>
              <w:jc w:val="center"/>
              <w:rPr>
                <w:color w:val="auto"/>
                <w:kern w:val="0"/>
                <w:sz w:val="20"/>
                <w:szCs w:val="20"/>
              </w:rPr>
            </w:pPr>
            <w:r>
              <w:rPr>
                <w:color w:val="auto"/>
                <w:kern w:val="0"/>
                <w:sz w:val="20"/>
                <w:szCs w:val="20"/>
              </w:rPr>
              <w:t>1</w:t>
            </w:r>
          </w:p>
        </w:tc>
        <w:tc>
          <w:tcPr>
            <w:tcW w:w="757" w:type="pct"/>
            <w:vAlign w:val="center"/>
          </w:tcPr>
          <w:p>
            <w:pPr>
              <w:widowControl/>
              <w:jc w:val="center"/>
              <w:rPr>
                <w:color w:val="auto"/>
                <w:kern w:val="0"/>
                <w:sz w:val="20"/>
                <w:szCs w:val="20"/>
              </w:rPr>
            </w:pPr>
            <w:r>
              <w:rPr>
                <w:color w:val="auto"/>
                <w:szCs w:val="20"/>
              </w:rPr>
              <w:t>养护员</w:t>
            </w:r>
          </w:p>
        </w:tc>
        <w:tc>
          <w:tcPr>
            <w:tcW w:w="704" w:type="pct"/>
            <w:vAlign w:val="center"/>
          </w:tcPr>
          <w:p>
            <w:pPr>
              <w:widowControl/>
              <w:jc w:val="center"/>
              <w:rPr>
                <w:color w:val="auto"/>
                <w:kern w:val="0"/>
                <w:sz w:val="20"/>
                <w:szCs w:val="20"/>
              </w:rPr>
            </w:pPr>
            <w:r>
              <w:rPr>
                <w:color w:val="auto"/>
                <w:kern w:val="0"/>
                <w:sz w:val="20"/>
                <w:szCs w:val="20"/>
              </w:rPr>
              <w:t xml:space="preserve">绿化工 </w:t>
            </w:r>
          </w:p>
        </w:tc>
        <w:tc>
          <w:tcPr>
            <w:tcW w:w="352" w:type="pct"/>
            <w:vAlign w:val="center"/>
          </w:tcPr>
          <w:p>
            <w:pPr>
              <w:widowControl/>
              <w:jc w:val="center"/>
              <w:rPr>
                <w:color w:val="auto"/>
                <w:kern w:val="0"/>
                <w:sz w:val="20"/>
                <w:szCs w:val="20"/>
              </w:rPr>
            </w:pPr>
          </w:p>
        </w:tc>
        <w:tc>
          <w:tcPr>
            <w:tcW w:w="352" w:type="pct"/>
            <w:vAlign w:val="center"/>
          </w:tcPr>
          <w:p>
            <w:pPr>
              <w:widowControl/>
              <w:jc w:val="center"/>
              <w:rPr>
                <w:rFonts w:hint="eastAsia" w:eastAsia="宋体"/>
                <w:color w:val="auto"/>
                <w:kern w:val="0"/>
                <w:sz w:val="20"/>
                <w:szCs w:val="20"/>
                <w:lang w:eastAsia="zh-CN"/>
              </w:rPr>
            </w:pPr>
            <w:r>
              <w:rPr>
                <w:rFonts w:hint="eastAsia"/>
                <w:color w:val="auto"/>
                <w:kern w:val="0"/>
                <w:sz w:val="20"/>
                <w:szCs w:val="20"/>
                <w:lang w:val="en-US" w:eastAsia="zh-CN"/>
              </w:rPr>
              <w:t>3</w:t>
            </w:r>
          </w:p>
        </w:tc>
        <w:tc>
          <w:tcPr>
            <w:tcW w:w="809" w:type="pct"/>
            <w:vAlign w:val="center"/>
          </w:tcPr>
          <w:p>
            <w:pPr>
              <w:widowControl/>
              <w:jc w:val="center"/>
              <w:rPr>
                <w:color w:val="auto"/>
                <w:kern w:val="0"/>
                <w:sz w:val="20"/>
                <w:szCs w:val="20"/>
              </w:rPr>
            </w:pPr>
            <w:r>
              <w:rPr>
                <w:color w:val="auto"/>
                <w:kern w:val="0"/>
                <w:sz w:val="20"/>
                <w:szCs w:val="20"/>
              </w:rPr>
              <w:t>社保缴金证明</w:t>
            </w:r>
          </w:p>
        </w:tc>
        <w:tc>
          <w:tcPr>
            <w:tcW w:w="900" w:type="pct"/>
            <w:vAlign w:val="center"/>
          </w:tcPr>
          <w:p>
            <w:pPr>
              <w:widowControl/>
              <w:jc w:val="center"/>
              <w:rPr>
                <w:color w:val="auto"/>
                <w:kern w:val="0"/>
                <w:sz w:val="20"/>
                <w:szCs w:val="20"/>
              </w:rPr>
            </w:pPr>
          </w:p>
        </w:tc>
        <w:tc>
          <w:tcPr>
            <w:tcW w:w="900" w:type="pct"/>
            <w:vAlign w:val="center"/>
          </w:tcPr>
          <w:p>
            <w:pPr>
              <w:widowControl/>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25" w:type="pct"/>
            <w:vAlign w:val="center"/>
          </w:tcPr>
          <w:p>
            <w:pPr>
              <w:widowControl/>
              <w:jc w:val="center"/>
              <w:rPr>
                <w:color w:val="auto"/>
                <w:kern w:val="0"/>
                <w:sz w:val="20"/>
                <w:szCs w:val="20"/>
              </w:rPr>
            </w:pPr>
            <w:r>
              <w:rPr>
                <w:color w:val="auto"/>
                <w:kern w:val="0"/>
                <w:sz w:val="20"/>
                <w:szCs w:val="20"/>
              </w:rPr>
              <w:t>2</w:t>
            </w:r>
          </w:p>
        </w:tc>
        <w:tc>
          <w:tcPr>
            <w:tcW w:w="757" w:type="pct"/>
            <w:vAlign w:val="center"/>
          </w:tcPr>
          <w:p>
            <w:pPr>
              <w:widowControl/>
              <w:jc w:val="center"/>
              <w:rPr>
                <w:color w:val="auto"/>
                <w:kern w:val="0"/>
                <w:sz w:val="20"/>
                <w:szCs w:val="20"/>
              </w:rPr>
            </w:pPr>
            <w:r>
              <w:rPr>
                <w:color w:val="auto"/>
                <w:szCs w:val="20"/>
              </w:rPr>
              <w:t>巡查员</w:t>
            </w:r>
          </w:p>
        </w:tc>
        <w:tc>
          <w:tcPr>
            <w:tcW w:w="704" w:type="pct"/>
            <w:vAlign w:val="center"/>
          </w:tcPr>
          <w:p>
            <w:pPr>
              <w:widowControl/>
              <w:jc w:val="center"/>
              <w:rPr>
                <w:color w:val="auto"/>
                <w:kern w:val="0"/>
                <w:sz w:val="20"/>
                <w:szCs w:val="20"/>
              </w:rPr>
            </w:pPr>
            <w:r>
              <w:rPr>
                <w:color w:val="auto"/>
                <w:kern w:val="0"/>
                <w:sz w:val="20"/>
                <w:szCs w:val="20"/>
              </w:rPr>
              <w:t>/</w:t>
            </w:r>
          </w:p>
        </w:tc>
        <w:tc>
          <w:tcPr>
            <w:tcW w:w="352" w:type="pct"/>
            <w:vAlign w:val="center"/>
          </w:tcPr>
          <w:p>
            <w:pPr>
              <w:widowControl/>
              <w:jc w:val="center"/>
              <w:rPr>
                <w:color w:val="auto"/>
                <w:kern w:val="0"/>
                <w:sz w:val="20"/>
                <w:szCs w:val="20"/>
              </w:rPr>
            </w:pPr>
          </w:p>
        </w:tc>
        <w:tc>
          <w:tcPr>
            <w:tcW w:w="352" w:type="pct"/>
            <w:vAlign w:val="center"/>
          </w:tcPr>
          <w:p>
            <w:pPr>
              <w:widowControl/>
              <w:jc w:val="center"/>
              <w:rPr>
                <w:rFonts w:hint="default" w:eastAsia="宋体"/>
                <w:color w:val="auto"/>
                <w:kern w:val="0"/>
                <w:sz w:val="20"/>
                <w:szCs w:val="20"/>
                <w:lang w:val="en-US" w:eastAsia="zh-CN"/>
              </w:rPr>
            </w:pPr>
            <w:r>
              <w:rPr>
                <w:rFonts w:hint="eastAsia"/>
                <w:color w:val="auto"/>
                <w:kern w:val="0"/>
                <w:sz w:val="20"/>
                <w:szCs w:val="20"/>
                <w:lang w:val="en-US" w:eastAsia="zh-CN"/>
              </w:rPr>
              <w:t>4</w:t>
            </w:r>
          </w:p>
        </w:tc>
        <w:tc>
          <w:tcPr>
            <w:tcW w:w="809" w:type="pct"/>
            <w:vAlign w:val="center"/>
          </w:tcPr>
          <w:p>
            <w:pPr>
              <w:widowControl/>
              <w:jc w:val="center"/>
              <w:rPr>
                <w:color w:val="auto"/>
                <w:kern w:val="0"/>
                <w:sz w:val="20"/>
                <w:szCs w:val="20"/>
              </w:rPr>
            </w:pPr>
            <w:r>
              <w:rPr>
                <w:color w:val="auto"/>
                <w:kern w:val="0"/>
                <w:sz w:val="20"/>
                <w:szCs w:val="20"/>
              </w:rPr>
              <w:t>社保缴金证明</w:t>
            </w:r>
          </w:p>
        </w:tc>
        <w:tc>
          <w:tcPr>
            <w:tcW w:w="900" w:type="pct"/>
            <w:vAlign w:val="center"/>
          </w:tcPr>
          <w:p>
            <w:pPr>
              <w:widowControl/>
              <w:jc w:val="center"/>
              <w:rPr>
                <w:color w:val="auto"/>
                <w:kern w:val="0"/>
                <w:sz w:val="20"/>
                <w:szCs w:val="20"/>
              </w:rPr>
            </w:pPr>
          </w:p>
        </w:tc>
        <w:tc>
          <w:tcPr>
            <w:tcW w:w="900" w:type="pct"/>
            <w:vAlign w:val="center"/>
          </w:tcPr>
          <w:p>
            <w:pPr>
              <w:widowControl/>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jc w:val="center"/>
        </w:trPr>
        <w:tc>
          <w:tcPr>
            <w:tcW w:w="1" w:type="pct"/>
            <w:gridSpan w:val="8"/>
            <w:vAlign w:val="center"/>
          </w:tcPr>
          <w:p>
            <w:pPr>
              <w:widowControl/>
              <w:ind w:firstLine="400" w:firstLineChars="200"/>
              <w:jc w:val="left"/>
              <w:rPr>
                <w:color w:val="auto"/>
                <w:kern w:val="0"/>
                <w:sz w:val="20"/>
                <w:szCs w:val="20"/>
              </w:rPr>
            </w:pPr>
            <w:r>
              <w:rPr>
                <w:color w:val="auto"/>
                <w:kern w:val="0"/>
                <w:sz w:val="20"/>
                <w:szCs w:val="20"/>
              </w:rPr>
              <w:t>备注：1、表中人员1～2类人员需提供</w:t>
            </w:r>
            <w:r>
              <w:rPr>
                <w:color w:val="auto"/>
                <w:sz w:val="20"/>
                <w:szCs w:val="20"/>
              </w:rPr>
              <w:t>近12个月内任一月份</w:t>
            </w:r>
            <w:r>
              <w:rPr>
                <w:color w:val="auto"/>
                <w:kern w:val="0"/>
                <w:sz w:val="20"/>
                <w:szCs w:val="20"/>
              </w:rPr>
              <w:t>在投标单位的</w:t>
            </w:r>
            <w:r>
              <w:rPr>
                <w:color w:val="auto"/>
                <w:sz w:val="20"/>
                <w:szCs w:val="20"/>
              </w:rPr>
              <w:t>的社保缴金证明</w:t>
            </w:r>
            <w:r>
              <w:rPr>
                <w:color w:val="auto"/>
                <w:kern w:val="0"/>
                <w:sz w:val="20"/>
                <w:szCs w:val="20"/>
              </w:rPr>
              <w:t xml:space="preserve">。 </w:t>
            </w:r>
          </w:p>
        </w:tc>
      </w:tr>
    </w:tbl>
    <w:p>
      <w:pPr>
        <w:tabs>
          <w:tab w:val="left" w:pos="3060"/>
        </w:tabs>
        <w:snapToGrid w:val="0"/>
        <w:ind w:firstLine="442" w:firstLineChars="200"/>
        <w:jc w:val="center"/>
        <w:rPr>
          <w:b/>
          <w:bCs/>
          <w:color w:val="auto"/>
          <w:kern w:val="0"/>
          <w:sz w:val="22"/>
        </w:rPr>
      </w:pPr>
    </w:p>
    <w:p>
      <w:pPr>
        <w:tabs>
          <w:tab w:val="left" w:pos="3060"/>
        </w:tabs>
        <w:snapToGrid w:val="0"/>
        <w:ind w:firstLine="442" w:firstLineChars="200"/>
        <w:jc w:val="center"/>
        <w:rPr>
          <w:b/>
          <w:bCs/>
          <w:color w:val="auto"/>
          <w:kern w:val="0"/>
          <w:sz w:val="22"/>
        </w:rPr>
      </w:pPr>
      <w:r>
        <w:rPr>
          <w:b/>
          <w:bCs/>
          <w:color w:val="auto"/>
          <w:kern w:val="0"/>
          <w:sz w:val="22"/>
        </w:rPr>
        <w:t>一线主要劳动力配置表</w:t>
      </w:r>
    </w:p>
    <w:tbl>
      <w:tblPr>
        <w:tblStyle w:val="50"/>
        <w:tblW w:w="0" w:type="auto"/>
        <w:jc w:val="center"/>
        <w:tblLayout w:type="fixed"/>
        <w:tblCellMar>
          <w:top w:w="0" w:type="dxa"/>
          <w:left w:w="108" w:type="dxa"/>
          <w:bottom w:w="0" w:type="dxa"/>
          <w:right w:w="108" w:type="dxa"/>
        </w:tblCellMar>
      </w:tblPr>
      <w:tblGrid>
        <w:gridCol w:w="636"/>
        <w:gridCol w:w="1150"/>
        <w:gridCol w:w="1350"/>
        <w:gridCol w:w="678"/>
        <w:gridCol w:w="710"/>
        <w:gridCol w:w="1700"/>
        <w:gridCol w:w="2887"/>
      </w:tblGrid>
      <w:tr>
        <w:tblPrEx>
          <w:tblCellMar>
            <w:top w:w="0" w:type="dxa"/>
            <w:left w:w="108" w:type="dxa"/>
            <w:bottom w:w="0" w:type="dxa"/>
            <w:right w:w="108" w:type="dxa"/>
          </w:tblCellMar>
        </w:tblPrEx>
        <w:trPr>
          <w:trHeight w:val="607" w:hRule="atLeast"/>
          <w:jc w:val="center"/>
        </w:trPr>
        <w:tc>
          <w:tcPr>
            <w:tcW w:w="636" w:type="dxa"/>
            <w:tcBorders>
              <w:top w:val="single" w:color="auto" w:sz="8" w:space="0"/>
              <w:left w:val="single" w:color="auto" w:sz="8"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序号</w:t>
            </w:r>
          </w:p>
        </w:tc>
        <w:tc>
          <w:tcPr>
            <w:tcW w:w="1150" w:type="dxa"/>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岗位类别</w:t>
            </w:r>
          </w:p>
        </w:tc>
        <w:tc>
          <w:tcPr>
            <w:tcW w:w="1350" w:type="dxa"/>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岗位名称</w:t>
            </w:r>
          </w:p>
        </w:tc>
        <w:tc>
          <w:tcPr>
            <w:tcW w:w="678" w:type="dxa"/>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级别</w:t>
            </w:r>
          </w:p>
        </w:tc>
        <w:tc>
          <w:tcPr>
            <w:tcW w:w="710" w:type="dxa"/>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数量</w:t>
            </w:r>
          </w:p>
        </w:tc>
        <w:tc>
          <w:tcPr>
            <w:tcW w:w="1700" w:type="dxa"/>
            <w:tcBorders>
              <w:top w:val="single" w:color="auto" w:sz="8" w:space="0"/>
              <w:left w:val="single" w:color="auto" w:sz="4" w:space="0"/>
              <w:bottom w:val="single" w:color="auto" w:sz="4" w:space="0"/>
              <w:right w:val="single" w:color="auto" w:sz="4" w:space="0"/>
            </w:tcBorders>
            <w:vAlign w:val="center"/>
          </w:tcPr>
          <w:p>
            <w:pPr>
              <w:widowControl/>
              <w:jc w:val="center"/>
              <w:rPr>
                <w:b/>
                <w:bCs/>
                <w:color w:val="auto"/>
                <w:kern w:val="0"/>
                <w:sz w:val="20"/>
                <w:szCs w:val="20"/>
              </w:rPr>
            </w:pPr>
            <w:r>
              <w:rPr>
                <w:b/>
                <w:bCs/>
                <w:color w:val="auto"/>
                <w:kern w:val="0"/>
                <w:sz w:val="20"/>
                <w:szCs w:val="20"/>
              </w:rPr>
              <w:t>应提供资料</w:t>
            </w:r>
          </w:p>
        </w:tc>
        <w:tc>
          <w:tcPr>
            <w:tcW w:w="2887" w:type="dxa"/>
            <w:tcBorders>
              <w:top w:val="single" w:color="auto" w:sz="8" w:space="0"/>
              <w:left w:val="single" w:color="auto" w:sz="4" w:space="0"/>
              <w:bottom w:val="single" w:color="auto" w:sz="4" w:space="0"/>
              <w:right w:val="single" w:color="auto" w:sz="8" w:space="0"/>
            </w:tcBorders>
            <w:vAlign w:val="center"/>
          </w:tcPr>
          <w:p>
            <w:pPr>
              <w:widowControl/>
              <w:jc w:val="center"/>
              <w:rPr>
                <w:b/>
                <w:bCs/>
                <w:color w:val="auto"/>
                <w:kern w:val="0"/>
                <w:sz w:val="20"/>
                <w:szCs w:val="20"/>
              </w:rPr>
            </w:pPr>
            <w:r>
              <w:rPr>
                <w:b/>
                <w:bCs/>
                <w:color w:val="auto"/>
                <w:kern w:val="0"/>
                <w:sz w:val="20"/>
                <w:szCs w:val="20"/>
              </w:rPr>
              <w:t>备注</w:t>
            </w:r>
          </w:p>
        </w:tc>
      </w:tr>
      <w:tr>
        <w:tblPrEx>
          <w:tblCellMar>
            <w:top w:w="0" w:type="dxa"/>
            <w:left w:w="108" w:type="dxa"/>
            <w:bottom w:w="0" w:type="dxa"/>
            <w:right w:w="108" w:type="dxa"/>
          </w:tblCellMar>
        </w:tblPrEx>
        <w:trPr>
          <w:trHeight w:val="607" w:hRule="atLeast"/>
          <w:jc w:val="center"/>
        </w:trPr>
        <w:tc>
          <w:tcPr>
            <w:tcW w:w="636" w:type="dxa"/>
            <w:tcBorders>
              <w:top w:val="single" w:color="auto" w:sz="8" w:space="0"/>
              <w:left w:val="single" w:color="auto" w:sz="8" w:space="0"/>
              <w:bottom w:val="single" w:color="auto" w:sz="4" w:space="0"/>
              <w:right w:val="single" w:color="auto" w:sz="4" w:space="0"/>
            </w:tcBorders>
            <w:vAlign w:val="center"/>
          </w:tcPr>
          <w:p>
            <w:pPr>
              <w:widowControl/>
              <w:jc w:val="center"/>
              <w:rPr>
                <w:bCs/>
                <w:color w:val="auto"/>
                <w:kern w:val="0"/>
                <w:sz w:val="20"/>
                <w:szCs w:val="20"/>
              </w:rPr>
            </w:pPr>
            <w:r>
              <w:rPr>
                <w:color w:val="auto"/>
                <w:kern w:val="0"/>
                <w:sz w:val="20"/>
                <w:szCs w:val="20"/>
              </w:rPr>
              <w:t>1</w:t>
            </w:r>
          </w:p>
        </w:tc>
        <w:tc>
          <w:tcPr>
            <w:tcW w:w="1150" w:type="dxa"/>
            <w:tcBorders>
              <w:top w:val="single" w:color="auto" w:sz="8" w:space="0"/>
              <w:left w:val="single" w:color="auto" w:sz="4" w:space="0"/>
              <w:bottom w:val="single" w:color="auto" w:sz="4" w:space="0"/>
              <w:right w:val="single" w:color="auto" w:sz="4" w:space="0"/>
            </w:tcBorders>
            <w:vAlign w:val="center"/>
          </w:tcPr>
          <w:p>
            <w:pPr>
              <w:widowControl/>
              <w:jc w:val="center"/>
              <w:rPr>
                <w:bCs/>
                <w:color w:val="auto"/>
                <w:kern w:val="0"/>
                <w:sz w:val="20"/>
                <w:szCs w:val="20"/>
              </w:rPr>
            </w:pPr>
            <w:r>
              <w:rPr>
                <w:color w:val="auto"/>
                <w:kern w:val="0"/>
                <w:sz w:val="20"/>
                <w:szCs w:val="20"/>
              </w:rPr>
              <w:t>一线劳动力</w:t>
            </w:r>
          </w:p>
        </w:tc>
        <w:tc>
          <w:tcPr>
            <w:tcW w:w="1350" w:type="dxa"/>
            <w:tcBorders>
              <w:top w:val="single" w:color="auto" w:sz="8" w:space="0"/>
              <w:left w:val="single" w:color="auto" w:sz="4" w:space="0"/>
              <w:bottom w:val="single" w:color="auto" w:sz="4" w:space="0"/>
              <w:right w:val="single" w:color="auto" w:sz="4" w:space="0"/>
            </w:tcBorders>
            <w:vAlign w:val="center"/>
          </w:tcPr>
          <w:p>
            <w:pPr>
              <w:widowControl/>
              <w:jc w:val="center"/>
              <w:rPr>
                <w:bCs/>
                <w:color w:val="auto"/>
                <w:kern w:val="0"/>
                <w:sz w:val="20"/>
                <w:szCs w:val="20"/>
              </w:rPr>
            </w:pPr>
            <w:r>
              <w:rPr>
                <w:bCs/>
                <w:color w:val="auto"/>
                <w:kern w:val="0"/>
                <w:sz w:val="20"/>
                <w:szCs w:val="20"/>
              </w:rPr>
              <w:t>养护工</w:t>
            </w:r>
          </w:p>
        </w:tc>
        <w:tc>
          <w:tcPr>
            <w:tcW w:w="678" w:type="dxa"/>
            <w:tcBorders>
              <w:top w:val="single" w:color="auto" w:sz="8" w:space="0"/>
              <w:left w:val="single" w:color="auto" w:sz="4" w:space="0"/>
              <w:bottom w:val="single" w:color="auto" w:sz="4" w:space="0"/>
              <w:right w:val="single" w:color="auto" w:sz="4" w:space="0"/>
            </w:tcBorders>
            <w:vAlign w:val="center"/>
          </w:tcPr>
          <w:p>
            <w:pPr>
              <w:widowControl/>
              <w:jc w:val="center"/>
              <w:rPr>
                <w:bCs/>
                <w:color w:val="auto"/>
                <w:kern w:val="0"/>
                <w:sz w:val="20"/>
                <w:szCs w:val="20"/>
              </w:rPr>
            </w:pPr>
            <w:r>
              <w:rPr>
                <w:bCs/>
                <w:color w:val="auto"/>
                <w:kern w:val="0"/>
                <w:sz w:val="20"/>
                <w:szCs w:val="20"/>
              </w:rPr>
              <w:t>/</w:t>
            </w:r>
          </w:p>
        </w:tc>
        <w:tc>
          <w:tcPr>
            <w:tcW w:w="710" w:type="dxa"/>
            <w:tcBorders>
              <w:top w:val="single" w:color="auto" w:sz="8" w:space="0"/>
              <w:left w:val="single" w:color="auto" w:sz="4" w:space="0"/>
              <w:bottom w:val="single" w:color="auto" w:sz="4" w:space="0"/>
              <w:right w:val="single" w:color="auto" w:sz="4" w:space="0"/>
            </w:tcBorders>
            <w:vAlign w:val="center"/>
          </w:tcPr>
          <w:p>
            <w:pPr>
              <w:widowControl/>
              <w:jc w:val="center"/>
              <w:rPr>
                <w:rFonts w:hint="default" w:eastAsia="宋体"/>
                <w:bCs/>
                <w:color w:val="auto"/>
                <w:kern w:val="0"/>
                <w:sz w:val="20"/>
                <w:szCs w:val="20"/>
                <w:lang w:val="en-US" w:eastAsia="zh-CN"/>
              </w:rPr>
            </w:pPr>
            <w:r>
              <w:rPr>
                <w:rFonts w:hint="eastAsia"/>
                <w:bCs/>
                <w:color w:val="auto"/>
                <w:kern w:val="0"/>
                <w:sz w:val="20"/>
                <w:szCs w:val="20"/>
                <w:lang w:val="en-US" w:eastAsia="zh-CN"/>
              </w:rPr>
              <w:t>36</w:t>
            </w:r>
          </w:p>
        </w:tc>
        <w:tc>
          <w:tcPr>
            <w:tcW w:w="1700" w:type="dxa"/>
            <w:tcBorders>
              <w:top w:val="single" w:color="auto" w:sz="8" w:space="0"/>
              <w:left w:val="single" w:color="auto" w:sz="4" w:space="0"/>
              <w:bottom w:val="single" w:color="auto" w:sz="4" w:space="0"/>
              <w:right w:val="single" w:color="auto" w:sz="4" w:space="0"/>
            </w:tcBorders>
            <w:vAlign w:val="center"/>
          </w:tcPr>
          <w:p>
            <w:pPr>
              <w:widowControl/>
              <w:jc w:val="center"/>
              <w:rPr>
                <w:bCs/>
                <w:color w:val="auto"/>
                <w:kern w:val="0"/>
                <w:sz w:val="20"/>
                <w:szCs w:val="20"/>
              </w:rPr>
            </w:pPr>
            <w:r>
              <w:rPr>
                <w:bCs/>
                <w:color w:val="auto"/>
                <w:kern w:val="0"/>
                <w:sz w:val="20"/>
                <w:szCs w:val="20"/>
              </w:rPr>
              <w:t>技术标内提供一线劳动力配备</w:t>
            </w:r>
          </w:p>
        </w:tc>
        <w:tc>
          <w:tcPr>
            <w:tcW w:w="2887" w:type="dxa"/>
            <w:tcBorders>
              <w:top w:val="single" w:color="auto" w:sz="8" w:space="0"/>
              <w:left w:val="single" w:color="auto" w:sz="4" w:space="0"/>
              <w:bottom w:val="single" w:color="auto" w:sz="4" w:space="0"/>
              <w:right w:val="single" w:color="auto" w:sz="8" w:space="0"/>
            </w:tcBorders>
            <w:vAlign w:val="center"/>
          </w:tcPr>
          <w:p>
            <w:pPr>
              <w:widowControl/>
              <w:jc w:val="center"/>
              <w:rPr>
                <w:bCs/>
                <w:color w:val="auto"/>
                <w:kern w:val="0"/>
                <w:sz w:val="20"/>
                <w:szCs w:val="20"/>
              </w:rPr>
            </w:pPr>
          </w:p>
        </w:tc>
      </w:tr>
      <w:tr>
        <w:tblPrEx>
          <w:tblCellMar>
            <w:top w:w="0" w:type="dxa"/>
            <w:left w:w="108" w:type="dxa"/>
            <w:bottom w:w="0" w:type="dxa"/>
            <w:right w:w="108" w:type="dxa"/>
          </w:tblCellMar>
        </w:tblPrEx>
        <w:trPr>
          <w:trHeight w:val="259" w:hRule="atLeast"/>
          <w:jc w:val="center"/>
        </w:trPr>
        <w:tc>
          <w:tcPr>
            <w:tcW w:w="9111" w:type="dxa"/>
            <w:gridSpan w:val="7"/>
            <w:tcBorders>
              <w:top w:val="single" w:color="auto" w:sz="4" w:space="0"/>
              <w:left w:val="single" w:color="auto" w:sz="8" w:space="0"/>
              <w:bottom w:val="single" w:color="auto" w:sz="8" w:space="0"/>
              <w:right w:val="single" w:color="auto" w:sz="8" w:space="0"/>
            </w:tcBorders>
            <w:vAlign w:val="center"/>
          </w:tcPr>
          <w:p>
            <w:pPr>
              <w:widowControl/>
              <w:ind w:firstLine="400" w:firstLineChars="200"/>
              <w:rPr>
                <w:color w:val="auto"/>
                <w:kern w:val="0"/>
                <w:sz w:val="20"/>
                <w:szCs w:val="20"/>
              </w:rPr>
            </w:pPr>
            <w:r>
              <w:rPr>
                <w:color w:val="auto"/>
                <w:kern w:val="0"/>
                <w:sz w:val="20"/>
                <w:szCs w:val="20"/>
              </w:rPr>
              <w:t>备注：表中一线劳动力投标人可承诺在养护前配置到位。</w:t>
            </w:r>
          </w:p>
        </w:tc>
      </w:tr>
    </w:tbl>
    <w:p>
      <w:pPr>
        <w:tabs>
          <w:tab w:val="left" w:pos="3060"/>
        </w:tabs>
        <w:snapToGrid w:val="0"/>
        <w:ind w:firstLine="442" w:firstLineChars="200"/>
        <w:rPr>
          <w:b/>
          <w:bCs/>
          <w:color w:val="auto"/>
          <w:sz w:val="22"/>
          <w:u w:val="wavyHeavy"/>
        </w:rPr>
      </w:pPr>
    </w:p>
    <w:p>
      <w:pPr>
        <w:snapToGrid w:val="0"/>
        <w:ind w:firstLine="440" w:firstLineChars="200"/>
        <w:rPr>
          <w:color w:val="auto"/>
          <w:sz w:val="22"/>
        </w:rPr>
      </w:pPr>
      <w:r>
        <w:rPr>
          <w:color w:val="auto"/>
          <w:sz w:val="22"/>
        </w:rPr>
        <w:t>10.2 设备要求</w:t>
      </w:r>
    </w:p>
    <w:p>
      <w:pPr>
        <w:adjustRightInd w:val="0"/>
        <w:snapToGrid w:val="0"/>
        <w:ind w:firstLine="422" w:firstLineChars="192"/>
        <w:jc w:val="left"/>
        <w:rPr>
          <w:color w:val="auto"/>
          <w:sz w:val="22"/>
          <w:szCs w:val="20"/>
        </w:rPr>
      </w:pPr>
      <w:r>
        <w:rPr>
          <w:color w:val="auto"/>
          <w:sz w:val="22"/>
          <w:szCs w:val="20"/>
        </w:rPr>
        <w:t>为提高养护工程质量和服务水平，中标人应采用机械化形式对设施的各类病害进行养护维修。本项目中设备要求（但不仅限于）详见下表。</w:t>
      </w:r>
    </w:p>
    <w:p>
      <w:pPr>
        <w:adjustRightInd w:val="0"/>
        <w:snapToGrid w:val="0"/>
        <w:ind w:firstLine="3875" w:firstLineChars="1892"/>
        <w:jc w:val="left"/>
        <w:rPr>
          <w:b/>
          <w:color w:val="auto"/>
          <w:spacing w:val="-3"/>
          <w:szCs w:val="20"/>
        </w:rPr>
      </w:pPr>
      <w:r>
        <w:rPr>
          <w:b/>
          <w:color w:val="auto"/>
          <w:spacing w:val="-3"/>
          <w:szCs w:val="20"/>
        </w:rPr>
        <w:t>机械设备配置表</w:t>
      </w:r>
    </w:p>
    <w:tbl>
      <w:tblPr>
        <w:tblStyle w:val="5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226"/>
        <w:gridCol w:w="2561"/>
        <w:gridCol w:w="1134"/>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jc w:val="center"/>
        </w:trPr>
        <w:tc>
          <w:tcPr>
            <w:tcW w:w="1424" w:type="dxa"/>
            <w:vAlign w:val="center"/>
          </w:tcPr>
          <w:p>
            <w:pPr>
              <w:jc w:val="center"/>
              <w:rPr>
                <w:b/>
                <w:color w:val="auto"/>
                <w:sz w:val="20"/>
                <w:szCs w:val="20"/>
              </w:rPr>
            </w:pPr>
            <w:r>
              <w:rPr>
                <w:b/>
                <w:color w:val="auto"/>
                <w:sz w:val="20"/>
                <w:szCs w:val="20"/>
              </w:rPr>
              <w:t>设备名称</w:t>
            </w:r>
          </w:p>
        </w:tc>
        <w:tc>
          <w:tcPr>
            <w:tcW w:w="1226" w:type="dxa"/>
            <w:vAlign w:val="center"/>
          </w:tcPr>
          <w:p>
            <w:pPr>
              <w:jc w:val="center"/>
              <w:rPr>
                <w:b/>
                <w:color w:val="auto"/>
                <w:sz w:val="20"/>
                <w:szCs w:val="20"/>
              </w:rPr>
            </w:pPr>
            <w:r>
              <w:rPr>
                <w:b/>
                <w:color w:val="auto"/>
                <w:sz w:val="20"/>
                <w:szCs w:val="20"/>
              </w:rPr>
              <w:t>型号规格</w:t>
            </w:r>
          </w:p>
        </w:tc>
        <w:tc>
          <w:tcPr>
            <w:tcW w:w="2561" w:type="dxa"/>
            <w:vAlign w:val="center"/>
          </w:tcPr>
          <w:p>
            <w:pPr>
              <w:jc w:val="center"/>
              <w:rPr>
                <w:b/>
                <w:color w:val="auto"/>
                <w:sz w:val="20"/>
                <w:szCs w:val="20"/>
              </w:rPr>
            </w:pPr>
            <w:r>
              <w:rPr>
                <w:b/>
                <w:color w:val="auto"/>
                <w:sz w:val="20"/>
                <w:szCs w:val="20"/>
              </w:rPr>
              <w:t>配置要求</w:t>
            </w:r>
          </w:p>
        </w:tc>
        <w:tc>
          <w:tcPr>
            <w:tcW w:w="1134" w:type="dxa"/>
            <w:vAlign w:val="center"/>
          </w:tcPr>
          <w:p>
            <w:pPr>
              <w:jc w:val="center"/>
              <w:rPr>
                <w:b/>
                <w:color w:val="auto"/>
                <w:sz w:val="20"/>
                <w:szCs w:val="20"/>
              </w:rPr>
            </w:pPr>
            <w:r>
              <w:rPr>
                <w:b/>
                <w:color w:val="auto"/>
                <w:sz w:val="20"/>
                <w:szCs w:val="20"/>
              </w:rPr>
              <w:t>数量要求</w:t>
            </w:r>
          </w:p>
        </w:tc>
        <w:tc>
          <w:tcPr>
            <w:tcW w:w="1560" w:type="dxa"/>
            <w:vAlign w:val="center"/>
          </w:tcPr>
          <w:p>
            <w:pPr>
              <w:jc w:val="center"/>
              <w:rPr>
                <w:b/>
                <w:color w:val="auto"/>
                <w:sz w:val="20"/>
                <w:szCs w:val="20"/>
              </w:rPr>
            </w:pPr>
            <w:r>
              <w:rPr>
                <w:b/>
                <w:color w:val="auto"/>
                <w:sz w:val="20"/>
                <w:szCs w:val="20"/>
              </w:rPr>
              <w:t>设备年限要求</w:t>
            </w:r>
          </w:p>
        </w:tc>
        <w:tc>
          <w:tcPr>
            <w:tcW w:w="1417" w:type="dxa"/>
            <w:vAlign w:val="center"/>
          </w:tcPr>
          <w:p>
            <w:pPr>
              <w:jc w:val="center"/>
              <w:rPr>
                <w:b/>
                <w:color w:val="auto"/>
                <w:sz w:val="20"/>
                <w:szCs w:val="20"/>
              </w:rPr>
            </w:pPr>
            <w:r>
              <w:rPr>
                <w:b/>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4" w:type="dxa"/>
            <w:vAlign w:val="center"/>
          </w:tcPr>
          <w:p>
            <w:pPr>
              <w:jc w:val="center"/>
              <w:rPr>
                <w:rFonts w:ascii="Times New Roman" w:hAnsi="Times New Roman" w:eastAsia="宋体" w:cs="Times New Roman"/>
                <w:color w:val="auto"/>
                <w:kern w:val="2"/>
                <w:sz w:val="20"/>
                <w:szCs w:val="20"/>
                <w:lang w:val="en-US" w:eastAsia="zh-CN" w:bidi="ar-SA"/>
              </w:rPr>
            </w:pPr>
            <w:r>
              <w:rPr>
                <w:rFonts w:hint="eastAsia"/>
                <w:color w:val="auto"/>
                <w:sz w:val="20"/>
                <w:szCs w:val="20"/>
                <w:lang w:val="en-US" w:eastAsia="zh-CN"/>
              </w:rPr>
              <w:t>巡视</w:t>
            </w:r>
            <w:r>
              <w:rPr>
                <w:color w:val="auto"/>
                <w:sz w:val="20"/>
                <w:szCs w:val="20"/>
              </w:rPr>
              <w:t>车</w:t>
            </w:r>
          </w:p>
        </w:tc>
        <w:tc>
          <w:tcPr>
            <w:tcW w:w="1226" w:type="dxa"/>
            <w:vAlign w:val="center"/>
          </w:tcPr>
          <w:p>
            <w:pPr>
              <w:widowControl/>
              <w:jc w:val="center"/>
              <w:rPr>
                <w:rFonts w:ascii="Times New Roman" w:hAnsi="Times New Roman" w:eastAsia="宋体" w:cs="Times New Roman"/>
                <w:color w:val="auto"/>
                <w:kern w:val="2"/>
                <w:sz w:val="20"/>
                <w:szCs w:val="20"/>
                <w:lang w:val="en-US" w:eastAsia="zh-CN" w:bidi="ar-SA"/>
              </w:rPr>
            </w:pPr>
          </w:p>
        </w:tc>
        <w:tc>
          <w:tcPr>
            <w:tcW w:w="2561" w:type="dxa"/>
            <w:vAlign w:val="center"/>
          </w:tcPr>
          <w:p>
            <w:pPr>
              <w:widowControl/>
              <w:jc w:val="center"/>
              <w:rPr>
                <w:rFonts w:ascii="Times New Roman" w:hAnsi="Times New Roman" w:eastAsia="宋体" w:cs="Times New Roman"/>
                <w:color w:val="auto"/>
                <w:kern w:val="2"/>
                <w:sz w:val="20"/>
                <w:szCs w:val="20"/>
                <w:lang w:val="en-US" w:eastAsia="zh-CN" w:bidi="ar-SA"/>
              </w:rPr>
            </w:pPr>
            <w:r>
              <w:rPr>
                <w:color w:val="auto"/>
                <w:sz w:val="20"/>
                <w:szCs w:val="20"/>
              </w:rPr>
              <w:t>自有或租赁</w:t>
            </w:r>
          </w:p>
        </w:tc>
        <w:tc>
          <w:tcPr>
            <w:tcW w:w="1134" w:type="dxa"/>
            <w:vAlign w:val="center"/>
          </w:tcPr>
          <w:p>
            <w:pPr>
              <w:jc w:val="center"/>
              <w:rPr>
                <w:rFonts w:ascii="Times New Roman" w:hAnsi="Times New Roman" w:eastAsia="宋体" w:cs="Times New Roman"/>
                <w:color w:val="auto"/>
                <w:kern w:val="2"/>
                <w:sz w:val="20"/>
                <w:szCs w:val="20"/>
                <w:lang w:val="en-US" w:eastAsia="zh-CN" w:bidi="ar-SA"/>
              </w:rPr>
            </w:pPr>
            <w:r>
              <w:rPr>
                <w:rFonts w:hint="eastAsia"/>
                <w:color w:val="auto"/>
                <w:sz w:val="20"/>
                <w:szCs w:val="20"/>
              </w:rPr>
              <w:t>2辆</w:t>
            </w:r>
          </w:p>
        </w:tc>
        <w:tc>
          <w:tcPr>
            <w:tcW w:w="1560" w:type="dxa"/>
            <w:vAlign w:val="center"/>
          </w:tcPr>
          <w:p>
            <w:pPr>
              <w:widowControl/>
              <w:jc w:val="center"/>
              <w:rPr>
                <w:color w:val="auto"/>
                <w:sz w:val="20"/>
                <w:szCs w:val="20"/>
              </w:rPr>
            </w:pPr>
          </w:p>
        </w:tc>
        <w:tc>
          <w:tcPr>
            <w:tcW w:w="1417" w:type="dxa"/>
            <w:vAlign w:val="center"/>
          </w:tcPr>
          <w:p>
            <w:pPr>
              <w:widowControl/>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4" w:type="dxa"/>
            <w:vAlign w:val="center"/>
          </w:tcPr>
          <w:p>
            <w:pPr>
              <w:jc w:val="center"/>
              <w:rPr>
                <w:color w:val="auto"/>
                <w:sz w:val="20"/>
                <w:szCs w:val="20"/>
              </w:rPr>
            </w:pPr>
            <w:r>
              <w:rPr>
                <w:rFonts w:hint="eastAsia"/>
                <w:color w:val="auto"/>
                <w:sz w:val="20"/>
                <w:szCs w:val="20"/>
                <w:lang w:val="en-US" w:eastAsia="zh-CN"/>
              </w:rPr>
              <w:t>绿篱</w:t>
            </w:r>
            <w:r>
              <w:rPr>
                <w:rFonts w:hint="eastAsia"/>
                <w:color w:val="auto"/>
                <w:sz w:val="20"/>
                <w:szCs w:val="20"/>
              </w:rPr>
              <w:t>机</w:t>
            </w:r>
          </w:p>
        </w:tc>
        <w:tc>
          <w:tcPr>
            <w:tcW w:w="1226" w:type="dxa"/>
            <w:vAlign w:val="center"/>
          </w:tcPr>
          <w:p>
            <w:pPr>
              <w:widowControl/>
              <w:jc w:val="center"/>
              <w:rPr>
                <w:color w:val="auto"/>
                <w:sz w:val="20"/>
                <w:szCs w:val="20"/>
              </w:rPr>
            </w:pPr>
          </w:p>
        </w:tc>
        <w:tc>
          <w:tcPr>
            <w:tcW w:w="2561" w:type="dxa"/>
            <w:vAlign w:val="center"/>
          </w:tcPr>
          <w:p>
            <w:pPr>
              <w:widowControl/>
              <w:jc w:val="center"/>
              <w:rPr>
                <w:rFonts w:ascii="Times New Roman" w:hAnsi="Times New Roman" w:eastAsia="宋体" w:cs="Times New Roman"/>
                <w:color w:val="auto"/>
                <w:kern w:val="2"/>
                <w:sz w:val="20"/>
                <w:szCs w:val="20"/>
                <w:lang w:val="en-US" w:eastAsia="zh-CN" w:bidi="ar-SA"/>
              </w:rPr>
            </w:pPr>
            <w:r>
              <w:rPr>
                <w:color w:val="auto"/>
                <w:sz w:val="20"/>
                <w:szCs w:val="20"/>
              </w:rPr>
              <w:t>自有或租赁</w:t>
            </w:r>
          </w:p>
        </w:tc>
        <w:tc>
          <w:tcPr>
            <w:tcW w:w="1134" w:type="dxa"/>
            <w:vAlign w:val="center"/>
          </w:tcPr>
          <w:p>
            <w:pPr>
              <w:jc w:val="center"/>
              <w:rPr>
                <w:color w:val="auto"/>
                <w:sz w:val="20"/>
                <w:szCs w:val="20"/>
              </w:rPr>
            </w:pPr>
            <w:r>
              <w:rPr>
                <w:rFonts w:hint="eastAsia"/>
                <w:color w:val="auto"/>
                <w:sz w:val="20"/>
                <w:szCs w:val="20"/>
                <w:lang w:val="en-US" w:eastAsia="zh-CN"/>
              </w:rPr>
              <w:t>10</w:t>
            </w:r>
            <w:r>
              <w:rPr>
                <w:color w:val="auto"/>
                <w:sz w:val="20"/>
                <w:szCs w:val="20"/>
              </w:rPr>
              <w:t>台</w:t>
            </w:r>
          </w:p>
        </w:tc>
        <w:tc>
          <w:tcPr>
            <w:tcW w:w="1560" w:type="dxa"/>
            <w:vAlign w:val="center"/>
          </w:tcPr>
          <w:p>
            <w:pPr>
              <w:widowControl/>
              <w:jc w:val="center"/>
              <w:rPr>
                <w:color w:val="auto"/>
                <w:sz w:val="20"/>
                <w:szCs w:val="20"/>
              </w:rPr>
            </w:pPr>
          </w:p>
        </w:tc>
        <w:tc>
          <w:tcPr>
            <w:tcW w:w="1417" w:type="dxa"/>
            <w:vAlign w:val="center"/>
          </w:tcPr>
          <w:p>
            <w:pPr>
              <w:widowControl/>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4" w:type="dxa"/>
            <w:vAlign w:val="center"/>
          </w:tcPr>
          <w:p>
            <w:pPr>
              <w:tabs>
                <w:tab w:val="left" w:pos="482"/>
              </w:tabs>
              <w:jc w:val="center"/>
              <w:rPr>
                <w:rFonts w:hint="default"/>
                <w:color w:val="auto"/>
                <w:sz w:val="20"/>
                <w:szCs w:val="20"/>
                <w:lang w:val="en-US" w:eastAsia="zh-CN"/>
              </w:rPr>
            </w:pPr>
            <w:r>
              <w:rPr>
                <w:rFonts w:hint="eastAsia"/>
                <w:color w:val="auto"/>
                <w:sz w:val="20"/>
                <w:szCs w:val="20"/>
                <w:lang w:val="en-US" w:eastAsia="zh-CN"/>
              </w:rPr>
              <w:t>割灌机</w:t>
            </w:r>
          </w:p>
        </w:tc>
        <w:tc>
          <w:tcPr>
            <w:tcW w:w="1226" w:type="dxa"/>
            <w:vAlign w:val="center"/>
          </w:tcPr>
          <w:p>
            <w:pPr>
              <w:widowControl/>
              <w:jc w:val="center"/>
              <w:rPr>
                <w:color w:val="auto"/>
                <w:sz w:val="20"/>
                <w:szCs w:val="20"/>
              </w:rPr>
            </w:pPr>
          </w:p>
        </w:tc>
        <w:tc>
          <w:tcPr>
            <w:tcW w:w="2561" w:type="dxa"/>
            <w:vAlign w:val="center"/>
          </w:tcPr>
          <w:p>
            <w:pPr>
              <w:widowControl/>
              <w:jc w:val="center"/>
              <w:rPr>
                <w:rFonts w:ascii="Times New Roman" w:hAnsi="Times New Roman" w:eastAsia="宋体" w:cs="Times New Roman"/>
                <w:color w:val="auto"/>
                <w:kern w:val="2"/>
                <w:sz w:val="20"/>
                <w:szCs w:val="20"/>
                <w:lang w:val="en-US" w:eastAsia="zh-CN" w:bidi="ar-SA"/>
              </w:rPr>
            </w:pPr>
            <w:r>
              <w:rPr>
                <w:color w:val="auto"/>
                <w:sz w:val="20"/>
                <w:szCs w:val="20"/>
              </w:rPr>
              <w:t>自有或租赁</w:t>
            </w:r>
          </w:p>
        </w:tc>
        <w:tc>
          <w:tcPr>
            <w:tcW w:w="1134" w:type="dxa"/>
            <w:vAlign w:val="center"/>
          </w:tcPr>
          <w:p>
            <w:pPr>
              <w:jc w:val="center"/>
              <w:rPr>
                <w:rFonts w:hint="eastAsia"/>
                <w:color w:val="auto"/>
                <w:sz w:val="20"/>
                <w:szCs w:val="20"/>
              </w:rPr>
            </w:pPr>
            <w:r>
              <w:rPr>
                <w:rFonts w:hint="eastAsia"/>
                <w:color w:val="auto"/>
                <w:sz w:val="20"/>
                <w:szCs w:val="20"/>
              </w:rPr>
              <w:t>6</w:t>
            </w:r>
            <w:r>
              <w:rPr>
                <w:color w:val="auto"/>
                <w:sz w:val="20"/>
                <w:szCs w:val="20"/>
              </w:rPr>
              <w:t>台</w:t>
            </w:r>
          </w:p>
        </w:tc>
        <w:tc>
          <w:tcPr>
            <w:tcW w:w="1560" w:type="dxa"/>
            <w:vAlign w:val="center"/>
          </w:tcPr>
          <w:p>
            <w:pPr>
              <w:widowControl/>
              <w:jc w:val="center"/>
              <w:rPr>
                <w:color w:val="auto"/>
                <w:sz w:val="20"/>
                <w:szCs w:val="20"/>
              </w:rPr>
            </w:pPr>
          </w:p>
        </w:tc>
        <w:tc>
          <w:tcPr>
            <w:tcW w:w="1417" w:type="dxa"/>
            <w:vAlign w:val="center"/>
          </w:tcPr>
          <w:p>
            <w:pPr>
              <w:widowControl/>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24" w:type="dxa"/>
            <w:vAlign w:val="center"/>
          </w:tcPr>
          <w:p>
            <w:pPr>
              <w:tabs>
                <w:tab w:val="left" w:pos="549"/>
              </w:tabs>
              <w:jc w:val="center"/>
              <w:rPr>
                <w:rFonts w:hint="default" w:ascii="Times New Roman" w:hAnsi="Times New Roman" w:eastAsia="宋体" w:cs="Times New Roman"/>
                <w:color w:val="auto"/>
                <w:kern w:val="2"/>
                <w:sz w:val="20"/>
                <w:szCs w:val="20"/>
                <w:lang w:val="en-US" w:eastAsia="zh-CN" w:bidi="ar-SA"/>
              </w:rPr>
            </w:pPr>
            <w:r>
              <w:rPr>
                <w:rFonts w:hint="eastAsia"/>
                <w:color w:val="auto"/>
                <w:sz w:val="20"/>
                <w:szCs w:val="20"/>
                <w:lang w:val="en-US" w:eastAsia="zh-CN"/>
              </w:rPr>
              <w:t>修剪机</w:t>
            </w:r>
          </w:p>
        </w:tc>
        <w:tc>
          <w:tcPr>
            <w:tcW w:w="1226" w:type="dxa"/>
            <w:vAlign w:val="center"/>
          </w:tcPr>
          <w:p>
            <w:pPr>
              <w:widowControl/>
              <w:jc w:val="center"/>
              <w:rPr>
                <w:rFonts w:ascii="Times New Roman" w:hAnsi="Times New Roman" w:eastAsia="宋体" w:cs="Times New Roman"/>
                <w:color w:val="auto"/>
                <w:kern w:val="2"/>
                <w:sz w:val="20"/>
                <w:szCs w:val="20"/>
                <w:lang w:val="en-US" w:eastAsia="zh-CN" w:bidi="ar-SA"/>
              </w:rPr>
            </w:pPr>
          </w:p>
        </w:tc>
        <w:tc>
          <w:tcPr>
            <w:tcW w:w="2561" w:type="dxa"/>
            <w:vAlign w:val="center"/>
          </w:tcPr>
          <w:p>
            <w:pPr>
              <w:widowControl/>
              <w:jc w:val="center"/>
              <w:rPr>
                <w:rFonts w:ascii="Times New Roman" w:hAnsi="Times New Roman" w:eastAsia="宋体" w:cs="Times New Roman"/>
                <w:color w:val="auto"/>
                <w:kern w:val="2"/>
                <w:sz w:val="20"/>
                <w:szCs w:val="20"/>
                <w:lang w:val="en-US" w:eastAsia="zh-CN" w:bidi="ar-SA"/>
              </w:rPr>
            </w:pPr>
            <w:r>
              <w:rPr>
                <w:color w:val="auto"/>
                <w:sz w:val="20"/>
                <w:szCs w:val="20"/>
              </w:rPr>
              <w:t>自有或租赁</w:t>
            </w:r>
          </w:p>
        </w:tc>
        <w:tc>
          <w:tcPr>
            <w:tcW w:w="1134" w:type="dxa"/>
            <w:vAlign w:val="center"/>
          </w:tcPr>
          <w:p>
            <w:pPr>
              <w:tabs>
                <w:tab w:val="left" w:pos="393"/>
              </w:tabs>
              <w:jc w:val="center"/>
              <w:rPr>
                <w:rFonts w:hint="default" w:ascii="Times New Roman" w:hAnsi="Times New Roman" w:eastAsia="宋体" w:cs="Times New Roman"/>
                <w:color w:val="auto"/>
                <w:kern w:val="2"/>
                <w:sz w:val="20"/>
                <w:szCs w:val="20"/>
                <w:lang w:val="en-US" w:eastAsia="zh-CN" w:bidi="ar-SA"/>
              </w:rPr>
            </w:pPr>
            <w:r>
              <w:rPr>
                <w:rFonts w:hint="eastAsia"/>
                <w:color w:val="auto"/>
                <w:sz w:val="20"/>
                <w:szCs w:val="20"/>
                <w:lang w:val="en-US" w:eastAsia="zh-CN"/>
              </w:rPr>
              <w:t>2</w:t>
            </w:r>
            <w:r>
              <w:rPr>
                <w:color w:val="auto"/>
                <w:sz w:val="20"/>
                <w:szCs w:val="20"/>
              </w:rPr>
              <w:t>台</w:t>
            </w:r>
          </w:p>
        </w:tc>
        <w:tc>
          <w:tcPr>
            <w:tcW w:w="1560" w:type="dxa"/>
            <w:vAlign w:val="center"/>
          </w:tcPr>
          <w:p>
            <w:pPr>
              <w:widowControl/>
              <w:jc w:val="center"/>
              <w:rPr>
                <w:color w:val="auto"/>
                <w:sz w:val="20"/>
                <w:szCs w:val="20"/>
              </w:rPr>
            </w:pPr>
          </w:p>
        </w:tc>
        <w:tc>
          <w:tcPr>
            <w:tcW w:w="1417" w:type="dxa"/>
            <w:vAlign w:val="center"/>
          </w:tcPr>
          <w:p>
            <w:pPr>
              <w:widowControl/>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24" w:type="dxa"/>
            <w:vAlign w:val="center"/>
          </w:tcPr>
          <w:p>
            <w:pPr>
              <w:tabs>
                <w:tab w:val="left" w:pos="549"/>
              </w:tabs>
              <w:jc w:val="center"/>
              <w:rPr>
                <w:rFonts w:hint="default"/>
                <w:color w:val="auto"/>
                <w:sz w:val="20"/>
                <w:szCs w:val="20"/>
                <w:lang w:val="en-US" w:eastAsia="zh-CN"/>
              </w:rPr>
            </w:pPr>
            <w:r>
              <w:rPr>
                <w:rFonts w:hint="eastAsia"/>
                <w:color w:val="auto"/>
                <w:sz w:val="20"/>
                <w:szCs w:val="20"/>
                <w:lang w:val="en-US" w:eastAsia="zh-CN"/>
              </w:rPr>
              <w:t>背式吹风机</w:t>
            </w:r>
          </w:p>
        </w:tc>
        <w:tc>
          <w:tcPr>
            <w:tcW w:w="1226" w:type="dxa"/>
            <w:vAlign w:val="center"/>
          </w:tcPr>
          <w:p>
            <w:pPr>
              <w:widowControl/>
              <w:jc w:val="center"/>
              <w:rPr>
                <w:color w:val="auto"/>
                <w:sz w:val="20"/>
                <w:szCs w:val="20"/>
              </w:rPr>
            </w:pPr>
          </w:p>
        </w:tc>
        <w:tc>
          <w:tcPr>
            <w:tcW w:w="2561" w:type="dxa"/>
            <w:vAlign w:val="center"/>
          </w:tcPr>
          <w:p>
            <w:pPr>
              <w:widowControl/>
              <w:jc w:val="center"/>
              <w:rPr>
                <w:rFonts w:ascii="Times New Roman" w:hAnsi="Times New Roman" w:eastAsia="宋体" w:cs="Times New Roman"/>
                <w:color w:val="auto"/>
                <w:kern w:val="2"/>
                <w:sz w:val="20"/>
                <w:szCs w:val="20"/>
                <w:lang w:val="en-US" w:eastAsia="zh-CN" w:bidi="ar-SA"/>
              </w:rPr>
            </w:pPr>
            <w:r>
              <w:rPr>
                <w:color w:val="auto"/>
                <w:sz w:val="20"/>
                <w:szCs w:val="20"/>
              </w:rPr>
              <w:t>自有或租赁</w:t>
            </w:r>
          </w:p>
        </w:tc>
        <w:tc>
          <w:tcPr>
            <w:tcW w:w="1134" w:type="dxa"/>
            <w:vAlign w:val="center"/>
          </w:tcPr>
          <w:p>
            <w:pPr>
              <w:tabs>
                <w:tab w:val="left" w:pos="393"/>
              </w:tabs>
              <w:jc w:val="center"/>
              <w:rPr>
                <w:rFonts w:hint="default"/>
                <w:color w:val="auto"/>
                <w:sz w:val="20"/>
                <w:szCs w:val="20"/>
                <w:lang w:val="en-US" w:eastAsia="zh-CN"/>
              </w:rPr>
            </w:pPr>
            <w:r>
              <w:rPr>
                <w:rFonts w:hint="eastAsia"/>
                <w:color w:val="auto"/>
                <w:sz w:val="20"/>
                <w:szCs w:val="20"/>
                <w:lang w:val="en-US" w:eastAsia="zh-CN"/>
              </w:rPr>
              <w:t>4台</w:t>
            </w:r>
          </w:p>
        </w:tc>
        <w:tc>
          <w:tcPr>
            <w:tcW w:w="1560" w:type="dxa"/>
            <w:vAlign w:val="center"/>
          </w:tcPr>
          <w:p>
            <w:pPr>
              <w:widowControl/>
              <w:jc w:val="center"/>
              <w:rPr>
                <w:color w:val="auto"/>
                <w:sz w:val="20"/>
                <w:szCs w:val="20"/>
              </w:rPr>
            </w:pPr>
          </w:p>
        </w:tc>
        <w:tc>
          <w:tcPr>
            <w:tcW w:w="1417" w:type="dxa"/>
            <w:vAlign w:val="center"/>
          </w:tcPr>
          <w:p>
            <w:pPr>
              <w:widowControl/>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24" w:type="dxa"/>
            <w:vAlign w:val="center"/>
          </w:tcPr>
          <w:p>
            <w:pPr>
              <w:jc w:val="center"/>
              <w:rPr>
                <w:rFonts w:hint="default" w:ascii="Times New Roman" w:hAnsi="Times New Roman" w:eastAsia="宋体" w:cs="Times New Roman"/>
                <w:color w:val="auto"/>
                <w:kern w:val="2"/>
                <w:sz w:val="20"/>
                <w:szCs w:val="20"/>
                <w:lang w:val="en-US" w:eastAsia="zh-CN" w:bidi="ar-SA"/>
              </w:rPr>
            </w:pPr>
            <w:r>
              <w:rPr>
                <w:color w:val="auto"/>
                <w:sz w:val="20"/>
                <w:szCs w:val="20"/>
              </w:rPr>
              <w:t>水泵</w:t>
            </w:r>
          </w:p>
        </w:tc>
        <w:tc>
          <w:tcPr>
            <w:tcW w:w="1226" w:type="dxa"/>
            <w:vAlign w:val="center"/>
          </w:tcPr>
          <w:p>
            <w:pPr>
              <w:widowControl/>
              <w:jc w:val="center"/>
              <w:rPr>
                <w:rFonts w:ascii="Times New Roman" w:hAnsi="Times New Roman" w:eastAsia="宋体" w:cs="Times New Roman"/>
                <w:color w:val="auto"/>
                <w:kern w:val="2"/>
                <w:sz w:val="20"/>
                <w:szCs w:val="20"/>
                <w:lang w:val="en-US" w:eastAsia="zh-CN" w:bidi="ar-SA"/>
              </w:rPr>
            </w:pPr>
          </w:p>
        </w:tc>
        <w:tc>
          <w:tcPr>
            <w:tcW w:w="2561" w:type="dxa"/>
            <w:vAlign w:val="center"/>
          </w:tcPr>
          <w:p>
            <w:pPr>
              <w:widowControl/>
              <w:jc w:val="center"/>
              <w:rPr>
                <w:rFonts w:ascii="Times New Roman" w:hAnsi="Times New Roman" w:eastAsia="宋体" w:cs="Times New Roman"/>
                <w:color w:val="auto"/>
                <w:kern w:val="2"/>
                <w:sz w:val="20"/>
                <w:szCs w:val="20"/>
                <w:lang w:val="en-US" w:eastAsia="zh-CN" w:bidi="ar-SA"/>
              </w:rPr>
            </w:pPr>
            <w:r>
              <w:rPr>
                <w:color w:val="auto"/>
                <w:sz w:val="20"/>
                <w:szCs w:val="20"/>
              </w:rPr>
              <w:t>自有或租赁</w:t>
            </w:r>
          </w:p>
        </w:tc>
        <w:tc>
          <w:tcPr>
            <w:tcW w:w="1134" w:type="dxa"/>
            <w:vAlign w:val="center"/>
          </w:tcPr>
          <w:p>
            <w:pPr>
              <w:jc w:val="center"/>
              <w:rPr>
                <w:rFonts w:hint="eastAsia" w:ascii="Times New Roman" w:hAnsi="Times New Roman" w:eastAsia="宋体" w:cs="Times New Roman"/>
                <w:color w:val="auto"/>
                <w:kern w:val="2"/>
                <w:sz w:val="20"/>
                <w:szCs w:val="20"/>
                <w:lang w:val="en-US" w:eastAsia="zh-CN" w:bidi="ar-SA"/>
              </w:rPr>
            </w:pPr>
            <w:r>
              <w:rPr>
                <w:rFonts w:hint="eastAsia"/>
                <w:color w:val="auto"/>
                <w:sz w:val="20"/>
                <w:szCs w:val="20"/>
                <w:lang w:val="en-US" w:eastAsia="zh-CN"/>
              </w:rPr>
              <w:t>4</w:t>
            </w:r>
            <w:r>
              <w:rPr>
                <w:color w:val="auto"/>
                <w:sz w:val="20"/>
                <w:szCs w:val="20"/>
              </w:rPr>
              <w:t>台</w:t>
            </w:r>
          </w:p>
        </w:tc>
        <w:tc>
          <w:tcPr>
            <w:tcW w:w="1560" w:type="dxa"/>
            <w:vAlign w:val="center"/>
          </w:tcPr>
          <w:p>
            <w:pPr>
              <w:widowControl/>
              <w:jc w:val="center"/>
              <w:rPr>
                <w:color w:val="auto"/>
                <w:sz w:val="20"/>
                <w:szCs w:val="20"/>
              </w:rPr>
            </w:pPr>
          </w:p>
        </w:tc>
        <w:tc>
          <w:tcPr>
            <w:tcW w:w="1417" w:type="dxa"/>
            <w:vAlign w:val="center"/>
          </w:tcPr>
          <w:p>
            <w:pPr>
              <w:widowControl/>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24" w:type="dxa"/>
            <w:vAlign w:val="center"/>
          </w:tcPr>
          <w:p>
            <w:pPr>
              <w:widowControl/>
              <w:jc w:val="center"/>
              <w:rPr>
                <w:color w:val="auto"/>
                <w:sz w:val="20"/>
                <w:szCs w:val="20"/>
              </w:rPr>
            </w:pPr>
            <w:r>
              <w:rPr>
                <w:color w:val="auto"/>
                <w:sz w:val="20"/>
                <w:szCs w:val="20"/>
              </w:rPr>
              <w:t>应急设备及物资</w:t>
            </w:r>
          </w:p>
        </w:tc>
        <w:tc>
          <w:tcPr>
            <w:tcW w:w="1226" w:type="dxa"/>
            <w:vAlign w:val="center"/>
          </w:tcPr>
          <w:p>
            <w:pPr>
              <w:widowControl/>
              <w:jc w:val="center"/>
              <w:rPr>
                <w:color w:val="auto"/>
                <w:sz w:val="20"/>
                <w:szCs w:val="20"/>
              </w:rPr>
            </w:pPr>
          </w:p>
        </w:tc>
        <w:tc>
          <w:tcPr>
            <w:tcW w:w="2561" w:type="dxa"/>
            <w:vAlign w:val="center"/>
          </w:tcPr>
          <w:p>
            <w:pPr>
              <w:widowControl/>
              <w:jc w:val="center"/>
              <w:rPr>
                <w:rFonts w:ascii="Times New Roman" w:hAnsi="Times New Roman" w:eastAsia="宋体" w:cs="Times New Roman"/>
                <w:color w:val="auto"/>
                <w:kern w:val="2"/>
                <w:sz w:val="20"/>
                <w:szCs w:val="20"/>
                <w:lang w:val="en-US" w:eastAsia="zh-CN" w:bidi="ar-SA"/>
              </w:rPr>
            </w:pPr>
            <w:r>
              <w:rPr>
                <w:color w:val="auto"/>
                <w:sz w:val="20"/>
                <w:szCs w:val="20"/>
              </w:rPr>
              <w:t>投标人自报</w:t>
            </w:r>
          </w:p>
        </w:tc>
        <w:tc>
          <w:tcPr>
            <w:tcW w:w="1134" w:type="dxa"/>
            <w:vAlign w:val="center"/>
          </w:tcPr>
          <w:p>
            <w:pPr>
              <w:widowControl/>
              <w:jc w:val="center"/>
              <w:rPr>
                <w:color w:val="auto"/>
                <w:sz w:val="20"/>
                <w:szCs w:val="20"/>
              </w:rPr>
            </w:pPr>
          </w:p>
        </w:tc>
        <w:tc>
          <w:tcPr>
            <w:tcW w:w="1560" w:type="dxa"/>
            <w:vAlign w:val="center"/>
          </w:tcPr>
          <w:p>
            <w:pPr>
              <w:widowControl/>
              <w:jc w:val="center"/>
              <w:rPr>
                <w:color w:val="auto"/>
                <w:sz w:val="20"/>
                <w:szCs w:val="20"/>
              </w:rPr>
            </w:pPr>
          </w:p>
        </w:tc>
        <w:tc>
          <w:tcPr>
            <w:tcW w:w="1417" w:type="dxa"/>
            <w:vAlign w:val="center"/>
          </w:tcPr>
          <w:p>
            <w:pPr>
              <w:widowControl/>
              <w:jc w:val="center"/>
              <w:rPr>
                <w:color w:val="auto"/>
                <w:sz w:val="20"/>
                <w:szCs w:val="20"/>
              </w:rPr>
            </w:pPr>
          </w:p>
        </w:tc>
      </w:tr>
    </w:tbl>
    <w:p>
      <w:pPr>
        <w:rPr>
          <w:color w:val="auto"/>
          <w:kern w:val="0"/>
          <w:sz w:val="20"/>
          <w:szCs w:val="20"/>
        </w:rPr>
      </w:pPr>
      <w:r>
        <w:rPr>
          <w:color w:val="auto"/>
          <w:kern w:val="0"/>
          <w:sz w:val="20"/>
          <w:szCs w:val="20"/>
        </w:rPr>
        <w:t>注：（1）上述设备中车辆的尾气排放标准必须符合国家和上海市的有关标准。严禁使用黄标车车辆。</w:t>
      </w:r>
    </w:p>
    <w:p>
      <w:pPr>
        <w:snapToGrid w:val="0"/>
        <w:rPr>
          <w:color w:val="auto"/>
          <w:sz w:val="20"/>
          <w:szCs w:val="20"/>
        </w:rPr>
      </w:pPr>
      <w:r>
        <w:rPr>
          <w:color w:val="auto"/>
          <w:kern w:val="0"/>
          <w:sz w:val="20"/>
          <w:szCs w:val="20"/>
        </w:rPr>
        <w:t>（2）上表中的机械，投标人可提供（如购买发票、租赁合同等原件及复印件）</w:t>
      </w:r>
      <w:r>
        <w:rPr>
          <w:rFonts w:hint="eastAsia"/>
          <w:color w:val="auto"/>
          <w:kern w:val="0"/>
          <w:sz w:val="20"/>
          <w:szCs w:val="20"/>
          <w:lang w:eastAsia="zh-CN"/>
        </w:rPr>
        <w:t>等</w:t>
      </w:r>
      <w:r>
        <w:rPr>
          <w:color w:val="auto"/>
          <w:kern w:val="0"/>
          <w:sz w:val="20"/>
          <w:szCs w:val="20"/>
        </w:rPr>
        <w:t>相关证明材料复印件。</w:t>
      </w:r>
      <w:r>
        <w:rPr>
          <w:rFonts w:hint="eastAsia"/>
          <w:color w:val="auto"/>
          <w:kern w:val="0"/>
          <w:sz w:val="20"/>
          <w:szCs w:val="20"/>
          <w:lang w:eastAsia="zh-CN"/>
        </w:rPr>
        <w:t>若无或者不完整，应当提供</w:t>
      </w:r>
      <w:r>
        <w:rPr>
          <w:color w:val="auto"/>
          <w:kern w:val="0"/>
          <w:sz w:val="20"/>
          <w:szCs w:val="20"/>
        </w:rPr>
        <w:t>中标后一个月内</w:t>
      </w:r>
      <w:r>
        <w:rPr>
          <w:rFonts w:hint="eastAsia"/>
          <w:color w:val="auto"/>
          <w:kern w:val="0"/>
          <w:sz w:val="20"/>
          <w:szCs w:val="20"/>
          <w:lang w:eastAsia="zh-CN"/>
        </w:rPr>
        <w:t>补齐</w:t>
      </w:r>
      <w:r>
        <w:rPr>
          <w:color w:val="auto"/>
          <w:kern w:val="0"/>
          <w:sz w:val="20"/>
          <w:szCs w:val="20"/>
        </w:rPr>
        <w:t>以上机械</w:t>
      </w:r>
      <w:r>
        <w:rPr>
          <w:rFonts w:hint="eastAsia"/>
          <w:color w:val="auto"/>
          <w:kern w:val="0"/>
          <w:sz w:val="20"/>
          <w:szCs w:val="20"/>
          <w:lang w:eastAsia="zh-CN"/>
        </w:rPr>
        <w:t>承诺，</w:t>
      </w:r>
      <w:r>
        <w:rPr>
          <w:color w:val="auto"/>
          <w:kern w:val="0"/>
          <w:sz w:val="20"/>
          <w:szCs w:val="20"/>
        </w:rPr>
        <w:t>否</w:t>
      </w:r>
      <w:r>
        <w:rPr>
          <w:color w:val="auto"/>
          <w:sz w:val="20"/>
          <w:szCs w:val="20"/>
        </w:rPr>
        <w:t>则采购人有权不签订合同</w:t>
      </w:r>
      <w:r>
        <w:rPr>
          <w:color w:val="auto"/>
          <w:szCs w:val="21"/>
        </w:rPr>
        <w:t>。</w:t>
      </w:r>
    </w:p>
    <w:p>
      <w:pPr>
        <w:adjustRightInd w:val="0"/>
        <w:snapToGrid w:val="0"/>
        <w:ind w:firstLine="433" w:firstLineChars="196"/>
        <w:jc w:val="left"/>
        <w:outlineLvl w:val="2"/>
        <w:rPr>
          <w:b/>
          <w:bCs/>
          <w:color w:val="auto"/>
          <w:sz w:val="22"/>
        </w:rPr>
      </w:pPr>
      <w:bookmarkStart w:id="28" w:name="_Toc149899530"/>
      <w:bookmarkStart w:id="29" w:name="_Toc124860835"/>
      <w:bookmarkStart w:id="30" w:name="_Toc534204206"/>
      <w:r>
        <w:rPr>
          <w:b/>
          <w:bCs/>
          <w:color w:val="auto"/>
          <w:sz w:val="22"/>
        </w:rPr>
        <w:t>11 安全文明作业及应急处置要求</w:t>
      </w:r>
      <w:bookmarkEnd w:id="28"/>
      <w:bookmarkEnd w:id="29"/>
      <w:bookmarkEnd w:id="30"/>
    </w:p>
    <w:p>
      <w:pPr>
        <w:tabs>
          <w:tab w:val="left" w:pos="3060"/>
        </w:tabs>
        <w:snapToGrid w:val="0"/>
        <w:ind w:firstLine="440" w:firstLineChars="200"/>
        <w:rPr>
          <w:color w:val="auto"/>
          <w:sz w:val="22"/>
        </w:rPr>
      </w:pPr>
      <w:bookmarkStart w:id="31" w:name="_Toc460922292"/>
      <w:bookmarkStart w:id="32" w:name="_Toc463690205"/>
      <w:r>
        <w:rPr>
          <w:color w:val="auto"/>
          <w:sz w:val="22"/>
        </w:rPr>
        <w:t>11.1 安全文明施工措施与要求</w:t>
      </w:r>
      <w:bookmarkEnd w:id="31"/>
      <w:bookmarkEnd w:id="32"/>
    </w:p>
    <w:p>
      <w:pPr>
        <w:tabs>
          <w:tab w:val="left" w:pos="3060"/>
        </w:tabs>
        <w:snapToGrid w:val="0"/>
        <w:ind w:firstLine="440" w:firstLineChars="200"/>
        <w:rPr>
          <w:color w:val="auto"/>
          <w:sz w:val="22"/>
        </w:rPr>
      </w:pPr>
      <w:r>
        <w:rPr>
          <w:color w:val="auto"/>
          <w:sz w:val="22"/>
        </w:rPr>
        <w:t>11.1.1 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pPr>
        <w:tabs>
          <w:tab w:val="left" w:pos="3060"/>
        </w:tabs>
        <w:snapToGrid w:val="0"/>
        <w:ind w:firstLine="440" w:firstLineChars="200"/>
        <w:rPr>
          <w:color w:val="auto"/>
          <w:sz w:val="22"/>
        </w:rPr>
      </w:pPr>
      <w:r>
        <w:rPr>
          <w:color w:val="auto"/>
          <w:sz w:val="22"/>
        </w:rPr>
        <w:t>11.1.2 建立职工（含劳务工等各种类型用工）花名册等档案资料，与职工签订劳动合同，为其办理国家规定的相关保险，并按规定标准安排专业健康体检和配备劳动防护用品。</w:t>
      </w:r>
    </w:p>
    <w:p>
      <w:pPr>
        <w:tabs>
          <w:tab w:val="left" w:pos="3060"/>
        </w:tabs>
        <w:snapToGrid w:val="0"/>
        <w:ind w:firstLine="440" w:firstLineChars="200"/>
        <w:rPr>
          <w:color w:val="auto"/>
          <w:sz w:val="22"/>
        </w:rPr>
      </w:pPr>
      <w:r>
        <w:rPr>
          <w:color w:val="auto"/>
          <w:sz w:val="22"/>
        </w:rPr>
        <w:t>11.1.3 建立健全安全生产工作责任体系和组织管理网络，设置安全生产监管部门，配备专职安全监管人员，对施工作业安全进行现场监督；按照“横向到边，纵向到底”责任制要求将安全责任分解，承包商法定代表人与项目部、项目部与下属各责任部门必须签订安全协议书；定期召开安全生产工作会议，每月不少于一次；组织开展安全生产检查，每旬不少于一次。</w:t>
      </w:r>
    </w:p>
    <w:p>
      <w:pPr>
        <w:tabs>
          <w:tab w:val="left" w:pos="3060"/>
        </w:tabs>
        <w:snapToGrid w:val="0"/>
        <w:ind w:firstLine="440" w:firstLineChars="200"/>
        <w:rPr>
          <w:color w:val="auto"/>
          <w:sz w:val="22"/>
        </w:rPr>
      </w:pPr>
      <w:r>
        <w:rPr>
          <w:color w:val="auto"/>
          <w:sz w:val="22"/>
        </w:rPr>
        <w:t>11.1.4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pPr>
        <w:tabs>
          <w:tab w:val="left" w:pos="3060"/>
        </w:tabs>
        <w:snapToGrid w:val="0"/>
        <w:ind w:firstLine="440" w:firstLineChars="200"/>
        <w:rPr>
          <w:color w:val="auto"/>
          <w:sz w:val="22"/>
        </w:rPr>
      </w:pPr>
      <w:r>
        <w:rPr>
          <w:color w:val="auto"/>
          <w:sz w:val="22"/>
        </w:rPr>
        <w:t>11.1.5 进入养护作业现场的作业机械和车辆，应按规定配置警示标志、灯具。</w:t>
      </w:r>
    </w:p>
    <w:p>
      <w:pPr>
        <w:tabs>
          <w:tab w:val="left" w:pos="3060"/>
        </w:tabs>
        <w:snapToGrid w:val="0"/>
        <w:ind w:firstLine="440" w:firstLineChars="200"/>
        <w:rPr>
          <w:color w:val="auto"/>
          <w:sz w:val="22"/>
        </w:rPr>
      </w:pPr>
      <w:r>
        <w:rPr>
          <w:color w:val="auto"/>
          <w:sz w:val="22"/>
        </w:rPr>
        <w:t>11.1.6 严格执行JGJ4688-2005《施工现场临时用电安全技术规范》规定，采用三级配电系统、TN-S接零保护系统、三级漏电保护系统；所有的配电箱、开关电箱符合要求，临时用电工程所用电器装置、元器件、电线电缆等电工产品必须按国家规定通过“3C”认证，并经市建设工程安全协会登记备案的进行配置。</w:t>
      </w:r>
    </w:p>
    <w:p>
      <w:pPr>
        <w:tabs>
          <w:tab w:val="left" w:pos="3060"/>
        </w:tabs>
        <w:snapToGrid w:val="0"/>
        <w:ind w:firstLine="440" w:firstLineChars="200"/>
        <w:rPr>
          <w:color w:val="auto"/>
          <w:sz w:val="22"/>
        </w:rPr>
      </w:pPr>
      <w:r>
        <w:rPr>
          <w:color w:val="auto"/>
          <w:sz w:val="22"/>
        </w:rPr>
        <w:t>11.1.7 如养护施工过程中发生重特大安全事故，承包商应快速、及时赶到现场，实施紧急处置，并协同有关单位和部门做好善后处理和稳定工作；紧急处置的结果须及时上报业主。</w:t>
      </w:r>
    </w:p>
    <w:p>
      <w:pPr>
        <w:tabs>
          <w:tab w:val="left" w:pos="3060"/>
        </w:tabs>
        <w:snapToGrid w:val="0"/>
        <w:ind w:firstLine="440" w:firstLineChars="200"/>
        <w:rPr>
          <w:color w:val="auto"/>
          <w:sz w:val="22"/>
        </w:rPr>
      </w:pPr>
      <w:r>
        <w:rPr>
          <w:color w:val="auto"/>
          <w:sz w:val="22"/>
        </w:rPr>
        <w:t>11.1.8 创建文明工地，做到养护工地规范有序，便民利民，工完料清场地清，将养护工程对交通的影响降到最低，每旬至少进行一次文明工地检查。凡施工过程中可能产生扬尘的环节，必须采用降尘措施控制扬尘。</w:t>
      </w:r>
    </w:p>
    <w:p>
      <w:pPr>
        <w:tabs>
          <w:tab w:val="left" w:pos="3060"/>
        </w:tabs>
        <w:snapToGrid w:val="0"/>
        <w:ind w:firstLine="440" w:firstLineChars="200"/>
        <w:rPr>
          <w:color w:val="auto"/>
          <w:sz w:val="22"/>
        </w:rPr>
      </w:pPr>
      <w:r>
        <w:rPr>
          <w:color w:val="auto"/>
          <w:sz w:val="22"/>
        </w:rPr>
        <w:t>11.1.9 开展多方面的共建联建活动；开展样板标段创建活动，已创建的合同标段须保持既有创建成果。</w:t>
      </w:r>
    </w:p>
    <w:p>
      <w:pPr>
        <w:tabs>
          <w:tab w:val="left" w:pos="3060"/>
        </w:tabs>
        <w:snapToGrid w:val="0"/>
        <w:ind w:firstLine="440" w:firstLineChars="200"/>
        <w:rPr>
          <w:color w:val="auto"/>
          <w:sz w:val="22"/>
        </w:rPr>
      </w:pPr>
      <w:r>
        <w:rPr>
          <w:color w:val="auto"/>
          <w:sz w:val="22"/>
        </w:rPr>
        <w:t>11.2 应急处置要求</w:t>
      </w:r>
    </w:p>
    <w:p>
      <w:pPr>
        <w:tabs>
          <w:tab w:val="left" w:pos="3060"/>
        </w:tabs>
        <w:snapToGrid w:val="0"/>
        <w:ind w:firstLine="440" w:firstLineChars="200"/>
        <w:rPr>
          <w:color w:val="auto"/>
          <w:sz w:val="22"/>
        </w:rPr>
      </w:pPr>
      <w:r>
        <w:rPr>
          <w:color w:val="auto"/>
          <w:sz w:val="22"/>
        </w:rPr>
        <w:t>11.2.1 按照其性质、严重程度、可控性等因素，灾害性天气、突发事件的等级划分为</w:t>
      </w:r>
      <w:r>
        <w:rPr>
          <w:rFonts w:hint="eastAsia" w:ascii="宋体" w:hAnsi="宋体" w:cs="宋体"/>
          <w:color w:val="auto"/>
          <w:sz w:val="22"/>
        </w:rPr>
        <w:t>Ⅰ</w:t>
      </w:r>
      <w:r>
        <w:rPr>
          <w:color w:val="auto"/>
          <w:sz w:val="22"/>
        </w:rPr>
        <w:t>级（特别重大）、</w:t>
      </w:r>
      <w:r>
        <w:rPr>
          <w:rFonts w:hint="eastAsia" w:ascii="宋体" w:hAnsi="宋体" w:cs="宋体"/>
          <w:color w:val="auto"/>
          <w:sz w:val="22"/>
        </w:rPr>
        <w:t>Ⅱ</w:t>
      </w:r>
      <w:r>
        <w:rPr>
          <w:color w:val="auto"/>
          <w:sz w:val="22"/>
        </w:rPr>
        <w:t>级（重大）、</w:t>
      </w:r>
      <w:r>
        <w:rPr>
          <w:rFonts w:hint="eastAsia" w:ascii="宋体" w:hAnsi="宋体" w:cs="宋体"/>
          <w:color w:val="auto"/>
          <w:sz w:val="22"/>
        </w:rPr>
        <w:t>Ⅲ</w:t>
      </w:r>
      <w:r>
        <w:rPr>
          <w:color w:val="auto"/>
          <w:sz w:val="22"/>
        </w:rPr>
        <w:t>级（较大）、</w:t>
      </w:r>
      <w:r>
        <w:rPr>
          <w:rFonts w:hint="eastAsia" w:ascii="宋体" w:hAnsi="宋体" w:cs="宋体"/>
          <w:color w:val="auto"/>
          <w:sz w:val="22"/>
        </w:rPr>
        <w:t>Ⅳ</w:t>
      </w:r>
      <w:r>
        <w:rPr>
          <w:color w:val="auto"/>
          <w:sz w:val="22"/>
        </w:rPr>
        <w:t>级（一般）四级。</w:t>
      </w:r>
    </w:p>
    <w:p>
      <w:pPr>
        <w:tabs>
          <w:tab w:val="left" w:pos="3060"/>
        </w:tabs>
        <w:snapToGrid w:val="0"/>
        <w:ind w:firstLine="440" w:firstLineChars="200"/>
        <w:rPr>
          <w:color w:val="auto"/>
          <w:sz w:val="22"/>
        </w:rPr>
      </w:pPr>
      <w:r>
        <w:rPr>
          <w:color w:val="auto"/>
          <w:sz w:val="22"/>
        </w:rPr>
        <w:t>11.2.2 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pPr>
        <w:tabs>
          <w:tab w:val="left" w:pos="3060"/>
        </w:tabs>
        <w:snapToGrid w:val="0"/>
        <w:ind w:firstLine="440" w:firstLineChars="200"/>
        <w:rPr>
          <w:color w:val="auto"/>
          <w:sz w:val="22"/>
        </w:rPr>
      </w:pPr>
      <w:r>
        <w:rPr>
          <w:color w:val="auto"/>
          <w:sz w:val="22"/>
        </w:rPr>
        <w:t>11.2.3 建立应急指挥领导小组，负责应急救援总体指挥，并落实各部门职责和相关措施。</w:t>
      </w:r>
    </w:p>
    <w:p>
      <w:pPr>
        <w:tabs>
          <w:tab w:val="left" w:pos="3060"/>
        </w:tabs>
        <w:snapToGrid w:val="0"/>
        <w:ind w:firstLine="440" w:firstLineChars="200"/>
        <w:rPr>
          <w:color w:val="auto"/>
          <w:sz w:val="22"/>
        </w:rPr>
      </w:pPr>
      <w:r>
        <w:rPr>
          <w:color w:val="auto"/>
          <w:sz w:val="22"/>
        </w:rPr>
        <w:t>11.2.4 组建一支具有综合救援能力的应急救援队伍（人员总数不得少于15人），一旦紧急情况发生，能在最短时间内到达现场进行应急处置。</w:t>
      </w:r>
    </w:p>
    <w:p>
      <w:pPr>
        <w:tabs>
          <w:tab w:val="left" w:pos="3060"/>
        </w:tabs>
        <w:snapToGrid w:val="0"/>
        <w:ind w:firstLine="440" w:firstLineChars="200"/>
        <w:rPr>
          <w:color w:val="auto"/>
          <w:sz w:val="22"/>
        </w:rPr>
      </w:pPr>
      <w:r>
        <w:rPr>
          <w:color w:val="auto"/>
          <w:sz w:val="22"/>
        </w:rPr>
        <w:t>11.2.5 定期检查应急救援物资与机具，确保物资储备数量充足、机具设备完好可用。</w:t>
      </w:r>
    </w:p>
    <w:p>
      <w:pPr>
        <w:tabs>
          <w:tab w:val="left" w:pos="3060"/>
        </w:tabs>
        <w:snapToGrid w:val="0"/>
        <w:ind w:firstLine="440" w:firstLineChars="200"/>
        <w:rPr>
          <w:color w:val="auto"/>
          <w:sz w:val="22"/>
        </w:rPr>
      </w:pPr>
      <w:r>
        <w:rPr>
          <w:color w:val="auto"/>
          <w:sz w:val="22"/>
        </w:rPr>
        <w:t>11.2.6 与气象部门建立热线联络制度，及时掌握灾害性天气的预警信息，特别在灾害性天气易发季节，需密切关注气象变化情况，针对其可能带来林木倒伏和受灾做好相关防御措施。</w:t>
      </w:r>
    </w:p>
    <w:p>
      <w:pPr>
        <w:tabs>
          <w:tab w:val="left" w:pos="3060"/>
        </w:tabs>
        <w:snapToGrid w:val="0"/>
        <w:ind w:firstLine="440" w:firstLineChars="200"/>
        <w:rPr>
          <w:color w:val="auto"/>
          <w:sz w:val="22"/>
        </w:rPr>
      </w:pPr>
      <w:r>
        <w:rPr>
          <w:color w:val="auto"/>
          <w:sz w:val="22"/>
        </w:rPr>
        <w:t>11.2.7 与交警、消防、医疗等部门建立联动机制，一旦发生紧急情况，能与其它相关部门协调配合，维持养护标段的正常运行和良好秩序，并将实施情况及时上报业主。</w:t>
      </w:r>
    </w:p>
    <w:p>
      <w:pPr>
        <w:tabs>
          <w:tab w:val="left" w:pos="3060"/>
        </w:tabs>
        <w:snapToGrid w:val="0"/>
        <w:ind w:firstLine="440" w:firstLineChars="200"/>
        <w:rPr>
          <w:color w:val="auto"/>
          <w:sz w:val="22"/>
        </w:rPr>
      </w:pPr>
      <w:r>
        <w:rPr>
          <w:color w:val="auto"/>
          <w:sz w:val="22"/>
        </w:rPr>
        <w:t>11.2.8 按照“上海市灾害性气候应急处置手册”、“浦东新区突发突发事件应急处置预案”要求，启动相应预警等级的应急响应。</w:t>
      </w:r>
    </w:p>
    <w:p>
      <w:pPr>
        <w:tabs>
          <w:tab w:val="left" w:pos="3060"/>
        </w:tabs>
        <w:snapToGrid w:val="0"/>
        <w:ind w:firstLine="440" w:firstLineChars="200"/>
        <w:rPr>
          <w:color w:val="auto"/>
          <w:sz w:val="22"/>
        </w:rPr>
      </w:pPr>
      <w:r>
        <w:rPr>
          <w:color w:val="auto"/>
          <w:sz w:val="22"/>
        </w:rPr>
        <w:t>11.2.9 定期或不定期开展多方式多类别的应急演练，提高应急队伍的响应速度、救援水平和协同能力，并根据演练过程总结和结果评估，完善应急预案。</w:t>
      </w:r>
    </w:p>
    <w:p>
      <w:pPr>
        <w:tabs>
          <w:tab w:val="left" w:pos="3060"/>
        </w:tabs>
        <w:snapToGrid w:val="0"/>
        <w:ind w:firstLine="440" w:firstLineChars="200"/>
        <w:rPr>
          <w:color w:val="auto"/>
          <w:sz w:val="22"/>
        </w:rPr>
      </w:pPr>
      <w:r>
        <w:rPr>
          <w:color w:val="auto"/>
          <w:sz w:val="22"/>
        </w:rPr>
        <w:t xml:space="preserve">11.2.10 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 </w:t>
      </w:r>
    </w:p>
    <w:p>
      <w:pPr>
        <w:adjustRightInd w:val="0"/>
        <w:snapToGrid w:val="0"/>
        <w:ind w:firstLine="433" w:firstLineChars="196"/>
        <w:jc w:val="left"/>
        <w:outlineLvl w:val="2"/>
        <w:rPr>
          <w:b/>
          <w:color w:val="auto"/>
          <w:sz w:val="22"/>
        </w:rPr>
      </w:pPr>
      <w:bookmarkStart w:id="33" w:name="_Toc149899531"/>
      <w:bookmarkStart w:id="34" w:name="_Toc124860836"/>
      <w:r>
        <w:rPr>
          <w:b/>
          <w:color w:val="auto"/>
          <w:sz w:val="22"/>
        </w:rPr>
        <w:t>12 养护作业用房配备要求</w:t>
      </w:r>
      <w:bookmarkEnd w:id="33"/>
      <w:bookmarkEnd w:id="34"/>
    </w:p>
    <w:p>
      <w:pPr>
        <w:tabs>
          <w:tab w:val="left" w:pos="3060"/>
        </w:tabs>
        <w:snapToGrid w:val="0"/>
        <w:ind w:firstLine="440" w:firstLineChars="200"/>
        <w:rPr>
          <w:color w:val="auto"/>
          <w:sz w:val="22"/>
        </w:rPr>
      </w:pPr>
      <w:bookmarkStart w:id="35" w:name="_Toc124860837"/>
      <w:r>
        <w:rPr>
          <w:rFonts w:hint="eastAsia"/>
          <w:color w:val="auto"/>
          <w:sz w:val="22"/>
        </w:rPr>
        <w:t>中标企业确保道班房的使用安全和设施设备的完好，并承担使用期间的所有运行费用和房屋及设施设备的维修维护费用。</w:t>
      </w:r>
    </w:p>
    <w:p>
      <w:pPr>
        <w:adjustRightInd w:val="0"/>
        <w:snapToGrid w:val="0"/>
        <w:ind w:firstLine="433" w:firstLineChars="196"/>
        <w:jc w:val="left"/>
        <w:outlineLvl w:val="2"/>
        <w:rPr>
          <w:b/>
          <w:color w:val="auto"/>
          <w:sz w:val="22"/>
        </w:rPr>
      </w:pPr>
      <w:bookmarkStart w:id="36" w:name="_Toc149899532"/>
      <w:r>
        <w:rPr>
          <w:b/>
          <w:color w:val="auto"/>
          <w:sz w:val="22"/>
        </w:rPr>
        <w:t>13 考核管理与售后服务要求</w:t>
      </w:r>
      <w:bookmarkEnd w:id="35"/>
      <w:bookmarkEnd w:id="36"/>
    </w:p>
    <w:p>
      <w:pPr>
        <w:snapToGrid w:val="0"/>
        <w:ind w:firstLine="482" w:firstLineChars="200"/>
        <w:jc w:val="center"/>
        <w:rPr>
          <w:b/>
          <w:bCs/>
          <w:color w:val="auto"/>
          <w:sz w:val="24"/>
          <w:szCs w:val="21"/>
        </w:rPr>
      </w:pPr>
    </w:p>
    <w:p>
      <w:pPr>
        <w:snapToGrid w:val="0"/>
        <w:ind w:firstLine="482" w:firstLineChars="200"/>
        <w:jc w:val="center"/>
        <w:rPr>
          <w:b/>
          <w:bCs/>
          <w:color w:val="auto"/>
          <w:sz w:val="24"/>
          <w:szCs w:val="21"/>
        </w:rPr>
      </w:pPr>
    </w:p>
    <w:p>
      <w:pPr>
        <w:snapToGrid w:val="0"/>
        <w:ind w:firstLine="482" w:firstLineChars="200"/>
        <w:jc w:val="center"/>
        <w:rPr>
          <w:b/>
          <w:bCs/>
          <w:color w:val="auto"/>
          <w:sz w:val="24"/>
          <w:szCs w:val="21"/>
        </w:rPr>
      </w:pPr>
      <w:r>
        <w:rPr>
          <w:b/>
          <w:bCs/>
          <w:color w:val="auto"/>
          <w:sz w:val="24"/>
          <w:szCs w:val="21"/>
        </w:rPr>
        <w:t>公益林</w:t>
      </w:r>
      <w:r>
        <w:rPr>
          <w:rFonts w:hint="eastAsia"/>
          <w:b/>
          <w:bCs/>
          <w:color w:val="auto"/>
          <w:sz w:val="24"/>
          <w:szCs w:val="21"/>
        </w:rPr>
        <w:t>生态廊道</w:t>
      </w:r>
      <w:r>
        <w:rPr>
          <w:b/>
          <w:bCs/>
          <w:color w:val="auto"/>
          <w:sz w:val="24"/>
          <w:szCs w:val="21"/>
        </w:rPr>
        <w:t>管理考核管理办法</w:t>
      </w:r>
    </w:p>
    <w:p>
      <w:pPr>
        <w:snapToGrid w:val="0"/>
        <w:ind w:firstLine="440" w:firstLineChars="200"/>
        <w:jc w:val="left"/>
        <w:rPr>
          <w:color w:val="auto"/>
          <w:sz w:val="22"/>
          <w:szCs w:val="20"/>
        </w:rPr>
      </w:pPr>
      <w:r>
        <w:rPr>
          <w:rFonts w:hint="eastAsia"/>
          <w:color w:val="auto"/>
          <w:sz w:val="22"/>
          <w:szCs w:val="20"/>
        </w:rPr>
        <w:t>（1）考核形式：由招标人组织每月定期巡检及每季度进行考核。</w:t>
      </w:r>
    </w:p>
    <w:p>
      <w:pPr>
        <w:snapToGrid w:val="0"/>
        <w:ind w:firstLine="440" w:firstLineChars="200"/>
        <w:jc w:val="left"/>
        <w:rPr>
          <w:color w:val="auto"/>
          <w:sz w:val="22"/>
          <w:szCs w:val="20"/>
        </w:rPr>
      </w:pPr>
      <w:r>
        <w:rPr>
          <w:rFonts w:hint="eastAsia"/>
          <w:color w:val="auto"/>
          <w:sz w:val="22"/>
          <w:szCs w:val="20"/>
        </w:rPr>
        <w:t>（2）考核标准：考核得分在90分以上（含90分）评定为达标，90分以下为不达标，考核达标，养护费全额拨付，全年中，有1次考核不达标，核减养护经费总额10%。</w:t>
      </w:r>
    </w:p>
    <w:p>
      <w:pPr>
        <w:tabs>
          <w:tab w:val="left" w:pos="3060"/>
        </w:tabs>
        <w:snapToGrid w:val="0"/>
        <w:ind w:firstLine="440" w:firstLineChars="200"/>
        <w:rPr>
          <w:color w:val="auto"/>
          <w:sz w:val="22"/>
          <w:szCs w:val="20"/>
        </w:rPr>
      </w:pPr>
      <w:r>
        <w:rPr>
          <w:color w:val="auto"/>
          <w:sz w:val="22"/>
          <w:szCs w:val="20"/>
        </w:rPr>
        <w:t>（</w:t>
      </w:r>
      <w:r>
        <w:rPr>
          <w:rFonts w:hint="eastAsia"/>
          <w:color w:val="auto"/>
          <w:sz w:val="22"/>
          <w:szCs w:val="20"/>
        </w:rPr>
        <w:t>3</w:t>
      </w:r>
      <w:r>
        <w:rPr>
          <w:color w:val="auto"/>
          <w:sz w:val="22"/>
          <w:szCs w:val="20"/>
        </w:rPr>
        <w:t>）一个养护年周期里，累计</w:t>
      </w:r>
      <w:r>
        <w:rPr>
          <w:rFonts w:hint="eastAsia"/>
          <w:color w:val="auto"/>
          <w:sz w:val="22"/>
          <w:szCs w:val="20"/>
        </w:rPr>
        <w:t>2</w:t>
      </w:r>
      <w:r>
        <w:rPr>
          <w:color w:val="auto"/>
          <w:sz w:val="22"/>
          <w:szCs w:val="20"/>
        </w:rPr>
        <w:t>次考核不</w:t>
      </w:r>
      <w:r>
        <w:rPr>
          <w:rFonts w:hint="eastAsia"/>
          <w:color w:val="auto"/>
          <w:sz w:val="22"/>
          <w:szCs w:val="20"/>
        </w:rPr>
        <w:t>达标</w:t>
      </w:r>
      <w:r>
        <w:rPr>
          <w:color w:val="auto"/>
          <w:sz w:val="22"/>
          <w:szCs w:val="20"/>
        </w:rPr>
        <w:t>的，采购人根据实际情况，立即终止合同，追偿相关损失并记入诚信档案。</w:t>
      </w:r>
    </w:p>
    <w:p>
      <w:pPr>
        <w:adjustRightInd w:val="0"/>
        <w:snapToGrid w:val="0"/>
        <w:ind w:firstLine="431" w:firstLineChars="196"/>
        <w:jc w:val="left"/>
        <w:rPr>
          <w:bCs/>
          <w:color w:val="auto"/>
          <w:sz w:val="22"/>
          <w:szCs w:val="20"/>
        </w:rPr>
      </w:pPr>
      <w:r>
        <w:rPr>
          <w:color w:val="auto"/>
          <w:sz w:val="22"/>
          <w:szCs w:val="20"/>
        </w:rPr>
        <w:t>9.2.2</w:t>
      </w:r>
      <w:r>
        <w:rPr>
          <w:bCs/>
          <w:color w:val="auto"/>
          <w:sz w:val="22"/>
          <w:szCs w:val="20"/>
        </w:rPr>
        <w:t>考核内容及标准</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109"/>
        <w:gridCol w:w="496"/>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b/>
                <w:bCs/>
                <w:color w:val="auto"/>
                <w:sz w:val="22"/>
                <w:szCs w:val="20"/>
              </w:rPr>
            </w:pPr>
            <w:r>
              <w:rPr>
                <w:b/>
                <w:bCs/>
                <w:color w:val="auto"/>
                <w:sz w:val="22"/>
                <w:szCs w:val="20"/>
              </w:rPr>
              <w:t>考核内容</w:t>
            </w:r>
          </w:p>
        </w:tc>
        <w:tc>
          <w:tcPr>
            <w:tcW w:w="4131" w:type="pct"/>
            <w:vAlign w:val="center"/>
          </w:tcPr>
          <w:p>
            <w:pPr>
              <w:adjustRightInd w:val="0"/>
              <w:snapToGrid w:val="0"/>
              <w:jc w:val="center"/>
              <w:rPr>
                <w:b/>
                <w:bCs/>
                <w:color w:val="auto"/>
                <w:sz w:val="22"/>
                <w:szCs w:val="20"/>
              </w:rPr>
            </w:pPr>
            <w:r>
              <w:rPr>
                <w:b/>
                <w:bCs/>
                <w:color w:val="auto"/>
                <w:sz w:val="22"/>
                <w:szCs w:val="20"/>
              </w:rPr>
              <w:t>评分标准</w:t>
            </w:r>
          </w:p>
        </w:tc>
        <w:tc>
          <w:tcPr>
            <w:tcW w:w="221" w:type="pct"/>
            <w:vAlign w:val="center"/>
          </w:tcPr>
          <w:p>
            <w:pPr>
              <w:adjustRightInd w:val="0"/>
              <w:snapToGrid w:val="0"/>
              <w:jc w:val="center"/>
              <w:rPr>
                <w:b/>
                <w:bCs/>
                <w:color w:val="auto"/>
                <w:sz w:val="22"/>
                <w:szCs w:val="20"/>
              </w:rPr>
            </w:pPr>
            <w:r>
              <w:rPr>
                <w:b/>
                <w:bCs/>
                <w:color w:val="auto"/>
                <w:sz w:val="22"/>
                <w:szCs w:val="20"/>
              </w:rPr>
              <w:t>分值</w:t>
            </w:r>
          </w:p>
        </w:tc>
        <w:tc>
          <w:tcPr>
            <w:tcW w:w="221" w:type="pct"/>
            <w:vAlign w:val="center"/>
          </w:tcPr>
          <w:p>
            <w:pPr>
              <w:adjustRightInd w:val="0"/>
              <w:snapToGrid w:val="0"/>
              <w:jc w:val="center"/>
              <w:rPr>
                <w:b/>
                <w:bCs/>
                <w:color w:val="auto"/>
                <w:sz w:val="22"/>
                <w:szCs w:val="20"/>
              </w:rPr>
            </w:pPr>
            <w:r>
              <w:rPr>
                <w:b/>
                <w:bCs/>
                <w:color w:val="auto"/>
                <w:sz w:val="22"/>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vAlign w:val="center"/>
          </w:tcPr>
          <w:p>
            <w:pPr>
              <w:adjustRightInd w:val="0"/>
              <w:snapToGrid w:val="0"/>
              <w:jc w:val="center"/>
              <w:rPr>
                <w:bCs/>
                <w:color w:val="auto"/>
                <w:sz w:val="22"/>
                <w:szCs w:val="20"/>
              </w:rPr>
            </w:pPr>
            <w:r>
              <w:rPr>
                <w:bCs/>
                <w:color w:val="auto"/>
                <w:sz w:val="22"/>
                <w:szCs w:val="20"/>
              </w:rPr>
              <w:t>林地管理</w:t>
            </w:r>
          </w:p>
        </w:tc>
        <w:tc>
          <w:tcPr>
            <w:tcW w:w="4131" w:type="pct"/>
          </w:tcPr>
          <w:p>
            <w:pPr>
              <w:adjustRightInd w:val="0"/>
              <w:snapToGrid w:val="0"/>
              <w:jc w:val="left"/>
              <w:rPr>
                <w:bCs/>
                <w:color w:val="auto"/>
                <w:sz w:val="22"/>
                <w:szCs w:val="20"/>
              </w:rPr>
            </w:pPr>
            <w:r>
              <w:rPr>
                <w:color w:val="auto"/>
                <w:sz w:val="22"/>
                <w:szCs w:val="20"/>
                <w:shd w:val="clear" w:color="auto" w:fill="FFFFFF"/>
              </w:rPr>
              <w:t>公益林林地内筑坟、盗伐、取土、倾倒垃圾、违章堆物和搭建、使用明火。（出现一项扣光分值）</w:t>
            </w:r>
          </w:p>
        </w:tc>
        <w:tc>
          <w:tcPr>
            <w:tcW w:w="221" w:type="pct"/>
            <w:vAlign w:val="center"/>
          </w:tcPr>
          <w:p>
            <w:pPr>
              <w:adjustRightInd w:val="0"/>
              <w:snapToGrid w:val="0"/>
              <w:jc w:val="center"/>
              <w:rPr>
                <w:bCs/>
                <w:color w:val="auto"/>
                <w:sz w:val="22"/>
                <w:szCs w:val="20"/>
              </w:rPr>
            </w:pPr>
            <w:r>
              <w:rPr>
                <w:bCs/>
                <w:color w:val="auto"/>
                <w:sz w:val="22"/>
                <w:szCs w:val="20"/>
              </w:rPr>
              <w:t>5</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公益林内狩猎、张网等破坏野生动物栖息环境。（出现一项扣光分值）</w:t>
            </w:r>
          </w:p>
        </w:tc>
        <w:tc>
          <w:tcPr>
            <w:tcW w:w="221" w:type="pct"/>
            <w:vAlign w:val="center"/>
          </w:tcPr>
          <w:p>
            <w:pPr>
              <w:adjustRightInd w:val="0"/>
              <w:snapToGrid w:val="0"/>
              <w:jc w:val="center"/>
              <w:rPr>
                <w:bCs/>
                <w:color w:val="auto"/>
                <w:sz w:val="22"/>
                <w:szCs w:val="20"/>
              </w:rPr>
            </w:pPr>
            <w:r>
              <w:rPr>
                <w:bCs/>
                <w:color w:val="auto"/>
                <w:sz w:val="22"/>
                <w:szCs w:val="20"/>
              </w:rPr>
              <w:t>5</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vMerge w:val="restart"/>
            <w:vAlign w:val="center"/>
          </w:tcPr>
          <w:p>
            <w:pPr>
              <w:adjustRightInd w:val="0"/>
              <w:snapToGrid w:val="0"/>
              <w:jc w:val="center"/>
              <w:rPr>
                <w:bCs/>
                <w:color w:val="auto"/>
                <w:sz w:val="22"/>
                <w:szCs w:val="20"/>
              </w:rPr>
            </w:pPr>
            <w:r>
              <w:rPr>
                <w:bCs/>
                <w:color w:val="auto"/>
                <w:sz w:val="22"/>
                <w:szCs w:val="20"/>
              </w:rPr>
              <w:t>林地卫生</w:t>
            </w:r>
          </w:p>
        </w:tc>
        <w:tc>
          <w:tcPr>
            <w:tcW w:w="4131" w:type="pct"/>
          </w:tcPr>
          <w:p>
            <w:pPr>
              <w:adjustRightInd w:val="0"/>
              <w:snapToGrid w:val="0"/>
              <w:jc w:val="left"/>
              <w:rPr>
                <w:bCs/>
                <w:color w:val="auto"/>
                <w:sz w:val="22"/>
                <w:szCs w:val="20"/>
              </w:rPr>
            </w:pPr>
            <w:r>
              <w:rPr>
                <w:color w:val="auto"/>
                <w:sz w:val="22"/>
                <w:szCs w:val="20"/>
                <w:shd w:val="clear" w:color="auto" w:fill="FFFFFF"/>
              </w:rPr>
              <w:t>及时清理林内废弃垃圾，保持林地整洁、自然，林木生长健康。</w:t>
            </w:r>
          </w:p>
        </w:tc>
        <w:tc>
          <w:tcPr>
            <w:tcW w:w="221" w:type="pct"/>
            <w:vAlign w:val="center"/>
          </w:tcPr>
          <w:p>
            <w:pPr>
              <w:adjustRightInd w:val="0"/>
              <w:snapToGrid w:val="0"/>
              <w:jc w:val="center"/>
              <w:rPr>
                <w:bCs/>
                <w:color w:val="auto"/>
                <w:sz w:val="22"/>
                <w:szCs w:val="20"/>
              </w:rPr>
            </w:pPr>
            <w:r>
              <w:rPr>
                <w:bCs/>
                <w:color w:val="auto"/>
                <w:sz w:val="22"/>
                <w:szCs w:val="20"/>
              </w:rPr>
              <w:t>3</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保持林内路面平整清洁，沟渠畅通。</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保持林内水面清洁，无生产、生活性漂浮物。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vAlign w:val="center"/>
          </w:tcPr>
          <w:p>
            <w:pPr>
              <w:adjustRightInd w:val="0"/>
              <w:snapToGrid w:val="0"/>
              <w:jc w:val="center"/>
              <w:rPr>
                <w:bCs/>
                <w:color w:val="auto"/>
                <w:sz w:val="22"/>
                <w:szCs w:val="20"/>
              </w:rPr>
            </w:pPr>
            <w:r>
              <w:rPr>
                <w:color w:val="auto"/>
                <w:sz w:val="22"/>
                <w:szCs w:val="20"/>
                <w:shd w:val="clear" w:color="auto" w:fill="FFFFFF"/>
              </w:rPr>
              <w:t>排灌</w:t>
            </w:r>
          </w:p>
        </w:tc>
        <w:tc>
          <w:tcPr>
            <w:tcW w:w="4131" w:type="pct"/>
          </w:tcPr>
          <w:p>
            <w:pPr>
              <w:adjustRightInd w:val="0"/>
              <w:snapToGrid w:val="0"/>
              <w:jc w:val="left"/>
              <w:rPr>
                <w:bCs/>
                <w:color w:val="auto"/>
                <w:sz w:val="22"/>
                <w:szCs w:val="20"/>
              </w:rPr>
            </w:pPr>
            <w:r>
              <w:rPr>
                <w:color w:val="auto"/>
                <w:sz w:val="22"/>
                <w:szCs w:val="20"/>
                <w:shd w:val="clear" w:color="auto" w:fill="FFFFFF"/>
              </w:rPr>
              <w:t>在高温季节或连续干旱，对造成林木生长出现缺水症状的林地须进行科学灌溉。</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出现积水及时排除。</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bCs/>
                <w:color w:val="auto"/>
                <w:sz w:val="22"/>
                <w:szCs w:val="20"/>
              </w:rPr>
              <w:t>就近使用水源，节约用水，不使用受污染水源。</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vAlign w:val="center"/>
          </w:tcPr>
          <w:p>
            <w:pPr>
              <w:adjustRightInd w:val="0"/>
              <w:snapToGrid w:val="0"/>
              <w:jc w:val="center"/>
              <w:rPr>
                <w:bCs/>
                <w:color w:val="auto"/>
                <w:sz w:val="22"/>
                <w:szCs w:val="20"/>
              </w:rPr>
            </w:pPr>
            <w:r>
              <w:rPr>
                <w:color w:val="auto"/>
                <w:sz w:val="22"/>
                <w:szCs w:val="20"/>
                <w:shd w:val="clear" w:color="auto" w:fill="FFFFFF"/>
              </w:rPr>
              <w:t>施肥</w:t>
            </w:r>
          </w:p>
        </w:tc>
        <w:tc>
          <w:tcPr>
            <w:tcW w:w="4131" w:type="pct"/>
          </w:tcPr>
          <w:p>
            <w:pPr>
              <w:adjustRightInd w:val="0"/>
              <w:snapToGrid w:val="0"/>
              <w:jc w:val="left"/>
              <w:rPr>
                <w:bCs/>
                <w:color w:val="auto"/>
                <w:sz w:val="22"/>
                <w:szCs w:val="20"/>
              </w:rPr>
            </w:pPr>
            <w:r>
              <w:rPr>
                <w:color w:val="auto"/>
                <w:sz w:val="22"/>
                <w:szCs w:val="20"/>
                <w:shd w:val="clear" w:color="auto" w:fill="FFFFFF"/>
              </w:rPr>
              <w:t>林地出现区域性缺肥现象时应进行施肥，冬翻施用有机肥，不同树种不同区位下的不同树种确定施肥用量。</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严禁使用已禁止的肥料产品，水源涵养林内禁止施化肥。林地所施的肥料产品须在主管部门认可的肥料产品目录范围内，否则，须经市林业主管部门审定批准后方可使用。</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8" w:type="pct"/>
            <w:vAlign w:val="center"/>
          </w:tcPr>
          <w:p>
            <w:pPr>
              <w:adjustRightInd w:val="0"/>
              <w:snapToGrid w:val="0"/>
              <w:jc w:val="center"/>
              <w:rPr>
                <w:bCs/>
                <w:color w:val="auto"/>
                <w:sz w:val="22"/>
                <w:szCs w:val="20"/>
              </w:rPr>
            </w:pPr>
            <w:r>
              <w:rPr>
                <w:color w:val="auto"/>
                <w:sz w:val="22"/>
                <w:szCs w:val="20"/>
                <w:shd w:val="clear" w:color="auto" w:fill="FFFFFF"/>
              </w:rPr>
              <w:t>松土</w:t>
            </w:r>
          </w:p>
        </w:tc>
        <w:tc>
          <w:tcPr>
            <w:tcW w:w="4131" w:type="pct"/>
          </w:tcPr>
          <w:p>
            <w:pPr>
              <w:adjustRightInd w:val="0"/>
              <w:snapToGrid w:val="0"/>
              <w:jc w:val="left"/>
              <w:rPr>
                <w:bCs/>
                <w:color w:val="auto"/>
                <w:sz w:val="22"/>
                <w:szCs w:val="20"/>
              </w:rPr>
            </w:pPr>
            <w:r>
              <w:rPr>
                <w:color w:val="auto"/>
                <w:sz w:val="22"/>
                <w:szCs w:val="20"/>
                <w:shd w:val="clear" w:color="auto" w:fill="FFFFFF"/>
              </w:rPr>
              <w:t>结合除草或施肥进行，冬季宜进行土壤冬翻。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vAlign w:val="center"/>
          </w:tcPr>
          <w:p>
            <w:pPr>
              <w:adjustRightInd w:val="0"/>
              <w:snapToGrid w:val="0"/>
              <w:jc w:val="center"/>
              <w:rPr>
                <w:bCs/>
                <w:color w:val="auto"/>
                <w:sz w:val="22"/>
                <w:szCs w:val="20"/>
              </w:rPr>
            </w:pPr>
            <w:r>
              <w:rPr>
                <w:color w:val="auto"/>
                <w:sz w:val="22"/>
                <w:szCs w:val="20"/>
                <w:shd w:val="clear" w:color="auto" w:fill="FFFFFF"/>
              </w:rPr>
              <w:t>杂草控制</w:t>
            </w:r>
          </w:p>
        </w:tc>
        <w:tc>
          <w:tcPr>
            <w:tcW w:w="4131" w:type="pct"/>
          </w:tcPr>
          <w:p>
            <w:pPr>
              <w:adjustRightInd w:val="0"/>
              <w:snapToGrid w:val="0"/>
              <w:jc w:val="left"/>
              <w:rPr>
                <w:bCs/>
                <w:color w:val="auto"/>
                <w:sz w:val="22"/>
                <w:szCs w:val="20"/>
              </w:rPr>
            </w:pPr>
            <w:r>
              <w:rPr>
                <w:color w:val="auto"/>
                <w:sz w:val="22"/>
                <w:szCs w:val="20"/>
                <w:shd w:val="clear" w:color="auto" w:fill="FFFFFF"/>
              </w:rPr>
              <w:t>林地内恶性杂草、绞杀性藤本植物应及时清除；新植林地内杂草高度宜控制在30cm以下。</w:t>
            </w:r>
          </w:p>
        </w:tc>
        <w:tc>
          <w:tcPr>
            <w:tcW w:w="221" w:type="pct"/>
            <w:vAlign w:val="center"/>
          </w:tcPr>
          <w:p>
            <w:pPr>
              <w:adjustRightInd w:val="0"/>
              <w:snapToGrid w:val="0"/>
              <w:jc w:val="center"/>
              <w:rPr>
                <w:bCs/>
                <w:color w:val="auto"/>
                <w:sz w:val="22"/>
                <w:szCs w:val="20"/>
              </w:rPr>
            </w:pPr>
            <w:r>
              <w:rPr>
                <w:bCs/>
                <w:color w:val="auto"/>
                <w:sz w:val="22"/>
                <w:szCs w:val="20"/>
              </w:rPr>
              <w:t>4</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使用破坏生态环境的化学除草剂。（出现扣光分值）</w:t>
            </w:r>
          </w:p>
        </w:tc>
        <w:tc>
          <w:tcPr>
            <w:tcW w:w="221" w:type="pct"/>
            <w:vAlign w:val="center"/>
          </w:tcPr>
          <w:p>
            <w:pPr>
              <w:adjustRightInd w:val="0"/>
              <w:snapToGrid w:val="0"/>
              <w:jc w:val="center"/>
              <w:rPr>
                <w:bCs/>
                <w:color w:val="auto"/>
                <w:sz w:val="22"/>
                <w:szCs w:val="20"/>
              </w:rPr>
            </w:pPr>
            <w:r>
              <w:rPr>
                <w:bCs/>
                <w:color w:val="auto"/>
                <w:sz w:val="22"/>
                <w:szCs w:val="20"/>
              </w:rPr>
              <w:t>5</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28" w:type="pct"/>
            <w:vMerge w:val="restart"/>
            <w:vAlign w:val="center"/>
          </w:tcPr>
          <w:p>
            <w:pPr>
              <w:adjustRightInd w:val="0"/>
              <w:snapToGrid w:val="0"/>
              <w:jc w:val="center"/>
              <w:rPr>
                <w:bCs/>
                <w:color w:val="auto"/>
                <w:sz w:val="22"/>
                <w:szCs w:val="20"/>
              </w:rPr>
            </w:pPr>
            <w:r>
              <w:rPr>
                <w:color w:val="auto"/>
                <w:sz w:val="22"/>
                <w:szCs w:val="20"/>
                <w:shd w:val="clear" w:color="auto" w:fill="FFFFFF"/>
              </w:rPr>
              <w:t>林地基础设施维护</w:t>
            </w:r>
          </w:p>
        </w:tc>
        <w:tc>
          <w:tcPr>
            <w:tcW w:w="4131" w:type="pct"/>
          </w:tcPr>
          <w:p>
            <w:pPr>
              <w:adjustRightInd w:val="0"/>
              <w:snapToGrid w:val="0"/>
              <w:jc w:val="left"/>
              <w:rPr>
                <w:bCs/>
                <w:color w:val="auto"/>
                <w:sz w:val="22"/>
                <w:szCs w:val="20"/>
              </w:rPr>
            </w:pPr>
            <w:r>
              <w:rPr>
                <w:color w:val="auto"/>
                <w:sz w:val="22"/>
                <w:szCs w:val="20"/>
                <w:shd w:val="clear" w:color="auto" w:fill="FFFFFF"/>
              </w:rPr>
              <w:t>林业作业机具、装备应配备齐全，保证功能完好。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保持和维护道班房的完整，按照不同功能分设道班房，落实防盗、用电等安全措施规范。</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保持林区防火通道、生产作业道路系统畅通，路面平整，无严重积水，必要的路口应设置导向标志，便于人员及作业车辆设备通行顺利。 </w:t>
            </w:r>
          </w:p>
        </w:tc>
        <w:tc>
          <w:tcPr>
            <w:tcW w:w="221" w:type="pct"/>
            <w:vAlign w:val="center"/>
          </w:tcPr>
          <w:p>
            <w:pPr>
              <w:adjustRightInd w:val="0"/>
              <w:snapToGrid w:val="0"/>
              <w:jc w:val="center"/>
              <w:rPr>
                <w:bCs/>
                <w:color w:val="auto"/>
                <w:sz w:val="22"/>
                <w:szCs w:val="20"/>
              </w:rPr>
            </w:pPr>
            <w:r>
              <w:rPr>
                <w:bCs/>
                <w:color w:val="auto"/>
                <w:sz w:val="22"/>
                <w:szCs w:val="20"/>
              </w:rPr>
              <w:t>3</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应维护林区水利排灌系统畅通，保证林地内蓄水、排灌渠、排灌等设施设备功能完好，运行正常。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保持林区瞭望塔、消防栓、贮水塔、等消防系统的完整和安全，禁止在消防装置周边乱堆放杂物、乱搭建。</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维护森林(野生动物)监测站等监测系统的完好，保护科研、资源调查等工作中设定的样地标记，如标示牌、边界指示物等。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维护林区警示牌、治安报警点、照明等安全系统。</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养护设备及药剂管理制定安全使用、日常保管、定期保全保养制度，实行专人责任制。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vAlign w:val="center"/>
          </w:tcPr>
          <w:p>
            <w:pPr>
              <w:adjustRightInd w:val="0"/>
              <w:snapToGrid w:val="0"/>
              <w:jc w:val="center"/>
              <w:rPr>
                <w:bCs/>
                <w:color w:val="auto"/>
                <w:sz w:val="22"/>
                <w:szCs w:val="20"/>
              </w:rPr>
            </w:pPr>
            <w:r>
              <w:rPr>
                <w:bCs/>
                <w:color w:val="auto"/>
                <w:sz w:val="22"/>
                <w:szCs w:val="20"/>
              </w:rPr>
              <w:t>病虫害防治</w:t>
            </w:r>
          </w:p>
        </w:tc>
        <w:tc>
          <w:tcPr>
            <w:tcW w:w="4131" w:type="pct"/>
          </w:tcPr>
          <w:p>
            <w:pPr>
              <w:adjustRightInd w:val="0"/>
              <w:snapToGrid w:val="0"/>
              <w:jc w:val="left"/>
              <w:rPr>
                <w:bCs/>
                <w:color w:val="auto"/>
                <w:sz w:val="22"/>
                <w:szCs w:val="20"/>
              </w:rPr>
            </w:pPr>
            <w:r>
              <w:rPr>
                <w:color w:val="auto"/>
                <w:sz w:val="22"/>
                <w:szCs w:val="20"/>
                <w:shd w:val="clear" w:color="auto" w:fill="FFFFFF"/>
              </w:rPr>
              <w:t>定期开展病虫巡查和监测，发现病虫为害必须及时向管理部门报告。发生病虫危害时，应在管理部门的指导下采取有效的技术措施救治。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严禁使用剧毒、高残留化学农药，防治药剂应按规定选用生物农药及高效、低毒、低残留化学农药。林地所使用的农药产品须在主管部门认可的农药产品目录范围内，否则，须经市林业主管部门审定批准后方可使用。（出现扣光分值）</w:t>
            </w:r>
          </w:p>
        </w:tc>
        <w:tc>
          <w:tcPr>
            <w:tcW w:w="221" w:type="pct"/>
            <w:vAlign w:val="center"/>
          </w:tcPr>
          <w:p>
            <w:pPr>
              <w:adjustRightInd w:val="0"/>
              <w:snapToGrid w:val="0"/>
              <w:jc w:val="center"/>
              <w:rPr>
                <w:bCs/>
                <w:color w:val="auto"/>
                <w:sz w:val="22"/>
                <w:szCs w:val="20"/>
              </w:rPr>
            </w:pPr>
            <w:r>
              <w:rPr>
                <w:bCs/>
                <w:color w:val="auto"/>
                <w:sz w:val="22"/>
                <w:szCs w:val="20"/>
              </w:rPr>
              <w:t>5</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农药制剂使用过程中须做好作业人员和操作周遍人畜安全防护工作，避免人员中毒，保证生命和环境安全。 （出现扣光分值）</w:t>
            </w:r>
          </w:p>
        </w:tc>
        <w:tc>
          <w:tcPr>
            <w:tcW w:w="221" w:type="pct"/>
            <w:vAlign w:val="center"/>
          </w:tcPr>
          <w:p>
            <w:pPr>
              <w:adjustRightInd w:val="0"/>
              <w:snapToGrid w:val="0"/>
              <w:jc w:val="center"/>
              <w:rPr>
                <w:bCs/>
                <w:color w:val="auto"/>
                <w:sz w:val="22"/>
                <w:szCs w:val="20"/>
              </w:rPr>
            </w:pPr>
            <w:r>
              <w:rPr>
                <w:bCs/>
                <w:color w:val="auto"/>
                <w:sz w:val="22"/>
                <w:szCs w:val="20"/>
              </w:rPr>
              <w:t>5</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vAlign w:val="center"/>
          </w:tcPr>
          <w:p>
            <w:pPr>
              <w:adjustRightInd w:val="0"/>
              <w:snapToGrid w:val="0"/>
              <w:jc w:val="center"/>
              <w:rPr>
                <w:bCs/>
                <w:color w:val="auto"/>
                <w:sz w:val="22"/>
                <w:szCs w:val="20"/>
              </w:rPr>
            </w:pPr>
            <w:r>
              <w:rPr>
                <w:color w:val="auto"/>
                <w:sz w:val="22"/>
                <w:szCs w:val="20"/>
                <w:shd w:val="clear" w:color="auto" w:fill="FFFFFF"/>
              </w:rPr>
              <w:t>防台风</w:t>
            </w:r>
          </w:p>
        </w:tc>
        <w:tc>
          <w:tcPr>
            <w:tcW w:w="4131" w:type="pct"/>
          </w:tcPr>
          <w:p>
            <w:pPr>
              <w:adjustRightInd w:val="0"/>
              <w:snapToGrid w:val="0"/>
              <w:jc w:val="left"/>
              <w:rPr>
                <w:color w:val="auto"/>
                <w:sz w:val="22"/>
                <w:szCs w:val="20"/>
                <w:shd w:val="clear" w:color="auto" w:fill="FFFFFF"/>
              </w:rPr>
            </w:pPr>
            <w:r>
              <w:rPr>
                <w:color w:val="auto"/>
                <w:sz w:val="22"/>
                <w:szCs w:val="20"/>
                <w:shd w:val="clear" w:color="auto" w:fill="FFFFFF"/>
              </w:rPr>
              <w:t>台风期间必须有人员值班，以便处理突发事件。（没有扣光分值）</w:t>
            </w:r>
          </w:p>
        </w:tc>
        <w:tc>
          <w:tcPr>
            <w:tcW w:w="221" w:type="pct"/>
            <w:vAlign w:val="center"/>
          </w:tcPr>
          <w:p>
            <w:pPr>
              <w:adjustRightInd w:val="0"/>
              <w:snapToGrid w:val="0"/>
              <w:jc w:val="center"/>
              <w:rPr>
                <w:bCs/>
                <w:color w:val="auto"/>
                <w:sz w:val="22"/>
                <w:szCs w:val="20"/>
              </w:rPr>
            </w:pPr>
            <w:r>
              <w:rPr>
                <w:bCs/>
                <w:color w:val="auto"/>
                <w:sz w:val="22"/>
                <w:szCs w:val="20"/>
              </w:rPr>
              <w:t>5</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台风季节前，应通过对浅根性树种采取疏枝、培土等措施，减轻风灾为害。</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台风过后，应及时清理风折枝(株)，扶正风倒木等。清理后的残枝、枯木应集中无害化处理后综合利用。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snapToGrid w:val="0"/>
              <w:ind w:firstLine="440" w:firstLineChars="200"/>
              <w:rPr>
                <w:color w:val="auto"/>
                <w:sz w:val="22"/>
                <w:shd w:val="clear" w:color="auto" w:fill="FFFFFF"/>
              </w:rPr>
            </w:pPr>
            <w:r>
              <w:rPr>
                <w:color w:val="auto"/>
                <w:sz w:val="22"/>
                <w:shd w:val="clear" w:color="auto" w:fill="FFFFFF"/>
              </w:rPr>
              <w:t>灾后需统计受灾林地面积，并且记录受灾情况，如倒伏，断枝，水淹等上报管理部门。</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vAlign w:val="center"/>
          </w:tcPr>
          <w:p>
            <w:pPr>
              <w:adjustRightInd w:val="0"/>
              <w:snapToGrid w:val="0"/>
              <w:jc w:val="center"/>
              <w:rPr>
                <w:bCs/>
                <w:color w:val="auto"/>
                <w:sz w:val="22"/>
                <w:szCs w:val="20"/>
              </w:rPr>
            </w:pPr>
            <w:r>
              <w:rPr>
                <w:bCs/>
                <w:color w:val="auto"/>
                <w:sz w:val="22"/>
                <w:szCs w:val="20"/>
              </w:rPr>
              <w:t>防火</w:t>
            </w:r>
          </w:p>
        </w:tc>
        <w:tc>
          <w:tcPr>
            <w:tcW w:w="4131" w:type="pct"/>
          </w:tcPr>
          <w:p>
            <w:pPr>
              <w:adjustRightInd w:val="0"/>
              <w:snapToGrid w:val="0"/>
              <w:jc w:val="left"/>
              <w:rPr>
                <w:bCs/>
                <w:color w:val="auto"/>
                <w:sz w:val="22"/>
                <w:szCs w:val="20"/>
              </w:rPr>
            </w:pPr>
            <w:r>
              <w:rPr>
                <w:color w:val="auto"/>
                <w:sz w:val="22"/>
                <w:szCs w:val="20"/>
                <w:shd w:val="clear" w:color="auto" w:fill="FFFFFF"/>
              </w:rPr>
              <w:t>林地醒目处必须设置防火警示标牌，宜设置防火宣传栏。</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防火期加强林地巡查，发现火情苗子应按程序及时有效处置，发现火灾必须第一时间上报消防部门和上级主管部门，配合做好灭火工作。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防火期前须严控火源，及时处理可燃物，消除火灾隐患。</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vAlign w:val="center"/>
          </w:tcPr>
          <w:p>
            <w:pPr>
              <w:jc w:val="center"/>
              <w:rPr>
                <w:color w:val="auto"/>
                <w:sz w:val="22"/>
                <w:szCs w:val="20"/>
              </w:rPr>
            </w:pPr>
            <w:r>
              <w:rPr>
                <w:color w:val="auto"/>
                <w:sz w:val="22"/>
                <w:szCs w:val="20"/>
              </w:rPr>
              <w:t>防雪</w:t>
            </w:r>
          </w:p>
        </w:tc>
        <w:tc>
          <w:tcPr>
            <w:tcW w:w="4131" w:type="pct"/>
          </w:tcPr>
          <w:p>
            <w:pPr>
              <w:adjustRightInd w:val="0"/>
              <w:snapToGrid w:val="0"/>
              <w:jc w:val="left"/>
              <w:rPr>
                <w:bCs/>
                <w:color w:val="auto"/>
                <w:sz w:val="22"/>
                <w:szCs w:val="20"/>
              </w:rPr>
            </w:pPr>
            <w:r>
              <w:rPr>
                <w:color w:val="auto"/>
                <w:sz w:val="22"/>
                <w:szCs w:val="20"/>
                <w:shd w:val="clear" w:color="auto" w:fill="FFFFFF"/>
              </w:rPr>
              <w:t>灾害来临之前应做好防冻措施，易受冻害树种宜采用树干捆绑草绳、草袋等防寒措施。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雪灾发生时应及时人工或机械除去植株上积雪。</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vAlign w:val="center"/>
          </w:tcPr>
          <w:p>
            <w:pPr>
              <w:adjustRightInd w:val="0"/>
              <w:snapToGrid w:val="0"/>
              <w:jc w:val="center"/>
              <w:rPr>
                <w:bCs/>
                <w:color w:val="auto"/>
                <w:sz w:val="22"/>
                <w:szCs w:val="20"/>
              </w:rPr>
            </w:pPr>
          </w:p>
        </w:tc>
        <w:tc>
          <w:tcPr>
            <w:tcW w:w="4131" w:type="pct"/>
          </w:tcPr>
          <w:p>
            <w:pPr>
              <w:adjustRightInd w:val="0"/>
              <w:snapToGrid w:val="0"/>
              <w:jc w:val="left"/>
              <w:rPr>
                <w:bCs/>
                <w:color w:val="auto"/>
                <w:sz w:val="22"/>
                <w:szCs w:val="20"/>
              </w:rPr>
            </w:pPr>
            <w:r>
              <w:rPr>
                <w:color w:val="auto"/>
                <w:sz w:val="22"/>
                <w:szCs w:val="20"/>
                <w:shd w:val="clear" w:color="auto" w:fill="FFFFFF"/>
              </w:rPr>
              <w:t>灾后应及时扶正倾斜、倒伏的林木，修除压折枝条。 </w:t>
            </w:r>
          </w:p>
        </w:tc>
        <w:tc>
          <w:tcPr>
            <w:tcW w:w="221" w:type="pct"/>
            <w:vAlign w:val="center"/>
          </w:tcPr>
          <w:p>
            <w:pPr>
              <w:adjustRightInd w:val="0"/>
              <w:snapToGrid w:val="0"/>
              <w:jc w:val="center"/>
              <w:rPr>
                <w:bCs/>
                <w:color w:val="auto"/>
                <w:sz w:val="22"/>
                <w:szCs w:val="20"/>
              </w:rPr>
            </w:pPr>
            <w:r>
              <w:rPr>
                <w:bCs/>
                <w:color w:val="auto"/>
                <w:sz w:val="22"/>
                <w:szCs w:val="20"/>
              </w:rPr>
              <w:t>2</w:t>
            </w:r>
          </w:p>
        </w:tc>
        <w:tc>
          <w:tcPr>
            <w:tcW w:w="221" w:type="pct"/>
          </w:tcPr>
          <w:p>
            <w:pPr>
              <w:adjustRightInd w:val="0"/>
              <w:snapToGrid w:val="0"/>
              <w:jc w:val="left"/>
              <w:rPr>
                <w:bCs/>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Align w:val="center"/>
          </w:tcPr>
          <w:p>
            <w:pPr>
              <w:adjustRightInd w:val="0"/>
              <w:snapToGrid w:val="0"/>
              <w:jc w:val="center"/>
              <w:rPr>
                <w:bCs/>
                <w:color w:val="auto"/>
                <w:sz w:val="22"/>
                <w:szCs w:val="20"/>
              </w:rPr>
            </w:pPr>
            <w:r>
              <w:rPr>
                <w:bCs/>
                <w:color w:val="auto"/>
                <w:sz w:val="22"/>
                <w:szCs w:val="20"/>
              </w:rPr>
              <w:t>养护档案</w:t>
            </w:r>
          </w:p>
        </w:tc>
        <w:tc>
          <w:tcPr>
            <w:tcW w:w="4131" w:type="pct"/>
          </w:tcPr>
          <w:p>
            <w:pPr>
              <w:adjustRightInd w:val="0"/>
              <w:snapToGrid w:val="0"/>
              <w:jc w:val="left"/>
              <w:rPr>
                <w:bCs/>
                <w:color w:val="auto"/>
                <w:sz w:val="22"/>
                <w:szCs w:val="20"/>
              </w:rPr>
            </w:pPr>
            <w:r>
              <w:rPr>
                <w:color w:val="auto"/>
                <w:sz w:val="22"/>
                <w:szCs w:val="20"/>
                <w:shd w:val="clear" w:color="auto" w:fill="FFFFFF"/>
              </w:rPr>
              <w:t>养护单位建立完备的养护档案。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tc>
        <w:tc>
          <w:tcPr>
            <w:tcW w:w="221" w:type="pct"/>
            <w:vAlign w:val="center"/>
          </w:tcPr>
          <w:p>
            <w:pPr>
              <w:adjustRightInd w:val="0"/>
              <w:snapToGrid w:val="0"/>
              <w:jc w:val="center"/>
              <w:rPr>
                <w:bCs/>
                <w:color w:val="auto"/>
                <w:sz w:val="22"/>
                <w:szCs w:val="20"/>
              </w:rPr>
            </w:pPr>
            <w:r>
              <w:rPr>
                <w:bCs/>
                <w:color w:val="auto"/>
                <w:sz w:val="22"/>
                <w:szCs w:val="20"/>
              </w:rPr>
              <w:t>10</w:t>
            </w:r>
          </w:p>
        </w:tc>
        <w:tc>
          <w:tcPr>
            <w:tcW w:w="221" w:type="pct"/>
          </w:tcPr>
          <w:p>
            <w:pPr>
              <w:adjustRightInd w:val="0"/>
              <w:snapToGrid w:val="0"/>
              <w:jc w:val="left"/>
              <w:rPr>
                <w:bCs/>
                <w:color w:val="auto"/>
                <w:sz w:val="22"/>
                <w:szCs w:val="20"/>
              </w:rPr>
            </w:pPr>
          </w:p>
        </w:tc>
      </w:tr>
    </w:tbl>
    <w:p>
      <w:pPr>
        <w:adjustRightInd w:val="0"/>
        <w:snapToGrid w:val="0"/>
        <w:ind w:firstLine="433" w:firstLineChars="196"/>
        <w:jc w:val="left"/>
        <w:outlineLvl w:val="2"/>
        <w:rPr>
          <w:b/>
          <w:color w:val="auto"/>
          <w:sz w:val="22"/>
        </w:rPr>
      </w:pPr>
      <w:bookmarkStart w:id="37" w:name="_Toc149899533"/>
      <w:bookmarkStart w:id="38" w:name="_Toc124860838"/>
      <w:r>
        <w:rPr>
          <w:b/>
          <w:color w:val="auto"/>
          <w:sz w:val="22"/>
        </w:rPr>
        <w:t>14内业资料编制管理要求</w:t>
      </w:r>
      <w:bookmarkEnd w:id="37"/>
      <w:bookmarkEnd w:id="38"/>
    </w:p>
    <w:p>
      <w:pPr>
        <w:tabs>
          <w:tab w:val="left" w:pos="3060"/>
        </w:tabs>
        <w:snapToGrid w:val="0"/>
        <w:ind w:firstLine="440" w:firstLineChars="200"/>
        <w:rPr>
          <w:color w:val="auto"/>
          <w:sz w:val="22"/>
        </w:rPr>
      </w:pPr>
      <w:r>
        <w:rPr>
          <w:color w:val="auto"/>
          <w:sz w:val="22"/>
        </w:rPr>
        <w:t>14.1承包商应努力提高技术管理水平，配合业主做好设施基础资料数据的采集和各类设施管理系统的推广应用。</w:t>
      </w:r>
    </w:p>
    <w:p>
      <w:pPr>
        <w:tabs>
          <w:tab w:val="left" w:pos="3060"/>
        </w:tabs>
        <w:snapToGrid w:val="0"/>
        <w:ind w:firstLine="440" w:firstLineChars="200"/>
        <w:rPr>
          <w:color w:val="auto"/>
          <w:sz w:val="22"/>
        </w:rPr>
      </w:pPr>
      <w:r>
        <w:rPr>
          <w:color w:val="auto"/>
          <w:sz w:val="22"/>
        </w:rPr>
        <w:t>14.2承包商应根据业主提供的资料，通过调查建立设施量清单及养护工作台账，格式由业主统一规定。</w:t>
      </w:r>
    </w:p>
    <w:p>
      <w:pPr>
        <w:tabs>
          <w:tab w:val="left" w:pos="3060"/>
        </w:tabs>
        <w:snapToGrid w:val="0"/>
        <w:ind w:firstLine="440" w:firstLineChars="200"/>
        <w:rPr>
          <w:color w:val="auto"/>
          <w:sz w:val="22"/>
        </w:rPr>
      </w:pPr>
      <w:r>
        <w:rPr>
          <w:color w:val="auto"/>
          <w:sz w:val="22"/>
        </w:rPr>
        <w:t>14.3配备专职的内业资料员，收集、整理、编制及以上报各类养护维修资料，资料要求真实反映承包商的全部养护维修作业实施及管理状况，内容完整准确，上报准时。</w:t>
      </w:r>
    </w:p>
    <w:p>
      <w:pPr>
        <w:adjustRightInd w:val="0"/>
        <w:snapToGrid w:val="0"/>
        <w:ind w:left="420"/>
        <w:jc w:val="left"/>
        <w:rPr>
          <w:bCs/>
          <w:color w:val="auto"/>
          <w:sz w:val="22"/>
        </w:rPr>
      </w:pPr>
      <w:r>
        <w:rPr>
          <w:bCs/>
          <w:color w:val="auto"/>
          <w:sz w:val="22"/>
        </w:rPr>
        <w:t>14.3.3应急处置</w:t>
      </w:r>
    </w:p>
    <w:p>
      <w:pPr>
        <w:numPr>
          <w:ilvl w:val="0"/>
          <w:numId w:val="1"/>
        </w:numPr>
        <w:adjustRightInd w:val="0"/>
        <w:snapToGrid w:val="0"/>
        <w:spacing w:line="240" w:lineRule="auto"/>
        <w:jc w:val="left"/>
        <w:rPr>
          <w:bCs/>
          <w:color w:val="auto"/>
          <w:sz w:val="22"/>
        </w:rPr>
      </w:pPr>
      <w:r>
        <w:rPr>
          <w:bCs/>
          <w:color w:val="auto"/>
          <w:sz w:val="22"/>
        </w:rPr>
        <w:t>灾害性天气、突发事件应急处置管理资料， 包含应急预案、组织机构网络、工作检查、灾情处理、工作小结等。</w:t>
      </w:r>
    </w:p>
    <w:p>
      <w:pPr>
        <w:numPr>
          <w:ilvl w:val="0"/>
          <w:numId w:val="1"/>
        </w:numPr>
        <w:adjustRightInd w:val="0"/>
        <w:snapToGrid w:val="0"/>
        <w:spacing w:line="240" w:lineRule="auto"/>
        <w:jc w:val="left"/>
        <w:rPr>
          <w:bCs/>
          <w:color w:val="auto"/>
          <w:sz w:val="22"/>
        </w:rPr>
      </w:pPr>
      <w:r>
        <w:rPr>
          <w:bCs/>
          <w:color w:val="auto"/>
          <w:sz w:val="22"/>
        </w:rPr>
        <w:t>应急演练资料，包括演练方案、总结评估等。</w:t>
      </w:r>
    </w:p>
    <w:p>
      <w:pPr>
        <w:numPr>
          <w:ilvl w:val="0"/>
          <w:numId w:val="1"/>
        </w:numPr>
        <w:adjustRightInd w:val="0"/>
        <w:snapToGrid w:val="0"/>
        <w:spacing w:line="240" w:lineRule="auto"/>
        <w:jc w:val="left"/>
        <w:rPr>
          <w:bCs/>
          <w:color w:val="auto"/>
          <w:sz w:val="22"/>
        </w:rPr>
      </w:pPr>
      <w:r>
        <w:rPr>
          <w:bCs/>
          <w:color w:val="auto"/>
          <w:sz w:val="22"/>
        </w:rPr>
        <w:t>应急物资和应急设备使用情况。</w:t>
      </w:r>
    </w:p>
    <w:p>
      <w:pPr>
        <w:adjustRightInd w:val="0"/>
        <w:snapToGrid w:val="0"/>
        <w:ind w:firstLine="440" w:firstLineChars="200"/>
        <w:jc w:val="left"/>
        <w:rPr>
          <w:bCs/>
          <w:color w:val="auto"/>
          <w:sz w:val="22"/>
        </w:rPr>
      </w:pPr>
      <w:r>
        <w:rPr>
          <w:bCs/>
          <w:color w:val="auto"/>
          <w:sz w:val="22"/>
        </w:rPr>
        <w:t>14.3.4安全文明施工</w:t>
      </w:r>
    </w:p>
    <w:p>
      <w:pPr>
        <w:numPr>
          <w:ilvl w:val="0"/>
          <w:numId w:val="2"/>
        </w:numPr>
        <w:adjustRightInd w:val="0"/>
        <w:snapToGrid w:val="0"/>
        <w:spacing w:line="240" w:lineRule="auto"/>
        <w:ind w:firstLine="440" w:firstLineChars="200"/>
        <w:jc w:val="left"/>
        <w:rPr>
          <w:bCs/>
          <w:color w:val="auto"/>
          <w:sz w:val="22"/>
        </w:rPr>
      </w:pPr>
      <w:r>
        <w:rPr>
          <w:bCs/>
          <w:color w:val="auto"/>
          <w:sz w:val="22"/>
        </w:rPr>
        <w:t>安全生产</w:t>
      </w:r>
    </w:p>
    <w:p>
      <w:pPr>
        <w:adjustRightInd w:val="0"/>
        <w:snapToGrid w:val="0"/>
        <w:jc w:val="left"/>
        <w:rPr>
          <w:bCs/>
          <w:color w:val="auto"/>
          <w:sz w:val="22"/>
        </w:rPr>
      </w:pPr>
      <w:r>
        <w:rPr>
          <w:bCs/>
          <w:color w:val="auto"/>
          <w:sz w:val="22"/>
        </w:rPr>
        <w:t xml:space="preserve">   安全报表安全规章（制度、责任制、各工种安全操作规程）</w:t>
      </w:r>
    </w:p>
    <w:p>
      <w:pPr>
        <w:adjustRightInd w:val="0"/>
        <w:snapToGrid w:val="0"/>
        <w:jc w:val="left"/>
        <w:rPr>
          <w:bCs/>
          <w:color w:val="auto"/>
          <w:sz w:val="22"/>
        </w:rPr>
      </w:pPr>
      <w:r>
        <w:rPr>
          <w:bCs/>
          <w:color w:val="auto"/>
          <w:sz w:val="22"/>
        </w:rPr>
        <w:t xml:space="preserve">   安全网络、协议</w:t>
      </w:r>
    </w:p>
    <w:p>
      <w:pPr>
        <w:adjustRightInd w:val="0"/>
        <w:snapToGrid w:val="0"/>
        <w:ind w:firstLine="220" w:firstLineChars="100"/>
        <w:jc w:val="left"/>
        <w:rPr>
          <w:bCs/>
          <w:color w:val="auto"/>
          <w:sz w:val="22"/>
        </w:rPr>
      </w:pPr>
      <w:r>
        <w:rPr>
          <w:bCs/>
          <w:color w:val="auto"/>
          <w:sz w:val="22"/>
        </w:rPr>
        <w:t>人员证书（花名册、身份证、劳动合同、三级教育卡、保险资料）</w:t>
      </w:r>
    </w:p>
    <w:p>
      <w:pPr>
        <w:adjustRightInd w:val="0"/>
        <w:snapToGrid w:val="0"/>
        <w:ind w:firstLine="220" w:firstLineChars="100"/>
        <w:jc w:val="left"/>
        <w:rPr>
          <w:bCs/>
          <w:color w:val="auto"/>
          <w:sz w:val="22"/>
        </w:rPr>
      </w:pPr>
      <w:r>
        <w:rPr>
          <w:bCs/>
          <w:color w:val="auto"/>
          <w:sz w:val="22"/>
        </w:rPr>
        <w:t>安全措施</w:t>
      </w:r>
    </w:p>
    <w:p>
      <w:pPr>
        <w:adjustRightInd w:val="0"/>
        <w:snapToGrid w:val="0"/>
        <w:ind w:firstLine="220" w:firstLineChars="100"/>
        <w:jc w:val="left"/>
        <w:rPr>
          <w:bCs/>
          <w:color w:val="auto"/>
          <w:sz w:val="22"/>
        </w:rPr>
      </w:pPr>
      <w:r>
        <w:rPr>
          <w:bCs/>
          <w:color w:val="auto"/>
          <w:sz w:val="22"/>
        </w:rPr>
        <w:t>安全教育（每周安全学习、每日安全交底）</w:t>
      </w:r>
    </w:p>
    <w:p>
      <w:pPr>
        <w:adjustRightInd w:val="0"/>
        <w:snapToGrid w:val="0"/>
        <w:ind w:firstLine="220" w:firstLineChars="100"/>
        <w:jc w:val="left"/>
        <w:rPr>
          <w:bCs/>
          <w:color w:val="auto"/>
          <w:sz w:val="22"/>
        </w:rPr>
      </w:pPr>
      <w:r>
        <w:rPr>
          <w:bCs/>
          <w:color w:val="auto"/>
          <w:sz w:val="22"/>
        </w:rPr>
        <w:t>安全检查</w:t>
      </w:r>
    </w:p>
    <w:p>
      <w:pPr>
        <w:adjustRightInd w:val="0"/>
        <w:snapToGrid w:val="0"/>
        <w:ind w:firstLine="220" w:firstLineChars="100"/>
        <w:jc w:val="left"/>
        <w:rPr>
          <w:bCs/>
          <w:color w:val="auto"/>
          <w:sz w:val="22"/>
        </w:rPr>
      </w:pPr>
      <w:r>
        <w:rPr>
          <w:bCs/>
          <w:color w:val="auto"/>
          <w:sz w:val="22"/>
        </w:rPr>
        <w:t>消防危险品（消防平面图、消防设备量登记表、危险品台账）</w:t>
      </w:r>
    </w:p>
    <w:p>
      <w:pPr>
        <w:adjustRightInd w:val="0"/>
        <w:snapToGrid w:val="0"/>
        <w:jc w:val="left"/>
        <w:rPr>
          <w:bCs/>
          <w:color w:val="auto"/>
          <w:sz w:val="22"/>
        </w:rPr>
      </w:pPr>
      <w:r>
        <w:rPr>
          <w:bCs/>
          <w:color w:val="auto"/>
          <w:sz w:val="22"/>
        </w:rPr>
        <w:t>（2）文明施工</w:t>
      </w:r>
    </w:p>
    <w:p>
      <w:pPr>
        <w:adjustRightInd w:val="0"/>
        <w:snapToGrid w:val="0"/>
        <w:ind w:firstLine="220" w:firstLineChars="100"/>
        <w:jc w:val="left"/>
        <w:rPr>
          <w:bCs/>
          <w:color w:val="auto"/>
          <w:sz w:val="22"/>
        </w:rPr>
      </w:pPr>
      <w:r>
        <w:rPr>
          <w:bCs/>
          <w:color w:val="auto"/>
          <w:sz w:val="22"/>
        </w:rPr>
        <w:t>规划总结（竞赛计划、创建网络、措施、制度、宣传资料）文明施工检查</w:t>
      </w:r>
    </w:p>
    <w:p>
      <w:pPr>
        <w:adjustRightInd w:val="0"/>
        <w:snapToGrid w:val="0"/>
        <w:jc w:val="left"/>
        <w:outlineLvl w:val="2"/>
        <w:rPr>
          <w:b/>
          <w:color w:val="auto"/>
          <w:sz w:val="22"/>
        </w:rPr>
      </w:pPr>
      <w:bookmarkStart w:id="39" w:name="_Toc124860839"/>
      <w:bookmarkStart w:id="40" w:name="_Toc149899534"/>
      <w:r>
        <w:rPr>
          <w:bCs/>
          <w:color w:val="auto"/>
          <w:sz w:val="22"/>
        </w:rPr>
        <w:t>15</w:t>
      </w:r>
      <w:r>
        <w:rPr>
          <w:b/>
          <w:color w:val="auto"/>
          <w:sz w:val="22"/>
        </w:rPr>
        <w:t>经费管理办法</w:t>
      </w:r>
      <w:bookmarkEnd w:id="39"/>
      <w:bookmarkEnd w:id="40"/>
    </w:p>
    <w:p>
      <w:pPr>
        <w:adjustRightInd w:val="0"/>
        <w:snapToGrid w:val="0"/>
        <w:jc w:val="left"/>
        <w:rPr>
          <w:bCs/>
          <w:color w:val="auto"/>
          <w:sz w:val="22"/>
        </w:rPr>
      </w:pPr>
      <w:r>
        <w:rPr>
          <w:b/>
          <w:color w:val="auto"/>
          <w:sz w:val="22"/>
        </w:rPr>
        <w:t xml:space="preserve">   </w:t>
      </w:r>
      <w:r>
        <w:rPr>
          <w:bCs/>
          <w:color w:val="auto"/>
          <w:sz w:val="22"/>
        </w:rPr>
        <w:t>做到专项养护资金专款专用，建立养护日志。</w:t>
      </w:r>
    </w:p>
    <w:p>
      <w:pPr>
        <w:adjustRightInd w:val="0"/>
        <w:snapToGrid w:val="0"/>
        <w:jc w:val="left"/>
        <w:outlineLvl w:val="2"/>
        <w:rPr>
          <w:bCs/>
          <w:color w:val="auto"/>
          <w:sz w:val="22"/>
        </w:rPr>
      </w:pPr>
      <w:bookmarkStart w:id="41" w:name="_Toc124860840"/>
      <w:bookmarkStart w:id="42" w:name="_Toc149899535"/>
      <w:r>
        <w:rPr>
          <w:bCs/>
          <w:color w:val="auto"/>
          <w:sz w:val="22"/>
        </w:rPr>
        <w:t>16</w:t>
      </w:r>
      <w:r>
        <w:rPr>
          <w:b/>
          <w:color w:val="auto"/>
          <w:sz w:val="22"/>
        </w:rPr>
        <w:t>现场组织</w:t>
      </w:r>
      <w:bookmarkEnd w:id="41"/>
      <w:bookmarkEnd w:id="42"/>
    </w:p>
    <w:p>
      <w:pPr>
        <w:adjustRightInd w:val="0"/>
        <w:snapToGrid w:val="0"/>
        <w:jc w:val="left"/>
        <w:rPr>
          <w:bCs/>
          <w:color w:val="auto"/>
          <w:sz w:val="22"/>
        </w:rPr>
      </w:pPr>
      <w:r>
        <w:rPr>
          <w:bCs/>
          <w:color w:val="auto"/>
          <w:sz w:val="22"/>
        </w:rPr>
        <w:t>无</w:t>
      </w:r>
    </w:p>
    <w:p>
      <w:pPr>
        <w:adjustRightInd w:val="0"/>
        <w:snapToGrid w:val="0"/>
        <w:ind w:firstLine="431" w:firstLineChars="196"/>
        <w:jc w:val="left"/>
        <w:rPr>
          <w:bCs/>
          <w:color w:val="auto"/>
          <w:sz w:val="22"/>
        </w:rPr>
      </w:pPr>
      <w:r>
        <w:rPr>
          <w:bCs/>
          <w:color w:val="auto"/>
          <w:sz w:val="22"/>
        </w:rPr>
        <w:t xml:space="preserve">     </w:t>
      </w:r>
    </w:p>
    <w:p>
      <w:pPr>
        <w:adjustRightInd w:val="0"/>
        <w:snapToGrid w:val="0"/>
        <w:ind w:firstLine="590" w:firstLineChars="196"/>
        <w:jc w:val="center"/>
        <w:outlineLvl w:val="1"/>
        <w:rPr>
          <w:b/>
          <w:color w:val="auto"/>
          <w:sz w:val="30"/>
          <w:szCs w:val="30"/>
        </w:rPr>
      </w:pPr>
      <w:bookmarkStart w:id="43" w:name="_Toc124860841"/>
      <w:bookmarkStart w:id="44" w:name="_Toc149899536"/>
      <w:r>
        <w:rPr>
          <w:b/>
          <w:color w:val="auto"/>
          <w:sz w:val="30"/>
          <w:szCs w:val="30"/>
        </w:rPr>
        <w:t>四、投标报价须知</w:t>
      </w:r>
      <w:bookmarkEnd w:id="43"/>
      <w:bookmarkEnd w:id="44"/>
    </w:p>
    <w:p>
      <w:pPr>
        <w:adjustRightInd w:val="0"/>
        <w:snapToGrid w:val="0"/>
        <w:ind w:firstLine="433" w:firstLineChars="196"/>
        <w:jc w:val="left"/>
        <w:outlineLvl w:val="2"/>
        <w:rPr>
          <w:b/>
          <w:color w:val="auto"/>
          <w:sz w:val="22"/>
        </w:rPr>
      </w:pPr>
      <w:bookmarkStart w:id="45" w:name="_Toc149899537"/>
      <w:bookmarkStart w:id="46" w:name="_Toc124860842"/>
      <w:r>
        <w:rPr>
          <w:b/>
          <w:color w:val="auto"/>
          <w:sz w:val="22"/>
        </w:rPr>
        <w:t>17 投标报价依据</w:t>
      </w:r>
      <w:bookmarkEnd w:id="45"/>
      <w:bookmarkEnd w:id="46"/>
    </w:p>
    <w:p>
      <w:pPr>
        <w:snapToGrid w:val="0"/>
        <w:ind w:firstLine="440" w:firstLineChars="200"/>
        <w:jc w:val="left"/>
        <w:rPr>
          <w:color w:val="auto"/>
          <w:sz w:val="22"/>
        </w:rPr>
      </w:pPr>
      <w:r>
        <w:rPr>
          <w:color w:val="auto"/>
          <w:sz w:val="22"/>
        </w:rPr>
        <w:t>17.1 投标报价计算依据包括技术规范、本项目的招标文件（包括提供的附件）、招标文件答疑或修改的补充文书、设施量清单、项目现场条件等。</w:t>
      </w:r>
    </w:p>
    <w:p>
      <w:pPr>
        <w:snapToGrid w:val="0"/>
        <w:ind w:firstLine="440" w:firstLineChars="200"/>
        <w:jc w:val="left"/>
        <w:rPr>
          <w:color w:val="auto"/>
          <w:sz w:val="22"/>
        </w:rPr>
      </w:pPr>
      <w:r>
        <w:rPr>
          <w:color w:val="auto"/>
          <w:sz w:val="22"/>
        </w:rPr>
        <w:t>17.2 招标文件明确的养护范围、养护内容、养护期限、养护质量要求、养护标准及考核要求等。</w:t>
      </w:r>
    </w:p>
    <w:p>
      <w:pPr>
        <w:snapToGrid w:val="0"/>
        <w:ind w:firstLine="440" w:firstLineChars="200"/>
        <w:jc w:val="left"/>
        <w:rPr>
          <w:color w:val="auto"/>
          <w:sz w:val="22"/>
        </w:rPr>
      </w:pPr>
      <w:r>
        <w:rPr>
          <w:color w:val="auto"/>
          <w:sz w:val="22"/>
        </w:rPr>
        <w:t>17.3 各投标人可以参考以上资料进行投标，也可结合自身企业实力、行业标准、市场行情等内容综合考虑后进行报价。</w:t>
      </w:r>
    </w:p>
    <w:p>
      <w:pPr>
        <w:snapToGrid w:val="0"/>
        <w:ind w:firstLine="440" w:firstLineChars="200"/>
        <w:jc w:val="left"/>
        <w:rPr>
          <w:color w:val="auto"/>
          <w:sz w:val="22"/>
        </w:rPr>
      </w:pPr>
      <w:r>
        <w:rPr>
          <w:color w:val="auto"/>
          <w:sz w:val="22"/>
        </w:rPr>
        <w:t>17.4 设施量清单</w:t>
      </w:r>
    </w:p>
    <w:p>
      <w:pPr>
        <w:snapToGrid w:val="0"/>
        <w:ind w:firstLine="440" w:firstLineChars="200"/>
        <w:jc w:val="left"/>
        <w:rPr>
          <w:color w:val="auto"/>
          <w:sz w:val="24"/>
          <w:szCs w:val="20"/>
        </w:rPr>
      </w:pPr>
      <w:r>
        <w:rPr>
          <w:color w:val="auto"/>
          <w:sz w:val="22"/>
        </w:rPr>
        <w:t>17.4.1 本次招标设施量清单中所列设施量是经项目主管部门核定的当年计划养护设施量，作为投标的共同基础。</w:t>
      </w:r>
    </w:p>
    <w:p>
      <w:pPr>
        <w:snapToGrid w:val="0"/>
        <w:ind w:firstLine="440" w:firstLineChars="200"/>
        <w:jc w:val="left"/>
        <w:rPr>
          <w:color w:val="auto"/>
          <w:sz w:val="22"/>
        </w:rPr>
      </w:pPr>
      <w:r>
        <w:rPr>
          <w:color w:val="auto"/>
          <w:sz w:val="22"/>
        </w:rPr>
        <w:t>17.4.2 设施量清单应与投标人须知、合同条件、项目质量标准和要求等文件结合起来理解或解释。</w:t>
      </w:r>
    </w:p>
    <w:p>
      <w:pPr>
        <w:snapToGrid w:val="0"/>
        <w:ind w:firstLine="440" w:firstLineChars="200"/>
        <w:jc w:val="left"/>
        <w:rPr>
          <w:bCs/>
          <w:color w:val="auto"/>
          <w:sz w:val="22"/>
        </w:rPr>
      </w:pPr>
      <w:r>
        <w:rPr>
          <w:color w:val="auto"/>
          <w:sz w:val="22"/>
        </w:rPr>
        <w:t xml:space="preserve">17.4.3 </w:t>
      </w:r>
      <w:r>
        <w:rPr>
          <w:bCs/>
          <w:color w:val="auto"/>
          <w:sz w:val="22"/>
        </w:rPr>
        <w:t>采购人提供的设施量清单是截至上一轮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pPr>
        <w:tabs>
          <w:tab w:val="left" w:pos="3060"/>
        </w:tabs>
        <w:snapToGrid w:val="0"/>
        <w:ind w:firstLine="440" w:firstLineChars="200"/>
        <w:rPr>
          <w:color w:val="auto"/>
          <w:sz w:val="22"/>
        </w:rPr>
      </w:pPr>
      <w:r>
        <w:rPr>
          <w:bCs/>
          <w:color w:val="auto"/>
          <w:sz w:val="22"/>
        </w:rPr>
        <w:t xml:space="preserve">17.4.4 </w:t>
      </w:r>
      <w:r>
        <w:rPr>
          <w:color w:val="auto"/>
          <w:sz w:val="22"/>
        </w:rPr>
        <w:t>设施量清单中给出了各细目设施量，其中</w:t>
      </w:r>
      <w:r>
        <w:rPr>
          <w:rFonts w:hint="eastAsia" w:ascii="宋体" w:hAnsi="宋体" w:cs="宋体"/>
          <w:color w:val="auto"/>
          <w:sz w:val="22"/>
        </w:rPr>
        <w:t>9.1</w:t>
      </w:r>
      <w:r>
        <w:rPr>
          <w:color w:val="auto"/>
          <w:sz w:val="22"/>
        </w:rPr>
        <w:t>设施量</w:t>
      </w:r>
      <w:r>
        <w:rPr>
          <w:rFonts w:hint="eastAsia"/>
          <w:color w:val="auto"/>
          <w:sz w:val="22"/>
        </w:rPr>
        <w:t>清单中的设施量</w:t>
      </w:r>
      <w:r>
        <w:rPr>
          <w:color w:val="auto"/>
          <w:sz w:val="22"/>
        </w:rPr>
        <w:t>为包干设施量，投标人除特别注明以外，均指实际养护期和招标期限相同。</w:t>
      </w:r>
    </w:p>
    <w:p>
      <w:pPr>
        <w:adjustRightInd w:val="0"/>
        <w:snapToGrid w:val="0"/>
        <w:ind w:firstLine="433" w:firstLineChars="196"/>
        <w:jc w:val="left"/>
        <w:outlineLvl w:val="2"/>
        <w:rPr>
          <w:b/>
          <w:color w:val="auto"/>
          <w:sz w:val="22"/>
        </w:rPr>
      </w:pPr>
      <w:bookmarkStart w:id="47" w:name="_Toc149899538"/>
      <w:bookmarkStart w:id="48" w:name="_Toc124860843"/>
      <w:r>
        <w:rPr>
          <w:b/>
          <w:color w:val="auto"/>
          <w:sz w:val="22"/>
        </w:rPr>
        <w:t>18 投标报价内容</w:t>
      </w:r>
      <w:bookmarkEnd w:id="47"/>
      <w:bookmarkEnd w:id="48"/>
    </w:p>
    <w:p>
      <w:pPr>
        <w:snapToGrid w:val="0"/>
        <w:ind w:firstLine="440" w:firstLineChars="200"/>
        <w:jc w:val="left"/>
        <w:rPr>
          <w:color w:val="auto"/>
          <w:sz w:val="22"/>
        </w:rPr>
      </w:pPr>
      <w:r>
        <w:rPr>
          <w:color w:val="auto"/>
          <w:sz w:val="22"/>
        </w:rPr>
        <w:t>18.1 投标报价包括项目招标范围内确定的工作内容，并达到养护、运行管理、维修技术（标准）要求所需的劳务、材料、机械、质检(自检)、缺陷修复、管理、利润等费用，以及合同明示或暗示的所有责任、义务和一般风险等费用。投标人用于本合同工程的各类设备的提供、运输、拆卸、拼装、折旧等支付的费用，已包括在设施量清单的单价与投标总价之中。投标人报价不得超预算金额。</w:t>
      </w:r>
    </w:p>
    <w:p>
      <w:pPr>
        <w:snapToGrid w:val="0"/>
        <w:ind w:firstLine="440" w:firstLineChars="200"/>
        <w:jc w:val="left"/>
        <w:rPr>
          <w:color w:val="auto"/>
          <w:sz w:val="22"/>
        </w:rPr>
      </w:pPr>
      <w:r>
        <w:rPr>
          <w:color w:val="auto"/>
          <w:sz w:val="22"/>
        </w:rPr>
        <w:t>18.2 投标报价中投标人应考虑本项目可能存在的风险因素。投标报价应将所有工作内容考虑在内，如有漏项或缺项，均属于投标人的风险</w:t>
      </w:r>
      <w:r>
        <w:rPr>
          <w:color w:val="auto"/>
          <w:sz w:val="22"/>
          <w:szCs w:val="20"/>
        </w:rPr>
        <w:t>，其费用视作已分配在报价明细表内单价或总价之中</w:t>
      </w:r>
      <w:r>
        <w:rPr>
          <w:color w:val="auto"/>
          <w:sz w:val="22"/>
        </w:rPr>
        <w:t>。投标人应逐项计算并填写单价、合计价和总价。</w:t>
      </w:r>
    </w:p>
    <w:p>
      <w:pPr>
        <w:snapToGrid w:val="0"/>
        <w:ind w:firstLine="440" w:firstLineChars="200"/>
        <w:jc w:val="left"/>
        <w:rPr>
          <w:color w:val="auto"/>
          <w:sz w:val="22"/>
        </w:rPr>
      </w:pPr>
      <w:r>
        <w:rPr>
          <w:color w:val="auto"/>
          <w:sz w:val="22"/>
        </w:rPr>
        <w:t>18.3 在项目实施期内，对于政策调整因素、主材、人工价格上涨以及可能存在的其它任何风险因素，投标人应自行考虑，在合同履约期内不作调整，如合同另有约定除外。投标报价中投标人应考虑本项目可能存在的风险因素。</w:t>
      </w:r>
    </w:p>
    <w:p>
      <w:pPr>
        <w:adjustRightInd w:val="0"/>
        <w:snapToGrid w:val="0"/>
        <w:ind w:firstLine="433" w:firstLineChars="196"/>
        <w:jc w:val="left"/>
        <w:outlineLvl w:val="2"/>
        <w:rPr>
          <w:b/>
          <w:color w:val="auto"/>
          <w:sz w:val="22"/>
        </w:rPr>
      </w:pPr>
      <w:bookmarkStart w:id="49" w:name="_Toc124860844"/>
      <w:bookmarkStart w:id="50" w:name="_Toc149899539"/>
      <w:r>
        <w:rPr>
          <w:b/>
          <w:color w:val="auto"/>
          <w:sz w:val="22"/>
        </w:rPr>
        <w:t>19 投标报价控制性条款</w:t>
      </w:r>
      <w:bookmarkEnd w:id="49"/>
      <w:bookmarkEnd w:id="50"/>
    </w:p>
    <w:p>
      <w:pPr>
        <w:snapToGrid w:val="0"/>
        <w:ind w:firstLine="440" w:firstLineChars="200"/>
        <w:jc w:val="left"/>
        <w:rPr>
          <w:color w:val="auto"/>
          <w:sz w:val="22"/>
          <w:szCs w:val="20"/>
        </w:rPr>
      </w:pPr>
      <w:r>
        <w:rPr>
          <w:color w:val="auto"/>
          <w:sz w:val="22"/>
          <w:szCs w:val="20"/>
        </w:rPr>
        <w:t>19.1 投标报价不得超过公布的预算金额。</w:t>
      </w:r>
    </w:p>
    <w:p>
      <w:pPr>
        <w:snapToGrid w:val="0"/>
        <w:ind w:firstLine="440" w:firstLineChars="200"/>
        <w:jc w:val="left"/>
        <w:rPr>
          <w:color w:val="auto"/>
          <w:sz w:val="22"/>
          <w:szCs w:val="20"/>
        </w:rPr>
      </w:pPr>
      <w:r>
        <w:rPr>
          <w:color w:val="auto"/>
          <w:sz w:val="22"/>
          <w:szCs w:val="20"/>
        </w:rPr>
        <w:t>19.2 本项目只允许有一个报价，任何有选择的报价将不予接受。</w:t>
      </w:r>
    </w:p>
    <w:p>
      <w:pPr>
        <w:snapToGrid w:val="0"/>
        <w:ind w:firstLine="440" w:firstLineChars="200"/>
        <w:jc w:val="left"/>
        <w:rPr>
          <w:color w:val="auto"/>
          <w:sz w:val="22"/>
          <w:szCs w:val="20"/>
        </w:rPr>
      </w:pPr>
      <w:r>
        <w:rPr>
          <w:color w:val="auto"/>
          <w:sz w:val="22"/>
          <w:szCs w:val="20"/>
        </w:rPr>
        <w:t>19.3 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pPr>
        <w:adjustRightInd w:val="0"/>
        <w:snapToGrid w:val="0"/>
        <w:ind w:firstLine="422" w:firstLineChars="192"/>
        <w:jc w:val="left"/>
        <w:rPr>
          <w:color w:val="auto"/>
          <w:sz w:val="22"/>
          <w:highlight w:val="yellow"/>
        </w:rPr>
      </w:pPr>
    </w:p>
    <w:p>
      <w:pPr>
        <w:adjustRightInd w:val="0"/>
        <w:snapToGrid w:val="0"/>
        <w:ind w:firstLine="440" w:firstLineChars="200"/>
        <w:rPr>
          <w:color w:val="auto"/>
          <w:sz w:val="22"/>
        </w:rPr>
      </w:pPr>
    </w:p>
    <w:sectPr>
      <w:headerReference r:id="rId5" w:type="default"/>
      <w:footerReference r:id="rId6" w:type="default"/>
      <w:pgSz w:w="11906" w:h="16838"/>
      <w:pgMar w:top="851" w:right="1134" w:bottom="851" w:left="1134" w:header="851"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ourier">
    <w:altName w:val="Liberation Mono"/>
    <w:panose1 w:val="02060409020205020404"/>
    <w:charset w:val="00"/>
    <w:family w:val="modern"/>
    <w:pitch w:val="default"/>
    <w:sig w:usb0="00000000" w:usb1="00000000" w:usb2="00000000" w:usb3="00000000" w:csb0="00000093" w:csb1="00000000"/>
  </w:font>
  <w:font w:name="Liberation Mono">
    <w:panose1 w:val="02070409020205020404"/>
    <w:charset w:val="00"/>
    <w:family w:val="auto"/>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方正魏碑简体">
    <w:altName w:val="方正魏碑_GBK"/>
    <w:panose1 w:val="00000000000000000000"/>
    <w:charset w:val="86"/>
    <w:family w:val="auto"/>
    <w:pitch w:val="default"/>
    <w:sig w:usb0="00000000" w:usb1="00000000" w:usb2="00000010" w:usb3="00000000" w:csb0="00040000" w:csb1="00000000"/>
  </w:font>
  <w:font w:name="方正魏碑_GBK">
    <w:panose1 w:val="02000000000000000000"/>
    <w:charset w:val="86"/>
    <w:family w:val="auto"/>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7F" w:usb3="00000000" w:csb0="203F01FF" w:csb1="DFFF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Tms Rmn">
    <w:altName w:val="Liberation Serif"/>
    <w:panose1 w:val="02020603040505020304"/>
    <w:charset w:val="00"/>
    <w:family w:val="roman"/>
    <w:pitch w:val="default"/>
    <w:sig w:usb0="00000000" w:usb1="00000000" w:usb2="00000000" w:usb3="00000000" w:csb0="00000001" w:csb1="00000000"/>
  </w:font>
  <w:font w:name="Liberation Serif">
    <w:panose1 w:val="02020603050405020304"/>
    <w:charset w:val="00"/>
    <w:family w:val="auto"/>
    <w:pitch w:val="default"/>
    <w:sig w:usb0="A00002AF" w:usb1="500078FB" w:usb2="00000000" w:usb3="00000000" w:csb0="6000009F" w:csb1="DFD70000"/>
  </w:font>
  <w:font w:name="Garamond">
    <w:altName w:val="Liberation Serif"/>
    <w:panose1 w:val="02020404030301010803"/>
    <w:charset w:val="00"/>
    <w:family w:val="roman"/>
    <w:pitch w:val="default"/>
    <w:sig w:usb0="00000000"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BatangChe">
    <w:altName w:val="方正书宋_GBK"/>
    <w:panose1 w:val="02030609000101010101"/>
    <w:charset w:val="81"/>
    <w:family w:val="modern"/>
    <w:pitch w:val="default"/>
    <w:sig w:usb0="00000000" w:usb1="00000000" w:usb2="00000030" w:usb3="00000000" w:csb0="0008009F" w:csb1="00000000"/>
  </w:font>
  <w:font w:name="Arial Narrow">
    <w:altName w:val="DejaVu Sans"/>
    <w:panose1 w:val="020B0606020202030204"/>
    <w:charset w:val="00"/>
    <w:family w:val="swiss"/>
    <w:pitch w:val="default"/>
    <w:sig w:usb0="00000000" w:usb1="00000000" w:usb2="00000000" w:usb3="00000000" w:csb0="2000009F" w:csb1="DFD7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after="120"/>
      <w:jc w:val="center"/>
    </w:pPr>
    <w:r>
      <w:fldChar w:fldCharType="begin"/>
    </w:r>
    <w:r>
      <w:instrText xml:space="preserve"> PAGE   \* MERGEFORMAT </w:instrText>
    </w:r>
    <w:r>
      <w:fldChar w:fldCharType="separate"/>
    </w:r>
    <w:r>
      <w:rPr>
        <w:lang w:val="zh-CN"/>
      </w:rPr>
      <w:t>14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93E39"/>
    <w:multiLevelType w:val="singleLevel"/>
    <w:tmpl w:val="AFD93E39"/>
    <w:lvl w:ilvl="0" w:tentative="0">
      <w:start w:val="1"/>
      <w:numFmt w:val="decimal"/>
      <w:suff w:val="nothing"/>
      <w:lvlText w:val="（%1）"/>
      <w:lvlJc w:val="left"/>
    </w:lvl>
  </w:abstractNum>
  <w:abstractNum w:abstractNumId="1">
    <w:nsid w:val="31904B90"/>
    <w:multiLevelType w:val="singleLevel"/>
    <w:tmpl w:val="31904B9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NGUyZjM5ZDg3YjFlYjY3ZjY0YTllMWY0ZGM5ZmYifQ=="/>
  </w:docVars>
  <w:rsids>
    <w:rsidRoot w:val="00F11BCA"/>
    <w:rsid w:val="00000117"/>
    <w:rsid w:val="000003F4"/>
    <w:rsid w:val="00001374"/>
    <w:rsid w:val="00003956"/>
    <w:rsid w:val="0000458E"/>
    <w:rsid w:val="0000510C"/>
    <w:rsid w:val="0000649B"/>
    <w:rsid w:val="00006D3F"/>
    <w:rsid w:val="000109E7"/>
    <w:rsid w:val="00012172"/>
    <w:rsid w:val="00013C1A"/>
    <w:rsid w:val="00013EA0"/>
    <w:rsid w:val="00014341"/>
    <w:rsid w:val="0001673F"/>
    <w:rsid w:val="000170DF"/>
    <w:rsid w:val="00017110"/>
    <w:rsid w:val="000202F8"/>
    <w:rsid w:val="00021070"/>
    <w:rsid w:val="000215E4"/>
    <w:rsid w:val="00021DD1"/>
    <w:rsid w:val="00021F58"/>
    <w:rsid w:val="0002302B"/>
    <w:rsid w:val="00023F8D"/>
    <w:rsid w:val="0002430C"/>
    <w:rsid w:val="00025692"/>
    <w:rsid w:val="000266AB"/>
    <w:rsid w:val="00027531"/>
    <w:rsid w:val="00027A11"/>
    <w:rsid w:val="00027F6F"/>
    <w:rsid w:val="000310A0"/>
    <w:rsid w:val="000313F9"/>
    <w:rsid w:val="00031806"/>
    <w:rsid w:val="00032222"/>
    <w:rsid w:val="00033444"/>
    <w:rsid w:val="0003438D"/>
    <w:rsid w:val="00034865"/>
    <w:rsid w:val="0003620C"/>
    <w:rsid w:val="00036393"/>
    <w:rsid w:val="0003646A"/>
    <w:rsid w:val="00037AE6"/>
    <w:rsid w:val="00037B90"/>
    <w:rsid w:val="0004057C"/>
    <w:rsid w:val="00040A06"/>
    <w:rsid w:val="00041DC0"/>
    <w:rsid w:val="00042C18"/>
    <w:rsid w:val="00043548"/>
    <w:rsid w:val="00043876"/>
    <w:rsid w:val="00044E76"/>
    <w:rsid w:val="00045A20"/>
    <w:rsid w:val="000466EA"/>
    <w:rsid w:val="000470EF"/>
    <w:rsid w:val="000471AF"/>
    <w:rsid w:val="0005146F"/>
    <w:rsid w:val="000529C2"/>
    <w:rsid w:val="000563B5"/>
    <w:rsid w:val="000600AD"/>
    <w:rsid w:val="00060134"/>
    <w:rsid w:val="00060BB1"/>
    <w:rsid w:val="00061195"/>
    <w:rsid w:val="000614BB"/>
    <w:rsid w:val="000631DC"/>
    <w:rsid w:val="00063212"/>
    <w:rsid w:val="00064E7E"/>
    <w:rsid w:val="0006571A"/>
    <w:rsid w:val="00065A93"/>
    <w:rsid w:val="00065D48"/>
    <w:rsid w:val="0006654A"/>
    <w:rsid w:val="000665B5"/>
    <w:rsid w:val="00071220"/>
    <w:rsid w:val="0007155B"/>
    <w:rsid w:val="000722C6"/>
    <w:rsid w:val="00072502"/>
    <w:rsid w:val="00072698"/>
    <w:rsid w:val="00073224"/>
    <w:rsid w:val="00074C04"/>
    <w:rsid w:val="00075CE1"/>
    <w:rsid w:val="0008205D"/>
    <w:rsid w:val="00083D1E"/>
    <w:rsid w:val="00084453"/>
    <w:rsid w:val="000848E7"/>
    <w:rsid w:val="00084EDB"/>
    <w:rsid w:val="0008531F"/>
    <w:rsid w:val="000857D1"/>
    <w:rsid w:val="000877B3"/>
    <w:rsid w:val="00090244"/>
    <w:rsid w:val="00090777"/>
    <w:rsid w:val="00090974"/>
    <w:rsid w:val="00090B79"/>
    <w:rsid w:val="0009290D"/>
    <w:rsid w:val="0009290E"/>
    <w:rsid w:val="000938F6"/>
    <w:rsid w:val="00093943"/>
    <w:rsid w:val="00095415"/>
    <w:rsid w:val="00095565"/>
    <w:rsid w:val="000967E3"/>
    <w:rsid w:val="000977BC"/>
    <w:rsid w:val="000978ED"/>
    <w:rsid w:val="000A069D"/>
    <w:rsid w:val="000A2C9F"/>
    <w:rsid w:val="000A436D"/>
    <w:rsid w:val="000A53ED"/>
    <w:rsid w:val="000A5A32"/>
    <w:rsid w:val="000A5B5A"/>
    <w:rsid w:val="000A6BE9"/>
    <w:rsid w:val="000B1ADC"/>
    <w:rsid w:val="000B26FF"/>
    <w:rsid w:val="000B2803"/>
    <w:rsid w:val="000B3A70"/>
    <w:rsid w:val="000B6AB0"/>
    <w:rsid w:val="000B79C7"/>
    <w:rsid w:val="000C0A18"/>
    <w:rsid w:val="000C1415"/>
    <w:rsid w:val="000C6FCA"/>
    <w:rsid w:val="000C7DA0"/>
    <w:rsid w:val="000C7EFB"/>
    <w:rsid w:val="000D0438"/>
    <w:rsid w:val="000D0571"/>
    <w:rsid w:val="000D1A4A"/>
    <w:rsid w:val="000D1B2A"/>
    <w:rsid w:val="000D1E9D"/>
    <w:rsid w:val="000D309C"/>
    <w:rsid w:val="000D42E2"/>
    <w:rsid w:val="000D4E46"/>
    <w:rsid w:val="000D5733"/>
    <w:rsid w:val="000D5A47"/>
    <w:rsid w:val="000D63E1"/>
    <w:rsid w:val="000D6919"/>
    <w:rsid w:val="000D6ADC"/>
    <w:rsid w:val="000D7035"/>
    <w:rsid w:val="000E0EF2"/>
    <w:rsid w:val="000E111E"/>
    <w:rsid w:val="000E1645"/>
    <w:rsid w:val="000E232A"/>
    <w:rsid w:val="000E26B8"/>
    <w:rsid w:val="000E2CB5"/>
    <w:rsid w:val="000E353D"/>
    <w:rsid w:val="000E3BF8"/>
    <w:rsid w:val="000E3F2B"/>
    <w:rsid w:val="000E49A7"/>
    <w:rsid w:val="000E536A"/>
    <w:rsid w:val="000E65BE"/>
    <w:rsid w:val="000E6D54"/>
    <w:rsid w:val="000E6FD5"/>
    <w:rsid w:val="000F004E"/>
    <w:rsid w:val="000F1A68"/>
    <w:rsid w:val="000F23DE"/>
    <w:rsid w:val="000F2F73"/>
    <w:rsid w:val="000F3F3E"/>
    <w:rsid w:val="000F4198"/>
    <w:rsid w:val="000F55E8"/>
    <w:rsid w:val="000F5AA2"/>
    <w:rsid w:val="000F7316"/>
    <w:rsid w:val="001007C3"/>
    <w:rsid w:val="00101C40"/>
    <w:rsid w:val="001031C6"/>
    <w:rsid w:val="00103347"/>
    <w:rsid w:val="00103E28"/>
    <w:rsid w:val="0010433D"/>
    <w:rsid w:val="0010441B"/>
    <w:rsid w:val="0010444E"/>
    <w:rsid w:val="00105735"/>
    <w:rsid w:val="00105F0E"/>
    <w:rsid w:val="001065DF"/>
    <w:rsid w:val="001077E8"/>
    <w:rsid w:val="0011116D"/>
    <w:rsid w:val="00111397"/>
    <w:rsid w:val="00111B29"/>
    <w:rsid w:val="00112273"/>
    <w:rsid w:val="0011402E"/>
    <w:rsid w:val="001159F4"/>
    <w:rsid w:val="001162DE"/>
    <w:rsid w:val="001200CD"/>
    <w:rsid w:val="001211F1"/>
    <w:rsid w:val="001219EF"/>
    <w:rsid w:val="001226AA"/>
    <w:rsid w:val="0012316E"/>
    <w:rsid w:val="0012323F"/>
    <w:rsid w:val="00123C65"/>
    <w:rsid w:val="001252B4"/>
    <w:rsid w:val="001252B7"/>
    <w:rsid w:val="00125E1D"/>
    <w:rsid w:val="00125E30"/>
    <w:rsid w:val="001264DF"/>
    <w:rsid w:val="0012780B"/>
    <w:rsid w:val="00130D08"/>
    <w:rsid w:val="00131074"/>
    <w:rsid w:val="00131C21"/>
    <w:rsid w:val="00132A92"/>
    <w:rsid w:val="00132B2F"/>
    <w:rsid w:val="0013476B"/>
    <w:rsid w:val="001351AB"/>
    <w:rsid w:val="00136F53"/>
    <w:rsid w:val="0014008E"/>
    <w:rsid w:val="00140E1A"/>
    <w:rsid w:val="00140FEB"/>
    <w:rsid w:val="00141C48"/>
    <w:rsid w:val="00143A37"/>
    <w:rsid w:val="00146161"/>
    <w:rsid w:val="001518F0"/>
    <w:rsid w:val="00151A62"/>
    <w:rsid w:val="00152A18"/>
    <w:rsid w:val="00152EB0"/>
    <w:rsid w:val="00152EE2"/>
    <w:rsid w:val="0015314A"/>
    <w:rsid w:val="00153519"/>
    <w:rsid w:val="001538B2"/>
    <w:rsid w:val="001552DB"/>
    <w:rsid w:val="00155F61"/>
    <w:rsid w:val="00157A86"/>
    <w:rsid w:val="00157FD5"/>
    <w:rsid w:val="0016049C"/>
    <w:rsid w:val="001604D5"/>
    <w:rsid w:val="00162CDD"/>
    <w:rsid w:val="00164F70"/>
    <w:rsid w:val="00166258"/>
    <w:rsid w:val="00166EB1"/>
    <w:rsid w:val="001673F1"/>
    <w:rsid w:val="00171FF1"/>
    <w:rsid w:val="001723B5"/>
    <w:rsid w:val="001729B6"/>
    <w:rsid w:val="00172B31"/>
    <w:rsid w:val="00172D01"/>
    <w:rsid w:val="001732F3"/>
    <w:rsid w:val="001738B0"/>
    <w:rsid w:val="00173A17"/>
    <w:rsid w:val="0017412E"/>
    <w:rsid w:val="001747D4"/>
    <w:rsid w:val="001756A6"/>
    <w:rsid w:val="00175975"/>
    <w:rsid w:val="00175AD7"/>
    <w:rsid w:val="0018004F"/>
    <w:rsid w:val="00180C46"/>
    <w:rsid w:val="00181A11"/>
    <w:rsid w:val="00182418"/>
    <w:rsid w:val="001826BD"/>
    <w:rsid w:val="00182B09"/>
    <w:rsid w:val="0018363E"/>
    <w:rsid w:val="0018557E"/>
    <w:rsid w:val="001862BC"/>
    <w:rsid w:val="00186C76"/>
    <w:rsid w:val="00186D2C"/>
    <w:rsid w:val="00191A86"/>
    <w:rsid w:val="00191E7E"/>
    <w:rsid w:val="0019270C"/>
    <w:rsid w:val="00192C70"/>
    <w:rsid w:val="001938DC"/>
    <w:rsid w:val="001941D9"/>
    <w:rsid w:val="00194C66"/>
    <w:rsid w:val="00194F1E"/>
    <w:rsid w:val="00195433"/>
    <w:rsid w:val="00195BC9"/>
    <w:rsid w:val="001962E5"/>
    <w:rsid w:val="00196BB0"/>
    <w:rsid w:val="00197F93"/>
    <w:rsid w:val="001A11CB"/>
    <w:rsid w:val="001A1411"/>
    <w:rsid w:val="001A25FD"/>
    <w:rsid w:val="001A27F2"/>
    <w:rsid w:val="001A3CDD"/>
    <w:rsid w:val="001A45EB"/>
    <w:rsid w:val="001A55FD"/>
    <w:rsid w:val="001A7D75"/>
    <w:rsid w:val="001B010A"/>
    <w:rsid w:val="001B1C2E"/>
    <w:rsid w:val="001B256A"/>
    <w:rsid w:val="001B2CF5"/>
    <w:rsid w:val="001B4BDA"/>
    <w:rsid w:val="001B6F3A"/>
    <w:rsid w:val="001C00F2"/>
    <w:rsid w:val="001C1018"/>
    <w:rsid w:val="001C4696"/>
    <w:rsid w:val="001C4A0E"/>
    <w:rsid w:val="001C6033"/>
    <w:rsid w:val="001C691A"/>
    <w:rsid w:val="001D2688"/>
    <w:rsid w:val="001D26A9"/>
    <w:rsid w:val="001D31D9"/>
    <w:rsid w:val="001D38D7"/>
    <w:rsid w:val="001D421B"/>
    <w:rsid w:val="001D4B2D"/>
    <w:rsid w:val="001D5C19"/>
    <w:rsid w:val="001D5C60"/>
    <w:rsid w:val="001D722F"/>
    <w:rsid w:val="001E1EB6"/>
    <w:rsid w:val="001E2FD6"/>
    <w:rsid w:val="001E51A4"/>
    <w:rsid w:val="001E51C8"/>
    <w:rsid w:val="001E5E66"/>
    <w:rsid w:val="001E635F"/>
    <w:rsid w:val="001E651B"/>
    <w:rsid w:val="001F00CE"/>
    <w:rsid w:val="001F018B"/>
    <w:rsid w:val="001F0DC3"/>
    <w:rsid w:val="001F1CC6"/>
    <w:rsid w:val="001F233B"/>
    <w:rsid w:val="001F41AD"/>
    <w:rsid w:val="001F43DD"/>
    <w:rsid w:val="001F523E"/>
    <w:rsid w:val="001F5C39"/>
    <w:rsid w:val="001F6AB1"/>
    <w:rsid w:val="001F6E20"/>
    <w:rsid w:val="00205840"/>
    <w:rsid w:val="0020626A"/>
    <w:rsid w:val="0020655B"/>
    <w:rsid w:val="002102B7"/>
    <w:rsid w:val="00210AA0"/>
    <w:rsid w:val="00210BB0"/>
    <w:rsid w:val="00211508"/>
    <w:rsid w:val="002149F9"/>
    <w:rsid w:val="00215664"/>
    <w:rsid w:val="00216792"/>
    <w:rsid w:val="00216CEF"/>
    <w:rsid w:val="002208C7"/>
    <w:rsid w:val="00220A27"/>
    <w:rsid w:val="00221884"/>
    <w:rsid w:val="00222EBF"/>
    <w:rsid w:val="002239D0"/>
    <w:rsid w:val="00225335"/>
    <w:rsid w:val="0022775A"/>
    <w:rsid w:val="00230912"/>
    <w:rsid w:val="002309A2"/>
    <w:rsid w:val="002329FE"/>
    <w:rsid w:val="00232E64"/>
    <w:rsid w:val="00233173"/>
    <w:rsid w:val="00233369"/>
    <w:rsid w:val="00233470"/>
    <w:rsid w:val="0023469E"/>
    <w:rsid w:val="00234936"/>
    <w:rsid w:val="00235331"/>
    <w:rsid w:val="00235D5B"/>
    <w:rsid w:val="002370E1"/>
    <w:rsid w:val="0023714D"/>
    <w:rsid w:val="00237C0A"/>
    <w:rsid w:val="002411AC"/>
    <w:rsid w:val="002424C4"/>
    <w:rsid w:val="00244FFF"/>
    <w:rsid w:val="0024528C"/>
    <w:rsid w:val="0024617F"/>
    <w:rsid w:val="00246436"/>
    <w:rsid w:val="00247A8C"/>
    <w:rsid w:val="00247A9A"/>
    <w:rsid w:val="0025051C"/>
    <w:rsid w:val="002505EF"/>
    <w:rsid w:val="00252960"/>
    <w:rsid w:val="002531FA"/>
    <w:rsid w:val="002532E6"/>
    <w:rsid w:val="002547E6"/>
    <w:rsid w:val="00254C46"/>
    <w:rsid w:val="0025599B"/>
    <w:rsid w:val="00255A5F"/>
    <w:rsid w:val="002565BA"/>
    <w:rsid w:val="00257030"/>
    <w:rsid w:val="002601F3"/>
    <w:rsid w:val="002602C1"/>
    <w:rsid w:val="0026050A"/>
    <w:rsid w:val="00260BC2"/>
    <w:rsid w:val="00261CC3"/>
    <w:rsid w:val="002623EA"/>
    <w:rsid w:val="002627EB"/>
    <w:rsid w:val="0026360E"/>
    <w:rsid w:val="00263DD0"/>
    <w:rsid w:val="0026452B"/>
    <w:rsid w:val="00264825"/>
    <w:rsid w:val="00267D2C"/>
    <w:rsid w:val="0027143E"/>
    <w:rsid w:val="00271758"/>
    <w:rsid w:val="00272A12"/>
    <w:rsid w:val="00272D1A"/>
    <w:rsid w:val="00273E45"/>
    <w:rsid w:val="00277FB6"/>
    <w:rsid w:val="00280010"/>
    <w:rsid w:val="002802E3"/>
    <w:rsid w:val="00283BFF"/>
    <w:rsid w:val="00284180"/>
    <w:rsid w:val="00284766"/>
    <w:rsid w:val="002849E1"/>
    <w:rsid w:val="00286F30"/>
    <w:rsid w:val="00290246"/>
    <w:rsid w:val="00291734"/>
    <w:rsid w:val="00293046"/>
    <w:rsid w:val="002933EF"/>
    <w:rsid w:val="00293FB8"/>
    <w:rsid w:val="00294B1E"/>
    <w:rsid w:val="002960E5"/>
    <w:rsid w:val="002A08BE"/>
    <w:rsid w:val="002A0C5A"/>
    <w:rsid w:val="002A3034"/>
    <w:rsid w:val="002A406A"/>
    <w:rsid w:val="002A4977"/>
    <w:rsid w:val="002A4A92"/>
    <w:rsid w:val="002A51DF"/>
    <w:rsid w:val="002A7331"/>
    <w:rsid w:val="002B0A8C"/>
    <w:rsid w:val="002B0E41"/>
    <w:rsid w:val="002B1296"/>
    <w:rsid w:val="002B19C4"/>
    <w:rsid w:val="002B1F74"/>
    <w:rsid w:val="002B2C8E"/>
    <w:rsid w:val="002B2F39"/>
    <w:rsid w:val="002B3189"/>
    <w:rsid w:val="002B489C"/>
    <w:rsid w:val="002C0900"/>
    <w:rsid w:val="002C261F"/>
    <w:rsid w:val="002C3527"/>
    <w:rsid w:val="002C7378"/>
    <w:rsid w:val="002C78CF"/>
    <w:rsid w:val="002D3AAE"/>
    <w:rsid w:val="002D5027"/>
    <w:rsid w:val="002D51FD"/>
    <w:rsid w:val="002D53D6"/>
    <w:rsid w:val="002D5DF7"/>
    <w:rsid w:val="002D60AD"/>
    <w:rsid w:val="002D6596"/>
    <w:rsid w:val="002D671D"/>
    <w:rsid w:val="002D6970"/>
    <w:rsid w:val="002D7EAC"/>
    <w:rsid w:val="002E16A1"/>
    <w:rsid w:val="002E23E5"/>
    <w:rsid w:val="002E3371"/>
    <w:rsid w:val="002E3CD0"/>
    <w:rsid w:val="002E4F26"/>
    <w:rsid w:val="002E5321"/>
    <w:rsid w:val="002E5B37"/>
    <w:rsid w:val="002E5D94"/>
    <w:rsid w:val="002E61B5"/>
    <w:rsid w:val="002F0012"/>
    <w:rsid w:val="002F0A1B"/>
    <w:rsid w:val="002F0F61"/>
    <w:rsid w:val="002F1342"/>
    <w:rsid w:val="002F1573"/>
    <w:rsid w:val="002F1614"/>
    <w:rsid w:val="002F34FD"/>
    <w:rsid w:val="002F56FE"/>
    <w:rsid w:val="002F5AD1"/>
    <w:rsid w:val="002F5D29"/>
    <w:rsid w:val="002F63DE"/>
    <w:rsid w:val="002F715C"/>
    <w:rsid w:val="00301303"/>
    <w:rsid w:val="003015F4"/>
    <w:rsid w:val="003025B9"/>
    <w:rsid w:val="00302F7E"/>
    <w:rsid w:val="00303F3E"/>
    <w:rsid w:val="0030401F"/>
    <w:rsid w:val="00306DA2"/>
    <w:rsid w:val="003112BB"/>
    <w:rsid w:val="00311431"/>
    <w:rsid w:val="00311536"/>
    <w:rsid w:val="0031162B"/>
    <w:rsid w:val="00314468"/>
    <w:rsid w:val="0031522D"/>
    <w:rsid w:val="00315F14"/>
    <w:rsid w:val="00316035"/>
    <w:rsid w:val="003162A8"/>
    <w:rsid w:val="00316621"/>
    <w:rsid w:val="00316F8F"/>
    <w:rsid w:val="003172D1"/>
    <w:rsid w:val="00317A17"/>
    <w:rsid w:val="00317C3B"/>
    <w:rsid w:val="00317E5F"/>
    <w:rsid w:val="00320DD7"/>
    <w:rsid w:val="00321D93"/>
    <w:rsid w:val="00325332"/>
    <w:rsid w:val="0032536E"/>
    <w:rsid w:val="00326D52"/>
    <w:rsid w:val="003330C5"/>
    <w:rsid w:val="00333FB8"/>
    <w:rsid w:val="00334099"/>
    <w:rsid w:val="003348C9"/>
    <w:rsid w:val="00334E7D"/>
    <w:rsid w:val="00335350"/>
    <w:rsid w:val="00335BE9"/>
    <w:rsid w:val="0033672E"/>
    <w:rsid w:val="00337E0B"/>
    <w:rsid w:val="00337E44"/>
    <w:rsid w:val="00340B5A"/>
    <w:rsid w:val="00340E68"/>
    <w:rsid w:val="00341E67"/>
    <w:rsid w:val="0034335A"/>
    <w:rsid w:val="00344069"/>
    <w:rsid w:val="003443BB"/>
    <w:rsid w:val="003449B4"/>
    <w:rsid w:val="00345B8A"/>
    <w:rsid w:val="00345DA9"/>
    <w:rsid w:val="00346058"/>
    <w:rsid w:val="00346611"/>
    <w:rsid w:val="00346F77"/>
    <w:rsid w:val="00347471"/>
    <w:rsid w:val="00347A48"/>
    <w:rsid w:val="00350587"/>
    <w:rsid w:val="00350B85"/>
    <w:rsid w:val="003511CE"/>
    <w:rsid w:val="003530A3"/>
    <w:rsid w:val="003534BC"/>
    <w:rsid w:val="00353917"/>
    <w:rsid w:val="003544BB"/>
    <w:rsid w:val="003545FF"/>
    <w:rsid w:val="00354878"/>
    <w:rsid w:val="00354965"/>
    <w:rsid w:val="00355B34"/>
    <w:rsid w:val="00356B51"/>
    <w:rsid w:val="00362FEA"/>
    <w:rsid w:val="00363364"/>
    <w:rsid w:val="003633E8"/>
    <w:rsid w:val="003640A2"/>
    <w:rsid w:val="0036539E"/>
    <w:rsid w:val="00366394"/>
    <w:rsid w:val="00366886"/>
    <w:rsid w:val="003711B3"/>
    <w:rsid w:val="00371EDC"/>
    <w:rsid w:val="00372B17"/>
    <w:rsid w:val="00373958"/>
    <w:rsid w:val="00375882"/>
    <w:rsid w:val="0037717E"/>
    <w:rsid w:val="0038021D"/>
    <w:rsid w:val="003804E2"/>
    <w:rsid w:val="0038063F"/>
    <w:rsid w:val="00380AA5"/>
    <w:rsid w:val="00380C8B"/>
    <w:rsid w:val="003827F0"/>
    <w:rsid w:val="00382E9B"/>
    <w:rsid w:val="00384DAA"/>
    <w:rsid w:val="0038677D"/>
    <w:rsid w:val="0039146A"/>
    <w:rsid w:val="0039272A"/>
    <w:rsid w:val="00394CC0"/>
    <w:rsid w:val="00394D68"/>
    <w:rsid w:val="00394D7B"/>
    <w:rsid w:val="00396C07"/>
    <w:rsid w:val="00396C4B"/>
    <w:rsid w:val="00397112"/>
    <w:rsid w:val="00397319"/>
    <w:rsid w:val="00397D5B"/>
    <w:rsid w:val="003A036F"/>
    <w:rsid w:val="003A1AB4"/>
    <w:rsid w:val="003A2C82"/>
    <w:rsid w:val="003A44D9"/>
    <w:rsid w:val="003A44E3"/>
    <w:rsid w:val="003A4D90"/>
    <w:rsid w:val="003A51B5"/>
    <w:rsid w:val="003A5222"/>
    <w:rsid w:val="003B0925"/>
    <w:rsid w:val="003B0CB5"/>
    <w:rsid w:val="003B0DFD"/>
    <w:rsid w:val="003B21AD"/>
    <w:rsid w:val="003B3BB5"/>
    <w:rsid w:val="003B4DCE"/>
    <w:rsid w:val="003C0594"/>
    <w:rsid w:val="003C2F8F"/>
    <w:rsid w:val="003C3EE8"/>
    <w:rsid w:val="003C5747"/>
    <w:rsid w:val="003C62C8"/>
    <w:rsid w:val="003D1023"/>
    <w:rsid w:val="003D342A"/>
    <w:rsid w:val="003D3D2E"/>
    <w:rsid w:val="003E09D0"/>
    <w:rsid w:val="003E0E93"/>
    <w:rsid w:val="003E115B"/>
    <w:rsid w:val="003E2ECE"/>
    <w:rsid w:val="003E4686"/>
    <w:rsid w:val="003E569C"/>
    <w:rsid w:val="003E5B61"/>
    <w:rsid w:val="003E5C38"/>
    <w:rsid w:val="003E6107"/>
    <w:rsid w:val="003E61BA"/>
    <w:rsid w:val="003E7EE3"/>
    <w:rsid w:val="003F0102"/>
    <w:rsid w:val="003F0BFD"/>
    <w:rsid w:val="003F0C37"/>
    <w:rsid w:val="003F25DA"/>
    <w:rsid w:val="003F409D"/>
    <w:rsid w:val="003F4A87"/>
    <w:rsid w:val="003F5F2D"/>
    <w:rsid w:val="003F72E8"/>
    <w:rsid w:val="00401A34"/>
    <w:rsid w:val="004034A1"/>
    <w:rsid w:val="004036F2"/>
    <w:rsid w:val="004120CC"/>
    <w:rsid w:val="004122BE"/>
    <w:rsid w:val="0041236C"/>
    <w:rsid w:val="0041287E"/>
    <w:rsid w:val="00414E7C"/>
    <w:rsid w:val="0041559A"/>
    <w:rsid w:val="00415864"/>
    <w:rsid w:val="00416D93"/>
    <w:rsid w:val="004172C0"/>
    <w:rsid w:val="00417DFA"/>
    <w:rsid w:val="0042008E"/>
    <w:rsid w:val="00420434"/>
    <w:rsid w:val="00420A55"/>
    <w:rsid w:val="0042101C"/>
    <w:rsid w:val="00421792"/>
    <w:rsid w:val="004217DD"/>
    <w:rsid w:val="004229A6"/>
    <w:rsid w:val="0042307B"/>
    <w:rsid w:val="00423116"/>
    <w:rsid w:val="0042370E"/>
    <w:rsid w:val="00423747"/>
    <w:rsid w:val="0042415D"/>
    <w:rsid w:val="00424995"/>
    <w:rsid w:val="00424CE9"/>
    <w:rsid w:val="00424DEF"/>
    <w:rsid w:val="004253F6"/>
    <w:rsid w:val="00425EF3"/>
    <w:rsid w:val="004261D1"/>
    <w:rsid w:val="00426C24"/>
    <w:rsid w:val="00426D50"/>
    <w:rsid w:val="00426D8E"/>
    <w:rsid w:val="004306DE"/>
    <w:rsid w:val="004324D4"/>
    <w:rsid w:val="00432618"/>
    <w:rsid w:val="00433493"/>
    <w:rsid w:val="00433C4C"/>
    <w:rsid w:val="004344AC"/>
    <w:rsid w:val="00434FE7"/>
    <w:rsid w:val="00437623"/>
    <w:rsid w:val="00440ED8"/>
    <w:rsid w:val="00443D7D"/>
    <w:rsid w:val="00443FC6"/>
    <w:rsid w:val="004445AD"/>
    <w:rsid w:val="00444AB6"/>
    <w:rsid w:val="004458D9"/>
    <w:rsid w:val="00445C0B"/>
    <w:rsid w:val="00446BE1"/>
    <w:rsid w:val="00447C8A"/>
    <w:rsid w:val="00450806"/>
    <w:rsid w:val="00451065"/>
    <w:rsid w:val="0045113E"/>
    <w:rsid w:val="00452EC9"/>
    <w:rsid w:val="0045406B"/>
    <w:rsid w:val="0045530E"/>
    <w:rsid w:val="00460295"/>
    <w:rsid w:val="0046066F"/>
    <w:rsid w:val="00460E9D"/>
    <w:rsid w:val="00462F3D"/>
    <w:rsid w:val="00464C4C"/>
    <w:rsid w:val="00464F49"/>
    <w:rsid w:val="00465651"/>
    <w:rsid w:val="00465985"/>
    <w:rsid w:val="004668F8"/>
    <w:rsid w:val="004673F3"/>
    <w:rsid w:val="00475368"/>
    <w:rsid w:val="004754E6"/>
    <w:rsid w:val="0047695A"/>
    <w:rsid w:val="00477086"/>
    <w:rsid w:val="00477A0C"/>
    <w:rsid w:val="00480E69"/>
    <w:rsid w:val="00482232"/>
    <w:rsid w:val="00483EE6"/>
    <w:rsid w:val="0048406B"/>
    <w:rsid w:val="004840CE"/>
    <w:rsid w:val="004866B2"/>
    <w:rsid w:val="00486F02"/>
    <w:rsid w:val="004875CD"/>
    <w:rsid w:val="00487A12"/>
    <w:rsid w:val="004907CA"/>
    <w:rsid w:val="00492B13"/>
    <w:rsid w:val="00493B1B"/>
    <w:rsid w:val="004944C4"/>
    <w:rsid w:val="00494A77"/>
    <w:rsid w:val="0049540B"/>
    <w:rsid w:val="0049586B"/>
    <w:rsid w:val="00495F7C"/>
    <w:rsid w:val="004A0844"/>
    <w:rsid w:val="004A1A06"/>
    <w:rsid w:val="004A2C7B"/>
    <w:rsid w:val="004A43DF"/>
    <w:rsid w:val="004A476F"/>
    <w:rsid w:val="004A4AC5"/>
    <w:rsid w:val="004A5185"/>
    <w:rsid w:val="004A5AEF"/>
    <w:rsid w:val="004A5EF4"/>
    <w:rsid w:val="004A63D9"/>
    <w:rsid w:val="004A7023"/>
    <w:rsid w:val="004B0140"/>
    <w:rsid w:val="004B055E"/>
    <w:rsid w:val="004B0604"/>
    <w:rsid w:val="004B083C"/>
    <w:rsid w:val="004B1FFD"/>
    <w:rsid w:val="004B27A7"/>
    <w:rsid w:val="004B2C44"/>
    <w:rsid w:val="004B3B52"/>
    <w:rsid w:val="004B4706"/>
    <w:rsid w:val="004B5D62"/>
    <w:rsid w:val="004B621C"/>
    <w:rsid w:val="004B6C2F"/>
    <w:rsid w:val="004B6E25"/>
    <w:rsid w:val="004B72FD"/>
    <w:rsid w:val="004B75E2"/>
    <w:rsid w:val="004B7D62"/>
    <w:rsid w:val="004C1018"/>
    <w:rsid w:val="004C116B"/>
    <w:rsid w:val="004C2C27"/>
    <w:rsid w:val="004C38C7"/>
    <w:rsid w:val="004C52ED"/>
    <w:rsid w:val="004C54CB"/>
    <w:rsid w:val="004C5A70"/>
    <w:rsid w:val="004C5F4D"/>
    <w:rsid w:val="004C601E"/>
    <w:rsid w:val="004C6A1D"/>
    <w:rsid w:val="004C7212"/>
    <w:rsid w:val="004C7B2E"/>
    <w:rsid w:val="004D050D"/>
    <w:rsid w:val="004D1EB9"/>
    <w:rsid w:val="004D247E"/>
    <w:rsid w:val="004D3768"/>
    <w:rsid w:val="004D3DC4"/>
    <w:rsid w:val="004D7165"/>
    <w:rsid w:val="004E004F"/>
    <w:rsid w:val="004E09F2"/>
    <w:rsid w:val="004E1711"/>
    <w:rsid w:val="004E19C2"/>
    <w:rsid w:val="004E2AA5"/>
    <w:rsid w:val="004E2E66"/>
    <w:rsid w:val="004E434B"/>
    <w:rsid w:val="004E5E89"/>
    <w:rsid w:val="004E5F82"/>
    <w:rsid w:val="004E759A"/>
    <w:rsid w:val="004E7B74"/>
    <w:rsid w:val="004F0586"/>
    <w:rsid w:val="004F096C"/>
    <w:rsid w:val="004F251D"/>
    <w:rsid w:val="004F26A4"/>
    <w:rsid w:val="004F3542"/>
    <w:rsid w:val="004F4DC2"/>
    <w:rsid w:val="004F4FC4"/>
    <w:rsid w:val="004F5103"/>
    <w:rsid w:val="004F5A76"/>
    <w:rsid w:val="004F5D33"/>
    <w:rsid w:val="004F7D93"/>
    <w:rsid w:val="005004F4"/>
    <w:rsid w:val="00500673"/>
    <w:rsid w:val="005009D9"/>
    <w:rsid w:val="00500A4E"/>
    <w:rsid w:val="005019D0"/>
    <w:rsid w:val="005029D1"/>
    <w:rsid w:val="005030D9"/>
    <w:rsid w:val="005033BC"/>
    <w:rsid w:val="005036C4"/>
    <w:rsid w:val="0050380F"/>
    <w:rsid w:val="005067A5"/>
    <w:rsid w:val="00506D71"/>
    <w:rsid w:val="005075DB"/>
    <w:rsid w:val="005122C6"/>
    <w:rsid w:val="005151B9"/>
    <w:rsid w:val="00517046"/>
    <w:rsid w:val="005178D0"/>
    <w:rsid w:val="005204D5"/>
    <w:rsid w:val="00520958"/>
    <w:rsid w:val="005218AC"/>
    <w:rsid w:val="005226BB"/>
    <w:rsid w:val="00522707"/>
    <w:rsid w:val="00524620"/>
    <w:rsid w:val="00525553"/>
    <w:rsid w:val="0052701E"/>
    <w:rsid w:val="00527D04"/>
    <w:rsid w:val="00531B78"/>
    <w:rsid w:val="00532307"/>
    <w:rsid w:val="005326BE"/>
    <w:rsid w:val="00533190"/>
    <w:rsid w:val="005332EC"/>
    <w:rsid w:val="005334BD"/>
    <w:rsid w:val="00534009"/>
    <w:rsid w:val="0053427B"/>
    <w:rsid w:val="005344C4"/>
    <w:rsid w:val="00535D4F"/>
    <w:rsid w:val="005366D6"/>
    <w:rsid w:val="0053674C"/>
    <w:rsid w:val="0054136F"/>
    <w:rsid w:val="0054261F"/>
    <w:rsid w:val="00542CD9"/>
    <w:rsid w:val="00543620"/>
    <w:rsid w:val="00543E3D"/>
    <w:rsid w:val="00544F0E"/>
    <w:rsid w:val="005462F9"/>
    <w:rsid w:val="00546B93"/>
    <w:rsid w:val="00546CA3"/>
    <w:rsid w:val="00546F0F"/>
    <w:rsid w:val="0054708A"/>
    <w:rsid w:val="00550665"/>
    <w:rsid w:val="005509E1"/>
    <w:rsid w:val="00550E65"/>
    <w:rsid w:val="00551772"/>
    <w:rsid w:val="00551C4E"/>
    <w:rsid w:val="00551C70"/>
    <w:rsid w:val="0055362A"/>
    <w:rsid w:val="0055434D"/>
    <w:rsid w:val="00554C1A"/>
    <w:rsid w:val="00555EB5"/>
    <w:rsid w:val="00557928"/>
    <w:rsid w:val="00561663"/>
    <w:rsid w:val="00561F98"/>
    <w:rsid w:val="00562992"/>
    <w:rsid w:val="00563898"/>
    <w:rsid w:val="00564F22"/>
    <w:rsid w:val="00565CB6"/>
    <w:rsid w:val="00567F02"/>
    <w:rsid w:val="00570B31"/>
    <w:rsid w:val="00571217"/>
    <w:rsid w:val="0057142A"/>
    <w:rsid w:val="0057202B"/>
    <w:rsid w:val="00573206"/>
    <w:rsid w:val="0057441E"/>
    <w:rsid w:val="00574738"/>
    <w:rsid w:val="0057610D"/>
    <w:rsid w:val="00576188"/>
    <w:rsid w:val="005765AF"/>
    <w:rsid w:val="005767A5"/>
    <w:rsid w:val="0058150D"/>
    <w:rsid w:val="00581694"/>
    <w:rsid w:val="005827FB"/>
    <w:rsid w:val="00584802"/>
    <w:rsid w:val="00584EC4"/>
    <w:rsid w:val="005867F0"/>
    <w:rsid w:val="00586EDB"/>
    <w:rsid w:val="00587C68"/>
    <w:rsid w:val="00587CC0"/>
    <w:rsid w:val="0059082F"/>
    <w:rsid w:val="00590E90"/>
    <w:rsid w:val="00591F4A"/>
    <w:rsid w:val="00592BA1"/>
    <w:rsid w:val="00593BC0"/>
    <w:rsid w:val="0059480F"/>
    <w:rsid w:val="0059481D"/>
    <w:rsid w:val="00594E89"/>
    <w:rsid w:val="00595373"/>
    <w:rsid w:val="00597D23"/>
    <w:rsid w:val="005A00E6"/>
    <w:rsid w:val="005A08C5"/>
    <w:rsid w:val="005A1642"/>
    <w:rsid w:val="005A1DF9"/>
    <w:rsid w:val="005A3106"/>
    <w:rsid w:val="005A4482"/>
    <w:rsid w:val="005A45B4"/>
    <w:rsid w:val="005A584A"/>
    <w:rsid w:val="005A63BE"/>
    <w:rsid w:val="005A7172"/>
    <w:rsid w:val="005B0359"/>
    <w:rsid w:val="005B230D"/>
    <w:rsid w:val="005B242E"/>
    <w:rsid w:val="005B245D"/>
    <w:rsid w:val="005B3260"/>
    <w:rsid w:val="005B413F"/>
    <w:rsid w:val="005B43AA"/>
    <w:rsid w:val="005B6639"/>
    <w:rsid w:val="005B746F"/>
    <w:rsid w:val="005B7560"/>
    <w:rsid w:val="005C049A"/>
    <w:rsid w:val="005C1F2F"/>
    <w:rsid w:val="005C21CC"/>
    <w:rsid w:val="005C2708"/>
    <w:rsid w:val="005C310F"/>
    <w:rsid w:val="005C3F37"/>
    <w:rsid w:val="005C476F"/>
    <w:rsid w:val="005C4D5A"/>
    <w:rsid w:val="005C70EE"/>
    <w:rsid w:val="005C75C7"/>
    <w:rsid w:val="005D1395"/>
    <w:rsid w:val="005D253C"/>
    <w:rsid w:val="005D2D94"/>
    <w:rsid w:val="005D2E93"/>
    <w:rsid w:val="005D7FD5"/>
    <w:rsid w:val="005E155E"/>
    <w:rsid w:val="005E3A42"/>
    <w:rsid w:val="005E3BB2"/>
    <w:rsid w:val="005E4058"/>
    <w:rsid w:val="005E4D46"/>
    <w:rsid w:val="005E6984"/>
    <w:rsid w:val="005E7991"/>
    <w:rsid w:val="005F0389"/>
    <w:rsid w:val="005F0905"/>
    <w:rsid w:val="005F0BB0"/>
    <w:rsid w:val="005F12F1"/>
    <w:rsid w:val="005F18AA"/>
    <w:rsid w:val="005F2E44"/>
    <w:rsid w:val="005F3AA9"/>
    <w:rsid w:val="005F479C"/>
    <w:rsid w:val="005F6382"/>
    <w:rsid w:val="00600548"/>
    <w:rsid w:val="00600BF3"/>
    <w:rsid w:val="00601227"/>
    <w:rsid w:val="00601292"/>
    <w:rsid w:val="00601A8F"/>
    <w:rsid w:val="00601D1E"/>
    <w:rsid w:val="00603C76"/>
    <w:rsid w:val="00605871"/>
    <w:rsid w:val="006076A9"/>
    <w:rsid w:val="006078AC"/>
    <w:rsid w:val="006109A0"/>
    <w:rsid w:val="0061301B"/>
    <w:rsid w:val="00613027"/>
    <w:rsid w:val="00615E79"/>
    <w:rsid w:val="00620513"/>
    <w:rsid w:val="00621E06"/>
    <w:rsid w:val="00622AF4"/>
    <w:rsid w:val="00624669"/>
    <w:rsid w:val="00625BC4"/>
    <w:rsid w:val="0062663D"/>
    <w:rsid w:val="00627368"/>
    <w:rsid w:val="00630692"/>
    <w:rsid w:val="00630F87"/>
    <w:rsid w:val="00633CA1"/>
    <w:rsid w:val="00634288"/>
    <w:rsid w:val="0063466E"/>
    <w:rsid w:val="00634D24"/>
    <w:rsid w:val="00634D43"/>
    <w:rsid w:val="00636EF7"/>
    <w:rsid w:val="00637207"/>
    <w:rsid w:val="00640443"/>
    <w:rsid w:val="00641227"/>
    <w:rsid w:val="00642D46"/>
    <w:rsid w:val="00643A39"/>
    <w:rsid w:val="00644899"/>
    <w:rsid w:val="00644C75"/>
    <w:rsid w:val="0064547F"/>
    <w:rsid w:val="0064593D"/>
    <w:rsid w:val="00645D48"/>
    <w:rsid w:val="0064628D"/>
    <w:rsid w:val="00646BC4"/>
    <w:rsid w:val="00646EBA"/>
    <w:rsid w:val="006479DB"/>
    <w:rsid w:val="00650C8B"/>
    <w:rsid w:val="00651A1B"/>
    <w:rsid w:val="0065280C"/>
    <w:rsid w:val="00653432"/>
    <w:rsid w:val="0065395D"/>
    <w:rsid w:val="00654340"/>
    <w:rsid w:val="00655E1C"/>
    <w:rsid w:val="00656601"/>
    <w:rsid w:val="00656D60"/>
    <w:rsid w:val="0065722B"/>
    <w:rsid w:val="00657AFF"/>
    <w:rsid w:val="0066102C"/>
    <w:rsid w:val="00661F53"/>
    <w:rsid w:val="00665A9C"/>
    <w:rsid w:val="00666E83"/>
    <w:rsid w:val="00667576"/>
    <w:rsid w:val="006709E9"/>
    <w:rsid w:val="00670CFC"/>
    <w:rsid w:val="00670E45"/>
    <w:rsid w:val="006730EE"/>
    <w:rsid w:val="00673192"/>
    <w:rsid w:val="0067418E"/>
    <w:rsid w:val="00674A96"/>
    <w:rsid w:val="00675E8D"/>
    <w:rsid w:val="0067796E"/>
    <w:rsid w:val="00677C6E"/>
    <w:rsid w:val="00681A2D"/>
    <w:rsid w:val="00682510"/>
    <w:rsid w:val="00683271"/>
    <w:rsid w:val="00684487"/>
    <w:rsid w:val="00685BC2"/>
    <w:rsid w:val="00685DA7"/>
    <w:rsid w:val="00685EC3"/>
    <w:rsid w:val="00686346"/>
    <w:rsid w:val="006907B0"/>
    <w:rsid w:val="006919CD"/>
    <w:rsid w:val="00692925"/>
    <w:rsid w:val="006940C9"/>
    <w:rsid w:val="00694521"/>
    <w:rsid w:val="00695836"/>
    <w:rsid w:val="00696248"/>
    <w:rsid w:val="006975A2"/>
    <w:rsid w:val="00697A6A"/>
    <w:rsid w:val="006A0973"/>
    <w:rsid w:val="006A1940"/>
    <w:rsid w:val="006A301B"/>
    <w:rsid w:val="006A4265"/>
    <w:rsid w:val="006A437F"/>
    <w:rsid w:val="006A43BB"/>
    <w:rsid w:val="006A44BA"/>
    <w:rsid w:val="006A47A2"/>
    <w:rsid w:val="006B1AA3"/>
    <w:rsid w:val="006B1B2A"/>
    <w:rsid w:val="006B2952"/>
    <w:rsid w:val="006B2F7A"/>
    <w:rsid w:val="006B3BBB"/>
    <w:rsid w:val="006B4475"/>
    <w:rsid w:val="006B4892"/>
    <w:rsid w:val="006B50B1"/>
    <w:rsid w:val="006B60CF"/>
    <w:rsid w:val="006B6952"/>
    <w:rsid w:val="006B74EA"/>
    <w:rsid w:val="006B7B27"/>
    <w:rsid w:val="006B7D37"/>
    <w:rsid w:val="006C02CA"/>
    <w:rsid w:val="006C13FD"/>
    <w:rsid w:val="006C1641"/>
    <w:rsid w:val="006C3606"/>
    <w:rsid w:val="006C3950"/>
    <w:rsid w:val="006C43E7"/>
    <w:rsid w:val="006C4943"/>
    <w:rsid w:val="006C7061"/>
    <w:rsid w:val="006C7473"/>
    <w:rsid w:val="006D0920"/>
    <w:rsid w:val="006D0BC5"/>
    <w:rsid w:val="006D241B"/>
    <w:rsid w:val="006D499C"/>
    <w:rsid w:val="006D4E67"/>
    <w:rsid w:val="006D70E3"/>
    <w:rsid w:val="006D71A5"/>
    <w:rsid w:val="006D738E"/>
    <w:rsid w:val="006E0AD9"/>
    <w:rsid w:val="006E0DEA"/>
    <w:rsid w:val="006E0EE1"/>
    <w:rsid w:val="006E101C"/>
    <w:rsid w:val="006E151C"/>
    <w:rsid w:val="006E1632"/>
    <w:rsid w:val="006E1874"/>
    <w:rsid w:val="006E45EE"/>
    <w:rsid w:val="006E5049"/>
    <w:rsid w:val="006E55C9"/>
    <w:rsid w:val="006E5770"/>
    <w:rsid w:val="006E5E1B"/>
    <w:rsid w:val="006E5E9D"/>
    <w:rsid w:val="006E693E"/>
    <w:rsid w:val="006E6F8C"/>
    <w:rsid w:val="006E7F2F"/>
    <w:rsid w:val="006F1C0D"/>
    <w:rsid w:val="006F2994"/>
    <w:rsid w:val="006F2D26"/>
    <w:rsid w:val="006F354E"/>
    <w:rsid w:val="006F3578"/>
    <w:rsid w:val="006F3C32"/>
    <w:rsid w:val="006F5BAA"/>
    <w:rsid w:val="006F690A"/>
    <w:rsid w:val="006F6E57"/>
    <w:rsid w:val="006F739D"/>
    <w:rsid w:val="007001BD"/>
    <w:rsid w:val="007002C3"/>
    <w:rsid w:val="00700BE5"/>
    <w:rsid w:val="00705951"/>
    <w:rsid w:val="00705DF2"/>
    <w:rsid w:val="007073DE"/>
    <w:rsid w:val="00707FDD"/>
    <w:rsid w:val="0071045C"/>
    <w:rsid w:val="00710F0E"/>
    <w:rsid w:val="00711844"/>
    <w:rsid w:val="00711EF5"/>
    <w:rsid w:val="00712224"/>
    <w:rsid w:val="007161BD"/>
    <w:rsid w:val="00716758"/>
    <w:rsid w:val="00717E52"/>
    <w:rsid w:val="007211F7"/>
    <w:rsid w:val="00721A14"/>
    <w:rsid w:val="007229AB"/>
    <w:rsid w:val="00723201"/>
    <w:rsid w:val="00723C89"/>
    <w:rsid w:val="007248D7"/>
    <w:rsid w:val="00724CD2"/>
    <w:rsid w:val="00724F27"/>
    <w:rsid w:val="0072763C"/>
    <w:rsid w:val="00727CA3"/>
    <w:rsid w:val="0073068F"/>
    <w:rsid w:val="00730769"/>
    <w:rsid w:val="00731139"/>
    <w:rsid w:val="00732A66"/>
    <w:rsid w:val="00732B97"/>
    <w:rsid w:val="00734C6A"/>
    <w:rsid w:val="00735153"/>
    <w:rsid w:val="00735225"/>
    <w:rsid w:val="007357D6"/>
    <w:rsid w:val="00735A45"/>
    <w:rsid w:val="00735BCF"/>
    <w:rsid w:val="00736257"/>
    <w:rsid w:val="00736909"/>
    <w:rsid w:val="007369E7"/>
    <w:rsid w:val="007407B2"/>
    <w:rsid w:val="007410EB"/>
    <w:rsid w:val="0074136B"/>
    <w:rsid w:val="00744AF9"/>
    <w:rsid w:val="00744C1C"/>
    <w:rsid w:val="00745763"/>
    <w:rsid w:val="00746C48"/>
    <w:rsid w:val="007479F9"/>
    <w:rsid w:val="00750303"/>
    <w:rsid w:val="00750946"/>
    <w:rsid w:val="00751BCA"/>
    <w:rsid w:val="007527F5"/>
    <w:rsid w:val="00752F9B"/>
    <w:rsid w:val="00753F26"/>
    <w:rsid w:val="00755D3F"/>
    <w:rsid w:val="00761B2B"/>
    <w:rsid w:val="007622BE"/>
    <w:rsid w:val="00762F74"/>
    <w:rsid w:val="00763F9F"/>
    <w:rsid w:val="007653C7"/>
    <w:rsid w:val="00766664"/>
    <w:rsid w:val="00766A05"/>
    <w:rsid w:val="0077083D"/>
    <w:rsid w:val="007725FD"/>
    <w:rsid w:val="007735A5"/>
    <w:rsid w:val="00773FA0"/>
    <w:rsid w:val="0077503A"/>
    <w:rsid w:val="00775ADA"/>
    <w:rsid w:val="00776875"/>
    <w:rsid w:val="00777961"/>
    <w:rsid w:val="00777E78"/>
    <w:rsid w:val="00780515"/>
    <w:rsid w:val="0078114B"/>
    <w:rsid w:val="00781879"/>
    <w:rsid w:val="007849D2"/>
    <w:rsid w:val="00785C0B"/>
    <w:rsid w:val="007862B7"/>
    <w:rsid w:val="0078783C"/>
    <w:rsid w:val="00791593"/>
    <w:rsid w:val="0079312F"/>
    <w:rsid w:val="00794DCA"/>
    <w:rsid w:val="00794E45"/>
    <w:rsid w:val="00795319"/>
    <w:rsid w:val="00795FE8"/>
    <w:rsid w:val="007A04A4"/>
    <w:rsid w:val="007A06D6"/>
    <w:rsid w:val="007A14DF"/>
    <w:rsid w:val="007A1A2E"/>
    <w:rsid w:val="007A1D0C"/>
    <w:rsid w:val="007A2D05"/>
    <w:rsid w:val="007A2E6B"/>
    <w:rsid w:val="007A3571"/>
    <w:rsid w:val="007A3629"/>
    <w:rsid w:val="007A3DDA"/>
    <w:rsid w:val="007A4D80"/>
    <w:rsid w:val="007A6902"/>
    <w:rsid w:val="007A6D2F"/>
    <w:rsid w:val="007A71E3"/>
    <w:rsid w:val="007B021D"/>
    <w:rsid w:val="007B0BB2"/>
    <w:rsid w:val="007B1BEF"/>
    <w:rsid w:val="007B26C8"/>
    <w:rsid w:val="007B2ECE"/>
    <w:rsid w:val="007B4A58"/>
    <w:rsid w:val="007B5BC3"/>
    <w:rsid w:val="007C0E22"/>
    <w:rsid w:val="007C2154"/>
    <w:rsid w:val="007C30EF"/>
    <w:rsid w:val="007C3D12"/>
    <w:rsid w:val="007C3F82"/>
    <w:rsid w:val="007C4FF6"/>
    <w:rsid w:val="007C5200"/>
    <w:rsid w:val="007C5448"/>
    <w:rsid w:val="007C7DDF"/>
    <w:rsid w:val="007D1C1B"/>
    <w:rsid w:val="007D1D70"/>
    <w:rsid w:val="007D22FB"/>
    <w:rsid w:val="007D2708"/>
    <w:rsid w:val="007D2AF8"/>
    <w:rsid w:val="007D2E52"/>
    <w:rsid w:val="007D5372"/>
    <w:rsid w:val="007D55EC"/>
    <w:rsid w:val="007D7E4C"/>
    <w:rsid w:val="007E00C9"/>
    <w:rsid w:val="007E0325"/>
    <w:rsid w:val="007E0ECA"/>
    <w:rsid w:val="007E1A9F"/>
    <w:rsid w:val="007E36CF"/>
    <w:rsid w:val="007E3904"/>
    <w:rsid w:val="007E42A4"/>
    <w:rsid w:val="007E440A"/>
    <w:rsid w:val="007E6197"/>
    <w:rsid w:val="007F0478"/>
    <w:rsid w:val="007F0489"/>
    <w:rsid w:val="007F0E96"/>
    <w:rsid w:val="007F102A"/>
    <w:rsid w:val="007F2880"/>
    <w:rsid w:val="007F2BD7"/>
    <w:rsid w:val="007F338A"/>
    <w:rsid w:val="007F3862"/>
    <w:rsid w:val="007F52C9"/>
    <w:rsid w:val="00800537"/>
    <w:rsid w:val="008008DD"/>
    <w:rsid w:val="00801928"/>
    <w:rsid w:val="00801CB0"/>
    <w:rsid w:val="00804085"/>
    <w:rsid w:val="00804D97"/>
    <w:rsid w:val="00805825"/>
    <w:rsid w:val="00805CEB"/>
    <w:rsid w:val="00811BB0"/>
    <w:rsid w:val="0081331E"/>
    <w:rsid w:val="0081367A"/>
    <w:rsid w:val="00813E31"/>
    <w:rsid w:val="00814ACD"/>
    <w:rsid w:val="00814AE1"/>
    <w:rsid w:val="00816A85"/>
    <w:rsid w:val="00816B75"/>
    <w:rsid w:val="008170FC"/>
    <w:rsid w:val="00820F2F"/>
    <w:rsid w:val="00821567"/>
    <w:rsid w:val="00822663"/>
    <w:rsid w:val="00822BFE"/>
    <w:rsid w:val="008230D9"/>
    <w:rsid w:val="00823BAF"/>
    <w:rsid w:val="00824116"/>
    <w:rsid w:val="00825820"/>
    <w:rsid w:val="008261D3"/>
    <w:rsid w:val="008266AC"/>
    <w:rsid w:val="00826B3F"/>
    <w:rsid w:val="00826D00"/>
    <w:rsid w:val="00826FB9"/>
    <w:rsid w:val="00827168"/>
    <w:rsid w:val="008274F7"/>
    <w:rsid w:val="00827835"/>
    <w:rsid w:val="00827D50"/>
    <w:rsid w:val="008326DB"/>
    <w:rsid w:val="00832B97"/>
    <w:rsid w:val="0083316E"/>
    <w:rsid w:val="00834AA5"/>
    <w:rsid w:val="00837191"/>
    <w:rsid w:val="00840AEC"/>
    <w:rsid w:val="00840E52"/>
    <w:rsid w:val="00841204"/>
    <w:rsid w:val="008423F4"/>
    <w:rsid w:val="008431A0"/>
    <w:rsid w:val="0084402B"/>
    <w:rsid w:val="008450FF"/>
    <w:rsid w:val="00847226"/>
    <w:rsid w:val="00847BB6"/>
    <w:rsid w:val="008503E1"/>
    <w:rsid w:val="00851024"/>
    <w:rsid w:val="00851D4C"/>
    <w:rsid w:val="00851F57"/>
    <w:rsid w:val="00852B12"/>
    <w:rsid w:val="00852CC2"/>
    <w:rsid w:val="00854919"/>
    <w:rsid w:val="0085544B"/>
    <w:rsid w:val="008561E6"/>
    <w:rsid w:val="00856454"/>
    <w:rsid w:val="00861970"/>
    <w:rsid w:val="00862C2B"/>
    <w:rsid w:val="00862ED6"/>
    <w:rsid w:val="00863824"/>
    <w:rsid w:val="00865E70"/>
    <w:rsid w:val="0086662D"/>
    <w:rsid w:val="00866F25"/>
    <w:rsid w:val="008670EF"/>
    <w:rsid w:val="00867629"/>
    <w:rsid w:val="008679FE"/>
    <w:rsid w:val="00871122"/>
    <w:rsid w:val="0087143F"/>
    <w:rsid w:val="00872B5E"/>
    <w:rsid w:val="00873DEC"/>
    <w:rsid w:val="00874638"/>
    <w:rsid w:val="00874A58"/>
    <w:rsid w:val="00880559"/>
    <w:rsid w:val="00881EAD"/>
    <w:rsid w:val="00881FE8"/>
    <w:rsid w:val="00882384"/>
    <w:rsid w:val="00883A9B"/>
    <w:rsid w:val="00883C4F"/>
    <w:rsid w:val="00883CA8"/>
    <w:rsid w:val="00885578"/>
    <w:rsid w:val="00887115"/>
    <w:rsid w:val="00887788"/>
    <w:rsid w:val="008917D7"/>
    <w:rsid w:val="00891C5C"/>
    <w:rsid w:val="008921B8"/>
    <w:rsid w:val="00894B07"/>
    <w:rsid w:val="00895456"/>
    <w:rsid w:val="00895810"/>
    <w:rsid w:val="008966A1"/>
    <w:rsid w:val="00897640"/>
    <w:rsid w:val="00897CC2"/>
    <w:rsid w:val="008A0015"/>
    <w:rsid w:val="008A13CE"/>
    <w:rsid w:val="008A2A5E"/>
    <w:rsid w:val="008A2C09"/>
    <w:rsid w:val="008A3E9D"/>
    <w:rsid w:val="008A76AB"/>
    <w:rsid w:val="008A7C67"/>
    <w:rsid w:val="008A7D20"/>
    <w:rsid w:val="008B0D65"/>
    <w:rsid w:val="008B0EDA"/>
    <w:rsid w:val="008B2A86"/>
    <w:rsid w:val="008B3929"/>
    <w:rsid w:val="008B4E0C"/>
    <w:rsid w:val="008B7755"/>
    <w:rsid w:val="008B7BE1"/>
    <w:rsid w:val="008C078D"/>
    <w:rsid w:val="008C0EF4"/>
    <w:rsid w:val="008C1DBD"/>
    <w:rsid w:val="008C28C6"/>
    <w:rsid w:val="008C3336"/>
    <w:rsid w:val="008C3767"/>
    <w:rsid w:val="008C3834"/>
    <w:rsid w:val="008C5545"/>
    <w:rsid w:val="008C5783"/>
    <w:rsid w:val="008C60C3"/>
    <w:rsid w:val="008C6158"/>
    <w:rsid w:val="008C6206"/>
    <w:rsid w:val="008C7973"/>
    <w:rsid w:val="008C7AD3"/>
    <w:rsid w:val="008C7FF9"/>
    <w:rsid w:val="008D1070"/>
    <w:rsid w:val="008D1CF4"/>
    <w:rsid w:val="008D1ED9"/>
    <w:rsid w:val="008D32ED"/>
    <w:rsid w:val="008D44CD"/>
    <w:rsid w:val="008D4D83"/>
    <w:rsid w:val="008D5489"/>
    <w:rsid w:val="008D65BF"/>
    <w:rsid w:val="008E098C"/>
    <w:rsid w:val="008E0A70"/>
    <w:rsid w:val="008E11BA"/>
    <w:rsid w:val="008E1351"/>
    <w:rsid w:val="008E198D"/>
    <w:rsid w:val="008E1E1E"/>
    <w:rsid w:val="008E1FBF"/>
    <w:rsid w:val="008E236E"/>
    <w:rsid w:val="008E2C1F"/>
    <w:rsid w:val="008E2E40"/>
    <w:rsid w:val="008E3983"/>
    <w:rsid w:val="008E4C65"/>
    <w:rsid w:val="008E4D77"/>
    <w:rsid w:val="008E6E43"/>
    <w:rsid w:val="008F0A99"/>
    <w:rsid w:val="008F0B08"/>
    <w:rsid w:val="008F1D81"/>
    <w:rsid w:val="008F1E4D"/>
    <w:rsid w:val="008F20DE"/>
    <w:rsid w:val="008F20F6"/>
    <w:rsid w:val="008F253B"/>
    <w:rsid w:val="008F3B26"/>
    <w:rsid w:val="008F63D4"/>
    <w:rsid w:val="008F6C5B"/>
    <w:rsid w:val="008F7A21"/>
    <w:rsid w:val="008F7FD8"/>
    <w:rsid w:val="009005B3"/>
    <w:rsid w:val="0090087B"/>
    <w:rsid w:val="009016C4"/>
    <w:rsid w:val="00901FC3"/>
    <w:rsid w:val="00903B9B"/>
    <w:rsid w:val="00903F95"/>
    <w:rsid w:val="00904DA6"/>
    <w:rsid w:val="009058D6"/>
    <w:rsid w:val="00905B45"/>
    <w:rsid w:val="00906AD0"/>
    <w:rsid w:val="009102B4"/>
    <w:rsid w:val="00910AB9"/>
    <w:rsid w:val="00911ACF"/>
    <w:rsid w:val="00913F5D"/>
    <w:rsid w:val="0091408B"/>
    <w:rsid w:val="00914093"/>
    <w:rsid w:val="00914628"/>
    <w:rsid w:val="009149F0"/>
    <w:rsid w:val="009154BC"/>
    <w:rsid w:val="0091555E"/>
    <w:rsid w:val="00915A85"/>
    <w:rsid w:val="00915F14"/>
    <w:rsid w:val="0091633C"/>
    <w:rsid w:val="00917AB3"/>
    <w:rsid w:val="0092033D"/>
    <w:rsid w:val="0092258A"/>
    <w:rsid w:val="00922A77"/>
    <w:rsid w:val="00923386"/>
    <w:rsid w:val="00923724"/>
    <w:rsid w:val="00925836"/>
    <w:rsid w:val="009258E7"/>
    <w:rsid w:val="009261F4"/>
    <w:rsid w:val="00926E05"/>
    <w:rsid w:val="0092795E"/>
    <w:rsid w:val="00934ACC"/>
    <w:rsid w:val="009353A6"/>
    <w:rsid w:val="00935CE0"/>
    <w:rsid w:val="00936821"/>
    <w:rsid w:val="0093684C"/>
    <w:rsid w:val="00941D32"/>
    <w:rsid w:val="00942291"/>
    <w:rsid w:val="00942827"/>
    <w:rsid w:val="00942FAB"/>
    <w:rsid w:val="00943FD4"/>
    <w:rsid w:val="00944B6C"/>
    <w:rsid w:val="00945541"/>
    <w:rsid w:val="0094559E"/>
    <w:rsid w:val="00945625"/>
    <w:rsid w:val="00947156"/>
    <w:rsid w:val="00947C37"/>
    <w:rsid w:val="009512B6"/>
    <w:rsid w:val="009515D5"/>
    <w:rsid w:val="0095219F"/>
    <w:rsid w:val="0095229E"/>
    <w:rsid w:val="00954F56"/>
    <w:rsid w:val="00957ABF"/>
    <w:rsid w:val="00962297"/>
    <w:rsid w:val="00963B11"/>
    <w:rsid w:val="00963C84"/>
    <w:rsid w:val="009642DD"/>
    <w:rsid w:val="00964A8F"/>
    <w:rsid w:val="009650F0"/>
    <w:rsid w:val="009651E9"/>
    <w:rsid w:val="009666BE"/>
    <w:rsid w:val="00966956"/>
    <w:rsid w:val="00967021"/>
    <w:rsid w:val="00967D41"/>
    <w:rsid w:val="00970889"/>
    <w:rsid w:val="00970A09"/>
    <w:rsid w:val="009714A0"/>
    <w:rsid w:val="00971E15"/>
    <w:rsid w:val="009729C9"/>
    <w:rsid w:val="00972BAC"/>
    <w:rsid w:val="00972BCE"/>
    <w:rsid w:val="00973D57"/>
    <w:rsid w:val="009748BD"/>
    <w:rsid w:val="009756EA"/>
    <w:rsid w:val="00976D69"/>
    <w:rsid w:val="0097749D"/>
    <w:rsid w:val="00980BC1"/>
    <w:rsid w:val="00981F40"/>
    <w:rsid w:val="00983990"/>
    <w:rsid w:val="00983DF1"/>
    <w:rsid w:val="009841CE"/>
    <w:rsid w:val="00984B3C"/>
    <w:rsid w:val="0098587A"/>
    <w:rsid w:val="009862A4"/>
    <w:rsid w:val="0098745B"/>
    <w:rsid w:val="00990B38"/>
    <w:rsid w:val="009931D0"/>
    <w:rsid w:val="00993E39"/>
    <w:rsid w:val="00994E35"/>
    <w:rsid w:val="009950B3"/>
    <w:rsid w:val="009953FA"/>
    <w:rsid w:val="00995720"/>
    <w:rsid w:val="009961F1"/>
    <w:rsid w:val="009A02D6"/>
    <w:rsid w:val="009A081E"/>
    <w:rsid w:val="009A09D6"/>
    <w:rsid w:val="009A0EFC"/>
    <w:rsid w:val="009A1483"/>
    <w:rsid w:val="009A1F3A"/>
    <w:rsid w:val="009A4B45"/>
    <w:rsid w:val="009A661D"/>
    <w:rsid w:val="009B14A4"/>
    <w:rsid w:val="009B3929"/>
    <w:rsid w:val="009B41C0"/>
    <w:rsid w:val="009B4963"/>
    <w:rsid w:val="009B4B01"/>
    <w:rsid w:val="009B4BF0"/>
    <w:rsid w:val="009B5846"/>
    <w:rsid w:val="009B6FBF"/>
    <w:rsid w:val="009B77B6"/>
    <w:rsid w:val="009B7F6F"/>
    <w:rsid w:val="009C0E88"/>
    <w:rsid w:val="009C22AD"/>
    <w:rsid w:val="009C3ADD"/>
    <w:rsid w:val="009C5C99"/>
    <w:rsid w:val="009C625A"/>
    <w:rsid w:val="009C6B06"/>
    <w:rsid w:val="009D2039"/>
    <w:rsid w:val="009D3095"/>
    <w:rsid w:val="009D39FF"/>
    <w:rsid w:val="009D482C"/>
    <w:rsid w:val="009D4F9D"/>
    <w:rsid w:val="009D5468"/>
    <w:rsid w:val="009D5EEB"/>
    <w:rsid w:val="009D7897"/>
    <w:rsid w:val="009E063C"/>
    <w:rsid w:val="009E20A6"/>
    <w:rsid w:val="009E26BA"/>
    <w:rsid w:val="009E2B75"/>
    <w:rsid w:val="009E3613"/>
    <w:rsid w:val="009E3C0D"/>
    <w:rsid w:val="009E4330"/>
    <w:rsid w:val="009E4DA2"/>
    <w:rsid w:val="009E6F8B"/>
    <w:rsid w:val="009E7E89"/>
    <w:rsid w:val="009F06E8"/>
    <w:rsid w:val="009F0CE5"/>
    <w:rsid w:val="009F37EB"/>
    <w:rsid w:val="009F3D2E"/>
    <w:rsid w:val="009F4895"/>
    <w:rsid w:val="009F57A5"/>
    <w:rsid w:val="009F609D"/>
    <w:rsid w:val="009F785B"/>
    <w:rsid w:val="00A001B9"/>
    <w:rsid w:val="00A0145E"/>
    <w:rsid w:val="00A0183B"/>
    <w:rsid w:val="00A032F9"/>
    <w:rsid w:val="00A035C0"/>
    <w:rsid w:val="00A043AD"/>
    <w:rsid w:val="00A047E3"/>
    <w:rsid w:val="00A05D61"/>
    <w:rsid w:val="00A07569"/>
    <w:rsid w:val="00A07606"/>
    <w:rsid w:val="00A10070"/>
    <w:rsid w:val="00A10E13"/>
    <w:rsid w:val="00A117CA"/>
    <w:rsid w:val="00A134AB"/>
    <w:rsid w:val="00A147E1"/>
    <w:rsid w:val="00A15937"/>
    <w:rsid w:val="00A15FAF"/>
    <w:rsid w:val="00A20404"/>
    <w:rsid w:val="00A20A76"/>
    <w:rsid w:val="00A2172A"/>
    <w:rsid w:val="00A22E8D"/>
    <w:rsid w:val="00A24699"/>
    <w:rsid w:val="00A247F0"/>
    <w:rsid w:val="00A252DE"/>
    <w:rsid w:val="00A25A86"/>
    <w:rsid w:val="00A25BB1"/>
    <w:rsid w:val="00A25BE3"/>
    <w:rsid w:val="00A26632"/>
    <w:rsid w:val="00A30329"/>
    <w:rsid w:val="00A309C6"/>
    <w:rsid w:val="00A31224"/>
    <w:rsid w:val="00A323F3"/>
    <w:rsid w:val="00A3459E"/>
    <w:rsid w:val="00A34A18"/>
    <w:rsid w:val="00A34D53"/>
    <w:rsid w:val="00A35BDA"/>
    <w:rsid w:val="00A36671"/>
    <w:rsid w:val="00A374D2"/>
    <w:rsid w:val="00A37532"/>
    <w:rsid w:val="00A3760E"/>
    <w:rsid w:val="00A379A9"/>
    <w:rsid w:val="00A40D70"/>
    <w:rsid w:val="00A44296"/>
    <w:rsid w:val="00A44456"/>
    <w:rsid w:val="00A45F18"/>
    <w:rsid w:val="00A50054"/>
    <w:rsid w:val="00A51077"/>
    <w:rsid w:val="00A510E3"/>
    <w:rsid w:val="00A51593"/>
    <w:rsid w:val="00A51D9B"/>
    <w:rsid w:val="00A5245D"/>
    <w:rsid w:val="00A526C0"/>
    <w:rsid w:val="00A53A5C"/>
    <w:rsid w:val="00A54DD3"/>
    <w:rsid w:val="00A56009"/>
    <w:rsid w:val="00A56471"/>
    <w:rsid w:val="00A56BF9"/>
    <w:rsid w:val="00A56EBF"/>
    <w:rsid w:val="00A60BA0"/>
    <w:rsid w:val="00A60C65"/>
    <w:rsid w:val="00A616E8"/>
    <w:rsid w:val="00A61EA4"/>
    <w:rsid w:val="00A6374E"/>
    <w:rsid w:val="00A658B2"/>
    <w:rsid w:val="00A65BC3"/>
    <w:rsid w:val="00A65F3A"/>
    <w:rsid w:val="00A66B96"/>
    <w:rsid w:val="00A67427"/>
    <w:rsid w:val="00A67D7A"/>
    <w:rsid w:val="00A759D8"/>
    <w:rsid w:val="00A75D01"/>
    <w:rsid w:val="00A76A35"/>
    <w:rsid w:val="00A76E8D"/>
    <w:rsid w:val="00A83163"/>
    <w:rsid w:val="00A8448C"/>
    <w:rsid w:val="00A846B5"/>
    <w:rsid w:val="00A86508"/>
    <w:rsid w:val="00A87081"/>
    <w:rsid w:val="00A872B4"/>
    <w:rsid w:val="00A87FFC"/>
    <w:rsid w:val="00A909EB"/>
    <w:rsid w:val="00A918D5"/>
    <w:rsid w:val="00A92702"/>
    <w:rsid w:val="00A9339B"/>
    <w:rsid w:val="00A94F0E"/>
    <w:rsid w:val="00A95A8D"/>
    <w:rsid w:val="00A96966"/>
    <w:rsid w:val="00AA04C4"/>
    <w:rsid w:val="00AA248C"/>
    <w:rsid w:val="00AA2CAF"/>
    <w:rsid w:val="00AA3035"/>
    <w:rsid w:val="00AA44CF"/>
    <w:rsid w:val="00AA4D5B"/>
    <w:rsid w:val="00AA594A"/>
    <w:rsid w:val="00AA5ABB"/>
    <w:rsid w:val="00AA747F"/>
    <w:rsid w:val="00AA74A3"/>
    <w:rsid w:val="00AB0443"/>
    <w:rsid w:val="00AB1371"/>
    <w:rsid w:val="00AB1F6C"/>
    <w:rsid w:val="00AB2B8A"/>
    <w:rsid w:val="00AB3F32"/>
    <w:rsid w:val="00AB4980"/>
    <w:rsid w:val="00AB4FB8"/>
    <w:rsid w:val="00AB5D72"/>
    <w:rsid w:val="00AB72B8"/>
    <w:rsid w:val="00AB7595"/>
    <w:rsid w:val="00AC2BFF"/>
    <w:rsid w:val="00AC4611"/>
    <w:rsid w:val="00AC5A4F"/>
    <w:rsid w:val="00AC68F8"/>
    <w:rsid w:val="00AD0E37"/>
    <w:rsid w:val="00AD0EA9"/>
    <w:rsid w:val="00AD1738"/>
    <w:rsid w:val="00AD2887"/>
    <w:rsid w:val="00AD4E20"/>
    <w:rsid w:val="00AD59D2"/>
    <w:rsid w:val="00AD7935"/>
    <w:rsid w:val="00AD7B7C"/>
    <w:rsid w:val="00AE144C"/>
    <w:rsid w:val="00AE15C0"/>
    <w:rsid w:val="00AE2542"/>
    <w:rsid w:val="00AE2CF9"/>
    <w:rsid w:val="00AE32F3"/>
    <w:rsid w:val="00AE3B12"/>
    <w:rsid w:val="00AE5346"/>
    <w:rsid w:val="00AE6540"/>
    <w:rsid w:val="00AE67AA"/>
    <w:rsid w:val="00AE6893"/>
    <w:rsid w:val="00AE7D31"/>
    <w:rsid w:val="00AE7EB9"/>
    <w:rsid w:val="00AF00DA"/>
    <w:rsid w:val="00AF15F0"/>
    <w:rsid w:val="00AF1C50"/>
    <w:rsid w:val="00AF5452"/>
    <w:rsid w:val="00AF720E"/>
    <w:rsid w:val="00B00AE0"/>
    <w:rsid w:val="00B027DC"/>
    <w:rsid w:val="00B04237"/>
    <w:rsid w:val="00B04E7B"/>
    <w:rsid w:val="00B05DE4"/>
    <w:rsid w:val="00B05E4C"/>
    <w:rsid w:val="00B061EE"/>
    <w:rsid w:val="00B062F9"/>
    <w:rsid w:val="00B07084"/>
    <w:rsid w:val="00B07296"/>
    <w:rsid w:val="00B07508"/>
    <w:rsid w:val="00B0791C"/>
    <w:rsid w:val="00B10CDA"/>
    <w:rsid w:val="00B10F3A"/>
    <w:rsid w:val="00B11C71"/>
    <w:rsid w:val="00B122D5"/>
    <w:rsid w:val="00B12E24"/>
    <w:rsid w:val="00B13C1A"/>
    <w:rsid w:val="00B140C7"/>
    <w:rsid w:val="00B14280"/>
    <w:rsid w:val="00B20E83"/>
    <w:rsid w:val="00B21564"/>
    <w:rsid w:val="00B23676"/>
    <w:rsid w:val="00B24A37"/>
    <w:rsid w:val="00B25393"/>
    <w:rsid w:val="00B26A5D"/>
    <w:rsid w:val="00B2731B"/>
    <w:rsid w:val="00B276C7"/>
    <w:rsid w:val="00B27711"/>
    <w:rsid w:val="00B2781B"/>
    <w:rsid w:val="00B278F8"/>
    <w:rsid w:val="00B3065C"/>
    <w:rsid w:val="00B31C0C"/>
    <w:rsid w:val="00B32F20"/>
    <w:rsid w:val="00B34F1B"/>
    <w:rsid w:val="00B3565D"/>
    <w:rsid w:val="00B36335"/>
    <w:rsid w:val="00B378E2"/>
    <w:rsid w:val="00B406D6"/>
    <w:rsid w:val="00B41342"/>
    <w:rsid w:val="00B4225D"/>
    <w:rsid w:val="00B424FC"/>
    <w:rsid w:val="00B43184"/>
    <w:rsid w:val="00B4527F"/>
    <w:rsid w:val="00B45F22"/>
    <w:rsid w:val="00B466E3"/>
    <w:rsid w:val="00B468B3"/>
    <w:rsid w:val="00B4710F"/>
    <w:rsid w:val="00B47863"/>
    <w:rsid w:val="00B478AF"/>
    <w:rsid w:val="00B50188"/>
    <w:rsid w:val="00B518C1"/>
    <w:rsid w:val="00B52D4B"/>
    <w:rsid w:val="00B54412"/>
    <w:rsid w:val="00B5660A"/>
    <w:rsid w:val="00B606B3"/>
    <w:rsid w:val="00B60968"/>
    <w:rsid w:val="00B615A8"/>
    <w:rsid w:val="00B622E2"/>
    <w:rsid w:val="00B63BFF"/>
    <w:rsid w:val="00B642B9"/>
    <w:rsid w:val="00B64D86"/>
    <w:rsid w:val="00B64FCC"/>
    <w:rsid w:val="00B65C07"/>
    <w:rsid w:val="00B67D39"/>
    <w:rsid w:val="00B70308"/>
    <w:rsid w:val="00B70860"/>
    <w:rsid w:val="00B72303"/>
    <w:rsid w:val="00B72E2E"/>
    <w:rsid w:val="00B7382A"/>
    <w:rsid w:val="00B74D0C"/>
    <w:rsid w:val="00B74E66"/>
    <w:rsid w:val="00B7508A"/>
    <w:rsid w:val="00B7722E"/>
    <w:rsid w:val="00B80269"/>
    <w:rsid w:val="00B80674"/>
    <w:rsid w:val="00B80DD0"/>
    <w:rsid w:val="00B815FE"/>
    <w:rsid w:val="00B81C20"/>
    <w:rsid w:val="00B81CF5"/>
    <w:rsid w:val="00B8213D"/>
    <w:rsid w:val="00B82883"/>
    <w:rsid w:val="00B83EE4"/>
    <w:rsid w:val="00B84205"/>
    <w:rsid w:val="00B84627"/>
    <w:rsid w:val="00B84640"/>
    <w:rsid w:val="00B852FE"/>
    <w:rsid w:val="00B8569E"/>
    <w:rsid w:val="00B86646"/>
    <w:rsid w:val="00B8678D"/>
    <w:rsid w:val="00B871AA"/>
    <w:rsid w:val="00B8766A"/>
    <w:rsid w:val="00B9117D"/>
    <w:rsid w:val="00B9220A"/>
    <w:rsid w:val="00B9273E"/>
    <w:rsid w:val="00B9296F"/>
    <w:rsid w:val="00B93252"/>
    <w:rsid w:val="00B9408C"/>
    <w:rsid w:val="00B956E5"/>
    <w:rsid w:val="00B958DA"/>
    <w:rsid w:val="00B963F6"/>
    <w:rsid w:val="00B967FA"/>
    <w:rsid w:val="00B978A1"/>
    <w:rsid w:val="00BA0A9B"/>
    <w:rsid w:val="00BA1065"/>
    <w:rsid w:val="00BA11DA"/>
    <w:rsid w:val="00BA1D74"/>
    <w:rsid w:val="00BA250E"/>
    <w:rsid w:val="00BA26BA"/>
    <w:rsid w:val="00BA2EA3"/>
    <w:rsid w:val="00BA3F6D"/>
    <w:rsid w:val="00BA4AF3"/>
    <w:rsid w:val="00BA5CD2"/>
    <w:rsid w:val="00BA61A1"/>
    <w:rsid w:val="00BA6A22"/>
    <w:rsid w:val="00BB0FF1"/>
    <w:rsid w:val="00BB215E"/>
    <w:rsid w:val="00BB2572"/>
    <w:rsid w:val="00BB3267"/>
    <w:rsid w:val="00BB4E50"/>
    <w:rsid w:val="00BB55A2"/>
    <w:rsid w:val="00BB5C04"/>
    <w:rsid w:val="00BB655E"/>
    <w:rsid w:val="00BB7E3E"/>
    <w:rsid w:val="00BC0AD1"/>
    <w:rsid w:val="00BC0C06"/>
    <w:rsid w:val="00BC1419"/>
    <w:rsid w:val="00BC324E"/>
    <w:rsid w:val="00BC34C4"/>
    <w:rsid w:val="00BC4039"/>
    <w:rsid w:val="00BC4D19"/>
    <w:rsid w:val="00BC556E"/>
    <w:rsid w:val="00BC5634"/>
    <w:rsid w:val="00BC577C"/>
    <w:rsid w:val="00BC5DCC"/>
    <w:rsid w:val="00BC7115"/>
    <w:rsid w:val="00BC7E1C"/>
    <w:rsid w:val="00BD122A"/>
    <w:rsid w:val="00BD2D72"/>
    <w:rsid w:val="00BD6442"/>
    <w:rsid w:val="00BD6719"/>
    <w:rsid w:val="00BD6933"/>
    <w:rsid w:val="00BD7A74"/>
    <w:rsid w:val="00BD7B9D"/>
    <w:rsid w:val="00BD7D49"/>
    <w:rsid w:val="00BE0D8C"/>
    <w:rsid w:val="00BE1A02"/>
    <w:rsid w:val="00BE2550"/>
    <w:rsid w:val="00BE35B5"/>
    <w:rsid w:val="00BE3BD4"/>
    <w:rsid w:val="00BE430B"/>
    <w:rsid w:val="00BE4917"/>
    <w:rsid w:val="00BE513C"/>
    <w:rsid w:val="00BE60FF"/>
    <w:rsid w:val="00BE68F4"/>
    <w:rsid w:val="00BE6DBD"/>
    <w:rsid w:val="00BE7ACA"/>
    <w:rsid w:val="00BF0056"/>
    <w:rsid w:val="00BF1F0E"/>
    <w:rsid w:val="00BF2E3B"/>
    <w:rsid w:val="00BF4562"/>
    <w:rsid w:val="00BF46D6"/>
    <w:rsid w:val="00BF649C"/>
    <w:rsid w:val="00C01B59"/>
    <w:rsid w:val="00C05038"/>
    <w:rsid w:val="00C0553D"/>
    <w:rsid w:val="00C05896"/>
    <w:rsid w:val="00C0694D"/>
    <w:rsid w:val="00C078A5"/>
    <w:rsid w:val="00C1048B"/>
    <w:rsid w:val="00C11054"/>
    <w:rsid w:val="00C11273"/>
    <w:rsid w:val="00C122C3"/>
    <w:rsid w:val="00C1303C"/>
    <w:rsid w:val="00C14544"/>
    <w:rsid w:val="00C14965"/>
    <w:rsid w:val="00C15C28"/>
    <w:rsid w:val="00C177E2"/>
    <w:rsid w:val="00C2299C"/>
    <w:rsid w:val="00C24B40"/>
    <w:rsid w:val="00C25AD0"/>
    <w:rsid w:val="00C26493"/>
    <w:rsid w:val="00C269FF"/>
    <w:rsid w:val="00C26BC7"/>
    <w:rsid w:val="00C271E5"/>
    <w:rsid w:val="00C277B7"/>
    <w:rsid w:val="00C277CC"/>
    <w:rsid w:val="00C30180"/>
    <w:rsid w:val="00C30349"/>
    <w:rsid w:val="00C314CF"/>
    <w:rsid w:val="00C3153C"/>
    <w:rsid w:val="00C319B3"/>
    <w:rsid w:val="00C329E2"/>
    <w:rsid w:val="00C3395E"/>
    <w:rsid w:val="00C369C9"/>
    <w:rsid w:val="00C3790C"/>
    <w:rsid w:val="00C4121D"/>
    <w:rsid w:val="00C415B5"/>
    <w:rsid w:val="00C416FC"/>
    <w:rsid w:val="00C43CAF"/>
    <w:rsid w:val="00C44EFA"/>
    <w:rsid w:val="00C452CC"/>
    <w:rsid w:val="00C46D8E"/>
    <w:rsid w:val="00C507A8"/>
    <w:rsid w:val="00C50BA4"/>
    <w:rsid w:val="00C514F5"/>
    <w:rsid w:val="00C51AFA"/>
    <w:rsid w:val="00C51E1A"/>
    <w:rsid w:val="00C52090"/>
    <w:rsid w:val="00C52D3E"/>
    <w:rsid w:val="00C52DCE"/>
    <w:rsid w:val="00C53736"/>
    <w:rsid w:val="00C54262"/>
    <w:rsid w:val="00C54576"/>
    <w:rsid w:val="00C551A7"/>
    <w:rsid w:val="00C555AA"/>
    <w:rsid w:val="00C55B0E"/>
    <w:rsid w:val="00C56D45"/>
    <w:rsid w:val="00C57EE3"/>
    <w:rsid w:val="00C616F5"/>
    <w:rsid w:val="00C62774"/>
    <w:rsid w:val="00C63ADE"/>
    <w:rsid w:val="00C63C32"/>
    <w:rsid w:val="00C64194"/>
    <w:rsid w:val="00C64F2D"/>
    <w:rsid w:val="00C6597A"/>
    <w:rsid w:val="00C66055"/>
    <w:rsid w:val="00C715DE"/>
    <w:rsid w:val="00C719F7"/>
    <w:rsid w:val="00C71E5A"/>
    <w:rsid w:val="00C72733"/>
    <w:rsid w:val="00C72B7E"/>
    <w:rsid w:val="00C7470C"/>
    <w:rsid w:val="00C750B2"/>
    <w:rsid w:val="00C75DC9"/>
    <w:rsid w:val="00C76592"/>
    <w:rsid w:val="00C771DA"/>
    <w:rsid w:val="00C80899"/>
    <w:rsid w:val="00C81C7C"/>
    <w:rsid w:val="00C824FF"/>
    <w:rsid w:val="00C82774"/>
    <w:rsid w:val="00C82BA8"/>
    <w:rsid w:val="00C845B4"/>
    <w:rsid w:val="00C906A9"/>
    <w:rsid w:val="00C92C36"/>
    <w:rsid w:val="00C93708"/>
    <w:rsid w:val="00C9379D"/>
    <w:rsid w:val="00C93B80"/>
    <w:rsid w:val="00C94301"/>
    <w:rsid w:val="00C94953"/>
    <w:rsid w:val="00C94B0A"/>
    <w:rsid w:val="00C9577D"/>
    <w:rsid w:val="00C96239"/>
    <w:rsid w:val="00C97695"/>
    <w:rsid w:val="00C97E12"/>
    <w:rsid w:val="00CA0AF4"/>
    <w:rsid w:val="00CA0BDA"/>
    <w:rsid w:val="00CA10B3"/>
    <w:rsid w:val="00CA18F1"/>
    <w:rsid w:val="00CA5BC1"/>
    <w:rsid w:val="00CA7D33"/>
    <w:rsid w:val="00CB3EA4"/>
    <w:rsid w:val="00CB3EB8"/>
    <w:rsid w:val="00CB6A88"/>
    <w:rsid w:val="00CB78EB"/>
    <w:rsid w:val="00CC17B2"/>
    <w:rsid w:val="00CC2E09"/>
    <w:rsid w:val="00CC3958"/>
    <w:rsid w:val="00CC47F5"/>
    <w:rsid w:val="00CC4B68"/>
    <w:rsid w:val="00CC681D"/>
    <w:rsid w:val="00CC7217"/>
    <w:rsid w:val="00CD1550"/>
    <w:rsid w:val="00CD1C4B"/>
    <w:rsid w:val="00CD2CF1"/>
    <w:rsid w:val="00CD30A8"/>
    <w:rsid w:val="00CD3F83"/>
    <w:rsid w:val="00CD688B"/>
    <w:rsid w:val="00CD6B67"/>
    <w:rsid w:val="00CE081C"/>
    <w:rsid w:val="00CE0895"/>
    <w:rsid w:val="00CE187F"/>
    <w:rsid w:val="00CE191E"/>
    <w:rsid w:val="00CE1AFC"/>
    <w:rsid w:val="00CE21DE"/>
    <w:rsid w:val="00CE317D"/>
    <w:rsid w:val="00CE3997"/>
    <w:rsid w:val="00CE3CA9"/>
    <w:rsid w:val="00CE41EF"/>
    <w:rsid w:val="00CE5077"/>
    <w:rsid w:val="00CE5A71"/>
    <w:rsid w:val="00CE66BE"/>
    <w:rsid w:val="00CE7519"/>
    <w:rsid w:val="00CE7BC2"/>
    <w:rsid w:val="00CF0632"/>
    <w:rsid w:val="00CF09AC"/>
    <w:rsid w:val="00CF0F7A"/>
    <w:rsid w:val="00CF1236"/>
    <w:rsid w:val="00CF22E3"/>
    <w:rsid w:val="00CF23F6"/>
    <w:rsid w:val="00CF391A"/>
    <w:rsid w:val="00CF4D83"/>
    <w:rsid w:val="00CF4F7B"/>
    <w:rsid w:val="00D00BAF"/>
    <w:rsid w:val="00D0273D"/>
    <w:rsid w:val="00D02A9A"/>
    <w:rsid w:val="00D03103"/>
    <w:rsid w:val="00D03D32"/>
    <w:rsid w:val="00D05C54"/>
    <w:rsid w:val="00D07306"/>
    <w:rsid w:val="00D07414"/>
    <w:rsid w:val="00D12073"/>
    <w:rsid w:val="00D15603"/>
    <w:rsid w:val="00D16993"/>
    <w:rsid w:val="00D16A87"/>
    <w:rsid w:val="00D16C05"/>
    <w:rsid w:val="00D17D59"/>
    <w:rsid w:val="00D17DC9"/>
    <w:rsid w:val="00D17E0A"/>
    <w:rsid w:val="00D2159B"/>
    <w:rsid w:val="00D216CB"/>
    <w:rsid w:val="00D2312C"/>
    <w:rsid w:val="00D2321C"/>
    <w:rsid w:val="00D2476D"/>
    <w:rsid w:val="00D247CA"/>
    <w:rsid w:val="00D25491"/>
    <w:rsid w:val="00D269D7"/>
    <w:rsid w:val="00D27FF2"/>
    <w:rsid w:val="00D30077"/>
    <w:rsid w:val="00D30710"/>
    <w:rsid w:val="00D31356"/>
    <w:rsid w:val="00D313BE"/>
    <w:rsid w:val="00D3341B"/>
    <w:rsid w:val="00D33BEF"/>
    <w:rsid w:val="00D34E3A"/>
    <w:rsid w:val="00D3541D"/>
    <w:rsid w:val="00D354EF"/>
    <w:rsid w:val="00D36586"/>
    <w:rsid w:val="00D36CA4"/>
    <w:rsid w:val="00D36E67"/>
    <w:rsid w:val="00D402CD"/>
    <w:rsid w:val="00D44401"/>
    <w:rsid w:val="00D44D0E"/>
    <w:rsid w:val="00D4592D"/>
    <w:rsid w:val="00D460A7"/>
    <w:rsid w:val="00D47075"/>
    <w:rsid w:val="00D47B5E"/>
    <w:rsid w:val="00D47D47"/>
    <w:rsid w:val="00D502B5"/>
    <w:rsid w:val="00D50BD7"/>
    <w:rsid w:val="00D50F62"/>
    <w:rsid w:val="00D516F5"/>
    <w:rsid w:val="00D51F72"/>
    <w:rsid w:val="00D529D1"/>
    <w:rsid w:val="00D52F0D"/>
    <w:rsid w:val="00D52F44"/>
    <w:rsid w:val="00D5311C"/>
    <w:rsid w:val="00D53CA1"/>
    <w:rsid w:val="00D54149"/>
    <w:rsid w:val="00D54B5C"/>
    <w:rsid w:val="00D565A9"/>
    <w:rsid w:val="00D56D9B"/>
    <w:rsid w:val="00D57801"/>
    <w:rsid w:val="00D57B71"/>
    <w:rsid w:val="00D61538"/>
    <w:rsid w:val="00D6278D"/>
    <w:rsid w:val="00D638D2"/>
    <w:rsid w:val="00D63F13"/>
    <w:rsid w:val="00D64974"/>
    <w:rsid w:val="00D64DCE"/>
    <w:rsid w:val="00D65767"/>
    <w:rsid w:val="00D65B24"/>
    <w:rsid w:val="00D66A02"/>
    <w:rsid w:val="00D67102"/>
    <w:rsid w:val="00D67D5A"/>
    <w:rsid w:val="00D67FE3"/>
    <w:rsid w:val="00D71DFD"/>
    <w:rsid w:val="00D720FA"/>
    <w:rsid w:val="00D7327C"/>
    <w:rsid w:val="00D75EFC"/>
    <w:rsid w:val="00D7640D"/>
    <w:rsid w:val="00D76B64"/>
    <w:rsid w:val="00D76E65"/>
    <w:rsid w:val="00D807A2"/>
    <w:rsid w:val="00D80D04"/>
    <w:rsid w:val="00D849B3"/>
    <w:rsid w:val="00D87E92"/>
    <w:rsid w:val="00D9255E"/>
    <w:rsid w:val="00D930E4"/>
    <w:rsid w:val="00D93426"/>
    <w:rsid w:val="00D94044"/>
    <w:rsid w:val="00D94D8B"/>
    <w:rsid w:val="00D94EE4"/>
    <w:rsid w:val="00D953B2"/>
    <w:rsid w:val="00D95F92"/>
    <w:rsid w:val="00D95FAA"/>
    <w:rsid w:val="00D96838"/>
    <w:rsid w:val="00DA11B1"/>
    <w:rsid w:val="00DA1E06"/>
    <w:rsid w:val="00DA209C"/>
    <w:rsid w:val="00DA30A3"/>
    <w:rsid w:val="00DA3619"/>
    <w:rsid w:val="00DA49E5"/>
    <w:rsid w:val="00DA5898"/>
    <w:rsid w:val="00DA6244"/>
    <w:rsid w:val="00DA719B"/>
    <w:rsid w:val="00DB02C6"/>
    <w:rsid w:val="00DB0C2A"/>
    <w:rsid w:val="00DB0FE9"/>
    <w:rsid w:val="00DB2328"/>
    <w:rsid w:val="00DB2969"/>
    <w:rsid w:val="00DB29E1"/>
    <w:rsid w:val="00DB2E85"/>
    <w:rsid w:val="00DB3B6E"/>
    <w:rsid w:val="00DB51E3"/>
    <w:rsid w:val="00DB527B"/>
    <w:rsid w:val="00DB5338"/>
    <w:rsid w:val="00DB5790"/>
    <w:rsid w:val="00DC0531"/>
    <w:rsid w:val="00DC2062"/>
    <w:rsid w:val="00DC3F2E"/>
    <w:rsid w:val="00DC4F58"/>
    <w:rsid w:val="00DC50D4"/>
    <w:rsid w:val="00DC5536"/>
    <w:rsid w:val="00DC5872"/>
    <w:rsid w:val="00DC6004"/>
    <w:rsid w:val="00DC6559"/>
    <w:rsid w:val="00DC781B"/>
    <w:rsid w:val="00DC7DF3"/>
    <w:rsid w:val="00DD0E41"/>
    <w:rsid w:val="00DD1223"/>
    <w:rsid w:val="00DD1A32"/>
    <w:rsid w:val="00DD239A"/>
    <w:rsid w:val="00DD3D43"/>
    <w:rsid w:val="00DD6F2C"/>
    <w:rsid w:val="00DD7CAB"/>
    <w:rsid w:val="00DE0EF2"/>
    <w:rsid w:val="00DE1A91"/>
    <w:rsid w:val="00DE33BB"/>
    <w:rsid w:val="00DE33DD"/>
    <w:rsid w:val="00DE4041"/>
    <w:rsid w:val="00DE584C"/>
    <w:rsid w:val="00DE5DCB"/>
    <w:rsid w:val="00DF0459"/>
    <w:rsid w:val="00DF09B3"/>
    <w:rsid w:val="00DF131F"/>
    <w:rsid w:val="00DF3611"/>
    <w:rsid w:val="00DF3B44"/>
    <w:rsid w:val="00DF424F"/>
    <w:rsid w:val="00DF5BC3"/>
    <w:rsid w:val="00DF65FF"/>
    <w:rsid w:val="00DF676B"/>
    <w:rsid w:val="00DF7A45"/>
    <w:rsid w:val="00E00E40"/>
    <w:rsid w:val="00E00F3A"/>
    <w:rsid w:val="00E00F40"/>
    <w:rsid w:val="00E0155F"/>
    <w:rsid w:val="00E01970"/>
    <w:rsid w:val="00E03AFE"/>
    <w:rsid w:val="00E03ED2"/>
    <w:rsid w:val="00E03FC8"/>
    <w:rsid w:val="00E06408"/>
    <w:rsid w:val="00E06638"/>
    <w:rsid w:val="00E06C9D"/>
    <w:rsid w:val="00E06D11"/>
    <w:rsid w:val="00E07398"/>
    <w:rsid w:val="00E0794D"/>
    <w:rsid w:val="00E10762"/>
    <w:rsid w:val="00E110F2"/>
    <w:rsid w:val="00E1168A"/>
    <w:rsid w:val="00E121A1"/>
    <w:rsid w:val="00E1243A"/>
    <w:rsid w:val="00E1433C"/>
    <w:rsid w:val="00E15BD7"/>
    <w:rsid w:val="00E1736D"/>
    <w:rsid w:val="00E177B7"/>
    <w:rsid w:val="00E17C90"/>
    <w:rsid w:val="00E2042B"/>
    <w:rsid w:val="00E20C51"/>
    <w:rsid w:val="00E22501"/>
    <w:rsid w:val="00E225C7"/>
    <w:rsid w:val="00E23B9D"/>
    <w:rsid w:val="00E23CDA"/>
    <w:rsid w:val="00E242D5"/>
    <w:rsid w:val="00E25AED"/>
    <w:rsid w:val="00E30872"/>
    <w:rsid w:val="00E30C10"/>
    <w:rsid w:val="00E31126"/>
    <w:rsid w:val="00E3136C"/>
    <w:rsid w:val="00E32DEF"/>
    <w:rsid w:val="00E33B50"/>
    <w:rsid w:val="00E34069"/>
    <w:rsid w:val="00E343F6"/>
    <w:rsid w:val="00E344B7"/>
    <w:rsid w:val="00E34C7C"/>
    <w:rsid w:val="00E35345"/>
    <w:rsid w:val="00E35F47"/>
    <w:rsid w:val="00E36D93"/>
    <w:rsid w:val="00E37223"/>
    <w:rsid w:val="00E372D9"/>
    <w:rsid w:val="00E372F1"/>
    <w:rsid w:val="00E40E33"/>
    <w:rsid w:val="00E412C7"/>
    <w:rsid w:val="00E42184"/>
    <w:rsid w:val="00E42478"/>
    <w:rsid w:val="00E424C4"/>
    <w:rsid w:val="00E42A66"/>
    <w:rsid w:val="00E445B8"/>
    <w:rsid w:val="00E445E9"/>
    <w:rsid w:val="00E45233"/>
    <w:rsid w:val="00E45C66"/>
    <w:rsid w:val="00E4601B"/>
    <w:rsid w:val="00E50140"/>
    <w:rsid w:val="00E50BE3"/>
    <w:rsid w:val="00E51782"/>
    <w:rsid w:val="00E52253"/>
    <w:rsid w:val="00E52579"/>
    <w:rsid w:val="00E53612"/>
    <w:rsid w:val="00E53B53"/>
    <w:rsid w:val="00E55358"/>
    <w:rsid w:val="00E566B0"/>
    <w:rsid w:val="00E61CF3"/>
    <w:rsid w:val="00E62D80"/>
    <w:rsid w:val="00E643C4"/>
    <w:rsid w:val="00E64918"/>
    <w:rsid w:val="00E6695E"/>
    <w:rsid w:val="00E6784F"/>
    <w:rsid w:val="00E67E21"/>
    <w:rsid w:val="00E705B1"/>
    <w:rsid w:val="00E70731"/>
    <w:rsid w:val="00E712DD"/>
    <w:rsid w:val="00E75B10"/>
    <w:rsid w:val="00E75CE5"/>
    <w:rsid w:val="00E769A2"/>
    <w:rsid w:val="00E76DEC"/>
    <w:rsid w:val="00E77119"/>
    <w:rsid w:val="00E7717D"/>
    <w:rsid w:val="00E80355"/>
    <w:rsid w:val="00E80E02"/>
    <w:rsid w:val="00E815F9"/>
    <w:rsid w:val="00E81A0E"/>
    <w:rsid w:val="00E81BEC"/>
    <w:rsid w:val="00E82026"/>
    <w:rsid w:val="00E8299F"/>
    <w:rsid w:val="00E83A04"/>
    <w:rsid w:val="00E83E2B"/>
    <w:rsid w:val="00E8472E"/>
    <w:rsid w:val="00E85B5F"/>
    <w:rsid w:val="00E8744B"/>
    <w:rsid w:val="00E9069F"/>
    <w:rsid w:val="00E90E86"/>
    <w:rsid w:val="00E9217B"/>
    <w:rsid w:val="00E967AC"/>
    <w:rsid w:val="00E96F9F"/>
    <w:rsid w:val="00E971D3"/>
    <w:rsid w:val="00E972D2"/>
    <w:rsid w:val="00EA0C0E"/>
    <w:rsid w:val="00EA0CEA"/>
    <w:rsid w:val="00EA1C89"/>
    <w:rsid w:val="00EA2615"/>
    <w:rsid w:val="00EA30B4"/>
    <w:rsid w:val="00EA3D05"/>
    <w:rsid w:val="00EA3E33"/>
    <w:rsid w:val="00EA54FA"/>
    <w:rsid w:val="00EA72F2"/>
    <w:rsid w:val="00EB086A"/>
    <w:rsid w:val="00EB0DBD"/>
    <w:rsid w:val="00EB11DF"/>
    <w:rsid w:val="00EB1503"/>
    <w:rsid w:val="00EB157F"/>
    <w:rsid w:val="00EB2D5A"/>
    <w:rsid w:val="00EB644D"/>
    <w:rsid w:val="00EB7D35"/>
    <w:rsid w:val="00EC036D"/>
    <w:rsid w:val="00EC12A3"/>
    <w:rsid w:val="00EC1302"/>
    <w:rsid w:val="00EC1BAC"/>
    <w:rsid w:val="00EC1FE3"/>
    <w:rsid w:val="00EC3DB0"/>
    <w:rsid w:val="00EC468E"/>
    <w:rsid w:val="00EC4F0A"/>
    <w:rsid w:val="00EC572B"/>
    <w:rsid w:val="00EC5AB1"/>
    <w:rsid w:val="00EC5CE4"/>
    <w:rsid w:val="00EC7525"/>
    <w:rsid w:val="00ED0606"/>
    <w:rsid w:val="00ED1A94"/>
    <w:rsid w:val="00ED4471"/>
    <w:rsid w:val="00ED4D57"/>
    <w:rsid w:val="00ED51AE"/>
    <w:rsid w:val="00ED70C5"/>
    <w:rsid w:val="00ED7120"/>
    <w:rsid w:val="00EE1003"/>
    <w:rsid w:val="00EE1B62"/>
    <w:rsid w:val="00EE292B"/>
    <w:rsid w:val="00EE50F7"/>
    <w:rsid w:val="00EE5235"/>
    <w:rsid w:val="00EE57C0"/>
    <w:rsid w:val="00EE65AD"/>
    <w:rsid w:val="00EE719E"/>
    <w:rsid w:val="00EE7416"/>
    <w:rsid w:val="00EE7C1B"/>
    <w:rsid w:val="00EF0CCF"/>
    <w:rsid w:val="00EF16F6"/>
    <w:rsid w:val="00EF1A41"/>
    <w:rsid w:val="00EF1E32"/>
    <w:rsid w:val="00EF3828"/>
    <w:rsid w:val="00EF3CE0"/>
    <w:rsid w:val="00EF693D"/>
    <w:rsid w:val="00EF699D"/>
    <w:rsid w:val="00EF729E"/>
    <w:rsid w:val="00EF74CB"/>
    <w:rsid w:val="00EF7D5A"/>
    <w:rsid w:val="00F00A50"/>
    <w:rsid w:val="00F02235"/>
    <w:rsid w:val="00F04169"/>
    <w:rsid w:val="00F0487F"/>
    <w:rsid w:val="00F04C20"/>
    <w:rsid w:val="00F104F6"/>
    <w:rsid w:val="00F11BCA"/>
    <w:rsid w:val="00F12102"/>
    <w:rsid w:val="00F138CA"/>
    <w:rsid w:val="00F1484E"/>
    <w:rsid w:val="00F1679B"/>
    <w:rsid w:val="00F21B3B"/>
    <w:rsid w:val="00F21D02"/>
    <w:rsid w:val="00F22741"/>
    <w:rsid w:val="00F22963"/>
    <w:rsid w:val="00F236AF"/>
    <w:rsid w:val="00F2421C"/>
    <w:rsid w:val="00F24269"/>
    <w:rsid w:val="00F24A22"/>
    <w:rsid w:val="00F260C0"/>
    <w:rsid w:val="00F3078B"/>
    <w:rsid w:val="00F30E08"/>
    <w:rsid w:val="00F31912"/>
    <w:rsid w:val="00F32F7C"/>
    <w:rsid w:val="00F3579F"/>
    <w:rsid w:val="00F358D3"/>
    <w:rsid w:val="00F3654E"/>
    <w:rsid w:val="00F36904"/>
    <w:rsid w:val="00F36AA6"/>
    <w:rsid w:val="00F37086"/>
    <w:rsid w:val="00F402BD"/>
    <w:rsid w:val="00F40730"/>
    <w:rsid w:val="00F41358"/>
    <w:rsid w:val="00F41DA0"/>
    <w:rsid w:val="00F4291E"/>
    <w:rsid w:val="00F42D08"/>
    <w:rsid w:val="00F4352C"/>
    <w:rsid w:val="00F4438F"/>
    <w:rsid w:val="00F45085"/>
    <w:rsid w:val="00F46900"/>
    <w:rsid w:val="00F469CC"/>
    <w:rsid w:val="00F4774D"/>
    <w:rsid w:val="00F47EB0"/>
    <w:rsid w:val="00F50E7A"/>
    <w:rsid w:val="00F51056"/>
    <w:rsid w:val="00F514CB"/>
    <w:rsid w:val="00F569AE"/>
    <w:rsid w:val="00F576A8"/>
    <w:rsid w:val="00F57A26"/>
    <w:rsid w:val="00F600B7"/>
    <w:rsid w:val="00F60AB1"/>
    <w:rsid w:val="00F61CDA"/>
    <w:rsid w:val="00F62FB7"/>
    <w:rsid w:val="00F63FC8"/>
    <w:rsid w:val="00F64570"/>
    <w:rsid w:val="00F645E0"/>
    <w:rsid w:val="00F64B7B"/>
    <w:rsid w:val="00F66649"/>
    <w:rsid w:val="00F66920"/>
    <w:rsid w:val="00F66B8C"/>
    <w:rsid w:val="00F676A6"/>
    <w:rsid w:val="00F702AC"/>
    <w:rsid w:val="00F70D86"/>
    <w:rsid w:val="00F71D9E"/>
    <w:rsid w:val="00F71E8F"/>
    <w:rsid w:val="00F72041"/>
    <w:rsid w:val="00F720F3"/>
    <w:rsid w:val="00F72DEF"/>
    <w:rsid w:val="00F72DF8"/>
    <w:rsid w:val="00F73393"/>
    <w:rsid w:val="00F738D3"/>
    <w:rsid w:val="00F73DB1"/>
    <w:rsid w:val="00F748A6"/>
    <w:rsid w:val="00F7529C"/>
    <w:rsid w:val="00F75BD6"/>
    <w:rsid w:val="00F75D97"/>
    <w:rsid w:val="00F7679F"/>
    <w:rsid w:val="00F77E7F"/>
    <w:rsid w:val="00F81BE6"/>
    <w:rsid w:val="00F85194"/>
    <w:rsid w:val="00F851BE"/>
    <w:rsid w:val="00F9127E"/>
    <w:rsid w:val="00F916A7"/>
    <w:rsid w:val="00F91785"/>
    <w:rsid w:val="00F92759"/>
    <w:rsid w:val="00F930AC"/>
    <w:rsid w:val="00F96ACB"/>
    <w:rsid w:val="00FA0811"/>
    <w:rsid w:val="00FA0CF0"/>
    <w:rsid w:val="00FA20A6"/>
    <w:rsid w:val="00FA2CAF"/>
    <w:rsid w:val="00FA2DA2"/>
    <w:rsid w:val="00FA5926"/>
    <w:rsid w:val="00FA661A"/>
    <w:rsid w:val="00FA763D"/>
    <w:rsid w:val="00FA77C7"/>
    <w:rsid w:val="00FA7CD1"/>
    <w:rsid w:val="00FA7DCE"/>
    <w:rsid w:val="00FA7EEF"/>
    <w:rsid w:val="00FB0883"/>
    <w:rsid w:val="00FB3A4E"/>
    <w:rsid w:val="00FB3DD9"/>
    <w:rsid w:val="00FB51A2"/>
    <w:rsid w:val="00FB59C1"/>
    <w:rsid w:val="00FB5A48"/>
    <w:rsid w:val="00FB614B"/>
    <w:rsid w:val="00FB6150"/>
    <w:rsid w:val="00FC1A44"/>
    <w:rsid w:val="00FC26F0"/>
    <w:rsid w:val="00FC32D5"/>
    <w:rsid w:val="00FC3DCA"/>
    <w:rsid w:val="00FC4984"/>
    <w:rsid w:val="00FC520E"/>
    <w:rsid w:val="00FC67F1"/>
    <w:rsid w:val="00FC6EB6"/>
    <w:rsid w:val="00FC70DB"/>
    <w:rsid w:val="00FC7765"/>
    <w:rsid w:val="00FC7F77"/>
    <w:rsid w:val="00FD0329"/>
    <w:rsid w:val="00FD040A"/>
    <w:rsid w:val="00FD5B7E"/>
    <w:rsid w:val="00FD604B"/>
    <w:rsid w:val="00FE1F1D"/>
    <w:rsid w:val="00FE3716"/>
    <w:rsid w:val="00FE3769"/>
    <w:rsid w:val="00FE3D8A"/>
    <w:rsid w:val="00FE619D"/>
    <w:rsid w:val="00FE7318"/>
    <w:rsid w:val="00FE757D"/>
    <w:rsid w:val="00FF019A"/>
    <w:rsid w:val="00FF0308"/>
    <w:rsid w:val="00FF04A3"/>
    <w:rsid w:val="00FF1015"/>
    <w:rsid w:val="00FF1C89"/>
    <w:rsid w:val="00FF224B"/>
    <w:rsid w:val="00FF3252"/>
    <w:rsid w:val="00FF37C1"/>
    <w:rsid w:val="00FF4784"/>
    <w:rsid w:val="00FF536A"/>
    <w:rsid w:val="00FF5D4F"/>
    <w:rsid w:val="00FF609E"/>
    <w:rsid w:val="01062A5C"/>
    <w:rsid w:val="01BC6DAB"/>
    <w:rsid w:val="039C394F"/>
    <w:rsid w:val="04117BDE"/>
    <w:rsid w:val="04B430D3"/>
    <w:rsid w:val="05414BEB"/>
    <w:rsid w:val="058C4A5A"/>
    <w:rsid w:val="069F4B5F"/>
    <w:rsid w:val="09FA0EEC"/>
    <w:rsid w:val="0B323CB2"/>
    <w:rsid w:val="0CD81A0C"/>
    <w:rsid w:val="0E095483"/>
    <w:rsid w:val="0F1808B1"/>
    <w:rsid w:val="10E572E9"/>
    <w:rsid w:val="11E7624A"/>
    <w:rsid w:val="13392CAD"/>
    <w:rsid w:val="157F18F0"/>
    <w:rsid w:val="17060842"/>
    <w:rsid w:val="18B12A33"/>
    <w:rsid w:val="1AAD14AC"/>
    <w:rsid w:val="1ADB2F44"/>
    <w:rsid w:val="1DA872E8"/>
    <w:rsid w:val="1DEA14E1"/>
    <w:rsid w:val="1F601F4A"/>
    <w:rsid w:val="202740CF"/>
    <w:rsid w:val="20D42C6A"/>
    <w:rsid w:val="258D0377"/>
    <w:rsid w:val="27E15CDD"/>
    <w:rsid w:val="28C458CF"/>
    <w:rsid w:val="2B3B459C"/>
    <w:rsid w:val="2F566CC6"/>
    <w:rsid w:val="2F7C2791"/>
    <w:rsid w:val="309548CA"/>
    <w:rsid w:val="315E75FF"/>
    <w:rsid w:val="31805C21"/>
    <w:rsid w:val="32AC3044"/>
    <w:rsid w:val="3A3F14F1"/>
    <w:rsid w:val="3BF6222E"/>
    <w:rsid w:val="3CB517A2"/>
    <w:rsid w:val="3D194E94"/>
    <w:rsid w:val="3D3D7F7D"/>
    <w:rsid w:val="3FDDE68D"/>
    <w:rsid w:val="42336802"/>
    <w:rsid w:val="42686706"/>
    <w:rsid w:val="427E36CF"/>
    <w:rsid w:val="43D25E9D"/>
    <w:rsid w:val="46D670F4"/>
    <w:rsid w:val="49ED0B27"/>
    <w:rsid w:val="49F41101"/>
    <w:rsid w:val="4B5D6CBC"/>
    <w:rsid w:val="4CBF4905"/>
    <w:rsid w:val="4CCE344D"/>
    <w:rsid w:val="4EA40FDB"/>
    <w:rsid w:val="52383AA6"/>
    <w:rsid w:val="53B57F81"/>
    <w:rsid w:val="557F1367"/>
    <w:rsid w:val="568C369D"/>
    <w:rsid w:val="5BAD7361"/>
    <w:rsid w:val="5BDF572E"/>
    <w:rsid w:val="5D2341B7"/>
    <w:rsid w:val="5D3D3AAE"/>
    <w:rsid w:val="60C5016F"/>
    <w:rsid w:val="60D334F9"/>
    <w:rsid w:val="61941530"/>
    <w:rsid w:val="623625E2"/>
    <w:rsid w:val="62CE1A60"/>
    <w:rsid w:val="6922691E"/>
    <w:rsid w:val="6ABD605A"/>
    <w:rsid w:val="6B4D548B"/>
    <w:rsid w:val="6C7D282A"/>
    <w:rsid w:val="6D8601D1"/>
    <w:rsid w:val="6DAC2894"/>
    <w:rsid w:val="6DCDA0EC"/>
    <w:rsid w:val="6E787B21"/>
    <w:rsid w:val="71B07FDD"/>
    <w:rsid w:val="72516841"/>
    <w:rsid w:val="76A76C3C"/>
    <w:rsid w:val="7A32499F"/>
    <w:rsid w:val="7ADD2EE5"/>
    <w:rsid w:val="7B6A2721"/>
    <w:rsid w:val="7C985833"/>
    <w:rsid w:val="7EFF9E4C"/>
    <w:rsid w:val="97DD88DC"/>
    <w:rsid w:val="9DDEBF85"/>
    <w:rsid w:val="B4FD3DD2"/>
    <w:rsid w:val="BFE7E174"/>
    <w:rsid w:val="D5BF67B5"/>
    <w:rsid w:val="F7D7F652"/>
    <w:rsid w:val="FBF55C49"/>
    <w:rsid w:val="FD7F565D"/>
    <w:rsid w:val="FDFF065E"/>
    <w:rsid w:val="FFFF5B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48"/>
    <w:qFormat/>
    <w:uiPriority w:val="0"/>
    <w:pPr>
      <w:keepNext/>
      <w:keepLines/>
      <w:spacing w:before="120" w:after="120"/>
      <w:outlineLvl w:val="2"/>
    </w:pPr>
    <w:rPr>
      <w:b/>
      <w:bCs/>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18"/>
    <w:qFormat/>
    <w:uiPriority w:val="0"/>
    <w:pPr>
      <w:keepNext/>
      <w:keepLines/>
      <w:tabs>
        <w:tab w:val="left" w:pos="1080"/>
      </w:tabs>
      <w:spacing w:before="280" w:after="290" w:line="376" w:lineRule="auto"/>
      <w:ind w:left="1080" w:hanging="1080"/>
      <w:outlineLvl w:val="4"/>
    </w:pPr>
    <w:rPr>
      <w:b/>
      <w:sz w:val="28"/>
      <w:szCs w:val="20"/>
    </w:rPr>
  </w:style>
  <w:style w:type="paragraph" w:styleId="8">
    <w:name w:val="heading 6"/>
    <w:basedOn w:val="1"/>
    <w:next w:val="7"/>
    <w:link w:val="98"/>
    <w:qFormat/>
    <w:uiPriority w:val="0"/>
    <w:pPr>
      <w:keepNext/>
      <w:keepLines/>
      <w:tabs>
        <w:tab w:val="left" w:pos="1080"/>
      </w:tabs>
      <w:spacing w:before="240" w:after="64" w:line="320" w:lineRule="auto"/>
      <w:ind w:left="1080" w:hanging="1080"/>
      <w:outlineLvl w:val="5"/>
    </w:pPr>
    <w:rPr>
      <w:rFonts w:ascii="Arial" w:hAnsi="Arial" w:eastAsia="黑体"/>
      <w:b/>
      <w:sz w:val="24"/>
      <w:szCs w:val="20"/>
    </w:rPr>
  </w:style>
  <w:style w:type="paragraph" w:styleId="9">
    <w:name w:val="heading 7"/>
    <w:basedOn w:val="1"/>
    <w:next w:val="1"/>
    <w:link w:val="93"/>
    <w:qFormat/>
    <w:uiPriority w:val="0"/>
    <w:pPr>
      <w:keepNext/>
      <w:keepLines/>
      <w:tabs>
        <w:tab w:val="left" w:pos="1080"/>
      </w:tabs>
      <w:spacing w:before="240" w:after="64" w:line="320" w:lineRule="auto"/>
      <w:ind w:left="1080" w:hanging="1080"/>
      <w:outlineLvl w:val="6"/>
    </w:pPr>
    <w:rPr>
      <w:b/>
      <w:sz w:val="24"/>
      <w:szCs w:val="20"/>
    </w:rPr>
  </w:style>
  <w:style w:type="paragraph" w:styleId="10">
    <w:name w:val="heading 8"/>
    <w:basedOn w:val="1"/>
    <w:next w:val="7"/>
    <w:link w:val="131"/>
    <w:qFormat/>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1">
    <w:name w:val="heading 9"/>
    <w:basedOn w:val="1"/>
    <w:next w:val="7"/>
    <w:link w:val="71"/>
    <w:qFormat/>
    <w:uiPriority w:val="0"/>
    <w:pPr>
      <w:keepNext/>
      <w:keepLines/>
      <w:tabs>
        <w:tab w:val="left" w:pos="1440"/>
      </w:tabs>
      <w:spacing w:before="240" w:after="64" w:line="320" w:lineRule="auto"/>
      <w:ind w:left="1440" w:hanging="1440"/>
      <w:outlineLvl w:val="8"/>
    </w:pPr>
    <w:rPr>
      <w:rFonts w:ascii="Arial" w:hAnsi="Arial" w:eastAsia="黑体"/>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style>
  <w:style w:type="paragraph" w:styleId="12">
    <w:name w:val="toc 7"/>
    <w:basedOn w:val="1"/>
    <w:next w:val="1"/>
    <w:qFormat/>
    <w:uiPriority w:val="39"/>
    <w:pPr>
      <w:ind w:left="2520" w:leftChars="1200"/>
    </w:pPr>
    <w:rPr>
      <w:szCs w:val="20"/>
    </w:rPr>
  </w:style>
  <w:style w:type="paragraph" w:styleId="13">
    <w:name w:val="Note Heading"/>
    <w:basedOn w:val="1"/>
    <w:next w:val="1"/>
    <w:link w:val="153"/>
    <w:qFormat/>
    <w:uiPriority w:val="0"/>
    <w:pPr>
      <w:jc w:val="center"/>
    </w:pPr>
  </w:style>
  <w:style w:type="paragraph" w:styleId="14">
    <w:name w:val="List Bullet 4"/>
    <w:basedOn w:val="1"/>
    <w:qFormat/>
    <w:uiPriority w:val="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15">
    <w:name w:val="List Number"/>
    <w:basedOn w:val="1"/>
    <w:qFormat/>
    <w:uiPriority w:val="0"/>
    <w:pPr>
      <w:tabs>
        <w:tab w:val="left" w:pos="560"/>
      </w:tabs>
      <w:ind w:left="900" w:hanging="340"/>
    </w:pPr>
    <w:rPr>
      <w:szCs w:val="20"/>
    </w:r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List Bullet"/>
    <w:basedOn w:val="1"/>
    <w:qFormat/>
    <w:uiPriority w:val="0"/>
    <w:pPr>
      <w:adjustRightInd w:val="0"/>
      <w:ind w:left="360" w:hanging="360"/>
      <w:textAlignment w:val="baseline"/>
    </w:pPr>
    <w:rPr>
      <w:kern w:val="0"/>
      <w:sz w:val="24"/>
      <w:szCs w:val="20"/>
    </w:rPr>
  </w:style>
  <w:style w:type="paragraph" w:styleId="18">
    <w:name w:val="Document Map"/>
    <w:basedOn w:val="1"/>
    <w:link w:val="89"/>
    <w:qFormat/>
    <w:uiPriority w:val="0"/>
    <w:pPr>
      <w:shd w:val="clear" w:color="auto" w:fill="000080"/>
    </w:pPr>
    <w:rPr>
      <w:szCs w:val="20"/>
    </w:rPr>
  </w:style>
  <w:style w:type="paragraph" w:styleId="19">
    <w:name w:val="annotation text"/>
    <w:basedOn w:val="1"/>
    <w:link w:val="122"/>
    <w:unhideWhenUsed/>
    <w:qFormat/>
    <w:uiPriority w:val="99"/>
    <w:pPr>
      <w:jc w:val="left"/>
    </w:pPr>
  </w:style>
  <w:style w:type="paragraph" w:styleId="20">
    <w:name w:val="Salutation"/>
    <w:basedOn w:val="1"/>
    <w:next w:val="1"/>
    <w:link w:val="101"/>
    <w:qFormat/>
    <w:uiPriority w:val="0"/>
    <w:pPr>
      <w:spacing w:beforeLines="40" w:afterLines="40" w:line="312" w:lineRule="auto"/>
    </w:pPr>
    <w:rPr>
      <w:kern w:val="0"/>
      <w:sz w:val="24"/>
      <w:szCs w:val="24"/>
    </w:rPr>
  </w:style>
  <w:style w:type="paragraph" w:styleId="21">
    <w:name w:val="Body Text 3"/>
    <w:basedOn w:val="1"/>
    <w:link w:val="106"/>
    <w:qFormat/>
    <w:uiPriority w:val="0"/>
    <w:pPr>
      <w:autoSpaceDE w:val="0"/>
      <w:autoSpaceDN w:val="0"/>
      <w:jc w:val="center"/>
    </w:pPr>
    <w:rPr>
      <w:kern w:val="0"/>
      <w:sz w:val="16"/>
      <w:szCs w:val="20"/>
    </w:rPr>
  </w:style>
  <w:style w:type="paragraph" w:styleId="22">
    <w:name w:val="List Bullet 3"/>
    <w:basedOn w:val="1"/>
    <w:qFormat/>
    <w:uiPriority w:val="0"/>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23">
    <w:name w:val="Body Text"/>
    <w:basedOn w:val="1"/>
    <w:link w:val="113"/>
    <w:unhideWhenUsed/>
    <w:qFormat/>
    <w:uiPriority w:val="0"/>
    <w:pPr>
      <w:spacing w:after="120"/>
    </w:pPr>
  </w:style>
  <w:style w:type="paragraph" w:styleId="24">
    <w:name w:val="Body Text Indent"/>
    <w:basedOn w:val="1"/>
    <w:link w:val="100"/>
    <w:qFormat/>
    <w:uiPriority w:val="0"/>
    <w:pPr>
      <w:ind w:firstLine="444"/>
    </w:pPr>
    <w:rPr>
      <w:b/>
      <w:sz w:val="24"/>
      <w:szCs w:val="20"/>
    </w:rPr>
  </w:style>
  <w:style w:type="paragraph" w:styleId="25">
    <w:name w:val="List Bullet 2"/>
    <w:basedOn w:val="1"/>
    <w:qFormat/>
    <w:uiPriority w:val="0"/>
    <w:pPr>
      <w:tabs>
        <w:tab w:val="left" w:pos="1680"/>
      </w:tabs>
      <w:spacing w:line="360" w:lineRule="auto"/>
      <w:ind w:left="1680" w:hanging="420"/>
    </w:pPr>
    <w:rPr>
      <w:sz w:val="24"/>
      <w:szCs w:val="20"/>
    </w:rPr>
  </w:style>
  <w:style w:type="paragraph" w:styleId="26">
    <w:name w:val="toc 5"/>
    <w:basedOn w:val="1"/>
    <w:next w:val="1"/>
    <w:qFormat/>
    <w:uiPriority w:val="39"/>
    <w:pPr>
      <w:ind w:left="1680" w:leftChars="800"/>
    </w:pPr>
    <w:rPr>
      <w:szCs w:val="20"/>
    </w:rPr>
  </w:style>
  <w:style w:type="paragraph" w:styleId="27">
    <w:name w:val="toc 3"/>
    <w:basedOn w:val="1"/>
    <w:next w:val="1"/>
    <w:qFormat/>
    <w:uiPriority w:val="39"/>
    <w:pPr>
      <w:tabs>
        <w:tab w:val="right" w:leader="dot" w:pos="9231"/>
      </w:tabs>
      <w:ind w:left="840" w:leftChars="400"/>
    </w:pPr>
    <w:rPr>
      <w:szCs w:val="24"/>
    </w:rPr>
  </w:style>
  <w:style w:type="paragraph" w:styleId="28">
    <w:name w:val="Plain Text"/>
    <w:basedOn w:val="1"/>
    <w:link w:val="116"/>
    <w:qFormat/>
    <w:uiPriority w:val="0"/>
    <w:rPr>
      <w:rFonts w:ascii="宋体" w:hAnsi="Courier New"/>
      <w:kern w:val="0"/>
      <w:sz w:val="20"/>
      <w:szCs w:val="20"/>
    </w:rPr>
  </w:style>
  <w:style w:type="paragraph" w:styleId="29">
    <w:name w:val="toc 8"/>
    <w:basedOn w:val="1"/>
    <w:next w:val="1"/>
    <w:qFormat/>
    <w:uiPriority w:val="39"/>
    <w:pPr>
      <w:ind w:left="2940" w:leftChars="1400"/>
    </w:pPr>
    <w:rPr>
      <w:szCs w:val="20"/>
    </w:rPr>
  </w:style>
  <w:style w:type="paragraph" w:styleId="30">
    <w:name w:val="Date"/>
    <w:basedOn w:val="1"/>
    <w:next w:val="1"/>
    <w:link w:val="124"/>
    <w:qFormat/>
    <w:uiPriority w:val="0"/>
  </w:style>
  <w:style w:type="paragraph" w:styleId="31">
    <w:name w:val="Body Text Indent 2"/>
    <w:basedOn w:val="1"/>
    <w:link w:val="140"/>
    <w:qFormat/>
    <w:uiPriority w:val="0"/>
    <w:pPr>
      <w:adjustRightInd w:val="0"/>
      <w:spacing w:line="360" w:lineRule="auto"/>
      <w:ind w:firstLine="420" w:firstLineChars="175"/>
    </w:pPr>
    <w:rPr>
      <w:rFonts w:ascii="宋体" w:hAnsi="宋体"/>
      <w:b/>
      <w:bCs/>
      <w:sz w:val="24"/>
      <w:szCs w:val="20"/>
    </w:rPr>
  </w:style>
  <w:style w:type="paragraph" w:styleId="32">
    <w:name w:val="Balloon Text"/>
    <w:basedOn w:val="1"/>
    <w:link w:val="151"/>
    <w:qFormat/>
    <w:uiPriority w:val="0"/>
    <w:rPr>
      <w:sz w:val="18"/>
      <w:szCs w:val="18"/>
    </w:rPr>
  </w:style>
  <w:style w:type="paragraph" w:styleId="33">
    <w:name w:val="footer"/>
    <w:basedOn w:val="1"/>
    <w:link w:val="74"/>
    <w:qFormat/>
    <w:uiPriority w:val="99"/>
    <w:pPr>
      <w:tabs>
        <w:tab w:val="center" w:pos="4153"/>
        <w:tab w:val="right" w:pos="8306"/>
      </w:tabs>
      <w:snapToGrid w:val="0"/>
      <w:jc w:val="left"/>
    </w:pPr>
    <w:rPr>
      <w:kern w:val="0"/>
      <w:sz w:val="18"/>
      <w:szCs w:val="20"/>
    </w:rPr>
  </w:style>
  <w:style w:type="paragraph" w:styleId="34">
    <w:name w:val="header"/>
    <w:basedOn w:val="1"/>
    <w:link w:val="147"/>
    <w:qFormat/>
    <w:uiPriority w:val="0"/>
    <w:pPr>
      <w:pBdr>
        <w:bottom w:val="single" w:color="auto" w:sz="6" w:space="1"/>
      </w:pBdr>
      <w:tabs>
        <w:tab w:val="center" w:pos="4153"/>
        <w:tab w:val="right" w:pos="8306"/>
      </w:tabs>
      <w:snapToGrid w:val="0"/>
      <w:jc w:val="center"/>
    </w:pPr>
    <w:rPr>
      <w:kern w:val="0"/>
      <w:sz w:val="18"/>
      <w:szCs w:val="20"/>
    </w:rPr>
  </w:style>
  <w:style w:type="paragraph" w:styleId="35">
    <w:name w:val="toc 1"/>
    <w:basedOn w:val="1"/>
    <w:next w:val="1"/>
    <w:qFormat/>
    <w:uiPriority w:val="39"/>
    <w:pPr>
      <w:tabs>
        <w:tab w:val="left" w:pos="840"/>
        <w:tab w:val="right" w:leader="dot" w:pos="9231"/>
      </w:tabs>
    </w:pPr>
    <w:rPr>
      <w:szCs w:val="24"/>
    </w:rPr>
  </w:style>
  <w:style w:type="paragraph" w:styleId="36">
    <w:name w:val="toc 4"/>
    <w:basedOn w:val="1"/>
    <w:next w:val="1"/>
    <w:qFormat/>
    <w:uiPriority w:val="39"/>
    <w:pPr>
      <w:ind w:left="1260" w:leftChars="600"/>
    </w:pPr>
    <w:rPr>
      <w:szCs w:val="20"/>
    </w:rPr>
  </w:style>
  <w:style w:type="paragraph" w:styleId="37">
    <w:name w:val="Subtitle"/>
    <w:basedOn w:val="1"/>
    <w:next w:val="1"/>
    <w:link w:val="63"/>
    <w:qFormat/>
    <w:uiPriority w:val="0"/>
    <w:pPr>
      <w:spacing w:beforeLines="100" w:afterLines="50" w:line="360" w:lineRule="auto"/>
      <w:jc w:val="center"/>
    </w:pPr>
    <w:rPr>
      <w:rFonts w:ascii="Arial" w:hAnsi="Arial" w:eastAsia="方正魏碑简体"/>
      <w:bCs/>
      <w:kern w:val="28"/>
      <w:sz w:val="32"/>
      <w:szCs w:val="32"/>
    </w:rPr>
  </w:style>
  <w:style w:type="paragraph" w:styleId="38">
    <w:name w:val="footnote text"/>
    <w:basedOn w:val="1"/>
    <w:link w:val="141"/>
    <w:unhideWhenUsed/>
    <w:qFormat/>
    <w:uiPriority w:val="0"/>
    <w:pPr>
      <w:snapToGrid w:val="0"/>
      <w:jc w:val="left"/>
    </w:pPr>
    <w:rPr>
      <w:sz w:val="18"/>
      <w:szCs w:val="18"/>
    </w:rPr>
  </w:style>
  <w:style w:type="paragraph" w:styleId="39">
    <w:name w:val="toc 6"/>
    <w:basedOn w:val="1"/>
    <w:next w:val="1"/>
    <w:qFormat/>
    <w:uiPriority w:val="39"/>
    <w:pPr>
      <w:ind w:left="2100" w:leftChars="1000"/>
    </w:pPr>
    <w:rPr>
      <w:szCs w:val="20"/>
    </w:rPr>
  </w:style>
  <w:style w:type="paragraph" w:styleId="40">
    <w:name w:val="Body Text Indent 3"/>
    <w:basedOn w:val="1"/>
    <w:link w:val="80"/>
    <w:qFormat/>
    <w:uiPriority w:val="0"/>
    <w:pPr>
      <w:spacing w:afterLines="50"/>
      <w:ind w:firstLine="420" w:firstLineChars="200"/>
    </w:pPr>
    <w:rPr>
      <w:szCs w:val="21"/>
    </w:rPr>
  </w:style>
  <w:style w:type="paragraph" w:styleId="41">
    <w:name w:val="toc 2"/>
    <w:basedOn w:val="1"/>
    <w:next w:val="1"/>
    <w:qFormat/>
    <w:uiPriority w:val="39"/>
    <w:pPr>
      <w:tabs>
        <w:tab w:val="left" w:pos="851"/>
        <w:tab w:val="right" w:leader="dot" w:pos="9231"/>
      </w:tabs>
      <w:ind w:left="420" w:leftChars="200"/>
    </w:pPr>
    <w:rPr>
      <w:szCs w:val="20"/>
    </w:rPr>
  </w:style>
  <w:style w:type="paragraph" w:styleId="42">
    <w:name w:val="toc 9"/>
    <w:basedOn w:val="1"/>
    <w:next w:val="1"/>
    <w:qFormat/>
    <w:uiPriority w:val="39"/>
    <w:pPr>
      <w:ind w:left="3360" w:leftChars="1600"/>
    </w:pPr>
    <w:rPr>
      <w:szCs w:val="20"/>
    </w:rPr>
  </w:style>
  <w:style w:type="paragraph" w:styleId="43">
    <w:name w:val="Body Text 2"/>
    <w:basedOn w:val="1"/>
    <w:link w:val="123"/>
    <w:qFormat/>
    <w:uiPriority w:val="0"/>
    <w:pPr>
      <w:spacing w:after="120" w:line="480" w:lineRule="auto"/>
    </w:pPr>
    <w:rPr>
      <w:szCs w:val="20"/>
    </w:rPr>
  </w:style>
  <w:style w:type="paragraph" w:styleId="44">
    <w:name w:val="HTML Preformatted"/>
    <w:basedOn w:val="1"/>
    <w:link w:val="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6">
    <w:name w:val="Title"/>
    <w:basedOn w:val="1"/>
    <w:link w:val="130"/>
    <w:qFormat/>
    <w:uiPriority w:val="0"/>
    <w:pPr>
      <w:spacing w:before="240" w:after="240" w:line="360" w:lineRule="auto"/>
      <w:jc w:val="center"/>
    </w:pPr>
    <w:rPr>
      <w:rFonts w:ascii="Arial" w:hAnsi="Arial" w:eastAsia="黑体"/>
      <w:kern w:val="0"/>
      <w:sz w:val="44"/>
      <w:szCs w:val="20"/>
    </w:rPr>
  </w:style>
  <w:style w:type="paragraph" w:styleId="47">
    <w:name w:val="annotation subject"/>
    <w:basedOn w:val="19"/>
    <w:next w:val="19"/>
    <w:link w:val="105"/>
    <w:unhideWhenUsed/>
    <w:qFormat/>
    <w:uiPriority w:val="99"/>
    <w:rPr>
      <w:b/>
      <w:bCs/>
      <w:kern w:val="0"/>
      <w:sz w:val="20"/>
      <w:szCs w:val="20"/>
    </w:rPr>
  </w:style>
  <w:style w:type="paragraph" w:styleId="48">
    <w:name w:val="Body Text First Indent"/>
    <w:basedOn w:val="23"/>
    <w:link w:val="135"/>
    <w:qFormat/>
    <w:uiPriority w:val="0"/>
    <w:pPr>
      <w:ind w:firstLine="510"/>
    </w:pPr>
    <w:rPr>
      <w:sz w:val="24"/>
    </w:rPr>
  </w:style>
  <w:style w:type="paragraph" w:styleId="49">
    <w:name w:val="Body Text First Indent 2"/>
    <w:basedOn w:val="24"/>
    <w:link w:val="307"/>
    <w:semiHidden/>
    <w:unhideWhenUsed/>
    <w:qFormat/>
    <w:uiPriority w:val="0"/>
    <w:pPr>
      <w:spacing w:after="120" w:line="240" w:lineRule="auto"/>
      <w:ind w:left="420" w:leftChars="200" w:firstLine="420" w:firstLineChars="200"/>
    </w:pPr>
    <w:rPr>
      <w:rFonts w:ascii="Calibri" w:hAnsi="Calibri"/>
      <w:b w:val="0"/>
      <w:sz w:val="21"/>
      <w:szCs w:val="22"/>
    </w:rPr>
  </w:style>
  <w:style w:type="table" w:styleId="51">
    <w:name w:val="Table Grid"/>
    <w:basedOn w:val="50"/>
    <w:qFormat/>
    <w:uiPriority w:val="5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TML Definition"/>
    <w:basedOn w:val="52"/>
    <w:qFormat/>
    <w:uiPriority w:val="0"/>
  </w:style>
  <w:style w:type="character" w:styleId="58">
    <w:name w:val="HTML Variable"/>
    <w:basedOn w:val="52"/>
    <w:qFormat/>
    <w:uiPriority w:val="0"/>
  </w:style>
  <w:style w:type="character" w:styleId="59">
    <w:name w:val="Hyperlink"/>
    <w:qFormat/>
    <w:uiPriority w:val="99"/>
    <w:rPr>
      <w:color w:val="0000FF"/>
      <w:u w:val="single"/>
    </w:rPr>
  </w:style>
  <w:style w:type="character" w:styleId="60">
    <w:name w:val="HTML Code"/>
    <w:basedOn w:val="52"/>
    <w:qFormat/>
    <w:uiPriority w:val="0"/>
    <w:rPr>
      <w:rFonts w:ascii="Courier New" w:hAnsi="Courier New"/>
      <w:sz w:val="20"/>
    </w:rPr>
  </w:style>
  <w:style w:type="character" w:styleId="61">
    <w:name w:val="annotation reference"/>
    <w:unhideWhenUsed/>
    <w:qFormat/>
    <w:uiPriority w:val="99"/>
    <w:rPr>
      <w:sz w:val="21"/>
      <w:szCs w:val="21"/>
    </w:rPr>
  </w:style>
  <w:style w:type="character" w:styleId="62">
    <w:name w:val="HTML Cite"/>
    <w:basedOn w:val="52"/>
    <w:qFormat/>
    <w:uiPriority w:val="0"/>
  </w:style>
  <w:style w:type="character" w:customStyle="1" w:styleId="63">
    <w:name w:val="副标题 Char"/>
    <w:link w:val="37"/>
    <w:qFormat/>
    <w:uiPriority w:val="0"/>
    <w:rPr>
      <w:rFonts w:ascii="Arial" w:hAnsi="Arial" w:eastAsia="方正魏碑简体" w:cs="Arial"/>
      <w:bCs/>
      <w:kern w:val="28"/>
      <w:sz w:val="32"/>
      <w:szCs w:val="32"/>
    </w:rPr>
  </w:style>
  <w:style w:type="character" w:customStyle="1" w:styleId="64">
    <w:name w:val="标题 4 Char"/>
    <w:basedOn w:val="52"/>
    <w:link w:val="5"/>
    <w:qFormat/>
    <w:uiPriority w:val="0"/>
    <w:rPr>
      <w:rFonts w:ascii="Arial" w:hAnsi="Arial" w:eastAsia="黑体" w:cs="Times New Roman"/>
      <w:b/>
      <w:bCs/>
      <w:sz w:val="28"/>
      <w:szCs w:val="28"/>
    </w:rPr>
  </w:style>
  <w:style w:type="character" w:customStyle="1" w:styleId="65">
    <w:name w:val="Char Char3"/>
    <w:qFormat/>
    <w:uiPriority w:val="0"/>
    <w:rPr>
      <w:kern w:val="2"/>
      <w:sz w:val="21"/>
    </w:rPr>
  </w:style>
  <w:style w:type="character" w:customStyle="1" w:styleId="66">
    <w:name w:val="引用 Char1"/>
    <w:basedOn w:val="52"/>
    <w:link w:val="67"/>
    <w:qFormat/>
    <w:locked/>
    <w:uiPriority w:val="0"/>
    <w:rPr>
      <w:rFonts w:ascii="Calibri" w:hAnsi="Calibri" w:eastAsia="宋体" w:cs="Times New Roman"/>
      <w:i/>
      <w:iCs/>
      <w:color w:val="000000"/>
      <w:sz w:val="22"/>
      <w:szCs w:val="22"/>
      <w:lang w:eastAsia="en-US" w:bidi="en-US"/>
    </w:rPr>
  </w:style>
  <w:style w:type="paragraph" w:customStyle="1" w:styleId="67">
    <w:name w:val="引用1"/>
    <w:basedOn w:val="1"/>
    <w:next w:val="1"/>
    <w:link w:val="66"/>
    <w:qFormat/>
    <w:uiPriority w:val="0"/>
    <w:pPr>
      <w:widowControl/>
      <w:spacing w:after="200" w:line="276" w:lineRule="auto"/>
      <w:jc w:val="left"/>
    </w:pPr>
    <w:rPr>
      <w:rFonts w:ascii="Calibri" w:hAnsi="Calibri"/>
      <w:i/>
      <w:iCs/>
      <w:color w:val="000000"/>
      <w:kern w:val="0"/>
      <w:sz w:val="22"/>
      <w:lang w:eastAsia="en-US" w:bidi="en-US"/>
    </w:rPr>
  </w:style>
  <w:style w:type="character" w:customStyle="1" w:styleId="68">
    <w:name w:val="标题 2 Char"/>
    <w:basedOn w:val="52"/>
    <w:link w:val="3"/>
    <w:qFormat/>
    <w:uiPriority w:val="0"/>
    <w:rPr>
      <w:rFonts w:ascii="Arial" w:hAnsi="Arial" w:eastAsia="黑体" w:cs="Times New Roman"/>
      <w:b/>
      <w:bCs/>
      <w:sz w:val="32"/>
      <w:szCs w:val="32"/>
    </w:rPr>
  </w:style>
  <w:style w:type="character" w:customStyle="1" w:styleId="69">
    <w:name w:val="标准款样式 Char"/>
    <w:basedOn w:val="52"/>
    <w:link w:val="70"/>
    <w:qFormat/>
    <w:uiPriority w:val="0"/>
    <w:rPr>
      <w:rFonts w:ascii="黑体" w:hAnsi="宋体" w:eastAsia="宋体" w:cs="Times New Roman"/>
      <w:kern w:val="2"/>
      <w:sz w:val="21"/>
    </w:rPr>
  </w:style>
  <w:style w:type="paragraph" w:customStyle="1" w:styleId="70">
    <w:name w:val="标准款样式"/>
    <w:basedOn w:val="1"/>
    <w:link w:val="69"/>
    <w:qFormat/>
    <w:uiPriority w:val="0"/>
    <w:rPr>
      <w:rFonts w:ascii="黑体" w:hAnsi="宋体"/>
      <w:szCs w:val="20"/>
    </w:rPr>
  </w:style>
  <w:style w:type="character" w:customStyle="1" w:styleId="71">
    <w:name w:val="标题 9 Char"/>
    <w:basedOn w:val="52"/>
    <w:link w:val="11"/>
    <w:qFormat/>
    <w:uiPriority w:val="0"/>
    <w:rPr>
      <w:rFonts w:ascii="Arial" w:hAnsi="Arial" w:eastAsia="黑体"/>
      <w:kern w:val="2"/>
      <w:sz w:val="21"/>
    </w:rPr>
  </w:style>
  <w:style w:type="character" w:customStyle="1" w:styleId="72">
    <w:name w:val="居中 Char"/>
    <w:qFormat/>
    <w:uiPriority w:val="0"/>
    <w:rPr>
      <w:kern w:val="2"/>
      <w:sz w:val="24"/>
    </w:rPr>
  </w:style>
  <w:style w:type="character" w:customStyle="1" w:styleId="73">
    <w:name w:val="正文文本 3 Char1"/>
    <w:basedOn w:val="52"/>
    <w:semiHidden/>
    <w:qFormat/>
    <w:uiPriority w:val="99"/>
    <w:rPr>
      <w:sz w:val="16"/>
      <w:szCs w:val="16"/>
    </w:rPr>
  </w:style>
  <w:style w:type="character" w:customStyle="1" w:styleId="74">
    <w:name w:val="页脚 Char"/>
    <w:link w:val="33"/>
    <w:qFormat/>
    <w:uiPriority w:val="99"/>
    <w:rPr>
      <w:sz w:val="18"/>
    </w:rPr>
  </w:style>
  <w:style w:type="character" w:customStyle="1" w:styleId="75">
    <w:name w:val="Char Char"/>
    <w:semiHidden/>
    <w:qFormat/>
    <w:uiPriority w:val="0"/>
    <w:rPr>
      <w:b/>
      <w:bCs/>
      <w:kern w:val="2"/>
      <w:sz w:val="21"/>
    </w:rPr>
  </w:style>
  <w:style w:type="character" w:customStyle="1" w:styleId="76">
    <w:name w:val="+正文 Char Char2 Char Char Char"/>
    <w:link w:val="77"/>
    <w:qFormat/>
    <w:locked/>
    <w:uiPriority w:val="0"/>
    <w:rPr>
      <w:rFonts w:ascii="宋体" w:hAnsi="宋体"/>
      <w:sz w:val="24"/>
    </w:rPr>
  </w:style>
  <w:style w:type="paragraph" w:customStyle="1" w:styleId="77">
    <w:name w:val="+正文 Char Char2 Char"/>
    <w:basedOn w:val="1"/>
    <w:link w:val="76"/>
    <w:qFormat/>
    <w:uiPriority w:val="0"/>
    <w:pPr>
      <w:spacing w:line="360" w:lineRule="auto"/>
      <w:ind w:firstLine="200" w:firstLineChars="200"/>
    </w:pPr>
    <w:rPr>
      <w:rFonts w:ascii="宋体" w:hAnsi="宋体"/>
      <w:kern w:val="0"/>
      <w:sz w:val="24"/>
      <w:szCs w:val="20"/>
    </w:rPr>
  </w:style>
  <w:style w:type="character" w:customStyle="1" w:styleId="78">
    <w:name w:val="批注主题 Char1"/>
    <w:basedOn w:val="79"/>
    <w:semiHidden/>
    <w:qFormat/>
    <w:uiPriority w:val="99"/>
    <w:rPr>
      <w:b/>
      <w:bCs/>
    </w:rPr>
  </w:style>
  <w:style w:type="character" w:customStyle="1" w:styleId="79">
    <w:name w:val="批注文字 Char1"/>
    <w:basedOn w:val="52"/>
    <w:semiHidden/>
    <w:qFormat/>
    <w:uiPriority w:val="99"/>
  </w:style>
  <w:style w:type="character" w:customStyle="1" w:styleId="80">
    <w:name w:val="正文文本缩进 3 Char"/>
    <w:basedOn w:val="52"/>
    <w:link w:val="40"/>
    <w:qFormat/>
    <w:uiPriority w:val="0"/>
    <w:rPr>
      <w:rFonts w:ascii="Times New Roman" w:hAnsi="Times New Roman" w:eastAsia="宋体" w:cs="Times New Roman"/>
      <w:szCs w:val="21"/>
    </w:rPr>
  </w:style>
  <w:style w:type="character" w:customStyle="1" w:styleId="81">
    <w:name w:val="表正文 Char"/>
    <w:qFormat/>
    <w:uiPriority w:val="0"/>
    <w:rPr>
      <w:rFonts w:eastAsia="宋体"/>
      <w:kern w:val="2"/>
      <w:sz w:val="24"/>
      <w:lang w:val="en-US" w:eastAsia="zh-CN" w:bidi="ar-SA"/>
    </w:rPr>
  </w:style>
  <w:style w:type="character" w:customStyle="1" w:styleId="82">
    <w:name w:val="font12-blue-bold1"/>
    <w:qFormat/>
    <w:uiPriority w:val="0"/>
    <w:rPr>
      <w:b/>
      <w:bCs/>
      <w:color w:val="0249A5"/>
      <w:sz w:val="18"/>
      <w:szCs w:val="18"/>
      <w:u w:val="none"/>
    </w:rPr>
  </w:style>
  <w:style w:type="character" w:customStyle="1" w:styleId="83">
    <w:name w:val="15"/>
    <w:qFormat/>
    <w:uiPriority w:val="0"/>
    <w:rPr>
      <w:rFonts w:hint="default" w:ascii="Calibri" w:hAnsi="Calibri"/>
    </w:rPr>
  </w:style>
  <w:style w:type="character" w:customStyle="1" w:styleId="84">
    <w:name w:val="Char Char4"/>
    <w:qFormat/>
    <w:uiPriority w:val="0"/>
    <w:rPr>
      <w:kern w:val="2"/>
      <w:sz w:val="16"/>
    </w:rPr>
  </w:style>
  <w:style w:type="character" w:customStyle="1" w:styleId="85">
    <w:name w:val="grame"/>
    <w:basedOn w:val="52"/>
    <w:qFormat/>
    <w:uiPriority w:val="0"/>
  </w:style>
  <w:style w:type="character" w:customStyle="1" w:styleId="86">
    <w:name w:val="msoins"/>
    <w:basedOn w:val="52"/>
    <w:qFormat/>
    <w:uiPriority w:val="0"/>
  </w:style>
  <w:style w:type="character" w:customStyle="1" w:styleId="87">
    <w:name w:val="段 Char"/>
    <w:basedOn w:val="52"/>
    <w:link w:val="88"/>
    <w:qFormat/>
    <w:uiPriority w:val="0"/>
    <w:rPr>
      <w:rFonts w:ascii="宋体" w:hAnsi="Times New Roman"/>
      <w:sz w:val="21"/>
      <w:lang w:val="en-US" w:eastAsia="zh-CN" w:bidi="ar-SA"/>
    </w:rPr>
  </w:style>
  <w:style w:type="paragraph" w:customStyle="1" w:styleId="88">
    <w:name w:val="段"/>
    <w:link w:val="87"/>
    <w:qFormat/>
    <w:uiPriority w:val="0"/>
    <w:pPr>
      <w:tabs>
        <w:tab w:val="center" w:pos="4201"/>
        <w:tab w:val="right" w:leader="dot" w:pos="9298"/>
      </w:tabs>
      <w:autoSpaceDE w:val="0"/>
      <w:autoSpaceDN w:val="0"/>
      <w:spacing w:line="300" w:lineRule="auto"/>
      <w:ind w:firstLine="420" w:firstLineChars="200"/>
      <w:jc w:val="both"/>
    </w:pPr>
    <w:rPr>
      <w:rFonts w:ascii="宋体" w:hAnsi="Times New Roman" w:eastAsia="宋体" w:cs="Times New Roman"/>
      <w:sz w:val="21"/>
      <w:lang w:val="en-US" w:eastAsia="zh-CN" w:bidi="ar-SA"/>
    </w:rPr>
  </w:style>
  <w:style w:type="character" w:customStyle="1" w:styleId="89">
    <w:name w:val="文档结构图 Char"/>
    <w:basedOn w:val="52"/>
    <w:link w:val="18"/>
    <w:qFormat/>
    <w:uiPriority w:val="0"/>
    <w:rPr>
      <w:rFonts w:ascii="Times New Roman" w:hAnsi="Times New Roman" w:eastAsia="宋体" w:cs="Times New Roman"/>
      <w:szCs w:val="20"/>
      <w:shd w:val="clear" w:color="auto" w:fill="000080"/>
    </w:rPr>
  </w:style>
  <w:style w:type="character" w:customStyle="1" w:styleId="90">
    <w:name w:val="纯文本 Char1"/>
    <w:basedOn w:val="52"/>
    <w:semiHidden/>
    <w:qFormat/>
    <w:uiPriority w:val="99"/>
    <w:rPr>
      <w:rFonts w:ascii="宋体" w:hAnsi="Courier New" w:eastAsia="宋体" w:cs="Courier New"/>
      <w:szCs w:val="21"/>
    </w:rPr>
  </w:style>
  <w:style w:type="character" w:customStyle="1" w:styleId="91">
    <w:name w:val="HTML 预设格式 Char"/>
    <w:basedOn w:val="52"/>
    <w:link w:val="44"/>
    <w:qFormat/>
    <w:uiPriority w:val="99"/>
    <w:rPr>
      <w:rFonts w:ascii="宋体" w:hAnsi="宋体" w:eastAsia="宋体" w:cs="宋体"/>
      <w:kern w:val="0"/>
      <w:sz w:val="24"/>
      <w:szCs w:val="24"/>
    </w:rPr>
  </w:style>
  <w:style w:type="character" w:customStyle="1" w:styleId="92">
    <w:name w:val="black1"/>
    <w:qFormat/>
    <w:uiPriority w:val="0"/>
    <w:rPr>
      <w:rFonts w:hint="default" w:ascii="ˎ̥" w:hAnsi="ˎ̥"/>
      <w:color w:val="333333"/>
      <w:sz w:val="18"/>
      <w:szCs w:val="18"/>
      <w:u w:val="none"/>
    </w:rPr>
  </w:style>
  <w:style w:type="character" w:customStyle="1" w:styleId="93">
    <w:name w:val="标题 7 Char"/>
    <w:basedOn w:val="52"/>
    <w:link w:val="9"/>
    <w:qFormat/>
    <w:uiPriority w:val="0"/>
    <w:rPr>
      <w:b/>
      <w:kern w:val="2"/>
      <w:sz w:val="24"/>
    </w:rPr>
  </w:style>
  <w:style w:type="character" w:customStyle="1" w:styleId="94">
    <w:name w:val="solutioncontent1"/>
    <w:qFormat/>
    <w:uiPriority w:val="0"/>
    <w:rPr>
      <w:rFonts w:cs="Times New Roman"/>
      <w:color w:val="333333"/>
      <w:sz w:val="15"/>
      <w:szCs w:val="15"/>
    </w:rPr>
  </w:style>
  <w:style w:type="character" w:customStyle="1" w:styleId="95">
    <w:name w:val="+正文 Char Char"/>
    <w:link w:val="96"/>
    <w:qFormat/>
    <w:locked/>
    <w:uiPriority w:val="0"/>
    <w:rPr>
      <w:rFonts w:ascii="楷体_GB2312" w:eastAsia="楷体_GB2312"/>
      <w:sz w:val="24"/>
    </w:rPr>
  </w:style>
  <w:style w:type="paragraph" w:customStyle="1" w:styleId="96">
    <w:name w:val="+正文 Char Char Char"/>
    <w:basedOn w:val="1"/>
    <w:link w:val="95"/>
    <w:qFormat/>
    <w:uiPriority w:val="0"/>
    <w:pPr>
      <w:spacing w:line="360" w:lineRule="auto"/>
      <w:ind w:firstLine="200" w:firstLineChars="200"/>
    </w:pPr>
    <w:rPr>
      <w:rFonts w:ascii="楷体_GB2312" w:eastAsia="楷体_GB2312"/>
      <w:kern w:val="0"/>
      <w:sz w:val="24"/>
      <w:szCs w:val="20"/>
    </w:rPr>
  </w:style>
  <w:style w:type="character" w:customStyle="1" w:styleId="97">
    <w:name w:val="称呼 Char1"/>
    <w:basedOn w:val="52"/>
    <w:semiHidden/>
    <w:qFormat/>
    <w:uiPriority w:val="99"/>
  </w:style>
  <w:style w:type="character" w:customStyle="1" w:styleId="98">
    <w:name w:val="标题 6 Char"/>
    <w:basedOn w:val="52"/>
    <w:link w:val="8"/>
    <w:qFormat/>
    <w:uiPriority w:val="0"/>
    <w:rPr>
      <w:rFonts w:ascii="Arial" w:hAnsi="Arial" w:eastAsia="黑体"/>
      <w:b/>
      <w:kern w:val="2"/>
      <w:sz w:val="24"/>
    </w:rPr>
  </w:style>
  <w:style w:type="character" w:customStyle="1" w:styleId="99">
    <w:name w:val="Char Char8"/>
    <w:qFormat/>
    <w:uiPriority w:val="0"/>
    <w:rPr>
      <w:kern w:val="2"/>
      <w:sz w:val="21"/>
    </w:rPr>
  </w:style>
  <w:style w:type="character" w:customStyle="1" w:styleId="100">
    <w:name w:val="正文文本缩进 Char"/>
    <w:basedOn w:val="52"/>
    <w:link w:val="24"/>
    <w:qFormat/>
    <w:uiPriority w:val="0"/>
    <w:rPr>
      <w:rFonts w:ascii="Times New Roman" w:hAnsi="Times New Roman" w:eastAsia="宋体" w:cs="Times New Roman"/>
      <w:b/>
      <w:sz w:val="24"/>
      <w:szCs w:val="20"/>
    </w:rPr>
  </w:style>
  <w:style w:type="character" w:customStyle="1" w:styleId="101">
    <w:name w:val="称呼 Char"/>
    <w:link w:val="20"/>
    <w:qFormat/>
    <w:uiPriority w:val="0"/>
    <w:rPr>
      <w:sz w:val="24"/>
      <w:szCs w:val="24"/>
    </w:rPr>
  </w:style>
  <w:style w:type="character" w:customStyle="1" w:styleId="102">
    <w:name w:val="16"/>
    <w:qFormat/>
    <w:uiPriority w:val="0"/>
    <w:rPr>
      <w:rFonts w:hint="default" w:ascii="Times New Roman" w:hAnsi="Times New Roman" w:cs="Times New Roman"/>
      <w:color w:val="0000FF"/>
      <w:sz w:val="20"/>
      <w:szCs w:val="20"/>
      <w:u w:val="single"/>
    </w:rPr>
  </w:style>
  <w:style w:type="character" w:customStyle="1" w:styleId="103">
    <w:name w:val="+正文 Char2 Char Char"/>
    <w:link w:val="104"/>
    <w:qFormat/>
    <w:locked/>
    <w:uiPriority w:val="0"/>
    <w:rPr>
      <w:rFonts w:ascii="宋体" w:hAnsi="宋体"/>
      <w:sz w:val="24"/>
    </w:rPr>
  </w:style>
  <w:style w:type="paragraph" w:customStyle="1" w:styleId="104">
    <w:name w:val="+正文 Char2"/>
    <w:basedOn w:val="1"/>
    <w:link w:val="103"/>
    <w:qFormat/>
    <w:uiPriority w:val="0"/>
    <w:pPr>
      <w:spacing w:line="360" w:lineRule="auto"/>
      <w:ind w:firstLine="200" w:firstLineChars="200"/>
    </w:pPr>
    <w:rPr>
      <w:rFonts w:ascii="宋体" w:hAnsi="宋体"/>
      <w:kern w:val="0"/>
      <w:sz w:val="24"/>
      <w:szCs w:val="20"/>
    </w:rPr>
  </w:style>
  <w:style w:type="character" w:customStyle="1" w:styleId="105">
    <w:name w:val="批注主题 Char"/>
    <w:link w:val="47"/>
    <w:qFormat/>
    <w:uiPriority w:val="99"/>
    <w:rPr>
      <w:b/>
      <w:bCs/>
    </w:rPr>
  </w:style>
  <w:style w:type="character" w:customStyle="1" w:styleId="106">
    <w:name w:val="正文文本 3 Char"/>
    <w:link w:val="21"/>
    <w:qFormat/>
    <w:uiPriority w:val="0"/>
    <w:rPr>
      <w:sz w:val="16"/>
    </w:rPr>
  </w:style>
  <w:style w:type="character" w:customStyle="1" w:styleId="107">
    <w:name w:val="+正文 Char5 Char Char Char Char Char"/>
    <w:link w:val="108"/>
    <w:qFormat/>
    <w:locked/>
    <w:uiPriority w:val="0"/>
    <w:rPr>
      <w:rFonts w:ascii="宋体" w:hAnsi="宋体"/>
      <w:sz w:val="24"/>
    </w:rPr>
  </w:style>
  <w:style w:type="paragraph" w:customStyle="1" w:styleId="108">
    <w:name w:val="+正文 Char5 Char Char Char"/>
    <w:basedOn w:val="1"/>
    <w:link w:val="107"/>
    <w:qFormat/>
    <w:uiPriority w:val="0"/>
    <w:pPr>
      <w:spacing w:line="360" w:lineRule="auto"/>
      <w:ind w:firstLine="200" w:firstLineChars="200"/>
    </w:pPr>
    <w:rPr>
      <w:rFonts w:ascii="宋体" w:hAnsi="宋体"/>
      <w:kern w:val="0"/>
      <w:sz w:val="24"/>
      <w:szCs w:val="20"/>
    </w:rPr>
  </w:style>
  <w:style w:type="character" w:customStyle="1" w:styleId="109">
    <w:name w:val="标题 1 Char"/>
    <w:basedOn w:val="52"/>
    <w:link w:val="2"/>
    <w:qFormat/>
    <w:uiPriority w:val="0"/>
    <w:rPr>
      <w:rFonts w:ascii="Times New Roman" w:hAnsi="Times New Roman" w:eastAsia="宋体" w:cs="Times New Roman"/>
      <w:b/>
      <w:bCs/>
      <w:kern w:val="44"/>
      <w:sz w:val="44"/>
      <w:szCs w:val="44"/>
    </w:rPr>
  </w:style>
  <w:style w:type="character" w:customStyle="1" w:styleId="110">
    <w:name w:val="表文字 Char Char"/>
    <w:link w:val="111"/>
    <w:qFormat/>
    <w:locked/>
    <w:uiPriority w:val="0"/>
    <w:rPr>
      <w:rFonts w:ascii="楷体_GB2312" w:hAnsi="宋体" w:eastAsia="楷体_GB2312"/>
      <w:spacing w:val="-8"/>
      <w:sz w:val="24"/>
      <w:lang w:val="zh-CN"/>
    </w:rPr>
  </w:style>
  <w:style w:type="paragraph" w:customStyle="1" w:styleId="111">
    <w:name w:val="表文字"/>
    <w:basedOn w:val="1"/>
    <w:link w:val="110"/>
    <w:qFormat/>
    <w:uiPriority w:val="0"/>
    <w:pPr>
      <w:adjustRightInd w:val="0"/>
      <w:snapToGrid w:val="0"/>
      <w:spacing w:line="320" w:lineRule="exact"/>
      <w:ind w:right="-31" w:rightChars="-31" w:firstLine="448" w:firstLineChars="200"/>
      <w:jc w:val="center"/>
    </w:pPr>
    <w:rPr>
      <w:rFonts w:ascii="楷体_GB2312" w:hAnsi="宋体" w:eastAsia="楷体_GB2312"/>
      <w:spacing w:val="-8"/>
      <w:kern w:val="0"/>
      <w:sz w:val="24"/>
      <w:szCs w:val="20"/>
      <w:lang w:val="zh-CN"/>
    </w:rPr>
  </w:style>
  <w:style w:type="character" w:customStyle="1" w:styleId="112">
    <w:name w:val="正文首行缩进 Char1"/>
    <w:basedOn w:val="113"/>
    <w:semiHidden/>
    <w:qFormat/>
    <w:uiPriority w:val="99"/>
  </w:style>
  <w:style w:type="character" w:customStyle="1" w:styleId="113">
    <w:name w:val="正文文本 Char1"/>
    <w:basedOn w:val="52"/>
    <w:link w:val="23"/>
    <w:qFormat/>
    <w:uiPriority w:val="99"/>
  </w:style>
  <w:style w:type="character" w:customStyle="1" w:styleId="114">
    <w:name w:val="+正文 Char Char3 Char Char Char Char"/>
    <w:link w:val="115"/>
    <w:qFormat/>
    <w:locked/>
    <w:uiPriority w:val="0"/>
    <w:rPr>
      <w:rFonts w:ascii="宋体" w:hAnsi="宋体"/>
      <w:sz w:val="24"/>
    </w:rPr>
  </w:style>
  <w:style w:type="paragraph" w:customStyle="1" w:styleId="115">
    <w:name w:val="+正文 Char Char3 Char Char"/>
    <w:basedOn w:val="1"/>
    <w:link w:val="114"/>
    <w:qFormat/>
    <w:uiPriority w:val="0"/>
    <w:pPr>
      <w:spacing w:line="360" w:lineRule="auto"/>
      <w:ind w:firstLine="200" w:firstLineChars="200"/>
    </w:pPr>
    <w:rPr>
      <w:rFonts w:ascii="宋体" w:hAnsi="宋体"/>
      <w:kern w:val="0"/>
      <w:sz w:val="24"/>
      <w:szCs w:val="20"/>
    </w:rPr>
  </w:style>
  <w:style w:type="character" w:customStyle="1" w:styleId="116">
    <w:name w:val="纯文本 Char"/>
    <w:link w:val="28"/>
    <w:qFormat/>
    <w:uiPriority w:val="0"/>
    <w:rPr>
      <w:rFonts w:ascii="宋体" w:hAnsi="Courier New"/>
    </w:rPr>
  </w:style>
  <w:style w:type="character" w:customStyle="1" w:styleId="117">
    <w:name w:val="正文文本 Char"/>
    <w:qFormat/>
    <w:uiPriority w:val="0"/>
    <w:rPr>
      <w:kern w:val="2"/>
      <w:sz w:val="24"/>
    </w:rPr>
  </w:style>
  <w:style w:type="character" w:customStyle="1" w:styleId="118">
    <w:name w:val="标题 5 Char"/>
    <w:basedOn w:val="52"/>
    <w:link w:val="6"/>
    <w:qFormat/>
    <w:uiPriority w:val="0"/>
    <w:rPr>
      <w:b/>
      <w:kern w:val="2"/>
      <w:sz w:val="28"/>
    </w:rPr>
  </w:style>
  <w:style w:type="character" w:customStyle="1" w:styleId="119">
    <w:name w:val="副标题 Char1"/>
    <w:basedOn w:val="52"/>
    <w:qFormat/>
    <w:uiPriority w:val="11"/>
    <w:rPr>
      <w:rFonts w:ascii="Cambria" w:hAnsi="Cambria" w:eastAsia="宋体" w:cs="Times New Roman"/>
      <w:b/>
      <w:bCs/>
      <w:kern w:val="28"/>
      <w:sz w:val="32"/>
      <w:szCs w:val="32"/>
    </w:rPr>
  </w:style>
  <w:style w:type="character" w:customStyle="1" w:styleId="120">
    <w:name w:val="+1. Char Char Char"/>
    <w:link w:val="121"/>
    <w:qFormat/>
    <w:locked/>
    <w:uiPriority w:val="0"/>
    <w:rPr>
      <w:rFonts w:ascii="Times New Roman" w:hAnsi="Times New Roman" w:eastAsia="宋体" w:cs="Times New Roman"/>
      <w:kern w:val="2"/>
      <w:sz w:val="21"/>
    </w:rPr>
  </w:style>
  <w:style w:type="paragraph" w:customStyle="1" w:styleId="121">
    <w:name w:val="+1. Char"/>
    <w:basedOn w:val="1"/>
    <w:link w:val="120"/>
    <w:qFormat/>
    <w:uiPriority w:val="0"/>
    <w:rPr>
      <w:szCs w:val="20"/>
    </w:rPr>
  </w:style>
  <w:style w:type="character" w:customStyle="1" w:styleId="122">
    <w:name w:val="批注文字 Char"/>
    <w:link w:val="19"/>
    <w:qFormat/>
    <w:uiPriority w:val="99"/>
  </w:style>
  <w:style w:type="character" w:customStyle="1" w:styleId="123">
    <w:name w:val="正文文本 2 Char"/>
    <w:basedOn w:val="52"/>
    <w:link w:val="43"/>
    <w:qFormat/>
    <w:uiPriority w:val="0"/>
    <w:rPr>
      <w:rFonts w:ascii="Times New Roman" w:hAnsi="Times New Roman" w:eastAsia="宋体" w:cs="Times New Roman"/>
      <w:szCs w:val="20"/>
    </w:rPr>
  </w:style>
  <w:style w:type="character" w:customStyle="1" w:styleId="124">
    <w:name w:val="日期 Char"/>
    <w:link w:val="30"/>
    <w:qFormat/>
    <w:uiPriority w:val="0"/>
  </w:style>
  <w:style w:type="character" w:customStyle="1" w:styleId="125">
    <w:name w:val="标题 Char1"/>
    <w:basedOn w:val="52"/>
    <w:qFormat/>
    <w:uiPriority w:val="10"/>
    <w:rPr>
      <w:rFonts w:ascii="Cambria" w:hAnsi="Cambria" w:eastAsia="宋体" w:cs="Times New Roman"/>
      <w:b/>
      <w:bCs/>
      <w:sz w:val="32"/>
      <w:szCs w:val="32"/>
    </w:rPr>
  </w:style>
  <w:style w:type="character" w:customStyle="1" w:styleId="126">
    <w:name w:val="+正文 Char4"/>
    <w:link w:val="127"/>
    <w:qFormat/>
    <w:locked/>
    <w:uiPriority w:val="99"/>
    <w:rPr>
      <w:bCs/>
      <w:kern w:val="1"/>
      <w:sz w:val="22"/>
    </w:rPr>
  </w:style>
  <w:style w:type="paragraph" w:customStyle="1" w:styleId="127">
    <w:name w:val="+正文"/>
    <w:basedOn w:val="128"/>
    <w:link w:val="126"/>
    <w:qFormat/>
    <w:uiPriority w:val="99"/>
    <w:pPr>
      <w:spacing w:line="300" w:lineRule="auto"/>
      <w:ind w:firstLine="422" w:firstLineChars="192"/>
    </w:pPr>
    <w:rPr>
      <w:bCs/>
      <w:sz w:val="22"/>
    </w:rPr>
  </w:style>
  <w:style w:type="paragraph" w:styleId="128">
    <w:name w:val="List Paragraph"/>
    <w:basedOn w:val="1"/>
    <w:qFormat/>
    <w:uiPriority w:val="34"/>
    <w:pPr>
      <w:suppressAutoHyphens/>
      <w:spacing w:line="240" w:lineRule="auto"/>
      <w:ind w:firstLine="420"/>
    </w:pPr>
    <w:rPr>
      <w:kern w:val="1"/>
      <w:szCs w:val="20"/>
    </w:rPr>
  </w:style>
  <w:style w:type="character" w:customStyle="1" w:styleId="129">
    <w:name w:val="页脚 Char1"/>
    <w:basedOn w:val="52"/>
    <w:semiHidden/>
    <w:qFormat/>
    <w:uiPriority w:val="99"/>
    <w:rPr>
      <w:sz w:val="18"/>
      <w:szCs w:val="18"/>
    </w:rPr>
  </w:style>
  <w:style w:type="character" w:customStyle="1" w:styleId="130">
    <w:name w:val="标题 Char"/>
    <w:link w:val="46"/>
    <w:qFormat/>
    <w:uiPriority w:val="0"/>
    <w:rPr>
      <w:rFonts w:ascii="Arial" w:hAnsi="Arial" w:eastAsia="黑体"/>
      <w:sz w:val="44"/>
    </w:rPr>
  </w:style>
  <w:style w:type="character" w:customStyle="1" w:styleId="131">
    <w:name w:val="标题 8 Char"/>
    <w:basedOn w:val="52"/>
    <w:link w:val="10"/>
    <w:qFormat/>
    <w:uiPriority w:val="0"/>
    <w:rPr>
      <w:rFonts w:ascii="Arial" w:hAnsi="Arial" w:eastAsia="黑体"/>
      <w:kern w:val="2"/>
      <w:sz w:val="24"/>
    </w:rPr>
  </w:style>
  <w:style w:type="character" w:customStyle="1" w:styleId="132">
    <w:name w:val="Char Char7"/>
    <w:qFormat/>
    <w:uiPriority w:val="0"/>
    <w:rPr>
      <w:kern w:val="2"/>
      <w:sz w:val="18"/>
    </w:rPr>
  </w:style>
  <w:style w:type="character" w:customStyle="1" w:styleId="133">
    <w:name w:val="Char Char2"/>
    <w:qFormat/>
    <w:uiPriority w:val="0"/>
    <w:rPr>
      <w:kern w:val="2"/>
      <w:sz w:val="24"/>
      <w:szCs w:val="24"/>
    </w:rPr>
  </w:style>
  <w:style w:type="character" w:customStyle="1" w:styleId="134">
    <w:name w:val="表正文 Char1"/>
    <w:qFormat/>
    <w:uiPriority w:val="0"/>
    <w:rPr>
      <w:kern w:val="2"/>
      <w:sz w:val="21"/>
    </w:rPr>
  </w:style>
  <w:style w:type="character" w:customStyle="1" w:styleId="135">
    <w:name w:val="正文首行缩进 Char"/>
    <w:basedOn w:val="117"/>
    <w:link w:val="48"/>
    <w:qFormat/>
    <w:uiPriority w:val="0"/>
    <w:rPr>
      <w:kern w:val="2"/>
      <w:sz w:val="24"/>
    </w:rPr>
  </w:style>
  <w:style w:type="character" w:customStyle="1" w:styleId="136">
    <w:name w:val="页眉 Char1"/>
    <w:basedOn w:val="52"/>
    <w:semiHidden/>
    <w:qFormat/>
    <w:uiPriority w:val="99"/>
    <w:rPr>
      <w:sz w:val="18"/>
      <w:szCs w:val="18"/>
    </w:rPr>
  </w:style>
  <w:style w:type="character" w:customStyle="1" w:styleId="137">
    <w:name w:val="普通文字 Char Char"/>
    <w:qFormat/>
    <w:uiPriority w:val="0"/>
    <w:rPr>
      <w:rFonts w:ascii="宋体" w:hAnsi="Courier New"/>
      <w:kern w:val="2"/>
      <w:sz w:val="21"/>
    </w:rPr>
  </w:style>
  <w:style w:type="character" w:customStyle="1" w:styleId="138">
    <w:name w:val="无间隔 Char"/>
    <w:link w:val="139"/>
    <w:qFormat/>
    <w:locked/>
    <w:uiPriority w:val="0"/>
    <w:rPr>
      <w:rFonts w:eastAsia="Times New Roman"/>
      <w:sz w:val="22"/>
      <w:lang w:val="en-US" w:eastAsia="en-US" w:bidi="en-US"/>
    </w:rPr>
  </w:style>
  <w:style w:type="paragraph" w:customStyle="1" w:styleId="139">
    <w:name w:val="无间隔1"/>
    <w:link w:val="138"/>
    <w:qFormat/>
    <w:uiPriority w:val="0"/>
    <w:pPr>
      <w:spacing w:line="300" w:lineRule="auto"/>
      <w:jc w:val="center"/>
    </w:pPr>
    <w:rPr>
      <w:rFonts w:ascii="Times New Roman" w:hAnsi="Times New Roman" w:eastAsia="Times New Roman" w:cs="Times New Roman"/>
      <w:sz w:val="22"/>
      <w:lang w:val="en-US" w:eastAsia="en-US" w:bidi="en-US"/>
    </w:rPr>
  </w:style>
  <w:style w:type="character" w:customStyle="1" w:styleId="140">
    <w:name w:val="正文文本缩进 2 Char"/>
    <w:basedOn w:val="52"/>
    <w:link w:val="31"/>
    <w:qFormat/>
    <w:uiPriority w:val="0"/>
    <w:rPr>
      <w:rFonts w:ascii="宋体" w:hAnsi="宋体" w:eastAsia="宋体" w:cs="Times New Roman"/>
      <w:b/>
      <w:bCs/>
      <w:sz w:val="24"/>
      <w:szCs w:val="20"/>
    </w:rPr>
  </w:style>
  <w:style w:type="character" w:customStyle="1" w:styleId="141">
    <w:name w:val="脚注文本 Char1"/>
    <w:basedOn w:val="52"/>
    <w:link w:val="38"/>
    <w:qFormat/>
    <w:locked/>
    <w:uiPriority w:val="0"/>
    <w:rPr>
      <w:rFonts w:ascii="Times New Roman" w:hAnsi="Times New Roman" w:eastAsia="宋体" w:cs="Times New Roman"/>
      <w:kern w:val="2"/>
      <w:sz w:val="18"/>
      <w:szCs w:val="18"/>
    </w:rPr>
  </w:style>
  <w:style w:type="character" w:customStyle="1" w:styleId="142">
    <w:name w:val="+列表1 Char Char Char Char Char"/>
    <w:link w:val="143"/>
    <w:qFormat/>
    <w:locked/>
    <w:uiPriority w:val="0"/>
    <w:rPr>
      <w:rFonts w:ascii="宋体" w:hAnsi="宋体"/>
    </w:rPr>
  </w:style>
  <w:style w:type="paragraph" w:customStyle="1" w:styleId="143">
    <w:name w:val="+列表1 Char Char Char"/>
    <w:basedOn w:val="1"/>
    <w:link w:val="142"/>
    <w:qFormat/>
    <w:uiPriority w:val="0"/>
    <w:pPr>
      <w:jc w:val="center"/>
    </w:pPr>
    <w:rPr>
      <w:rFonts w:ascii="宋体" w:hAnsi="宋体"/>
      <w:kern w:val="0"/>
      <w:sz w:val="20"/>
      <w:szCs w:val="20"/>
    </w:rPr>
  </w:style>
  <w:style w:type="character" w:customStyle="1" w:styleId="144">
    <w:name w:val="+正文 Char Char5 Char Char Char"/>
    <w:link w:val="145"/>
    <w:qFormat/>
    <w:locked/>
    <w:uiPriority w:val="0"/>
    <w:rPr>
      <w:rFonts w:ascii="宋体" w:hAnsi="宋体"/>
      <w:sz w:val="24"/>
    </w:rPr>
  </w:style>
  <w:style w:type="paragraph" w:customStyle="1" w:styleId="145">
    <w:name w:val="+正文 Char Char5 Char"/>
    <w:basedOn w:val="1"/>
    <w:link w:val="144"/>
    <w:qFormat/>
    <w:uiPriority w:val="0"/>
    <w:pPr>
      <w:spacing w:line="360" w:lineRule="auto"/>
      <w:ind w:firstLine="200" w:firstLineChars="200"/>
    </w:pPr>
    <w:rPr>
      <w:rFonts w:ascii="宋体" w:hAnsi="宋体"/>
      <w:kern w:val="0"/>
      <w:sz w:val="24"/>
      <w:szCs w:val="20"/>
    </w:rPr>
  </w:style>
  <w:style w:type="character" w:customStyle="1" w:styleId="146">
    <w:name w:val="Char Char1"/>
    <w:semiHidden/>
    <w:qFormat/>
    <w:uiPriority w:val="0"/>
    <w:rPr>
      <w:kern w:val="2"/>
      <w:sz w:val="21"/>
    </w:rPr>
  </w:style>
  <w:style w:type="character" w:customStyle="1" w:styleId="147">
    <w:name w:val="页眉 Char"/>
    <w:link w:val="34"/>
    <w:qFormat/>
    <w:uiPriority w:val="0"/>
    <w:rPr>
      <w:sz w:val="18"/>
    </w:rPr>
  </w:style>
  <w:style w:type="character" w:customStyle="1" w:styleId="148">
    <w:name w:val="标题 3 Char"/>
    <w:basedOn w:val="52"/>
    <w:link w:val="4"/>
    <w:qFormat/>
    <w:uiPriority w:val="0"/>
    <w:rPr>
      <w:rFonts w:ascii="Times New Roman" w:hAnsi="Times New Roman" w:eastAsia="宋体" w:cs="Times New Roman"/>
      <w:b/>
      <w:bCs/>
      <w:szCs w:val="32"/>
    </w:rPr>
  </w:style>
  <w:style w:type="character" w:customStyle="1" w:styleId="149">
    <w:name w:val="Char Char5"/>
    <w:qFormat/>
    <w:uiPriority w:val="0"/>
    <w:rPr>
      <w:rFonts w:ascii="Arial" w:hAnsi="Arial" w:eastAsia="方正魏碑简体" w:cs="Arial"/>
      <w:bCs/>
      <w:kern w:val="28"/>
      <w:sz w:val="32"/>
      <w:szCs w:val="32"/>
    </w:rPr>
  </w:style>
  <w:style w:type="character" w:customStyle="1" w:styleId="150">
    <w:name w:val="注释标题 Char1"/>
    <w:basedOn w:val="52"/>
    <w:semiHidden/>
    <w:qFormat/>
    <w:uiPriority w:val="99"/>
  </w:style>
  <w:style w:type="character" w:customStyle="1" w:styleId="151">
    <w:name w:val="批注框文本 Char"/>
    <w:basedOn w:val="52"/>
    <w:link w:val="32"/>
    <w:qFormat/>
    <w:uiPriority w:val="0"/>
    <w:rPr>
      <w:rFonts w:ascii="Times New Roman" w:hAnsi="Times New Roman" w:eastAsia="宋体" w:cs="Times New Roman"/>
      <w:sz w:val="18"/>
      <w:szCs w:val="18"/>
    </w:rPr>
  </w:style>
  <w:style w:type="character" w:customStyle="1" w:styleId="152">
    <w:name w:val="脚注文本 Char"/>
    <w:basedOn w:val="52"/>
    <w:semiHidden/>
    <w:qFormat/>
    <w:uiPriority w:val="0"/>
    <w:rPr>
      <w:kern w:val="2"/>
      <w:sz w:val="18"/>
      <w:szCs w:val="18"/>
    </w:rPr>
  </w:style>
  <w:style w:type="character" w:customStyle="1" w:styleId="153">
    <w:name w:val="注释标题 Char"/>
    <w:link w:val="13"/>
    <w:qFormat/>
    <w:uiPriority w:val="0"/>
  </w:style>
  <w:style w:type="character" w:customStyle="1" w:styleId="154">
    <w:name w:val="明显引用 Char"/>
    <w:basedOn w:val="52"/>
    <w:qFormat/>
    <w:uiPriority w:val="0"/>
    <w:rPr>
      <w:b/>
      <w:bCs/>
      <w:i/>
      <w:iCs/>
      <w:color w:val="4F81BD"/>
      <w:kern w:val="2"/>
      <w:sz w:val="21"/>
    </w:rPr>
  </w:style>
  <w:style w:type="character" w:customStyle="1" w:styleId="155">
    <w:name w:val="正文缩进 Char"/>
    <w:link w:val="7"/>
    <w:qFormat/>
    <w:uiPriority w:val="0"/>
  </w:style>
  <w:style w:type="character" w:customStyle="1" w:styleId="156">
    <w:name w:val="引用 Char"/>
    <w:basedOn w:val="52"/>
    <w:qFormat/>
    <w:uiPriority w:val="0"/>
    <w:rPr>
      <w:i/>
      <w:iCs/>
      <w:color w:val="000000"/>
      <w:kern w:val="2"/>
      <w:sz w:val="21"/>
    </w:rPr>
  </w:style>
  <w:style w:type="character" w:customStyle="1" w:styleId="157">
    <w:name w:val="日期 Char1"/>
    <w:basedOn w:val="52"/>
    <w:semiHidden/>
    <w:qFormat/>
    <w:uiPriority w:val="99"/>
  </w:style>
  <w:style w:type="character" w:customStyle="1" w:styleId="158">
    <w:name w:val="Subtitle Char"/>
    <w:qFormat/>
    <w:locked/>
    <w:uiPriority w:val="0"/>
    <w:rPr>
      <w:rFonts w:ascii="Calibri Light" w:hAnsi="Calibri Light" w:eastAsia="宋体" w:cs="Times New Roman"/>
      <w:b/>
      <w:bCs/>
      <w:kern w:val="28"/>
      <w:sz w:val="32"/>
      <w:szCs w:val="32"/>
      <w:lang w:eastAsia="en-US"/>
    </w:rPr>
  </w:style>
  <w:style w:type="character" w:customStyle="1" w:styleId="159">
    <w:name w:val="h Char Char"/>
    <w:qFormat/>
    <w:uiPriority w:val="0"/>
    <w:rPr>
      <w:kern w:val="2"/>
      <w:sz w:val="18"/>
    </w:rPr>
  </w:style>
  <w:style w:type="character" w:customStyle="1" w:styleId="160">
    <w:name w:val="明显引用 Char1"/>
    <w:basedOn w:val="52"/>
    <w:link w:val="161"/>
    <w:qFormat/>
    <w:locked/>
    <w:uiPriority w:val="0"/>
    <w:rPr>
      <w:rFonts w:ascii="Calibri" w:hAnsi="Calibri" w:eastAsia="宋体" w:cs="Times New Roman"/>
      <w:b/>
      <w:bCs/>
      <w:i/>
      <w:iCs/>
      <w:color w:val="4F81BD"/>
      <w:sz w:val="22"/>
      <w:szCs w:val="22"/>
      <w:lang w:eastAsia="en-US" w:bidi="en-US"/>
    </w:rPr>
  </w:style>
  <w:style w:type="paragraph" w:customStyle="1" w:styleId="161">
    <w:name w:val="明显引用1"/>
    <w:basedOn w:val="1"/>
    <w:next w:val="1"/>
    <w:link w:val="160"/>
    <w:qFormat/>
    <w:uiPriority w:val="0"/>
    <w:pPr>
      <w:widowControl/>
      <w:pBdr>
        <w:bottom w:val="single" w:color="4F81BD" w:sz="4" w:space="4"/>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162">
    <w:name w:val="Char Char6"/>
    <w:qFormat/>
    <w:uiPriority w:val="0"/>
    <w:rPr>
      <w:rFonts w:ascii="Arial" w:hAnsi="Arial" w:eastAsia="黑体"/>
      <w:kern w:val="2"/>
      <w:sz w:val="44"/>
    </w:rPr>
  </w:style>
  <w:style w:type="paragraph" w:customStyle="1" w:styleId="163">
    <w:name w:val="列出段落1"/>
    <w:basedOn w:val="1"/>
    <w:qFormat/>
    <w:uiPriority w:val="0"/>
    <w:pPr>
      <w:ind w:firstLine="420" w:firstLineChars="200"/>
    </w:pPr>
  </w:style>
  <w:style w:type="paragraph" w:customStyle="1" w:styleId="164">
    <w:name w:val="xl5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65">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6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67">
    <w:name w:val="19"/>
    <w:basedOn w:val="1"/>
    <w:qFormat/>
    <w:uiPriority w:val="0"/>
    <w:pPr>
      <w:widowControl/>
      <w:snapToGrid w:val="0"/>
      <w:spacing w:before="100" w:beforeAutospacing="1" w:after="100" w:afterAutospacing="1" w:line="360" w:lineRule="auto"/>
    </w:pPr>
    <w:rPr>
      <w:rFonts w:eastAsia="Arial Unicode MS"/>
      <w:kern w:val="0"/>
      <w:sz w:val="24"/>
      <w:szCs w:val="24"/>
    </w:rPr>
  </w:style>
  <w:style w:type="paragraph" w:customStyle="1" w:styleId="168">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69">
    <w:name w:val="p15"/>
    <w:basedOn w:val="1"/>
    <w:qFormat/>
    <w:uiPriority w:val="0"/>
    <w:pPr>
      <w:widowControl/>
      <w:ind w:firstLine="420"/>
    </w:pPr>
    <w:rPr>
      <w:rFonts w:ascii="Calibri" w:hAnsi="Calibri" w:cs="宋体"/>
      <w:kern w:val="0"/>
      <w:szCs w:val="21"/>
    </w:rPr>
  </w:style>
  <w:style w:type="paragraph" w:customStyle="1" w:styleId="170">
    <w:name w:val="23"/>
    <w:basedOn w:val="1"/>
    <w:qFormat/>
    <w:uiPriority w:val="0"/>
    <w:pPr>
      <w:widowControl/>
      <w:snapToGrid w:val="0"/>
      <w:spacing w:before="100" w:beforeAutospacing="1" w:after="100" w:afterAutospacing="1"/>
      <w:ind w:left="840"/>
    </w:pPr>
    <w:rPr>
      <w:rFonts w:eastAsia="Arial Unicode MS"/>
      <w:kern w:val="0"/>
      <w:szCs w:val="21"/>
    </w:rPr>
  </w:style>
  <w:style w:type="paragraph" w:customStyle="1" w:styleId="171">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72">
    <w:name w:val="列出段落21"/>
    <w:basedOn w:val="1"/>
    <w:qFormat/>
    <w:uiPriority w:val="34"/>
    <w:pPr>
      <w:ind w:firstLine="420" w:firstLineChars="200"/>
    </w:pPr>
    <w:rPr>
      <w:rFonts w:ascii="Calibri" w:hAnsi="Calibri"/>
    </w:rPr>
  </w:style>
  <w:style w:type="paragraph" w:customStyle="1" w:styleId="173">
    <w:name w:val="样式 正文文本缩进 + 段前: 2 字符"/>
    <w:basedOn w:val="1"/>
    <w:qFormat/>
    <w:uiPriority w:val="0"/>
    <w:pPr>
      <w:ind w:left="420" w:leftChars="200"/>
      <w:jc w:val="left"/>
    </w:pPr>
    <w:rPr>
      <w:sz w:val="28"/>
      <w:szCs w:val="24"/>
      <w:lang w:eastAsia="zh-TW"/>
    </w:rPr>
  </w:style>
  <w:style w:type="paragraph" w:customStyle="1" w:styleId="174">
    <w:name w:val="Style4"/>
    <w:basedOn w:val="5"/>
    <w:qFormat/>
    <w:uiPriority w:val="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hAnsi="Times New Roman" w:eastAsia="宋体"/>
      <w:b w:val="0"/>
      <w:bCs w:val="0"/>
      <w:kern w:val="0"/>
      <w:szCs w:val="20"/>
      <w:lang w:val="fr-FR" w:eastAsia="en-US"/>
    </w:rPr>
  </w:style>
  <w:style w:type="paragraph" w:customStyle="1" w:styleId="175">
    <w:name w:val="xl56"/>
    <w:basedOn w:val="1"/>
    <w:qFormat/>
    <w:uiPriority w:val="0"/>
    <w:pPr>
      <w:widowControl/>
      <w:pBdr>
        <w:bottom w:val="single" w:color="auto" w:sz="4" w:space="0"/>
      </w:pBdr>
      <w:spacing w:before="100" w:beforeAutospacing="1" w:after="100" w:afterAutospacing="1"/>
      <w:jc w:val="center"/>
    </w:pPr>
    <w:rPr>
      <w:rFonts w:hint="eastAsia" w:ascii="华文仿宋" w:hAnsi="华文仿宋" w:eastAsia="华文仿宋" w:cs="Arial Unicode MS"/>
      <w:b/>
      <w:bCs/>
      <w:kern w:val="0"/>
      <w:sz w:val="32"/>
      <w:szCs w:val="32"/>
    </w:rPr>
  </w:style>
  <w:style w:type="paragraph" w:customStyle="1" w:styleId="176">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17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78">
    <w:name w:val="标准次分项"/>
    <w:basedOn w:val="1"/>
    <w:qFormat/>
    <w:uiPriority w:val="0"/>
    <w:pPr>
      <w:jc w:val="left"/>
    </w:pPr>
    <w:rPr>
      <w:rFonts w:ascii="宋体" w:hAnsi="宋体"/>
      <w:szCs w:val="21"/>
    </w:rPr>
  </w:style>
  <w:style w:type="paragraph" w:customStyle="1" w:styleId="17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18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16"/>
      <w:szCs w:val="16"/>
    </w:rPr>
  </w:style>
  <w:style w:type="paragraph" w:customStyle="1" w:styleId="181">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82">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83">
    <w:name w:val="20"/>
    <w:basedOn w:val="1"/>
    <w:qFormat/>
    <w:uiPriority w:val="0"/>
    <w:pPr>
      <w:widowControl/>
      <w:snapToGrid w:val="0"/>
      <w:spacing w:before="100" w:beforeAutospacing="1" w:after="100" w:afterAutospacing="1"/>
      <w:jc w:val="left"/>
    </w:pPr>
    <w:rPr>
      <w:rFonts w:hint="eastAsia" w:ascii="宋体" w:hAnsi="宋体" w:cs="Arial Unicode MS"/>
      <w:kern w:val="0"/>
      <w:sz w:val="24"/>
      <w:szCs w:val="24"/>
    </w:rPr>
  </w:style>
  <w:style w:type="paragraph" w:customStyle="1" w:styleId="184">
    <w:name w:val="彩色列表 - 着色 11"/>
    <w:basedOn w:val="1"/>
    <w:qFormat/>
    <w:uiPriority w:val="34"/>
    <w:pPr>
      <w:autoSpaceDE w:val="0"/>
      <w:autoSpaceDN w:val="0"/>
      <w:adjustRightInd w:val="0"/>
      <w:ind w:firstLine="420" w:firstLineChars="200"/>
      <w:jc w:val="left"/>
      <w:textAlignment w:val="baseline"/>
    </w:pPr>
    <w:rPr>
      <w:rFonts w:ascii="宋体"/>
      <w:kern w:val="0"/>
      <w:sz w:val="34"/>
      <w:szCs w:val="20"/>
    </w:rPr>
  </w:style>
  <w:style w:type="paragraph" w:customStyle="1" w:styleId="185">
    <w:name w:val="xl45"/>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86">
    <w:name w:val="font11"/>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8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188">
    <w:name w:val="font10"/>
    <w:basedOn w:val="1"/>
    <w:qFormat/>
    <w:uiPriority w:val="0"/>
    <w:pPr>
      <w:widowControl/>
      <w:spacing w:before="100" w:beforeAutospacing="1" w:after="100" w:afterAutospacing="1"/>
      <w:jc w:val="left"/>
    </w:pPr>
    <w:rPr>
      <w:kern w:val="0"/>
      <w:sz w:val="16"/>
      <w:szCs w:val="16"/>
    </w:rPr>
  </w:style>
  <w:style w:type="paragraph" w:customStyle="1" w:styleId="189">
    <w:name w:val="font14"/>
    <w:basedOn w:val="1"/>
    <w:qFormat/>
    <w:uiPriority w:val="0"/>
    <w:pPr>
      <w:widowControl/>
      <w:spacing w:before="100" w:beforeAutospacing="1" w:after="100" w:afterAutospacing="1"/>
      <w:jc w:val="left"/>
    </w:pPr>
    <w:rPr>
      <w:rFonts w:ascii="Arial" w:hAnsi="Arial" w:cs="Arial"/>
      <w:color w:val="000000"/>
      <w:kern w:val="0"/>
      <w:sz w:val="16"/>
      <w:szCs w:val="16"/>
    </w:rPr>
  </w:style>
  <w:style w:type="paragraph" w:customStyle="1" w:styleId="190">
    <w:name w:val="普通(网站)1"/>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191">
    <w:name w:val="列出段落3"/>
    <w:basedOn w:val="1"/>
    <w:unhideWhenUsed/>
    <w:qFormat/>
    <w:uiPriority w:val="99"/>
    <w:pPr>
      <w:ind w:firstLine="420" w:firstLineChars="200"/>
    </w:pPr>
  </w:style>
  <w:style w:type="paragraph" w:customStyle="1" w:styleId="192">
    <w:name w:val="17"/>
    <w:basedOn w:val="1"/>
    <w:qFormat/>
    <w:uiPriority w:val="0"/>
    <w:pPr>
      <w:widowControl/>
      <w:snapToGrid w:val="0"/>
      <w:spacing w:before="100" w:beforeAutospacing="1" w:after="100" w:afterAutospacing="1"/>
      <w:jc w:val="left"/>
    </w:pPr>
    <w:rPr>
      <w:rFonts w:eastAsia="Arial Unicode MS"/>
      <w:kern w:val="0"/>
      <w:sz w:val="18"/>
      <w:szCs w:val="18"/>
    </w:rPr>
  </w:style>
  <w:style w:type="paragraph" w:customStyle="1" w:styleId="19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16"/>
      <w:szCs w:val="16"/>
    </w:rPr>
  </w:style>
  <w:style w:type="paragraph" w:customStyle="1" w:styleId="1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6"/>
      <w:szCs w:val="16"/>
    </w:rPr>
  </w:style>
  <w:style w:type="paragraph" w:customStyle="1" w:styleId="195">
    <w:name w:val="xl44"/>
    <w:basedOn w:val="1"/>
    <w:qFormat/>
    <w:uiPriority w:val="0"/>
    <w:pPr>
      <w:widowControl/>
      <w:pBdr>
        <w:top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19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197">
    <w:name w:val="文档编号"/>
    <w:basedOn w:val="1"/>
    <w:next w:val="1"/>
    <w:qFormat/>
    <w:uiPriority w:val="0"/>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198">
    <w:name w:val="Char4"/>
    <w:basedOn w:val="1"/>
    <w:qFormat/>
    <w:uiPriority w:val="0"/>
    <w:rPr>
      <w:rFonts w:ascii="Tahoma" w:hAnsi="Tahoma"/>
      <w:sz w:val="24"/>
      <w:szCs w:val="20"/>
    </w:rPr>
  </w:style>
  <w:style w:type="paragraph" w:customStyle="1" w:styleId="199">
    <w:name w:val="xl80"/>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00">
    <w:name w:val="xl5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0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02">
    <w:name w:val="全文标题"/>
    <w:next w:val="1"/>
    <w:qFormat/>
    <w:uiPriority w:val="0"/>
    <w:pPr>
      <w:spacing w:line="300" w:lineRule="auto"/>
      <w:jc w:val="center"/>
    </w:pPr>
    <w:rPr>
      <w:rFonts w:ascii="Arial" w:hAnsi="Arial" w:eastAsia="黑体" w:cs="Arial"/>
      <w:bCs/>
      <w:kern w:val="2"/>
      <w:sz w:val="52"/>
      <w:szCs w:val="32"/>
      <w:lang w:val="en-US" w:eastAsia="zh-CN" w:bidi="ar-SA"/>
    </w:rPr>
  </w:style>
  <w:style w:type="paragraph" w:customStyle="1" w:styleId="203">
    <w:name w:val="xl50"/>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0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05">
    <w:name w:val="24"/>
    <w:basedOn w:val="1"/>
    <w:qFormat/>
    <w:uiPriority w:val="0"/>
    <w:pPr>
      <w:widowControl/>
      <w:snapToGrid w:val="0"/>
      <w:spacing w:before="100" w:beforeAutospacing="1" w:after="100" w:afterAutospacing="1"/>
      <w:ind w:firstLine="420"/>
    </w:pPr>
    <w:rPr>
      <w:rFonts w:eastAsia="Arial Unicode MS"/>
      <w:kern w:val="0"/>
      <w:szCs w:val="21"/>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207">
    <w:name w:val="Char11"/>
    <w:basedOn w:val="1"/>
    <w:qFormat/>
    <w:uiPriority w:val="0"/>
    <w:pPr>
      <w:tabs>
        <w:tab w:val="left" w:pos="360"/>
      </w:tabs>
    </w:pPr>
    <w:rPr>
      <w:sz w:val="24"/>
      <w:szCs w:val="24"/>
    </w:rPr>
  </w:style>
  <w:style w:type="paragraph" w:customStyle="1" w:styleId="208">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0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10">
    <w:name w:val="Char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21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12">
    <w:name w:val="9c"/>
    <w:basedOn w:val="1"/>
    <w:qFormat/>
    <w:uiPriority w:val="0"/>
    <w:pPr>
      <w:widowControl/>
      <w:spacing w:before="240" w:afterLines="50" w:line="360" w:lineRule="auto"/>
      <w:ind w:left="119"/>
      <w:jc w:val="left"/>
    </w:pPr>
    <w:rPr>
      <w:rFonts w:ascii="Arial" w:hAnsi="Arial" w:cs="Arial"/>
      <w:b/>
      <w:bCs/>
      <w:color w:val="99CCCC"/>
      <w:kern w:val="0"/>
      <w:sz w:val="24"/>
      <w:szCs w:val="24"/>
    </w:rPr>
  </w:style>
  <w:style w:type="paragraph" w:customStyle="1" w:styleId="213">
    <w:name w:val="正文段"/>
    <w:basedOn w:val="1"/>
    <w:qFormat/>
    <w:uiPriority w:val="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214">
    <w:name w:val="xl48"/>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15">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16">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szCs w:val="20"/>
    </w:rPr>
  </w:style>
  <w:style w:type="paragraph" w:customStyle="1" w:styleId="218">
    <w:name w:val="附录标题1"/>
    <w:basedOn w:val="2"/>
    <w:next w:val="1"/>
    <w:qFormat/>
    <w:uiPriority w:val="0"/>
    <w:pPr>
      <w:pageBreakBefore/>
      <w:pBdr>
        <w:bottom w:val="single" w:color="C0C0C0" w:sz="18" w:space="1"/>
      </w:pBdr>
      <w:tabs>
        <w:tab w:val="left" w:pos="360"/>
      </w:tabs>
      <w:adjustRightInd w:val="0"/>
      <w:snapToGrid w:val="0"/>
      <w:ind w:left="576" w:right="42" w:rightChars="20" w:hanging="576"/>
    </w:pPr>
    <w:rPr>
      <w:rFonts w:ascii="宋体" w:hAnsi="Garamond" w:eastAsia="黑体"/>
      <w:color w:val="000000"/>
      <w:sz w:val="40"/>
      <w:szCs w:val="24"/>
    </w:rPr>
  </w:style>
  <w:style w:type="paragraph" w:customStyle="1" w:styleId="219">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21">
    <w:name w:val="font1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222">
    <w:name w:val="Char"/>
    <w:basedOn w:val="1"/>
    <w:qFormat/>
    <w:uiPriority w:val="0"/>
    <w:rPr>
      <w:rFonts w:ascii="Tahoma" w:hAnsi="Tahoma"/>
      <w:sz w:val="24"/>
      <w:szCs w:val="20"/>
    </w:rPr>
  </w:style>
  <w:style w:type="paragraph" w:customStyle="1" w:styleId="223">
    <w:name w:val="0"/>
    <w:basedOn w:val="1"/>
    <w:qFormat/>
    <w:uiPriority w:val="0"/>
    <w:pPr>
      <w:widowControl/>
      <w:snapToGrid w:val="0"/>
    </w:pPr>
    <w:rPr>
      <w:rFonts w:eastAsia="Arial Unicode MS"/>
      <w:kern w:val="0"/>
      <w:szCs w:val="21"/>
    </w:rPr>
  </w:style>
  <w:style w:type="paragraph" w:customStyle="1" w:styleId="224">
    <w:name w:val="文档正文"/>
    <w:basedOn w:val="1"/>
    <w:qFormat/>
    <w:uiPriority w:val="0"/>
    <w:pPr>
      <w:spacing w:line="360" w:lineRule="auto"/>
    </w:pPr>
    <w:rPr>
      <w:rFonts w:ascii="宋体" w:hAnsi="宋体" w:cs="Arial"/>
      <w:b/>
      <w:bCs/>
      <w:szCs w:val="21"/>
    </w:rPr>
  </w:style>
  <w:style w:type="paragraph" w:customStyle="1" w:styleId="225">
    <w:name w:val="xl41"/>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2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27">
    <w:name w:val="Char Char Char Char Char Char Char Char Char Char"/>
    <w:basedOn w:val="1"/>
    <w:qFormat/>
    <w:uiPriority w:val="0"/>
    <w:pPr>
      <w:adjustRightInd w:val="0"/>
      <w:spacing w:line="360" w:lineRule="auto"/>
    </w:pPr>
    <w:rPr>
      <w:kern w:val="0"/>
      <w:sz w:val="24"/>
      <w:szCs w:val="20"/>
    </w:rPr>
  </w:style>
  <w:style w:type="paragraph" w:customStyle="1" w:styleId="228">
    <w:name w:val="表格3"/>
    <w:basedOn w:val="1"/>
    <w:qFormat/>
    <w:uiPriority w:val="0"/>
    <w:pPr>
      <w:adjustRightInd w:val="0"/>
      <w:spacing w:line="360" w:lineRule="atLeast"/>
      <w:ind w:left="72" w:leftChars="30" w:right="72" w:rightChars="30"/>
      <w:textAlignment w:val="baseline"/>
    </w:pPr>
    <w:rPr>
      <w:kern w:val="0"/>
      <w:szCs w:val="20"/>
    </w:rPr>
  </w:style>
  <w:style w:type="paragraph" w:customStyle="1" w:styleId="229">
    <w:name w:val="图例编号"/>
    <w:basedOn w:val="48"/>
    <w:next w:val="48"/>
    <w:qFormat/>
    <w:uiPriority w:val="0"/>
  </w:style>
  <w:style w:type="paragraph" w:customStyle="1" w:styleId="2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3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232">
    <w:name w:val="1"/>
    <w:basedOn w:val="1"/>
    <w:qFormat/>
    <w:uiPriority w:val="0"/>
    <w:pPr>
      <w:spacing w:afterLines="50" w:line="360" w:lineRule="auto"/>
    </w:pPr>
    <w:rPr>
      <w:rFonts w:ascii="仿宋_GB2312" w:hAnsi="宋体" w:eastAsia="仿宋_GB2312"/>
      <w:sz w:val="24"/>
      <w:szCs w:val="24"/>
    </w:rPr>
  </w:style>
  <w:style w:type="paragraph" w:customStyle="1" w:styleId="233">
    <w:name w:val="p17"/>
    <w:basedOn w:val="1"/>
    <w:qFormat/>
    <w:uiPriority w:val="0"/>
    <w:pPr>
      <w:widowControl/>
    </w:pPr>
    <w:rPr>
      <w:kern w:val="0"/>
      <w:szCs w:val="21"/>
    </w:rPr>
  </w:style>
  <w:style w:type="paragraph" w:customStyle="1" w:styleId="23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3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3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237">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8">
    <w:name w:val="21"/>
    <w:basedOn w:val="1"/>
    <w:qFormat/>
    <w:uiPriority w:val="0"/>
    <w:pPr>
      <w:widowControl/>
      <w:snapToGrid w:val="0"/>
      <w:spacing w:before="100" w:beforeAutospacing="1" w:after="100" w:afterAutospacing="1"/>
    </w:pPr>
    <w:rPr>
      <w:rFonts w:eastAsia="Arial Unicode MS"/>
      <w:kern w:val="0"/>
      <w:szCs w:val="21"/>
    </w:rPr>
  </w:style>
  <w:style w:type="paragraph" w:customStyle="1" w:styleId="239">
    <w:name w:val="列出段落2"/>
    <w:basedOn w:val="1"/>
    <w:qFormat/>
    <w:uiPriority w:val="34"/>
    <w:pPr>
      <w:ind w:firstLine="420" w:firstLineChars="200"/>
    </w:pPr>
  </w:style>
  <w:style w:type="paragraph" w:customStyle="1" w:styleId="240">
    <w:name w:val="列出段落11"/>
    <w:basedOn w:val="1"/>
    <w:qFormat/>
    <w:uiPriority w:val="34"/>
    <w:pPr>
      <w:widowControl/>
      <w:adjustRightInd w:val="0"/>
      <w:spacing w:line="360" w:lineRule="auto"/>
      <w:ind w:firstLine="420" w:firstLineChars="200"/>
      <w:jc w:val="left"/>
    </w:pPr>
    <w:rPr>
      <w:rFonts w:ascii="Arial" w:hAnsi="Arial"/>
      <w:kern w:val="0"/>
      <w:szCs w:val="24"/>
      <w:lang w:eastAsia="en-US"/>
    </w:rPr>
  </w:style>
  <w:style w:type="paragraph" w:customStyle="1" w:styleId="241">
    <w:name w:val="彩色列表 - 着色 12"/>
    <w:basedOn w:val="1"/>
    <w:qFormat/>
    <w:uiPriority w:val="34"/>
    <w:pPr>
      <w:autoSpaceDE w:val="0"/>
      <w:autoSpaceDN w:val="0"/>
      <w:adjustRightInd w:val="0"/>
      <w:ind w:firstLine="420" w:firstLineChars="200"/>
      <w:jc w:val="left"/>
      <w:textAlignment w:val="baseline"/>
    </w:pPr>
    <w:rPr>
      <w:rFonts w:ascii="宋体"/>
      <w:kern w:val="0"/>
      <w:sz w:val="34"/>
      <w:szCs w:val="20"/>
    </w:rPr>
  </w:style>
  <w:style w:type="paragraph" w:customStyle="1" w:styleId="2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4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4">
    <w:name w:val="Char Char Char Char Char Char Char Char Char Char Char Char Char Char Char Char"/>
    <w:basedOn w:val="1"/>
    <w:qFormat/>
    <w:uiPriority w:val="0"/>
    <w:pPr>
      <w:tabs>
        <w:tab w:val="left" w:pos="360"/>
      </w:tabs>
    </w:pPr>
    <w:rPr>
      <w:sz w:val="24"/>
      <w:szCs w:val="24"/>
    </w:rPr>
  </w:style>
  <w:style w:type="paragraph" w:customStyle="1" w:styleId="2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46">
    <w:name w:val="列出段落4"/>
    <w:basedOn w:val="1"/>
    <w:qFormat/>
    <w:uiPriority w:val="34"/>
    <w:pPr>
      <w:ind w:firstLine="420" w:firstLineChars="200"/>
    </w:pPr>
  </w:style>
  <w:style w:type="paragraph" w:customStyle="1" w:styleId="247">
    <w:name w:val="p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8">
    <w:name w:val="Char Char Char"/>
    <w:basedOn w:val="1"/>
    <w:qFormat/>
    <w:uiPriority w:val="0"/>
    <w:rPr>
      <w:rFonts w:ascii="宋体" w:hAnsi="宋体"/>
      <w:szCs w:val="24"/>
    </w:rPr>
  </w:style>
  <w:style w:type="paragraph" w:customStyle="1" w:styleId="249">
    <w:name w:val="18"/>
    <w:basedOn w:val="1"/>
    <w:qFormat/>
    <w:uiPriority w:val="0"/>
    <w:pPr>
      <w:widowControl/>
      <w:pBdr>
        <w:bottom w:val="single" w:color="000000" w:sz="6" w:space="1"/>
      </w:pBdr>
      <w:snapToGrid w:val="0"/>
      <w:spacing w:before="100" w:beforeAutospacing="1" w:after="100" w:afterAutospacing="1"/>
      <w:jc w:val="center"/>
    </w:pPr>
    <w:rPr>
      <w:rFonts w:eastAsia="Arial Unicode MS"/>
      <w:kern w:val="0"/>
      <w:sz w:val="18"/>
      <w:szCs w:val="18"/>
    </w:rPr>
  </w:style>
  <w:style w:type="paragraph" w:customStyle="1" w:styleId="25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51">
    <w:name w:val="缩进正文"/>
    <w:basedOn w:val="1"/>
    <w:qFormat/>
    <w:uiPriority w:val="0"/>
    <w:pPr>
      <w:spacing w:beforeLines="25" w:afterLines="25" w:line="360" w:lineRule="auto"/>
      <w:ind w:firstLine="480" w:firstLineChars="200"/>
    </w:pPr>
    <w:rPr>
      <w:sz w:val="24"/>
      <w:szCs w:val="21"/>
    </w:rPr>
  </w:style>
  <w:style w:type="paragraph" w:customStyle="1" w:styleId="252">
    <w:name w:val="文字列表"/>
    <w:basedOn w:val="48"/>
    <w:qFormat/>
    <w:uiPriority w:val="0"/>
  </w:style>
  <w:style w:type="paragraph" w:customStyle="1" w:styleId="253">
    <w:name w:val="普通 (Web)"/>
    <w:basedOn w:val="1"/>
    <w:qFormat/>
    <w:uiPriority w:val="0"/>
    <w:rPr>
      <w:sz w:val="24"/>
      <w:szCs w:val="24"/>
    </w:rPr>
  </w:style>
  <w:style w:type="paragraph" w:customStyle="1" w:styleId="2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55">
    <w:name w:val="Char1 Char Char Char Char Char Char Char Char Char"/>
    <w:basedOn w:val="1"/>
    <w:qFormat/>
    <w:uiPriority w:val="0"/>
    <w:rPr>
      <w:rFonts w:ascii="Tahoma" w:hAnsi="Tahoma"/>
      <w:sz w:val="24"/>
      <w:szCs w:val="20"/>
    </w:rPr>
  </w:style>
  <w:style w:type="paragraph" w:customStyle="1" w:styleId="256">
    <w:name w:val="xl75"/>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257">
    <w:name w:val="font12"/>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258">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59">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6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61">
    <w:name w:val="四号　首行缩进"/>
    <w:basedOn w:val="1"/>
    <w:qFormat/>
    <w:uiPriority w:val="0"/>
    <w:pPr>
      <w:spacing w:line="360" w:lineRule="auto"/>
    </w:pPr>
    <w:rPr>
      <w:rFonts w:ascii="宋体" w:hAnsi="宋体"/>
      <w:bCs/>
      <w:szCs w:val="21"/>
    </w:rPr>
  </w:style>
  <w:style w:type="paragraph" w:customStyle="1" w:styleId="262">
    <w:name w:val="TOC 标题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3">
    <w:name w:val="font13"/>
    <w:basedOn w:val="1"/>
    <w:qFormat/>
    <w:uiPriority w:val="0"/>
    <w:pPr>
      <w:widowControl/>
      <w:spacing w:before="100" w:beforeAutospacing="1" w:after="100" w:afterAutospacing="1"/>
      <w:jc w:val="left"/>
    </w:pPr>
    <w:rPr>
      <w:rFonts w:ascii="BatangChe" w:hAnsi="BatangChe" w:eastAsia="BatangChe" w:cs="宋体"/>
      <w:kern w:val="0"/>
      <w:sz w:val="16"/>
      <w:szCs w:val="16"/>
    </w:rPr>
  </w:style>
  <w:style w:type="paragraph" w:customStyle="1" w:styleId="264">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65">
    <w:name w:val="flType"/>
    <w:basedOn w:val="1"/>
    <w:qFormat/>
    <w:uiPriority w:val="0"/>
    <w:pPr>
      <w:adjustRightInd w:val="0"/>
      <w:spacing w:after="284" w:line="113" w:lineRule="atLeast"/>
      <w:jc w:val="center"/>
      <w:textAlignment w:val="baseline"/>
    </w:pPr>
    <w:rPr>
      <w:kern w:val="0"/>
      <w:sz w:val="24"/>
      <w:szCs w:val="20"/>
    </w:rPr>
  </w:style>
  <w:style w:type="paragraph" w:customStyle="1" w:styleId="266">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6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268">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26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7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72">
    <w:name w:val="22"/>
    <w:basedOn w:val="1"/>
    <w:qFormat/>
    <w:uiPriority w:val="0"/>
    <w:pPr>
      <w:widowControl/>
      <w:snapToGrid w:val="0"/>
      <w:spacing w:before="100" w:beforeAutospacing="1" w:after="100" w:afterAutospacing="1"/>
    </w:pPr>
    <w:rPr>
      <w:rFonts w:eastAsia="Arial Unicode MS"/>
      <w:kern w:val="0"/>
      <w:szCs w:val="21"/>
    </w:rPr>
  </w:style>
  <w:style w:type="paragraph" w:customStyle="1" w:styleId="27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74">
    <w:name w:val="Char2"/>
    <w:basedOn w:val="1"/>
    <w:qFormat/>
    <w:uiPriority w:val="0"/>
    <w:pPr>
      <w:tabs>
        <w:tab w:val="left" w:pos="360"/>
      </w:tabs>
    </w:pPr>
    <w:rPr>
      <w:sz w:val="24"/>
      <w:szCs w:val="24"/>
    </w:rPr>
  </w:style>
  <w:style w:type="paragraph" w:customStyle="1" w:styleId="2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76">
    <w:name w:val="一般正文"/>
    <w:basedOn w:val="1"/>
    <w:qFormat/>
    <w:uiPriority w:val="0"/>
    <w:pPr>
      <w:spacing w:line="360" w:lineRule="auto"/>
      <w:ind w:firstLine="480" w:firstLineChars="200"/>
    </w:pPr>
    <w:rPr>
      <w:rFonts w:cs="宋体"/>
      <w:sz w:val="24"/>
      <w:szCs w:val="20"/>
    </w:rPr>
  </w:style>
  <w:style w:type="paragraph" w:customStyle="1" w:styleId="277">
    <w:name w:val="正文文本缩进 21"/>
    <w:basedOn w:val="1"/>
    <w:qFormat/>
    <w:uiPriority w:val="0"/>
    <w:pPr>
      <w:autoSpaceDE w:val="0"/>
      <w:autoSpaceDN w:val="0"/>
      <w:adjustRightInd w:val="0"/>
      <w:ind w:firstLine="540"/>
      <w:textAlignment w:val="baseline"/>
    </w:pPr>
    <w:rPr>
      <w:sz w:val="24"/>
      <w:szCs w:val="20"/>
    </w:rPr>
  </w:style>
  <w:style w:type="paragraph" w:customStyle="1" w:styleId="278">
    <w:name w:val="font9"/>
    <w:basedOn w:val="1"/>
    <w:qFormat/>
    <w:uiPriority w:val="0"/>
    <w:pPr>
      <w:widowControl/>
      <w:spacing w:before="100" w:beforeAutospacing="1" w:after="100" w:afterAutospacing="1"/>
      <w:jc w:val="left"/>
    </w:pPr>
    <w:rPr>
      <w:b/>
      <w:bCs/>
      <w:kern w:val="0"/>
      <w:sz w:val="16"/>
      <w:szCs w:val="16"/>
    </w:rPr>
  </w:style>
  <w:style w:type="paragraph" w:customStyle="1" w:styleId="2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80">
    <w:name w:val="xl3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8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2">
    <w:name w:val="p0"/>
    <w:basedOn w:val="1"/>
    <w:qFormat/>
    <w:uiPriority w:val="0"/>
    <w:pPr>
      <w:widowControl/>
    </w:pPr>
    <w:rPr>
      <w:kern w:val="0"/>
      <w:szCs w:val="21"/>
    </w:rPr>
  </w:style>
  <w:style w:type="paragraph" w:customStyle="1" w:styleId="2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49"/>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285">
    <w:name w:val="xl8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6">
    <w:name w:val="点点"/>
    <w:basedOn w:val="1"/>
    <w:qFormat/>
    <w:uiPriority w:val="0"/>
    <w:pPr>
      <w:tabs>
        <w:tab w:val="left" w:pos="360"/>
      </w:tabs>
      <w:spacing w:before="120" w:after="120" w:line="360" w:lineRule="auto"/>
      <w:ind w:firstLine="539"/>
    </w:pPr>
    <w:rPr>
      <w:rFonts w:ascii="Arial Narrow" w:hAnsi="Arial Narrow" w:eastAsia="楷体_GB2312"/>
      <w:sz w:val="24"/>
      <w:szCs w:val="20"/>
    </w:rPr>
  </w:style>
  <w:style w:type="paragraph" w:customStyle="1" w:styleId="28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2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8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character" w:customStyle="1" w:styleId="290">
    <w:name w:val="neuhtctextarea1"/>
    <w:basedOn w:val="52"/>
    <w:qFormat/>
    <w:uiPriority w:val="0"/>
    <w:rPr>
      <w:rFonts w:hint="default" w:ascii="Verdana" w:hAnsi="Verdana" w:cs="Verdana"/>
      <w:color w:val="000000"/>
      <w:sz w:val="18"/>
      <w:szCs w:val="18"/>
    </w:rPr>
  </w:style>
  <w:style w:type="character" w:customStyle="1" w:styleId="291">
    <w:name w:val="x-tab-strip-text4"/>
    <w:basedOn w:val="52"/>
    <w:qFormat/>
    <w:uiPriority w:val="0"/>
    <w:rPr>
      <w:b/>
      <w:color w:val="15428B"/>
    </w:rPr>
  </w:style>
  <w:style w:type="character" w:customStyle="1" w:styleId="292">
    <w:name w:val="hover35"/>
    <w:basedOn w:val="52"/>
    <w:qFormat/>
    <w:uiPriority w:val="0"/>
    <w:rPr>
      <w:shd w:val="clear" w:color="auto" w:fill="DEECFD"/>
    </w:rPr>
  </w:style>
  <w:style w:type="character" w:customStyle="1" w:styleId="293">
    <w:name w:val="x-tab-strip-text1"/>
    <w:basedOn w:val="52"/>
    <w:qFormat/>
    <w:uiPriority w:val="0"/>
  </w:style>
  <w:style w:type="character" w:customStyle="1" w:styleId="294">
    <w:name w:val="x-tab-strip-text2"/>
    <w:basedOn w:val="52"/>
    <w:qFormat/>
    <w:uiPriority w:val="0"/>
  </w:style>
  <w:style w:type="character" w:customStyle="1" w:styleId="295">
    <w:name w:val="x-tab-strip-text"/>
    <w:basedOn w:val="52"/>
    <w:qFormat/>
    <w:uiPriority w:val="0"/>
    <w:rPr>
      <w:rFonts w:ascii="Tahoma" w:hAnsi="Tahoma" w:eastAsia="Tahoma" w:cs="Tahoma"/>
      <w:color w:val="416AA3"/>
      <w:sz w:val="16"/>
      <w:szCs w:val="16"/>
    </w:rPr>
  </w:style>
  <w:style w:type="character" w:customStyle="1" w:styleId="296">
    <w:name w:val="x-tab-strip-text5"/>
    <w:basedOn w:val="52"/>
    <w:qFormat/>
    <w:uiPriority w:val="0"/>
    <w:rPr>
      <w:color w:val="15428B"/>
    </w:rPr>
  </w:style>
  <w:style w:type="character" w:customStyle="1" w:styleId="297">
    <w:name w:val="x-tab-strip-text3"/>
    <w:basedOn w:val="52"/>
    <w:qFormat/>
    <w:uiPriority w:val="0"/>
  </w:style>
  <w:style w:type="paragraph" w:customStyle="1" w:styleId="298">
    <w:name w:val="WPSOffice手动目录 3"/>
    <w:qFormat/>
    <w:uiPriority w:val="0"/>
    <w:pPr>
      <w:ind w:left="400" w:leftChars="400"/>
    </w:pPr>
    <w:rPr>
      <w:rFonts w:ascii="Calibri" w:hAnsi="Calibri" w:eastAsia="宋体" w:cs="Times New Roman"/>
      <w:lang w:val="en-US" w:eastAsia="zh-CN" w:bidi="ar-SA"/>
    </w:rPr>
  </w:style>
  <w:style w:type="paragraph" w:customStyle="1" w:styleId="299">
    <w:name w:val="WPSOffice手动目录 1"/>
    <w:qFormat/>
    <w:uiPriority w:val="0"/>
    <w:rPr>
      <w:rFonts w:ascii="Calibri" w:hAnsi="Calibri" w:eastAsia="宋体" w:cs="Times New Roman"/>
      <w:lang w:val="en-US" w:eastAsia="zh-CN" w:bidi="ar-SA"/>
    </w:rPr>
  </w:style>
  <w:style w:type="paragraph" w:customStyle="1" w:styleId="300">
    <w:name w:val="WPSOffice手动目录 2"/>
    <w:qFormat/>
    <w:uiPriority w:val="0"/>
    <w:pPr>
      <w:ind w:left="200" w:leftChars="200"/>
    </w:pPr>
    <w:rPr>
      <w:rFonts w:ascii="Calibri" w:hAnsi="Calibri" w:eastAsia="宋体" w:cs="Times New Roman"/>
      <w:lang w:val="en-US" w:eastAsia="zh-CN" w:bidi="ar-SA"/>
    </w:rPr>
  </w:style>
  <w:style w:type="table" w:customStyle="1" w:styleId="301">
    <w:name w:val="网格型1"/>
    <w:basedOn w:val="50"/>
    <w:qFormat/>
    <w:uiPriority w:val="5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2">
    <w:name w:val="navname"/>
    <w:basedOn w:val="52"/>
    <w:qFormat/>
    <w:uiPriority w:val="0"/>
  </w:style>
  <w:style w:type="table" w:customStyle="1" w:styleId="303">
    <w:name w:val="网格型11"/>
    <w:basedOn w:val="50"/>
    <w:qFormat/>
    <w:uiPriority w:val="5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4">
    <w:name w:val="修订1"/>
    <w:semiHidden/>
    <w:qFormat/>
    <w:uiPriority w:val="99"/>
    <w:rPr>
      <w:rFonts w:ascii="Calibri" w:hAnsi="Calibri" w:eastAsia="宋体" w:cs="Times New Roman"/>
      <w:kern w:val="2"/>
      <w:sz w:val="21"/>
      <w:szCs w:val="22"/>
      <w:lang w:val="en-US" w:eastAsia="zh-CN" w:bidi="ar-SA"/>
    </w:rPr>
  </w:style>
  <w:style w:type="paragraph" w:customStyle="1" w:styleId="305">
    <w:name w:val="列出段落111"/>
    <w:basedOn w:val="1"/>
    <w:qFormat/>
    <w:uiPriority w:val="99"/>
    <w:pPr>
      <w:widowControl/>
      <w:adjustRightInd w:val="0"/>
      <w:spacing w:line="360" w:lineRule="auto"/>
      <w:ind w:firstLine="420" w:firstLineChars="200"/>
      <w:jc w:val="left"/>
    </w:pPr>
    <w:rPr>
      <w:rFonts w:ascii="Arial" w:hAnsi="Arial"/>
      <w:kern w:val="0"/>
      <w:szCs w:val="24"/>
      <w:lang w:eastAsia="en-US"/>
    </w:rPr>
  </w:style>
  <w:style w:type="paragraph" w:customStyle="1" w:styleId="306">
    <w:name w:val="reader-word-layer"/>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307">
    <w:name w:val="正文首行缩进 2 Char"/>
    <w:basedOn w:val="100"/>
    <w:link w:val="49"/>
    <w:semiHidden/>
    <w:qFormat/>
    <w:uiPriority w:val="0"/>
    <w:rPr>
      <w:rFonts w:ascii="Calibri" w:hAnsi="Calibri" w:eastAsia="宋体" w:cs="Times New Roman"/>
      <w:b w:val="0"/>
      <w:kern w:val="2"/>
      <w:sz w:val="21"/>
      <w:szCs w:val="22"/>
    </w:rPr>
  </w:style>
  <w:style w:type="character" w:customStyle="1" w:styleId="308">
    <w:name w:val="font51"/>
    <w:basedOn w:val="52"/>
    <w:qFormat/>
    <w:uiPriority w:val="0"/>
    <w:rPr>
      <w:rFonts w:hint="eastAsia" w:ascii="宋体" w:hAnsi="宋体" w:eastAsia="宋体" w:cs="宋体"/>
      <w:color w:val="000000"/>
      <w:sz w:val="20"/>
      <w:szCs w:val="20"/>
      <w:u w:val="none"/>
    </w:rPr>
  </w:style>
  <w:style w:type="character" w:customStyle="1" w:styleId="309">
    <w:name w:val="font41"/>
    <w:basedOn w:val="52"/>
    <w:qFormat/>
    <w:uiPriority w:val="0"/>
    <w:rPr>
      <w:rFonts w:hint="eastAsia" w:ascii="宋体" w:hAnsi="宋体" w:eastAsia="宋体" w:cs="宋体"/>
      <w:color w:val="000000"/>
      <w:sz w:val="20"/>
      <w:szCs w:val="20"/>
      <w:u w:val="none"/>
    </w:rPr>
  </w:style>
  <w:style w:type="character" w:customStyle="1" w:styleId="310">
    <w:name w:val="font61"/>
    <w:basedOn w:val="52"/>
    <w:qFormat/>
    <w:uiPriority w:val="0"/>
    <w:rPr>
      <w:rFonts w:hint="eastAsia" w:ascii="宋体" w:hAnsi="宋体" w:eastAsia="宋体" w:cs="宋体"/>
      <w:color w:val="000000"/>
      <w:sz w:val="20"/>
      <w:szCs w:val="20"/>
      <w:u w:val="none"/>
    </w:rPr>
  </w:style>
  <w:style w:type="character" w:customStyle="1" w:styleId="311">
    <w:name w:val="font21"/>
    <w:basedOn w:val="52"/>
    <w:qFormat/>
    <w:uiPriority w:val="0"/>
    <w:rPr>
      <w:rFonts w:hint="eastAsia" w:ascii="宋体" w:hAnsi="宋体" w:eastAsia="宋体" w:cs="宋体"/>
      <w:b/>
      <w:bCs/>
      <w:color w:val="000000"/>
      <w:sz w:val="22"/>
      <w:szCs w:val="22"/>
      <w:u w:val="none"/>
    </w:rPr>
  </w:style>
  <w:style w:type="character" w:customStyle="1" w:styleId="312">
    <w:name w:val="font31"/>
    <w:basedOn w:val="52"/>
    <w:qFormat/>
    <w:uiPriority w:val="0"/>
    <w:rPr>
      <w:rFonts w:hint="eastAsia" w:ascii="宋体" w:hAnsi="宋体" w:eastAsia="宋体" w:cs="宋体"/>
      <w:b/>
      <w:bCs/>
      <w:color w:val="000000"/>
      <w:sz w:val="22"/>
      <w:szCs w:val="22"/>
      <w:u w:val="none"/>
    </w:rPr>
  </w:style>
  <w:style w:type="paragraph" w:customStyle="1" w:styleId="313">
    <w:name w:val="Table Paragraph"/>
    <w:basedOn w:val="1"/>
    <w:qFormat/>
    <w:uiPriority w:val="0"/>
    <w:pPr>
      <w:autoSpaceDE w:val="0"/>
      <w:autoSpaceDN w:val="0"/>
      <w:spacing w:line="240" w:lineRule="auto"/>
      <w:jc w:val="left"/>
    </w:pPr>
    <w:rPr>
      <w:rFonts w:ascii="宋体" w:hAnsi="宋体" w:cs="宋体"/>
      <w:kern w:val="0"/>
      <w:sz w:val="22"/>
    </w:rPr>
  </w:style>
  <w:style w:type="table" w:customStyle="1" w:styleId="314">
    <w:name w:val="网格型2"/>
    <w:basedOn w:val="50"/>
    <w:qFormat/>
    <w:uiPriority w:val="5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6">
    <w:name w:val="Revision"/>
    <w:unhideWhenUsed/>
    <w:qFormat/>
    <w:uiPriority w:val="99"/>
    <w:rPr>
      <w:rFonts w:ascii="Times New Roman" w:hAnsi="Times New Roman" w:eastAsia="宋体" w:cs="Times New Roman"/>
      <w:kern w:val="2"/>
      <w:sz w:val="21"/>
      <w:lang w:val="en-US" w:eastAsia="zh-CN" w:bidi="ar-SA"/>
    </w:rPr>
  </w:style>
  <w:style w:type="character" w:customStyle="1" w:styleId="317">
    <w:name w:val="font01"/>
    <w:qFormat/>
    <w:uiPriority w:val="0"/>
    <w:rPr>
      <w:rFonts w:hint="eastAsia" w:ascii="宋体" w:hAnsi="宋体" w:eastAsia="宋体" w:cs="宋体"/>
      <w:color w:val="000000"/>
      <w:sz w:val="24"/>
      <w:szCs w:val="24"/>
      <w:u w:val="none"/>
      <w:vertAlign w:val="superscript"/>
    </w:rPr>
  </w:style>
  <w:style w:type="character" w:customStyle="1" w:styleId="318">
    <w:name w:val="font71"/>
    <w:qFormat/>
    <w:uiPriority w:val="0"/>
    <w:rPr>
      <w:rFonts w:hint="eastAsia" w:ascii="宋体" w:hAnsi="宋体" w:eastAsia="宋体" w:cs="宋体"/>
      <w:color w:val="000000"/>
      <w:sz w:val="22"/>
      <w:szCs w:val="22"/>
      <w:u w:val="none"/>
      <w:vertAlign w:val="superscript"/>
    </w:rPr>
  </w:style>
  <w:style w:type="paragraph" w:customStyle="1" w:styleId="319">
    <w:name w:val="Default"/>
    <w:unhideWhenUsed/>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320">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321">
    <w:name w:val="未处理的提及"/>
    <w:unhideWhenUsed/>
    <w:qFormat/>
    <w:uiPriority w:val="99"/>
    <w:rPr>
      <w:color w:val="605E5C"/>
      <w:shd w:val="clear" w:color="auto" w:fill="E1DFDD"/>
    </w:rPr>
  </w:style>
  <w:style w:type="paragraph" w:customStyle="1" w:styleId="322">
    <w:name w:val="列出段落5"/>
    <w:basedOn w:val="1"/>
    <w:qFormat/>
    <w:uiPriority w:val="0"/>
    <w:pPr>
      <w:autoSpaceDE w:val="0"/>
      <w:autoSpaceDN w:val="0"/>
      <w:spacing w:line="240" w:lineRule="auto"/>
      <w:ind w:left="1011" w:firstLine="439"/>
      <w:jc w:val="left"/>
    </w:pPr>
    <w:rPr>
      <w:rFonts w:ascii="宋体" w:hAnsi="宋体" w:cs="宋体"/>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1B407EA-2459-4EDE-8DC3-E76F4E4DC4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18417</Words>
  <Characters>22846</Characters>
  <Lines>125</Lines>
  <Paragraphs>35</Paragraphs>
  <TotalTime>48</TotalTime>
  <ScaleCrop>false</ScaleCrop>
  <LinksUpToDate>false</LinksUpToDate>
  <CharactersWithSpaces>23317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2021-07-29T07:14:00Z</dcterms:created>
  <dc:creator>hp</dc:creator>
  <cp:lastModifiedBy>user</cp:lastModifiedBy>
  <cp:lastPrinted>2023-11-04T02:24:00Z</cp:lastPrinted>
  <dcterms:modified xsi:type="dcterms:W3CDTF">2024-09-12T16:19:04Z</dcterms:modified>
  <cp:revision>859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3224C2210FB74E1380AE788840C76A60_13</vt:lpwstr>
  </property>
</Properties>
</file>