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 w:lineRule="auto"/>
        <w:jc w:val="center"/>
        <w:rPr>
          <w:rFonts w:ascii="方正小标宋_GBK" w:hAnsi="华文中宋" w:eastAsia="方正小标宋_GBK" w:cs="华文中宋"/>
          <w:spacing w:val="-10"/>
          <w:sz w:val="44"/>
          <w:szCs w:val="44"/>
        </w:rPr>
      </w:pPr>
      <w:bookmarkStart w:id="0" w:name="_Toc54124574"/>
      <w:r>
        <w:rPr>
          <w:rFonts w:hint="eastAsia" w:ascii="方正小标宋_GBK" w:hAnsi="华文中宋" w:eastAsia="方正小标宋_GBK" w:cs="华文中宋"/>
          <w:spacing w:val="-10"/>
          <w:sz w:val="44"/>
          <w:szCs w:val="44"/>
        </w:rPr>
        <w:t>车路协同生态圈环湖一路智慧交通配套工程项目的</w:t>
      </w:r>
      <w:r>
        <w:rPr>
          <w:rFonts w:hint="eastAsia" w:ascii="方正小标宋_GBK" w:hAnsi="华文中宋" w:eastAsia="方正小标宋_GBK" w:cs="华文中宋"/>
          <w:sz w:val="44"/>
          <w:szCs w:val="44"/>
        </w:rPr>
        <w:t>项目采购需求</w:t>
      </w:r>
    </w:p>
    <w:p>
      <w:pPr>
        <w:pStyle w:val="4"/>
        <w:numPr>
          <w:ilvl w:val="0"/>
          <w:numId w:val="1"/>
        </w:numPr>
        <w:spacing w:line="360" w:lineRule="auto"/>
        <w:ind w:left="660" w:hanging="660"/>
        <w:rPr>
          <w:rFonts w:ascii="方正黑体_GBK" w:eastAsia="方正黑体_GBK"/>
          <w:b w:val="0"/>
          <w:bCs w:val="0"/>
          <w:sz w:val="28"/>
          <w:szCs w:val="28"/>
        </w:rPr>
      </w:pPr>
      <w:r>
        <w:rPr>
          <w:rFonts w:hint="eastAsia" w:ascii="方正黑体_GBK" w:eastAsia="方正黑体_GBK"/>
          <w:b w:val="0"/>
          <w:bCs w:val="0"/>
          <w:sz w:val="28"/>
          <w:szCs w:val="28"/>
        </w:rPr>
        <w:t>项目</w:t>
      </w:r>
      <w:bookmarkEnd w:id="0"/>
      <w:r>
        <w:rPr>
          <w:rFonts w:hint="eastAsia" w:ascii="方正黑体_GBK" w:eastAsia="方正黑体_GBK"/>
          <w:b w:val="0"/>
          <w:bCs w:val="0"/>
          <w:sz w:val="28"/>
          <w:szCs w:val="28"/>
        </w:rPr>
        <w:t>背景</w:t>
      </w:r>
    </w:p>
    <w:p>
      <w:pPr>
        <w:spacing w:line="360" w:lineRule="auto"/>
        <w:ind w:firstLine="480" w:firstLineChars="200"/>
        <w:rPr>
          <w:rFonts w:ascii="方正仿宋_GBK" w:eastAsia="方正仿宋_GBK"/>
          <w:sz w:val="24"/>
        </w:rPr>
      </w:pPr>
      <w:r>
        <w:rPr>
          <w:rFonts w:hint="eastAsia" w:ascii="方正仿宋_GBK" w:hAnsi="宋体" w:eastAsia="方正仿宋_GBK"/>
          <w:sz w:val="24"/>
        </w:rPr>
        <w:t>为了落实交通部印发《中国（上海）自由贸易试验区临港新片区综合交通“十四五”规划》（沪自贸临管委〔2021〕50号）及《关于促进道路交通自动驾驶技术发展和应用的指导意见》（交科技发〔2020〕124号）等相关文件的要求，响应交通强国、新基建以及新型基础设施建设等战略政策要求，加快建设新型道路基础设施，推广智能网联化服务提供基础保障，在临港新片区开展智能网联建设以有效满足临港公交优先、集约高效、绿色智慧的综合交通发展要求，开展车路协同交通基础设施建设布局研究。</w:t>
      </w:r>
    </w:p>
    <w:p>
      <w:pPr>
        <w:pStyle w:val="4"/>
        <w:numPr>
          <w:ilvl w:val="0"/>
          <w:numId w:val="1"/>
        </w:numPr>
        <w:spacing w:line="360" w:lineRule="auto"/>
        <w:rPr>
          <w:rFonts w:ascii="方正黑体_GBK" w:eastAsia="方正黑体_GBK"/>
          <w:b w:val="0"/>
          <w:bCs w:val="0"/>
          <w:sz w:val="28"/>
          <w:szCs w:val="28"/>
        </w:rPr>
      </w:pPr>
      <w:r>
        <w:rPr>
          <w:rFonts w:hint="eastAsia" w:ascii="方正黑体_GBK" w:eastAsia="方正黑体_GBK"/>
          <w:b w:val="0"/>
          <w:bCs w:val="0"/>
          <w:sz w:val="28"/>
          <w:szCs w:val="28"/>
        </w:rPr>
        <w:t>项目目标</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本项目在环湖一路辅道建设适合多种车路协同智能网联车辆示范应用场景的自动驾驶专用道，全时段专用。运营车辆实现“固定车辆、固定线路、固定时间”。同时为将来车路协同智能网联的设备提供基础搭载环境，辅助开展开放测试道路新型基础设施建设。为临港新片区智能网联汽车规模化，常态化示范应用提供运行保障。</w:t>
      </w:r>
    </w:p>
    <w:p>
      <w:pPr>
        <w:pStyle w:val="4"/>
        <w:numPr>
          <w:ilvl w:val="0"/>
          <w:numId w:val="1"/>
        </w:numPr>
        <w:spacing w:line="360" w:lineRule="auto"/>
        <w:rPr>
          <w:rFonts w:ascii="方正黑体_GBK" w:eastAsia="方正黑体_GBK"/>
          <w:b w:val="0"/>
          <w:bCs w:val="0"/>
          <w:sz w:val="28"/>
          <w:szCs w:val="28"/>
        </w:rPr>
      </w:pPr>
      <w:r>
        <w:rPr>
          <w:rFonts w:hint="eastAsia" w:ascii="方正黑体_GBK" w:eastAsia="方正黑体_GBK"/>
          <w:b w:val="0"/>
          <w:bCs w:val="0"/>
          <w:sz w:val="28"/>
          <w:szCs w:val="28"/>
        </w:rPr>
        <w:t>项目内容</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该项目完成临港新片区车路协同环湖一路生态圈配套改造，包括工程范围内自动驾驶专用道（环湖一路辅道）改造，智能交通设施改造升级，配套通信、供配电、杆箱、管道等内容的建设。具体包括：</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1）完成自动驾驶专用道（环湖一路辅道）改造工程，包括沿线车行及人行过街开口设置、人行过街设施调整、隔离及安全设施、绿化搬迁、排水改造等内容的建设。</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2）完成自动驾驶专用道改造之后10个路口信号控制设备、沿线路口/路段视频监控设备、9个路口电警和卡口复用的高清复合视频检测设备、2个行人过街行人感应设备等智能交通设备的建设。</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3）完成智能交通设备的配套通信、供配电、杆箱、管道等内容的建设。</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4）完成后台基础设施专网内数据存储转发、校时服务等设备的建设</w:t>
      </w:r>
      <w:r>
        <w:rPr>
          <w:rFonts w:hint="eastAsia" w:ascii="方正仿宋_GBK" w:hAnsi="宋体" w:eastAsia="方正仿宋_GBK"/>
          <w:color w:val="000000" w:themeColor="text1"/>
          <w:sz w:val="24"/>
          <w14:textFill>
            <w14:solidFill>
              <w14:schemeClr w14:val="tx1"/>
            </w14:solidFill>
          </w14:textFill>
        </w:rPr>
        <w:t>及租赁机房</w:t>
      </w:r>
      <w:r>
        <w:rPr>
          <w:rFonts w:hint="eastAsia" w:ascii="方正仿宋_GBK" w:hAnsi="宋体" w:eastAsia="方正仿宋_GBK"/>
          <w:sz w:val="24"/>
        </w:rPr>
        <w:t>。</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5）完成系统集成工作，保证构成系统的硬件、网络资源和应用模块等能够形成一个整体，有效协调和稳定运行。</w:t>
      </w:r>
    </w:p>
    <w:p>
      <w:pPr>
        <w:spacing w:line="360" w:lineRule="auto"/>
        <w:ind w:firstLine="480" w:firstLineChars="200"/>
        <w:rPr>
          <w:rFonts w:hint="eastAsia" w:ascii="方正仿宋_GBK" w:hAnsi="宋体" w:eastAsia="方正仿宋_GBK"/>
          <w:sz w:val="24"/>
        </w:rPr>
      </w:pPr>
      <w:r>
        <w:rPr>
          <w:rFonts w:hint="eastAsia" w:ascii="方正仿宋_GBK" w:hAnsi="宋体" w:eastAsia="方正仿宋_GBK"/>
          <w:sz w:val="24"/>
        </w:rPr>
        <w:t>6）根据《建设项目交通影响评价技术标准》和项目建设要求，需配套完成该项目交通影响评价工作，并出具合格的报告书。</w:t>
      </w:r>
    </w:p>
    <w:p>
      <w:pPr>
        <w:pStyle w:val="4"/>
        <w:numPr>
          <w:ilvl w:val="0"/>
          <w:numId w:val="1"/>
        </w:numPr>
        <w:spacing w:line="360" w:lineRule="auto"/>
        <w:rPr>
          <w:rFonts w:ascii="方正黑体_GBK" w:eastAsia="方正黑体_GBK"/>
          <w:b w:val="0"/>
          <w:bCs w:val="0"/>
          <w:sz w:val="28"/>
          <w:szCs w:val="28"/>
        </w:rPr>
      </w:pPr>
      <w:r>
        <w:rPr>
          <w:rFonts w:hint="eastAsia" w:ascii="方正黑体_GBK" w:eastAsia="方正黑体_GBK"/>
          <w:b w:val="0"/>
          <w:bCs w:val="0"/>
          <w:sz w:val="28"/>
          <w:szCs w:val="28"/>
        </w:rPr>
        <w:t>项目工作范围及工作要求</w:t>
      </w:r>
    </w:p>
    <w:p>
      <w:pPr>
        <w:spacing w:line="360" w:lineRule="auto"/>
        <w:rPr>
          <w:rFonts w:ascii="方正仿宋_GBK" w:hAnsi="宋体" w:eastAsia="方正仿宋_GBK"/>
          <w:sz w:val="24"/>
        </w:rPr>
      </w:pPr>
      <w:r>
        <w:rPr>
          <w:rFonts w:hint="eastAsia" w:ascii="方正仿宋_GBK" w:hAnsi="宋体" w:eastAsia="方正仿宋_GBK"/>
          <w:sz w:val="24"/>
        </w:rPr>
        <w:t>（一）工作范围</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中标人应按照本项目现场实际条件、招标需求提供设备以及材料供货、安装、集成、系统及设备测试、调校、试运行（系统、单机）、采购人相关人员的培训及通过有关部门的验收期间提供必要的技术支持和配合、质量保证期内免费保养维修等全部工作。</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依据本项目的工作内容与范围，中标人应包设备与材料供货、包系统集成实施、包人工、包质量、包安全的方式实施本系统集成项目总承包并确保本项目最终验收顺利通过。</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中标人应具备上海市或有关行业管理部门规定的在上海市实施本项目所需的资质（包括国家和本市各类专业工种持证上岗要求）、资格和一切手续（如有的话），由此引起的所有有关事宜及费用由中标人自行负责。</w:t>
      </w:r>
    </w:p>
    <w:p>
      <w:pPr>
        <w:spacing w:line="360" w:lineRule="auto"/>
        <w:rPr>
          <w:rFonts w:ascii="方正仿宋_GBK" w:hAnsi="宋体" w:eastAsia="方正仿宋_GBK"/>
          <w:sz w:val="24"/>
        </w:rPr>
      </w:pPr>
      <w:r>
        <w:rPr>
          <w:rFonts w:hint="eastAsia" w:ascii="方正仿宋_GBK" w:hAnsi="宋体" w:eastAsia="方正仿宋_GBK"/>
          <w:sz w:val="24"/>
        </w:rPr>
        <w:t>（二）工作要求（包括但不限于以下要求）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根据采购人的需求（要求）在采购人的指导下，负责编制项目进度计划和保障措施，确保按期完成。若有变更，应及时调整进度计划。</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负责实施方案向有关部门的报批工作，以及项目竣工后向有关部门、单位申报测试与验收工作，并确保可以满足主管部门的要求（如有）。</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负责系统全部（包括子系统）设备的供应，并按合同范围、交付期限、质量标准等，保质保量按时将设备与器材等运至项目现场、完成本项目系统线缆敷设和设备安装、集成、软件开发（如有）、测试、调校、系统开通、试运行等全部工作。</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协助采购人和主管部门完成项目验收工作。验收按本项目合同以及国家和上海市的有关技术标准与规范进行。</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负责完成项目竣工图纸与资料的编制工作，并在项目完成并交付使用前提交项目竣工资料叁套（根据采购人要求）。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负责采购人相关人员的技术培训，并提供使用、操作手册，保证达到独立上岗操作与日常维护的水平。</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负责项目售后服务（系统免费保修期和服务响应时间不低于招标文件要求）。</w:t>
      </w:r>
    </w:p>
    <w:p>
      <w:pPr>
        <w:pStyle w:val="4"/>
        <w:numPr>
          <w:ilvl w:val="0"/>
          <w:numId w:val="1"/>
        </w:numPr>
        <w:spacing w:line="360" w:lineRule="auto"/>
        <w:rPr>
          <w:rFonts w:ascii="方正黑体_GBK" w:eastAsia="方正黑体_GBK"/>
          <w:b w:val="0"/>
          <w:bCs w:val="0"/>
          <w:sz w:val="28"/>
          <w:szCs w:val="28"/>
        </w:rPr>
      </w:pPr>
      <w:r>
        <w:rPr>
          <w:rFonts w:hint="eastAsia" w:ascii="方正黑体_GBK" w:eastAsia="方正黑体_GBK"/>
          <w:b w:val="0"/>
          <w:bCs w:val="0"/>
          <w:sz w:val="28"/>
          <w:szCs w:val="28"/>
        </w:rPr>
        <w:t>项目管理要求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在项目实施期间，中标人应严格执行国家、地方、行业有关本项目业务管理和安全作业的法律法规和制度并按规定承担相应的费用。中标人因违反规定等原因造成的一切损失和责任由中标人自行承担。</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中标人在投标书中承诺并经招标人认定的项目负责人及专业技术人员必须是本单位职工（在本单位缴纳社会保障金）和该项目实施现场的实际操作者，应具有类似本项目的实施经验，并应常驻项目现场。未经采购人同意，中标人不得调换或撤离上述人员。如采购人认为有必要，可要求中标人对上述人员中的部分人员作出更好的调整。</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中标人在项目实施期间，应按项目实际进度与环节落实所对应项目整体及各环节管理工作，按照规范做好项目实施期间相关管理与实施记录。</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中标人应严格参照执行国家与上海市有关建设工程安全文明施工管理的法律法规和政策，积极主动落实安全文明及环境保护施工的管理和考核等有关工作，指派专人负责施工现场的安全，建立安全用电、动用明火申请批准等制度，防止隐患和落实好作业区域内的环境和原有装饰保护要求，确保作业区域周围环境的整洁和不影响正常办公区域正常工作，安全、文明实施本项目系统集成工作。</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中标人在与采购人签订项目合同的同时要签订安全生产责任协议书、治安防火责任协议书、项目文明实施协议书和廉政责任书（如采购人有此项要求），中标人若违反规定违章作业等，采购人有权责令停工整改，一切损失由中标人自行承担。</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中标人在项目实施期间必须遵守采购人的规章制度并提供实施人员名单。</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本项目合同不得转让、不得对外分包。</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本项目设备材料供货及安装调试将纳入监理单位（如有）、采购人的管理范围，中标人在此过程中须服从上述单位的管理协调。</w:t>
      </w:r>
    </w:p>
    <w:p>
      <w:pPr>
        <w:pStyle w:val="4"/>
        <w:numPr>
          <w:ilvl w:val="0"/>
          <w:numId w:val="1"/>
        </w:numPr>
        <w:spacing w:line="360" w:lineRule="auto"/>
        <w:rPr>
          <w:rFonts w:ascii="方正黑体_GBK" w:eastAsia="方正黑体_GBK"/>
          <w:b w:val="0"/>
          <w:bCs w:val="0"/>
          <w:sz w:val="28"/>
          <w:szCs w:val="28"/>
        </w:rPr>
      </w:pPr>
      <w:r>
        <w:rPr>
          <w:rFonts w:hint="eastAsia" w:ascii="方正黑体_GBK" w:eastAsia="方正黑体_GBK"/>
          <w:b w:val="0"/>
          <w:bCs w:val="0"/>
          <w:sz w:val="28"/>
          <w:szCs w:val="28"/>
        </w:rPr>
        <w:t>建设周期</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该项目建设周期为9个月，包含至少3个月的试运行。</w:t>
      </w:r>
    </w:p>
    <w:p>
      <w:pPr>
        <w:pStyle w:val="4"/>
        <w:numPr>
          <w:ilvl w:val="0"/>
          <w:numId w:val="1"/>
        </w:numPr>
        <w:spacing w:line="360" w:lineRule="auto"/>
        <w:ind w:left="0" w:firstLine="0"/>
        <w:rPr>
          <w:rFonts w:ascii="方正黑体_GBK" w:eastAsia="方正黑体_GBK"/>
          <w:b w:val="0"/>
          <w:bCs w:val="0"/>
          <w:sz w:val="28"/>
          <w:szCs w:val="28"/>
        </w:rPr>
      </w:pPr>
      <w:r>
        <w:rPr>
          <w:rFonts w:hint="eastAsia" w:ascii="方正黑体_GBK" w:eastAsia="方正黑体_GBK"/>
          <w:b w:val="0"/>
          <w:bCs w:val="0"/>
          <w:sz w:val="28"/>
          <w:szCs w:val="28"/>
        </w:rPr>
        <w:t>技术要求</w:t>
      </w:r>
    </w:p>
    <w:p>
      <w:pPr>
        <w:spacing w:line="360" w:lineRule="auto"/>
        <w:rPr>
          <w:rFonts w:ascii="方正仿宋_GBK" w:hAnsi="宋体" w:eastAsia="方正仿宋_GBK" w:cs="仿宋"/>
          <w:b/>
          <w:bCs/>
          <w:sz w:val="24"/>
        </w:rPr>
      </w:pPr>
      <w:bookmarkStart w:id="1" w:name="_Toc54124576"/>
      <w:r>
        <w:rPr>
          <w:rFonts w:hint="eastAsia" w:ascii="方正仿宋_GBK" w:hAnsi="宋体" w:eastAsia="方正仿宋_GBK" w:cs="仿宋"/>
          <w:b/>
          <w:bCs/>
          <w:sz w:val="24"/>
        </w:rPr>
        <w:t>（一）总体要求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本项目将环湖一路内圈辅道设置为智能网联汽车专用道路，综合考虑环内外车行需求、人行过街需求、公交行驶路权调整、常规公交站台客流疏散等需求，对环湖一路沿线车行及人行过街开口、社会公交站台位置、人行过街设施、隔离及安全设施进行调整，同时配套建设环湖一路智能交通工程的交通信号控制、视频监控、路口感知、行人感应控制设施。</w:t>
      </w:r>
    </w:p>
    <w:p>
      <w:pPr>
        <w:spacing w:line="360" w:lineRule="auto"/>
        <w:rPr>
          <w:rFonts w:ascii="方正仿宋_GBK" w:hAnsi="宋体" w:eastAsia="方正仿宋_GBK"/>
          <w:b/>
          <w:bCs/>
          <w:sz w:val="24"/>
        </w:rPr>
      </w:pPr>
      <w:r>
        <w:rPr>
          <w:rFonts w:hint="eastAsia" w:ascii="方正仿宋_GBK" w:hAnsi="宋体" w:eastAsia="方正仿宋_GBK"/>
          <w:b/>
          <w:bCs/>
          <w:sz w:val="24"/>
        </w:rPr>
        <w:t>（二）自动驾驶专用道改造</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1.日常开口方案</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为保障辅道自动驾驶车辆安全行驶，避免自动驾驶车辆与社会车辆以及行人不必要的冲突，拟对环湖一路辅道采取专用路权管理。同时，考虑到环内地块的车行进出需求、行人过街需求以及常规公交站的客流疏散需求，拟选取26处辅道开口，其中3处交叉口车行+过街开口、1处停车场右进右出+过街开口、5处车行右进右出开口、12处人行过街开口、2处智能公交+过街开口、3处人行仅穿越辅道开口。</w:t>
      </w:r>
    </w:p>
    <w:p>
      <w:pPr>
        <w:jc w:val="center"/>
        <w:rPr>
          <w:rFonts w:ascii="黑体" w:hAnsi="黑体" w:eastAsia="黑体"/>
          <w:szCs w:val="21"/>
        </w:rPr>
      </w:pPr>
      <w:r>
        <w:rPr>
          <w:rFonts w:ascii="黑体" w:hAnsi="黑体" w:eastAsia="黑体"/>
          <w:szCs w:val="21"/>
        </w:rPr>
        <w:drawing>
          <wp:inline distT="0" distB="0" distL="0" distR="0">
            <wp:extent cx="5274310" cy="2733675"/>
            <wp:effectExtent l="0" t="0" r="0" b="9525"/>
            <wp:docPr id="1780360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60297"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733675"/>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图1：辅道开口分布及类型图</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2.</w:t>
      </w:r>
      <w:r>
        <w:rPr>
          <w:rFonts w:hint="eastAsia" w:ascii="方正仿宋_GBK" w:hAnsi="宋体" w:eastAsia="方正仿宋_GBK"/>
          <w:sz w:val="24"/>
        </w:rPr>
        <w:tab/>
      </w:r>
      <w:r>
        <w:rPr>
          <w:rFonts w:hint="eastAsia" w:ascii="方正仿宋_GBK" w:hAnsi="宋体" w:eastAsia="方正仿宋_GBK"/>
          <w:sz w:val="24"/>
        </w:rPr>
        <w:t>应急保障车辆开口</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根据日常的开口方案，设置有常态化车行开口11处，在应急状态下，可以打开让车辆驶入，人行过街处作为临时开口12处。全线应急车辆开口平均间距在400m以内。</w:t>
      </w:r>
    </w:p>
    <w:p>
      <w:pPr>
        <w:jc w:val="center"/>
        <w:rPr>
          <w:rFonts w:ascii="黑体" w:hAnsi="黑体" w:eastAsia="黑体"/>
          <w:szCs w:val="21"/>
        </w:rPr>
      </w:pPr>
      <w:r>
        <w:rPr>
          <w:rFonts w:hint="eastAsia" w:ascii="黑体" w:hAnsi="黑体" w:eastAsia="黑体"/>
          <w:szCs w:val="21"/>
        </w:rPr>
        <w:drawing>
          <wp:inline distT="0" distB="0" distL="0" distR="0">
            <wp:extent cx="5274310" cy="2787015"/>
            <wp:effectExtent l="0" t="0" r="0" b="0"/>
            <wp:docPr id="2063900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00248"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787015"/>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图2：应急保障车辆开口分布及类型图</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3.</w:t>
      </w:r>
      <w:r>
        <w:rPr>
          <w:rFonts w:hint="eastAsia" w:ascii="方正仿宋_GBK" w:hAnsi="宋体" w:eastAsia="方正仿宋_GBK"/>
          <w:sz w:val="24"/>
        </w:rPr>
        <w:tab/>
      </w:r>
      <w:r>
        <w:rPr>
          <w:rFonts w:hint="eastAsia" w:ascii="方正仿宋_GBK" w:hAnsi="宋体" w:eastAsia="方正仿宋_GBK"/>
          <w:sz w:val="24"/>
        </w:rPr>
        <w:t>公交站台调整</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环湖一路辅道自动驾驶专用后，常规公交线路全部改为在主线行驶，智能公交在辅道行驶。常规公交站台涉及3处调整：环湖西一路临港大道站、临港展示中心站2处公交站台，需结合人行过街位置外移至主辅分隔带上；环湖东一路小桉路站公交站台需增设站亭。</w:t>
      </w:r>
    </w:p>
    <w:p>
      <w:pPr>
        <w:jc w:val="center"/>
        <w:rPr>
          <w:rFonts w:ascii="黑体" w:hAnsi="黑体" w:eastAsia="黑体"/>
          <w:szCs w:val="21"/>
        </w:rPr>
      </w:pPr>
      <w:r>
        <w:rPr>
          <w:rFonts w:ascii="黑体" w:hAnsi="黑体" w:eastAsia="黑体"/>
          <w:szCs w:val="21"/>
        </w:rPr>
        <w:drawing>
          <wp:inline distT="0" distB="0" distL="0" distR="0">
            <wp:extent cx="3943350" cy="3084830"/>
            <wp:effectExtent l="0" t="0" r="0" b="1270"/>
            <wp:docPr id="14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1"/>
                    <pic:cNvPicPr>
                      <a:picLocks noChangeAspect="1"/>
                    </pic:cNvPicPr>
                  </pic:nvPicPr>
                  <pic:blipFill>
                    <a:blip r:embed="rId7"/>
                    <a:stretch>
                      <a:fillRect/>
                    </a:stretch>
                  </pic:blipFill>
                  <pic:spPr>
                    <a:xfrm>
                      <a:off x="0" y="0"/>
                      <a:ext cx="3951792" cy="3091589"/>
                    </a:xfrm>
                    <a:prstGeom prst="rect">
                      <a:avLst/>
                    </a:prstGeom>
                    <a:ln>
                      <a:noFill/>
                    </a:ln>
                  </pic:spPr>
                </pic:pic>
              </a:graphicData>
            </a:graphic>
          </wp:inline>
        </w:drawing>
      </w:r>
    </w:p>
    <w:p>
      <w:pPr>
        <w:jc w:val="center"/>
        <w:rPr>
          <w:rFonts w:ascii="黑体" w:hAnsi="黑体" w:eastAsia="黑体"/>
          <w:szCs w:val="21"/>
        </w:rPr>
      </w:pPr>
      <w:r>
        <w:rPr>
          <w:rFonts w:hint="eastAsia" w:ascii="黑体" w:hAnsi="黑体" w:eastAsia="黑体"/>
          <w:szCs w:val="21"/>
        </w:rPr>
        <w:t>图3：常规公交站台相关调整</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4.</w:t>
      </w:r>
      <w:r>
        <w:rPr>
          <w:rFonts w:hint="eastAsia" w:ascii="方正仿宋_GBK" w:hAnsi="宋体" w:eastAsia="方正仿宋_GBK"/>
          <w:sz w:val="24"/>
        </w:rPr>
        <w:tab/>
      </w:r>
      <w:r>
        <w:rPr>
          <w:rFonts w:hint="eastAsia" w:ascii="方正仿宋_GBK" w:hAnsi="宋体" w:eastAsia="方正仿宋_GBK"/>
          <w:sz w:val="24"/>
        </w:rPr>
        <w:t>人行过街调整</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现状环湖一路全线共19处人行过街，考虑周边地块与现状开发情况，对人行过街开口进行调整。</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调整后全线人行过街为21处，其中：保留现状15处、结合停车场开口微调1处、新增2处路段过街、新增2处仅穿越辅道的过街。以上过街位置除2处仅穿越辅道的过街外其余均通过信号灯控制。</w:t>
      </w:r>
    </w:p>
    <w:p>
      <w:pPr>
        <w:jc w:val="center"/>
        <w:rPr>
          <w:rFonts w:ascii="黑体" w:hAnsi="黑体" w:eastAsia="黑体"/>
          <w:szCs w:val="21"/>
        </w:rPr>
      </w:pPr>
      <w:r>
        <w:rPr>
          <w:rFonts w:ascii="黑体" w:hAnsi="黑体" w:eastAsia="黑体"/>
          <w:szCs w:val="21"/>
        </w:rPr>
        <w:drawing>
          <wp:inline distT="0" distB="0" distL="0" distR="0">
            <wp:extent cx="4109085" cy="3772535"/>
            <wp:effectExtent l="0" t="0" r="5715" b="12065"/>
            <wp:docPr id="139449" name="图片 13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9" name="图片 139449"/>
                    <pic:cNvPicPr>
                      <a:picLocks noChangeAspect="1" noChangeArrowheads="1"/>
                    </pic:cNvPicPr>
                  </pic:nvPicPr>
                  <pic:blipFill>
                    <a:blip r:embed="rId8">
                      <a:extLst>
                        <a:ext uri="{28A0092B-C50C-407E-A947-70E740481C1C}">
                          <a14:useLocalDpi xmlns:a14="http://schemas.microsoft.com/office/drawing/2010/main" val="0"/>
                        </a:ext>
                      </a:extLst>
                    </a:blip>
                    <a:srcRect l="2850" r="5402" b="2877"/>
                    <a:stretch>
                      <a:fillRect/>
                    </a:stretch>
                  </pic:blipFill>
                  <pic:spPr>
                    <a:xfrm>
                      <a:off x="0" y="0"/>
                      <a:ext cx="4109085" cy="3772535"/>
                    </a:xfrm>
                    <a:prstGeom prst="rect">
                      <a:avLst/>
                    </a:prstGeom>
                    <a:noFill/>
                    <a:ln>
                      <a:noFill/>
                    </a:ln>
                  </pic:spPr>
                </pic:pic>
              </a:graphicData>
            </a:graphic>
          </wp:inline>
        </w:drawing>
      </w:r>
    </w:p>
    <w:p>
      <w:pPr>
        <w:jc w:val="center"/>
        <w:rPr>
          <w:rFonts w:ascii="黑体" w:hAnsi="黑体" w:eastAsia="黑体"/>
          <w:szCs w:val="21"/>
        </w:rPr>
      </w:pPr>
      <w:r>
        <w:rPr>
          <w:rFonts w:ascii="黑体" w:hAnsi="黑体" w:eastAsia="黑体"/>
          <w:szCs w:val="21"/>
        </w:rPr>
        <w:t>图</w:t>
      </w:r>
      <w:r>
        <w:rPr>
          <w:rFonts w:hint="eastAsia" w:ascii="黑体" w:hAnsi="黑体" w:eastAsia="黑体"/>
          <w:szCs w:val="21"/>
        </w:rPr>
        <w:t>5</w:t>
      </w:r>
      <w:r>
        <w:rPr>
          <w:rFonts w:ascii="黑体" w:hAnsi="黑体" w:eastAsia="黑体"/>
          <w:szCs w:val="21"/>
        </w:rPr>
        <w:t>：</w:t>
      </w:r>
      <w:r>
        <w:rPr>
          <w:rFonts w:hint="eastAsia" w:ascii="黑体" w:hAnsi="黑体" w:eastAsia="黑体"/>
          <w:szCs w:val="21"/>
        </w:rPr>
        <w:t>人行过街调整方案</w:t>
      </w:r>
    </w:p>
    <w:p>
      <w:pPr>
        <w:spacing w:line="360" w:lineRule="auto"/>
        <w:rPr>
          <w:rFonts w:ascii="方正仿宋_GBK" w:hAnsi="宋体" w:eastAsia="方正仿宋_GBK"/>
          <w:b/>
          <w:bCs/>
          <w:sz w:val="24"/>
        </w:rPr>
      </w:pPr>
      <w:r>
        <w:rPr>
          <w:rFonts w:hint="eastAsia" w:ascii="方正仿宋_GBK" w:hAnsi="宋体" w:eastAsia="方正仿宋_GBK"/>
          <w:b/>
          <w:bCs/>
          <w:sz w:val="24"/>
        </w:rPr>
        <w:t>（三）智能交通升级</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智能交通包含以下四个子系统：</w:t>
      </w:r>
    </w:p>
    <w:p>
      <w:pPr>
        <w:pStyle w:val="38"/>
        <w:numPr>
          <w:ilvl w:val="0"/>
          <w:numId w:val="2"/>
        </w:numPr>
        <w:spacing w:line="360" w:lineRule="auto"/>
        <w:ind w:left="920" w:hanging="440" w:firstLineChars="0"/>
        <w:rPr>
          <w:rFonts w:ascii="方正仿宋_GBK" w:hAnsi="宋体" w:eastAsia="方正仿宋_GBK"/>
          <w:sz w:val="24"/>
        </w:rPr>
      </w:pPr>
      <w:r>
        <w:rPr>
          <w:rFonts w:hint="eastAsia" w:ascii="方正仿宋_GBK" w:hAnsi="宋体" w:eastAsia="方正仿宋_GBK"/>
          <w:sz w:val="24"/>
        </w:rPr>
        <w:t>信号控制系统：环湖一路东侧（临港大道</w:t>
      </w:r>
      <w:r>
        <w:rPr>
          <w:rFonts w:ascii="方正仿宋_GBK" w:hAnsi="宋体" w:eastAsia="方正仿宋_GBK"/>
          <w:sz w:val="24"/>
        </w:rPr>
        <w:t>-</w:t>
      </w:r>
      <w:r>
        <w:rPr>
          <w:rFonts w:hint="eastAsia" w:ascii="方正仿宋_GBK" w:hAnsi="宋体" w:eastAsia="方正仿宋_GBK"/>
          <w:sz w:val="24"/>
        </w:rPr>
        <w:t>海港大道）</w:t>
      </w:r>
      <w:r>
        <w:rPr>
          <w:rFonts w:ascii="方正仿宋_GBK" w:hAnsi="宋体" w:eastAsia="方正仿宋_GBK"/>
          <w:sz w:val="24"/>
        </w:rPr>
        <w:t>7</w:t>
      </w:r>
      <w:r>
        <w:rPr>
          <w:rFonts w:hint="eastAsia" w:ascii="方正仿宋_GBK" w:hAnsi="宋体" w:eastAsia="方正仿宋_GBK"/>
          <w:sz w:val="24"/>
        </w:rPr>
        <w:t>个改造的已有信号机的信控路口，现有信号机不满足《单点信号机改造系统控制实施细则》要求，需更换信号机；环湖东一路</w:t>
      </w:r>
      <w:r>
        <w:rPr>
          <w:rFonts w:ascii="方正仿宋_GBK" w:hAnsi="宋体" w:eastAsia="方正仿宋_GBK"/>
          <w:sz w:val="24"/>
        </w:rPr>
        <w:t>-</w:t>
      </w:r>
      <w:r>
        <w:rPr>
          <w:rFonts w:hint="eastAsia" w:ascii="方正仿宋_GBK" w:hAnsi="宋体" w:eastAsia="方正仿宋_GBK"/>
          <w:sz w:val="24"/>
        </w:rPr>
        <w:t>小桉路公交站、环湖东一路</w:t>
      </w:r>
      <w:r>
        <w:rPr>
          <w:rFonts w:ascii="方正仿宋_GBK" w:hAnsi="宋体" w:eastAsia="方正仿宋_GBK"/>
          <w:sz w:val="24"/>
        </w:rPr>
        <w:t>-</w:t>
      </w:r>
      <w:r>
        <w:rPr>
          <w:rFonts w:hint="eastAsia" w:ascii="方正仿宋_GBK" w:hAnsi="宋体" w:eastAsia="方正仿宋_GBK"/>
          <w:sz w:val="24"/>
        </w:rPr>
        <w:t>儿童乐园停车场和环湖西一路</w:t>
      </w:r>
      <w:r>
        <w:rPr>
          <w:rFonts w:ascii="方正仿宋_GBK" w:hAnsi="宋体" w:eastAsia="方正仿宋_GBK"/>
          <w:sz w:val="24"/>
        </w:rPr>
        <w:t>-</w:t>
      </w:r>
      <w:r>
        <w:rPr>
          <w:rFonts w:hint="eastAsia" w:ascii="方正仿宋_GBK" w:hAnsi="宋体" w:eastAsia="方正仿宋_GBK"/>
          <w:sz w:val="24"/>
        </w:rPr>
        <w:t>黄日港南路新建的</w:t>
      </w:r>
      <w:r>
        <w:rPr>
          <w:rFonts w:ascii="方正仿宋_GBK" w:hAnsi="宋体" w:eastAsia="方正仿宋_GBK"/>
          <w:sz w:val="24"/>
        </w:rPr>
        <w:t>3</w:t>
      </w:r>
      <w:r>
        <w:rPr>
          <w:rFonts w:hint="eastAsia" w:ascii="方正仿宋_GBK" w:hAnsi="宋体" w:eastAsia="方正仿宋_GBK"/>
          <w:sz w:val="24"/>
        </w:rPr>
        <w:t>个人行过街信控路口，新建</w:t>
      </w:r>
      <w:r>
        <w:rPr>
          <w:rFonts w:ascii="方正仿宋_GBK" w:hAnsi="宋体" w:eastAsia="方正仿宋_GBK"/>
          <w:sz w:val="24"/>
        </w:rPr>
        <w:t>3</w:t>
      </w:r>
      <w:r>
        <w:rPr>
          <w:rFonts w:hint="eastAsia" w:ascii="方正仿宋_GBK" w:hAnsi="宋体" w:eastAsia="方正仿宋_GBK"/>
          <w:sz w:val="24"/>
        </w:rPr>
        <w:t>台信号机。</w:t>
      </w:r>
    </w:p>
    <w:p>
      <w:pPr>
        <w:pStyle w:val="38"/>
        <w:numPr>
          <w:ilvl w:val="0"/>
          <w:numId w:val="2"/>
        </w:numPr>
        <w:spacing w:line="360" w:lineRule="auto"/>
        <w:ind w:left="920" w:hanging="440" w:firstLineChars="0"/>
        <w:rPr>
          <w:rFonts w:ascii="方正仿宋_GBK" w:hAnsi="宋体" w:eastAsia="方正仿宋_GBK"/>
          <w:sz w:val="24"/>
        </w:rPr>
      </w:pPr>
      <w:r>
        <w:rPr>
          <w:rFonts w:hint="eastAsia" w:ascii="方正仿宋_GBK" w:hAnsi="宋体" w:eastAsia="方正仿宋_GBK"/>
          <w:sz w:val="24"/>
        </w:rPr>
        <w:t>视频监控系统：由于环湖一路辅道在本项目中改造为自动驾驶专用车道，具有社会车辆禁止驶入辅道的特殊性。同时为了保障交通行驶安全，需要对环湖一路进行全线监控覆盖。现状环湖一路沿线监控设备建设投用年限较长，功能老旧，不适宜复用。因此本项目新建视频监控设备，实现对环湖一路全线的监控覆盖。</w:t>
      </w:r>
    </w:p>
    <w:p>
      <w:pPr>
        <w:pStyle w:val="38"/>
        <w:numPr>
          <w:ilvl w:val="0"/>
          <w:numId w:val="2"/>
        </w:numPr>
        <w:spacing w:line="360" w:lineRule="auto"/>
        <w:ind w:left="920" w:hanging="440" w:firstLineChars="0"/>
        <w:rPr>
          <w:rFonts w:ascii="方正仿宋_GBK" w:hAnsi="宋体" w:eastAsia="方正仿宋_GBK"/>
          <w:sz w:val="24"/>
        </w:rPr>
      </w:pPr>
      <w:r>
        <w:rPr>
          <w:rFonts w:hint="eastAsia" w:ascii="方正仿宋_GBK" w:hAnsi="宋体" w:eastAsia="方正仿宋_GBK"/>
          <w:sz w:val="24"/>
        </w:rPr>
        <w:t>路口感知系统：在坚持数据共用共享的前提下，环湖一路部分路口仍旧缺少交通感知数据的统计和共享，因此本项目结合环湖一路的开口方案，对路口感知系统进行补足。</w:t>
      </w:r>
    </w:p>
    <w:p>
      <w:pPr>
        <w:pStyle w:val="38"/>
        <w:numPr>
          <w:ilvl w:val="0"/>
          <w:numId w:val="2"/>
        </w:numPr>
        <w:spacing w:line="360" w:lineRule="auto"/>
        <w:ind w:left="920" w:hanging="440" w:firstLineChars="0"/>
        <w:rPr>
          <w:rFonts w:ascii="方正仿宋_GBK" w:hAnsi="宋体" w:eastAsia="方正仿宋_GBK"/>
          <w:sz w:val="24"/>
        </w:rPr>
      </w:pPr>
      <w:r>
        <w:rPr>
          <w:rFonts w:hint="eastAsia" w:ascii="方正仿宋_GBK" w:hAnsi="宋体" w:eastAsia="方正仿宋_GBK"/>
          <w:sz w:val="24"/>
        </w:rPr>
        <w:t>行人感应系统：环湖一路部分行人过街通道的行人和非机动车流量较少且无明显时间规律，采用行人感应控制方式进行管控。行人感应控制系统通过感知行人等待区的行人和非机动车过街需求，当首个行人</w:t>
      </w:r>
      <w:r>
        <w:rPr>
          <w:rFonts w:ascii="方正仿宋_GBK" w:hAnsi="宋体" w:eastAsia="方正仿宋_GBK"/>
          <w:sz w:val="24"/>
        </w:rPr>
        <w:t>/</w:t>
      </w:r>
      <w:r>
        <w:rPr>
          <w:rFonts w:hint="eastAsia" w:ascii="方正仿宋_GBK" w:hAnsi="宋体" w:eastAsia="方正仿宋_GBK"/>
          <w:sz w:val="24"/>
        </w:rPr>
        <w:t>非机动车等待时间满足触发要求时触发行人相位请求，由信号机在机动车最短绿灯后切换至行人相位；无行人和非机动车过街需求时保持机动车相位不变。</w:t>
      </w:r>
    </w:p>
    <w:p>
      <w:pPr>
        <w:spacing w:line="360" w:lineRule="auto"/>
        <w:rPr>
          <w:rFonts w:ascii="方正仿宋_GBK" w:hAnsi="宋体" w:eastAsia="方正仿宋_GBK"/>
          <w:b/>
          <w:bCs/>
          <w:sz w:val="24"/>
        </w:rPr>
      </w:pPr>
      <w:r>
        <w:rPr>
          <w:rFonts w:hint="eastAsia" w:ascii="方正仿宋_GBK" w:hAnsi="宋体" w:eastAsia="方正仿宋_GBK"/>
          <w:b/>
          <w:bCs/>
          <w:sz w:val="24"/>
        </w:rPr>
        <w:t>（四）通信系统建设</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本项目信号控制与其他交通监控内设备分别采用信号控制专网和临港智慧交通基础设施专网接入监控中心。</w:t>
      </w:r>
    </w:p>
    <w:p>
      <w:pPr>
        <w:spacing w:line="360" w:lineRule="auto"/>
        <w:rPr>
          <w:rFonts w:ascii="方正仿宋_GBK" w:hAnsi="宋体" w:eastAsia="方正仿宋_GBK"/>
          <w:b/>
          <w:bCs/>
          <w:sz w:val="24"/>
        </w:rPr>
      </w:pPr>
      <w:r>
        <w:rPr>
          <w:rFonts w:hint="eastAsia" w:ascii="方正仿宋_GBK" w:hAnsi="宋体" w:eastAsia="方正仿宋_GBK"/>
          <w:b/>
          <w:bCs/>
          <w:sz w:val="24"/>
        </w:rPr>
        <w:t>（五）供配电系统建设</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1）交叉口配电建设方案</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本工程在每个交叉口利旧相关项目的配电箱，新增配电箱从现有电力供电点取电，交叉口范围内新建设备从配电箱取电。</w:t>
      </w:r>
    </w:p>
    <w:p>
      <w:pPr>
        <w:pStyle w:val="38"/>
        <w:numPr>
          <w:ilvl w:val="0"/>
          <w:numId w:val="2"/>
        </w:numPr>
        <w:spacing w:line="360" w:lineRule="auto"/>
        <w:ind w:left="920" w:hanging="440" w:firstLineChars="0"/>
        <w:rPr>
          <w:rFonts w:ascii="方正仿宋_GBK" w:hAnsi="宋体" w:eastAsia="方正仿宋_GBK"/>
          <w:sz w:val="24"/>
        </w:rPr>
      </w:pPr>
      <w:r>
        <w:rPr>
          <w:rFonts w:hint="eastAsia" w:ascii="方正仿宋_GBK" w:hAnsi="宋体" w:eastAsia="方正仿宋_GBK"/>
          <w:sz w:val="24"/>
        </w:rPr>
        <w:t>负荷等级：本工程用电负荷等级均为三级负荷。</w:t>
      </w:r>
    </w:p>
    <w:p>
      <w:pPr>
        <w:pStyle w:val="38"/>
        <w:numPr>
          <w:ilvl w:val="0"/>
          <w:numId w:val="2"/>
        </w:numPr>
        <w:spacing w:line="360" w:lineRule="auto"/>
        <w:ind w:left="920" w:hanging="440" w:firstLineChars="0"/>
        <w:rPr>
          <w:rFonts w:ascii="方正仿宋_GBK" w:hAnsi="宋体" w:eastAsia="方正仿宋_GBK"/>
          <w:sz w:val="24"/>
        </w:rPr>
      </w:pPr>
      <w:r>
        <w:rPr>
          <w:rFonts w:hint="eastAsia" w:ascii="方正仿宋_GBK" w:hAnsi="宋体" w:eastAsia="方正仿宋_GBK"/>
          <w:sz w:val="24"/>
        </w:rPr>
        <w:t>配电线缆：配电线缆采用铜芯电缆，额定电压为</w:t>
      </w:r>
      <w:r>
        <w:rPr>
          <w:rFonts w:ascii="方正仿宋_GBK" w:hAnsi="宋体" w:eastAsia="方正仿宋_GBK"/>
          <w:sz w:val="24"/>
        </w:rPr>
        <w:t>0.6/1kV</w:t>
      </w:r>
      <w:r>
        <w:rPr>
          <w:rFonts w:hint="eastAsia" w:ascii="方正仿宋_GBK" w:hAnsi="宋体" w:eastAsia="方正仿宋_GBK"/>
          <w:sz w:val="24"/>
        </w:rPr>
        <w:t>。电缆均采用穿管敷设。</w:t>
      </w:r>
    </w:p>
    <w:p>
      <w:pPr>
        <w:pStyle w:val="38"/>
        <w:numPr>
          <w:ilvl w:val="0"/>
          <w:numId w:val="2"/>
        </w:numPr>
        <w:spacing w:line="360" w:lineRule="auto"/>
        <w:ind w:left="920" w:hanging="440" w:firstLineChars="0"/>
        <w:rPr>
          <w:rFonts w:ascii="方正仿宋_GBK" w:hAnsi="宋体" w:eastAsia="方正仿宋_GBK"/>
          <w:sz w:val="24"/>
        </w:rPr>
      </w:pPr>
      <w:r>
        <w:rPr>
          <w:rFonts w:hint="eastAsia" w:ascii="方正仿宋_GBK" w:hAnsi="宋体" w:eastAsia="方正仿宋_GBK"/>
          <w:sz w:val="24"/>
        </w:rPr>
        <w:t>防雷措施：外场设备在各配电箱进线端装设防浪涌保护器，标称放电电流</w:t>
      </w:r>
      <w:r>
        <w:rPr>
          <w:rFonts w:ascii="方正仿宋_GBK" w:hAnsi="宋体" w:eastAsia="方正仿宋_GBK"/>
          <w:sz w:val="24"/>
        </w:rPr>
        <w:t>In</w:t>
      </w:r>
      <w:r>
        <w:rPr>
          <w:rFonts w:hint="eastAsia" w:ascii="方正仿宋_GBK" w:hAnsi="宋体" w:eastAsia="方正仿宋_GBK"/>
          <w:sz w:val="24"/>
        </w:rPr>
        <w:t>为</w:t>
      </w:r>
      <w:r>
        <w:rPr>
          <w:rFonts w:ascii="方正仿宋_GBK" w:hAnsi="宋体" w:eastAsia="方正仿宋_GBK"/>
          <w:sz w:val="24"/>
        </w:rPr>
        <w:t>100kA</w:t>
      </w:r>
      <w:r>
        <w:rPr>
          <w:rFonts w:hint="eastAsia" w:ascii="方正仿宋_GBK" w:hAnsi="宋体" w:eastAsia="方正仿宋_GBK"/>
          <w:sz w:val="24"/>
        </w:rPr>
        <w:t>。</w:t>
      </w:r>
    </w:p>
    <w:p>
      <w:pPr>
        <w:pStyle w:val="38"/>
        <w:numPr>
          <w:ilvl w:val="0"/>
          <w:numId w:val="2"/>
        </w:numPr>
        <w:spacing w:line="360" w:lineRule="auto"/>
        <w:ind w:left="920" w:hanging="440" w:firstLineChars="0"/>
        <w:rPr>
          <w:rFonts w:ascii="方正仿宋_GBK" w:hAnsi="宋体" w:eastAsia="方正仿宋_GBK"/>
          <w:sz w:val="24"/>
        </w:rPr>
      </w:pPr>
      <w:r>
        <w:rPr>
          <w:rFonts w:hint="eastAsia" w:ascii="方正仿宋_GBK" w:hAnsi="宋体" w:eastAsia="方正仿宋_GBK"/>
          <w:sz w:val="24"/>
        </w:rPr>
        <w:t>接地要求：外场监控配电系统接地制式为</w:t>
      </w:r>
      <w:r>
        <w:rPr>
          <w:rFonts w:ascii="方正仿宋_GBK" w:hAnsi="宋体" w:eastAsia="方正仿宋_GBK"/>
          <w:sz w:val="24"/>
        </w:rPr>
        <w:t>TN-S</w:t>
      </w:r>
      <w:r>
        <w:rPr>
          <w:rFonts w:hint="eastAsia" w:ascii="方正仿宋_GBK" w:hAnsi="宋体" w:eastAsia="方正仿宋_GBK"/>
          <w:sz w:val="24"/>
        </w:rPr>
        <w:t>，各配电设备及受电设施内</w:t>
      </w:r>
      <w:r>
        <w:rPr>
          <w:rFonts w:ascii="方正仿宋_GBK" w:hAnsi="宋体" w:eastAsia="方正仿宋_GBK"/>
          <w:sz w:val="24"/>
        </w:rPr>
        <w:t>N</w:t>
      </w:r>
      <w:r>
        <w:rPr>
          <w:rFonts w:hint="eastAsia" w:ascii="方正仿宋_GBK" w:hAnsi="宋体" w:eastAsia="方正仿宋_GBK"/>
          <w:sz w:val="24"/>
        </w:rPr>
        <w:t>排及</w:t>
      </w:r>
      <w:r>
        <w:rPr>
          <w:rFonts w:ascii="方正仿宋_GBK" w:hAnsi="宋体" w:eastAsia="方正仿宋_GBK"/>
          <w:sz w:val="24"/>
        </w:rPr>
        <w:t>PE</w:t>
      </w:r>
      <w:r>
        <w:rPr>
          <w:rFonts w:hint="eastAsia" w:ascii="方正仿宋_GBK" w:hAnsi="宋体" w:eastAsia="方正仿宋_GBK"/>
          <w:sz w:val="24"/>
        </w:rPr>
        <w:t>排应保持严格分开。地面区域配电箱利用加打接地极作为接地装置，接地电阻值要求≤</w:t>
      </w:r>
      <w:r>
        <w:rPr>
          <w:rFonts w:ascii="方正仿宋_GBK" w:hAnsi="宋体" w:eastAsia="方正仿宋_GBK"/>
          <w:sz w:val="24"/>
        </w:rPr>
        <w:t>4Ω</w:t>
      </w:r>
      <w:r>
        <w:rPr>
          <w:rFonts w:hint="eastAsia" w:ascii="方正仿宋_GBK" w:hAnsi="宋体" w:eastAsia="方正仿宋_GBK"/>
          <w:sz w:val="24"/>
        </w:rPr>
        <w:t>。</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2）路段配电建设方案</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无电源路段完成设备取电。</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其他方案同交叉口配电建设方案。</w:t>
      </w:r>
    </w:p>
    <w:p>
      <w:pPr>
        <w:spacing w:line="360" w:lineRule="auto"/>
        <w:rPr>
          <w:rFonts w:ascii="方正仿宋_GBK" w:hAnsi="宋体" w:eastAsia="方正仿宋_GBK"/>
          <w:sz w:val="24"/>
        </w:rPr>
      </w:pPr>
      <w:r>
        <w:rPr>
          <w:rFonts w:hint="eastAsia" w:ascii="方正仿宋_GBK" w:hAnsi="宋体" w:eastAsia="方正仿宋_GBK"/>
          <w:b/>
          <w:bCs/>
          <w:sz w:val="24"/>
        </w:rPr>
        <w:t>（六）配套杆箱管道建设</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本项目将在建设范围内利旧已有的综合杆、管道等设备，若无相关杆件或管道资源，则考虑新建杆件等。新建杆件、管道的规格和要求均符合《综合杆设施技术标准》和临港新片区道路杆件基础设施建设标准。</w:t>
      </w:r>
    </w:p>
    <w:p>
      <w:pPr>
        <w:spacing w:line="360" w:lineRule="auto"/>
        <w:rPr>
          <w:rFonts w:ascii="方正仿宋_GBK" w:hAnsi="宋体" w:eastAsia="方正仿宋_GBK"/>
          <w:sz w:val="24"/>
        </w:rPr>
      </w:pPr>
      <w:r>
        <w:rPr>
          <w:rFonts w:hint="eastAsia" w:ascii="方正仿宋_GBK" w:hAnsi="宋体" w:eastAsia="方正仿宋_GBK"/>
          <w:b/>
          <w:bCs/>
          <w:sz w:val="24"/>
        </w:rPr>
        <w:t>（七）后台设备部署方案</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本项目路侧设施产生的视频数据需进行本地化存储及转发，所需的设备拟部署在专用租赁机房。硬件配置设备包括：视频存储节点、流媒体转发服务器、图片转发节点、图片存储节点、违法数据接入节点、SATA云磁盘存储服务器、视频管理服务器、服务器密码机等。</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此外，本项目设备部署于临港智慧交通基础设施专网,延续之前项目建设方案，仍采用租用运营商机房的方式部署所需的后台设备,租赁方式按机柜计量。本项目的后台设备包括：视频存储节点8台、流媒体转发服务器3台、视频管理服务器2台、图片转发节点1台、图片存储节点1台、违法数据接入节点1台、SATA云磁盘存储服务器3台、视频平台管理服务器1台、服务器密码机1台、NTP服务器1台、中心母钟1台、GPS/北斗双模接收机1台，合计设备24台,按一个机柜6台设备计算，共需4台机柜。</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为了保障本项目各类设备正常运转，本项目涉及的机柜所在机房必须满足行业标准机房的要求，装修、照明、空调通风、环境监控、防雷、防震、静电释放、消防、机房监控、供配电系统、UPS系统和接地系统的要求不得低于以下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1）装修工程要求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主要包括：主机房和辅助工作间的布局设计；机房的密闭和保温；吊顶装修（空调管道、照明灯具和走线、消防报警、保温、防尘、空调回风）；机房活动地板（布线、空调送风）；机房内墙、柱面装修；机房隔断；机房门窗。</w:t>
      </w:r>
    </w:p>
    <w:p>
      <w:pPr>
        <w:spacing w:line="360" w:lineRule="auto"/>
        <w:ind w:firstLine="480" w:firstLineChars="200"/>
        <w:rPr>
          <w:rFonts w:ascii="方正仿宋_GBK" w:hAnsi="宋体" w:eastAsia="方正仿宋_GBK"/>
          <w:sz w:val="24"/>
        </w:rPr>
      </w:pPr>
      <w:r>
        <w:rPr>
          <w:rFonts w:ascii="方正仿宋_GBK" w:hAnsi="宋体" w:eastAsia="方正仿宋_GBK"/>
          <w:sz w:val="24"/>
        </w:rPr>
        <w:t>2</w:t>
      </w:r>
      <w:r>
        <w:rPr>
          <w:rFonts w:hint="eastAsia" w:ascii="方正仿宋_GBK" w:hAnsi="宋体" w:eastAsia="方正仿宋_GBK"/>
          <w:sz w:val="24"/>
        </w:rPr>
        <w:t>）屏蔽系统要求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主要包括：防止外界强电磁干扰机房内部的计算机和其他电子信息处理设备；防止机房内部的计算机和其它电子信息设备产生的信息以电磁波外泄，造成失密；采用金属板式屏蔽。</w:t>
      </w:r>
    </w:p>
    <w:p>
      <w:pPr>
        <w:spacing w:line="360" w:lineRule="auto"/>
        <w:ind w:firstLine="480" w:firstLineChars="200"/>
        <w:rPr>
          <w:rFonts w:ascii="方正仿宋_GBK" w:hAnsi="宋体" w:eastAsia="方正仿宋_GBK"/>
          <w:sz w:val="24"/>
        </w:rPr>
      </w:pPr>
      <w:r>
        <w:rPr>
          <w:rFonts w:ascii="方正仿宋_GBK" w:hAnsi="宋体" w:eastAsia="方正仿宋_GBK"/>
          <w:sz w:val="24"/>
        </w:rPr>
        <w:t>3</w:t>
      </w:r>
      <w:r>
        <w:rPr>
          <w:rFonts w:hint="eastAsia" w:ascii="方正仿宋_GBK" w:hAnsi="宋体" w:eastAsia="方正仿宋_GBK"/>
          <w:sz w:val="24"/>
        </w:rPr>
        <w:t>）电力系统要求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1、供配电系统</w:t>
      </w:r>
    </w:p>
    <w:p>
      <w:pPr>
        <w:pStyle w:val="38"/>
        <w:numPr>
          <w:ilvl w:val="0"/>
          <w:numId w:val="3"/>
        </w:numPr>
        <w:spacing w:line="360" w:lineRule="auto"/>
        <w:ind w:firstLine="420" w:firstLineChars="0"/>
        <w:rPr>
          <w:rFonts w:ascii="方正仿宋_GBK" w:hAnsi="宋体" w:eastAsia="方正仿宋_GBK"/>
          <w:sz w:val="24"/>
        </w:rPr>
      </w:pPr>
      <w:r>
        <w:rPr>
          <w:rFonts w:hint="eastAsia" w:ascii="方正仿宋_GBK" w:hAnsi="宋体" w:eastAsia="方正仿宋_GBK"/>
          <w:sz w:val="24"/>
        </w:rPr>
        <w:t>市电双回路：日常供电模式。</w:t>
      </w:r>
    </w:p>
    <w:p>
      <w:pPr>
        <w:pStyle w:val="38"/>
        <w:numPr>
          <w:ilvl w:val="0"/>
          <w:numId w:val="3"/>
        </w:numPr>
        <w:spacing w:line="360" w:lineRule="auto"/>
        <w:ind w:firstLine="420" w:firstLineChars="0"/>
        <w:rPr>
          <w:rFonts w:ascii="方正仿宋_GBK" w:hAnsi="宋体" w:eastAsia="方正仿宋_GBK"/>
          <w:sz w:val="24"/>
        </w:rPr>
      </w:pPr>
      <w:r>
        <w:rPr>
          <w:rFonts w:ascii="方正仿宋_GBK" w:hAnsi="宋体" w:eastAsia="方正仿宋_GBK"/>
          <w:sz w:val="24"/>
        </w:rPr>
        <w:t>UPS</w:t>
      </w:r>
      <w:r>
        <w:rPr>
          <w:rFonts w:hint="eastAsia" w:ascii="方正仿宋_GBK" w:hAnsi="宋体" w:eastAsia="方正仿宋_GBK"/>
          <w:sz w:val="24"/>
        </w:rPr>
        <w:t>不间断电源：在市电停电时，采用</w:t>
      </w:r>
      <w:r>
        <w:rPr>
          <w:rFonts w:ascii="方正仿宋_GBK" w:hAnsi="宋体" w:eastAsia="方正仿宋_GBK"/>
          <w:sz w:val="24"/>
        </w:rPr>
        <w:t>UPS</w:t>
      </w:r>
      <w:r>
        <w:rPr>
          <w:rFonts w:hint="eastAsia" w:ascii="方正仿宋_GBK" w:hAnsi="宋体" w:eastAsia="方正仿宋_GBK"/>
          <w:sz w:val="24"/>
        </w:rPr>
        <w:t>集中供电。</w:t>
      </w:r>
    </w:p>
    <w:p>
      <w:pPr>
        <w:pStyle w:val="38"/>
        <w:numPr>
          <w:ilvl w:val="0"/>
          <w:numId w:val="3"/>
        </w:numPr>
        <w:spacing w:line="360" w:lineRule="auto"/>
        <w:ind w:firstLine="420" w:firstLineChars="0"/>
        <w:rPr>
          <w:rFonts w:ascii="方正仿宋_GBK" w:hAnsi="宋体" w:eastAsia="方正仿宋_GBK"/>
          <w:sz w:val="24"/>
        </w:rPr>
      </w:pPr>
      <w:r>
        <w:rPr>
          <w:rFonts w:hint="eastAsia" w:ascii="方正仿宋_GBK" w:hAnsi="宋体" w:eastAsia="方正仿宋_GBK"/>
          <w:sz w:val="24"/>
        </w:rPr>
        <w:t>供电总功率冗余设计为</w:t>
      </w:r>
      <w:r>
        <w:rPr>
          <w:rFonts w:ascii="方正仿宋_GBK" w:hAnsi="宋体" w:eastAsia="方正仿宋_GBK"/>
          <w:sz w:val="24"/>
        </w:rPr>
        <w:t>30%</w:t>
      </w:r>
      <w:r>
        <w:rPr>
          <w:rFonts w:hint="eastAsia" w:ascii="方正仿宋_GBK" w:hAnsi="宋体" w:eastAsia="方正仿宋_GBK"/>
          <w:sz w:val="24"/>
        </w:rPr>
        <w:t>，配电系统频率</w:t>
      </w:r>
      <w:r>
        <w:rPr>
          <w:rFonts w:ascii="方正仿宋_GBK" w:hAnsi="宋体" w:eastAsia="方正仿宋_GBK"/>
          <w:sz w:val="24"/>
        </w:rPr>
        <w:t>50Hz</w:t>
      </w:r>
      <w:r>
        <w:rPr>
          <w:rFonts w:hint="eastAsia" w:ascii="方正仿宋_GBK" w:hAnsi="宋体" w:eastAsia="方正仿宋_GBK"/>
          <w:sz w:val="24"/>
        </w:rPr>
        <w:t>，电压</w:t>
      </w:r>
      <w:r>
        <w:rPr>
          <w:rFonts w:ascii="方正仿宋_GBK" w:hAnsi="宋体" w:eastAsia="方正仿宋_GBK"/>
          <w:sz w:val="24"/>
        </w:rPr>
        <w:t>380/220V</w:t>
      </w:r>
      <w:r>
        <w:rPr>
          <w:rFonts w:hint="eastAsia" w:ascii="方正仿宋_GBK" w:hAnsi="宋体" w:eastAsia="方正仿宋_GBK"/>
          <w:sz w:val="24"/>
        </w:rPr>
        <w:t>。</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2、UPS不间断电源系统</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UPS采用双总线冗余方式进行设计。</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3、接地系统</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机房接地系统有两种：单独接地和联合接地，建议采用联合接地的方式，交流工作接地、直流工作接地、安全保护接地与大楼的防雷接地共用一组接地装置，其接地电阻不大于1Ω；交流工作接地，接地电阻不应大于4Ω；安全工作接地，接地电阻不应大于4Ω；直流工作接地，接地电阻应按计算机系统具体要求确定；防雷接地，应按现行国家标准《建筑防雷设计规范》执行。</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设备机房接地等电位连接带应采用铜质线，其截面积不应小于16mm2，设置的接地汇集环或汇集排宜采用裸铜线，其截面积不应小于35mm2。</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4、防雷系统</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保护机房的重要设备不被雷击和浪涌损坏，是机房设计首要考虑的问题。充分考虑用户设备的安全，结合业内领先的防雷和防浪涌技术，为用户关键设备提供安全保障。</w:t>
      </w:r>
    </w:p>
    <w:p>
      <w:pPr>
        <w:pStyle w:val="38"/>
        <w:numPr>
          <w:ilvl w:val="0"/>
          <w:numId w:val="4"/>
        </w:numPr>
        <w:spacing w:line="360" w:lineRule="auto"/>
        <w:ind w:firstLine="420" w:firstLineChars="0"/>
        <w:rPr>
          <w:rFonts w:ascii="方正仿宋_GBK" w:hAnsi="宋体" w:eastAsia="方正仿宋_GBK"/>
          <w:sz w:val="24"/>
        </w:rPr>
      </w:pPr>
      <w:r>
        <w:rPr>
          <w:rFonts w:hint="eastAsia" w:ascii="方正仿宋_GBK" w:hAnsi="宋体" w:eastAsia="方正仿宋_GBK"/>
          <w:sz w:val="24"/>
        </w:rPr>
        <w:t>机房电源总开关加装电源避雷器作为电源第一级保护。</w:t>
      </w:r>
    </w:p>
    <w:p>
      <w:pPr>
        <w:pStyle w:val="38"/>
        <w:numPr>
          <w:ilvl w:val="0"/>
          <w:numId w:val="4"/>
        </w:numPr>
        <w:spacing w:line="360" w:lineRule="auto"/>
        <w:ind w:firstLine="420" w:firstLineChars="0"/>
        <w:rPr>
          <w:rFonts w:ascii="方正仿宋_GBK" w:hAnsi="宋体" w:eastAsia="方正仿宋_GBK"/>
          <w:sz w:val="24"/>
        </w:rPr>
      </w:pPr>
      <w:r>
        <w:rPr>
          <w:rFonts w:ascii="方正仿宋_GBK" w:hAnsi="宋体" w:eastAsia="方正仿宋_GBK"/>
          <w:sz w:val="24"/>
        </w:rPr>
        <w:t>UPS</w:t>
      </w:r>
      <w:r>
        <w:rPr>
          <w:rFonts w:hint="eastAsia" w:ascii="方正仿宋_GBK" w:hAnsi="宋体" w:eastAsia="方正仿宋_GBK"/>
          <w:sz w:val="24"/>
        </w:rPr>
        <w:t>进线端加装电源避雷器作为电源第二级保护。</w:t>
      </w:r>
    </w:p>
    <w:p>
      <w:pPr>
        <w:pStyle w:val="38"/>
        <w:numPr>
          <w:ilvl w:val="0"/>
          <w:numId w:val="4"/>
        </w:numPr>
        <w:spacing w:line="360" w:lineRule="auto"/>
        <w:ind w:firstLine="420" w:firstLineChars="0"/>
        <w:rPr>
          <w:rFonts w:ascii="方正仿宋_GBK" w:hAnsi="宋体" w:eastAsia="方正仿宋_GBK"/>
          <w:sz w:val="24"/>
        </w:rPr>
      </w:pPr>
      <w:r>
        <w:rPr>
          <w:rFonts w:hint="eastAsia" w:ascii="方正仿宋_GBK" w:hAnsi="宋体" w:eastAsia="方正仿宋_GBK"/>
          <w:sz w:val="24"/>
        </w:rPr>
        <w:t>服务器、交换机柜加装防雷插座，达到第三级防护。</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4）空气调节系统要求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1、机房空调系统：机房空调系统具有送风、回风、加热、加湿、冷却、减湿和空气净化的能力。存储分中心机房建议采用两套互为备用的恒温恒湿精密空调系统；空调考虑20%的余量。热负荷选300～550Kcal/h·m2。</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2、机房新风系统：机房内新排风系统的风量根据空调送风量大小而定。</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3、环境监控系统：环境监控系统主要是监控电力系统、环境系统、消防系统、门禁保安系统等系统的运行情况。要求在机房部署环境监控系统。</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5）综合布线系统要求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1、综合布线采用千兆多模光纤和全六类非屏蔽产品。</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2、机房内设计采用金属网格桥架上走线方式，机房内敷设双绞线沿机架安装，信息插座均布在机柜内，采用标签加以识别。</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3、在每个服务器机柜内安装一个24口模块式配线架（配置12个6类铜缆模块）和一个12口光纤配线架（配置12个SC光纤模块）。将每个服务器机柜中的12根铜缆和2根6芯多模室内光纤连接到每列的配线机柜中。</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6）门禁系统要求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采用非接触式IC卡门禁系统。</w:t>
      </w:r>
    </w:p>
    <w:p>
      <w:pPr>
        <w:spacing w:line="360" w:lineRule="auto"/>
        <w:ind w:firstLine="480" w:firstLineChars="200"/>
        <w:rPr>
          <w:rFonts w:ascii="方正仿宋_GBK" w:hAnsi="宋体" w:eastAsia="方正仿宋_GBK"/>
          <w:sz w:val="24"/>
        </w:rPr>
      </w:pPr>
      <w:r>
        <w:rPr>
          <w:rFonts w:ascii="方正仿宋_GBK" w:hAnsi="宋体" w:eastAsia="方正仿宋_GBK"/>
          <w:sz w:val="24"/>
        </w:rPr>
        <w:t>7</w:t>
      </w:r>
      <w:r>
        <w:rPr>
          <w:rFonts w:hint="eastAsia" w:ascii="方正仿宋_GBK" w:hAnsi="宋体" w:eastAsia="方正仿宋_GBK"/>
          <w:sz w:val="24"/>
        </w:rPr>
        <w:t>）消防系统要求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1、火灾自动报警系统</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机房安装烟感、温感探测器及火灾自动报警系统。火灾报警系统与空调电源及配电电源联动，当有火灾报警时，自动切断供电回路。机房的消防报警系统当发生火警时，监控系统能实行语音报警。</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2、气体自动灭火系统</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根据机房建设规范要求，本项目采用七氟丙烷气体灭火系统。七氟丙烷灭火装置分为有管网和无管网（柜式）两种。</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1）有管网七氟丙烷灭火系统</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有管网七氟丙烷灭火系统的灭火剂储存瓶平时放置在专用钢瓶间内，通过管网连接，在火灾发生时，将灭火剂由钢瓶间，输送到需要灭火的防护区内，通过喷头进行喷放灭火。</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其中，有管网系统又分为内贮压系统和外贮压系统，其主要区别为灭火药剂的传送距离不同。内贮压系统的传送距离一般不超过60m，外贮压系统的传送距离可达220m。</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2）无管网（柜式）七氟丙烷灭火系统</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气体灭火剂储存瓶经过包装成灭火柜，外形美观，平时放在需要保护的防护区内，在发生火灾时，不需要经过管路，直接就在防护区内喷放灭火。无管网（柜式）七氟丙烷气体灭火系统，其灭火效能高，灭火速度快、毒性低、对设备无污损，灭火装置性能优良，其控制部分可与消防控制中心相衔接。</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本项目中机房采用无管网（柜式）七氟丙烷灭火系统。灭火剂用量依据《气体灭火系统设计规范》（GB50370-2005）中有关规定，灭火浓度取</w:t>
      </w:r>
      <w:r>
        <w:rPr>
          <w:rFonts w:ascii="方正仿宋_GBK" w:hAnsi="宋体" w:eastAsia="方正仿宋_GBK"/>
          <w:sz w:val="24"/>
        </w:rPr>
        <w:t>C=8%</w:t>
      </w:r>
      <w:r>
        <w:rPr>
          <w:rFonts w:hint="eastAsia" w:ascii="方正仿宋_GBK" w:hAnsi="宋体" w:eastAsia="方正仿宋_GBK"/>
          <w:sz w:val="24"/>
        </w:rPr>
        <w:t>。</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8）智能中央集中控制系统要求</w:t>
      </w:r>
    </w:p>
    <w:p>
      <w:pPr>
        <w:spacing w:line="360" w:lineRule="auto"/>
        <w:ind w:firstLine="480" w:firstLineChars="200"/>
        <w:rPr>
          <w:rFonts w:ascii="方正仿宋_GBK" w:hAnsi="宋体" w:eastAsia="方正仿宋_GBK"/>
          <w:sz w:val="24"/>
        </w:rPr>
      </w:pPr>
      <w:r>
        <w:rPr>
          <w:rFonts w:hint="eastAsia" w:ascii="方正仿宋_GBK" w:hAnsi="宋体" w:eastAsia="方正仿宋_GBK"/>
          <w:sz w:val="24"/>
        </w:rPr>
        <w:t>在机房设置集中控制器，进行设备状态监测，在机房门口及走廊设置视频监控设备，通过相应传感器、监控等设备，在无人值守的情况下，实现突发情况报警（可通过短信等功能实现远程报警）。</w:t>
      </w:r>
    </w:p>
    <w:p>
      <w:pPr>
        <w:spacing w:line="360" w:lineRule="auto"/>
        <w:rPr>
          <w:rFonts w:ascii="方正仿宋_GBK" w:hAnsi="宋体" w:eastAsia="方正仿宋_GBK"/>
          <w:sz w:val="24"/>
        </w:rPr>
      </w:pPr>
      <w:r>
        <w:rPr>
          <w:rFonts w:hint="eastAsia" w:ascii="方正仿宋_GBK" w:hAnsi="宋体" w:eastAsia="方正仿宋_GBK"/>
          <w:b/>
          <w:bCs/>
          <w:sz w:val="24"/>
        </w:rPr>
        <w:t>（八）后台设备部署方案</w:t>
      </w:r>
    </w:p>
    <w:p>
      <w:pPr>
        <w:tabs>
          <w:tab w:val="left" w:pos="1216"/>
        </w:tabs>
        <w:spacing w:line="360" w:lineRule="auto"/>
        <w:ind w:firstLine="480" w:firstLineChars="200"/>
        <w:rPr>
          <w:rFonts w:ascii="方正仿宋_GBK" w:hAnsi="宋体" w:eastAsia="方正仿宋_GBK"/>
          <w:sz w:val="24"/>
        </w:rPr>
      </w:pPr>
      <w:r>
        <w:rPr>
          <w:rFonts w:ascii="方正仿宋_GBK" w:hAnsi="宋体" w:eastAsia="方正仿宋_GBK"/>
          <w:sz w:val="24"/>
        </w:rPr>
        <w:t>1</w:t>
      </w:r>
      <w:r>
        <w:rPr>
          <w:rFonts w:hint="eastAsia" w:ascii="方正仿宋_GBK" w:hAnsi="宋体" w:eastAsia="方正仿宋_GBK"/>
          <w:sz w:val="24"/>
        </w:rPr>
        <w:t>）数据接入要求</w:t>
      </w:r>
    </w:p>
    <w:p>
      <w:pPr>
        <w:tabs>
          <w:tab w:val="left" w:pos="1216"/>
        </w:tabs>
        <w:spacing w:line="360" w:lineRule="auto"/>
        <w:ind w:firstLine="480" w:firstLineChars="200"/>
        <w:rPr>
          <w:rFonts w:ascii="方正仿宋_GBK" w:hAnsi="宋体" w:eastAsia="方正仿宋_GBK"/>
          <w:sz w:val="24"/>
        </w:rPr>
      </w:pPr>
      <w:r>
        <w:rPr>
          <w:rFonts w:hint="eastAsia" w:ascii="方正仿宋_GBK" w:hAnsi="宋体" w:eastAsia="方正仿宋_GBK"/>
          <w:sz w:val="24"/>
        </w:rPr>
        <w:t>数据接入总体遵从数据接入规范，实现按需接入、分类传输、更新同步、传输安全等要求，包括不限于文件传输、数据库同步、实时接口等。</w:t>
      </w:r>
    </w:p>
    <w:p>
      <w:pPr>
        <w:tabs>
          <w:tab w:val="left" w:pos="1216"/>
        </w:tabs>
        <w:spacing w:line="360" w:lineRule="auto"/>
        <w:ind w:firstLine="480" w:firstLineChars="200"/>
        <w:rPr>
          <w:rFonts w:ascii="方正仿宋_GBK" w:hAnsi="宋体" w:eastAsia="方正仿宋_GBK"/>
          <w:sz w:val="24"/>
        </w:rPr>
      </w:pPr>
      <w:r>
        <w:rPr>
          <w:rFonts w:hint="eastAsia" w:ascii="方正仿宋_GBK" w:hAnsi="宋体" w:eastAsia="方正仿宋_GBK"/>
          <w:sz w:val="24"/>
        </w:rPr>
        <w:t>2）数据存储要求</w:t>
      </w:r>
    </w:p>
    <w:p>
      <w:pPr>
        <w:tabs>
          <w:tab w:val="left" w:pos="1216"/>
        </w:tabs>
        <w:spacing w:line="360" w:lineRule="auto"/>
        <w:ind w:firstLine="480" w:firstLineChars="200"/>
        <w:rPr>
          <w:rFonts w:ascii="方正仿宋_GBK" w:hAnsi="宋体" w:eastAsia="方正仿宋_GBK"/>
          <w:sz w:val="24"/>
        </w:rPr>
      </w:pPr>
      <w:r>
        <w:rPr>
          <w:rFonts w:hint="eastAsia" w:ascii="方正仿宋_GBK" w:hAnsi="宋体" w:eastAsia="方正仿宋_GBK"/>
          <w:sz w:val="24"/>
        </w:rPr>
        <w:t>外场智能化设备接入基础设施专网，网络通信中主要的传输数据类型主要包括：视频数据和结构化/半结构化数据。专网提供数据存储能力，需要扩容视频数据的存储能力，视频存储采用NVR存储方式，需新增NVR设备满足存储要求，数据存储时长至少30天；同时增加结构化/半结构化数据存储，数据存储采用云存储方式，新增车路协同数据存储节点满足存储要求，数据存储时间至少1年。</w:t>
      </w:r>
    </w:p>
    <w:p>
      <w:pPr>
        <w:tabs>
          <w:tab w:val="left" w:pos="1216"/>
        </w:tabs>
        <w:spacing w:line="360" w:lineRule="auto"/>
        <w:ind w:firstLine="480" w:firstLineChars="200"/>
        <w:rPr>
          <w:rFonts w:ascii="方正仿宋_GBK" w:hAnsi="宋体" w:eastAsia="方正仿宋_GBK"/>
          <w:sz w:val="24"/>
        </w:rPr>
      </w:pPr>
      <w:r>
        <w:rPr>
          <w:rFonts w:hint="eastAsia" w:ascii="方正仿宋_GBK" w:hAnsi="宋体" w:eastAsia="方正仿宋_GBK"/>
          <w:sz w:val="24"/>
        </w:rPr>
        <w:t>3）数据转发要求</w:t>
      </w:r>
    </w:p>
    <w:p>
      <w:pPr>
        <w:tabs>
          <w:tab w:val="left" w:pos="1216"/>
        </w:tabs>
        <w:spacing w:line="360" w:lineRule="auto"/>
        <w:ind w:firstLine="480" w:firstLineChars="200"/>
        <w:rPr>
          <w:rFonts w:ascii="方正仿宋_GBK" w:hAnsi="宋体" w:eastAsia="方正仿宋_GBK"/>
          <w:sz w:val="24"/>
        </w:rPr>
      </w:pPr>
      <w:r>
        <w:rPr>
          <w:rFonts w:hint="eastAsia" w:ascii="方正仿宋_GBK" w:hAnsi="宋体" w:eastAsia="方正仿宋_GBK"/>
          <w:sz w:val="24"/>
        </w:rPr>
        <w:t>视频数据转发采用流媒体服务方式，需增加流媒体转发服务器满足转发性能。对于图片数据新增相应数量的图片接入和转发节点实现转发能力。</w:t>
      </w:r>
    </w:p>
    <w:p>
      <w:pPr>
        <w:tabs>
          <w:tab w:val="left" w:pos="1216"/>
        </w:tabs>
        <w:spacing w:line="360" w:lineRule="auto"/>
        <w:ind w:firstLine="480" w:firstLineChars="200"/>
        <w:rPr>
          <w:rFonts w:ascii="方正仿宋_GBK" w:hAnsi="宋体" w:eastAsia="方正仿宋_GBK"/>
          <w:sz w:val="24"/>
        </w:rPr>
      </w:pPr>
      <w:r>
        <w:rPr>
          <w:rFonts w:hint="eastAsia" w:ascii="方正仿宋_GBK" w:hAnsi="宋体" w:eastAsia="方正仿宋_GBK"/>
          <w:sz w:val="24"/>
        </w:rPr>
        <w:t>4）数据管理要求</w:t>
      </w:r>
    </w:p>
    <w:p>
      <w:pPr>
        <w:tabs>
          <w:tab w:val="left" w:pos="1216"/>
        </w:tabs>
        <w:spacing w:line="360" w:lineRule="auto"/>
        <w:ind w:firstLine="480" w:firstLineChars="200"/>
        <w:rPr>
          <w:rFonts w:ascii="方正仿宋_GBK" w:hAnsi="宋体" w:eastAsia="方正仿宋_GBK"/>
          <w:sz w:val="24"/>
        </w:rPr>
      </w:pPr>
      <w:r>
        <w:rPr>
          <w:rFonts w:hint="eastAsia" w:ascii="方正仿宋_GBK" w:hAnsi="宋体" w:eastAsia="方正仿宋_GBK"/>
          <w:sz w:val="24"/>
        </w:rPr>
        <w:t>建设视频管理应用，新增应用服务器支撑软件运行，主要包括基础应用、数据管理、数据配置、数据清洗、设备运维等功能。支持视频、结构化数据等多业务数据的统一管理、转发管理、存储服务管理质量管理等功能。</w:t>
      </w:r>
    </w:p>
    <w:p>
      <w:pPr>
        <w:tabs>
          <w:tab w:val="left" w:pos="1216"/>
        </w:tabs>
        <w:spacing w:line="360" w:lineRule="auto"/>
        <w:ind w:firstLine="480" w:firstLineChars="200"/>
        <w:rPr>
          <w:rFonts w:ascii="方正仿宋_GBK" w:hAnsi="宋体" w:eastAsia="方正仿宋_GBK"/>
          <w:sz w:val="24"/>
        </w:rPr>
      </w:pPr>
      <w:r>
        <w:rPr>
          <w:rFonts w:hint="eastAsia" w:ascii="方正仿宋_GBK" w:hAnsi="宋体" w:eastAsia="方正仿宋_GBK"/>
          <w:sz w:val="24"/>
        </w:rPr>
        <w:t>5）校时要求</w:t>
      </w:r>
    </w:p>
    <w:p>
      <w:pPr>
        <w:tabs>
          <w:tab w:val="left" w:pos="1216"/>
        </w:tabs>
        <w:spacing w:line="360" w:lineRule="auto"/>
        <w:ind w:firstLine="480" w:firstLineChars="200"/>
        <w:rPr>
          <w:rFonts w:ascii="方正仿宋_GBK" w:hAnsi="宋体" w:eastAsia="方正仿宋_GBK"/>
          <w:sz w:val="24"/>
        </w:rPr>
      </w:pPr>
      <w:r>
        <w:rPr>
          <w:rFonts w:hint="eastAsia" w:ascii="方正仿宋_GBK" w:hAnsi="宋体" w:eastAsia="方正仿宋_GBK"/>
          <w:sz w:val="24"/>
        </w:rPr>
        <w:t>需为系统提供高精度的校时服务。</w:t>
      </w:r>
    </w:p>
    <w:bookmarkEnd w:id="1"/>
    <w:p>
      <w:pPr>
        <w:pStyle w:val="4"/>
        <w:numPr>
          <w:ilvl w:val="0"/>
          <w:numId w:val="1"/>
        </w:numPr>
        <w:spacing w:line="360" w:lineRule="auto"/>
        <w:rPr>
          <w:rFonts w:ascii="方正黑体_GBK" w:eastAsia="方正黑体_GBK"/>
          <w:b w:val="0"/>
          <w:bCs w:val="0"/>
          <w:sz w:val="28"/>
          <w:szCs w:val="28"/>
        </w:rPr>
      </w:pPr>
      <w:r>
        <w:rPr>
          <w:rFonts w:hint="eastAsia" w:ascii="方正黑体_GBK" w:eastAsia="方正黑体_GBK"/>
          <w:b w:val="0"/>
          <w:bCs w:val="0"/>
          <w:sz w:val="28"/>
          <w:szCs w:val="28"/>
        </w:rPr>
        <w:t>商务要求</w:t>
      </w:r>
    </w:p>
    <w:p>
      <w:pPr>
        <w:spacing w:line="360" w:lineRule="auto"/>
        <w:ind w:firstLine="480" w:firstLineChars="200"/>
        <w:rPr>
          <w:rFonts w:ascii="方正仿宋_GBK" w:eastAsia="方正仿宋_GBK"/>
          <w:sz w:val="24"/>
        </w:rPr>
      </w:pPr>
      <w:r>
        <w:rPr>
          <w:rFonts w:hint="eastAsia" w:ascii="方正仿宋_GBK" w:eastAsia="方正仿宋_GBK"/>
          <w:sz w:val="24"/>
        </w:rPr>
        <w:t>（一）培训要求</w:t>
      </w:r>
    </w:p>
    <w:p>
      <w:pPr>
        <w:spacing w:line="360" w:lineRule="auto"/>
        <w:ind w:firstLine="480" w:firstLineChars="200"/>
        <w:rPr>
          <w:rFonts w:ascii="方正仿宋_GBK" w:eastAsia="方正仿宋_GBK"/>
          <w:sz w:val="24"/>
        </w:rPr>
      </w:pPr>
      <w:r>
        <w:rPr>
          <w:rFonts w:hint="eastAsia" w:ascii="方正仿宋_GBK" w:eastAsia="方正仿宋_GBK"/>
          <w:sz w:val="24"/>
        </w:rPr>
        <w:t>投标人应针对系统特点、人员状况等，制订可行的培训计划和实施方案、提供全方位多层次的培训服务，在项目不同建设时期，针对不同种类的需求提供一系列行之有效的培训实施方案。通过培训使用户掌握相关的管理和技术技能，确保系统建设稳步推进，建成后安全、稳定、高效的运行。培训计划和实施方案包括培训对象、形式、内容、讲师安排等。</w:t>
      </w:r>
    </w:p>
    <w:p>
      <w:pPr>
        <w:spacing w:line="360" w:lineRule="auto"/>
        <w:ind w:firstLine="480" w:firstLineChars="200"/>
        <w:rPr>
          <w:rFonts w:ascii="方正仿宋_GBK" w:eastAsia="方正仿宋_GBK"/>
          <w:sz w:val="24"/>
        </w:rPr>
      </w:pPr>
      <w:r>
        <w:rPr>
          <w:rFonts w:hint="eastAsia" w:ascii="方正仿宋_GBK" w:eastAsia="方正仿宋_GBK"/>
          <w:sz w:val="24"/>
        </w:rPr>
        <w:t>中标人在质保期结束前向招标方人员提供免费指导和培训，质保期满后应根据招标方需要提供技术培训服务，如需收费，则由双方另行协商。</w:t>
      </w:r>
    </w:p>
    <w:p>
      <w:pPr>
        <w:spacing w:line="360" w:lineRule="auto"/>
        <w:ind w:firstLine="480" w:firstLineChars="200"/>
        <w:rPr>
          <w:rFonts w:ascii="方正仿宋_GBK" w:eastAsia="方正仿宋_GBK"/>
          <w:sz w:val="24"/>
        </w:rPr>
      </w:pPr>
      <w:r>
        <w:rPr>
          <w:rFonts w:hint="eastAsia" w:ascii="方正仿宋_GBK" w:eastAsia="方正仿宋_GBK"/>
          <w:sz w:val="24"/>
        </w:rPr>
        <w:t>（二）保密条款</w:t>
      </w:r>
    </w:p>
    <w:p>
      <w:pPr>
        <w:spacing w:line="360" w:lineRule="auto"/>
        <w:ind w:firstLine="480" w:firstLineChars="200"/>
        <w:rPr>
          <w:rFonts w:ascii="方正仿宋_GBK" w:eastAsia="方正仿宋_GBK"/>
          <w:sz w:val="24"/>
        </w:rPr>
      </w:pPr>
      <w:r>
        <w:rPr>
          <w:rFonts w:ascii="方正仿宋_GBK" w:eastAsia="方正仿宋_GBK"/>
          <w:sz w:val="24"/>
        </w:rPr>
        <w:t>1</w:t>
      </w:r>
      <w:r>
        <w:rPr>
          <w:rFonts w:hint="eastAsia" w:ascii="方正仿宋_GBK" w:eastAsia="方正仿宋_GBK"/>
          <w:sz w:val="24"/>
        </w:rPr>
        <w:t>）双方应保守的秘密是指不为公众所知悉、能为权利人带来经济利益、具有实用性并经权利人采取保密措施的技术信息和经营信息，或由双方在履行本合同过程中明确指明为秘密的、法律所认可的任何信息，以及中标方在履行本合同过程中所获得或接触到的任何采购方内部数据资料。</w:t>
      </w:r>
    </w:p>
    <w:p>
      <w:pPr>
        <w:spacing w:line="360" w:lineRule="auto"/>
        <w:ind w:firstLine="480" w:firstLineChars="200"/>
        <w:rPr>
          <w:rFonts w:ascii="方正仿宋_GBK" w:eastAsia="方正仿宋_GBK"/>
          <w:sz w:val="24"/>
        </w:rPr>
      </w:pPr>
      <w:r>
        <w:rPr>
          <w:rFonts w:ascii="方正仿宋_GBK" w:eastAsia="方正仿宋_GBK"/>
          <w:sz w:val="24"/>
        </w:rPr>
        <w:t>2</w:t>
      </w:r>
      <w:r>
        <w:rPr>
          <w:rFonts w:hint="eastAsia" w:ascii="方正仿宋_GBK" w:eastAsia="方正仿宋_GBK"/>
          <w:sz w:val="24"/>
        </w:rPr>
        <w:t>）双方应遵守国家的有关保密规定。妥善保管对方提供的资料，保守对方的各项秘密，并保护对方的知识产权。获取对方秘密的一方应当采取有效的保护方式防止秘密未经授权而被使用、传播或公开，仅可以将该秘密用于履行其在本合同项下的义务，且只能由相关的技术人员使用。</w:t>
      </w:r>
    </w:p>
    <w:p>
      <w:pPr>
        <w:spacing w:line="360" w:lineRule="auto"/>
        <w:ind w:firstLine="480" w:firstLineChars="200"/>
        <w:rPr>
          <w:rFonts w:ascii="方正仿宋_GBK" w:eastAsia="方正仿宋_GBK"/>
          <w:sz w:val="24"/>
        </w:rPr>
      </w:pPr>
      <w:r>
        <w:rPr>
          <w:rFonts w:ascii="方正仿宋_GBK" w:eastAsia="方正仿宋_GBK"/>
          <w:sz w:val="24"/>
        </w:rPr>
        <w:t>3</w:t>
      </w:r>
      <w:r>
        <w:rPr>
          <w:rFonts w:hint="eastAsia" w:ascii="方正仿宋_GBK" w:eastAsia="方正仿宋_GBK"/>
          <w:sz w:val="24"/>
        </w:rPr>
        <w:t>）中标方应以保密方式处理在编制本项目成果文件过程中自采购方、采购方工作人员或采购方关联机构获得的相关信息、资料、图纸、数据等，或由采购方在履行本合同过程中明确指明为秘密的任何信息，以及中标方因本项目工作内容所直接或间接取得、处理或接触的任何其他资料。未经采购方书面在先同意，中标方不得向任何第三方透露与本项目有关的内容，或公开本项目的阶段性成果或最终成果内容。即使向与履行本合同有关的人员提供前述保密信息，也应限于履行合同的必需范围，且这些人员应接受至少与本条款同等严格的保密条款的约束。</w:t>
      </w:r>
    </w:p>
    <w:p>
      <w:pPr>
        <w:spacing w:line="360" w:lineRule="auto"/>
        <w:ind w:firstLine="480" w:firstLineChars="200"/>
        <w:rPr>
          <w:rFonts w:ascii="方正仿宋_GBK" w:eastAsia="方正仿宋_GBK"/>
          <w:sz w:val="24"/>
        </w:rPr>
      </w:pPr>
      <w:r>
        <w:rPr>
          <w:rFonts w:ascii="方正仿宋_GBK" w:eastAsia="方正仿宋_GBK"/>
          <w:sz w:val="24"/>
        </w:rPr>
        <w:t>4</w:t>
      </w:r>
      <w:r>
        <w:rPr>
          <w:rFonts w:hint="eastAsia" w:ascii="方正仿宋_GBK" w:eastAsia="方正仿宋_GBK"/>
          <w:sz w:val="24"/>
        </w:rPr>
        <w:t>）中标方实施项目的程序应符合国家安全、保密的有关规定和标准。</w:t>
      </w:r>
    </w:p>
    <w:p>
      <w:pPr>
        <w:spacing w:line="360" w:lineRule="auto"/>
        <w:ind w:firstLine="480" w:firstLineChars="200"/>
        <w:rPr>
          <w:rFonts w:ascii="方正仿宋_GBK" w:eastAsia="方正仿宋_GBK"/>
          <w:sz w:val="24"/>
        </w:rPr>
      </w:pPr>
      <w:r>
        <w:rPr>
          <w:rFonts w:ascii="方正仿宋_GBK" w:eastAsia="方正仿宋_GBK"/>
          <w:sz w:val="24"/>
        </w:rPr>
        <w:t>5</w:t>
      </w:r>
      <w:r>
        <w:rPr>
          <w:rFonts w:hint="eastAsia" w:ascii="方正仿宋_GBK" w:eastAsia="方正仿宋_GBK"/>
          <w:sz w:val="24"/>
        </w:rPr>
        <w:t>）上述保密义务不适用以下情况：</w:t>
      </w:r>
    </w:p>
    <w:p>
      <w:pPr>
        <w:spacing w:line="360" w:lineRule="auto"/>
        <w:ind w:firstLine="480" w:firstLineChars="200"/>
        <w:rPr>
          <w:rFonts w:ascii="方正仿宋_GBK" w:eastAsia="方正仿宋_GBK"/>
          <w:sz w:val="24"/>
        </w:rPr>
      </w:pPr>
      <w:r>
        <w:rPr>
          <w:rFonts w:hint="eastAsia" w:ascii="方正仿宋_GBK" w:eastAsia="方正仿宋_GBK"/>
          <w:sz w:val="24"/>
        </w:rPr>
        <w:t>（1）获取的信息已被合法公开；</w:t>
      </w:r>
    </w:p>
    <w:p>
      <w:pPr>
        <w:spacing w:line="360" w:lineRule="auto"/>
        <w:ind w:firstLine="480" w:firstLineChars="200"/>
        <w:rPr>
          <w:rFonts w:ascii="方正仿宋_GBK" w:eastAsia="方正仿宋_GBK"/>
          <w:sz w:val="24"/>
        </w:rPr>
      </w:pPr>
      <w:r>
        <w:rPr>
          <w:rFonts w:hint="eastAsia" w:ascii="方正仿宋_GBK" w:eastAsia="方正仿宋_GBK"/>
          <w:sz w:val="24"/>
        </w:rPr>
        <w:t>（2）获得信息拥有方书面许可并在该许可范围内披露；</w:t>
      </w:r>
    </w:p>
    <w:p>
      <w:pPr>
        <w:spacing w:line="360" w:lineRule="auto"/>
        <w:ind w:firstLine="480" w:firstLineChars="200"/>
        <w:rPr>
          <w:rFonts w:ascii="方正仿宋_GBK" w:eastAsia="方正仿宋_GBK"/>
          <w:sz w:val="24"/>
        </w:rPr>
      </w:pPr>
      <w:r>
        <w:rPr>
          <w:rFonts w:hint="eastAsia" w:ascii="方正仿宋_GBK" w:eastAsia="方正仿宋_GBK"/>
          <w:sz w:val="24"/>
        </w:rPr>
        <w:t>（3）国家法律、法规规定的情形。</w:t>
      </w:r>
    </w:p>
    <w:p>
      <w:pPr>
        <w:spacing w:line="360" w:lineRule="auto"/>
        <w:ind w:firstLine="480" w:firstLineChars="200"/>
        <w:rPr>
          <w:rFonts w:ascii="方正仿宋_GBK" w:eastAsia="方正仿宋_GBK"/>
          <w:sz w:val="24"/>
        </w:rPr>
      </w:pPr>
      <w:r>
        <w:rPr>
          <w:rFonts w:ascii="方正仿宋_GBK" w:eastAsia="方正仿宋_GBK"/>
          <w:sz w:val="24"/>
        </w:rPr>
        <w:t>6</w:t>
      </w:r>
      <w:r>
        <w:rPr>
          <w:rFonts w:hint="eastAsia" w:ascii="方正仿宋_GBK" w:eastAsia="方正仿宋_GBK"/>
          <w:sz w:val="24"/>
        </w:rPr>
        <w:t>）无论本合同或本合同其他条款是否有效，本保密条款始终约束双方。国家秘密的保密期限由国家有关部门确定，工作秘密的保密期限由采购方确定。</w:t>
      </w:r>
    </w:p>
    <w:p>
      <w:pPr>
        <w:pStyle w:val="4"/>
        <w:numPr>
          <w:ilvl w:val="0"/>
          <w:numId w:val="1"/>
        </w:numPr>
        <w:spacing w:line="360" w:lineRule="auto"/>
        <w:rPr>
          <w:rFonts w:ascii="方正黑体_GBK" w:eastAsia="方正黑体_GBK"/>
          <w:b w:val="0"/>
          <w:bCs w:val="0"/>
          <w:sz w:val="28"/>
          <w:szCs w:val="28"/>
        </w:rPr>
      </w:pPr>
      <w:r>
        <w:rPr>
          <w:rFonts w:hint="eastAsia" w:ascii="方正黑体_GBK" w:eastAsia="方正黑体_GBK"/>
          <w:b w:val="0"/>
          <w:bCs w:val="0"/>
          <w:sz w:val="28"/>
          <w:szCs w:val="28"/>
        </w:rPr>
        <w:t>其他要求</w:t>
      </w:r>
    </w:p>
    <w:p>
      <w:pPr>
        <w:spacing w:line="360" w:lineRule="auto"/>
        <w:ind w:firstLine="480" w:firstLineChars="200"/>
        <w:rPr>
          <w:rFonts w:ascii="方正仿宋_GBK" w:eastAsia="方正仿宋_GBK"/>
          <w:sz w:val="24"/>
        </w:rPr>
      </w:pPr>
      <w:r>
        <w:rPr>
          <w:rFonts w:ascii="方正仿宋_GBK" w:eastAsia="方正仿宋_GBK"/>
          <w:sz w:val="24"/>
        </w:rPr>
        <w:t>1</w:t>
      </w:r>
      <w:r>
        <w:rPr>
          <w:rFonts w:hint="eastAsia" w:ascii="方正仿宋_GBK" w:eastAsia="方正仿宋_GBK"/>
          <w:sz w:val="24"/>
        </w:rPr>
        <w:t>）中标方为本项目配置人员要求：</w:t>
      </w:r>
    </w:p>
    <w:p>
      <w:pPr>
        <w:spacing w:line="360" w:lineRule="auto"/>
        <w:ind w:left="420" w:firstLine="480" w:firstLineChars="200"/>
        <w:rPr>
          <w:rFonts w:ascii="方正仿宋_GBK" w:eastAsia="方正仿宋_GBK"/>
          <w:sz w:val="24"/>
        </w:rPr>
      </w:pPr>
      <w:r>
        <w:rPr>
          <w:rFonts w:hint="eastAsia" w:ascii="方正仿宋_GBK" w:eastAsia="方正仿宋_GBK"/>
          <w:sz w:val="24"/>
        </w:rPr>
        <w:t>（1）项目负责人具备硕士研究生及以上学历和计算机</w:t>
      </w:r>
      <w:r>
        <w:rPr>
          <w:rFonts w:ascii="方正仿宋_GBK" w:eastAsia="方正仿宋_GBK"/>
          <w:sz w:val="24"/>
        </w:rPr>
        <w:t>/</w:t>
      </w:r>
      <w:r>
        <w:rPr>
          <w:rFonts w:hint="eastAsia" w:ascii="方正仿宋_GBK" w:eastAsia="方正仿宋_GBK"/>
          <w:sz w:val="24"/>
        </w:rPr>
        <w:t>网络</w:t>
      </w:r>
      <w:r>
        <w:rPr>
          <w:rFonts w:ascii="方正仿宋_GBK" w:eastAsia="方正仿宋_GBK"/>
          <w:sz w:val="24"/>
        </w:rPr>
        <w:t>/</w:t>
      </w:r>
      <w:r>
        <w:rPr>
          <w:rFonts w:hint="eastAsia" w:ascii="方正仿宋_GBK" w:eastAsia="方正仿宋_GBK"/>
          <w:sz w:val="24"/>
        </w:rPr>
        <w:t>工程相关专业的高级工程师职称的优先考虑。</w:t>
      </w:r>
    </w:p>
    <w:p>
      <w:pPr>
        <w:spacing w:line="360" w:lineRule="auto"/>
        <w:ind w:left="420" w:firstLine="480" w:firstLineChars="200"/>
        <w:rPr>
          <w:rFonts w:ascii="方正仿宋_GBK" w:eastAsia="方正仿宋_GBK"/>
          <w:sz w:val="24"/>
        </w:rPr>
      </w:pPr>
      <w:r>
        <w:rPr>
          <w:rFonts w:hint="eastAsia" w:ascii="方正仿宋_GBK" w:eastAsia="方正仿宋_GBK"/>
          <w:sz w:val="24"/>
        </w:rPr>
        <w:t>（2）技术负责人具备硕士</w:t>
      </w:r>
      <w:r>
        <w:rPr>
          <w:rFonts w:hint="eastAsia" w:ascii="方正仿宋_GBK" w:eastAsia="方正仿宋_GBK"/>
          <w:sz w:val="24"/>
          <w:lang w:eastAsia="zh-CN"/>
        </w:rPr>
        <w:t>研究生</w:t>
      </w:r>
      <w:r>
        <w:rPr>
          <w:rFonts w:hint="eastAsia" w:ascii="方正仿宋_GBK" w:eastAsia="方正仿宋_GBK"/>
          <w:sz w:val="24"/>
        </w:rPr>
        <w:t>及以上学历和计算机</w:t>
      </w:r>
      <w:r>
        <w:rPr>
          <w:rFonts w:ascii="方正仿宋_GBK" w:eastAsia="方正仿宋_GBK"/>
          <w:sz w:val="24"/>
        </w:rPr>
        <w:t>/</w:t>
      </w:r>
      <w:r>
        <w:rPr>
          <w:rFonts w:hint="eastAsia" w:ascii="方正仿宋_GBK" w:eastAsia="方正仿宋_GBK"/>
          <w:sz w:val="24"/>
        </w:rPr>
        <w:t>网络</w:t>
      </w:r>
      <w:r>
        <w:rPr>
          <w:rFonts w:ascii="方正仿宋_GBK" w:eastAsia="方正仿宋_GBK"/>
          <w:sz w:val="24"/>
        </w:rPr>
        <w:t>/</w:t>
      </w:r>
      <w:r>
        <w:rPr>
          <w:rFonts w:hint="eastAsia" w:ascii="方正仿宋_GBK" w:eastAsia="方正仿宋_GBK"/>
          <w:sz w:val="24"/>
        </w:rPr>
        <w:t>工程相关专业的高级工程师职称的优先考虑。</w:t>
      </w:r>
    </w:p>
    <w:p>
      <w:pPr>
        <w:spacing w:line="360" w:lineRule="auto"/>
        <w:ind w:left="420" w:firstLine="480" w:firstLineChars="200"/>
        <w:rPr>
          <w:rFonts w:ascii="方正仿宋_GBK" w:eastAsia="方正仿宋_GBK"/>
          <w:sz w:val="24"/>
        </w:rPr>
      </w:pPr>
      <w:r>
        <w:rPr>
          <w:rFonts w:hint="eastAsia" w:ascii="方正仿宋_GBK" w:eastAsia="方正仿宋_GBK"/>
          <w:sz w:val="24"/>
        </w:rPr>
        <w:t>（3）实施负责人具备本科及以上学历和计算机</w:t>
      </w:r>
      <w:r>
        <w:rPr>
          <w:rFonts w:ascii="方正仿宋_GBK" w:eastAsia="方正仿宋_GBK"/>
          <w:sz w:val="24"/>
        </w:rPr>
        <w:t>/</w:t>
      </w:r>
      <w:r>
        <w:rPr>
          <w:rFonts w:hint="eastAsia" w:ascii="方正仿宋_GBK" w:eastAsia="方正仿宋_GBK"/>
          <w:sz w:val="24"/>
        </w:rPr>
        <w:t>工程相关专业的工程师（中级）及以上职称的优先考虑。</w:t>
      </w:r>
    </w:p>
    <w:p>
      <w:pPr>
        <w:spacing w:line="360" w:lineRule="auto"/>
        <w:ind w:left="420" w:firstLine="480" w:firstLineChars="200"/>
        <w:rPr>
          <w:rFonts w:ascii="方正仿宋_GBK" w:eastAsia="方正仿宋_GBK"/>
          <w:sz w:val="24"/>
        </w:rPr>
      </w:pPr>
      <w:r>
        <w:rPr>
          <w:rFonts w:hint="eastAsia" w:ascii="方正仿宋_GBK" w:eastAsia="方正仿宋_GBK"/>
          <w:sz w:val="24"/>
        </w:rPr>
        <w:t>（4）项目团队中，投入专业人员数量，除项目负责人、技术负责人、实施负责人外，提供不少于</w:t>
      </w:r>
      <w:r>
        <w:rPr>
          <w:rFonts w:ascii="方正仿宋_GBK" w:eastAsia="方正仿宋_GBK"/>
          <w:sz w:val="24"/>
        </w:rPr>
        <w:t>20</w:t>
      </w:r>
      <w:r>
        <w:rPr>
          <w:rFonts w:hint="eastAsia" w:ascii="方正仿宋_GBK" w:eastAsia="方正仿宋_GBK"/>
          <w:sz w:val="24"/>
        </w:rPr>
        <w:t>人的项目团队、不少于</w:t>
      </w:r>
      <w:r>
        <w:rPr>
          <w:rFonts w:ascii="方正仿宋_GBK" w:eastAsia="方正仿宋_GBK"/>
          <w:sz w:val="24"/>
        </w:rPr>
        <w:t>3</w:t>
      </w:r>
      <w:r>
        <w:rPr>
          <w:rFonts w:hint="eastAsia" w:ascii="方正仿宋_GBK" w:eastAsia="方正仿宋_GBK"/>
          <w:sz w:val="24"/>
        </w:rPr>
        <w:t>人（含售后负责人）的售后服务团队的优先考虑。</w:t>
      </w:r>
    </w:p>
    <w:p>
      <w:pPr>
        <w:spacing w:line="360" w:lineRule="auto"/>
        <w:ind w:left="420" w:firstLine="480" w:firstLineChars="200"/>
        <w:rPr>
          <w:rFonts w:ascii="方正仿宋_GBK" w:eastAsia="方正仿宋_GBK"/>
          <w:sz w:val="24"/>
        </w:rPr>
      </w:pPr>
      <w:r>
        <w:rPr>
          <w:rFonts w:hint="eastAsia" w:ascii="方正仿宋_GBK" w:eastAsia="方正仿宋_GBK"/>
          <w:sz w:val="24"/>
        </w:rPr>
        <w:t>（5）项目团队中，除项目负责人、技术负责人</w:t>
      </w:r>
      <w:bookmarkStart w:id="13" w:name="_GoBack"/>
      <w:bookmarkEnd w:id="13"/>
      <w:r>
        <w:rPr>
          <w:rFonts w:hint="eastAsia" w:ascii="方正仿宋_GBK" w:eastAsia="方正仿宋_GBK"/>
          <w:sz w:val="24"/>
        </w:rPr>
        <w:t>、实施负责人外，具备计算机</w:t>
      </w:r>
      <w:r>
        <w:rPr>
          <w:rFonts w:ascii="方正仿宋_GBK" w:eastAsia="方正仿宋_GBK"/>
          <w:sz w:val="24"/>
        </w:rPr>
        <w:t>/</w:t>
      </w:r>
      <w:r>
        <w:rPr>
          <w:rFonts w:hint="eastAsia" w:ascii="方正仿宋_GBK" w:eastAsia="方正仿宋_GBK"/>
          <w:sz w:val="24"/>
        </w:rPr>
        <w:t>网络</w:t>
      </w:r>
      <w:r>
        <w:rPr>
          <w:rFonts w:ascii="方正仿宋_GBK" w:eastAsia="方正仿宋_GBK"/>
          <w:sz w:val="24"/>
        </w:rPr>
        <w:t>/</w:t>
      </w:r>
      <w:r>
        <w:rPr>
          <w:rFonts w:hint="eastAsia" w:ascii="方正仿宋_GBK" w:eastAsia="方正仿宋_GBK"/>
          <w:sz w:val="24"/>
        </w:rPr>
        <w:t>工程相关专业的工程师（中级）及以上职称的人数不少于</w:t>
      </w:r>
      <w:r>
        <w:rPr>
          <w:rFonts w:ascii="方正仿宋_GBK" w:eastAsia="方正仿宋_GBK"/>
          <w:sz w:val="24"/>
        </w:rPr>
        <w:t>5</w:t>
      </w:r>
      <w:r>
        <w:rPr>
          <w:rFonts w:hint="eastAsia" w:ascii="方正仿宋_GBK" w:eastAsia="方正仿宋_GBK"/>
          <w:sz w:val="24"/>
        </w:rPr>
        <w:t>人的优先考虑。</w:t>
      </w:r>
    </w:p>
    <w:p>
      <w:pPr>
        <w:spacing w:line="360" w:lineRule="auto"/>
        <w:ind w:left="420" w:firstLine="480" w:firstLineChars="200"/>
        <w:rPr>
          <w:rFonts w:ascii="方正仿宋_GBK" w:eastAsia="方正仿宋_GBK"/>
          <w:sz w:val="24"/>
        </w:rPr>
      </w:pPr>
      <w:r>
        <w:rPr>
          <w:rFonts w:hint="eastAsia" w:ascii="方正仿宋_GBK" w:eastAsia="方正仿宋_GBK"/>
          <w:sz w:val="24"/>
        </w:rPr>
        <w:t>（6）项目团队中，具有</w:t>
      </w:r>
      <w:r>
        <w:rPr>
          <w:rFonts w:ascii="方正仿宋_GBK" w:eastAsia="方正仿宋_GBK"/>
          <w:sz w:val="24"/>
        </w:rPr>
        <w:t>CISP</w:t>
      </w:r>
      <w:r>
        <w:rPr>
          <w:rFonts w:hint="eastAsia" w:ascii="方正仿宋_GBK" w:eastAsia="方正仿宋_GBK"/>
          <w:sz w:val="24"/>
        </w:rPr>
        <w:t>网络安全证书的人数</w:t>
      </w:r>
      <w:r>
        <w:rPr>
          <w:rFonts w:ascii="方正仿宋_GBK" w:eastAsia="方正仿宋_GBK"/>
          <w:sz w:val="24"/>
        </w:rPr>
        <w:t>4</w:t>
      </w:r>
      <w:r>
        <w:rPr>
          <w:rFonts w:hint="eastAsia" w:ascii="方正仿宋_GBK" w:eastAsia="方正仿宋_GBK"/>
          <w:sz w:val="24"/>
        </w:rPr>
        <w:t>人及以上的优先考虑。</w:t>
      </w:r>
    </w:p>
    <w:p>
      <w:pPr>
        <w:spacing w:line="360" w:lineRule="auto"/>
        <w:ind w:left="420" w:firstLine="480" w:firstLineChars="200"/>
        <w:rPr>
          <w:rFonts w:ascii="方正仿宋_GBK" w:eastAsia="方正仿宋_GBK"/>
          <w:sz w:val="24"/>
        </w:rPr>
      </w:pPr>
      <w:r>
        <w:rPr>
          <w:rFonts w:hint="eastAsia" w:ascii="方正仿宋_GBK" w:eastAsia="方正仿宋_GBK"/>
          <w:sz w:val="24"/>
        </w:rPr>
        <w:t>（7）售后负责人具备本科以上学历和计算机</w:t>
      </w:r>
      <w:r>
        <w:rPr>
          <w:rFonts w:ascii="方正仿宋_GBK" w:eastAsia="方正仿宋_GBK"/>
          <w:sz w:val="24"/>
        </w:rPr>
        <w:t>/</w:t>
      </w:r>
      <w:r>
        <w:rPr>
          <w:rFonts w:hint="eastAsia" w:ascii="方正仿宋_GBK" w:eastAsia="方正仿宋_GBK"/>
          <w:sz w:val="24"/>
        </w:rPr>
        <w:t>网络</w:t>
      </w:r>
      <w:r>
        <w:rPr>
          <w:rFonts w:ascii="方正仿宋_GBK" w:eastAsia="方正仿宋_GBK"/>
          <w:sz w:val="24"/>
        </w:rPr>
        <w:t>/</w:t>
      </w:r>
      <w:r>
        <w:rPr>
          <w:rFonts w:hint="eastAsia" w:ascii="方正仿宋_GBK" w:eastAsia="方正仿宋_GBK"/>
          <w:sz w:val="24"/>
        </w:rPr>
        <w:t>工程相关专业的工程师（中级）及以上职称的优先考虑。</w:t>
      </w:r>
    </w:p>
    <w:p>
      <w:pPr>
        <w:spacing w:line="360" w:lineRule="auto"/>
        <w:ind w:firstLine="480" w:firstLineChars="200"/>
        <w:rPr>
          <w:rFonts w:ascii="方正仿宋_GBK" w:eastAsia="方正仿宋_GBK"/>
          <w:sz w:val="24"/>
        </w:rPr>
      </w:pPr>
      <w:r>
        <w:rPr>
          <w:rFonts w:hint="eastAsia" w:ascii="方正仿宋_GBK" w:eastAsia="方正仿宋_GBK"/>
          <w:sz w:val="24"/>
        </w:rPr>
        <w:t>2）中标方具备有效期内的质量管理体系认证证书、信息安全管理体系认证证书、信息技术服务管理体系认证证书的优先考虑；</w:t>
      </w:r>
    </w:p>
    <w:p>
      <w:pPr>
        <w:spacing w:line="360" w:lineRule="auto"/>
        <w:ind w:firstLine="480" w:firstLineChars="200"/>
        <w:rPr>
          <w:rFonts w:ascii="方正仿宋_GBK" w:eastAsia="方正仿宋_GBK"/>
          <w:sz w:val="24"/>
        </w:rPr>
      </w:pPr>
      <w:r>
        <w:rPr>
          <w:rFonts w:ascii="方正仿宋_GBK" w:eastAsia="方正仿宋_GBK"/>
          <w:sz w:val="24"/>
        </w:rPr>
        <w:t>3</w:t>
      </w:r>
      <w:r>
        <w:rPr>
          <w:rFonts w:hint="eastAsia" w:ascii="方正仿宋_GBK" w:eastAsia="方正仿宋_GBK"/>
          <w:sz w:val="24"/>
        </w:rPr>
        <w:t>）中标方在上海具有售后服务能力，提供 7×24 小时级别的售后服务。在接到报修电话通知后1小时内响应；4小时内赶到现场处理故障，8小时内使系统恢复正常，对于48 小时内不能恢复的产品需提供备品配件进行更换维修；承诺售后服务期间在接到更换备品备件需求后24小时内提供备品备件的优先考虑；</w:t>
      </w:r>
      <w:bookmarkStart w:id="2" w:name="质量保证金"/>
      <w:bookmarkEnd w:id="2"/>
    </w:p>
    <w:p>
      <w:pPr>
        <w:spacing w:line="360" w:lineRule="auto"/>
        <w:ind w:firstLine="480" w:firstLineChars="200"/>
        <w:rPr>
          <w:rFonts w:ascii="方正仿宋_GBK" w:eastAsia="方正仿宋_GBK"/>
          <w:sz w:val="24"/>
        </w:rPr>
      </w:pPr>
      <w:r>
        <w:rPr>
          <w:rFonts w:ascii="方正仿宋_GBK" w:eastAsia="方正仿宋_GBK"/>
          <w:sz w:val="24"/>
        </w:rPr>
        <w:t>4</w:t>
      </w:r>
      <w:r>
        <w:rPr>
          <w:rFonts w:hint="eastAsia" w:ascii="方正仿宋_GBK" w:eastAsia="方正仿宋_GBK"/>
          <w:sz w:val="24"/>
        </w:rPr>
        <w:t>）中标方供货的系统软、硬件设备需承诺提供（除特殊说明外的）三年免费质保，投标文件中应详细列出质保期内的服务承诺。该承诺作为招标人选择中标人的重要依据。签订合同时提供证明材料；</w:t>
      </w:r>
    </w:p>
    <w:p>
      <w:pPr>
        <w:spacing w:line="360" w:lineRule="auto"/>
        <w:ind w:firstLine="480" w:firstLineChars="200"/>
        <w:rPr>
          <w:rFonts w:ascii="方正仿宋_GBK" w:eastAsia="方正仿宋_GBK"/>
          <w:sz w:val="24"/>
        </w:rPr>
      </w:pPr>
      <w:r>
        <w:rPr>
          <w:rFonts w:ascii="方正仿宋_GBK" w:eastAsia="方正仿宋_GBK"/>
          <w:sz w:val="24"/>
        </w:rPr>
        <w:t>5</w:t>
      </w:r>
      <w:r>
        <w:rPr>
          <w:rFonts w:hint="eastAsia" w:ascii="方正仿宋_GBK" w:eastAsia="方正仿宋_GBK"/>
          <w:sz w:val="24"/>
        </w:rPr>
        <w:t>）中标方系统集成工作在验收后，应提供至少三年的免费维护期，按照用户方的实际要求，对系统进行相应的调整，确保设备正常运行率在98%以上。</w:t>
      </w:r>
    </w:p>
    <w:p>
      <w:pPr>
        <w:spacing w:line="360" w:lineRule="auto"/>
        <w:rPr>
          <w:b/>
          <w:sz w:val="32"/>
          <w:szCs w:val="32"/>
        </w:rPr>
        <w:sectPr>
          <w:footerReference r:id="rId3" w:type="default"/>
          <w:pgSz w:w="11906" w:h="16838"/>
          <w:pgMar w:top="1440" w:right="1800" w:bottom="1440" w:left="1800" w:header="851" w:footer="992" w:gutter="0"/>
          <w:cols w:space="425" w:num="1"/>
          <w:docGrid w:type="lines" w:linePitch="312" w:charSpace="0"/>
        </w:sectPr>
      </w:pPr>
    </w:p>
    <w:p>
      <w:pPr>
        <w:pageBreakBefore/>
        <w:jc w:val="left"/>
        <w:rPr>
          <w:rFonts w:ascii="黑体" w:hAnsi="黑体"/>
          <w:sz w:val="28"/>
          <w:szCs w:val="28"/>
        </w:rPr>
      </w:pPr>
      <w:bookmarkStart w:id="3" w:name="_Toc150161834"/>
      <w:r>
        <w:rPr>
          <w:rFonts w:hint="eastAsia" w:ascii="黑体" w:hAnsi="黑体" w:eastAsia="黑体"/>
          <w:b/>
          <w:bCs/>
          <w:sz w:val="28"/>
          <w:szCs w:val="28"/>
          <w:lang w:val="en-US"/>
        </w:rPr>
        <w:t>附表</w:t>
      </w:r>
      <w:r>
        <w:rPr>
          <w:rFonts w:ascii="黑体" w:hAnsi="黑体" w:eastAsia="黑体"/>
          <w:b/>
          <w:bCs/>
          <w:sz w:val="28"/>
          <w:szCs w:val="28"/>
          <w:lang w:val="en-US"/>
        </w:rPr>
        <w:t>1</w:t>
      </w:r>
      <w:r>
        <w:rPr>
          <w:rFonts w:hint="eastAsia" w:ascii="黑体" w:hAnsi="黑体" w:eastAsia="黑体"/>
          <w:b/>
          <w:bCs/>
          <w:sz w:val="28"/>
          <w:szCs w:val="28"/>
          <w:lang w:val="en-US"/>
        </w:rPr>
        <w:t>：信号控制系统信息统计表</w:t>
      </w:r>
      <w:bookmarkEnd w:id="3"/>
      <w:r>
        <w:rPr>
          <w:rFonts w:ascii="黑体" w:hAnsi="黑体" w:eastAsia="黑体"/>
          <w:sz w:val="28"/>
          <w:szCs w:val="28"/>
          <w:lang w:val="en-US"/>
        </w:rPr>
        <w:br w:type="textWrapping"/>
      </w:r>
    </w:p>
    <w:tbl>
      <w:tblPr>
        <w:tblStyle w:val="29"/>
        <w:tblW w:w="5000" w:type="pct"/>
        <w:tblInd w:w="0" w:type="dxa"/>
        <w:tblLayout w:type="autofit"/>
        <w:tblCellMar>
          <w:top w:w="0" w:type="dxa"/>
          <w:left w:w="108" w:type="dxa"/>
          <w:bottom w:w="0" w:type="dxa"/>
          <w:right w:w="108" w:type="dxa"/>
        </w:tblCellMar>
      </w:tblPr>
      <w:tblGrid>
        <w:gridCol w:w="1056"/>
        <w:gridCol w:w="3075"/>
        <w:gridCol w:w="4756"/>
        <w:gridCol w:w="655"/>
        <w:gridCol w:w="846"/>
        <w:gridCol w:w="3786"/>
      </w:tblGrid>
      <w:tr>
        <w:tblPrEx>
          <w:tblCellMar>
            <w:top w:w="0" w:type="dxa"/>
            <w:left w:w="108" w:type="dxa"/>
            <w:bottom w:w="0" w:type="dxa"/>
            <w:right w:w="108" w:type="dxa"/>
          </w:tblCellMar>
        </w:tblPrEx>
        <w:trPr>
          <w:trHeight w:val="280" w:hRule="atLeast"/>
          <w:tblHeader/>
        </w:trPr>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10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名称</w:t>
            </w:r>
          </w:p>
        </w:tc>
        <w:tc>
          <w:tcPr>
            <w:tcW w:w="16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指标参数</w:t>
            </w:r>
          </w:p>
        </w:tc>
        <w:tc>
          <w:tcPr>
            <w:tcW w:w="24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单位</w:t>
            </w:r>
          </w:p>
        </w:tc>
        <w:tc>
          <w:tcPr>
            <w:tcW w:w="29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数量</w:t>
            </w:r>
          </w:p>
        </w:tc>
        <w:tc>
          <w:tcPr>
            <w:tcW w:w="12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备注</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w:t>
            </w:r>
          </w:p>
        </w:tc>
        <w:tc>
          <w:tcPr>
            <w:tcW w:w="110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自动驾驶专用道改造</w:t>
            </w:r>
          </w:p>
        </w:tc>
        <w:tc>
          <w:tcPr>
            <w:tcW w:w="16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9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12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1.1</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道路工程</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挖除部分分隔带，新建机动车道（公交站台改造、路段渠化）</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1443.6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分隔带硬化（人行道路面结构）</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510.1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挖除辅道机动车道，新建主辅绿化分隔带（不含绿化种植）</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1242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新排侧平石</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1607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52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1号码头桥梁段改建（挖除分隔带，新建机动车道）</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4cm</w:t>
            </w:r>
            <w:r>
              <w:rPr>
                <w:rFonts w:hint="eastAsia" w:ascii="宋体" w:hAnsi="宋体" w:cs="宋体"/>
                <w:color w:val="000000"/>
                <w:kern w:val="0"/>
                <w:szCs w:val="21"/>
              </w:rPr>
              <w:t>沥青玛蹄脂混合料（</w:t>
            </w:r>
            <w:r>
              <w:rPr>
                <w:rFonts w:ascii="宋体" w:hAnsi="宋体" w:cs="宋体"/>
                <w:color w:val="000000"/>
                <w:kern w:val="0"/>
                <w:szCs w:val="21"/>
              </w:rPr>
              <w:t>SMA-13，SBS改性沥青）</w:t>
            </w:r>
            <w:r>
              <w:rPr>
                <w:rFonts w:ascii="宋体" w:hAnsi="宋体" w:cs="宋体"/>
                <w:color w:val="000000"/>
                <w:kern w:val="0"/>
                <w:szCs w:val="21"/>
              </w:rPr>
              <w:br w:type="textWrapping"/>
            </w:r>
            <w:r>
              <w:rPr>
                <w:rFonts w:ascii="宋体" w:hAnsi="宋体" w:cs="宋体"/>
                <w:color w:val="000000"/>
                <w:kern w:val="0"/>
                <w:szCs w:val="21"/>
              </w:rPr>
              <w:t>6cm</w:t>
            </w:r>
            <w:r>
              <w:rPr>
                <w:rFonts w:hint="eastAsia" w:ascii="宋体" w:hAnsi="宋体" w:cs="宋体"/>
                <w:color w:val="000000"/>
                <w:kern w:val="0"/>
                <w:szCs w:val="21"/>
              </w:rPr>
              <w:t>中粒式沥青混凝土（</w:t>
            </w:r>
            <w:r>
              <w:rPr>
                <w:rFonts w:ascii="宋体" w:hAnsi="宋体" w:cs="宋体"/>
                <w:color w:val="000000"/>
                <w:kern w:val="0"/>
                <w:szCs w:val="21"/>
              </w:rPr>
              <w:t>AC－20C）</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132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1号码</w:t>
            </w:r>
            <w:r>
              <w:rPr>
                <w:rFonts w:hint="eastAsia" w:ascii="宋体" w:hAnsi="宋体" w:cs="宋体"/>
                <w:color w:val="000000"/>
                <w:kern w:val="0"/>
                <w:szCs w:val="21"/>
              </w:rPr>
              <w:t>头</w:t>
            </w:r>
            <w:r>
              <w:rPr>
                <w:rFonts w:ascii="宋体" w:hAnsi="宋体" w:cs="宋体"/>
                <w:color w:val="000000"/>
                <w:kern w:val="0"/>
                <w:szCs w:val="21"/>
              </w:rPr>
              <w:t>桥梁桥头两侧，人行道口处(挖除硬化</w:t>
            </w:r>
            <w:r>
              <w:rPr>
                <w:rFonts w:hint="eastAsia" w:ascii="宋体" w:hAnsi="宋体" w:cs="宋体"/>
                <w:color w:val="000000"/>
                <w:kern w:val="0"/>
                <w:szCs w:val="21"/>
              </w:rPr>
              <w:t>新建绿化带</w:t>
            </w:r>
            <w:r>
              <w:rPr>
                <w:rFonts w:ascii="宋体" w:hAnsi="宋体" w:cs="宋体"/>
                <w:color w:val="000000"/>
                <w:kern w:val="0"/>
                <w:szCs w:val="21"/>
              </w:rPr>
              <w:t>)</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230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1号码头桥梁两侧段翻建机动车道（新增）</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4340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1.1.8</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人行道口改建（新增）</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1000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1.1.9</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小桉路、儿童乐园段增设沥青面</w:t>
            </w:r>
            <w:r>
              <w:rPr>
                <w:rFonts w:ascii="宋体" w:hAnsi="宋体" w:cs="宋体"/>
                <w:color w:val="000000"/>
                <w:kern w:val="0"/>
                <w:szCs w:val="21"/>
              </w:rPr>
              <w:t>4cm（新增）</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1820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1.1.10</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彩色沥青（辅路出口道）</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辅道出口道路面上喷洒</w:t>
            </w:r>
            <w:r>
              <w:rPr>
                <w:rFonts w:ascii="宋体" w:hAnsi="宋体" w:cs="宋体"/>
                <w:color w:val="000000"/>
                <w:kern w:val="0"/>
                <w:szCs w:val="21"/>
              </w:rPr>
              <w:t>2mm彩浆封层铺面</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6000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1.2</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附属工程</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1.2.1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花箱</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1.2.1.1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花箱新建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组</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157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1.2.1.2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花箱搬迁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组</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考虑</w:t>
            </w:r>
            <w:r>
              <w:rPr>
                <w:rFonts w:ascii="宋体" w:hAnsi="宋体" w:cs="宋体"/>
                <w:color w:val="000000"/>
                <w:kern w:val="0"/>
                <w:szCs w:val="21"/>
              </w:rPr>
              <w:t>5公里以内运距</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1.2.2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机动车隔离护栏</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440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1.2.3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普通隔离柱（人行过街）</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80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1.2.4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标志标线改造</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清除车位、车道划线</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9700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热熔型标线</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划车道线</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1485.8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双组分标线</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箭头线、自行车标志、地面文字等</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1714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拆除原标牌</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1.2.4.5</w:t>
            </w:r>
          </w:p>
        </w:tc>
        <w:tc>
          <w:tcPr>
            <w:tcW w:w="1103" w:type="pct"/>
            <w:tcBorders>
              <w:top w:val="nil"/>
              <w:left w:val="nil"/>
              <w:bottom w:val="single" w:color="auto" w:sz="4" w:space="0"/>
              <w:right w:val="single" w:color="auto" w:sz="4" w:space="0"/>
            </w:tcBorders>
            <w:shd w:val="clear" w:color="FFFFFF" w:fill="FFFFFF"/>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圆形标志板（自行车</w:t>
            </w:r>
            <w:r>
              <w:rPr>
                <w:rFonts w:ascii="宋体" w:hAnsi="宋体" w:cs="宋体"/>
                <w:color w:val="000000"/>
                <w:kern w:val="0"/>
                <w:szCs w:val="21"/>
              </w:rPr>
              <w:t>+轿车指示）</w:t>
            </w:r>
          </w:p>
        </w:tc>
        <w:tc>
          <w:tcPr>
            <w:tcW w:w="1696" w:type="pct"/>
            <w:tcBorders>
              <w:top w:val="nil"/>
              <w:left w:val="nil"/>
              <w:bottom w:val="single" w:color="auto" w:sz="4" w:space="0"/>
              <w:right w:val="single" w:color="auto" w:sz="4" w:space="0"/>
            </w:tcBorders>
            <w:shd w:val="clear" w:color="FFFFFF" w:fill="FFFFFF"/>
            <w:vAlign w:val="center"/>
          </w:tcPr>
          <w:p>
            <w:pPr>
              <w:widowControl/>
              <w:jc w:val="left"/>
              <w:rPr>
                <w:rFonts w:ascii="宋体" w:hAnsi="宋体" w:cs="宋体"/>
                <w:color w:val="000000"/>
                <w:kern w:val="0"/>
                <w:szCs w:val="21"/>
              </w:rPr>
            </w:pPr>
            <w:r>
              <w:rPr>
                <w:rFonts w:hint="eastAsia" w:ascii="宋体" w:hAnsi="宋体" w:cs="宋体"/>
                <w:color w:val="000000"/>
                <w:kern w:val="0"/>
                <w:szCs w:val="21"/>
              </w:rPr>
              <w:t>φ</w:t>
            </w:r>
            <w:r>
              <w:rPr>
                <w:rFonts w:ascii="宋体" w:hAnsi="宋体" w:cs="宋体"/>
                <w:color w:val="000000"/>
                <w:kern w:val="0"/>
                <w:szCs w:val="21"/>
              </w:rPr>
              <w:t>600（高强级）3.0厚铝板贴1级反光膜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标志牌（全路段禁停标志牌</w:t>
            </w:r>
            <w:r>
              <w:rPr>
                <w:rFonts w:ascii="宋体" w:hAnsi="宋体" w:cs="宋体"/>
                <w:color w:val="000000"/>
                <w:kern w:val="0"/>
                <w:szCs w:val="21"/>
              </w:rPr>
              <w:t>)</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φ</w:t>
            </w:r>
            <w:r>
              <w:rPr>
                <w:rFonts w:ascii="宋体" w:hAnsi="宋体" w:cs="宋体"/>
                <w:color w:val="000000"/>
                <w:kern w:val="0"/>
                <w:szCs w:val="21"/>
              </w:rPr>
              <w:t>800（高强级）3.0厚铝板贴1级反光膜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标志牌（禁令</w:t>
            </w:r>
            <w:r>
              <w:rPr>
                <w:rFonts w:ascii="宋体" w:hAnsi="宋体" w:cs="宋体"/>
                <w:color w:val="000000"/>
                <w:kern w:val="0"/>
                <w:szCs w:val="21"/>
              </w:rPr>
              <w:t>+指示）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800*300（高强级）3.0厚铝板贴1级反光膜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1.2.4.8</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标志牌（禁止驶入辅路</w:t>
            </w:r>
            <w:r>
              <w:rPr>
                <w:rFonts w:ascii="宋体" w:hAnsi="宋体" w:cs="宋体"/>
                <w:color w:val="000000"/>
                <w:kern w:val="0"/>
                <w:szCs w:val="21"/>
              </w:rPr>
              <w:t>)</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800*1000（高强级）3.0厚铝板贴1级反光膜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1.2.4.9</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指示牌（人行斑马线指示牌）</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1200*600（高强级）3.0厚铝板贴1级反光膜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1.2.4.10</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标志牌（左转非机动车二次过街）</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1000*1000（高强级）3.0厚铝板贴1级反光膜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1.2.4.11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标志牌（</w:t>
            </w:r>
            <w:r>
              <w:rPr>
                <w:rFonts w:ascii="宋体" w:hAnsi="宋体" w:cs="宋体"/>
                <w:color w:val="000000"/>
                <w:kern w:val="0"/>
                <w:szCs w:val="21"/>
              </w:rPr>
              <w:t>P指示标志牌）</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800*800（高强级）3.0厚铝板贴1级反光膜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1.2.4.12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标志牌（</w:t>
            </w:r>
            <w:r>
              <w:rPr>
                <w:rFonts w:ascii="宋体" w:hAnsi="宋体" w:cs="宋体"/>
                <w:color w:val="000000"/>
                <w:kern w:val="0"/>
                <w:szCs w:val="21"/>
              </w:rPr>
              <w:t>&gt;&gt;&gt;指示标志牌）</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1200*2000（高强级）3.0厚铝板贴1级反光膜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1.2.4.13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标志牌（主路、辅路禁止驶入指示标志）</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2000*1500（高强级）3.0厚铝板贴1级反光膜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1.2.4.14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指示标志牌（自动驾驶标志牌）</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600*600（高强级）3.0厚铝板贴1级反光膜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设施搬迁及拆除</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监控杆搬迁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含设备</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含补光灯、摄像机、基础、立杆的搬迁</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标志牌立杆搬迁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含标志牌</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考虑</w:t>
            </w:r>
            <w:r>
              <w:rPr>
                <w:rFonts w:ascii="宋体" w:hAnsi="宋体" w:cs="宋体"/>
                <w:color w:val="000000"/>
                <w:kern w:val="0"/>
                <w:szCs w:val="21"/>
              </w:rPr>
              <w:t>5公里以内运距</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信号灯杆搬迁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含灯具</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路灯搬迁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主辅分隔带长度</w:t>
            </w:r>
            <w:r>
              <w:rPr>
                <w:rFonts w:ascii="宋体" w:hAnsi="宋体" w:cs="宋体"/>
                <w:b/>
                <w:bCs/>
                <w:color w:val="000000"/>
                <w:kern w:val="0"/>
                <w:szCs w:val="21"/>
              </w:rPr>
              <w:t>690m</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20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考虑</w:t>
            </w:r>
            <w:r>
              <w:rPr>
                <w:rFonts w:ascii="宋体" w:hAnsi="宋体" w:cs="宋体"/>
                <w:color w:val="000000"/>
                <w:kern w:val="0"/>
                <w:szCs w:val="21"/>
              </w:rPr>
              <w:t>5公里以内运距</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电力井搬迁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考虑</w:t>
            </w:r>
            <w:r>
              <w:rPr>
                <w:rFonts w:ascii="宋体" w:hAnsi="宋体" w:cs="宋体"/>
                <w:color w:val="000000"/>
                <w:kern w:val="0"/>
                <w:szCs w:val="21"/>
              </w:rPr>
              <w:t>5公里以内运距</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道路指示牌搬迁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考虑</w:t>
            </w:r>
            <w:r>
              <w:rPr>
                <w:rFonts w:ascii="宋体" w:hAnsi="宋体" w:cs="宋体"/>
                <w:color w:val="000000"/>
                <w:kern w:val="0"/>
                <w:szCs w:val="21"/>
              </w:rPr>
              <w:t>5公里以内运距</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绿化搬迁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二次搬迁</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海桐（土球φ</w:t>
            </w:r>
            <w:r>
              <w:rPr>
                <w:rFonts w:ascii="宋体" w:hAnsi="宋体" w:cs="宋体"/>
                <w:color w:val="000000"/>
                <w:kern w:val="0"/>
                <w:szCs w:val="21"/>
              </w:rPr>
              <w:t>60CM以内）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269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海桐（土球φ</w:t>
            </w:r>
            <w:r>
              <w:rPr>
                <w:rFonts w:ascii="宋体" w:hAnsi="宋体" w:cs="宋体"/>
                <w:color w:val="000000"/>
                <w:kern w:val="0"/>
                <w:szCs w:val="21"/>
              </w:rPr>
              <w:t>100CM）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女贞（土球φ</w:t>
            </w:r>
            <w:r>
              <w:rPr>
                <w:rFonts w:ascii="宋体" w:hAnsi="宋体" w:cs="宋体"/>
                <w:color w:val="000000"/>
                <w:kern w:val="0"/>
                <w:szCs w:val="21"/>
              </w:rPr>
              <w:t>100CM以内）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柳树（土球φ</w:t>
            </w:r>
            <w:r>
              <w:rPr>
                <w:rFonts w:ascii="宋体" w:hAnsi="宋体" w:cs="宋体"/>
                <w:color w:val="000000"/>
                <w:kern w:val="0"/>
                <w:szCs w:val="21"/>
              </w:rPr>
              <w:t>160CM以内）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紫薇（土球φ</w:t>
            </w:r>
            <w:r>
              <w:rPr>
                <w:rFonts w:ascii="宋体" w:hAnsi="宋体" w:cs="宋体"/>
                <w:color w:val="000000"/>
                <w:kern w:val="0"/>
                <w:szCs w:val="21"/>
              </w:rPr>
              <w:t>50CM以内）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金丝桃（土球φ</w:t>
            </w:r>
            <w:r>
              <w:rPr>
                <w:rFonts w:ascii="宋体" w:hAnsi="宋体" w:cs="宋体"/>
                <w:color w:val="000000"/>
                <w:kern w:val="0"/>
                <w:szCs w:val="21"/>
              </w:rPr>
              <w:t>20CM以内）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150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榉树（土球φ</w:t>
            </w:r>
            <w:r>
              <w:rPr>
                <w:rFonts w:ascii="宋体" w:hAnsi="宋体" w:cs="宋体"/>
                <w:color w:val="000000"/>
                <w:kern w:val="0"/>
                <w:szCs w:val="21"/>
              </w:rPr>
              <w:t>140M以内）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1.3.7.8</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月季（土球φ</w:t>
            </w:r>
            <w:r>
              <w:rPr>
                <w:rFonts w:ascii="宋体" w:hAnsi="宋体" w:cs="宋体"/>
                <w:color w:val="000000"/>
                <w:kern w:val="0"/>
                <w:szCs w:val="21"/>
              </w:rPr>
              <w:t>20CM以内）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160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1.3.7.9</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草皮（厚度</w:t>
            </w:r>
            <w:r>
              <w:rPr>
                <w:rFonts w:ascii="宋体" w:hAnsi="宋体" w:cs="宋体"/>
                <w:color w:val="000000"/>
                <w:kern w:val="0"/>
                <w:szCs w:val="21"/>
              </w:rPr>
              <w:t>2cm）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1905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1.3.7.10</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樱花（土球φ</w:t>
            </w:r>
            <w:r>
              <w:rPr>
                <w:rFonts w:ascii="宋体" w:hAnsi="宋体" w:cs="宋体"/>
                <w:color w:val="000000"/>
                <w:kern w:val="0"/>
                <w:szCs w:val="21"/>
              </w:rPr>
              <w:t>20CM以内）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蚊母（土球φ</w:t>
            </w:r>
            <w:r>
              <w:rPr>
                <w:rFonts w:ascii="宋体" w:hAnsi="宋体" w:cs="宋体"/>
                <w:color w:val="000000"/>
                <w:kern w:val="0"/>
                <w:szCs w:val="21"/>
              </w:rPr>
              <w:t>10CM以内）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无患子（土球φ</w:t>
            </w:r>
            <w:r>
              <w:rPr>
                <w:rFonts w:ascii="宋体" w:hAnsi="宋体" w:cs="宋体"/>
                <w:color w:val="000000"/>
                <w:kern w:val="0"/>
                <w:szCs w:val="21"/>
              </w:rPr>
              <w:t>20CM以内）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桂花（</w:t>
            </w:r>
            <w:r>
              <w:rPr>
                <w:rFonts w:ascii="宋体" w:hAnsi="宋体" w:cs="宋体"/>
                <w:color w:val="000000"/>
                <w:kern w:val="0"/>
                <w:szCs w:val="21"/>
              </w:rPr>
              <w:t>H250）</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香樟（土球φ</w:t>
            </w:r>
            <w:r>
              <w:rPr>
                <w:rFonts w:ascii="宋体" w:hAnsi="宋体" w:cs="宋体"/>
                <w:color w:val="000000"/>
                <w:kern w:val="0"/>
                <w:szCs w:val="21"/>
              </w:rPr>
              <w:t>30CM以内）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大花仙草</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114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山桃草</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195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狼尾草</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240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1.3.7.18</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龟甲冬青（土球φ</w:t>
            </w:r>
            <w:r>
              <w:rPr>
                <w:rFonts w:ascii="宋体" w:hAnsi="宋体" w:cs="宋体"/>
                <w:color w:val="000000"/>
                <w:kern w:val="0"/>
                <w:szCs w:val="21"/>
              </w:rPr>
              <w:t>20CM以内）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2240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1.3.7.19</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绿篱（</w:t>
            </w:r>
            <w:r>
              <w:rPr>
                <w:rFonts w:ascii="宋体" w:hAnsi="宋体" w:cs="宋体"/>
                <w:color w:val="000000"/>
                <w:kern w:val="0"/>
                <w:szCs w:val="21"/>
              </w:rPr>
              <w:t>H100cm以内）</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含起挖、过渡、养护、回搬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1.3.7.20</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种植草皮</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752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1.3.8</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市政立杆拆除</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76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1.3.9</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大理石柱拆除</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ascii="宋体" w:hAnsi="宋体" w:cs="宋体"/>
                <w:b/>
                <w:bCs/>
                <w:color w:val="000000"/>
                <w:kern w:val="0"/>
                <w:szCs w:val="21"/>
              </w:rPr>
              <w:t>16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1.4</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排水设施改造</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1.4.1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雨水连管</w:t>
            </w:r>
            <w:r>
              <w:rPr>
                <w:rFonts w:ascii="宋体" w:hAnsi="宋体" w:cs="宋体"/>
                <w:color w:val="000000"/>
                <w:kern w:val="0"/>
                <w:szCs w:val="21"/>
              </w:rPr>
              <w:t>DN300</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120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1.4.2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检查井抬升</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1.4.3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拆除雨水口</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1.4.4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新建雨水口</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FFE699"/>
          </w:tcPr>
          <w:p>
            <w:pPr>
              <w:widowControl/>
              <w:jc w:val="left"/>
              <w:rPr>
                <w:rFonts w:ascii="宋体" w:hAnsi="宋体" w:cs="宋体"/>
                <w:b/>
                <w:bCs/>
                <w:color w:val="000000"/>
                <w:kern w:val="0"/>
                <w:szCs w:val="21"/>
              </w:rPr>
            </w:pPr>
            <w:r>
              <w:rPr>
                <w:rFonts w:ascii="宋体" w:hAnsi="宋体" w:cs="宋体"/>
                <w:b/>
                <w:bCs/>
                <w:color w:val="000000"/>
                <w:kern w:val="0"/>
                <w:szCs w:val="21"/>
              </w:rPr>
              <w:t>2</w:t>
            </w:r>
          </w:p>
        </w:tc>
        <w:tc>
          <w:tcPr>
            <w:tcW w:w="110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智能交通</w:t>
            </w:r>
          </w:p>
        </w:tc>
        <w:tc>
          <w:tcPr>
            <w:tcW w:w="16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9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12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2.1</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信号控制系统</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信号机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联网，信号机，含</w:t>
            </w:r>
            <w:r>
              <w:rPr>
                <w:rFonts w:ascii="宋体" w:hAnsi="宋体" w:cs="宋体"/>
                <w:color w:val="000000"/>
                <w:kern w:val="0"/>
                <w:szCs w:val="21"/>
              </w:rPr>
              <w:t>license</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信号机基础</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现有信号机拆除</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自动驾驶专用信号灯</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面板加宽特殊信号灯组，圆盘灯</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右转控制专用信号灯</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面板加宽特殊信号灯组，箭头灯</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机动车信号灯（圆盘）</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人行信号灯</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2.1.8</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现有信号灯拆除</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2.1.9</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现有杆件拆除</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含行人立柱、信号灯杆件</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2.1.10</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路口软件制作</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路口</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2.1.11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路口信号配时优化</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路口</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2.1.12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信号灯控制线（</w:t>
            </w:r>
            <w:r>
              <w:rPr>
                <w:rFonts w:ascii="宋体" w:hAnsi="宋体" w:cs="宋体"/>
                <w:color w:val="000000"/>
                <w:kern w:val="0"/>
                <w:szCs w:val="21"/>
              </w:rPr>
              <w:t>RVV4*1.5）</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RVV4*1.5</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10658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2.2</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视频监控系统</w:t>
            </w:r>
          </w:p>
        </w:tc>
      </w:tr>
      <w:tr>
        <w:tblPrEx>
          <w:tblCellMar>
            <w:top w:w="0" w:type="dxa"/>
            <w:left w:w="108" w:type="dxa"/>
            <w:bottom w:w="0" w:type="dxa"/>
            <w:right w:w="108" w:type="dxa"/>
          </w:tblCellMar>
        </w:tblPrEx>
        <w:trPr>
          <w:trHeight w:val="52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2.2.1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高清云台可控摄像机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200万1/1.8"CMOS宽动态</w:t>
            </w:r>
            <w:r>
              <w:rPr>
                <w:rFonts w:ascii="宋体" w:hAnsi="宋体" w:cs="宋体"/>
                <w:color w:val="000000"/>
                <w:kern w:val="0"/>
                <w:szCs w:val="21"/>
              </w:rPr>
              <w:br w:type="textWrapping"/>
            </w:r>
            <w:r>
              <w:rPr>
                <w:rFonts w:hint="eastAsia" w:ascii="宋体" w:hAnsi="宋体" w:cs="宋体"/>
                <w:color w:val="000000"/>
                <w:kern w:val="0"/>
                <w:szCs w:val="21"/>
              </w:rPr>
              <w:t>内置</w:t>
            </w:r>
            <w:r>
              <w:rPr>
                <w:rFonts w:ascii="宋体" w:hAnsi="宋体" w:cs="宋体"/>
                <w:color w:val="000000"/>
                <w:kern w:val="0"/>
                <w:szCs w:val="21"/>
              </w:rPr>
              <w:t>RJ45网口，支持10M/100M网络数据</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52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2.2.2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高清枪式固定摄像机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800万1/1.8"CMOS宽动态</w:t>
            </w:r>
            <w:r>
              <w:rPr>
                <w:rFonts w:ascii="宋体" w:hAnsi="宋体" w:cs="宋体"/>
                <w:color w:val="000000"/>
                <w:kern w:val="0"/>
                <w:szCs w:val="21"/>
              </w:rPr>
              <w:br w:type="textWrapping"/>
            </w:r>
            <w:r>
              <w:rPr>
                <w:rFonts w:hint="eastAsia" w:ascii="宋体" w:hAnsi="宋体" w:cs="宋体"/>
                <w:color w:val="000000"/>
                <w:kern w:val="0"/>
                <w:szCs w:val="21"/>
              </w:rPr>
              <w:t>单模光纤接口</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66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2.2.3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摄像机借杆安装支架</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2.3</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路口感知设备</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高清视频复合检测器</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900万有效像素，含摄像机、高清镜头、防护罩、支架等</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52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2.3.2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网络</w:t>
            </w:r>
            <w:r>
              <w:rPr>
                <w:rFonts w:ascii="宋体" w:hAnsi="宋体" w:cs="宋体"/>
                <w:color w:val="000000"/>
                <w:kern w:val="0"/>
                <w:szCs w:val="21"/>
              </w:rPr>
              <w:t>I/O转换器</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实时接收检测到的车检</w:t>
            </w:r>
            <w:r>
              <w:rPr>
                <w:rFonts w:ascii="宋体" w:hAnsi="宋体" w:cs="宋体"/>
                <w:color w:val="000000"/>
                <w:kern w:val="0"/>
                <w:szCs w:val="21"/>
              </w:rPr>
              <w:t>/车流信息，并解析后通过开关量或电感量转发给信号机的I/O接口</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52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2.3.3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路口控制主机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具有故障检测、校时、通信续传、图片合成、实时比对报警、远程运维等功能</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2.3.4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LED补光灯</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36颗高亮LED灯珠，每套LED补光灯覆盖一根车道</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75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2.3.5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红灯状态监测器</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2.4</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行人感应设备</w:t>
            </w:r>
          </w:p>
        </w:tc>
      </w:tr>
      <w:tr>
        <w:tblPrEx>
          <w:tblCellMar>
            <w:top w:w="0" w:type="dxa"/>
            <w:left w:w="108" w:type="dxa"/>
            <w:bottom w:w="0" w:type="dxa"/>
            <w:right w:w="108" w:type="dxa"/>
          </w:tblCellMar>
        </w:tblPrEx>
        <w:trPr>
          <w:trHeight w:val="52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2.4.1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行人检测摄像机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视频</w:t>
            </w:r>
            <w:r>
              <w:rPr>
                <w:rFonts w:ascii="宋体" w:hAnsi="宋体" w:cs="宋体"/>
                <w:color w:val="000000"/>
                <w:kern w:val="0"/>
                <w:szCs w:val="21"/>
              </w:rPr>
              <w:t>SENSOR500万像素，最大分辨率2592*1944；星光级图像传感器</w:t>
            </w:r>
            <w:r>
              <w:rPr>
                <w:rFonts w:ascii="宋体" w:hAnsi="宋体" w:cs="宋体"/>
                <w:color w:val="000000"/>
                <w:kern w:val="0"/>
                <w:szCs w:val="21"/>
              </w:rPr>
              <w:br w:type="textWrapping"/>
            </w:r>
            <w:r>
              <w:rPr>
                <w:rFonts w:hint="eastAsia" w:ascii="宋体" w:hAnsi="宋体" w:cs="宋体"/>
                <w:color w:val="000000"/>
                <w:kern w:val="0"/>
                <w:szCs w:val="21"/>
              </w:rPr>
              <w:t>图像传感器采用</w:t>
            </w:r>
            <w:r>
              <w:rPr>
                <w:rFonts w:ascii="宋体" w:hAnsi="宋体" w:cs="宋体"/>
                <w:color w:val="000000"/>
                <w:kern w:val="0"/>
                <w:szCs w:val="21"/>
              </w:rPr>
              <w:t>900万像素1英寸CMOS</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104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2.4.2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行人边缘计算检测器</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输出实时、报警和统计等多种检测数据，主要包括视频状态、能见度高低、等待区人数、等待时间、斑马线人数、斑马线行人方向等；</w:t>
            </w:r>
            <w:r>
              <w:rPr>
                <w:rFonts w:ascii="宋体" w:hAnsi="宋体" w:cs="宋体"/>
                <w:color w:val="000000"/>
                <w:kern w:val="0"/>
                <w:szCs w:val="21"/>
              </w:rPr>
              <w:br w:type="textWrapping"/>
            </w:r>
            <w:r>
              <w:rPr>
                <w:rFonts w:hint="eastAsia" w:ascii="宋体" w:hAnsi="宋体" w:cs="宋体"/>
                <w:color w:val="000000"/>
                <w:kern w:val="0"/>
                <w:szCs w:val="21"/>
              </w:rPr>
              <w:t>输出</w:t>
            </w:r>
            <w:r>
              <w:rPr>
                <w:rFonts w:ascii="宋体" w:hAnsi="宋体" w:cs="宋体"/>
                <w:color w:val="000000"/>
                <w:kern w:val="0"/>
                <w:szCs w:val="21"/>
              </w:rPr>
              <w:t>H.264/H.265高清视频；</w:t>
            </w:r>
            <w:r>
              <w:rPr>
                <w:rFonts w:ascii="宋体" w:hAnsi="宋体" w:cs="宋体"/>
                <w:color w:val="000000"/>
                <w:kern w:val="0"/>
                <w:szCs w:val="21"/>
              </w:rPr>
              <w:br w:type="textWrapping"/>
            </w:r>
            <w:r>
              <w:rPr>
                <w:rFonts w:hint="eastAsia" w:ascii="宋体" w:hAnsi="宋体" w:cs="宋体"/>
                <w:color w:val="000000"/>
                <w:kern w:val="0"/>
                <w:szCs w:val="21"/>
              </w:rPr>
              <w:t>通过网口与信号机通讯，定制的通信协议</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2.4.3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协议转换器</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接收</w:t>
            </w:r>
            <w:r>
              <w:rPr>
                <w:rFonts w:ascii="宋体" w:hAnsi="宋体" w:cs="宋体"/>
                <w:color w:val="000000"/>
                <w:kern w:val="0"/>
                <w:szCs w:val="21"/>
              </w:rPr>
              <w:t>4个方向的检测器数据，转换成信号机需要的接口和协议数据</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3</w:t>
            </w:r>
          </w:p>
        </w:tc>
        <w:tc>
          <w:tcPr>
            <w:tcW w:w="110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通信系统</w:t>
            </w:r>
          </w:p>
        </w:tc>
        <w:tc>
          <w:tcPr>
            <w:tcW w:w="16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9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12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路口汇集交换机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8个千百兆自适应SFP光口；16个千百兆自适应电口；</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路口接入交换机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1个千百兆自适应SFP光口；2个千百兆自适应电口；</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断面接入交换机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4个千百兆自适应SFP光口；8个千百兆自适应电口；</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全光接入交换机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24个千百兆自适应SFP光口；</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百兆光模块</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单模单芯</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79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交通控制系统</w:t>
            </w:r>
            <w:r>
              <w:rPr>
                <w:rFonts w:ascii="宋体" w:hAnsi="宋体" w:cs="宋体"/>
                <w:color w:val="000000"/>
                <w:kern w:val="0"/>
                <w:szCs w:val="21"/>
              </w:rPr>
              <w:t>接入交换机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szCs w:val="21"/>
              </w:rPr>
              <w:t>24</w:t>
            </w:r>
            <w:r>
              <w:rPr>
                <w:rFonts w:hint="eastAsia"/>
                <w:szCs w:val="21"/>
              </w:rPr>
              <w:t>个千百兆自适应</w:t>
            </w:r>
            <w:r>
              <w:rPr>
                <w:szCs w:val="21"/>
              </w:rPr>
              <w:t>SFP</w:t>
            </w:r>
            <w:r>
              <w:rPr>
                <w:rFonts w:hint="eastAsia"/>
                <w:szCs w:val="21"/>
              </w:rPr>
              <w:t>光口；</w:t>
            </w:r>
            <w:r>
              <w:rPr>
                <w:szCs w:val="21"/>
              </w:rPr>
              <w:t>4</w:t>
            </w:r>
            <w:r>
              <w:rPr>
                <w:rFonts w:hint="eastAsia"/>
                <w:szCs w:val="21"/>
              </w:rPr>
              <w:t>个万千百兆自适应</w:t>
            </w:r>
            <w:r>
              <w:rPr>
                <w:szCs w:val="21"/>
              </w:rPr>
              <w:t>SFP+</w:t>
            </w:r>
            <w:r>
              <w:rPr>
                <w:rFonts w:hint="eastAsia"/>
                <w:szCs w:val="21"/>
              </w:rPr>
              <w:t>光口；</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外场接入交换机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szCs w:val="21"/>
              </w:rPr>
              <w:t>24</w:t>
            </w:r>
            <w:r>
              <w:rPr>
                <w:rFonts w:hint="eastAsia"/>
                <w:szCs w:val="21"/>
              </w:rPr>
              <w:t>个千百兆自适应</w:t>
            </w:r>
            <w:r>
              <w:rPr>
                <w:szCs w:val="21"/>
              </w:rPr>
              <w:t>SFP</w:t>
            </w:r>
            <w:r>
              <w:rPr>
                <w:rFonts w:hint="eastAsia"/>
                <w:szCs w:val="21"/>
              </w:rPr>
              <w:t>光口；</w:t>
            </w:r>
            <w:r>
              <w:rPr>
                <w:szCs w:val="21"/>
              </w:rPr>
              <w:t>4</w:t>
            </w:r>
            <w:r>
              <w:rPr>
                <w:rFonts w:hint="eastAsia"/>
                <w:szCs w:val="21"/>
              </w:rPr>
              <w:t>个万千百兆自适应</w:t>
            </w:r>
            <w:r>
              <w:rPr>
                <w:szCs w:val="21"/>
              </w:rPr>
              <w:t>SFP+</w:t>
            </w:r>
            <w:r>
              <w:rPr>
                <w:rFonts w:hint="eastAsia"/>
                <w:szCs w:val="21"/>
              </w:rPr>
              <w:t>光口；</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千兆单模光模块</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szCs w:val="21"/>
              </w:rPr>
              <w:t>单模单芯</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86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7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视频汇聚交换机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szCs w:val="21"/>
              </w:rPr>
              <w:t>交换容量≥</w:t>
            </w:r>
            <w:r>
              <w:rPr>
                <w:szCs w:val="21"/>
              </w:rPr>
              <w:t>4.8Tbps</w:t>
            </w:r>
            <w:r>
              <w:rPr>
                <w:rFonts w:hint="eastAsia"/>
                <w:szCs w:val="21"/>
              </w:rPr>
              <w:t>，包转发能力≥</w:t>
            </w:r>
            <w:r>
              <w:rPr>
                <w:szCs w:val="21"/>
              </w:rPr>
              <w:t>1560Mpps</w:t>
            </w:r>
            <w:r>
              <w:rPr>
                <w:szCs w:val="21"/>
              </w:rPr>
              <w:br w:type="textWrapping"/>
            </w:r>
            <w:r>
              <w:rPr>
                <w:rFonts w:hint="eastAsia"/>
                <w:szCs w:val="21"/>
              </w:rPr>
              <w:t>千兆万兆自适应光口≥</w:t>
            </w:r>
            <w:r>
              <w:rPr>
                <w:szCs w:val="21"/>
              </w:rPr>
              <w:t>24</w:t>
            </w:r>
            <w:r>
              <w:rPr>
                <w:rFonts w:hint="eastAsia"/>
                <w:szCs w:val="21"/>
              </w:rPr>
              <w:t>，</w:t>
            </w:r>
            <w:r>
              <w:rPr>
                <w:szCs w:val="21"/>
              </w:rPr>
              <w:t>QSFP28</w:t>
            </w:r>
            <w:r>
              <w:rPr>
                <w:rFonts w:hint="eastAsia"/>
                <w:szCs w:val="21"/>
              </w:rPr>
              <w:t>端口≥</w:t>
            </w:r>
            <w:r>
              <w:rPr>
                <w:szCs w:val="21"/>
              </w:rPr>
              <w:t>8</w:t>
            </w:r>
            <w:r>
              <w:rPr>
                <w:rFonts w:hint="eastAsia"/>
                <w:szCs w:val="21"/>
              </w:rPr>
              <w:t>，单台实配</w:t>
            </w:r>
            <w:r>
              <w:rPr>
                <w:szCs w:val="21"/>
              </w:rPr>
              <w:t>12</w:t>
            </w:r>
            <w:r>
              <w:rPr>
                <w:rFonts w:hint="eastAsia"/>
                <w:szCs w:val="21"/>
              </w:rPr>
              <w:t>个</w:t>
            </w:r>
            <w:r>
              <w:rPr>
                <w:szCs w:val="21"/>
              </w:rPr>
              <w:t>10G</w:t>
            </w:r>
            <w:r>
              <w:rPr>
                <w:rFonts w:hint="eastAsia"/>
                <w:szCs w:val="21"/>
              </w:rPr>
              <w:t>多模光模块，</w:t>
            </w:r>
            <w:r>
              <w:rPr>
                <w:szCs w:val="21"/>
              </w:rPr>
              <w:t>8</w:t>
            </w:r>
            <w:r>
              <w:rPr>
                <w:rFonts w:hint="eastAsia"/>
                <w:szCs w:val="21"/>
              </w:rPr>
              <w:t>个</w:t>
            </w:r>
            <w:r>
              <w:rPr>
                <w:szCs w:val="21"/>
              </w:rPr>
              <w:t>40G</w:t>
            </w:r>
            <w:r>
              <w:rPr>
                <w:rFonts w:hint="eastAsia"/>
                <w:szCs w:val="21"/>
              </w:rPr>
              <w:t>多模光模块，支持</w:t>
            </w:r>
            <w:r>
              <w:rPr>
                <w:szCs w:val="21"/>
              </w:rPr>
              <w:t>PTPBC</w:t>
            </w:r>
            <w:r>
              <w:rPr>
                <w:rFonts w:hint="eastAsia"/>
                <w:szCs w:val="21"/>
              </w:rPr>
              <w:t>、</w:t>
            </w:r>
            <w:r>
              <w:rPr>
                <w:szCs w:val="21"/>
              </w:rPr>
              <w:t>TC</w:t>
            </w:r>
            <w:r>
              <w:rPr>
                <w:rFonts w:hint="eastAsia"/>
                <w:szCs w:val="21"/>
              </w:rPr>
              <w:t>、</w:t>
            </w:r>
            <w:r>
              <w:rPr>
                <w:szCs w:val="21"/>
              </w:rPr>
              <w:t>OC</w:t>
            </w:r>
            <w:r>
              <w:rPr>
                <w:rFonts w:hint="eastAsia"/>
                <w:szCs w:val="21"/>
              </w:rPr>
              <w:t>模式；电源、风扇模块冗余配置</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核心交换机</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szCs w:val="21"/>
              </w:rPr>
              <w:t>交换容量≥</w:t>
            </w:r>
            <w:r>
              <w:rPr>
                <w:szCs w:val="21"/>
              </w:rPr>
              <w:t>896Tbps</w:t>
            </w:r>
            <w:r>
              <w:rPr>
                <w:rFonts w:hint="eastAsia"/>
                <w:szCs w:val="21"/>
              </w:rPr>
              <w:t>，包转发能力不少于</w:t>
            </w:r>
            <w:r>
              <w:rPr>
                <w:szCs w:val="21"/>
              </w:rPr>
              <w:t>288000Mpps</w:t>
            </w:r>
            <w:r>
              <w:rPr>
                <w:rFonts w:hint="eastAsia"/>
                <w:szCs w:val="21"/>
              </w:rPr>
              <w:t>，支持业务插槽数量≥</w:t>
            </w:r>
            <w:r>
              <w:rPr>
                <w:szCs w:val="21"/>
              </w:rPr>
              <w:t>10</w:t>
            </w:r>
            <w:r>
              <w:rPr>
                <w:rFonts w:hint="eastAsia"/>
                <w:szCs w:val="21"/>
              </w:rPr>
              <w:t>，交换网板≥</w:t>
            </w:r>
            <w:r>
              <w:rPr>
                <w:szCs w:val="21"/>
              </w:rPr>
              <w:t>4</w:t>
            </w:r>
            <w:r>
              <w:rPr>
                <w:rFonts w:hint="eastAsia"/>
                <w:szCs w:val="21"/>
              </w:rPr>
              <w:t>；万兆</w:t>
            </w:r>
            <w:r>
              <w:rPr>
                <w:szCs w:val="21"/>
              </w:rPr>
              <w:t>48</w:t>
            </w:r>
            <w:r>
              <w:rPr>
                <w:rFonts w:hint="eastAsia"/>
                <w:szCs w:val="21"/>
              </w:rPr>
              <w:t>口板卡</w:t>
            </w:r>
            <w:r>
              <w:rPr>
                <w:szCs w:val="21"/>
              </w:rPr>
              <w:t>1</w:t>
            </w:r>
            <w:r>
              <w:rPr>
                <w:rFonts w:hint="eastAsia"/>
                <w:szCs w:val="21"/>
              </w:rPr>
              <w:t>块，千兆</w:t>
            </w:r>
            <w:r>
              <w:rPr>
                <w:szCs w:val="21"/>
              </w:rPr>
              <w:t>24</w:t>
            </w:r>
            <w:r>
              <w:rPr>
                <w:rFonts w:hint="eastAsia"/>
                <w:szCs w:val="21"/>
              </w:rPr>
              <w:t>口板卡</w:t>
            </w:r>
            <w:r>
              <w:rPr>
                <w:szCs w:val="21"/>
              </w:rPr>
              <w:t>1</w:t>
            </w:r>
            <w:r>
              <w:rPr>
                <w:rFonts w:hint="eastAsia"/>
                <w:szCs w:val="21"/>
              </w:rPr>
              <w:t>块，</w:t>
            </w:r>
            <w:r>
              <w:rPr>
                <w:szCs w:val="21"/>
              </w:rPr>
              <w:t>40G</w:t>
            </w:r>
            <w:r>
              <w:rPr>
                <w:rFonts w:hint="eastAsia"/>
                <w:szCs w:val="21"/>
              </w:rPr>
              <w:t>板卡</w:t>
            </w:r>
            <w:r>
              <w:rPr>
                <w:szCs w:val="21"/>
              </w:rPr>
              <w:t>1</w:t>
            </w:r>
            <w:r>
              <w:rPr>
                <w:rFonts w:hint="eastAsia"/>
                <w:szCs w:val="21"/>
              </w:rPr>
              <w:t>块，支持</w:t>
            </w:r>
            <w:r>
              <w:rPr>
                <w:szCs w:val="21"/>
              </w:rPr>
              <w:t>PTPBC</w:t>
            </w:r>
            <w:r>
              <w:rPr>
                <w:rFonts w:hint="eastAsia"/>
                <w:szCs w:val="21"/>
              </w:rPr>
              <w:t>、</w:t>
            </w:r>
            <w:r>
              <w:rPr>
                <w:szCs w:val="21"/>
              </w:rPr>
              <w:t>TC</w:t>
            </w:r>
            <w:r>
              <w:rPr>
                <w:rFonts w:hint="eastAsia"/>
                <w:szCs w:val="21"/>
              </w:rPr>
              <w:t>、</w:t>
            </w:r>
            <w:r>
              <w:rPr>
                <w:szCs w:val="21"/>
              </w:rPr>
              <w:t>OC</w:t>
            </w:r>
            <w:r>
              <w:rPr>
                <w:rFonts w:hint="eastAsia"/>
                <w:szCs w:val="21"/>
              </w:rPr>
              <w:t>模式；电源、风扇模块冗余配置</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40G模块</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szCs w:val="21"/>
              </w:rPr>
              <w:t>40G</w:t>
            </w:r>
            <w:r>
              <w:rPr>
                <w:rFonts w:hint="eastAsia"/>
                <w:szCs w:val="21"/>
              </w:rPr>
              <w:t>多模光模块</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多模光模块</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10G模块</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szCs w:val="21"/>
              </w:rPr>
              <w:t>10G</w:t>
            </w:r>
            <w:r>
              <w:rPr>
                <w:rFonts w:hint="eastAsia"/>
                <w:szCs w:val="21"/>
              </w:rPr>
              <w:t>多模光模块</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96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多模光模块</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千兆模块</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szCs w:val="21"/>
              </w:rPr>
              <w:t>含新增外场设施通信接入光缆链路测试及连通</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通信光缆（</w:t>
            </w:r>
            <w:r>
              <w:rPr>
                <w:rFonts w:ascii="宋体" w:hAnsi="宋体" w:cs="宋体"/>
                <w:color w:val="000000"/>
                <w:kern w:val="0"/>
                <w:szCs w:val="21"/>
              </w:rPr>
              <w:t>4芯）</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GYTA-4B1</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km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4.736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通信光缆（</w:t>
            </w:r>
            <w:r>
              <w:rPr>
                <w:rFonts w:ascii="宋体" w:hAnsi="宋体" w:cs="宋体"/>
                <w:color w:val="000000"/>
                <w:kern w:val="0"/>
                <w:szCs w:val="21"/>
              </w:rPr>
              <w:t>8芯）</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GYTA-8B1</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km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2.836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通信光缆（</w:t>
            </w:r>
            <w:r>
              <w:rPr>
                <w:rFonts w:ascii="宋体" w:hAnsi="宋体" w:cs="宋体"/>
                <w:color w:val="000000"/>
                <w:kern w:val="0"/>
                <w:szCs w:val="21"/>
              </w:rPr>
              <w:t>12芯）</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GYTA-12B1</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km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8.032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通信光缆（</w:t>
            </w:r>
            <w:r>
              <w:rPr>
                <w:rFonts w:ascii="宋体" w:hAnsi="宋体" w:cs="宋体"/>
                <w:color w:val="000000"/>
                <w:kern w:val="0"/>
                <w:szCs w:val="21"/>
              </w:rPr>
              <w:t>24芯）</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GYTA-24B1</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km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7.5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通信光缆（</w:t>
            </w:r>
            <w:r>
              <w:rPr>
                <w:rFonts w:ascii="宋体" w:hAnsi="宋体" w:cs="宋体"/>
                <w:color w:val="000000"/>
                <w:kern w:val="0"/>
                <w:szCs w:val="21"/>
              </w:rPr>
              <w:t>96芯）</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GYTA-96B1</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km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6.487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光缆接线盒</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光终端盒</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113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光缆交接箱</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光缆交接箱基础</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4</w:t>
            </w:r>
          </w:p>
        </w:tc>
        <w:tc>
          <w:tcPr>
            <w:tcW w:w="110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配套杆箱管道建设</w:t>
            </w:r>
          </w:p>
        </w:tc>
        <w:tc>
          <w:tcPr>
            <w:tcW w:w="16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9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12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4.1</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综合杆基础</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4.1.1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扩大基础</w:t>
            </w:r>
            <w:r>
              <w:rPr>
                <w:rFonts w:ascii="宋体" w:hAnsi="宋体" w:cs="宋体"/>
                <w:color w:val="000000"/>
                <w:kern w:val="0"/>
                <w:szCs w:val="21"/>
              </w:rPr>
              <w:t>3（CC）</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4.1.2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扩大基础</w:t>
            </w:r>
            <w:r>
              <w:rPr>
                <w:rFonts w:ascii="宋体" w:hAnsi="宋体" w:cs="宋体"/>
                <w:color w:val="000000"/>
                <w:kern w:val="0"/>
                <w:szCs w:val="21"/>
              </w:rPr>
              <w:t>4（CD）</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4.1.3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微型杆基础（</w:t>
            </w:r>
            <w:r>
              <w:rPr>
                <w:rFonts w:ascii="宋体" w:hAnsi="宋体" w:cs="宋体"/>
                <w:color w:val="000000"/>
                <w:kern w:val="0"/>
                <w:szCs w:val="21"/>
              </w:rPr>
              <w:t>CA）</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4.2</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综合杆部件</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主杆</w:t>
            </w:r>
            <w:r>
              <w:rPr>
                <w:rFonts w:ascii="宋体" w:hAnsi="宋体" w:cs="宋体"/>
                <w:color w:val="000000"/>
                <w:kern w:val="0"/>
                <w:szCs w:val="21"/>
              </w:rPr>
              <w:t>1-4.5m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主杆</w:t>
            </w:r>
            <w:r>
              <w:rPr>
                <w:rFonts w:ascii="宋体" w:hAnsi="宋体" w:cs="宋体"/>
                <w:color w:val="000000"/>
                <w:kern w:val="0"/>
                <w:szCs w:val="21"/>
              </w:rPr>
              <w:t>1-5.5m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主杆</w:t>
            </w:r>
            <w:r>
              <w:rPr>
                <w:rFonts w:ascii="宋体" w:hAnsi="宋体" w:cs="宋体"/>
                <w:color w:val="000000"/>
                <w:kern w:val="0"/>
                <w:szCs w:val="21"/>
              </w:rPr>
              <w:t>4-5.75m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主杆</w:t>
            </w:r>
            <w:r>
              <w:rPr>
                <w:rFonts w:ascii="宋体" w:hAnsi="宋体" w:cs="宋体"/>
                <w:color w:val="000000"/>
                <w:kern w:val="0"/>
                <w:szCs w:val="21"/>
              </w:rPr>
              <w:t>5-6.5m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主杆</w:t>
            </w:r>
            <w:r>
              <w:rPr>
                <w:rFonts w:ascii="宋体" w:hAnsi="宋体" w:cs="宋体"/>
                <w:color w:val="000000"/>
                <w:kern w:val="0"/>
                <w:szCs w:val="21"/>
              </w:rPr>
              <w:t>6-6.5m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主杆</w:t>
            </w:r>
            <w:r>
              <w:rPr>
                <w:rFonts w:ascii="宋体" w:hAnsi="宋体" w:cs="宋体"/>
                <w:color w:val="000000"/>
                <w:kern w:val="0"/>
                <w:szCs w:val="21"/>
              </w:rPr>
              <w:t>8-6.5m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横臂</w:t>
            </w:r>
            <w:r>
              <w:rPr>
                <w:rFonts w:ascii="宋体" w:hAnsi="宋体" w:cs="宋体"/>
                <w:color w:val="000000"/>
                <w:kern w:val="0"/>
                <w:szCs w:val="21"/>
              </w:rPr>
              <w:t>1-1m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4.2.8</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横臂</w:t>
            </w:r>
            <w:r>
              <w:rPr>
                <w:rFonts w:ascii="宋体" w:hAnsi="宋体" w:cs="宋体"/>
                <w:color w:val="000000"/>
                <w:kern w:val="0"/>
                <w:szCs w:val="21"/>
              </w:rPr>
              <w:t>2-2m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4.2.9</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横臂</w:t>
            </w:r>
            <w:r>
              <w:rPr>
                <w:rFonts w:ascii="宋体" w:hAnsi="宋体" w:cs="宋体"/>
                <w:color w:val="000000"/>
                <w:kern w:val="0"/>
                <w:szCs w:val="21"/>
              </w:rPr>
              <w:t>4-4m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4.2.10</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横臂</w:t>
            </w:r>
            <w:r>
              <w:rPr>
                <w:rFonts w:ascii="宋体" w:hAnsi="宋体" w:cs="宋体"/>
                <w:color w:val="000000"/>
                <w:kern w:val="0"/>
                <w:szCs w:val="21"/>
              </w:rPr>
              <w:t>5-5m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4.2.11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横臂</w:t>
            </w:r>
            <w:r>
              <w:rPr>
                <w:rFonts w:ascii="宋体" w:hAnsi="宋体" w:cs="宋体"/>
                <w:color w:val="000000"/>
                <w:kern w:val="0"/>
                <w:szCs w:val="21"/>
              </w:rPr>
              <w:t>6-6m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4.2.12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横臂</w:t>
            </w:r>
            <w:r>
              <w:rPr>
                <w:rFonts w:ascii="宋体" w:hAnsi="宋体" w:cs="宋体"/>
                <w:color w:val="000000"/>
                <w:kern w:val="0"/>
                <w:szCs w:val="21"/>
              </w:rPr>
              <w:t>8-9m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4.2.13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横臂</w:t>
            </w:r>
            <w:r>
              <w:rPr>
                <w:rFonts w:ascii="宋体" w:hAnsi="宋体" w:cs="宋体"/>
                <w:color w:val="000000"/>
                <w:kern w:val="0"/>
                <w:szCs w:val="21"/>
              </w:rPr>
              <w:t>8-10m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6</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4.2.14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横臂</w:t>
            </w:r>
            <w:r>
              <w:rPr>
                <w:rFonts w:ascii="宋体" w:hAnsi="宋体" w:cs="宋体"/>
                <w:color w:val="000000"/>
                <w:kern w:val="0"/>
                <w:szCs w:val="21"/>
              </w:rPr>
              <w:t>9-12m</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4.2.15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综合杆设施编号标签</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4.3</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综合电源箱</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4.3.1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综合电源箱</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4.3.2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综合电源箱基础</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4.3.3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综合设备箱电源电缆</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YJV-5×25</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10700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4.3.4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监控电源电缆</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YJV-3×10</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9980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4.3.5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接地干线</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YJV-1*16</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4.3.6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人工接地极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4.3.7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供电接入</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处</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4.4</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综合设备箱</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4.4.1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综合设备箱</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4.4.2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综合设备箱基础</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4.5</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综合管道</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排管干线</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PVC-DN100</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56780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排管干线镀锌钢管</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DN100</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13560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通讯</w:t>
            </w:r>
            <w:r>
              <w:rPr>
                <w:rFonts w:ascii="宋体" w:hAnsi="宋体" w:cs="宋体"/>
                <w:color w:val="000000"/>
                <w:kern w:val="0"/>
                <w:szCs w:val="21"/>
              </w:rPr>
              <w:t>PE管</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DN32</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68240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手井（不含井盖）</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个</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389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铸铁井盖（车行道）</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389</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排管开挖土方及弃运</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m3</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13860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排管回填中粗砂</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m3</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11873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4.5.8</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机动车道挖除及修复</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m2</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3021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4.5.9</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同质砖人行道挖除及修复</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m2</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6520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4.5.10</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绿化修复（灌木、花坛）</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m2</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8460</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C6E0B4"/>
            <w:noWrap/>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4.6</w:t>
            </w:r>
          </w:p>
        </w:tc>
        <w:tc>
          <w:tcPr>
            <w:tcW w:w="4636" w:type="pct"/>
            <w:gridSpan w:val="5"/>
            <w:tcBorders>
              <w:top w:val="single" w:color="auto" w:sz="4" w:space="0"/>
              <w:left w:val="nil"/>
              <w:bottom w:val="single" w:color="auto" w:sz="4" w:space="0"/>
              <w:right w:val="single" w:color="auto" w:sz="4" w:space="0"/>
            </w:tcBorders>
            <w:shd w:val="clear" w:color="000000" w:fill="C6E0B4"/>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监控杆件</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4.6.1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摄像机立杆（</w:t>
            </w:r>
            <w:r>
              <w:rPr>
                <w:rFonts w:ascii="宋体" w:hAnsi="宋体" w:cs="宋体"/>
                <w:color w:val="000000"/>
                <w:kern w:val="0"/>
                <w:szCs w:val="21"/>
              </w:rPr>
              <w:t>6m立杆+4m挑臂）</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4.6.2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立杆基础及预埋件</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4.6.3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摄像机立杆编号标签</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37</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5</w:t>
            </w:r>
          </w:p>
        </w:tc>
        <w:tc>
          <w:tcPr>
            <w:tcW w:w="110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后台部署设备</w:t>
            </w:r>
          </w:p>
        </w:tc>
        <w:tc>
          <w:tcPr>
            <w:tcW w:w="16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9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12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52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5.1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视频存储节点</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网络视频输入：≥</w:t>
            </w:r>
            <w:r>
              <w:rPr>
                <w:rFonts w:ascii="宋体" w:hAnsi="宋体" w:cs="宋体"/>
                <w:color w:val="000000"/>
                <w:kern w:val="0"/>
                <w:szCs w:val="21"/>
              </w:rPr>
              <w:t>16路(1080P@8Mbps)；</w:t>
            </w:r>
            <w:r>
              <w:rPr>
                <w:rFonts w:ascii="宋体" w:hAnsi="宋体" w:cs="宋体"/>
                <w:color w:val="000000"/>
                <w:kern w:val="0"/>
                <w:szCs w:val="21"/>
              </w:rPr>
              <w:br w:type="textWrapping"/>
            </w:r>
            <w:r>
              <w:rPr>
                <w:rFonts w:hint="eastAsia" w:ascii="宋体" w:hAnsi="宋体" w:cs="宋体"/>
                <w:color w:val="000000"/>
                <w:kern w:val="0"/>
                <w:szCs w:val="21"/>
              </w:rPr>
              <w:t>硬盘：≥</w:t>
            </w:r>
            <w:r>
              <w:rPr>
                <w:rFonts w:ascii="宋体" w:hAnsi="宋体" w:cs="宋体"/>
                <w:color w:val="000000"/>
                <w:kern w:val="0"/>
                <w:szCs w:val="21"/>
              </w:rPr>
              <w:t>16块4TSATA7200转</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8</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7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5.2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流媒体转发节点</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视频流转发设备，含软硬件。</w:t>
            </w:r>
            <w:r>
              <w:rPr>
                <w:rFonts w:ascii="宋体" w:hAnsi="宋体" w:cs="宋体"/>
                <w:color w:val="000000"/>
                <w:kern w:val="0"/>
                <w:szCs w:val="21"/>
              </w:rPr>
              <w:t>2</w:t>
            </w:r>
            <w:r>
              <w:rPr>
                <w:rFonts w:hint="eastAsia" w:ascii="宋体" w:hAnsi="宋体" w:cs="宋体"/>
                <w:color w:val="000000"/>
                <w:kern w:val="0"/>
                <w:szCs w:val="21"/>
              </w:rPr>
              <w:t>颗</w:t>
            </w:r>
            <w:r>
              <w:rPr>
                <w:rFonts w:ascii="宋体" w:hAnsi="宋体" w:cs="宋体"/>
                <w:color w:val="000000"/>
                <w:kern w:val="0"/>
                <w:szCs w:val="21"/>
              </w:rPr>
              <w:t>CPU(2.2GHz/12核)处理器；512GB；2*1.2TBSAS2*2TBSATA硬盘；1*RAID0、1、5RAID卡；2端口万兆光接口网卡(SFP+)；2端口千兆电口；冗余电源，支持电源热插拔。</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5.3</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图片转发节点</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300M/S</w:t>
            </w:r>
          </w:p>
        </w:tc>
        <w:tc>
          <w:tcPr>
            <w:tcW w:w="24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52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5.4</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图片存储节点</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24盘位，6T硬盘（考虑热备、RAID及磁盘损耗实际容量110TB左右）大图1M，小图0.1M，大图存90天，小图存365天</w:t>
            </w:r>
          </w:p>
        </w:tc>
        <w:tc>
          <w:tcPr>
            <w:tcW w:w="24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5.5</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硬盘</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24</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5.6</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违法数据接入节点</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最大支持</w:t>
            </w:r>
            <w:r>
              <w:rPr>
                <w:rFonts w:ascii="宋体" w:hAnsi="宋体" w:cs="宋体"/>
                <w:color w:val="000000"/>
                <w:kern w:val="0"/>
                <w:szCs w:val="21"/>
              </w:rPr>
              <w:t>225根车道接入</w:t>
            </w:r>
          </w:p>
        </w:tc>
        <w:tc>
          <w:tcPr>
            <w:tcW w:w="24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7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5.7</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视频管理服务器</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处理器：</w:t>
            </w:r>
            <w:r>
              <w:rPr>
                <w:rFonts w:ascii="宋体" w:hAnsi="宋体" w:cs="宋体"/>
                <w:color w:val="000000"/>
                <w:kern w:val="0"/>
                <w:szCs w:val="21"/>
              </w:rPr>
              <w:t>64位多核处理器（核数≧16）</w:t>
            </w:r>
            <w:r>
              <w:rPr>
                <w:rFonts w:ascii="宋体" w:hAnsi="宋体" w:cs="宋体"/>
                <w:color w:val="000000"/>
                <w:kern w:val="0"/>
                <w:szCs w:val="21"/>
              </w:rPr>
              <w:br w:type="textWrapping"/>
            </w:r>
            <w:r>
              <w:rPr>
                <w:rFonts w:hint="eastAsia" w:ascii="宋体" w:hAnsi="宋体" w:cs="宋体"/>
                <w:color w:val="000000"/>
                <w:kern w:val="0"/>
                <w:szCs w:val="21"/>
              </w:rPr>
              <w:t>内存：</w:t>
            </w:r>
            <w:r>
              <w:rPr>
                <w:rFonts w:ascii="宋体" w:hAnsi="宋体" w:cs="宋体"/>
                <w:color w:val="000000"/>
                <w:kern w:val="0"/>
                <w:szCs w:val="21"/>
              </w:rPr>
              <w:t>DDR4，标配32GB内存，最大可扩展至256GB</w:t>
            </w:r>
            <w:r>
              <w:rPr>
                <w:rFonts w:ascii="宋体" w:hAnsi="宋体" w:cs="宋体"/>
                <w:color w:val="000000"/>
                <w:kern w:val="0"/>
                <w:szCs w:val="21"/>
              </w:rPr>
              <w:br w:type="textWrapping"/>
            </w:r>
            <w:r>
              <w:rPr>
                <w:rFonts w:hint="eastAsia" w:ascii="宋体" w:hAnsi="宋体" w:cs="宋体"/>
                <w:color w:val="000000"/>
                <w:kern w:val="0"/>
                <w:szCs w:val="21"/>
              </w:rPr>
              <w:t>内置</w:t>
            </w:r>
            <w:r>
              <w:rPr>
                <w:rFonts w:ascii="宋体" w:hAnsi="宋体" w:cs="宋体"/>
                <w:color w:val="000000"/>
                <w:kern w:val="0"/>
                <w:szCs w:val="21"/>
              </w:rPr>
              <w:t>SSD硬盘：标配2个热插拔960GBSSD硬盘</w:t>
            </w:r>
          </w:p>
        </w:tc>
        <w:tc>
          <w:tcPr>
            <w:tcW w:w="24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5.8</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NTP服务器</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5.9</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GPS/北斗双模接收机(含天线及馈线)</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6</w:t>
            </w:r>
          </w:p>
        </w:tc>
        <w:tc>
          <w:tcPr>
            <w:tcW w:w="110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其他</w:t>
            </w:r>
          </w:p>
        </w:tc>
        <w:tc>
          <w:tcPr>
            <w:tcW w:w="16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49"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293"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c>
          <w:tcPr>
            <w:tcW w:w="1296" w:type="pct"/>
            <w:tcBorders>
              <w:top w:val="nil"/>
              <w:left w:val="nil"/>
              <w:bottom w:val="single" w:color="auto" w:sz="4" w:space="0"/>
              <w:right w:val="single" w:color="auto" w:sz="4" w:space="0"/>
            </w:tcBorders>
            <w:shd w:val="clear" w:color="000000" w:fill="FFE699"/>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6.1</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系统集成</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0" w:hRule="atLeast"/>
        </w:trPr>
        <w:tc>
          <w:tcPr>
            <w:tcW w:w="364"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ascii="宋体" w:hAnsi="宋体" w:cs="宋体"/>
                <w:color w:val="000000"/>
                <w:kern w:val="0"/>
                <w:szCs w:val="21"/>
              </w:rPr>
              <w:t>6.2</w:t>
            </w:r>
          </w:p>
        </w:tc>
        <w:tc>
          <w:tcPr>
            <w:tcW w:w="110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机房租赁</w:t>
            </w:r>
          </w:p>
        </w:tc>
        <w:tc>
          <w:tcPr>
            <w:tcW w:w="169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ascii="宋体" w:hAnsi="宋体" w:cs="宋体"/>
                <w:color w:val="000000"/>
                <w:kern w:val="0"/>
                <w:szCs w:val="21"/>
              </w:rPr>
              <w:t>4台机柜</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2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租赁期限为</w:t>
            </w:r>
            <w:r>
              <w:rPr>
                <w:rFonts w:ascii="宋体" w:hAnsi="宋体" w:cs="宋体"/>
                <w:color w:val="000000"/>
                <w:kern w:val="0"/>
                <w:szCs w:val="21"/>
              </w:rPr>
              <w:t>1年</w:t>
            </w:r>
          </w:p>
        </w:tc>
      </w:tr>
    </w:tbl>
    <w:p>
      <w:pPr>
        <w:pageBreakBefore/>
        <w:jc w:val="left"/>
        <w:rPr>
          <w:rFonts w:ascii="黑体" w:hAnsi="黑体"/>
          <w:sz w:val="28"/>
          <w:szCs w:val="28"/>
        </w:rPr>
        <w:sectPr>
          <w:pgSz w:w="16838" w:h="11906" w:orient="landscape"/>
          <w:pgMar w:top="1800" w:right="1440" w:bottom="1800" w:left="1440" w:header="851" w:footer="992" w:gutter="0"/>
          <w:cols w:space="425" w:num="1"/>
          <w:docGrid w:type="lines" w:linePitch="312" w:charSpace="0"/>
        </w:sectPr>
      </w:pPr>
    </w:p>
    <w:p>
      <w:pPr>
        <w:pStyle w:val="25"/>
        <w:pageBreakBefore/>
        <w:numPr>
          <w:ilvl w:val="0"/>
          <w:numId w:val="5"/>
        </w:numPr>
        <w:tabs>
          <w:tab w:val="clear" w:pos="-420"/>
        </w:tabs>
        <w:spacing w:before="0" w:after="0" w:line="360" w:lineRule="auto"/>
        <w:ind w:firstLine="422"/>
        <w:jc w:val="left"/>
        <w:rPr>
          <w:rFonts w:ascii="黑体" w:hAnsi="黑体"/>
          <w:sz w:val="28"/>
          <w:szCs w:val="28"/>
        </w:rPr>
      </w:pPr>
      <w:r>
        <w:rPr>
          <w:rFonts w:hint="eastAsia" w:ascii="黑体" w:hAnsi="黑体"/>
          <w:b/>
          <w:bCs/>
          <w:sz w:val="28"/>
          <w:szCs w:val="28"/>
        </w:rPr>
        <w:t>附件</w:t>
      </w:r>
      <w:r>
        <w:rPr>
          <w:rFonts w:ascii="黑体" w:hAnsi="黑体"/>
          <w:b/>
          <w:bCs/>
          <w:sz w:val="28"/>
          <w:szCs w:val="28"/>
        </w:rPr>
        <w:t>2：</w:t>
      </w:r>
      <w:r>
        <w:rPr>
          <w:rFonts w:hint="eastAsia" w:ascii="黑体" w:hAnsi="黑体"/>
          <w:sz w:val="28"/>
          <w:szCs w:val="28"/>
        </w:rPr>
        <w:t>需要提供技术参数证明</w:t>
      </w:r>
      <w:r>
        <w:rPr>
          <w:rFonts w:hint="eastAsia" w:ascii="黑体" w:hAnsi="黑体"/>
          <w:sz w:val="28"/>
          <w:szCs w:val="28"/>
          <w:lang w:val="en-US"/>
        </w:rPr>
        <w:t>的</w:t>
      </w:r>
      <w:r>
        <w:rPr>
          <w:rFonts w:ascii="黑体" w:hAnsi="黑体"/>
          <w:b/>
          <w:bCs/>
          <w:sz w:val="28"/>
          <w:szCs w:val="28"/>
        </w:rPr>
        <w:t>主要设备招标参数</w:t>
      </w:r>
    </w:p>
    <w:p>
      <w:pPr>
        <w:numPr>
          <w:ilvl w:val="0"/>
          <w:numId w:val="5"/>
        </w:numPr>
        <w:rPr>
          <w:rFonts w:ascii="方正仿宋_GBK" w:hAnsi="宋体" w:eastAsia="方正仿宋_GBK"/>
          <w:sz w:val="24"/>
        </w:rPr>
      </w:pPr>
      <w:r>
        <w:rPr>
          <w:rFonts w:hint="eastAsia" w:ascii="方正仿宋_GBK" w:hAnsi="宋体" w:eastAsia="方正仿宋_GBK"/>
          <w:sz w:val="24"/>
        </w:rPr>
        <w:t>带</w:t>
      </w:r>
      <w:r>
        <w:rPr>
          <w:rFonts w:hint="eastAsia" w:cs="宋体"/>
          <w:color w:val="000000"/>
          <w:kern w:val="0"/>
          <w:lang w:bidi="ar"/>
        </w:rPr>
        <w:t>“▲”功能参数应提供该产品生产厂家出具的证明材料。</w:t>
      </w:r>
    </w:p>
    <w:p>
      <w:pPr>
        <w:numPr>
          <w:ilvl w:val="0"/>
          <w:numId w:val="5"/>
        </w:numPr>
        <w:rPr>
          <w:rFonts w:ascii="方正仿宋_GBK" w:hAnsi="宋体" w:eastAsia="方正仿宋_GBK"/>
          <w:sz w:val="24"/>
        </w:rPr>
      </w:pPr>
      <w:r>
        <w:rPr>
          <w:rFonts w:hint="eastAsia" w:ascii="方正仿宋_GBK" w:hAnsi="宋体" w:eastAsia="方正仿宋_GBK"/>
          <w:sz w:val="24"/>
        </w:rPr>
        <w:t>1、视频存储节点</w:t>
      </w:r>
    </w:p>
    <w:p>
      <w:pPr>
        <w:pStyle w:val="38"/>
        <w:numPr>
          <w:ilvl w:val="0"/>
          <w:numId w:val="5"/>
        </w:numPr>
        <w:spacing w:line="360" w:lineRule="auto"/>
        <w:ind w:left="0" w:firstLine="480"/>
        <w:rPr>
          <w:rFonts w:ascii="方正仿宋_GBK" w:hAnsi="宋体" w:eastAsia="方正仿宋_GBK"/>
          <w:sz w:val="24"/>
        </w:rPr>
      </w:pPr>
      <w:r>
        <w:rPr>
          <w:rFonts w:hint="eastAsia" w:ascii="方正仿宋_GBK" w:hAnsi="宋体" w:eastAsia="方正仿宋_GBK"/>
          <w:sz w:val="24"/>
        </w:rPr>
        <w:t>须通过上海公安数字高清图像监控系统建设产品检测试验；</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网络视频输入：≥</w:t>
      </w:r>
      <w:r>
        <w:rPr>
          <w:rFonts w:ascii="方正仿宋_GBK" w:hAnsi="宋体" w:eastAsia="方正仿宋_GBK"/>
          <w:sz w:val="24"/>
        </w:rPr>
        <w:t>16</w:t>
      </w:r>
      <w:r>
        <w:rPr>
          <w:rFonts w:hint="eastAsia" w:ascii="方正仿宋_GBK" w:hAnsi="宋体" w:eastAsia="方正仿宋_GBK"/>
          <w:sz w:val="24"/>
        </w:rPr>
        <w:t>路</w:t>
      </w:r>
      <w:r>
        <w:rPr>
          <w:rFonts w:ascii="方正仿宋_GBK" w:hAnsi="宋体" w:eastAsia="方正仿宋_GBK"/>
          <w:sz w:val="24"/>
        </w:rPr>
        <w:t>(1080P@8Mbps)</w:t>
      </w:r>
      <w:r>
        <w:rPr>
          <w:rFonts w:hint="eastAsia" w:ascii="方正仿宋_GBK" w:hAnsi="宋体" w:eastAsia="方正仿宋_GBK"/>
          <w:sz w:val="24"/>
        </w:rPr>
        <w:t>；</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w:t>
      </w:r>
      <w:r>
        <w:rPr>
          <w:rFonts w:ascii="方正仿宋_GBK" w:hAnsi="宋体" w:eastAsia="方正仿宋_GBK"/>
          <w:sz w:val="24"/>
        </w:rPr>
        <w:t>500W</w:t>
      </w:r>
      <w:r>
        <w:rPr>
          <w:rFonts w:hint="eastAsia" w:ascii="方正仿宋_GBK" w:hAnsi="宋体" w:eastAsia="方正仿宋_GBK"/>
          <w:sz w:val="24"/>
        </w:rPr>
        <w:t>像素高清网络视频的预览、存储与回放；</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w:t>
      </w:r>
      <w:r>
        <w:rPr>
          <w:rFonts w:ascii="方正仿宋_GBK" w:hAnsi="宋体" w:eastAsia="方正仿宋_GBK"/>
          <w:sz w:val="24"/>
        </w:rPr>
        <w:t>IPC</w:t>
      </w:r>
      <w:r>
        <w:rPr>
          <w:rFonts w:hint="eastAsia" w:ascii="方正仿宋_GBK" w:hAnsi="宋体" w:eastAsia="方正仿宋_GBK"/>
          <w:sz w:val="24"/>
        </w:rPr>
        <w:t>集中管理，包括</w:t>
      </w:r>
      <w:r>
        <w:rPr>
          <w:rFonts w:ascii="方正仿宋_GBK" w:hAnsi="宋体" w:eastAsia="方正仿宋_GBK"/>
          <w:sz w:val="24"/>
        </w:rPr>
        <w:t>IPC</w:t>
      </w:r>
      <w:r>
        <w:rPr>
          <w:rFonts w:hint="eastAsia" w:ascii="方正仿宋_GBK" w:hAnsi="宋体" w:eastAsia="方正仿宋_GBK"/>
          <w:sz w:val="24"/>
        </w:rPr>
        <w:t>参数配置、信息的导入</w:t>
      </w:r>
      <w:r>
        <w:rPr>
          <w:rFonts w:ascii="方正仿宋_GBK" w:hAnsi="宋体" w:eastAsia="方正仿宋_GBK"/>
          <w:sz w:val="24"/>
        </w:rPr>
        <w:t>/</w:t>
      </w:r>
      <w:r>
        <w:rPr>
          <w:rFonts w:hint="eastAsia" w:ascii="方正仿宋_GBK" w:hAnsi="宋体" w:eastAsia="方正仿宋_GBK"/>
          <w:sz w:val="24"/>
        </w:rPr>
        <w:t>导出、语音对讲和升级等功能；</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w:t>
      </w:r>
      <w:r>
        <w:rPr>
          <w:rFonts w:ascii="方正仿宋_GBK" w:hAnsi="宋体" w:eastAsia="方正仿宋_GBK"/>
          <w:sz w:val="24"/>
        </w:rPr>
        <w:t>HDMI</w:t>
      </w:r>
      <w:r>
        <w:rPr>
          <w:rFonts w:hint="eastAsia" w:ascii="方正仿宋_GBK" w:hAnsi="宋体" w:eastAsia="方正仿宋_GBK"/>
          <w:sz w:val="24"/>
        </w:rPr>
        <w:t>、</w:t>
      </w:r>
      <w:r>
        <w:rPr>
          <w:rFonts w:ascii="方正仿宋_GBK" w:hAnsi="宋体" w:eastAsia="方正仿宋_GBK"/>
          <w:sz w:val="24"/>
        </w:rPr>
        <w:t>VGA</w:t>
      </w:r>
      <w:r>
        <w:rPr>
          <w:rFonts w:hint="eastAsia" w:ascii="方正仿宋_GBK" w:hAnsi="宋体" w:eastAsia="方正仿宋_GBK"/>
          <w:sz w:val="24"/>
        </w:rPr>
        <w:t>、</w:t>
      </w:r>
      <w:r>
        <w:rPr>
          <w:rFonts w:ascii="方正仿宋_GBK" w:hAnsi="宋体" w:eastAsia="方正仿宋_GBK"/>
          <w:sz w:val="24"/>
        </w:rPr>
        <w:t>CVBS</w:t>
      </w:r>
      <w:r>
        <w:rPr>
          <w:rFonts w:hint="eastAsia" w:ascii="方正仿宋_GBK" w:hAnsi="宋体" w:eastAsia="方正仿宋_GBK"/>
          <w:sz w:val="24"/>
        </w:rPr>
        <w:t>同时输出，</w:t>
      </w:r>
      <w:r>
        <w:rPr>
          <w:rFonts w:ascii="方正仿宋_GBK" w:hAnsi="宋体" w:eastAsia="方正仿宋_GBK"/>
          <w:sz w:val="24"/>
        </w:rPr>
        <w:t>HDMI</w:t>
      </w:r>
      <w:r>
        <w:rPr>
          <w:rFonts w:hint="eastAsia" w:ascii="方正仿宋_GBK" w:hAnsi="宋体" w:eastAsia="方正仿宋_GBK"/>
          <w:sz w:val="24"/>
        </w:rPr>
        <w:t>与</w:t>
      </w:r>
      <w:r>
        <w:rPr>
          <w:rFonts w:ascii="方正仿宋_GBK" w:hAnsi="宋体" w:eastAsia="方正仿宋_GBK"/>
          <w:sz w:val="24"/>
        </w:rPr>
        <w:t>VGA</w:t>
      </w:r>
      <w:r>
        <w:rPr>
          <w:rFonts w:hint="eastAsia" w:ascii="方正仿宋_GBK" w:hAnsi="宋体" w:eastAsia="方正仿宋_GBK"/>
          <w:sz w:val="24"/>
        </w:rPr>
        <w:t>输出分辨率最高均可达</w:t>
      </w:r>
      <w:r>
        <w:rPr>
          <w:rFonts w:ascii="方正仿宋_GBK" w:hAnsi="宋体" w:eastAsia="方正仿宋_GBK"/>
          <w:sz w:val="24"/>
        </w:rPr>
        <w:t>1920x1080p</w:t>
      </w:r>
      <w:r>
        <w:rPr>
          <w:rFonts w:hint="eastAsia" w:ascii="方正仿宋_GBK" w:hAnsi="宋体" w:eastAsia="方正仿宋_GBK"/>
          <w:sz w:val="24"/>
        </w:rPr>
        <w:t>，且可分别预览或回放不同通道的图像；</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同步回放及多路同步倒放：≥</w:t>
      </w:r>
      <w:r>
        <w:rPr>
          <w:rFonts w:ascii="方正仿宋_GBK" w:hAnsi="宋体" w:eastAsia="方正仿宋_GBK"/>
          <w:sz w:val="24"/>
        </w:rPr>
        <w:t>8</w:t>
      </w:r>
      <w:r>
        <w:rPr>
          <w:rFonts w:hint="eastAsia" w:ascii="方正仿宋_GBK" w:hAnsi="宋体" w:eastAsia="方正仿宋_GBK"/>
          <w:sz w:val="24"/>
        </w:rPr>
        <w:t>路</w:t>
      </w:r>
      <w:r>
        <w:rPr>
          <w:rFonts w:ascii="方正仿宋_GBK" w:hAnsi="宋体" w:eastAsia="方正仿宋_GBK"/>
          <w:sz w:val="24"/>
        </w:rPr>
        <w:t>1080P</w:t>
      </w:r>
      <w:r>
        <w:rPr>
          <w:rFonts w:hint="eastAsia" w:ascii="方正仿宋_GBK" w:hAnsi="宋体" w:eastAsia="方正仿宋_GBK"/>
          <w:sz w:val="24"/>
        </w:rPr>
        <w:t>；</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接口：支持≥</w:t>
      </w:r>
      <w:r>
        <w:rPr>
          <w:rFonts w:ascii="方正仿宋_GBK" w:hAnsi="宋体" w:eastAsia="方正仿宋_GBK"/>
          <w:sz w:val="24"/>
        </w:rPr>
        <w:t>16</w:t>
      </w:r>
      <w:r>
        <w:rPr>
          <w:rFonts w:hint="eastAsia" w:ascii="方正仿宋_GBK" w:hAnsi="宋体" w:eastAsia="方正仿宋_GBK"/>
          <w:sz w:val="24"/>
        </w:rPr>
        <w:t>个</w:t>
      </w:r>
      <w:r>
        <w:rPr>
          <w:rFonts w:ascii="方正仿宋_GBK" w:hAnsi="宋体" w:eastAsia="方正仿宋_GBK"/>
          <w:sz w:val="24"/>
        </w:rPr>
        <w:t>SATA</w:t>
      </w:r>
      <w:r>
        <w:rPr>
          <w:rFonts w:hint="eastAsia" w:ascii="方正仿宋_GBK" w:hAnsi="宋体" w:eastAsia="方正仿宋_GBK"/>
          <w:sz w:val="24"/>
        </w:rPr>
        <w:t>接口，≥</w:t>
      </w:r>
      <w:r>
        <w:rPr>
          <w:rFonts w:ascii="方正仿宋_GBK" w:hAnsi="宋体" w:eastAsia="方正仿宋_GBK"/>
          <w:sz w:val="24"/>
        </w:rPr>
        <w:t>2</w:t>
      </w:r>
      <w:r>
        <w:rPr>
          <w:rFonts w:hint="eastAsia" w:ascii="方正仿宋_GBK" w:hAnsi="宋体" w:eastAsia="方正仿宋_GBK"/>
          <w:sz w:val="24"/>
        </w:rPr>
        <w:t>个</w:t>
      </w:r>
      <w:r>
        <w:rPr>
          <w:rFonts w:ascii="方正仿宋_GBK" w:hAnsi="宋体" w:eastAsia="方正仿宋_GBK"/>
          <w:sz w:val="24"/>
        </w:rPr>
        <w:t>eSATA</w:t>
      </w:r>
      <w:r>
        <w:rPr>
          <w:rFonts w:hint="eastAsia" w:ascii="方正仿宋_GBK" w:hAnsi="宋体" w:eastAsia="方正仿宋_GBK"/>
          <w:sz w:val="24"/>
        </w:rPr>
        <w:t>盘库，可用于录像和备份；</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硬盘：≥</w:t>
      </w:r>
      <w:r>
        <w:rPr>
          <w:rFonts w:ascii="方正仿宋_GBK" w:hAnsi="宋体" w:eastAsia="方正仿宋_GBK"/>
          <w:sz w:val="24"/>
        </w:rPr>
        <w:t>16</w:t>
      </w:r>
      <w:r>
        <w:rPr>
          <w:rFonts w:hint="eastAsia" w:ascii="方正仿宋_GBK" w:hAnsi="宋体" w:eastAsia="方正仿宋_GBK"/>
          <w:sz w:val="24"/>
        </w:rPr>
        <w:t>块</w:t>
      </w:r>
      <w:r>
        <w:rPr>
          <w:rFonts w:ascii="方正仿宋_GBK" w:hAnsi="宋体" w:eastAsia="方正仿宋_GBK"/>
          <w:sz w:val="24"/>
        </w:rPr>
        <w:t>4TSATA7200</w:t>
      </w:r>
      <w:r>
        <w:rPr>
          <w:rFonts w:hint="eastAsia" w:ascii="方正仿宋_GBK" w:hAnsi="宋体" w:eastAsia="方正仿宋_GBK"/>
          <w:sz w:val="24"/>
        </w:rPr>
        <w:t>转，硬盘故障不返还；</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双</w:t>
      </w:r>
      <w:r>
        <w:rPr>
          <w:rFonts w:ascii="方正仿宋_GBK" w:hAnsi="宋体" w:eastAsia="方正仿宋_GBK"/>
          <w:sz w:val="24"/>
        </w:rPr>
        <w:t>RJ4510M/100M/1000M</w:t>
      </w:r>
      <w:r>
        <w:rPr>
          <w:rFonts w:hint="eastAsia" w:ascii="方正仿宋_GBK" w:hAnsi="宋体" w:eastAsia="方正仿宋_GBK"/>
          <w:sz w:val="24"/>
        </w:rPr>
        <w:t>自适应以太网口，支持网络容错、负载均衡以及双网络</w:t>
      </w:r>
      <w:r>
        <w:rPr>
          <w:rFonts w:ascii="方正仿宋_GBK" w:hAnsi="宋体" w:eastAsia="方正仿宋_GBK"/>
          <w:sz w:val="24"/>
        </w:rPr>
        <w:t>IP</w:t>
      </w:r>
      <w:r>
        <w:rPr>
          <w:rFonts w:hint="eastAsia" w:ascii="方正仿宋_GBK" w:hAnsi="宋体" w:eastAsia="方正仿宋_GBK"/>
          <w:sz w:val="24"/>
        </w:rPr>
        <w:t>设定等应用。</w:t>
      </w:r>
    </w:p>
    <w:p>
      <w:pPr>
        <w:rPr>
          <w:rFonts w:ascii="方正仿宋_GBK" w:hAnsi="宋体" w:eastAsia="方正仿宋_GBK"/>
          <w:b w:val="0"/>
          <w:bCs w:val="0"/>
          <w:sz w:val="24"/>
          <w:szCs w:val="24"/>
        </w:rPr>
      </w:pPr>
      <w:bookmarkStart w:id="4" w:name="_Toc82703627"/>
      <w:bookmarkStart w:id="5" w:name="_Toc82698393"/>
      <w:bookmarkStart w:id="6" w:name="_Toc80004775"/>
      <w:r>
        <w:rPr>
          <w:rFonts w:ascii="方正仿宋_GBK" w:hAnsi="宋体" w:eastAsia="方正仿宋_GBK"/>
          <w:b w:val="0"/>
          <w:bCs w:val="0"/>
          <w:sz w:val="24"/>
          <w:szCs w:val="24"/>
        </w:rPr>
        <w:t>2</w:t>
      </w:r>
      <w:r>
        <w:rPr>
          <w:rFonts w:hint="eastAsia" w:ascii="方正仿宋_GBK" w:hAnsi="宋体" w:eastAsia="方正仿宋_GBK"/>
          <w:b w:val="0"/>
          <w:bCs w:val="0"/>
          <w:sz w:val="24"/>
          <w:szCs w:val="24"/>
        </w:rPr>
        <w:t>、流媒体转发节点</w:t>
      </w:r>
      <w:bookmarkEnd w:id="4"/>
      <w:bookmarkEnd w:id="5"/>
      <w:bookmarkEnd w:id="6"/>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单台提供</w:t>
      </w:r>
      <w:r>
        <w:rPr>
          <w:rFonts w:ascii="方正仿宋_GBK" w:hAnsi="宋体" w:eastAsia="方正仿宋_GBK"/>
          <w:sz w:val="24"/>
        </w:rPr>
        <w:t>50</w:t>
      </w:r>
      <w:r>
        <w:rPr>
          <w:rFonts w:hint="eastAsia" w:ascii="方正仿宋_GBK" w:hAnsi="宋体" w:eastAsia="方正仿宋_GBK"/>
          <w:sz w:val="24"/>
        </w:rPr>
        <w:t>路</w:t>
      </w:r>
      <w:r>
        <w:rPr>
          <w:rFonts w:ascii="方正仿宋_GBK" w:hAnsi="宋体" w:eastAsia="方正仿宋_GBK"/>
          <w:sz w:val="24"/>
        </w:rPr>
        <w:t>8M</w:t>
      </w:r>
      <w:r>
        <w:rPr>
          <w:rFonts w:hint="eastAsia" w:ascii="方正仿宋_GBK" w:hAnsi="宋体" w:eastAsia="方正仿宋_GBK"/>
          <w:sz w:val="24"/>
        </w:rPr>
        <w:t>高清码流实时转发能力；</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采用标准的</w:t>
      </w:r>
      <w:r>
        <w:rPr>
          <w:rFonts w:ascii="方正仿宋_GBK" w:hAnsi="宋体" w:eastAsia="方正仿宋_GBK"/>
          <w:sz w:val="24"/>
        </w:rPr>
        <w:t>RTSP/RTP</w:t>
      </w:r>
      <w:r>
        <w:rPr>
          <w:rFonts w:hint="eastAsia" w:ascii="方正仿宋_GBK" w:hAnsi="宋体" w:eastAsia="方正仿宋_GBK"/>
          <w:sz w:val="24"/>
        </w:rPr>
        <w:t>协议，支持</w:t>
      </w:r>
      <w:r>
        <w:rPr>
          <w:rFonts w:ascii="方正仿宋_GBK" w:hAnsi="宋体" w:eastAsia="方正仿宋_GBK"/>
          <w:sz w:val="24"/>
        </w:rPr>
        <w:t>RTPOVERRTSP</w:t>
      </w:r>
      <w:r>
        <w:rPr>
          <w:rFonts w:hint="eastAsia" w:ascii="方正仿宋_GBK" w:hAnsi="宋体" w:eastAsia="方正仿宋_GBK"/>
          <w:sz w:val="24"/>
        </w:rPr>
        <w:t>和</w:t>
      </w:r>
      <w:r>
        <w:rPr>
          <w:rFonts w:ascii="方正仿宋_GBK" w:hAnsi="宋体" w:eastAsia="方正仿宋_GBK"/>
          <w:sz w:val="24"/>
        </w:rPr>
        <w:t>RTPUDP</w:t>
      </w:r>
      <w:r>
        <w:rPr>
          <w:rFonts w:hint="eastAsia" w:ascii="方正仿宋_GBK" w:hAnsi="宋体" w:eastAsia="方正仿宋_GBK"/>
          <w:sz w:val="24"/>
        </w:rPr>
        <w:t>方式，为各种取流客户端，终端提供实时码流转发功能。可将一路视频流分发成多路，减少设备连接数压力；</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视频接入按照</w:t>
      </w:r>
      <w:r>
        <w:rPr>
          <w:rFonts w:ascii="方正仿宋_GBK" w:hAnsi="宋体" w:eastAsia="方正仿宋_GBK"/>
          <w:sz w:val="24"/>
        </w:rPr>
        <w:t>GB/T28181-2016</w:t>
      </w:r>
      <w:r>
        <w:rPr>
          <w:rFonts w:hint="eastAsia" w:ascii="方正仿宋_GBK" w:hAnsi="宋体" w:eastAsia="方正仿宋_GBK"/>
          <w:sz w:val="24"/>
        </w:rPr>
        <w:t>进行对接。图像注册、控制、管理通过</w:t>
      </w:r>
      <w:r>
        <w:rPr>
          <w:rFonts w:ascii="方正仿宋_GBK" w:hAnsi="宋体" w:eastAsia="方正仿宋_GBK"/>
          <w:sz w:val="24"/>
        </w:rPr>
        <w:t>PVG</w:t>
      </w:r>
      <w:r>
        <w:rPr>
          <w:rFonts w:hint="eastAsia" w:ascii="方正仿宋_GBK" w:hAnsi="宋体" w:eastAsia="方正仿宋_GBK"/>
          <w:sz w:val="24"/>
        </w:rPr>
        <w:t>实现，图像流的转发通过流媒体转发节点实现；</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网络接口：双万兆光纤接口。</w:t>
      </w:r>
    </w:p>
    <w:p>
      <w:pPr>
        <w:rPr>
          <w:rFonts w:ascii="方正仿宋_GBK" w:hAnsi="宋体" w:eastAsia="方正仿宋_GBK"/>
          <w:b w:val="0"/>
          <w:bCs w:val="0"/>
          <w:sz w:val="24"/>
          <w:szCs w:val="24"/>
        </w:rPr>
      </w:pPr>
      <w:bookmarkStart w:id="7" w:name="_Toc82703628"/>
      <w:bookmarkStart w:id="8" w:name="_Toc82698394"/>
      <w:bookmarkStart w:id="9" w:name="_Toc80004776"/>
      <w:r>
        <w:rPr>
          <w:rFonts w:ascii="方正仿宋_GBK" w:hAnsi="宋体" w:eastAsia="方正仿宋_GBK"/>
          <w:b w:val="0"/>
          <w:bCs w:val="0"/>
          <w:sz w:val="24"/>
          <w:szCs w:val="24"/>
        </w:rPr>
        <w:t>3</w:t>
      </w:r>
      <w:r>
        <w:rPr>
          <w:rFonts w:hint="eastAsia" w:ascii="方正仿宋_GBK" w:hAnsi="宋体" w:eastAsia="方正仿宋_GBK"/>
          <w:b w:val="0"/>
          <w:bCs w:val="0"/>
          <w:sz w:val="24"/>
          <w:szCs w:val="24"/>
        </w:rPr>
        <w:t>、图片接入转发节点</w:t>
      </w:r>
      <w:bookmarkEnd w:id="7"/>
      <w:bookmarkEnd w:id="8"/>
      <w:bookmarkEnd w:id="9"/>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支持通过</w:t>
      </w:r>
      <w:r>
        <w:rPr>
          <w:rFonts w:ascii="方正仿宋_GBK" w:hAnsi="宋体" w:eastAsia="方正仿宋_GBK"/>
          <w:sz w:val="24"/>
        </w:rPr>
        <w:t>1400</w:t>
      </w:r>
      <w:r>
        <w:rPr>
          <w:rFonts w:hint="eastAsia" w:ascii="方正仿宋_GBK" w:hAnsi="宋体" w:eastAsia="方正仿宋_GBK"/>
          <w:sz w:val="24"/>
        </w:rPr>
        <w:t>协议，接收采集设备上传的结构化数据、图片</w:t>
      </w:r>
      <w:r>
        <w:rPr>
          <w:rFonts w:ascii="方正仿宋_GBK" w:hAnsi="宋体" w:eastAsia="方正仿宋_GBK"/>
          <w:sz w:val="24"/>
        </w:rPr>
        <w:t>URL</w:t>
      </w:r>
      <w:r>
        <w:rPr>
          <w:rFonts w:hint="eastAsia" w:ascii="方正仿宋_GBK" w:hAnsi="宋体" w:eastAsia="方正仿宋_GBK"/>
          <w:sz w:val="24"/>
        </w:rPr>
        <w:t>；</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支持接收报警设备、报警系统上传的报警数据；</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w:t>
      </w:r>
      <w:r>
        <w:rPr>
          <w:rFonts w:ascii="方正仿宋_GBK" w:hAnsi="宋体" w:eastAsia="方正仿宋_GBK"/>
          <w:sz w:val="24"/>
        </w:rPr>
        <w:t>1000</w:t>
      </w:r>
      <w:r>
        <w:rPr>
          <w:rFonts w:hint="eastAsia" w:ascii="方正仿宋_GBK" w:hAnsi="宋体" w:eastAsia="方正仿宋_GBK"/>
          <w:sz w:val="24"/>
        </w:rPr>
        <w:t>条</w:t>
      </w:r>
      <w:r>
        <w:rPr>
          <w:rFonts w:ascii="方正仿宋_GBK" w:hAnsi="宋体" w:eastAsia="方正仿宋_GBK"/>
          <w:sz w:val="24"/>
        </w:rPr>
        <w:t>/</w:t>
      </w:r>
      <w:r>
        <w:rPr>
          <w:rFonts w:hint="eastAsia" w:ascii="方正仿宋_GBK" w:hAnsi="宋体" w:eastAsia="方正仿宋_GBK"/>
          <w:sz w:val="24"/>
        </w:rPr>
        <w:t>秒的结构化数据接入能力；</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支持结构化数据、特征图片（原图</w:t>
      </w:r>
      <w:r>
        <w:rPr>
          <w:rFonts w:ascii="方正仿宋_GBK" w:hAnsi="宋体" w:eastAsia="方正仿宋_GBK"/>
          <w:sz w:val="24"/>
        </w:rPr>
        <w:t>/URL</w:t>
      </w:r>
      <w:r>
        <w:rPr>
          <w:rFonts w:hint="eastAsia" w:ascii="方正仿宋_GBK" w:hAnsi="宋体" w:eastAsia="方正仿宋_GBK"/>
          <w:sz w:val="24"/>
        </w:rPr>
        <w:t>）数据转发；</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支持两级架构部署，数据上传上级平台；</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支持将数据分发给多个智能分析系统；</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支持上传信息后，在一定延迟时间内未接收到响应重传功能；</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w:t>
      </w:r>
      <w:r>
        <w:rPr>
          <w:rFonts w:ascii="方正仿宋_GBK" w:hAnsi="宋体" w:eastAsia="方正仿宋_GBK"/>
          <w:sz w:val="24"/>
        </w:rPr>
        <w:t>300</w:t>
      </w:r>
      <w:r>
        <w:rPr>
          <w:rFonts w:hint="eastAsia" w:ascii="方正仿宋_GBK" w:hAnsi="宋体" w:eastAsia="方正仿宋_GBK"/>
          <w:sz w:val="24"/>
        </w:rPr>
        <w:t>条</w:t>
      </w:r>
      <w:r>
        <w:rPr>
          <w:rFonts w:ascii="方正仿宋_GBK" w:hAnsi="宋体" w:eastAsia="方正仿宋_GBK"/>
          <w:sz w:val="24"/>
        </w:rPr>
        <w:t>/S(50K</w:t>
      </w:r>
      <w:r>
        <w:rPr>
          <w:rFonts w:hint="eastAsia" w:ascii="方正仿宋_GBK" w:hAnsi="宋体" w:eastAsia="方正仿宋_GBK"/>
          <w:sz w:val="24"/>
        </w:rPr>
        <w:t>的小图</w:t>
      </w:r>
      <w:r>
        <w:rPr>
          <w:rFonts w:ascii="方正仿宋_GBK" w:hAnsi="宋体" w:eastAsia="方正仿宋_GBK"/>
          <w:sz w:val="24"/>
        </w:rPr>
        <w:t>+</w:t>
      </w:r>
      <w:r>
        <w:rPr>
          <w:rFonts w:hint="eastAsia" w:ascii="方正仿宋_GBK" w:hAnsi="宋体" w:eastAsia="方正仿宋_GBK"/>
          <w:sz w:val="24"/>
        </w:rPr>
        <w:t>结构化数据</w:t>
      </w:r>
      <w:r>
        <w:rPr>
          <w:rFonts w:ascii="方正仿宋_GBK" w:hAnsi="宋体" w:eastAsia="方正仿宋_GBK"/>
          <w:sz w:val="24"/>
        </w:rPr>
        <w:t>)</w:t>
      </w:r>
      <w:r>
        <w:rPr>
          <w:rFonts w:hint="eastAsia" w:ascii="方正仿宋_GBK" w:hAnsi="宋体" w:eastAsia="方正仿宋_GBK"/>
          <w:sz w:val="24"/>
        </w:rPr>
        <w:t>的转发能力；</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支持缓存</w:t>
      </w:r>
      <w:r>
        <w:rPr>
          <w:rFonts w:ascii="方正仿宋_GBK" w:hAnsi="宋体" w:eastAsia="方正仿宋_GBK"/>
          <w:sz w:val="24"/>
        </w:rPr>
        <w:t>500</w:t>
      </w:r>
      <w:r>
        <w:rPr>
          <w:rFonts w:hint="eastAsia" w:ascii="方正仿宋_GBK" w:hAnsi="宋体" w:eastAsia="方正仿宋_GBK"/>
          <w:sz w:val="24"/>
        </w:rPr>
        <w:t>万条数据（结构化数据）；</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支持将资源以负载均衡策略分配给各个节点，单个集群可支持</w:t>
      </w:r>
      <w:r>
        <w:rPr>
          <w:rFonts w:ascii="方正仿宋_GBK" w:hAnsi="宋体" w:eastAsia="方正仿宋_GBK"/>
          <w:sz w:val="24"/>
        </w:rPr>
        <w:t>20</w:t>
      </w:r>
      <w:r>
        <w:rPr>
          <w:rFonts w:hint="eastAsia" w:ascii="方正仿宋_GBK" w:hAnsi="宋体" w:eastAsia="方正仿宋_GBK"/>
          <w:sz w:val="24"/>
        </w:rPr>
        <w:t>台接入节点。</w:t>
      </w:r>
    </w:p>
    <w:p>
      <w:pPr>
        <w:rPr>
          <w:rFonts w:ascii="方正仿宋_GBK" w:hAnsi="宋体" w:eastAsia="方正仿宋_GBK"/>
          <w:b w:val="0"/>
          <w:bCs w:val="0"/>
          <w:sz w:val="24"/>
          <w:szCs w:val="24"/>
        </w:rPr>
      </w:pPr>
      <w:bookmarkStart w:id="10" w:name="_Toc82703629"/>
      <w:bookmarkStart w:id="11" w:name="_Toc82698395"/>
      <w:bookmarkStart w:id="12" w:name="_Toc80004777"/>
      <w:r>
        <w:rPr>
          <w:rFonts w:ascii="方正仿宋_GBK" w:hAnsi="宋体" w:eastAsia="方正仿宋_GBK"/>
          <w:b w:val="0"/>
          <w:bCs w:val="0"/>
          <w:sz w:val="24"/>
          <w:szCs w:val="24"/>
        </w:rPr>
        <w:t>4</w:t>
      </w:r>
      <w:r>
        <w:rPr>
          <w:rFonts w:hint="eastAsia" w:ascii="方正仿宋_GBK" w:hAnsi="宋体" w:eastAsia="方正仿宋_GBK"/>
          <w:b w:val="0"/>
          <w:bCs w:val="0"/>
          <w:sz w:val="24"/>
          <w:szCs w:val="24"/>
        </w:rPr>
        <w:t>、图片存储节点</w:t>
      </w:r>
      <w:bookmarkEnd w:id="10"/>
      <w:bookmarkEnd w:id="11"/>
      <w:bookmarkEnd w:id="12"/>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机架式</w:t>
      </w:r>
      <w:r>
        <w:rPr>
          <w:rFonts w:ascii="方正仿宋_GBK" w:hAnsi="宋体" w:eastAsia="方正仿宋_GBK"/>
          <w:sz w:val="24"/>
        </w:rPr>
        <w:t>24</w:t>
      </w:r>
      <w:r>
        <w:rPr>
          <w:rFonts w:hint="eastAsia" w:ascii="方正仿宋_GBK" w:hAnsi="宋体" w:eastAsia="方正仿宋_GBK"/>
          <w:sz w:val="24"/>
        </w:rPr>
        <w:t>盘位；</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双</w:t>
      </w:r>
      <w:r>
        <w:rPr>
          <w:rFonts w:ascii="方正仿宋_GBK" w:hAnsi="宋体" w:eastAsia="方正仿宋_GBK"/>
          <w:sz w:val="24"/>
        </w:rPr>
        <w:t>64</w:t>
      </w:r>
      <w:r>
        <w:rPr>
          <w:rFonts w:hint="eastAsia" w:ascii="方正仿宋_GBK" w:hAnsi="宋体" w:eastAsia="方正仿宋_GBK"/>
          <w:sz w:val="24"/>
        </w:rPr>
        <w:t>位多核处理器；</w:t>
      </w:r>
      <w:r>
        <w:rPr>
          <w:rFonts w:ascii="方正仿宋_GBK" w:hAnsi="宋体" w:eastAsia="方正仿宋_GBK"/>
          <w:sz w:val="24"/>
        </w:rPr>
        <w:t>16GB</w:t>
      </w:r>
      <w:r>
        <w:rPr>
          <w:rFonts w:hint="eastAsia" w:ascii="方正仿宋_GBK" w:hAnsi="宋体" w:eastAsia="方正仿宋_GBK"/>
          <w:sz w:val="24"/>
        </w:rPr>
        <w:t>缓存；冗余电源；支持</w:t>
      </w:r>
      <w:r>
        <w:rPr>
          <w:rFonts w:ascii="方正仿宋_GBK" w:hAnsi="宋体" w:eastAsia="方正仿宋_GBK"/>
          <w:sz w:val="24"/>
        </w:rPr>
        <w:t>SATA</w:t>
      </w:r>
      <w:r>
        <w:rPr>
          <w:rFonts w:hint="eastAsia" w:ascii="方正仿宋_GBK" w:hAnsi="宋体" w:eastAsia="方正仿宋_GBK"/>
          <w:sz w:val="24"/>
        </w:rPr>
        <w:t>硬盘；</w:t>
      </w:r>
      <w:r>
        <w:rPr>
          <w:rFonts w:ascii="方正仿宋_GBK" w:hAnsi="宋体" w:eastAsia="方正仿宋_GBK"/>
          <w:sz w:val="24"/>
        </w:rPr>
        <w:t>4</w:t>
      </w:r>
      <w:r>
        <w:rPr>
          <w:rFonts w:hint="eastAsia" w:ascii="方正仿宋_GBK" w:hAnsi="宋体" w:eastAsia="方正仿宋_GBK"/>
          <w:sz w:val="24"/>
        </w:rPr>
        <w:t>个千兆网口；</w:t>
      </w:r>
      <w:r>
        <w:rPr>
          <w:rFonts w:ascii="方正仿宋_GBK" w:hAnsi="宋体" w:eastAsia="方正仿宋_GBK"/>
          <w:sz w:val="24"/>
        </w:rPr>
        <w:t>1</w:t>
      </w:r>
      <w:r>
        <w:rPr>
          <w:rFonts w:hint="eastAsia" w:ascii="方正仿宋_GBK" w:hAnsi="宋体" w:eastAsia="方正仿宋_GBK"/>
          <w:sz w:val="24"/>
        </w:rPr>
        <w:t>个系统</w:t>
      </w:r>
      <w:r>
        <w:rPr>
          <w:rFonts w:ascii="方正仿宋_GBK" w:hAnsi="宋体" w:eastAsia="方正仿宋_GBK"/>
          <w:sz w:val="24"/>
        </w:rPr>
        <w:t>SSD</w:t>
      </w:r>
      <w:r>
        <w:rPr>
          <w:rFonts w:hint="eastAsia" w:ascii="方正仿宋_GBK" w:hAnsi="宋体" w:eastAsia="方正仿宋_GBK"/>
          <w:sz w:val="24"/>
        </w:rPr>
        <w:t>盘；</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支持外接扩展柜，内置</w:t>
      </w:r>
      <w:r>
        <w:rPr>
          <w:rFonts w:ascii="方正仿宋_GBK" w:hAnsi="宋体" w:eastAsia="方正仿宋_GBK"/>
          <w:sz w:val="24"/>
        </w:rPr>
        <w:t>1</w:t>
      </w:r>
      <w:r>
        <w:rPr>
          <w:rFonts w:hint="eastAsia" w:ascii="方正仿宋_GBK" w:hAnsi="宋体" w:eastAsia="方正仿宋_GBK"/>
          <w:sz w:val="24"/>
        </w:rPr>
        <w:t>颗</w:t>
      </w:r>
      <w:r>
        <w:rPr>
          <w:rFonts w:ascii="方正仿宋_GBK" w:hAnsi="宋体" w:eastAsia="方正仿宋_GBK"/>
          <w:sz w:val="24"/>
        </w:rPr>
        <w:t>SSD</w:t>
      </w:r>
      <w:r>
        <w:rPr>
          <w:rFonts w:hint="eastAsia" w:ascii="方正仿宋_GBK" w:hAnsi="宋体" w:eastAsia="方正仿宋_GBK"/>
          <w:sz w:val="24"/>
        </w:rPr>
        <w:t>图片加速盘；内置</w:t>
      </w:r>
      <w:r>
        <w:rPr>
          <w:rFonts w:ascii="方正仿宋_GBK" w:hAnsi="宋体" w:eastAsia="方正仿宋_GBK"/>
          <w:sz w:val="24"/>
        </w:rPr>
        <w:t>24</w:t>
      </w:r>
      <w:r>
        <w:rPr>
          <w:rFonts w:hint="eastAsia" w:ascii="方正仿宋_GBK" w:hAnsi="宋体" w:eastAsia="方正仿宋_GBK"/>
          <w:sz w:val="24"/>
        </w:rPr>
        <w:t>块</w:t>
      </w:r>
      <w:r>
        <w:rPr>
          <w:rFonts w:ascii="方正仿宋_GBK" w:hAnsi="宋体" w:eastAsia="方正仿宋_GBK"/>
          <w:sz w:val="24"/>
        </w:rPr>
        <w:t>6TB</w:t>
      </w:r>
      <w:r>
        <w:rPr>
          <w:rFonts w:hint="eastAsia" w:ascii="方正仿宋_GBK" w:hAnsi="宋体" w:eastAsia="方正仿宋_GBK"/>
          <w:sz w:val="24"/>
        </w:rPr>
        <w:t>企业级硬盘。</w:t>
      </w:r>
    </w:p>
    <w:p>
      <w:pPr>
        <w:rPr>
          <w:rFonts w:ascii="方正仿宋_GBK" w:hAnsi="宋体" w:eastAsia="方正仿宋_GBK"/>
          <w:b w:val="0"/>
          <w:bCs w:val="0"/>
          <w:sz w:val="24"/>
          <w:szCs w:val="24"/>
        </w:rPr>
      </w:pPr>
      <w:r>
        <w:rPr>
          <w:rFonts w:ascii="方正仿宋_GBK" w:hAnsi="宋体" w:eastAsia="方正仿宋_GBK"/>
          <w:b w:val="0"/>
          <w:bCs w:val="0"/>
          <w:sz w:val="24"/>
          <w:szCs w:val="24"/>
        </w:rPr>
        <w:t>5</w:t>
      </w:r>
      <w:r>
        <w:rPr>
          <w:rFonts w:hint="eastAsia" w:ascii="方正仿宋_GBK" w:hAnsi="宋体" w:eastAsia="方正仿宋_GBK"/>
          <w:b w:val="0"/>
          <w:bCs w:val="0"/>
          <w:sz w:val="24"/>
          <w:szCs w:val="24"/>
        </w:rPr>
        <w:t>、视频管理服务器</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处理器：</w:t>
      </w:r>
      <w:r>
        <w:rPr>
          <w:rFonts w:ascii="方正仿宋_GBK" w:hAnsi="宋体" w:eastAsia="方正仿宋_GBK"/>
          <w:sz w:val="24"/>
        </w:rPr>
        <w:t>64</w:t>
      </w:r>
      <w:r>
        <w:rPr>
          <w:rFonts w:hint="eastAsia" w:ascii="方正仿宋_GBK" w:hAnsi="宋体" w:eastAsia="方正仿宋_GBK"/>
          <w:sz w:val="24"/>
        </w:rPr>
        <w:t>位多核处理器（核数≧</w:t>
      </w:r>
      <w:r>
        <w:rPr>
          <w:rFonts w:ascii="方正仿宋_GBK" w:hAnsi="宋体" w:eastAsia="方正仿宋_GBK"/>
          <w:sz w:val="24"/>
        </w:rPr>
        <w:t>16</w:t>
      </w:r>
      <w:r>
        <w:rPr>
          <w:rFonts w:hint="eastAsia" w:ascii="方正仿宋_GBK" w:hAnsi="宋体" w:eastAsia="方正仿宋_GBK"/>
          <w:sz w:val="24"/>
        </w:rPr>
        <w:t>）</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内存：</w:t>
      </w:r>
      <w:r>
        <w:rPr>
          <w:rFonts w:ascii="方正仿宋_GBK" w:hAnsi="宋体" w:eastAsia="方正仿宋_GBK"/>
          <w:sz w:val="24"/>
        </w:rPr>
        <w:t>DDR4</w:t>
      </w:r>
      <w:r>
        <w:rPr>
          <w:rFonts w:hint="eastAsia" w:ascii="方正仿宋_GBK" w:hAnsi="宋体" w:eastAsia="方正仿宋_GBK"/>
          <w:sz w:val="24"/>
        </w:rPr>
        <w:t>，标配</w:t>
      </w:r>
      <w:r>
        <w:rPr>
          <w:rFonts w:ascii="方正仿宋_GBK" w:hAnsi="宋体" w:eastAsia="方正仿宋_GBK"/>
          <w:sz w:val="24"/>
        </w:rPr>
        <w:t>32GB</w:t>
      </w:r>
      <w:r>
        <w:rPr>
          <w:rFonts w:hint="eastAsia" w:ascii="方正仿宋_GBK" w:hAnsi="宋体" w:eastAsia="方正仿宋_GBK"/>
          <w:sz w:val="24"/>
        </w:rPr>
        <w:t>内存，最大可扩展至</w:t>
      </w:r>
      <w:r>
        <w:rPr>
          <w:rFonts w:ascii="方正仿宋_GBK" w:hAnsi="宋体" w:eastAsia="方正仿宋_GBK"/>
          <w:sz w:val="24"/>
        </w:rPr>
        <w:t>256GB</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内置</w:t>
      </w:r>
      <w:r>
        <w:rPr>
          <w:rFonts w:ascii="方正仿宋_GBK" w:hAnsi="宋体" w:eastAsia="方正仿宋_GBK"/>
          <w:sz w:val="24"/>
        </w:rPr>
        <w:t>SSD</w:t>
      </w:r>
      <w:r>
        <w:rPr>
          <w:rFonts w:hint="eastAsia" w:ascii="方正仿宋_GBK" w:hAnsi="宋体" w:eastAsia="方正仿宋_GBK"/>
          <w:sz w:val="24"/>
        </w:rPr>
        <w:t>硬盘：标配</w:t>
      </w:r>
      <w:r>
        <w:rPr>
          <w:rFonts w:ascii="方正仿宋_GBK" w:hAnsi="宋体" w:eastAsia="方正仿宋_GBK"/>
          <w:sz w:val="24"/>
        </w:rPr>
        <w:t>2</w:t>
      </w:r>
      <w:r>
        <w:rPr>
          <w:rFonts w:hint="eastAsia" w:ascii="方正仿宋_GBK" w:hAnsi="宋体" w:eastAsia="方正仿宋_GBK"/>
          <w:sz w:val="24"/>
        </w:rPr>
        <w:t>个热插拔</w:t>
      </w:r>
      <w:r>
        <w:rPr>
          <w:rFonts w:ascii="方正仿宋_GBK" w:hAnsi="宋体" w:eastAsia="方正仿宋_GBK"/>
          <w:sz w:val="24"/>
        </w:rPr>
        <w:t>960GBSSD</w:t>
      </w:r>
      <w:r>
        <w:rPr>
          <w:rFonts w:hint="eastAsia" w:ascii="方正仿宋_GBK" w:hAnsi="宋体" w:eastAsia="方正仿宋_GBK"/>
          <w:sz w:val="24"/>
        </w:rPr>
        <w:t>硬盘</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网口：</w:t>
      </w:r>
      <w:r>
        <w:rPr>
          <w:rFonts w:ascii="方正仿宋_GBK" w:hAnsi="宋体" w:eastAsia="方正仿宋_GBK"/>
          <w:sz w:val="24"/>
        </w:rPr>
        <w:t>2</w:t>
      </w:r>
      <w:r>
        <w:rPr>
          <w:rFonts w:hint="eastAsia" w:ascii="方正仿宋_GBK" w:hAnsi="宋体" w:eastAsia="方正仿宋_GBK"/>
          <w:sz w:val="24"/>
        </w:rPr>
        <w:t>个千兆网口，可扩展万兆口；</w:t>
      </w:r>
    </w:p>
    <w:p>
      <w:pPr>
        <w:pStyle w:val="38"/>
        <w:numPr>
          <w:ilvl w:val="0"/>
          <w:numId w:val="5"/>
        </w:numPr>
        <w:spacing w:line="360" w:lineRule="auto"/>
        <w:ind w:left="0" w:firstLine="420"/>
        <w:rPr>
          <w:rFonts w:ascii="方正仿宋_GBK" w:hAnsi="宋体" w:eastAsia="方正仿宋_GBK"/>
          <w:sz w:val="24"/>
        </w:rPr>
      </w:pPr>
      <w:r>
        <w:rPr>
          <w:rFonts w:hint="eastAsia" w:cs="宋体"/>
          <w:color w:val="000000"/>
          <w:kern w:val="0"/>
          <w:lang w:bidi="ar"/>
        </w:rPr>
        <w:t>▲</w:t>
      </w:r>
      <w:r>
        <w:rPr>
          <w:rFonts w:hint="eastAsia" w:ascii="方正仿宋_GBK" w:hAnsi="宋体" w:eastAsia="方正仿宋_GBK"/>
          <w:sz w:val="24"/>
        </w:rPr>
        <w:t>其它接口：</w:t>
      </w:r>
      <w:r>
        <w:rPr>
          <w:rFonts w:ascii="方正仿宋_GBK" w:hAnsi="宋体" w:eastAsia="方正仿宋_GBK"/>
          <w:sz w:val="24"/>
        </w:rPr>
        <w:t>1</w:t>
      </w:r>
      <w:r>
        <w:rPr>
          <w:rFonts w:hint="eastAsia" w:ascii="方正仿宋_GBK" w:hAnsi="宋体" w:eastAsia="方正仿宋_GBK"/>
          <w:sz w:val="24"/>
        </w:rPr>
        <w:t>个</w:t>
      </w:r>
      <w:r>
        <w:rPr>
          <w:rFonts w:ascii="方正仿宋_GBK" w:hAnsi="宋体" w:eastAsia="方正仿宋_GBK"/>
          <w:sz w:val="24"/>
        </w:rPr>
        <w:t>RJ-45</w:t>
      </w:r>
      <w:r>
        <w:rPr>
          <w:rFonts w:hint="eastAsia" w:ascii="方正仿宋_GBK" w:hAnsi="宋体" w:eastAsia="方正仿宋_GBK"/>
          <w:sz w:val="24"/>
        </w:rPr>
        <w:t>网络接口、</w:t>
      </w:r>
      <w:r>
        <w:rPr>
          <w:rFonts w:ascii="方正仿宋_GBK" w:hAnsi="宋体" w:eastAsia="方正仿宋_GBK"/>
          <w:sz w:val="24"/>
        </w:rPr>
        <w:t>4</w:t>
      </w:r>
      <w:r>
        <w:rPr>
          <w:rFonts w:hint="eastAsia" w:ascii="方正仿宋_GBK" w:hAnsi="宋体" w:eastAsia="方正仿宋_GBK"/>
          <w:sz w:val="24"/>
        </w:rPr>
        <w:t>个</w:t>
      </w:r>
      <w:r>
        <w:rPr>
          <w:rFonts w:ascii="方正仿宋_GBK" w:hAnsi="宋体" w:eastAsia="方正仿宋_GBK"/>
          <w:sz w:val="24"/>
        </w:rPr>
        <w:t>USB3.0</w:t>
      </w:r>
      <w:r>
        <w:rPr>
          <w:rFonts w:hint="eastAsia" w:ascii="方正仿宋_GBK" w:hAnsi="宋体" w:eastAsia="方正仿宋_GBK"/>
          <w:sz w:val="24"/>
        </w:rPr>
        <w:t>接口，</w:t>
      </w:r>
      <w:r>
        <w:rPr>
          <w:rFonts w:ascii="方正仿宋_GBK" w:hAnsi="宋体" w:eastAsia="方正仿宋_GBK"/>
          <w:sz w:val="24"/>
        </w:rPr>
        <w:t>2</w:t>
      </w:r>
      <w:r>
        <w:rPr>
          <w:rFonts w:hint="eastAsia" w:ascii="方正仿宋_GBK" w:hAnsi="宋体" w:eastAsia="方正仿宋_GBK"/>
          <w:sz w:val="24"/>
        </w:rPr>
        <w:t>个</w:t>
      </w:r>
      <w:r>
        <w:rPr>
          <w:rFonts w:ascii="方正仿宋_GBK" w:hAnsi="宋体" w:eastAsia="方正仿宋_GBK"/>
          <w:sz w:val="24"/>
        </w:rPr>
        <w:t>2.0</w:t>
      </w:r>
      <w:r>
        <w:rPr>
          <w:rFonts w:hint="eastAsia" w:ascii="方正仿宋_GBK" w:hAnsi="宋体" w:eastAsia="方正仿宋_GBK"/>
          <w:sz w:val="24"/>
        </w:rPr>
        <w:t>接口，</w:t>
      </w:r>
      <w:r>
        <w:rPr>
          <w:rFonts w:ascii="方正仿宋_GBK" w:hAnsi="宋体" w:eastAsia="方正仿宋_GBK"/>
          <w:sz w:val="24"/>
        </w:rPr>
        <w:t>1</w:t>
      </w:r>
      <w:r>
        <w:rPr>
          <w:rFonts w:hint="eastAsia" w:ascii="方正仿宋_GBK" w:hAnsi="宋体" w:eastAsia="方正仿宋_GBK"/>
          <w:sz w:val="24"/>
        </w:rPr>
        <w:t>个</w:t>
      </w:r>
      <w:r>
        <w:rPr>
          <w:rFonts w:ascii="方正仿宋_GBK" w:hAnsi="宋体" w:eastAsia="方正仿宋_GBK"/>
          <w:sz w:val="24"/>
        </w:rPr>
        <w:t>VGA</w:t>
      </w:r>
      <w:r>
        <w:rPr>
          <w:rFonts w:hint="eastAsia" w:ascii="方正仿宋_GBK" w:hAnsi="宋体" w:eastAsia="方正仿宋_GBK"/>
          <w:sz w:val="24"/>
        </w:rPr>
        <w:t>接口</w:t>
      </w:r>
    </w:p>
    <w:p>
      <w:pPr>
        <w:pStyle w:val="38"/>
        <w:numPr>
          <w:ilvl w:val="0"/>
          <w:numId w:val="5"/>
        </w:numPr>
        <w:spacing w:line="360" w:lineRule="auto"/>
        <w:ind w:left="0" w:firstLine="480"/>
        <w:rPr>
          <w:rFonts w:ascii="方正仿宋_GBK" w:hAnsi="宋体" w:eastAsia="方正仿宋_GBK"/>
          <w:sz w:val="24"/>
        </w:rPr>
      </w:pPr>
      <w:r>
        <w:rPr>
          <w:rFonts w:hint="eastAsia" w:ascii="方正仿宋_GBK" w:hAnsi="宋体" w:eastAsia="方正仿宋_GBK"/>
          <w:sz w:val="24"/>
        </w:rPr>
        <w:t>电源：</w:t>
      </w:r>
      <w:r>
        <w:rPr>
          <w:rFonts w:ascii="方正仿宋_GBK" w:hAnsi="宋体" w:eastAsia="方正仿宋_GBK"/>
          <w:sz w:val="24"/>
        </w:rPr>
        <w:t>1+1</w:t>
      </w:r>
      <w:r>
        <w:rPr>
          <w:rFonts w:hint="eastAsia" w:ascii="方正仿宋_GBK" w:hAnsi="宋体" w:eastAsia="方正仿宋_GBK"/>
          <w:sz w:val="24"/>
        </w:rPr>
        <w:t>冗余电源</w:t>
      </w:r>
    </w:p>
    <w:p>
      <w:pPr>
        <w:outlineLvl w:val="0"/>
        <w:rPr>
          <w:rFonts w:asciiTheme="majorEastAsia" w:hAnsiTheme="majorEastAsia" w:eastAsia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黑体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1246527"/>
    </w:sdtPr>
    <w:sdtContent>
      <w:p>
        <w:pPr>
          <w:pStyle w:val="20"/>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AD338B"/>
    <w:multiLevelType w:val="multilevel"/>
    <w:tmpl w:val="19AD338B"/>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
    <w:nsid w:val="24EB760C"/>
    <w:multiLevelType w:val="multilevel"/>
    <w:tmpl w:val="24EB760C"/>
    <w:lvl w:ilvl="0" w:tentative="0">
      <w:start w:val="1"/>
      <w:numFmt w:val="japaneseCounting"/>
      <w:lvlText w:val="%1、"/>
      <w:lvlJc w:val="left"/>
      <w:pPr>
        <w:ind w:left="660" w:hanging="6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4F430BD1"/>
    <w:multiLevelType w:val="multilevel"/>
    <w:tmpl w:val="4F430BD1"/>
    <w:lvl w:ilvl="0" w:tentative="0">
      <w:start w:val="1"/>
      <w:numFmt w:val="bullet"/>
      <w:lvlText w:val=""/>
      <w:lvlJc w:val="left"/>
      <w:pPr>
        <w:tabs>
          <w:tab w:val="left" w:pos="-420"/>
        </w:tabs>
        <w:ind w:left="440" w:hanging="440"/>
      </w:pPr>
      <w:rPr>
        <w:rFonts w:hint="default" w:ascii="Wingdings" w:hAnsi="Wingdings"/>
      </w:rPr>
    </w:lvl>
    <w:lvl w:ilvl="1" w:tentative="0">
      <w:start w:val="1"/>
      <w:numFmt w:val="bullet"/>
      <w:lvlText w:val=""/>
      <w:lvlJc w:val="left"/>
      <w:pPr>
        <w:tabs>
          <w:tab w:val="left" w:pos="-420"/>
        </w:tabs>
        <w:ind w:left="460" w:hanging="440"/>
      </w:pPr>
      <w:rPr>
        <w:rFonts w:hint="default" w:ascii="Wingdings" w:hAnsi="Wingdings"/>
      </w:rPr>
    </w:lvl>
    <w:lvl w:ilvl="2" w:tentative="0">
      <w:start w:val="1"/>
      <w:numFmt w:val="bullet"/>
      <w:lvlText w:val=""/>
      <w:lvlJc w:val="left"/>
      <w:pPr>
        <w:tabs>
          <w:tab w:val="left" w:pos="-420"/>
        </w:tabs>
        <w:ind w:left="900" w:hanging="440"/>
      </w:pPr>
      <w:rPr>
        <w:rFonts w:hint="default" w:ascii="Wingdings" w:hAnsi="Wingdings"/>
      </w:rPr>
    </w:lvl>
    <w:lvl w:ilvl="3" w:tentative="0">
      <w:start w:val="1"/>
      <w:numFmt w:val="bullet"/>
      <w:lvlText w:val=""/>
      <w:lvlJc w:val="left"/>
      <w:pPr>
        <w:tabs>
          <w:tab w:val="left" w:pos="-420"/>
        </w:tabs>
        <w:ind w:left="1340" w:hanging="440"/>
      </w:pPr>
      <w:rPr>
        <w:rFonts w:hint="default" w:ascii="Wingdings" w:hAnsi="Wingdings"/>
      </w:rPr>
    </w:lvl>
    <w:lvl w:ilvl="4" w:tentative="0">
      <w:start w:val="1"/>
      <w:numFmt w:val="bullet"/>
      <w:lvlText w:val=""/>
      <w:lvlJc w:val="left"/>
      <w:pPr>
        <w:tabs>
          <w:tab w:val="left" w:pos="-420"/>
        </w:tabs>
        <w:ind w:left="1780" w:hanging="440"/>
      </w:pPr>
      <w:rPr>
        <w:rFonts w:hint="default" w:ascii="Wingdings" w:hAnsi="Wingdings"/>
      </w:rPr>
    </w:lvl>
    <w:lvl w:ilvl="5" w:tentative="0">
      <w:start w:val="1"/>
      <w:numFmt w:val="bullet"/>
      <w:lvlText w:val=""/>
      <w:lvlJc w:val="left"/>
      <w:pPr>
        <w:tabs>
          <w:tab w:val="left" w:pos="-420"/>
        </w:tabs>
        <w:ind w:left="2220" w:hanging="440"/>
      </w:pPr>
      <w:rPr>
        <w:rFonts w:hint="default" w:ascii="Wingdings" w:hAnsi="Wingdings"/>
      </w:rPr>
    </w:lvl>
    <w:lvl w:ilvl="6" w:tentative="0">
      <w:start w:val="1"/>
      <w:numFmt w:val="bullet"/>
      <w:lvlText w:val=""/>
      <w:lvlJc w:val="left"/>
      <w:pPr>
        <w:tabs>
          <w:tab w:val="left" w:pos="-420"/>
        </w:tabs>
        <w:ind w:left="2660" w:hanging="440"/>
      </w:pPr>
      <w:rPr>
        <w:rFonts w:hint="default" w:ascii="Wingdings" w:hAnsi="Wingdings"/>
      </w:rPr>
    </w:lvl>
    <w:lvl w:ilvl="7" w:tentative="0">
      <w:start w:val="1"/>
      <w:numFmt w:val="bullet"/>
      <w:lvlText w:val=""/>
      <w:lvlJc w:val="left"/>
      <w:pPr>
        <w:tabs>
          <w:tab w:val="left" w:pos="-420"/>
        </w:tabs>
        <w:ind w:left="3100" w:hanging="440"/>
      </w:pPr>
      <w:rPr>
        <w:rFonts w:hint="default" w:ascii="Wingdings" w:hAnsi="Wingdings"/>
      </w:rPr>
    </w:lvl>
    <w:lvl w:ilvl="8" w:tentative="0">
      <w:start w:val="1"/>
      <w:numFmt w:val="bullet"/>
      <w:lvlText w:val=""/>
      <w:lvlJc w:val="left"/>
      <w:pPr>
        <w:tabs>
          <w:tab w:val="left" w:pos="-420"/>
        </w:tabs>
        <w:ind w:left="3540" w:hanging="440"/>
      </w:pPr>
      <w:rPr>
        <w:rFonts w:hint="default" w:ascii="Wingdings" w:hAnsi="Wingdings"/>
      </w:rPr>
    </w:lvl>
  </w:abstractNum>
  <w:abstractNum w:abstractNumId="3">
    <w:nsid w:val="683A3E45"/>
    <w:multiLevelType w:val="multilevel"/>
    <w:tmpl w:val="683A3E45"/>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4">
    <w:nsid w:val="68EF5696"/>
    <w:multiLevelType w:val="multilevel"/>
    <w:tmpl w:val="68EF5696"/>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87B4057"/>
    <w:rsid w:val="0003104B"/>
    <w:rsid w:val="000440F6"/>
    <w:rsid w:val="0006272B"/>
    <w:rsid w:val="00081DA6"/>
    <w:rsid w:val="00082618"/>
    <w:rsid w:val="000A0546"/>
    <w:rsid w:val="000C66B4"/>
    <w:rsid w:val="000E3A20"/>
    <w:rsid w:val="00110E20"/>
    <w:rsid w:val="00125010"/>
    <w:rsid w:val="00136A03"/>
    <w:rsid w:val="001B1D57"/>
    <w:rsid w:val="001C16DF"/>
    <w:rsid w:val="001D42B7"/>
    <w:rsid w:val="00202E32"/>
    <w:rsid w:val="00205D9C"/>
    <w:rsid w:val="00254FB3"/>
    <w:rsid w:val="00261CD2"/>
    <w:rsid w:val="0028090C"/>
    <w:rsid w:val="00287E99"/>
    <w:rsid w:val="002C21ED"/>
    <w:rsid w:val="002C5146"/>
    <w:rsid w:val="002F60B4"/>
    <w:rsid w:val="002F61D5"/>
    <w:rsid w:val="002F6742"/>
    <w:rsid w:val="003316BF"/>
    <w:rsid w:val="00335A48"/>
    <w:rsid w:val="00353866"/>
    <w:rsid w:val="003B749C"/>
    <w:rsid w:val="0042032D"/>
    <w:rsid w:val="00431B71"/>
    <w:rsid w:val="00431B79"/>
    <w:rsid w:val="00447687"/>
    <w:rsid w:val="004603F4"/>
    <w:rsid w:val="00460BCC"/>
    <w:rsid w:val="00475F8F"/>
    <w:rsid w:val="004B0FEE"/>
    <w:rsid w:val="004C6AD8"/>
    <w:rsid w:val="004F317F"/>
    <w:rsid w:val="00533BF0"/>
    <w:rsid w:val="00594046"/>
    <w:rsid w:val="005A29E1"/>
    <w:rsid w:val="005A496B"/>
    <w:rsid w:val="005C6274"/>
    <w:rsid w:val="005E0881"/>
    <w:rsid w:val="005F66EC"/>
    <w:rsid w:val="006148EE"/>
    <w:rsid w:val="00666C56"/>
    <w:rsid w:val="006670DC"/>
    <w:rsid w:val="006D1F75"/>
    <w:rsid w:val="006D2B6E"/>
    <w:rsid w:val="006E3B5C"/>
    <w:rsid w:val="00706CD6"/>
    <w:rsid w:val="0072555B"/>
    <w:rsid w:val="0073046A"/>
    <w:rsid w:val="00772AF4"/>
    <w:rsid w:val="007E670C"/>
    <w:rsid w:val="007F1203"/>
    <w:rsid w:val="007F2549"/>
    <w:rsid w:val="00804476"/>
    <w:rsid w:val="00806907"/>
    <w:rsid w:val="008156D4"/>
    <w:rsid w:val="008A0250"/>
    <w:rsid w:val="008A627F"/>
    <w:rsid w:val="008B1DF1"/>
    <w:rsid w:val="008B509B"/>
    <w:rsid w:val="008D419F"/>
    <w:rsid w:val="009233DA"/>
    <w:rsid w:val="00926A0F"/>
    <w:rsid w:val="00930DBE"/>
    <w:rsid w:val="00931779"/>
    <w:rsid w:val="00937ED9"/>
    <w:rsid w:val="00942EBC"/>
    <w:rsid w:val="00951873"/>
    <w:rsid w:val="0096070E"/>
    <w:rsid w:val="009B77DA"/>
    <w:rsid w:val="009C325E"/>
    <w:rsid w:val="009F175A"/>
    <w:rsid w:val="00A1106C"/>
    <w:rsid w:val="00A34B6A"/>
    <w:rsid w:val="00A45DDE"/>
    <w:rsid w:val="00A735ED"/>
    <w:rsid w:val="00A73A08"/>
    <w:rsid w:val="00A84BA7"/>
    <w:rsid w:val="00A9182A"/>
    <w:rsid w:val="00AA6016"/>
    <w:rsid w:val="00AB409D"/>
    <w:rsid w:val="00AF02E7"/>
    <w:rsid w:val="00B11EA7"/>
    <w:rsid w:val="00B44624"/>
    <w:rsid w:val="00B44799"/>
    <w:rsid w:val="00BB3BA1"/>
    <w:rsid w:val="00BC7AD0"/>
    <w:rsid w:val="00BD06D6"/>
    <w:rsid w:val="00BD401B"/>
    <w:rsid w:val="00C34D97"/>
    <w:rsid w:val="00C557BF"/>
    <w:rsid w:val="00C629F5"/>
    <w:rsid w:val="00C9512A"/>
    <w:rsid w:val="00C961BB"/>
    <w:rsid w:val="00D60DB9"/>
    <w:rsid w:val="00D9733B"/>
    <w:rsid w:val="00DB16D0"/>
    <w:rsid w:val="00DB5489"/>
    <w:rsid w:val="00DD3AC7"/>
    <w:rsid w:val="00DF18BE"/>
    <w:rsid w:val="00DF765B"/>
    <w:rsid w:val="00E010A8"/>
    <w:rsid w:val="00E04986"/>
    <w:rsid w:val="00E16F36"/>
    <w:rsid w:val="00E17A5E"/>
    <w:rsid w:val="00E31997"/>
    <w:rsid w:val="00E34BBD"/>
    <w:rsid w:val="00E37F73"/>
    <w:rsid w:val="00E577BE"/>
    <w:rsid w:val="00E77D51"/>
    <w:rsid w:val="00E85725"/>
    <w:rsid w:val="00EE542F"/>
    <w:rsid w:val="00F36219"/>
    <w:rsid w:val="00F40549"/>
    <w:rsid w:val="00F654FB"/>
    <w:rsid w:val="02F95B04"/>
    <w:rsid w:val="03126433"/>
    <w:rsid w:val="052E39FE"/>
    <w:rsid w:val="060C2195"/>
    <w:rsid w:val="084D57DE"/>
    <w:rsid w:val="087B4057"/>
    <w:rsid w:val="0AF84868"/>
    <w:rsid w:val="0B4F7F11"/>
    <w:rsid w:val="0CD141DE"/>
    <w:rsid w:val="15172298"/>
    <w:rsid w:val="175F0C28"/>
    <w:rsid w:val="199A14FA"/>
    <w:rsid w:val="1A1761AE"/>
    <w:rsid w:val="1ABD18EB"/>
    <w:rsid w:val="1B25613A"/>
    <w:rsid w:val="265F518F"/>
    <w:rsid w:val="27A8586C"/>
    <w:rsid w:val="27AB0C3D"/>
    <w:rsid w:val="2CA61319"/>
    <w:rsid w:val="2CB52F7A"/>
    <w:rsid w:val="2CD972DC"/>
    <w:rsid w:val="2E5A79A8"/>
    <w:rsid w:val="31E97AE1"/>
    <w:rsid w:val="32EA0538"/>
    <w:rsid w:val="36784866"/>
    <w:rsid w:val="374E2ADF"/>
    <w:rsid w:val="37965E1B"/>
    <w:rsid w:val="3BDE35D1"/>
    <w:rsid w:val="3C276AD4"/>
    <w:rsid w:val="3F8C6D47"/>
    <w:rsid w:val="404620C7"/>
    <w:rsid w:val="42085E4F"/>
    <w:rsid w:val="432B2731"/>
    <w:rsid w:val="4565002D"/>
    <w:rsid w:val="45952E6E"/>
    <w:rsid w:val="46E0185B"/>
    <w:rsid w:val="49F0699C"/>
    <w:rsid w:val="4E1B78BF"/>
    <w:rsid w:val="4E4D541A"/>
    <w:rsid w:val="50C441E9"/>
    <w:rsid w:val="564072D8"/>
    <w:rsid w:val="5A0C0943"/>
    <w:rsid w:val="5AD03531"/>
    <w:rsid w:val="5C734DEC"/>
    <w:rsid w:val="5F7235F0"/>
    <w:rsid w:val="6143733E"/>
    <w:rsid w:val="616C63E5"/>
    <w:rsid w:val="63CF50BD"/>
    <w:rsid w:val="65676C2C"/>
    <w:rsid w:val="67462065"/>
    <w:rsid w:val="697919C0"/>
    <w:rsid w:val="6AA1500D"/>
    <w:rsid w:val="6B855231"/>
    <w:rsid w:val="6D6D7047"/>
    <w:rsid w:val="716B2F41"/>
    <w:rsid w:val="793E4B7C"/>
    <w:rsid w:val="79AB6645"/>
    <w:rsid w:val="7A497C8D"/>
    <w:rsid w:val="7B0E046A"/>
    <w:rsid w:val="7C2A3507"/>
    <w:rsid w:val="7D2A76B3"/>
    <w:rsid w:val="7EB76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54"/>
    <w:qFormat/>
    <w:uiPriority w:val="9"/>
    <w:pPr>
      <w:keepNext/>
      <w:keepLines/>
      <w:pageBreakBefore/>
      <w:spacing w:before="600" w:after="240" w:line="480" w:lineRule="auto"/>
      <w:jc w:val="center"/>
      <w:outlineLvl w:val="0"/>
    </w:pPr>
    <w:rPr>
      <w:rFonts w:ascii="Tahoma" w:hAnsi="Tahoma" w:eastAsia="黑体"/>
      <w:kern w:val="44"/>
      <w:sz w:val="44"/>
      <w:szCs w:val="20"/>
      <w14:shadow w14:blurRad="50800" w14:dist="38100" w14:dir="2700000" w14:sx="100000" w14:sy="100000" w14:kx="0" w14:ky="0" w14:algn="tl">
        <w14:srgbClr w14:val="000000">
          <w14:alpha w14:val="60000"/>
        </w14:srgbClr>
      </w14:shadow>
    </w:rPr>
  </w:style>
  <w:style w:type="paragraph" w:styleId="4">
    <w:name w:val="heading 2"/>
    <w:basedOn w:val="1"/>
    <w:next w:val="1"/>
    <w:link w:val="66"/>
    <w:qFormat/>
    <w:uiPriority w:val="9"/>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49"/>
    <w:unhideWhenUsed/>
    <w:qFormat/>
    <w:uiPriority w:val="9"/>
    <w:pPr>
      <w:keepNext/>
      <w:keepLines/>
      <w:spacing w:before="260" w:after="260" w:line="416" w:lineRule="auto"/>
      <w:outlineLvl w:val="2"/>
    </w:pPr>
    <w:rPr>
      <w:b/>
      <w:bCs/>
      <w:sz w:val="32"/>
      <w:szCs w:val="32"/>
    </w:rPr>
  </w:style>
  <w:style w:type="paragraph" w:styleId="6">
    <w:name w:val="heading 4"/>
    <w:basedOn w:val="5"/>
    <w:next w:val="3"/>
    <w:link w:val="55"/>
    <w:qFormat/>
    <w:uiPriority w:val="9"/>
    <w:pPr>
      <w:spacing w:before="156" w:beforeLines="50" w:after="156" w:afterLines="50" w:line="360" w:lineRule="auto"/>
      <w:outlineLvl w:val="3"/>
    </w:pPr>
    <w:rPr>
      <w:rFonts w:ascii="Arial" w:hAnsi="Arial" w:eastAsia="黑体"/>
      <w:b w:val="0"/>
      <w:kern w:val="44"/>
      <w:sz w:val="24"/>
    </w:rPr>
  </w:style>
  <w:style w:type="paragraph" w:styleId="7">
    <w:name w:val="heading 5"/>
    <w:basedOn w:val="6"/>
    <w:next w:val="3"/>
    <w:link w:val="56"/>
    <w:qFormat/>
    <w:uiPriority w:val="9"/>
    <w:pPr>
      <w:spacing w:line="300" w:lineRule="auto"/>
      <w:outlineLvl w:val="4"/>
    </w:pPr>
    <w:rPr>
      <w:bCs w:val="0"/>
      <w:szCs w:val="20"/>
    </w:rPr>
  </w:style>
  <w:style w:type="paragraph" w:styleId="8">
    <w:name w:val="heading 6"/>
    <w:basedOn w:val="1"/>
    <w:next w:val="3"/>
    <w:link w:val="57"/>
    <w:qFormat/>
    <w:uiPriority w:val="9"/>
    <w:pPr>
      <w:keepNext/>
      <w:keepLines/>
      <w:spacing w:before="240" w:after="240" w:line="319" w:lineRule="auto"/>
      <w:outlineLvl w:val="5"/>
    </w:pPr>
    <w:rPr>
      <w:rFonts w:asciiTheme="majorHAnsi" w:hAnsiTheme="majorHAnsi" w:eastAsiaTheme="majorEastAsia" w:cstheme="majorBidi"/>
      <w:b/>
      <w:bCs/>
      <w:sz w:val="24"/>
    </w:rPr>
  </w:style>
  <w:style w:type="paragraph" w:styleId="9">
    <w:name w:val="heading 7"/>
    <w:basedOn w:val="1"/>
    <w:next w:val="1"/>
    <w:link w:val="58"/>
    <w:unhideWhenUsed/>
    <w:qFormat/>
    <w:uiPriority w:val="9"/>
    <w:pPr>
      <w:keepNext/>
      <w:keepLines/>
      <w:spacing w:before="240" w:after="64" w:line="320" w:lineRule="auto"/>
      <w:outlineLvl w:val="6"/>
    </w:pPr>
    <w:rPr>
      <w:rFonts w:ascii="仿宋_GB2312" w:hAnsi="仿宋_GB2312" w:eastAsia="仿宋_GB2312" w:cstheme="minorBidi"/>
      <w:b/>
      <w:bCs/>
      <w:sz w:val="24"/>
    </w:rPr>
  </w:style>
  <w:style w:type="paragraph" w:styleId="10">
    <w:name w:val="heading 8"/>
    <w:basedOn w:val="1"/>
    <w:next w:val="1"/>
    <w:link w:val="59"/>
    <w:unhideWhenUsed/>
    <w:qFormat/>
    <w:uiPriority w:val="9"/>
    <w:pPr>
      <w:keepNext/>
      <w:keepLines/>
      <w:spacing w:before="240" w:after="64" w:line="320" w:lineRule="auto"/>
      <w:outlineLvl w:val="7"/>
    </w:pPr>
    <w:rPr>
      <w:rFonts w:ascii="仿宋_GB2312" w:hAnsi="仿宋_GB2312" w:eastAsia="仿宋_GB2312" w:cstheme="majorBidi"/>
      <w:b/>
      <w:sz w:val="24"/>
    </w:rPr>
  </w:style>
  <w:style w:type="paragraph" w:styleId="11">
    <w:name w:val="heading 9"/>
    <w:basedOn w:val="1"/>
    <w:next w:val="1"/>
    <w:link w:val="60"/>
    <w:unhideWhenUsed/>
    <w:qFormat/>
    <w:uiPriority w:val="9"/>
    <w:pPr>
      <w:keepNext/>
      <w:keepLines/>
      <w:spacing w:before="240" w:after="64" w:line="320" w:lineRule="auto"/>
      <w:ind w:left="1584" w:hanging="1584"/>
      <w:outlineLvl w:val="8"/>
    </w:pPr>
    <w:rPr>
      <w:rFonts w:asciiTheme="majorHAnsi" w:hAnsiTheme="majorHAnsi" w:eastAsiaTheme="majorEastAsia" w:cstheme="majorBidi"/>
      <w:sz w:val="24"/>
      <w:szCs w:val="21"/>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65"/>
    <w:qFormat/>
    <w:uiPriority w:val="0"/>
    <w:pPr>
      <w:tabs>
        <w:tab w:val="left" w:pos="840"/>
      </w:tabs>
      <w:adjustRightInd w:val="0"/>
      <w:snapToGrid w:val="0"/>
      <w:spacing w:line="360" w:lineRule="auto"/>
      <w:ind w:firstLine="480" w:firstLineChars="200"/>
    </w:pPr>
    <w:rPr>
      <w:rFonts w:ascii="宋体" w:hAnsi="宋体"/>
      <w:color w:val="000000" w:themeColor="text1"/>
      <w:sz w:val="24"/>
      <w14:textFill>
        <w14:solidFill>
          <w14:schemeClr w14:val="tx1"/>
        </w14:solidFill>
      </w14:textFill>
    </w:rPr>
  </w:style>
  <w:style w:type="paragraph" w:styleId="12">
    <w:name w:val="caption"/>
    <w:basedOn w:val="1"/>
    <w:next w:val="1"/>
    <w:link w:val="239"/>
    <w:unhideWhenUsed/>
    <w:qFormat/>
    <w:uiPriority w:val="99"/>
    <w:rPr>
      <w:rFonts w:eastAsia="黑体" w:asciiTheme="majorHAnsi" w:hAnsiTheme="majorHAnsi" w:cstheme="majorBidi"/>
      <w:sz w:val="20"/>
      <w:szCs w:val="20"/>
    </w:rPr>
  </w:style>
  <w:style w:type="paragraph" w:styleId="13">
    <w:name w:val="annotation text"/>
    <w:basedOn w:val="1"/>
    <w:link w:val="50"/>
    <w:qFormat/>
    <w:uiPriority w:val="99"/>
    <w:pPr>
      <w:jc w:val="left"/>
    </w:pPr>
  </w:style>
  <w:style w:type="paragraph" w:styleId="14">
    <w:name w:val="Body Text"/>
    <w:basedOn w:val="1"/>
    <w:link w:val="63"/>
    <w:qFormat/>
    <w:uiPriority w:val="0"/>
    <w:pPr>
      <w:spacing w:after="120"/>
    </w:pPr>
  </w:style>
  <w:style w:type="paragraph" w:styleId="15">
    <w:name w:val="Body Text Indent"/>
    <w:basedOn w:val="1"/>
    <w:link w:val="237"/>
    <w:unhideWhenUsed/>
    <w:qFormat/>
    <w:uiPriority w:val="99"/>
    <w:pPr>
      <w:spacing w:after="120"/>
      <w:ind w:left="420" w:leftChars="200"/>
    </w:pPr>
  </w:style>
  <w:style w:type="paragraph" w:styleId="16">
    <w:name w:val="Block Text"/>
    <w:basedOn w:val="1"/>
    <w:next w:val="14"/>
    <w:unhideWhenUsed/>
    <w:qFormat/>
    <w:uiPriority w:val="99"/>
    <w:pPr>
      <w:spacing w:after="120"/>
      <w:ind w:left="1440" w:leftChars="700" w:right="700" w:rightChars="700"/>
    </w:pPr>
    <w:rPr>
      <w:rFonts w:asciiTheme="minorHAnsi" w:hAnsiTheme="minorHAnsi" w:cstheme="minorBidi"/>
      <w:sz w:val="24"/>
      <w:szCs w:val="22"/>
    </w:rPr>
  </w:style>
  <w:style w:type="paragraph" w:styleId="17">
    <w:name w:val="toc 3"/>
    <w:basedOn w:val="1"/>
    <w:next w:val="1"/>
    <w:qFormat/>
    <w:uiPriority w:val="39"/>
    <w:pPr>
      <w:tabs>
        <w:tab w:val="left" w:pos="1260"/>
        <w:tab w:val="right" w:leader="dot" w:pos="9060"/>
      </w:tabs>
      <w:ind w:left="420"/>
      <w:jc w:val="left"/>
    </w:pPr>
    <w:rPr>
      <w:rFonts w:ascii="仿宋" w:hAnsi="仿宋" w:eastAsia="仿宋"/>
      <w:i/>
      <w:iCs/>
      <w:sz w:val="20"/>
      <w:szCs w:val="20"/>
    </w:rPr>
  </w:style>
  <w:style w:type="paragraph" w:styleId="18">
    <w:name w:val="Date"/>
    <w:basedOn w:val="1"/>
    <w:next w:val="1"/>
    <w:link w:val="61"/>
    <w:qFormat/>
    <w:uiPriority w:val="0"/>
    <w:pPr>
      <w:widowControl/>
      <w:spacing w:line="360" w:lineRule="auto"/>
      <w:ind w:firstLine="200" w:firstLineChars="200"/>
      <w:jc w:val="left"/>
    </w:pPr>
    <w:rPr>
      <w:rFonts w:ascii="宋体" w:hAnsi="宋体" w:cs="宋体"/>
      <w:kern w:val="0"/>
      <w:sz w:val="24"/>
    </w:rPr>
  </w:style>
  <w:style w:type="paragraph" w:styleId="19">
    <w:name w:val="Balloon Text"/>
    <w:basedOn w:val="1"/>
    <w:link w:val="47"/>
    <w:qFormat/>
    <w:uiPriority w:val="99"/>
    <w:rPr>
      <w:sz w:val="18"/>
      <w:szCs w:val="18"/>
    </w:rPr>
  </w:style>
  <w:style w:type="paragraph" w:styleId="20">
    <w:name w:val="footer"/>
    <w:basedOn w:val="1"/>
    <w:link w:val="68"/>
    <w:qFormat/>
    <w:uiPriority w:val="99"/>
    <w:pPr>
      <w:tabs>
        <w:tab w:val="center" w:pos="4153"/>
        <w:tab w:val="right" w:pos="8306"/>
      </w:tabs>
      <w:snapToGrid w:val="0"/>
      <w:jc w:val="left"/>
    </w:pPr>
    <w:rPr>
      <w:sz w:val="18"/>
    </w:rPr>
  </w:style>
  <w:style w:type="paragraph" w:styleId="21">
    <w:name w:val="header"/>
    <w:basedOn w:val="1"/>
    <w:link w:val="6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unhideWhenUsed/>
    <w:qFormat/>
    <w:uiPriority w:val="39"/>
    <w:pPr>
      <w:tabs>
        <w:tab w:val="right" w:leader="dot" w:pos="8296"/>
      </w:tabs>
      <w:spacing w:line="360" w:lineRule="auto"/>
    </w:pPr>
    <w:rPr>
      <w:rFonts w:ascii="宋体" w:hAnsi="宋体" w:cstheme="minorBidi"/>
      <w:b/>
      <w:bCs/>
      <w:sz w:val="28"/>
      <w:szCs w:val="28"/>
    </w:rPr>
  </w:style>
  <w:style w:type="paragraph" w:styleId="23">
    <w:name w:val="toc 2"/>
    <w:basedOn w:val="1"/>
    <w:next w:val="1"/>
    <w:unhideWhenUsed/>
    <w:qFormat/>
    <w:uiPriority w:val="39"/>
    <w:pPr>
      <w:tabs>
        <w:tab w:val="left" w:pos="840"/>
        <w:tab w:val="right" w:leader="dot" w:pos="8839"/>
      </w:tabs>
      <w:spacing w:line="360" w:lineRule="auto"/>
      <w:ind w:left="420" w:leftChars="200"/>
    </w:pPr>
    <w:rPr>
      <w:rFonts w:asciiTheme="minorHAnsi" w:hAnsiTheme="minorHAnsi" w:eastAsiaTheme="minorEastAsia" w:cstheme="minorBidi"/>
      <w:szCs w:val="22"/>
    </w:rPr>
  </w:style>
  <w:style w:type="paragraph" w:styleId="24">
    <w:name w:val="Normal (Web)"/>
    <w:basedOn w:val="1"/>
    <w:qFormat/>
    <w:uiPriority w:val="0"/>
    <w:pPr>
      <w:spacing w:beforeAutospacing="1" w:afterAutospacing="1"/>
      <w:jc w:val="left"/>
    </w:pPr>
    <w:rPr>
      <w:kern w:val="0"/>
      <w:sz w:val="24"/>
    </w:rPr>
  </w:style>
  <w:style w:type="paragraph" w:styleId="25">
    <w:name w:val="Title"/>
    <w:basedOn w:val="1"/>
    <w:link w:val="62"/>
    <w:qFormat/>
    <w:uiPriority w:val="0"/>
    <w:pPr>
      <w:spacing w:before="240" w:after="60" w:line="300" w:lineRule="auto"/>
      <w:jc w:val="center"/>
      <w:outlineLvl w:val="0"/>
    </w:pPr>
    <w:rPr>
      <w:rFonts w:ascii="Arial" w:hAnsi="Arial" w:eastAsia="黑体"/>
      <w:b/>
      <w:bCs/>
      <w:sz w:val="44"/>
      <w:szCs w:val="32"/>
      <w:lang w:val="zh-CN"/>
    </w:rPr>
  </w:style>
  <w:style w:type="paragraph" w:styleId="26">
    <w:name w:val="annotation subject"/>
    <w:basedOn w:val="13"/>
    <w:next w:val="13"/>
    <w:link w:val="51"/>
    <w:qFormat/>
    <w:uiPriority w:val="99"/>
    <w:rPr>
      <w:b/>
      <w:bCs/>
    </w:rPr>
  </w:style>
  <w:style w:type="paragraph" w:styleId="27">
    <w:name w:val="Body Text First Indent"/>
    <w:basedOn w:val="14"/>
    <w:link w:val="64"/>
    <w:qFormat/>
    <w:uiPriority w:val="99"/>
    <w:pPr>
      <w:ind w:firstLine="420" w:firstLineChars="100"/>
    </w:pPr>
    <w:rPr>
      <w:rFonts w:asciiTheme="minorHAnsi" w:hAnsiTheme="minorHAnsi" w:cstheme="minorBidi"/>
      <w:sz w:val="24"/>
      <w:szCs w:val="22"/>
    </w:rPr>
  </w:style>
  <w:style w:type="paragraph" w:styleId="28">
    <w:name w:val="Body Text First Indent 2"/>
    <w:basedOn w:val="15"/>
    <w:link w:val="238"/>
    <w:unhideWhenUsed/>
    <w:qFormat/>
    <w:uiPriority w:val="99"/>
    <w:pPr>
      <w:adjustRightInd w:val="0"/>
      <w:spacing w:line="300" w:lineRule="auto"/>
      <w:ind w:firstLine="420" w:firstLineChars="200"/>
      <w:textAlignment w:val="baseline"/>
    </w:pPr>
    <w:rPr>
      <w:kern w:val="0"/>
      <w:sz w:val="24"/>
      <w:szCs w:val="20"/>
    </w:rPr>
  </w:style>
  <w:style w:type="table" w:styleId="30">
    <w:name w:val="Table Grid"/>
    <w:basedOn w:val="2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FollowedHyperlink"/>
    <w:basedOn w:val="31"/>
    <w:unhideWhenUsed/>
    <w:qFormat/>
    <w:uiPriority w:val="99"/>
    <w:rPr>
      <w:color w:val="800080"/>
      <w:u w:val="single"/>
    </w:rPr>
  </w:style>
  <w:style w:type="character" w:styleId="34">
    <w:name w:val="Hyperlink"/>
    <w:basedOn w:val="31"/>
    <w:unhideWhenUsed/>
    <w:qFormat/>
    <w:uiPriority w:val="99"/>
    <w:rPr>
      <w:color w:val="0000FF"/>
      <w:u w:val="single"/>
    </w:rPr>
  </w:style>
  <w:style w:type="character" w:styleId="35">
    <w:name w:val="annotation reference"/>
    <w:basedOn w:val="31"/>
    <w:qFormat/>
    <w:uiPriority w:val="99"/>
    <w:rPr>
      <w:sz w:val="21"/>
      <w:szCs w:val="21"/>
    </w:rPr>
  </w:style>
  <w:style w:type="character" w:customStyle="1" w:styleId="36">
    <w:name w:val="样式 正文文本 + 新宋体 小四 黑色 Char"/>
    <w:link w:val="37"/>
    <w:qFormat/>
    <w:uiPriority w:val="0"/>
    <w:rPr>
      <w:rFonts w:ascii="新宋体" w:hAnsi="新宋体"/>
      <w:color w:val="000000"/>
    </w:rPr>
  </w:style>
  <w:style w:type="paragraph" w:customStyle="1" w:styleId="37">
    <w:name w:val="样式 正文文本 + 新宋体 小四 黑色"/>
    <w:basedOn w:val="14"/>
    <w:link w:val="36"/>
    <w:qFormat/>
    <w:uiPriority w:val="0"/>
    <w:rPr>
      <w:rFonts w:ascii="新宋体" w:hAnsi="新宋体"/>
      <w:color w:val="000000"/>
    </w:rPr>
  </w:style>
  <w:style w:type="paragraph" w:styleId="38">
    <w:name w:val="List Paragraph"/>
    <w:basedOn w:val="1"/>
    <w:unhideWhenUsed/>
    <w:qFormat/>
    <w:uiPriority w:val="34"/>
    <w:pPr>
      <w:ind w:firstLine="420" w:firstLineChars="200"/>
    </w:pPr>
  </w:style>
  <w:style w:type="character" w:customStyle="1" w:styleId="39">
    <w:name w:val="可研正文 字符"/>
    <w:link w:val="40"/>
    <w:qFormat/>
    <w:locked/>
    <w:uiPriority w:val="0"/>
    <w:rPr>
      <w:rFonts w:ascii="宋体" w:hAnsi="宋体" w:cs="宋体"/>
      <w:sz w:val="28"/>
      <w:szCs w:val="24"/>
    </w:rPr>
  </w:style>
  <w:style w:type="paragraph" w:customStyle="1" w:styleId="40">
    <w:name w:val="可研正文"/>
    <w:link w:val="39"/>
    <w:qFormat/>
    <w:uiPriority w:val="0"/>
    <w:pPr>
      <w:spacing w:line="360" w:lineRule="auto"/>
      <w:ind w:firstLine="560" w:firstLineChars="200"/>
    </w:pPr>
    <w:rPr>
      <w:rFonts w:ascii="宋体" w:hAnsi="宋体" w:eastAsia="宋体" w:cs="宋体"/>
      <w:sz w:val="28"/>
      <w:szCs w:val="24"/>
      <w:lang w:val="en-US" w:eastAsia="zh-CN" w:bidi="ar-SA"/>
    </w:rPr>
  </w:style>
  <w:style w:type="paragraph" w:customStyle="1" w:styleId="4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4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4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4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46">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color w:val="000000"/>
      <w:kern w:val="0"/>
      <w:sz w:val="24"/>
    </w:rPr>
  </w:style>
  <w:style w:type="character" w:customStyle="1" w:styleId="47">
    <w:name w:val="批注框文本 字符"/>
    <w:basedOn w:val="31"/>
    <w:link w:val="19"/>
    <w:qFormat/>
    <w:uiPriority w:val="99"/>
    <w:rPr>
      <w:kern w:val="2"/>
      <w:sz w:val="18"/>
      <w:szCs w:val="18"/>
    </w:rPr>
  </w:style>
  <w:style w:type="paragraph" w:customStyle="1" w:styleId="48">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49">
    <w:name w:val="标题 3 字符"/>
    <w:basedOn w:val="31"/>
    <w:link w:val="5"/>
    <w:qFormat/>
    <w:uiPriority w:val="9"/>
    <w:rPr>
      <w:b/>
      <w:bCs/>
      <w:kern w:val="2"/>
      <w:sz w:val="32"/>
      <w:szCs w:val="32"/>
    </w:rPr>
  </w:style>
  <w:style w:type="character" w:customStyle="1" w:styleId="50">
    <w:name w:val="批注文字 字符"/>
    <w:basedOn w:val="31"/>
    <w:link w:val="13"/>
    <w:qFormat/>
    <w:uiPriority w:val="99"/>
    <w:rPr>
      <w:kern w:val="2"/>
      <w:sz w:val="21"/>
      <w:szCs w:val="24"/>
    </w:rPr>
  </w:style>
  <w:style w:type="character" w:customStyle="1" w:styleId="51">
    <w:name w:val="批注主题 字符"/>
    <w:basedOn w:val="50"/>
    <w:link w:val="26"/>
    <w:qFormat/>
    <w:uiPriority w:val="99"/>
    <w:rPr>
      <w:b/>
      <w:bCs/>
      <w:kern w:val="2"/>
      <w:sz w:val="21"/>
      <w:szCs w:val="24"/>
    </w:rPr>
  </w:style>
  <w:style w:type="paragraph" w:customStyle="1" w:styleId="52">
    <w:name w:val="图标题"/>
    <w:basedOn w:val="12"/>
    <w:link w:val="53"/>
    <w:qFormat/>
    <w:uiPriority w:val="0"/>
    <w:pPr>
      <w:spacing w:line="360" w:lineRule="auto"/>
      <w:jc w:val="center"/>
    </w:pPr>
    <w:rPr>
      <w:rFonts w:ascii="黑体" w:hAnsi="黑体"/>
      <w:sz w:val="24"/>
      <w:szCs w:val="24"/>
    </w:rPr>
  </w:style>
  <w:style w:type="character" w:customStyle="1" w:styleId="53">
    <w:name w:val="图标题 字符"/>
    <w:basedOn w:val="31"/>
    <w:link w:val="52"/>
    <w:qFormat/>
    <w:uiPriority w:val="0"/>
    <w:rPr>
      <w:rFonts w:ascii="黑体" w:hAnsi="黑体" w:eastAsia="黑体" w:cstheme="majorBidi"/>
      <w:kern w:val="2"/>
      <w:sz w:val="24"/>
      <w:szCs w:val="24"/>
    </w:rPr>
  </w:style>
  <w:style w:type="character" w:customStyle="1" w:styleId="54">
    <w:name w:val="标题 1 字符"/>
    <w:basedOn w:val="31"/>
    <w:link w:val="2"/>
    <w:qFormat/>
    <w:uiPriority w:val="9"/>
    <w:rPr>
      <w:rFonts w:ascii="Tahoma" w:hAnsi="Tahoma" w:eastAsia="黑体"/>
      <w:kern w:val="44"/>
      <w:sz w:val="44"/>
      <w14:shadow w14:blurRad="50800" w14:dist="38100" w14:dir="2700000" w14:sx="100000" w14:sy="100000" w14:kx="0" w14:ky="0" w14:algn="tl">
        <w14:srgbClr w14:val="000000">
          <w14:alpha w14:val="60000"/>
        </w14:srgbClr>
      </w14:shadow>
    </w:rPr>
  </w:style>
  <w:style w:type="character" w:customStyle="1" w:styleId="55">
    <w:name w:val="标题 4 字符"/>
    <w:basedOn w:val="31"/>
    <w:link w:val="6"/>
    <w:qFormat/>
    <w:uiPriority w:val="9"/>
    <w:rPr>
      <w:rFonts w:ascii="Arial" w:hAnsi="Arial" w:eastAsia="黑体"/>
      <w:bCs/>
      <w:kern w:val="44"/>
      <w:sz w:val="24"/>
      <w:szCs w:val="32"/>
    </w:rPr>
  </w:style>
  <w:style w:type="character" w:customStyle="1" w:styleId="56">
    <w:name w:val="标题 5 字符"/>
    <w:basedOn w:val="31"/>
    <w:link w:val="7"/>
    <w:qFormat/>
    <w:uiPriority w:val="9"/>
    <w:rPr>
      <w:rFonts w:ascii="Arial" w:hAnsi="Arial" w:eastAsia="黑体"/>
      <w:kern w:val="44"/>
      <w:sz w:val="24"/>
    </w:rPr>
  </w:style>
  <w:style w:type="character" w:customStyle="1" w:styleId="57">
    <w:name w:val="标题 6 字符"/>
    <w:basedOn w:val="31"/>
    <w:link w:val="8"/>
    <w:qFormat/>
    <w:uiPriority w:val="9"/>
    <w:rPr>
      <w:rFonts w:asciiTheme="majorHAnsi" w:hAnsiTheme="majorHAnsi" w:eastAsiaTheme="majorEastAsia" w:cstheme="majorBidi"/>
      <w:b/>
      <w:bCs/>
      <w:kern w:val="2"/>
      <w:sz w:val="24"/>
      <w:szCs w:val="24"/>
    </w:rPr>
  </w:style>
  <w:style w:type="character" w:customStyle="1" w:styleId="58">
    <w:name w:val="标题 7 字符"/>
    <w:basedOn w:val="31"/>
    <w:link w:val="9"/>
    <w:qFormat/>
    <w:uiPriority w:val="9"/>
    <w:rPr>
      <w:rFonts w:ascii="仿宋_GB2312" w:hAnsi="仿宋_GB2312" w:eastAsia="仿宋_GB2312" w:cstheme="minorBidi"/>
      <w:b/>
      <w:bCs/>
      <w:kern w:val="2"/>
      <w:sz w:val="24"/>
      <w:szCs w:val="24"/>
    </w:rPr>
  </w:style>
  <w:style w:type="character" w:customStyle="1" w:styleId="59">
    <w:name w:val="标题 8 字符"/>
    <w:basedOn w:val="31"/>
    <w:link w:val="10"/>
    <w:qFormat/>
    <w:uiPriority w:val="9"/>
    <w:rPr>
      <w:rFonts w:ascii="仿宋_GB2312" w:hAnsi="仿宋_GB2312" w:eastAsia="仿宋_GB2312" w:cstheme="majorBidi"/>
      <w:b/>
      <w:kern w:val="2"/>
      <w:sz w:val="24"/>
      <w:szCs w:val="24"/>
    </w:rPr>
  </w:style>
  <w:style w:type="character" w:customStyle="1" w:styleId="60">
    <w:name w:val="标题 9 字符"/>
    <w:basedOn w:val="31"/>
    <w:link w:val="11"/>
    <w:qFormat/>
    <w:uiPriority w:val="9"/>
    <w:rPr>
      <w:rFonts w:asciiTheme="majorHAnsi" w:hAnsiTheme="majorHAnsi" w:eastAsiaTheme="majorEastAsia" w:cstheme="majorBidi"/>
      <w:kern w:val="2"/>
      <w:sz w:val="24"/>
      <w:szCs w:val="21"/>
    </w:rPr>
  </w:style>
  <w:style w:type="character" w:customStyle="1" w:styleId="61">
    <w:name w:val="日期 字符"/>
    <w:basedOn w:val="31"/>
    <w:link w:val="18"/>
    <w:qFormat/>
    <w:uiPriority w:val="0"/>
    <w:rPr>
      <w:rFonts w:ascii="宋体" w:hAnsi="宋体" w:cs="宋体"/>
      <w:sz w:val="24"/>
      <w:szCs w:val="24"/>
    </w:rPr>
  </w:style>
  <w:style w:type="character" w:customStyle="1" w:styleId="62">
    <w:name w:val="标题 字符"/>
    <w:basedOn w:val="31"/>
    <w:link w:val="25"/>
    <w:qFormat/>
    <w:uiPriority w:val="0"/>
    <w:rPr>
      <w:rFonts w:ascii="Arial" w:hAnsi="Arial" w:eastAsia="黑体"/>
      <w:b/>
      <w:bCs/>
      <w:kern w:val="2"/>
      <w:sz w:val="44"/>
      <w:szCs w:val="32"/>
      <w:lang w:val="zh-CN"/>
    </w:rPr>
  </w:style>
  <w:style w:type="character" w:customStyle="1" w:styleId="63">
    <w:name w:val="正文文本 字符"/>
    <w:basedOn w:val="31"/>
    <w:link w:val="14"/>
    <w:qFormat/>
    <w:uiPriority w:val="0"/>
    <w:rPr>
      <w:kern w:val="2"/>
      <w:sz w:val="21"/>
      <w:szCs w:val="24"/>
    </w:rPr>
  </w:style>
  <w:style w:type="character" w:customStyle="1" w:styleId="64">
    <w:name w:val="正文文本首行缩进 字符"/>
    <w:basedOn w:val="63"/>
    <w:link w:val="27"/>
    <w:qFormat/>
    <w:uiPriority w:val="99"/>
    <w:rPr>
      <w:rFonts w:asciiTheme="minorHAnsi" w:hAnsiTheme="minorHAnsi" w:cstheme="minorBidi"/>
      <w:kern w:val="2"/>
      <w:sz w:val="24"/>
      <w:szCs w:val="22"/>
    </w:rPr>
  </w:style>
  <w:style w:type="character" w:customStyle="1" w:styleId="65">
    <w:name w:val="正文缩进 字符"/>
    <w:link w:val="3"/>
    <w:qFormat/>
    <w:locked/>
    <w:uiPriority w:val="0"/>
    <w:rPr>
      <w:rFonts w:ascii="宋体" w:hAnsi="宋体"/>
      <w:color w:val="000000" w:themeColor="text1"/>
      <w:kern w:val="2"/>
      <w:sz w:val="24"/>
      <w:szCs w:val="24"/>
      <w14:textFill>
        <w14:solidFill>
          <w14:schemeClr w14:val="tx1"/>
        </w14:solidFill>
      </w14:textFill>
    </w:rPr>
  </w:style>
  <w:style w:type="character" w:customStyle="1" w:styleId="66">
    <w:name w:val="标题 2 字符"/>
    <w:basedOn w:val="31"/>
    <w:link w:val="4"/>
    <w:qFormat/>
    <w:uiPriority w:val="9"/>
    <w:rPr>
      <w:rFonts w:ascii="Arial" w:hAnsi="Arial" w:eastAsia="黑体"/>
      <w:b/>
      <w:bCs/>
      <w:kern w:val="2"/>
      <w:sz w:val="32"/>
      <w:szCs w:val="32"/>
    </w:rPr>
  </w:style>
  <w:style w:type="character" w:customStyle="1" w:styleId="67">
    <w:name w:val="页眉 字符"/>
    <w:basedOn w:val="31"/>
    <w:link w:val="21"/>
    <w:qFormat/>
    <w:uiPriority w:val="99"/>
    <w:rPr>
      <w:kern w:val="2"/>
      <w:sz w:val="18"/>
      <w:szCs w:val="24"/>
    </w:rPr>
  </w:style>
  <w:style w:type="character" w:customStyle="1" w:styleId="68">
    <w:name w:val="页脚 字符"/>
    <w:basedOn w:val="31"/>
    <w:link w:val="20"/>
    <w:qFormat/>
    <w:uiPriority w:val="99"/>
    <w:rPr>
      <w:kern w:val="2"/>
      <w:sz w:val="18"/>
      <w:szCs w:val="24"/>
    </w:rPr>
  </w:style>
  <w:style w:type="paragraph" w:customStyle="1" w:styleId="69">
    <w:name w:val="图例编号"/>
    <w:basedOn w:val="1"/>
    <w:next w:val="3"/>
    <w:qFormat/>
    <w:uiPriority w:val="0"/>
    <w:pPr>
      <w:spacing w:after="156" w:afterLines="50" w:line="300" w:lineRule="auto"/>
      <w:jc w:val="center"/>
    </w:pPr>
    <w:rPr>
      <w:sz w:val="24"/>
      <w:szCs w:val="20"/>
    </w:rPr>
  </w:style>
  <w:style w:type="paragraph" w:customStyle="1" w:styleId="70">
    <w:name w:val="方案正文"/>
    <w:basedOn w:val="1"/>
    <w:qFormat/>
    <w:uiPriority w:val="0"/>
    <w:pPr>
      <w:spacing w:line="360" w:lineRule="auto"/>
    </w:pPr>
    <w:rPr>
      <w:rFonts w:eastAsia="仿宋_GB2312"/>
      <w:sz w:val="24"/>
      <w:szCs w:val="21"/>
    </w:rPr>
  </w:style>
  <w:style w:type="paragraph" w:customStyle="1" w:styleId="71">
    <w:name w:val="my正文"/>
    <w:basedOn w:val="1"/>
    <w:link w:val="72"/>
    <w:qFormat/>
    <w:uiPriority w:val="0"/>
    <w:pPr>
      <w:widowControl/>
      <w:ind w:firstLine="480" w:firstLineChars="200"/>
    </w:pPr>
    <w:rPr>
      <w:kern w:val="0"/>
      <w:sz w:val="24"/>
      <w:szCs w:val="20"/>
    </w:rPr>
  </w:style>
  <w:style w:type="character" w:customStyle="1" w:styleId="72">
    <w:name w:val="my正文 Char"/>
    <w:link w:val="71"/>
    <w:qFormat/>
    <w:uiPriority w:val="0"/>
    <w:rPr>
      <w:sz w:val="24"/>
    </w:rPr>
  </w:style>
  <w:style w:type="character" w:customStyle="1" w:styleId="73">
    <w:name w:val="页脚 字符1"/>
    <w:basedOn w:val="31"/>
    <w:qFormat/>
    <w:uiPriority w:val="99"/>
    <w:rPr>
      <w:sz w:val="18"/>
      <w:szCs w:val="18"/>
    </w:rPr>
  </w:style>
  <w:style w:type="paragraph" w:customStyle="1" w:styleId="74">
    <w:name w:val="标题4"/>
    <w:basedOn w:val="38"/>
    <w:next w:val="1"/>
    <w:link w:val="75"/>
    <w:qFormat/>
    <w:uiPriority w:val="0"/>
    <w:pPr>
      <w:keepNext/>
      <w:keepLines/>
      <w:widowControl/>
      <w:tabs>
        <w:tab w:val="left" w:pos="1440"/>
      </w:tabs>
      <w:adjustRightInd w:val="0"/>
      <w:spacing w:line="360" w:lineRule="auto"/>
      <w:ind w:firstLine="0" w:firstLineChars="0"/>
      <w:jc w:val="left"/>
      <w:outlineLvl w:val="3"/>
    </w:pPr>
    <w:rPr>
      <w:rFonts w:ascii="黑体" w:eastAsia="黑体" w:cs="宋体"/>
      <w:kern w:val="0"/>
      <w:sz w:val="28"/>
      <w:szCs w:val="22"/>
    </w:rPr>
  </w:style>
  <w:style w:type="character" w:customStyle="1" w:styleId="75">
    <w:name w:val="标题4 字符"/>
    <w:basedOn w:val="31"/>
    <w:link w:val="74"/>
    <w:qFormat/>
    <w:uiPriority w:val="0"/>
    <w:rPr>
      <w:rFonts w:ascii="黑体" w:eastAsia="黑体" w:cs="宋体"/>
      <w:sz w:val="28"/>
      <w:szCs w:val="22"/>
    </w:rPr>
  </w:style>
  <w:style w:type="paragraph" w:customStyle="1" w:styleId="76">
    <w:name w:val="标题5"/>
    <w:basedOn w:val="38"/>
    <w:next w:val="1"/>
    <w:link w:val="77"/>
    <w:qFormat/>
    <w:uiPriority w:val="0"/>
    <w:pPr>
      <w:keepNext/>
      <w:keepLines/>
      <w:widowControl/>
      <w:tabs>
        <w:tab w:val="left" w:pos="1680"/>
      </w:tabs>
      <w:spacing w:line="360" w:lineRule="auto"/>
      <w:ind w:firstLine="0" w:firstLineChars="0"/>
      <w:jc w:val="left"/>
      <w:outlineLvl w:val="4"/>
    </w:pPr>
    <w:rPr>
      <w:rFonts w:ascii="黑体" w:eastAsia="黑体" w:cs="宋体"/>
      <w:b/>
      <w:kern w:val="0"/>
      <w:sz w:val="30"/>
    </w:rPr>
  </w:style>
  <w:style w:type="character" w:customStyle="1" w:styleId="77">
    <w:name w:val="标题5 字符"/>
    <w:basedOn w:val="31"/>
    <w:link w:val="76"/>
    <w:qFormat/>
    <w:uiPriority w:val="0"/>
    <w:rPr>
      <w:rFonts w:ascii="黑体" w:eastAsia="黑体" w:cs="宋体"/>
      <w:b/>
      <w:sz w:val="30"/>
      <w:szCs w:val="24"/>
    </w:rPr>
  </w:style>
  <w:style w:type="character" w:customStyle="1" w:styleId="78">
    <w:name w:val="页眉 字符1"/>
    <w:basedOn w:val="31"/>
    <w:qFormat/>
    <w:uiPriority w:val="99"/>
    <w:rPr>
      <w:sz w:val="18"/>
      <w:szCs w:val="18"/>
    </w:rPr>
  </w:style>
  <w:style w:type="paragraph" w:customStyle="1" w:styleId="79">
    <w:name w:val="TOC 标题1"/>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color w:val="2E75B6" w:themeColor="accent1" w:themeShade="BF"/>
      <w:kern w:val="0"/>
      <w:sz w:val="32"/>
      <w:szCs w:val="32"/>
      <w14:shadow w14:blurRad="0" w14:dist="0" w14:dir="0" w14:sx="0" w14:sy="0" w14:kx="0" w14:ky="0" w14:algn="none">
        <w14:srgbClr w14:val="000000"/>
      </w14:shadow>
    </w:rPr>
  </w:style>
  <w:style w:type="paragraph" w:customStyle="1" w:styleId="80">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81">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2">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8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幼圆" w:hAnsi="宋体" w:eastAsia="幼圆" w:cs="宋体"/>
      <w:kern w:val="0"/>
      <w:sz w:val="20"/>
      <w:szCs w:val="20"/>
    </w:rPr>
  </w:style>
  <w:style w:type="paragraph" w:customStyle="1" w:styleId="8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85">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8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幼圆" w:hAnsi="宋体" w:eastAsia="幼圆" w:cs="宋体"/>
      <w:kern w:val="0"/>
      <w:sz w:val="20"/>
      <w:szCs w:val="20"/>
    </w:rPr>
  </w:style>
  <w:style w:type="paragraph" w:customStyle="1" w:styleId="8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幼圆" w:hAnsi="宋体" w:eastAsia="幼圆" w:cs="宋体"/>
      <w:color w:val="000000"/>
      <w:kern w:val="0"/>
      <w:sz w:val="20"/>
      <w:szCs w:val="20"/>
    </w:rPr>
  </w:style>
  <w:style w:type="paragraph" w:customStyle="1" w:styleId="8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幼圆" w:hAnsi="宋体" w:eastAsia="幼圆" w:cs="宋体"/>
      <w:color w:val="000000"/>
      <w:kern w:val="0"/>
      <w:sz w:val="20"/>
      <w:szCs w:val="20"/>
    </w:rPr>
  </w:style>
  <w:style w:type="paragraph" w:customStyle="1" w:styleId="89">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9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幼圆" w:hAnsi="宋体" w:eastAsia="幼圆" w:cs="宋体"/>
      <w:b/>
      <w:bCs/>
      <w:kern w:val="0"/>
      <w:sz w:val="20"/>
      <w:szCs w:val="20"/>
    </w:rPr>
  </w:style>
  <w:style w:type="paragraph" w:customStyle="1" w:styleId="9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幼圆" w:hAnsi="宋体" w:eastAsia="幼圆" w:cs="宋体"/>
      <w:b/>
      <w:bCs/>
      <w:color w:val="000000"/>
      <w:kern w:val="0"/>
      <w:sz w:val="20"/>
      <w:szCs w:val="20"/>
    </w:rPr>
  </w:style>
  <w:style w:type="paragraph" w:customStyle="1" w:styleId="9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幼圆" w:hAnsi="宋体" w:eastAsia="幼圆" w:cs="宋体"/>
      <w:b/>
      <w:bCs/>
      <w:color w:val="000000"/>
      <w:kern w:val="0"/>
      <w:sz w:val="20"/>
      <w:szCs w:val="20"/>
    </w:rPr>
  </w:style>
  <w:style w:type="paragraph" w:customStyle="1" w:styleId="93">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幼圆" w:hAnsi="宋体" w:eastAsia="幼圆" w:cs="宋体"/>
      <w:color w:val="000000"/>
      <w:kern w:val="0"/>
      <w:sz w:val="20"/>
      <w:szCs w:val="20"/>
    </w:rPr>
  </w:style>
  <w:style w:type="paragraph" w:customStyle="1" w:styleId="9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95">
    <w:name w:val="xl88"/>
    <w:basedOn w:val="1"/>
    <w:qFormat/>
    <w:uiPriority w:val="0"/>
    <w:pPr>
      <w:widowControl/>
      <w:pBdr>
        <w:top w:val="single" w:color="auto" w:sz="4" w:space="0"/>
        <w:left w:val="single" w:color="auto" w:sz="4" w:space="0"/>
        <w:bottom w:val="single" w:color="auto" w:sz="4" w:space="0"/>
      </w:pBdr>
      <w:shd w:val="clear" w:color="000000" w:fill="00B05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96">
    <w:name w:val="xl89"/>
    <w:basedOn w:val="1"/>
    <w:qFormat/>
    <w:uiPriority w:val="0"/>
    <w:pPr>
      <w:widowControl/>
      <w:pBdr>
        <w:top w:val="single" w:color="auto" w:sz="4" w:space="0"/>
        <w:bottom w:val="single" w:color="auto" w:sz="4" w:space="0"/>
        <w:right w:val="single" w:color="auto" w:sz="4" w:space="0"/>
      </w:pBdr>
      <w:shd w:val="clear" w:color="000000" w:fill="00B05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97">
    <w:name w:val="xl90"/>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98">
    <w:name w:val="xl91"/>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99">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100">
    <w:name w:val="xl93"/>
    <w:basedOn w:val="1"/>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jc w:val="left"/>
      <w:textAlignment w:val="center"/>
    </w:pPr>
    <w:rPr>
      <w:rFonts w:ascii="幼圆" w:hAnsi="宋体" w:eastAsia="幼圆" w:cs="宋体"/>
      <w:b/>
      <w:bCs/>
      <w:kern w:val="0"/>
      <w:sz w:val="20"/>
      <w:szCs w:val="20"/>
    </w:rPr>
  </w:style>
  <w:style w:type="paragraph" w:customStyle="1" w:styleId="101">
    <w:name w:val="xl94"/>
    <w:basedOn w:val="1"/>
    <w:qFormat/>
    <w:uiPriority w:val="0"/>
    <w:pPr>
      <w:widowControl/>
      <w:pBdr>
        <w:top w:val="single" w:color="auto" w:sz="4" w:space="0"/>
        <w:bottom w:val="single" w:color="auto" w:sz="4" w:space="0"/>
      </w:pBdr>
      <w:shd w:val="clear" w:color="000000" w:fill="92D050"/>
      <w:spacing w:before="100" w:beforeAutospacing="1" w:after="100" w:afterAutospacing="1"/>
      <w:jc w:val="left"/>
      <w:textAlignment w:val="center"/>
    </w:pPr>
    <w:rPr>
      <w:rFonts w:ascii="幼圆" w:hAnsi="宋体" w:eastAsia="幼圆" w:cs="宋体"/>
      <w:b/>
      <w:bCs/>
      <w:kern w:val="0"/>
      <w:sz w:val="20"/>
      <w:szCs w:val="20"/>
    </w:rPr>
  </w:style>
  <w:style w:type="paragraph" w:customStyle="1" w:styleId="102">
    <w:name w:val="xl95"/>
    <w:basedOn w:val="1"/>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jc w:val="left"/>
      <w:textAlignment w:val="center"/>
    </w:pPr>
    <w:rPr>
      <w:rFonts w:ascii="幼圆" w:hAnsi="宋体" w:eastAsia="幼圆" w:cs="宋体"/>
      <w:b/>
      <w:bCs/>
      <w:kern w:val="0"/>
      <w:sz w:val="20"/>
      <w:szCs w:val="20"/>
    </w:rPr>
  </w:style>
  <w:style w:type="paragraph" w:customStyle="1" w:styleId="103">
    <w:name w:val="xl96"/>
    <w:basedOn w:val="1"/>
    <w:qFormat/>
    <w:uiPriority w:val="0"/>
    <w:pPr>
      <w:widowControl/>
      <w:pBdr>
        <w:top w:val="single" w:color="auto" w:sz="4" w:space="0"/>
        <w:bottom w:val="single" w:color="auto" w:sz="4" w:space="0"/>
      </w:pBdr>
      <w:shd w:val="clear" w:color="000000" w:fill="00B05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104">
    <w:name w:val="xl97"/>
    <w:basedOn w:val="1"/>
    <w:qFormat/>
    <w:uiPriority w:val="0"/>
    <w:pPr>
      <w:widowControl/>
      <w:pBdr>
        <w:top w:val="single" w:color="auto" w:sz="4" w:space="0"/>
        <w:bottom w:val="single" w:color="auto" w:sz="4" w:space="0"/>
      </w:pBdr>
      <w:shd w:val="clear" w:color="000000" w:fill="FFFF00"/>
      <w:spacing w:before="100" w:beforeAutospacing="1" w:after="100" w:afterAutospacing="1"/>
      <w:jc w:val="center"/>
      <w:textAlignment w:val="center"/>
    </w:pPr>
    <w:rPr>
      <w:rFonts w:ascii="幼圆" w:hAnsi="宋体" w:eastAsia="幼圆" w:cs="宋体"/>
      <w:b/>
      <w:bCs/>
      <w:kern w:val="0"/>
      <w:sz w:val="20"/>
      <w:szCs w:val="20"/>
    </w:rPr>
  </w:style>
  <w:style w:type="paragraph" w:customStyle="1" w:styleId="105">
    <w:name w:val="xl98"/>
    <w:basedOn w:val="1"/>
    <w:qFormat/>
    <w:uiPriority w:val="0"/>
    <w:pPr>
      <w:widowControl/>
      <w:pBdr>
        <w:top w:val="single" w:color="auto" w:sz="4" w:space="0"/>
        <w:left w:val="single" w:color="auto" w:sz="4" w:space="0"/>
        <w:bottom w:val="single" w:color="auto" w:sz="4" w:space="0"/>
      </w:pBdr>
      <w:shd w:val="clear" w:color="000000" w:fill="FFC000"/>
      <w:spacing w:before="100" w:beforeAutospacing="1" w:after="100" w:afterAutospacing="1"/>
      <w:jc w:val="left"/>
      <w:textAlignment w:val="center"/>
    </w:pPr>
    <w:rPr>
      <w:rFonts w:ascii="幼圆" w:hAnsi="宋体" w:eastAsia="幼圆" w:cs="宋体"/>
      <w:b/>
      <w:bCs/>
      <w:kern w:val="0"/>
      <w:sz w:val="20"/>
      <w:szCs w:val="20"/>
    </w:rPr>
  </w:style>
  <w:style w:type="paragraph" w:customStyle="1" w:styleId="106">
    <w:name w:val="xl99"/>
    <w:basedOn w:val="1"/>
    <w:qFormat/>
    <w:uiPriority w:val="0"/>
    <w:pPr>
      <w:widowControl/>
      <w:pBdr>
        <w:top w:val="single" w:color="auto" w:sz="4" w:space="0"/>
        <w:bottom w:val="single" w:color="auto" w:sz="4" w:space="0"/>
      </w:pBdr>
      <w:shd w:val="clear" w:color="000000" w:fill="FFC000"/>
      <w:spacing w:before="100" w:beforeAutospacing="1" w:after="100" w:afterAutospacing="1"/>
      <w:jc w:val="left"/>
      <w:textAlignment w:val="center"/>
    </w:pPr>
    <w:rPr>
      <w:rFonts w:ascii="幼圆" w:hAnsi="宋体" w:eastAsia="幼圆" w:cs="宋体"/>
      <w:b/>
      <w:bCs/>
      <w:kern w:val="0"/>
      <w:sz w:val="20"/>
      <w:szCs w:val="20"/>
    </w:rPr>
  </w:style>
  <w:style w:type="paragraph" w:customStyle="1" w:styleId="107">
    <w:name w:val="xl100"/>
    <w:basedOn w:val="1"/>
    <w:qFormat/>
    <w:uiPriority w:val="0"/>
    <w:pPr>
      <w:widowControl/>
      <w:pBdr>
        <w:top w:val="single" w:color="auto" w:sz="4" w:space="0"/>
        <w:bottom w:val="single" w:color="auto" w:sz="4" w:space="0"/>
        <w:right w:val="single" w:color="auto" w:sz="4" w:space="0"/>
      </w:pBdr>
      <w:shd w:val="clear" w:color="000000" w:fill="FFC000"/>
      <w:spacing w:before="100" w:beforeAutospacing="1" w:after="100" w:afterAutospacing="1"/>
      <w:jc w:val="left"/>
      <w:textAlignment w:val="center"/>
    </w:pPr>
    <w:rPr>
      <w:rFonts w:ascii="幼圆" w:hAnsi="宋体" w:eastAsia="幼圆" w:cs="宋体"/>
      <w:b/>
      <w:bCs/>
      <w:kern w:val="0"/>
      <w:sz w:val="20"/>
      <w:szCs w:val="20"/>
    </w:rPr>
  </w:style>
  <w:style w:type="paragraph" w:customStyle="1" w:styleId="108">
    <w:name w:val="列表段落2"/>
    <w:basedOn w:val="1"/>
    <w:link w:val="109"/>
    <w:qFormat/>
    <w:uiPriority w:val="34"/>
    <w:pPr>
      <w:ind w:firstLine="420" w:firstLineChars="200"/>
    </w:pPr>
    <w:rPr>
      <w:rFonts w:asciiTheme="minorHAnsi" w:hAnsiTheme="minorHAnsi" w:cstheme="minorBidi"/>
      <w:sz w:val="24"/>
      <w:szCs w:val="22"/>
    </w:rPr>
  </w:style>
  <w:style w:type="character" w:customStyle="1" w:styleId="109">
    <w:name w:val="列表段落 字符"/>
    <w:basedOn w:val="31"/>
    <w:link w:val="108"/>
    <w:qFormat/>
    <w:uiPriority w:val="34"/>
    <w:rPr>
      <w:rFonts w:asciiTheme="minorHAnsi" w:hAnsiTheme="minorHAnsi" w:cstheme="minorBidi"/>
      <w:kern w:val="2"/>
      <w:sz w:val="24"/>
      <w:szCs w:val="22"/>
    </w:rPr>
  </w:style>
  <w:style w:type="paragraph" w:customStyle="1" w:styleId="110">
    <w:name w:val="样式1"/>
    <w:basedOn w:val="1"/>
    <w:qFormat/>
    <w:uiPriority w:val="0"/>
    <w:pPr>
      <w:widowControl/>
      <w:adjustRightInd w:val="0"/>
      <w:spacing w:line="360" w:lineRule="auto"/>
      <w:ind w:firstLine="560"/>
    </w:pPr>
    <w:rPr>
      <w:rFonts w:ascii="仿宋_GB2312" w:hAnsi="仿宋_GB2312" w:eastAsia="仿宋_GB2312"/>
      <w:kern w:val="0"/>
      <w:sz w:val="24"/>
      <w:szCs w:val="28"/>
    </w:rPr>
  </w:style>
  <w:style w:type="paragraph" w:customStyle="1" w:styleId="11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2">
    <w:name w:val="xl7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20"/>
      <w:szCs w:val="20"/>
    </w:rPr>
  </w:style>
  <w:style w:type="paragraph" w:customStyle="1" w:styleId="11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b/>
      <w:bCs/>
      <w:kern w:val="0"/>
      <w:sz w:val="20"/>
      <w:szCs w:val="20"/>
    </w:rPr>
  </w:style>
  <w:style w:type="paragraph" w:customStyle="1" w:styleId="11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1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6">
    <w:name w:val="xl101"/>
    <w:basedOn w:val="1"/>
    <w:qFormat/>
    <w:uiPriority w:val="0"/>
    <w:pPr>
      <w:widowControl/>
      <w:pBdr>
        <w:top w:val="single" w:color="auto" w:sz="4" w:space="0"/>
        <w:left w:val="single" w:color="auto" w:sz="8" w:space="0"/>
        <w:bottom w:val="single" w:color="auto" w:sz="4" w:space="0"/>
        <w:right w:val="single" w:color="auto" w:sz="4" w:space="0"/>
      </w:pBdr>
      <w:shd w:val="clear" w:color="000000" w:fill="00B0F0"/>
      <w:spacing w:before="100" w:beforeAutospacing="1" w:after="100" w:afterAutospacing="1"/>
      <w:jc w:val="center"/>
      <w:textAlignment w:val="center"/>
    </w:pPr>
    <w:rPr>
      <w:rFonts w:ascii="宋体" w:hAnsi="宋体" w:cs="宋体"/>
      <w:b/>
      <w:bCs/>
      <w:kern w:val="0"/>
      <w:sz w:val="20"/>
      <w:szCs w:val="20"/>
    </w:rPr>
  </w:style>
  <w:style w:type="paragraph" w:customStyle="1" w:styleId="117">
    <w:name w:val="xl102"/>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kern w:val="0"/>
      <w:sz w:val="20"/>
      <w:szCs w:val="20"/>
    </w:rPr>
  </w:style>
  <w:style w:type="paragraph" w:customStyle="1" w:styleId="118">
    <w:name w:val="xl10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9">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0">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1">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3">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4">
    <w:name w:val="xl109"/>
    <w:basedOn w:val="1"/>
    <w:qFormat/>
    <w:uiPriority w:val="0"/>
    <w:pPr>
      <w:widowControl/>
      <w:pBdr>
        <w:top w:val="single" w:color="auto" w:sz="4" w:space="0"/>
        <w:left w:val="single" w:color="auto" w:sz="8" w:space="0"/>
        <w:bottom w:val="single" w:color="auto" w:sz="8" w:space="0"/>
        <w:right w:val="single" w:color="auto" w:sz="4" w:space="0"/>
      </w:pBdr>
      <w:shd w:val="clear" w:color="000000" w:fill="00B0F0"/>
      <w:spacing w:before="100" w:beforeAutospacing="1" w:after="100" w:afterAutospacing="1"/>
      <w:jc w:val="center"/>
      <w:textAlignment w:val="center"/>
    </w:pPr>
    <w:rPr>
      <w:rFonts w:ascii="宋体" w:hAnsi="宋体" w:cs="宋体"/>
      <w:b/>
      <w:bCs/>
      <w:kern w:val="0"/>
      <w:sz w:val="20"/>
      <w:szCs w:val="20"/>
    </w:rPr>
  </w:style>
  <w:style w:type="paragraph" w:customStyle="1" w:styleId="125">
    <w:name w:val="xl110"/>
    <w:basedOn w:val="1"/>
    <w:qFormat/>
    <w:uiPriority w:val="0"/>
    <w:pPr>
      <w:widowControl/>
      <w:pBdr>
        <w:top w:val="single" w:color="auto" w:sz="4" w:space="0"/>
        <w:left w:val="single" w:color="auto" w:sz="8" w:space="0"/>
        <w:bottom w:val="single" w:color="auto" w:sz="4" w:space="0"/>
        <w:right w:val="single" w:color="auto" w:sz="4" w:space="0"/>
      </w:pBdr>
      <w:shd w:val="clear" w:color="000000" w:fill="92D050"/>
      <w:spacing w:before="100" w:beforeAutospacing="1" w:after="100" w:afterAutospacing="1"/>
      <w:jc w:val="left"/>
      <w:textAlignment w:val="center"/>
    </w:pPr>
    <w:rPr>
      <w:rFonts w:ascii="宋体" w:hAnsi="宋体" w:cs="宋体"/>
      <w:b/>
      <w:bCs/>
      <w:kern w:val="0"/>
      <w:sz w:val="20"/>
      <w:szCs w:val="20"/>
    </w:rPr>
  </w:style>
  <w:style w:type="paragraph" w:customStyle="1" w:styleId="126">
    <w:name w:val="xl111"/>
    <w:basedOn w:val="1"/>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textAlignment w:val="center"/>
    </w:pPr>
    <w:rPr>
      <w:rFonts w:ascii="宋体" w:hAnsi="宋体" w:cs="宋体"/>
      <w:b/>
      <w:bCs/>
      <w:kern w:val="0"/>
      <w:sz w:val="20"/>
      <w:szCs w:val="20"/>
    </w:rPr>
  </w:style>
  <w:style w:type="paragraph" w:customStyle="1" w:styleId="127">
    <w:name w:val="xl112"/>
    <w:basedOn w:val="1"/>
    <w:qFormat/>
    <w:uiPriority w:val="0"/>
    <w:pPr>
      <w:widowControl/>
      <w:pBdr>
        <w:top w:val="single" w:color="auto" w:sz="4" w:space="0"/>
        <w:left w:val="single" w:color="auto" w:sz="4" w:space="0"/>
        <w:bottom w:val="single" w:color="auto" w:sz="4" w:space="0"/>
        <w:right w:val="single" w:color="auto" w:sz="8" w:space="0"/>
      </w:pBdr>
      <w:shd w:val="clear" w:color="000000" w:fill="92D050"/>
      <w:spacing w:before="100" w:beforeAutospacing="1" w:after="100" w:afterAutospacing="1"/>
      <w:jc w:val="left"/>
      <w:textAlignment w:val="center"/>
    </w:pPr>
    <w:rPr>
      <w:rFonts w:ascii="宋体" w:hAnsi="宋体" w:cs="宋体"/>
      <w:b/>
      <w:bCs/>
      <w:kern w:val="0"/>
      <w:sz w:val="20"/>
      <w:szCs w:val="20"/>
    </w:rPr>
  </w:style>
  <w:style w:type="paragraph" w:customStyle="1" w:styleId="128">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textAlignment w:val="center"/>
    </w:pPr>
    <w:rPr>
      <w:rFonts w:ascii="宋体" w:hAnsi="宋体" w:cs="宋体"/>
      <w:b/>
      <w:bCs/>
      <w:kern w:val="0"/>
      <w:sz w:val="20"/>
      <w:szCs w:val="20"/>
    </w:rPr>
  </w:style>
  <w:style w:type="paragraph" w:customStyle="1" w:styleId="129">
    <w:name w:val="xl114"/>
    <w:basedOn w:val="1"/>
    <w:qFormat/>
    <w:uiPriority w:val="0"/>
    <w:pPr>
      <w:widowControl/>
      <w:pBdr>
        <w:top w:val="single" w:color="auto" w:sz="4" w:space="0"/>
        <w:left w:val="single" w:color="auto" w:sz="4" w:space="0"/>
        <w:bottom w:val="single" w:color="auto" w:sz="4" w:space="0"/>
        <w:right w:val="single" w:color="auto" w:sz="8" w:space="0"/>
      </w:pBdr>
      <w:shd w:val="clear" w:color="000000" w:fill="FFC000"/>
      <w:spacing w:before="100" w:beforeAutospacing="1" w:after="100" w:afterAutospacing="1"/>
      <w:jc w:val="left"/>
      <w:textAlignment w:val="center"/>
    </w:pPr>
    <w:rPr>
      <w:rFonts w:ascii="宋体" w:hAnsi="宋体" w:cs="宋体"/>
      <w:b/>
      <w:bCs/>
      <w:kern w:val="0"/>
      <w:sz w:val="20"/>
      <w:szCs w:val="20"/>
    </w:rPr>
  </w:style>
  <w:style w:type="paragraph" w:customStyle="1" w:styleId="130">
    <w:name w:val="xl115"/>
    <w:basedOn w:val="1"/>
    <w:qFormat/>
    <w:uiPriority w:val="0"/>
    <w:pPr>
      <w:widowControl/>
      <w:pBdr>
        <w:top w:val="single" w:color="auto" w:sz="8" w:space="0"/>
        <w:left w:val="single" w:color="auto" w:sz="4" w:space="0"/>
        <w:bottom w:val="single" w:color="auto" w:sz="4" w:space="0"/>
        <w:right w:val="single" w:color="auto" w:sz="8" w:space="0"/>
      </w:pBdr>
      <w:shd w:val="clear" w:color="000000" w:fill="00B0F0"/>
      <w:spacing w:before="100" w:beforeAutospacing="1" w:after="100" w:afterAutospacing="1"/>
      <w:jc w:val="center"/>
      <w:textAlignment w:val="center"/>
    </w:pPr>
    <w:rPr>
      <w:rFonts w:ascii="宋体" w:hAnsi="宋体" w:cs="宋体"/>
      <w:b/>
      <w:bCs/>
      <w:kern w:val="0"/>
      <w:sz w:val="20"/>
      <w:szCs w:val="20"/>
    </w:rPr>
  </w:style>
  <w:style w:type="paragraph" w:customStyle="1" w:styleId="131">
    <w:name w:val="xl116"/>
    <w:basedOn w:val="1"/>
    <w:qFormat/>
    <w:uiPriority w:val="0"/>
    <w:pPr>
      <w:widowControl/>
      <w:pBdr>
        <w:top w:val="single" w:color="auto" w:sz="4" w:space="0"/>
        <w:left w:val="single" w:color="auto" w:sz="4" w:space="0"/>
        <w:bottom w:val="single" w:color="auto" w:sz="4" w:space="0"/>
        <w:right w:val="single" w:color="auto" w:sz="8" w:space="0"/>
      </w:pBdr>
      <w:shd w:val="clear" w:color="000000" w:fill="00B0F0"/>
      <w:spacing w:before="100" w:beforeAutospacing="1" w:after="100" w:afterAutospacing="1"/>
      <w:jc w:val="center"/>
      <w:textAlignment w:val="center"/>
    </w:pPr>
    <w:rPr>
      <w:rFonts w:ascii="宋体" w:hAnsi="宋体" w:cs="宋体"/>
      <w:b/>
      <w:bCs/>
      <w:kern w:val="0"/>
      <w:sz w:val="20"/>
      <w:szCs w:val="20"/>
    </w:rPr>
  </w:style>
  <w:style w:type="paragraph" w:customStyle="1" w:styleId="132">
    <w:name w:val="xl117"/>
    <w:basedOn w:val="1"/>
    <w:qFormat/>
    <w:uiPriority w:val="0"/>
    <w:pPr>
      <w:widowControl/>
      <w:pBdr>
        <w:top w:val="single" w:color="auto" w:sz="8" w:space="0"/>
        <w:left w:val="single" w:color="auto" w:sz="8" w:space="0"/>
        <w:bottom w:val="single" w:color="auto" w:sz="4" w:space="0"/>
        <w:right w:val="single" w:color="auto" w:sz="4" w:space="0"/>
      </w:pBdr>
      <w:shd w:val="clear" w:color="000000" w:fill="00B0F0"/>
      <w:spacing w:before="100" w:beforeAutospacing="1" w:after="100" w:afterAutospacing="1"/>
      <w:jc w:val="center"/>
      <w:textAlignment w:val="center"/>
    </w:pPr>
    <w:rPr>
      <w:rFonts w:ascii="宋体" w:hAnsi="宋体" w:cs="宋体"/>
      <w:b/>
      <w:bCs/>
      <w:kern w:val="0"/>
      <w:sz w:val="20"/>
      <w:szCs w:val="20"/>
    </w:rPr>
  </w:style>
  <w:style w:type="paragraph" w:customStyle="1" w:styleId="133">
    <w:name w:val="xl118"/>
    <w:basedOn w:val="1"/>
    <w:qFormat/>
    <w:uiPriority w:val="0"/>
    <w:pPr>
      <w:widowControl/>
      <w:pBdr>
        <w:top w:val="single" w:color="auto" w:sz="4" w:space="0"/>
        <w:left w:val="single" w:color="auto" w:sz="8" w:space="0"/>
        <w:bottom w:val="single" w:color="auto" w:sz="4" w:space="0"/>
        <w:right w:val="single" w:color="auto" w:sz="4" w:space="0"/>
      </w:pBdr>
      <w:shd w:val="clear" w:color="000000" w:fill="00B0F0"/>
      <w:spacing w:before="100" w:beforeAutospacing="1" w:after="100" w:afterAutospacing="1"/>
      <w:jc w:val="center"/>
      <w:textAlignment w:val="center"/>
    </w:pPr>
    <w:rPr>
      <w:rFonts w:ascii="宋体" w:hAnsi="宋体" w:cs="宋体"/>
      <w:b/>
      <w:bCs/>
      <w:kern w:val="0"/>
      <w:sz w:val="20"/>
      <w:szCs w:val="20"/>
    </w:rPr>
  </w:style>
  <w:style w:type="paragraph" w:customStyle="1" w:styleId="134">
    <w:name w:val="xl119"/>
    <w:basedOn w:val="1"/>
    <w:qFormat/>
    <w:uiPriority w:val="0"/>
    <w:pPr>
      <w:widowControl/>
      <w:pBdr>
        <w:top w:val="single" w:color="auto" w:sz="8" w:space="0"/>
        <w:left w:val="single" w:color="auto" w:sz="4" w:space="0"/>
        <w:bottom w:val="single" w:color="auto" w:sz="4" w:space="0"/>
        <w:right w:val="single" w:color="auto" w:sz="4" w:space="0"/>
      </w:pBdr>
      <w:shd w:val="clear" w:color="000000" w:fill="00B0F0"/>
      <w:spacing w:before="100" w:beforeAutospacing="1" w:after="100" w:afterAutospacing="1"/>
      <w:jc w:val="center"/>
      <w:textAlignment w:val="center"/>
    </w:pPr>
    <w:rPr>
      <w:rFonts w:ascii="宋体" w:hAnsi="宋体" w:cs="宋体"/>
      <w:b/>
      <w:bCs/>
      <w:kern w:val="0"/>
      <w:sz w:val="20"/>
      <w:szCs w:val="20"/>
    </w:rPr>
  </w:style>
  <w:style w:type="paragraph" w:customStyle="1" w:styleId="135">
    <w:name w:val="xl120"/>
    <w:basedOn w:val="1"/>
    <w:qFormat/>
    <w:uiPriority w:val="0"/>
    <w:pPr>
      <w:widowControl/>
      <w:pBdr>
        <w:top w:val="single" w:color="auto" w:sz="4" w:space="0"/>
        <w:left w:val="single" w:color="auto" w:sz="4" w:space="0"/>
        <w:bottom w:val="single" w:color="auto" w:sz="4" w:space="0"/>
      </w:pBdr>
      <w:shd w:val="clear" w:color="000000" w:fill="00B0F0"/>
      <w:spacing w:before="100" w:beforeAutospacing="1" w:after="100" w:afterAutospacing="1"/>
      <w:jc w:val="left"/>
      <w:textAlignment w:val="center"/>
    </w:pPr>
    <w:rPr>
      <w:rFonts w:ascii="宋体" w:hAnsi="宋体" w:cs="宋体"/>
      <w:b/>
      <w:bCs/>
      <w:kern w:val="0"/>
      <w:sz w:val="20"/>
      <w:szCs w:val="20"/>
    </w:rPr>
  </w:style>
  <w:style w:type="paragraph" w:customStyle="1" w:styleId="136">
    <w:name w:val="xl121"/>
    <w:basedOn w:val="1"/>
    <w:qFormat/>
    <w:uiPriority w:val="0"/>
    <w:pPr>
      <w:widowControl/>
      <w:pBdr>
        <w:top w:val="single" w:color="auto" w:sz="4" w:space="0"/>
        <w:bottom w:val="single" w:color="auto" w:sz="4" w:space="0"/>
        <w:right w:val="single" w:color="auto" w:sz="4" w:space="0"/>
      </w:pBdr>
      <w:shd w:val="clear" w:color="000000" w:fill="00B0F0"/>
      <w:spacing w:before="100" w:beforeAutospacing="1" w:after="100" w:afterAutospacing="1"/>
      <w:jc w:val="left"/>
      <w:textAlignment w:val="center"/>
    </w:pPr>
    <w:rPr>
      <w:rFonts w:ascii="宋体" w:hAnsi="宋体" w:cs="宋体"/>
      <w:b/>
      <w:bCs/>
      <w:kern w:val="0"/>
      <w:sz w:val="20"/>
      <w:szCs w:val="20"/>
    </w:rPr>
  </w:style>
  <w:style w:type="paragraph" w:customStyle="1" w:styleId="137">
    <w:name w:val="xl122"/>
    <w:basedOn w:val="1"/>
    <w:qFormat/>
    <w:uiPriority w:val="0"/>
    <w:pPr>
      <w:widowControl/>
      <w:pBdr>
        <w:top w:val="single" w:color="auto" w:sz="4" w:space="0"/>
        <w:left w:val="single" w:color="auto" w:sz="8" w:space="0"/>
        <w:bottom w:val="single" w:color="auto" w:sz="4" w:space="0"/>
        <w:right w:val="single" w:color="auto" w:sz="4" w:space="0"/>
      </w:pBdr>
      <w:shd w:val="clear" w:color="000000" w:fill="00B050"/>
      <w:spacing w:before="100" w:beforeAutospacing="1" w:after="100" w:afterAutospacing="1"/>
      <w:jc w:val="center"/>
      <w:textAlignment w:val="center"/>
    </w:pPr>
    <w:rPr>
      <w:rFonts w:ascii="宋体" w:hAnsi="宋体" w:cs="宋体"/>
      <w:b/>
      <w:bCs/>
      <w:kern w:val="0"/>
      <w:sz w:val="20"/>
      <w:szCs w:val="20"/>
    </w:rPr>
  </w:style>
  <w:style w:type="paragraph" w:customStyle="1" w:styleId="138">
    <w:name w:val="文本正文缩进"/>
    <w:basedOn w:val="1"/>
    <w:qFormat/>
    <w:uiPriority w:val="0"/>
    <w:pPr>
      <w:spacing w:beforeLines="50" w:afterLines="50" w:line="360" w:lineRule="auto"/>
      <w:ind w:firstLine="200" w:firstLineChars="200"/>
    </w:pPr>
    <w:rPr>
      <w:sz w:val="24"/>
      <w:szCs w:val="21"/>
    </w:rPr>
  </w:style>
  <w:style w:type="paragraph" w:customStyle="1" w:styleId="139">
    <w:name w:val="font12"/>
    <w:basedOn w:val="1"/>
    <w:qFormat/>
    <w:uiPriority w:val="0"/>
    <w:pPr>
      <w:widowControl/>
      <w:spacing w:before="100" w:beforeAutospacing="1" w:after="100" w:afterAutospacing="1"/>
      <w:jc w:val="left"/>
    </w:pPr>
    <w:rPr>
      <w:rFonts w:ascii="宋体" w:hAnsi="宋体" w:cs="宋体"/>
      <w:color w:val="000000"/>
      <w:kern w:val="0"/>
      <w:sz w:val="22"/>
      <w:szCs w:val="22"/>
    </w:rPr>
  </w:style>
  <w:style w:type="character" w:customStyle="1" w:styleId="140">
    <w:name w:val="field-required"/>
    <w:basedOn w:val="31"/>
    <w:qFormat/>
    <w:uiPriority w:val="0"/>
  </w:style>
  <w:style w:type="paragraph" w:customStyle="1" w:styleId="141">
    <w:name w:val="select-item"/>
    <w:basedOn w:val="1"/>
    <w:qFormat/>
    <w:uiPriority w:val="0"/>
    <w:pPr>
      <w:widowControl/>
      <w:spacing w:before="100" w:beforeAutospacing="1" w:after="100" w:afterAutospacing="1"/>
      <w:jc w:val="left"/>
    </w:pPr>
    <w:rPr>
      <w:rFonts w:ascii="宋体" w:hAnsi="宋体" w:cs="宋体"/>
      <w:kern w:val="0"/>
      <w:sz w:val="24"/>
    </w:rPr>
  </w:style>
  <w:style w:type="character" w:customStyle="1" w:styleId="142">
    <w:name w:val="required"/>
    <w:basedOn w:val="31"/>
    <w:qFormat/>
    <w:uiPriority w:val="0"/>
  </w:style>
  <w:style w:type="character" w:customStyle="1" w:styleId="143">
    <w:name w:val="font21"/>
    <w:basedOn w:val="31"/>
    <w:qFormat/>
    <w:uiPriority w:val="0"/>
    <w:rPr>
      <w:rFonts w:hint="eastAsia" w:ascii="等线" w:hAnsi="等线" w:eastAsia="等线"/>
      <w:color w:val="000000"/>
      <w:sz w:val="22"/>
      <w:szCs w:val="22"/>
      <w:u w:val="none"/>
    </w:rPr>
  </w:style>
  <w:style w:type="character" w:customStyle="1" w:styleId="144">
    <w:name w:val="font11"/>
    <w:basedOn w:val="31"/>
    <w:qFormat/>
    <w:uiPriority w:val="0"/>
    <w:rPr>
      <w:rFonts w:hint="eastAsia" w:ascii="等线" w:hAnsi="等线" w:eastAsia="等线"/>
      <w:color w:val="000000"/>
      <w:sz w:val="22"/>
      <w:szCs w:val="22"/>
      <w:u w:val="none"/>
    </w:rPr>
  </w:style>
  <w:style w:type="paragraph" w:customStyle="1" w:styleId="145">
    <w:name w:val="font0"/>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46">
    <w:name w:val="font1"/>
    <w:basedOn w:val="1"/>
    <w:qFormat/>
    <w:uiPriority w:val="0"/>
    <w:pPr>
      <w:widowControl/>
      <w:spacing w:before="100" w:beforeAutospacing="1" w:after="100" w:afterAutospacing="1"/>
      <w:jc w:val="left"/>
    </w:pPr>
    <w:rPr>
      <w:rFonts w:ascii="等线" w:hAnsi="等线" w:eastAsia="等线" w:cs="宋体"/>
      <w:color w:val="FF0000"/>
      <w:kern w:val="0"/>
      <w:sz w:val="22"/>
      <w:szCs w:val="22"/>
    </w:rPr>
  </w:style>
  <w:style w:type="paragraph" w:customStyle="1" w:styleId="147">
    <w:name w:val="font2"/>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48">
    <w:name w:val="font3"/>
    <w:basedOn w:val="1"/>
    <w:qFormat/>
    <w:uiPriority w:val="0"/>
    <w:pPr>
      <w:widowControl/>
      <w:spacing w:before="100" w:beforeAutospacing="1" w:after="100" w:afterAutospacing="1"/>
      <w:jc w:val="left"/>
    </w:pPr>
    <w:rPr>
      <w:rFonts w:ascii="微软雅黑" w:hAnsi="微软雅黑" w:eastAsia="微软雅黑" w:cs="宋体"/>
      <w:color w:val="000000"/>
      <w:kern w:val="0"/>
      <w:sz w:val="22"/>
      <w:szCs w:val="22"/>
    </w:rPr>
  </w:style>
  <w:style w:type="paragraph" w:customStyle="1" w:styleId="149">
    <w:name w:val="font4"/>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50">
    <w:name w:val="font7"/>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51">
    <w:name w:val="font8"/>
    <w:basedOn w:val="1"/>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52">
    <w:name w:val="font9"/>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53">
    <w:name w:val="font10"/>
    <w:basedOn w:val="1"/>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54">
    <w:name w:val="et4"/>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et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56">
    <w:name w:val="et7"/>
    <w:basedOn w:val="1"/>
    <w:qFormat/>
    <w:uiPriority w:val="0"/>
    <w:pPr>
      <w:widowControl/>
      <w:shd w:val="clear" w:color="auto" w:fill="FFFFFF"/>
      <w:spacing w:before="100" w:beforeAutospacing="1" w:after="100" w:afterAutospacing="1"/>
      <w:jc w:val="left"/>
      <w:textAlignment w:val="center"/>
    </w:pPr>
    <w:rPr>
      <w:rFonts w:ascii="宋体" w:hAnsi="宋体" w:cs="宋体"/>
      <w:color w:val="000000"/>
      <w:kern w:val="0"/>
      <w:sz w:val="24"/>
    </w:rPr>
  </w:style>
  <w:style w:type="paragraph" w:customStyle="1" w:styleId="157">
    <w:name w:val="et8"/>
    <w:basedOn w:val="1"/>
    <w:qFormat/>
    <w:uiPriority w:val="0"/>
    <w:pPr>
      <w:widowControl/>
      <w:shd w:val="clear" w:color="auto" w:fill="FFF2CC"/>
      <w:spacing w:before="100" w:beforeAutospacing="1" w:after="100" w:afterAutospacing="1"/>
      <w:jc w:val="left"/>
    </w:pPr>
    <w:rPr>
      <w:rFonts w:ascii="宋体" w:hAnsi="宋体" w:cs="宋体"/>
      <w:kern w:val="0"/>
      <w:sz w:val="24"/>
    </w:rPr>
  </w:style>
  <w:style w:type="paragraph" w:customStyle="1" w:styleId="158">
    <w:name w:val="et9"/>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159">
    <w:name w:val="et10"/>
    <w:basedOn w:val="1"/>
    <w:qFormat/>
    <w:uiPriority w:val="0"/>
    <w:pPr>
      <w:widowControl/>
      <w:spacing w:before="100" w:beforeAutospacing="1" w:after="100" w:afterAutospacing="1"/>
      <w:jc w:val="left"/>
    </w:pPr>
    <w:rPr>
      <w:rFonts w:ascii="微软雅黑" w:hAnsi="微软雅黑" w:eastAsia="微软雅黑" w:cs="宋体"/>
      <w:kern w:val="0"/>
      <w:sz w:val="24"/>
    </w:rPr>
  </w:style>
  <w:style w:type="paragraph" w:customStyle="1" w:styleId="160">
    <w:name w:val="et11"/>
    <w:basedOn w:val="1"/>
    <w:qFormat/>
    <w:uiPriority w:val="0"/>
    <w:pPr>
      <w:widowControl/>
      <w:shd w:val="clear" w:color="auto" w:fill="FFFFFF"/>
      <w:spacing w:before="100" w:beforeAutospacing="1" w:after="100" w:afterAutospacing="1"/>
      <w:jc w:val="left"/>
    </w:pPr>
    <w:rPr>
      <w:rFonts w:ascii="微软雅黑" w:hAnsi="微软雅黑" w:eastAsia="微软雅黑" w:cs="宋体"/>
      <w:kern w:val="0"/>
      <w:sz w:val="24"/>
    </w:rPr>
  </w:style>
  <w:style w:type="paragraph" w:customStyle="1" w:styleId="161">
    <w:name w:val="et1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2EFDA"/>
      <w:spacing w:before="100" w:beforeAutospacing="1" w:after="100" w:afterAutospacing="1"/>
      <w:jc w:val="left"/>
      <w:textAlignment w:val="center"/>
    </w:pPr>
    <w:rPr>
      <w:rFonts w:ascii="宋体" w:hAnsi="宋体" w:cs="宋体"/>
      <w:kern w:val="0"/>
      <w:sz w:val="24"/>
    </w:rPr>
  </w:style>
  <w:style w:type="paragraph" w:customStyle="1" w:styleId="162">
    <w:name w:val="et1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2EFDA"/>
      <w:spacing w:before="100" w:beforeAutospacing="1" w:after="100" w:afterAutospacing="1"/>
      <w:jc w:val="center"/>
      <w:textAlignment w:val="center"/>
    </w:pPr>
    <w:rPr>
      <w:rFonts w:ascii="宋体" w:hAnsi="宋体" w:cs="宋体"/>
      <w:kern w:val="0"/>
      <w:sz w:val="24"/>
    </w:rPr>
  </w:style>
  <w:style w:type="paragraph" w:customStyle="1" w:styleId="163">
    <w:name w:val="et1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2EFDA"/>
      <w:spacing w:before="100" w:beforeAutospacing="1" w:after="100" w:afterAutospacing="1"/>
      <w:jc w:val="left"/>
      <w:textAlignment w:val="center"/>
    </w:pPr>
    <w:rPr>
      <w:rFonts w:ascii="宋体" w:hAnsi="宋体" w:cs="宋体"/>
      <w:kern w:val="0"/>
      <w:sz w:val="24"/>
    </w:rPr>
  </w:style>
  <w:style w:type="paragraph" w:customStyle="1" w:styleId="164">
    <w:name w:val="et1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D9E1F2"/>
      <w:spacing w:before="100" w:beforeAutospacing="1" w:after="100" w:afterAutospacing="1"/>
      <w:jc w:val="left"/>
      <w:textAlignment w:val="center"/>
    </w:pPr>
    <w:rPr>
      <w:rFonts w:ascii="宋体" w:hAnsi="宋体" w:cs="宋体"/>
      <w:kern w:val="0"/>
      <w:sz w:val="24"/>
    </w:rPr>
  </w:style>
  <w:style w:type="paragraph" w:customStyle="1" w:styleId="165">
    <w:name w:val="et1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D9E1F2"/>
      <w:spacing w:before="100" w:beforeAutospacing="1" w:after="100" w:afterAutospacing="1"/>
      <w:jc w:val="center"/>
      <w:textAlignment w:val="center"/>
    </w:pPr>
    <w:rPr>
      <w:rFonts w:ascii="宋体" w:hAnsi="宋体" w:cs="宋体"/>
      <w:kern w:val="0"/>
      <w:sz w:val="24"/>
    </w:rPr>
  </w:style>
  <w:style w:type="paragraph" w:customStyle="1" w:styleId="166">
    <w:name w:val="et1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D9E1F2"/>
      <w:spacing w:before="100" w:beforeAutospacing="1" w:after="100" w:afterAutospacing="1"/>
      <w:jc w:val="left"/>
      <w:textAlignment w:val="center"/>
    </w:pPr>
    <w:rPr>
      <w:rFonts w:ascii="宋体" w:hAnsi="宋体" w:cs="宋体"/>
      <w:kern w:val="0"/>
      <w:sz w:val="24"/>
    </w:rPr>
  </w:style>
  <w:style w:type="paragraph" w:customStyle="1" w:styleId="167">
    <w:name w:val="et1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jc w:val="left"/>
      <w:textAlignment w:val="center"/>
    </w:pPr>
    <w:rPr>
      <w:rFonts w:ascii="宋体" w:hAnsi="宋体" w:cs="宋体"/>
      <w:kern w:val="0"/>
      <w:sz w:val="24"/>
    </w:rPr>
  </w:style>
  <w:style w:type="paragraph" w:customStyle="1" w:styleId="168">
    <w:name w:val="et1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jc w:val="center"/>
      <w:textAlignment w:val="center"/>
    </w:pPr>
    <w:rPr>
      <w:rFonts w:ascii="宋体" w:hAnsi="宋体" w:cs="宋体"/>
      <w:kern w:val="0"/>
      <w:sz w:val="24"/>
    </w:rPr>
  </w:style>
  <w:style w:type="paragraph" w:customStyle="1" w:styleId="169">
    <w:name w:val="et2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jc w:val="left"/>
      <w:textAlignment w:val="center"/>
    </w:pPr>
    <w:rPr>
      <w:rFonts w:ascii="宋体" w:hAnsi="宋体" w:cs="宋体"/>
      <w:kern w:val="0"/>
      <w:sz w:val="24"/>
    </w:rPr>
  </w:style>
  <w:style w:type="paragraph" w:customStyle="1" w:styleId="170">
    <w:name w:val="et2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DEDED"/>
      <w:spacing w:before="100" w:beforeAutospacing="1" w:after="100" w:afterAutospacing="1"/>
      <w:jc w:val="left"/>
      <w:textAlignment w:val="center"/>
    </w:pPr>
    <w:rPr>
      <w:rFonts w:ascii="宋体" w:hAnsi="宋体" w:cs="宋体"/>
      <w:kern w:val="0"/>
      <w:sz w:val="24"/>
    </w:rPr>
  </w:style>
  <w:style w:type="paragraph" w:customStyle="1" w:styleId="171">
    <w:name w:val="et2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DEDED"/>
      <w:spacing w:before="100" w:beforeAutospacing="1" w:after="100" w:afterAutospacing="1"/>
      <w:jc w:val="center"/>
      <w:textAlignment w:val="center"/>
    </w:pPr>
    <w:rPr>
      <w:rFonts w:ascii="宋体" w:hAnsi="宋体" w:cs="宋体"/>
      <w:kern w:val="0"/>
      <w:sz w:val="24"/>
    </w:rPr>
  </w:style>
  <w:style w:type="paragraph" w:customStyle="1" w:styleId="172">
    <w:name w:val="et2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DEDED"/>
      <w:spacing w:before="100" w:beforeAutospacing="1" w:after="100" w:afterAutospacing="1"/>
      <w:jc w:val="left"/>
      <w:textAlignment w:val="center"/>
    </w:pPr>
    <w:rPr>
      <w:rFonts w:ascii="宋体" w:hAnsi="宋体" w:cs="宋体"/>
      <w:kern w:val="0"/>
      <w:sz w:val="24"/>
    </w:rPr>
  </w:style>
  <w:style w:type="paragraph" w:customStyle="1" w:styleId="17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174">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175">
    <w:name w:val="et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176">
    <w:name w:val="et2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textAlignment w:val="center"/>
    </w:pPr>
    <w:rPr>
      <w:rFonts w:ascii="宋体" w:hAnsi="宋体" w:cs="宋体"/>
      <w:color w:val="FF0000"/>
      <w:kern w:val="0"/>
      <w:sz w:val="24"/>
    </w:rPr>
  </w:style>
  <w:style w:type="paragraph" w:customStyle="1" w:styleId="17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178">
    <w:name w:val="et29"/>
    <w:basedOn w:val="1"/>
    <w:qFormat/>
    <w:uiPriority w:val="0"/>
    <w:pPr>
      <w:widowControl/>
      <w:pBdr>
        <w:left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179">
    <w:name w:val="et3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DEDED"/>
      <w:spacing w:before="100" w:beforeAutospacing="1" w:after="100" w:afterAutospacing="1"/>
      <w:jc w:val="left"/>
      <w:textAlignment w:val="center"/>
    </w:pPr>
    <w:rPr>
      <w:rFonts w:ascii="宋体" w:hAnsi="宋体" w:cs="宋体"/>
      <w:kern w:val="0"/>
      <w:sz w:val="24"/>
    </w:rPr>
  </w:style>
  <w:style w:type="paragraph" w:customStyle="1" w:styleId="180">
    <w:name w:val="et3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textAlignment w:val="center"/>
    </w:pPr>
    <w:rPr>
      <w:rFonts w:ascii="宋体" w:hAnsi="宋体" w:cs="宋体"/>
      <w:kern w:val="0"/>
      <w:sz w:val="24"/>
    </w:rPr>
  </w:style>
  <w:style w:type="paragraph" w:customStyle="1" w:styleId="181">
    <w:name w:val="et3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color w:val="000000"/>
      <w:kern w:val="0"/>
      <w:sz w:val="24"/>
    </w:rPr>
  </w:style>
  <w:style w:type="paragraph" w:customStyle="1" w:styleId="182">
    <w:name w:val="et3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24"/>
    </w:rPr>
  </w:style>
  <w:style w:type="paragraph" w:customStyle="1" w:styleId="183">
    <w:name w:val="et3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kern w:val="0"/>
      <w:sz w:val="24"/>
    </w:rPr>
  </w:style>
  <w:style w:type="paragraph" w:customStyle="1" w:styleId="184">
    <w:name w:val="et3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kern w:val="0"/>
      <w:sz w:val="24"/>
    </w:rPr>
  </w:style>
  <w:style w:type="paragraph" w:customStyle="1" w:styleId="185">
    <w:name w:val="et3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kern w:val="0"/>
      <w:sz w:val="24"/>
    </w:rPr>
  </w:style>
  <w:style w:type="paragraph" w:customStyle="1" w:styleId="186">
    <w:name w:val="et3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24"/>
    </w:rPr>
  </w:style>
  <w:style w:type="paragraph" w:customStyle="1" w:styleId="187">
    <w:name w:val="et3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color w:val="000000"/>
      <w:kern w:val="0"/>
      <w:sz w:val="24"/>
    </w:rPr>
  </w:style>
  <w:style w:type="paragraph" w:customStyle="1" w:styleId="188">
    <w:name w:val="et4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color w:val="FF0000"/>
      <w:kern w:val="0"/>
      <w:sz w:val="24"/>
    </w:rPr>
  </w:style>
  <w:style w:type="paragraph" w:customStyle="1" w:styleId="189">
    <w:name w:val="et4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kern w:val="0"/>
      <w:sz w:val="24"/>
    </w:rPr>
  </w:style>
  <w:style w:type="paragraph" w:customStyle="1" w:styleId="190">
    <w:name w:val="et4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FF0000"/>
      <w:kern w:val="0"/>
      <w:sz w:val="24"/>
    </w:rPr>
  </w:style>
  <w:style w:type="paragraph" w:customStyle="1" w:styleId="191">
    <w:name w:val="et4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jc w:val="left"/>
      <w:textAlignment w:val="center"/>
    </w:pPr>
    <w:rPr>
      <w:rFonts w:ascii="宋体" w:hAnsi="宋体" w:cs="宋体"/>
      <w:kern w:val="0"/>
      <w:sz w:val="24"/>
    </w:rPr>
  </w:style>
  <w:style w:type="paragraph" w:customStyle="1" w:styleId="192">
    <w:name w:val="et4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jc w:val="center"/>
      <w:textAlignment w:val="center"/>
    </w:pPr>
    <w:rPr>
      <w:rFonts w:ascii="宋体" w:hAnsi="宋体" w:cs="宋体"/>
      <w:kern w:val="0"/>
      <w:sz w:val="24"/>
    </w:rPr>
  </w:style>
  <w:style w:type="paragraph" w:customStyle="1" w:styleId="193">
    <w:name w:val="et4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jc w:val="left"/>
      <w:textAlignment w:val="center"/>
    </w:pPr>
    <w:rPr>
      <w:rFonts w:ascii="宋体" w:hAnsi="宋体" w:cs="宋体"/>
      <w:kern w:val="0"/>
      <w:sz w:val="24"/>
    </w:rPr>
  </w:style>
  <w:style w:type="paragraph" w:customStyle="1" w:styleId="194">
    <w:name w:val="et4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DEDED"/>
      <w:spacing w:before="100" w:beforeAutospacing="1" w:after="100" w:afterAutospacing="1"/>
      <w:jc w:val="left"/>
      <w:textAlignment w:val="center"/>
    </w:pPr>
    <w:rPr>
      <w:rFonts w:ascii="宋体" w:hAnsi="宋体" w:cs="宋体"/>
      <w:kern w:val="0"/>
      <w:sz w:val="24"/>
    </w:rPr>
  </w:style>
  <w:style w:type="paragraph" w:customStyle="1" w:styleId="195">
    <w:name w:val="et4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196">
    <w:name w:val="et4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197">
    <w:name w:val="et4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198">
    <w:name w:val="et5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199">
    <w:name w:val="et5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kern w:val="0"/>
      <w:sz w:val="24"/>
    </w:rPr>
  </w:style>
  <w:style w:type="paragraph" w:customStyle="1" w:styleId="200">
    <w:name w:val="et5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201">
    <w:name w:val="et5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202">
    <w:name w:val="et5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203">
    <w:name w:val="et5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204">
    <w:name w:val="et5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205">
    <w:name w:val="et5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206">
    <w:name w:val="et5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kern w:val="0"/>
      <w:sz w:val="24"/>
    </w:rPr>
  </w:style>
  <w:style w:type="paragraph" w:customStyle="1" w:styleId="207">
    <w:name w:val="et5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208">
    <w:name w:val="et6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209">
    <w:name w:val="et6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kern w:val="0"/>
      <w:sz w:val="24"/>
    </w:rPr>
  </w:style>
  <w:style w:type="paragraph" w:customStyle="1" w:styleId="210">
    <w:name w:val="et6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211">
    <w:name w:val="et6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jc w:val="left"/>
      <w:textAlignment w:val="center"/>
    </w:pPr>
    <w:rPr>
      <w:rFonts w:ascii="宋体" w:hAnsi="宋体" w:cs="宋体"/>
      <w:kern w:val="0"/>
      <w:sz w:val="24"/>
    </w:rPr>
  </w:style>
  <w:style w:type="paragraph" w:customStyle="1" w:styleId="212">
    <w:name w:val="et6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kern w:val="0"/>
      <w:sz w:val="24"/>
    </w:rPr>
  </w:style>
  <w:style w:type="paragraph" w:customStyle="1" w:styleId="213">
    <w:name w:val="et6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DEDED"/>
      <w:spacing w:before="100" w:beforeAutospacing="1" w:after="100" w:afterAutospacing="1"/>
      <w:jc w:val="left"/>
      <w:textAlignment w:val="center"/>
    </w:pPr>
    <w:rPr>
      <w:rFonts w:ascii="宋体" w:hAnsi="宋体" w:cs="宋体"/>
      <w:kern w:val="0"/>
      <w:sz w:val="24"/>
    </w:rPr>
  </w:style>
  <w:style w:type="paragraph" w:customStyle="1" w:styleId="214">
    <w:name w:val="et6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left"/>
      <w:textAlignment w:val="center"/>
    </w:pPr>
    <w:rPr>
      <w:rFonts w:ascii="宋体" w:hAnsi="宋体" w:cs="宋体"/>
      <w:kern w:val="0"/>
      <w:sz w:val="24"/>
    </w:rPr>
  </w:style>
  <w:style w:type="paragraph" w:customStyle="1" w:styleId="215">
    <w:name w:val="et67"/>
    <w:basedOn w:val="1"/>
    <w:qFormat/>
    <w:uiPriority w:val="0"/>
    <w:pPr>
      <w:widowControl/>
      <w:pBdr>
        <w:bottom w:val="single" w:color="000000" w:sz="8" w:space="0"/>
        <w:right w:val="single" w:color="000000" w:sz="8" w:space="0"/>
      </w:pBdr>
      <w:shd w:val="clear" w:color="auto" w:fill="FFFF00"/>
      <w:spacing w:before="100" w:beforeAutospacing="1" w:after="100" w:afterAutospacing="1"/>
      <w:jc w:val="left"/>
      <w:textAlignment w:val="center"/>
    </w:pPr>
    <w:rPr>
      <w:rFonts w:ascii="等线" w:hAnsi="等线" w:eastAsia="等线" w:cs="宋体"/>
      <w:color w:val="000000"/>
      <w:kern w:val="0"/>
      <w:sz w:val="24"/>
    </w:rPr>
  </w:style>
  <w:style w:type="paragraph" w:customStyle="1" w:styleId="216">
    <w:name w:val="et6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textAlignment w:val="center"/>
    </w:pPr>
    <w:rPr>
      <w:rFonts w:ascii="宋体" w:hAnsi="宋体" w:cs="宋体"/>
      <w:kern w:val="0"/>
      <w:sz w:val="24"/>
    </w:rPr>
  </w:style>
  <w:style w:type="paragraph" w:customStyle="1" w:styleId="217">
    <w:name w:val="et6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left"/>
      <w:textAlignment w:val="center"/>
    </w:pPr>
    <w:rPr>
      <w:rFonts w:ascii="宋体" w:hAnsi="宋体" w:cs="宋体"/>
      <w:kern w:val="0"/>
      <w:sz w:val="24"/>
    </w:rPr>
  </w:style>
  <w:style w:type="paragraph" w:customStyle="1" w:styleId="218">
    <w:name w:val="et7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left"/>
      <w:textAlignment w:val="center"/>
    </w:pPr>
    <w:rPr>
      <w:rFonts w:ascii="宋体" w:hAnsi="宋体" w:cs="宋体"/>
      <w:kern w:val="0"/>
      <w:sz w:val="24"/>
    </w:rPr>
  </w:style>
  <w:style w:type="paragraph" w:customStyle="1" w:styleId="219">
    <w:name w:val="et7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220">
    <w:name w:val="et7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221">
    <w:name w:val="et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paragraph" w:customStyle="1" w:styleId="222">
    <w:name w:val="et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color w:val="000000"/>
      <w:kern w:val="0"/>
      <w:sz w:val="24"/>
    </w:rPr>
  </w:style>
  <w:style w:type="paragraph" w:customStyle="1" w:styleId="223">
    <w:name w:val="et7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color w:val="000000"/>
      <w:kern w:val="0"/>
      <w:sz w:val="24"/>
    </w:rPr>
  </w:style>
  <w:style w:type="paragraph" w:customStyle="1" w:styleId="224">
    <w:name w:val="et7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EDEDED"/>
      <w:spacing w:before="100" w:beforeAutospacing="1" w:after="100" w:afterAutospacing="1"/>
      <w:jc w:val="left"/>
      <w:textAlignment w:val="center"/>
    </w:pPr>
    <w:rPr>
      <w:rFonts w:ascii="宋体" w:hAnsi="宋体" w:cs="宋体"/>
      <w:kern w:val="0"/>
      <w:sz w:val="24"/>
    </w:rPr>
  </w:style>
  <w:style w:type="paragraph" w:customStyle="1" w:styleId="225">
    <w:name w:val="et77"/>
    <w:basedOn w:val="1"/>
    <w:uiPriority w:val="0"/>
    <w:pPr>
      <w:widowControl/>
      <w:pBdr>
        <w:top w:val="single" w:color="000000" w:sz="4" w:space="0"/>
        <w:left w:val="single" w:color="000000" w:sz="4" w:space="0"/>
        <w:bottom w:val="single" w:color="000000" w:sz="4" w:space="0"/>
        <w:right w:val="single" w:color="000000" w:sz="4" w:space="0"/>
      </w:pBdr>
      <w:shd w:val="clear" w:color="auto" w:fill="EDEDED"/>
      <w:spacing w:before="100" w:beforeAutospacing="1" w:after="100" w:afterAutospacing="1"/>
      <w:jc w:val="left"/>
      <w:textAlignment w:val="center"/>
    </w:pPr>
    <w:rPr>
      <w:rFonts w:ascii="宋体" w:hAnsi="宋体" w:cs="宋体"/>
      <w:kern w:val="0"/>
      <w:sz w:val="24"/>
    </w:rPr>
  </w:style>
  <w:style w:type="paragraph" w:customStyle="1" w:styleId="226">
    <w:name w:val="et7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rPr>
  </w:style>
  <w:style w:type="character" w:customStyle="1" w:styleId="227">
    <w:name w:val="font41"/>
    <w:basedOn w:val="31"/>
    <w:qFormat/>
    <w:uiPriority w:val="0"/>
    <w:rPr>
      <w:rFonts w:hint="eastAsia" w:ascii="等线" w:hAnsi="等线" w:eastAsia="等线"/>
      <w:color w:val="000000"/>
      <w:sz w:val="22"/>
      <w:szCs w:val="22"/>
      <w:u w:val="none"/>
    </w:rPr>
  </w:style>
  <w:style w:type="character" w:customStyle="1" w:styleId="228">
    <w:name w:val="font51"/>
    <w:basedOn w:val="31"/>
    <w:uiPriority w:val="0"/>
    <w:rPr>
      <w:rFonts w:hint="eastAsia" w:ascii="等线" w:hAnsi="等线" w:eastAsia="等线"/>
      <w:color w:val="000000"/>
      <w:sz w:val="22"/>
      <w:szCs w:val="22"/>
      <w:u w:val="none"/>
    </w:rPr>
  </w:style>
  <w:style w:type="character" w:customStyle="1" w:styleId="229">
    <w:name w:val="font111"/>
    <w:basedOn w:val="31"/>
    <w:qFormat/>
    <w:uiPriority w:val="0"/>
    <w:rPr>
      <w:rFonts w:hint="eastAsia" w:ascii="宋体" w:hAnsi="宋体" w:eastAsia="宋体"/>
      <w:color w:val="000000"/>
      <w:sz w:val="24"/>
      <w:szCs w:val="24"/>
      <w:u w:val="none"/>
    </w:rPr>
  </w:style>
  <w:style w:type="character" w:customStyle="1" w:styleId="230">
    <w:name w:val="font91"/>
    <w:basedOn w:val="31"/>
    <w:qFormat/>
    <w:uiPriority w:val="0"/>
    <w:rPr>
      <w:rFonts w:hint="eastAsia" w:ascii="等线" w:hAnsi="等线" w:eastAsia="等线"/>
      <w:color w:val="000000"/>
      <w:sz w:val="22"/>
      <w:szCs w:val="22"/>
      <w:u w:val="none"/>
    </w:rPr>
  </w:style>
  <w:style w:type="paragraph" w:customStyle="1" w:styleId="231">
    <w:name w:val="xl6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33">
    <w:name w:val="xl123"/>
    <w:basedOn w:val="1"/>
    <w:qFormat/>
    <w:uiPriority w:val="0"/>
    <w:pPr>
      <w:widowControl/>
      <w:pBdr>
        <w:top w:val="single" w:color="auto" w:sz="4" w:space="0"/>
        <w:left w:val="single" w:color="auto" w:sz="8" w:space="0"/>
        <w:bottom w:val="single" w:color="auto" w:sz="8" w:space="0"/>
        <w:right w:val="single" w:color="auto" w:sz="4" w:space="0"/>
      </w:pBdr>
      <w:shd w:val="clear" w:color="000000" w:fill="00B0F0"/>
      <w:spacing w:before="100" w:beforeAutospacing="1" w:after="100" w:afterAutospacing="1"/>
      <w:jc w:val="center"/>
    </w:pPr>
    <w:rPr>
      <w:rFonts w:ascii="宋体" w:hAnsi="宋体" w:cs="宋体"/>
      <w:b/>
      <w:bCs/>
      <w:kern w:val="0"/>
      <w:sz w:val="20"/>
      <w:szCs w:val="20"/>
    </w:rPr>
  </w:style>
  <w:style w:type="paragraph" w:customStyle="1" w:styleId="234">
    <w:name w:val="xl124"/>
    <w:basedOn w:val="1"/>
    <w:qFormat/>
    <w:uiPriority w:val="0"/>
    <w:pPr>
      <w:widowControl/>
      <w:pBdr>
        <w:top w:val="single" w:color="auto" w:sz="8" w:space="0"/>
        <w:left w:val="single" w:color="auto" w:sz="8" w:space="0"/>
        <w:bottom w:val="single" w:color="auto" w:sz="4" w:space="0"/>
        <w:right w:val="single" w:color="auto" w:sz="4" w:space="0"/>
      </w:pBdr>
      <w:shd w:val="clear" w:color="000000" w:fill="00B0F0"/>
      <w:spacing w:before="100" w:beforeAutospacing="1" w:after="100" w:afterAutospacing="1"/>
      <w:jc w:val="center"/>
    </w:pPr>
    <w:rPr>
      <w:rFonts w:ascii="宋体" w:hAnsi="宋体" w:cs="宋体"/>
      <w:b/>
      <w:bCs/>
      <w:kern w:val="0"/>
      <w:sz w:val="20"/>
      <w:szCs w:val="20"/>
    </w:rPr>
  </w:style>
  <w:style w:type="paragraph" w:customStyle="1" w:styleId="235">
    <w:name w:val="xl125"/>
    <w:basedOn w:val="1"/>
    <w:qFormat/>
    <w:uiPriority w:val="0"/>
    <w:pPr>
      <w:widowControl/>
      <w:pBdr>
        <w:top w:val="single" w:color="auto" w:sz="4" w:space="0"/>
        <w:left w:val="single" w:color="auto" w:sz="8" w:space="0"/>
        <w:bottom w:val="single" w:color="auto" w:sz="4" w:space="0"/>
        <w:right w:val="single" w:color="auto" w:sz="4" w:space="0"/>
      </w:pBdr>
      <w:shd w:val="clear" w:color="000000" w:fill="00B0F0"/>
      <w:spacing w:before="100" w:beforeAutospacing="1" w:after="100" w:afterAutospacing="1"/>
      <w:jc w:val="center"/>
    </w:pPr>
    <w:rPr>
      <w:rFonts w:ascii="宋体" w:hAnsi="宋体" w:cs="宋体"/>
      <w:b/>
      <w:bCs/>
      <w:kern w:val="0"/>
      <w:sz w:val="20"/>
      <w:szCs w:val="20"/>
    </w:rPr>
  </w:style>
  <w:style w:type="paragraph" w:customStyle="1" w:styleId="236">
    <w:name w:val="xl12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20"/>
      <w:szCs w:val="20"/>
    </w:rPr>
  </w:style>
  <w:style w:type="character" w:customStyle="1" w:styleId="237">
    <w:name w:val="正文文本缩进 字符"/>
    <w:basedOn w:val="31"/>
    <w:link w:val="15"/>
    <w:qFormat/>
    <w:uiPriority w:val="99"/>
    <w:rPr>
      <w:kern w:val="2"/>
      <w:sz w:val="21"/>
      <w:szCs w:val="24"/>
    </w:rPr>
  </w:style>
  <w:style w:type="character" w:customStyle="1" w:styleId="238">
    <w:name w:val="正文文本首行缩进 2 字符"/>
    <w:basedOn w:val="237"/>
    <w:link w:val="28"/>
    <w:qFormat/>
    <w:uiPriority w:val="99"/>
    <w:rPr>
      <w:kern w:val="2"/>
      <w:sz w:val="24"/>
      <w:szCs w:val="24"/>
    </w:rPr>
  </w:style>
  <w:style w:type="character" w:customStyle="1" w:styleId="239">
    <w:name w:val="题注 字符"/>
    <w:basedOn w:val="31"/>
    <w:link w:val="12"/>
    <w:qFormat/>
    <w:uiPriority w:val="99"/>
    <w:rPr>
      <w:rFonts w:eastAsia="黑体" w:asciiTheme="majorHAnsi" w:hAnsiTheme="majorHAnsi" w:cstheme="majorBidi"/>
      <w:kern w:val="2"/>
    </w:rPr>
  </w:style>
  <w:style w:type="character" w:customStyle="1" w:styleId="240">
    <w:name w:val="初步设计 正文"/>
    <w:basedOn w:val="31"/>
    <w:qFormat/>
    <w:uiPriority w:val="0"/>
    <w:rPr>
      <w:rFonts w:ascii="宋体" w:hAnsi="宋体"/>
      <w:color w:val="000000"/>
    </w:rPr>
  </w:style>
  <w:style w:type="character" w:customStyle="1" w:styleId="241">
    <w:name w:val="15"/>
    <w:basedOn w:val="31"/>
    <w:qFormat/>
    <w:uiPriority w:val="0"/>
    <w:rPr>
      <w:rFonts w:hint="eastAsia" w:ascii="宋体" w:hAnsi="宋体" w:eastAsia="宋体"/>
      <w:color w:val="000000"/>
    </w:rPr>
  </w:style>
  <w:style w:type="paragraph" w:customStyle="1" w:styleId="242">
    <w:name w:val="表头"/>
    <w:basedOn w:val="1"/>
    <w:qFormat/>
    <w:uiPriority w:val="0"/>
    <w:pPr>
      <w:widowControl/>
      <w:jc w:val="center"/>
    </w:pPr>
    <w:rPr>
      <w:b/>
      <w:bCs/>
      <w:szCs w:val="21"/>
    </w:rPr>
  </w:style>
  <w:style w:type="paragraph" w:customStyle="1" w:styleId="243">
    <w:name w:val="表体"/>
    <w:basedOn w:val="1"/>
    <w:qFormat/>
    <w:uiPriority w:val="0"/>
    <w:pPr>
      <w:widowControl/>
      <w:jc w:val="left"/>
    </w:pPr>
    <w:rPr>
      <w:szCs w:val="21"/>
    </w:rPr>
  </w:style>
  <w:style w:type="paragraph" w:customStyle="1" w:styleId="244">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45">
    <w:name w:val="*正文"/>
    <w:basedOn w:val="1"/>
    <w:qFormat/>
    <w:uiPriority w:val="0"/>
    <w:pPr>
      <w:spacing w:line="360" w:lineRule="auto"/>
      <w:ind w:firstLine="480" w:firstLineChars="200"/>
      <w:jc w:val="left"/>
    </w:pPr>
    <w:rPr>
      <w:rFonts w:ascii="宋体" w:hAnsi="宋体" w:cs="仿宋_GB2312"/>
      <w:sz w:val="24"/>
    </w:rPr>
  </w:style>
  <w:style w:type="paragraph" w:customStyle="1" w:styleId="246">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247">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248">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7E7DF-012C-4FBD-A189-CB4E61222423}">
  <ds:schemaRefs/>
</ds:datastoreItem>
</file>

<file path=docProps/app.xml><?xml version="1.0" encoding="utf-8"?>
<Properties xmlns="http://schemas.openxmlformats.org/officeDocument/2006/extended-properties" xmlns:vt="http://schemas.openxmlformats.org/officeDocument/2006/docPropsVTypes">
  <Template>Normal</Template>
  <Pages>47</Pages>
  <Words>3123</Words>
  <Characters>17804</Characters>
  <Lines>148</Lines>
  <Paragraphs>41</Paragraphs>
  <TotalTime>0</TotalTime>
  <ScaleCrop>false</ScaleCrop>
  <LinksUpToDate>false</LinksUpToDate>
  <CharactersWithSpaces>20886</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2024-01-29T11:04:00Z</dcterms:created>
  <dc:creator>园</dc:creator>
  <cp:lastModifiedBy>user</cp:lastModifiedBy>
  <cp:lastPrinted>2021-11-12T04:49:00Z</cp:lastPrinted>
  <dcterms:modified xsi:type="dcterms:W3CDTF">2024-02-04T02:21:34Z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19D70DB4EADC46B985C565B2FEB2A731_13</vt:lpwstr>
  </property>
</Properties>
</file>