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黑体" w:hAnsi="黑体" w:eastAsia="黑体"/>
          <w:sz w:val="48"/>
          <w:szCs w:val="48"/>
        </w:rPr>
      </w:pPr>
    </w:p>
    <w:p>
      <w:pPr>
        <w:ind w:firstLine="0" w:firstLineChars="0"/>
        <w:jc w:val="center"/>
        <w:rPr>
          <w:rFonts w:hint="eastAsia" w:ascii="黑体" w:hAnsi="黑体" w:eastAsia="黑体"/>
          <w:sz w:val="48"/>
          <w:szCs w:val="48"/>
        </w:rPr>
      </w:pPr>
    </w:p>
    <w:p>
      <w:pPr>
        <w:ind w:firstLine="0" w:firstLineChars="0"/>
        <w:jc w:val="center"/>
        <w:rPr>
          <w:rFonts w:hint="eastAsia" w:ascii="黑体" w:hAnsi="黑体" w:eastAsia="黑体"/>
          <w:sz w:val="52"/>
          <w:szCs w:val="52"/>
        </w:rPr>
      </w:pPr>
      <w:bookmarkStart w:id="0" w:name="OLE_LINK1"/>
      <w:r>
        <w:rPr>
          <w:rFonts w:hint="eastAsia" w:ascii="黑体" w:hAnsi="黑体" w:eastAsia="黑体"/>
          <w:sz w:val="52"/>
          <w:szCs w:val="52"/>
        </w:rPr>
        <w:t>市绿容局政务服务大系统</w:t>
      </w:r>
      <w:bookmarkEnd w:id="0"/>
    </w:p>
    <w:p>
      <w:pPr>
        <w:ind w:firstLine="0" w:firstLineChars="0"/>
        <w:jc w:val="center"/>
        <w:rPr>
          <w:rFonts w:hint="eastAsia" w:ascii="黑体" w:hAnsi="黑体" w:eastAsia="黑体"/>
          <w:sz w:val="52"/>
          <w:szCs w:val="52"/>
        </w:rPr>
      </w:pPr>
      <w:r>
        <w:rPr>
          <w:rFonts w:hint="eastAsia" w:ascii="黑体" w:hAnsi="黑体" w:eastAsia="黑体"/>
          <w:sz w:val="52"/>
          <w:szCs w:val="52"/>
        </w:rPr>
        <w:t>（2025年升级改造）项目</w:t>
      </w:r>
    </w:p>
    <w:p>
      <w:pPr>
        <w:ind w:firstLine="0" w:firstLineChars="0"/>
        <w:jc w:val="center"/>
        <w:rPr>
          <w:rFonts w:hint="eastAsia" w:ascii="黑体" w:hAnsi="黑体" w:eastAsia="黑体"/>
          <w:sz w:val="52"/>
          <w:szCs w:val="52"/>
        </w:rPr>
      </w:pPr>
      <w:r>
        <w:rPr>
          <w:rFonts w:hint="eastAsia" w:ascii="黑体" w:hAnsi="黑体" w:eastAsia="黑体"/>
          <w:sz w:val="52"/>
          <w:szCs w:val="52"/>
        </w:rPr>
        <w:t>采购需求</w:t>
      </w:r>
    </w:p>
    <w:p>
      <w:pPr>
        <w:ind w:firstLine="0" w:firstLineChars="0"/>
        <w:jc w:val="center"/>
        <w:rPr>
          <w:rFonts w:hint="eastAsia" w:ascii="黑体" w:hAnsi="黑体" w:eastAsia="黑体"/>
          <w:sz w:val="72"/>
          <w:szCs w:val="72"/>
        </w:rPr>
      </w:pPr>
    </w:p>
    <w:p>
      <w:pPr>
        <w:ind w:firstLine="0" w:firstLineChars="0"/>
        <w:jc w:val="center"/>
        <w:rPr>
          <w:rFonts w:hint="eastAsia" w:ascii="黑体" w:hAnsi="黑体" w:eastAsia="黑体"/>
          <w:sz w:val="48"/>
          <w:szCs w:val="48"/>
        </w:rPr>
      </w:pPr>
    </w:p>
    <w:p>
      <w:pPr>
        <w:ind w:firstLine="0" w:firstLineChars="0"/>
        <w:jc w:val="center"/>
        <w:rPr>
          <w:rFonts w:hint="eastAsia" w:ascii="黑体" w:hAnsi="黑体" w:eastAsia="黑体"/>
          <w:sz w:val="52"/>
          <w:szCs w:val="52"/>
        </w:rPr>
      </w:pPr>
    </w:p>
    <w:p>
      <w:pPr>
        <w:ind w:firstLine="1040"/>
        <w:rPr>
          <w:rFonts w:hint="eastAsia" w:ascii="黑体" w:hAnsi="黑体" w:eastAsia="黑体"/>
          <w:sz w:val="52"/>
          <w:szCs w:val="52"/>
        </w:rPr>
      </w:pPr>
    </w:p>
    <w:p>
      <w:pPr>
        <w:rPr>
          <w:rFonts w:hint="eastAsia"/>
        </w:rPr>
      </w:pPr>
    </w:p>
    <w:p>
      <w:pPr>
        <w:rPr>
          <w:rFonts w:hint="eastAsia"/>
        </w:rPr>
      </w:pPr>
    </w:p>
    <w:p>
      <w:pPr>
        <w:rPr>
          <w:rFonts w:hint="eastAsia"/>
        </w:rPr>
      </w:pPr>
    </w:p>
    <w:p>
      <w:pPr>
        <w:rPr>
          <w:rFonts w:hint="eastAsia"/>
        </w:rPr>
      </w:pPr>
    </w:p>
    <w:p>
      <w:pPr>
        <w:rPr>
          <w:rFonts w:hint="eastAsia"/>
        </w:rPr>
      </w:pPr>
    </w:p>
    <w:p>
      <w:pPr>
        <w:ind w:firstLine="1040"/>
        <w:rPr>
          <w:rFonts w:hint="eastAsia" w:ascii="黑体" w:hAnsi="黑体" w:eastAsia="黑体"/>
          <w:sz w:val="52"/>
          <w:szCs w:val="52"/>
        </w:rPr>
      </w:pPr>
    </w:p>
    <w:p>
      <w:pPr>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pPr>
        <w:pStyle w:val="2"/>
        <w:rPr>
          <w:rFonts w:hint="eastAsia"/>
        </w:rPr>
      </w:pPr>
      <w:bookmarkStart w:id="1" w:name="_Toc63785461"/>
      <w:r>
        <w:rPr>
          <w:rFonts w:hint="eastAsia"/>
        </w:rPr>
        <w:t>项目概况</w:t>
      </w:r>
      <w:bookmarkEnd w:id="1"/>
    </w:p>
    <w:p>
      <w:pPr>
        <w:rPr>
          <w:rFonts w:hint="eastAsia"/>
        </w:rPr>
      </w:pPr>
      <w:r>
        <w:rPr>
          <w:rFonts w:hint="eastAsia"/>
        </w:rPr>
        <w:t>为</w:t>
      </w:r>
      <w:r>
        <w:rPr>
          <w:rFonts w:hint="eastAsia"/>
          <w:lang w:val="en-US" w:eastAsia="zh-CN"/>
        </w:rPr>
        <w:t>探索走出一条符合超大城市特点和规律的社会治理新路子，结合市委、市政府对政务服务和城市管理科学化、精细化、智能化的工作要求，全力抓好绿化市容行业政务服务“一网通办”和</w:t>
      </w:r>
      <w:r>
        <w:rPr>
          <w:rFonts w:hint="eastAsia"/>
        </w:rPr>
        <w:t>“一网统管”建设，</w:t>
      </w:r>
      <w:bookmarkStart w:id="2" w:name="OLE_LINK2"/>
      <w:r>
        <w:rPr>
          <w:rFonts w:hint="eastAsia"/>
          <w:lang w:val="en-US" w:eastAsia="zh-CN"/>
        </w:rPr>
        <w:t>结合绿化市容行业特色，持续丰富“两张网”的理论内涵和外延，深度挖掘政务服务和城市运行的实践意义，提升城市治理能力。本项目通过信息化手段，</w:t>
      </w:r>
      <w:bookmarkEnd w:id="2"/>
      <w:r>
        <w:rPr>
          <w:rFonts w:hint="eastAsia"/>
        </w:rPr>
        <w:t>拟对上海市绿化和市容管理局（以下简称“市绿容局</w:t>
      </w:r>
      <w:bookmarkStart w:id="3" w:name="OLE_LINK6"/>
      <w:r>
        <w:rPr>
          <w:rFonts w:hint="eastAsia"/>
        </w:rPr>
        <w:t>”）政务服务大系统</w:t>
      </w:r>
      <w:bookmarkEnd w:id="3"/>
      <w:r>
        <w:rPr>
          <w:rFonts w:hint="eastAsia"/>
        </w:rPr>
        <w:t>中的上海绿化和市容管理局优化营商环境政务服务系统</w:t>
      </w:r>
      <w:r>
        <w:rPr>
          <w:rFonts w:hint="eastAsia"/>
          <w:lang w:eastAsia="zh-CN"/>
        </w:rPr>
        <w:t>、</w:t>
      </w:r>
      <w:r>
        <w:rPr>
          <w:rFonts w:hint="eastAsia"/>
        </w:rPr>
        <w:t>上海市绿化和市容管理局智能辅助决策系统</w:t>
      </w:r>
      <w:r>
        <w:rPr>
          <w:rFonts w:hint="eastAsia"/>
          <w:lang w:val="en-US" w:eastAsia="zh-CN"/>
        </w:rPr>
        <w:t>进行升级优化，对</w:t>
      </w:r>
      <w:r>
        <w:rPr>
          <w:rFonts w:hint="eastAsia"/>
        </w:rPr>
        <w:t>上海市绿化市容信息服务共享平台</w:t>
      </w:r>
      <w:r>
        <w:rPr>
          <w:rFonts w:hint="eastAsia"/>
          <w:lang w:val="en-US" w:eastAsia="zh-CN"/>
        </w:rPr>
        <w:t>及</w:t>
      </w:r>
      <w:r>
        <w:rPr>
          <w:rFonts w:hint="eastAsia"/>
        </w:rPr>
        <w:t>上海市绿化和市容管理局智能辅助决策系统</w:t>
      </w:r>
      <w:r>
        <w:rPr>
          <w:rFonts w:hint="eastAsia"/>
          <w:lang w:val="en-US" w:eastAsia="zh-CN"/>
        </w:rPr>
        <w:t>部分模块</w:t>
      </w:r>
      <w:r>
        <w:rPr>
          <w:rFonts w:hint="eastAsia"/>
        </w:rPr>
        <w:t>按照信创的要求完成全面的国产化改造</w:t>
      </w:r>
      <w:r>
        <w:rPr>
          <w:rFonts w:hint="eastAsia"/>
          <w:lang w:eastAsia="zh-CN"/>
        </w:rPr>
        <w:t>，</w:t>
      </w:r>
      <w:r>
        <w:rPr>
          <w:rFonts w:hint="eastAsia"/>
        </w:rPr>
        <w:t>新建文明单位管理子系统。</w:t>
      </w:r>
    </w:p>
    <w:p>
      <w:pPr>
        <w:spacing w:line="560" w:lineRule="exact"/>
        <w:rPr>
          <w:rFonts w:hint="eastAsia"/>
        </w:rPr>
      </w:pPr>
      <w:r>
        <w:rPr>
          <w:rFonts w:hint="eastAsia"/>
        </w:rPr>
        <w:t>建设期限：自合同签订之日起至20</w:t>
      </w:r>
      <w:r>
        <w:t>2</w:t>
      </w:r>
      <w:r>
        <w:rPr>
          <w:rFonts w:hint="eastAsia"/>
        </w:rPr>
        <w:t>5年</w:t>
      </w:r>
      <w:r>
        <w:t>11</w:t>
      </w:r>
      <w:r>
        <w:rPr>
          <w:rFonts w:hint="eastAsia"/>
        </w:rPr>
        <w:t>月</w:t>
      </w:r>
      <w:r>
        <w:t>30</w:t>
      </w:r>
      <w:r>
        <w:rPr>
          <w:rFonts w:hint="eastAsia"/>
        </w:rPr>
        <w:t>日</w:t>
      </w:r>
    </w:p>
    <w:p>
      <w:pPr>
        <w:spacing w:line="560" w:lineRule="exact"/>
        <w:rPr>
          <w:rFonts w:hint="eastAsia"/>
        </w:rPr>
      </w:pPr>
      <w:r>
        <w:rPr>
          <w:rFonts w:hint="eastAsia"/>
        </w:rPr>
        <w:t>建设地点：上海市静安区胶州路7</w:t>
      </w:r>
      <w:r>
        <w:t>68</w:t>
      </w:r>
      <w:r>
        <w:rPr>
          <w:rFonts w:hint="eastAsia"/>
        </w:rPr>
        <w:t>号</w:t>
      </w:r>
    </w:p>
    <w:p>
      <w:pPr>
        <w:spacing w:line="560" w:lineRule="exact"/>
        <w:rPr>
          <w:rFonts w:hint="eastAsia"/>
        </w:rPr>
      </w:pPr>
      <w:r>
        <w:rPr>
          <w:rFonts w:hint="eastAsia"/>
        </w:rPr>
        <w:t>预算金额：3,595,000元</w:t>
      </w:r>
    </w:p>
    <w:p>
      <w:pPr>
        <w:spacing w:line="560" w:lineRule="exact"/>
        <w:rPr>
          <w:rFonts w:hint="eastAsia"/>
        </w:rPr>
      </w:pPr>
      <w:r>
        <w:rPr>
          <w:rFonts w:hint="eastAsia"/>
        </w:rPr>
        <w:t>采购金额（最高限价）：3,595,000元</w:t>
      </w:r>
    </w:p>
    <w:p>
      <w:pPr>
        <w:rPr>
          <w:rFonts w:hint="eastAsia"/>
        </w:rPr>
      </w:pPr>
      <w:r>
        <w:rPr>
          <w:rFonts w:hint="eastAsia"/>
        </w:rPr>
        <w:t>组织形式：集中采购</w:t>
      </w:r>
    </w:p>
    <w:p>
      <w:pPr>
        <w:rPr>
          <w:rFonts w:hint="default" w:eastAsia="宋体"/>
          <w:lang w:val="en-US" w:eastAsia="zh-CN"/>
        </w:rPr>
      </w:pPr>
      <w:r>
        <w:rPr>
          <w:rFonts w:hint="eastAsia"/>
        </w:rPr>
        <w:t>采购方式：</w:t>
      </w:r>
      <w:r>
        <w:rPr>
          <w:rFonts w:hint="eastAsia"/>
          <w:lang w:val="en-US" w:eastAsia="zh-CN"/>
        </w:rPr>
        <w:t>竞争性磋商</w:t>
      </w:r>
    </w:p>
    <w:p>
      <w:pPr>
        <w:rPr>
          <w:rFonts w:hint="eastAsia"/>
        </w:rPr>
      </w:pPr>
      <w:r>
        <w:rPr>
          <w:rFonts w:hint="eastAsia"/>
        </w:rPr>
        <w:t>是否接受联合体投标：否</w:t>
      </w:r>
    </w:p>
    <w:p>
      <w:pPr>
        <w:rPr>
          <w:rFonts w:hint="eastAsia"/>
        </w:rPr>
      </w:pPr>
      <w:r>
        <w:t>是否按信创要求建设：是</w:t>
      </w:r>
      <w:r>
        <w:rPr>
          <w:rFonts w:hint="eastAsia"/>
        </w:rPr>
        <w:t xml:space="preserve"> </w:t>
      </w:r>
    </w:p>
    <w:p>
      <w:pPr>
        <w:rPr>
          <w:rFonts w:hint="eastAsia"/>
          <w:highlight w:val="none"/>
        </w:rPr>
      </w:pPr>
      <w:r>
        <w:rPr>
          <w:rFonts w:hint="eastAsia"/>
        </w:rPr>
        <w:t>运维后所属大系统：</w:t>
      </w:r>
      <w:r>
        <w:rPr>
          <w:rFonts w:hint="eastAsia"/>
          <w:highlight w:val="none"/>
        </w:rPr>
        <w:t>政务服务大系统</w:t>
      </w:r>
    </w:p>
    <w:p>
      <w:pPr>
        <w:pStyle w:val="2"/>
        <w:rPr>
          <w:rFonts w:hint="eastAsia"/>
        </w:rPr>
      </w:pPr>
      <w:bookmarkStart w:id="4" w:name="_Toc47532255"/>
      <w:bookmarkEnd w:id="4"/>
      <w:bookmarkStart w:id="5" w:name="_Toc47536644"/>
      <w:bookmarkEnd w:id="5"/>
      <w:bookmarkStart w:id="6" w:name="_Toc47539070"/>
      <w:bookmarkEnd w:id="6"/>
      <w:bookmarkStart w:id="7" w:name="_Toc47532891"/>
      <w:bookmarkEnd w:id="7"/>
      <w:bookmarkStart w:id="8" w:name="_Toc47537134"/>
      <w:bookmarkEnd w:id="8"/>
      <w:bookmarkStart w:id="9" w:name="_Toc47533256"/>
      <w:bookmarkEnd w:id="9"/>
      <w:bookmarkStart w:id="10" w:name="_Toc47536272"/>
      <w:bookmarkEnd w:id="10"/>
      <w:bookmarkStart w:id="11" w:name="_Toc47531634"/>
      <w:bookmarkEnd w:id="11"/>
      <w:bookmarkStart w:id="12" w:name="_Toc63785463"/>
      <w:bookmarkStart w:id="13" w:name="_Toc48223882"/>
      <w:r>
        <w:rPr>
          <w:rFonts w:hint="eastAsia"/>
        </w:rPr>
        <w:t>建设目标</w:t>
      </w:r>
      <w:bookmarkEnd w:id="12"/>
      <w:bookmarkEnd w:id="13"/>
    </w:p>
    <w:p>
      <w:pPr>
        <w:rPr>
          <w:rFonts w:hint="eastAsia"/>
        </w:rPr>
      </w:pPr>
      <w:r>
        <w:rPr>
          <w:rFonts w:hint="eastAsia"/>
        </w:rPr>
        <w:t>根据市府相关文件精神，以及上海市绿化和市容管理局政务服务工作的需要，通过本次项目达到进一步优化营商环境，服务人民群众和企业，提升政府的治理水平的目标。同时为推进城市精准精细治理，加强城市数字化转型与城市更新，深化全市绿化市容行业“一网统管”建设，逐步实现“态势全面感知、趋势智能研判、协同高效处置、调度敏捷响应、平急快速切换”的行业管理目标。</w:t>
      </w:r>
    </w:p>
    <w:tbl>
      <w:tblPr>
        <w:tblStyle w:val="3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6"/>
        <w:gridCol w:w="1861"/>
        <w:gridCol w:w="3437"/>
        <w:gridCol w:w="1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通用指标</w:t>
            </w:r>
          </w:p>
        </w:tc>
        <w:tc>
          <w:tcPr>
            <w:tcW w:w="10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一次性验收合格率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系统可靠性</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软件测试</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密码测试</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网络安全等级保护</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安全测评</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安全事件</w:t>
            </w: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数据安全事件发生次数</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项目按期完成率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共性平台</w:t>
            </w:r>
          </w:p>
        </w:tc>
        <w:tc>
          <w:tcPr>
            <w:tcW w:w="2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数据共享程度</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2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核心数据缺失率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2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整合对接系统数量</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业务指标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产出数量</w:t>
            </w: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软件开发完成率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产出质量</w:t>
            </w: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数据记录响应时间</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&lt;3秒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一般查询响应时间</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&lt;5秒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综合查询响应</w:t>
            </w:r>
            <w:r>
              <w:rPr>
                <w:rFonts w:hint="eastAsia" w:cs="宋体"/>
                <w:i w:val="0"/>
                <w:iCs w:val="0"/>
                <w:color w:val="000000"/>
                <w:kern w:val="0"/>
                <w:sz w:val="21"/>
                <w:szCs w:val="21"/>
                <w:u w:val="none"/>
                <w:lang w:val="en-US" w:eastAsia="zh-CN" w:bidi="ar"/>
              </w:rPr>
              <w:t>时间</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&lt;10秒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产出效益</w:t>
            </w: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优化营商环境政务服务办件量</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cs="宋体"/>
                <w:i w:val="0"/>
                <w:iCs w:val="0"/>
                <w:color w:val="000000"/>
                <w:kern w:val="0"/>
                <w:sz w:val="21"/>
                <w:szCs w:val="21"/>
                <w:u w:val="none"/>
                <w:lang w:val="en-US" w:eastAsia="zh-CN" w:bidi="ar"/>
              </w:rPr>
              <w:t>30</w:t>
            </w: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优化营商环境政务服务批后监管量</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门责相关数据接入数量</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万条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机动车清洗场站相关数据接入数量</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新增场景接入数量</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≥6个</w:t>
            </w:r>
          </w:p>
        </w:tc>
      </w:tr>
    </w:tbl>
    <w:p>
      <w:pPr>
        <w:ind w:left="0" w:leftChars="0" w:firstLine="0" w:firstLineChars="0"/>
        <w:rPr>
          <w:rFonts w:hint="eastAsia"/>
        </w:rPr>
      </w:pPr>
    </w:p>
    <w:p>
      <w:pPr>
        <w:pStyle w:val="2"/>
        <w:rPr>
          <w:rFonts w:hint="eastAsia"/>
        </w:rPr>
      </w:pPr>
      <w:bookmarkStart w:id="14" w:name="_Toc47537166"/>
      <w:bookmarkEnd w:id="14"/>
      <w:bookmarkStart w:id="15" w:name="_Toc47539102"/>
      <w:bookmarkEnd w:id="15"/>
      <w:bookmarkStart w:id="16" w:name="_Toc47533288"/>
      <w:bookmarkEnd w:id="16"/>
      <w:bookmarkStart w:id="17" w:name="_Toc47536676"/>
      <w:bookmarkEnd w:id="17"/>
      <w:bookmarkStart w:id="18" w:name="_Toc47536304"/>
      <w:bookmarkEnd w:id="18"/>
      <w:bookmarkStart w:id="19" w:name="_Toc47532923"/>
      <w:bookmarkEnd w:id="19"/>
      <w:r>
        <w:rPr>
          <w:rFonts w:hint="eastAsia"/>
        </w:rPr>
        <w:t>项目建设内容</w:t>
      </w:r>
    </w:p>
    <w:p>
      <w:pPr>
        <w:pStyle w:val="3"/>
        <w:rPr>
          <w:rFonts w:hint="eastAsia"/>
        </w:rPr>
      </w:pPr>
      <w:r>
        <w:rPr>
          <w:rFonts w:hint="eastAsia"/>
        </w:rPr>
        <w:t>建设内容</w:t>
      </w:r>
    </w:p>
    <w:p>
      <w:pPr>
        <w:ind w:firstLine="482"/>
        <w:rPr>
          <w:rFonts w:hint="eastAsia"/>
          <w:b/>
          <w:bCs/>
        </w:rPr>
      </w:pPr>
      <w:r>
        <w:rPr>
          <w:rFonts w:hint="eastAsia"/>
          <w:b/>
          <w:bCs/>
        </w:rPr>
        <w:t>1、新建文明单位管理子系统</w:t>
      </w:r>
    </w:p>
    <w:p>
      <w:pPr>
        <w:rPr>
          <w:rFonts w:hint="eastAsia"/>
        </w:rPr>
      </w:pPr>
      <w:r>
        <w:rPr>
          <w:rFonts w:hint="eastAsia"/>
        </w:rPr>
        <w:t>主要内容包括文明单位预申报管理、文明单位年审及正式申报管理、文明单位库管理、文明单位日常管理及基础数据维护等。</w:t>
      </w:r>
    </w:p>
    <w:p>
      <w:pPr>
        <w:numPr>
          <w:ilvl w:val="0"/>
          <w:numId w:val="3"/>
        </w:numPr>
        <w:ind w:left="-2" w:leftChars="0" w:firstLine="482" w:firstLineChars="0"/>
        <w:rPr>
          <w:rFonts w:hint="eastAsia"/>
          <w:b/>
          <w:bCs/>
        </w:rPr>
      </w:pPr>
      <w:r>
        <w:rPr>
          <w:rFonts w:hint="eastAsia"/>
          <w:b/>
          <w:bCs/>
        </w:rPr>
        <w:t>上海绿化和市容管理局优化营商环境政务服务系统升级改造</w:t>
      </w:r>
    </w:p>
    <w:p>
      <w:pPr>
        <w:rPr>
          <w:rFonts w:hint="eastAsia"/>
        </w:rPr>
      </w:pPr>
      <w:r>
        <w:rPr>
          <w:rFonts w:hint="eastAsia"/>
        </w:rPr>
        <w:t>上海绿化和市容管理局优化营商环境政务服务系统现已实现审批业务与市级"一网通办"平台的全流程对接，通过采用</w:t>
      </w:r>
      <w:r>
        <w:rPr>
          <w:rFonts w:hint="eastAsia"/>
          <w:lang w:val="en-US" w:eastAsia="zh-CN"/>
        </w:rPr>
        <w:t>模式三</w:t>
      </w:r>
      <w:r>
        <w:rPr>
          <w:rFonts w:hint="eastAsia"/>
        </w:rPr>
        <w:t>构建标准化接口体系，完成</w:t>
      </w:r>
      <w:r>
        <w:rPr>
          <w:rFonts w:hint="eastAsia"/>
          <w:lang w:val="en-US" w:eastAsia="zh-CN"/>
        </w:rPr>
        <w:t>绿容局</w:t>
      </w:r>
      <w:r>
        <w:rPr>
          <w:rFonts w:hint="eastAsia"/>
        </w:rPr>
        <w:t>业务系统与"一网通办"主站间的系统级对接和数据双向互通。</w:t>
      </w:r>
    </w:p>
    <w:p>
      <w:pPr>
        <w:numPr>
          <w:ilvl w:val="0"/>
          <w:numId w:val="0"/>
        </w:numPr>
        <w:rPr>
          <w:rFonts w:hint="eastAsia"/>
          <w:b/>
          <w:bCs/>
        </w:rPr>
      </w:pPr>
      <w:r>
        <w:rPr>
          <w:rFonts w:hint="eastAsia" w:eastAsiaTheme="minorEastAsia"/>
          <w:lang w:eastAsia="zh-CN"/>
        </w:rPr>
        <w:drawing>
          <wp:inline distT="0" distB="0" distL="114300" distR="114300">
            <wp:extent cx="5270500" cy="3763010"/>
            <wp:effectExtent l="0" t="0" r="6350" b="8890"/>
            <wp:docPr id="2" name="图片 2" descr="8927290484a3d674691b7a2436759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927290484a3d674691b7a2436759c1"/>
                    <pic:cNvPicPr>
                      <a:picLocks noChangeAspect="1"/>
                    </pic:cNvPicPr>
                  </pic:nvPicPr>
                  <pic:blipFill>
                    <a:blip r:embed="rId13"/>
                    <a:stretch>
                      <a:fillRect/>
                    </a:stretch>
                  </pic:blipFill>
                  <pic:spPr>
                    <a:xfrm>
                      <a:off x="0" y="0"/>
                      <a:ext cx="5270500" cy="3763010"/>
                    </a:xfrm>
                    <a:prstGeom prst="rect">
                      <a:avLst/>
                    </a:prstGeom>
                  </pic:spPr>
                </pic:pic>
              </a:graphicData>
            </a:graphic>
          </wp:inline>
        </w:drawing>
      </w:r>
    </w:p>
    <w:p>
      <w:pPr>
        <w:rPr>
          <w:rFonts w:hint="eastAsia"/>
          <w:lang w:val="en-US" w:eastAsia="zh-CN"/>
        </w:rPr>
      </w:pPr>
      <w:r>
        <w:rPr>
          <w:rFonts w:hint="eastAsia"/>
          <w:lang w:val="en-US" w:eastAsia="zh-CN"/>
        </w:rPr>
        <w:t>升级改造包括调整绿化市容条线的许可事项为27个大项、59个小项及81个情形，并新增12个子项；优化机动车清洗企业的免申即享服务及其条件；开发机动车清洗行业的“一业一证”支撑系统，并完成汽车维修行业的流程改造及数据对接；配合多个部门优化“开办餐饮店”、“水电气网联报装”及“营销活动报批”等“一件事”主题服务；新增国家林草局委托事项的全流程管理，涵盖进出口林草种子生产经营许可证核发等3个许可事项共9个情形；构建跨部门综合监管子系统，强化垃圾处置及市政管线占林占绿的监管；建立环卫行业的市、区两级告知承诺及批后监管体系，实现市区两级工作协同；建设普及型国外引种试种苗圃服务模块，提供从咨询到全生命周期管理的服务。这些措施旨在提升行政效率和服务质量，促进各行业的健康发展。</w:t>
      </w:r>
    </w:p>
    <w:p>
      <w:pPr>
        <w:numPr>
          <w:ilvl w:val="0"/>
          <w:numId w:val="3"/>
        </w:numPr>
        <w:ind w:left="-2" w:leftChars="0" w:firstLine="480" w:firstLineChars="0"/>
        <w:rPr>
          <w:rFonts w:hint="eastAsia"/>
          <w:b/>
          <w:bCs/>
        </w:rPr>
      </w:pPr>
      <w:r>
        <w:rPr>
          <w:rFonts w:hint="eastAsia"/>
          <w:b/>
          <w:bCs/>
        </w:rPr>
        <w:t>上海市绿化市容信息及服务共享平台升级改造</w:t>
      </w:r>
    </w:p>
    <w:p>
      <w:pPr>
        <w:rPr>
          <w:rFonts w:hint="eastAsia"/>
        </w:rPr>
      </w:pPr>
      <w:r>
        <w:rPr>
          <w:rFonts w:hint="eastAsia"/>
        </w:rPr>
        <w:t>“上海市绿化市容信息</w:t>
      </w:r>
      <w:r>
        <w:rPr>
          <w:rFonts w:hint="eastAsia"/>
          <w:lang w:val="en-US" w:eastAsia="zh-CN"/>
        </w:rPr>
        <w:t>及</w:t>
      </w:r>
      <w:r>
        <w:rPr>
          <w:rFonts w:hint="eastAsia"/>
        </w:rPr>
        <w:t>服务共享平台”</w:t>
      </w:r>
      <w:r>
        <w:rPr>
          <w:rFonts w:hint="eastAsia"/>
          <w:lang w:val="en-US" w:eastAsia="zh-CN"/>
        </w:rPr>
        <w:t>现</w:t>
      </w:r>
      <w:r>
        <w:rPr>
          <w:rFonts w:hint="eastAsia"/>
        </w:rPr>
        <w:t>汇聚了包括行业标准、四新产品等行业资讯，为用户提供了相关业务数据搜索服务和绿容图层部分数据服务。</w:t>
      </w:r>
    </w:p>
    <w:p>
      <w:pPr>
        <w:ind w:left="0" w:leftChars="0" w:firstLine="0" w:firstLineChars="0"/>
        <w:rPr>
          <w:rFonts w:hint="eastAsia"/>
          <w:b/>
          <w:bCs/>
        </w:rPr>
      </w:pPr>
      <w:r>
        <w:rPr>
          <w:rFonts w:hint="eastAsia" w:eastAsiaTheme="minorEastAsia"/>
          <w:lang w:eastAsia="zh-CN"/>
        </w:rPr>
        <w:drawing>
          <wp:inline distT="0" distB="0" distL="114300" distR="114300">
            <wp:extent cx="5304790" cy="4095750"/>
            <wp:effectExtent l="0" t="0" r="635" b="0"/>
            <wp:docPr id="3" name="图片 3" descr="75d7a34bf48db096b5e4f5a1cd961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5d7a34bf48db096b5e4f5a1cd9617a"/>
                    <pic:cNvPicPr>
                      <a:picLocks noChangeAspect="1"/>
                    </pic:cNvPicPr>
                  </pic:nvPicPr>
                  <pic:blipFill>
                    <a:blip r:embed="rId14"/>
                    <a:stretch>
                      <a:fillRect/>
                    </a:stretch>
                  </pic:blipFill>
                  <pic:spPr>
                    <a:xfrm>
                      <a:off x="0" y="0"/>
                      <a:ext cx="5304790" cy="4095750"/>
                    </a:xfrm>
                    <a:prstGeom prst="rect">
                      <a:avLst/>
                    </a:prstGeom>
                  </pic:spPr>
                </pic:pic>
              </a:graphicData>
            </a:graphic>
          </wp:inline>
        </w:drawing>
      </w:r>
    </w:p>
    <w:p>
      <w:pPr>
        <w:rPr>
          <w:rFonts w:hint="eastAsia"/>
          <w:highlight w:val="none"/>
        </w:rPr>
      </w:pPr>
      <w:r>
        <w:rPr>
          <w:rFonts w:hint="eastAsia"/>
          <w:highlight w:val="none"/>
          <w:lang w:val="en-US" w:eastAsia="zh-CN"/>
        </w:rPr>
        <w:t>本次升级改造</w:t>
      </w:r>
      <w:r>
        <w:rPr>
          <w:rFonts w:hint="eastAsia"/>
          <w:highlight w:val="none"/>
        </w:rPr>
        <w:t>新建12345专题库，新建机动车清洗专题库，新建全域门责专题库，新建行政事务受理热点分析，同时完成国产化适配改造。新建12345专题库、机动车清洗专题库、全域门责专题库，并开发行政事务受理热点分析模块，同时完成所有新建专题库的国产化适配改造，确保系统的兼容性和稳定性。</w:t>
      </w:r>
    </w:p>
    <w:p>
      <w:pPr>
        <w:numPr>
          <w:ilvl w:val="0"/>
          <w:numId w:val="3"/>
        </w:numPr>
        <w:ind w:left="-2" w:leftChars="0" w:firstLine="480" w:firstLineChars="0"/>
        <w:rPr>
          <w:rFonts w:hint="eastAsia"/>
          <w:b/>
          <w:bCs/>
        </w:rPr>
      </w:pPr>
      <w:r>
        <w:rPr>
          <w:rFonts w:hint="eastAsia"/>
          <w:b/>
          <w:bCs/>
        </w:rPr>
        <w:t>上海市绿化和市容管理局智能辅助决策系统升级改造</w:t>
      </w:r>
    </w:p>
    <w:p>
      <w:r>
        <w:rPr>
          <w:rFonts w:hint="eastAsia"/>
        </w:rPr>
        <w:t>“上海市绿化和市容管理局智能辅助决策系统</w:t>
      </w:r>
      <w:r>
        <w:t>”</w:t>
      </w:r>
      <w:r>
        <w:rPr>
          <w:rFonts w:hint="eastAsia"/>
          <w:lang w:val="en-US" w:eastAsia="zh-CN"/>
        </w:rPr>
        <w:t>现</w:t>
      </w:r>
      <w:r>
        <w:t>汇聚了绿容各行业业务数据，进行统计分析与可视化管理，主要包括总屏、市容、园林绿化、景观、环卫</w:t>
      </w:r>
      <w:r>
        <w:rPr>
          <w:rFonts w:hint="eastAsia"/>
        </w:rPr>
        <w:t>等</w:t>
      </w:r>
      <w:r>
        <w:t>各行业分屏。</w:t>
      </w:r>
    </w:p>
    <w:p>
      <w:pPr>
        <w:numPr>
          <w:ilvl w:val="0"/>
          <w:numId w:val="0"/>
        </w:numPr>
        <w:rPr>
          <w:rFonts w:hint="eastAsia"/>
          <w:b/>
          <w:bCs/>
        </w:rPr>
      </w:pPr>
      <w:r>
        <w:drawing>
          <wp:inline distT="0" distB="0" distL="0" distR="0">
            <wp:extent cx="5274310" cy="2248535"/>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5274310" cy="2248535"/>
                    </a:xfrm>
                    <a:prstGeom prst="rect">
                      <a:avLst/>
                    </a:prstGeom>
                  </pic:spPr>
                </pic:pic>
              </a:graphicData>
            </a:graphic>
          </wp:inline>
        </w:drawing>
      </w:r>
    </w:p>
    <w:p>
      <w:pPr>
        <w:rPr>
          <w:rFonts w:hint="eastAsia"/>
        </w:rPr>
      </w:pPr>
      <w:r>
        <w:rPr>
          <w:rFonts w:hint="eastAsia"/>
          <w:highlight w:val="none"/>
          <w:lang w:val="en-US" w:eastAsia="zh-CN"/>
        </w:rPr>
        <w:t>本次升级改造</w:t>
      </w:r>
      <w:r>
        <w:rPr>
          <w:rFonts w:hint="eastAsia"/>
          <w:highlight w:val="none"/>
        </w:rPr>
        <w:t>新建12319城建服务热线工单专题并完成业务监控驾驶舱看板，同时开发园林碳汇专题、植物园专题、绿建专题以及野生动植物保护专题。此外，还将完成装修垃圾监管看板的建设，并实现智能辅助决策系统1.0的国产化适配改造。</w:t>
      </w:r>
    </w:p>
    <w:p>
      <w:pPr>
        <w:pStyle w:val="3"/>
        <w:rPr>
          <w:rFonts w:hint="eastAsia"/>
        </w:rPr>
      </w:pPr>
      <w:r>
        <w:rPr>
          <w:rFonts w:hint="eastAsia"/>
        </w:rPr>
        <w:t>具体软件开发清单</w:t>
      </w:r>
    </w:p>
    <w:tbl>
      <w:tblPr>
        <w:tblStyle w:val="3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5"/>
        <w:gridCol w:w="2234"/>
        <w:gridCol w:w="2425"/>
        <w:gridCol w:w="2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应用系统名称</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模块名称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模块描述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文明单位管理子系统</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预申报管理-启动预申报</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每周期首年启动预申报。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预申报管理-单位预申报</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单位填写预申报信息。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预申报管理-预申报审核</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分级审核不同单位性质。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正式申报/年审管理-评价体系管理</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文明单位测评指标维护。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正式申报/年审管理-启动正式申报/年审</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第三年启动正式申报评审。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正式申报/年审管理-生成自评表</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系统生成推送自评表。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正式申报/年审管理-申报（年审）单位自评</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各单位登录系统进行自评</w:t>
            </w:r>
            <w:r>
              <w:rPr>
                <w:rFonts w:hint="eastAsia" w:cs="宋体"/>
                <w:i w:val="0"/>
                <w:iCs w:val="0"/>
                <w:color w:val="000000"/>
                <w:kern w:val="0"/>
                <w:sz w:val="21"/>
                <w:szCs w:val="21"/>
                <w:u w:val="none"/>
                <w:lang w:val="en-US" w:eastAsia="zh-CN" w:bidi="ar"/>
              </w:rPr>
              <w:t>，且</w:t>
            </w:r>
            <w:r>
              <w:rPr>
                <w:rFonts w:hint="eastAsia" w:ascii="宋体" w:hAnsi="宋体" w:eastAsia="宋体" w:cs="宋体"/>
                <w:i w:val="0"/>
                <w:iCs w:val="0"/>
                <w:color w:val="000000"/>
                <w:kern w:val="0"/>
                <w:sz w:val="21"/>
                <w:szCs w:val="21"/>
                <w:u w:val="none"/>
                <w:lang w:val="en-US" w:eastAsia="zh-CN" w:bidi="ar"/>
              </w:rPr>
              <w:t>需上传证明材料。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正式申报/年审管理-负面清单征询</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负面清单情况征询意见。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正式申报/年审管理-材料审核</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两性单位自评材料提交上级协会初审，并对证明材料评分。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正式申报/年审管理-综合评审管理</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集中评审局级文明单位，实行综合评分末尾淘汰制。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正式申报/年审管理-授予文明单位</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新申报创建局级文明单位实行综合评分末尾淘汰制。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文明单位库-文明单位查询</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在库文明单位都可以通过文明单位库进行查询。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文明单位库-出库管理</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在库文明单位可通过文明单位库查询，升级或取消资格时出库。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日常管理-现场检查管理</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现场检查通过系统记录。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日常管理-座谈会管理</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座谈会情况</w:t>
            </w:r>
            <w:r>
              <w:rPr>
                <w:rFonts w:hint="eastAsia" w:ascii="宋体" w:hAnsi="宋体" w:eastAsia="宋体" w:cs="宋体"/>
                <w:i w:val="0"/>
                <w:iCs w:val="0"/>
                <w:color w:val="000000"/>
                <w:kern w:val="0"/>
                <w:sz w:val="21"/>
                <w:szCs w:val="21"/>
                <w:u w:val="none"/>
                <w:lang w:val="en-US" w:eastAsia="zh-CN" w:bidi="ar"/>
              </w:rPr>
              <w:t>通过系统记录。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基础数据管理-负面清单管理</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支持查询负面清单发生</w:t>
            </w:r>
            <w:r>
              <w:rPr>
                <w:rFonts w:hint="eastAsia" w:cs="宋体"/>
                <w:i w:val="0"/>
                <w:iCs w:val="0"/>
                <w:color w:val="000000"/>
                <w:kern w:val="0"/>
                <w:sz w:val="21"/>
                <w:szCs w:val="21"/>
                <w:u w:val="none"/>
                <w:lang w:val="en-US" w:eastAsia="zh-CN" w:bidi="ar"/>
              </w:rPr>
              <w:t>情况</w:t>
            </w: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基础数据管理-两性单位（行业单位）管理</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各行业协会可以登记本行业的行业单位。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统计分析-文明单位统计</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支持</w:t>
            </w:r>
            <w:r>
              <w:rPr>
                <w:rFonts w:hint="eastAsia" w:ascii="宋体" w:hAnsi="宋体" w:eastAsia="宋体" w:cs="宋体"/>
                <w:i w:val="0"/>
                <w:iCs w:val="0"/>
                <w:color w:val="000000"/>
                <w:kern w:val="0"/>
                <w:sz w:val="21"/>
                <w:szCs w:val="21"/>
                <w:u w:val="none"/>
                <w:lang w:val="en-US" w:eastAsia="zh-CN" w:bidi="ar"/>
              </w:rPr>
              <w:t>文明单位统计申报情况。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统计分析-评价统计</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针对每一个文明单位，根据评价体系的打分情况。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上海市绿化市容信息及服务共享平台</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12345工单专题库-12345全量数据接入与分析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12345数据处理与优化。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12345工单专题库-人物画像分析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构建人物画像模型关联历史诉件和处置结果。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12345工单专题库-工单处置健康指数模型</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建立工单处置健康指数模型。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机动车清洗专题库-机动车清洗场站全生命周期数据接入</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完成机动车清洗场站多源数据接入。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机动车清洗专题库-机动车清洗场站全生命周期数据匹配</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实现机动车清洗场站档案数据与工单数据的清洗和关联。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机动车清洗专题库-机动车清洗场站数据共享场景</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实现通知区县或街镇核实并更新机动车清洗场站的精准台账至一网通办备案库。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全域门责专题库-全域门责专题库</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完成全域门责的多源数据整合。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全域门责专题库-全域门责数据共享场景</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门责档案数据全域认证。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行政事务受理热点专题分析-投诉热词专题分析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实现智能分词分析工单诉求</w:t>
            </w:r>
            <w:r>
              <w:rPr>
                <w:rFonts w:hint="eastAsia"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行政事务受理热点专题分析-树木倒伏专题分析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开发行道树风险评估功能。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行政事务受理热点专题分析-垃圾清理问题专题分析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开发垃圾清理特征分析功能。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国产化适配改造-绿化市容地理信息服务共享平台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分布式地图维护平台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国产化适配改造-绿化市容地理信息服务共享平台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地图基础功能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国产化适配改造-绿化市容地理信息服务共享平台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基于GIS的视频展示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国产化适配改造-上海市绿化市容业务信息共享平台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业务数据分类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国产化适配改造-上海市绿化市容业务信息共享平台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分类搜索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国产化适配改造-上海市绿化市容业务信息共享平台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综合分析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国产化适配改造-上海市绿化市容业务信息共享平台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国产化适配改造-上海市绿化市容业务信息共享平台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数据资源推送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国产化适配改造-上海市绿化市容业务信息共享平台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采集日志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国产化适配改造-上海市绿化市容业务信息共享平台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建筑垃圾监管服务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国产化适配改造-上海市绿化市容业务信息共享平台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生活垃圾物流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国产化适配改造-上海市绿化市容业务信息共享平台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分类分析工具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国产化适配改造-上海市绿化市容业务信息共享平台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餐厨废油脂监管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国产化适配改造-上海市绿化市容业务信息共享平台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关键字搜索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国产化适配改造-上海市绿化市容业务信息共享平台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分类搜索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国产化适配改造-上海市绿化市容业务信息共享平台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陆域质监管理系统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国产化适配改造-上海市绿化市容业务信息共享平台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业务数据分类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国产化适配改造-上海市绿化市容业务信息共享平台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固废综合监管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国产化适配改造-上海市绿化市容业务信息共享平台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业务数据分类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国产化适配改造-上海市绿化市容业务信息共享平台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数据共享安全管理系统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国产化适配改造-上海市绿化市容业务信息共享平台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机动车车辆清洗备案网站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国产化适配改造-上海市绿化市容业务信息共享平台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数据资源推送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国产化适配改造-上海市绿化市容业务信息共享平台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主题集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国产化适配改造-绿化市容业务信息系统整合</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统一消息模块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国产化适配改造-绿化市容业务信息系统整合</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统一认证与授权模块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上海绿化和市容管理局优化营商环境政务服务系统</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省内调运林草植物检疫证书核发-省内调运网上申报</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PC端网上申报功能齐全便捷。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省内调运林草植物检疫证书核发-省内调运移动端申报</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申报人</w:t>
            </w:r>
            <w:r>
              <w:rPr>
                <w:rFonts w:hint="eastAsia" w:cs="宋体"/>
                <w:i w:val="0"/>
                <w:iCs w:val="0"/>
                <w:color w:val="000000"/>
                <w:kern w:val="0"/>
                <w:sz w:val="21"/>
                <w:szCs w:val="21"/>
                <w:u w:val="none"/>
                <w:lang w:val="en-US" w:eastAsia="zh-CN" w:bidi="ar"/>
              </w:rPr>
              <w:t>可</w:t>
            </w:r>
            <w:r>
              <w:rPr>
                <w:rFonts w:hint="eastAsia" w:ascii="宋体" w:hAnsi="宋体" w:eastAsia="宋体" w:cs="宋体"/>
                <w:i w:val="0"/>
                <w:iCs w:val="0"/>
                <w:color w:val="000000"/>
                <w:kern w:val="0"/>
                <w:sz w:val="21"/>
                <w:szCs w:val="21"/>
                <w:u w:val="none"/>
                <w:lang w:val="en-US" w:eastAsia="zh-CN" w:bidi="ar"/>
              </w:rPr>
              <w:t>通过移动端进行申报。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省内调运林草植物检疫证书核发-省内调运审批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审批官通过系统完成全流程操作。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省内调运林草植物检疫证书核发-调运检疫证电子制证</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系统将根据全国统一的“植物检疫证书（省内）”，实现电子制证。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省内调运林草植物检疫证书核发-数据推送和回调</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系统推送信息至国家林草局，办结回调生成唯一码。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“设置大型户外广告审批”-初次申请情形</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系统智能引导，申请人上传材料并签章提交。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“设置大型户外广告审批”-延续申请情形</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系统支持延续申请，智能引导至提交。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“设置大型户外广告审批”-广告代理功能</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系统提供广告代理服务功能，允许代理商或广告主进行申报。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“设置大型户外广告审批”-大型户外广告审批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审批功能</w:t>
            </w:r>
            <w:r>
              <w:rPr>
                <w:rFonts w:hint="eastAsia" w:cs="宋体"/>
                <w:i w:val="0"/>
                <w:iCs w:val="0"/>
                <w:color w:val="000000"/>
                <w:kern w:val="0"/>
                <w:sz w:val="21"/>
                <w:szCs w:val="21"/>
                <w:u w:val="none"/>
                <w:lang w:val="en-US" w:eastAsia="zh-CN" w:bidi="ar"/>
              </w:rPr>
              <w:t>可以进行</w:t>
            </w:r>
            <w:r>
              <w:rPr>
                <w:rFonts w:hint="eastAsia" w:ascii="宋体" w:hAnsi="宋体" w:eastAsia="宋体" w:cs="宋体"/>
                <w:i w:val="0"/>
                <w:iCs w:val="0"/>
                <w:color w:val="000000"/>
                <w:kern w:val="0"/>
                <w:sz w:val="21"/>
                <w:szCs w:val="21"/>
                <w:u w:val="none"/>
                <w:lang w:val="en-US" w:eastAsia="zh-CN" w:bidi="ar"/>
              </w:rPr>
              <w:t>初次事项审批和延续审批。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“设置大型户外广告审批”-广告审批批复拟稿</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系统自动生成许可决定初稿，审批官检查后提交审核。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“设置大型户外广告审批”-广告审批同步办件库</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系统将在各个环节同步办件库。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“设置大型户外广告审批”-批后监管</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办结后信息推送至批后监管模块，各区负责监管。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“设置大型户外广告审批”-户外广告规划点位管理</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根据管理要求，在系统中建立户外广告规划点位库。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引进野生动物物种网上申请</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系统为申请引进非国际公约禁止或限制贸易的陆生野生动物物种提供智能引导等功能。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引进野生动物物种事项审批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系统提供预审功能。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引进野生动物物种事项许可决定书生成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系统将根据申报内容和《从境外引进非国际公约禁止或限制贸易的陆生野生动物物种审批许可决定书》模板，自动生成许可决定书。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引进野生动物物种事项办件同步</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系统将在各个环节同步办件库。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野生动物物种管理</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管理人员使用系统建立非国际公约物种库，对其进行维护管理。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林木草种生产经营许可证初次申请</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系统为初次办理者提供包括智能引导等功能。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林木草种生产经营许可证延续申报</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延续办理网上申请功能。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林木草种生产经营许可证变更申请</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系统提供变更功能；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林木草种生产经营许可证新办审批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审批官执行新办审批，核发林木良种繁殖材料许可证。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林木草种生产经营许可证延续审批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市绿容局</w:t>
            </w:r>
            <w:r>
              <w:rPr>
                <w:rFonts w:hint="eastAsia" w:ascii="宋体" w:hAnsi="宋体" w:eastAsia="宋体" w:cs="宋体"/>
                <w:i w:val="0"/>
                <w:iCs w:val="0"/>
                <w:color w:val="000000"/>
                <w:kern w:val="0"/>
                <w:sz w:val="21"/>
                <w:szCs w:val="21"/>
                <w:u w:val="none"/>
                <w:lang w:val="en-US" w:eastAsia="zh-CN" w:bidi="ar"/>
              </w:rPr>
              <w:t>局许可处受理审批延续申请，审批通过后制证。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林木草种生产经营许可证变更审批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系统根据变更审批所选变更情形不同采用不同的方式进行审批。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林木草种生产经营许可证制证</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审批通过后，进入到制证环节。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林木草种生产经营许可证批后监管</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事项办结后系统将自动发起批后监管流程，事项进入批后监管清单。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库外资源采集、采伐申请</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系统支持林草资源采集、采伐审批网上申请。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库外资源采集、采伐事项审批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局许可处收到申请人的“国家林草种质资源库外资源采集、采伐审批”办理申请。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生成库外资源采集、采伐事项审批许可决定书</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系统提供批复拟稿，自动生成许可决定初稿。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库外资源采集、采伐事项审批同步办件库</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系统将在各个环节同步办件库。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获取悬挂、张贴宣传品申请办件信息</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系统对接办件库，获取城市设施宣传品审批信息。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悬挂、张贴宣传品事项审批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“在城市建筑物、设施上悬挂、张贴宣传品审批”为区级审批权限。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生成悬挂、张贴宣传品审批许可决定书</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系统将根据《在城市建筑物、设施上悬挂、张贴宣传品审批许可决定书》模板自动生成许可决定。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同步悬挂、张贴宣传品审批办件信息</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系统将在各个环节同步办件库。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悬挂、张贴宣传品审批批后监管</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系统同步办件库，办结后推送至批后监管系统。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同步捕猎野生动物审批办件信息</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系统根据办件库“猎捕非国家重点保护陆生野生动物审批”事项所需数据，从办件库获取申请人申报事项信息。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“猎捕非国家重点保护陆生野生动物审批”事项审批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“猎捕非国家重点保护陆生野生动物审批”为区级审批权限，由各区林业站审批人员进行审批。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生成行政许可决定书</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系统将根据《猎捕非国家重点保护陆生野生动物审批许可决定书》模板自动生成许可决定。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同步捕猎野生动物审批办件库</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系统将在各个环节同步办件库。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获取“采集国家一级保护野生植物审批”办件信息</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系统根据“采集国家一级保护野生植物审批”事项的所需数据，从办件库获取申请人申报信息。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“采集国家一级保护野生植物审批”事项审批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“采集国家一级保护野生植物审批”为市级审批事项，由上海市绿化和市容管理局野生动植物保护处进行审批。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“采集国家一级保护野生植物审批”行政许可决定</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系统将根据《采集国家一级保护野生植物审批许可决定书》模板自动生成许可决定。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同步“采集国家一级保护野生植物审批”到办件库</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系统将在“采集国家一级保护野生植物审批”各个环节同步办件库。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获取临时性建筑物搭建、堆放物料、占道施工审批办件信息</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根据“临时性建筑物搭建、堆放物料、占道施工审批”事项所需数据，从办件库获取事项申报信息。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临时性建筑物搭建、堆放物料、占道施工审批事项审批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“临时性建筑物搭建、堆放物料、占道施工审批”由各区绿化市容局审批人员进行审批。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临时性建筑物搭建、堆放物料、占道施工审批决定书</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系统将根据《临时性建筑物搭建、堆放物料、占道施工审批》模板自动生成许可决定。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同步临时性建筑物搭建、堆放物料、占道施工审批到办件库</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系统将在临时性建筑物搭建、堆放物料、占道施工审批各个环节同步办件库。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临时性建筑物搭建、堆放物料、占道施工审批批后监管</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系统会自动将办件信息推送至批后监管系统。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获取“工商企业等社会资本通过流转取得林地经营权审批”办件信息</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根据办件库中“工商企业等社会资本通过流转取得林地经营权审批”事项的所需数据，从办件库获取事项申报信息。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“工商企业等社会资本通过流转取得林地经营权审批”事项审批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“工商企业等社会资本通过流转取得林地经营权审批”为市、区级审批两级权限，由市市容处和各区绿化市容局审批人员进行审批。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“工商企业等社会资本通过流转取得林地经营权审批”决定</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审批通过后，系统生成林地经营权审批决定。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同步“工商企业等社会资本通过流转取得林地经营权审批”办件库</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系统将在各个环节同步办件库。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“工商企业等社会资本通过流转取得林地经营权审批”批后监管</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系统会自动将办件信息推送至批后监管系统。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根据国办要求优化审批事项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对接新编码，更新野生动物繁育许可证申报信息。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新增物种“增项”审批功能</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系统从办件库获取申请人的判断本次申请的物种是否为新增物种。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优化《陆生野生动物人工繁育许可证》制证</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优化制证功能。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占林新办-接口优化</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系统提供细化占林小班信息填报。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新办-增加项目占用林地森林植被恢复费的缴费核定功能</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办件发送给局林业处核定。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新办-增加核定单生成功能</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系统将自动预生成核定单信息，由许可处进行修改完善。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新办-增加核定单盖章及短信发出功能</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系统根据核定单模板，生成核定单，并对核定单进行盖章。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新办-增加核定单下载功能</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申请人下载核定单及缴费说明；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新办-许可决定书优化</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系统提供确认页面，由税务部门工作人员登录后确认缴费情况。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新办-林地使用同意书优化及许可决定优化</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系统根据新的许可决定书模板和新的林地使用同意书模板，自动生成许可决定和林地使用同意书。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变更-新增与一网通办的变更接口</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针对变更，系统和一网通办前台页面</w:t>
            </w:r>
            <w:r>
              <w:rPr>
                <w:rFonts w:hint="eastAsia" w:cs="宋体"/>
                <w:i w:val="0"/>
                <w:iCs w:val="0"/>
                <w:color w:val="000000"/>
                <w:kern w:val="0"/>
                <w:sz w:val="21"/>
                <w:szCs w:val="21"/>
                <w:u w:val="none"/>
                <w:lang w:val="en-US" w:eastAsia="zh-CN" w:bidi="ar"/>
              </w:rPr>
              <w:t>通过接口进行数据交互。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占林变更-占林面积、小班变更审批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系统收到变更申请后，将自动配分到各单位。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占林延期-新增与一网通办的延期数据获取功能</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针对变更，系统和一网通办前台通过接口进行数据交互处理</w:t>
            </w:r>
            <w:r>
              <w:rPr>
                <w:rFonts w:hint="eastAsia"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占林延期-延期审批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延期审批按照审批官负责制，无需处室负责人和分管领导进行审批。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占林审批批后监管</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办结后，办件信息将自动推送至批后监管系统。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户外广告设施设置网上申请</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网上申请页面包括办理须知等功能。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户外广告统计</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系统针对各区设置的户外广告进行统计分析。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网上申请</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系统招牌申请事项提供办理须知等功能模块。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户外招牌统计</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统计各区户外招牌设置情况。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新办申报</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将原有事项</w:t>
            </w:r>
            <w:r>
              <w:rPr>
                <w:rFonts w:hint="eastAsia" w:cs="宋体"/>
                <w:i w:val="0"/>
                <w:iCs w:val="0"/>
                <w:color w:val="000000"/>
                <w:kern w:val="0"/>
                <w:sz w:val="21"/>
                <w:szCs w:val="21"/>
                <w:u w:val="none"/>
                <w:lang w:val="en-US" w:eastAsia="zh-CN" w:bidi="ar"/>
              </w:rPr>
              <w:t>的模式进行修改</w:t>
            </w: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延期申请</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w:t>
            </w:r>
            <w:r>
              <w:rPr>
                <w:rFonts w:hint="eastAsia" w:cs="宋体"/>
                <w:i w:val="0"/>
                <w:iCs w:val="0"/>
                <w:color w:val="000000"/>
                <w:kern w:val="0"/>
                <w:sz w:val="21"/>
                <w:szCs w:val="21"/>
                <w:u w:val="none"/>
                <w:lang w:val="en-US" w:eastAsia="zh-CN" w:bidi="ar"/>
              </w:rPr>
              <w:t>可</w:t>
            </w:r>
            <w:r>
              <w:rPr>
                <w:rFonts w:hint="eastAsia" w:ascii="宋体" w:hAnsi="宋体" w:eastAsia="宋体" w:cs="宋体"/>
                <w:i w:val="0"/>
                <w:iCs w:val="0"/>
                <w:color w:val="000000"/>
                <w:kern w:val="0"/>
                <w:sz w:val="21"/>
                <w:szCs w:val="21"/>
                <w:u w:val="none"/>
                <w:lang w:val="en-US" w:eastAsia="zh-CN" w:bidi="ar"/>
              </w:rPr>
              <w:t>通过核验申请人是否有可延期。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变更申请</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系统可对</w:t>
            </w:r>
            <w:r>
              <w:rPr>
                <w:rFonts w:hint="eastAsia" w:ascii="宋体" w:hAnsi="宋体" w:eastAsia="宋体" w:cs="宋体"/>
                <w:i w:val="0"/>
                <w:iCs w:val="0"/>
                <w:color w:val="000000"/>
                <w:kern w:val="0"/>
                <w:sz w:val="21"/>
                <w:szCs w:val="21"/>
                <w:u w:val="none"/>
                <w:lang w:val="en-US" w:eastAsia="zh-CN" w:bidi="ar"/>
              </w:rPr>
              <w:t>事项包含六种情况的</w:t>
            </w:r>
            <w:r>
              <w:rPr>
                <w:rFonts w:hint="eastAsia" w:cs="宋体"/>
                <w:i w:val="0"/>
                <w:iCs w:val="0"/>
                <w:color w:val="000000"/>
                <w:kern w:val="0"/>
                <w:sz w:val="21"/>
                <w:szCs w:val="21"/>
                <w:u w:val="none"/>
                <w:lang w:val="en-US" w:eastAsia="zh-CN" w:bidi="ar"/>
              </w:rPr>
              <w:t>进行</w:t>
            </w:r>
            <w:r>
              <w:rPr>
                <w:rFonts w:hint="eastAsia" w:ascii="宋体" w:hAnsi="宋体" w:eastAsia="宋体" w:cs="宋体"/>
                <w:i w:val="0"/>
                <w:iCs w:val="0"/>
                <w:color w:val="000000"/>
                <w:kern w:val="0"/>
                <w:sz w:val="21"/>
                <w:szCs w:val="21"/>
                <w:u w:val="none"/>
                <w:lang w:val="en-US" w:eastAsia="zh-CN" w:bidi="ar"/>
              </w:rPr>
              <w:t>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新办审批流程改造</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根据新增的补充信息对新办审批流程步骤进行改造。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延期审批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普通林草种子生产经营许可证核发的延续审批流程。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变更审批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系统根据所选变更情形不同采用不同的方式进行审批。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批后监管</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初次办理、延续和变更办结后，自动发起批后监管流程。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与申请端接口优化</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对申请端相关交互接口进行优化。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优化审批流程增加水运处置信息审批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优化新办、快办和综合变更的审批流程。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优化许可决定书（4种情形）</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优化许可决定书。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水运处置证制证</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新增水运处置证制证功能。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优化车运处置证有效期</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根据业务要求，改造车运处置证有效期管理功能。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数据校验功能</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验证船舶有效性。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将采伐、迁移合并，更新与一网通办办件获取接口</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通过</w:t>
            </w:r>
            <w:r>
              <w:rPr>
                <w:rFonts w:hint="eastAsia" w:ascii="宋体" w:hAnsi="宋体" w:eastAsia="宋体" w:cs="宋体"/>
                <w:i w:val="0"/>
                <w:iCs w:val="0"/>
                <w:color w:val="000000"/>
                <w:kern w:val="0"/>
                <w:sz w:val="21"/>
                <w:szCs w:val="21"/>
                <w:u w:val="none"/>
                <w:lang w:val="en-US" w:eastAsia="zh-CN" w:bidi="ar"/>
              </w:rPr>
              <w:t>一网通办办件库的接口获取核发的申请信息。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优化审批流程将采伐、迁移合并审批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根据合并后的事项，开发审批功能。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《林木采伐许可证》制证改造</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根据新的采伐许可证样式，改造制证功能。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对方管理功能改造</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根据业务部门要求，申报需要支持多家相对方公司。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新增浦东许可决定</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浦东新区“出售、购买、利用国家重点保护陆生野生动物及其制品审批”纳入本系统管理范围。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国办要求审批事项对接(一）</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改造多项审批功能，涵盖林草、垃圾、户外广告等。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国办要求审批事项对接(二）</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改造多项审批功能，涉及野生动物、植物及城市绿地管理。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优化免申即享条件</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建设工程垃圾运输许可证核发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从大数据中心预填接口获取数据</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占用已建成绿地审批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“一业一证”申报数据对接主题库</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省际间调运林草植物检疫证书核发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优化审批流程</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林草植物产地检疫证书核发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开发办结数据同步接口，并与水务对接</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临时性户外广告设置审批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《机动车清洗行业综合许可证》制发</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对调整已建成公共绿地内部布局的许可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《机动车清洗行业综合许可证》推送两页</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移植古树后续资源审批（终审）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“机动车维修”一业一证申报数据对接</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在森林和野生动物类型地方级自然保护区修筑设施审批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优化审批流程</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进入地方级自然保护区核心区从事科学研究观测、调查活动审批（省级权限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对接交通委办结数据同步接口</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在自然保护区缓冲区从事非破坏性科研教学实习和标本采集审批（省级权限）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对接“开办餐饮店”一件事申报数据</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迁移树木审批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优化审批流程</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关闭、闲置、拆除城市环境卫生设施许可（直辖市权限）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将办理结果反馈给市场监管局</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关闭、闲置、拆除城市环境卫生设施许可（设区的市级权限）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对接“水电气网联合报装”一件事申报数据</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拆除环境卫生设施许可（直辖市权限）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优化审批流程</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拆除环境卫生设施许可（设区的市级权限）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将办理结果反馈给住建委</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需要改造以下审批事项功能（第二部分）：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对接“营销活动报批”一件事申报数据</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猎捕国家一级保护陆生野生动物审批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优化审批流程</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猎捕国家二级保护陆生野生动物审批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将办理结果反馈给市商务委</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出售、收购国家二级保护野生植物审批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“一件事”统计查询查询</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采集国家二级保护野生植物以及甘草和麻黄</w:t>
            </w:r>
            <w:r>
              <w:rPr>
                <w:rFonts w:hint="eastAsia" w:cs="宋体"/>
                <w:i w:val="0"/>
                <w:iCs w:val="0"/>
                <w:color w:val="000000"/>
                <w:kern w:val="0"/>
                <w:sz w:val="21"/>
                <w:szCs w:val="21"/>
                <w:u w:val="none"/>
                <w:lang w:val="en-US" w:eastAsia="zh-CN" w:bidi="ar"/>
              </w:rPr>
              <w:t>，</w:t>
            </w:r>
            <w:bookmarkStart w:id="39" w:name="_GoBack"/>
            <w:bookmarkEnd w:id="39"/>
            <w:r>
              <w:rPr>
                <w:rFonts w:hint="eastAsia" w:ascii="宋体" w:hAnsi="宋体" w:eastAsia="宋体" w:cs="宋体"/>
                <w:i w:val="0"/>
                <w:iCs w:val="0"/>
                <w:color w:val="000000"/>
                <w:kern w:val="0"/>
                <w:sz w:val="21"/>
                <w:szCs w:val="21"/>
                <w:u w:val="none"/>
                <w:lang w:val="en-US" w:eastAsia="zh-CN" w:bidi="ar"/>
              </w:rPr>
              <w:t>草审批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进出口林草种子生产经营许可证初次办理申请</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在森林和野生动物类型国家级自然保护区修筑设施审批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进出口林草种子生产经营许可证延续申请</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临时使用林地审批（设区的市级权限）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进出口林草种子生产经营许可证变更申请</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出口国家重点保护或进出口国际公约限制贸易的陆生野生动物或其制品审批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进出口林草种子生产经营许可证初次办理审批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出口国家重点保护或进出口国际公约限制进出口的野生植物或其产品审批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进出口林草种子生产经营许可证延续审批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新增濒危野生动植物允许进出口证明书核发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进出口林草种子生产经营许可证变更审批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从事城市生活垃圾经营性清扫、收集、运输服务审批（直辖市权限）-首次申请、变更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《进出口林草种子生产经营许可证》制证</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从事城市生活垃圾经营性处理服务审批（直辖市权限）-首次申请、变更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进出口林草种子生产经营许可证批后监管</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从事城市生活垃圾经营性清扫、收集、运输服务审批（设区的市级权限）-首次申请、变更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国家林草种质资源库内资源采集、采伐审批网上申请</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砍伐城市树木、迁移古树名木审批（直辖市权限）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国家林草种质资源库内资源采集、采伐审批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砍伐城市树木、迁移古树名木审批（设区的市级权限）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国家林草种质资源库内资源采集、采伐审批批复拟稿</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临时占用城市绿地用地审批（设区的市级权限）新申请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国家林草种质资源库内资源采集、采伐审批批后监管</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临时占用城市绿地用地审批（设区的市级权限）电力接入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国家林草种质资源库内资源库</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外国人对国家重点保护陆生野生动物进行野外考察或在野外拍摄电影、录像审批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普及型国外引种试种苗圃资格认定初次办理申请</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新增历史备案数据导入功能。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普及型国外引种试种苗圃资格认定延续申请</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开发功能实现六个模式三事项从大数据中心预填、预检、预审接口获取数据。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普及型国外引种试种苗圃资格认定变更申请</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按照机动车清洗企业备案 “一业一证”申报数据规范，通过主题库获取事项的办件信息和材料。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普及型国外引种试种苗圃资格认定初次办理审批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实现并联审批功能。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普及型国外引种试种苗圃资格认定延续审批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行业综合许可证需要在各事项审批完成后才可以发证。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普及型国外引种试种苗圃资格认定变更审批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进一步整合相关事项原审批证件的信息要素，制发《机动车清洗行业综合许可证》。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普及型国外引种试种苗圃资格认定特殊程序（专家评审）</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推送给到“一网通办”企业“两页”的功能。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普及型国外引种试种苗圃资格认定决定书拟稿</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从主题库获取“机动车清洗企业备案”相关的申报数据和材料。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《普及型国外引种试种苗圃资格认定证书》制证</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对机动车清洗企业备案审批流程进行再造。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普及型国外引种试种苗圃资格认定批后监管</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将来自机动车维修“一业一证”办件的办理结果通过数据接口及时反馈。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占绿林计划管理</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对接开办餐饮店“一件事”申报数据。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监管提示</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为了达到减时间、减材料的要求，需要对系统流程仅有优化改造。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现场监管</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在事项办结后，通过接口反馈。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监管信息共享</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“临时使用绿地的许可”事项纳入住建委牵头的“水电气网联合报装”一件事。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与市场监管局对接监管要求</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需要将从主题库收到的办件数据分发到各区，并重新整合流程。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根据市场监管局要求建立监管流程</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在事项办结后，通过接口反馈。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反馈监管数据</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根据“营销活动报批”一件事的“一表申报”的原则，需要重新数据数据结构。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综合监管</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根据“营销活动报批”一件事的数据结构及“协同办理”的原则，对流程进行优化。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“特种设备码”使用场景接入</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在事项办结后，完成结果同步。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监管数据共享</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在系统中增加“一件事”统计查询功能。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跨层级监管事项维护</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初次办理网上申请功能包括办理须知、智能引导、材料上传、智能填表等功能。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监管风险点管理</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延续办理网上申请功能包括材料上传、智能填表等功能。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监管任务派发</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该事项的变更支持单位名称变更、法人变更、住所变更、生成地点变更、生产经营种类变更和经营方式变更。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监管执行</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可以通过系统查看申报信息、申报材料等，无误后进行收件、受理、审批等操作。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监管信息共享</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进出口林草种子生产经营许可证核发的延续审批采用窗口收件及审批。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跨层级监管统计</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变更审批系统将会根据所选变更情形不同采用不同的方式进行审批。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服务申请</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初次办理、变更和延续在审批通过后或者自动审批通过后，都将进入到制证环节。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服务初审</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初次办理、延续和变更（生成地点变更、生产经营种类变更）办结后，系统将自动发起批后监管流程。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服务安排</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国家林草种质资源库内资源采集、采伐审批网上申请流程包括材料上传、智能填报和对接办件库。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现场服务</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窗口收件人员收到申请人的“国家林草种质资源库内资源采集、采伐审批”办理申请。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服务办结</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系统将提供批复拟稿功能，并根据批文模板内容，自动生成许可决定。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优化占林踏勘子系统优化</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系统将自动发起批后监管流程。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w:t>
            </w:r>
          </w:p>
        </w:tc>
        <w:tc>
          <w:tcPr>
            <w:tcW w:w="1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上海市绿化和市容管理局智能辅助决策系统</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12319</w:t>
            </w:r>
            <w:r>
              <w:rPr>
                <w:rFonts w:hint="eastAsia" w:cs="宋体"/>
                <w:i w:val="0"/>
                <w:iCs w:val="0"/>
                <w:color w:val="000000"/>
                <w:kern w:val="0"/>
                <w:sz w:val="21"/>
                <w:szCs w:val="21"/>
                <w:highlight w:val="none"/>
                <w:u w:val="none"/>
                <w:lang w:val="en-US" w:eastAsia="zh-CN" w:bidi="ar"/>
              </w:rPr>
              <w:t>城建服务热线</w:t>
            </w:r>
            <w:r>
              <w:rPr>
                <w:rFonts w:hint="eastAsia" w:ascii="宋体" w:hAnsi="宋体" w:eastAsia="宋体" w:cs="宋体"/>
                <w:i w:val="0"/>
                <w:iCs w:val="0"/>
                <w:color w:val="000000"/>
                <w:kern w:val="0"/>
                <w:sz w:val="21"/>
                <w:szCs w:val="21"/>
                <w:highlight w:val="none"/>
                <w:u w:val="none"/>
                <w:lang w:val="en-US" w:eastAsia="zh-CN" w:bidi="ar"/>
              </w:rPr>
              <w:t>工单专题看板-诉件分布实况分析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实现各区诉件分布实况展示，各业务条线诉件分布展示。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12319</w:t>
            </w:r>
            <w:r>
              <w:rPr>
                <w:rFonts w:hint="eastAsia" w:cs="宋体"/>
                <w:i w:val="0"/>
                <w:iCs w:val="0"/>
                <w:color w:val="000000"/>
                <w:kern w:val="0"/>
                <w:sz w:val="21"/>
                <w:szCs w:val="21"/>
                <w:highlight w:val="none"/>
                <w:u w:val="none"/>
                <w:lang w:val="en-US" w:eastAsia="zh-CN" w:bidi="ar"/>
              </w:rPr>
              <w:t>城建服务热线</w:t>
            </w:r>
            <w:r>
              <w:rPr>
                <w:rFonts w:hint="eastAsia" w:ascii="宋体" w:hAnsi="宋体" w:eastAsia="宋体" w:cs="宋体"/>
                <w:i w:val="0"/>
                <w:iCs w:val="0"/>
                <w:color w:val="000000"/>
                <w:kern w:val="0"/>
                <w:sz w:val="21"/>
                <w:szCs w:val="21"/>
                <w:highlight w:val="none"/>
                <w:u w:val="none"/>
                <w:lang w:val="en-US" w:eastAsia="zh-CN" w:bidi="ar"/>
              </w:rPr>
              <w:t>工单专题看板-诉件跟踪情况分析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实现督办诉件跟踪动态、热点诉件跟踪一览。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12319</w:t>
            </w:r>
            <w:r>
              <w:rPr>
                <w:rFonts w:hint="eastAsia" w:cs="宋体"/>
                <w:i w:val="0"/>
                <w:iCs w:val="0"/>
                <w:color w:val="000000"/>
                <w:kern w:val="0"/>
                <w:sz w:val="21"/>
                <w:szCs w:val="21"/>
                <w:highlight w:val="none"/>
                <w:u w:val="none"/>
                <w:lang w:val="en-US" w:eastAsia="zh-CN" w:bidi="ar"/>
              </w:rPr>
              <w:t>城建服务热线</w:t>
            </w:r>
            <w:r>
              <w:rPr>
                <w:rFonts w:hint="eastAsia" w:ascii="宋体" w:hAnsi="宋体" w:eastAsia="宋体" w:cs="宋体"/>
                <w:i w:val="0"/>
                <w:iCs w:val="0"/>
                <w:color w:val="000000"/>
                <w:kern w:val="0"/>
                <w:sz w:val="21"/>
                <w:szCs w:val="21"/>
                <w:highlight w:val="none"/>
                <w:u w:val="none"/>
                <w:lang w:val="en-US" w:eastAsia="zh-CN" w:bidi="ar"/>
              </w:rPr>
              <w:t>工单专题看板-诉件办理情况和满意度分析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实现三方测评指标的分析和展示。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12319</w:t>
            </w:r>
            <w:r>
              <w:rPr>
                <w:rFonts w:hint="eastAsia" w:cs="宋体"/>
                <w:i w:val="0"/>
                <w:iCs w:val="0"/>
                <w:color w:val="000000"/>
                <w:kern w:val="0"/>
                <w:sz w:val="21"/>
                <w:szCs w:val="21"/>
                <w:highlight w:val="none"/>
                <w:u w:val="none"/>
                <w:lang w:val="en-US" w:eastAsia="zh-CN" w:bidi="ar"/>
              </w:rPr>
              <w:t>城建服务热线</w:t>
            </w:r>
            <w:r>
              <w:rPr>
                <w:rFonts w:hint="eastAsia" w:ascii="宋体" w:hAnsi="宋体" w:eastAsia="宋体" w:cs="宋体"/>
                <w:i w:val="0"/>
                <w:iCs w:val="0"/>
                <w:color w:val="000000"/>
                <w:kern w:val="0"/>
                <w:sz w:val="21"/>
                <w:szCs w:val="21"/>
                <w:highlight w:val="none"/>
                <w:u w:val="none"/>
                <w:lang w:val="en-US" w:eastAsia="zh-CN" w:bidi="ar"/>
              </w:rPr>
              <w:t>工单专题看板-住建委场景共享</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开发智能辅助决策查阅入口。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园林碳汇专题看板-碳量分析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调取树木胸径监测数据</w:t>
            </w:r>
            <w:r>
              <w:rPr>
                <w:rFonts w:hint="eastAsia"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园林碳汇专题看板-固碳效益分析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实现固碳效益的分析展示</w:t>
            </w:r>
            <w:r>
              <w:rPr>
                <w:rFonts w:hint="eastAsia"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园林碳汇专题看板-温度调节分析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实现温度调节数据分析展示</w:t>
            </w:r>
            <w:r>
              <w:rPr>
                <w:rFonts w:hint="eastAsia"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园林碳汇专题看板-湿度调节分析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实现湿度调节数据分析展示</w:t>
            </w:r>
            <w:r>
              <w:rPr>
                <w:rFonts w:hint="eastAsia"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园林碳汇专题看板-水文调节分析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实现水文调节数据分析展示</w:t>
            </w:r>
            <w:r>
              <w:rPr>
                <w:rFonts w:hint="eastAsia"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园林碳汇专题看板-降尘分析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实现降尘滞纳数据分析展示。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植物园专题看板-活植物台账和分布</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实现不同植物种类和点位位置信息的地图展示。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植物园专题看板-盆景台账和分布</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实现盆景数量、种类分布的汇总展示。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植物园专题看板-专类园分析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开发地图展示功能，呈现各专类园的地理位置及园区信息。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绿建专题看板-环城生态公园带与重点绿地建设展示</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开发数据统计与图层展示功能。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绿建专题看板-大居绿地与滨江绿地建设展示</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实现大居绿地与滨江绿地建设建设工作的项目进度，状态，位置的汇总展示</w:t>
            </w:r>
            <w:r>
              <w:rPr>
                <w:rFonts w:hint="eastAsia"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绿建专题看板-绿建养护巡查分析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开发养护巡查工作汇总展示功能。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绿建专题看板-绿建监管工作分析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开发事件汇总展示功能，支持数据下载及多维度查询。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野生动植物保护专题看板-生物多样性分析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实现野生动植物生物多样性展示分析，配合图表进行地图上的变化和落点展示。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野生动植物保护专题看板-湿地样地调查分析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实现湿地样地调查分析展示，集成密度分析多种算法</w:t>
            </w:r>
            <w:r>
              <w:rPr>
                <w:rFonts w:hint="eastAsia"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野生动植物保护专题看板-生态调查监测成果分析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实现生态调查监测成果分析展示，分析并呈现生态系统变化趋势。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野生动植物保护专题看板-极小种群复壮分析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实现野生种群复壮数据分析</w:t>
            </w:r>
            <w:r>
              <w:rPr>
                <w:rFonts w:hint="eastAsia"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野生动植物保护专题看板-外来入侵物种分析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实现外来入侵物种分析展示</w:t>
            </w:r>
            <w:r>
              <w:rPr>
                <w:rFonts w:hint="eastAsia"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野生动植物保护专题看板-野生动物疫源疫病分析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实现野生动物疫源疫病分析展示</w:t>
            </w:r>
            <w:r>
              <w:rPr>
                <w:rFonts w:hint="eastAsia"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装修垃圾监管看板-装修垃圾收运点位台账分析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实现收运点的台账统计和地图落点展示。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装修垃圾监管看板-装修垃圾总量分析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实现全市装修垃圾总重量汇总展示。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装修垃圾监管看板-装修垃圾监管分析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实现装修垃圾监管过程的预警问题分析和展示。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装修垃圾监管看板-装修垃圾清运效率分析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实现清运效率分析，以行政区为单位（16个行政区），分别统计每个区的清运时效，单位小时。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装修垃圾监管看板-装修垃圾分拣处置分析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呈现点位负荷率分布及地图展示。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装修垃圾监管看板-装修垃圾运输过程违规分析</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实现运输过程违规分析。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国产化适配改造-餐厨废油脂监管子系统</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协同处置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国产化适配改造-餐厨废油脂监管子系统</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可视化基础数据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244</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国产化适配改造-餐厨废油脂监管子系统</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可视化监管值班人员管理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245</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国产化适配改造-餐厨废油脂监管子系统</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专题图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246</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国产化适配改造-餐厨废油脂监管子系统</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闭环管理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247</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国产化适配改造-垃圾分类综合监管信息子系统</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闭环管理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248</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国产化适配改造-垃圾分类综合监管信息子系统</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智能发现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249</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国产化适配改造-垃圾分类综合监管信息子系统</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值班人员联系信息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国产化适配改造-垃圾分类综合监管信息子系统</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协同处置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251</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国产化适配改造-垃圾分类综合监管信息子系统</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体征指数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国产化适配改造-垃圾分类综合监管信息子系统</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可视化基础数据管理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253</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国产化适配改造-垃圾分类综合监管信息子系统</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专题图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254</w:t>
            </w:r>
          </w:p>
        </w:tc>
        <w:tc>
          <w:tcPr>
            <w:tcW w:w="131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密码</w:t>
            </w:r>
            <w:r>
              <w:rPr>
                <w:rFonts w:hint="eastAsia" w:cs="宋体"/>
                <w:i w:val="0"/>
                <w:iCs w:val="0"/>
                <w:color w:val="000000"/>
                <w:kern w:val="0"/>
                <w:sz w:val="22"/>
                <w:szCs w:val="22"/>
                <w:u w:val="none"/>
                <w:lang w:val="en-US" w:eastAsia="zh-CN" w:bidi="ar"/>
              </w:rPr>
              <w:t>服务功能</w:t>
            </w:r>
            <w:r>
              <w:rPr>
                <w:rFonts w:hint="eastAsia" w:ascii="宋体" w:hAnsi="宋体" w:eastAsia="宋体" w:cs="宋体"/>
                <w:i w:val="0"/>
                <w:iCs w:val="0"/>
                <w:color w:val="000000"/>
                <w:kern w:val="0"/>
                <w:sz w:val="22"/>
                <w:szCs w:val="22"/>
                <w:u w:val="none"/>
                <w:lang w:val="en-US" w:eastAsia="zh-CN" w:bidi="ar"/>
              </w:rPr>
              <w:t>对接</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密码改造-用户身份认证机制模块</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开发用户身份认证机制模块，实现对终端和服务端身份的鉴别。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w:t>
            </w:r>
          </w:p>
        </w:tc>
        <w:tc>
          <w:tcPr>
            <w:tcW w:w="1310"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密码改造-用户访问控制信息签名验签模块</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开发用户访问控制信息签名验签模块。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256</w:t>
            </w:r>
          </w:p>
        </w:tc>
        <w:tc>
          <w:tcPr>
            <w:tcW w:w="1310"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密码改造-应用系统重要数据签名验签模块</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开发应用系统重要数据签名验签模块。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257</w:t>
            </w:r>
          </w:p>
        </w:tc>
        <w:tc>
          <w:tcPr>
            <w:tcW w:w="1310"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密码改造-服务器虚拟机设备日志/访问</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开发服务器虚拟机设备日志/访问控制信息完整性模块。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258</w:t>
            </w:r>
          </w:p>
        </w:tc>
        <w:tc>
          <w:tcPr>
            <w:tcW w:w="1310"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密码改造-重要数据安全传输模块</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开发业务重要数据安全传输模块。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259</w:t>
            </w:r>
          </w:p>
        </w:tc>
        <w:tc>
          <w:tcPr>
            <w:tcW w:w="1310"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密码改造-重要可执行程序签名验签模块</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开发重要可执行程序签名验签模块。</w:t>
            </w:r>
          </w:p>
        </w:tc>
      </w:tr>
    </w:tbl>
    <w:p>
      <w:pPr>
        <w:ind w:firstLine="0" w:firstLineChars="0"/>
        <w:rPr>
          <w:rFonts w:hint="eastAsia"/>
        </w:rPr>
      </w:pPr>
    </w:p>
    <w:p>
      <w:pPr>
        <w:pStyle w:val="2"/>
        <w:rPr>
          <w:rFonts w:hint="eastAsia"/>
        </w:rPr>
      </w:pPr>
      <w:bookmarkStart w:id="20" w:name="_Toc63785502"/>
      <w:r>
        <w:rPr>
          <w:rFonts w:hint="eastAsia"/>
        </w:rPr>
        <w:t>电子政务云资源需求</w:t>
      </w:r>
      <w:bookmarkEnd w:id="20"/>
    </w:p>
    <w:p>
      <w:pPr>
        <w:rPr>
          <w:rFonts w:hint="eastAsia"/>
        </w:rPr>
      </w:pPr>
      <w:r>
        <w:rPr>
          <w:rFonts w:hint="eastAsia"/>
        </w:rPr>
        <w:t>根据项目前期资源现状，本次建设根据估算拟向电子政务云申请5台服务器资源</w:t>
      </w:r>
      <w:r>
        <w:rPr>
          <w:rFonts w:hint="eastAsia"/>
          <w:lang w:eastAsia="zh-CN"/>
        </w:rPr>
        <w:t>，</w:t>
      </w:r>
      <w:r>
        <w:rPr>
          <w:rFonts w:hint="eastAsia"/>
          <w:lang w:val="en-US" w:eastAsia="zh-CN"/>
        </w:rPr>
        <w:t>具体配置如下所示：</w:t>
      </w:r>
    </w:p>
    <w:tbl>
      <w:tblPr>
        <w:tblStyle w:val="3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939"/>
        <w:gridCol w:w="939"/>
        <w:gridCol w:w="1672"/>
        <w:gridCol w:w="803"/>
        <w:gridCol w:w="1074"/>
        <w:gridCol w:w="1074"/>
        <w:gridCol w:w="1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资源类型</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资源名称</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资源说明</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核心（核）</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内存(GB)</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存储(GB)</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资源数量(台)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虚拟机</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数据库服务器</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虚拟机</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服务器</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文件服务器</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虚拟机</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服务器</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应用服务器</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bl>
    <w:p>
      <w:pPr>
        <w:ind w:left="0" w:leftChars="0" w:firstLine="0" w:firstLineChars="0"/>
        <w:rPr>
          <w:rFonts w:hint="eastAsia"/>
        </w:rPr>
      </w:pPr>
    </w:p>
    <w:p>
      <w:pPr>
        <w:pStyle w:val="2"/>
        <w:rPr>
          <w:rFonts w:hint="eastAsia"/>
        </w:rPr>
      </w:pPr>
      <w:bookmarkStart w:id="21" w:name="_Toc63785503"/>
      <w:r>
        <w:rPr>
          <w:rFonts w:hint="eastAsia"/>
        </w:rPr>
        <w:t>其他工作要求</w:t>
      </w:r>
      <w:bookmarkEnd w:id="21"/>
    </w:p>
    <w:p>
      <w:pPr>
        <w:keepNext/>
        <w:keepLines/>
        <w:numPr>
          <w:ilvl w:val="1"/>
          <w:numId w:val="4"/>
        </w:numPr>
        <w:tabs>
          <w:tab w:val="left" w:pos="360"/>
        </w:tabs>
        <w:spacing w:before="120" w:line="240" w:lineRule="auto"/>
        <w:ind w:left="0" w:firstLine="0" w:firstLineChars="0"/>
        <w:outlineLvl w:val="1"/>
        <w:rPr>
          <w:rFonts w:hint="eastAsia" w:ascii="仿宋" w:hAnsi="仿宋" w:eastAsia="仿宋"/>
          <w:b/>
          <w:vanish/>
          <w:color w:val="000000"/>
          <w:sz w:val="28"/>
          <w:szCs w:val="20"/>
        </w:rPr>
      </w:pPr>
      <w:bookmarkStart w:id="22" w:name="_Toc62209488"/>
      <w:bookmarkEnd w:id="22"/>
      <w:bookmarkStart w:id="23" w:name="_Toc61968111"/>
      <w:bookmarkEnd w:id="23"/>
      <w:bookmarkStart w:id="24" w:name="_Toc63785504"/>
      <w:bookmarkEnd w:id="24"/>
      <w:bookmarkStart w:id="25" w:name="_Toc63762370"/>
      <w:bookmarkEnd w:id="25"/>
      <w:bookmarkStart w:id="26" w:name="_Toc63585480"/>
      <w:bookmarkEnd w:id="26"/>
      <w:bookmarkStart w:id="27" w:name="_Toc63785439"/>
      <w:bookmarkEnd w:id="27"/>
      <w:bookmarkStart w:id="28" w:name="_Toc62219358"/>
      <w:bookmarkEnd w:id="28"/>
      <w:bookmarkStart w:id="29" w:name="_Toc63151871"/>
      <w:bookmarkEnd w:id="29"/>
    </w:p>
    <w:p>
      <w:pPr>
        <w:pStyle w:val="3"/>
        <w:rPr>
          <w:rFonts w:hint="eastAsia"/>
        </w:rPr>
      </w:pPr>
      <w:bookmarkStart w:id="30" w:name="_Toc63785505"/>
      <w:r>
        <w:rPr>
          <w:rFonts w:hint="eastAsia"/>
        </w:rPr>
        <w:t>售后服务要求</w:t>
      </w:r>
      <w:bookmarkEnd w:id="30"/>
    </w:p>
    <w:p>
      <w:pPr>
        <w:pStyle w:val="106"/>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w:t>
      </w:r>
      <w:r>
        <w:rPr>
          <w:rFonts w:hint="eastAsia" w:ascii="宋体" w:hAnsi="宋体"/>
          <w:sz w:val="24"/>
          <w:szCs w:val="24"/>
          <w:lang w:eastAsia="zh-CN"/>
        </w:rPr>
        <w:t>不低于</w:t>
      </w:r>
      <w:r>
        <w:rPr>
          <w:rFonts w:hint="eastAsia" w:ascii="宋体" w:hAnsi="宋体"/>
          <w:sz w:val="24"/>
          <w:szCs w:val="24"/>
          <w:lang w:val="en-US" w:eastAsia="zh-CN"/>
        </w:rPr>
        <w:t>1年</w:t>
      </w:r>
      <w:r>
        <w:rPr>
          <w:rFonts w:hint="eastAsia" w:ascii="宋体" w:hAnsi="宋体"/>
          <w:sz w:val="24"/>
          <w:szCs w:val="24"/>
        </w:rPr>
        <w:t>。</w:t>
      </w:r>
    </w:p>
    <w:p>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pPr>
        <w:snapToGrid w:val="0"/>
        <w:rPr>
          <w:rFonts w:hint="eastAsia"/>
        </w:rPr>
      </w:pPr>
      <w:r>
        <w:rPr>
          <w:rFonts w:hint="eastAsia"/>
        </w:rPr>
        <w:t>在质量保证期内，供应商负责信息系统的运行维护工作，确保信息系统安全、稳定、可靠地运行，本项目涉及的运行维护范围为：软件功能模块（本次项目建设内容）的运行保障，按照大数据中心和甲方的要求进行的系统升级（操作系统、中间件、数据库等的安全漏洞、应用漏洞的修复，支持性系统和软件的重要安全补丁升级等），按照</w:t>
      </w:r>
      <w:r>
        <w:t>甲方要求进行应急</w:t>
      </w:r>
      <w:r>
        <w:rPr>
          <w:rFonts w:hint="eastAsia"/>
        </w:rPr>
        <w:t>预案</w:t>
      </w:r>
      <w:r>
        <w:t>演练</w:t>
      </w:r>
      <w:r>
        <w:rPr>
          <w:rFonts w:hint="eastAsia"/>
        </w:rPr>
        <w:t>，根据</w:t>
      </w:r>
      <w:r>
        <w:t>甲方</w:t>
      </w:r>
      <w:r>
        <w:rPr>
          <w:rFonts w:hint="eastAsia"/>
        </w:rPr>
        <w:t>的具体</w:t>
      </w:r>
      <w:r>
        <w:t>要求，</w:t>
      </w:r>
      <w:r>
        <w:rPr>
          <w:rFonts w:hint="eastAsia"/>
        </w:rPr>
        <w:t>在重大节假日提供远程或者现场的保障服务。</w:t>
      </w:r>
    </w:p>
    <w:p>
      <w:pPr>
        <w:snapToGrid w:val="0"/>
        <w:rPr>
          <w:rFonts w:hint="eastAsia"/>
        </w:rPr>
      </w:pPr>
      <w:r>
        <w:rPr>
          <w:rFonts w:hint="eastAsia"/>
        </w:rPr>
        <w:t>本项目范围内实施升级改造的应用系统，</w:t>
      </w:r>
      <w:bookmarkStart w:id="31" w:name="_Hlk184585215"/>
      <w:r>
        <w:rPr>
          <w:rFonts w:hint="eastAsia"/>
        </w:rPr>
        <w:t>供应商</w:t>
      </w:r>
      <w:bookmarkEnd w:id="31"/>
      <w:r>
        <w:rPr>
          <w:rFonts w:hint="eastAsia"/>
        </w:rPr>
        <w:t>须保证在项目实施期间原有应用系统软件也能够7*24保持稳定运行，无安全事故，并按照用户的要求完成日常维护的工作。</w:t>
      </w:r>
    </w:p>
    <w:p>
      <w:pPr>
        <w:pStyle w:val="3"/>
        <w:rPr>
          <w:rFonts w:hint="eastAsia"/>
        </w:rPr>
      </w:pPr>
      <w:bookmarkStart w:id="32" w:name="_Toc63785506"/>
      <w:r>
        <w:rPr>
          <w:rFonts w:hint="eastAsia"/>
        </w:rPr>
        <w:t>应急响应要求</w:t>
      </w:r>
      <w:bookmarkEnd w:id="32"/>
    </w:p>
    <w:p>
      <w:pPr>
        <w:pStyle w:val="106"/>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pPr>
        <w:pStyle w:val="106"/>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pPr>
        <w:pStyle w:val="106"/>
        <w:numPr>
          <w:ilvl w:val="0"/>
          <w:numId w:val="5"/>
        </w:numPr>
        <w:snapToGrid w:val="0"/>
        <w:spacing w:line="360" w:lineRule="auto"/>
        <w:ind w:left="0" w:firstLine="482" w:firstLineChars="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pPr>
        <w:pStyle w:val="106"/>
        <w:numPr>
          <w:ilvl w:val="0"/>
          <w:numId w:val="5"/>
        </w:numPr>
        <w:snapToGrid w:val="0"/>
        <w:spacing w:line="360" w:lineRule="auto"/>
        <w:ind w:left="0" w:firstLine="482" w:firstLineChars="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pPr>
        <w:pStyle w:val="106"/>
        <w:numPr>
          <w:ilvl w:val="0"/>
          <w:numId w:val="5"/>
        </w:numPr>
        <w:snapToGrid w:val="0"/>
        <w:spacing w:line="360" w:lineRule="auto"/>
        <w:ind w:left="0" w:firstLine="482" w:firstLineChars="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pPr>
        <w:pStyle w:val="3"/>
        <w:rPr>
          <w:rFonts w:hint="eastAsia"/>
        </w:rPr>
      </w:pPr>
      <w:bookmarkStart w:id="33" w:name="_Toc63785507"/>
      <w:r>
        <w:rPr>
          <w:rFonts w:hint="eastAsia"/>
        </w:rPr>
        <w:t>培训要求</w:t>
      </w:r>
      <w:bookmarkEnd w:id="33"/>
    </w:p>
    <w:p>
      <w:pPr>
        <w:rPr>
          <w:rFonts w:hint="eastAsia"/>
        </w:rPr>
      </w:pPr>
      <w:r>
        <w:rPr>
          <w:rFonts w:hint="eastAsia"/>
        </w:rPr>
        <w:t>对系统使用单位提供业务操作培训，应提供详细培训方案。</w:t>
      </w:r>
    </w:p>
    <w:p>
      <w:pPr>
        <w:rPr>
          <w:rFonts w:hint="eastAsia"/>
        </w:rPr>
      </w:pPr>
      <w:r>
        <w:rPr>
          <w:rFonts w:hint="eastAsia"/>
        </w:rPr>
        <w:t>(1)在12个月的质量保证期内，提供</w:t>
      </w:r>
      <w:r>
        <w:rPr>
          <w:rFonts w:hint="eastAsia"/>
          <w:lang w:val="en-US" w:eastAsia="zh-CN"/>
        </w:rPr>
        <w:t>至少1</w:t>
      </w:r>
      <w:r>
        <w:rPr>
          <w:rFonts w:hint="eastAsia"/>
        </w:rPr>
        <w:t>次与项目相关的必要培训。</w:t>
      </w:r>
    </w:p>
    <w:p>
      <w:pPr>
        <w:rPr>
          <w:rFonts w:hint="eastAsia"/>
          <w:highlight w:val="none"/>
        </w:rPr>
      </w:pPr>
      <w:r>
        <w:rPr>
          <w:rFonts w:hint="eastAsia"/>
          <w:highlight w:val="none"/>
        </w:rPr>
        <w:t>(2)供应商培训应具有培训教材、培训环境和高水平的培训讲师。</w:t>
      </w:r>
    </w:p>
    <w:p>
      <w:pPr>
        <w:rPr>
          <w:rFonts w:hint="eastAsia"/>
          <w:highlight w:val="none"/>
        </w:rPr>
      </w:pPr>
      <w:r>
        <w:rPr>
          <w:rFonts w:hint="eastAsia"/>
          <w:highlight w:val="none"/>
        </w:rPr>
        <w:t>(3)供应商提供一般用户的基础操作培训，确保用户对象能够掌握对应的操作技能。</w:t>
      </w:r>
    </w:p>
    <w:p>
      <w:pPr>
        <w:pStyle w:val="3"/>
        <w:rPr>
          <w:rFonts w:hint="eastAsia"/>
        </w:rPr>
      </w:pPr>
      <w:bookmarkStart w:id="34" w:name="_Toc63785509"/>
      <w:r>
        <w:rPr>
          <w:rFonts w:hint="eastAsia"/>
        </w:rPr>
        <w:t>验收要求</w:t>
      </w:r>
    </w:p>
    <w:p>
      <w:pPr>
        <w:rPr>
          <w:rFonts w:hint="eastAsia"/>
          <w:szCs w:val="21"/>
        </w:rPr>
      </w:pPr>
      <w:r>
        <w:rPr>
          <w:rFonts w:hint="eastAsia"/>
          <w:szCs w:val="21"/>
        </w:rPr>
        <w:t>本项目按下述方式开展验收。</w:t>
      </w:r>
    </w:p>
    <w:p>
      <w:pPr>
        <w:rPr>
          <w:rFonts w:hint="eastAsia"/>
          <w:szCs w:val="21"/>
        </w:rPr>
      </w:pPr>
      <w:r>
        <w:rPr>
          <w:rFonts w:hint="eastAsia"/>
          <w:szCs w:val="21"/>
        </w:rPr>
        <w:t>（1</w:t>
      </w:r>
      <w:r>
        <w:rPr>
          <w:szCs w:val="21"/>
        </w:rPr>
        <w:t>）</w:t>
      </w:r>
      <w:r>
        <w:rPr>
          <w:rFonts w:hint="eastAsia"/>
          <w:szCs w:val="21"/>
        </w:rPr>
        <w:t>验收</w:t>
      </w:r>
      <w:r>
        <w:rPr>
          <w:szCs w:val="21"/>
        </w:rPr>
        <w:t>前，供应商须完成软件开发、软硬件安装和信息系统的调试等，并对本项目进行功能和运行检测，确保所有信息系统功能模块能够正常运行且已达到本项目约定的各类标准要求。供应商应以书面形式向招标方递交</w:t>
      </w:r>
      <w:r>
        <w:rPr>
          <w:rFonts w:hint="eastAsia"/>
          <w:szCs w:val="21"/>
        </w:rPr>
        <w:t>验收</w:t>
      </w:r>
      <w:r>
        <w:rPr>
          <w:szCs w:val="21"/>
        </w:rPr>
        <w:t>通知书。招标方应当在接到通知后的5个工作日内确定</w:t>
      </w:r>
      <w:r>
        <w:rPr>
          <w:rFonts w:hint="eastAsia"/>
          <w:szCs w:val="21"/>
        </w:rPr>
        <w:t>验收</w:t>
      </w:r>
      <w:r>
        <w:rPr>
          <w:szCs w:val="21"/>
        </w:rPr>
        <w:t>的具体日期，由双方按照本项目的约定完成本项目的</w:t>
      </w:r>
      <w:r>
        <w:rPr>
          <w:rFonts w:hint="eastAsia"/>
          <w:szCs w:val="21"/>
        </w:rPr>
        <w:t>验收</w:t>
      </w:r>
      <w:r>
        <w:rPr>
          <w:szCs w:val="21"/>
        </w:rPr>
        <w:t>。招标方有权委托第三方检测机构进行验收，对此供应商应当配合。</w:t>
      </w:r>
    </w:p>
    <w:p>
      <w:pPr>
        <w:rPr>
          <w:rFonts w:hint="eastAsia"/>
          <w:szCs w:val="21"/>
        </w:rPr>
      </w:pPr>
      <w:r>
        <w:rPr>
          <w:rFonts w:hint="eastAsia"/>
          <w:szCs w:val="21"/>
        </w:rPr>
        <w:t>（2</w:t>
      </w:r>
      <w:r>
        <w:rPr>
          <w:szCs w:val="21"/>
        </w:rPr>
        <w:t>）</w:t>
      </w:r>
      <w:r>
        <w:rPr>
          <w:rFonts w:hint="eastAsia"/>
          <w:szCs w:val="21"/>
        </w:rPr>
        <w:t>验收</w:t>
      </w:r>
      <w:r>
        <w:rPr>
          <w:szCs w:val="21"/>
        </w:rPr>
        <w:t>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w:t>
      </w:r>
      <w:r>
        <w:rPr>
          <w:rFonts w:hint="eastAsia"/>
          <w:szCs w:val="21"/>
        </w:rPr>
        <w:t>验收</w:t>
      </w:r>
      <w:r>
        <w:rPr>
          <w:szCs w:val="21"/>
        </w:rPr>
        <w:t>通过。如有缺陷，招标方应向供应商出具书面报告，陈述需要改进的缺陷。供应商应立即严格依照招标方的书面报告中的要求改进缺陷，并再次进行</w:t>
      </w:r>
      <w:r>
        <w:rPr>
          <w:rFonts w:hint="eastAsia"/>
          <w:szCs w:val="21"/>
        </w:rPr>
        <w:t>验收</w:t>
      </w:r>
      <w:r>
        <w:rPr>
          <w:szCs w:val="21"/>
        </w:rPr>
        <w:t>。</w:t>
      </w:r>
    </w:p>
    <w:p>
      <w:pPr>
        <w:rPr>
          <w:rFonts w:hint="eastAsia"/>
          <w:szCs w:val="21"/>
        </w:rPr>
      </w:pPr>
      <w:r>
        <w:rPr>
          <w:rFonts w:hint="eastAsia"/>
          <w:szCs w:val="21"/>
        </w:rPr>
        <w:t>（3</w:t>
      </w:r>
      <w:r>
        <w:rPr>
          <w:szCs w:val="21"/>
        </w:rPr>
        <w:t>）自</w:t>
      </w:r>
      <w:r>
        <w:rPr>
          <w:rFonts w:hint="eastAsia"/>
          <w:szCs w:val="21"/>
        </w:rPr>
        <w:t>验收</w:t>
      </w:r>
      <w:r>
        <w:rPr>
          <w:szCs w:val="21"/>
        </w:rPr>
        <w:t>通过之日起，招标方享有供应商免费提供的</w:t>
      </w:r>
      <w:r>
        <w:rPr>
          <w:rFonts w:hint="eastAsia"/>
          <w:szCs w:val="21"/>
        </w:rPr>
        <w:t>30</w:t>
      </w:r>
      <w:r>
        <w:rPr>
          <w:szCs w:val="21"/>
        </w:rPr>
        <w:t>天的信息系统试运行现场驻场服务期。该期间内，供应商应当按照招标方的要求提供现场技术支持服务，解决信息系统试运行期间可能出现的各类问题，或进一步提高与完善信息系统运行水平。</w:t>
      </w:r>
    </w:p>
    <w:p>
      <w:pPr>
        <w:rPr>
          <w:rFonts w:hint="eastAsia"/>
          <w:szCs w:val="21"/>
        </w:rPr>
      </w:pPr>
      <w:r>
        <w:rPr>
          <w:rFonts w:hint="eastAsia"/>
          <w:szCs w:val="21"/>
        </w:rPr>
        <w:t>（4</w:t>
      </w:r>
      <w:r>
        <w:rPr>
          <w:szCs w:val="21"/>
        </w:rPr>
        <w:t>）如果属于供应商原因致使本项目未能通过</w:t>
      </w:r>
      <w:r>
        <w:rPr>
          <w:rFonts w:hint="eastAsia"/>
          <w:szCs w:val="21"/>
        </w:rPr>
        <w:t>验收</w:t>
      </w:r>
      <w:r>
        <w:rPr>
          <w:szCs w:val="21"/>
        </w:rPr>
        <w:t>，供应商应当排除缺陷，直至本项目完全符合验收标准，由上述情形而产生的相关费用应由供应商自行承担。</w:t>
      </w:r>
    </w:p>
    <w:p>
      <w:pPr>
        <w:rPr>
          <w:rFonts w:hint="eastAsia"/>
          <w:szCs w:val="21"/>
        </w:rPr>
      </w:pPr>
      <w:r>
        <w:rPr>
          <w:rFonts w:hint="eastAsia"/>
          <w:szCs w:val="21"/>
        </w:rPr>
        <w:t>（5</w:t>
      </w:r>
      <w:r>
        <w:rPr>
          <w:szCs w:val="21"/>
        </w:rPr>
        <w:t>）如果由于招标方原因导致本项目在</w:t>
      </w:r>
      <w:r>
        <w:rPr>
          <w:rFonts w:hint="eastAsia"/>
          <w:szCs w:val="21"/>
        </w:rPr>
        <w:t>验收</w:t>
      </w:r>
      <w:r>
        <w:rPr>
          <w:szCs w:val="21"/>
        </w:rPr>
        <w:t>通过前出现故障或问题，供应商应及时配合排除该方面的故障或问题。</w:t>
      </w:r>
    </w:p>
    <w:p>
      <w:pPr>
        <w:rPr>
          <w:rFonts w:hint="eastAsia"/>
        </w:rPr>
      </w:pPr>
      <w:r>
        <w:rPr>
          <w:rFonts w:hint="eastAsia"/>
          <w:szCs w:val="21"/>
        </w:rPr>
        <w:t>（6</w:t>
      </w:r>
      <w:r>
        <w:rPr>
          <w:szCs w:val="21"/>
        </w:rPr>
        <w:t>）如本项目连续3次验收未通过，招标方有权解除项目，并有权依照本项目约定的违约条款追究供应商的违约责任。</w:t>
      </w:r>
    </w:p>
    <w:p>
      <w:pPr>
        <w:pStyle w:val="3"/>
        <w:rPr>
          <w:rFonts w:hint="eastAsia"/>
        </w:rPr>
      </w:pPr>
      <w:r>
        <w:rPr>
          <w:rFonts w:hint="eastAsia"/>
        </w:rPr>
        <w:t>进度要求</w:t>
      </w:r>
      <w:bookmarkEnd w:id="34"/>
    </w:p>
    <w:p>
      <w:pPr>
        <w:rPr>
          <w:rFonts w:hint="eastAsia"/>
        </w:rPr>
      </w:pPr>
      <w:bookmarkStart w:id="35" w:name="_Toc63785510"/>
      <w:r>
        <w:rPr>
          <w:rFonts w:hint="eastAsia"/>
        </w:rPr>
        <w:t>供应商应根据建设内容，分阶段制定合理的时间进度，并且应根据采购方要求进行调整和细化。</w:t>
      </w:r>
    </w:p>
    <w:p>
      <w:pPr>
        <w:rPr>
          <w:rFonts w:hint="eastAsia"/>
        </w:rPr>
      </w:pPr>
      <w:r>
        <w:rPr>
          <w:rFonts w:hint="eastAsia"/>
        </w:rPr>
        <w:t>总建设周期为自合同签订之日起至2025年11月</w:t>
      </w:r>
      <w:r>
        <w:t>3</w:t>
      </w:r>
      <w:r>
        <w:rPr>
          <w:rFonts w:hint="eastAsia"/>
        </w:rPr>
        <w:t>0日，分为4个阶段。</w:t>
      </w:r>
    </w:p>
    <w:p>
      <w:pPr>
        <w:rPr>
          <w:rFonts w:hint="eastAsia"/>
        </w:rPr>
      </w:pPr>
      <w:r>
        <w:rPr>
          <w:rFonts w:hint="eastAsia"/>
        </w:rPr>
        <w:t>第一阶段，合同签订后一个月内完成系统设计选型。</w:t>
      </w:r>
    </w:p>
    <w:p>
      <w:pPr>
        <w:rPr>
          <w:rFonts w:hint="eastAsia"/>
        </w:rPr>
      </w:pPr>
      <w:r>
        <w:rPr>
          <w:rFonts w:hint="eastAsia"/>
        </w:rPr>
        <w:t>第二阶段，2025年</w:t>
      </w:r>
      <w:r>
        <w:rPr>
          <w:rFonts w:hint="eastAsia"/>
          <w:lang w:val="en-US" w:eastAsia="zh-CN"/>
        </w:rPr>
        <w:t>9</w:t>
      </w:r>
      <w:r>
        <w:rPr>
          <w:rFonts w:hint="eastAsia"/>
        </w:rPr>
        <w:t>月3</w:t>
      </w:r>
      <w:r>
        <w:rPr>
          <w:rFonts w:hint="eastAsia"/>
          <w:lang w:val="en-US" w:eastAsia="zh-CN"/>
        </w:rPr>
        <w:t>0</w:t>
      </w:r>
      <w:r>
        <w:rPr>
          <w:rFonts w:hint="eastAsia"/>
        </w:rPr>
        <w:t>日完成系统建设、系统测试。</w:t>
      </w:r>
    </w:p>
    <w:p>
      <w:pPr>
        <w:rPr>
          <w:rFonts w:hint="eastAsia"/>
        </w:rPr>
      </w:pPr>
      <w:r>
        <w:rPr>
          <w:rFonts w:hint="eastAsia"/>
        </w:rPr>
        <w:t>第三阶段，2025年10月31日完成系统试运行。</w:t>
      </w:r>
    </w:p>
    <w:p>
      <w:pPr>
        <w:rPr>
          <w:rFonts w:hint="eastAsia"/>
        </w:rPr>
      </w:pPr>
      <w:r>
        <w:rPr>
          <w:rFonts w:hint="eastAsia"/>
        </w:rPr>
        <w:t>第四阶段，2025年11月30日完成系统验收。</w:t>
      </w:r>
    </w:p>
    <w:p>
      <w:pPr>
        <w:rPr>
          <w:rFonts w:hint="eastAsia"/>
        </w:rPr>
      </w:pPr>
    </w:p>
    <w:p>
      <w:pPr>
        <w:pStyle w:val="3"/>
        <w:rPr>
          <w:rFonts w:hint="eastAsia"/>
        </w:rPr>
      </w:pPr>
      <w:r>
        <w:rPr>
          <w:rFonts w:hint="eastAsia"/>
        </w:rPr>
        <w:t>项目团队及驻场人员要求</w:t>
      </w:r>
      <w:bookmarkEnd w:id="35"/>
    </w:p>
    <w:p>
      <w:pPr>
        <w:ind w:firstLineChars="0"/>
        <w:rPr>
          <w:rFonts w:hint="eastAsia"/>
        </w:rPr>
      </w:pPr>
      <w:bookmarkStart w:id="36" w:name="_Toc63785511"/>
      <w:r>
        <w:rPr>
          <w:rFonts w:hint="eastAsia"/>
        </w:rPr>
        <w:t>1）投标人须具有稳定的在职技术保障力量，能够提供及时的技术支援或服务。投标人的相关服务人员需具备相应的服务能力，并提供最近三个月依法缴纳社保费的证明。</w:t>
      </w:r>
    </w:p>
    <w:p>
      <w:pPr>
        <w:ind w:firstLineChars="0"/>
      </w:pPr>
      <w:r>
        <w:rPr>
          <w:rFonts w:hint="eastAsia"/>
        </w:rPr>
        <w:t>2）项目服务团队人员要求：应针对本项目提供不少于</w:t>
      </w:r>
      <w:r>
        <w:rPr>
          <w:rFonts w:hint="eastAsia"/>
          <w:lang w:val="en-US" w:eastAsia="zh-CN"/>
        </w:rPr>
        <w:t>22</w:t>
      </w:r>
      <w:r>
        <w:rPr>
          <w:rFonts w:hint="eastAsia"/>
        </w:rPr>
        <w:t>人的项目服务团队（包括项目经理、技术负责人、系统架构师、产品经理，研发及实施工程师等），具体要求如下：</w:t>
      </w:r>
    </w:p>
    <w:tbl>
      <w:tblPr>
        <w:tblStyle w:val="35"/>
        <w:tblW w:w="5290" w:type="pct"/>
        <w:tblInd w:w="0" w:type="dxa"/>
        <w:tblLayout w:type="autofit"/>
        <w:tblCellMar>
          <w:top w:w="0" w:type="dxa"/>
          <w:left w:w="108" w:type="dxa"/>
          <w:bottom w:w="0" w:type="dxa"/>
          <w:right w:w="108" w:type="dxa"/>
        </w:tblCellMar>
      </w:tblPr>
      <w:tblGrid>
        <w:gridCol w:w="1305"/>
        <w:gridCol w:w="2184"/>
        <w:gridCol w:w="1457"/>
        <w:gridCol w:w="2767"/>
        <w:gridCol w:w="1310"/>
      </w:tblGrid>
      <w:tr>
        <w:tblPrEx>
          <w:tblCellMar>
            <w:top w:w="0" w:type="dxa"/>
            <w:left w:w="108" w:type="dxa"/>
            <w:bottom w:w="0" w:type="dxa"/>
            <w:right w:w="108" w:type="dxa"/>
          </w:tblCellMar>
        </w:tblPrEx>
        <w:trPr>
          <w:trHeight w:val="270" w:hRule="atLeast"/>
        </w:trPr>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b/>
                <w:bCs/>
                <w:color w:val="000000"/>
                <w:kern w:val="0"/>
                <w:sz w:val="21"/>
                <w:szCs w:val="21"/>
              </w:rPr>
            </w:pPr>
            <w:r>
              <w:rPr>
                <w:rFonts w:hint="eastAsia" w:cs="宋体"/>
                <w:b/>
                <w:bCs/>
                <w:color w:val="000000"/>
                <w:kern w:val="0"/>
                <w:sz w:val="21"/>
                <w:szCs w:val="21"/>
              </w:rPr>
              <w:t>角色</w:t>
            </w:r>
          </w:p>
        </w:tc>
        <w:tc>
          <w:tcPr>
            <w:tcW w:w="1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b/>
                <w:bCs/>
                <w:color w:val="000000"/>
                <w:kern w:val="0"/>
                <w:sz w:val="21"/>
                <w:szCs w:val="21"/>
              </w:rPr>
            </w:pPr>
            <w:r>
              <w:rPr>
                <w:rFonts w:hint="eastAsia" w:cs="宋体"/>
                <w:b/>
                <w:bCs/>
                <w:color w:val="000000"/>
                <w:kern w:val="0"/>
                <w:sz w:val="21"/>
                <w:szCs w:val="21"/>
              </w:rPr>
              <w:t>主要职责</w:t>
            </w:r>
          </w:p>
        </w:tc>
        <w:tc>
          <w:tcPr>
            <w:tcW w:w="807"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b/>
                <w:bCs/>
                <w:color w:val="000000"/>
                <w:kern w:val="0"/>
                <w:sz w:val="21"/>
                <w:szCs w:val="21"/>
              </w:rPr>
            </w:pPr>
            <w:r>
              <w:rPr>
                <w:rFonts w:hint="eastAsia" w:cs="宋体"/>
                <w:b/>
                <w:bCs/>
                <w:color w:val="000000"/>
                <w:kern w:val="0"/>
                <w:sz w:val="21"/>
                <w:szCs w:val="21"/>
              </w:rPr>
              <w:t>人员数量</w:t>
            </w:r>
          </w:p>
        </w:tc>
        <w:tc>
          <w:tcPr>
            <w:tcW w:w="153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b/>
                <w:bCs/>
                <w:color w:val="000000"/>
                <w:kern w:val="0"/>
                <w:sz w:val="21"/>
                <w:szCs w:val="21"/>
              </w:rPr>
            </w:pPr>
            <w:r>
              <w:rPr>
                <w:rFonts w:hint="eastAsia" w:cs="宋体"/>
                <w:b/>
                <w:bCs/>
                <w:color w:val="000000"/>
                <w:kern w:val="0"/>
                <w:sz w:val="21"/>
                <w:szCs w:val="21"/>
              </w:rPr>
              <w:t>人员要求</w:t>
            </w:r>
          </w:p>
        </w:tc>
        <w:tc>
          <w:tcPr>
            <w:tcW w:w="72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b/>
                <w:bCs/>
                <w:color w:val="000000"/>
                <w:kern w:val="0"/>
                <w:sz w:val="21"/>
                <w:szCs w:val="21"/>
              </w:rPr>
            </w:pPr>
            <w:r>
              <w:rPr>
                <w:rFonts w:hint="eastAsia" w:cs="宋体"/>
                <w:b/>
                <w:bCs/>
                <w:color w:val="000000"/>
                <w:kern w:val="0"/>
                <w:sz w:val="21"/>
                <w:szCs w:val="21"/>
              </w:rPr>
              <w:t>驻场要求</w:t>
            </w:r>
          </w:p>
        </w:tc>
      </w:tr>
      <w:tr>
        <w:tblPrEx>
          <w:tblCellMar>
            <w:top w:w="0" w:type="dxa"/>
            <w:left w:w="108" w:type="dxa"/>
            <w:bottom w:w="0" w:type="dxa"/>
            <w:right w:w="108" w:type="dxa"/>
          </w:tblCellMar>
        </w:tblPrEx>
        <w:trPr>
          <w:trHeight w:val="938" w:hRule="atLeast"/>
        </w:trPr>
        <w:tc>
          <w:tcPr>
            <w:tcW w:w="723"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项目经理</w:t>
            </w: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负责项目沟通管理；组织并推进项目进度；把控项目质量；项目安全管理等。</w:t>
            </w:r>
          </w:p>
        </w:tc>
        <w:tc>
          <w:tcPr>
            <w:tcW w:w="80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w:t>
            </w:r>
          </w:p>
        </w:tc>
        <w:tc>
          <w:tcPr>
            <w:tcW w:w="153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计算机相关专业本科及以上学历，具备信息系统项目管理师或高级工程师职称资质，具备相关工作经验。</w:t>
            </w:r>
          </w:p>
        </w:tc>
        <w:tc>
          <w:tcPr>
            <w:tcW w:w="72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不驻场</w:t>
            </w:r>
          </w:p>
        </w:tc>
      </w:tr>
      <w:tr>
        <w:tblPrEx>
          <w:tblCellMar>
            <w:top w:w="0" w:type="dxa"/>
            <w:left w:w="108" w:type="dxa"/>
            <w:bottom w:w="0" w:type="dxa"/>
            <w:right w:w="108" w:type="dxa"/>
          </w:tblCellMar>
        </w:tblPrEx>
        <w:trPr>
          <w:trHeight w:val="720" w:hRule="atLeast"/>
        </w:trPr>
        <w:tc>
          <w:tcPr>
            <w:tcW w:w="723"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技术负责人</w:t>
            </w: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负责项目整体技术路线的把控。</w:t>
            </w:r>
          </w:p>
        </w:tc>
        <w:tc>
          <w:tcPr>
            <w:tcW w:w="80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w:t>
            </w:r>
          </w:p>
        </w:tc>
        <w:tc>
          <w:tcPr>
            <w:tcW w:w="153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计算机相关专业本科及以上学历，具备信息系统项目管理师或高级工程师职称资质，具备相关工作经验。</w:t>
            </w:r>
          </w:p>
        </w:tc>
        <w:tc>
          <w:tcPr>
            <w:tcW w:w="72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不驻场</w:t>
            </w:r>
          </w:p>
        </w:tc>
      </w:tr>
      <w:tr>
        <w:tblPrEx>
          <w:tblCellMar>
            <w:top w:w="0" w:type="dxa"/>
            <w:left w:w="108" w:type="dxa"/>
            <w:bottom w:w="0" w:type="dxa"/>
            <w:right w:w="108" w:type="dxa"/>
          </w:tblCellMar>
        </w:tblPrEx>
        <w:trPr>
          <w:trHeight w:val="675" w:hRule="atLeast"/>
        </w:trPr>
        <w:tc>
          <w:tcPr>
            <w:tcW w:w="723"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系统架构师</w:t>
            </w: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设计、优化、维护信息化系统架构。</w:t>
            </w:r>
          </w:p>
        </w:tc>
        <w:tc>
          <w:tcPr>
            <w:tcW w:w="80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w:t>
            </w:r>
          </w:p>
        </w:tc>
        <w:tc>
          <w:tcPr>
            <w:tcW w:w="153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bookmarkStart w:id="37" w:name="RANGE!D4"/>
            <w:r>
              <w:rPr>
                <w:rFonts w:hint="eastAsia" w:cs="宋体"/>
                <w:color w:val="000000"/>
                <w:kern w:val="0"/>
                <w:sz w:val="21"/>
                <w:szCs w:val="21"/>
              </w:rPr>
              <w:t>计算机相关专业本科及以上学历历，具备软件设计师（中级）证书。</w:t>
            </w:r>
            <w:bookmarkEnd w:id="37"/>
          </w:p>
        </w:tc>
        <w:tc>
          <w:tcPr>
            <w:tcW w:w="72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驻场</w:t>
            </w:r>
          </w:p>
        </w:tc>
      </w:tr>
      <w:tr>
        <w:tblPrEx>
          <w:tblCellMar>
            <w:top w:w="0" w:type="dxa"/>
            <w:left w:w="108" w:type="dxa"/>
            <w:bottom w:w="0" w:type="dxa"/>
            <w:right w:w="108" w:type="dxa"/>
          </w:tblCellMar>
        </w:tblPrEx>
        <w:trPr>
          <w:trHeight w:val="675" w:hRule="atLeast"/>
        </w:trPr>
        <w:tc>
          <w:tcPr>
            <w:tcW w:w="723"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产品经理</w:t>
            </w: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负责项目需求评估与产品设计。</w:t>
            </w:r>
          </w:p>
        </w:tc>
        <w:tc>
          <w:tcPr>
            <w:tcW w:w="807" w:type="pct"/>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cs="宋体"/>
                <w:kern w:val="0"/>
                <w:sz w:val="21"/>
                <w:szCs w:val="21"/>
              </w:rPr>
            </w:pPr>
            <w:r>
              <w:rPr>
                <w:rFonts w:hint="eastAsia" w:cs="宋体"/>
                <w:kern w:val="0"/>
                <w:sz w:val="21"/>
                <w:szCs w:val="21"/>
              </w:rPr>
              <w:t>1</w:t>
            </w:r>
          </w:p>
        </w:tc>
        <w:tc>
          <w:tcPr>
            <w:tcW w:w="1533" w:type="pct"/>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rPr>
                <w:rFonts w:hint="eastAsia" w:cs="宋体"/>
                <w:kern w:val="0"/>
                <w:sz w:val="21"/>
                <w:szCs w:val="21"/>
              </w:rPr>
            </w:pPr>
            <w:r>
              <w:rPr>
                <w:rFonts w:hint="eastAsia" w:cs="宋体"/>
                <w:kern w:val="0"/>
                <w:sz w:val="21"/>
                <w:szCs w:val="21"/>
              </w:rPr>
              <w:t>专科及以上学历，具备系统集成项目管理工程师证书。</w:t>
            </w:r>
          </w:p>
        </w:tc>
        <w:tc>
          <w:tcPr>
            <w:tcW w:w="72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不驻场</w:t>
            </w:r>
          </w:p>
        </w:tc>
      </w:tr>
      <w:tr>
        <w:tblPrEx>
          <w:tblCellMar>
            <w:top w:w="0" w:type="dxa"/>
            <w:left w:w="108" w:type="dxa"/>
            <w:bottom w:w="0" w:type="dxa"/>
            <w:right w:w="108" w:type="dxa"/>
          </w:tblCellMar>
        </w:tblPrEx>
        <w:trPr>
          <w:trHeight w:val="585" w:hRule="atLeast"/>
        </w:trPr>
        <w:tc>
          <w:tcPr>
            <w:tcW w:w="723"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研发工程师</w:t>
            </w: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负责软件具体开发。</w:t>
            </w:r>
          </w:p>
        </w:tc>
        <w:tc>
          <w:tcPr>
            <w:tcW w:w="80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eastAsia="宋体" w:cs="宋体"/>
                <w:color w:val="000000"/>
                <w:kern w:val="0"/>
                <w:sz w:val="21"/>
                <w:szCs w:val="21"/>
                <w:lang w:val="en-US" w:eastAsia="zh-CN"/>
              </w:rPr>
            </w:pPr>
            <w:r>
              <w:rPr>
                <w:rFonts w:hint="eastAsia" w:cs="宋体"/>
                <w:color w:val="000000"/>
                <w:kern w:val="0"/>
                <w:sz w:val="21"/>
                <w:szCs w:val="21"/>
              </w:rPr>
              <w:t>1</w:t>
            </w:r>
            <w:r>
              <w:rPr>
                <w:rFonts w:hint="eastAsia" w:cs="宋体"/>
                <w:color w:val="000000"/>
                <w:kern w:val="0"/>
                <w:sz w:val="21"/>
                <w:szCs w:val="21"/>
                <w:lang w:val="en-US" w:eastAsia="zh-CN"/>
              </w:rPr>
              <w:t>5</w:t>
            </w:r>
          </w:p>
        </w:tc>
        <w:tc>
          <w:tcPr>
            <w:tcW w:w="153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专科及以上学历，具备相关工作经验。</w:t>
            </w:r>
          </w:p>
        </w:tc>
        <w:tc>
          <w:tcPr>
            <w:tcW w:w="72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不驻场</w:t>
            </w:r>
          </w:p>
        </w:tc>
      </w:tr>
      <w:tr>
        <w:tblPrEx>
          <w:tblCellMar>
            <w:top w:w="0" w:type="dxa"/>
            <w:left w:w="108" w:type="dxa"/>
            <w:bottom w:w="0" w:type="dxa"/>
            <w:right w:w="108" w:type="dxa"/>
          </w:tblCellMar>
        </w:tblPrEx>
        <w:trPr>
          <w:trHeight w:val="615" w:hRule="atLeast"/>
        </w:trPr>
        <w:tc>
          <w:tcPr>
            <w:tcW w:w="723"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实施工程师</w:t>
            </w: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负责软件部署、实施与测试，并负责原有系统现场运维。</w:t>
            </w:r>
          </w:p>
        </w:tc>
        <w:tc>
          <w:tcPr>
            <w:tcW w:w="80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w:t>
            </w:r>
          </w:p>
        </w:tc>
        <w:tc>
          <w:tcPr>
            <w:tcW w:w="153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专科及以上学历，具备相关工作经验。</w:t>
            </w:r>
          </w:p>
        </w:tc>
        <w:tc>
          <w:tcPr>
            <w:tcW w:w="72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驻场</w:t>
            </w:r>
          </w:p>
        </w:tc>
      </w:tr>
      <w:tr>
        <w:tblPrEx>
          <w:tblCellMar>
            <w:top w:w="0" w:type="dxa"/>
            <w:left w:w="108" w:type="dxa"/>
            <w:bottom w:w="0" w:type="dxa"/>
            <w:right w:w="108" w:type="dxa"/>
          </w:tblCellMar>
        </w:tblPrEx>
        <w:trPr>
          <w:trHeight w:val="660" w:hRule="atLeast"/>
        </w:trPr>
        <w:tc>
          <w:tcPr>
            <w:tcW w:w="723"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资料员</w:t>
            </w: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项目文档资料收集、审核、汇总。</w:t>
            </w:r>
          </w:p>
        </w:tc>
        <w:tc>
          <w:tcPr>
            <w:tcW w:w="80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w:t>
            </w:r>
          </w:p>
        </w:tc>
        <w:tc>
          <w:tcPr>
            <w:tcW w:w="153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专科及以上学历，具备资料员证书。</w:t>
            </w:r>
          </w:p>
        </w:tc>
        <w:tc>
          <w:tcPr>
            <w:tcW w:w="72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cs="宋体"/>
                <w:color w:val="000000"/>
                <w:kern w:val="0"/>
                <w:sz w:val="21"/>
                <w:szCs w:val="21"/>
              </w:rPr>
              <w:t>不驻场</w:t>
            </w:r>
          </w:p>
        </w:tc>
      </w:tr>
    </w:tbl>
    <w:p>
      <w:pPr>
        <w:rPr>
          <w:rFonts w:hint="eastAsia"/>
        </w:rPr>
      </w:pPr>
    </w:p>
    <w:p>
      <w:pPr>
        <w:rPr>
          <w:rFonts w:hint="eastAsia"/>
        </w:rPr>
      </w:pPr>
      <w:r>
        <w:t>2）投标人应针对本项目提供不少于</w:t>
      </w:r>
      <w:r>
        <w:rPr>
          <w:rFonts w:hint="eastAsia"/>
        </w:rPr>
        <w:t>5</w:t>
      </w:r>
      <w:r>
        <w:t>人的质保期间支撑团队</w:t>
      </w:r>
      <w:r>
        <w:rPr>
          <w:rFonts w:hint="eastAsia"/>
        </w:rPr>
        <w:t>（其中项目经理1人、系统架构师1人、研发工程师2人、实施工程师1人）；</w:t>
      </w:r>
      <w:r>
        <w:t>投标人的相关服务人员需具备相应的服务能力，需提供相关证明</w:t>
      </w:r>
      <w:r>
        <w:rPr>
          <w:rFonts w:hint="eastAsia"/>
        </w:rPr>
        <w:t>（最近三个月依法缴纳社保费的证明），具体要求如下：</w:t>
      </w:r>
    </w:p>
    <w:tbl>
      <w:tblPr>
        <w:tblStyle w:val="35"/>
        <w:tblW w:w="8780" w:type="dxa"/>
        <w:tblInd w:w="0" w:type="dxa"/>
        <w:tblLayout w:type="autofit"/>
        <w:tblCellMar>
          <w:top w:w="0" w:type="dxa"/>
          <w:left w:w="108" w:type="dxa"/>
          <w:bottom w:w="0" w:type="dxa"/>
          <w:right w:w="108" w:type="dxa"/>
        </w:tblCellMar>
      </w:tblPr>
      <w:tblGrid>
        <w:gridCol w:w="1180"/>
        <w:gridCol w:w="2359"/>
        <w:gridCol w:w="1321"/>
        <w:gridCol w:w="2648"/>
        <w:gridCol w:w="1272"/>
      </w:tblGrid>
      <w:tr>
        <w:tblPrEx>
          <w:tblCellMar>
            <w:top w:w="0" w:type="dxa"/>
            <w:left w:w="108" w:type="dxa"/>
            <w:bottom w:w="0" w:type="dxa"/>
            <w:right w:w="108" w:type="dxa"/>
          </w:tblCellMar>
        </w:tblPrEx>
        <w:trPr>
          <w:trHeight w:val="263" w:hRule="atLeast"/>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b/>
                <w:bCs/>
                <w:color w:val="000000"/>
                <w:kern w:val="0"/>
                <w:sz w:val="21"/>
                <w:szCs w:val="21"/>
              </w:rPr>
            </w:pPr>
            <w:r>
              <w:rPr>
                <w:rFonts w:hint="eastAsia" w:cs="宋体"/>
                <w:b/>
                <w:bCs/>
                <w:color w:val="000000"/>
                <w:kern w:val="0"/>
                <w:sz w:val="21"/>
                <w:szCs w:val="21"/>
              </w:rPr>
              <w:t>角色</w:t>
            </w:r>
          </w:p>
        </w:tc>
        <w:tc>
          <w:tcPr>
            <w:tcW w:w="23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b/>
                <w:bCs/>
                <w:color w:val="000000"/>
                <w:kern w:val="0"/>
                <w:sz w:val="21"/>
                <w:szCs w:val="21"/>
              </w:rPr>
            </w:pPr>
            <w:r>
              <w:rPr>
                <w:rFonts w:hint="eastAsia" w:cs="宋体"/>
                <w:b/>
                <w:bCs/>
                <w:color w:val="000000"/>
                <w:kern w:val="0"/>
                <w:sz w:val="21"/>
                <w:szCs w:val="21"/>
              </w:rPr>
              <w:t>主要职责</w:t>
            </w:r>
          </w:p>
        </w:tc>
        <w:tc>
          <w:tcPr>
            <w:tcW w:w="13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b/>
                <w:bCs/>
                <w:color w:val="000000"/>
                <w:kern w:val="0"/>
                <w:sz w:val="21"/>
                <w:szCs w:val="21"/>
              </w:rPr>
            </w:pPr>
            <w:r>
              <w:rPr>
                <w:rFonts w:hint="eastAsia" w:cs="宋体"/>
                <w:b/>
                <w:bCs/>
                <w:color w:val="000000"/>
                <w:kern w:val="0"/>
                <w:sz w:val="21"/>
                <w:szCs w:val="21"/>
              </w:rPr>
              <w:t>人员数量</w:t>
            </w:r>
          </w:p>
        </w:tc>
        <w:tc>
          <w:tcPr>
            <w:tcW w:w="264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b/>
                <w:bCs/>
                <w:color w:val="000000"/>
                <w:kern w:val="0"/>
                <w:sz w:val="21"/>
                <w:szCs w:val="21"/>
              </w:rPr>
            </w:pPr>
            <w:r>
              <w:rPr>
                <w:rFonts w:hint="eastAsia" w:cs="宋体"/>
                <w:b/>
                <w:bCs/>
                <w:color w:val="000000"/>
                <w:kern w:val="0"/>
                <w:sz w:val="21"/>
                <w:szCs w:val="21"/>
              </w:rPr>
              <w:t>人员要求</w:t>
            </w:r>
          </w:p>
        </w:tc>
        <w:tc>
          <w:tcPr>
            <w:tcW w:w="127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b/>
                <w:bCs/>
                <w:color w:val="000000"/>
                <w:kern w:val="0"/>
                <w:sz w:val="21"/>
                <w:szCs w:val="21"/>
              </w:rPr>
            </w:pPr>
            <w:r>
              <w:rPr>
                <w:rFonts w:hint="eastAsia" w:cs="宋体"/>
                <w:b/>
                <w:bCs/>
                <w:color w:val="000000"/>
                <w:kern w:val="0"/>
                <w:sz w:val="21"/>
                <w:szCs w:val="21"/>
              </w:rPr>
              <w:t>驻场要求</w:t>
            </w:r>
          </w:p>
        </w:tc>
      </w:tr>
      <w:tr>
        <w:tblPrEx>
          <w:tblCellMar>
            <w:top w:w="0" w:type="dxa"/>
            <w:left w:w="108" w:type="dxa"/>
            <w:bottom w:w="0" w:type="dxa"/>
            <w:right w:w="108" w:type="dxa"/>
          </w:tblCellMar>
        </w:tblPrEx>
        <w:trPr>
          <w:trHeight w:val="1200" w:hRule="atLeast"/>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sz w:val="21"/>
                <w:szCs w:val="21"/>
              </w:rPr>
              <w:t>项目经理</w:t>
            </w:r>
          </w:p>
        </w:tc>
        <w:tc>
          <w:tcPr>
            <w:tcW w:w="23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sz w:val="21"/>
                <w:szCs w:val="21"/>
              </w:rPr>
              <w:t>负责项目质量和进度控制</w:t>
            </w:r>
          </w:p>
        </w:tc>
        <w:tc>
          <w:tcPr>
            <w:tcW w:w="132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color w:val="000000"/>
                <w:kern w:val="0"/>
                <w:sz w:val="21"/>
                <w:szCs w:val="21"/>
              </w:rPr>
            </w:pPr>
            <w:r>
              <w:rPr>
                <w:rFonts w:hint="eastAsia"/>
                <w:sz w:val="21"/>
                <w:szCs w:val="21"/>
              </w:rPr>
              <w:t>1</w:t>
            </w:r>
          </w:p>
        </w:tc>
        <w:tc>
          <w:tcPr>
            <w:tcW w:w="264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sz w:val="21"/>
                <w:szCs w:val="21"/>
              </w:rPr>
              <w:t>计算机相关专业本科及以上学历，具备信息系统项目管理师或高级工程师职称资质，具备相关工作经验。</w:t>
            </w:r>
          </w:p>
        </w:tc>
        <w:tc>
          <w:tcPr>
            <w:tcW w:w="127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sz w:val="21"/>
                <w:szCs w:val="21"/>
              </w:rPr>
              <w:t>不驻场</w:t>
            </w:r>
          </w:p>
        </w:tc>
      </w:tr>
      <w:tr>
        <w:tblPrEx>
          <w:tblCellMar>
            <w:top w:w="0" w:type="dxa"/>
            <w:left w:w="108" w:type="dxa"/>
            <w:bottom w:w="0" w:type="dxa"/>
            <w:right w:w="108" w:type="dxa"/>
          </w:tblCellMar>
        </w:tblPrEx>
        <w:trPr>
          <w:trHeight w:val="1328" w:hRule="atLeast"/>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sz w:val="21"/>
                <w:szCs w:val="21"/>
              </w:rPr>
              <w:t>系统架构师</w:t>
            </w:r>
          </w:p>
        </w:tc>
        <w:tc>
          <w:tcPr>
            <w:tcW w:w="23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sz w:val="21"/>
                <w:szCs w:val="21"/>
              </w:rPr>
              <w:t>负责项目需求评估与产品设计</w:t>
            </w:r>
          </w:p>
        </w:tc>
        <w:tc>
          <w:tcPr>
            <w:tcW w:w="132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color w:val="000000"/>
                <w:kern w:val="0"/>
                <w:sz w:val="21"/>
                <w:szCs w:val="21"/>
              </w:rPr>
            </w:pPr>
            <w:r>
              <w:rPr>
                <w:rFonts w:hint="eastAsia"/>
                <w:sz w:val="21"/>
                <w:szCs w:val="21"/>
              </w:rPr>
              <w:t>1</w:t>
            </w:r>
          </w:p>
        </w:tc>
        <w:tc>
          <w:tcPr>
            <w:tcW w:w="264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sz w:val="21"/>
                <w:szCs w:val="21"/>
              </w:rPr>
              <w:t>计算机相关专业本科及以上学历历，具备软件设计师（中级）证书。</w:t>
            </w:r>
          </w:p>
        </w:tc>
        <w:tc>
          <w:tcPr>
            <w:tcW w:w="127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sz w:val="21"/>
                <w:szCs w:val="21"/>
              </w:rPr>
              <w:t>不驻场</w:t>
            </w:r>
          </w:p>
        </w:tc>
      </w:tr>
      <w:tr>
        <w:tblPrEx>
          <w:tblCellMar>
            <w:top w:w="0" w:type="dxa"/>
            <w:left w:w="108" w:type="dxa"/>
            <w:bottom w:w="0" w:type="dxa"/>
            <w:right w:w="108" w:type="dxa"/>
          </w:tblCellMar>
        </w:tblPrEx>
        <w:trPr>
          <w:trHeight w:val="908" w:hRule="atLeast"/>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sz w:val="21"/>
                <w:szCs w:val="21"/>
              </w:rPr>
              <w:t>研发工程师</w:t>
            </w:r>
          </w:p>
        </w:tc>
        <w:tc>
          <w:tcPr>
            <w:tcW w:w="23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sz w:val="21"/>
                <w:szCs w:val="21"/>
              </w:rPr>
              <w:t>负责软件开发迭代更新加固等</w:t>
            </w:r>
          </w:p>
        </w:tc>
        <w:tc>
          <w:tcPr>
            <w:tcW w:w="132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color w:val="000000"/>
                <w:kern w:val="0"/>
                <w:sz w:val="21"/>
                <w:szCs w:val="21"/>
              </w:rPr>
            </w:pPr>
            <w:r>
              <w:rPr>
                <w:rFonts w:hint="eastAsia" w:cs="宋体"/>
                <w:color w:val="000000"/>
                <w:sz w:val="21"/>
                <w:szCs w:val="21"/>
              </w:rPr>
              <w:t>2</w:t>
            </w:r>
          </w:p>
        </w:tc>
        <w:tc>
          <w:tcPr>
            <w:tcW w:w="264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kern w:val="0"/>
                <w:sz w:val="21"/>
                <w:szCs w:val="21"/>
              </w:rPr>
            </w:pPr>
            <w:r>
              <w:rPr>
                <w:rFonts w:hint="eastAsia"/>
                <w:sz w:val="21"/>
                <w:szCs w:val="21"/>
              </w:rPr>
              <w:t>计算机相关专业本科及以上学历</w:t>
            </w:r>
          </w:p>
        </w:tc>
        <w:tc>
          <w:tcPr>
            <w:tcW w:w="127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color w:val="000000"/>
                <w:kern w:val="0"/>
                <w:sz w:val="21"/>
                <w:szCs w:val="21"/>
              </w:rPr>
            </w:pPr>
            <w:r>
              <w:rPr>
                <w:rFonts w:hint="eastAsia"/>
                <w:sz w:val="21"/>
                <w:szCs w:val="21"/>
              </w:rPr>
              <w:t>不驻场</w:t>
            </w:r>
          </w:p>
        </w:tc>
      </w:tr>
      <w:tr>
        <w:tblPrEx>
          <w:tblCellMar>
            <w:top w:w="0" w:type="dxa"/>
            <w:left w:w="108" w:type="dxa"/>
            <w:bottom w:w="0" w:type="dxa"/>
            <w:right w:w="108" w:type="dxa"/>
          </w:tblCellMar>
        </w:tblPrEx>
        <w:trPr>
          <w:trHeight w:val="908" w:hRule="atLeast"/>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kern w:val="0"/>
                <w:sz w:val="21"/>
                <w:szCs w:val="21"/>
              </w:rPr>
            </w:pPr>
            <w:r>
              <w:rPr>
                <w:rFonts w:hint="eastAsia"/>
                <w:sz w:val="21"/>
                <w:szCs w:val="21"/>
              </w:rPr>
              <w:t>实施工程师</w:t>
            </w:r>
          </w:p>
        </w:tc>
        <w:tc>
          <w:tcPr>
            <w:tcW w:w="23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kern w:val="0"/>
                <w:sz w:val="21"/>
                <w:szCs w:val="21"/>
              </w:rPr>
            </w:pPr>
            <w:r>
              <w:rPr>
                <w:rFonts w:hint="eastAsia"/>
                <w:sz w:val="21"/>
                <w:szCs w:val="21"/>
              </w:rPr>
              <w:t>负责系统运行维护</w:t>
            </w:r>
          </w:p>
        </w:tc>
        <w:tc>
          <w:tcPr>
            <w:tcW w:w="132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s="宋体"/>
                <w:kern w:val="0"/>
                <w:sz w:val="21"/>
                <w:szCs w:val="21"/>
              </w:rPr>
            </w:pPr>
            <w:r>
              <w:rPr>
                <w:rFonts w:hint="eastAsia"/>
                <w:sz w:val="21"/>
                <w:szCs w:val="21"/>
              </w:rPr>
              <w:t>1</w:t>
            </w:r>
          </w:p>
        </w:tc>
        <w:tc>
          <w:tcPr>
            <w:tcW w:w="264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kern w:val="0"/>
                <w:sz w:val="21"/>
                <w:szCs w:val="21"/>
              </w:rPr>
            </w:pPr>
            <w:r>
              <w:rPr>
                <w:rFonts w:hint="eastAsia"/>
                <w:sz w:val="21"/>
                <w:szCs w:val="21"/>
              </w:rPr>
              <w:t>专科及以上学历</w:t>
            </w:r>
          </w:p>
        </w:tc>
        <w:tc>
          <w:tcPr>
            <w:tcW w:w="127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cs="宋体"/>
                <w:kern w:val="0"/>
                <w:sz w:val="21"/>
                <w:szCs w:val="21"/>
              </w:rPr>
            </w:pPr>
            <w:r>
              <w:rPr>
                <w:rFonts w:hint="eastAsia"/>
                <w:sz w:val="21"/>
                <w:szCs w:val="21"/>
              </w:rPr>
              <w:t>驻场</w:t>
            </w:r>
          </w:p>
        </w:tc>
      </w:tr>
    </w:tbl>
    <w:p>
      <w:pPr>
        <w:pStyle w:val="3"/>
        <w:rPr>
          <w:rFonts w:hint="eastAsia"/>
        </w:rPr>
      </w:pPr>
      <w:r>
        <w:t>等级保护要求</w:t>
      </w:r>
      <w:bookmarkEnd w:id="36"/>
    </w:p>
    <w:p>
      <w:pPr>
        <w:rPr>
          <w:rFonts w:hint="eastAsia" w:ascii="方正仿宋_GB2312" w:eastAsia="方正仿宋_GB2312" w:cs="方正仿宋_GB2312"/>
          <w:color w:val="000000"/>
          <w:kern w:val="0"/>
          <w:sz w:val="28"/>
          <w:szCs w:val="28"/>
        </w:rPr>
      </w:pPr>
      <w:r>
        <w:rPr>
          <w:rFonts w:hint="eastAsia"/>
        </w:rPr>
        <w:t>本项目等级保护要求：符合等保二级要求</w:t>
      </w:r>
    </w:p>
    <w:p>
      <w:pPr>
        <w:pStyle w:val="3"/>
        <w:rPr>
          <w:rFonts w:hint="eastAsia"/>
        </w:rPr>
      </w:pPr>
      <w:r>
        <w:rPr>
          <w:rFonts w:hint="eastAsia"/>
        </w:rPr>
        <w:t>商业密码应用需求</w:t>
      </w:r>
    </w:p>
    <w:p>
      <w:pPr>
        <w:rPr>
          <w:rFonts w:hint="eastAsia"/>
        </w:rPr>
      </w:pPr>
      <w:bookmarkStart w:id="38" w:name="_Toc63785512"/>
      <w:r>
        <w:rPr>
          <w:rFonts w:hint="eastAsia"/>
        </w:rPr>
        <w:t>依据GB/T</w:t>
      </w:r>
      <w:r>
        <w:t xml:space="preserve">  </w:t>
      </w:r>
      <w:r>
        <w:rPr>
          <w:rFonts w:hint="eastAsia"/>
        </w:rPr>
        <w:t>39786—2021《信息安全技术信息系统密码应用基本要求》，结合本系统风险控制需求分析结果，本系统的主要密码应用需求包括：</w:t>
      </w:r>
    </w:p>
    <w:tbl>
      <w:tblPr>
        <w:tblStyle w:val="35"/>
        <w:tblW w:w="5000" w:type="pct"/>
        <w:jc w:val="center"/>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1900"/>
        <w:gridCol w:w="3225"/>
        <w:gridCol w:w="1921"/>
      </w:tblGrid>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869" w:type="pct"/>
            <w:shd w:val="clear" w:color="auto" w:fill="D9D9D9"/>
            <w:vAlign w:val="center"/>
          </w:tcPr>
          <w:p>
            <w:pPr>
              <w:widowControl/>
              <w:ind w:firstLine="0" w:firstLineChars="0"/>
              <w:rPr>
                <w:rFonts w:hint="eastAsia"/>
                <w:sz w:val="21"/>
                <w:szCs w:val="21"/>
              </w:rPr>
            </w:pPr>
            <w:r>
              <w:rPr>
                <w:sz w:val="21"/>
                <w:szCs w:val="21"/>
              </w:rPr>
              <w:t>指标要求</w:t>
            </w:r>
          </w:p>
        </w:tc>
        <w:tc>
          <w:tcPr>
            <w:tcW w:w="1114" w:type="pct"/>
            <w:shd w:val="clear" w:color="auto" w:fill="D9D9D9"/>
            <w:vAlign w:val="center"/>
          </w:tcPr>
          <w:p>
            <w:pPr>
              <w:widowControl/>
              <w:ind w:firstLine="0" w:firstLineChars="0"/>
              <w:rPr>
                <w:rFonts w:hint="eastAsia"/>
                <w:sz w:val="21"/>
                <w:szCs w:val="21"/>
              </w:rPr>
            </w:pPr>
            <w:r>
              <w:rPr>
                <w:sz w:val="21"/>
                <w:szCs w:val="21"/>
              </w:rPr>
              <w:t>密码技术应用点</w:t>
            </w:r>
          </w:p>
        </w:tc>
        <w:tc>
          <w:tcPr>
            <w:tcW w:w="1891" w:type="pct"/>
            <w:shd w:val="clear" w:color="auto" w:fill="D9D9D9"/>
            <w:vAlign w:val="center"/>
          </w:tcPr>
          <w:p>
            <w:pPr>
              <w:widowControl/>
              <w:ind w:firstLine="0" w:firstLineChars="0"/>
              <w:rPr>
                <w:rFonts w:hint="eastAsia"/>
                <w:sz w:val="21"/>
                <w:szCs w:val="21"/>
              </w:rPr>
            </w:pPr>
            <w:r>
              <w:rPr>
                <w:rFonts w:hint="eastAsia"/>
                <w:sz w:val="21"/>
                <w:szCs w:val="21"/>
              </w:rPr>
              <w:t>密码应用需求</w:t>
            </w:r>
          </w:p>
        </w:tc>
        <w:tc>
          <w:tcPr>
            <w:tcW w:w="1126" w:type="pct"/>
            <w:shd w:val="clear" w:color="auto" w:fill="D9D9D9"/>
            <w:vAlign w:val="center"/>
          </w:tcPr>
          <w:p>
            <w:pPr>
              <w:widowControl/>
              <w:ind w:firstLine="0" w:firstLineChars="0"/>
              <w:rPr>
                <w:rFonts w:hint="eastAsia"/>
                <w:sz w:val="21"/>
                <w:szCs w:val="21"/>
              </w:rPr>
            </w:pPr>
            <w:r>
              <w:rPr>
                <w:sz w:val="21"/>
                <w:szCs w:val="21"/>
              </w:rPr>
              <w:t>说明</w:t>
            </w: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restart"/>
            <w:vAlign w:val="center"/>
          </w:tcPr>
          <w:p>
            <w:pPr>
              <w:widowControl/>
              <w:ind w:firstLine="0" w:firstLineChars="0"/>
              <w:rPr>
                <w:rFonts w:hint="eastAsia"/>
                <w:sz w:val="21"/>
                <w:szCs w:val="21"/>
              </w:rPr>
            </w:pPr>
            <w:r>
              <w:rPr>
                <w:sz w:val="21"/>
                <w:szCs w:val="21"/>
              </w:rPr>
              <w:t>物理和环境安全</w:t>
            </w: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身份鉴别</w:t>
            </w:r>
          </w:p>
        </w:tc>
        <w:tc>
          <w:tcPr>
            <w:tcW w:w="1891" w:type="pct"/>
            <w:vMerge w:val="restart"/>
            <w:vAlign w:val="center"/>
          </w:tcPr>
          <w:p>
            <w:pPr>
              <w:widowControl/>
              <w:ind w:firstLine="420"/>
              <w:jc w:val="center"/>
              <w:rPr>
                <w:rFonts w:hint="eastAsia"/>
                <w:sz w:val="21"/>
                <w:szCs w:val="21"/>
              </w:rPr>
            </w:pPr>
            <w:r>
              <w:rPr>
                <w:rFonts w:hint="eastAsia"/>
                <w:sz w:val="21"/>
                <w:szCs w:val="21"/>
              </w:rPr>
              <w:t>系统的物理和环境安全由云平台提供安全保障，不适用。</w:t>
            </w:r>
          </w:p>
        </w:tc>
        <w:tc>
          <w:tcPr>
            <w:tcW w:w="1126" w:type="pct"/>
            <w:vMerge w:val="restart"/>
            <w:vAlign w:val="center"/>
          </w:tcPr>
          <w:p>
            <w:pPr>
              <w:widowControl/>
              <w:ind w:firstLine="0" w:firstLineChars="0"/>
              <w:rPr>
                <w:rFonts w:hint="eastAsia"/>
                <w:sz w:val="21"/>
                <w:szCs w:val="21"/>
              </w:rPr>
            </w:pPr>
            <w:r>
              <w:rPr>
                <w:rFonts w:hint="eastAsia"/>
                <w:sz w:val="21"/>
                <w:szCs w:val="21"/>
              </w:rPr>
              <w:t>云平台通过密评</w:t>
            </w: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ind w:firstLine="420"/>
              <w:jc w:val="left"/>
              <w:rPr>
                <w:rFonts w:hint="eastAsia"/>
                <w:sz w:val="21"/>
                <w:szCs w:val="21"/>
              </w:rPr>
            </w:pP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电子门禁记录数据完整性</w:t>
            </w:r>
          </w:p>
        </w:tc>
        <w:tc>
          <w:tcPr>
            <w:tcW w:w="1891" w:type="pct"/>
            <w:vMerge w:val="continue"/>
            <w:vAlign w:val="center"/>
          </w:tcPr>
          <w:p>
            <w:pPr>
              <w:ind w:firstLine="420"/>
              <w:jc w:val="center"/>
              <w:rPr>
                <w:rFonts w:hint="eastAsia"/>
                <w:sz w:val="21"/>
                <w:szCs w:val="21"/>
              </w:rPr>
            </w:pPr>
          </w:p>
        </w:tc>
        <w:tc>
          <w:tcPr>
            <w:tcW w:w="1126" w:type="pct"/>
            <w:vMerge w:val="continue"/>
            <w:vAlign w:val="center"/>
          </w:tcPr>
          <w:p>
            <w:pPr>
              <w:widowControl/>
              <w:ind w:firstLine="420"/>
              <w:jc w:val="center"/>
              <w:rPr>
                <w:rFonts w:hint="eastAsia"/>
                <w:sz w:val="21"/>
                <w:szCs w:val="21"/>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ind w:firstLine="420"/>
              <w:jc w:val="left"/>
              <w:rPr>
                <w:rFonts w:hint="eastAsia"/>
                <w:sz w:val="21"/>
                <w:szCs w:val="21"/>
              </w:rPr>
            </w:pP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视频监控记录数据完整性</w:t>
            </w:r>
          </w:p>
        </w:tc>
        <w:tc>
          <w:tcPr>
            <w:tcW w:w="1891" w:type="pct"/>
            <w:vMerge w:val="continue"/>
            <w:vAlign w:val="center"/>
          </w:tcPr>
          <w:p>
            <w:pPr>
              <w:widowControl/>
              <w:ind w:firstLine="420"/>
              <w:jc w:val="center"/>
              <w:rPr>
                <w:rFonts w:hint="eastAsia"/>
                <w:sz w:val="21"/>
                <w:szCs w:val="21"/>
              </w:rPr>
            </w:pPr>
          </w:p>
        </w:tc>
        <w:tc>
          <w:tcPr>
            <w:tcW w:w="1126" w:type="pct"/>
            <w:vMerge w:val="continue"/>
            <w:vAlign w:val="center"/>
          </w:tcPr>
          <w:p>
            <w:pPr>
              <w:widowControl/>
              <w:ind w:firstLine="420"/>
              <w:jc w:val="center"/>
              <w:rPr>
                <w:rFonts w:hint="eastAsia"/>
                <w:sz w:val="21"/>
                <w:szCs w:val="21"/>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ind w:firstLine="420"/>
              <w:jc w:val="left"/>
              <w:rPr>
                <w:rFonts w:hint="eastAsia"/>
                <w:sz w:val="21"/>
                <w:szCs w:val="21"/>
              </w:rPr>
            </w:pP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密码服务</w:t>
            </w:r>
          </w:p>
        </w:tc>
        <w:tc>
          <w:tcPr>
            <w:tcW w:w="1891" w:type="pct"/>
            <w:vMerge w:val="continue"/>
            <w:vAlign w:val="center"/>
          </w:tcPr>
          <w:p>
            <w:pPr>
              <w:widowControl/>
              <w:ind w:firstLine="420"/>
              <w:jc w:val="center"/>
              <w:rPr>
                <w:rFonts w:hint="eastAsia"/>
                <w:sz w:val="21"/>
                <w:szCs w:val="21"/>
              </w:rPr>
            </w:pPr>
          </w:p>
        </w:tc>
        <w:tc>
          <w:tcPr>
            <w:tcW w:w="1126" w:type="pct"/>
            <w:vMerge w:val="continue"/>
            <w:vAlign w:val="center"/>
          </w:tcPr>
          <w:p>
            <w:pPr>
              <w:widowControl/>
              <w:ind w:firstLine="420"/>
              <w:jc w:val="center"/>
              <w:rPr>
                <w:rFonts w:hint="eastAsia"/>
                <w:sz w:val="21"/>
                <w:szCs w:val="21"/>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ind w:firstLine="420"/>
              <w:jc w:val="left"/>
              <w:rPr>
                <w:rFonts w:hint="eastAsia"/>
                <w:sz w:val="21"/>
                <w:szCs w:val="21"/>
              </w:rPr>
            </w:pP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密码产品</w:t>
            </w:r>
          </w:p>
        </w:tc>
        <w:tc>
          <w:tcPr>
            <w:tcW w:w="1891" w:type="pct"/>
            <w:vMerge w:val="continue"/>
            <w:vAlign w:val="center"/>
          </w:tcPr>
          <w:p>
            <w:pPr>
              <w:widowControl/>
              <w:ind w:firstLine="420"/>
              <w:jc w:val="center"/>
              <w:rPr>
                <w:rFonts w:hint="eastAsia"/>
                <w:sz w:val="21"/>
                <w:szCs w:val="21"/>
              </w:rPr>
            </w:pPr>
          </w:p>
        </w:tc>
        <w:tc>
          <w:tcPr>
            <w:tcW w:w="1126" w:type="pct"/>
            <w:vMerge w:val="continue"/>
            <w:vAlign w:val="center"/>
          </w:tcPr>
          <w:p>
            <w:pPr>
              <w:widowControl/>
              <w:ind w:firstLine="420"/>
              <w:jc w:val="center"/>
              <w:rPr>
                <w:rFonts w:hint="eastAsia"/>
                <w:sz w:val="21"/>
                <w:szCs w:val="21"/>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restart"/>
            <w:vAlign w:val="center"/>
          </w:tcPr>
          <w:p>
            <w:pPr>
              <w:widowControl/>
              <w:ind w:firstLine="0" w:firstLineChars="0"/>
              <w:rPr>
                <w:rFonts w:hint="eastAsia"/>
                <w:sz w:val="21"/>
                <w:szCs w:val="21"/>
              </w:rPr>
            </w:pPr>
            <w:r>
              <w:rPr>
                <w:sz w:val="21"/>
                <w:szCs w:val="21"/>
              </w:rPr>
              <w:t>网络和通信安全</w:t>
            </w: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身份鉴别</w:t>
            </w:r>
          </w:p>
        </w:tc>
        <w:tc>
          <w:tcPr>
            <w:tcW w:w="1891" w:type="pct"/>
            <w:vAlign w:val="center"/>
          </w:tcPr>
          <w:p>
            <w:pPr>
              <w:widowControl/>
              <w:ind w:firstLine="0" w:firstLineChars="0"/>
              <w:rPr>
                <w:rFonts w:hint="eastAsia"/>
                <w:sz w:val="21"/>
                <w:szCs w:val="21"/>
              </w:rPr>
            </w:pPr>
            <w:r>
              <w:rPr>
                <w:rFonts w:hint="eastAsia"/>
                <w:sz w:val="21"/>
                <w:szCs w:val="21"/>
              </w:rPr>
              <w:t>确认服务端的身份真实性，防止与假冒实体进行通信</w:t>
            </w:r>
          </w:p>
        </w:tc>
        <w:tc>
          <w:tcPr>
            <w:tcW w:w="1126" w:type="pct"/>
            <w:vAlign w:val="center"/>
          </w:tcPr>
          <w:p>
            <w:pPr>
              <w:widowControl/>
              <w:ind w:firstLine="420"/>
              <w:jc w:val="center"/>
              <w:rPr>
                <w:rFonts w:hint="eastAsia"/>
                <w:sz w:val="21"/>
                <w:szCs w:val="21"/>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ind w:firstLine="420"/>
              <w:jc w:val="left"/>
              <w:rPr>
                <w:rFonts w:hint="eastAsia"/>
                <w:sz w:val="21"/>
                <w:szCs w:val="21"/>
              </w:rPr>
            </w:pP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通信数据完整性</w:t>
            </w:r>
          </w:p>
        </w:tc>
        <w:tc>
          <w:tcPr>
            <w:tcW w:w="1891" w:type="pct"/>
            <w:vAlign w:val="center"/>
          </w:tcPr>
          <w:p>
            <w:pPr>
              <w:widowControl/>
              <w:ind w:firstLine="0" w:firstLineChars="0"/>
              <w:rPr>
                <w:rFonts w:hint="eastAsia"/>
                <w:sz w:val="21"/>
                <w:szCs w:val="21"/>
              </w:rPr>
            </w:pPr>
            <w:r>
              <w:rPr>
                <w:rFonts w:hint="eastAsia"/>
                <w:sz w:val="21"/>
                <w:szCs w:val="21"/>
              </w:rPr>
              <w:t>防止重要数据在传输过程中被非法篡改</w:t>
            </w:r>
          </w:p>
        </w:tc>
        <w:tc>
          <w:tcPr>
            <w:tcW w:w="1126" w:type="pct"/>
            <w:vAlign w:val="center"/>
          </w:tcPr>
          <w:p>
            <w:pPr>
              <w:widowControl/>
              <w:ind w:firstLine="420"/>
              <w:jc w:val="center"/>
              <w:rPr>
                <w:rFonts w:hint="eastAsia"/>
                <w:sz w:val="21"/>
                <w:szCs w:val="21"/>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ind w:firstLine="420"/>
              <w:jc w:val="left"/>
              <w:rPr>
                <w:rFonts w:hint="eastAsia"/>
                <w:sz w:val="21"/>
                <w:szCs w:val="21"/>
              </w:rPr>
            </w:pP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通信过程中重要数据的机密性</w:t>
            </w:r>
          </w:p>
        </w:tc>
        <w:tc>
          <w:tcPr>
            <w:tcW w:w="1891" w:type="pct"/>
            <w:vAlign w:val="center"/>
          </w:tcPr>
          <w:p>
            <w:pPr>
              <w:widowControl/>
              <w:ind w:firstLine="0" w:firstLineChars="0"/>
              <w:rPr>
                <w:rFonts w:hint="eastAsia"/>
                <w:sz w:val="21"/>
                <w:szCs w:val="21"/>
              </w:rPr>
            </w:pPr>
            <w:r>
              <w:rPr>
                <w:rFonts w:hint="eastAsia"/>
                <w:sz w:val="21"/>
                <w:szCs w:val="21"/>
              </w:rPr>
              <w:t>防止管理员身份鉴别信息等重要数据在传输过程中被非法窃取</w:t>
            </w:r>
          </w:p>
        </w:tc>
        <w:tc>
          <w:tcPr>
            <w:tcW w:w="1126" w:type="pct"/>
            <w:vAlign w:val="center"/>
          </w:tcPr>
          <w:p>
            <w:pPr>
              <w:widowControl/>
              <w:ind w:firstLine="420"/>
              <w:jc w:val="center"/>
              <w:rPr>
                <w:rFonts w:hint="eastAsia"/>
                <w:sz w:val="21"/>
                <w:szCs w:val="21"/>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ind w:firstLine="420"/>
              <w:jc w:val="left"/>
              <w:rPr>
                <w:rFonts w:hint="eastAsia"/>
                <w:sz w:val="21"/>
                <w:szCs w:val="21"/>
              </w:rPr>
            </w:pP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网络边界访问控制信息的完整性</w:t>
            </w:r>
          </w:p>
        </w:tc>
        <w:tc>
          <w:tcPr>
            <w:tcW w:w="1891" w:type="pct"/>
            <w:vAlign w:val="center"/>
          </w:tcPr>
          <w:p>
            <w:pPr>
              <w:widowControl/>
              <w:ind w:firstLine="0" w:firstLineChars="0"/>
              <w:rPr>
                <w:rFonts w:hint="eastAsia"/>
                <w:sz w:val="21"/>
                <w:szCs w:val="21"/>
              </w:rPr>
            </w:pPr>
            <w:r>
              <w:rPr>
                <w:rFonts w:hint="eastAsia"/>
                <w:sz w:val="21"/>
                <w:szCs w:val="21"/>
              </w:rPr>
              <w:t>系统网络拓扑中不同区域网络边界访问控制信息的完整性保护由云平台提供，不适用。</w:t>
            </w:r>
          </w:p>
        </w:tc>
        <w:tc>
          <w:tcPr>
            <w:tcW w:w="1126" w:type="pct"/>
            <w:vAlign w:val="center"/>
          </w:tcPr>
          <w:p>
            <w:pPr>
              <w:widowControl/>
              <w:ind w:firstLine="0" w:firstLineChars="0"/>
              <w:rPr>
                <w:rFonts w:hint="eastAsia"/>
                <w:sz w:val="21"/>
                <w:szCs w:val="21"/>
              </w:rPr>
            </w:pPr>
            <w:r>
              <w:rPr>
                <w:rFonts w:hint="eastAsia"/>
                <w:sz w:val="21"/>
                <w:szCs w:val="21"/>
              </w:rPr>
              <w:t>云平台通过密评</w:t>
            </w: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ind w:firstLine="420"/>
              <w:jc w:val="left"/>
              <w:rPr>
                <w:rFonts w:hint="eastAsia"/>
                <w:sz w:val="21"/>
                <w:szCs w:val="21"/>
              </w:rPr>
            </w:pP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安全接入认证</w:t>
            </w:r>
          </w:p>
        </w:tc>
        <w:tc>
          <w:tcPr>
            <w:tcW w:w="1891" w:type="pct"/>
            <w:vAlign w:val="center"/>
          </w:tcPr>
          <w:p>
            <w:pPr>
              <w:widowControl/>
              <w:ind w:firstLine="0" w:firstLineChars="0"/>
              <w:rPr>
                <w:rFonts w:hint="eastAsia"/>
                <w:sz w:val="21"/>
                <w:szCs w:val="21"/>
              </w:rPr>
            </w:pPr>
            <w:r>
              <w:rPr>
                <w:rFonts w:hint="eastAsia"/>
                <w:sz w:val="21"/>
                <w:szCs w:val="21"/>
              </w:rPr>
              <w:t>不适用</w:t>
            </w:r>
          </w:p>
        </w:tc>
        <w:tc>
          <w:tcPr>
            <w:tcW w:w="1126" w:type="pct"/>
            <w:vAlign w:val="center"/>
          </w:tcPr>
          <w:p>
            <w:pPr>
              <w:widowControl/>
              <w:ind w:firstLine="0" w:firstLineChars="0"/>
              <w:rPr>
                <w:rFonts w:hint="eastAsia"/>
                <w:sz w:val="21"/>
                <w:szCs w:val="21"/>
              </w:rPr>
            </w:pPr>
            <w:r>
              <w:rPr>
                <w:rFonts w:hint="eastAsia"/>
                <w:sz w:val="21"/>
                <w:szCs w:val="21"/>
              </w:rPr>
              <w:t>无外部接入设备</w:t>
            </w: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restart"/>
            <w:vAlign w:val="center"/>
          </w:tcPr>
          <w:p>
            <w:pPr>
              <w:widowControl/>
              <w:ind w:firstLine="0" w:firstLineChars="0"/>
              <w:rPr>
                <w:rFonts w:hint="eastAsia"/>
                <w:sz w:val="21"/>
                <w:szCs w:val="21"/>
              </w:rPr>
            </w:pPr>
            <w:r>
              <w:rPr>
                <w:sz w:val="21"/>
                <w:szCs w:val="21"/>
              </w:rPr>
              <w:t>设备和计算安全</w:t>
            </w: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身份鉴别</w:t>
            </w:r>
          </w:p>
        </w:tc>
        <w:tc>
          <w:tcPr>
            <w:tcW w:w="1891" w:type="pct"/>
            <w:vAlign w:val="center"/>
          </w:tcPr>
          <w:p>
            <w:pPr>
              <w:widowControl/>
              <w:ind w:firstLine="0" w:firstLineChars="0"/>
              <w:rPr>
                <w:rFonts w:hint="eastAsia"/>
                <w:sz w:val="21"/>
                <w:szCs w:val="21"/>
              </w:rPr>
            </w:pPr>
            <w:r>
              <w:rPr>
                <w:rFonts w:hint="eastAsia"/>
                <w:sz w:val="21"/>
                <w:szCs w:val="21"/>
              </w:rPr>
              <w:t>对远程登录设备的用户身份真实性进行鉴别，防止假冒用户登录</w:t>
            </w:r>
          </w:p>
        </w:tc>
        <w:tc>
          <w:tcPr>
            <w:tcW w:w="1126" w:type="pct"/>
            <w:vAlign w:val="center"/>
          </w:tcPr>
          <w:p>
            <w:pPr>
              <w:widowControl/>
              <w:ind w:firstLine="420"/>
              <w:jc w:val="center"/>
              <w:rPr>
                <w:rFonts w:hint="eastAsia"/>
                <w:sz w:val="21"/>
                <w:szCs w:val="21"/>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ind w:firstLine="420"/>
              <w:jc w:val="left"/>
              <w:rPr>
                <w:rFonts w:hint="eastAsia"/>
                <w:sz w:val="21"/>
                <w:szCs w:val="21"/>
              </w:rPr>
            </w:pP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远程管理通道安全</w:t>
            </w:r>
          </w:p>
        </w:tc>
        <w:tc>
          <w:tcPr>
            <w:tcW w:w="1891" w:type="pct"/>
            <w:vAlign w:val="center"/>
          </w:tcPr>
          <w:p>
            <w:pPr>
              <w:widowControl/>
              <w:ind w:firstLine="0" w:firstLineChars="0"/>
              <w:rPr>
                <w:rFonts w:hint="eastAsia"/>
                <w:sz w:val="21"/>
                <w:szCs w:val="21"/>
              </w:rPr>
            </w:pPr>
            <w:r>
              <w:rPr>
                <w:rFonts w:hint="eastAsia"/>
                <w:sz w:val="21"/>
                <w:szCs w:val="21"/>
              </w:rPr>
              <w:t>远程管理时保护管理员身份鉴别信息等重要数据被非法窃取或非法篡改</w:t>
            </w:r>
          </w:p>
        </w:tc>
        <w:tc>
          <w:tcPr>
            <w:tcW w:w="1126" w:type="pct"/>
            <w:vAlign w:val="center"/>
          </w:tcPr>
          <w:p>
            <w:pPr>
              <w:widowControl/>
              <w:ind w:firstLine="420"/>
              <w:jc w:val="center"/>
              <w:rPr>
                <w:rFonts w:hint="eastAsia"/>
                <w:sz w:val="21"/>
                <w:szCs w:val="21"/>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ind w:firstLine="420"/>
              <w:jc w:val="left"/>
              <w:rPr>
                <w:rFonts w:hint="eastAsia"/>
                <w:sz w:val="21"/>
                <w:szCs w:val="21"/>
              </w:rPr>
            </w:pP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系统资源访问控制信息完整性</w:t>
            </w:r>
          </w:p>
        </w:tc>
        <w:tc>
          <w:tcPr>
            <w:tcW w:w="1891" w:type="pct"/>
            <w:vAlign w:val="center"/>
          </w:tcPr>
          <w:p>
            <w:pPr>
              <w:widowControl/>
              <w:ind w:firstLine="0" w:firstLineChars="0"/>
              <w:rPr>
                <w:rFonts w:hint="eastAsia"/>
                <w:sz w:val="21"/>
                <w:szCs w:val="21"/>
              </w:rPr>
            </w:pPr>
            <w:r>
              <w:rPr>
                <w:rFonts w:hint="eastAsia"/>
                <w:sz w:val="21"/>
                <w:szCs w:val="21"/>
              </w:rPr>
              <w:t>保护系统资源访问控制信息免受非法篡改</w:t>
            </w:r>
          </w:p>
        </w:tc>
        <w:tc>
          <w:tcPr>
            <w:tcW w:w="1126" w:type="pct"/>
            <w:vAlign w:val="center"/>
          </w:tcPr>
          <w:p>
            <w:pPr>
              <w:widowControl/>
              <w:ind w:firstLine="420"/>
              <w:jc w:val="center"/>
              <w:rPr>
                <w:rFonts w:hint="eastAsia"/>
                <w:sz w:val="21"/>
                <w:szCs w:val="21"/>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ind w:firstLine="420"/>
              <w:jc w:val="left"/>
              <w:rPr>
                <w:rFonts w:hint="eastAsia"/>
                <w:sz w:val="21"/>
                <w:szCs w:val="21"/>
              </w:rPr>
            </w:pP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重要信息资源安全标记的完整性</w:t>
            </w:r>
          </w:p>
        </w:tc>
        <w:tc>
          <w:tcPr>
            <w:tcW w:w="1891" w:type="pct"/>
            <w:vAlign w:val="center"/>
          </w:tcPr>
          <w:p>
            <w:pPr>
              <w:widowControl/>
              <w:ind w:firstLine="0" w:firstLineChars="0"/>
              <w:rPr>
                <w:rFonts w:hint="eastAsia"/>
                <w:sz w:val="21"/>
                <w:szCs w:val="21"/>
              </w:rPr>
            </w:pPr>
            <w:r>
              <w:rPr>
                <w:rFonts w:hint="eastAsia"/>
                <w:sz w:val="21"/>
                <w:szCs w:val="21"/>
              </w:rPr>
              <w:t>不适用</w:t>
            </w:r>
          </w:p>
        </w:tc>
        <w:tc>
          <w:tcPr>
            <w:tcW w:w="1126" w:type="pct"/>
            <w:vAlign w:val="center"/>
          </w:tcPr>
          <w:p>
            <w:pPr>
              <w:widowControl/>
              <w:ind w:firstLine="0" w:firstLineChars="0"/>
              <w:rPr>
                <w:rFonts w:hint="eastAsia"/>
                <w:sz w:val="21"/>
                <w:szCs w:val="21"/>
              </w:rPr>
            </w:pPr>
            <w:r>
              <w:rPr>
                <w:rFonts w:hint="eastAsia"/>
                <w:sz w:val="21"/>
                <w:szCs w:val="21"/>
              </w:rPr>
              <w:t>无重要信息资源安全标记</w:t>
            </w: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ind w:firstLine="420"/>
              <w:jc w:val="left"/>
              <w:rPr>
                <w:rFonts w:hint="eastAsia"/>
                <w:sz w:val="21"/>
                <w:szCs w:val="21"/>
              </w:rPr>
            </w:pP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日志记录完整性</w:t>
            </w:r>
          </w:p>
        </w:tc>
        <w:tc>
          <w:tcPr>
            <w:tcW w:w="1891" w:type="pct"/>
            <w:vAlign w:val="center"/>
          </w:tcPr>
          <w:p>
            <w:pPr>
              <w:widowControl/>
              <w:ind w:firstLine="0" w:firstLineChars="0"/>
              <w:rPr>
                <w:rFonts w:hint="eastAsia"/>
                <w:sz w:val="21"/>
                <w:szCs w:val="21"/>
              </w:rPr>
            </w:pPr>
            <w:r>
              <w:rPr>
                <w:rFonts w:hint="eastAsia"/>
                <w:sz w:val="21"/>
                <w:szCs w:val="21"/>
              </w:rPr>
              <w:t>保护重要日志记录信息免受非法篡改</w:t>
            </w:r>
          </w:p>
        </w:tc>
        <w:tc>
          <w:tcPr>
            <w:tcW w:w="1126" w:type="pct"/>
            <w:vAlign w:val="center"/>
          </w:tcPr>
          <w:p>
            <w:pPr>
              <w:widowControl/>
              <w:ind w:firstLine="420"/>
              <w:jc w:val="center"/>
              <w:rPr>
                <w:rFonts w:hint="eastAsia"/>
                <w:sz w:val="21"/>
                <w:szCs w:val="21"/>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ind w:firstLine="420"/>
              <w:jc w:val="left"/>
              <w:rPr>
                <w:rFonts w:hint="eastAsia"/>
                <w:sz w:val="21"/>
                <w:szCs w:val="21"/>
              </w:rPr>
            </w:pP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重要可执行程序完整性、重要可执行程序来源真实性</w:t>
            </w:r>
          </w:p>
        </w:tc>
        <w:tc>
          <w:tcPr>
            <w:tcW w:w="1891" w:type="pct"/>
            <w:vAlign w:val="center"/>
          </w:tcPr>
          <w:p>
            <w:pPr>
              <w:widowControl/>
              <w:ind w:firstLine="0" w:firstLineChars="0"/>
              <w:rPr>
                <w:rFonts w:hint="eastAsia"/>
                <w:sz w:val="21"/>
                <w:szCs w:val="21"/>
              </w:rPr>
            </w:pPr>
            <w:r>
              <w:rPr>
                <w:rFonts w:hint="eastAsia"/>
                <w:sz w:val="21"/>
                <w:szCs w:val="21"/>
              </w:rPr>
              <w:t>保护重要可执行程序免受非法篡改</w:t>
            </w:r>
          </w:p>
        </w:tc>
        <w:tc>
          <w:tcPr>
            <w:tcW w:w="1126" w:type="pct"/>
            <w:vAlign w:val="center"/>
          </w:tcPr>
          <w:p>
            <w:pPr>
              <w:widowControl/>
              <w:ind w:firstLine="420"/>
              <w:jc w:val="center"/>
              <w:rPr>
                <w:rFonts w:hint="eastAsia"/>
                <w:sz w:val="21"/>
                <w:szCs w:val="21"/>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restart"/>
            <w:vAlign w:val="center"/>
          </w:tcPr>
          <w:p>
            <w:pPr>
              <w:widowControl/>
              <w:ind w:firstLine="0" w:firstLineChars="0"/>
              <w:rPr>
                <w:rFonts w:hint="eastAsia"/>
                <w:sz w:val="21"/>
                <w:szCs w:val="21"/>
              </w:rPr>
            </w:pPr>
            <w:r>
              <w:rPr>
                <w:sz w:val="21"/>
                <w:szCs w:val="21"/>
              </w:rPr>
              <w:t>应用和数据安全</w:t>
            </w: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身份鉴别</w:t>
            </w:r>
          </w:p>
        </w:tc>
        <w:tc>
          <w:tcPr>
            <w:tcW w:w="1891" w:type="pct"/>
            <w:vAlign w:val="center"/>
          </w:tcPr>
          <w:p>
            <w:pPr>
              <w:widowControl/>
              <w:ind w:firstLine="0" w:firstLineChars="0"/>
              <w:rPr>
                <w:rFonts w:hint="eastAsia"/>
                <w:sz w:val="21"/>
                <w:szCs w:val="21"/>
              </w:rPr>
            </w:pPr>
            <w:r>
              <w:rPr>
                <w:rFonts w:hint="eastAsia"/>
                <w:sz w:val="21"/>
                <w:szCs w:val="21"/>
              </w:rPr>
              <w:t>保护执行关键操作或访问重要数据的用户身份真实性，防止假冒用户访问</w:t>
            </w:r>
          </w:p>
        </w:tc>
        <w:tc>
          <w:tcPr>
            <w:tcW w:w="1126" w:type="pct"/>
            <w:vAlign w:val="center"/>
          </w:tcPr>
          <w:p>
            <w:pPr>
              <w:widowControl/>
              <w:ind w:firstLine="420"/>
              <w:jc w:val="center"/>
              <w:rPr>
                <w:rFonts w:hint="eastAsia"/>
                <w:sz w:val="21"/>
                <w:szCs w:val="21"/>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ind w:firstLine="420"/>
              <w:jc w:val="left"/>
              <w:rPr>
                <w:rFonts w:hint="eastAsia"/>
                <w:sz w:val="21"/>
                <w:szCs w:val="21"/>
              </w:rPr>
            </w:pP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访问控制信息完整性</w:t>
            </w:r>
          </w:p>
        </w:tc>
        <w:tc>
          <w:tcPr>
            <w:tcW w:w="1891" w:type="pct"/>
            <w:vAlign w:val="center"/>
          </w:tcPr>
          <w:p>
            <w:pPr>
              <w:widowControl/>
              <w:ind w:firstLine="0" w:firstLineChars="0"/>
              <w:rPr>
                <w:rFonts w:hint="eastAsia"/>
                <w:sz w:val="21"/>
                <w:szCs w:val="21"/>
              </w:rPr>
            </w:pPr>
            <w:r>
              <w:rPr>
                <w:rFonts w:hint="eastAsia"/>
                <w:sz w:val="21"/>
                <w:szCs w:val="21"/>
              </w:rPr>
              <w:t>保护应用系统的访问控制信息免受非法篡改</w:t>
            </w:r>
          </w:p>
        </w:tc>
        <w:tc>
          <w:tcPr>
            <w:tcW w:w="1126" w:type="pct"/>
            <w:vAlign w:val="center"/>
          </w:tcPr>
          <w:p>
            <w:pPr>
              <w:widowControl/>
              <w:ind w:firstLine="420"/>
              <w:jc w:val="center"/>
              <w:rPr>
                <w:rFonts w:hint="eastAsia"/>
                <w:sz w:val="21"/>
                <w:szCs w:val="21"/>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ind w:firstLine="420"/>
              <w:jc w:val="left"/>
              <w:rPr>
                <w:rFonts w:hint="eastAsia"/>
                <w:sz w:val="21"/>
                <w:szCs w:val="21"/>
              </w:rPr>
            </w:pP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重要信息资源安全标记完整性</w:t>
            </w:r>
          </w:p>
        </w:tc>
        <w:tc>
          <w:tcPr>
            <w:tcW w:w="1891" w:type="pct"/>
            <w:vAlign w:val="center"/>
          </w:tcPr>
          <w:p>
            <w:pPr>
              <w:widowControl/>
              <w:ind w:firstLine="0" w:firstLineChars="0"/>
              <w:rPr>
                <w:rFonts w:hint="eastAsia"/>
                <w:sz w:val="21"/>
                <w:szCs w:val="21"/>
              </w:rPr>
            </w:pPr>
            <w:r>
              <w:rPr>
                <w:rFonts w:hint="eastAsia"/>
                <w:sz w:val="21"/>
                <w:szCs w:val="21"/>
              </w:rPr>
              <w:t>不适用</w:t>
            </w:r>
          </w:p>
        </w:tc>
        <w:tc>
          <w:tcPr>
            <w:tcW w:w="1126" w:type="pct"/>
            <w:vAlign w:val="center"/>
          </w:tcPr>
          <w:p>
            <w:pPr>
              <w:widowControl/>
              <w:ind w:firstLine="0" w:firstLineChars="0"/>
              <w:rPr>
                <w:rFonts w:hint="eastAsia"/>
                <w:sz w:val="21"/>
                <w:szCs w:val="21"/>
              </w:rPr>
            </w:pPr>
            <w:r>
              <w:rPr>
                <w:rFonts w:hint="eastAsia"/>
                <w:sz w:val="21"/>
                <w:szCs w:val="21"/>
              </w:rPr>
              <w:t>无重要信息资源安全标记</w:t>
            </w: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ind w:firstLine="420"/>
              <w:jc w:val="left"/>
              <w:rPr>
                <w:rFonts w:hint="eastAsia"/>
                <w:sz w:val="21"/>
                <w:szCs w:val="21"/>
              </w:rPr>
            </w:pP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重要数据传输机密性</w:t>
            </w:r>
          </w:p>
        </w:tc>
        <w:tc>
          <w:tcPr>
            <w:tcW w:w="1891" w:type="pct"/>
            <w:vAlign w:val="center"/>
          </w:tcPr>
          <w:p>
            <w:pPr>
              <w:widowControl/>
              <w:ind w:firstLine="0" w:firstLineChars="0"/>
              <w:rPr>
                <w:rFonts w:hint="eastAsia"/>
                <w:sz w:val="21"/>
                <w:szCs w:val="21"/>
              </w:rPr>
            </w:pPr>
            <w:r>
              <w:rPr>
                <w:rFonts w:hint="eastAsia"/>
                <w:sz w:val="21"/>
                <w:szCs w:val="21"/>
              </w:rPr>
              <w:t>保护用户鉴别信息等重要数据传输的机密性</w:t>
            </w:r>
          </w:p>
        </w:tc>
        <w:tc>
          <w:tcPr>
            <w:tcW w:w="1126" w:type="pct"/>
            <w:vAlign w:val="center"/>
          </w:tcPr>
          <w:p>
            <w:pPr>
              <w:widowControl/>
              <w:ind w:firstLine="420"/>
              <w:jc w:val="center"/>
              <w:rPr>
                <w:rFonts w:hint="eastAsia"/>
                <w:sz w:val="21"/>
                <w:szCs w:val="21"/>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ind w:firstLine="420"/>
              <w:jc w:val="left"/>
              <w:rPr>
                <w:rFonts w:hint="eastAsia"/>
                <w:sz w:val="21"/>
                <w:szCs w:val="21"/>
              </w:rPr>
            </w:pP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重要数据存储机密性</w:t>
            </w:r>
          </w:p>
        </w:tc>
        <w:tc>
          <w:tcPr>
            <w:tcW w:w="1891" w:type="pct"/>
            <w:vAlign w:val="center"/>
          </w:tcPr>
          <w:p>
            <w:pPr>
              <w:widowControl/>
              <w:ind w:firstLine="0" w:firstLineChars="0"/>
              <w:rPr>
                <w:rFonts w:hint="eastAsia"/>
                <w:sz w:val="21"/>
                <w:szCs w:val="21"/>
              </w:rPr>
            </w:pPr>
            <w:r>
              <w:rPr>
                <w:rFonts w:hint="eastAsia"/>
                <w:sz w:val="21"/>
                <w:szCs w:val="21"/>
              </w:rPr>
              <w:t>保护用户鉴别信息等重要数据存储的机密性</w:t>
            </w:r>
          </w:p>
        </w:tc>
        <w:tc>
          <w:tcPr>
            <w:tcW w:w="1126" w:type="pct"/>
            <w:vAlign w:val="center"/>
          </w:tcPr>
          <w:p>
            <w:pPr>
              <w:widowControl/>
              <w:ind w:firstLine="420"/>
              <w:jc w:val="center"/>
              <w:rPr>
                <w:rFonts w:hint="eastAsia"/>
                <w:sz w:val="21"/>
                <w:szCs w:val="21"/>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ind w:firstLine="420"/>
              <w:jc w:val="left"/>
              <w:rPr>
                <w:rFonts w:hint="eastAsia"/>
                <w:sz w:val="21"/>
                <w:szCs w:val="21"/>
              </w:rPr>
            </w:pP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重要数据传输完整性</w:t>
            </w:r>
          </w:p>
        </w:tc>
        <w:tc>
          <w:tcPr>
            <w:tcW w:w="1891" w:type="pct"/>
            <w:vAlign w:val="center"/>
          </w:tcPr>
          <w:p>
            <w:pPr>
              <w:widowControl/>
              <w:ind w:firstLine="0" w:firstLineChars="0"/>
              <w:rPr>
                <w:rFonts w:hint="eastAsia"/>
                <w:sz w:val="21"/>
                <w:szCs w:val="21"/>
              </w:rPr>
            </w:pPr>
            <w:r>
              <w:rPr>
                <w:rFonts w:hint="eastAsia"/>
                <w:sz w:val="21"/>
                <w:szCs w:val="21"/>
              </w:rPr>
              <w:t>保护用户鉴别信息等重要数据传输的完整性</w:t>
            </w:r>
          </w:p>
        </w:tc>
        <w:tc>
          <w:tcPr>
            <w:tcW w:w="1126" w:type="pct"/>
            <w:vAlign w:val="center"/>
          </w:tcPr>
          <w:p>
            <w:pPr>
              <w:widowControl/>
              <w:ind w:firstLine="420"/>
              <w:jc w:val="center"/>
              <w:rPr>
                <w:rFonts w:hint="eastAsia"/>
                <w:sz w:val="21"/>
                <w:szCs w:val="21"/>
              </w:rPr>
            </w:pPr>
          </w:p>
        </w:tc>
      </w:tr>
      <w:tr>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pPr>
              <w:widowControl/>
              <w:ind w:firstLine="420"/>
              <w:jc w:val="left"/>
              <w:rPr>
                <w:rFonts w:hint="eastAsia"/>
                <w:sz w:val="21"/>
                <w:szCs w:val="21"/>
              </w:rPr>
            </w:pPr>
          </w:p>
        </w:tc>
        <w:tc>
          <w:tcPr>
            <w:tcW w:w="1114" w:type="pct"/>
            <w:vAlign w:val="center"/>
          </w:tcPr>
          <w:p>
            <w:pPr>
              <w:pStyle w:val="115"/>
              <w:ind w:firstLine="0" w:firstLineChars="0"/>
              <w:rPr>
                <w:rFonts w:hint="eastAsia" w:hAnsi="宋体" w:cs="Times New Roman"/>
                <w:kern w:val="2"/>
                <w:szCs w:val="21"/>
              </w:rPr>
            </w:pPr>
            <w:r>
              <w:rPr>
                <w:rFonts w:hint="eastAsia" w:hAnsi="宋体" w:cs="Times New Roman"/>
                <w:kern w:val="2"/>
                <w:szCs w:val="21"/>
              </w:rPr>
              <w:t>重要数据存储完整性</w:t>
            </w:r>
          </w:p>
        </w:tc>
        <w:tc>
          <w:tcPr>
            <w:tcW w:w="1891" w:type="pct"/>
            <w:vAlign w:val="center"/>
          </w:tcPr>
          <w:p>
            <w:pPr>
              <w:widowControl/>
              <w:ind w:firstLine="0" w:firstLineChars="0"/>
              <w:rPr>
                <w:rFonts w:hint="eastAsia"/>
                <w:sz w:val="21"/>
                <w:szCs w:val="21"/>
              </w:rPr>
            </w:pPr>
            <w:r>
              <w:rPr>
                <w:rFonts w:hint="eastAsia"/>
                <w:sz w:val="21"/>
                <w:szCs w:val="21"/>
              </w:rPr>
              <w:t>保护用户鉴别信息等重要数据存储的完整性</w:t>
            </w:r>
          </w:p>
        </w:tc>
        <w:tc>
          <w:tcPr>
            <w:tcW w:w="1126" w:type="pct"/>
            <w:vAlign w:val="center"/>
          </w:tcPr>
          <w:p>
            <w:pPr>
              <w:widowControl/>
              <w:ind w:firstLine="420"/>
              <w:jc w:val="center"/>
              <w:rPr>
                <w:rFonts w:hint="eastAsia"/>
                <w:sz w:val="21"/>
                <w:szCs w:val="21"/>
              </w:rPr>
            </w:pPr>
          </w:p>
        </w:tc>
      </w:tr>
    </w:tbl>
    <w:p>
      <w:pPr>
        <w:pStyle w:val="3"/>
        <w:rPr>
          <w:rFonts w:hint="eastAsia"/>
        </w:rPr>
      </w:pPr>
      <w:r>
        <w:rPr>
          <w:rFonts w:hint="eastAsia"/>
        </w:rPr>
        <w:t>技术文件要求</w:t>
      </w:r>
    </w:p>
    <w:p>
      <w:pPr>
        <w:rPr>
          <w:rFonts w:hint="eastAsia"/>
        </w:rPr>
      </w:pPr>
      <w:r>
        <w:rPr>
          <w:rFonts w:hint="eastAsia"/>
        </w:rPr>
        <w:t>投标人提供的书面技术资料应能确保系统正常运行所需的管理、运营及维护有关的全套文件。技术文件应该全面、完整、详细。投标人提供的技术文件至少应包括：</w:t>
      </w:r>
    </w:p>
    <w:p>
      <w:pPr>
        <w:rPr>
          <w:rFonts w:hint="eastAsia"/>
        </w:rPr>
      </w:pPr>
      <w:r>
        <w:rPr>
          <w:rFonts w:hint="eastAsia"/>
        </w:rPr>
        <w:t>－</w:t>
      </w:r>
      <w:r>
        <w:t xml:space="preserve"> 系统说明文件； </w:t>
      </w:r>
    </w:p>
    <w:p>
      <w:pPr>
        <w:rPr>
          <w:rFonts w:hint="eastAsia"/>
        </w:rPr>
      </w:pPr>
      <w:r>
        <w:rPr>
          <w:rFonts w:hint="eastAsia"/>
        </w:rPr>
        <w:t>－</w:t>
      </w:r>
      <w:r>
        <w:t xml:space="preserve"> 技术手册(安装、测试、操作、维护、故障排除等)； </w:t>
      </w:r>
    </w:p>
    <w:p>
      <w:pPr>
        <w:rPr>
          <w:rFonts w:hint="eastAsia"/>
        </w:rPr>
      </w:pPr>
      <w:r>
        <w:rPr>
          <w:rFonts w:hint="eastAsia"/>
        </w:rPr>
        <w:t>－</w:t>
      </w:r>
      <w:r>
        <w:t xml:space="preserve"> 项目文档，应该包括：</w:t>
      </w:r>
    </w:p>
    <w:p>
      <w:pPr>
        <w:ind w:left="360"/>
        <w:rPr>
          <w:rFonts w:hint="eastAsia"/>
        </w:rPr>
      </w:pPr>
      <w:r>
        <w:t>(1)软件需求说明书</w:t>
      </w:r>
    </w:p>
    <w:p>
      <w:pPr>
        <w:ind w:left="360"/>
        <w:rPr>
          <w:rFonts w:hint="eastAsia"/>
        </w:rPr>
      </w:pPr>
      <w:r>
        <w:t>(2)</w:t>
      </w:r>
      <w:r>
        <w:tab/>
      </w:r>
      <w:r>
        <w:t>系统总体设计说明书</w:t>
      </w:r>
    </w:p>
    <w:p>
      <w:pPr>
        <w:ind w:left="360"/>
        <w:rPr>
          <w:rFonts w:hint="eastAsia"/>
        </w:rPr>
      </w:pPr>
      <w:r>
        <w:t>(3)</w:t>
      </w:r>
      <w:r>
        <w:tab/>
      </w:r>
      <w:r>
        <w:t>应用软件功能清单</w:t>
      </w:r>
    </w:p>
    <w:p>
      <w:pPr>
        <w:rPr>
          <w:rFonts w:hint="eastAsia"/>
        </w:rPr>
      </w:pPr>
      <w:r>
        <w:rPr>
          <w:rFonts w:hint="eastAsia"/>
        </w:rPr>
        <w:t>提供全套技术文件纸介质</w:t>
      </w:r>
      <w:r>
        <w:t>3套以及电子文件1套。</w:t>
      </w:r>
    </w:p>
    <w:p>
      <w:pPr>
        <w:pStyle w:val="2"/>
        <w:rPr>
          <w:rFonts w:hint="eastAsia"/>
        </w:rPr>
      </w:pPr>
      <w:r>
        <w:rPr>
          <w:rFonts w:hint="eastAsia"/>
        </w:rPr>
        <w:t>供应商管理要求</w:t>
      </w:r>
      <w:bookmarkEnd w:id="38"/>
    </w:p>
    <w:p>
      <w:pPr>
        <w:pStyle w:val="80"/>
        <w:ind w:firstLine="480"/>
        <w:rPr>
          <w:rFonts w:hint="eastAsia"/>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pPr>
        <w:pStyle w:val="80"/>
        <w:ind w:firstLine="480"/>
        <w:rPr>
          <w:rFonts w:hint="eastAsia"/>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pPr>
        <w:pStyle w:val="80"/>
        <w:ind w:firstLine="480"/>
        <w:rPr>
          <w:rFonts w:hint="eastAsia"/>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pPr>
        <w:pStyle w:val="80"/>
        <w:ind w:firstLine="480"/>
        <w:rPr>
          <w:rFonts w:hint="eastAsia"/>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pPr>
        <w:pStyle w:val="80"/>
        <w:ind w:firstLine="480"/>
        <w:rPr>
          <w:rFonts w:hint="eastAsia"/>
          <w:sz w:val="24"/>
          <w:szCs w:val="24"/>
        </w:rPr>
      </w:pPr>
      <w:r>
        <w:rPr>
          <w:rFonts w:hint="eastAsia"/>
          <w:sz w:val="24"/>
          <w:szCs w:val="24"/>
        </w:rPr>
        <w:t>5、中标人在项目实施期间必须遵守采购人的规章制度并提供实施人员名单。</w:t>
      </w:r>
    </w:p>
    <w:p>
      <w:pPr>
        <w:pStyle w:val="80"/>
        <w:ind w:firstLine="480"/>
        <w:rPr>
          <w:rFonts w:hint="eastAsia"/>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pPr>
        <w:pStyle w:val="80"/>
        <w:ind w:firstLine="480"/>
        <w:rPr>
          <w:rFonts w:hint="eastAsia"/>
        </w:rPr>
      </w:pPr>
      <w:r>
        <w:rPr>
          <w:rFonts w:hint="eastAsia"/>
          <w:sz w:val="24"/>
          <w:szCs w:val="24"/>
        </w:rPr>
        <w:t>7、本项目软件开发及调试将纳入采购人的管理范围，中标人在此过程中须服从上述单位的管理协调。</w:t>
      </w: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Wonder Arial">
    <w:altName w:val="DejaVu Sans"/>
    <w:panose1 w:val="00000500000000000000"/>
    <w:charset w:val="00"/>
    <w:family w:val="auto"/>
    <w:pitch w:val="default"/>
    <w:sig w:usb0="00000000" w:usb1="00000000" w:usb2="00000000" w:usb3="00000000" w:csb0="00000011" w:csb1="00000000"/>
  </w:font>
  <w:font w:name="等线 Light">
    <w:altName w:val="华文中宋"/>
    <w:panose1 w:val="02010600030101010101"/>
    <w:charset w:val="86"/>
    <w:family w:val="auto"/>
    <w:pitch w:val="default"/>
    <w:sig w:usb0="00000000" w:usb1="00000000" w:usb2="00000016" w:usb3="00000000" w:csb0="0004000F" w:csb1="00000000"/>
  </w:font>
  <w:font w:name="Snack Time">
    <w:altName w:val="国标宋体-超大字符集"/>
    <w:panose1 w:val="00000000000000000000"/>
    <w:charset w:val="00"/>
    <w:family w:val="auto"/>
    <w:pitch w:val="default"/>
    <w:sig w:usb0="00000000" w:usb1="00000000" w:usb2="00000000" w:usb3="00000000" w:csb0="00000193" w:csb1="00000000"/>
  </w:font>
  <w:font w:name="国标宋体-超大字符集">
    <w:panose1 w:val="03000509000000000000"/>
    <w:charset w:val="86"/>
    <w:family w:val="auto"/>
    <w:pitch w:val="default"/>
    <w:sig w:usb0="00000001" w:usb1="08000000" w:usb2="00000000" w:usb3="00000000" w:csb0="00040001"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DejaVu Sans"/>
    <w:panose1 w:val="020B0604020202020204"/>
    <w:charset w:val="00"/>
    <w:family w:val="swiss"/>
    <w:pitch w:val="default"/>
    <w:sig w:usb0="00000000" w:usb1="00000000" w:usb2="00000029" w:usb3="00000000" w:csb0="200101FF" w:csb1="20280000"/>
  </w:font>
  <w:font w:name="方正楷体_GB2312">
    <w:altName w:val="方正楷体_GBK"/>
    <w:panose1 w:val="02000000000000000000"/>
    <w:charset w:val="86"/>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Century">
    <w:altName w:val="DejaVu Serif"/>
    <w:panose1 w:val="02040604050505020304"/>
    <w:charset w:val="00"/>
    <w:family w:val="roman"/>
    <w:pitch w:val="default"/>
    <w:sig w:usb0="00000000" w:usb1="00000000" w:usb2="00000000" w:usb3="00000000" w:csb0="2000009F" w:csb1="DFD70000"/>
  </w:font>
  <w:font w:name="DejaVu Serif">
    <w:panose1 w:val="02060603050605020204"/>
    <w:charset w:val="00"/>
    <w:family w:val="auto"/>
    <w:pitch w:val="default"/>
    <w:sig w:usb0="E50006FF" w:usb1="5200F9FB" w:usb2="0A040020" w:usb3="00000000" w:csb0="6000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rPr>
    </w:pPr>
    <w:r>
      <w:fldChar w:fldCharType="begin"/>
    </w:r>
    <w:r>
      <w:instrText xml:space="preserve">PAGE   \* MERGEFORMAT</w:instrText>
    </w:r>
    <w:r>
      <w:fldChar w:fldCharType="separate"/>
    </w:r>
    <w:r>
      <w:rPr>
        <w:lang w:val="zh-CN"/>
      </w:rPr>
      <w:t>11</w:t>
    </w:r>
    <w:r>
      <w:rPr>
        <w:lang w:val="zh-CN"/>
      </w:rPr>
      <w:fldChar w:fldCharType="end"/>
    </w:r>
  </w:p>
  <w:p>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BCCE9CE6"/>
    <w:multiLevelType w:val="singleLevel"/>
    <w:tmpl w:val="BCCE9CE6"/>
    <w:lvl w:ilvl="0" w:tentative="0">
      <w:start w:val="2"/>
      <w:numFmt w:val="decimal"/>
      <w:suff w:val="nothing"/>
      <w:lvlText w:val="%1、"/>
      <w:lvlJc w:val="left"/>
      <w:pPr>
        <w:ind w:left="-2"/>
      </w:pPr>
    </w:lvl>
  </w:abstractNum>
  <w:abstractNum w:abstractNumId="2">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5954B9B"/>
    <w:multiLevelType w:val="multilevel"/>
    <w:tmpl w:val="65954B9B"/>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C0"/>
    <w:rsid w:val="0000005A"/>
    <w:rsid w:val="00000AED"/>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0E5A"/>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F7"/>
    <w:rsid w:val="000D0AB2"/>
    <w:rsid w:val="000D225C"/>
    <w:rsid w:val="000D36F2"/>
    <w:rsid w:val="000D4B26"/>
    <w:rsid w:val="000D74DB"/>
    <w:rsid w:val="000E24D6"/>
    <w:rsid w:val="000E6072"/>
    <w:rsid w:val="000E6D61"/>
    <w:rsid w:val="000E7A23"/>
    <w:rsid w:val="000F1C29"/>
    <w:rsid w:val="000F1E9E"/>
    <w:rsid w:val="000F2B10"/>
    <w:rsid w:val="000F3F72"/>
    <w:rsid w:val="000F7BBE"/>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0D0"/>
    <w:rsid w:val="001264F6"/>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167F"/>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44"/>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C50"/>
    <w:rsid w:val="00257D64"/>
    <w:rsid w:val="0026340A"/>
    <w:rsid w:val="002654EA"/>
    <w:rsid w:val="002704EA"/>
    <w:rsid w:val="0027061A"/>
    <w:rsid w:val="002719CC"/>
    <w:rsid w:val="002730C5"/>
    <w:rsid w:val="0027337C"/>
    <w:rsid w:val="0027602B"/>
    <w:rsid w:val="00277F5E"/>
    <w:rsid w:val="00280084"/>
    <w:rsid w:val="00280490"/>
    <w:rsid w:val="002842E2"/>
    <w:rsid w:val="002860B8"/>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879FA"/>
    <w:rsid w:val="0039080B"/>
    <w:rsid w:val="0039326E"/>
    <w:rsid w:val="00394D13"/>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C7DC9"/>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17E57"/>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A05"/>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1FC9"/>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10A"/>
    <w:rsid w:val="00566DD6"/>
    <w:rsid w:val="005714EF"/>
    <w:rsid w:val="00571CEC"/>
    <w:rsid w:val="00572FCE"/>
    <w:rsid w:val="005750DB"/>
    <w:rsid w:val="005759FC"/>
    <w:rsid w:val="00575B85"/>
    <w:rsid w:val="00576DB9"/>
    <w:rsid w:val="0057738F"/>
    <w:rsid w:val="005805E4"/>
    <w:rsid w:val="0058202F"/>
    <w:rsid w:val="005841E3"/>
    <w:rsid w:val="00584221"/>
    <w:rsid w:val="00584EB6"/>
    <w:rsid w:val="00586B68"/>
    <w:rsid w:val="0058774E"/>
    <w:rsid w:val="005878CF"/>
    <w:rsid w:val="00590CA0"/>
    <w:rsid w:val="00594F5E"/>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6EB4"/>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4961"/>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68E"/>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17906"/>
    <w:rsid w:val="007260CC"/>
    <w:rsid w:val="00726543"/>
    <w:rsid w:val="0073353E"/>
    <w:rsid w:val="00736633"/>
    <w:rsid w:val="0074150D"/>
    <w:rsid w:val="00741EE7"/>
    <w:rsid w:val="00743A79"/>
    <w:rsid w:val="007444D4"/>
    <w:rsid w:val="0074594D"/>
    <w:rsid w:val="007459F3"/>
    <w:rsid w:val="00746E35"/>
    <w:rsid w:val="007470E2"/>
    <w:rsid w:val="0075232F"/>
    <w:rsid w:val="00753132"/>
    <w:rsid w:val="007550B3"/>
    <w:rsid w:val="00760451"/>
    <w:rsid w:val="0077182A"/>
    <w:rsid w:val="00771913"/>
    <w:rsid w:val="00772718"/>
    <w:rsid w:val="00774559"/>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2EC"/>
    <w:rsid w:val="007E595C"/>
    <w:rsid w:val="007E59A5"/>
    <w:rsid w:val="007E72E0"/>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41C5"/>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0860"/>
    <w:rsid w:val="0096269B"/>
    <w:rsid w:val="00963FB0"/>
    <w:rsid w:val="00964C86"/>
    <w:rsid w:val="00965E82"/>
    <w:rsid w:val="009664BB"/>
    <w:rsid w:val="009669F8"/>
    <w:rsid w:val="00966F89"/>
    <w:rsid w:val="00967ABC"/>
    <w:rsid w:val="00973B5D"/>
    <w:rsid w:val="0097755E"/>
    <w:rsid w:val="00981467"/>
    <w:rsid w:val="00981C24"/>
    <w:rsid w:val="009852F6"/>
    <w:rsid w:val="00985DE5"/>
    <w:rsid w:val="00986254"/>
    <w:rsid w:val="0098729E"/>
    <w:rsid w:val="009875CF"/>
    <w:rsid w:val="00990067"/>
    <w:rsid w:val="00992977"/>
    <w:rsid w:val="009937D4"/>
    <w:rsid w:val="009939B8"/>
    <w:rsid w:val="00993C78"/>
    <w:rsid w:val="009948C7"/>
    <w:rsid w:val="00995850"/>
    <w:rsid w:val="0099796C"/>
    <w:rsid w:val="009A194E"/>
    <w:rsid w:val="009A1EA2"/>
    <w:rsid w:val="009A209E"/>
    <w:rsid w:val="009A3FD7"/>
    <w:rsid w:val="009A6652"/>
    <w:rsid w:val="009A74FD"/>
    <w:rsid w:val="009B1314"/>
    <w:rsid w:val="009B25D8"/>
    <w:rsid w:val="009B42E3"/>
    <w:rsid w:val="009B5859"/>
    <w:rsid w:val="009C6D07"/>
    <w:rsid w:val="009C7CEC"/>
    <w:rsid w:val="009D154D"/>
    <w:rsid w:val="009D18EF"/>
    <w:rsid w:val="009D351F"/>
    <w:rsid w:val="009D3BE8"/>
    <w:rsid w:val="009D44E0"/>
    <w:rsid w:val="009D573B"/>
    <w:rsid w:val="009D59A0"/>
    <w:rsid w:val="009D716A"/>
    <w:rsid w:val="009E1AC4"/>
    <w:rsid w:val="009E20B8"/>
    <w:rsid w:val="009E29A0"/>
    <w:rsid w:val="009E41B5"/>
    <w:rsid w:val="009E55D7"/>
    <w:rsid w:val="009E627C"/>
    <w:rsid w:val="009E7436"/>
    <w:rsid w:val="009F110B"/>
    <w:rsid w:val="009F1498"/>
    <w:rsid w:val="009F1E9F"/>
    <w:rsid w:val="009F3793"/>
    <w:rsid w:val="009F54F2"/>
    <w:rsid w:val="00A0056B"/>
    <w:rsid w:val="00A01657"/>
    <w:rsid w:val="00A01C65"/>
    <w:rsid w:val="00A0213D"/>
    <w:rsid w:val="00A04C73"/>
    <w:rsid w:val="00A063F2"/>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6F10"/>
    <w:rsid w:val="00A87AF2"/>
    <w:rsid w:val="00A90B23"/>
    <w:rsid w:val="00A93193"/>
    <w:rsid w:val="00A93C2B"/>
    <w:rsid w:val="00A94556"/>
    <w:rsid w:val="00A974CB"/>
    <w:rsid w:val="00A97EE6"/>
    <w:rsid w:val="00AA1EAC"/>
    <w:rsid w:val="00AA45E2"/>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37D86"/>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95223"/>
    <w:rsid w:val="00C95755"/>
    <w:rsid w:val="00CA02E1"/>
    <w:rsid w:val="00CA15DA"/>
    <w:rsid w:val="00CA224E"/>
    <w:rsid w:val="00CA26F8"/>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36F2"/>
    <w:rsid w:val="00CE3786"/>
    <w:rsid w:val="00CE4027"/>
    <w:rsid w:val="00CE47CC"/>
    <w:rsid w:val="00CE68F6"/>
    <w:rsid w:val="00CE7E27"/>
    <w:rsid w:val="00CF22AC"/>
    <w:rsid w:val="00CF2F0A"/>
    <w:rsid w:val="00CF7221"/>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14B09"/>
    <w:rsid w:val="00D203D1"/>
    <w:rsid w:val="00D2057A"/>
    <w:rsid w:val="00D21D98"/>
    <w:rsid w:val="00D2317F"/>
    <w:rsid w:val="00D231A9"/>
    <w:rsid w:val="00D24391"/>
    <w:rsid w:val="00D2472B"/>
    <w:rsid w:val="00D253DD"/>
    <w:rsid w:val="00D26D37"/>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65CE1"/>
    <w:rsid w:val="00D669F2"/>
    <w:rsid w:val="00D70F55"/>
    <w:rsid w:val="00D70FA5"/>
    <w:rsid w:val="00D74171"/>
    <w:rsid w:val="00D7474C"/>
    <w:rsid w:val="00D8032C"/>
    <w:rsid w:val="00D80CE2"/>
    <w:rsid w:val="00D83080"/>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0EB7"/>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0C9D"/>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2612"/>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B4B"/>
    <w:rsid w:val="00EB5FC3"/>
    <w:rsid w:val="00EB6DA9"/>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16C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84"/>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00C6"/>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283C"/>
    <w:rsid w:val="00FA458B"/>
    <w:rsid w:val="00FA52EF"/>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408B"/>
    <w:rsid w:val="00FF43E1"/>
    <w:rsid w:val="03430854"/>
    <w:rsid w:val="039F5FA6"/>
    <w:rsid w:val="05890C8A"/>
    <w:rsid w:val="06693D01"/>
    <w:rsid w:val="07D40180"/>
    <w:rsid w:val="09305ADA"/>
    <w:rsid w:val="0ABD7EBC"/>
    <w:rsid w:val="0C650C95"/>
    <w:rsid w:val="0C981954"/>
    <w:rsid w:val="0CE9505C"/>
    <w:rsid w:val="0D486A71"/>
    <w:rsid w:val="0D6068DB"/>
    <w:rsid w:val="0E8013B7"/>
    <w:rsid w:val="10D604C6"/>
    <w:rsid w:val="11B515E0"/>
    <w:rsid w:val="13A53267"/>
    <w:rsid w:val="13F970D2"/>
    <w:rsid w:val="14AA4136"/>
    <w:rsid w:val="150B6499"/>
    <w:rsid w:val="163A420B"/>
    <w:rsid w:val="16656DAE"/>
    <w:rsid w:val="181C7424"/>
    <w:rsid w:val="18DB7093"/>
    <w:rsid w:val="19413B26"/>
    <w:rsid w:val="1C6D3688"/>
    <w:rsid w:val="1C88053B"/>
    <w:rsid w:val="1CC63D0A"/>
    <w:rsid w:val="1DC2081A"/>
    <w:rsid w:val="1DD94266"/>
    <w:rsid w:val="1F9D0947"/>
    <w:rsid w:val="1FFB29C6"/>
    <w:rsid w:val="20270B9D"/>
    <w:rsid w:val="20D62ADF"/>
    <w:rsid w:val="22AF3620"/>
    <w:rsid w:val="22E70AD4"/>
    <w:rsid w:val="24F1508D"/>
    <w:rsid w:val="25D73A49"/>
    <w:rsid w:val="261F4E08"/>
    <w:rsid w:val="266F634F"/>
    <w:rsid w:val="267C13D7"/>
    <w:rsid w:val="286E4D1F"/>
    <w:rsid w:val="291059EA"/>
    <w:rsid w:val="29247BCE"/>
    <w:rsid w:val="2BBF12EC"/>
    <w:rsid w:val="2BC649D9"/>
    <w:rsid w:val="2CD72153"/>
    <w:rsid w:val="2D60068C"/>
    <w:rsid w:val="2E1A0FAB"/>
    <w:rsid w:val="2ECC4AEA"/>
    <w:rsid w:val="30326B7A"/>
    <w:rsid w:val="3179497F"/>
    <w:rsid w:val="31A4609F"/>
    <w:rsid w:val="32A66EEE"/>
    <w:rsid w:val="32F95B01"/>
    <w:rsid w:val="3515160D"/>
    <w:rsid w:val="363A56B3"/>
    <w:rsid w:val="3A282FB0"/>
    <w:rsid w:val="3B424545"/>
    <w:rsid w:val="3C3420E0"/>
    <w:rsid w:val="3C7D00D8"/>
    <w:rsid w:val="3CA06C0C"/>
    <w:rsid w:val="3EA25851"/>
    <w:rsid w:val="3F6C3757"/>
    <w:rsid w:val="405D6A10"/>
    <w:rsid w:val="41DA6594"/>
    <w:rsid w:val="423050F8"/>
    <w:rsid w:val="434967F9"/>
    <w:rsid w:val="43F91288"/>
    <w:rsid w:val="44474DD5"/>
    <w:rsid w:val="444C1A75"/>
    <w:rsid w:val="44561E1E"/>
    <w:rsid w:val="44A3526F"/>
    <w:rsid w:val="44B032F4"/>
    <w:rsid w:val="45155348"/>
    <w:rsid w:val="457D25F7"/>
    <w:rsid w:val="468341CD"/>
    <w:rsid w:val="472C2589"/>
    <w:rsid w:val="47634ABA"/>
    <w:rsid w:val="4A1E7A97"/>
    <w:rsid w:val="4A760AEB"/>
    <w:rsid w:val="4B6776B0"/>
    <w:rsid w:val="4C2061DD"/>
    <w:rsid w:val="4C8A2E46"/>
    <w:rsid w:val="4F3162CA"/>
    <w:rsid w:val="50D95873"/>
    <w:rsid w:val="526102AF"/>
    <w:rsid w:val="528444DA"/>
    <w:rsid w:val="537745D5"/>
    <w:rsid w:val="54383D87"/>
    <w:rsid w:val="5467216F"/>
    <w:rsid w:val="55126AEC"/>
    <w:rsid w:val="552306F6"/>
    <w:rsid w:val="556F124F"/>
    <w:rsid w:val="558C043F"/>
    <w:rsid w:val="56707D61"/>
    <w:rsid w:val="56C87B9D"/>
    <w:rsid w:val="56E352D5"/>
    <w:rsid w:val="577566B2"/>
    <w:rsid w:val="57E435FE"/>
    <w:rsid w:val="57FF6C51"/>
    <w:rsid w:val="582D0655"/>
    <w:rsid w:val="5951205C"/>
    <w:rsid w:val="59C654B6"/>
    <w:rsid w:val="59D079E8"/>
    <w:rsid w:val="59D40847"/>
    <w:rsid w:val="5AE37F25"/>
    <w:rsid w:val="5B356E64"/>
    <w:rsid w:val="5B6308E7"/>
    <w:rsid w:val="5CB23D47"/>
    <w:rsid w:val="5CC073F4"/>
    <w:rsid w:val="5DB41FDD"/>
    <w:rsid w:val="5FAF09C4"/>
    <w:rsid w:val="608C4642"/>
    <w:rsid w:val="62795572"/>
    <w:rsid w:val="62D13015"/>
    <w:rsid w:val="64072841"/>
    <w:rsid w:val="64DD6417"/>
    <w:rsid w:val="66004745"/>
    <w:rsid w:val="66552ACF"/>
    <w:rsid w:val="69666CA6"/>
    <w:rsid w:val="69CCBE3D"/>
    <w:rsid w:val="6A0F7D19"/>
    <w:rsid w:val="6A567F20"/>
    <w:rsid w:val="6B121F96"/>
    <w:rsid w:val="6B9749D8"/>
    <w:rsid w:val="6CD97953"/>
    <w:rsid w:val="6ED30FD7"/>
    <w:rsid w:val="6F5A4099"/>
    <w:rsid w:val="71257C6E"/>
    <w:rsid w:val="713B0DF7"/>
    <w:rsid w:val="7194738B"/>
    <w:rsid w:val="71BF55B2"/>
    <w:rsid w:val="727D78FD"/>
    <w:rsid w:val="73CC655F"/>
    <w:rsid w:val="74B86E6E"/>
    <w:rsid w:val="752C3253"/>
    <w:rsid w:val="75957445"/>
    <w:rsid w:val="75D01AE1"/>
    <w:rsid w:val="75DD3207"/>
    <w:rsid w:val="77524363"/>
    <w:rsid w:val="77B917B5"/>
    <w:rsid w:val="780E5B30"/>
    <w:rsid w:val="781B69DB"/>
    <w:rsid w:val="78703975"/>
    <w:rsid w:val="78C0027C"/>
    <w:rsid w:val="7902536C"/>
    <w:rsid w:val="7974468E"/>
    <w:rsid w:val="7BE420FD"/>
    <w:rsid w:val="7C2A5153"/>
    <w:rsid w:val="7CC3612B"/>
    <w:rsid w:val="7D0D296B"/>
    <w:rsid w:val="7D4E0B54"/>
    <w:rsid w:val="7D503E78"/>
    <w:rsid w:val="7D853842"/>
    <w:rsid w:val="7E0160D4"/>
    <w:rsid w:val="7EC16AFC"/>
    <w:rsid w:val="7EE3BD48"/>
    <w:rsid w:val="FD6DFF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8"/>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Wonder Arial" w:hAnsi="Wonder Arial" w:eastAsia="Wonder Arial"/>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Snack Time" w:hAnsi="Snack Time"/>
      <w:sz w:val="24"/>
      <w:szCs w:val="24"/>
      <w:lang w:bidi="en-US"/>
    </w:rPr>
  </w:style>
  <w:style w:type="paragraph" w:customStyle="1" w:styleId="64">
    <w:name w:val="*正文"/>
    <w:basedOn w:val="1"/>
    <w:link w:val="63"/>
    <w:qFormat/>
    <w:uiPriority w:val="0"/>
    <w:pPr>
      <w:widowControl/>
      <w:ind w:firstLine="200"/>
      <w:contextualSpacing/>
    </w:pPr>
    <w:rPr>
      <w:rFonts w:ascii="Snack Time" w:hAnsi="Snack 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方正楷体_GB2312" w:eastAsia="方正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方正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首行缩进2字符"/>
    <w:basedOn w:val="1"/>
    <w:qFormat/>
    <w:uiPriority w:val="0"/>
    <w:pPr>
      <w:spacing w:line="240" w:lineRule="auto"/>
    </w:pPr>
    <w:rPr>
      <w:rFonts w:ascii="Century" w:hAnsi="Century"/>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Words>1647</Words>
  <Characters>1723</Characters>
  <Lines>181</Lines>
  <Paragraphs>51</Paragraphs>
  <TotalTime>10</TotalTime>
  <ScaleCrop>false</ScaleCrop>
  <LinksUpToDate>false</LinksUpToDate>
  <CharactersWithSpaces>1724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2025-01-28T09:57:00Z</dcterms:created>
  <dc:creator>user</dc:creator>
  <cp:lastModifiedBy>user</cp:lastModifiedBy>
  <cp:lastPrinted>2020-08-07T20:08:00Z</cp:lastPrinted>
  <dcterms:modified xsi:type="dcterms:W3CDTF">2025-03-06T10:26:29Z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DAC3B7A44AD6433DB781923B9230A5E2_13</vt:lpwstr>
  </property>
  <property fmtid="{D5CDD505-2E9C-101B-9397-08002B2CF9AE}" pid="4" name="KSOTemplateDocerSaveRecord">
    <vt:lpwstr>eyJoZGlkIjoiOTA0NjMwZmFmZjJlZTRiNTAwNjU0ZjdkOTUxMDk3MmMiLCJ1c2VySWQiOiIyNTI0MzU4OTIifQ==</vt:lpwstr>
  </property>
</Properties>
</file>