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jc w:val="center"/>
      </w:pPr>
      <w:bookmarkStart w:id="0" w:name="_Toc63785461"/>
      <w:r>
        <w:t>研究生教育综合管理系统采</w:t>
      </w:r>
      <w:bookmarkStart w:id="61" w:name="_GoBack"/>
      <w:bookmarkEnd w:id="61"/>
      <w:r>
        <w:t>购需求</w:t>
      </w:r>
    </w:p>
    <w:p>
      <w:pPr>
        <w:pStyle w:val="2"/>
        <w:ind w:firstLine="1"/>
      </w:pPr>
      <w:r>
        <w:t>项目概况</w:t>
      </w:r>
      <w:bookmarkEnd w:id="0"/>
    </w:p>
    <w:p>
      <w:r>
        <w:t>1.政策背景</w:t>
      </w:r>
    </w:p>
    <w:p>
      <w:r>
        <w:t>百年大计，教育为本。教育是民族振兴、社会进步的基石，是提高国民素质、促进人的全面发展的根本途径。强国必先强教。优先发展教育、提高教育现代化水平，对全面实现小康社会目标、建设富强民主文明和谐的社会主义现代化国家具有决定性意义。</w:t>
      </w:r>
    </w:p>
    <w:p>
      <w:r>
        <w:t>以教育信息化带动教育现代化，是我国教育事业发展的战略选择。制定和实施规划，建设覆盖城乡各级各类学校的教育信息化体系，促进优质教育资源普及共享，推进信息技术与教育教学深度融合，实现教育思想、理念、方法和手段全方位创新，对于提高教育质量、促进教育公平、构建学习型社会和人力资源强国具有重大意义。</w:t>
      </w:r>
    </w:p>
    <w:p>
      <w:r>
        <w:t>《国家中长期教育改革和发展规划纲要（2010-2020年）》明确指出：“信息技术对教育发展具有革命性影响，必须予以高度重视”。</w:t>
      </w:r>
    </w:p>
    <w:p>
      <w:r>
        <w:t>高等教育信息化是促进高等教育改革创新和提高质量的有效途径，是教育信息化发展的创新前沿。进一步加强基础设施和信息资源建设，重点推进信息技术与高等教育的深度融合，促进教育内容、教学手段和方法现代化，创新人才培养、科研组织和社会服务模式，推动文化传承创新，促进高等教育质量全面提高。</w:t>
      </w:r>
    </w:p>
    <w:p>
      <w:r>
        <w:t>2.行业趋势</w:t>
      </w:r>
    </w:p>
    <w:p>
      <w:r>
        <w:t>我校前期做了大量的高校调研走访，通过与本地高校（复旦大学、同济大学、上海交通大学、上海大学、上海海洋大学、上海外国语大学、上海政法学院、上海理工大学、华东政法大学、华东理工大学、上海海事大学</w:t>
      </w:r>
      <w:r>
        <w:rPr>
          <w:rFonts w:hint="eastAsia"/>
        </w:rPr>
        <w:t>、东华大学、上海对外经贸大学</w:t>
      </w:r>
      <w:r>
        <w:t>等16所高校）的交流，总结高校目前信息化发展的现状，已经逐步向资源共享、服务导向架构、社交网络、移动互联网、物联网和云计算等技术手段上进行信息化建设的转变。</w:t>
      </w:r>
    </w:p>
    <w:p>
      <w:r>
        <w:t>1)</w:t>
      </w:r>
      <w:r>
        <w:tab/>
      </w:r>
      <w:r>
        <w:t>融合为导向</w:t>
      </w:r>
    </w:p>
    <w:p>
      <w:r>
        <w:t>传统信息化建设追求系统的独立性，孤立地以单个业务部门或服务对象为主体，硬件基础设施、软件、数据库、信息系统等相分离，独立支撑相应的业务系统，这种现象将在未来几年中大大改观。</w:t>
      </w:r>
    </w:p>
    <w:p>
      <w:r>
        <w:t>随着顶层设计理念的普及与深入，高校的建设模式朝着“一体化战略”转变。以信息化“一站式”服务为目标、以用户服务为核心，融合软件、硬件、服务为一体，面向用户提供简单易用、明确统一的服务入口。</w:t>
      </w:r>
    </w:p>
    <w:p>
      <w:r>
        <w:t>2)</w:t>
      </w:r>
      <w:r>
        <w:tab/>
      </w:r>
      <w:r>
        <w:t>服务信息化为手段</w:t>
      </w:r>
    </w:p>
    <w:p>
      <w:r>
        <w:t>服务手段因新技术产生而有突破，由传统的“业务流程信息化”向将来的“服务信息化”转变。</w:t>
      </w:r>
    </w:p>
    <w:p>
      <w:r>
        <w:t>信息技术的发展和服务意识的提升，许多高校正通过信息化“一站式”服务模式整合业务过程，根据师生角色生命周期涉及的服务项目，建立公共服务平台，集聚服务资源，推广移动应用，完善服务体系，推动服务信息化建设。</w:t>
      </w:r>
    </w:p>
    <w:p>
      <w:r>
        <w:t>在智慧校园概念的指导下，物联网、无线定位等新型设施和服务被引进，扩展了服务信息化的范畴，成为教育信息化新的发展趋势；大数据的可视化需求逐渐上升，应用将越来越普遍。</w:t>
      </w:r>
    </w:p>
    <w:p>
      <w:r>
        <w:t>3.学校需求</w:t>
      </w:r>
    </w:p>
    <w:p>
      <w:r>
        <w:t>学校现行的研究生系统分为招生管理系统和研究生教育综合管理系统两大互相独立的平台，乃我院分两次独立采购，其中招生为独立系统2013年采购，已使用近10年，研究生教育综合管理系统为2018年采购，学校采用一边建设一边使用并调整的策略，2020年正式通过经信委专家验收，但是实际学校已使用近6年。现行研究生管</w:t>
      </w:r>
      <w:r>
        <w:rPr>
          <w:rFonts w:hint="eastAsia"/>
        </w:rPr>
        <w:t>理</w:t>
      </w:r>
      <w:r>
        <w:t>系统技术架构老化，安全性能不足，稳定性和开放性差，无移动端功能，使用不便，无法升级，现行系统的功能模块不足已经严重影响到我校研究生教育教学工作的正常开展，无法有效服务好广大师生，制约学校研究生教育质量保障体系建设和运行</w:t>
      </w:r>
      <w:r>
        <w:rPr>
          <w:lang w:eastAsia="zh-Hans"/>
        </w:rPr>
        <w:t>。</w:t>
      </w:r>
    </w:p>
    <w:p>
      <w:pPr>
        <w:rPr>
          <w:lang w:eastAsia="zh-Hans"/>
        </w:rPr>
      </w:pPr>
      <w:r>
        <w:t>综上所述，学校研究生教育综合管理系统升级改造，已成为当前研究生教育工作的基础和重点。</w:t>
      </w:r>
      <w:r>
        <w:rPr>
          <w:lang w:eastAsia="zh-Hans"/>
        </w:rPr>
        <w:t>目前</w:t>
      </w:r>
      <w:r>
        <w:t>学</w:t>
      </w:r>
      <w:r>
        <w:rPr>
          <w:lang w:eastAsia="zh-Hans"/>
        </w:rPr>
        <w:t>校急需通过</w:t>
      </w:r>
      <w:r>
        <w:t>升级改造的</w:t>
      </w:r>
      <w:r>
        <w:rPr>
          <w:lang w:eastAsia="zh-Hans"/>
        </w:rPr>
        <w:t>研究生管理系统解决上述问题，</w:t>
      </w:r>
      <w:r>
        <w:t>升级改造为新的一体化研究生</w:t>
      </w:r>
      <w:r>
        <w:rPr>
          <w:rFonts w:hint="eastAsia"/>
        </w:rPr>
        <w:t>教育综合</w:t>
      </w:r>
      <w:r>
        <w:t>管理系统。本</w:t>
      </w:r>
      <w:r>
        <w:rPr>
          <w:lang w:eastAsia="zh-Hans"/>
        </w:rPr>
        <w:t>项目建设</w:t>
      </w:r>
      <w:r>
        <w:t>采用新的技术架构建设系统，新版系统上线后将进行数据移植，将现有系统历史数据迁移到新系统中，同时，注重</w:t>
      </w:r>
      <w:r>
        <w:rPr>
          <w:lang w:eastAsia="zh-Hans"/>
        </w:rPr>
        <w:t>数据共享和与其它系统的集成。</w:t>
      </w:r>
    </w:p>
    <w:p>
      <w:r>
        <w:t>本项目系统可支撑我校研究生培养全流程，为教师、研究生导师、研究生提供在线服务功能，为</w:t>
      </w:r>
      <w:r>
        <w:rPr>
          <w:lang w:eastAsia="zh-Hans"/>
        </w:rPr>
        <w:t>研究生工作秘书</w:t>
      </w:r>
      <w:r>
        <w:t>、研究生院管理员提供信息管理功能。系统能够接入我校数字化校园，为教师、研究生导师、研究生、各级管理人员提供统一身份认证服务，与学校人事、财务、科研等业务系统对接共享信息。系统能够实现与学信网、学位授予信息报送系统、二级学科自主设置信息平台、全国学位与研究生教育质量信息平台、</w:t>
      </w:r>
      <w:r>
        <w:rPr>
          <w:lang w:val="zh-CN"/>
        </w:rPr>
        <w:t>上海高校学位点合格评估工作平台、上海高校学位点培优培育专项工作平台</w:t>
      </w:r>
      <w:r>
        <w:t>等对接，方便快捷地报送数据。系统能够不断积累我校研究生培养过程中产生的数据，形成我校研究生教育数据中心，通过对研究生教育数据中心的数据进行分析为校领导制定研究生教育发展规划提供决策支撑。</w:t>
      </w:r>
    </w:p>
    <w:p>
      <w:r>
        <w:t>4.依据</w:t>
      </w:r>
    </w:p>
    <w:p>
      <w:r>
        <w:t></w:t>
      </w:r>
      <w:r>
        <w:tab/>
      </w:r>
      <w:r>
        <w:t>教育部关于印发《2023年全国硕士研究生招生工作管理规定》的通知（教学〔2022〕3号）</w:t>
      </w:r>
    </w:p>
    <w:p>
      <w:r>
        <w:t></w:t>
      </w:r>
      <w:r>
        <w:tab/>
      </w:r>
      <w:r>
        <w:t>国务院学位委员会教育部关于进一步严格规范学位与研究生教育质量管理的若干意见（学位〔2020〕19号）</w:t>
      </w:r>
    </w:p>
    <w:p>
      <w:r>
        <w:t>是否按信创要求建设：是</w:t>
      </w:r>
    </w:p>
    <w:p>
      <w:pPr>
        <w:pStyle w:val="2"/>
        <w:ind w:firstLine="1"/>
      </w:pPr>
      <w:bookmarkStart w:id="1" w:name="_Toc47532891"/>
      <w:bookmarkEnd w:id="1"/>
      <w:bookmarkStart w:id="2" w:name="_Toc47539070"/>
      <w:bookmarkEnd w:id="2"/>
      <w:bookmarkStart w:id="3" w:name="_Toc47536644"/>
      <w:bookmarkEnd w:id="3"/>
      <w:bookmarkStart w:id="4" w:name="_Toc47537134"/>
      <w:bookmarkEnd w:id="4"/>
      <w:bookmarkStart w:id="5" w:name="_Toc47531634"/>
      <w:bookmarkEnd w:id="5"/>
      <w:bookmarkStart w:id="6" w:name="_Toc47532255"/>
      <w:bookmarkEnd w:id="6"/>
      <w:bookmarkStart w:id="7" w:name="_Toc47533256"/>
      <w:bookmarkEnd w:id="7"/>
      <w:bookmarkStart w:id="8" w:name="_Toc47536272"/>
      <w:bookmarkEnd w:id="8"/>
      <w:bookmarkStart w:id="9" w:name="_Toc63785463"/>
      <w:bookmarkStart w:id="10" w:name="_Toc48223882"/>
      <w:r>
        <w:t>建设目标</w:t>
      </w:r>
      <w:bookmarkEnd w:id="9"/>
      <w:bookmarkEnd w:id="10"/>
    </w:p>
    <w:p>
      <w:pPr>
        <w:pStyle w:val="3"/>
        <w:numPr>
          <w:ilvl w:val="0"/>
          <w:numId w:val="2"/>
        </w:numPr>
        <w:spacing w:before="20" w:after="20"/>
        <w:ind w:left="993" w:hanging="426"/>
        <w:rPr>
          <w:sz w:val="24"/>
          <w:szCs w:val="24"/>
        </w:rPr>
      </w:pPr>
      <w:r>
        <w:rPr>
          <w:sz w:val="24"/>
          <w:szCs w:val="24"/>
        </w:rPr>
        <w:t>建设目的</w:t>
      </w:r>
    </w:p>
    <w:p>
      <w:pPr>
        <w:pStyle w:val="28"/>
        <w:adjustRightInd/>
        <w:spacing w:line="360" w:lineRule="auto"/>
        <w:ind w:firstLine="566" w:firstLineChars="236"/>
        <w:jc w:val="both"/>
        <w:rPr>
          <w:rFonts w:ascii="Times New Roman" w:hAnsi="Times New Roman" w:cs="Times New Roman" w:eastAsiaTheme="minorEastAsia"/>
          <w:color w:val="auto"/>
          <w:kern w:val="2"/>
        </w:rPr>
      </w:pPr>
      <w:r>
        <w:rPr>
          <w:rFonts w:ascii="Times New Roman" w:hAnsi="Times New Roman" w:cs="Times New Roman" w:eastAsiaTheme="minorEastAsia"/>
          <w:color w:val="auto"/>
          <w:kern w:val="2"/>
        </w:rPr>
        <w:t>本项目基于成熟的企业级软件开发平台开发，符合JavaEE架构标准，整体系统架构分为平台层、数据层、支撑层、功能层、客户端层。本项目通过建设研究生教育综合管理系统，利用信息化手段对学校的教学、科研、人才培养、学位、导师等信息资源进行全面数字化，并科学规范的对这些信息资源进行规范和集成，以构成统一的权限控制、用户管理和资源管理，实现我校研究生教育信息化、决策科学化和管理规范化。通过本项目的建设，提高培养学生的效率和质量，推动学校进行制度创新、管理创新、培养模式创新，进而提高人才培养质量。本项目本着“业务全覆盖、信息全保障、数据全互通、决策全支持”的建设原则，结合学校研究生教育未来发展需要和信息化技术手段，以期实现以下目标：</w:t>
      </w:r>
    </w:p>
    <w:p>
      <w:pPr>
        <w:pStyle w:val="28"/>
        <w:adjustRightInd/>
        <w:spacing w:line="360" w:lineRule="auto"/>
        <w:ind w:firstLine="480" w:firstLineChars="200"/>
        <w:jc w:val="both"/>
        <w:rPr>
          <w:rFonts w:ascii="Times New Roman" w:hAnsi="Times New Roman" w:cs="Times New Roman" w:eastAsiaTheme="minorEastAsia"/>
          <w:color w:val="auto"/>
          <w:kern w:val="2"/>
        </w:rPr>
      </w:pPr>
      <w:r>
        <w:rPr>
          <w:rFonts w:ascii="Times New Roman" w:hAnsi="Times New Roman" w:cs="Times New Roman" w:eastAsiaTheme="minorEastAsia"/>
          <w:color w:val="auto"/>
          <w:kern w:val="2"/>
        </w:rPr>
        <w:t>（1）实现研究生培养全过程标准化管理，助力学校研究生教育高质量发展。</w:t>
      </w:r>
    </w:p>
    <w:p>
      <w:pPr>
        <w:pStyle w:val="28"/>
        <w:adjustRightInd/>
        <w:spacing w:line="360" w:lineRule="auto"/>
        <w:ind w:firstLine="480" w:firstLineChars="200"/>
        <w:jc w:val="both"/>
        <w:rPr>
          <w:rFonts w:ascii="Times New Roman" w:hAnsi="Times New Roman" w:cs="Times New Roman" w:eastAsiaTheme="minorEastAsia"/>
          <w:color w:val="auto"/>
          <w:kern w:val="2"/>
        </w:rPr>
      </w:pPr>
      <w:r>
        <w:rPr>
          <w:rFonts w:ascii="Times New Roman" w:hAnsi="Times New Roman" w:cs="Times New Roman" w:eastAsiaTheme="minorEastAsia"/>
          <w:color w:val="auto"/>
          <w:kern w:val="2"/>
        </w:rPr>
        <w:t>本项目建设充分参考研究生教育领域国家战略规划、主管部门政策、学校发展规划及其他高校先进经验，基于学校研究生教育相关管理办法、研究生教育质量提升目标、研究生教育质量保障机制、信息化技术手段进行研究生教育综合管理系统深度融合定制，打造一套涵盖学籍、培养、学位、导师等业务且高度符合学校需求的业务系统，实现研究生培养全过程、标准化管理，将研究生院及学院管理人员从重复、繁杂的工作中解放出来，全心投入研究生教育研究及培养质量监控、提升等方面，为学校研究生教育高质量发展提供助力。</w:t>
      </w:r>
    </w:p>
    <w:p>
      <w:pPr>
        <w:pStyle w:val="28"/>
        <w:adjustRightInd/>
        <w:spacing w:line="360" w:lineRule="auto"/>
        <w:ind w:firstLine="480" w:firstLineChars="200"/>
        <w:jc w:val="both"/>
        <w:rPr>
          <w:rFonts w:ascii="Times New Roman" w:hAnsi="Times New Roman" w:cs="Times New Roman" w:eastAsiaTheme="minorEastAsia"/>
          <w:color w:val="auto"/>
          <w:kern w:val="2"/>
        </w:rPr>
      </w:pPr>
      <w:r>
        <w:rPr>
          <w:rFonts w:ascii="Times New Roman" w:hAnsi="Times New Roman" w:cs="Times New Roman" w:eastAsiaTheme="minorEastAsia"/>
          <w:color w:val="auto"/>
          <w:kern w:val="2"/>
        </w:rPr>
        <w:t>（2）打破数据壁垒推动“一网通办”，助力构建智慧数据校园。</w:t>
      </w:r>
    </w:p>
    <w:p>
      <w:pPr>
        <w:pStyle w:val="28"/>
        <w:adjustRightInd/>
        <w:spacing w:line="360" w:lineRule="auto"/>
        <w:ind w:firstLine="480" w:firstLineChars="200"/>
        <w:jc w:val="both"/>
        <w:rPr>
          <w:rFonts w:ascii="Times New Roman" w:hAnsi="Times New Roman" w:cs="Times New Roman" w:eastAsiaTheme="minorEastAsia"/>
          <w:color w:val="auto"/>
          <w:kern w:val="2"/>
        </w:rPr>
      </w:pPr>
      <w:r>
        <w:rPr>
          <w:rFonts w:ascii="Times New Roman" w:hAnsi="Times New Roman" w:cs="Times New Roman" w:eastAsiaTheme="minorEastAsia"/>
          <w:color w:val="auto"/>
          <w:kern w:val="2"/>
        </w:rPr>
        <w:t>本项目通过建立数据对接、共享机制打破研究生管理系统不同业务间、研究生管理系统与其他校内系统、研究生管理系统与国家平台、研究生管理系统与第三方平台数据壁垒，实现研究生教育数据跨系统、跨平台互联互通，避免数据重复填报、审核给师生带来额外工作量；通过理念、流程重塑，打造网页端、移动端（企业微信）多渠道、一体化服务平台，无论研究生、导师还是管理部门都可以通过系统随时随地完成业务操作，实现真正的“一网通办”，同时集成待办、预警等提醒功能，为师生提供更加全面和实用的服务，方便师生更好地管理自己的教学、学习、科研工作，大幅提升师生服务水平。</w:t>
      </w:r>
    </w:p>
    <w:p>
      <w:pPr>
        <w:pStyle w:val="28"/>
        <w:adjustRightInd/>
        <w:spacing w:line="360" w:lineRule="auto"/>
        <w:ind w:firstLine="480" w:firstLineChars="200"/>
        <w:jc w:val="both"/>
        <w:rPr>
          <w:rFonts w:ascii="Times New Roman" w:hAnsi="Times New Roman" w:cs="Times New Roman" w:eastAsiaTheme="minorEastAsia"/>
          <w:color w:val="auto"/>
          <w:kern w:val="2"/>
        </w:rPr>
      </w:pPr>
      <w:r>
        <w:rPr>
          <w:rFonts w:ascii="Times New Roman" w:hAnsi="Times New Roman" w:cs="Times New Roman" w:eastAsiaTheme="minorEastAsia"/>
          <w:color w:val="auto"/>
          <w:kern w:val="2"/>
        </w:rPr>
        <w:t>（3）达到等保二级安全防护标准，助力构建信息安全校园。</w:t>
      </w:r>
    </w:p>
    <w:p>
      <w:pPr>
        <w:pStyle w:val="28"/>
        <w:adjustRightInd/>
        <w:spacing w:line="360" w:lineRule="auto"/>
        <w:ind w:firstLine="480" w:firstLineChars="200"/>
        <w:jc w:val="both"/>
        <w:rPr>
          <w:rFonts w:ascii="Times New Roman" w:hAnsi="Times New Roman" w:cs="Times New Roman" w:eastAsiaTheme="minorEastAsia"/>
          <w:color w:val="auto"/>
          <w:kern w:val="2"/>
        </w:rPr>
      </w:pPr>
      <w:r>
        <w:rPr>
          <w:rFonts w:ascii="Times New Roman" w:hAnsi="Times New Roman" w:cs="Times New Roman" w:eastAsiaTheme="minorEastAsia"/>
          <w:color w:val="auto"/>
          <w:kern w:val="2"/>
        </w:rPr>
        <w:t>本项目系统从行为安全、数据安全、运行安全、管理安全4个方面入手，通过身份鉴别、访问控制、安全审计、漏洞防范、传输加密、存储加密、自动备份、漏洞更新、安全管理及应急预案等技术及策略建设完善安全防护体系，助力研究生教育及学校信息安全校园建设。</w:t>
      </w:r>
    </w:p>
    <w:p>
      <w:pPr>
        <w:pStyle w:val="28"/>
        <w:adjustRightInd/>
        <w:spacing w:line="360" w:lineRule="auto"/>
        <w:ind w:firstLine="480" w:firstLineChars="200"/>
        <w:jc w:val="both"/>
        <w:rPr>
          <w:rFonts w:ascii="Times New Roman" w:hAnsi="Times New Roman" w:cs="Times New Roman" w:eastAsiaTheme="minorEastAsia"/>
          <w:color w:val="auto"/>
          <w:kern w:val="2"/>
        </w:rPr>
      </w:pPr>
      <w:r>
        <w:rPr>
          <w:rFonts w:ascii="Times New Roman" w:hAnsi="Times New Roman" w:cs="Times New Roman" w:eastAsiaTheme="minorEastAsia"/>
          <w:color w:val="auto"/>
          <w:kern w:val="2"/>
        </w:rPr>
        <w:t>（4）发挥研究生教育数据支撑作用，服务学校各级管理部门宏观治理决策。</w:t>
      </w:r>
    </w:p>
    <w:p>
      <w:pPr>
        <w:pStyle w:val="28"/>
        <w:adjustRightInd/>
        <w:spacing w:line="360" w:lineRule="auto"/>
        <w:ind w:firstLine="480" w:firstLineChars="200"/>
        <w:jc w:val="both"/>
        <w:rPr>
          <w:rFonts w:ascii="Times New Roman" w:hAnsi="Times New Roman" w:cs="Times New Roman"/>
          <w:b/>
        </w:rPr>
      </w:pPr>
      <w:r>
        <w:rPr>
          <w:rFonts w:ascii="Times New Roman" w:hAnsi="Times New Roman" w:cs="Times New Roman" w:eastAsiaTheme="minorEastAsia"/>
          <w:color w:val="auto"/>
          <w:kern w:val="2"/>
        </w:rPr>
        <w:t>学校通过研究生教育综合管理系统开展业务的同时，系统通过收集、整合、分析研究生培养环节诸如研究生基本信息、课程学习、科研成果、毕业论文、评教、督导、论文评阅、答辩等各类数据，通过图表、报告等形式将数据分析结果和核心数据直观、全面地呈现给学校、研究生院、学院等各级管理部门，充分发挥研究生教育数据支撑作用，帮助他们更好地了解研究生培养过程现状、问题和趋势，为研究生教育宏观治理决策和改革创新提供数据支持。</w:t>
      </w:r>
    </w:p>
    <w:p>
      <w:pPr>
        <w:pStyle w:val="3"/>
        <w:numPr>
          <w:ilvl w:val="0"/>
          <w:numId w:val="2"/>
        </w:numPr>
        <w:spacing w:before="20" w:after="20"/>
        <w:ind w:left="993" w:hanging="426"/>
        <w:rPr>
          <w:sz w:val="24"/>
          <w:szCs w:val="24"/>
        </w:rPr>
      </w:pPr>
      <w:r>
        <w:rPr>
          <w:sz w:val="24"/>
          <w:szCs w:val="24"/>
        </w:rPr>
        <w:t>应用指标</w:t>
      </w:r>
    </w:p>
    <w:p>
      <w:r>
        <w:t>（1）系统支持20000人同时在线，支持5000以上并发用户量；</w:t>
      </w:r>
    </w:p>
    <w:p>
      <w:r>
        <w:t>（2）系统支持单笔业务操作响应时间小于1秒，</w:t>
      </w:r>
      <w:r>
        <w:rPr>
          <w:rFonts w:hint="eastAsia"/>
          <w:lang w:val="en-US" w:eastAsia="zh-CN"/>
        </w:rPr>
        <w:t>复杂</w:t>
      </w:r>
      <w:r>
        <w:t>业务响应时间小于2秒，简单统计报表查询响应时间小于1秒；</w:t>
      </w:r>
    </w:p>
    <w:p>
      <w:r>
        <w:t>（3）系统具有高可用性，能够长时间稳定运行，每年在线时间12个月并提供7*24小时服务；</w:t>
      </w:r>
    </w:p>
    <w:p>
      <w:r>
        <w:t>（4）系统采用数据加密技术和商业密码应用技术，保障信息安全和隐私，防止数据泄露和非法访问；</w:t>
      </w:r>
    </w:p>
    <w:p>
      <w:r>
        <w:t>（5）系统全面覆盖研究生教育各个环节，包括学籍、培养、学位、导师、移动应用等，并实现各环节的全流程信息化管理；</w:t>
      </w:r>
    </w:p>
    <w:p>
      <w:pPr>
        <w:rPr>
          <w:bCs w:val="0"/>
        </w:rPr>
      </w:pPr>
      <w:r>
        <w:t>（6）系统具备智能化和决策支持特性，能够自动收集、分析和可视化展示研究生教育的相关数据，为领导和教师提供决策支持。</w:t>
      </w:r>
    </w:p>
    <w:p>
      <w:pPr>
        <w:pStyle w:val="3"/>
        <w:numPr>
          <w:ilvl w:val="0"/>
          <w:numId w:val="2"/>
        </w:numPr>
        <w:spacing w:before="20" w:after="20"/>
        <w:ind w:left="993" w:hanging="426"/>
        <w:rPr>
          <w:sz w:val="24"/>
          <w:szCs w:val="24"/>
        </w:rPr>
      </w:pPr>
      <w:r>
        <w:rPr>
          <w:sz w:val="24"/>
          <w:szCs w:val="24"/>
        </w:rPr>
        <w:t>技术指标</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332"/>
        <w:gridCol w:w="2071"/>
        <w:gridCol w:w="3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8" w:type="pct"/>
            <w:vAlign w:val="center"/>
          </w:tcPr>
          <w:p>
            <w:pPr>
              <w:pStyle w:val="4"/>
              <w:jc w:val="both"/>
              <w:rPr>
                <w:rFonts w:ascii="Times New Roman" w:hAnsi="Times New Roman" w:eastAsia="宋体" w:cs="Times New Roman"/>
                <w:b/>
                <w:sz w:val="24"/>
                <w:szCs w:val="24"/>
              </w:rPr>
            </w:pPr>
            <w:r>
              <w:rPr>
                <w:rFonts w:ascii="Times New Roman" w:hAnsi="Times New Roman" w:eastAsia="宋体" w:cs="Times New Roman"/>
                <w:b/>
                <w:sz w:val="24"/>
                <w:szCs w:val="24"/>
              </w:rPr>
              <w:t>一级指标</w:t>
            </w:r>
          </w:p>
        </w:tc>
        <w:tc>
          <w:tcPr>
            <w:tcW w:w="781" w:type="pct"/>
            <w:vAlign w:val="center"/>
          </w:tcPr>
          <w:p>
            <w:pPr>
              <w:pStyle w:val="4"/>
              <w:jc w:val="both"/>
              <w:rPr>
                <w:rFonts w:ascii="Times New Roman" w:hAnsi="Times New Roman" w:eastAsia="宋体" w:cs="Times New Roman"/>
                <w:b/>
                <w:sz w:val="24"/>
                <w:szCs w:val="24"/>
              </w:rPr>
            </w:pPr>
            <w:r>
              <w:rPr>
                <w:rFonts w:ascii="Times New Roman" w:hAnsi="Times New Roman" w:eastAsia="宋体" w:cs="Times New Roman"/>
                <w:b/>
                <w:sz w:val="24"/>
                <w:szCs w:val="24"/>
              </w:rPr>
              <w:t>二级指标</w:t>
            </w:r>
          </w:p>
        </w:tc>
        <w:tc>
          <w:tcPr>
            <w:tcW w:w="1214" w:type="pct"/>
            <w:vAlign w:val="center"/>
          </w:tcPr>
          <w:p>
            <w:pPr>
              <w:pStyle w:val="4"/>
              <w:rPr>
                <w:rFonts w:ascii="Times New Roman" w:hAnsi="Times New Roman" w:eastAsia="宋体" w:cs="Times New Roman"/>
                <w:b/>
                <w:sz w:val="24"/>
                <w:szCs w:val="24"/>
              </w:rPr>
            </w:pPr>
            <w:r>
              <w:rPr>
                <w:rFonts w:ascii="Times New Roman" w:hAnsi="Times New Roman" w:eastAsia="宋体" w:cs="Times New Roman"/>
                <w:b/>
                <w:sz w:val="24"/>
                <w:szCs w:val="24"/>
              </w:rPr>
              <w:t>三级指标</w:t>
            </w:r>
          </w:p>
        </w:tc>
        <w:tc>
          <w:tcPr>
            <w:tcW w:w="2277" w:type="pct"/>
            <w:vAlign w:val="center"/>
          </w:tcPr>
          <w:p>
            <w:pPr>
              <w:pStyle w:val="4"/>
              <w:rPr>
                <w:rFonts w:ascii="Times New Roman" w:hAnsi="Times New Roman" w:eastAsia="宋体" w:cs="Times New Roman"/>
                <w:b/>
                <w:sz w:val="24"/>
                <w:szCs w:val="24"/>
              </w:rPr>
            </w:pPr>
            <w:r>
              <w:rPr>
                <w:rFonts w:ascii="Times New Roman" w:hAnsi="Times New Roman" w:eastAsia="宋体" w:cs="Times New Roman"/>
                <w:b/>
                <w:sz w:val="24"/>
                <w:szCs w:val="24"/>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restar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技术水平</w:t>
            </w:r>
          </w:p>
        </w:tc>
        <w:tc>
          <w:tcPr>
            <w:tcW w:w="781"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先进性</w:t>
            </w:r>
          </w:p>
        </w:tc>
        <w:tc>
          <w:tcPr>
            <w:tcW w:w="1214"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开发语言及架构</w:t>
            </w:r>
          </w:p>
        </w:tc>
        <w:tc>
          <w:tcPr>
            <w:tcW w:w="2277" w:type="pct"/>
            <w:vAlign w:val="center"/>
          </w:tcPr>
          <w:p>
            <w:pPr>
              <w:pStyle w:val="4"/>
              <w:ind w:firstLine="480"/>
              <w:rPr>
                <w:rFonts w:ascii="Times New Roman" w:hAnsi="Times New Roman" w:eastAsia="宋体" w:cs="Times New Roman"/>
                <w:sz w:val="24"/>
                <w:szCs w:val="24"/>
              </w:rPr>
            </w:pPr>
            <w:r>
              <w:rPr>
                <w:rFonts w:ascii="Times New Roman" w:hAnsi="Times New Roman" w:eastAsia="宋体" w:cs="Times New Roman"/>
                <w:sz w:val="24"/>
                <w:szCs w:val="24"/>
              </w:rPr>
              <w:t>采用Java语言开发，B/S架构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pPr>
              <w:pStyle w:val="4"/>
              <w:ind w:firstLine="480"/>
              <w:rPr>
                <w:rFonts w:ascii="Times New Roman" w:hAnsi="Times New Roman" w:eastAsia="宋体" w:cs="Times New Roman"/>
                <w:sz w:val="24"/>
                <w:szCs w:val="24"/>
              </w:rPr>
            </w:pPr>
          </w:p>
        </w:tc>
        <w:tc>
          <w:tcPr>
            <w:tcW w:w="781"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标准化</w:t>
            </w:r>
          </w:p>
        </w:tc>
        <w:tc>
          <w:tcPr>
            <w:tcW w:w="1214"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标准化程度</w:t>
            </w:r>
          </w:p>
        </w:tc>
        <w:tc>
          <w:tcPr>
            <w:tcW w:w="2277"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系统设计和建设遵循国际、国内信息技术相关标准，国家颁布的高等教育信息化相关标准，国家颁布的学位与研究生教育信息化相关标准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restar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系统性能</w:t>
            </w:r>
          </w:p>
        </w:tc>
        <w:tc>
          <w:tcPr>
            <w:tcW w:w="781"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可靠性</w:t>
            </w:r>
          </w:p>
        </w:tc>
        <w:tc>
          <w:tcPr>
            <w:tcW w:w="1214"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信息准确性</w:t>
            </w:r>
          </w:p>
        </w:tc>
        <w:tc>
          <w:tcPr>
            <w:tcW w:w="2277"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pPr>
              <w:pStyle w:val="4"/>
              <w:rPr>
                <w:rFonts w:ascii="Times New Roman" w:hAnsi="Times New Roman" w:eastAsia="宋体" w:cs="Times New Roman"/>
                <w:sz w:val="24"/>
                <w:szCs w:val="24"/>
              </w:rPr>
            </w:pPr>
          </w:p>
        </w:tc>
        <w:tc>
          <w:tcPr>
            <w:tcW w:w="781"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吞吐量</w:t>
            </w:r>
          </w:p>
        </w:tc>
        <w:tc>
          <w:tcPr>
            <w:tcW w:w="1214"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最大用户量</w:t>
            </w:r>
          </w:p>
        </w:tc>
        <w:tc>
          <w:tcPr>
            <w:tcW w:w="2277"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30000人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pPr>
              <w:pStyle w:val="4"/>
              <w:rPr>
                <w:rFonts w:ascii="Times New Roman" w:hAnsi="Times New Roman" w:eastAsia="宋体" w:cs="Times New Roman"/>
                <w:sz w:val="24"/>
                <w:szCs w:val="24"/>
              </w:rPr>
            </w:pPr>
          </w:p>
        </w:tc>
        <w:tc>
          <w:tcPr>
            <w:tcW w:w="781"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安全性</w:t>
            </w:r>
          </w:p>
        </w:tc>
        <w:tc>
          <w:tcPr>
            <w:tcW w:w="1214"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安全保密性</w:t>
            </w:r>
          </w:p>
        </w:tc>
        <w:tc>
          <w:tcPr>
            <w:tcW w:w="2277"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信息系统安全等级保护二级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pPr>
              <w:pStyle w:val="4"/>
              <w:rPr>
                <w:rFonts w:ascii="Times New Roman" w:hAnsi="Times New Roman" w:eastAsia="宋体" w:cs="Times New Roman"/>
                <w:sz w:val="24"/>
                <w:szCs w:val="24"/>
              </w:rPr>
            </w:pPr>
          </w:p>
        </w:tc>
        <w:tc>
          <w:tcPr>
            <w:tcW w:w="781"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稳定性</w:t>
            </w:r>
          </w:p>
        </w:tc>
        <w:tc>
          <w:tcPr>
            <w:tcW w:w="1214"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运行时间</w:t>
            </w:r>
          </w:p>
        </w:tc>
        <w:tc>
          <w:tcPr>
            <w:tcW w:w="2277"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365*24小时运行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pPr>
              <w:pStyle w:val="4"/>
              <w:rPr>
                <w:rFonts w:ascii="Times New Roman" w:hAnsi="Times New Roman" w:eastAsia="宋体" w:cs="Times New Roman"/>
                <w:sz w:val="24"/>
                <w:szCs w:val="24"/>
              </w:rPr>
            </w:pPr>
          </w:p>
        </w:tc>
        <w:tc>
          <w:tcPr>
            <w:tcW w:w="781" w:type="pct"/>
            <w:vMerge w:val="restar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可维护性</w:t>
            </w:r>
          </w:p>
        </w:tc>
        <w:tc>
          <w:tcPr>
            <w:tcW w:w="1214"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系统运行维护响应时间</w:t>
            </w:r>
          </w:p>
        </w:tc>
        <w:tc>
          <w:tcPr>
            <w:tcW w:w="2277"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小于2小时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pPr>
              <w:pStyle w:val="4"/>
              <w:rPr>
                <w:rFonts w:ascii="Times New Roman" w:hAnsi="Times New Roman" w:eastAsia="宋体" w:cs="Times New Roman"/>
                <w:sz w:val="24"/>
                <w:szCs w:val="24"/>
              </w:rPr>
            </w:pPr>
          </w:p>
        </w:tc>
        <w:tc>
          <w:tcPr>
            <w:tcW w:w="781" w:type="pct"/>
            <w:vMerge w:val="continue"/>
            <w:vAlign w:val="center"/>
          </w:tcPr>
          <w:p>
            <w:pPr>
              <w:pStyle w:val="4"/>
              <w:rPr>
                <w:rFonts w:ascii="Times New Roman" w:hAnsi="Times New Roman" w:eastAsia="宋体" w:cs="Times New Roman"/>
                <w:sz w:val="24"/>
                <w:szCs w:val="24"/>
              </w:rPr>
            </w:pPr>
          </w:p>
        </w:tc>
        <w:tc>
          <w:tcPr>
            <w:tcW w:w="1214"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系统故障修复响应时间</w:t>
            </w:r>
          </w:p>
        </w:tc>
        <w:tc>
          <w:tcPr>
            <w:tcW w:w="2277"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小于8小时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pPr>
              <w:pStyle w:val="4"/>
              <w:rPr>
                <w:rFonts w:ascii="Times New Roman" w:hAnsi="Times New Roman" w:eastAsia="宋体" w:cs="Times New Roman"/>
                <w:sz w:val="24"/>
                <w:szCs w:val="24"/>
              </w:rPr>
            </w:pPr>
          </w:p>
        </w:tc>
        <w:tc>
          <w:tcPr>
            <w:tcW w:w="781" w:type="pct"/>
            <w:vMerge w:val="restar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系统性能</w:t>
            </w:r>
          </w:p>
        </w:tc>
        <w:tc>
          <w:tcPr>
            <w:tcW w:w="1214"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一般操作</w:t>
            </w:r>
          </w:p>
        </w:tc>
        <w:tc>
          <w:tcPr>
            <w:tcW w:w="2277"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小于1000毫秒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pPr>
              <w:pStyle w:val="4"/>
              <w:rPr>
                <w:rFonts w:ascii="Times New Roman" w:hAnsi="Times New Roman" w:eastAsia="宋体" w:cs="Times New Roman"/>
                <w:sz w:val="24"/>
                <w:szCs w:val="24"/>
              </w:rPr>
            </w:pPr>
          </w:p>
        </w:tc>
        <w:tc>
          <w:tcPr>
            <w:tcW w:w="781" w:type="pct"/>
            <w:vMerge w:val="continue"/>
            <w:vAlign w:val="center"/>
          </w:tcPr>
          <w:p>
            <w:pPr>
              <w:pStyle w:val="4"/>
              <w:rPr>
                <w:rFonts w:ascii="Times New Roman" w:hAnsi="Times New Roman" w:eastAsia="宋体" w:cs="Times New Roman"/>
                <w:sz w:val="24"/>
                <w:szCs w:val="24"/>
              </w:rPr>
            </w:pPr>
          </w:p>
        </w:tc>
        <w:tc>
          <w:tcPr>
            <w:tcW w:w="1214"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复杂操作</w:t>
            </w:r>
          </w:p>
        </w:tc>
        <w:tc>
          <w:tcPr>
            <w:tcW w:w="2277"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小于1500毫秒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pPr>
              <w:pStyle w:val="4"/>
              <w:rPr>
                <w:rFonts w:ascii="Times New Roman" w:hAnsi="Times New Roman" w:eastAsia="宋体" w:cs="Times New Roman"/>
                <w:sz w:val="24"/>
                <w:szCs w:val="24"/>
              </w:rPr>
            </w:pPr>
          </w:p>
        </w:tc>
        <w:tc>
          <w:tcPr>
            <w:tcW w:w="781" w:type="pct"/>
            <w:vMerge w:val="continue"/>
            <w:vAlign w:val="center"/>
          </w:tcPr>
          <w:p>
            <w:pPr>
              <w:pStyle w:val="4"/>
              <w:rPr>
                <w:rFonts w:ascii="Times New Roman" w:hAnsi="Times New Roman" w:eastAsia="宋体" w:cs="Times New Roman"/>
                <w:sz w:val="24"/>
                <w:szCs w:val="24"/>
              </w:rPr>
            </w:pPr>
          </w:p>
        </w:tc>
        <w:tc>
          <w:tcPr>
            <w:tcW w:w="1214"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与校内系统共享数据周期</w:t>
            </w:r>
          </w:p>
        </w:tc>
        <w:tc>
          <w:tcPr>
            <w:tcW w:w="2277" w:type="pct"/>
            <w:vAlign w:val="center"/>
          </w:tcPr>
          <w:p>
            <w:pPr>
              <w:pStyle w:val="4"/>
              <w:rPr>
                <w:rFonts w:ascii="Times New Roman" w:hAnsi="Times New Roman" w:eastAsia="宋体" w:cs="Times New Roman"/>
                <w:sz w:val="24"/>
                <w:szCs w:val="24"/>
              </w:rPr>
            </w:pPr>
            <w:r>
              <w:rPr>
                <w:rFonts w:ascii="Times New Roman" w:hAnsi="Times New Roman" w:eastAsia="宋体" w:cs="Times New Roman"/>
                <w:sz w:val="24"/>
                <w:szCs w:val="24"/>
              </w:rPr>
              <w:t>小于0.5天</w:t>
            </w:r>
          </w:p>
        </w:tc>
      </w:tr>
    </w:tbl>
    <w:p>
      <w:pPr>
        <w:pStyle w:val="3"/>
        <w:numPr>
          <w:ilvl w:val="0"/>
          <w:numId w:val="2"/>
        </w:numPr>
        <w:spacing w:before="20" w:after="20"/>
        <w:ind w:left="993" w:hanging="426"/>
        <w:rPr>
          <w:sz w:val="24"/>
          <w:szCs w:val="24"/>
        </w:rPr>
      </w:pPr>
      <w:r>
        <w:rPr>
          <w:sz w:val="24"/>
          <w:szCs w:val="24"/>
        </w:rPr>
        <w:t>绩效目标</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177"/>
        <w:gridCol w:w="1875"/>
        <w:gridCol w:w="4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74" w:type="pct"/>
            <w:shd w:val="clear" w:color="auto" w:fill="auto"/>
            <w:noWrap/>
            <w:vAlign w:val="center"/>
          </w:tcPr>
          <w:p>
            <w:pPr>
              <w:widowControl/>
              <w:spacing w:line="276" w:lineRule="auto"/>
              <w:ind w:firstLine="0" w:firstLineChars="0"/>
              <w:jc w:val="center"/>
              <w:rPr>
                <w:b/>
                <w:bCs w:val="0"/>
                <w:color w:val="000000"/>
                <w:kern w:val="0"/>
              </w:rPr>
            </w:pPr>
            <w:r>
              <w:rPr>
                <w:b/>
                <w:bCs w:val="0"/>
                <w:color w:val="000000"/>
                <w:kern w:val="0"/>
              </w:rPr>
              <w:t>序号</w:t>
            </w:r>
          </w:p>
        </w:tc>
        <w:tc>
          <w:tcPr>
            <w:tcW w:w="702" w:type="pct"/>
            <w:shd w:val="clear" w:color="auto" w:fill="auto"/>
            <w:vAlign w:val="center"/>
          </w:tcPr>
          <w:p>
            <w:pPr>
              <w:widowControl/>
              <w:spacing w:line="276" w:lineRule="auto"/>
              <w:ind w:firstLine="0" w:firstLineChars="0"/>
              <w:jc w:val="center"/>
              <w:rPr>
                <w:b/>
                <w:bCs w:val="0"/>
                <w:color w:val="000000"/>
                <w:kern w:val="0"/>
              </w:rPr>
            </w:pPr>
            <w:r>
              <w:rPr>
                <w:b/>
                <w:bCs w:val="0"/>
                <w:color w:val="000000"/>
                <w:kern w:val="0"/>
              </w:rPr>
              <w:t>内容</w:t>
            </w:r>
          </w:p>
        </w:tc>
        <w:tc>
          <w:tcPr>
            <w:tcW w:w="1111" w:type="pct"/>
            <w:shd w:val="clear" w:color="auto" w:fill="auto"/>
            <w:vAlign w:val="center"/>
          </w:tcPr>
          <w:p>
            <w:pPr>
              <w:widowControl/>
              <w:spacing w:line="276" w:lineRule="auto"/>
              <w:ind w:firstLine="0" w:firstLineChars="0"/>
              <w:jc w:val="center"/>
              <w:rPr>
                <w:b/>
                <w:bCs w:val="0"/>
                <w:color w:val="000000"/>
                <w:kern w:val="0"/>
              </w:rPr>
            </w:pPr>
            <w:r>
              <w:rPr>
                <w:b/>
                <w:bCs w:val="0"/>
                <w:color w:val="000000"/>
                <w:kern w:val="0"/>
              </w:rPr>
              <w:t>考核指标</w:t>
            </w:r>
          </w:p>
        </w:tc>
        <w:tc>
          <w:tcPr>
            <w:tcW w:w="2813" w:type="pct"/>
            <w:shd w:val="clear" w:color="auto" w:fill="auto"/>
            <w:noWrap/>
            <w:vAlign w:val="center"/>
          </w:tcPr>
          <w:p>
            <w:pPr>
              <w:widowControl/>
              <w:spacing w:line="276" w:lineRule="auto"/>
              <w:ind w:firstLine="0" w:firstLineChars="0"/>
              <w:jc w:val="center"/>
              <w:rPr>
                <w:b/>
                <w:bCs w:val="0"/>
                <w:color w:val="000000"/>
                <w:kern w:val="0"/>
              </w:rPr>
            </w:pPr>
            <w:r>
              <w:rPr>
                <w:b/>
                <w:bCs w:val="0"/>
                <w:color w:val="000000"/>
                <w:kern w:val="0"/>
              </w:rPr>
              <w:t>指标内容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74" w:type="pct"/>
            <w:vMerge w:val="restart"/>
            <w:shd w:val="clear" w:color="auto" w:fill="auto"/>
            <w:noWrap/>
            <w:vAlign w:val="center"/>
          </w:tcPr>
          <w:p>
            <w:pPr>
              <w:widowControl/>
              <w:spacing w:line="276" w:lineRule="auto"/>
              <w:ind w:firstLine="0" w:firstLineChars="0"/>
              <w:jc w:val="center"/>
              <w:rPr>
                <w:color w:val="000000"/>
                <w:kern w:val="0"/>
              </w:rPr>
            </w:pPr>
            <w:r>
              <w:rPr>
                <w:color w:val="000000"/>
                <w:kern w:val="0"/>
              </w:rPr>
              <w:t>1</w:t>
            </w:r>
          </w:p>
        </w:tc>
        <w:tc>
          <w:tcPr>
            <w:tcW w:w="702" w:type="pct"/>
            <w:vMerge w:val="restart"/>
            <w:shd w:val="clear" w:color="auto" w:fill="auto"/>
            <w:vAlign w:val="center"/>
          </w:tcPr>
          <w:p>
            <w:pPr>
              <w:widowControl/>
              <w:spacing w:line="276" w:lineRule="auto"/>
              <w:ind w:firstLine="0" w:firstLineChars="0"/>
              <w:jc w:val="center"/>
              <w:rPr>
                <w:bCs w:val="0"/>
                <w:color w:val="000000"/>
                <w:kern w:val="0"/>
              </w:rPr>
            </w:pPr>
            <w:r>
              <w:rPr>
                <w:bCs w:val="0"/>
                <w:color w:val="000000"/>
                <w:kern w:val="0"/>
              </w:rPr>
              <w:t>建设成果的政策符合度</w:t>
            </w:r>
          </w:p>
        </w:tc>
        <w:tc>
          <w:tcPr>
            <w:tcW w:w="1111" w:type="pct"/>
            <w:shd w:val="clear" w:color="auto" w:fill="auto"/>
            <w:vAlign w:val="center"/>
          </w:tcPr>
          <w:p>
            <w:pPr>
              <w:widowControl/>
              <w:spacing w:line="276" w:lineRule="auto"/>
              <w:ind w:firstLine="0" w:firstLineChars="0"/>
              <w:jc w:val="center"/>
              <w:rPr>
                <w:color w:val="000000"/>
                <w:kern w:val="0"/>
              </w:rPr>
            </w:pPr>
            <w:r>
              <w:rPr>
                <w:color w:val="000000"/>
                <w:kern w:val="0"/>
              </w:rPr>
              <w:t>信息安全等级保护和密码使用合规性符合度</w:t>
            </w:r>
          </w:p>
        </w:tc>
        <w:tc>
          <w:tcPr>
            <w:tcW w:w="2813" w:type="pct"/>
            <w:shd w:val="clear" w:color="auto" w:fill="auto"/>
            <w:vAlign w:val="center"/>
          </w:tcPr>
          <w:p>
            <w:pPr>
              <w:widowControl/>
              <w:spacing w:line="276" w:lineRule="auto"/>
              <w:ind w:firstLine="0" w:firstLineChars="0"/>
              <w:jc w:val="left"/>
              <w:rPr>
                <w:color w:val="000000"/>
                <w:kern w:val="0"/>
              </w:rPr>
            </w:pPr>
            <w:r>
              <w:rPr>
                <w:color w:val="000000"/>
                <w:kern w:val="0"/>
              </w:rPr>
              <w:t>系统符合《信息安全等级保护管理办法》、《中华人民共和国密码法》。</w:t>
            </w:r>
          </w:p>
          <w:p>
            <w:pPr>
              <w:widowControl/>
              <w:spacing w:line="276" w:lineRule="auto"/>
              <w:ind w:firstLine="0" w:firstLineChars="0"/>
              <w:jc w:val="left"/>
              <w:rPr>
                <w:color w:val="000000"/>
                <w:kern w:val="0"/>
              </w:rPr>
            </w:pPr>
            <w:r>
              <w:rPr>
                <w:color w:val="000000"/>
                <w:kern w:val="0"/>
              </w:rPr>
              <w:t>1、系统通过国家信息系统安全等级保护（二级）。</w:t>
            </w:r>
            <w:r>
              <w:rPr>
                <w:color w:val="000000"/>
                <w:kern w:val="0"/>
              </w:rPr>
              <w:br w:type="textWrapping"/>
            </w:r>
            <w:r>
              <w:rPr>
                <w:color w:val="000000"/>
                <w:kern w:val="0"/>
              </w:rPr>
              <w:t>2、项目建设落实国家密码管理相关法律法规和标准规范。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4" w:type="pct"/>
            <w:vMerge w:val="continue"/>
            <w:vAlign w:val="center"/>
          </w:tcPr>
          <w:p>
            <w:pPr>
              <w:widowControl/>
              <w:spacing w:line="276" w:lineRule="auto"/>
              <w:ind w:firstLine="0" w:firstLineChars="0"/>
              <w:jc w:val="left"/>
              <w:rPr>
                <w:color w:val="000000"/>
                <w:kern w:val="0"/>
              </w:rPr>
            </w:pPr>
          </w:p>
        </w:tc>
        <w:tc>
          <w:tcPr>
            <w:tcW w:w="702" w:type="pct"/>
            <w:vMerge w:val="continue"/>
            <w:vAlign w:val="center"/>
          </w:tcPr>
          <w:p>
            <w:pPr>
              <w:widowControl/>
              <w:spacing w:line="276" w:lineRule="auto"/>
              <w:ind w:firstLine="0" w:firstLineChars="0"/>
              <w:jc w:val="left"/>
              <w:rPr>
                <w:bCs w:val="0"/>
                <w:color w:val="000000"/>
                <w:kern w:val="0"/>
              </w:rPr>
            </w:pPr>
          </w:p>
        </w:tc>
        <w:tc>
          <w:tcPr>
            <w:tcW w:w="1111" w:type="pct"/>
            <w:shd w:val="clear" w:color="auto" w:fill="auto"/>
            <w:vAlign w:val="center"/>
          </w:tcPr>
          <w:p>
            <w:pPr>
              <w:widowControl/>
              <w:spacing w:line="276" w:lineRule="auto"/>
              <w:ind w:firstLine="0" w:firstLineChars="0"/>
              <w:jc w:val="center"/>
              <w:rPr>
                <w:color w:val="000000"/>
                <w:kern w:val="0"/>
              </w:rPr>
            </w:pPr>
            <w:r>
              <w:rPr>
                <w:color w:val="000000"/>
                <w:kern w:val="0"/>
              </w:rPr>
              <w:t>IP</w:t>
            </w:r>
            <w:r>
              <w:rPr>
                <w:rFonts w:hint="eastAsia"/>
                <w:color w:val="000000"/>
                <w:kern w:val="0"/>
                <w:lang w:val="en-US" w:eastAsia="zh-CN"/>
              </w:rPr>
              <w:t>v</w:t>
            </w:r>
            <w:r>
              <w:rPr>
                <w:color w:val="000000"/>
                <w:kern w:val="0"/>
              </w:rPr>
              <w:t>6符合度</w:t>
            </w:r>
          </w:p>
        </w:tc>
        <w:tc>
          <w:tcPr>
            <w:tcW w:w="2813" w:type="pct"/>
            <w:shd w:val="clear" w:color="auto" w:fill="auto"/>
            <w:vAlign w:val="center"/>
          </w:tcPr>
          <w:p>
            <w:pPr>
              <w:widowControl/>
              <w:spacing w:line="276" w:lineRule="auto"/>
              <w:ind w:firstLine="0" w:firstLineChars="0"/>
              <w:jc w:val="left"/>
              <w:rPr>
                <w:color w:val="000000"/>
                <w:kern w:val="0"/>
              </w:rPr>
            </w:pPr>
            <w:r>
              <w:rPr>
                <w:color w:val="000000"/>
                <w:kern w:val="0"/>
              </w:rPr>
              <w:t>软件支持ipv4/ipv6双栈下运行/软件支持ipv6运行。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4" w:type="pct"/>
            <w:vMerge w:val="restart"/>
            <w:shd w:val="clear" w:color="auto" w:fill="auto"/>
            <w:noWrap/>
            <w:vAlign w:val="center"/>
          </w:tcPr>
          <w:p>
            <w:pPr>
              <w:widowControl/>
              <w:spacing w:line="276" w:lineRule="auto"/>
              <w:ind w:firstLine="0" w:firstLineChars="0"/>
              <w:jc w:val="center"/>
              <w:rPr>
                <w:color w:val="000000"/>
                <w:kern w:val="0"/>
              </w:rPr>
            </w:pPr>
            <w:r>
              <w:rPr>
                <w:color w:val="000000"/>
                <w:kern w:val="0"/>
              </w:rPr>
              <w:t>2</w:t>
            </w:r>
          </w:p>
        </w:tc>
        <w:tc>
          <w:tcPr>
            <w:tcW w:w="702" w:type="pct"/>
            <w:vMerge w:val="restart"/>
            <w:shd w:val="clear" w:color="auto" w:fill="auto"/>
            <w:vAlign w:val="center"/>
          </w:tcPr>
          <w:p>
            <w:pPr>
              <w:widowControl/>
              <w:spacing w:line="276" w:lineRule="auto"/>
              <w:ind w:firstLine="0" w:firstLineChars="0"/>
              <w:jc w:val="center"/>
              <w:rPr>
                <w:bCs w:val="0"/>
                <w:color w:val="000000"/>
                <w:kern w:val="0"/>
              </w:rPr>
            </w:pPr>
            <w:r>
              <w:rPr>
                <w:bCs w:val="0"/>
                <w:color w:val="000000"/>
                <w:kern w:val="0"/>
              </w:rPr>
              <w:t>系统客观技术指标</w:t>
            </w:r>
          </w:p>
        </w:tc>
        <w:tc>
          <w:tcPr>
            <w:tcW w:w="1111" w:type="pct"/>
            <w:shd w:val="clear" w:color="auto" w:fill="auto"/>
            <w:vAlign w:val="center"/>
          </w:tcPr>
          <w:p>
            <w:pPr>
              <w:widowControl/>
              <w:spacing w:line="276" w:lineRule="auto"/>
              <w:ind w:firstLine="0" w:firstLineChars="0"/>
              <w:jc w:val="center"/>
              <w:rPr>
                <w:color w:val="000000"/>
                <w:kern w:val="0"/>
              </w:rPr>
            </w:pPr>
            <w:r>
              <w:rPr>
                <w:color w:val="000000"/>
                <w:kern w:val="0"/>
              </w:rPr>
              <w:t>常态在线人数均值</w:t>
            </w:r>
          </w:p>
        </w:tc>
        <w:tc>
          <w:tcPr>
            <w:tcW w:w="2813" w:type="pct"/>
            <w:shd w:val="clear" w:color="auto" w:fill="auto"/>
            <w:vAlign w:val="center"/>
          </w:tcPr>
          <w:p>
            <w:pPr>
              <w:widowControl/>
              <w:spacing w:line="276" w:lineRule="auto"/>
              <w:ind w:firstLine="0" w:firstLineChars="0"/>
              <w:jc w:val="left"/>
              <w:rPr>
                <w:color w:val="000000"/>
                <w:kern w:val="0"/>
              </w:rPr>
            </w:pPr>
            <w:r>
              <w:rPr>
                <w:color w:val="000000"/>
                <w:kern w:val="0"/>
              </w:rPr>
              <w:t>系统平均每日同时在线人数3000人。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74" w:type="pct"/>
            <w:vMerge w:val="continue"/>
            <w:vAlign w:val="center"/>
          </w:tcPr>
          <w:p>
            <w:pPr>
              <w:widowControl/>
              <w:spacing w:line="276" w:lineRule="auto"/>
              <w:ind w:firstLine="0" w:firstLineChars="0"/>
              <w:jc w:val="left"/>
              <w:rPr>
                <w:color w:val="000000"/>
                <w:kern w:val="0"/>
              </w:rPr>
            </w:pPr>
          </w:p>
        </w:tc>
        <w:tc>
          <w:tcPr>
            <w:tcW w:w="702" w:type="pct"/>
            <w:vMerge w:val="continue"/>
            <w:vAlign w:val="center"/>
          </w:tcPr>
          <w:p>
            <w:pPr>
              <w:widowControl/>
              <w:spacing w:line="276" w:lineRule="auto"/>
              <w:ind w:firstLine="0" w:firstLineChars="0"/>
              <w:jc w:val="left"/>
              <w:rPr>
                <w:bCs w:val="0"/>
                <w:color w:val="000000"/>
                <w:kern w:val="0"/>
              </w:rPr>
            </w:pPr>
          </w:p>
        </w:tc>
        <w:tc>
          <w:tcPr>
            <w:tcW w:w="1111" w:type="pct"/>
            <w:shd w:val="clear" w:color="auto" w:fill="auto"/>
            <w:vAlign w:val="center"/>
          </w:tcPr>
          <w:p>
            <w:pPr>
              <w:widowControl/>
              <w:spacing w:line="276" w:lineRule="auto"/>
              <w:ind w:firstLine="0" w:firstLineChars="0"/>
              <w:jc w:val="center"/>
              <w:rPr>
                <w:color w:val="000000"/>
                <w:kern w:val="0"/>
              </w:rPr>
            </w:pPr>
            <w:r>
              <w:rPr>
                <w:color w:val="000000"/>
                <w:kern w:val="0"/>
              </w:rPr>
              <w:t>日平均运行时间</w:t>
            </w:r>
          </w:p>
        </w:tc>
        <w:tc>
          <w:tcPr>
            <w:tcW w:w="2813" w:type="pct"/>
            <w:shd w:val="clear" w:color="auto" w:fill="auto"/>
            <w:vAlign w:val="center"/>
          </w:tcPr>
          <w:p>
            <w:pPr>
              <w:widowControl/>
              <w:spacing w:line="276" w:lineRule="auto"/>
              <w:ind w:firstLine="0" w:firstLineChars="0"/>
              <w:jc w:val="left"/>
              <w:rPr>
                <w:color w:val="000000"/>
                <w:kern w:val="0"/>
              </w:rPr>
            </w:pPr>
            <w:r>
              <w:rPr>
                <w:color w:val="000000"/>
                <w:kern w:val="0"/>
              </w:rPr>
              <w:t>系统每年在线时间12个月，在线期间提供7*24小时服务。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374" w:type="pct"/>
            <w:vMerge w:val="restart"/>
            <w:shd w:val="clear" w:color="auto" w:fill="auto"/>
            <w:noWrap/>
            <w:vAlign w:val="center"/>
          </w:tcPr>
          <w:p>
            <w:pPr>
              <w:widowControl/>
              <w:spacing w:line="276" w:lineRule="auto"/>
              <w:ind w:firstLine="0" w:firstLineChars="0"/>
              <w:jc w:val="center"/>
              <w:rPr>
                <w:color w:val="000000"/>
                <w:kern w:val="0"/>
              </w:rPr>
            </w:pPr>
            <w:r>
              <w:rPr>
                <w:color w:val="000000"/>
                <w:kern w:val="0"/>
              </w:rPr>
              <w:t>3</w:t>
            </w:r>
          </w:p>
        </w:tc>
        <w:tc>
          <w:tcPr>
            <w:tcW w:w="702" w:type="pct"/>
            <w:vMerge w:val="restart"/>
            <w:shd w:val="clear" w:color="auto" w:fill="auto"/>
            <w:vAlign w:val="center"/>
          </w:tcPr>
          <w:p>
            <w:pPr>
              <w:widowControl/>
              <w:spacing w:line="276" w:lineRule="auto"/>
              <w:ind w:firstLine="0" w:firstLineChars="0"/>
              <w:jc w:val="center"/>
              <w:rPr>
                <w:bCs w:val="0"/>
                <w:color w:val="000000"/>
                <w:kern w:val="0"/>
              </w:rPr>
            </w:pPr>
            <w:r>
              <w:rPr>
                <w:bCs w:val="0"/>
                <w:color w:val="000000"/>
                <w:kern w:val="0"/>
              </w:rPr>
              <w:t>教务绩效提升度</w:t>
            </w:r>
          </w:p>
        </w:tc>
        <w:tc>
          <w:tcPr>
            <w:tcW w:w="1111" w:type="pct"/>
            <w:shd w:val="clear" w:color="auto" w:fill="auto"/>
            <w:vAlign w:val="center"/>
          </w:tcPr>
          <w:p>
            <w:pPr>
              <w:widowControl/>
              <w:spacing w:line="276" w:lineRule="auto"/>
              <w:ind w:firstLine="0" w:firstLineChars="0"/>
              <w:jc w:val="center"/>
              <w:rPr>
                <w:color w:val="000000"/>
                <w:kern w:val="0"/>
              </w:rPr>
            </w:pPr>
            <w:r>
              <w:rPr>
                <w:color w:val="000000"/>
                <w:kern w:val="0"/>
              </w:rPr>
              <w:t>新增自动化功能数量</w:t>
            </w:r>
          </w:p>
        </w:tc>
        <w:tc>
          <w:tcPr>
            <w:tcW w:w="2813" w:type="pct"/>
            <w:shd w:val="clear" w:color="auto" w:fill="auto"/>
            <w:vAlign w:val="center"/>
          </w:tcPr>
          <w:p>
            <w:pPr>
              <w:widowControl/>
              <w:spacing w:line="276" w:lineRule="auto"/>
              <w:ind w:firstLine="0" w:firstLineChars="0"/>
              <w:jc w:val="left"/>
              <w:rPr>
                <w:color w:val="000000"/>
                <w:kern w:val="0"/>
              </w:rPr>
            </w:pPr>
            <w:r>
              <w:rPr>
                <w:color w:val="000000"/>
                <w:kern w:val="0"/>
              </w:rPr>
              <w:t>项目实现的自动化功能数量范围，如自动统计、自动归档、自动备份、自动检测、自动生成、自动分配、自动排考、自动计算、自动导入、自动记录、自动判断、自动指定、自动初始化、自动校验、自动发送。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4" w:type="pct"/>
            <w:vMerge w:val="continue"/>
            <w:vAlign w:val="center"/>
          </w:tcPr>
          <w:p>
            <w:pPr>
              <w:widowControl/>
              <w:spacing w:line="276" w:lineRule="auto"/>
              <w:ind w:firstLine="0" w:firstLineChars="0"/>
              <w:jc w:val="left"/>
              <w:rPr>
                <w:color w:val="000000"/>
                <w:kern w:val="0"/>
              </w:rPr>
            </w:pPr>
          </w:p>
        </w:tc>
        <w:tc>
          <w:tcPr>
            <w:tcW w:w="702" w:type="pct"/>
            <w:vMerge w:val="continue"/>
            <w:vAlign w:val="center"/>
          </w:tcPr>
          <w:p>
            <w:pPr>
              <w:widowControl/>
              <w:spacing w:line="276" w:lineRule="auto"/>
              <w:ind w:firstLine="0" w:firstLineChars="0"/>
              <w:jc w:val="left"/>
              <w:rPr>
                <w:bCs w:val="0"/>
                <w:color w:val="000000"/>
                <w:kern w:val="0"/>
              </w:rPr>
            </w:pPr>
          </w:p>
        </w:tc>
        <w:tc>
          <w:tcPr>
            <w:tcW w:w="1111" w:type="pct"/>
            <w:shd w:val="clear" w:color="auto" w:fill="auto"/>
            <w:vAlign w:val="center"/>
          </w:tcPr>
          <w:p>
            <w:pPr>
              <w:widowControl/>
              <w:spacing w:line="276" w:lineRule="auto"/>
              <w:ind w:firstLine="0" w:firstLineChars="0"/>
              <w:jc w:val="center"/>
              <w:rPr>
                <w:color w:val="000000"/>
                <w:kern w:val="0"/>
              </w:rPr>
            </w:pPr>
            <w:r>
              <w:rPr>
                <w:color w:val="000000"/>
                <w:kern w:val="0"/>
              </w:rPr>
              <w:t>辅助决策能力提升情况</w:t>
            </w:r>
          </w:p>
        </w:tc>
        <w:tc>
          <w:tcPr>
            <w:tcW w:w="2813" w:type="pct"/>
            <w:shd w:val="clear" w:color="auto" w:fill="auto"/>
            <w:vAlign w:val="center"/>
          </w:tcPr>
          <w:p>
            <w:pPr>
              <w:widowControl/>
              <w:spacing w:line="276" w:lineRule="auto"/>
              <w:ind w:firstLine="0" w:firstLineChars="0"/>
              <w:jc w:val="left"/>
              <w:rPr>
                <w:color w:val="000000"/>
                <w:kern w:val="0"/>
              </w:rPr>
            </w:pPr>
            <w:r>
              <w:rPr>
                <w:color w:val="000000"/>
                <w:kern w:val="0"/>
              </w:rPr>
              <w:t>系统设计大量的报表打印、统计、教学、测试等辅助功能，决策能力提升30%以上。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74" w:type="pct"/>
            <w:vMerge w:val="continue"/>
            <w:vAlign w:val="center"/>
          </w:tcPr>
          <w:p>
            <w:pPr>
              <w:widowControl/>
              <w:spacing w:line="276" w:lineRule="auto"/>
              <w:ind w:firstLine="0" w:firstLineChars="0"/>
              <w:jc w:val="left"/>
              <w:rPr>
                <w:color w:val="000000"/>
                <w:kern w:val="0"/>
              </w:rPr>
            </w:pPr>
          </w:p>
        </w:tc>
        <w:tc>
          <w:tcPr>
            <w:tcW w:w="702" w:type="pct"/>
            <w:vMerge w:val="continue"/>
            <w:vAlign w:val="center"/>
          </w:tcPr>
          <w:p>
            <w:pPr>
              <w:widowControl/>
              <w:spacing w:line="276" w:lineRule="auto"/>
              <w:ind w:firstLine="0" w:firstLineChars="0"/>
              <w:jc w:val="left"/>
              <w:rPr>
                <w:bCs w:val="0"/>
                <w:color w:val="000000"/>
                <w:kern w:val="0"/>
              </w:rPr>
            </w:pPr>
          </w:p>
        </w:tc>
        <w:tc>
          <w:tcPr>
            <w:tcW w:w="1111" w:type="pct"/>
            <w:shd w:val="clear" w:color="auto" w:fill="auto"/>
            <w:vAlign w:val="center"/>
          </w:tcPr>
          <w:p>
            <w:pPr>
              <w:widowControl/>
              <w:spacing w:line="276" w:lineRule="auto"/>
              <w:ind w:firstLine="0" w:firstLineChars="0"/>
              <w:jc w:val="center"/>
              <w:rPr>
                <w:color w:val="000000"/>
                <w:kern w:val="0"/>
              </w:rPr>
            </w:pPr>
            <w:r>
              <w:rPr>
                <w:color w:val="000000"/>
                <w:kern w:val="0"/>
              </w:rPr>
              <w:t>监管/服务能力提升情况</w:t>
            </w:r>
          </w:p>
        </w:tc>
        <w:tc>
          <w:tcPr>
            <w:tcW w:w="2813" w:type="pct"/>
            <w:shd w:val="clear" w:color="auto" w:fill="auto"/>
            <w:vAlign w:val="center"/>
          </w:tcPr>
          <w:p>
            <w:pPr>
              <w:widowControl/>
              <w:spacing w:line="276" w:lineRule="auto"/>
              <w:ind w:firstLine="0" w:firstLineChars="0"/>
              <w:jc w:val="left"/>
              <w:rPr>
                <w:color w:val="000000"/>
                <w:kern w:val="0"/>
              </w:rPr>
            </w:pPr>
            <w:r>
              <w:rPr>
                <w:color w:val="000000"/>
                <w:kern w:val="0"/>
              </w:rPr>
              <w:t>设计学业预警功能，按照学业预警环节设置学业预警规则。在修习学分、中期考核、论文开题、中期检查、预答辩、论文盲审、学位授予等方面提供10项预警功能，监管能力提升50%以上。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4" w:type="pct"/>
            <w:vMerge w:val="restart"/>
            <w:shd w:val="clear" w:color="auto" w:fill="auto"/>
            <w:noWrap/>
            <w:vAlign w:val="center"/>
          </w:tcPr>
          <w:p>
            <w:pPr>
              <w:widowControl/>
              <w:spacing w:line="276" w:lineRule="auto"/>
              <w:ind w:firstLine="0" w:firstLineChars="0"/>
              <w:jc w:val="center"/>
              <w:rPr>
                <w:color w:val="000000"/>
                <w:kern w:val="0"/>
              </w:rPr>
            </w:pPr>
            <w:r>
              <w:rPr>
                <w:color w:val="000000"/>
                <w:kern w:val="0"/>
              </w:rPr>
              <w:t>4</w:t>
            </w:r>
          </w:p>
        </w:tc>
        <w:tc>
          <w:tcPr>
            <w:tcW w:w="702" w:type="pct"/>
            <w:vMerge w:val="restart"/>
            <w:shd w:val="clear" w:color="auto" w:fill="auto"/>
            <w:vAlign w:val="center"/>
          </w:tcPr>
          <w:p>
            <w:pPr>
              <w:widowControl/>
              <w:spacing w:line="276" w:lineRule="auto"/>
              <w:ind w:firstLine="0" w:firstLineChars="0"/>
              <w:jc w:val="center"/>
              <w:rPr>
                <w:bCs w:val="0"/>
                <w:color w:val="000000"/>
                <w:kern w:val="0"/>
              </w:rPr>
            </w:pPr>
            <w:r>
              <w:rPr>
                <w:bCs w:val="0"/>
                <w:color w:val="000000"/>
                <w:kern w:val="0"/>
              </w:rPr>
              <w:t>教育服务效果</w:t>
            </w:r>
          </w:p>
        </w:tc>
        <w:tc>
          <w:tcPr>
            <w:tcW w:w="1111" w:type="pct"/>
            <w:shd w:val="clear" w:color="auto" w:fill="auto"/>
            <w:vAlign w:val="center"/>
          </w:tcPr>
          <w:p>
            <w:pPr>
              <w:widowControl/>
              <w:spacing w:line="276" w:lineRule="auto"/>
              <w:ind w:firstLine="0" w:firstLineChars="0"/>
              <w:jc w:val="center"/>
              <w:rPr>
                <w:color w:val="000000"/>
                <w:kern w:val="0"/>
              </w:rPr>
            </w:pPr>
            <w:r>
              <w:rPr>
                <w:color w:val="000000"/>
                <w:kern w:val="0"/>
              </w:rPr>
              <w:t>日平均访问次数</w:t>
            </w:r>
          </w:p>
        </w:tc>
        <w:tc>
          <w:tcPr>
            <w:tcW w:w="2813" w:type="pct"/>
            <w:shd w:val="clear" w:color="auto" w:fill="auto"/>
            <w:vAlign w:val="center"/>
          </w:tcPr>
          <w:p>
            <w:pPr>
              <w:widowControl/>
              <w:spacing w:line="276" w:lineRule="auto"/>
              <w:ind w:firstLine="0" w:firstLineChars="0"/>
              <w:jc w:val="left"/>
              <w:rPr>
                <w:color w:val="000000"/>
                <w:kern w:val="0"/>
              </w:rPr>
            </w:pPr>
            <w:r>
              <w:rPr>
                <w:color w:val="000000"/>
                <w:kern w:val="0"/>
              </w:rPr>
              <w:t>系统平均每日访问总次数1500次/日。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4" w:type="pct"/>
            <w:vMerge w:val="continue"/>
            <w:vAlign w:val="center"/>
          </w:tcPr>
          <w:p>
            <w:pPr>
              <w:widowControl/>
              <w:spacing w:line="276" w:lineRule="auto"/>
              <w:ind w:firstLine="0" w:firstLineChars="0"/>
              <w:jc w:val="left"/>
              <w:rPr>
                <w:color w:val="000000"/>
                <w:kern w:val="0"/>
              </w:rPr>
            </w:pPr>
          </w:p>
        </w:tc>
        <w:tc>
          <w:tcPr>
            <w:tcW w:w="702" w:type="pct"/>
            <w:vMerge w:val="continue"/>
            <w:vAlign w:val="center"/>
          </w:tcPr>
          <w:p>
            <w:pPr>
              <w:widowControl/>
              <w:spacing w:line="276" w:lineRule="auto"/>
              <w:ind w:firstLine="0" w:firstLineChars="0"/>
              <w:jc w:val="left"/>
              <w:rPr>
                <w:bCs w:val="0"/>
                <w:color w:val="000000"/>
                <w:kern w:val="0"/>
              </w:rPr>
            </w:pPr>
          </w:p>
        </w:tc>
        <w:tc>
          <w:tcPr>
            <w:tcW w:w="1111" w:type="pct"/>
            <w:shd w:val="clear" w:color="auto" w:fill="auto"/>
            <w:vAlign w:val="center"/>
          </w:tcPr>
          <w:p>
            <w:pPr>
              <w:widowControl/>
              <w:spacing w:line="276" w:lineRule="auto"/>
              <w:ind w:firstLine="0" w:firstLineChars="0"/>
              <w:jc w:val="center"/>
              <w:rPr>
                <w:color w:val="000000"/>
                <w:kern w:val="0"/>
              </w:rPr>
            </w:pPr>
            <w:r>
              <w:rPr>
                <w:color w:val="000000"/>
                <w:kern w:val="0"/>
              </w:rPr>
              <w:t>在线解决问题个数</w:t>
            </w:r>
          </w:p>
        </w:tc>
        <w:tc>
          <w:tcPr>
            <w:tcW w:w="2813" w:type="pct"/>
            <w:shd w:val="clear" w:color="auto" w:fill="auto"/>
            <w:vAlign w:val="center"/>
          </w:tcPr>
          <w:p>
            <w:pPr>
              <w:widowControl/>
              <w:spacing w:line="276" w:lineRule="auto"/>
              <w:ind w:firstLine="0" w:firstLineChars="0"/>
              <w:jc w:val="left"/>
              <w:rPr>
                <w:color w:val="000000"/>
                <w:kern w:val="0"/>
              </w:rPr>
            </w:pPr>
            <w:r>
              <w:rPr>
                <w:color w:val="000000"/>
                <w:kern w:val="0"/>
              </w:rPr>
              <w:t>系统平均每日在线解决问题数量50个/日，包含电话、邮件等所有解答问题的渠道。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4" w:type="pct"/>
            <w:vMerge w:val="continue"/>
            <w:vAlign w:val="center"/>
          </w:tcPr>
          <w:p>
            <w:pPr>
              <w:widowControl/>
              <w:spacing w:line="276" w:lineRule="auto"/>
              <w:ind w:firstLine="0" w:firstLineChars="0"/>
              <w:jc w:val="left"/>
              <w:rPr>
                <w:color w:val="000000"/>
                <w:kern w:val="0"/>
              </w:rPr>
            </w:pPr>
          </w:p>
        </w:tc>
        <w:tc>
          <w:tcPr>
            <w:tcW w:w="702" w:type="pct"/>
            <w:vMerge w:val="continue"/>
            <w:vAlign w:val="center"/>
          </w:tcPr>
          <w:p>
            <w:pPr>
              <w:widowControl/>
              <w:spacing w:line="276" w:lineRule="auto"/>
              <w:ind w:firstLine="0" w:firstLineChars="0"/>
              <w:jc w:val="left"/>
              <w:rPr>
                <w:bCs w:val="0"/>
                <w:color w:val="000000"/>
                <w:kern w:val="0"/>
              </w:rPr>
            </w:pPr>
          </w:p>
        </w:tc>
        <w:tc>
          <w:tcPr>
            <w:tcW w:w="1111" w:type="pct"/>
            <w:shd w:val="clear" w:color="auto" w:fill="auto"/>
            <w:vAlign w:val="center"/>
          </w:tcPr>
          <w:p>
            <w:pPr>
              <w:widowControl/>
              <w:spacing w:line="276" w:lineRule="auto"/>
              <w:ind w:firstLine="0" w:firstLineChars="0"/>
              <w:jc w:val="center"/>
              <w:rPr>
                <w:color w:val="000000"/>
                <w:kern w:val="0"/>
              </w:rPr>
            </w:pPr>
            <w:r>
              <w:rPr>
                <w:color w:val="000000"/>
                <w:kern w:val="0"/>
              </w:rPr>
              <w:t>在线评价情况分析</w:t>
            </w:r>
          </w:p>
        </w:tc>
        <w:tc>
          <w:tcPr>
            <w:tcW w:w="2813" w:type="pct"/>
            <w:shd w:val="clear" w:color="auto" w:fill="auto"/>
            <w:vAlign w:val="center"/>
          </w:tcPr>
          <w:p>
            <w:pPr>
              <w:widowControl/>
              <w:spacing w:line="276" w:lineRule="auto"/>
              <w:ind w:firstLine="0" w:firstLineChars="0"/>
              <w:jc w:val="left"/>
              <w:rPr>
                <w:color w:val="000000"/>
                <w:kern w:val="0"/>
              </w:rPr>
            </w:pPr>
            <w:r>
              <w:rPr>
                <w:color w:val="000000"/>
                <w:kern w:val="0"/>
              </w:rPr>
              <w:t>用户进行在线评价的数量50次/日。</w:t>
            </w:r>
          </w:p>
        </w:tc>
      </w:tr>
    </w:tbl>
    <w:p>
      <w:pPr>
        <w:ind w:firstLine="0" w:firstLineChars="0"/>
      </w:pPr>
    </w:p>
    <w:p>
      <w:pPr>
        <w:pStyle w:val="2"/>
        <w:ind w:firstLine="1"/>
      </w:pPr>
      <w:bookmarkStart w:id="11" w:name="_Toc47536676"/>
      <w:bookmarkEnd w:id="11"/>
      <w:bookmarkStart w:id="12" w:name="_Toc47533288"/>
      <w:bookmarkEnd w:id="12"/>
      <w:bookmarkStart w:id="13" w:name="_Toc47537166"/>
      <w:bookmarkEnd w:id="13"/>
      <w:bookmarkStart w:id="14" w:name="_Toc47532923"/>
      <w:bookmarkEnd w:id="14"/>
      <w:bookmarkStart w:id="15" w:name="_Toc47536304"/>
      <w:bookmarkEnd w:id="15"/>
      <w:bookmarkStart w:id="16" w:name="_Toc47539102"/>
      <w:bookmarkEnd w:id="16"/>
      <w:r>
        <w:t>项目建设内容</w:t>
      </w:r>
    </w:p>
    <w:p>
      <w:r>
        <w:t>本次项目拟升级改造的研究生教育综合管理系统包括学籍管理、培养管理、学位管理、导师管理、移动服务、学生成长数据采集管理、集成对接服务、密码应用等八个子系统和论文自主送审平台服务，旨在实现各级各类管理部门无纸化信息收集、存储、处理、传递，进一步规范学校的研究生工作管理。本项目利用信息化手段对学校的研究生教育领域教学、科研、人才培养、学位、导师等信息资源提供数字化服务，不仅提高管理效率，优化资源配置，提升研究生培养质量，还可加强学科交叉与跨部门合作，实现研究生教育信息化和数字化，提前预测和预警，促进研究生教育公平，实现学校研究生教育信息化、决策科学化和管理规范化。本项目结合研究生产教融合培养需求，对研究生教育教学各项管理工作流程进行系统定制开发。</w:t>
      </w:r>
    </w:p>
    <w:p>
      <w:r>
        <w:t>（1）各类型学生特色化管理：区分学术型及专业型差异，参照学校教学管理办法，支持对研招硕士、研招博士、留学生等类型学生进行业务流程、存档材料、数据标准等方面差异化管理。</w:t>
      </w:r>
    </w:p>
    <w:p>
      <w:r>
        <w:t>（2）标准接口建设：面向校内其他业务系统、第三方平台、国家级平台、上海市平台，实现数据互联互通，充分发挥数据的综合能效。</w:t>
      </w:r>
    </w:p>
    <w:p>
      <w:r>
        <w:t>（3）无纸化办公建设：扫码手写签名，采集电子签章，定制各类存档及过程材料模版（学籍卡、培养计划表、学生成绩单、课程成绩单、教学大纲、开题报告、中期考核报告、答辩申请书、学位审批书、上会材料、表决票、授予学位决议书、学位备案信息确认表、学位证书、毕业证书等），可随时导出带有电子签名及电子章的完整版存档材料及研究生教育管理工作相关的其他材料。</w:t>
      </w:r>
    </w:p>
    <w:p>
      <w:pPr>
        <w:pStyle w:val="29"/>
        <w:ind w:firstLine="360"/>
        <w:rPr>
          <w:rFonts w:eastAsia="宋体"/>
        </w:rPr>
      </w:pPr>
      <w:r>
        <w:rPr>
          <w:rFonts w:eastAsia="宋体"/>
        </w:rPr>
        <w:t>（4）</w:t>
      </w:r>
      <w:bookmarkStart w:id="17" w:name="OLE_LINK4"/>
      <w:bookmarkStart w:id="18" w:name="OLE_LINK3"/>
      <w:r>
        <w:rPr>
          <w:rFonts w:eastAsia="宋体"/>
        </w:rPr>
        <w:t>支撑留学生国际化培养：构建英文版研究生教育关键术语库，采集英文版基础数据，从功能菜单、信息项名称、操作按钮、提示语、展示数据、CODE字典等方面进行全面英文版国际化系统建设，通过针对性地定制开发增强对留学生的友好性、便捷性及易用性，支持留学生的双语服务。</w:t>
      </w:r>
      <w:bookmarkEnd w:id="17"/>
      <w:bookmarkEnd w:id="18"/>
    </w:p>
    <w:p/>
    <w:p>
      <w:pPr>
        <w:pStyle w:val="3"/>
        <w:numPr>
          <w:ilvl w:val="0"/>
          <w:numId w:val="3"/>
        </w:numPr>
        <w:spacing w:before="20" w:after="20"/>
        <w:ind w:left="993" w:hanging="426"/>
        <w:rPr>
          <w:sz w:val="24"/>
          <w:szCs w:val="24"/>
        </w:rPr>
      </w:pPr>
      <w:r>
        <w:rPr>
          <w:sz w:val="24"/>
          <w:szCs w:val="24"/>
        </w:rPr>
        <w:t>总体要求</w:t>
      </w:r>
    </w:p>
    <w:p>
      <w:pPr>
        <w:ind w:firstLine="482"/>
        <w:rPr>
          <w:b/>
        </w:rPr>
      </w:pPr>
      <w:r>
        <w:rPr>
          <w:b/>
        </w:rPr>
        <w:t>1.1 软件系统要求概述</w:t>
      </w:r>
    </w:p>
    <w:p>
      <w:r>
        <w:t>(1)账户分配及管理：能实现与学校网络中心统一的身份认证及账户分角色，分权限，分层次的分配与管理，包含超级用户(能管理整个系统), 科室管理员用户(能管理所属工作),学院账号(能管理学院工作),教师账号，学生账号，学校职能部门账号(能在权限范围内查询和引用数据)。</w:t>
      </w:r>
    </w:p>
    <w:p>
      <w:r>
        <w:t>系统支持在线查看应用异常信息日志、版本日志信息、应用导出日志查询、 应用导入日志查询、导入异常信息查询、操作日志查询，支持查看日志详细信息。</w:t>
      </w:r>
    </w:p>
    <w:p>
      <w:r>
        <w:t>(2)数据交换功能：能实现研究生院内部各科室之间的数据交换，各科室数据在逻辑上形成一张共同维护的大表，数据流从招生口进入后，数据字段在各阶段只增不减，同时对接学校公共数据平台，能实现与校内研究生教育相关部门之间在权限范围内的数据查询与引用，与上级主管部门对接。</w:t>
      </w:r>
    </w:p>
    <w:p>
      <w:r>
        <w:t>(3)界面嵌入功能：与研究生院已有的一些系统实现相互嵌入，例如研究生院网站，学校办事大厅，一网通办等。</w:t>
      </w:r>
    </w:p>
    <w:p>
      <w:r>
        <w:t>(4)系统对接功能：以学校公共数据平台为依据，与学校党办、校办、信息化办公室、发展规划处、科研处、教师工作部、人事处、财务处、教务处、国际教育学院、学生工作部、宣传部、对外联络办公室、图书馆、档案馆、继续教育学院等部门完成对接，实现各种数据的交互。</w:t>
      </w:r>
    </w:p>
    <w:p>
      <w:r>
        <w:t>（5）数据填报功能：各填报业务需按照学校既定模版生成填报页面，可进行必录性、合规性校验，最后可综合填报内容、审批意见、电子签名、电子章生成既定格式存档材料。</w:t>
      </w:r>
    </w:p>
    <w:p>
      <w:r>
        <w:t>(6)通知公告：研究生院各部门能通过通知公告和企业微信与学生，教师、学院，校内各部门沟通，发通知，发文件等，能通过微信、短信、邮箱等方式通知到本人。</w:t>
      </w:r>
    </w:p>
    <w:p>
      <w:pPr>
        <w:rPr>
          <w:rFonts w:eastAsiaTheme="minorEastAsia"/>
        </w:rPr>
      </w:pPr>
      <w:r>
        <w:rPr>
          <w:rFonts w:eastAsiaTheme="minorEastAsia"/>
        </w:rPr>
        <w:t>（7）线上沟通交流：支持学院研究生工作秘书、导师、任课教师在线留言，研究生院管理员在线审核及回复，研究生院管理员可将典型需求/问题标注转发技术支持，技术支持可在线回复。各级人员可见历史问题处理进度。</w:t>
      </w:r>
    </w:p>
    <w:p>
      <w:pPr>
        <w:rPr>
          <w:rFonts w:eastAsiaTheme="minorEastAsia"/>
        </w:rPr>
      </w:pPr>
      <w:r>
        <w:rPr>
          <w:rFonts w:eastAsiaTheme="minorEastAsia"/>
        </w:rPr>
        <w:t>（8）响应国家关于培养卓越工程师号召，预留卓越工程师建设相关组织架构调整、课程体系优化、产学研结合、扩展国际视野等建设接口。</w:t>
      </w:r>
    </w:p>
    <w:p>
      <w:pPr>
        <w:ind w:firstLine="482"/>
        <w:rPr>
          <w:b/>
        </w:rPr>
      </w:pPr>
      <w:r>
        <w:rPr>
          <w:b/>
        </w:rPr>
        <w:t>1.2 技术要求</w:t>
      </w:r>
    </w:p>
    <w:p>
      <w:r>
        <w:t>(1)系统可运行于Linux、Unix、Windows等高安全性操作系统上。</w:t>
      </w:r>
    </w:p>
    <w:p>
      <w:r>
        <w:t>(2)系统要求采用纯B/S结构，J2EE标准、Java编程语言和服务器端Java技术进行开发，保持数据的一致性。</w:t>
      </w:r>
    </w:p>
    <w:p>
      <w:r>
        <w:t>(3)采用面向对象的组件技术，着重于开发构成应用程序“业务对象”的可重复使用的组件，利用这些组件顺利地建立分布式应用程序。</w:t>
      </w:r>
    </w:p>
    <w:p>
      <w:r>
        <w:t>(4)多浏览器适配，支持当前市面上的主流浏览器，包含Google Chrome, Safari, IE, Firefox, Opera，360，Edge浏览器等，且至少兼容两种国产浏览器。</w:t>
      </w:r>
    </w:p>
    <w:p>
      <w:pPr>
        <w:rPr>
          <w:rFonts w:hint="eastAsia" w:eastAsia="宋体"/>
          <w:lang w:eastAsia="zh-CN"/>
        </w:rPr>
      </w:pPr>
      <w:r>
        <w:t>(5) 系统对接统一身份认证系统和统一门户系统，各应用系统均采用现有先进技术手段，采用相同的体系结构和运行平台，按照统一的业务模型构建业务，系统结构层次清晰，所有应用逻辑、流程、数据等都应当能够根据合理的颗粒度进行封装（提供具备CNAS或CMA资质的第三方检测机构出具的相关检测报告）</w:t>
      </w:r>
      <w:r>
        <w:rPr>
          <w:rFonts w:hint="eastAsia"/>
          <w:lang w:eastAsia="zh-CN"/>
        </w:rPr>
        <w:t>。</w:t>
      </w:r>
    </w:p>
    <w:p>
      <w:r>
        <w:t>（6）本项目要求供应商在研究生教育综合管理系统中支持对接大模型（如DeepSeek、通义千问等），能够通过大模型技术应用，提升师生服务及智能化决策分析水平。</w:t>
      </w:r>
    </w:p>
    <w:p>
      <w:r>
        <w:t>(7)支持与国务院学位中心、学信网等上级管理部门进行数据对接，自动生成相关上报数据。</w:t>
      </w:r>
    </w:p>
    <w:p>
      <w:r>
        <w:t>(8)系统与国务院学位中心送审平台的信息标准一致，可以按照送审平台要求打包论文送审，并将学位中心评阅结果导入系统。</w:t>
      </w:r>
    </w:p>
    <w:p>
      <w:r>
        <w:t>(9)按照国家数据要求生成高基报表和学信网数据，可以直接从系统导出并上报，国家数据要求有变化的话系统要能够及时更新确保一致。</w:t>
      </w:r>
    </w:p>
    <w:p>
      <w:r>
        <w:t>(10)系统要求对接上海高校学位点合格评估工作平台、培优培育专项工作平台等，数据标准与上海市平台一致，满足上海市主管单位的数据上报要求，能够根据上海市平台要求导出报送数据和文件，简化数据报送工作量。上海市主管单位数据要求有变化的话，系统要能够及时更新确保一致。</w:t>
      </w:r>
    </w:p>
    <w:p>
      <w:pPr>
        <w:ind w:firstLine="482"/>
        <w:rPr>
          <w:b/>
        </w:rPr>
      </w:pPr>
      <w:r>
        <w:rPr>
          <w:b/>
        </w:rPr>
        <w:t>1.3 安全要求</w:t>
      </w:r>
    </w:p>
    <w:p>
      <w:r>
        <w:t>(1)认证授权：保证用户的合法性和用户使用应用信息资源的权力， 避免内部敏感信息泄漏和服务所提供的信息资源被非法访问，造成严重的  安全事件。</w:t>
      </w:r>
    </w:p>
    <w:p>
      <w:r>
        <w:t>(2)信息保密：充分利用密码技术，对于需要保密的信息，采用密码 技术进行加解密处理，防止信息的非授权泄漏，确保涉密信息在产生、存 储、传递和处理过程中的保密。</w:t>
      </w:r>
    </w:p>
    <w:p>
      <w:r>
        <w:t>(3)数据完整性：建立数据完整性检验机制，保证收发双方数据的一致 性，防止信息被非授权修改。</w:t>
      </w:r>
    </w:p>
    <w:p>
      <w:r>
        <w:t>(4)审计：记录应用日志，对事件进行分析，并能提供预警信息。</w:t>
      </w:r>
    </w:p>
    <w:p>
      <w:r>
        <w:t>(5)数据备份：利用数据库的备份功能将系统数据备份到指定的服务器 或存储系统上。</w:t>
      </w:r>
    </w:p>
    <w:p>
      <w:r>
        <w:t>(6)从物理安全、网络安全、系统安全、应用软件安全、数据备份安全 等几个方面提出配套的安全体系完善方案，以便防范安全风险。</w:t>
      </w:r>
    </w:p>
    <w:p>
      <w:r>
        <w:t>(7)</w:t>
      </w:r>
      <w:r>
        <w:rPr>
          <w:b/>
        </w:rPr>
        <w:t xml:space="preserve"> </w:t>
      </w:r>
      <w:r>
        <w:t>国产化要求：系统需支持纯国产化环境，包括国产服务器、国产操作系统、国产数据库、国产桌面操作系统、国产中间件等。</w:t>
      </w:r>
    </w:p>
    <w:p>
      <w:r>
        <w:t>(8)</w:t>
      </w:r>
      <w:r>
        <w:rPr>
          <w:b/>
        </w:rPr>
        <w:t xml:space="preserve"> </w:t>
      </w:r>
      <w:r>
        <w:t>系统要求具有口令多因子认证、口令强度检测、口令错误次数过多锁定账户、敏感信息加密存储等软件安全机制。</w:t>
      </w:r>
    </w:p>
    <w:p>
      <w:r>
        <w:t>(9)等级保护要求：研究生</w:t>
      </w:r>
      <w:r>
        <w:rPr>
          <w:rFonts w:hint="eastAsia"/>
        </w:rPr>
        <w:t>教育综合</w:t>
      </w:r>
      <w:r>
        <w:t>管理系统应能满足GB/T 22239-2019《信息安全技术网络安全等级保护基本要求》二级要求，投标人应根据采购人实际情况无条件配合采购人完成等保测评工作，要求出具承诺函加盖投标人公章。</w:t>
      </w:r>
    </w:p>
    <w:p>
      <w:r>
        <w:t>（10）本次招标采购要求投标方案严格遵循信创标准，确保全面国产化。中标方需具备灵活适配能力，根据采购人当前现状及后续需求开展国产化适配与优化工作，确保系统平稳过渡并满足国产化要求。</w:t>
      </w:r>
    </w:p>
    <w:p>
      <w:pPr>
        <w:ind w:firstLine="482"/>
        <w:rPr>
          <w:b/>
        </w:rPr>
      </w:pPr>
      <w:r>
        <w:rPr>
          <w:b/>
        </w:rPr>
        <w:t>1.4 性能要求</w:t>
      </w:r>
    </w:p>
    <w:p>
      <w:r>
        <w:t>利用集群、数据库优化、应用优化等各种手段，覆盖本项目的全部内容，需具备以下性能特点：</w:t>
      </w:r>
    </w:p>
    <w:p>
      <w:r>
        <w:t>(1)系统支持</w:t>
      </w:r>
      <w:r>
        <w:rPr>
          <w:shd w:val="clear" w:color="auto" w:fill="FFFFFF"/>
        </w:rPr>
        <w:t>30000以上用户同时在线使用，系统核心业务场景的并发数≥10000，平均响应时间≤1.5秒。（核心业务场景包括：</w:t>
      </w:r>
      <w:r>
        <w:rPr>
          <w:kern w:val="0"/>
        </w:rPr>
        <w:t>学籍注册、学生选课、成绩查询、课表查询、考务查询、学位申请、师双互选、重修报名、评教结果查询</w:t>
      </w:r>
      <w:r>
        <w:rPr>
          <w:shd w:val="clear" w:color="auto" w:fill="FFFFFF"/>
        </w:rPr>
        <w:t>等）</w:t>
      </w:r>
    </w:p>
    <w:p>
      <w:pPr>
        <w:rPr>
          <w:shd w:val="clear" w:color="auto" w:fill="FFFFFF"/>
        </w:rPr>
      </w:pPr>
      <w:r>
        <w:t>(2)系统普通业务场景操作响应时间</w:t>
      </w:r>
      <w:r>
        <w:rPr>
          <w:shd w:val="clear" w:color="auto" w:fill="FFFFFF"/>
        </w:rPr>
        <w:t>≤1秒，复杂业务操作响应时间≤1.5秒。</w:t>
      </w:r>
    </w:p>
    <w:p>
      <w:pPr>
        <w:rPr>
          <w:b/>
        </w:rPr>
      </w:pPr>
      <w:r>
        <w:t xml:space="preserve"> </w:t>
      </w:r>
      <w:r>
        <w:rPr>
          <w:b/>
        </w:rPr>
        <w:t>1.5 集成要求</w:t>
      </w:r>
    </w:p>
    <w:p>
      <w:r>
        <w:t>(1)信息标准要求</w:t>
      </w:r>
    </w:p>
    <w:p>
      <w:r>
        <w:t>本项目的开发必须严格遵循教育部最新发布的教育信息化行业标准，并符合学校要求的相关信息标准。</w:t>
      </w:r>
    </w:p>
    <w:p>
      <w:r>
        <w:t>(2)数据共享要求</w:t>
      </w:r>
    </w:p>
    <w:p>
      <w:r>
        <w:t>本项目内数据所有权完全归校方所有，因此须向学校提供研究生教育综合管理系统数据库内全部数据及数据字典。系统厂商需按学校公共数据平台建设需要提出的需求，提供包括但不限于以下类型的数据接口：数据库中间用户(数据视图或中间表)、Jason、web service等形式的数据接口，同时系统厂商须按照业务系统使用部门具体需求，预留接口(接口包括但不限于业务数据同步中间库、Jason、web service等形式),确保学校公共数据平台数据下行畅通。</w:t>
      </w:r>
    </w:p>
    <w:p>
      <w:r>
        <w:t>(3)与学校统一身份认证系统通过cas协议集成，确保师生通过学校信息门户可单点登录进入研究生教育综合管理系统，无需二次认证，同时也需要提供单独的研究生教育综合管理系统的页面登录。</w:t>
      </w:r>
    </w:p>
    <w:p>
      <w:r>
        <w:t>(4)本项目涉及师生办事的服务事项(如学生选课、教师成绩录入等),要求与学校综合服务门户集成待办任务(如流程审批待办任务、已办任务); 并与消息中心集成，实现待办任务的企微消息提醒、日程提醒等。集成方式：学校平台提供开放接口和规范，本系统推送待办任务和消息提醒等给学校平台。</w:t>
      </w:r>
    </w:p>
    <w:p>
      <w:r>
        <w:t>(5)移动端服务需与学校现有移动平台无缝集成，提供定制服务事项的H5页面，系统功能覆盖率不低于90%，支持集成到学校企业微信服务平台。</w:t>
      </w:r>
    </w:p>
    <w:p>
      <w:pPr>
        <w:rPr>
          <w:bCs w:val="0"/>
          <w:lang w:val="zh-CN"/>
        </w:rPr>
      </w:pPr>
      <w:r>
        <w:t>(6)</w:t>
      </w:r>
      <w:r>
        <w:rPr>
          <w:bCs w:val="0"/>
          <w:lang w:val="zh-CN"/>
        </w:rPr>
        <w:t>为</w:t>
      </w:r>
      <w:r>
        <w:t>提高</w:t>
      </w:r>
      <w:r>
        <w:rPr>
          <w:bCs w:val="0"/>
          <w:lang w:val="zh-CN"/>
        </w:rPr>
        <w:t>数据报送效率，系统要求对接校内系统、国家平台、上海市平台及第三方平台。</w:t>
      </w:r>
      <w:r>
        <w:rPr>
          <w:rFonts w:hint="eastAsia" w:ascii="宋体" w:hAnsi="宋体" w:cs="宋体"/>
          <w:bCs w:val="0"/>
          <w:lang w:val="zh-CN"/>
        </w:rPr>
        <w:t>①</w:t>
      </w:r>
      <w:r>
        <w:rPr>
          <w:bCs w:val="0"/>
          <w:lang w:val="zh-CN"/>
        </w:rPr>
        <w:t>校内系统：</w:t>
      </w:r>
      <w:r>
        <w:t>校统一身份认证平台、校数据中心、校人事系统、校科研系统、校本科教务系统、校企业微信、校智慧校园门户；</w:t>
      </w:r>
      <w:r>
        <w:rPr>
          <w:rFonts w:hint="eastAsia" w:ascii="宋体" w:hAnsi="宋体" w:cs="宋体"/>
          <w:bCs w:val="0"/>
          <w:lang w:val="zh-CN"/>
        </w:rPr>
        <w:t>②</w:t>
      </w:r>
      <w:r>
        <w:rPr>
          <w:bCs w:val="0"/>
          <w:lang w:val="zh-CN"/>
        </w:rPr>
        <w:t>国家平台：研究生招生信息网、学籍学历信息管理平台、学位授予信息报送系统、全国学位与研究生教育质量信息平台、二级学科自主设置信息平台、研究生培养质量反馈调查平台、教育部教育管理信息中心（博士生导师信息采集系统）；</w:t>
      </w:r>
      <w:r>
        <w:rPr>
          <w:rFonts w:hint="eastAsia" w:ascii="宋体" w:hAnsi="宋体" w:cs="宋体"/>
          <w:bCs w:val="0"/>
          <w:lang w:val="zh-CN"/>
        </w:rPr>
        <w:t>③</w:t>
      </w:r>
      <w:r>
        <w:rPr>
          <w:bCs w:val="0"/>
          <w:lang w:val="zh-CN"/>
        </w:rPr>
        <w:t>上海市平台：上海高校学位点合格评估工作平台、上海高校学位点培优培育专项工作平台。</w:t>
      </w:r>
      <w:r>
        <w:rPr>
          <w:rFonts w:hint="eastAsia" w:ascii="宋体" w:hAnsi="宋体" w:cs="宋体"/>
          <w:bCs w:val="0"/>
          <w:lang w:val="zh-CN"/>
        </w:rPr>
        <w:t>④</w:t>
      </w:r>
      <w:r>
        <w:rPr>
          <w:bCs w:val="0"/>
          <w:lang w:val="zh-CN"/>
        </w:rPr>
        <w:t>第三方平台：知网、万方、论文评审平台。(需提供详细的技术方案)</w:t>
      </w:r>
    </w:p>
    <w:p>
      <w:pPr>
        <w:ind w:firstLine="482"/>
        <w:rPr>
          <w:b/>
        </w:rPr>
      </w:pPr>
      <w:r>
        <w:rPr>
          <w:b/>
        </w:rPr>
        <w:t>1.6 数据迁移要求</w:t>
      </w:r>
    </w:p>
    <w:p>
      <w:pPr>
        <w:rPr>
          <w:lang w:val="zh-CN"/>
        </w:rPr>
      </w:pPr>
      <w:r>
        <w:rPr>
          <w:lang w:val="zh-CN"/>
        </w:rPr>
        <w:t>系统要求实现迁移旧版研究生</w:t>
      </w:r>
      <w:r>
        <w:rPr>
          <w:rFonts w:hint="eastAsia"/>
          <w:lang w:val="zh-CN"/>
        </w:rPr>
        <w:t>教育综合</w:t>
      </w:r>
      <w:r>
        <w:rPr>
          <w:lang w:val="zh-CN"/>
        </w:rPr>
        <w:t>管理系统的历史数据</w:t>
      </w:r>
      <w:r>
        <w:t>到新系统无缝衔接</w:t>
      </w:r>
      <w:r>
        <w:rPr>
          <w:lang w:val="zh-CN"/>
        </w:rPr>
        <w:t>。数据迁移过程中需要对旧系统的历史数据进行全面的数据清洗、收集、整合、转移，确保在新系统上线时，历史数据的完整、准确。</w:t>
      </w:r>
      <w:r>
        <w:t>为确保数据迁移的完整性与准确性，本次招标采购要求实施方制定详尽的数据迁移方案，确保新旧系统在迁移期间能够稳定并行运行。并行期应持续至新系统数据完整无误且运行稳定为止，以确保业务连续性和数据迁移的高质量完成。</w:t>
      </w:r>
      <w:r>
        <w:br w:type="page"/>
      </w:r>
    </w:p>
    <w:p>
      <w:pPr>
        <w:pStyle w:val="3"/>
        <w:numPr>
          <w:ilvl w:val="0"/>
          <w:numId w:val="3"/>
        </w:numPr>
        <w:spacing w:before="20" w:after="20"/>
        <w:ind w:left="993" w:hanging="426"/>
        <w:rPr>
          <w:sz w:val="24"/>
          <w:szCs w:val="24"/>
        </w:rPr>
      </w:pPr>
      <w:r>
        <w:rPr>
          <w:sz w:val="24"/>
          <w:szCs w:val="24"/>
        </w:rPr>
        <w:t>软件开发清单</w:t>
      </w:r>
    </w:p>
    <w:tbl>
      <w:tblPr>
        <w:tblStyle w:val="12"/>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246"/>
        <w:gridCol w:w="3120"/>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9" w:type="pct"/>
            <w:shd w:val="clear" w:color="000000" w:fill="F3F8FC"/>
            <w:noWrap/>
            <w:vAlign w:val="center"/>
          </w:tcPr>
          <w:p>
            <w:pPr>
              <w:ind w:firstLine="0" w:firstLineChars="0"/>
            </w:pPr>
            <w:r>
              <w:t>序号</w:t>
            </w:r>
          </w:p>
        </w:tc>
        <w:tc>
          <w:tcPr>
            <w:tcW w:w="1317" w:type="pct"/>
            <w:shd w:val="clear" w:color="000000" w:fill="F3F8FC"/>
            <w:noWrap/>
            <w:vAlign w:val="center"/>
          </w:tcPr>
          <w:p>
            <w:r>
              <w:t>应用系统名称</w:t>
            </w:r>
          </w:p>
        </w:tc>
        <w:tc>
          <w:tcPr>
            <w:tcW w:w="1829" w:type="pct"/>
            <w:shd w:val="clear" w:color="000000" w:fill="F3F8FC"/>
            <w:noWrap/>
            <w:vAlign w:val="center"/>
          </w:tcPr>
          <w:p>
            <w:r>
              <w:t>模块名称</w:t>
            </w:r>
          </w:p>
        </w:tc>
        <w:tc>
          <w:tcPr>
            <w:tcW w:w="1445" w:type="pct"/>
            <w:shd w:val="clear" w:color="000000" w:fill="F3F8FC"/>
          </w:tcPr>
          <w:p>
            <w:r>
              <w:t>模块描述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09" w:type="pct"/>
            <w:vMerge w:val="restart"/>
            <w:shd w:val="clear" w:color="auto" w:fill="FFFFFF"/>
            <w:vAlign w:val="center"/>
          </w:tcPr>
          <w:p>
            <w:pPr>
              <w:ind w:firstLine="0" w:firstLineChars="0"/>
              <w:jc w:val="center"/>
            </w:pPr>
            <w:bookmarkStart w:id="19" w:name="_Hlk184393659"/>
            <w:r>
              <w:t>1</w:t>
            </w:r>
          </w:p>
        </w:tc>
        <w:tc>
          <w:tcPr>
            <w:tcW w:w="1317" w:type="pct"/>
            <w:vMerge w:val="restart"/>
            <w:shd w:val="clear" w:color="auto" w:fill="FFFFFF"/>
            <w:vAlign w:val="center"/>
          </w:tcPr>
          <w:p>
            <w:r>
              <w:t>学籍管理</w:t>
            </w:r>
          </w:p>
        </w:tc>
        <w:tc>
          <w:tcPr>
            <w:tcW w:w="1829" w:type="pct"/>
            <w:shd w:val="clear" w:color="auto" w:fill="FFFFFF"/>
            <w:vAlign w:val="center"/>
          </w:tcPr>
          <w:p>
            <w:r>
              <w:t>新生管理</w:t>
            </w:r>
          </w:p>
        </w:tc>
        <w:tc>
          <w:tcPr>
            <w:tcW w:w="1445" w:type="pct"/>
            <w:shd w:val="clear" w:color="auto" w:fill="FFFFFF"/>
            <w:vAlign w:val="center"/>
          </w:tcPr>
          <w:p>
            <w:r>
              <w:t xml:space="preserve">见2.1.1所示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学籍信息管理</w:t>
            </w:r>
          </w:p>
        </w:tc>
        <w:tc>
          <w:tcPr>
            <w:tcW w:w="1445" w:type="pct"/>
            <w:shd w:val="clear" w:color="auto" w:fill="FFFFFF"/>
            <w:vAlign w:val="center"/>
          </w:tcPr>
          <w:p>
            <w:r>
              <w:t xml:space="preserve">见2.1.2所示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注册管理</w:t>
            </w:r>
          </w:p>
        </w:tc>
        <w:tc>
          <w:tcPr>
            <w:tcW w:w="1445" w:type="pct"/>
            <w:shd w:val="clear" w:color="auto" w:fill="FFFFFF"/>
            <w:vAlign w:val="center"/>
          </w:tcPr>
          <w:p>
            <w:r>
              <w:t>见2.1.3所示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学籍异动</w:t>
            </w:r>
          </w:p>
        </w:tc>
        <w:tc>
          <w:tcPr>
            <w:tcW w:w="1445" w:type="pct"/>
            <w:shd w:val="clear" w:color="auto" w:fill="FFFFFF"/>
            <w:vAlign w:val="center"/>
          </w:tcPr>
          <w:p>
            <w:r>
              <w:t>见2.1.4所示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毕业管理</w:t>
            </w:r>
          </w:p>
        </w:tc>
        <w:tc>
          <w:tcPr>
            <w:tcW w:w="1445" w:type="pct"/>
            <w:shd w:val="clear" w:color="auto" w:fill="FFFFFF"/>
            <w:vAlign w:val="center"/>
          </w:tcPr>
          <w:p>
            <w:r>
              <w:t>见2.1.5所示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高基报表</w:t>
            </w:r>
          </w:p>
        </w:tc>
        <w:tc>
          <w:tcPr>
            <w:tcW w:w="1446" w:type="pct"/>
            <w:shd w:val="clear" w:color="auto" w:fill="FFFFFF"/>
            <w:vAlign w:val="center"/>
          </w:tcPr>
          <w:p>
            <w:r>
              <w:t>见2.1.6所示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学信网数据上报</w:t>
            </w:r>
          </w:p>
        </w:tc>
        <w:tc>
          <w:tcPr>
            <w:tcW w:w="1446" w:type="pct"/>
            <w:shd w:val="clear" w:color="auto" w:fill="FFFFFF"/>
            <w:vAlign w:val="center"/>
          </w:tcPr>
          <w:p>
            <w:r>
              <w:t>见2.1.7所示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证明打印</w:t>
            </w:r>
          </w:p>
        </w:tc>
        <w:tc>
          <w:tcPr>
            <w:tcW w:w="1446" w:type="pct"/>
            <w:shd w:val="clear" w:color="auto" w:fill="FFFFFF"/>
            <w:vAlign w:val="center"/>
          </w:tcPr>
          <w:p>
            <w:r>
              <w:t>见2.1.8所示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缴费管理</w:t>
            </w:r>
          </w:p>
        </w:tc>
        <w:tc>
          <w:tcPr>
            <w:tcW w:w="1446" w:type="pct"/>
            <w:shd w:val="clear" w:color="auto" w:fill="FFFFFF"/>
            <w:vAlign w:val="center"/>
          </w:tcPr>
          <w:p>
            <w:r>
              <w:t>见2.1.9所示</w:t>
            </w:r>
          </w:p>
        </w:tc>
      </w:tr>
      <w:bookmark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09" w:type="pct"/>
            <w:vMerge w:val="restart"/>
            <w:shd w:val="clear" w:color="auto" w:fill="FFFFFF"/>
            <w:vAlign w:val="center"/>
          </w:tcPr>
          <w:p>
            <w:pPr>
              <w:ind w:firstLine="0" w:firstLineChars="0"/>
              <w:jc w:val="center"/>
            </w:pPr>
            <w:r>
              <w:t>2</w:t>
            </w:r>
          </w:p>
        </w:tc>
        <w:tc>
          <w:tcPr>
            <w:tcW w:w="1317" w:type="pct"/>
            <w:vMerge w:val="restart"/>
            <w:shd w:val="clear" w:color="auto" w:fill="FFFFFF"/>
            <w:vAlign w:val="center"/>
          </w:tcPr>
          <w:p>
            <w:r>
              <w:t>培养管理</w:t>
            </w:r>
          </w:p>
        </w:tc>
        <w:tc>
          <w:tcPr>
            <w:tcW w:w="1829" w:type="pct"/>
            <w:shd w:val="clear" w:color="auto" w:fill="FFFFFF"/>
            <w:vAlign w:val="center"/>
          </w:tcPr>
          <w:p>
            <w:r>
              <w:t>课程管理</w:t>
            </w:r>
          </w:p>
        </w:tc>
        <w:tc>
          <w:tcPr>
            <w:tcW w:w="1446" w:type="pct"/>
            <w:shd w:val="clear" w:color="auto" w:fill="FFFFFF"/>
            <w:vAlign w:val="center"/>
          </w:tcPr>
          <w:p>
            <w:r>
              <w:t>见2.2.1所示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培养方案管理</w:t>
            </w:r>
          </w:p>
        </w:tc>
        <w:tc>
          <w:tcPr>
            <w:tcW w:w="1445" w:type="pct"/>
            <w:shd w:val="clear" w:color="auto" w:fill="FFFFFF"/>
            <w:vAlign w:val="center"/>
          </w:tcPr>
          <w:p>
            <w:r>
              <w:t>见2.2.2所示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培养计划管理</w:t>
            </w:r>
          </w:p>
        </w:tc>
        <w:tc>
          <w:tcPr>
            <w:tcW w:w="1445" w:type="pct"/>
            <w:shd w:val="clear" w:color="auto" w:fill="FFFFFF"/>
            <w:vAlign w:val="center"/>
          </w:tcPr>
          <w:p>
            <w:r>
              <w:t>见2.2.3所示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开课管理</w:t>
            </w:r>
          </w:p>
        </w:tc>
        <w:tc>
          <w:tcPr>
            <w:tcW w:w="1445" w:type="pct"/>
            <w:shd w:val="clear" w:color="auto" w:fill="FFFFFF"/>
            <w:vAlign w:val="center"/>
          </w:tcPr>
          <w:p>
            <w:r>
              <w:t>见2.2.4所示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教学资源管理</w:t>
            </w:r>
          </w:p>
        </w:tc>
        <w:tc>
          <w:tcPr>
            <w:tcW w:w="1445" w:type="pct"/>
            <w:shd w:val="clear" w:color="auto" w:fill="FFFFFF"/>
            <w:vAlign w:val="center"/>
          </w:tcPr>
          <w:p>
            <w:r>
              <w:t>见2.2.5所示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排课管理</w:t>
            </w:r>
          </w:p>
        </w:tc>
        <w:tc>
          <w:tcPr>
            <w:tcW w:w="1445" w:type="pct"/>
            <w:shd w:val="clear" w:color="auto" w:fill="FFFFFF"/>
            <w:vAlign w:val="center"/>
          </w:tcPr>
          <w:p>
            <w:r>
              <w:t>见2.2.6所示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课表查询</w:t>
            </w:r>
          </w:p>
        </w:tc>
        <w:tc>
          <w:tcPr>
            <w:tcW w:w="1445" w:type="pct"/>
            <w:shd w:val="clear" w:color="auto" w:fill="FFFFFF"/>
            <w:vAlign w:val="center"/>
          </w:tcPr>
          <w:p>
            <w:r>
              <w:t>见2.2.7所示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调停课管理</w:t>
            </w:r>
          </w:p>
        </w:tc>
        <w:tc>
          <w:tcPr>
            <w:tcW w:w="1445" w:type="pct"/>
            <w:shd w:val="clear" w:color="auto" w:fill="FFFFFF"/>
            <w:vAlign w:val="center"/>
          </w:tcPr>
          <w:p>
            <w:r>
              <w:t>见2.2.8所示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选课管理</w:t>
            </w:r>
          </w:p>
        </w:tc>
        <w:tc>
          <w:tcPr>
            <w:tcW w:w="1445" w:type="pct"/>
            <w:shd w:val="clear" w:color="auto" w:fill="FFFFFF"/>
            <w:vAlign w:val="center"/>
          </w:tcPr>
          <w:p>
            <w:r>
              <w:t>见2.2.9所示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考务管理</w:t>
            </w:r>
          </w:p>
        </w:tc>
        <w:tc>
          <w:tcPr>
            <w:tcW w:w="1445" w:type="pct"/>
            <w:shd w:val="clear" w:color="auto" w:fill="FFFFFF"/>
            <w:vAlign w:val="center"/>
          </w:tcPr>
          <w:p>
            <w:r>
              <w:t>见2.2.10所示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教学评估</w:t>
            </w:r>
          </w:p>
        </w:tc>
        <w:tc>
          <w:tcPr>
            <w:tcW w:w="1445" w:type="pct"/>
            <w:shd w:val="clear" w:color="auto" w:fill="FFFFFF"/>
            <w:vAlign w:val="center"/>
          </w:tcPr>
          <w:p>
            <w:r>
              <w:t>见2.2.11所示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成绩管理</w:t>
            </w:r>
          </w:p>
        </w:tc>
        <w:tc>
          <w:tcPr>
            <w:tcW w:w="1445" w:type="pct"/>
            <w:shd w:val="clear" w:color="auto" w:fill="FFFFFF"/>
            <w:vAlign w:val="center"/>
          </w:tcPr>
          <w:p>
            <w:r>
              <w:t>见2.2.12所示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实践基地</w:t>
            </w:r>
          </w:p>
        </w:tc>
        <w:tc>
          <w:tcPr>
            <w:tcW w:w="1445" w:type="pct"/>
            <w:shd w:val="clear" w:color="auto" w:fill="FFFFFF"/>
            <w:vAlign w:val="center"/>
          </w:tcPr>
          <w:p>
            <w:r>
              <w:t>见2.2.13所示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开题管理</w:t>
            </w:r>
          </w:p>
        </w:tc>
        <w:tc>
          <w:tcPr>
            <w:tcW w:w="1445" w:type="pct"/>
            <w:shd w:val="clear" w:color="auto" w:fill="FFFFFF"/>
            <w:vAlign w:val="center"/>
          </w:tcPr>
          <w:p>
            <w:r>
              <w:t>见2.2.14所示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中期考核管理</w:t>
            </w:r>
          </w:p>
        </w:tc>
        <w:tc>
          <w:tcPr>
            <w:tcW w:w="1445" w:type="pct"/>
            <w:shd w:val="clear" w:color="auto" w:fill="FFFFFF"/>
            <w:vAlign w:val="center"/>
          </w:tcPr>
          <w:p>
            <w:r>
              <w:t>见2.2.15所示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免修免考</w:t>
            </w:r>
          </w:p>
        </w:tc>
        <w:tc>
          <w:tcPr>
            <w:tcW w:w="1445" w:type="pct"/>
            <w:shd w:val="clear" w:color="auto" w:fill="FFFFFF"/>
            <w:vAlign w:val="center"/>
          </w:tcPr>
          <w:p>
            <w:r>
              <w:t>见2.2.16所示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毕业审核</w:t>
            </w:r>
          </w:p>
        </w:tc>
        <w:tc>
          <w:tcPr>
            <w:tcW w:w="1445" w:type="pct"/>
            <w:shd w:val="clear" w:color="auto" w:fill="FFFFFF"/>
            <w:vAlign w:val="center"/>
          </w:tcPr>
          <w:p>
            <w:r>
              <w:t>见2.2.17所示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重修管理</w:t>
            </w:r>
          </w:p>
        </w:tc>
        <w:tc>
          <w:tcPr>
            <w:tcW w:w="1445" w:type="pct"/>
            <w:shd w:val="clear" w:color="auto" w:fill="FFFFFF"/>
            <w:vAlign w:val="center"/>
          </w:tcPr>
          <w:p>
            <w:r>
              <w:t>见2.2.18所示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补缓考管理</w:t>
            </w:r>
          </w:p>
        </w:tc>
        <w:tc>
          <w:tcPr>
            <w:tcW w:w="1445" w:type="pct"/>
            <w:shd w:val="clear" w:color="auto" w:fill="FFFFFF"/>
            <w:vAlign w:val="center"/>
          </w:tcPr>
          <w:p>
            <w:r>
              <w:t>见2.2.19所示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教学工作量管理</w:t>
            </w:r>
          </w:p>
        </w:tc>
        <w:tc>
          <w:tcPr>
            <w:tcW w:w="1445" w:type="pct"/>
            <w:shd w:val="clear" w:color="auto" w:fill="FFFFFF"/>
            <w:vAlign w:val="center"/>
          </w:tcPr>
          <w:p>
            <w:r>
              <w:t>见2.2.20所示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国际交流管理</w:t>
            </w:r>
          </w:p>
        </w:tc>
        <w:tc>
          <w:tcPr>
            <w:tcW w:w="1445" w:type="pct"/>
            <w:shd w:val="clear" w:color="auto" w:fill="FFFFFF"/>
            <w:vAlign w:val="center"/>
          </w:tcPr>
          <w:p>
            <w:r>
              <w:t>见2.2.21所示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409" w:type="pct"/>
            <w:vMerge w:val="restart"/>
            <w:shd w:val="clear" w:color="auto" w:fill="FFFFFF"/>
            <w:vAlign w:val="center"/>
          </w:tcPr>
          <w:p>
            <w:pPr>
              <w:ind w:firstLine="0" w:firstLineChars="0"/>
              <w:jc w:val="center"/>
            </w:pPr>
            <w:bookmarkStart w:id="20" w:name="_Hlk184395192"/>
            <w:r>
              <w:t>3</w:t>
            </w:r>
          </w:p>
        </w:tc>
        <w:tc>
          <w:tcPr>
            <w:tcW w:w="1317" w:type="pct"/>
            <w:vMerge w:val="restart"/>
            <w:shd w:val="clear" w:color="auto" w:fill="FFFFFF"/>
            <w:vAlign w:val="center"/>
          </w:tcPr>
          <w:p>
            <w:r>
              <w:t>学位管理</w:t>
            </w:r>
          </w:p>
        </w:tc>
        <w:tc>
          <w:tcPr>
            <w:tcW w:w="1829" w:type="pct"/>
            <w:shd w:val="clear" w:color="auto" w:fill="FFFFFF"/>
            <w:vAlign w:val="center"/>
          </w:tcPr>
          <w:p>
            <w:r>
              <w:t>学位基础设置</w:t>
            </w:r>
          </w:p>
        </w:tc>
        <w:tc>
          <w:tcPr>
            <w:tcW w:w="1445" w:type="pct"/>
            <w:shd w:val="clear" w:color="auto" w:fill="FFFFFF"/>
            <w:vAlign w:val="center"/>
          </w:tcPr>
          <w:p>
            <w:r>
              <w:t>见2.3.1所示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论文重复率检测</w:t>
            </w:r>
          </w:p>
        </w:tc>
        <w:tc>
          <w:tcPr>
            <w:tcW w:w="1445" w:type="pct"/>
            <w:shd w:val="clear" w:color="auto" w:fill="FFFFFF"/>
            <w:vAlign w:val="center"/>
          </w:tcPr>
          <w:p>
            <w:r>
              <w:t>见2.3.2所示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论文评阅管理</w:t>
            </w:r>
          </w:p>
        </w:tc>
        <w:tc>
          <w:tcPr>
            <w:tcW w:w="1445" w:type="pct"/>
            <w:shd w:val="clear" w:color="auto" w:fill="FFFFFF"/>
            <w:vAlign w:val="center"/>
          </w:tcPr>
          <w:p>
            <w:r>
              <w:t>见2.3.3所示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答辩管理</w:t>
            </w:r>
          </w:p>
        </w:tc>
        <w:tc>
          <w:tcPr>
            <w:tcW w:w="1445" w:type="pct"/>
            <w:shd w:val="clear" w:color="auto" w:fill="FFFFFF"/>
            <w:vAlign w:val="center"/>
          </w:tcPr>
          <w:p>
            <w:r>
              <w:t>见2.3.4所示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校评会管理</w:t>
            </w:r>
          </w:p>
        </w:tc>
        <w:tc>
          <w:tcPr>
            <w:tcW w:w="1445" w:type="pct"/>
            <w:shd w:val="clear" w:color="auto" w:fill="FFFFFF"/>
            <w:vAlign w:val="center"/>
          </w:tcPr>
          <w:p>
            <w:r>
              <w:t>见2.3.5所示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学位机构管理</w:t>
            </w:r>
          </w:p>
        </w:tc>
        <w:tc>
          <w:tcPr>
            <w:tcW w:w="1445" w:type="pct"/>
            <w:shd w:val="clear" w:color="auto" w:fill="FFFFFF"/>
            <w:vAlign w:val="center"/>
          </w:tcPr>
          <w:p>
            <w:r>
              <w:t>见2.3.6所示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论文归档管理</w:t>
            </w:r>
          </w:p>
        </w:tc>
        <w:tc>
          <w:tcPr>
            <w:tcW w:w="1445" w:type="pct"/>
            <w:shd w:val="clear" w:color="auto" w:fill="FFFFFF"/>
            <w:vAlign w:val="center"/>
          </w:tcPr>
          <w:p>
            <w:r>
              <w:t>见2.3.7所示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学位证书管理</w:t>
            </w:r>
          </w:p>
        </w:tc>
        <w:tc>
          <w:tcPr>
            <w:tcW w:w="1445" w:type="pct"/>
            <w:shd w:val="clear" w:color="auto" w:fill="FFFFFF"/>
            <w:vAlign w:val="center"/>
          </w:tcPr>
          <w:p>
            <w:r>
              <w:t>见2.3.8所示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学位报盘</w:t>
            </w:r>
          </w:p>
        </w:tc>
        <w:tc>
          <w:tcPr>
            <w:tcW w:w="1445" w:type="pct"/>
            <w:shd w:val="clear" w:color="auto" w:fill="FFFFFF"/>
            <w:vAlign w:val="center"/>
          </w:tcPr>
          <w:p>
            <w:r>
              <w:t>见2.3.9所示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预答辩管理</w:t>
            </w:r>
          </w:p>
        </w:tc>
        <w:tc>
          <w:tcPr>
            <w:tcW w:w="1445" w:type="pct"/>
            <w:shd w:val="clear" w:color="auto" w:fill="FFFFFF"/>
            <w:vAlign w:val="center"/>
          </w:tcPr>
          <w:p>
            <w:r>
              <w:t>见2.3.10所示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论文进展</w:t>
            </w:r>
          </w:p>
        </w:tc>
        <w:tc>
          <w:tcPr>
            <w:tcW w:w="1445" w:type="pct"/>
            <w:shd w:val="clear" w:color="auto" w:fill="FFFFFF"/>
            <w:vAlign w:val="center"/>
          </w:tcPr>
          <w:p>
            <w:r>
              <w:t>见2.3.11所示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pad上会</w:t>
            </w:r>
          </w:p>
        </w:tc>
        <w:tc>
          <w:tcPr>
            <w:tcW w:w="1445" w:type="pct"/>
            <w:shd w:val="clear" w:color="auto" w:fill="FFFFFF"/>
            <w:vAlign w:val="center"/>
          </w:tcPr>
          <w:p>
            <w:r>
              <w:t>见2.3.12所示</w:t>
            </w:r>
          </w:p>
        </w:tc>
      </w:tr>
      <w:bookmark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09" w:type="pct"/>
            <w:vMerge w:val="restart"/>
            <w:shd w:val="clear" w:color="auto" w:fill="FFFFFF"/>
            <w:vAlign w:val="center"/>
          </w:tcPr>
          <w:p>
            <w:pPr>
              <w:ind w:firstLine="0" w:firstLineChars="0"/>
              <w:jc w:val="center"/>
            </w:pPr>
            <w:bookmarkStart w:id="21" w:name="_Hlk184397486"/>
            <w:r>
              <w:t>4</w:t>
            </w:r>
          </w:p>
        </w:tc>
        <w:tc>
          <w:tcPr>
            <w:tcW w:w="1317" w:type="pct"/>
            <w:vMerge w:val="restart"/>
            <w:shd w:val="clear" w:color="auto" w:fill="FFFFFF"/>
            <w:vAlign w:val="center"/>
          </w:tcPr>
          <w:p>
            <w:r>
              <w:t>导师管理</w:t>
            </w:r>
          </w:p>
        </w:tc>
        <w:tc>
          <w:tcPr>
            <w:tcW w:w="1829" w:type="pct"/>
            <w:shd w:val="clear" w:color="auto" w:fill="FFFFFF"/>
            <w:vAlign w:val="center"/>
          </w:tcPr>
          <w:p>
            <w:r>
              <w:t>导师信息管理</w:t>
            </w:r>
          </w:p>
        </w:tc>
        <w:tc>
          <w:tcPr>
            <w:tcW w:w="1445" w:type="pct"/>
            <w:shd w:val="clear" w:color="auto" w:fill="FFFFFF"/>
            <w:vAlign w:val="center"/>
          </w:tcPr>
          <w:p>
            <w:r>
              <w:t>见2.4.1所示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导师指定</w:t>
            </w:r>
          </w:p>
        </w:tc>
        <w:tc>
          <w:tcPr>
            <w:tcW w:w="1445" w:type="pct"/>
            <w:shd w:val="clear" w:color="auto" w:fill="FFFFFF"/>
            <w:vAlign w:val="center"/>
          </w:tcPr>
          <w:p>
            <w:r>
              <w:t>见2.4.2所示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导师遴选</w:t>
            </w:r>
          </w:p>
        </w:tc>
        <w:tc>
          <w:tcPr>
            <w:tcW w:w="1445" w:type="pct"/>
            <w:shd w:val="clear" w:color="auto" w:fill="FFFFFF"/>
            <w:vAlign w:val="center"/>
          </w:tcPr>
          <w:p>
            <w:r>
              <w:t>见2.4.3所示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导师招生资格年审</w:t>
            </w:r>
          </w:p>
        </w:tc>
        <w:tc>
          <w:tcPr>
            <w:tcW w:w="1445" w:type="pct"/>
            <w:shd w:val="clear" w:color="auto" w:fill="FFFFFF"/>
            <w:vAlign w:val="center"/>
          </w:tcPr>
          <w:p>
            <w:r>
              <w:t>见2.4.4所示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师生互选</w:t>
            </w:r>
          </w:p>
        </w:tc>
        <w:tc>
          <w:tcPr>
            <w:tcW w:w="1445" w:type="pct"/>
            <w:shd w:val="clear" w:color="auto" w:fill="FFFFFF"/>
            <w:vAlign w:val="center"/>
          </w:tcPr>
          <w:p>
            <w:r>
              <w:t>见2.4.5所示</w:t>
            </w:r>
          </w:p>
        </w:tc>
      </w:tr>
      <w:bookmark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09" w:type="pct"/>
            <w:vMerge w:val="restart"/>
            <w:shd w:val="clear" w:color="auto" w:fill="FFFFFF"/>
            <w:vAlign w:val="center"/>
          </w:tcPr>
          <w:p>
            <w:pPr>
              <w:ind w:firstLine="0" w:firstLineChars="0"/>
              <w:jc w:val="center"/>
            </w:pPr>
            <w:r>
              <w:t>5</w:t>
            </w:r>
          </w:p>
        </w:tc>
        <w:tc>
          <w:tcPr>
            <w:tcW w:w="1317" w:type="pct"/>
            <w:vMerge w:val="restart"/>
            <w:shd w:val="clear" w:color="auto" w:fill="FFFFFF"/>
            <w:vAlign w:val="center"/>
          </w:tcPr>
          <w:p>
            <w:r>
              <w:t>移动服务</w:t>
            </w:r>
          </w:p>
        </w:tc>
        <w:tc>
          <w:tcPr>
            <w:tcW w:w="1829" w:type="pct"/>
            <w:shd w:val="clear" w:color="auto" w:fill="FFFFFF"/>
            <w:vAlign w:val="center"/>
          </w:tcPr>
          <w:p>
            <w:r>
              <w:t>学籍移动服务</w:t>
            </w:r>
          </w:p>
        </w:tc>
        <w:tc>
          <w:tcPr>
            <w:tcW w:w="1445" w:type="pct"/>
            <w:shd w:val="clear" w:color="auto" w:fill="FFFFFF"/>
            <w:vAlign w:val="center"/>
          </w:tcPr>
          <w:p>
            <w:r>
              <w:t>见2.5.1所示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培养移动服务</w:t>
            </w:r>
          </w:p>
        </w:tc>
        <w:tc>
          <w:tcPr>
            <w:tcW w:w="1445" w:type="pct"/>
            <w:shd w:val="clear" w:color="auto" w:fill="FFFFFF"/>
            <w:vAlign w:val="center"/>
          </w:tcPr>
          <w:p>
            <w:r>
              <w:t>见2.5.2所示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学位移动服务</w:t>
            </w:r>
          </w:p>
        </w:tc>
        <w:tc>
          <w:tcPr>
            <w:tcW w:w="1445" w:type="pct"/>
            <w:shd w:val="clear" w:color="auto" w:fill="FFFFFF"/>
            <w:vAlign w:val="center"/>
          </w:tcPr>
          <w:p>
            <w:r>
              <w:t>见2.5.3所示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409" w:type="pct"/>
            <w:shd w:val="clear" w:color="auto" w:fill="FFFFFF"/>
            <w:vAlign w:val="center"/>
          </w:tcPr>
          <w:p>
            <w:pPr>
              <w:ind w:firstLine="0" w:firstLineChars="0"/>
              <w:jc w:val="center"/>
            </w:pPr>
            <w:r>
              <w:t>6</w:t>
            </w:r>
          </w:p>
        </w:tc>
        <w:tc>
          <w:tcPr>
            <w:tcW w:w="1317" w:type="pct"/>
            <w:shd w:val="clear" w:color="auto" w:fill="FFFFFF"/>
            <w:vAlign w:val="center"/>
          </w:tcPr>
          <w:p>
            <w:pPr>
              <w:ind w:firstLine="0" w:firstLineChars="0"/>
              <w:jc w:val="center"/>
            </w:pPr>
            <w:r>
              <w:t>学生成长数据采集</w:t>
            </w:r>
          </w:p>
        </w:tc>
        <w:tc>
          <w:tcPr>
            <w:tcW w:w="1829" w:type="pct"/>
            <w:shd w:val="clear" w:color="auto" w:fill="FFFFFF"/>
            <w:vAlign w:val="center"/>
          </w:tcPr>
          <w:p>
            <w:r>
              <w:t>学生成果采集</w:t>
            </w:r>
          </w:p>
        </w:tc>
        <w:tc>
          <w:tcPr>
            <w:tcW w:w="1445" w:type="pct"/>
            <w:shd w:val="clear" w:color="auto" w:fill="FFFFFF"/>
            <w:vAlign w:val="center"/>
          </w:tcPr>
          <w:p>
            <w:r>
              <w:t>见2.6所示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09" w:type="pct"/>
            <w:vMerge w:val="restart"/>
            <w:shd w:val="clear" w:color="auto" w:fill="FFFFFF"/>
            <w:vAlign w:val="center"/>
          </w:tcPr>
          <w:p>
            <w:pPr>
              <w:ind w:firstLine="0" w:firstLineChars="0"/>
              <w:jc w:val="center"/>
            </w:pPr>
            <w:r>
              <w:t>7</w:t>
            </w:r>
          </w:p>
        </w:tc>
        <w:tc>
          <w:tcPr>
            <w:tcW w:w="1317" w:type="pct"/>
            <w:vMerge w:val="restart"/>
            <w:shd w:val="clear" w:color="auto" w:fill="FFFFFF"/>
            <w:vAlign w:val="center"/>
          </w:tcPr>
          <w:p>
            <w:pPr>
              <w:ind w:firstLine="0" w:firstLineChars="0"/>
              <w:jc w:val="center"/>
            </w:pPr>
            <w:r>
              <w:t>集成对接服务</w:t>
            </w:r>
          </w:p>
        </w:tc>
        <w:tc>
          <w:tcPr>
            <w:tcW w:w="1829" w:type="pct"/>
            <w:shd w:val="clear" w:color="auto" w:fill="FFFFFF"/>
            <w:vAlign w:val="center"/>
          </w:tcPr>
          <w:p>
            <w:r>
              <w:t>统一身份认证对接</w:t>
            </w:r>
          </w:p>
        </w:tc>
        <w:tc>
          <w:tcPr>
            <w:tcW w:w="1445" w:type="pct"/>
            <w:shd w:val="clear" w:color="auto" w:fill="FFFFFF"/>
            <w:vAlign w:val="center"/>
          </w:tcPr>
          <w:p>
            <w:r>
              <w:t>见2.7.1所示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pPr>
              <w:ind w:firstLine="0" w:firstLineChars="0"/>
              <w:jc w:val="center"/>
            </w:pPr>
            <w:r>
              <w:t>教师综合服务门户集成</w:t>
            </w:r>
          </w:p>
        </w:tc>
        <w:tc>
          <w:tcPr>
            <w:tcW w:w="1445" w:type="pct"/>
            <w:shd w:val="clear" w:color="auto" w:fill="FFFFFF"/>
            <w:vAlign w:val="center"/>
          </w:tcPr>
          <w:p>
            <w:r>
              <w:t>见2.7.2所示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09" w:type="pct"/>
            <w:vMerge w:val="continue"/>
            <w:shd w:val="clear" w:color="auto" w:fill="FFFFFF"/>
            <w:vAlign w:val="center"/>
          </w:tcPr>
          <w:p/>
        </w:tc>
        <w:tc>
          <w:tcPr>
            <w:tcW w:w="1317" w:type="pct"/>
            <w:vMerge w:val="continue"/>
            <w:shd w:val="clear" w:color="auto" w:fill="FFFFFF"/>
            <w:vAlign w:val="center"/>
          </w:tcPr>
          <w:p/>
        </w:tc>
        <w:tc>
          <w:tcPr>
            <w:tcW w:w="1829" w:type="pct"/>
            <w:shd w:val="clear" w:color="auto" w:fill="FFFFFF"/>
            <w:vAlign w:val="center"/>
          </w:tcPr>
          <w:p>
            <w:r>
              <w:t>数据集成</w:t>
            </w:r>
          </w:p>
        </w:tc>
        <w:tc>
          <w:tcPr>
            <w:tcW w:w="1445" w:type="pct"/>
            <w:shd w:val="clear" w:color="auto" w:fill="FFFFFF"/>
            <w:vAlign w:val="center"/>
          </w:tcPr>
          <w:p>
            <w:r>
              <w:t>见2.7.3所示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09" w:type="pct"/>
            <w:shd w:val="clear" w:color="auto" w:fill="FFFFFF"/>
            <w:vAlign w:val="center"/>
          </w:tcPr>
          <w:p>
            <w:pPr>
              <w:ind w:firstLine="0" w:firstLineChars="0"/>
              <w:jc w:val="center"/>
            </w:pPr>
            <w:r>
              <w:t>8</w:t>
            </w:r>
          </w:p>
        </w:tc>
        <w:tc>
          <w:tcPr>
            <w:tcW w:w="1317" w:type="pct"/>
            <w:shd w:val="clear" w:color="auto" w:fill="FFFFFF"/>
            <w:vAlign w:val="center"/>
          </w:tcPr>
          <w:p>
            <w:pPr>
              <w:ind w:firstLine="0" w:firstLineChars="0"/>
              <w:jc w:val="center"/>
            </w:pPr>
            <w:r>
              <w:t>密码应用功能</w:t>
            </w:r>
          </w:p>
        </w:tc>
        <w:tc>
          <w:tcPr>
            <w:tcW w:w="1829" w:type="pct"/>
            <w:shd w:val="clear" w:color="auto" w:fill="FFFFFF"/>
            <w:vAlign w:val="center"/>
          </w:tcPr>
          <w:p>
            <w:r>
              <w:t>密码应用功能模块</w:t>
            </w:r>
          </w:p>
        </w:tc>
        <w:tc>
          <w:tcPr>
            <w:tcW w:w="1445" w:type="pct"/>
            <w:shd w:val="clear" w:color="auto" w:fill="FFFFFF"/>
            <w:vAlign w:val="center"/>
          </w:tcPr>
          <w:p>
            <w:r>
              <w:rPr>
                <w:rFonts w:eastAsiaTheme="minorEastAsia"/>
              </w:rPr>
              <w:t>见2.8所示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09" w:type="pct"/>
            <w:shd w:val="clear" w:color="auto" w:fill="FFFFFF"/>
            <w:vAlign w:val="center"/>
          </w:tcPr>
          <w:p>
            <w:pPr>
              <w:ind w:firstLine="0" w:firstLineChars="0"/>
              <w:jc w:val="center"/>
            </w:pPr>
            <w:r>
              <w:t>9</w:t>
            </w:r>
          </w:p>
        </w:tc>
        <w:tc>
          <w:tcPr>
            <w:tcW w:w="1317" w:type="pct"/>
            <w:shd w:val="clear" w:color="auto" w:fill="FFFFFF"/>
            <w:vAlign w:val="center"/>
          </w:tcPr>
          <w:p>
            <w:pPr>
              <w:ind w:firstLine="0" w:firstLineChars="0"/>
              <w:jc w:val="center"/>
            </w:pPr>
            <w:bookmarkStart w:id="22" w:name="_Hlk191456501"/>
            <w:r>
              <w:t>论文自主送审平台服务</w:t>
            </w:r>
            <w:bookmarkEnd w:id="22"/>
          </w:p>
        </w:tc>
        <w:tc>
          <w:tcPr>
            <w:tcW w:w="1829" w:type="pct"/>
            <w:shd w:val="clear" w:color="auto" w:fill="FFFFFF"/>
            <w:vAlign w:val="center"/>
          </w:tcPr>
          <w:p>
            <w:r>
              <w:t>论文自主送审平台服务</w:t>
            </w:r>
          </w:p>
        </w:tc>
        <w:tc>
          <w:tcPr>
            <w:tcW w:w="1445" w:type="pct"/>
            <w:shd w:val="clear" w:color="auto" w:fill="FFFFFF"/>
            <w:vAlign w:val="center"/>
          </w:tcPr>
          <w:p>
            <w:pPr>
              <w:rPr>
                <w:rFonts w:eastAsiaTheme="minorEastAsia"/>
              </w:rPr>
            </w:pPr>
            <w:r>
              <w:rPr>
                <w:rFonts w:eastAsiaTheme="minorEastAsia"/>
              </w:rPr>
              <w:t>见2.9所示</w:t>
            </w:r>
          </w:p>
        </w:tc>
      </w:tr>
    </w:tbl>
    <w:p>
      <w:pPr>
        <w:ind w:firstLine="482"/>
        <w:rPr>
          <w:b/>
          <w:bCs w:val="0"/>
        </w:rPr>
      </w:pPr>
      <w:r>
        <w:rPr>
          <w:b/>
          <w:bCs w:val="0"/>
        </w:rPr>
        <w:t>2.1 学籍管理</w:t>
      </w:r>
    </w:p>
    <w:p>
      <w:pPr>
        <w:ind w:firstLine="482"/>
        <w:rPr>
          <w:b/>
        </w:rPr>
      </w:pPr>
      <w:r>
        <w:rPr>
          <w:b/>
        </w:rPr>
        <w:t>2.1.1 新生管理</w:t>
      </w:r>
    </w:p>
    <w:p>
      <w:pPr>
        <w:ind w:firstLine="482"/>
      </w:pPr>
      <w:r>
        <w:rPr>
          <w:b/>
          <w:bCs w:val="0"/>
        </w:rPr>
        <w:t>录取信息管理：</w:t>
      </w:r>
      <w:r>
        <w:t>对接中国研究生招生信息网，导入研招网下载的拟录取新生DBF文件。可自定义新生入学月日、毕业日期、学号生成规则，为了应对不同系统之间学院和学科编码的差异，可指定研究生招生系统和研究生教育综合管理系统之间学院学科对应关系。</w:t>
      </w:r>
    </w:p>
    <w:p>
      <w:pPr>
        <w:numPr>
          <w:ilvl w:val="0"/>
          <w:numId w:val="4"/>
        </w:numPr>
        <w:adjustRightInd w:val="0"/>
        <w:ind w:firstLineChars="0"/>
        <w:jc w:val="left"/>
      </w:pPr>
      <w:r>
        <w:t>导入研招网录取信息。研究生院管理员能够一键导入从研招网下载的硕士、博士、推免生录取DBF数据文件，可以查看每位录取新生的基本信息、考生来源及毕业信息、考试信息、录取信息、退役大学生士兵计划信息及其他信息。</w:t>
      </w:r>
    </w:p>
    <w:p>
      <w:pPr>
        <w:numPr>
          <w:ilvl w:val="0"/>
          <w:numId w:val="4"/>
        </w:numPr>
        <w:adjustRightInd w:val="0"/>
        <w:ind w:firstLineChars="0"/>
        <w:jc w:val="left"/>
      </w:pPr>
      <w:r>
        <w:t>自定义学号生成规则。设置学号总长度、固定位、自定义位和流水号，自定义位支持按照招生年份、培养层次、录取学习方式、录取院系所码、学院代码、学科代码、学位类型等信息进行拼接，流水号支持根据指定信息项正序或倒序排序。</w:t>
      </w:r>
    </w:p>
    <w:p>
      <w:pPr>
        <w:numPr>
          <w:ilvl w:val="0"/>
          <w:numId w:val="4"/>
        </w:numPr>
        <w:adjustRightInd w:val="0"/>
        <w:ind w:firstLineChars="0"/>
        <w:jc w:val="left"/>
      </w:pPr>
      <w:r>
        <w:t>两种学号生成模式。管理员可按照系统自定义学号编排规则一键生成学号，也可导入学号Excel文件。</w:t>
      </w:r>
    </w:p>
    <w:p>
      <w:pPr>
        <w:numPr>
          <w:ilvl w:val="0"/>
          <w:numId w:val="4"/>
        </w:numPr>
        <w:adjustRightInd w:val="0"/>
        <w:ind w:firstLineChars="0"/>
        <w:jc w:val="left"/>
      </w:pPr>
      <w:r>
        <w:t>按需确定学籍初始化时间。研究生院管理员可根据实际业务需要选择学籍初始化的时间，如要求在暑假期间对学生指定第一学期课程，则可选择发布新生数据之后初始化学籍，如要求在学生报到后选择第一学期课程，则可选择根据新生报到情况初始化学籍。</w:t>
      </w:r>
    </w:p>
    <w:p>
      <w:pPr>
        <w:numPr>
          <w:ilvl w:val="0"/>
          <w:numId w:val="4"/>
        </w:numPr>
        <w:adjustRightInd w:val="0"/>
        <w:ind w:firstLineChars="0"/>
        <w:jc w:val="left"/>
      </w:pPr>
      <w:r>
        <w:t>留存原始录取数据。完整保留原始录取数据，保障录取数据的可查可下载。完整记录业务操作。系统完整记录每一次操作，能够查询录取数据操作描述、操作人和操作时间。</w:t>
      </w:r>
    </w:p>
    <w:p>
      <w:pPr>
        <w:ind w:firstLine="482"/>
      </w:pPr>
      <w:r>
        <w:rPr>
          <w:b/>
          <w:bCs w:val="0"/>
        </w:rPr>
        <w:t>新生报到管理：</w:t>
      </w:r>
      <w:r>
        <w:t>研究生院管理员可单独或批量维护新生报到信息，报到结果含报到入学、取消入学资格、放弃入学资格和保留入学资格4类，每一类均可维护填报信息明细。</w:t>
      </w:r>
    </w:p>
    <w:p>
      <w:pPr>
        <w:numPr>
          <w:ilvl w:val="0"/>
          <w:numId w:val="5"/>
        </w:numPr>
        <w:adjustRightInd w:val="0"/>
        <w:ind w:firstLineChars="0"/>
        <w:jc w:val="left"/>
      </w:pPr>
      <w:r>
        <w:t>维护报到结果。研究生院管理员可维护学生报到状态，状态分为报到入学、保留入学资格、放弃入学资格、取消入学资格4类，报到入学学生具有学籍信息，未报到入学学生没有学籍信息。</w:t>
      </w:r>
    </w:p>
    <w:p>
      <w:pPr>
        <w:numPr>
          <w:ilvl w:val="0"/>
          <w:numId w:val="5"/>
        </w:numPr>
        <w:adjustRightInd w:val="0"/>
        <w:ind w:firstLineChars="0"/>
        <w:jc w:val="left"/>
      </w:pPr>
      <w:r>
        <w:t>同步报到结果。研究生院管理员可一键同步研究生招生系统新生报到结果，能够在此基础上进行报到结果微调。</w:t>
      </w:r>
    </w:p>
    <w:p>
      <w:pPr>
        <w:numPr>
          <w:ilvl w:val="0"/>
          <w:numId w:val="5"/>
        </w:numPr>
        <w:adjustRightInd w:val="0"/>
        <w:ind w:firstLineChars="0"/>
        <w:jc w:val="left"/>
      </w:pPr>
      <w:r>
        <w:t>保留入学资格。对于保留入学资格的学生，研究生院管理员可以设置其保留入学资格年限，可修改由系统自动推算的预计报到年份，能够导出保留入学资格信息上报至学信网，支持在预计报到年份将保留入学资格学生报到入学。</w:t>
      </w:r>
    </w:p>
    <w:p>
      <w:pPr>
        <w:numPr>
          <w:ilvl w:val="0"/>
          <w:numId w:val="5"/>
        </w:numPr>
        <w:adjustRightInd w:val="0"/>
        <w:ind w:firstLineChars="0"/>
        <w:jc w:val="left"/>
      </w:pPr>
      <w:r>
        <w:t>取消或放弃入学资格。对于取消入学资格或放弃入学资格学生，研究生院管理员可维护相关材料，系统支持导出取消入学资格和放弃入学资格信息上报至学信网。</w:t>
      </w:r>
    </w:p>
    <w:p>
      <w:pPr>
        <w:numPr>
          <w:ilvl w:val="0"/>
          <w:numId w:val="5"/>
        </w:numPr>
        <w:adjustRightInd w:val="0"/>
        <w:ind w:firstLineChars="0"/>
        <w:jc w:val="left"/>
      </w:pPr>
      <w:r>
        <w:t>查询报到进度。研究生院管理员能够查询学生报到进度。</w:t>
      </w:r>
    </w:p>
    <w:p>
      <w:pPr>
        <w:ind w:firstLine="482"/>
      </w:pPr>
      <w:r>
        <w:rPr>
          <w:b/>
          <w:bCs w:val="0"/>
        </w:rPr>
        <w:t>数据分析：</w:t>
      </w:r>
      <w:r>
        <w:t>可对历年招生情况及新生报到情况进行分析，如可对历年保留入学资格和放弃入学资格学生的占比、原因以及人数变化情况进行分析。支持其他新生管理相关数据分析。</w:t>
      </w:r>
    </w:p>
    <w:p>
      <w:pPr>
        <w:ind w:firstLine="482"/>
        <w:rPr>
          <w:b/>
        </w:rPr>
      </w:pPr>
      <w:r>
        <w:rPr>
          <w:b/>
        </w:rPr>
        <w:t>2.1.2 学籍信息管理</w:t>
      </w:r>
    </w:p>
    <w:p>
      <w:pPr>
        <w:ind w:firstLine="482"/>
        <w:jc w:val="left"/>
        <w:rPr>
          <w:lang w:val="zh-CN"/>
        </w:rPr>
      </w:pPr>
      <w:r>
        <w:rPr>
          <w:b/>
          <w:bCs w:val="0"/>
        </w:rPr>
        <w:t>管理学籍：</w:t>
      </w:r>
      <w:r>
        <w:rPr>
          <w:lang w:val="zh-CN"/>
        </w:rPr>
        <w:t>研究生院管理员可批量导入留学生和历史在校生学籍信息，研究生院管理员可直接修改学籍信息，也可以由学生发起学籍修改申请，鉴于学生学籍的重要性，学籍的每一次修改均应留痕。</w:t>
      </w:r>
    </w:p>
    <w:p>
      <w:pPr>
        <w:numPr>
          <w:ilvl w:val="0"/>
          <w:numId w:val="6"/>
        </w:numPr>
        <w:ind w:left="0" w:firstLine="422" w:firstLineChars="0"/>
        <w:jc w:val="left"/>
        <w:rPr>
          <w:rFonts w:eastAsiaTheme="minorEastAsia"/>
          <w:b/>
          <w:lang w:val="zh-CN"/>
        </w:rPr>
      </w:pPr>
      <w:r>
        <w:rPr>
          <w:rFonts w:eastAsiaTheme="minorEastAsia"/>
          <w:b/>
          <w:lang w:val="zh-CN"/>
        </w:rPr>
        <w:t>入学管理</w:t>
      </w:r>
    </w:p>
    <w:p>
      <w:pPr>
        <w:numPr>
          <w:ilvl w:val="0"/>
          <w:numId w:val="7"/>
        </w:numPr>
        <w:adjustRightInd w:val="0"/>
        <w:ind w:left="0" w:firstLine="420" w:firstLineChars="0"/>
        <w:jc w:val="left"/>
        <w:rPr>
          <w:rFonts w:eastAsiaTheme="minorEastAsia"/>
        </w:rPr>
      </w:pPr>
      <w:r>
        <w:rPr>
          <w:rFonts w:eastAsiaTheme="minorEastAsia"/>
        </w:rPr>
        <w:t>导入历史在校生学籍信息。研究生院管理员可批量导入历史在校生信息，学籍信息项以历史学生标准学籍信息模板为准，确保历史在校生学籍信息结构统一。</w:t>
      </w:r>
    </w:p>
    <w:p>
      <w:pPr>
        <w:numPr>
          <w:ilvl w:val="0"/>
          <w:numId w:val="7"/>
        </w:numPr>
        <w:adjustRightInd w:val="0"/>
        <w:ind w:left="0" w:firstLine="420" w:firstLineChars="0"/>
        <w:jc w:val="left"/>
        <w:rPr>
          <w:rFonts w:eastAsiaTheme="minorEastAsia"/>
        </w:rPr>
      </w:pPr>
      <w:r>
        <w:rPr>
          <w:rFonts w:eastAsiaTheme="minorEastAsia"/>
        </w:rPr>
        <w:t>导入留学生学籍信息。研究生院管理员可批量导入留学生信息，学籍信息项以留学生标准学籍信息模板为准，确保留学生学籍信息结构统一。</w:t>
      </w:r>
    </w:p>
    <w:p>
      <w:pPr>
        <w:numPr>
          <w:ilvl w:val="0"/>
          <w:numId w:val="6"/>
        </w:numPr>
        <w:ind w:left="0" w:firstLine="422" w:firstLineChars="0"/>
        <w:jc w:val="left"/>
        <w:rPr>
          <w:rFonts w:eastAsiaTheme="minorEastAsia"/>
          <w:b/>
          <w:lang w:val="zh-CN"/>
        </w:rPr>
      </w:pPr>
      <w:r>
        <w:rPr>
          <w:rFonts w:eastAsiaTheme="minorEastAsia"/>
          <w:b/>
          <w:lang w:val="zh-CN"/>
        </w:rPr>
        <w:t>完善学籍信息</w:t>
      </w:r>
    </w:p>
    <w:p>
      <w:pPr>
        <w:numPr>
          <w:ilvl w:val="0"/>
          <w:numId w:val="8"/>
        </w:numPr>
        <w:adjustRightInd w:val="0"/>
        <w:ind w:left="0" w:firstLine="420" w:firstLineChars="0"/>
        <w:jc w:val="left"/>
        <w:rPr>
          <w:rFonts w:eastAsiaTheme="minorEastAsia"/>
        </w:rPr>
      </w:pPr>
      <w:r>
        <w:rPr>
          <w:rFonts w:eastAsiaTheme="minorEastAsia"/>
        </w:rPr>
        <w:t>强制完善个人信息。学生初次登录系统时强制完善个人信息，必填信息项以学籍标准信息模板设置为准。</w:t>
      </w:r>
    </w:p>
    <w:p>
      <w:pPr>
        <w:numPr>
          <w:ilvl w:val="0"/>
          <w:numId w:val="8"/>
        </w:numPr>
        <w:adjustRightInd w:val="0"/>
        <w:ind w:left="0" w:firstLine="420" w:firstLineChars="0"/>
        <w:jc w:val="left"/>
        <w:rPr>
          <w:rFonts w:eastAsiaTheme="minorEastAsia"/>
        </w:rPr>
      </w:pPr>
      <w:r>
        <w:rPr>
          <w:rFonts w:eastAsiaTheme="minorEastAsia"/>
        </w:rPr>
        <w:t>申请变更学籍信息。研究生院管理员可直接调整学生学籍信息，学生可申请修改学籍信息，经审核后更新到学籍档案。</w:t>
      </w:r>
    </w:p>
    <w:p>
      <w:pPr>
        <w:ind w:firstLine="482"/>
      </w:pPr>
      <w:r>
        <w:rPr>
          <w:b/>
          <w:bCs w:val="0"/>
        </w:rPr>
        <w:t>多类型个性化学生信息模版：</w:t>
      </w:r>
      <w:r>
        <w:t>面向研招硕士、研招博士、留学生等不同类型学生设置个性化学生信息模版，保障学生信息不缺失、不冗余、清晰明了。</w:t>
      </w:r>
    </w:p>
    <w:p>
      <w:pPr>
        <w:ind w:firstLine="482"/>
      </w:pPr>
      <w:r>
        <w:rPr>
          <w:b/>
          <w:bCs w:val="0"/>
        </w:rPr>
        <w:t>学籍管理体系：</w:t>
      </w:r>
      <w:r>
        <w:t>构建由报到入学初始化学籍基础信息、初次登录强制完善关键信息、日常培养学生申请调整变动信息、业务模块联动、管理人员辅助调整五部分构成的学籍管理体系，保障学籍信息维护的易用性、标准化、科学性。</w:t>
      </w:r>
    </w:p>
    <w:p>
      <w:pPr>
        <w:ind w:firstLine="482"/>
      </w:pPr>
      <w:r>
        <w:rPr>
          <w:b/>
          <w:bCs w:val="0"/>
        </w:rPr>
        <w:t>卓越工程师：</w:t>
      </w:r>
      <w:r>
        <w:t>支持招生学院和卓越工程师学院双学院身份识别，以支持卓越工程师个性化培养管理。</w:t>
      </w:r>
    </w:p>
    <w:p>
      <w:pPr>
        <w:ind w:firstLine="482"/>
      </w:pPr>
      <w:r>
        <w:rPr>
          <w:b/>
          <w:bCs w:val="0"/>
        </w:rPr>
        <w:t>数据分析：</w:t>
      </w:r>
      <w:r>
        <w:t>可对历年各培养单位、各培养类别、各培养层次、各学科专业(领域)、各学习形式的硕士和博士在校、毕业和结业人数及变化趋势进行分析。支持其他学籍信息相关数据分析。</w:t>
      </w:r>
    </w:p>
    <w:p>
      <w:pPr>
        <w:ind w:firstLine="482"/>
        <w:rPr>
          <w:b/>
        </w:rPr>
      </w:pPr>
      <w:r>
        <w:rPr>
          <w:b/>
        </w:rPr>
        <w:t>2.1.3 注册管理</w:t>
      </w:r>
    </w:p>
    <w:p>
      <w:r>
        <w:t>为研究生院管理员提供学籍注册和学年注册的快捷注册方式，为便于各学期学生管理，拓展学期注册环节，由学院研究生工作秘书结合学生实际情况进行学期注册，可限制未学期注册学生的系统权限。</w:t>
      </w:r>
    </w:p>
    <w:p>
      <w:pPr>
        <w:ind w:firstLine="482"/>
      </w:pPr>
      <w:r>
        <w:rPr>
          <w:b/>
          <w:bCs w:val="0"/>
        </w:rPr>
        <w:t>学籍注册：</w:t>
      </w:r>
      <w:r>
        <w:t>一键导出学籍注册文件。导出DBF格式新生学籍注册信息直接上报学信网。自动补全考生编号。自动将招生数据的15位考生编号补全至16位（招生年份末1位改为招生年份末2位）。</w:t>
      </w:r>
    </w:p>
    <w:p>
      <w:pPr>
        <w:ind w:firstLine="482"/>
      </w:pPr>
      <w:r>
        <w:rPr>
          <w:b/>
          <w:bCs w:val="0"/>
        </w:rPr>
        <w:t>学年注册：</w:t>
      </w:r>
      <w:r>
        <w:t>一键导出学年注册文件。导出DBF格式非新生学年注册信息直接上报学信网。</w:t>
      </w:r>
    </w:p>
    <w:p>
      <w:pPr>
        <w:ind w:firstLine="482"/>
      </w:pPr>
      <w:r>
        <w:rPr>
          <w:b/>
          <w:bCs w:val="0"/>
        </w:rPr>
        <w:t>学期注册：</w:t>
      </w:r>
      <w:r>
        <w:t>能够限定学期注册时间，学生可通过移动端进行学期注册。学生注册时记录学生GPS定位信息，根据定位判定学生是否在校内。学院研究生工作秘书可辅助进行学期注册。研究生院管理员能够统计各学院学期注册进度。可根据实际需要配置是否对未注册学生进行系统使用限制。</w:t>
      </w:r>
    </w:p>
    <w:p>
      <w:pPr>
        <w:ind w:firstLine="482"/>
      </w:pPr>
      <w:r>
        <w:rPr>
          <w:b/>
          <w:bCs w:val="0"/>
        </w:rPr>
        <w:t>数据分析：</w:t>
      </w:r>
      <w:r>
        <w:t>可分析每学期和每学年研究生注册报到情况及未注册、暂缓注册情况及原因。支持其他注册管理相关数据分析。</w:t>
      </w:r>
    </w:p>
    <w:p>
      <w:pPr>
        <w:ind w:firstLine="482"/>
        <w:rPr>
          <w:b/>
        </w:rPr>
      </w:pPr>
      <w:r>
        <w:rPr>
          <w:b/>
        </w:rPr>
        <w:t>2.1.4 学籍异动</w:t>
      </w:r>
    </w:p>
    <w:p>
      <w:pPr>
        <w:ind w:firstLine="482"/>
      </w:pPr>
      <w:r>
        <w:rPr>
          <w:b/>
          <w:bCs w:val="0"/>
        </w:rPr>
        <w:t>维护异动信息：</w:t>
      </w:r>
      <w:r>
        <w:t>在线管理休学、保留学籍、退学、复学、延期毕业等类型学籍异动，可由学生提交学籍异动申请、各级管理人员审核，也可由研究生院管理员代为录入异动信息。休学：学生填写联系信息、休学学期、开始结束时间、休学原因、具体说明、证明材料。保留学籍：学生填写联系信息、开始学期、持续学期数、保留学籍日期、预计复学日期。退学：学生填写联系信息、退学日期、退学原因、具体说明、证明材料。复学：学生填写联系信息、复学学期、申请复学日期、复学说明、证明材料。延期毕业：学生填写联系信息、申请预计毕业日期、延期毕业原因、相关材料。学生提交申请后，依次由导师、学院研究生工作秘书、研究生院管理员审核后生效，系统支持导出异动审批表。</w:t>
      </w:r>
    </w:p>
    <w:p>
      <w:pPr>
        <w:ind w:firstLine="482"/>
      </w:pPr>
      <w:r>
        <w:rPr>
          <w:b/>
          <w:bCs w:val="0"/>
        </w:rPr>
        <w:t>学籍状态闭环体系：</w:t>
      </w:r>
      <w:r>
        <w:t>构建由待报到、在校、非在校、待延期、毕业5个学生角色，待报到、在读、休学、保留学籍、毕业、结业、肄业、硕转博、博转硕、退学、转出、死亡12个学籍状态构成的学籍状态体系。控制可逆及不可逆学生状态变化，限制非在校生操作权限。</w:t>
      </w:r>
    </w:p>
    <w:p>
      <w:pPr>
        <w:ind w:firstLine="482"/>
      </w:pPr>
      <w:r>
        <w:rPr>
          <w:b/>
          <w:bCs w:val="0"/>
        </w:rPr>
        <w:t>数据分析：</w:t>
      </w:r>
      <w:r>
        <w:t>根据异动数据自动分析历年研究生异动情况。支持其他学籍异动相关数据分析。</w:t>
      </w:r>
    </w:p>
    <w:p>
      <w:pPr>
        <w:ind w:firstLine="482"/>
        <w:rPr>
          <w:b/>
        </w:rPr>
      </w:pPr>
      <w:r>
        <w:rPr>
          <w:b/>
        </w:rPr>
        <w:t>2.1.5 毕业管理</w:t>
      </w:r>
    </w:p>
    <w:p>
      <w:pPr>
        <w:ind w:firstLine="482"/>
        <w:rPr>
          <w:bCs w:val="0"/>
        </w:rPr>
      </w:pPr>
      <w:r>
        <w:rPr>
          <w:b/>
        </w:rPr>
        <w:t>生成毕业名单：</w:t>
      </w:r>
      <w:r>
        <w:rPr>
          <w:bCs w:val="0"/>
        </w:rPr>
        <w:t>根据年级、入学年月、培养环节完成情况、答辩情况自动形成毕业或延期毕业名单。需要充分考虑休学、保留学籍、复学等异动信息自动校正学生预计毕业日期。研究生院管理员可在线标注结业、肄业等异常毕业学生。支持按照EXCEL或DBF格式自定义导出毕业结论信息，关键信息包含学号、姓名、年级、学制、入学年月、预计毕业日期、本学期结束日期、弹性学制毕业日期。学院研究生工作秘书审核维护学生的毕业、结业、延期毕业和肄业信息并提交研究生院管理员审核。</w:t>
      </w:r>
    </w:p>
    <w:p>
      <w:pPr>
        <w:ind w:firstLine="482"/>
        <w:rPr>
          <w:b/>
        </w:rPr>
      </w:pPr>
      <w:r>
        <w:rPr>
          <w:b/>
        </w:rPr>
        <w:t>打印毕业证书：</w:t>
      </w:r>
    </w:p>
    <w:p>
      <w:pPr>
        <w:rPr>
          <w:bCs w:val="0"/>
        </w:rPr>
      </w:pPr>
      <w:r>
        <w:rPr>
          <w:bCs w:val="0"/>
        </w:rPr>
        <w:t>1、研究生院管理员通过系统一键编排毕业证书编号。例如：证书编号由学校代码（1-5）+办学类型（6）+毕业年份（7-10）+培养层次（11-12）+自定义流水号（13-18）构成。生成证书编号时支持预览初始编号、编号重复校验、设置流水号排序规则等操作。</w:t>
      </w:r>
    </w:p>
    <w:p>
      <w:pPr>
        <w:rPr>
          <w:bCs w:val="0"/>
        </w:rPr>
      </w:pPr>
      <w:r>
        <w:rPr>
          <w:bCs w:val="0"/>
        </w:rPr>
        <w:t>2、研究生院管理员导入学生毕业证书编号。导入毕业证书编号时进行编号规则、重复性、可编性校验。</w:t>
      </w:r>
    </w:p>
    <w:p>
      <w:pPr>
        <w:rPr>
          <w:bCs w:val="0"/>
        </w:rPr>
      </w:pPr>
      <w:r>
        <w:rPr>
          <w:bCs w:val="0"/>
        </w:rPr>
        <w:t>3、归档证书编号。编制完成的证书编号必须进行归档后才可以用于证书打印、学历注册等业务开展。归档后的证书编号不允许重新编排，务必保障证书信息的一致性。</w:t>
      </w:r>
    </w:p>
    <w:p>
      <w:pPr>
        <w:rPr>
          <w:bCs w:val="0"/>
        </w:rPr>
      </w:pPr>
      <w:r>
        <w:rPr>
          <w:bCs w:val="0"/>
        </w:rPr>
        <w:t>4、研究生院管理员批量导出学生毕业证书信息汇总表。</w:t>
      </w:r>
    </w:p>
    <w:p>
      <w:pPr>
        <w:ind w:firstLine="482"/>
        <w:rPr>
          <w:b/>
        </w:rPr>
      </w:pPr>
      <w:r>
        <w:rPr>
          <w:b/>
        </w:rPr>
        <w:t>学历注册：</w:t>
      </w:r>
      <w:r>
        <w:rPr>
          <w:bCs w:val="0"/>
        </w:rPr>
        <w:t>已设置毕业结论且已编排毕业证书编号的学生确认个人学历注册信息，研究生院管理员批量导出学历注册信息，DBF格式注册附件完全符合学信网要求，可直接用于上报学信网。学生在线确认个人学历信息。确认信息包含：考生号（16位）、学号、姓名、性别、出生日期、身份证号、院校代码、院校名称、专业代码、专业名称、学制、学习形式、培养层次、入学日期、毕业日期、毕业结业结论、证书编号、校长姓名。研究生院管理员导出DBF格式学历信息上报至学信网。DBF附件字段范围、顺序、长度标准均与学信网要求保持</w:t>
      </w:r>
      <w:r>
        <w:rPr>
          <w:rFonts w:hint="eastAsia"/>
          <w:bCs w:val="0"/>
          <w:lang w:val="en-US" w:eastAsia="zh-CN"/>
        </w:rPr>
        <w:t>一致</w:t>
      </w:r>
      <w:r>
        <w:rPr>
          <w:bCs w:val="0"/>
        </w:rPr>
        <w:t>，不经任何调整即可上传学信网</w:t>
      </w:r>
      <w:r>
        <w:rPr>
          <w:b/>
        </w:rPr>
        <w:t>。</w:t>
      </w:r>
    </w:p>
    <w:p>
      <w:pPr>
        <w:ind w:firstLine="482"/>
        <w:rPr>
          <w:b/>
        </w:rPr>
      </w:pPr>
      <w:r>
        <w:rPr>
          <w:b/>
        </w:rPr>
        <w:t>打印毕业材料：</w:t>
      </w:r>
      <w:r>
        <w:rPr>
          <w:bCs w:val="0"/>
        </w:rPr>
        <w:t>支持按照既定模版打印学历证明（英文版）、学历证明书等材料。</w:t>
      </w:r>
    </w:p>
    <w:p>
      <w:pPr>
        <w:ind w:firstLine="482"/>
      </w:pPr>
      <w:bookmarkStart w:id="23" w:name="OLE_LINK7"/>
      <w:r>
        <w:rPr>
          <w:b/>
          <w:bCs w:val="0"/>
        </w:rPr>
        <w:t>数据分析：</w:t>
      </w:r>
      <w:r>
        <w:t>可对历年毕结业研究生基本情况进行分析，包括学科专业、学院、录取类别、学习形式、培养形式、是否按时毕业等维度：可对每年延期毕业研究生的延期时间、延期理由进行分析，可对历年延期毕业率和原因等方面进行分析，可比对延期毕业研究生是否在申请时间内按时毕业；可根据超过基本学制和即将达到最长修业年限研究生情况，分析我校历年未按时毕业研究生基本情况，包括按学科专业、按学院、按年份等进行分析。</w:t>
      </w:r>
      <w:bookmarkEnd w:id="23"/>
      <w:r>
        <w:t>支持其他毕业管理相关数据分析。</w:t>
      </w:r>
    </w:p>
    <w:p>
      <w:pPr>
        <w:ind w:firstLine="482"/>
        <w:rPr>
          <w:b/>
        </w:rPr>
      </w:pPr>
      <w:bookmarkStart w:id="24" w:name="OLE_LINK10"/>
      <w:r>
        <w:rPr>
          <w:b/>
        </w:rPr>
        <w:t>2.1.6高基报表</w:t>
      </w:r>
    </w:p>
    <w:bookmarkEnd w:id="24"/>
    <w:p>
      <w:r>
        <w:t>系统支持查询导出年度高基报表及季度高基报表。</w:t>
      </w:r>
    </w:p>
    <w:p>
      <w:r>
        <w:t>高基报表范围包含2310高等教育班额、2310高等教育班额明细、3040学生变动情况、3045在校生其他情况、3331硕士研究生分专业（领域）学生数、3332博士研究生分专业（领域）学生数、3333研究生分专项计划类型学生数、3334高等教育分年龄在校生数、3335高等教育招生在校生来源情况、3343职业教育学生高等教育退学主要原因、4365研究生指导教师情况、53001少数民族分族别学生数。</w:t>
      </w:r>
    </w:p>
    <w:p>
      <w:r>
        <w:t>系统支持导出学信网格式要求的报表数据。</w:t>
      </w:r>
    </w:p>
    <w:p>
      <w:pPr>
        <w:ind w:firstLine="482"/>
        <w:rPr>
          <w:b/>
        </w:rPr>
      </w:pPr>
      <w:r>
        <w:rPr>
          <w:b/>
        </w:rPr>
        <w:t xml:space="preserve">2.1.7 </w:t>
      </w:r>
      <w:bookmarkStart w:id="25" w:name="OLE_LINK11"/>
      <w:r>
        <w:rPr>
          <w:b/>
        </w:rPr>
        <w:t>学信网数据上报</w:t>
      </w:r>
      <w:bookmarkEnd w:id="25"/>
    </w:p>
    <w:p>
      <w:r>
        <w:t>1、支持按照国务院学位中心、学信网等上级管理部门的标准格式导出上报数据，不需要人为干预处理。</w:t>
      </w:r>
    </w:p>
    <w:p>
      <w:r>
        <w:t>2、按照国家数据要求生成高基报表和学信网数据，可以直接从系统导出并上报，国家数据要求有变化的话系统要能够及时更新确保一致。</w:t>
      </w:r>
    </w:p>
    <w:p>
      <w:pPr>
        <w:ind w:firstLine="482"/>
        <w:rPr>
          <w:b/>
        </w:rPr>
      </w:pPr>
      <w:r>
        <w:rPr>
          <w:b/>
        </w:rPr>
        <w:t>2.1. 8证明打印</w:t>
      </w:r>
    </w:p>
    <w:p>
      <w:pPr>
        <w:ind w:firstLine="482"/>
      </w:pPr>
      <w:r>
        <w:rPr>
          <w:b/>
          <w:bCs w:val="0"/>
        </w:rPr>
        <w:t>学籍卡打印：</w:t>
      </w:r>
      <w:r>
        <w:t>可根据模板从学籍库提取字段生成学生证打印数据，支持批量和单个下载，支持带章打印。可对接学校已有自助打印机进行打印</w:t>
      </w:r>
    </w:p>
    <w:p>
      <w:pPr>
        <w:ind w:firstLine="482"/>
      </w:pPr>
      <w:r>
        <w:rPr>
          <w:b/>
          <w:bCs w:val="0"/>
        </w:rPr>
        <w:t>学生证打印：</w:t>
      </w:r>
      <w:r>
        <w:t>可根据模板从学籍库提取字段生成学生证打印数据，支持按学院、年级、专业等字段进行学生证的批量和单个下载和在线打印，支持植入印章，实现带章打印。可对接我校已有自主打印机进行打印。</w:t>
      </w:r>
    </w:p>
    <w:p>
      <w:pPr>
        <w:ind w:firstLine="482"/>
      </w:pPr>
      <w:r>
        <w:rPr>
          <w:b/>
          <w:bCs w:val="0"/>
        </w:rPr>
        <w:t>证明材料打印：</w:t>
      </w:r>
      <w:r>
        <w:t>支持在线办理并打印学籍证明、在校证明等各类型证明材料，可对接我校已有自助打印机进行打印。</w:t>
      </w:r>
    </w:p>
    <w:p>
      <w:r>
        <w:t>支持其它学籍管理相关的证明材料打印。</w:t>
      </w:r>
    </w:p>
    <w:p>
      <w:pPr>
        <w:ind w:firstLine="482"/>
        <w:rPr>
          <w:b/>
        </w:rPr>
      </w:pPr>
      <w:r>
        <w:rPr>
          <w:b/>
        </w:rPr>
        <w:t xml:space="preserve">2.1.9 </w:t>
      </w:r>
      <w:bookmarkStart w:id="26" w:name="OLE_LINK12"/>
      <w:r>
        <w:rPr>
          <w:b/>
        </w:rPr>
        <w:t>缴费管理</w:t>
      </w:r>
      <w:bookmarkEnd w:id="26"/>
    </w:p>
    <w:p>
      <w:pPr>
        <w:ind w:firstLine="482"/>
      </w:pPr>
      <w:r>
        <w:rPr>
          <w:b/>
          <w:bCs w:val="0"/>
        </w:rPr>
        <w:t>欠费信息：</w:t>
      </w:r>
      <w:r>
        <w:t>支持线上和线下两种方式获取学生缴费信息，限制欠费学生系统使用权限。</w:t>
      </w:r>
    </w:p>
    <w:p>
      <w:r>
        <w:t>1、自动同步缴费信息。对接财务系统，同步学费缴纳数据。</w:t>
      </w:r>
    </w:p>
    <w:p>
      <w:r>
        <w:t>2、手动导入缴费信息。研究生院管理员可以导入学费缴纳数据。</w:t>
      </w:r>
    </w:p>
    <w:p>
      <w:r>
        <w:t>3、欠费学生业务受限。可以限制欠缴学费学生系统使用权限。</w:t>
      </w:r>
    </w:p>
    <w:p>
      <w:r>
        <w:t>4、欠费白名单。研究生院管理员可以设置欠缴学费白名单，白名单中的学生即便欠费也不限制系统使用。</w:t>
      </w:r>
    </w:p>
    <w:p>
      <w:r>
        <w:t>5、查询缴费信息。研究生院管理员能够查询学生缴费信息。</w:t>
      </w:r>
    </w:p>
    <w:p>
      <w:pPr>
        <w:ind w:firstLine="482"/>
      </w:pPr>
      <w:r>
        <w:rPr>
          <w:b/>
          <w:bCs w:val="0"/>
        </w:rPr>
        <w:t>数据分析：</w:t>
      </w:r>
      <w:r>
        <w:t>支持对学院、年级、专业学生欠费信息统计。支持其他缴费相关数据分析。</w:t>
      </w:r>
    </w:p>
    <w:p>
      <w:pPr>
        <w:ind w:firstLine="482"/>
        <w:rPr>
          <w:b/>
          <w:bCs w:val="0"/>
        </w:rPr>
      </w:pPr>
      <w:r>
        <w:rPr>
          <w:b/>
          <w:bCs w:val="0"/>
        </w:rPr>
        <w:t>2.2 培养管理</w:t>
      </w:r>
    </w:p>
    <w:p>
      <w:pPr>
        <w:ind w:firstLine="482"/>
        <w:rPr>
          <w:b/>
        </w:rPr>
      </w:pPr>
      <w:r>
        <w:rPr>
          <w:b/>
        </w:rPr>
        <w:t>2.2.1 课程管理</w:t>
      </w:r>
    </w:p>
    <w:p>
      <w:pPr>
        <w:ind w:firstLine="482"/>
      </w:pPr>
      <w:r>
        <w:rPr>
          <w:b/>
          <w:bCs w:val="0"/>
        </w:rPr>
        <w:t>维护课程库：</w:t>
      </w:r>
      <w:r>
        <w:t xml:space="preserve"> </w:t>
      </w:r>
    </w:p>
    <w:p>
      <w:r>
        <w:t>1、维护课程。研究生院管理员维护全校课程，学院研究生工作秘书维护本学院课程。课程信息包含：授课对象、课程分类、课程号、课程名称、课程英文名称、开课单位、考核方式、开课学期、学分、学时、支持免修、成绩类型、及格线、是否补修课。</w:t>
      </w:r>
    </w:p>
    <w:p>
      <w:r>
        <w:t>2、停用课程。研究生院管理员可停用不再开设的课程。</w:t>
      </w:r>
    </w:p>
    <w:p>
      <w:r>
        <w:t>3、研究生院管理员和学院研究生工作秘书均可单个新增或批量导入课程。</w:t>
      </w:r>
    </w:p>
    <w:p>
      <w:pPr>
        <w:ind w:firstLine="482"/>
        <w:rPr>
          <w:lang w:val="zh-CN"/>
        </w:rPr>
      </w:pPr>
      <w:r>
        <w:rPr>
          <w:b/>
          <w:bCs w:val="0"/>
          <w:lang w:val="zh-CN"/>
        </w:rPr>
        <w:t>锁定课程：</w:t>
      </w:r>
      <w:r>
        <w:rPr>
          <w:lang w:val="zh-CN"/>
        </w:rPr>
        <w:t>研究生院管理员可锁定课程，被锁定的课程不允许任何人修改。支持研究生院管理员解锁课程，被解锁的课程可由研究生院管理员和开课院系秘书修改。</w:t>
      </w:r>
    </w:p>
    <w:p>
      <w:pPr>
        <w:ind w:firstLine="482"/>
        <w:rPr>
          <w:lang w:val="zh-CN"/>
        </w:rPr>
      </w:pPr>
      <w:r>
        <w:rPr>
          <w:b/>
          <w:bCs w:val="0"/>
          <w:lang w:val="zh-CN"/>
        </w:rPr>
        <w:t>维护必修环节库：</w:t>
      </w:r>
      <w:r>
        <w:rPr>
          <w:lang w:val="zh-CN"/>
        </w:rPr>
        <w:t>建立必修环节库，可单个新增也可批量导入必修环节，可自定义必修环节的类型、适用学生范围、申请学分的方式、合格（获取学分）的次数，也可自定义必修环节学分申请的格式和审核的流程。必修环节包括：开题、中期、专业实践、学术报告、文献综述等，类型可灵活调整。研究生院管理员维护全校必修环节。开题、中期对应学位相应环节，学位工作完成时自动获取对应必修环节学分。</w:t>
      </w:r>
    </w:p>
    <w:p>
      <w:pPr>
        <w:ind w:firstLine="482"/>
        <w:rPr>
          <w:b/>
          <w:bCs w:val="0"/>
          <w:lang w:val="zh-CN"/>
        </w:rPr>
      </w:pPr>
      <w:r>
        <w:rPr>
          <w:b/>
          <w:bCs w:val="0"/>
          <w:lang w:val="zh-CN"/>
        </w:rPr>
        <w:t>申请必修环节学分：</w:t>
      </w:r>
      <w:r>
        <w:rPr>
          <w:lang w:val="zh-CN"/>
        </w:rPr>
        <w:t>不同类型必修环节获取学分方式不同，详细要求如下：</w:t>
      </w:r>
    </w:p>
    <w:p>
      <w:pPr>
        <w:ind w:firstLineChars="0"/>
        <w:rPr>
          <w:lang w:val="zh-CN"/>
        </w:rPr>
      </w:pPr>
      <w:r>
        <w:rPr>
          <w:lang w:val="zh-CN"/>
        </w:rPr>
        <w:t>1、开题报告、毕业论文等类型必修环节无需单独申请学分，与论文开题、论文答辩等业务模块关联，通过相关业务考核后自动获取学分。</w:t>
      </w:r>
    </w:p>
    <w:p>
      <w:pPr>
        <w:ind w:firstLineChars="0"/>
        <w:rPr>
          <w:lang w:val="zh-CN"/>
        </w:rPr>
      </w:pPr>
      <w:r>
        <w:rPr>
          <w:lang w:val="zh-CN"/>
        </w:rPr>
        <w:t>2、专业实践/社会实践等类型必修环节与实践管理业务关联，提交实践报告并通过实践结束考核后获取学分。</w:t>
      </w:r>
    </w:p>
    <w:p>
      <w:pPr>
        <w:ind w:firstLineChars="0"/>
        <w:rPr>
          <w:lang w:val="zh-CN"/>
        </w:rPr>
      </w:pPr>
      <w:r>
        <w:rPr>
          <w:lang w:val="zh-CN"/>
        </w:rPr>
        <w:t>3、学术活动类型必修环节由学生参加学术活动后维护学术活动信息，审核后生效；学生参加学术活动并提交学术报告，学术活动次数达标后即可获取学分，</w:t>
      </w:r>
      <w:r>
        <w:t>学术报告设置作报告</w:t>
      </w:r>
      <w:r>
        <w:rPr>
          <w:rFonts w:hint="eastAsia"/>
          <w:lang w:val="en-US" w:eastAsia="zh-CN"/>
        </w:rPr>
        <w:t>和</w:t>
      </w:r>
      <w:r>
        <w:t>听报告。</w:t>
      </w:r>
    </w:p>
    <w:p>
      <w:pPr>
        <w:ind w:firstLine="482"/>
        <w:rPr>
          <w:b/>
        </w:rPr>
      </w:pPr>
      <w:r>
        <w:rPr>
          <w:b/>
        </w:rPr>
        <w:t>2.2.2 培养方案管理</w:t>
      </w:r>
    </w:p>
    <w:p>
      <w:r>
        <w:t>基于各学科专业培养方案，结合课程和必修环节数据库，线上编制培养方案，设定培养方案基本信息、课程信息和必修环节信息。培养方案由学院研究生工作秘书编制、研究生院管理员审核，审核通过之后方可生效应用。</w:t>
      </w:r>
    </w:p>
    <w:p>
      <w:pPr>
        <w:ind w:firstLine="482"/>
        <w:rPr>
          <w:b/>
          <w:bCs w:val="0"/>
        </w:rPr>
      </w:pPr>
      <w:r>
        <w:rPr>
          <w:b/>
          <w:bCs w:val="0"/>
        </w:rPr>
        <w:t>培养方案编制流程：</w:t>
      </w:r>
    </w:p>
    <w:p>
      <w:r>
        <w:t>1、编制培养方案。学院研究生工作秘书制定本学院培养方案，上报培养方案时系统自动校验学分是否满足要求。</w:t>
      </w:r>
    </w:p>
    <w:p>
      <w:r>
        <w:t>2、复制培养方案。为简化学院研究生工作秘书工作，应支持学院研究生工作秘书复制培养方案，在复制的培养方案基础上进行微调即可完成新培养方案的编制，提高工作效率。</w:t>
      </w:r>
    </w:p>
    <w:p>
      <w:r>
        <w:t>3、退回培养方案。研究生院管理员审核各学院培养方案，审核通过的培养方案在没指定给任何学生的情况下也可退回至学院研究生工作秘书重新维护。</w:t>
      </w:r>
    </w:p>
    <w:p>
      <w:r>
        <w:t>4、方案合理性校验。修改审核通过的培养方案时系统自动校验培养方案是否已被使用、学分是否满足要求。</w:t>
      </w:r>
    </w:p>
    <w:p>
      <w:pPr>
        <w:ind w:firstLine="482"/>
        <w:rPr>
          <w:b/>
          <w:bCs w:val="0"/>
        </w:rPr>
      </w:pPr>
      <w:r>
        <w:rPr>
          <w:b/>
          <w:bCs w:val="0"/>
        </w:rPr>
        <w:t>培养方案内容：</w:t>
      </w:r>
    </w:p>
    <w:p>
      <w:r>
        <w:t>1、系统支持维护方案基本信息、课程信息和必修环节信息。基本信息应包含方案编号、名称、学分要求、修业年限要求、适用学生范围、方案相关附件和要求项等。</w:t>
      </w:r>
    </w:p>
    <w:p>
      <w:r>
        <w:t>2、支持面向学科或研究方向维护培养方案。</w:t>
      </w:r>
    </w:p>
    <w:p>
      <w:r>
        <w:t>3、系统支持设置培养方案总学分范围。</w:t>
      </w:r>
    </w:p>
    <w:p>
      <w:r>
        <w:t>4、系统支持按学分数和课程数维护课程分组，满足从分组中选几门课程或选几学分的要求。</w:t>
      </w:r>
    </w:p>
    <w:p>
      <w:r>
        <w:t>5、系统支持灵活调整培养方案适用学生年级。</w:t>
      </w:r>
    </w:p>
    <w:p>
      <w:pPr>
        <w:ind w:firstLine="482"/>
        <w:rPr>
          <w:b/>
          <w:bCs w:val="0"/>
        </w:rPr>
      </w:pPr>
      <w:r>
        <w:rPr>
          <w:b/>
          <w:bCs w:val="0"/>
        </w:rPr>
        <w:t>培养方案课程库：</w:t>
      </w:r>
    </w:p>
    <w:p>
      <w:r>
        <w:t>1、课程差异化配置。为满足在不改变课程数据库课程信息的情况下满足同一门课程在不同培养方案中的差异化配置需要，培养方案下添加课程时支持修改包括学时、学分、是否学位课、是否必修课、是否必选、成绩类型、开课学期等课程属性，不影响其他方案下课程属性。</w:t>
      </w:r>
    </w:p>
    <w:p>
      <w:r>
        <w:t>2、学生成绩单根据对应培养方案判定该课程学分及课程分类。</w:t>
      </w:r>
    </w:p>
    <w:p>
      <w:pPr>
        <w:ind w:firstLine="482"/>
      </w:pPr>
      <w:r>
        <w:rPr>
          <w:b/>
          <w:bCs w:val="0"/>
        </w:rPr>
        <w:t>数据分析：</w:t>
      </w:r>
      <w:r>
        <w:t>分析培养方案编制情况，统计各学院培养方案个数、学生覆盖情况。支持其它培养方案相关的数据分析功能。</w:t>
      </w:r>
    </w:p>
    <w:p>
      <w:pPr>
        <w:ind w:firstLine="482"/>
        <w:rPr>
          <w:b/>
        </w:rPr>
      </w:pPr>
      <w:r>
        <w:rPr>
          <w:b/>
        </w:rPr>
        <w:t>2.2.3 培养计划管理</w:t>
      </w:r>
    </w:p>
    <w:p>
      <w:r>
        <w:t>将审核通过的培养方案指定给学生，学生根据培养方案来编制培养计划，其中必选课默认添加到培养计划中，非必选课由学生选择性的加入到培养计划中，学生培养计划需要提交审核，提交时需校验是否满足培养方案学分要求。</w:t>
      </w:r>
    </w:p>
    <w:p>
      <w:pPr>
        <w:ind w:firstLine="482"/>
        <w:rPr>
          <w:b/>
          <w:bCs w:val="0"/>
        </w:rPr>
      </w:pPr>
      <w:r>
        <w:rPr>
          <w:b/>
          <w:bCs w:val="0"/>
        </w:rPr>
        <w:t>指定培养方案：</w:t>
      </w:r>
    </w:p>
    <w:p>
      <w:r>
        <w:t>1、学院研究生工作秘书为本学院研究生指定培养方案，可单个指定、批量指定和自动指定。</w:t>
      </w:r>
    </w:p>
    <w:p>
      <w:r>
        <w:t>2、自动指定培养方案是根据学生的学院、学科、年级自动匹配对应培养方案。</w:t>
      </w:r>
    </w:p>
    <w:p>
      <w:r>
        <w:t>3、可查看已指定培养方案的学生，能够清空学生的培养方案并重新指定。</w:t>
      </w:r>
    </w:p>
    <w:p>
      <w:pPr>
        <w:ind w:firstLine="482"/>
        <w:rPr>
          <w:b/>
          <w:bCs w:val="0"/>
        </w:rPr>
      </w:pPr>
      <w:r>
        <w:rPr>
          <w:b/>
          <w:bCs w:val="0"/>
        </w:rPr>
        <w:t>维护培养计划：</w:t>
      </w:r>
    </w:p>
    <w:p>
      <w:r>
        <w:t>1、学生在规定时间内，在线制定个人培养计划。</w:t>
      </w:r>
    </w:p>
    <w:p>
      <w:r>
        <w:t>2、培养方案中必选课及已选课课程默认加入培养计划且不允许移出。</w:t>
      </w:r>
    </w:p>
    <w:p>
      <w:r>
        <w:t>3、学生选择满足总学分和各类型学分要求的课程、必修环节，提交时强制校验已添加课程及必修环节是否满足培养方案要求。</w:t>
      </w:r>
    </w:p>
    <w:p>
      <w:r>
        <w:t>4、支持跨培养方案选课，只允许跨方案选择本人培养方案没有的课程，可灵活设置跨方案选择课程分类。</w:t>
      </w:r>
    </w:p>
    <w:p>
      <w:pPr>
        <w:ind w:firstLine="482"/>
        <w:rPr>
          <w:b/>
          <w:bCs w:val="0"/>
        </w:rPr>
      </w:pPr>
      <w:r>
        <w:rPr>
          <w:b/>
          <w:bCs w:val="0"/>
        </w:rPr>
        <w:t>审核培养计划：</w:t>
      </w:r>
      <w:r>
        <w:t>提交后依次经过导师、学院研究生工作秘书审核，学院研究生工作秘书可辅助本学院学生调整课程计划。</w:t>
      </w:r>
    </w:p>
    <w:p>
      <w:pPr>
        <w:ind w:firstLine="482"/>
        <w:rPr>
          <w:b/>
          <w:bCs w:val="0"/>
        </w:rPr>
      </w:pPr>
      <w:r>
        <w:rPr>
          <w:b/>
          <w:bCs w:val="0"/>
        </w:rPr>
        <w:t>调整培养计划：</w:t>
      </w:r>
    </w:p>
    <w:p>
      <w:r>
        <w:t>1、提交培养计划调整申请。培养计划审核通过后，学生可申请调整培养计划，学生可调整培养计划中的课程和必修环节。</w:t>
      </w:r>
    </w:p>
    <w:p>
      <w:r>
        <w:t>2、审核培养计划调整申请。提交申请后依次经过导师、学院研究生工作秘书、研究生院管理员审核，最终审核通过后生效。</w:t>
      </w:r>
    </w:p>
    <w:p>
      <w:r>
        <w:t>3、直接调整培养计划。研究生院管理员及学院研究生工作秘书可直接调整学生培养计划信息。</w:t>
      </w:r>
    </w:p>
    <w:p>
      <w:pPr>
        <w:ind w:firstLine="482"/>
      </w:pPr>
      <w:r>
        <w:rPr>
          <w:b/>
          <w:bCs w:val="0"/>
        </w:rPr>
        <w:t>先选课再制定培养计划：</w:t>
      </w:r>
      <w:r>
        <w:t>支持新生先选课再制定培养计划，新生选择的课程自动添加到培养计划中。</w:t>
      </w:r>
    </w:p>
    <w:p>
      <w:pPr>
        <w:ind w:firstLine="482"/>
      </w:pPr>
      <w:r>
        <w:rPr>
          <w:b/>
          <w:bCs w:val="0"/>
        </w:rPr>
        <w:t>统计培养方案完成情况：</w:t>
      </w:r>
      <w:r>
        <w:t>可按学院、学科、年级统计研究生培养方案课程完成情况、必修环节完成情况、培养方案完成情况。</w:t>
      </w:r>
    </w:p>
    <w:p>
      <w:pPr>
        <w:ind w:firstLine="482"/>
      </w:pPr>
      <w:r>
        <w:rPr>
          <w:b/>
          <w:bCs w:val="0"/>
        </w:rPr>
        <w:t>数据分析：</w:t>
      </w:r>
      <w:r>
        <w:t>可按课程统计待审核及审核通过状态的培养计划，提前识别不满足开课人数的课程，退回相关学生的培养计划；统计数据还可以为学期排课提供数据支撑。支持其他培养计划相关数据分析。</w:t>
      </w:r>
    </w:p>
    <w:p>
      <w:pPr>
        <w:ind w:firstLine="482"/>
        <w:rPr>
          <w:b/>
        </w:rPr>
      </w:pPr>
      <w:r>
        <w:rPr>
          <w:b/>
        </w:rPr>
        <w:t>2.2.4 开课管理</w:t>
      </w:r>
    </w:p>
    <w:p>
      <w:pPr>
        <w:ind w:firstLine="482"/>
      </w:pPr>
      <w:r>
        <w:rPr>
          <w:b/>
          <w:bCs w:val="0"/>
        </w:rPr>
        <w:t>开课计划：</w:t>
      </w:r>
      <w:r>
        <w:t>1、系统基于培养方案自动生成培养单位教学计划；2、培养研究生工作秘书确认（可调整）提交教学计划；3、开课研究生工作秘书汇总确认需本单位承担开设课程，维护开课计划；4、研究生院确认开课计划；5、基于既定开课计划初始化教学班基本信息。</w:t>
      </w:r>
    </w:p>
    <w:p>
      <w:pPr>
        <w:ind w:firstLine="482"/>
      </w:pPr>
      <w:r>
        <w:rPr>
          <w:b/>
          <w:bCs w:val="0"/>
        </w:rPr>
        <w:t>公共课及部分学位基础课的自动分班：</w:t>
      </w:r>
      <w:r>
        <w:t>面向政治、英语等课程，综合校区、培养层次（博士、硕士）、学习方式（全日制、非全日制）、授课模式（小班授课、大班授课）、专业聚集等诸多因素，实现课程的智能化自动分班，辅助课程开课计划的维护。</w:t>
      </w:r>
    </w:p>
    <w:p>
      <w:pPr>
        <w:ind w:firstLine="482"/>
      </w:pPr>
      <w:r>
        <w:rPr>
          <w:b/>
          <w:bCs w:val="0"/>
        </w:rPr>
        <w:t>数据分析：</w:t>
      </w:r>
      <w:r>
        <w:t>实现学期、学年、校区、学院、课程类型、适用学生类别、上课人数、教师年龄、教师来源(校内或校外)、教师职称等多角度的开课情况分析。支持其他开课计划相关数据分析。</w:t>
      </w:r>
    </w:p>
    <w:p>
      <w:pPr>
        <w:ind w:firstLine="482"/>
        <w:rPr>
          <w:b/>
        </w:rPr>
      </w:pPr>
      <w:r>
        <w:rPr>
          <w:b/>
        </w:rPr>
        <w:t xml:space="preserve">2.2.5 </w:t>
      </w:r>
      <w:bookmarkStart w:id="27" w:name="OLE_LINK13"/>
      <w:r>
        <w:rPr>
          <w:b/>
        </w:rPr>
        <w:t>教学资源管理</w:t>
      </w:r>
      <w:bookmarkEnd w:id="27"/>
    </w:p>
    <w:p>
      <w:pPr>
        <w:ind w:firstLine="482"/>
        <w:rPr>
          <w:b/>
          <w:bCs w:val="0"/>
        </w:rPr>
      </w:pPr>
      <w:r>
        <w:rPr>
          <w:b/>
          <w:bCs w:val="0"/>
        </w:rPr>
        <w:t>教师资格库：</w:t>
      </w:r>
      <w:r>
        <w:t>可设置需要同步人事系统的本校教师信息字段，维护教师基本信息库，可批量或单个导入或审核院系提交的教师基本信息；支持教职工提交任课教师资格申请，经审核后确定任课教师资格；管理员可直接新增、调整任课教师资格信息。</w:t>
      </w:r>
    </w:p>
    <w:p>
      <w:r>
        <w:t>1、任教资格申请、审核。教职工可在线申请任课教师资格，提交申请时可选择所要任教的课程，需维护授课经历等信息，提交申请后依次经过学院研究生工作秘书、教研室、研究生院管理员审核，审核通过后改教职工则拥有任课教师资格，可为其编排教学班。</w:t>
      </w:r>
    </w:p>
    <w:p>
      <w:r>
        <w:t>2、调整任教资格。研究生院管理员可直接调整教职工任课教师资格。</w:t>
      </w:r>
    </w:p>
    <w:p>
      <w:r>
        <w:t>3、新增任教资格。研究生院管理员可单独新增或批量导入教职工任课教师资格。</w:t>
      </w:r>
    </w:p>
    <w:p>
      <w:pPr>
        <w:ind w:firstLine="482"/>
        <w:rPr>
          <w:b/>
          <w:bCs w:val="0"/>
        </w:rPr>
      </w:pPr>
      <w:r>
        <w:rPr>
          <w:b/>
          <w:bCs w:val="0"/>
        </w:rPr>
        <w:t xml:space="preserve"> 教室管理：</w:t>
      </w:r>
    </w:p>
    <w:p>
      <w:r>
        <w:t>1、研究生院可添加、审核和维护所有的教室基本信息，包括教室类型、校区、教学楼、教室等教学资源属性。</w:t>
      </w:r>
    </w:p>
    <w:p>
      <w:r>
        <w:t xml:space="preserve">2、可为系统管理员以外人员提供教室资源信息查询功能。 </w:t>
      </w:r>
    </w:p>
    <w:p>
      <w:pPr>
        <w:ind w:firstLine="482"/>
        <w:rPr>
          <w:b/>
        </w:rPr>
      </w:pPr>
      <w:r>
        <w:rPr>
          <w:b/>
          <w:bCs w:val="0"/>
        </w:rPr>
        <w:t>数据分析</w:t>
      </w:r>
      <w:r>
        <w:t>：可对研究生院、各学院教室资源情况进行分析，如教室数量、教室容量等进行统计分析。支持其他教学资源相关的相关分析功能。</w:t>
      </w:r>
    </w:p>
    <w:p>
      <w:pPr>
        <w:ind w:firstLine="482"/>
        <w:rPr>
          <w:b/>
        </w:rPr>
      </w:pPr>
      <w:r>
        <w:rPr>
          <w:b/>
        </w:rPr>
        <w:t>2.2.6排课管理</w:t>
      </w:r>
    </w:p>
    <w:p>
      <w:r>
        <w:t>研究生院管理员和学院研究生工作秘书可在线排课，有多个任课教师时可以分解教学任务，拓展多种排课方式（周重复性、阶段性、无规则），可以对接本科教务系统，加入教师、教室和学生上课冲突校验，支持忽略冲突排课。</w:t>
      </w:r>
    </w:p>
    <w:p>
      <w:pPr>
        <w:ind w:firstLine="482"/>
        <w:rPr>
          <w:b/>
          <w:bCs w:val="0"/>
        </w:rPr>
      </w:pPr>
      <w:r>
        <w:rPr>
          <w:b/>
          <w:bCs w:val="0"/>
        </w:rPr>
        <w:t>排课：</w:t>
      </w:r>
    </w:p>
    <w:p>
      <w:r>
        <w:t>1、排课分工。研究生院管理员可为所有课程排课，开课学院研究生工作秘书负责本院系的专业课排课。</w:t>
      </w:r>
    </w:p>
    <w:p>
      <w:r>
        <w:t>2、周重复性规则。系统支持多种周重复性排课，包含单周重复、双周重复、单双周重复、单双周分别重复、阶段重复、无规则。</w:t>
      </w:r>
    </w:p>
    <w:p>
      <w:r>
        <w:t>3、分解教学任务。系统支持分解教学任务，明确各任课教师的上课节次。</w:t>
      </w:r>
    </w:p>
    <w:p>
      <w:r>
        <w:t>4、虚拟教室。系统支持对线上课选择虚拟教室进行排课，虚拟教室不进行教室冲突校验。</w:t>
      </w:r>
    </w:p>
    <w:p>
      <w:r>
        <w:t>5、适用学生范围。系统支持设置学习方式、学位类型、培养层次、学院、年级、学科、研究方向等多类适用学生范围。</w:t>
      </w:r>
    </w:p>
    <w:p>
      <w:r>
        <w:t>6、上课学生名单。系统支持在排课前维护具体上课学生名单，排课时同步进行学生冲突校验。</w:t>
      </w:r>
    </w:p>
    <w:p>
      <w:pPr>
        <w:ind w:firstLine="482"/>
        <w:rPr>
          <w:b/>
          <w:bCs w:val="0"/>
        </w:rPr>
      </w:pPr>
      <w:r>
        <w:rPr>
          <w:b/>
          <w:bCs w:val="0"/>
        </w:rPr>
        <w:t>冲突校验：</w:t>
      </w:r>
    </w:p>
    <w:p>
      <w:r>
        <w:t>1、自动完成教室、教师、学生上课冲突校验。</w:t>
      </w:r>
    </w:p>
    <w:p>
      <w:r>
        <w:t>2、支持与本科教务系统排课结果进行冲突校验。从学校数据中心获取本科教务系统排课数据，研究生排课时自动校验与本科排课之间的冲突。</w:t>
      </w:r>
    </w:p>
    <w:p>
      <w:r>
        <w:t>3、可设置虚拟教室忽略教室冲突排课。</w:t>
      </w:r>
    </w:p>
    <w:p>
      <w:r>
        <w:t>4、支持忽略全部冲突强制排课。</w:t>
      </w:r>
    </w:p>
    <w:p>
      <w:pPr>
        <w:ind w:firstLine="482"/>
        <w:rPr>
          <w:b/>
          <w:bCs w:val="0"/>
        </w:rPr>
      </w:pPr>
      <w:r>
        <w:rPr>
          <w:b/>
          <w:bCs w:val="0"/>
        </w:rPr>
        <w:t>节次方案：</w:t>
      </w:r>
    </w:p>
    <w:p>
      <w:r>
        <w:t>1、能够设置多套上课节次方案，系统支持根据冬令时、夏令时设置不同的节次方案。</w:t>
      </w:r>
    </w:p>
    <w:p>
      <w:r>
        <w:t>2、节次方案指每天上几节课，每节课的开始时间和结束时间，比如夏令时下午第一节课上课时间为14:00~14:50，冬令时下午第一节课上课时间为13:30~13:50。</w:t>
      </w:r>
    </w:p>
    <w:p>
      <w:pPr>
        <w:ind w:firstLine="482"/>
        <w:rPr>
          <w:b/>
          <w:bCs w:val="0"/>
        </w:rPr>
      </w:pPr>
      <w:r>
        <w:rPr>
          <w:b/>
          <w:bCs w:val="0"/>
        </w:rPr>
        <w:t>分解教学任务：</w:t>
      </w:r>
    </w:p>
    <w:p>
      <w:r>
        <w:t>1、支持分解教学任务，排课完成后，主讲教师可将一门课的总课时分解给主讲教师和辅讲教师，例如总课时36，主讲教师20课时，辅讲教师16课时。</w:t>
      </w:r>
    </w:p>
    <w:p>
      <w:r>
        <w:t>2、如排课时已经分解教学任务，则自动生成分解学时信息。</w:t>
      </w:r>
    </w:p>
    <w:p>
      <w:pPr>
        <w:ind w:firstLine="482"/>
      </w:pPr>
      <w:r>
        <w:rPr>
          <w:b/>
          <w:bCs w:val="0"/>
        </w:rPr>
        <w:t>本研教务一体化：</w:t>
      </w:r>
      <w:r>
        <w:t>通过既定接口实现空闲教室的查询及排课教室的占用，研究生排课时自动校验与本科排课之间的冲突。</w:t>
      </w:r>
    </w:p>
    <w:p>
      <w:pPr>
        <w:ind w:firstLine="482"/>
      </w:pPr>
      <w:r>
        <w:rPr>
          <w:b/>
          <w:bCs w:val="0"/>
        </w:rPr>
        <w:t>教学资料：</w:t>
      </w:r>
      <w:r>
        <w:t>任课教师维护教学介绍、教学大纲、教学方案等教学材料信息。研究生院管理员可配置各类材料维护起止时间。可配置学生及各级管理员人员的查看下载权限。</w:t>
      </w:r>
    </w:p>
    <w:p>
      <w:pPr>
        <w:ind w:firstLine="482"/>
        <w:rPr>
          <w:highlight w:val="yellow"/>
        </w:rPr>
      </w:pPr>
      <w:r>
        <w:rPr>
          <w:b/>
          <w:bCs w:val="0"/>
        </w:rPr>
        <w:t>数据分析：</w:t>
      </w:r>
      <w:r>
        <w:t>排课后可对教室资源使用情况进行分析，可对各学院、专业课程类型和门数进行统计分析。支持其他排课相关的分析功能。</w:t>
      </w:r>
    </w:p>
    <w:p>
      <w:pPr>
        <w:ind w:firstLine="482"/>
        <w:rPr>
          <w:b/>
        </w:rPr>
      </w:pPr>
      <w:r>
        <w:rPr>
          <w:b/>
        </w:rPr>
        <w:t>2.2.7 课表查询</w:t>
      </w:r>
    </w:p>
    <w:p>
      <w:r>
        <w:t>为尽可能的方便教职工、学生、各级管理人员、督导查看课表，应支持多形式、多维度的课表展示。</w:t>
      </w:r>
    </w:p>
    <w:p>
      <w:r>
        <w:t>1、研究生院管理员、学院研究生工作秘书、督导可查看学生课表、任课教师课表、教室课表、专业课表。</w:t>
      </w:r>
    </w:p>
    <w:p>
      <w:r>
        <w:t>2、研究生院管理员可通过学生/任课教师等多个维度查看相应课表。</w:t>
      </w:r>
    </w:p>
    <w:p>
      <w:r>
        <w:t>3、学生和任课教师能够通过个人中心及移动端查看个人课表。</w:t>
      </w:r>
    </w:p>
    <w:p>
      <w:r>
        <w:t>4、开展调整教学任务、分解教学任务、调停课、学生补选课、退选课等业务时，系统自动更新学生课表和任课教师课表，同时向学生和任课教师发送通知。</w:t>
      </w:r>
    </w:p>
    <w:p>
      <w:r>
        <w:t>5、任课教师可查询选课学生上课时间请假信息。</w:t>
      </w:r>
    </w:p>
    <w:p>
      <w:pPr>
        <w:ind w:firstLine="482"/>
        <w:rPr>
          <w:b/>
        </w:rPr>
      </w:pPr>
      <w:r>
        <w:rPr>
          <w:b/>
        </w:rPr>
        <w:t>2.2.8 调停课管理</w:t>
      </w:r>
    </w:p>
    <w:p>
      <w:pPr>
        <w:ind w:firstLine="482"/>
      </w:pPr>
      <w:r>
        <w:rPr>
          <w:b/>
          <w:bCs w:val="0"/>
        </w:rPr>
        <w:t>申请调停课：</w:t>
      </w:r>
      <w:r>
        <w:t>支持任课教师发起调课、停课、补课申请，补课必须在停课的基础上发起。调停补课时系统会自动进行任课教师、教室、学生上课冲突校验。调停补课审核通过时系统自动给相关学生及教师发送微信、短信等方式通知消息。</w:t>
      </w:r>
    </w:p>
    <w:p>
      <w:pPr>
        <w:ind w:firstLine="482"/>
      </w:pPr>
      <w:r>
        <w:rPr>
          <w:b/>
          <w:bCs w:val="0"/>
        </w:rPr>
        <w:t>数据分析：</w:t>
      </w:r>
      <w:r>
        <w:t>可实现对调停课数据的统计分析，包括学院、课程名称、调/停课次数、涉及课程节次、任课教师、申请调停课原因、批量还是单次调课等。可按学院统计调停课次数、课程数、节次数，用于教学规范性考核。支持其他调停课相关的统计分析功能。</w:t>
      </w:r>
    </w:p>
    <w:p>
      <w:pPr>
        <w:ind w:firstLine="482"/>
        <w:rPr>
          <w:b/>
        </w:rPr>
      </w:pPr>
      <w:r>
        <w:rPr>
          <w:b/>
        </w:rPr>
        <w:t>2.2.9 选课管理</w:t>
      </w:r>
    </w:p>
    <w:p>
      <w:r>
        <w:t>多种选课模式包括学生自主选课、一键选课、辅助选课。</w:t>
      </w:r>
    </w:p>
    <w:p>
      <w:pPr>
        <w:ind w:firstLine="482"/>
        <w:rPr>
          <w:b/>
          <w:bCs w:val="0"/>
        </w:rPr>
      </w:pPr>
      <w:r>
        <w:rPr>
          <w:b/>
          <w:bCs w:val="0"/>
        </w:rPr>
        <w:t>学生自主选课：</w:t>
      </w:r>
    </w:p>
    <w:p>
      <w:r>
        <w:t>1、研究生院管理员设置自主选课规定时间段，学生在线自主选课。</w:t>
      </w:r>
    </w:p>
    <w:p>
      <w:r>
        <w:t>2、学生选课时进行上课时间冲突校验，选课人数不能超出设置的课程容量。</w:t>
      </w:r>
    </w:p>
    <w:p>
      <w:r>
        <w:t>3、学生自主选课适用于分多个教学班的公共选修课。</w:t>
      </w:r>
    </w:p>
    <w:p>
      <w:pPr>
        <w:ind w:firstLine="482"/>
        <w:rPr>
          <w:b/>
          <w:bCs w:val="0"/>
        </w:rPr>
      </w:pPr>
      <w:r>
        <w:rPr>
          <w:b/>
          <w:bCs w:val="0"/>
        </w:rPr>
        <w:t>一键选课：</w:t>
      </w:r>
      <w:r>
        <w:t>针对一门课程仅有一个教学任务的情况，研究生院管理员、学院研究生工作秘书可通过一键选课将培养计划中存在该课程的学生添加到选课名单中。</w:t>
      </w:r>
    </w:p>
    <w:p>
      <w:pPr>
        <w:ind w:firstLine="482"/>
        <w:rPr>
          <w:b/>
          <w:bCs w:val="0"/>
        </w:rPr>
      </w:pPr>
      <w:r>
        <w:rPr>
          <w:b/>
          <w:bCs w:val="0"/>
        </w:rPr>
        <w:t>辅助选课：</w:t>
      </w:r>
      <w:r>
        <w:t>研究生院管理员、学院研究生工作秘书可手动调整选课名单，管理员及学院研究生工作秘书辅助选课时可以忽略适用学生范围、课程容量等条件限制。</w:t>
      </w:r>
    </w:p>
    <w:p>
      <w:pPr>
        <w:ind w:firstLine="482"/>
        <w:rPr>
          <w:b/>
          <w:bCs w:val="0"/>
        </w:rPr>
      </w:pPr>
      <w:r>
        <w:rPr>
          <w:b/>
          <w:bCs w:val="0"/>
        </w:rPr>
        <w:t>查询选课情况：</w:t>
      </w:r>
    </w:p>
    <w:p>
      <w:r>
        <w:t>导师、任课教师、学生、学院研究生工作秘书、研究生院管理员可在线查询学生及课程选课情况。</w:t>
      </w:r>
    </w:p>
    <w:p>
      <w:pPr>
        <w:ind w:firstLine="482"/>
      </w:pPr>
      <w:r>
        <w:rPr>
          <w:b/>
          <w:bCs w:val="0"/>
        </w:rPr>
        <w:t>新生选课：</w:t>
      </w:r>
      <w:r>
        <w:t>支持新生（尚未指定培养计划）按照培养方案选课，课程反填到培养计划；老生（已制定培养计划）严格按照培养计划选课、培养计划调整后换课。支持排课前选课、排课后学生自主选课、排课后管理人员辅助选课（一键选课、按名单选课），支持重修生选课。</w:t>
      </w:r>
    </w:p>
    <w:p>
      <w:pPr>
        <w:ind w:firstLine="482"/>
      </w:pPr>
      <w:r>
        <w:rPr>
          <w:b/>
          <w:bCs w:val="0"/>
        </w:rPr>
        <w:t>数据分析：</w:t>
      </w:r>
      <w:r>
        <w:t>可实现对选课情况的数据分析，包括课程类型、尤其是学院选修课和校级公选课选课学生人数和来源(如专业、年级等)、选课性质等的分析；可对同一门课程近3年学生选课情况进行分析。支持其他选课相关数据分析。</w:t>
      </w:r>
    </w:p>
    <w:p>
      <w:pPr>
        <w:ind w:firstLine="482"/>
        <w:rPr>
          <w:b/>
        </w:rPr>
      </w:pPr>
      <w:r>
        <w:rPr>
          <w:b/>
        </w:rPr>
        <w:t>2.2.10 考务管理</w:t>
      </w:r>
    </w:p>
    <w:p>
      <w:r>
        <w:t>研究生院管理员可在考试之前提前规划考务工作，安排考场、座区、考试学生、监考员等。</w:t>
      </w:r>
    </w:p>
    <w:p>
      <w:pPr>
        <w:ind w:firstLine="482"/>
        <w:rPr>
          <w:b/>
          <w:bCs w:val="0"/>
        </w:rPr>
      </w:pPr>
      <w:r>
        <w:rPr>
          <w:b/>
          <w:bCs w:val="0"/>
        </w:rPr>
        <w:t>安排考务：</w:t>
      </w:r>
    </w:p>
    <w:p>
      <w:r>
        <w:t>1、安排考务时可以设置考试时间、考试地点、排考的教学班、考试学生、监考员。</w:t>
      </w:r>
    </w:p>
    <w:p>
      <w:r>
        <w:t>2、可将多个教学班的学生在一个考场排考，支持设置AB卷不同座区；系统支持一个教学班的学生分多个考场排考。</w:t>
      </w:r>
    </w:p>
    <w:p>
      <w:r>
        <w:t>3、能够自动校验监考老师的监考场次冲突情况。</w:t>
      </w:r>
    </w:p>
    <w:p>
      <w:r>
        <w:t>4、能够设置教室座位数，并自动校验排考人数和座位数。</w:t>
      </w:r>
    </w:p>
    <w:p>
      <w:r>
        <w:t>5、研究生院管理员可直接维护考场监考老师或者指定一个或多个学院研究生工作秘书维护院系下教职工为监考老师。</w:t>
      </w:r>
    </w:p>
    <w:p>
      <w:pPr>
        <w:ind w:firstLine="482"/>
      </w:pPr>
      <w:r>
        <w:rPr>
          <w:b/>
          <w:bCs w:val="0"/>
        </w:rPr>
        <w:t>冲突校验：</w:t>
      </w:r>
      <w:r>
        <w:t>系统需要联动排课、调停课、借用教室等业务校验考务相关教室及教职工和学生的时间冲突。支持导出签到表、考生座椅编排等考务材料。</w:t>
      </w:r>
    </w:p>
    <w:p>
      <w:pPr>
        <w:ind w:firstLine="482"/>
      </w:pPr>
      <w:r>
        <w:rPr>
          <w:b/>
          <w:bCs w:val="0"/>
        </w:rPr>
        <w:t>数据分析：</w:t>
      </w:r>
      <w:r>
        <w:t>可实现对各学院、专业申请考试的课程数量及性质和学生人数等信息进行统计分析。支持其他考务相关数据分析。</w:t>
      </w:r>
    </w:p>
    <w:p>
      <w:pPr>
        <w:ind w:firstLine="482"/>
        <w:rPr>
          <w:b/>
        </w:rPr>
      </w:pPr>
      <w:r>
        <w:rPr>
          <w:b/>
        </w:rPr>
        <w:t>2.2.11 教学评估</w:t>
      </w:r>
    </w:p>
    <w:p>
      <w:pPr>
        <w:ind w:firstLine="482"/>
      </w:pPr>
      <w:r>
        <w:rPr>
          <w:b/>
          <w:bCs w:val="0"/>
        </w:rPr>
        <w:t>学生评教：</w:t>
      </w:r>
      <w:r>
        <w:t>学生评教依托于选课关系进行评教，未评教不允许查看本门课程成绩。</w:t>
      </w:r>
    </w:p>
    <w:p>
      <w:pPr>
        <w:ind w:firstLine="482"/>
      </w:pPr>
      <w:r>
        <w:rPr>
          <w:b/>
          <w:bCs w:val="0"/>
        </w:rPr>
        <w:t>教学督导：</w:t>
      </w:r>
      <w:r>
        <w:t>教学督导包含课程督导和培养过程督导。支持管理人员维护督导组，督导组成员分为组长和组员，督导组长基于排课信息或答辩安排信息安排督导任务，督导员在移动端进行督导评价，各级管理人员可汇总查询督导结果及排名。</w:t>
      </w:r>
    </w:p>
    <w:p>
      <w:pPr>
        <w:ind w:firstLine="482"/>
      </w:pPr>
      <w:r>
        <w:rPr>
          <w:b/>
          <w:bCs w:val="0"/>
        </w:rPr>
        <w:t>教师互评：</w:t>
      </w:r>
      <w:r>
        <w:t>同行教师可进行同行评价，各级管理人员可汇总查询评价结果及排名。</w:t>
      </w:r>
    </w:p>
    <w:p>
      <w:pPr>
        <w:ind w:firstLine="482"/>
      </w:pPr>
      <w:r>
        <w:rPr>
          <w:b/>
          <w:bCs w:val="0"/>
        </w:rPr>
        <w:t>数据分析：</w:t>
      </w:r>
      <w:r>
        <w:t>实现对教学评估相关内容的汇总统计，包括开课单位、评教角色、课程基本情况、任课教师基本情况、课程门次、课程授课对象的专业年级、课程选课人数、课程评教人数、是否达到测评人数要求以及评教得分分布、平均分等。</w:t>
      </w:r>
    </w:p>
    <w:p>
      <w:pPr>
        <w:ind w:firstLine="482"/>
        <w:rPr>
          <w:b/>
        </w:rPr>
      </w:pPr>
      <w:r>
        <w:rPr>
          <w:b/>
        </w:rPr>
        <w:t>2.2.12 成绩管理</w:t>
      </w:r>
    </w:p>
    <w:p>
      <w:r>
        <w:t>基于教学大纲生成成绩组成内容，任课教师可灵活调整。能够在线录入学生考试情况和分项成绩，结合学生实际情况自动判定学生缓考、重修、免修身份，自动计算总成绩和实际应获取的学分。学生和各级管理人员均可在成绩发布后查看成绩信息。</w:t>
      </w:r>
    </w:p>
    <w:p>
      <w:pPr>
        <w:ind w:firstLine="482"/>
        <w:rPr>
          <w:b/>
          <w:bCs w:val="0"/>
        </w:rPr>
      </w:pPr>
      <w:r>
        <w:rPr>
          <w:b/>
          <w:bCs w:val="0"/>
        </w:rPr>
        <w:t>录入成绩：</w:t>
      </w:r>
    </w:p>
    <w:p>
      <w:r>
        <w:t>1、任课教师录入成绩。研究生院管理员可控制任课教师维护成绩起止时间。</w:t>
      </w:r>
    </w:p>
    <w:p>
      <w:r>
        <w:t>2、研究生院管理员可将成绩退回至任课教师处修改，也可通知任课教师加快成绩录入进度。</w:t>
      </w:r>
    </w:p>
    <w:p>
      <w:r>
        <w:t>3、支持设置考试情况为正常、缺考、缓考、取消考试资格。缓考、重修、免修的学生在维护成绩时会自动标记。</w:t>
      </w:r>
    </w:p>
    <w:p>
      <w:r>
        <w:t>4、录入成绩后，该门教学班会自动置为已结课状态。未录入成绩的教学班信息会自动置为红色。</w:t>
      </w:r>
    </w:p>
    <w:p>
      <w:pPr>
        <w:ind w:firstLine="482"/>
        <w:rPr>
          <w:b/>
          <w:bCs w:val="0"/>
        </w:rPr>
      </w:pPr>
      <w:r>
        <w:rPr>
          <w:b/>
          <w:bCs w:val="0"/>
        </w:rPr>
        <w:t>成绩类型及构成占比：</w:t>
      </w:r>
    </w:p>
    <w:p>
      <w:r>
        <w:t>成绩类型及构成占比继承教学大纲相关信息，支持任课教师灵活调整。能够设置平时成绩和期末成绩的占比，默认平时成绩30%，期末成绩70%。可自定义平时成绩和期末成绩构成及占比，如考勤、课堂表现、作业情况、案例学习情况等。</w:t>
      </w:r>
    </w:p>
    <w:p>
      <w:pPr>
        <w:ind w:firstLine="482"/>
        <w:rPr>
          <w:b/>
          <w:bCs w:val="0"/>
        </w:rPr>
      </w:pPr>
      <w:r>
        <w:rPr>
          <w:b/>
          <w:bCs w:val="0"/>
        </w:rPr>
        <w:t>快捷录入：</w:t>
      </w:r>
    </w:p>
    <w:p>
      <w:r>
        <w:t>成绩录入功能支持方向键控制快捷切换。支持按照设置比例自动通过分项成绩计算总成绩，根据总成绩判断应获取学分。支持批量导入成绩。支持配置小数点保留规则。</w:t>
      </w:r>
    </w:p>
    <w:p>
      <w:pPr>
        <w:ind w:firstLine="482"/>
        <w:rPr>
          <w:b/>
          <w:bCs w:val="0"/>
        </w:rPr>
      </w:pPr>
      <w:r>
        <w:rPr>
          <w:b/>
          <w:bCs w:val="0"/>
        </w:rPr>
        <w:t>合班授课：</w:t>
      </w:r>
      <w:r>
        <w:t>支持不同专业不同培养方案的学生合班授课，成绩录入完成后通过该学生对应的培养方案下该课程的属性判断是否及格、获取学分数、学分类型。</w:t>
      </w:r>
    </w:p>
    <w:p>
      <w:pPr>
        <w:ind w:firstLine="482"/>
        <w:rPr>
          <w:b/>
          <w:bCs w:val="0"/>
        </w:rPr>
      </w:pPr>
      <w:r>
        <w:rPr>
          <w:b/>
          <w:bCs w:val="0"/>
        </w:rPr>
        <w:t>查询成绩：</w:t>
      </w:r>
    </w:p>
    <w:p>
      <w:r>
        <w:t>1、学生能够查询个人成绩，可下载PDF格式成绩单。</w:t>
      </w:r>
    </w:p>
    <w:p>
      <w:r>
        <w:t>2、导师、学院研究生工作秘书、研究生院管理员可查看学生成绩。</w:t>
      </w:r>
    </w:p>
    <w:p>
      <w:r>
        <w:t>3、任课教师和研究生院管理员可导出课程成绩单，系统支持查看课程成绩统计分析。</w:t>
      </w:r>
    </w:p>
    <w:p>
      <w:r>
        <w:t>4、能够计算学生加权平均成绩、绩点成绩。</w:t>
      </w:r>
    </w:p>
    <w:p>
      <w:r>
        <w:t>5、能够查询学生异常成绩，主要包含正常考试但不及格、缓考、缺考、取消考试资格的情况。</w:t>
      </w:r>
    </w:p>
    <w:p>
      <w:r>
        <w:t>6、能够查询成绩录入进度。</w:t>
      </w:r>
    </w:p>
    <w:p>
      <w:r>
        <w:t>7、能够对考试情况为缓补考的学生单独录入缓补考成绩。</w:t>
      </w:r>
    </w:p>
    <w:p>
      <w:r>
        <w:t>8、针对硕博连读学生可在博士成绩单中同步导出硕士阶段成绩单等需要。</w:t>
      </w:r>
    </w:p>
    <w:p>
      <w:r>
        <w:t>9、可辅助任课教师自动生成成绩分析表。</w:t>
      </w:r>
    </w:p>
    <w:p>
      <w:pPr>
        <w:ind w:firstLine="482"/>
        <w:rPr>
          <w:b/>
          <w:bCs w:val="0"/>
        </w:rPr>
      </w:pPr>
      <w:r>
        <w:rPr>
          <w:b/>
          <w:bCs w:val="0"/>
        </w:rPr>
        <w:t>调整成绩：</w:t>
      </w:r>
      <w:r>
        <w:t>由任课教师申请，经学院研究生工作秘书、研究生院管理员依次审核，主要应对成绩录入错误等情况。</w:t>
      </w:r>
    </w:p>
    <w:p>
      <w:pPr>
        <w:ind w:firstLine="482"/>
        <w:rPr>
          <w:b/>
          <w:bCs w:val="0"/>
        </w:rPr>
      </w:pPr>
      <w:r>
        <w:rPr>
          <w:b/>
          <w:bCs w:val="0"/>
        </w:rPr>
        <w:t>补录成绩：</w:t>
      </w:r>
      <w:r>
        <w:t>由学生发起申请，任课教师进行补录，经学院研究生工作秘书、研究生院管理员依次审核，主要应对未选课等情况。</w:t>
      </w:r>
    </w:p>
    <w:p>
      <w:pPr>
        <w:ind w:firstLine="482"/>
      </w:pPr>
      <w:r>
        <w:rPr>
          <w:b/>
          <w:bCs w:val="0"/>
        </w:rPr>
        <w:t>综合排名分析：</w:t>
      </w:r>
      <w:r>
        <w:t>研究生院及学院可综合查询学生成绩排名情况。</w:t>
      </w:r>
    </w:p>
    <w:p>
      <w:r>
        <w:t>数据分析：实现成绩管理相关内容的统计分析，例如辅助实现成绩状态的原因分析；实现学院、专业、年级、各类课程成绩录入状态筛选和数据下载；实现自定义的课程排名统计等功能。</w:t>
      </w:r>
    </w:p>
    <w:p>
      <w:pPr>
        <w:ind w:firstLine="482"/>
        <w:rPr>
          <w:b/>
        </w:rPr>
      </w:pPr>
      <w:r>
        <w:rPr>
          <w:b/>
        </w:rPr>
        <w:t>2.2.13 实践基地</w:t>
      </w:r>
    </w:p>
    <w:p>
      <w:pPr>
        <w:ind w:firstLine="482"/>
        <w:rPr>
          <w:b/>
          <w:bCs w:val="0"/>
        </w:rPr>
      </w:pPr>
      <w:r>
        <w:rPr>
          <w:b/>
          <w:bCs w:val="0"/>
        </w:rPr>
        <w:t>实践基地建设项目管理：</w:t>
      </w:r>
    </w:p>
    <w:p>
      <w:r>
        <w:t>可根据培养需要设置基地建设申报、评估项目；院系和研究生院可在系统中查询和导出实践基地名册、实践基地协议、实践具体安排表等。</w:t>
      </w:r>
    </w:p>
    <w:p>
      <w:r>
        <w:t>实践基地管理可根据培养需要设置专业实践基地层次和类别，院系可根据本单位研究生培养实际在系统中进行基地的管理，研究生院备案。</w:t>
      </w:r>
    </w:p>
    <w:p>
      <w:r>
        <w:t>院系、研究生院可在系统中批量或单个导入导出基地导师基本信息；院系可在系统中设置实践计划；可更新实践单位的相关信息，并为校外的实践单位的管理人员添加账号，方便校外实践管理人员及时查看实践安排信息。院系、研究生院、带队教师、校外实践单位管理人员可以根据权限下载打印相关的实习名单。支持设置实践报名时间要求、上传材料要求、申请次数。支持学生提交实践申请，包含申请人信息、实践计划信息、实践单位信息、相关安全承诺书上传、阅读郑重承诺等。</w:t>
      </w:r>
    </w:p>
    <w:p>
      <w:pPr>
        <w:ind w:firstLine="482"/>
        <w:rPr>
          <w:b/>
          <w:bCs w:val="0"/>
        </w:rPr>
      </w:pPr>
      <w:r>
        <w:rPr>
          <w:b/>
          <w:bCs w:val="0"/>
        </w:rPr>
        <w:t>实践环节管理：</w:t>
      </w:r>
    </w:p>
    <w:p>
      <w:r>
        <w:t>院系、研究生院可在系统中安排对应学生实践基地并进行过程管理：1、实践安排与统计，根据培养方案设定的实践时间自动筛出应实践学生，对此部分学生发起实践情况统计，统计学生实践情况，申请集中实践的由院系、研究生院在系统中安排实践单位，实践单位可发布、复制实践岗位，学生可申请实践单位发布的岗位，学生在完成实践后，可对实践岗位进行问卷评价，学校可对实践基地进行排名，产生分析报表。自主实践的由学生填写并生成自主实践申请表和实践接收函；2、请假审核：集中实践学生可发起请假申请，院系、研究生院同意后可生成下载请假条，也可由学院或研究生院管理端，批量标准请假并审核；3、专业实践考核，学生按规定上传实践计划表、实习总结报告等材料，后台可下载，对同一批次实习的学生进行成绩登记和学分授予。</w:t>
      </w:r>
    </w:p>
    <w:p>
      <w:pPr>
        <w:ind w:firstLine="482"/>
      </w:pPr>
      <w:r>
        <w:rPr>
          <w:b/>
          <w:bCs w:val="0"/>
        </w:rPr>
        <w:t>数据分析：</w:t>
      </w:r>
    </w:p>
    <w:p>
      <w:r>
        <w:t>可根据基础数据对实践基地、实习情况进行数据分析：1、统计历年实践基地区域分布、数量、类型、协议时间段等情况；2、统计各学院、各年份的实习生基本信息、实习类型、实习单位、实习时间、实习是否通过等情况；3、可根据优秀生名单计算各学院历年优秀实习生比例；4、可根据实践后学生填写的问卷调查内容生成分析报告。支持其他实践基地相关数据分析功能。</w:t>
      </w:r>
    </w:p>
    <w:p>
      <w:pPr>
        <w:ind w:firstLine="482"/>
        <w:rPr>
          <w:b/>
        </w:rPr>
      </w:pPr>
      <w:r>
        <w:rPr>
          <w:b/>
        </w:rPr>
        <w:t xml:space="preserve">2.2.14 </w:t>
      </w:r>
      <w:bookmarkStart w:id="28" w:name="OLE_LINK14"/>
      <w:r>
        <w:rPr>
          <w:b/>
        </w:rPr>
        <w:t>开题管理</w:t>
      </w:r>
      <w:bookmarkEnd w:id="28"/>
    </w:p>
    <w:p>
      <w:r>
        <w:t>论文开题主要是由学生填报开题相关信息，由导师、学院研究生工作秘书审核，审核通过后开题秘书维护开题安排，由开题秘书组织开题答辩并维护开题结果，可以按照学校要求生成完整的开题报告。</w:t>
      </w:r>
    </w:p>
    <w:p>
      <w:pPr>
        <w:ind w:firstLineChars="0"/>
        <w:rPr>
          <w:b/>
        </w:rPr>
      </w:pPr>
      <w:r>
        <w:rPr>
          <w:b/>
        </w:rPr>
        <w:t>维护开题任务：</w:t>
      </w:r>
      <w:r>
        <w:t>研究生院维护开题任务，填写学生申请的起止时间，可以通过三种方式选择适用的学生范围，第一种：选择全部（满足前置条件学生均可参与）；第二种：维护学生范围（按年级、学院、学科、培养层次设置）；第三种：维护学生名单（可以根据学生所处模块、环节进行批量添加）。</w:t>
      </w:r>
    </w:p>
    <w:p>
      <w:pPr>
        <w:ind w:firstLineChars="0"/>
        <w:rPr>
          <w:b/>
        </w:rPr>
      </w:pPr>
      <w:r>
        <w:rPr>
          <w:b/>
        </w:rPr>
        <w:t>在线申请开题：</w:t>
      </w:r>
      <w:r>
        <w:t>学生在开放时间内按要求填写开题申请，需填报论文基本信息、研究目的和意义、国内外研究现状述评、主要研究内容及创新点、拟采取的研究方案及可行性分析、研究计划及预期成果、主要参考文献。填报内容为富文本形式且可以上传图片；参考文献为表格形式，系统需限制中文篇次和英文篇次数量；时间安排为表格形式，包括开始日期、结束日期、主要研究内容、预期结果。</w:t>
      </w:r>
    </w:p>
    <w:p>
      <w:pPr>
        <w:ind w:firstLineChars="0"/>
      </w:pPr>
      <w:r>
        <w:rPr>
          <w:b/>
        </w:rPr>
        <w:t>审核学生开题申请：</w:t>
      </w:r>
      <w:r>
        <w:t>学生提交开题申请后依次经过导师、学院研究生工作秘书审核，审核时可以维护审核意见，可以进行扫描签名或上传签名图片，便于导出的开题报告中包含签名信息。</w:t>
      </w:r>
    </w:p>
    <w:p>
      <w:pPr>
        <w:ind w:firstLineChars="0"/>
      </w:pPr>
      <w:r>
        <w:rPr>
          <w:b/>
        </w:rPr>
        <w:t>维护开题秘书：</w:t>
      </w:r>
      <w:r>
        <w:t>学院研究生工作秘书维护开题秘书不在开题主业务流程范围内，可以在相应批次下提前维护。</w:t>
      </w:r>
    </w:p>
    <w:p>
      <w:pPr>
        <w:ind w:left="422" w:firstLine="0" w:firstLineChars="0"/>
        <w:rPr>
          <w:b/>
          <w:bCs w:val="0"/>
        </w:rPr>
      </w:pPr>
      <w:r>
        <w:rPr>
          <w:b/>
        </w:rPr>
        <w:t>开题安排：</w:t>
      </w:r>
    </w:p>
    <w:p>
      <w:pPr>
        <w:pStyle w:val="6"/>
        <w:numPr>
          <w:ilvl w:val="0"/>
          <w:numId w:val="9"/>
        </w:numPr>
        <w:rPr>
          <w:rFonts w:eastAsia="宋体"/>
          <w:bCs/>
          <w:sz w:val="24"/>
        </w:rPr>
      </w:pPr>
      <w:r>
        <w:rPr>
          <w:rFonts w:eastAsia="宋体"/>
          <w:bCs/>
          <w:sz w:val="24"/>
        </w:rPr>
        <w:t>开题申请审核通过后，开题秘书设置开题小组，对学生进行分组安排。</w:t>
      </w:r>
    </w:p>
    <w:p>
      <w:pPr>
        <w:pStyle w:val="6"/>
        <w:ind w:firstLine="480" w:firstLineChars="200"/>
        <w:rPr>
          <w:rFonts w:eastAsia="宋体"/>
          <w:bCs/>
          <w:sz w:val="24"/>
        </w:rPr>
      </w:pPr>
      <w:r>
        <w:rPr>
          <w:rFonts w:eastAsia="宋体"/>
          <w:bCs/>
          <w:sz w:val="24"/>
        </w:rPr>
        <w:t>2、开题秘书安排时可以对开题委员人数、委员专业技术职务级别、导师回避等要求进行判断，每位学生的开题小组包含组长1人，成员最少2人（总人数至少为3人）。</w:t>
      </w:r>
    </w:p>
    <w:p>
      <w:pPr>
        <w:pStyle w:val="6"/>
        <w:ind w:firstLine="480" w:firstLineChars="200"/>
        <w:rPr>
          <w:rFonts w:eastAsia="宋体"/>
          <w:bCs/>
          <w:sz w:val="24"/>
        </w:rPr>
      </w:pPr>
      <w:r>
        <w:rPr>
          <w:rFonts w:eastAsia="宋体"/>
          <w:bCs/>
          <w:sz w:val="24"/>
        </w:rPr>
        <w:t>3、开题秘书可以灵活的为每个学生配置出席成员信息。</w:t>
      </w:r>
    </w:p>
    <w:p>
      <w:pPr>
        <w:pStyle w:val="6"/>
        <w:ind w:firstLine="480" w:firstLineChars="200"/>
        <w:rPr>
          <w:rFonts w:eastAsia="宋体"/>
          <w:bCs/>
          <w:sz w:val="24"/>
        </w:rPr>
      </w:pPr>
      <w:r>
        <w:rPr>
          <w:rFonts w:eastAsia="宋体"/>
          <w:bCs/>
          <w:sz w:val="24"/>
        </w:rPr>
        <w:t>4、开题安排发布后，研究生院管理员、开题小组成员、开题答辩学生可通过系统查看开题安排。</w:t>
      </w:r>
    </w:p>
    <w:p>
      <w:pPr>
        <w:ind w:left="422" w:firstLine="0" w:firstLineChars="0"/>
        <w:rPr>
          <w:b/>
          <w:bCs w:val="0"/>
        </w:rPr>
      </w:pPr>
      <w:r>
        <w:rPr>
          <w:b/>
        </w:rPr>
        <w:t>登记开题结果：</w:t>
      </w:r>
    </w:p>
    <w:p>
      <w:pPr>
        <w:pStyle w:val="6"/>
        <w:ind w:firstLine="480" w:firstLineChars="200"/>
        <w:rPr>
          <w:rFonts w:eastAsia="宋体"/>
          <w:bCs/>
          <w:sz w:val="24"/>
        </w:rPr>
      </w:pPr>
      <w:r>
        <w:rPr>
          <w:rFonts w:eastAsia="宋体"/>
          <w:bCs/>
          <w:sz w:val="24"/>
        </w:rPr>
        <w:t>1、开题秘书根据开题答辩情况登记开题结果，包括对论文选题评议、论文题目是否与学生专业相符、开题结果（通过、调整后通过、不通过）、采集委员签字，可以批量导入开题结果。</w:t>
      </w:r>
    </w:p>
    <w:p>
      <w:pPr>
        <w:pStyle w:val="6"/>
        <w:ind w:firstLine="480" w:firstLineChars="200"/>
        <w:rPr>
          <w:rFonts w:eastAsiaTheme="minorEastAsia"/>
          <w:sz w:val="24"/>
          <w:lang w:val="zh-CN"/>
        </w:rPr>
      </w:pPr>
      <w:r>
        <w:rPr>
          <w:rFonts w:eastAsiaTheme="minorEastAsia"/>
          <w:sz w:val="24"/>
        </w:rPr>
        <w:t>（1）</w:t>
      </w:r>
      <w:r>
        <w:rPr>
          <w:rFonts w:eastAsiaTheme="minorEastAsia"/>
          <w:sz w:val="24"/>
          <w:lang w:val="zh-CN"/>
        </w:rPr>
        <w:t>通过，将继续开展后续的中期</w:t>
      </w:r>
      <w:r>
        <w:rPr>
          <w:rFonts w:eastAsiaTheme="minorEastAsia"/>
          <w:sz w:val="24"/>
        </w:rPr>
        <w:t>检查</w:t>
      </w:r>
      <w:r>
        <w:rPr>
          <w:rFonts w:eastAsiaTheme="minorEastAsia"/>
          <w:sz w:val="24"/>
          <w:lang w:val="zh-CN"/>
        </w:rPr>
        <w:t>。</w:t>
      </w:r>
    </w:p>
    <w:p>
      <w:pPr>
        <w:pStyle w:val="6"/>
        <w:ind w:firstLine="480" w:firstLineChars="200"/>
        <w:rPr>
          <w:rFonts w:eastAsiaTheme="minorEastAsia"/>
          <w:sz w:val="24"/>
          <w:lang w:val="zh-CN"/>
        </w:rPr>
      </w:pPr>
      <w:r>
        <w:rPr>
          <w:rFonts w:eastAsiaTheme="minorEastAsia"/>
          <w:sz w:val="24"/>
          <w:lang w:val="zh-CN"/>
        </w:rPr>
        <w:t>（2）调整后通过，需对开题报告做出调整，</w:t>
      </w:r>
      <w:r>
        <w:rPr>
          <w:rFonts w:eastAsiaTheme="minorEastAsia"/>
          <w:sz w:val="24"/>
        </w:rPr>
        <w:t>调整后</w:t>
      </w:r>
      <w:r>
        <w:rPr>
          <w:rFonts w:eastAsiaTheme="minorEastAsia"/>
          <w:sz w:val="24"/>
          <w:lang w:val="zh-CN"/>
        </w:rPr>
        <w:t>继续开展后续的中期</w:t>
      </w:r>
      <w:r>
        <w:rPr>
          <w:rFonts w:eastAsiaTheme="minorEastAsia"/>
          <w:sz w:val="24"/>
        </w:rPr>
        <w:t>检查</w:t>
      </w:r>
      <w:r>
        <w:rPr>
          <w:rFonts w:eastAsiaTheme="minorEastAsia"/>
          <w:sz w:val="24"/>
          <w:lang w:val="zh-CN"/>
        </w:rPr>
        <w:t>。</w:t>
      </w:r>
    </w:p>
    <w:p>
      <w:pPr>
        <w:pStyle w:val="6"/>
        <w:ind w:firstLine="480" w:firstLineChars="200"/>
        <w:rPr>
          <w:rFonts w:eastAsiaTheme="minorEastAsia"/>
          <w:sz w:val="24"/>
        </w:rPr>
      </w:pPr>
      <w:r>
        <w:rPr>
          <w:rFonts w:eastAsiaTheme="minorEastAsia"/>
          <w:sz w:val="24"/>
          <w:lang w:val="zh-CN"/>
        </w:rPr>
        <w:t>（3）不通过，将重新开始开题。</w:t>
      </w:r>
    </w:p>
    <w:p>
      <w:pPr>
        <w:pStyle w:val="6"/>
        <w:ind w:firstLine="480" w:firstLineChars="200"/>
        <w:rPr>
          <w:rFonts w:eastAsia="宋体"/>
          <w:bCs/>
          <w:sz w:val="24"/>
        </w:rPr>
      </w:pPr>
      <w:r>
        <w:rPr>
          <w:rFonts w:eastAsia="宋体"/>
          <w:bCs/>
          <w:sz w:val="24"/>
        </w:rPr>
        <w:t>2、学院研究生工作秘书、研究生院管理员可查看开题结果、开题异常名单。</w:t>
      </w:r>
    </w:p>
    <w:p>
      <w:pPr>
        <w:ind w:left="422" w:firstLine="0" w:firstLineChars="0"/>
        <w:rPr>
          <w:b/>
          <w:bCs w:val="0"/>
        </w:rPr>
      </w:pPr>
      <w:r>
        <w:rPr>
          <w:b/>
        </w:rPr>
        <w:t>导出开题报告：</w:t>
      </w:r>
    </w:p>
    <w:p>
      <w:pPr>
        <w:pStyle w:val="6"/>
        <w:ind w:firstLine="480" w:firstLineChars="200"/>
        <w:rPr>
          <w:rFonts w:eastAsia="宋体"/>
          <w:bCs/>
          <w:sz w:val="24"/>
        </w:rPr>
      </w:pPr>
      <w:r>
        <w:rPr>
          <w:rFonts w:eastAsia="宋体"/>
          <w:bCs/>
          <w:sz w:val="24"/>
        </w:rPr>
        <w:t>1、研究生院管理员提供开题报告模版后，可以通过系统生成并导出开题报告文件。</w:t>
      </w:r>
    </w:p>
    <w:p>
      <w:pPr>
        <w:pStyle w:val="6"/>
        <w:ind w:firstLine="480" w:firstLineChars="200"/>
      </w:pPr>
      <w:r>
        <w:rPr>
          <w:rFonts w:eastAsia="宋体"/>
          <w:bCs/>
          <w:sz w:val="24"/>
        </w:rPr>
        <w:t>2、审核及登记结果环节支持采集电子签名，导出开题报告可带出电子签名。</w:t>
      </w:r>
    </w:p>
    <w:p>
      <w:pPr>
        <w:ind w:firstLine="482"/>
        <w:rPr>
          <w:b/>
        </w:rPr>
      </w:pPr>
      <w:r>
        <w:rPr>
          <w:b/>
        </w:rPr>
        <w:t>2.2.15 中期考核管理</w:t>
      </w:r>
    </w:p>
    <w:p>
      <w:r>
        <w:t>论文中期考核是对论文过程的管理，是由学生填报论文中期考核相关信息，由导师、学院研究生工作秘书审核，审核通过后中期秘书维护安排，由中期秘书组织中期答辩并维护中期检查结果。</w:t>
      </w:r>
    </w:p>
    <w:p>
      <w:pPr>
        <w:ind w:firstLineChars="0"/>
        <w:rPr>
          <w:b/>
          <w:bCs w:val="0"/>
        </w:rPr>
      </w:pPr>
      <w:r>
        <w:rPr>
          <w:b/>
        </w:rPr>
        <w:t>维护中期考核任务：</w:t>
      </w:r>
      <w:r>
        <w:t>研究生院维护中期考核任务，填写学生申请的起止时间，可以通过三种方式选择适用学生范围，第一种：选择全部（满足前置条件学生均可参与）；第二种：维护学生范围（按年级、学院、学科、培养层次设置）；第三种：维护学生名单（可以根据学生所处模块、环节进行批量添加）。</w:t>
      </w:r>
    </w:p>
    <w:p>
      <w:pPr>
        <w:ind w:firstLineChars="0"/>
      </w:pPr>
      <w:r>
        <w:rPr>
          <w:b/>
        </w:rPr>
        <w:t>申请中期考核：</w:t>
      </w:r>
      <w:r>
        <w:t>学生在规定时间内提交论文中期检查申请，通过系统填写个人总结。</w:t>
      </w:r>
    </w:p>
    <w:p>
      <w:pPr>
        <w:ind w:firstLineChars="0"/>
      </w:pPr>
      <w:r>
        <w:rPr>
          <w:b/>
        </w:rPr>
        <w:t>审核中期考核申请：</w:t>
      </w:r>
      <w:r>
        <w:t>学生提交中期考核申请后依次经过导师审核、学院研究生工作秘书审核，审核时可以查看学生课程学习成绩。</w:t>
      </w:r>
    </w:p>
    <w:p>
      <w:pPr>
        <w:ind w:firstLineChars="0"/>
      </w:pPr>
      <w:r>
        <w:rPr>
          <w:b/>
        </w:rPr>
        <w:t>维护中期秘书：</w:t>
      </w:r>
      <w:r>
        <w:t>学院研究生工作秘书维护中期秘书不在中期考核主业务流程范围内，可以在相应批次下提前维护。</w:t>
      </w:r>
    </w:p>
    <w:p>
      <w:pPr>
        <w:ind w:left="422" w:firstLine="0" w:firstLineChars="0"/>
        <w:rPr>
          <w:b/>
          <w:bCs w:val="0"/>
        </w:rPr>
      </w:pPr>
      <w:r>
        <w:rPr>
          <w:b/>
        </w:rPr>
        <w:t>中期考核安排：</w:t>
      </w:r>
    </w:p>
    <w:p>
      <w:r>
        <w:t>1、中期考核审核通过后，中期秘书设置中期考核小组，对学生进行分组安排。</w:t>
      </w:r>
    </w:p>
    <w:p>
      <w:r>
        <w:t>2、中期秘书安排时可以对委员人数、委员专业技术职务级别、导师回避等要求进行判断。</w:t>
      </w:r>
    </w:p>
    <w:p>
      <w:r>
        <w:t>3、中期秘书可以灵活的为每个学生配置出席成员信息。</w:t>
      </w:r>
    </w:p>
    <w:p>
      <w:r>
        <w:t>4、中期安排发布后，研究生院管理员、学院研究生工作秘书、小组成员、学生可通过系统查看中期安排。</w:t>
      </w:r>
    </w:p>
    <w:p>
      <w:pPr>
        <w:ind w:firstLineChars="0"/>
        <w:rPr>
          <w:b/>
          <w:bCs w:val="0"/>
        </w:rPr>
      </w:pPr>
      <w:r>
        <w:rPr>
          <w:b/>
        </w:rPr>
        <w:t>登记中期考核结果：</w:t>
      </w:r>
    </w:p>
    <w:p>
      <w:pPr>
        <w:adjustRightInd w:val="0"/>
      </w:pPr>
      <w:r>
        <w:t>1、中期秘书登记中期考核结果，可以单个或批量导入中期考核结果；</w:t>
      </w:r>
    </w:p>
    <w:p>
      <w:pPr>
        <w:adjustRightInd w:val="0"/>
      </w:pPr>
      <w:r>
        <w:t>2、学院研究生工作秘书、研究生院管理员可查看中期考核结果，可以批量导出中期考核结果。</w:t>
      </w:r>
    </w:p>
    <w:p>
      <w:pPr>
        <w:ind w:firstLine="482"/>
        <w:rPr>
          <w:b/>
        </w:rPr>
      </w:pPr>
      <w:r>
        <w:rPr>
          <w:b/>
        </w:rPr>
        <w:t>2.2.16 免修免考</w:t>
      </w:r>
    </w:p>
    <w:p>
      <w:pPr>
        <w:ind w:firstLine="482"/>
      </w:pPr>
      <w:r>
        <w:rPr>
          <w:b/>
          <w:bCs w:val="0"/>
        </w:rPr>
        <w:t>免修免考：</w:t>
      </w:r>
      <w:r>
        <w:t>研究生院设置免修免考业务的资格条件、批次、课程互斥关系设置及维护，允许调取录取数据生成免修申请初始名单；只有全部满足资格条件的学生才能在免修免考业务开放时间内对培养期间课程进行免修免考申请；符合条件的已录取但未报到学生可进行申请，院系和研究生院审核后按照设置条件生成成绩数据并授予学分；相关课程成绩进入学生成绩单；可下载免修数据并生成免修选课数据；可实现免修免考与免修不免考两种模式。</w:t>
      </w:r>
    </w:p>
    <w:p>
      <w:r>
        <w:t>免修不免考模式下，任课教师维护成绩时系统自动标记该学生为免修生，便于任课教师准确识别。</w:t>
      </w:r>
    </w:p>
    <w:p>
      <w:pPr>
        <w:ind w:firstLine="482"/>
      </w:pPr>
      <w:r>
        <w:rPr>
          <w:b/>
          <w:bCs w:val="0"/>
        </w:rPr>
        <w:t>数据分析：</w:t>
      </w:r>
      <w:r>
        <w:t>可实现每学期或每学年对免修免考申请人单位、专业、入学形式(推免或统考)、入学课程及成绩、申请免修免考课程等的汇总统 计，可对近3年免修免考人数发展趋势进行分析。支持其他免修免考相关数据分析功能。</w:t>
      </w:r>
    </w:p>
    <w:p>
      <w:pPr>
        <w:ind w:firstLine="482"/>
        <w:rPr>
          <w:b/>
        </w:rPr>
      </w:pPr>
      <w:bookmarkStart w:id="29" w:name="_Hlk184407351"/>
      <w:r>
        <w:rPr>
          <w:b/>
        </w:rPr>
        <w:t>2.2.17 毕业审核</w:t>
      </w:r>
    </w:p>
    <w:p>
      <w:r>
        <w:t>依据学制、培养进度、学籍异动信息推测预计毕业生名单进行预计毕业生信息统计。实际进入毕业流程的学生通过申请审核流程获取毕业资格。包括：毕业名单自动生成、预计毕业生名单查询、毕业名单提交、毕业资格审核、毕业方式设置、学生毕业方式查询、毕业名单查看及导出。</w:t>
      </w:r>
    </w:p>
    <w:p>
      <w:r>
        <w:t>1、自动生成毕业名单：系统根据培养环节完成情况、受处分情况和答辩情况自动形成预毕业或延期毕业名单。</w:t>
      </w:r>
    </w:p>
    <w:p>
      <w:r>
        <w:t>2、提交/审核毕业名单：研究生工作秘书审核维护学生的毕业、结业、延期毕业和肄业信息并提交研究生院管理员审核。</w:t>
      </w:r>
    </w:p>
    <w:p>
      <w:r>
        <w:t>3、导出毕业生名单：系统支持导师导出历年指导学生名单，系统支持研究生工作秘书导出学院历年毕业或授位学生名单，系统支持研究生院管理员导出全校历年毕业或授位学生名单。</w:t>
      </w:r>
    </w:p>
    <w:bookmarkEnd w:id="29"/>
    <w:p>
      <w:pPr>
        <w:ind w:firstLine="482"/>
        <w:rPr>
          <w:b/>
        </w:rPr>
      </w:pPr>
      <w:r>
        <w:rPr>
          <w:b/>
        </w:rPr>
        <w:t>2.2.18 重修管理</w:t>
      </w:r>
    </w:p>
    <w:p>
      <w:r>
        <w:t>对于符合重修条件的学生可提交重修申请，申请审核通过后正式具备重修资格，允许重修生参与新一期选课、考试等工作。支持两种重修模式：学生自主提交申请或研究生院管理员直接维护。</w:t>
      </w:r>
    </w:p>
    <w:p>
      <w:pPr>
        <w:ind w:firstLine="482"/>
      </w:pPr>
      <w:r>
        <w:rPr>
          <w:b/>
          <w:bCs w:val="0"/>
        </w:rPr>
        <w:t>学生申请审核模式：</w:t>
      </w:r>
      <w:r>
        <w:t>学生在研究生院管理员维护的申请时间内在线提交课程重修申请，依次经过导师、学院研究生工作秘书、研究生院管理员审核。审核通过后，学生即可后续参加选课工作。</w:t>
      </w:r>
    </w:p>
    <w:p>
      <w:pPr>
        <w:ind w:firstLine="482"/>
      </w:pPr>
      <w:r>
        <w:rPr>
          <w:b/>
          <w:bCs w:val="0"/>
        </w:rPr>
        <w:t>管理直接维护模式：</w:t>
      </w:r>
      <w:r>
        <w:t>研究生院管理员可直接维护重修学生信息。</w:t>
      </w:r>
    </w:p>
    <w:p>
      <w:pPr>
        <w:ind w:firstLine="482"/>
      </w:pPr>
      <w:r>
        <w:rPr>
          <w:b/>
          <w:bCs w:val="0"/>
        </w:rPr>
        <w:t>数据分析：</w:t>
      </w:r>
      <w:r>
        <w:t>实现对一定时间范围或学期中存在重修学生的课程、学院、年级、专业等指标的汇总统计。支持其他重修管理相关数据分析功能。</w:t>
      </w:r>
    </w:p>
    <w:p>
      <w:pPr>
        <w:ind w:firstLine="482"/>
        <w:rPr>
          <w:b/>
        </w:rPr>
      </w:pPr>
      <w:r>
        <w:rPr>
          <w:b/>
        </w:rPr>
        <w:t xml:space="preserve">2.2.19 </w:t>
      </w:r>
      <w:bookmarkStart w:id="30" w:name="_Hlk191462796"/>
      <w:r>
        <w:rPr>
          <w:b/>
        </w:rPr>
        <w:t>补缓考管理</w:t>
      </w:r>
      <w:bookmarkEnd w:id="30"/>
    </w:p>
    <w:p>
      <w:pPr>
        <w:ind w:firstLine="482"/>
        <w:rPr>
          <w:b/>
          <w:bCs w:val="0"/>
        </w:rPr>
      </w:pPr>
      <w:r>
        <w:rPr>
          <w:b/>
          <w:bCs w:val="0"/>
        </w:rPr>
        <w:t>补考管理：</w:t>
      </w:r>
      <w:r>
        <w:t>学生在研究生院管理员维护的申请时间范围内，可申请补考未及格课程。经任课教师、研究生院管理员审核通过后，任课教师可单独维护该生的补考成绩。基于教学大纲生成补考成绩组成并支持由任课老师修改。</w:t>
      </w:r>
    </w:p>
    <w:p>
      <w:pPr>
        <w:ind w:firstLine="482"/>
      </w:pPr>
      <w:r>
        <w:rPr>
          <w:b/>
          <w:bCs w:val="0"/>
        </w:rPr>
        <w:t>缓考管理：</w:t>
      </w:r>
      <w:r>
        <w:t>学生在管理员维护的申请时间范围内，申请所需缓考的课程，上传佐证材料。经导师、学院研究生工作秘书、研究生院管理员审核通过后，任课老师在维护该学生成绩时，自动置为缓考。基于教学大纲生成缓考成绩组成并支持由任课老师修改。</w:t>
      </w:r>
    </w:p>
    <w:p>
      <w:pPr>
        <w:ind w:firstLine="482"/>
      </w:pPr>
      <w:r>
        <w:rPr>
          <w:b/>
          <w:bCs w:val="0"/>
        </w:rPr>
        <w:t>数据分析：</w:t>
      </w:r>
      <w:r>
        <w:t>按学期、学年对存在补缓考学生的课程、学院、年级、专业、补考或缓考类型等指标的汇总统计。其他补缓考相关数据分析功能。</w:t>
      </w:r>
    </w:p>
    <w:p>
      <w:pPr>
        <w:ind w:firstLine="482"/>
        <w:rPr>
          <w:b/>
        </w:rPr>
      </w:pPr>
      <w:r>
        <w:rPr>
          <w:b/>
        </w:rPr>
        <w:t>2.2.20 教学工作量管理</w:t>
      </w:r>
    </w:p>
    <w:p>
      <w:r>
        <w:t>根据研究生院工作量统计规则自动计算教职工工作量，教职工可查询和确认个人工作量，也可根据实际情况申请调整个人工作量。包括：工作量计划标准制定、统计任务管理、分解工作量管理、工作量调整管理、教职工工作量查询、课程教学工作量查询、批改作业工作量查询、指导研究生工作量查询、指导关系冻结信息查询。</w:t>
      </w:r>
    </w:p>
    <w:p>
      <w:r>
        <w:t>1、计算工作量：系统内置工作量（授课工作量、指导工作量）计算算法，算法根据学校工作量计算标准定制，研究生院管理员可通过系统计算教职工工作量。研究生工作秘书和研究生院管理员可查询计算后自动汇总的授课工作量及指导工作量，支持链接查看汇总工作量明细。</w:t>
      </w:r>
    </w:p>
    <w:p>
      <w:r>
        <w:t>2、确认工作量：研究生院管理员发布工作量统计信息，教职工对自己的工作量进行确认。</w:t>
      </w:r>
    </w:p>
    <w:p>
      <w:r>
        <w:t>3、申请调整工作量：教职工认为工作量不准确可提交调整申请，依次经过研究生工作秘书、研究生院管理员审核后，进行调整。</w:t>
      </w:r>
    </w:p>
    <w:p>
      <w:pPr>
        <w:ind w:firstLine="482"/>
        <w:rPr>
          <w:b/>
        </w:rPr>
      </w:pPr>
      <w:bookmarkStart w:id="31" w:name="_Hlk184407333"/>
      <w:r>
        <w:rPr>
          <w:b/>
        </w:rPr>
        <w:t>2.2.21 国际交流管理</w:t>
      </w:r>
    </w:p>
    <w:p>
      <w:pPr>
        <w:pStyle w:val="31"/>
        <w:ind w:firstLine="480" w:firstLineChars="200"/>
        <w:rPr>
          <w:rFonts w:ascii="Times New Roman" w:hAnsi="Times New Roman" w:cs="Times New Roman"/>
        </w:rPr>
      </w:pPr>
      <w:r>
        <w:rPr>
          <w:rFonts w:ascii="Times New Roman" w:hAnsi="Times New Roman" w:cs="Times New Roman"/>
        </w:rPr>
        <w:t>允许学院研究生工作秘书及研究生院管理员维护标注学生出国状态、出国方式（国家公派、校际交流、院校际交流、自费）、出国起止时间。</w:t>
      </w:r>
    </w:p>
    <w:p>
      <w:pPr>
        <w:pStyle w:val="31"/>
        <w:ind w:firstLine="480" w:firstLineChars="200"/>
        <w:rPr>
          <w:rFonts w:ascii="Times New Roman" w:hAnsi="Times New Roman" w:cs="Times New Roman"/>
        </w:rPr>
      </w:pPr>
      <w:r>
        <w:rPr>
          <w:rFonts w:ascii="Times New Roman" w:hAnsi="Times New Roman" w:cs="Times New Roman"/>
        </w:rPr>
        <w:t>国家公派、校际交流、院校际交流学生出国交流结束后可申请置换学分，学生提交学分认定转换申请表及国外高校成绩单，经学院研究生工作秘书、研究生院管理员审核后由研究生院组织学分认定。</w:t>
      </w:r>
    </w:p>
    <w:bookmarkEnd w:id="31"/>
    <w:p>
      <w:pPr>
        <w:ind w:firstLine="482"/>
        <w:rPr>
          <w:b/>
          <w:bCs w:val="0"/>
        </w:rPr>
      </w:pPr>
      <w:r>
        <w:rPr>
          <w:b/>
          <w:bCs w:val="0"/>
        </w:rPr>
        <w:t>2.3 学位管理</w:t>
      </w:r>
    </w:p>
    <w:p>
      <w:pPr>
        <w:ind w:firstLine="482"/>
        <w:rPr>
          <w:b/>
        </w:rPr>
      </w:pPr>
      <w:bookmarkStart w:id="32" w:name="OLE_LINK15"/>
      <w:r>
        <w:rPr>
          <w:b/>
        </w:rPr>
        <w:t>2.3.1 学位基础设置</w:t>
      </w:r>
    </w:p>
    <w:p>
      <w:pPr>
        <w:ind w:firstLine="482"/>
        <w:rPr>
          <w:b/>
          <w:bCs w:val="0"/>
        </w:rPr>
      </w:pPr>
      <w:bookmarkStart w:id="33" w:name="_Hlk184404653"/>
      <w:r>
        <w:rPr>
          <w:b/>
          <w:bCs w:val="0"/>
        </w:rPr>
        <w:t>学位工作总体要求：</w:t>
      </w:r>
    </w:p>
    <w:p>
      <w:r>
        <w:t>学生、导师、研究生工作秘书、学院分管领导、学位评定分委会、研究生院管理员、研究生院分管领导。不同权限，不同角色、不同界面。</w:t>
      </w:r>
    </w:p>
    <w:p>
      <w:r>
        <w:t>1、学位工作流程化管理，必须按照经过所有阶段方可授予学位，每个学生授位每个流程管理端均可无障碍浏览。学生当前状态实时更新其所在授位流程，导师端实时更新其所指导的研究生所在的授位流程。个人授位信息中可查看其从开题、预答辩、答辩专家、学位评定分委员会、学位评定委员会专家名称。</w:t>
      </w:r>
    </w:p>
    <w:p>
      <w:r>
        <w:t>2、所有学院、研究生院生成表格、材料均需可生成研究生院、学院鲜章，可打印、可下载、可导出。</w:t>
      </w:r>
    </w:p>
    <w:p>
      <w:r>
        <w:t>3、其他部门：增加端口给宣传部、规划处、人事处等不特定的部门设置账号设置不同权限。</w:t>
      </w:r>
    </w:p>
    <w:p>
      <w:r>
        <w:t>4、表格、文档、pdf等模板字段更新、调整、修改需求需要在3个工作日完成。</w:t>
      </w:r>
    </w:p>
    <w:p>
      <w:r>
        <w:t>5、系统可根据需要向学院(分管领导、研究生工作秘书)、导师、研究生(包含已毕业研究生)发送消息，学院也可授权有此权限。</w:t>
      </w:r>
    </w:p>
    <w:p>
      <w:r>
        <w:t>6、系统可在各环节根据需求设置弹窗。设置对各角色登录之后的弹窗内容。</w:t>
      </w:r>
    </w:p>
    <w:p>
      <w:r>
        <w:t>7、每个学生个人信息中需要更新其所在学位申请阶段及批次。并根据需要设置提醒研究生、导师、学院其下一阶段的流程。</w:t>
      </w:r>
    </w:p>
    <w:p>
      <w:r>
        <w:t>8、能上传、下载历年硕士、博士毕业及授位数据，为其它校内各部门基础数据的查询和引用提供接口。</w:t>
      </w:r>
    </w:p>
    <w:p>
      <w:r>
        <w:t>9、能够校内职能部门之间实现数据交换，各职能部门能够查询引用研究生院授权范围内的数据，研究生院也要能使用各职能部门的数据，例如就业数据，科研成果数据等。</w:t>
      </w:r>
    </w:p>
    <w:p>
      <w:r>
        <w:t>10、数据分析：系统能够根据在校生人数对开题、预答辩、检测、评审、答辩、毕业及授位现状进行实时显示，进行条件导出、统计、下载、按照学院、授位类别(学术博士、专业博士、学术硕士、专业硕士、留学生)等类别、学科(根据学科代码)生成分析报告。</w:t>
      </w:r>
    </w:p>
    <w:p>
      <w:r>
        <w:t>11、翻译功能，可自动翻译学位证书，学位申请书、论文评阅书等</w:t>
      </w:r>
      <w:bookmarkEnd w:id="33"/>
      <w:r>
        <w:t>允许翻译后手动校正。允许翻译模板格式(word、excel等格式)导出、导入。</w:t>
      </w:r>
    </w:p>
    <w:p>
      <w:r>
        <w:t>12、个人基本信息中实时更新其所在学位阶段及完成时间(例：2024年6月已开题、2024年9月第二次参加预答辩、论文检测总复制比为：5% ；论文评阅意见为：同意答辩；参加复审通过；申请过学术分歧)。</w:t>
      </w:r>
    </w:p>
    <w:p>
      <w:pPr>
        <w:ind w:firstLine="482"/>
      </w:pPr>
      <w:r>
        <w:rPr>
          <w:b/>
          <w:bCs w:val="0"/>
        </w:rPr>
        <w:t>学位基础数据管理：</w:t>
      </w:r>
      <w:r>
        <w:t>学位模块涉及的一些基础性准备工作，如维护学位批次、校外专家、学位委员会。包括：学位批次维护、校外专家库维护、学位委员会成员维护、各环节进度查询。</w:t>
      </w:r>
    </w:p>
    <w:p>
      <w:r>
        <w:t>1、维护学位批次：研究生院管理员在开展本批次学位工作前需要设置批次名称、学期信息，便于后续各环节的管理、方便以批次为维度进行查询统计。</w:t>
      </w:r>
    </w:p>
    <w:p>
      <w:r>
        <w:t>2、校外专家库：研究生工作秘书、研究生院管理员维护预答辩、答辩等环节所使用校外专家库，为了使信息更加准确、完善，需建立校外专家库，便于在论文开题、论文中期检查、论文答辩等环节选择添加校外专家，可以从相应的报表中导出。添加校外专家时需设置姓名、登录账号、手机号、证件号、职称、专业技术职务级别、研究方向、工作单位等信息。</w:t>
      </w:r>
    </w:p>
    <w:p>
      <w:r>
        <w:t>3、学位委员会成员：研究生工作秘书可以维护分委会成员信息，支持多个学院共用学位分委会，研究生院管理员维护校委会成员信息。维护学位委员会成员时可以从教职工库中选择添加，可以设置委员身份：主席、副主席、委员。</w:t>
      </w:r>
    </w:p>
    <w:p>
      <w:r>
        <w:t>4、各环节进度查询：研究生院管理员、研究生工作秘书、导师均可通过进度查询功能查看相关学生在该环节的进度、结果以及操作明细（如申请信息、审核信息、操作人、操作时间）等。</w:t>
      </w:r>
    </w:p>
    <w:p>
      <w:pPr>
        <w:ind w:firstLine="482"/>
      </w:pPr>
      <w:r>
        <w:rPr>
          <w:b/>
          <w:bCs w:val="0"/>
        </w:rPr>
        <w:t>变更论文基本信息：</w:t>
      </w:r>
      <w:r>
        <w:t>支持由学生提交论文基本信息变更申请，由学生根据论文基本信息变更的幅度选择变更类型为微调或是变更，题目经导师、研究生工作秘书、研究生院审核后正式变更。</w:t>
      </w:r>
    </w:p>
    <w:p>
      <w:pPr>
        <w:ind w:firstLine="482"/>
        <w:rPr>
          <w:b/>
          <w:bCs w:val="0"/>
        </w:rPr>
      </w:pPr>
      <w:r>
        <w:rPr>
          <w:b/>
          <w:bCs w:val="0"/>
        </w:rPr>
        <w:t>数据分析：</w:t>
      </w:r>
      <w:r>
        <w:t>支持学位基础设置相关的数据分析功能。</w:t>
      </w:r>
    </w:p>
    <w:bookmarkEnd w:id="32"/>
    <w:p>
      <w:pPr>
        <w:ind w:firstLine="482"/>
        <w:rPr>
          <w:b/>
        </w:rPr>
      </w:pPr>
      <w:r>
        <w:rPr>
          <w:b/>
        </w:rPr>
        <w:t>2.3.2 论文重复率检测</w:t>
      </w:r>
    </w:p>
    <w:p>
      <w:r>
        <w:t>研究生院管理员通过系统导出符合知网或万方要求的论文及信息汇总表，查重结束后直接导入知网或万方下载的查重结果、查重报告，系统自动根据预设的查重区间判定学生查重结果。</w:t>
      </w:r>
    </w:p>
    <w:p>
      <w:pPr>
        <w:ind w:firstLine="482"/>
      </w:pPr>
      <w:r>
        <w:rPr>
          <w:b/>
          <w:bCs w:val="0"/>
        </w:rPr>
        <w:t>查重规则：</w:t>
      </w:r>
      <w:r>
        <w:t>研究生院管理员可以分别设置博士、硕士初检及复检查重区间，用于判断通过、复检、不通过查重结果。</w:t>
      </w:r>
    </w:p>
    <w:p>
      <w:pPr>
        <w:ind w:firstLine="482"/>
        <w:rPr>
          <w:b/>
          <w:bCs w:val="0"/>
        </w:rPr>
      </w:pPr>
      <w:r>
        <w:rPr>
          <w:b/>
          <w:bCs w:val="0"/>
        </w:rPr>
        <w:t>论文隐名：</w:t>
      </w:r>
    </w:p>
    <w:p>
      <w:r>
        <w:t>查重论文将来直接用作盲审，系统提示学生进行必要的隐名操作。系统会自动校验论文中出现学生姓名、导师姓名的次数，给审核人员明确提示。</w:t>
      </w:r>
    </w:p>
    <w:p>
      <w:pPr>
        <w:ind w:firstLine="482"/>
        <w:rPr>
          <w:b/>
          <w:bCs w:val="0"/>
        </w:rPr>
      </w:pPr>
      <w:r>
        <w:rPr>
          <w:b/>
          <w:bCs w:val="0"/>
        </w:rPr>
        <w:t>论文初检：</w:t>
      </w:r>
    </w:p>
    <w:p>
      <w:r>
        <w:t>1、待初检学生提交查重论文，依次经过导师、研究生工作秘书、研究生院管理员审核，审核通过后研究生院管理员统一进行学术不端行为检测。</w:t>
      </w:r>
    </w:p>
    <w:p>
      <w:r>
        <w:t>2、研究生院管理员可按照知网或万方要求格式批量导出查重论文。</w:t>
      </w:r>
    </w:p>
    <w:p>
      <w:r>
        <w:t>3、研究生院管理员可以直接导出知网或万方的查重结果、查重报告一键导入系统，系统自动根据预设查重区间判定学生查重结果。</w:t>
      </w:r>
    </w:p>
    <w:p>
      <w:r>
        <w:t>（1）结果为合格的学生进入盲审环节。</w:t>
      </w:r>
    </w:p>
    <w:p>
      <w:r>
        <w:t>（2）结果为复检的需对论文修改后进行二次查重。</w:t>
      </w:r>
    </w:p>
    <w:p>
      <w:r>
        <w:t>（3）结果为不合格的需延期后重新开展查重工作。</w:t>
      </w:r>
    </w:p>
    <w:p>
      <w:r>
        <w:t>4、研究生工作秘书、学生、导师可查看论文查重结果。</w:t>
      </w:r>
    </w:p>
    <w:p>
      <w:pPr>
        <w:ind w:firstLine="482"/>
        <w:rPr>
          <w:b/>
          <w:bCs w:val="0"/>
        </w:rPr>
      </w:pPr>
      <w:r>
        <w:rPr>
          <w:b/>
          <w:bCs w:val="0"/>
        </w:rPr>
        <w:t>论文复检：</w:t>
      </w:r>
    </w:p>
    <w:p>
      <w:r>
        <w:t>1、待复检学生重新提交修改后查重论文，依次经过导师、研究生工作秘书、研究生院管理员审核，审核通过后研究生院管理员统一进行学术不端行为检测。</w:t>
      </w:r>
    </w:p>
    <w:p>
      <w:r>
        <w:t>2、研究生院管理员可以单独下载需要二次查重的学生论文进行查重。</w:t>
      </w:r>
    </w:p>
    <w:p>
      <w:r>
        <w:t>3、研究生院管理员将知网或万方导出的查重结果、查重报告一键导入系统，系统根据查重结果判定规则自动判定学生查重结果。</w:t>
      </w:r>
    </w:p>
    <w:p>
      <w:pPr>
        <w:ind w:firstLine="482"/>
      </w:pPr>
      <w:r>
        <w:rPr>
          <w:b/>
          <w:bCs w:val="0"/>
        </w:rPr>
        <w:t>数据分析：</w:t>
      </w:r>
      <w:r>
        <w:t>支持论文重复率检测相关的数据分析功能。</w:t>
      </w:r>
    </w:p>
    <w:p>
      <w:pPr>
        <w:ind w:firstLine="482"/>
        <w:rPr>
          <w:b/>
        </w:rPr>
      </w:pPr>
      <w:r>
        <w:rPr>
          <w:b/>
        </w:rPr>
        <w:t>2.3.3 论文评阅管理</w:t>
      </w:r>
    </w:p>
    <w:p>
      <w:r>
        <w:t>盲审论文直接使用查重通过的论文进行送审，不需要学生再次上传盲审论文，研究生院管理员设置论文送审方式后可以导出论文评审平台要求的数据与论文文件，送审结束将评阅明细与结果导入后根据规则进行预判，研究生院管理员参考预判结果进行发布。</w:t>
      </w:r>
    </w:p>
    <w:p>
      <w:pPr>
        <w:ind w:firstLine="482"/>
        <w:rPr>
          <w:b/>
          <w:bCs w:val="0"/>
        </w:rPr>
      </w:pPr>
      <w:r>
        <w:rPr>
          <w:b/>
          <w:bCs w:val="0"/>
        </w:rPr>
        <w:t>盲审论文：</w:t>
      </w:r>
    </w:p>
    <w:p>
      <w:r>
        <w:t>1、研究生院管理员设置学生论文的送审方式，学校送审或学院送审。</w:t>
      </w:r>
    </w:p>
    <w:p>
      <w:r>
        <w:t>2、系统可以与其他第三方论文评审平台对接，实现论文、评阅明细、评阅结果的一键导出、导入。</w:t>
      </w:r>
    </w:p>
    <w:p>
      <w:pPr>
        <w:ind w:firstLine="482"/>
        <w:rPr>
          <w:b/>
          <w:bCs w:val="0"/>
        </w:rPr>
      </w:pPr>
      <w:r>
        <w:rPr>
          <w:b/>
          <w:bCs w:val="0"/>
        </w:rPr>
        <w:t>盲审结果：</w:t>
      </w:r>
    </w:p>
    <w:p>
      <w:r>
        <w:t>1、研究生院管理员可以设置评审结果判定规则，按照论文评审平台的要求导出论文文件，盲审结束后将论文评审平台的盲审专家评阅意见和盲评结果自动推送/一键导入到系统中，系统自动根据专家评阅结果预判盲审结果。</w:t>
      </w:r>
    </w:p>
    <w:p>
      <w:r>
        <w:t>2、内置盲审结果判定规则，能够依据专家评阅结果自动判定盲审结果。</w:t>
      </w:r>
    </w:p>
    <w:p>
      <w:r>
        <w:t>3、参与盲审的学生可以查看并打印本人的盲审专家评阅意见和盲审结果，研究生院管理员可查看论文盲审结果，可以批量导出论文盲审专家评阅意见、盲审结果和盲审结果统计表。系统需要严格限制学生及导师对评审专家信息不可见。</w:t>
      </w:r>
    </w:p>
    <w:p>
      <w:pPr>
        <w:ind w:firstLine="482"/>
      </w:pPr>
      <w:r>
        <w:rPr>
          <w:b/>
          <w:bCs w:val="0"/>
        </w:rPr>
        <w:t>数据分析：</w:t>
      </w:r>
      <w:r>
        <w:t>支持论文评阅管理相关的数据分析功能。</w:t>
      </w:r>
    </w:p>
    <w:p>
      <w:pPr>
        <w:ind w:firstLine="482"/>
        <w:rPr>
          <w:b/>
        </w:rPr>
      </w:pPr>
      <w:r>
        <w:rPr>
          <w:b/>
        </w:rPr>
        <w:t>2.3.4 答辩管理</w:t>
      </w:r>
    </w:p>
    <w:p>
      <w:r>
        <w:t>论文答辩分为线上、线下两种模式，由学生发起申请，经导师、研究生工作秘书、研究生院依次审核，审核通过后由答辩秘书维护答辩安排，线上答辩主要是应对因特殊情况无法进行现场答辩的情况，答辩委员可以通过系统查看学生答辩论文、在线维护答辩决议、投票情况、答辩成绩、答辩结果，线下答辩由答辩秘书代替委员维护答辩决议、投票情况、答辩成绩及答辩结果。</w:t>
      </w:r>
    </w:p>
    <w:p>
      <w:pPr>
        <w:ind w:firstLine="482"/>
      </w:pPr>
      <w:r>
        <w:rPr>
          <w:b/>
          <w:bCs w:val="0"/>
        </w:rPr>
        <w:t>维护答辩任务：</w:t>
      </w:r>
      <w:r>
        <w:t>研究生院管理员维护答辩任务，填写学生申请的起止时间，可以通过三种方式选择适用的学生范围，第一种：选择全部（满足前置条件学生均可参与）；第二种：维护学生范围（按年级、学院、学科、培养层次设置）；第三种：维护学生名单（可以根据学生所处模块、环节进行批量添加）。</w:t>
      </w:r>
    </w:p>
    <w:p>
      <w:pPr>
        <w:ind w:firstLine="482"/>
      </w:pPr>
      <w:r>
        <w:rPr>
          <w:b/>
          <w:bCs w:val="0"/>
        </w:rPr>
        <w:t>申请答辩：</w:t>
      </w:r>
      <w:r>
        <w:t>学生提交答辩申请时可以填写个人经历、选择科研库中的科研信息，上传答辩论文。</w:t>
      </w:r>
    </w:p>
    <w:p>
      <w:pPr>
        <w:ind w:firstLine="482"/>
      </w:pPr>
      <w:r>
        <w:rPr>
          <w:b/>
          <w:bCs w:val="0"/>
        </w:rPr>
        <w:t>审核答辩申请：</w:t>
      </w:r>
      <w:r>
        <w:t>学生提交答辩申请后依次经过导师审核、研究生工作秘书审核、研究生院管理员审核，审核时可以查看学生的论文信息、盲审情况、科研情况等。学院分管领导、导师、研究生院所有管理者可以批量查看审核结果，学生可以查看本人的申请审批结果。</w:t>
      </w:r>
    </w:p>
    <w:p>
      <w:pPr>
        <w:ind w:firstLine="482"/>
      </w:pPr>
      <w:r>
        <w:rPr>
          <w:b/>
          <w:bCs w:val="0"/>
        </w:rPr>
        <w:t>维护答辩秘书：</w:t>
      </w:r>
      <w:r>
        <w:t>研究生工作秘书维护答辩秘书。</w:t>
      </w:r>
    </w:p>
    <w:p>
      <w:pPr>
        <w:ind w:firstLine="482"/>
        <w:rPr>
          <w:b/>
          <w:bCs w:val="0"/>
        </w:rPr>
      </w:pPr>
      <w:r>
        <w:rPr>
          <w:b/>
          <w:bCs w:val="0"/>
        </w:rPr>
        <w:t>答辩安排：</w:t>
      </w:r>
    </w:p>
    <w:p>
      <w:r>
        <w:t>1、答辩秘书维护论文答辩委员会信息和答辩时间、地点等安排信息，所有用户可以查看到答辩人、答辩论文名称、导师姓名、答辩委员会及答辩时间、地点安排等信息。</w:t>
      </w:r>
    </w:p>
    <w:p>
      <w:r>
        <w:t>2、答辩秘书对学生进行分组安排，可以设置学生的答辩委员会人数。</w:t>
      </w:r>
    </w:p>
    <w:p>
      <w:r>
        <w:t>3、答辩秘书可以通过系统实现自动、快捷分配答辩委员会成员。</w:t>
      </w:r>
    </w:p>
    <w:p>
      <w:r>
        <w:t>4、答辩秘书添加委员时可以实现自动进行职称、专业技术职务级别、导师类别、校内校外、导师回避等规则的校验。</w:t>
      </w:r>
    </w:p>
    <w:p>
      <w:r>
        <w:t>5、答辩分组安排由学科负责人审核，审核通过后答辩委员会成员、答辩学生可查看答辩安排。</w:t>
      </w:r>
    </w:p>
    <w:p>
      <w:r>
        <w:t>6、答辩委员会成员可以在线查看学生答辩材料。</w:t>
      </w:r>
    </w:p>
    <w:p>
      <w:pPr>
        <w:ind w:firstLine="482"/>
        <w:rPr>
          <w:b/>
          <w:bCs w:val="0"/>
        </w:rPr>
      </w:pPr>
      <w:r>
        <w:rPr>
          <w:b/>
          <w:bCs w:val="0"/>
        </w:rPr>
        <w:t>答辩结果：</w:t>
      </w:r>
    </w:p>
    <w:p>
      <w:r>
        <w:t>1、答辩方式分为线下、线上答辩两种模式。</w:t>
      </w:r>
    </w:p>
    <w:p>
      <w:r>
        <w:t>2、线上答辩由答辩委员会成员在线提交决议及确认答辩结果，答辩专家可以通过系统生成的链接或二维码进行表决，紧急情况下答辩秘书可以代替维护。</w:t>
      </w:r>
    </w:p>
    <w:p>
      <w:r>
        <w:t>3、线下答辩由答辩秘书代替维护答辩决议、投票情况、答辩成绩及答辩结果，答辩秘书可以批量导入投票情况、答辩成绩和答辩结果。</w:t>
      </w:r>
    </w:p>
    <w:p>
      <w:r>
        <w:t>4、审核答辩申请及确认答辩结果环节需要签名，签名信息体现在导出的学位审核书中。</w:t>
      </w:r>
    </w:p>
    <w:p>
      <w:r>
        <w:t>5、导师、研究生工作秘书、研究生院管理员可查看学生论文答辩结果，学生可以查看并打印个人答辩决议和答辩结果。</w:t>
      </w:r>
    </w:p>
    <w:p>
      <w:pPr>
        <w:ind w:firstLine="482"/>
        <w:rPr>
          <w:b/>
          <w:bCs w:val="0"/>
        </w:rPr>
      </w:pPr>
      <w:r>
        <w:rPr>
          <w:b/>
          <w:bCs w:val="0"/>
        </w:rPr>
        <w:t>答辩委员可以通过移动端扫描二维码进行在线签名。</w:t>
      </w:r>
    </w:p>
    <w:p>
      <w:pPr>
        <w:ind w:firstLine="482"/>
        <w:rPr>
          <w:b/>
          <w:bCs w:val="0"/>
        </w:rPr>
      </w:pPr>
      <w:r>
        <w:rPr>
          <w:b/>
          <w:bCs w:val="0"/>
        </w:rPr>
        <w:t>答辩委员可以通过预留手机短信验证码登录系统（防止忘记账号、密码等情况）。</w:t>
      </w:r>
    </w:p>
    <w:p>
      <w:pPr>
        <w:ind w:firstLine="482"/>
        <w:rPr>
          <w:b/>
          <w:bCs w:val="0"/>
        </w:rPr>
      </w:pPr>
      <w:r>
        <w:rPr>
          <w:b/>
          <w:bCs w:val="0"/>
        </w:rPr>
        <w:t>分委会讨论：</w:t>
      </w:r>
    </w:p>
    <w:p>
      <w:r>
        <w:t>1、研究生工作秘书维护上会名单和不上会名单，研究生工作秘书根据要求选择线上、线下两种模式。</w:t>
      </w:r>
    </w:p>
    <w:p>
      <w:r>
        <w:t>2、研究生工作秘书可以查询待上分委会学生名单，导出分委会上会材料。</w:t>
      </w:r>
    </w:p>
    <w:p>
      <w:r>
        <w:t>3、线上模式由各委员在线维护决议，线下模式由研究生工作秘书代为维护分委会决议。</w:t>
      </w:r>
    </w:p>
    <w:p>
      <w:r>
        <w:t>4、分委会决议维护完成后由研究生工作秘书进行提交，研究生工作秘书可以补录分委会决议。</w:t>
      </w:r>
    </w:p>
    <w:p>
      <w:r>
        <w:t>5、研究生工作秘书可以导出待上校委会名单、暂缓授位名单、授位名单，可以查询学位授予进度等。</w:t>
      </w:r>
    </w:p>
    <w:p>
      <w:pPr>
        <w:ind w:firstLine="482"/>
      </w:pPr>
      <w:r>
        <w:rPr>
          <w:b/>
          <w:bCs w:val="0"/>
        </w:rPr>
        <w:t>数据分析：</w:t>
      </w:r>
      <w:r>
        <w:t>支持答辩管理相关的数据分析功能。</w:t>
      </w:r>
    </w:p>
    <w:p>
      <w:pPr>
        <w:ind w:firstLine="482"/>
        <w:rPr>
          <w:b/>
        </w:rPr>
      </w:pPr>
      <w:r>
        <w:rPr>
          <w:b/>
        </w:rPr>
        <w:t>2.3.5 校评会管理</w:t>
      </w:r>
    </w:p>
    <w:p>
      <w:r>
        <w:t>1、研究生院管理员审核学院研究生工作秘书提交的待上校委会名单，研究生院管理员根据要求选择线上、线下两种上会模式。</w:t>
      </w:r>
    </w:p>
    <w:p>
      <w:r>
        <w:t>2、研究生院管理员可以查询待上校委会学生名单，导出校委会上会材料。</w:t>
      </w:r>
    </w:p>
    <w:p>
      <w:r>
        <w:t>3、线上模式由各委员在线维护决议，线下模式由研究生院管理员代为维护校委会决议。</w:t>
      </w:r>
    </w:p>
    <w:p>
      <w:r>
        <w:t>4、研究生院管理员可以查询授位名单、不授位名单、学位授予进度等。</w:t>
      </w:r>
    </w:p>
    <w:p>
      <w:r>
        <w:t>5、研究生工作秘书、研究生院管理员可以导出上会报告书、学位申请一览表、论文发表一览表等材料。</w:t>
      </w:r>
    </w:p>
    <w:p>
      <w:pPr>
        <w:ind w:firstLine="482"/>
      </w:pPr>
      <w:r>
        <w:rPr>
          <w:b/>
        </w:rPr>
        <w:t>数据分析：</w:t>
      </w:r>
      <w:r>
        <w:t>支持校评会管理相关的数据分析功能。</w:t>
      </w:r>
    </w:p>
    <w:p>
      <w:pPr>
        <w:ind w:firstLine="482"/>
        <w:rPr>
          <w:b/>
        </w:rPr>
      </w:pPr>
      <w:r>
        <w:rPr>
          <w:b/>
        </w:rPr>
        <w:t xml:space="preserve">2.3.6 </w:t>
      </w:r>
      <w:bookmarkStart w:id="34" w:name="OLE_LINK16"/>
      <w:r>
        <w:rPr>
          <w:b/>
        </w:rPr>
        <w:t>学位机构管理</w:t>
      </w:r>
      <w:bookmarkEnd w:id="34"/>
    </w:p>
    <w:p>
      <w:r>
        <w:t>学位机构管理(可自动关联委员个人人事信息、对是否退休进行关联)。</w:t>
      </w:r>
    </w:p>
    <w:p>
      <w:pPr>
        <w:ind w:firstLine="482"/>
        <w:rPr>
          <w:b/>
        </w:rPr>
      </w:pPr>
      <w:r>
        <w:rPr>
          <w:b/>
        </w:rPr>
        <w:t>2.3.7论文归档管理</w:t>
      </w:r>
    </w:p>
    <w:p>
      <w:pPr>
        <w:ind w:firstLine="482"/>
      </w:pPr>
      <w:r>
        <w:rPr>
          <w:b/>
          <w:bCs w:val="0"/>
        </w:rPr>
        <w:t>定稿论文：</w:t>
      </w:r>
      <w:r>
        <w:t>支持定稿论文管理，含定稿论文上传、定稿论文查重、定稿论文下载等业务。</w:t>
      </w:r>
    </w:p>
    <w:p>
      <w:pPr>
        <w:ind w:firstLine="482"/>
      </w:pPr>
      <w:r>
        <w:rPr>
          <w:b/>
          <w:bCs w:val="0"/>
        </w:rPr>
        <w:t>学位档案材料：</w:t>
      </w:r>
      <w:r>
        <w:t>学位档案材料管理子模块主要包括各类表格的在线填写、下载及打印功能，支持按学生类别进行分类管理。各类表格主要有学位申请书、学位论文答辩申请书、学位论文评阅书、学位论文自评表、学位论文评议表、学位论文答辩情况表、学位评定分委员会表决票、校学位评定委员会表决结果、毕业生登记表等。</w:t>
      </w:r>
    </w:p>
    <w:p>
      <w:pPr>
        <w:ind w:firstLine="482"/>
        <w:rPr>
          <w:b/>
        </w:rPr>
      </w:pPr>
      <w:r>
        <w:rPr>
          <w:b/>
        </w:rPr>
        <w:t>2.3.8 学位证书管理</w:t>
      </w:r>
    </w:p>
    <w:p>
      <w:pPr>
        <w:adjustRightInd w:val="0"/>
        <w:rPr>
          <w:rFonts w:eastAsiaTheme="minorEastAsia"/>
        </w:rPr>
      </w:pPr>
      <w:r>
        <w:rPr>
          <w:rFonts w:eastAsiaTheme="minorEastAsia"/>
        </w:rPr>
        <w:t>研究生院管理员通过配置学位证书编号规则自动生成学位证书编号，可以导出学位证书相关信息。</w:t>
      </w:r>
    </w:p>
    <w:p>
      <w:pPr>
        <w:adjustRightInd w:val="0"/>
        <w:ind w:firstLineChars="0"/>
        <w:rPr>
          <w:rFonts w:eastAsiaTheme="minorEastAsia"/>
          <w:b/>
          <w:bCs w:val="0"/>
        </w:rPr>
      </w:pPr>
      <w:r>
        <w:rPr>
          <w:rFonts w:eastAsiaTheme="minorEastAsia"/>
          <w:b/>
        </w:rPr>
        <w:t>编排学位证书编号：</w:t>
      </w:r>
    </w:p>
    <w:p>
      <w:pPr>
        <w:rPr>
          <w:rFonts w:eastAsiaTheme="minorEastAsia"/>
        </w:rPr>
      </w:pPr>
      <w:r>
        <w:rPr>
          <w:rFonts w:eastAsiaTheme="minorEastAsia"/>
        </w:rPr>
        <w:t>研究生院管理员可以灵活配置学位证书编号规则，例如：</w:t>
      </w:r>
    </w:p>
    <w:p>
      <w:pPr>
        <w:numPr>
          <w:ilvl w:val="0"/>
          <w:numId w:val="10"/>
        </w:numPr>
        <w:ind w:hanging="562" w:firstLineChars="0"/>
        <w:rPr>
          <w:rFonts w:eastAsiaTheme="minorEastAsia"/>
        </w:rPr>
      </w:pPr>
      <w:r>
        <w:rPr>
          <w:rFonts w:eastAsiaTheme="minorEastAsia"/>
        </w:rPr>
        <w:t>前5位为学校或其他教育机构的国标代码：XXXXX。</w:t>
      </w:r>
    </w:p>
    <w:p>
      <w:pPr>
        <w:numPr>
          <w:ilvl w:val="0"/>
          <w:numId w:val="10"/>
        </w:numPr>
        <w:ind w:hanging="562" w:firstLineChars="0"/>
        <w:rPr>
          <w:rFonts w:eastAsiaTheme="minorEastAsia"/>
        </w:rPr>
      </w:pPr>
      <w:r>
        <w:rPr>
          <w:rFonts w:eastAsiaTheme="minorEastAsia"/>
        </w:rPr>
        <w:t>第6位为培养层次(2:博士；3:硕士)。</w:t>
      </w:r>
    </w:p>
    <w:p>
      <w:pPr>
        <w:numPr>
          <w:ilvl w:val="0"/>
          <w:numId w:val="10"/>
        </w:numPr>
        <w:ind w:hanging="562" w:firstLineChars="0"/>
        <w:rPr>
          <w:rFonts w:eastAsiaTheme="minorEastAsia"/>
        </w:rPr>
      </w:pPr>
      <w:r>
        <w:rPr>
          <w:rFonts w:eastAsiaTheme="minorEastAsia"/>
        </w:rPr>
        <w:t>第7至10位为年份。</w:t>
      </w:r>
    </w:p>
    <w:p>
      <w:pPr>
        <w:numPr>
          <w:ilvl w:val="0"/>
          <w:numId w:val="10"/>
        </w:numPr>
        <w:ind w:hanging="562" w:firstLineChars="0"/>
        <w:rPr>
          <w:rFonts w:eastAsiaTheme="minorEastAsia"/>
        </w:rPr>
      </w:pPr>
      <w:r>
        <w:rPr>
          <w:rFonts w:eastAsiaTheme="minorEastAsia"/>
        </w:rPr>
        <w:t>第11位至16位为学校对学位证书编排的序号。</w:t>
      </w:r>
    </w:p>
    <w:p>
      <w:pPr>
        <w:numPr>
          <w:ilvl w:val="0"/>
          <w:numId w:val="10"/>
        </w:numPr>
        <w:ind w:hanging="562" w:firstLineChars="0"/>
        <w:rPr>
          <w:rFonts w:eastAsiaTheme="minorEastAsia"/>
        </w:rPr>
      </w:pPr>
      <w:r>
        <w:rPr>
          <w:rFonts w:eastAsiaTheme="minorEastAsia"/>
        </w:rPr>
        <w:t>其中，硕士：</w:t>
      </w:r>
    </w:p>
    <w:p>
      <w:pPr>
        <w:numPr>
          <w:ilvl w:val="0"/>
          <w:numId w:val="11"/>
        </w:numPr>
        <w:ind w:left="839" w:leftChars="237" w:hanging="271" w:hangingChars="113"/>
        <w:rPr>
          <w:rFonts w:eastAsiaTheme="minorEastAsia"/>
        </w:rPr>
      </w:pPr>
      <w:r>
        <w:rPr>
          <w:rFonts w:eastAsiaTheme="minorEastAsia"/>
        </w:rPr>
        <w:t>第11位：1：学术型，2：专业型。</w:t>
      </w:r>
    </w:p>
    <w:p>
      <w:pPr>
        <w:numPr>
          <w:ilvl w:val="0"/>
          <w:numId w:val="11"/>
        </w:numPr>
        <w:ind w:left="839" w:leftChars="237" w:hanging="271" w:hangingChars="113"/>
        <w:rPr>
          <w:rFonts w:eastAsiaTheme="minorEastAsia"/>
        </w:rPr>
      </w:pPr>
      <w:r>
        <w:rPr>
          <w:rFonts w:eastAsiaTheme="minorEastAsia"/>
        </w:rPr>
        <w:t>第12位至16位为流水号。</w:t>
      </w:r>
    </w:p>
    <w:p>
      <w:pPr>
        <w:rPr>
          <w:rFonts w:eastAsiaTheme="minorEastAsia"/>
        </w:rPr>
      </w:pPr>
      <w:r>
        <w:rPr>
          <w:rFonts w:eastAsiaTheme="minorEastAsia"/>
        </w:rPr>
        <w:t>学位证书编号规则配置无误后研究生院管理员可进行一键自动编制学位证书编号。</w:t>
      </w:r>
    </w:p>
    <w:p>
      <w:pPr>
        <w:ind w:firstLine="482"/>
        <w:rPr>
          <w:rFonts w:eastAsiaTheme="minorEastAsia"/>
        </w:rPr>
      </w:pPr>
      <w:r>
        <w:rPr>
          <w:rFonts w:eastAsiaTheme="minorEastAsia"/>
          <w:b/>
        </w:rPr>
        <w:t>导出学位证书信息：</w:t>
      </w:r>
      <w:r>
        <w:rPr>
          <w:rFonts w:eastAsiaTheme="minorEastAsia"/>
        </w:rPr>
        <w:t>研究生院管理员编排学位证书编号归档后，根据学位证书模板自动生成学位证书所需信息。支持导出学位证明（英文版）和学位证明书。</w:t>
      </w:r>
    </w:p>
    <w:p>
      <w:pPr>
        <w:ind w:firstLine="482"/>
        <w:rPr>
          <w:b/>
        </w:rPr>
      </w:pPr>
      <w:bookmarkStart w:id="35" w:name="OLE_LINK18"/>
      <w:r>
        <w:rPr>
          <w:b/>
        </w:rPr>
        <w:t>2.3.9 学位报盘</w:t>
      </w:r>
    </w:p>
    <w:p>
      <w:r>
        <w:t>研究生院管理员检查、维护学位备案相关的统一信息，学生自行完善部分允许调整的信息，系统内置与学位授予信息报送（备案）系统一致的校验规则，确保上报数据的准确性，经校验通过后由研究生院管理员导出学位备案信息上报至学位授予信息报送（备案）系统。</w:t>
      </w:r>
    </w:p>
    <w:p>
      <w:pPr>
        <w:ind w:firstLine="482"/>
      </w:pPr>
      <w:r>
        <w:rPr>
          <w:b/>
          <w:bCs w:val="0"/>
        </w:rPr>
        <w:t>备案准备：</w:t>
      </w:r>
      <w:r>
        <w:t>系统支持维护学科转码信息，维护转码前学科代码、学科名称以及转码后的学科代码、学科名称。系统支持研究生工作秘书维护不符合上报要求的学生名单，研究生院管理员审核通过后将不会出现在学位信息上报名单中。系统支持检查学校代码、校长、学位评定委员会主席、自设交叉学科备案信息、学位点授位信息完整性，提醒补全相关信息。</w:t>
      </w:r>
    </w:p>
    <w:p>
      <w:pPr>
        <w:ind w:firstLine="482"/>
      </w:pPr>
      <w:r>
        <w:rPr>
          <w:b/>
          <w:bCs w:val="0"/>
        </w:rPr>
        <w:t>完善备案信息：</w:t>
      </w:r>
      <w:r>
        <w:t>根据各类学生学位授予信息报送系统数据要求，自动从学生信息中提取个人基本信息和学位论文等信息。支持学生对信息进行确认、完善，下载备案信息确认表。系统支持批量上传学生学位照片。系统支持批量设置决议编号、毕业年月。</w:t>
      </w:r>
    </w:p>
    <w:p>
      <w:pPr>
        <w:ind w:firstLine="482"/>
      </w:pPr>
      <w:r>
        <w:rPr>
          <w:b/>
          <w:bCs w:val="0"/>
        </w:rPr>
        <w:t>上报备案信息：</w:t>
      </w:r>
      <w:r>
        <w:t>系统内置学位授予信息报送（备案）系统数据校验规则，可对要上报的学位数据进行合规性预校验。校验通过后研究生院管理员导出学位信息上报至学位授予信息报送（备案）系统。</w:t>
      </w:r>
    </w:p>
    <w:bookmarkEnd w:id="35"/>
    <w:p>
      <w:pPr>
        <w:ind w:firstLine="482"/>
        <w:rPr>
          <w:b/>
        </w:rPr>
      </w:pPr>
      <w:r>
        <w:rPr>
          <w:b/>
        </w:rPr>
        <w:t>2.3.10 预答辩管理</w:t>
      </w:r>
    </w:p>
    <w:p>
      <w:pPr>
        <w:rPr>
          <w:rFonts w:eastAsiaTheme="minorEastAsia"/>
        </w:rPr>
      </w:pPr>
      <w:r>
        <w:rPr>
          <w:rFonts w:eastAsiaTheme="minorEastAsia"/>
        </w:rPr>
        <w:t>研究生院管理员可以灵活设置参与预答辩的院系，预答辩分为线上、线下两种模式，线上主要是应对因特殊情况无法进行现场答辩的情况，答辩委员可以通过系统查看学生预答辩论文、在线维护答辩结果。</w:t>
      </w:r>
    </w:p>
    <w:p>
      <w:pPr>
        <w:ind w:firstLineChars="0"/>
        <w:rPr>
          <w:rFonts w:eastAsiaTheme="minorEastAsia"/>
        </w:rPr>
      </w:pPr>
      <w:r>
        <w:rPr>
          <w:rFonts w:eastAsiaTheme="minorEastAsia"/>
          <w:b/>
        </w:rPr>
        <w:t>维护预答辩任务：</w:t>
      </w:r>
      <w:r>
        <w:rPr>
          <w:rFonts w:eastAsiaTheme="minorEastAsia"/>
        </w:rPr>
        <w:t>研究生院管理员维护预答辩任务，填写学生申请的起止时间，可以通过三种方式选择适用的学生范围，第一种：选择全部（满足前置条件学生均可参与）；第二种：维护学生范围（按年级、学院、学科、培养层次设置）；第三种：维护学生名单（可以根据学生所处模块、环节进行批量添加）。</w:t>
      </w:r>
    </w:p>
    <w:p>
      <w:pPr>
        <w:ind w:firstLineChars="0"/>
        <w:rPr>
          <w:rFonts w:eastAsiaTheme="minorEastAsia"/>
        </w:rPr>
      </w:pPr>
      <w:r>
        <w:rPr>
          <w:rFonts w:eastAsiaTheme="minorEastAsia"/>
          <w:b/>
        </w:rPr>
        <w:t>申请预答辩：</w:t>
      </w:r>
      <w:r>
        <w:rPr>
          <w:rFonts w:eastAsiaTheme="minorEastAsia"/>
        </w:rPr>
        <w:t>学生提交预答辩申请，上传预答辩论文。</w:t>
      </w:r>
    </w:p>
    <w:p>
      <w:pPr>
        <w:ind w:firstLineChars="0"/>
        <w:rPr>
          <w:rFonts w:eastAsiaTheme="minorEastAsia"/>
        </w:rPr>
      </w:pPr>
      <w:r>
        <w:rPr>
          <w:rFonts w:eastAsiaTheme="minorEastAsia"/>
          <w:b/>
        </w:rPr>
        <w:t>审核预答辩申请：</w:t>
      </w:r>
      <w:r>
        <w:rPr>
          <w:rFonts w:eastAsiaTheme="minorEastAsia"/>
        </w:rPr>
        <w:t>学生提交申请后依次经过导师审核、学院研究生工作秘书审核。</w:t>
      </w:r>
    </w:p>
    <w:p>
      <w:pPr>
        <w:ind w:firstLineChars="0"/>
        <w:rPr>
          <w:rFonts w:eastAsiaTheme="minorEastAsia"/>
        </w:rPr>
      </w:pPr>
      <w:r>
        <w:rPr>
          <w:rFonts w:eastAsiaTheme="minorEastAsia"/>
          <w:b/>
        </w:rPr>
        <w:t>维护预答辩秘书：</w:t>
      </w:r>
      <w:r>
        <w:rPr>
          <w:rFonts w:eastAsiaTheme="minorEastAsia"/>
          <w:bCs w:val="0"/>
        </w:rPr>
        <w:t>由</w:t>
      </w:r>
      <w:r>
        <w:rPr>
          <w:rFonts w:eastAsiaTheme="minorEastAsia"/>
        </w:rPr>
        <w:t>学院研究生工作秘书维护预答辩秘书。</w:t>
      </w:r>
    </w:p>
    <w:p>
      <w:pPr>
        <w:ind w:firstLineChars="0"/>
        <w:rPr>
          <w:rFonts w:eastAsiaTheme="minorEastAsia"/>
        </w:rPr>
      </w:pPr>
      <w:r>
        <w:rPr>
          <w:rFonts w:eastAsiaTheme="minorEastAsia"/>
          <w:b/>
        </w:rPr>
        <w:t>预答辩安排：</w:t>
      </w:r>
      <w:r>
        <w:rPr>
          <w:rFonts w:eastAsiaTheme="minorEastAsia"/>
        </w:rPr>
        <w:t>学生预答辩申请审核通过后，预答辩秘书设置预答辩小组，对预答辩学生进行分组。预答辩秘书安排时可以对委员人数、委员专业技术职务级别、导师回避等要求进行判断。预答辩秘书可以灵活的为每个学生配置出席成员信息。预答辩秘书可以对专家进行自动分组，预答辩秘书可以选择线上、线下两种方式。预答辩分组提交给学科负责人审核，审核通过后预答辩小组成员、预答辩学生可查看预答辩安排。</w:t>
      </w:r>
    </w:p>
    <w:p>
      <w:pPr>
        <w:ind w:firstLineChars="0"/>
        <w:rPr>
          <w:rFonts w:eastAsiaTheme="minorEastAsia"/>
          <w:b/>
          <w:bCs w:val="0"/>
        </w:rPr>
      </w:pPr>
      <w:r>
        <w:rPr>
          <w:rFonts w:eastAsiaTheme="minorEastAsia"/>
          <w:b/>
        </w:rPr>
        <w:t>登记预答辩结果：</w:t>
      </w:r>
    </w:p>
    <w:p>
      <w:pPr>
        <w:pStyle w:val="21"/>
        <w:numPr>
          <w:ilvl w:val="0"/>
          <w:numId w:val="12"/>
        </w:numPr>
        <w:ind w:left="0" w:firstLine="420" w:firstLineChars="0"/>
        <w:rPr>
          <w:rFonts w:eastAsiaTheme="minorEastAsia"/>
        </w:rPr>
      </w:pPr>
      <w:r>
        <w:rPr>
          <w:rFonts w:eastAsiaTheme="minorEastAsia"/>
        </w:rPr>
        <w:t>线下预答辩由预答辩秘书登记预答辩结果，系统可以批量导入预答辩结果。</w:t>
      </w:r>
    </w:p>
    <w:p>
      <w:pPr>
        <w:pStyle w:val="21"/>
        <w:numPr>
          <w:ilvl w:val="0"/>
          <w:numId w:val="12"/>
        </w:numPr>
        <w:ind w:left="0" w:firstLine="420" w:firstLineChars="0"/>
        <w:rPr>
          <w:rFonts w:eastAsiaTheme="minorEastAsia"/>
        </w:rPr>
      </w:pPr>
      <w:r>
        <w:rPr>
          <w:rFonts w:eastAsiaTheme="minorEastAsia"/>
        </w:rPr>
        <w:t>导师、学院研究生工作秘书、研究生院管理员、预答辩学生可查看预答辩结果。</w:t>
      </w:r>
    </w:p>
    <w:p>
      <w:pPr>
        <w:pStyle w:val="21"/>
        <w:numPr>
          <w:ilvl w:val="0"/>
          <w:numId w:val="12"/>
        </w:numPr>
        <w:ind w:left="0" w:firstLine="420" w:firstLineChars="0"/>
        <w:rPr>
          <w:rFonts w:eastAsiaTheme="minorEastAsia"/>
        </w:rPr>
      </w:pPr>
      <w:r>
        <w:rPr>
          <w:rFonts w:eastAsiaTheme="minorEastAsia"/>
        </w:rPr>
        <w:t>学院研究生工作秘书和研究生院管理员可批量导出预答辩结果。</w:t>
      </w:r>
    </w:p>
    <w:p>
      <w:pPr>
        <w:pStyle w:val="21"/>
        <w:numPr>
          <w:ilvl w:val="0"/>
          <w:numId w:val="12"/>
        </w:numPr>
        <w:ind w:left="0" w:firstLine="420" w:firstLineChars="0"/>
        <w:rPr>
          <w:rFonts w:eastAsiaTheme="minorEastAsia"/>
        </w:rPr>
      </w:pPr>
      <w:r>
        <w:rPr>
          <w:rFonts w:eastAsiaTheme="minorEastAsia"/>
        </w:rPr>
        <w:t>预答辩专家可以通过微信扫码进行签名。</w:t>
      </w:r>
    </w:p>
    <w:p>
      <w:pPr>
        <w:pStyle w:val="21"/>
        <w:numPr>
          <w:ilvl w:val="0"/>
          <w:numId w:val="12"/>
        </w:numPr>
        <w:ind w:left="0" w:firstLine="420" w:firstLineChars="0"/>
        <w:rPr>
          <w:rFonts w:eastAsiaTheme="minorEastAsia"/>
        </w:rPr>
      </w:pPr>
      <w:r>
        <w:rPr>
          <w:rFonts w:eastAsiaTheme="minorEastAsia"/>
        </w:rPr>
        <w:t>预答辩秘书选择在线进行预答辩的方式，答辩委员可以登录系统查看学生论文，维护预答辩结果、个人意见。</w:t>
      </w:r>
    </w:p>
    <w:p>
      <w:pPr>
        <w:pStyle w:val="21"/>
        <w:numPr>
          <w:ilvl w:val="0"/>
          <w:numId w:val="12"/>
        </w:numPr>
        <w:ind w:left="0" w:firstLine="420" w:firstLineChars="0"/>
      </w:pPr>
      <w:r>
        <w:rPr>
          <w:rFonts w:eastAsiaTheme="minorEastAsia"/>
        </w:rPr>
        <w:t>预答辩功能可以根据业务需要确定开放或者关闭。</w:t>
      </w:r>
    </w:p>
    <w:p>
      <w:pPr>
        <w:pStyle w:val="31"/>
        <w:ind w:firstLine="480" w:firstLineChars="200"/>
        <w:rPr>
          <w:rFonts w:ascii="Times New Roman" w:hAnsi="Times New Roman" w:cs="Times New Roman"/>
          <w:b/>
        </w:rPr>
      </w:pPr>
      <w:bookmarkStart w:id="36" w:name="_Hlk184407278"/>
      <w:r>
        <w:rPr>
          <w:rFonts w:ascii="Times New Roman" w:hAnsi="Times New Roman" w:cs="Times New Roman"/>
          <w:b/>
        </w:rPr>
        <w:t xml:space="preserve">2.3.11 </w:t>
      </w:r>
      <w:bookmarkStart w:id="37" w:name="OLE_LINK21"/>
      <w:r>
        <w:rPr>
          <w:rFonts w:ascii="Times New Roman" w:hAnsi="Times New Roman" w:cs="Times New Roman"/>
          <w:b/>
        </w:rPr>
        <w:t>论文进展</w:t>
      </w:r>
      <w:bookmarkEnd w:id="37"/>
    </w:p>
    <w:p>
      <w:pPr>
        <w:pStyle w:val="31"/>
        <w:ind w:firstLine="480" w:firstLineChars="200"/>
        <w:rPr>
          <w:rFonts w:ascii="Times New Roman" w:hAnsi="Times New Roman" w:cs="Times New Roman"/>
        </w:rPr>
      </w:pPr>
      <w:r>
        <w:rPr>
          <w:rFonts w:ascii="Times New Roman" w:hAnsi="Times New Roman" w:cs="Times New Roman"/>
        </w:rPr>
        <w:t>维护论文</w:t>
      </w:r>
      <w:r>
        <w:rPr>
          <w:rFonts w:ascii="Times New Roman" w:hAnsi="Times New Roman" w:cs="Times New Roman"/>
          <w:bCs/>
        </w:rPr>
        <w:t>进展</w:t>
      </w:r>
      <w:r>
        <w:rPr>
          <w:rFonts w:ascii="Times New Roman" w:hAnsi="Times New Roman" w:cs="Times New Roman"/>
        </w:rPr>
        <w:t>上报审核流程。</w:t>
      </w:r>
    </w:p>
    <w:p>
      <w:pPr>
        <w:pStyle w:val="31"/>
        <w:ind w:firstLine="480" w:firstLineChars="200"/>
        <w:rPr>
          <w:rFonts w:ascii="Times New Roman" w:hAnsi="Times New Roman" w:cs="Times New Roman"/>
        </w:rPr>
      </w:pPr>
      <w:r>
        <w:rPr>
          <w:rFonts w:ascii="Times New Roman" w:hAnsi="Times New Roman" w:cs="Times New Roman"/>
          <w:b/>
          <w:bCs/>
        </w:rPr>
        <w:t>学生论文进展上报：</w:t>
      </w:r>
      <w:r>
        <w:rPr>
          <w:rFonts w:ascii="Times New Roman" w:hAnsi="Times New Roman" w:cs="Times New Roman"/>
        </w:rPr>
        <w:t>学生上报本学期论文进展，填报相关信息，包含上报的学年学期、论文开题时间、论文名称、本学期的研究目的和研究进展。</w:t>
      </w:r>
    </w:p>
    <w:p>
      <w:pPr>
        <w:pStyle w:val="31"/>
        <w:ind w:firstLine="360"/>
        <w:rPr>
          <w:rFonts w:ascii="Times New Roman" w:hAnsi="Times New Roman" w:cs="Times New Roman"/>
        </w:rPr>
      </w:pPr>
      <w:r>
        <w:rPr>
          <w:rFonts w:ascii="Times New Roman" w:hAnsi="Times New Roman" w:cs="Times New Roman"/>
          <w:b/>
          <w:bCs/>
        </w:rPr>
        <w:t>论文进展审核：</w:t>
      </w:r>
      <w:r>
        <w:rPr>
          <w:rFonts w:ascii="Times New Roman" w:hAnsi="Times New Roman" w:cs="Times New Roman"/>
        </w:rPr>
        <w:t>根据流程配置，各节点依次审核学生提交的论文进展。</w:t>
      </w:r>
    </w:p>
    <w:p>
      <w:pPr>
        <w:pStyle w:val="31"/>
        <w:ind w:firstLine="480" w:firstLineChars="200"/>
        <w:rPr>
          <w:rFonts w:ascii="Times New Roman" w:hAnsi="Times New Roman" w:cs="Times New Roman"/>
          <w:b/>
        </w:rPr>
      </w:pPr>
      <w:r>
        <w:rPr>
          <w:rFonts w:ascii="Times New Roman" w:hAnsi="Times New Roman" w:cs="Times New Roman"/>
          <w:b/>
        </w:rPr>
        <w:t>2.3.12 pad上会</w:t>
      </w:r>
    </w:p>
    <w:p>
      <w:pPr>
        <w:pStyle w:val="31"/>
        <w:ind w:firstLine="480" w:firstLineChars="200"/>
        <w:rPr>
          <w:rFonts w:ascii="Times New Roman" w:hAnsi="Times New Roman" w:cs="Times New Roman"/>
        </w:rPr>
      </w:pPr>
      <w:r>
        <w:rPr>
          <w:rFonts w:ascii="Times New Roman" w:hAnsi="Times New Roman" w:cs="Times New Roman"/>
        </w:rPr>
        <w:t>支持移动端学位会投票表决，研究生院管理员发布在线表决通知，向各委员统一发送表决链接和邀请码（一人一码）。学位会投票表决时，委员可通过移动端查看学生基本信息、论文信息、查重结果、盲审结果、答辩结果，可维护和确认表决结果，或由研究生院管理员辅助维护和确认表决结果。</w:t>
      </w:r>
    </w:p>
    <w:p>
      <w:pPr>
        <w:pStyle w:val="31"/>
        <w:ind w:firstLine="480" w:firstLineChars="200"/>
        <w:rPr>
          <w:rFonts w:ascii="Times New Roman" w:hAnsi="Times New Roman" w:cs="Times New Roman"/>
        </w:rPr>
      </w:pPr>
      <w:r>
        <w:rPr>
          <w:rFonts w:ascii="Times New Roman" w:hAnsi="Times New Roman" w:cs="Times New Roman"/>
          <w:b/>
          <w:bCs/>
        </w:rPr>
        <w:t>发送表决通知：</w:t>
      </w:r>
      <w:r>
        <w:rPr>
          <w:rFonts w:ascii="Times New Roman" w:hAnsi="Times New Roman" w:cs="Times New Roman"/>
        </w:rPr>
        <w:t>由研究生院管理员发布表决任务，维护委员出席或缺席情况，支持对出席会议的委员批量发送表决通知，委员可查看会议时间、会议地点、表决链接、邀请码、邀请码有效时间。</w:t>
      </w:r>
    </w:p>
    <w:p>
      <w:pPr>
        <w:pStyle w:val="31"/>
        <w:ind w:firstLine="480" w:firstLineChars="200"/>
        <w:rPr>
          <w:rFonts w:ascii="Times New Roman" w:hAnsi="Times New Roman" w:cs="Times New Roman"/>
        </w:rPr>
      </w:pPr>
      <w:r>
        <w:rPr>
          <w:rFonts w:ascii="Times New Roman" w:hAnsi="Times New Roman" w:cs="Times New Roman"/>
          <w:b/>
          <w:bCs/>
        </w:rPr>
        <w:t>移动端登录：</w:t>
      </w:r>
      <w:r>
        <w:rPr>
          <w:rFonts w:ascii="Times New Roman" w:hAnsi="Times New Roman" w:cs="Times New Roman"/>
        </w:rPr>
        <w:t>委员点击表决链接进行身份验证，输入邀请码进入表决窗口。研究生院管理员可重置表决邀请码，可设置邀请码有效日期，邀请码不在有效期内则无法正常登录表决。</w:t>
      </w:r>
    </w:p>
    <w:p>
      <w:pPr>
        <w:pStyle w:val="31"/>
        <w:ind w:firstLine="480" w:firstLineChars="200"/>
        <w:rPr>
          <w:rFonts w:ascii="Times New Roman" w:hAnsi="Times New Roman" w:cs="Times New Roman"/>
        </w:rPr>
      </w:pPr>
      <w:r>
        <w:rPr>
          <w:rFonts w:ascii="Times New Roman" w:hAnsi="Times New Roman" w:cs="Times New Roman"/>
          <w:b/>
          <w:bCs/>
        </w:rPr>
        <w:t>移动表决：</w:t>
      </w:r>
      <w:r>
        <w:rPr>
          <w:rFonts w:ascii="Times New Roman" w:hAnsi="Times New Roman" w:cs="Times New Roman"/>
        </w:rPr>
        <w:t>委员输入邀请码进入移动表决窗口，能够查看待表决的学生列表，支持委员查阅学生基本信息、论文题目、查重率、盲审评阅明细、答辩时间、答辩成绩，可在线阅览学生论文，可对学生逐一标记同意、不同意、弃权的表决选项，可统一提交表决结果。提交表决结果时，系统汇总本次申请学位学生总数、同意授位学生数、不同意授位学生数、弃权学生数，由委员确认后再提交。提交后，委员可实时了解最新表决进度（X/Y）。</w:t>
      </w:r>
    </w:p>
    <w:p>
      <w:pPr>
        <w:pStyle w:val="31"/>
        <w:ind w:firstLine="480" w:firstLineChars="200"/>
        <w:rPr>
          <w:rFonts w:ascii="Times New Roman" w:hAnsi="Times New Roman" w:cs="Times New Roman"/>
        </w:rPr>
      </w:pPr>
      <w:r>
        <w:rPr>
          <w:rFonts w:ascii="Times New Roman" w:hAnsi="Times New Roman" w:cs="Times New Roman"/>
          <w:b/>
          <w:bCs/>
        </w:rPr>
        <w:t>辅助委员表决：</w:t>
      </w:r>
      <w:r>
        <w:rPr>
          <w:rFonts w:ascii="Times New Roman" w:hAnsi="Times New Roman" w:cs="Times New Roman"/>
        </w:rPr>
        <w:t>当存在部分委员因特殊情况无法在线表决时，支持由研究生院管理员代委员录入并提交表决结果。</w:t>
      </w:r>
    </w:p>
    <w:p>
      <w:pPr>
        <w:pStyle w:val="31"/>
        <w:ind w:firstLine="480" w:firstLineChars="200"/>
        <w:rPr>
          <w:rFonts w:ascii="Times New Roman" w:hAnsi="Times New Roman" w:cs="Times New Roman"/>
        </w:rPr>
      </w:pPr>
      <w:r>
        <w:rPr>
          <w:rFonts w:ascii="Times New Roman" w:hAnsi="Times New Roman" w:cs="Times New Roman"/>
          <w:b/>
          <w:bCs/>
        </w:rPr>
        <w:t>确认表决结果：</w:t>
      </w:r>
      <w:r>
        <w:rPr>
          <w:rFonts w:ascii="Times New Roman" w:hAnsi="Times New Roman" w:cs="Times New Roman"/>
        </w:rPr>
        <w:t>当所有委员完成表决后，委员可通过移动端查看本次申请学位学生总数、同意授位学生数、不同意授位学生数，以及每位学生同意票数、不同意票数、弃权票数、决议，然后由委员对表决结果进行确认。支持委员通过签字版签字确认。</w:t>
      </w:r>
    </w:p>
    <w:p>
      <w:pPr>
        <w:pStyle w:val="31"/>
        <w:ind w:firstLine="480" w:firstLineChars="200"/>
        <w:rPr>
          <w:rFonts w:ascii="Times New Roman" w:hAnsi="Times New Roman" w:cs="Times New Roman"/>
        </w:rPr>
      </w:pPr>
      <w:r>
        <w:rPr>
          <w:rFonts w:ascii="Times New Roman" w:hAnsi="Times New Roman" w:cs="Times New Roman"/>
          <w:b/>
          <w:bCs/>
        </w:rPr>
        <w:t>辅助委员确认：</w:t>
      </w:r>
      <w:r>
        <w:rPr>
          <w:rFonts w:ascii="Times New Roman" w:hAnsi="Times New Roman" w:cs="Times New Roman"/>
        </w:rPr>
        <w:t>当存在部分委员因特殊情况无法在线确认时，支持由研究生院管理员代委员确认表决结果。辅助确认同样需要委员扫码签字或上传委员签名。</w:t>
      </w:r>
    </w:p>
    <w:p>
      <w:pPr>
        <w:pStyle w:val="31"/>
        <w:ind w:firstLine="480" w:firstLineChars="200"/>
        <w:rPr>
          <w:rFonts w:ascii="Times New Roman" w:hAnsi="Times New Roman" w:cs="Times New Roman"/>
        </w:rPr>
      </w:pPr>
      <w:r>
        <w:rPr>
          <w:rFonts w:ascii="Times New Roman" w:hAnsi="Times New Roman" w:cs="Times New Roman"/>
          <w:b/>
          <w:bCs/>
        </w:rPr>
        <w:t>汇总表决结果：</w:t>
      </w:r>
      <w:r>
        <w:rPr>
          <w:rFonts w:ascii="Times New Roman" w:hAnsi="Times New Roman" w:cs="Times New Roman"/>
        </w:rPr>
        <w:t>研究生院管理员可统一查看表决进度，含每位学生决议、确认进度（X/Y）、出席委员数、缺席委员数、同意票数、不同意票数、弃权票数。支持研究生院管理员一键发布表决结果，表决结果发布后，学生、导师、研究生工作秘书、学院分管领导、研究生院管理员等角色方可查看表决结果。</w:t>
      </w:r>
    </w:p>
    <w:bookmarkEnd w:id="36"/>
    <w:p>
      <w:pPr>
        <w:ind w:firstLine="482"/>
        <w:rPr>
          <w:b/>
          <w:bCs w:val="0"/>
        </w:rPr>
      </w:pPr>
      <w:r>
        <w:rPr>
          <w:b/>
          <w:bCs w:val="0"/>
        </w:rPr>
        <w:t>2.4 导师管理</w:t>
      </w:r>
    </w:p>
    <w:p>
      <w:pPr>
        <w:ind w:firstLine="482"/>
        <w:rPr>
          <w:b/>
        </w:rPr>
      </w:pPr>
      <w:r>
        <w:rPr>
          <w:b/>
        </w:rPr>
        <w:t>2.4.1 导师信息管理</w:t>
      </w:r>
    </w:p>
    <w:p>
      <w:r>
        <w:t>1、指定导师主管学院，用于指导导师培训、导师考核等工作的开展。</w:t>
      </w:r>
    </w:p>
    <w:p>
      <w:pPr>
        <w:pStyle w:val="31"/>
        <w:ind w:firstLine="480" w:firstLineChars="200"/>
        <w:rPr>
          <w:rFonts w:ascii="Times New Roman" w:hAnsi="Times New Roman" w:cs="Times New Roman"/>
        </w:rPr>
      </w:pPr>
      <w:r>
        <w:rPr>
          <w:rFonts w:ascii="Times New Roman" w:hAnsi="Times New Roman" w:cs="Times New Roman"/>
        </w:rPr>
        <w:t>2、构建由导师类别（博导、硕导、博硕导）、招生状态（在招、暂停招生、取消招生）、在职状态（在岗、返聘、退休、离职、调离、去世）构建的导师状态体系，实现导师招生状态与导师学位点招生状态的互通校验。</w:t>
      </w:r>
    </w:p>
    <w:p>
      <w:r>
        <w:t>3、批量编辑导师学科专业，实现历史导师遴选结果数据的预置及调整；批量维护导师招生资格，支持对历史招生资格认定结果的预置及调整。</w:t>
      </w:r>
    </w:p>
    <w:p>
      <w:r>
        <w:t>4、可基于学生查看学生各类导师信息，可基于导师查询所带学生信息，包含在校生及毕业生。</w:t>
      </w:r>
    </w:p>
    <w:p>
      <w:r>
        <w:t>5、可灵活设置硕士及博士导师的导师分类，定义不同类型导师的审核、查询等操作权限，可按导师类别设置操作权限，也可以具体到学生分别设置每个学生的各类导师操作权限。</w:t>
      </w:r>
    </w:p>
    <w:p>
      <w:r>
        <w:t>6、严格对标专家库信息采集及博导信息采集接口，采集导出可直接上报的专家库信息及博导采集信息。</w:t>
      </w:r>
    </w:p>
    <w:p>
      <w:r>
        <w:t>7、能够接入学校的科研系统，同步导师库里每个导师所有科研信息。</w:t>
      </w:r>
    </w:p>
    <w:p>
      <w:r>
        <w:t>8、根据学校对于校外兼职导师的管理要求灵活支持校外导师登录系统开展业务。</w:t>
      </w:r>
    </w:p>
    <w:p>
      <w:r>
        <w:t>9、支持导师基本信息相关的数据分析功能。</w:t>
      </w:r>
    </w:p>
    <w:p>
      <w:pPr>
        <w:ind w:firstLine="482"/>
        <w:rPr>
          <w:b/>
        </w:rPr>
      </w:pPr>
      <w:bookmarkStart w:id="38" w:name="_Hlk184407264"/>
      <w:r>
        <w:rPr>
          <w:b/>
        </w:rPr>
        <w:t xml:space="preserve">2.4.2 </w:t>
      </w:r>
      <w:bookmarkStart w:id="39" w:name="OLE_LINK22"/>
      <w:r>
        <w:rPr>
          <w:b/>
        </w:rPr>
        <w:t>导师指定</w:t>
      </w:r>
      <w:bookmarkEnd w:id="39"/>
    </w:p>
    <w:p>
      <w:pPr>
        <w:pStyle w:val="31"/>
        <w:ind w:firstLine="480" w:firstLineChars="200"/>
        <w:rPr>
          <w:rFonts w:ascii="Times New Roman" w:hAnsi="Times New Roman" w:cs="Times New Roman"/>
        </w:rPr>
      </w:pPr>
      <w:r>
        <w:rPr>
          <w:rFonts w:ascii="Times New Roman" w:hAnsi="Times New Roman" w:cs="Times New Roman"/>
          <w:b/>
          <w:bCs/>
        </w:rPr>
        <w:t>导师指定设置：</w:t>
      </w:r>
      <w:r>
        <w:rPr>
          <w:rFonts w:ascii="Times New Roman" w:hAnsi="Times New Roman" w:cs="Times New Roman"/>
        </w:rPr>
        <w:t>根据实际情况配置指定导师的过滤条件，配置研究生培养层次和导师类型、导师类别之间的关联关系。</w:t>
      </w:r>
    </w:p>
    <w:p>
      <w:pPr>
        <w:pStyle w:val="31"/>
        <w:ind w:firstLine="480" w:firstLineChars="200"/>
        <w:rPr>
          <w:rFonts w:ascii="Times New Roman" w:hAnsi="Times New Roman" w:cs="Times New Roman"/>
        </w:rPr>
      </w:pPr>
      <w:r>
        <w:rPr>
          <w:rFonts w:ascii="Times New Roman" w:hAnsi="Times New Roman" w:cs="Times New Roman"/>
          <w:b/>
          <w:bCs/>
        </w:rPr>
        <w:t>导师指定：</w:t>
      </w:r>
      <w:r>
        <w:rPr>
          <w:rFonts w:ascii="Times New Roman" w:hAnsi="Times New Roman" w:cs="Times New Roman"/>
        </w:rPr>
        <w:t>可以给任一学生指定导师，如发生变更，可以撤销并重新指定。对于一次给多个学生指定导师的情况，可以通过批量导入的方式来指定。</w:t>
      </w:r>
    </w:p>
    <w:p>
      <w:pPr>
        <w:pStyle w:val="31"/>
        <w:ind w:firstLine="480" w:firstLineChars="200"/>
        <w:rPr>
          <w:rFonts w:ascii="Times New Roman" w:hAnsi="Times New Roman" w:cs="Times New Roman"/>
        </w:rPr>
      </w:pPr>
      <w:r>
        <w:rPr>
          <w:rFonts w:ascii="Times New Roman" w:hAnsi="Times New Roman" w:cs="Times New Roman"/>
          <w:b/>
          <w:bCs/>
        </w:rPr>
        <w:t>导师变更信息查询：</w:t>
      </w:r>
      <w:r>
        <w:rPr>
          <w:rFonts w:ascii="Times New Roman" w:hAnsi="Times New Roman" w:cs="Times New Roman"/>
        </w:rPr>
        <w:t>查看导师变更信息，包含变更前导师、变更后导师、变更时间、变更原因等。</w:t>
      </w:r>
    </w:p>
    <w:p>
      <w:pPr>
        <w:pStyle w:val="31"/>
        <w:ind w:firstLine="360"/>
        <w:rPr>
          <w:rFonts w:ascii="Times New Roman" w:hAnsi="Times New Roman" w:cs="Times New Roman"/>
        </w:rPr>
      </w:pPr>
      <w:r>
        <w:rPr>
          <w:rFonts w:ascii="Times New Roman" w:hAnsi="Times New Roman" w:cs="Times New Roman"/>
          <w:b/>
          <w:bCs/>
        </w:rPr>
        <w:t>数据分析：</w:t>
      </w:r>
      <w:r>
        <w:rPr>
          <w:rFonts w:ascii="Times New Roman" w:hAnsi="Times New Roman" w:cs="Times New Roman"/>
        </w:rPr>
        <w:t>支持导师指定相关的数据分析功能。</w:t>
      </w:r>
    </w:p>
    <w:bookmarkEnd w:id="38"/>
    <w:p>
      <w:pPr>
        <w:ind w:firstLine="482"/>
        <w:rPr>
          <w:b/>
        </w:rPr>
      </w:pPr>
      <w:r>
        <w:rPr>
          <w:b/>
        </w:rPr>
        <w:t>2.4.3 导师遴选</w:t>
      </w:r>
    </w:p>
    <w:p>
      <w:r>
        <w:t>研究生院管理员发起导师遴选活动，教职工在线填报遴选申请，依次经学院、分委会、研究生院、校委会评审后确定导师身份。当跨学院申报学位点时，各学位点遴选流程独立开展，互不影响。</w:t>
      </w:r>
    </w:p>
    <w:p>
      <w:pPr>
        <w:pStyle w:val="31"/>
        <w:ind w:firstLine="480" w:firstLineChars="200"/>
        <w:rPr>
          <w:rFonts w:ascii="Times New Roman" w:hAnsi="Times New Roman" w:cs="Times New Roman"/>
        </w:rPr>
      </w:pPr>
      <w:r>
        <w:rPr>
          <w:rFonts w:ascii="Times New Roman" w:hAnsi="Times New Roman" w:cs="Times New Roman"/>
          <w:b/>
          <w:bCs/>
        </w:rPr>
        <w:t>发起遴选活动：</w:t>
      </w:r>
      <w:r>
        <w:rPr>
          <w:rFonts w:ascii="Times New Roman" w:hAnsi="Times New Roman" w:cs="Times New Roman"/>
        </w:rPr>
        <w:t>研究生院管理员发起导师遴选活动。系统支持设置任务名称、遴选年月、申请起止时间、遴选须知（富文本）、相关附件。</w:t>
      </w:r>
    </w:p>
    <w:p>
      <w:pPr>
        <w:ind w:firstLine="482"/>
      </w:pPr>
      <w:r>
        <w:rPr>
          <w:b/>
          <w:bCs w:val="0"/>
        </w:rPr>
        <w:t>教职工提交遴选申请：</w:t>
      </w:r>
      <w:r>
        <w:t>教职工提交申请，选择学院学位点，系统自动抓取教职工基本信息、学历学位信息、授课信息及科研信息，教职工对自动生成的填报信息进行确认和补充。系统支持导出申请表和附件材料。系统支持对接校科研系统抓取科研信息，包含论文、科研项目、获奖、著作、专利、教学成果奖励。</w:t>
      </w:r>
    </w:p>
    <w:p>
      <w:pPr>
        <w:ind w:firstLine="482"/>
      </w:pPr>
      <w:r>
        <w:rPr>
          <w:b/>
          <w:bCs w:val="0"/>
        </w:rPr>
        <w:t>导师遴选审核：</w:t>
      </w:r>
      <w:r>
        <w:t>教职工提交的申请依次经过研究生工作秘书审核、学院学位评定分委会审核、校学位评定委员会审核，系统支持上传决议文件。支持定制硕导遴选、博导遴选等不同类型遴选流程。导师申报多学位点时，分学位点单独审核。审核时支持审核通过、取消资格、退回修改等多种操作。</w:t>
      </w:r>
    </w:p>
    <w:p>
      <w:pPr>
        <w:ind w:firstLine="482"/>
      </w:pPr>
      <w:r>
        <w:rPr>
          <w:b/>
          <w:bCs w:val="0"/>
        </w:rPr>
        <w:t>导师库：</w:t>
      </w:r>
      <w:r>
        <w:t>遴选审核通过后教职工变为对应学院学位点的导师身份；管理员可单个编辑或批量导入遴选结果数据。</w:t>
      </w:r>
    </w:p>
    <w:p>
      <w:pPr>
        <w:ind w:firstLine="482"/>
      </w:pPr>
      <w:r>
        <w:rPr>
          <w:b/>
          <w:bCs w:val="0"/>
        </w:rPr>
        <w:t>数据分析：</w:t>
      </w:r>
      <w:r>
        <w:t>支持导师遴选相关的数据分析功能。</w:t>
      </w:r>
    </w:p>
    <w:p>
      <w:pPr>
        <w:ind w:firstLine="482"/>
        <w:rPr>
          <w:b/>
        </w:rPr>
      </w:pPr>
      <w:r>
        <w:rPr>
          <w:b/>
        </w:rPr>
        <w:t>2.4.4 导师招生资格年审</w:t>
      </w:r>
    </w:p>
    <w:p>
      <w:r>
        <w:t>支持一键延续上一年招生资格信息，也可按学年开展招生资格年审工作。</w:t>
      </w:r>
    </w:p>
    <w:p>
      <w:r>
        <w:t>研究生院管理员发起导师资格认定活动，导师在线填报资格认定申请，依次经学院、分委会、研究生院、校委会评审后确定导师具备招生资格。当跨学院申报学位点时，各学位点资格认定流程独立开展，互不影响。</w:t>
      </w:r>
    </w:p>
    <w:p>
      <w:pPr>
        <w:ind w:firstLine="482"/>
      </w:pPr>
      <w:r>
        <w:rPr>
          <w:b/>
          <w:bCs w:val="0"/>
        </w:rPr>
        <w:t>发布招生资格认定活动：</w:t>
      </w:r>
      <w:r>
        <w:t>研究生院管理员发起导师招生资格认定活动。系统支持设置任务名称、遴选年月、申请起止时间、遴选须知（富文本）、相关附件。</w:t>
      </w:r>
    </w:p>
    <w:p>
      <w:pPr>
        <w:ind w:firstLine="482"/>
        <w:rPr>
          <w:b/>
          <w:bCs w:val="0"/>
        </w:rPr>
      </w:pPr>
      <w:r>
        <w:rPr>
          <w:b/>
          <w:bCs w:val="0"/>
        </w:rPr>
        <w:t>导师提交招生资格认定申请：</w:t>
      </w:r>
    </w:p>
    <w:p>
      <w:r>
        <w:t>1</w:t>
      </w:r>
      <w:r>
        <w:rPr>
          <w:rFonts w:hint="eastAsia"/>
        </w:rPr>
        <w:t>、</w:t>
      </w:r>
      <w:r>
        <w:t>导师在活动时间范围内进行资格申请，选择学位点，系统自动抓取导师信息、指导学生信息、授课信息、系统支持选择从科研系统同步的科研信息。</w:t>
      </w:r>
    </w:p>
    <w:p>
      <w:r>
        <w:t>2</w:t>
      </w:r>
      <w:r>
        <w:rPr>
          <w:rFonts w:hint="eastAsia"/>
        </w:rPr>
        <w:t>、</w:t>
      </w:r>
      <w:r>
        <w:t>必须保障导师信息复用性。打通导师遴选、招生资格认定、专家信息采集、导师考核等业务，实现导师信息的共享复用，尽可能多自动反填相关信息，降低导师填报难度，提升系统使用体验。</w:t>
      </w:r>
    </w:p>
    <w:p>
      <w:pPr>
        <w:ind w:firstLine="482"/>
        <w:rPr>
          <w:b/>
          <w:bCs w:val="0"/>
        </w:rPr>
      </w:pPr>
      <w:r>
        <w:rPr>
          <w:b/>
          <w:bCs w:val="0"/>
        </w:rPr>
        <w:t>招生资格认定审核：</w:t>
      </w:r>
    </w:p>
    <w:p>
      <w:r>
        <w:t>1</w:t>
      </w:r>
      <w:r>
        <w:rPr>
          <w:rFonts w:hint="eastAsia"/>
        </w:rPr>
        <w:t>、</w:t>
      </w:r>
      <w:r>
        <w:t>导师提交的补充材料依次经过研究生工作秘书核查、学位评定委员会审核。系统支持维护分委会、校委会信息。系统支持导出科研成果清单。评审通过后导师具备本年度研究生招生资格。</w:t>
      </w:r>
    </w:p>
    <w:p>
      <w:r>
        <w:t>2</w:t>
      </w:r>
      <w:r>
        <w:rPr>
          <w:rFonts w:hint="eastAsia"/>
        </w:rPr>
        <w:t>、</w:t>
      </w:r>
      <w:r>
        <w:t>导师申报跨多学位点时，分学位点单独进行审核。多学位点之间的审核结果互不影响。</w:t>
      </w:r>
    </w:p>
    <w:p>
      <w:r>
        <w:rPr>
          <w:rFonts w:hint="eastAsia"/>
        </w:rPr>
        <w:t>3、</w:t>
      </w:r>
      <w:r>
        <w:t>审核时支持审核通过、取消资格、退回修改等多种操作。审核通过继续进行下一环节审核，取消资格则取消该教职工在该学位点在本次招生资格认定任务的申报资格，不允许基于当前招生资格认定任务再次发起招生资格认定申请，退回修改则退回到申请端修改后继续提交招生资格认定申请。</w:t>
      </w:r>
    </w:p>
    <w:p>
      <w:pPr>
        <w:pStyle w:val="31"/>
        <w:ind w:firstLine="480" w:firstLineChars="200"/>
        <w:rPr>
          <w:rFonts w:ascii="Times New Roman" w:hAnsi="Times New Roman" w:cs="Times New Roman"/>
        </w:rPr>
      </w:pPr>
      <w:r>
        <w:rPr>
          <w:rFonts w:ascii="Times New Roman" w:hAnsi="Times New Roman" w:cs="Times New Roman"/>
          <w:b/>
          <w:bCs/>
        </w:rPr>
        <w:t>数据分析：</w:t>
      </w:r>
      <w:r>
        <w:rPr>
          <w:rFonts w:ascii="Times New Roman" w:hAnsi="Times New Roman" w:cs="Times New Roman"/>
        </w:rPr>
        <w:t>支持导师招生资格年审相关的数据分析功能。</w:t>
      </w:r>
    </w:p>
    <w:p>
      <w:pPr>
        <w:ind w:firstLine="482"/>
        <w:rPr>
          <w:b/>
        </w:rPr>
      </w:pPr>
      <w:bookmarkStart w:id="40" w:name="_Hlk184407248"/>
      <w:r>
        <w:rPr>
          <w:b/>
        </w:rPr>
        <w:t>2.4.5 师生互选</w:t>
      </w:r>
    </w:p>
    <w:p>
      <w:pPr>
        <w:pStyle w:val="31"/>
        <w:ind w:firstLine="480" w:firstLineChars="200"/>
        <w:rPr>
          <w:rFonts w:ascii="Times New Roman" w:hAnsi="Times New Roman" w:cs="Times New Roman"/>
        </w:rPr>
      </w:pPr>
      <w:r>
        <w:rPr>
          <w:rFonts w:ascii="Times New Roman" w:hAnsi="Times New Roman" w:cs="Times New Roman"/>
        </w:rPr>
        <w:t>可选择在线双选及导入双选结果两种形式完成学生与导师指导关系的确定。无论哪种形式都需要对导师的招生资格及招生限额进行校验。在线双选依次经过发起双选活动、维护双选导师名单、维护双选学生名单、学生填报志愿、导师选择学生志愿、学生维护补选志愿、导师选择学生补选志愿完成整个双选工作。</w:t>
      </w:r>
    </w:p>
    <w:p>
      <w:pPr>
        <w:pStyle w:val="31"/>
        <w:ind w:firstLine="480" w:firstLineChars="200"/>
        <w:rPr>
          <w:rFonts w:ascii="Times New Roman" w:hAnsi="Times New Roman" w:cs="Times New Roman"/>
          <w:b/>
          <w:bCs/>
        </w:rPr>
      </w:pPr>
      <w:r>
        <w:rPr>
          <w:rFonts w:ascii="Times New Roman" w:hAnsi="Times New Roman" w:cs="Times New Roman"/>
          <w:b/>
          <w:bCs/>
        </w:rPr>
        <w:t>师生双选活动管理：</w:t>
      </w:r>
    </w:p>
    <w:p>
      <w:pPr>
        <w:pStyle w:val="31"/>
        <w:ind w:firstLine="48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w:t>
      </w:r>
      <w:r>
        <w:rPr>
          <w:rFonts w:ascii="Times New Roman" w:hAnsi="Times New Roman" w:cs="Times New Roman"/>
        </w:rPr>
        <w:t>研究生院管理员发布师生双选活动，设置招生年份（招生资格认定年份）、双选类型（第一导师、第二导师）、每轮师生双选起止时间。</w:t>
      </w:r>
    </w:p>
    <w:p>
      <w:pPr>
        <w:pStyle w:val="31"/>
        <w:ind w:firstLine="480" w:firstLineChars="20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系统根据招生资格结果自动生成双选导师名单，如未在系统进行招生资格认定系统支持研究生工作秘书维护本学院参与双选的导师名单，系统支持批量导入导师名单。</w:t>
      </w:r>
    </w:p>
    <w:p>
      <w:pPr>
        <w:pStyle w:val="31"/>
        <w:ind w:firstLine="480" w:firstLineChars="2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w:t>
      </w:r>
      <w:r>
        <w:rPr>
          <w:rFonts w:ascii="Times New Roman" w:hAnsi="Times New Roman" w:cs="Times New Roman"/>
        </w:rPr>
        <w:t>学生在线查看导师简历、填报导师志愿，系统支持每名学生填报多个志愿，系统支持查看可选导师剩余人数限额。学生可查看师生双选进度和结果。学生填报志愿后，导师查看选择自己的学生并选择学生。</w:t>
      </w:r>
    </w:p>
    <w:p>
      <w:pPr>
        <w:pStyle w:val="31"/>
        <w:ind w:firstLine="480" w:firstLineChars="200"/>
        <w:rPr>
          <w:rFonts w:ascii="Times New Roman" w:hAnsi="Times New Roman" w:cs="Times New Roman"/>
          <w:b/>
          <w:bCs/>
        </w:rPr>
      </w:pPr>
      <w:r>
        <w:rPr>
          <w:rFonts w:ascii="Times New Roman" w:hAnsi="Times New Roman" w:cs="Times New Roman"/>
          <w:b/>
          <w:bCs/>
        </w:rPr>
        <w:t>补选活动：</w:t>
      </w:r>
    </w:p>
    <w:p>
      <w:pPr>
        <w:pStyle w:val="31"/>
        <w:ind w:firstLine="48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w:t>
      </w:r>
      <w:r>
        <w:rPr>
          <w:rFonts w:ascii="Times New Roman" w:hAnsi="Times New Roman" w:cs="Times New Roman"/>
        </w:rPr>
        <w:t>师生双选结束后，若存在未确定双选关系的学生，研究生院管理员发布补选活动。</w:t>
      </w:r>
    </w:p>
    <w:p>
      <w:pPr>
        <w:pStyle w:val="31"/>
        <w:ind w:firstLine="480" w:firstLineChars="20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未确定导师的学生填报补选志愿，有限额的导师选择补选轮次学生。</w:t>
      </w:r>
    </w:p>
    <w:p>
      <w:pPr>
        <w:pStyle w:val="31"/>
        <w:ind w:firstLine="480" w:firstLineChars="200"/>
        <w:rPr>
          <w:rFonts w:ascii="Times New Roman" w:hAnsi="Times New Roman" w:cs="Times New Roman"/>
        </w:rPr>
      </w:pPr>
      <w:r>
        <w:rPr>
          <w:rFonts w:ascii="Times New Roman" w:hAnsi="Times New Roman" w:cs="Times New Roman"/>
          <w:b/>
          <w:bCs/>
        </w:rPr>
        <w:t>指定导师：</w:t>
      </w:r>
      <w:r>
        <w:rPr>
          <w:rFonts w:ascii="Times New Roman" w:hAnsi="Times New Roman" w:cs="Times New Roman"/>
        </w:rPr>
        <w:t>研究生院管理员可直接为未确定双选关系的学生指定导师。导师可以为所带学生指定企业导师、副导师。</w:t>
      </w:r>
    </w:p>
    <w:p>
      <w:pPr>
        <w:pStyle w:val="31"/>
        <w:ind w:firstLine="480" w:firstLineChars="200"/>
        <w:rPr>
          <w:rFonts w:ascii="Times New Roman" w:hAnsi="Times New Roman" w:cs="Times New Roman"/>
        </w:rPr>
      </w:pPr>
      <w:r>
        <w:rPr>
          <w:rFonts w:ascii="Times New Roman" w:hAnsi="Times New Roman" w:cs="Times New Roman"/>
          <w:b/>
          <w:bCs/>
        </w:rPr>
        <w:t>同步双选信息：</w:t>
      </w:r>
      <w:r>
        <w:rPr>
          <w:rFonts w:ascii="Times New Roman" w:hAnsi="Times New Roman" w:cs="Times New Roman"/>
        </w:rPr>
        <w:t>支持与学校在运师生双选系统建立在线接口同步既定双选信息。</w:t>
      </w:r>
    </w:p>
    <w:p>
      <w:pPr>
        <w:pStyle w:val="31"/>
        <w:ind w:firstLine="480" w:firstLineChars="200"/>
        <w:rPr>
          <w:rFonts w:ascii="Times New Roman" w:hAnsi="Times New Roman" w:cs="Times New Roman"/>
        </w:rPr>
      </w:pPr>
      <w:r>
        <w:rPr>
          <w:rFonts w:ascii="Times New Roman" w:hAnsi="Times New Roman" w:cs="Times New Roman"/>
          <w:b/>
          <w:bCs/>
        </w:rPr>
        <w:t>导师变更：</w:t>
      </w:r>
      <w:r>
        <w:rPr>
          <w:rFonts w:ascii="Times New Roman" w:hAnsi="Times New Roman" w:cs="Times New Roman"/>
        </w:rPr>
        <w:t>在培养过程中因为特殊原因需要变更导师时，由学生发起变更导师申请，经一系列审核手续后完成导师变更。</w:t>
      </w:r>
    </w:p>
    <w:p>
      <w:pPr>
        <w:pStyle w:val="31"/>
        <w:ind w:firstLine="480" w:firstLineChars="200"/>
        <w:rPr>
          <w:rFonts w:ascii="Times New Roman" w:hAnsi="Times New Roman" w:cs="Times New Roman"/>
        </w:rPr>
      </w:pPr>
      <w:r>
        <w:rPr>
          <w:rFonts w:ascii="Times New Roman" w:hAnsi="Times New Roman" w:cs="Times New Roman"/>
          <w:b/>
          <w:bCs/>
        </w:rPr>
        <w:t>数据分析：</w:t>
      </w:r>
      <w:r>
        <w:rPr>
          <w:rFonts w:ascii="Times New Roman" w:hAnsi="Times New Roman" w:cs="Times New Roman"/>
        </w:rPr>
        <w:t>支持导师双选相关的数据分析功能。</w:t>
      </w:r>
    </w:p>
    <w:bookmarkEnd w:id="40"/>
    <w:p>
      <w:pPr>
        <w:ind w:firstLine="482"/>
        <w:rPr>
          <w:b/>
          <w:bCs w:val="0"/>
        </w:rPr>
      </w:pPr>
      <w:r>
        <w:rPr>
          <w:b/>
          <w:bCs w:val="0"/>
        </w:rPr>
        <w:t>2.5移动服务</w:t>
      </w:r>
    </w:p>
    <w:p>
      <w:pPr>
        <w:pStyle w:val="31"/>
        <w:ind w:firstLine="480" w:firstLineChars="200"/>
        <w:rPr>
          <w:rFonts w:ascii="Times New Roman" w:hAnsi="Times New Roman" w:cs="Times New Roman"/>
        </w:rPr>
      </w:pPr>
      <w:r>
        <w:rPr>
          <w:rFonts w:ascii="Times New Roman" w:hAnsi="Times New Roman" w:cs="Times New Roman"/>
        </w:rPr>
        <w:t>移动应用总体要求</w:t>
      </w:r>
    </w:p>
    <w:p>
      <w:pPr>
        <w:pStyle w:val="31"/>
        <w:ind w:firstLine="48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w:t>
      </w:r>
      <w:r>
        <w:rPr>
          <w:rFonts w:ascii="Times New Roman" w:hAnsi="Times New Roman" w:cs="Times New Roman"/>
        </w:rPr>
        <w:t>移动应用：为管理员、学生、导师、秘书、任课教师提供便于移动端操作的一系列常用系统功能，需对接学校移动校园APP作为统一入口。</w:t>
      </w:r>
    </w:p>
    <w:p>
      <w:pPr>
        <w:pStyle w:val="31"/>
        <w:ind w:firstLine="480" w:firstLineChars="20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消息通知：对接微信服务号、微信企业号等三方应用发送实时消息。</w:t>
      </w:r>
    </w:p>
    <w:p>
      <w:pPr>
        <w:pStyle w:val="31"/>
        <w:ind w:firstLine="480" w:firstLineChars="2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w:t>
      </w:r>
      <w:r>
        <w:rPr>
          <w:rFonts w:ascii="Times New Roman" w:hAnsi="Times New Roman" w:cs="Times New Roman"/>
        </w:rPr>
        <w:t>单点登录：对接企业微信，实现移动端一键登录。</w:t>
      </w:r>
    </w:p>
    <w:p>
      <w:pPr>
        <w:pStyle w:val="31"/>
        <w:ind w:firstLine="480" w:firstLineChars="20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w:t>
      </w:r>
      <w:r>
        <w:rPr>
          <w:rFonts w:ascii="Times New Roman" w:hAnsi="Times New Roman" w:cs="Times New Roman"/>
        </w:rPr>
        <w:t>个人中心：集功能中心、待办事项、通知公告、身份切换等应用于一体，提供移动端个人中心。</w:t>
      </w:r>
    </w:p>
    <w:p>
      <w:pPr>
        <w:pStyle w:val="31"/>
        <w:ind w:firstLine="480" w:firstLineChars="200"/>
        <w:rPr>
          <w:rFonts w:ascii="Times New Roman" w:hAnsi="Times New Roman" w:cs="Times New Roman"/>
        </w:rPr>
      </w:pPr>
      <w:r>
        <w:rPr>
          <w:rFonts w:ascii="Times New Roman" w:hAnsi="Times New Roman" w:cs="Times New Roman"/>
        </w:rPr>
        <w:t>5</w:t>
      </w:r>
      <w:r>
        <w:rPr>
          <w:rFonts w:hint="eastAsia" w:ascii="Times New Roman" w:hAnsi="Times New Roman" w:cs="Times New Roman"/>
        </w:rPr>
        <w:t>、</w:t>
      </w:r>
      <w:r>
        <w:rPr>
          <w:rFonts w:ascii="Times New Roman" w:hAnsi="Times New Roman" w:cs="Times New Roman"/>
        </w:rPr>
        <w:t>学生功能：学籍信息查看、学期注册、查看课表、在线评教、查看考试成绩、请假、查看通知公告、我的待办、我的消息、个人信息等。</w:t>
      </w:r>
    </w:p>
    <w:p>
      <w:pPr>
        <w:pStyle w:val="31"/>
        <w:ind w:firstLine="480" w:firstLineChars="20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w:t>
      </w:r>
      <w:r>
        <w:rPr>
          <w:rFonts w:ascii="Times New Roman" w:hAnsi="Times New Roman" w:cs="Times New Roman"/>
        </w:rPr>
        <w:t>导师功能：审核休学申请、审核复学申请、查询学生选课信息、审核开题报告、查看学生成绩、审核缓考申请、审核必修环节学分申请、审核专业实践申请、查看查重结果、查看盲审结果、审核答辩申请、审核定稿论文、审核优秀论文、查看指导学生概况、审核导师变更申请、查看通知公告、我的待办、我的消息、个人信息等。</w:t>
      </w:r>
    </w:p>
    <w:p>
      <w:pPr>
        <w:pStyle w:val="31"/>
        <w:ind w:firstLine="480" w:firstLineChars="200"/>
        <w:rPr>
          <w:rFonts w:ascii="Times New Roman" w:hAnsi="Times New Roman" w:cs="Times New Roman"/>
        </w:rPr>
      </w:pPr>
      <w:r>
        <w:rPr>
          <w:rFonts w:ascii="Times New Roman" w:hAnsi="Times New Roman" w:cs="Times New Roman"/>
        </w:rPr>
        <w:t>7</w:t>
      </w:r>
      <w:r>
        <w:rPr>
          <w:rFonts w:hint="eastAsia" w:ascii="Times New Roman" w:hAnsi="Times New Roman" w:cs="Times New Roman"/>
        </w:rPr>
        <w:t>、</w:t>
      </w:r>
      <w:r>
        <w:rPr>
          <w:rFonts w:ascii="Times New Roman" w:hAnsi="Times New Roman" w:cs="Times New Roman"/>
        </w:rPr>
        <w:t>秘书功能：审核保留入学资格申请、审核恢复入学资格申请、审核休学申请、审核复学申请、审核退学申请、审核放弃入学申请、查询缴纳学费信息、查询教学任务、查询学生选课信息、查询选课名单、查询课表、审核任课教师资格申请、审核开题申请、审核调停课申请、查询学生成绩、查询课程成绩、审核缓考申请、审核重修申请、审核必修环节学分申请、审核论文查重申请、审核定稿论文、审核导师变更申请、审核离校申请、审核留校申请、查询住宿信息、查看通知公告、我的待办、我的消息、个人信息等。</w:t>
      </w:r>
    </w:p>
    <w:p>
      <w:pPr>
        <w:pStyle w:val="31"/>
        <w:ind w:firstLine="480" w:firstLineChars="200"/>
        <w:rPr>
          <w:rFonts w:ascii="Times New Roman" w:hAnsi="Times New Roman" w:cs="Times New Roman"/>
        </w:rPr>
      </w:pPr>
      <w:r>
        <w:rPr>
          <w:rFonts w:ascii="Times New Roman" w:hAnsi="Times New Roman" w:cs="Times New Roman"/>
        </w:rPr>
        <w:t>8</w:t>
      </w:r>
      <w:r>
        <w:rPr>
          <w:rFonts w:hint="eastAsia" w:ascii="Times New Roman" w:hAnsi="Times New Roman" w:cs="Times New Roman"/>
        </w:rPr>
        <w:t>、</w:t>
      </w:r>
      <w:r>
        <w:rPr>
          <w:rFonts w:ascii="Times New Roman" w:hAnsi="Times New Roman" w:cs="Times New Roman"/>
        </w:rPr>
        <w:t>任课教师功能：查看教学任务、查看选课名单、查看课程成绩、查看课表、查看缓考学生、审核补考申请、查看评教结果、查看通知公告、我的待办、我的消息、个人信息等。</w:t>
      </w:r>
    </w:p>
    <w:p>
      <w:pPr>
        <w:ind w:firstLine="482"/>
        <w:rPr>
          <w:b/>
        </w:rPr>
      </w:pPr>
      <w:r>
        <w:rPr>
          <w:b/>
        </w:rPr>
        <w:t>2.5.1 学籍移动服务</w:t>
      </w:r>
    </w:p>
    <w:p>
      <w:pPr>
        <w:pStyle w:val="31"/>
        <w:ind w:firstLine="480" w:firstLineChars="200"/>
        <w:rPr>
          <w:rFonts w:ascii="Times New Roman" w:hAnsi="Times New Roman" w:cs="Times New Roman"/>
        </w:rPr>
      </w:pPr>
      <w:r>
        <w:rPr>
          <w:rFonts w:ascii="Times New Roman" w:hAnsi="Times New Roman" w:cs="Times New Roman"/>
        </w:rPr>
        <w:t>学生可以通过移动端查询自身学籍基本信息，包含姓名、性别、院系、专业、学生类别、导师、证件号码、照片等信息，可以按照基础信息、入学信息、扩展信息页切换查询。</w:t>
      </w:r>
    </w:p>
    <w:p>
      <w:pPr>
        <w:pStyle w:val="31"/>
        <w:ind w:firstLine="480" w:firstLineChars="200"/>
        <w:rPr>
          <w:rFonts w:ascii="Times New Roman" w:hAnsi="Times New Roman" w:cs="Times New Roman"/>
        </w:rPr>
      </w:pPr>
      <w:r>
        <w:rPr>
          <w:rFonts w:ascii="Times New Roman" w:hAnsi="Times New Roman" w:cs="Times New Roman"/>
        </w:rPr>
        <w:t>对于有授权可以调整的学籍字段，可以直接在移动端进行修改。</w:t>
      </w:r>
    </w:p>
    <w:p>
      <w:pPr>
        <w:pStyle w:val="31"/>
        <w:ind w:firstLine="480" w:firstLineChars="200"/>
        <w:rPr>
          <w:rFonts w:ascii="Times New Roman" w:hAnsi="Times New Roman" w:cs="Times New Roman"/>
        </w:rPr>
      </w:pPr>
      <w:r>
        <w:rPr>
          <w:rFonts w:ascii="Times New Roman" w:hAnsi="Times New Roman" w:cs="Times New Roman"/>
        </w:rPr>
        <w:t>学生可以通过移动端发起学籍异动申请，并可以通过移动端查询到异动申请的进度信息。</w:t>
      </w:r>
    </w:p>
    <w:p>
      <w:pPr>
        <w:pStyle w:val="31"/>
        <w:ind w:firstLine="480" w:firstLineChars="200"/>
        <w:rPr>
          <w:rFonts w:ascii="Times New Roman" w:hAnsi="Times New Roman" w:cs="Times New Roman"/>
        </w:rPr>
      </w:pPr>
      <w:r>
        <w:rPr>
          <w:rFonts w:ascii="Times New Roman" w:hAnsi="Times New Roman" w:cs="Times New Roman"/>
        </w:rPr>
        <w:t>导师可以通过移动端对学生异动申请进行审核，并可以查询详细的异动情况和异动原因。</w:t>
      </w:r>
    </w:p>
    <w:p>
      <w:pPr>
        <w:ind w:firstLine="482"/>
        <w:rPr>
          <w:b/>
        </w:rPr>
      </w:pPr>
      <w:r>
        <w:rPr>
          <w:b/>
        </w:rPr>
        <w:t>2.5.2 培养移动服务</w:t>
      </w:r>
    </w:p>
    <w:p>
      <w:pPr>
        <w:pStyle w:val="31"/>
        <w:ind w:firstLine="480" w:firstLineChars="200"/>
        <w:rPr>
          <w:rFonts w:ascii="Times New Roman" w:hAnsi="Times New Roman" w:cs="Times New Roman"/>
        </w:rPr>
      </w:pPr>
      <w:r>
        <w:rPr>
          <w:rFonts w:ascii="Times New Roman" w:hAnsi="Times New Roman" w:cs="Times New Roman"/>
        </w:rPr>
        <w:t>学生、教师可以通过移动端按周对课表进行查询。</w:t>
      </w:r>
    </w:p>
    <w:p>
      <w:pPr>
        <w:pStyle w:val="31"/>
        <w:ind w:firstLine="480" w:firstLineChars="200"/>
        <w:rPr>
          <w:rFonts w:ascii="Times New Roman" w:hAnsi="Times New Roman" w:cs="Times New Roman"/>
        </w:rPr>
      </w:pPr>
      <w:r>
        <w:rPr>
          <w:rFonts w:ascii="Times New Roman" w:hAnsi="Times New Roman" w:cs="Times New Roman"/>
        </w:rPr>
        <w:t>学生可以通过移动端对成绩进行查询，并可以查询到自身成绩在专业、院系所处的位置。</w:t>
      </w:r>
    </w:p>
    <w:p>
      <w:pPr>
        <w:pStyle w:val="31"/>
        <w:ind w:firstLine="480" w:firstLineChars="200"/>
        <w:rPr>
          <w:rFonts w:ascii="Times New Roman" w:hAnsi="Times New Roman" w:cs="Times New Roman"/>
        </w:rPr>
      </w:pPr>
      <w:r>
        <w:rPr>
          <w:rFonts w:ascii="Times New Roman" w:hAnsi="Times New Roman" w:cs="Times New Roman"/>
        </w:rPr>
        <w:t>教师可以通过移动端查看班级点名册，可以按照所带教学班分别查询对应点名册。</w:t>
      </w:r>
    </w:p>
    <w:p>
      <w:pPr>
        <w:pStyle w:val="31"/>
        <w:ind w:firstLine="480" w:firstLineChars="200"/>
        <w:rPr>
          <w:rFonts w:ascii="Times New Roman" w:hAnsi="Times New Roman" w:cs="Times New Roman"/>
        </w:rPr>
      </w:pPr>
      <w:r>
        <w:rPr>
          <w:rFonts w:ascii="Times New Roman" w:hAnsi="Times New Roman" w:cs="Times New Roman"/>
        </w:rPr>
        <w:t>学生、教师可以通过移动端查询考试安排。</w:t>
      </w:r>
    </w:p>
    <w:p>
      <w:pPr>
        <w:pStyle w:val="31"/>
        <w:ind w:firstLine="480" w:firstLineChars="200"/>
        <w:rPr>
          <w:rFonts w:ascii="Times New Roman" w:hAnsi="Times New Roman" w:cs="Times New Roman"/>
        </w:rPr>
      </w:pPr>
      <w:r>
        <w:rPr>
          <w:rFonts w:ascii="Times New Roman" w:hAnsi="Times New Roman" w:cs="Times New Roman"/>
        </w:rPr>
        <w:t>学生、教师可以通过移动端查询空闲教室信息。</w:t>
      </w:r>
    </w:p>
    <w:p>
      <w:pPr>
        <w:pStyle w:val="31"/>
        <w:ind w:firstLine="480" w:firstLineChars="200"/>
        <w:rPr>
          <w:rFonts w:ascii="Times New Roman" w:hAnsi="Times New Roman" w:cs="Times New Roman"/>
        </w:rPr>
      </w:pPr>
      <w:r>
        <w:rPr>
          <w:rFonts w:ascii="Times New Roman" w:hAnsi="Times New Roman" w:cs="Times New Roman"/>
        </w:rPr>
        <w:t>学生可以通过移动端进行教学评价。</w:t>
      </w:r>
    </w:p>
    <w:p>
      <w:pPr>
        <w:ind w:firstLine="482"/>
        <w:rPr>
          <w:b/>
        </w:rPr>
      </w:pPr>
      <w:r>
        <w:rPr>
          <w:b/>
        </w:rPr>
        <w:t>2.5.3 学位移动服务</w:t>
      </w:r>
    </w:p>
    <w:p>
      <w:pPr>
        <w:pStyle w:val="31"/>
        <w:ind w:firstLine="480" w:firstLineChars="200"/>
        <w:rPr>
          <w:rFonts w:ascii="Times New Roman" w:hAnsi="Times New Roman" w:cs="Times New Roman"/>
        </w:rPr>
      </w:pPr>
      <w:r>
        <w:rPr>
          <w:rFonts w:ascii="Times New Roman" w:hAnsi="Times New Roman" w:cs="Times New Roman"/>
        </w:rPr>
        <w:t>导师可以通过移动端查询到所带学生详细信息。</w:t>
      </w:r>
    </w:p>
    <w:p>
      <w:pPr>
        <w:pStyle w:val="31"/>
        <w:ind w:firstLine="480" w:firstLineChars="200"/>
        <w:rPr>
          <w:rFonts w:ascii="Times New Roman" w:hAnsi="Times New Roman" w:cs="Times New Roman"/>
        </w:rPr>
      </w:pPr>
      <w:r>
        <w:rPr>
          <w:rFonts w:ascii="Times New Roman" w:hAnsi="Times New Roman" w:cs="Times New Roman"/>
        </w:rPr>
        <w:t>学生可以在移动端查询自己学位进度并查询状态。</w:t>
      </w:r>
    </w:p>
    <w:p>
      <w:pPr>
        <w:ind w:firstLine="482"/>
        <w:rPr>
          <w:b/>
          <w:bCs w:val="0"/>
        </w:rPr>
      </w:pPr>
      <w:r>
        <w:rPr>
          <w:b/>
          <w:bCs w:val="0"/>
        </w:rPr>
        <w:t>2.6学生成长数据采集</w:t>
      </w:r>
    </w:p>
    <w:p>
      <w:pPr>
        <w:ind w:firstLine="482"/>
        <w:rPr>
          <w:b/>
        </w:rPr>
      </w:pPr>
      <w:bookmarkStart w:id="41" w:name="OLE_LINK5"/>
      <w:r>
        <w:rPr>
          <w:b/>
        </w:rPr>
        <w:t xml:space="preserve">2.6.1 </w:t>
      </w:r>
      <w:bookmarkStart w:id="42" w:name="OLE_LINK8"/>
      <w:r>
        <w:rPr>
          <w:b/>
        </w:rPr>
        <w:t>学生成果</w:t>
      </w:r>
      <w:bookmarkEnd w:id="42"/>
      <w:r>
        <w:rPr>
          <w:b/>
        </w:rPr>
        <w:t>采集</w:t>
      </w:r>
    </w:p>
    <w:p>
      <w:r>
        <w:t>主要实现科研成果维护、科研成果统计、科研奖励管理等功能，导入科研处的标准，能够自动审核学生科研成果是否属实和所属期刊类级别。科研成果收集，最终达到学生一张表的功能。</w:t>
      </w:r>
    </w:p>
    <w:p>
      <w:pPr>
        <w:ind w:firstLine="482"/>
      </w:pPr>
      <w:r>
        <w:rPr>
          <w:b/>
          <w:bCs w:val="0"/>
        </w:rPr>
        <w:t>科研成果维护：</w:t>
      </w:r>
      <w:r>
        <w:t>学生填报科研成果信息，包含期刊论文、会议论文、专利、专著、软著、奖励等。期刊论文：论文名称、作者、本人排名、总人数、共同一作、一作排名、一作署名单位是否本校、一作署名单位名称、刊物名称、发表状态、发表日期、年卷期页、收录情况、影响因子、JCR分区、刊物级别、DOI、原文网址、隶属项目、备注、相关材料、论文原文。会议论文：论文名称、作者、本本排名、收录情况、原文网址、会议名称、会议地点、会议日期、会议组织单位、备注、相关材料、论文原文。专利：专利名称、专利类型、发明/设计人、本人排名、总人数、专利号、专利授权日、专利权人、授权公告日、隶属项目、备注、相关材料。专著：专著类型、书名、作者、本人排名、总人数、出版社、出版地、出版年、国际标准书号、本人撰写字数、总字数、隶属项目、备注、相关材料。软件著作：软件名称、完成人、本人排名、总人数、著作权人、开发完成日期、登记号、隶属项目、备注、相关材料。奖励：成果名称、完成人、本人排名、总人数、奖励类型、授奖等级、奖励时间、颁奖单位、隶属项目、相关材料。</w:t>
      </w:r>
    </w:p>
    <w:p>
      <w:r>
        <w:t>系统可对学生提交内容的真实性及合规性进行初步预校验，由管理人员确认。系统可自动校验论文题目是否有特殊字符的录入。导入期刊标准库辅助审核人员进行期刊类别预审，可进行本人一作及导师一作等要求预审。</w:t>
      </w:r>
    </w:p>
    <w:p>
      <w:pPr>
        <w:ind w:firstLine="482"/>
      </w:pPr>
      <w:r>
        <w:rPr>
          <w:b/>
          <w:bCs w:val="0"/>
        </w:rPr>
        <w:t>科研成果统计：</w:t>
      </w:r>
      <w:r>
        <w:t>实现历年数据(含已毕业学生)进行条件查询、导出、统计、下载和生成分析报告。</w:t>
      </w:r>
    </w:p>
    <w:p>
      <w:pPr>
        <w:ind w:firstLine="482"/>
      </w:pPr>
      <w:r>
        <w:rPr>
          <w:b/>
          <w:bCs w:val="0"/>
        </w:rPr>
        <w:t>竞赛奖励服务：</w:t>
      </w:r>
      <w:r>
        <w:t>学生提交竞赛奖励申请，由导师、学院审核后提交研究生院备案，研究生院管理员可退回问题竞赛奖励申请。学生申请时从系统选择标准赛事名称（来源于参赛队伍信息）。</w:t>
      </w:r>
    </w:p>
    <w:p>
      <w:pPr>
        <w:ind w:firstLine="482"/>
      </w:pPr>
      <w:r>
        <w:rPr>
          <w:b/>
          <w:bCs w:val="0"/>
        </w:rPr>
        <w:t>数据分析：</w:t>
      </w:r>
      <w:r>
        <w:t>支持</w:t>
      </w:r>
      <w:r>
        <w:rPr>
          <w:b/>
          <w:bCs w:val="0"/>
        </w:rPr>
        <w:t>学生</w:t>
      </w:r>
      <w:r>
        <w:t>成果相关的数据分析功能。</w:t>
      </w:r>
    </w:p>
    <w:p>
      <w:pPr>
        <w:ind w:firstLine="482"/>
        <w:rPr>
          <w:b/>
          <w:bCs w:val="0"/>
        </w:rPr>
      </w:pPr>
      <w:r>
        <w:rPr>
          <w:b/>
          <w:bCs w:val="0"/>
        </w:rPr>
        <w:t>2.7集成对接服务</w:t>
      </w:r>
    </w:p>
    <w:bookmarkEnd w:id="41"/>
    <w:p>
      <w:pPr>
        <w:ind w:firstLine="482"/>
        <w:rPr>
          <w:b/>
        </w:rPr>
      </w:pPr>
      <w:r>
        <w:rPr>
          <w:b/>
        </w:rPr>
        <w:t>2.7.1 统一身份认证对接</w:t>
      </w:r>
    </w:p>
    <w:p>
      <w:r>
        <w:rPr>
          <w:rFonts w:hint="eastAsia"/>
        </w:rPr>
        <w:t>1、</w:t>
      </w:r>
      <w:r>
        <w:t>本项目内数据所有权完全归校方所有，因此须向学校提供研究生</w:t>
      </w:r>
      <w:r>
        <w:rPr>
          <w:rFonts w:hint="eastAsia"/>
        </w:rPr>
        <w:t>教育综合</w:t>
      </w:r>
      <w:r>
        <w:t>管理系统数据库内全部数据及数据字典。系统厂商需按学校公共数据平台建设需要提出的需求，提供包括但不限于以下类型的数据接口：数据库中间用户(数据视图或中间表)、Jason、web service等形式的数据接口，同时系统厂商须按照业务系统使用部门具体需求，预留接口(接口包括但不限于业务数据同步中间库、Jason、web service等形式),确保学校公共数据平台数据下行畅通。</w:t>
      </w:r>
    </w:p>
    <w:p>
      <w:r>
        <w:rPr>
          <w:rFonts w:hint="eastAsia"/>
        </w:rPr>
        <w:t>2、</w:t>
      </w:r>
      <w:r>
        <w:t>与学校统一身份认证系统通过cas协议集成，确保师生通过学校信息门户可单点登录进入研究生</w:t>
      </w:r>
      <w:r>
        <w:rPr>
          <w:rFonts w:hint="eastAsia"/>
        </w:rPr>
        <w:t>教育综合</w:t>
      </w:r>
      <w:r>
        <w:t>管理系统，无需二次认证，同时也需要提供单独的研究生</w:t>
      </w:r>
      <w:r>
        <w:rPr>
          <w:rFonts w:hint="eastAsia"/>
        </w:rPr>
        <w:t>教育综合</w:t>
      </w:r>
      <w:r>
        <w:t>管理系统的页面登录。</w:t>
      </w:r>
    </w:p>
    <w:p>
      <w:pPr>
        <w:ind w:firstLine="482"/>
        <w:rPr>
          <w:b/>
        </w:rPr>
      </w:pPr>
      <w:r>
        <w:rPr>
          <w:b/>
        </w:rPr>
        <w:t>2.7.2 教师综合服务门户集成</w:t>
      </w:r>
    </w:p>
    <w:p>
      <w:r>
        <w:t>1</w:t>
      </w:r>
      <w:r>
        <w:rPr>
          <w:rFonts w:hint="eastAsia"/>
        </w:rPr>
        <w:t>、</w:t>
      </w:r>
      <w:r>
        <w:t>本项目涉及师生办事的服务事项(如学生选课、教师成绩录入等),要求与学校综合服务门户集成待办任务(如流程审批待办任务、已办任务); 并与消息中心集成，实现待办任务的企微消息提醒、日程提醒等。集成方式：学校平台提供开放接口和规范，本系统推送待办任务和消息提醒等给学校平台。</w:t>
      </w:r>
    </w:p>
    <w:p>
      <w:r>
        <w:t>2</w:t>
      </w:r>
      <w:r>
        <w:rPr>
          <w:rFonts w:hint="eastAsia"/>
        </w:rPr>
        <w:t>、</w:t>
      </w:r>
      <w:r>
        <w:t>移动端服务需与学校现有移动平台无缝集成，提供服务事项的H5页面，支持集成到学校企业微信服务平台。</w:t>
      </w:r>
    </w:p>
    <w:p>
      <w:pPr>
        <w:ind w:firstLine="482"/>
        <w:rPr>
          <w:b/>
        </w:rPr>
      </w:pPr>
      <w:r>
        <w:rPr>
          <w:b/>
        </w:rPr>
        <w:t>2.7.3 数据集成</w:t>
      </w:r>
    </w:p>
    <w:p>
      <w:r>
        <w:t>1</w:t>
      </w:r>
      <w:r>
        <w:rPr>
          <w:rFonts w:hint="eastAsia"/>
        </w:rPr>
        <w:t>、</w:t>
      </w:r>
      <w:r>
        <w:t>主要有系统信息管理、用户管理、系统集成等，含各种数据接口及保障系统安全稳定等方面的内容。需提供各种系统参数设置、标准代码和基础数据管理、数据导入导出、各类外接业务系统接口、数据迁移接口、历史数据处理、用户权限设置、用户组管理、菜单管理、日志管理等方面的功能及其他保障系统稳定安全的技术措施。</w:t>
      </w:r>
    </w:p>
    <w:p>
      <w:r>
        <w:t>2</w:t>
      </w:r>
      <w:r>
        <w:rPr>
          <w:rFonts w:hint="eastAsia"/>
        </w:rPr>
        <w:t>、</w:t>
      </w:r>
      <w:r>
        <w:t>研究生</w:t>
      </w:r>
      <w:r>
        <w:rPr>
          <w:rFonts w:hint="eastAsia"/>
        </w:rPr>
        <w:t>教育综合</w:t>
      </w:r>
      <w:r>
        <w:t>管理系统作为学校信息门户众多应用之一，将与学校信息门户无缝衔接，此系统将实现研究生院与学校其他各二级单位(如网信办、教务处、财务处、人事处、学生处、档案馆、图书馆以及校医院等)之间的信息共享与融合。</w:t>
      </w:r>
    </w:p>
    <w:p>
      <w:r>
        <w:t>3</w:t>
      </w:r>
      <w:r>
        <w:rPr>
          <w:rFonts w:hint="eastAsia"/>
        </w:rPr>
        <w:t>、</w:t>
      </w:r>
      <w:r>
        <w:t>短消息提醒功能：管理员可通过系统向其他用户发送短消息或者用户通过获取短信验证码查找修改自己的账号密码。(可配置消息提示方式，根据不同的业务预设相应的信息内容)</w:t>
      </w:r>
    </w:p>
    <w:p>
      <w:r>
        <w:t>4</w:t>
      </w:r>
      <w:r>
        <w:rPr>
          <w:rFonts w:hint="eastAsia"/>
        </w:rPr>
        <w:t>、</w:t>
      </w:r>
      <w:r>
        <w:t>帮助文档功能：系统每个页面都有一个“帮助”按钮，用户可以点击进去查看该页面的功能详细说明、业务流程、操作流程、图解等，并且系统管理员可以随时自定义维护帮助文档。(针对各个模块操作界面能系统的展示操作提示)。</w:t>
      </w:r>
    </w:p>
    <w:p>
      <w:pPr>
        <w:ind w:firstLine="482"/>
        <w:rPr>
          <w:b/>
          <w:bCs w:val="0"/>
        </w:rPr>
      </w:pPr>
      <w:r>
        <w:rPr>
          <w:b/>
          <w:bCs w:val="0"/>
        </w:rPr>
        <w:t>2.8</w:t>
      </w:r>
      <w:bookmarkStart w:id="43" w:name="OLE_LINK9"/>
      <w:r>
        <w:rPr>
          <w:b/>
          <w:bCs w:val="0"/>
        </w:rPr>
        <w:t>密码应用功能</w:t>
      </w:r>
      <w:bookmarkEnd w:id="43"/>
    </w:p>
    <w:p>
      <w:pPr>
        <w:ind w:firstLine="482"/>
        <w:rPr>
          <w:b/>
        </w:rPr>
      </w:pPr>
      <w:r>
        <w:rPr>
          <w:b/>
        </w:rPr>
        <w:t>2.8.1 密码应用功能模块</w:t>
      </w:r>
    </w:p>
    <w:p>
      <w:pPr>
        <w:rPr>
          <w:rFonts w:eastAsiaTheme="minorEastAsia"/>
        </w:rPr>
      </w:pPr>
      <w:r>
        <w:rPr>
          <w:rFonts w:eastAsiaTheme="minorEastAsia"/>
        </w:rPr>
        <w:t>用户身份认证机制、用户访问控制信息签名验签、应用系统重要数据签名验签、应用系统重要数据加解密、服务器虚拟机设备日志/访问控制信息完整性。</w:t>
      </w:r>
    </w:p>
    <w:p>
      <w:pPr>
        <w:rPr>
          <w:rFonts w:eastAsiaTheme="minorEastAsia"/>
        </w:rPr>
      </w:pPr>
      <w:r>
        <w:rPr>
          <w:rFonts w:eastAsiaTheme="minorEastAsia"/>
        </w:rPr>
        <w:t>1</w:t>
      </w:r>
      <w:r>
        <w:rPr>
          <w:rFonts w:hint="eastAsia" w:eastAsiaTheme="minorEastAsia"/>
        </w:rPr>
        <w:t>、</w:t>
      </w:r>
      <w:r>
        <w:rPr>
          <w:rFonts w:eastAsiaTheme="minorEastAsia"/>
        </w:rPr>
        <w:t>认证授权：</w:t>
      </w:r>
      <w:r>
        <w:t>保证用户</w:t>
      </w:r>
      <w:r>
        <w:rPr>
          <w:rFonts w:eastAsiaTheme="minorEastAsia"/>
        </w:rPr>
        <w:t>的合法性和用户使用应用信息资源的权力， 避免内部敏感信息泄漏和</w:t>
      </w:r>
      <w:r>
        <w:t>服务</w:t>
      </w:r>
      <w:r>
        <w:rPr>
          <w:rFonts w:eastAsiaTheme="minorEastAsia"/>
        </w:rPr>
        <w:t>所提供的信息资源被非法访问，造成严重的  安全事件。</w:t>
      </w:r>
    </w:p>
    <w:p>
      <w:pPr>
        <w:rPr>
          <w:rFonts w:eastAsiaTheme="minorEastAsia"/>
        </w:rPr>
      </w:pPr>
      <w:r>
        <w:rPr>
          <w:rFonts w:eastAsiaTheme="minorEastAsia"/>
        </w:rPr>
        <w:t>2</w:t>
      </w:r>
      <w:r>
        <w:rPr>
          <w:rFonts w:hint="eastAsia" w:eastAsiaTheme="minorEastAsia"/>
        </w:rPr>
        <w:t>、</w:t>
      </w:r>
      <w:r>
        <w:rPr>
          <w:rFonts w:eastAsiaTheme="minorEastAsia"/>
        </w:rPr>
        <w:t>信息保密：充分利用密码技术，对于需要保密的信息，采用密码技术进行加解密处理，防止信息的非授权泄漏，确保涉密信息在产生、存储、传递和处理过程中的保密。</w:t>
      </w:r>
    </w:p>
    <w:p>
      <w:pPr>
        <w:rPr>
          <w:rFonts w:eastAsiaTheme="minorEastAsia"/>
        </w:rPr>
      </w:pPr>
      <w:r>
        <w:rPr>
          <w:rFonts w:eastAsiaTheme="minorEastAsia"/>
        </w:rPr>
        <w:t>3</w:t>
      </w:r>
      <w:r>
        <w:rPr>
          <w:rFonts w:hint="eastAsia" w:eastAsiaTheme="minorEastAsia"/>
        </w:rPr>
        <w:t>、</w:t>
      </w:r>
      <w:r>
        <w:rPr>
          <w:rFonts w:eastAsiaTheme="minorEastAsia"/>
        </w:rPr>
        <w:t>数据完整性：</w:t>
      </w:r>
      <w:r>
        <w:t>建立</w:t>
      </w:r>
      <w:r>
        <w:rPr>
          <w:rFonts w:eastAsiaTheme="minorEastAsia"/>
        </w:rPr>
        <w:t>数据完整性检验机制，保证收发双方数据的一致性，防止信息被非授权修改。</w:t>
      </w:r>
    </w:p>
    <w:p>
      <w:pPr>
        <w:rPr>
          <w:rFonts w:eastAsiaTheme="minorEastAsia"/>
        </w:rPr>
      </w:pPr>
      <w:r>
        <w:rPr>
          <w:rFonts w:eastAsiaTheme="minorEastAsia"/>
        </w:rPr>
        <w:t>4</w:t>
      </w:r>
      <w:r>
        <w:rPr>
          <w:rFonts w:hint="eastAsia" w:eastAsiaTheme="minorEastAsia"/>
        </w:rPr>
        <w:t>、</w:t>
      </w:r>
      <w:r>
        <w:rPr>
          <w:rFonts w:eastAsiaTheme="minorEastAsia"/>
        </w:rPr>
        <w:t>审计：记录应用日志，对事件进行分析，并能提供预警信息。</w:t>
      </w:r>
    </w:p>
    <w:p>
      <w:pPr>
        <w:rPr>
          <w:rFonts w:eastAsiaTheme="minorEastAsia"/>
        </w:rPr>
      </w:pPr>
      <w:r>
        <w:rPr>
          <w:rFonts w:eastAsiaTheme="minorEastAsia"/>
        </w:rPr>
        <w:t>5</w:t>
      </w:r>
      <w:r>
        <w:rPr>
          <w:rFonts w:hint="eastAsia" w:eastAsiaTheme="minorEastAsia"/>
        </w:rPr>
        <w:t>、</w:t>
      </w:r>
      <w:r>
        <w:rPr>
          <w:rFonts w:eastAsiaTheme="minorEastAsia"/>
        </w:rPr>
        <w:t>数据备份：利用数据库的备份功能将系统数据备份到指定的服务器或存储系统上。</w:t>
      </w:r>
    </w:p>
    <w:p>
      <w:pPr>
        <w:rPr>
          <w:rFonts w:eastAsiaTheme="minorEastAsia"/>
        </w:rPr>
      </w:pPr>
      <w:r>
        <w:rPr>
          <w:rFonts w:eastAsiaTheme="minorEastAsia"/>
        </w:rPr>
        <w:t>6</w:t>
      </w:r>
      <w:r>
        <w:rPr>
          <w:rFonts w:hint="eastAsia" w:eastAsiaTheme="minorEastAsia"/>
        </w:rPr>
        <w:t>、</w:t>
      </w:r>
      <w:r>
        <w:rPr>
          <w:rFonts w:eastAsiaTheme="minorEastAsia"/>
        </w:rPr>
        <w:t>从物理安全、网络安全、系统安全、应用软件安全、数据备份安全等几个方面提出配套的安全体系完善方案，以便防范安全风险。</w:t>
      </w:r>
    </w:p>
    <w:p>
      <w:pPr>
        <w:rPr>
          <w:rFonts w:eastAsiaTheme="minorEastAsia"/>
        </w:rPr>
      </w:pPr>
      <w:r>
        <w:rPr>
          <w:rFonts w:eastAsiaTheme="minorEastAsia"/>
        </w:rPr>
        <w:t>7</w:t>
      </w:r>
      <w:r>
        <w:rPr>
          <w:rFonts w:hint="eastAsia" w:eastAsiaTheme="minorEastAsia"/>
        </w:rPr>
        <w:t>、</w:t>
      </w:r>
      <w:r>
        <w:rPr>
          <w:rFonts w:eastAsiaTheme="minorEastAsia"/>
        </w:rPr>
        <w:t>国产化要求：要求研究生</w:t>
      </w:r>
      <w:r>
        <w:rPr>
          <w:rFonts w:hint="eastAsia" w:eastAsiaTheme="minorEastAsia"/>
        </w:rPr>
        <w:t>教育综合</w:t>
      </w:r>
      <w:r>
        <w:rPr>
          <w:rFonts w:eastAsiaTheme="minorEastAsia"/>
        </w:rPr>
        <w:t>管理系统支持国产化操作系统、国产化数据库。</w:t>
      </w:r>
    </w:p>
    <w:p>
      <w:pPr>
        <w:ind w:firstLine="482"/>
        <w:rPr>
          <w:b/>
          <w:bCs w:val="0"/>
        </w:rPr>
      </w:pPr>
      <w:r>
        <w:rPr>
          <w:b/>
          <w:bCs w:val="0"/>
        </w:rPr>
        <w:t>2.9论文自主送审平台服务</w:t>
      </w:r>
    </w:p>
    <w:p>
      <w:r>
        <w:t>1、论文自主送审平台需与研究生教育综合管理系统实现数据对接，接口包含但不限于：创建批次接口、查询批次接口、推送论文接口、推送评阅结果接口，学生论文数据可通过研究生教育综合管理系统直接推送至平台，平台支持研究生教育综合管理系统主动获取或平台主动推送形式将评阅结果返回至研究生教育综合管理系统。</w:t>
      </w:r>
      <w:r>
        <w:rPr>
          <w:rFonts w:hint="eastAsia"/>
        </w:rPr>
        <w:t>（需提供详细的技术方案及系统界面截图）</w:t>
      </w:r>
    </w:p>
    <w:p>
      <w:r>
        <w:t xml:space="preserve">2、平台支持分批次送审论文，以批次为单位配置送审参数，送审参数包括：是否允许学院参与、学生上传论文的起止时间、是否允许学院查看学校送审结果、是否需要采集专家银行卡信息、每位专家最多评阅篇次、评阅意见最少字数。 </w:t>
      </w:r>
    </w:p>
    <w:p>
      <w:r>
        <w:t>3、平台支持按批次归档，归档后支持查看一个批次下各类送审数据，包括：批次信息、论文信息、论文送审信息、评阅信息、专家评审信息等，为了保障数据安全，查看专家评审信息需要进行身份验证。</w:t>
      </w:r>
    </w:p>
    <w:p>
      <w:r>
        <w:t>4、研究生教育综合管理系统推送论文至评审平台成功后，</w:t>
      </w:r>
      <w:r>
        <w:rPr>
          <w:rFonts w:hint="eastAsia"/>
        </w:rPr>
        <w:t>平台</w:t>
      </w:r>
      <w:r>
        <w:t>能自动检测文件内容是否进行匿名处理，需匿名内容包括：学号、学生姓名、导师姓名。检测完成后，论文列表中有明显标记显示论文是否已匿名，文件检查结果支持批量导出。</w:t>
      </w:r>
      <w:r>
        <w:rPr>
          <w:rFonts w:hint="eastAsia"/>
        </w:rPr>
        <w:t>（需提供详细的技术方案及系统界面截图）</w:t>
      </w:r>
    </w:p>
    <w:p>
      <w:r>
        <w:t>5、平台支持专家在线批注，批注内容可一键汇总，方便专家在线审阅论文填写评阅意见。</w:t>
      </w:r>
    </w:p>
    <w:p>
      <w:r>
        <w:t>6、平台支持查看每个评阅书的页数、下载次数、最近一次的下载时间。可配置专家信息隐藏模式，可选择隐藏专家敏感信息或隐藏专家全部信息。</w:t>
      </w:r>
    </w:p>
    <w:p>
      <w:pPr>
        <w:ind w:firstLine="0" w:firstLineChars="0"/>
      </w:pPr>
    </w:p>
    <w:p/>
    <w:p/>
    <w:p>
      <w:r>
        <w:br w:type="page"/>
      </w:r>
    </w:p>
    <w:p>
      <w:pPr>
        <w:pStyle w:val="3"/>
        <w:numPr>
          <w:ilvl w:val="0"/>
          <w:numId w:val="3"/>
        </w:numPr>
        <w:spacing w:before="20" w:after="20"/>
        <w:ind w:left="993" w:hanging="426"/>
        <w:rPr>
          <w:sz w:val="24"/>
          <w:szCs w:val="24"/>
        </w:rPr>
      </w:pPr>
      <w:r>
        <w:rPr>
          <w:sz w:val="24"/>
          <w:szCs w:val="24"/>
        </w:rPr>
        <w:t>学校部署软硬件资源环境（不属于此次采购范围）</w:t>
      </w:r>
    </w:p>
    <w:p>
      <w:r>
        <w:t>本项目部署所需要的计算资源、网络资源、存储资源等基础设施由学校统一提供，无需另行购置。要求充分利用学校现有资源，服务所需系统能最大限度地兼容学校现有信息化建设完成的软、硬件系统。</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69"/>
        <w:gridCol w:w="1564"/>
        <w:gridCol w:w="4424"/>
        <w:gridCol w:w="780"/>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blHeader/>
          <w:jc w:val="center"/>
        </w:trPr>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jc w:val="center"/>
              <w:rPr>
                <w:rFonts w:eastAsiaTheme="minorEastAsia"/>
                <w:b/>
              </w:rPr>
            </w:pPr>
            <w:r>
              <w:rPr>
                <w:rFonts w:eastAsiaTheme="minorEastAsia"/>
                <w:b/>
              </w:rPr>
              <w:t>序号</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jc w:val="center"/>
              <w:rPr>
                <w:rFonts w:eastAsiaTheme="minorEastAsia"/>
                <w:b/>
              </w:rPr>
            </w:pPr>
            <w:r>
              <w:rPr>
                <w:rFonts w:eastAsiaTheme="minorEastAsia"/>
                <w:b/>
              </w:rPr>
              <w:t>名称</w:t>
            </w:r>
          </w:p>
        </w:tc>
        <w:tc>
          <w:tcPr>
            <w:tcW w:w="262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jc w:val="center"/>
              <w:rPr>
                <w:rFonts w:eastAsiaTheme="minorEastAsia"/>
                <w:b/>
              </w:rPr>
            </w:pPr>
            <w:r>
              <w:rPr>
                <w:rFonts w:eastAsiaTheme="minorEastAsia"/>
                <w:b/>
              </w:rPr>
              <w:t>配置要求</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jc w:val="center"/>
              <w:rPr>
                <w:rFonts w:eastAsiaTheme="minorEastAsia"/>
                <w:b/>
              </w:rPr>
            </w:pPr>
            <w:r>
              <w:rPr>
                <w:rFonts w:eastAsiaTheme="minorEastAsia"/>
                <w:b/>
              </w:rPr>
              <w:t>数量</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jc w:val="center"/>
              <w:rPr>
                <w:rFonts w:eastAsiaTheme="minorEastAsia"/>
                <w:b/>
              </w:rPr>
            </w:pPr>
            <w:r>
              <w:rPr>
                <w:rFonts w:eastAsiaTheme="minor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pPr>
              <w:spacing w:line="276" w:lineRule="auto"/>
              <w:ind w:firstLine="0" w:firstLineChars="0"/>
              <w:jc w:val="center"/>
              <w:rPr>
                <w:rFonts w:eastAsiaTheme="minorEastAsia"/>
              </w:rPr>
            </w:pPr>
            <w:r>
              <w:rPr>
                <w:rFonts w:eastAsiaTheme="minorEastAsia"/>
              </w:rPr>
              <w:t>1</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jc w:val="center"/>
              <w:rPr>
                <w:rFonts w:eastAsiaTheme="minorEastAsia"/>
              </w:rPr>
            </w:pPr>
            <w:r>
              <w:rPr>
                <w:rFonts w:eastAsiaTheme="minorEastAsia"/>
              </w:rPr>
              <w:t>应用服务器</w:t>
            </w:r>
          </w:p>
        </w:tc>
        <w:tc>
          <w:tcPr>
            <w:tcW w:w="262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eastAsiaTheme="minorEastAsia"/>
              </w:rPr>
            </w:pPr>
            <w:r>
              <w:rPr>
                <w:rFonts w:eastAsiaTheme="minorEastAsia"/>
              </w:rPr>
              <w:t>硬件配置：8核CPU，16G内存，500GB硬盘（RAID后）。</w:t>
            </w:r>
          </w:p>
          <w:p>
            <w:pPr>
              <w:spacing w:line="276" w:lineRule="auto"/>
              <w:ind w:firstLine="0" w:firstLineChars="0"/>
              <w:rPr>
                <w:rFonts w:eastAsiaTheme="minorEastAsia"/>
              </w:rPr>
            </w:pPr>
            <w:r>
              <w:rPr>
                <w:rFonts w:eastAsiaTheme="minorEastAsia"/>
              </w:rPr>
              <w:t>开放外部访问端口：80、443。</w:t>
            </w:r>
          </w:p>
          <w:p>
            <w:pPr>
              <w:spacing w:line="276" w:lineRule="auto"/>
              <w:ind w:firstLine="0" w:firstLineChars="0"/>
              <w:rPr>
                <w:rFonts w:eastAsiaTheme="minorEastAsia"/>
              </w:rPr>
            </w:pPr>
            <w:r>
              <w:rPr>
                <w:rFonts w:eastAsiaTheme="minorEastAsia"/>
              </w:rPr>
              <w:t>操作系统： Linux系统，Anolis OS 8、CentOS 7.5+等。</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jc w:val="center"/>
              <w:rPr>
                <w:rFonts w:eastAsiaTheme="minorEastAsia"/>
              </w:rPr>
            </w:pPr>
            <w:r>
              <w:rPr>
                <w:rFonts w:eastAsiaTheme="minorEastAsia"/>
              </w:rPr>
              <w:t>2</w:t>
            </w:r>
          </w:p>
        </w:tc>
        <w:tc>
          <w:tcPr>
            <w:tcW w:w="647" w:type="pct"/>
            <w:tcBorders>
              <w:top w:val="single" w:color="auto" w:sz="4" w:space="0"/>
              <w:left w:val="single" w:color="auto" w:sz="4" w:space="0"/>
              <w:bottom w:val="single" w:color="auto" w:sz="4" w:space="0"/>
              <w:right w:val="single" w:color="auto" w:sz="4" w:space="0"/>
            </w:tcBorders>
            <w:vAlign w:val="center"/>
          </w:tcPr>
          <w:p>
            <w:pPr>
              <w:spacing w:line="276" w:lineRule="auto"/>
              <w:ind w:firstLine="0" w:firstLineChars="0"/>
              <w:rPr>
                <w:rFonts w:eastAsiaTheme="minorEastAsia"/>
              </w:rPr>
            </w:pPr>
            <w:r>
              <w:rPr>
                <w:rFonts w:eastAsiaTheme="minorEastAsia"/>
              </w:rPr>
              <w:t>申请学校现有资源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pPr>
              <w:spacing w:line="276" w:lineRule="auto"/>
              <w:ind w:firstLine="0" w:firstLineChars="0"/>
              <w:jc w:val="center"/>
              <w:rPr>
                <w:rFonts w:eastAsiaTheme="minorEastAsia"/>
              </w:rPr>
            </w:pPr>
            <w:r>
              <w:rPr>
                <w:rFonts w:eastAsiaTheme="minorEastAsia"/>
              </w:rPr>
              <w:t>2</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jc w:val="center"/>
              <w:rPr>
                <w:rFonts w:eastAsiaTheme="minorEastAsia"/>
              </w:rPr>
            </w:pPr>
            <w:r>
              <w:rPr>
                <w:rFonts w:eastAsiaTheme="minorEastAsia"/>
              </w:rPr>
              <w:t>NAS存储空间</w:t>
            </w:r>
          </w:p>
        </w:tc>
        <w:tc>
          <w:tcPr>
            <w:tcW w:w="262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eastAsiaTheme="minorEastAsia"/>
              </w:rPr>
            </w:pPr>
            <w:r>
              <w:rPr>
                <w:rFonts w:eastAsiaTheme="minorEastAsia"/>
              </w:rPr>
              <w:t>容量2TB（RAID后），具备全局热备条件最佳。</w:t>
            </w:r>
          </w:p>
          <w:p>
            <w:pPr>
              <w:spacing w:line="276" w:lineRule="auto"/>
              <w:ind w:firstLine="0" w:firstLineChars="0"/>
              <w:rPr>
                <w:rFonts w:eastAsiaTheme="minorEastAsia"/>
              </w:rPr>
            </w:pPr>
            <w:r>
              <w:rPr>
                <w:rFonts w:eastAsiaTheme="minorEastAsia"/>
              </w:rPr>
              <w:t>挂载至2台应用服务器。</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jc w:val="center"/>
              <w:rPr>
                <w:rFonts w:eastAsiaTheme="minorEastAsia"/>
              </w:rPr>
            </w:pPr>
            <w:r>
              <w:rPr>
                <w:rFonts w:eastAsiaTheme="minorEastAsia"/>
              </w:rPr>
              <w:t xml:space="preserve">1 </w:t>
            </w:r>
          </w:p>
        </w:tc>
        <w:tc>
          <w:tcPr>
            <w:tcW w:w="647" w:type="pct"/>
            <w:tcBorders>
              <w:top w:val="single" w:color="auto" w:sz="4" w:space="0"/>
              <w:left w:val="single" w:color="auto" w:sz="4" w:space="0"/>
              <w:bottom w:val="single" w:color="auto" w:sz="4" w:space="0"/>
              <w:right w:val="single" w:color="auto" w:sz="4" w:space="0"/>
            </w:tcBorders>
            <w:vAlign w:val="center"/>
          </w:tcPr>
          <w:p>
            <w:pPr>
              <w:spacing w:line="276" w:lineRule="auto"/>
              <w:ind w:firstLine="0" w:firstLineChars="0"/>
              <w:rPr>
                <w:rFonts w:eastAsiaTheme="minorEastAsia"/>
              </w:rPr>
            </w:pPr>
            <w:r>
              <w:rPr>
                <w:rFonts w:eastAsiaTheme="minorEastAsia"/>
              </w:rPr>
              <w:t>申请学校现有资源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pPr>
              <w:spacing w:line="276" w:lineRule="auto"/>
              <w:ind w:firstLine="0" w:firstLineChars="0"/>
              <w:jc w:val="center"/>
              <w:rPr>
                <w:rFonts w:eastAsiaTheme="minorEastAsia"/>
              </w:rPr>
            </w:pPr>
            <w:r>
              <w:rPr>
                <w:rFonts w:eastAsiaTheme="minorEastAsia"/>
              </w:rPr>
              <w:t>3</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jc w:val="center"/>
              <w:rPr>
                <w:rFonts w:eastAsiaTheme="minorEastAsia"/>
              </w:rPr>
            </w:pPr>
            <w:r>
              <w:rPr>
                <w:rFonts w:eastAsiaTheme="minorEastAsia"/>
              </w:rPr>
              <w:t>数据库服务器</w:t>
            </w:r>
          </w:p>
        </w:tc>
        <w:tc>
          <w:tcPr>
            <w:tcW w:w="262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eastAsiaTheme="minorEastAsia"/>
              </w:rPr>
            </w:pPr>
            <w:r>
              <w:rPr>
                <w:rFonts w:eastAsiaTheme="minorEastAsia"/>
              </w:rPr>
              <w:t>硬件配置：8核CPU，16G内存，500GB硬盘（RAID后）。</w:t>
            </w:r>
          </w:p>
          <w:p>
            <w:pPr>
              <w:spacing w:line="276" w:lineRule="auto"/>
              <w:ind w:firstLine="0" w:firstLineChars="0"/>
              <w:rPr>
                <w:rFonts w:eastAsiaTheme="minorEastAsia"/>
              </w:rPr>
            </w:pPr>
            <w:r>
              <w:rPr>
                <w:rFonts w:eastAsiaTheme="minorEastAsia"/>
              </w:rPr>
              <w:t>向应用服务器、备份服务器开放端口：3306、5236。</w:t>
            </w:r>
          </w:p>
          <w:p>
            <w:pPr>
              <w:spacing w:line="276" w:lineRule="auto"/>
              <w:ind w:firstLine="0" w:firstLineChars="0"/>
              <w:rPr>
                <w:rFonts w:eastAsiaTheme="minorEastAsia"/>
              </w:rPr>
            </w:pPr>
            <w:r>
              <w:rPr>
                <w:rFonts w:eastAsiaTheme="minorEastAsia"/>
              </w:rPr>
              <w:t>操作系统：Linux系统，Anolis OS 8、CentOS 7.5+等。</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jc w:val="center"/>
              <w:rPr>
                <w:rFonts w:eastAsiaTheme="minorEastAsia"/>
              </w:rPr>
            </w:pPr>
            <w:r>
              <w:rPr>
                <w:rFonts w:eastAsiaTheme="minorEastAsia"/>
              </w:rPr>
              <w:t>2</w:t>
            </w:r>
          </w:p>
        </w:tc>
        <w:tc>
          <w:tcPr>
            <w:tcW w:w="647" w:type="pct"/>
            <w:tcBorders>
              <w:top w:val="single" w:color="auto" w:sz="4" w:space="0"/>
              <w:left w:val="single" w:color="auto" w:sz="4" w:space="0"/>
              <w:bottom w:val="single" w:color="auto" w:sz="4" w:space="0"/>
              <w:right w:val="single" w:color="auto" w:sz="4" w:space="0"/>
            </w:tcBorders>
            <w:vAlign w:val="center"/>
          </w:tcPr>
          <w:p>
            <w:pPr>
              <w:spacing w:line="276" w:lineRule="auto"/>
              <w:ind w:firstLine="0" w:firstLineChars="0"/>
              <w:rPr>
                <w:rFonts w:eastAsiaTheme="minorEastAsia"/>
              </w:rPr>
            </w:pPr>
            <w:r>
              <w:rPr>
                <w:rFonts w:eastAsiaTheme="minorEastAsia"/>
              </w:rPr>
              <w:t>申请学校现有资源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pPr>
              <w:spacing w:line="276" w:lineRule="auto"/>
              <w:ind w:firstLine="0" w:firstLineChars="0"/>
              <w:jc w:val="center"/>
              <w:rPr>
                <w:rFonts w:eastAsiaTheme="minorEastAsia"/>
              </w:rPr>
            </w:pPr>
            <w:r>
              <w:rPr>
                <w:rFonts w:eastAsiaTheme="minorEastAsia"/>
              </w:rPr>
              <w:t>4</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jc w:val="center"/>
              <w:rPr>
                <w:rFonts w:eastAsiaTheme="minorEastAsia"/>
              </w:rPr>
            </w:pPr>
            <w:r>
              <w:rPr>
                <w:rFonts w:eastAsiaTheme="minorEastAsia"/>
              </w:rPr>
              <w:t>备份服务器</w:t>
            </w:r>
          </w:p>
        </w:tc>
        <w:tc>
          <w:tcPr>
            <w:tcW w:w="262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eastAsiaTheme="minorEastAsia"/>
              </w:rPr>
            </w:pPr>
            <w:r>
              <w:rPr>
                <w:rFonts w:eastAsiaTheme="minorEastAsia"/>
              </w:rPr>
              <w:t>硬件配置：8核CPU，16G内存，2TB硬盘（RAID后）。</w:t>
            </w:r>
          </w:p>
          <w:p>
            <w:pPr>
              <w:spacing w:line="276" w:lineRule="auto"/>
              <w:ind w:firstLine="0" w:firstLineChars="0"/>
              <w:rPr>
                <w:rFonts w:eastAsiaTheme="minorEastAsia"/>
              </w:rPr>
            </w:pPr>
            <w:r>
              <w:rPr>
                <w:rFonts w:eastAsiaTheme="minorEastAsia"/>
              </w:rPr>
              <w:t>开放端口：873、990、60000用于文件传输。</w:t>
            </w:r>
          </w:p>
          <w:p>
            <w:pPr>
              <w:spacing w:line="276" w:lineRule="auto"/>
              <w:ind w:firstLine="0" w:firstLineChars="0"/>
              <w:rPr>
                <w:rFonts w:eastAsiaTheme="minorEastAsia"/>
              </w:rPr>
            </w:pPr>
            <w:r>
              <w:rPr>
                <w:rFonts w:eastAsiaTheme="minorEastAsia"/>
              </w:rPr>
              <w:t>操作系统：Windows Server 2016或Linux系统（Anolis OS 8、CentOS 7.5+等）。</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jc w:val="center"/>
              <w:rPr>
                <w:rFonts w:eastAsiaTheme="minorEastAsia"/>
              </w:rPr>
            </w:pPr>
            <w:r>
              <w:rPr>
                <w:rFonts w:eastAsiaTheme="minorEastAsia"/>
              </w:rPr>
              <w:t>1</w:t>
            </w:r>
          </w:p>
        </w:tc>
        <w:tc>
          <w:tcPr>
            <w:tcW w:w="647" w:type="pct"/>
            <w:tcBorders>
              <w:top w:val="single" w:color="auto" w:sz="4" w:space="0"/>
              <w:left w:val="single" w:color="auto" w:sz="4" w:space="0"/>
              <w:bottom w:val="single" w:color="auto" w:sz="4" w:space="0"/>
              <w:right w:val="single" w:color="auto" w:sz="4" w:space="0"/>
            </w:tcBorders>
            <w:vAlign w:val="center"/>
          </w:tcPr>
          <w:p>
            <w:pPr>
              <w:spacing w:line="276" w:lineRule="auto"/>
              <w:ind w:firstLine="0" w:firstLineChars="0"/>
              <w:rPr>
                <w:rFonts w:eastAsiaTheme="minorEastAsia"/>
              </w:rPr>
            </w:pPr>
            <w:r>
              <w:rPr>
                <w:rFonts w:eastAsiaTheme="minorEastAsia"/>
              </w:rPr>
              <w:t>申请学校现有资源</w:t>
            </w:r>
          </w:p>
        </w:tc>
      </w:tr>
    </w:tbl>
    <w:p/>
    <w:p>
      <w:pPr>
        <w:pStyle w:val="3"/>
        <w:numPr>
          <w:ilvl w:val="0"/>
          <w:numId w:val="3"/>
        </w:numPr>
        <w:spacing w:before="20" w:after="20"/>
        <w:ind w:left="993" w:hanging="426"/>
        <w:rPr>
          <w:sz w:val="24"/>
          <w:szCs w:val="24"/>
        </w:rPr>
      </w:pPr>
      <w:r>
        <w:rPr>
          <w:sz w:val="24"/>
          <w:szCs w:val="24"/>
        </w:rPr>
        <w:t>其他要求</w:t>
      </w:r>
    </w:p>
    <w:p>
      <w:r>
        <w:t>（1）服务器双机热备和升级</w:t>
      </w:r>
    </w:p>
    <w:p>
      <w:r>
        <w:t>研究生</w:t>
      </w:r>
      <w:r>
        <w:rPr>
          <w:rFonts w:hint="eastAsia"/>
        </w:rPr>
        <w:t>教育综合</w:t>
      </w:r>
      <w:r>
        <w:t>管理系统需实行服务器双机热备，确保在主服务器出现故障时，备份服务器能够立即接管服务，保障系统的持续稳定运行。供应商需提供双机热备系统的安装、配置和调试服务。提供必要的培训和文档，以便系统管理员能够熟练掌握双机热备系统的管理和维护。</w:t>
      </w:r>
    </w:p>
    <w:p>
      <w:r>
        <w:t>供应商需提供软件升级的技术支持和咨询服务，确保升级过程的顺利进行。提供虚拟化技术支持，以便根据业务需求灵活部署和管理虚拟机。供应商需提供长期的售后服务和技术支持，包括故障排查、系统维护和服务器扩容等。</w:t>
      </w:r>
    </w:p>
    <w:p>
      <w:r>
        <w:t>（2）数据库建设与维护</w:t>
      </w:r>
    </w:p>
    <w:p>
      <w:r>
        <w:t>供应商需负责研究生</w:t>
      </w:r>
      <w:r>
        <w:rPr>
          <w:rFonts w:hint="eastAsia"/>
        </w:rPr>
        <w:t>教育综合</w:t>
      </w:r>
      <w:r>
        <w:t>管理系统数据库的建设、日常维护及优化升级工作。</w:t>
      </w:r>
    </w:p>
    <w:p>
      <w:r>
        <w:t>1）数据库设计与建设：根据业务需求设计合理的数据库架构，确保数据的高效存储和访问。完成数据库的安装、配置与初始化工作。导入历史数据，确保数据的完整性和准确性。数据库应具备完善的安全机制，包括访问控制、数据加密、审计日志等</w:t>
      </w:r>
    </w:p>
    <w:p>
      <w:r>
        <w:t>2）日常维护：定期对数据库进行备份与恢复测试，确保数据安全。监控数据库性能，及时发现并解决潜在问题。根据业务需求进行数据库结构的调整与优化。</w:t>
      </w:r>
    </w:p>
    <w:p>
      <w:r>
        <w:t>3）优化升级：根据系统使用情况，对数据库进行性能调优。在系统升级时，确保数据库与应用程序的兼容性。提供必要的数据库迁移服务，以支持系统的升级或迁移至新环境。</w:t>
      </w:r>
    </w:p>
    <w:p>
      <w:r>
        <w:t>（3）系统建设与维护</w:t>
      </w:r>
    </w:p>
    <w:p>
      <w:r>
        <w:t>系统应覆盖研究生教育的各个方面，包括学籍管理、培养管理、学位授予管理、导师管理、移动端功能管理等。系统应采用基于WEB的纯B/S架构，支持主流浏览器，并至少兼容一种国产浏览器。</w:t>
      </w:r>
    </w:p>
    <w:p>
      <w:r>
        <w:t>系统需具备良好的安全性，通过国家信息系统安全等级保护二级测评。数据网上传输需采用符合国家安全标准的加密方式，具有安全日志、数据备份还原机制等。系统应支持高并发访问，如支持10000人并发选课、查成绩等，平均响应时间不超过1.5秒。</w:t>
      </w:r>
    </w:p>
    <w:p>
      <w:r>
        <w:t>供应商应提供系统的日常维护服务，包括故障排查、性能调优、定期备份数据、监控系统性能、及时修复漏洞等，确保系统的稳定运行，及时解决系统使用过程中出现的问题。</w:t>
      </w:r>
    </w:p>
    <w:p>
      <w:pPr>
        <w:pStyle w:val="2"/>
        <w:ind w:firstLine="1"/>
      </w:pPr>
      <w:bookmarkStart w:id="44" w:name="_Toc63785502"/>
      <w:r>
        <w:t>电子政务云资源需求</w:t>
      </w:r>
      <w:bookmarkEnd w:id="44"/>
    </w:p>
    <w:p>
      <w:r>
        <w:t>不适用。</w:t>
      </w:r>
    </w:p>
    <w:p>
      <w:pPr>
        <w:pStyle w:val="2"/>
        <w:ind w:firstLine="1"/>
      </w:pPr>
      <w:bookmarkStart w:id="45" w:name="_Toc63785503"/>
      <w:r>
        <w:t>其他工作要求</w:t>
      </w:r>
      <w:bookmarkEnd w:id="45"/>
    </w:p>
    <w:p/>
    <w:p>
      <w:pPr>
        <w:pStyle w:val="3"/>
        <w:ind w:hanging="568"/>
      </w:pPr>
      <w:bookmarkStart w:id="46" w:name="_Toc62209488"/>
      <w:bookmarkEnd w:id="46"/>
      <w:bookmarkStart w:id="47" w:name="_Toc63151871"/>
      <w:bookmarkEnd w:id="47"/>
      <w:bookmarkStart w:id="48" w:name="_Toc61968111"/>
      <w:bookmarkEnd w:id="48"/>
      <w:bookmarkStart w:id="49" w:name="_Toc62219358"/>
      <w:bookmarkEnd w:id="49"/>
      <w:bookmarkStart w:id="50" w:name="_Toc63785439"/>
      <w:bookmarkEnd w:id="50"/>
      <w:bookmarkStart w:id="51" w:name="_Toc63585480"/>
      <w:bookmarkEnd w:id="51"/>
      <w:bookmarkStart w:id="52" w:name="_Toc63762370"/>
      <w:bookmarkEnd w:id="52"/>
      <w:bookmarkStart w:id="53" w:name="_Toc63785504"/>
      <w:bookmarkEnd w:id="53"/>
      <w:bookmarkStart w:id="54" w:name="_Toc63785505"/>
      <w:r>
        <w:t>售后服务要求</w:t>
      </w:r>
      <w:bookmarkEnd w:id="54"/>
    </w:p>
    <w:p>
      <w:pPr>
        <w:pStyle w:val="17"/>
        <w:spacing w:line="360" w:lineRule="auto"/>
        <w:ind w:firstLine="480"/>
        <w:rPr>
          <w:rFonts w:eastAsiaTheme="minorEastAsia"/>
          <w:sz w:val="24"/>
          <w:szCs w:val="24"/>
        </w:rPr>
      </w:pPr>
      <w:r>
        <w:rPr>
          <w:rFonts w:eastAsiaTheme="minorEastAsia"/>
          <w:sz w:val="24"/>
          <w:szCs w:val="24"/>
        </w:rPr>
        <w:t>本项目从系统验收通过之日起3年内提供7*24小时免费技术支持和售后服务，3年后进入有偿维护期。</w:t>
      </w:r>
    </w:p>
    <w:p>
      <w:pPr>
        <w:pStyle w:val="17"/>
        <w:spacing w:line="360" w:lineRule="auto"/>
        <w:ind w:firstLine="480"/>
        <w:rPr>
          <w:rFonts w:eastAsiaTheme="minorEastAsia"/>
          <w:sz w:val="24"/>
          <w:szCs w:val="24"/>
        </w:rPr>
      </w:pPr>
      <w:r>
        <w:rPr>
          <w:rFonts w:eastAsiaTheme="minorEastAsia"/>
          <w:sz w:val="24"/>
          <w:szCs w:val="24"/>
        </w:rPr>
        <w:t>在质量保证期内，供应商将按照售后服务的承诺提供保修和运行维护服务，如果厂商对信息系统中软、硬件设备等产品中的部分保修期超过上述期限的，则按照厂商的规定进行免费保修。</w:t>
      </w:r>
    </w:p>
    <w:p>
      <w:pPr>
        <w:pStyle w:val="17"/>
        <w:spacing w:line="360" w:lineRule="auto"/>
        <w:ind w:firstLine="480"/>
        <w:rPr>
          <w:rFonts w:eastAsiaTheme="minorEastAsia"/>
          <w:sz w:val="24"/>
          <w:szCs w:val="24"/>
        </w:rPr>
      </w:pPr>
      <w:r>
        <w:rPr>
          <w:rFonts w:eastAsiaTheme="minorEastAsia"/>
          <w:sz w:val="24"/>
          <w:szCs w:val="24"/>
        </w:rPr>
        <w:t>在质量保证期内，供应商负责信息系统的运行维护工作，确保信息系统安全、稳定、可靠地运行。本项目涉及的运行维护工作范围为：</w:t>
      </w:r>
      <w:r>
        <w:rPr>
          <w:sz w:val="24"/>
          <w:szCs w:val="24"/>
        </w:rPr>
        <w:t>技术支持服务、服务器扩容、漏洞修复、故障排查、使用指导及答疑、年度培训，对于系统软件Bug类问题，需提供永久免费修复服务</w:t>
      </w:r>
      <w:r>
        <w:rPr>
          <w:rFonts w:eastAsiaTheme="minorEastAsia"/>
          <w:sz w:val="24"/>
          <w:szCs w:val="24"/>
        </w:rPr>
        <w:t>。</w:t>
      </w:r>
    </w:p>
    <w:p>
      <w:pPr>
        <w:pStyle w:val="3"/>
        <w:ind w:hanging="568"/>
      </w:pPr>
      <w:bookmarkStart w:id="55" w:name="_Toc63785506"/>
      <w:r>
        <w:t>应急响应要求</w:t>
      </w:r>
      <w:bookmarkEnd w:id="55"/>
    </w:p>
    <w:p>
      <w:pPr>
        <w:pStyle w:val="17"/>
        <w:spacing w:line="360" w:lineRule="auto"/>
        <w:ind w:firstLine="480"/>
        <w:rPr>
          <w:sz w:val="24"/>
          <w:szCs w:val="24"/>
        </w:rPr>
      </w:pPr>
      <w:r>
        <w:rPr>
          <w:sz w:val="24"/>
          <w:szCs w:val="24"/>
        </w:rPr>
        <w:t>供应商对系统故障应能够实时响应，若系统发生故障，接到通知后30分钟之内响应，专业工程师2小时内到达现场。特殊故障与客户沟通协商后，按照协商的方式制定解决方案并进行处理。</w:t>
      </w:r>
    </w:p>
    <w:p>
      <w:pPr>
        <w:pStyle w:val="17"/>
        <w:spacing w:line="360" w:lineRule="auto"/>
        <w:ind w:firstLine="480"/>
        <w:rPr>
          <w:sz w:val="24"/>
          <w:szCs w:val="24"/>
        </w:rPr>
      </w:pPr>
      <w:r>
        <w:rPr>
          <w:sz w:val="24"/>
          <w:szCs w:val="24"/>
        </w:rPr>
        <w:t>具体故障级别及对应的应急响应要求如下：</w:t>
      </w:r>
    </w:p>
    <w:p>
      <w:pPr>
        <w:pStyle w:val="17"/>
        <w:spacing w:line="360" w:lineRule="auto"/>
        <w:ind w:firstLine="480"/>
        <w:rPr>
          <w:sz w:val="24"/>
          <w:szCs w:val="24"/>
        </w:rPr>
      </w:pPr>
      <w:r>
        <w:rPr>
          <w:sz w:val="24"/>
          <w:szCs w:val="24"/>
        </w:rPr>
        <w:t>一级故障：在1小时内确诊，总故障解决时间不超过4小时。</w:t>
      </w:r>
    </w:p>
    <w:p>
      <w:pPr>
        <w:pStyle w:val="17"/>
        <w:spacing w:line="360" w:lineRule="auto"/>
        <w:ind w:firstLine="480"/>
        <w:rPr>
          <w:sz w:val="24"/>
          <w:szCs w:val="24"/>
        </w:rPr>
      </w:pPr>
      <w:r>
        <w:rPr>
          <w:sz w:val="24"/>
          <w:szCs w:val="24"/>
        </w:rPr>
        <w:t>二级故障：在2小时内确诊，并在4小时内由专家到达现场确诊并解决，总故障解决时间不超过8小时；</w:t>
      </w:r>
    </w:p>
    <w:p>
      <w:pPr>
        <w:pStyle w:val="17"/>
        <w:spacing w:line="360" w:lineRule="auto"/>
        <w:ind w:firstLine="480"/>
        <w:rPr>
          <w:sz w:val="24"/>
          <w:szCs w:val="24"/>
        </w:rPr>
      </w:pPr>
      <w:r>
        <w:rPr>
          <w:sz w:val="24"/>
          <w:szCs w:val="24"/>
        </w:rPr>
        <w:t>三、四级故障：在4小时内确诊故障，总故障解决时间不超过16小时。</w:t>
      </w:r>
    </w:p>
    <w:p>
      <w:pPr>
        <w:pStyle w:val="3"/>
        <w:ind w:hanging="568"/>
      </w:pPr>
      <w:bookmarkStart w:id="56" w:name="_Toc63785507"/>
      <w:r>
        <w:t>培训要求</w:t>
      </w:r>
      <w:bookmarkEnd w:id="56"/>
    </w:p>
    <w:p>
      <w:r>
        <w:rPr>
          <w:lang w:val="zh-CN"/>
        </w:rPr>
        <w:t>供应商</w:t>
      </w:r>
      <w:r>
        <w:t>对系统使用单位提供业务操作培训，应提供详细培训方案。</w:t>
      </w:r>
      <w:r>
        <w:rPr>
          <w:lang w:val="zh-CN"/>
        </w:rPr>
        <w:t>根据学校需要，制定科学合理的培训方案，培训方案包括培训计划、培训内容及人员安排等，组织研究生院、学院、教师代表、学生代表进行集中、专项培训，确保培训人员能够理解、掌握系统操作模式和功能应用。</w:t>
      </w:r>
    </w:p>
    <w:p>
      <w:r>
        <w:t>(1)在质量保证期内，提供2次与项目相关的必要培训。</w:t>
      </w:r>
    </w:p>
    <w:p>
      <w:r>
        <w:t>(2)供应商需要开展分层次的人员培训工作，每次培训后应对参加培训人员进行测试，评估培训成果。培训应具有培训教材、培训环境和高水平的培训讲师。</w:t>
      </w:r>
    </w:p>
    <w:p>
      <w:pPr>
        <w:rPr>
          <w:strike/>
          <w:szCs w:val="21"/>
        </w:rPr>
      </w:pPr>
      <w:r>
        <w:t>(3)供应商应提供一般用户的基础操作培训和部门信息管理员的日常应用维护的培训，确保用户对象能够掌握对应的操作技能。</w:t>
      </w:r>
    </w:p>
    <w:p>
      <w:pPr>
        <w:pStyle w:val="3"/>
        <w:ind w:hanging="568"/>
      </w:pPr>
      <w:bookmarkStart w:id="57" w:name="_Toc63785509"/>
      <w:r>
        <w:t>进度要求</w:t>
      </w:r>
      <w:bookmarkEnd w:id="57"/>
    </w:p>
    <w:p>
      <w:r>
        <w:t>投标人应根据建设内容，分阶段制定合理的时间进度，并且应根据招标方要求进行调整和细化。</w:t>
      </w:r>
    </w:p>
    <w:p>
      <w:r>
        <w:t>总建设周期为3个月，分为2个阶段。</w:t>
      </w:r>
    </w:p>
    <w:p>
      <w:r>
        <w:t>第一阶段为1个月，完成项目需求调研及需求确认、系统环境部署、系统安全配置、系统集成（统一身份认证平台及数据中心）、数据初始化（基础数据预置及老业务数据迁移）。</w:t>
      </w:r>
    </w:p>
    <w:p>
      <w:r>
        <w:t>第二阶段为2个月，完成功能定制开发、功能测试、系统培训、系统试运行及正式上线、项目验收。</w:t>
      </w:r>
    </w:p>
    <w:p>
      <w:pPr>
        <w:pStyle w:val="3"/>
        <w:ind w:hanging="568"/>
      </w:pPr>
      <w:bookmarkStart w:id="58" w:name="_Toc63785510"/>
      <w:r>
        <w:t>项目团队及驻场人员要求</w:t>
      </w:r>
      <w:bookmarkEnd w:id="58"/>
    </w:p>
    <w:p>
      <w:r>
        <w:t>1）投标人须具有稳定的在职技术保障力量，能够提供及时的技术支援或服务，应针对本项目提供不少于5人的项目服务团队（包括项目经理、产品经理、技术负责人、研发等），投标单位的相关服务人员需具备相应的服务能力，需提供相关证明。</w:t>
      </w:r>
    </w:p>
    <w:p>
      <w:pPr>
        <w:rPr>
          <w:rFonts w:hint="eastAsia" w:eastAsia="宋体"/>
          <w:lang w:eastAsia="zh-CN"/>
        </w:rPr>
      </w:pPr>
      <w:r>
        <w:rPr>
          <w:rFonts w:hint="eastAsia"/>
          <w:lang w:eastAsia="zh-CN"/>
        </w:rPr>
        <w:t>项目经理具有计算机或信息系统相关专业本科或以上学历，并且具有信息系统项目管理师证书，参与实施过3项及以上同类项目的优先考虑。</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051"/>
        <w:gridCol w:w="1276"/>
        <w:gridCol w:w="1275"/>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ind w:firstLine="0" w:firstLineChars="0"/>
              <w:jc w:val="center"/>
            </w:pPr>
            <w:r>
              <w:t>角色</w:t>
            </w:r>
          </w:p>
        </w:tc>
        <w:tc>
          <w:tcPr>
            <w:tcW w:w="2051" w:type="dxa"/>
            <w:shd w:val="clear" w:color="auto" w:fill="auto"/>
            <w:noWrap/>
            <w:vAlign w:val="center"/>
          </w:tcPr>
          <w:p>
            <w:pPr>
              <w:ind w:firstLine="0" w:firstLineChars="0"/>
              <w:jc w:val="center"/>
            </w:pPr>
            <w:r>
              <w:t>主要职责</w:t>
            </w:r>
          </w:p>
        </w:tc>
        <w:tc>
          <w:tcPr>
            <w:tcW w:w="1276" w:type="dxa"/>
            <w:shd w:val="clear" w:color="auto" w:fill="auto"/>
            <w:noWrap/>
            <w:vAlign w:val="center"/>
          </w:tcPr>
          <w:p>
            <w:pPr>
              <w:ind w:firstLine="0" w:firstLineChars="0"/>
              <w:jc w:val="center"/>
            </w:pPr>
            <w:r>
              <w:t>人员数量</w:t>
            </w:r>
          </w:p>
        </w:tc>
        <w:tc>
          <w:tcPr>
            <w:tcW w:w="1275" w:type="dxa"/>
            <w:vAlign w:val="center"/>
          </w:tcPr>
          <w:p>
            <w:pPr>
              <w:ind w:firstLine="0" w:firstLineChars="0"/>
              <w:jc w:val="center"/>
            </w:pPr>
            <w:r>
              <w:t>人员要求</w:t>
            </w:r>
          </w:p>
        </w:tc>
        <w:tc>
          <w:tcPr>
            <w:tcW w:w="2750" w:type="dxa"/>
            <w:shd w:val="clear" w:color="auto" w:fill="auto"/>
            <w:noWrap/>
            <w:vAlign w:val="center"/>
          </w:tcPr>
          <w:p>
            <w:pPr>
              <w:ind w:firstLine="0" w:firstLineChars="0"/>
              <w:jc w:val="center"/>
            </w:pPr>
            <w: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ind w:firstLine="0" w:firstLineChars="0"/>
              <w:jc w:val="center"/>
            </w:pPr>
            <w:r>
              <w:t>项目经理</w:t>
            </w:r>
          </w:p>
        </w:tc>
        <w:tc>
          <w:tcPr>
            <w:tcW w:w="2051" w:type="dxa"/>
            <w:shd w:val="clear" w:color="auto" w:fill="auto"/>
            <w:vAlign w:val="center"/>
          </w:tcPr>
          <w:p>
            <w:pPr>
              <w:ind w:firstLine="0" w:firstLineChars="0"/>
              <w:jc w:val="center"/>
            </w:pPr>
            <w:r>
              <w:t>负责项目质量和进度控制</w:t>
            </w:r>
          </w:p>
        </w:tc>
        <w:tc>
          <w:tcPr>
            <w:tcW w:w="1276" w:type="dxa"/>
            <w:shd w:val="clear" w:color="auto" w:fill="auto"/>
            <w:noWrap/>
            <w:vAlign w:val="center"/>
          </w:tcPr>
          <w:p>
            <w:pPr>
              <w:ind w:firstLine="0" w:firstLineChars="0"/>
              <w:jc w:val="center"/>
            </w:pPr>
            <w:r>
              <w:t>1人</w:t>
            </w:r>
          </w:p>
        </w:tc>
        <w:tc>
          <w:tcPr>
            <w:tcW w:w="1275" w:type="dxa"/>
            <w:vAlign w:val="center"/>
          </w:tcPr>
          <w:p>
            <w:pPr>
              <w:ind w:firstLine="0" w:firstLineChars="0"/>
              <w:jc w:val="center"/>
            </w:pPr>
            <w:r>
              <w:t xml:space="preserve">/ </w:t>
            </w:r>
          </w:p>
        </w:tc>
        <w:tc>
          <w:tcPr>
            <w:tcW w:w="2750" w:type="dxa"/>
            <w:shd w:val="clear" w:color="auto" w:fill="auto"/>
            <w:noWrap/>
            <w:vAlign w:val="center"/>
          </w:tcPr>
          <w:p>
            <w:pPr>
              <w:ind w:firstLine="0" w:firstLineChars="0"/>
              <w:jc w:val="center"/>
            </w:pPr>
            <w:r>
              <w:t>日常不驻场，根据项目进度需要与甲方协商一致后驻场支持。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ind w:firstLine="0" w:firstLineChars="0"/>
              <w:jc w:val="center"/>
            </w:pPr>
            <w:r>
              <w:t>产品经理</w:t>
            </w:r>
          </w:p>
        </w:tc>
        <w:tc>
          <w:tcPr>
            <w:tcW w:w="2051" w:type="dxa"/>
            <w:shd w:val="clear" w:color="auto" w:fill="auto"/>
            <w:vAlign w:val="center"/>
          </w:tcPr>
          <w:p>
            <w:pPr>
              <w:ind w:firstLine="0" w:firstLineChars="0"/>
              <w:jc w:val="center"/>
            </w:pPr>
            <w:r>
              <w:t>负责项目需求评估与产品设计</w:t>
            </w:r>
          </w:p>
        </w:tc>
        <w:tc>
          <w:tcPr>
            <w:tcW w:w="1276" w:type="dxa"/>
            <w:shd w:val="clear" w:color="auto" w:fill="auto"/>
            <w:noWrap/>
            <w:vAlign w:val="center"/>
          </w:tcPr>
          <w:p>
            <w:pPr>
              <w:ind w:firstLine="0" w:firstLineChars="0"/>
              <w:jc w:val="center"/>
            </w:pPr>
            <w:r>
              <w:t>2人</w:t>
            </w:r>
          </w:p>
        </w:tc>
        <w:tc>
          <w:tcPr>
            <w:tcW w:w="1275" w:type="dxa"/>
            <w:vAlign w:val="center"/>
          </w:tcPr>
          <w:p>
            <w:pPr>
              <w:ind w:firstLine="0" w:firstLineChars="0"/>
              <w:jc w:val="center"/>
            </w:pPr>
            <w:r>
              <w:t>/</w:t>
            </w:r>
          </w:p>
        </w:tc>
        <w:tc>
          <w:tcPr>
            <w:tcW w:w="2750" w:type="dxa"/>
            <w:shd w:val="clear" w:color="auto" w:fill="auto"/>
            <w:noWrap/>
            <w:vAlign w:val="center"/>
          </w:tcPr>
          <w:p>
            <w:pPr>
              <w:ind w:firstLine="0" w:firstLineChars="0"/>
              <w:jc w:val="center"/>
            </w:pPr>
            <w:r>
              <w:t>日常不驻场，根据项目进度需要与甲方协商一致后驻场支持。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ind w:firstLine="0" w:firstLineChars="0"/>
              <w:jc w:val="center"/>
            </w:pPr>
            <w:r>
              <w:t>研发</w:t>
            </w:r>
          </w:p>
        </w:tc>
        <w:tc>
          <w:tcPr>
            <w:tcW w:w="2051" w:type="dxa"/>
            <w:shd w:val="clear" w:color="auto" w:fill="auto"/>
            <w:noWrap/>
            <w:vAlign w:val="center"/>
          </w:tcPr>
          <w:p>
            <w:pPr>
              <w:ind w:firstLine="0" w:firstLineChars="0"/>
              <w:jc w:val="center"/>
            </w:pPr>
            <w:r>
              <w:t>负责项目具体开发与实施</w:t>
            </w:r>
          </w:p>
        </w:tc>
        <w:tc>
          <w:tcPr>
            <w:tcW w:w="1276" w:type="dxa"/>
            <w:shd w:val="clear" w:color="auto" w:fill="auto"/>
            <w:noWrap/>
            <w:vAlign w:val="center"/>
          </w:tcPr>
          <w:p>
            <w:pPr>
              <w:ind w:firstLine="0" w:firstLineChars="0"/>
              <w:jc w:val="center"/>
            </w:pPr>
            <w:r>
              <w:t>2人</w:t>
            </w:r>
          </w:p>
        </w:tc>
        <w:tc>
          <w:tcPr>
            <w:tcW w:w="1275" w:type="dxa"/>
            <w:vAlign w:val="center"/>
          </w:tcPr>
          <w:p>
            <w:r>
              <w:t>/</w:t>
            </w:r>
          </w:p>
        </w:tc>
        <w:tc>
          <w:tcPr>
            <w:tcW w:w="2750" w:type="dxa"/>
            <w:shd w:val="clear" w:color="auto" w:fill="auto"/>
            <w:noWrap/>
            <w:vAlign w:val="center"/>
          </w:tcPr>
          <w:p>
            <w:pPr>
              <w:ind w:firstLine="0" w:firstLineChars="0"/>
              <w:jc w:val="center"/>
            </w:pPr>
            <w:r>
              <w:t>驻场</w:t>
            </w:r>
          </w:p>
        </w:tc>
      </w:tr>
    </w:tbl>
    <w:p>
      <w:r>
        <w:t>2）投标人应针对本项目提供不少于4人的质保期间支撑团队（其中技术经理1人，产品经理1人，技术工程师不少于2人）；投标人的相关服务人员需具备相应的服务能力，需提供相关证明（最近一个季度依法缴纳社保费的证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130"/>
        <w:gridCol w:w="1240"/>
        <w:gridCol w:w="1276"/>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ind w:firstLine="0" w:firstLineChars="0"/>
              <w:jc w:val="center"/>
            </w:pPr>
            <w:r>
              <w:t>角色</w:t>
            </w:r>
          </w:p>
        </w:tc>
        <w:tc>
          <w:tcPr>
            <w:tcW w:w="2130" w:type="dxa"/>
            <w:shd w:val="clear" w:color="auto" w:fill="auto"/>
            <w:noWrap/>
            <w:vAlign w:val="center"/>
          </w:tcPr>
          <w:p>
            <w:pPr>
              <w:ind w:firstLine="0" w:firstLineChars="0"/>
              <w:jc w:val="center"/>
            </w:pPr>
            <w:r>
              <w:t>主要职责</w:t>
            </w:r>
          </w:p>
        </w:tc>
        <w:tc>
          <w:tcPr>
            <w:tcW w:w="1240" w:type="dxa"/>
            <w:shd w:val="clear" w:color="auto" w:fill="auto"/>
            <w:noWrap/>
            <w:vAlign w:val="center"/>
          </w:tcPr>
          <w:p>
            <w:pPr>
              <w:ind w:firstLine="0" w:firstLineChars="0"/>
              <w:jc w:val="center"/>
            </w:pPr>
            <w:r>
              <w:t>人员数量</w:t>
            </w:r>
          </w:p>
        </w:tc>
        <w:tc>
          <w:tcPr>
            <w:tcW w:w="1276" w:type="dxa"/>
            <w:vAlign w:val="center"/>
          </w:tcPr>
          <w:p>
            <w:pPr>
              <w:ind w:firstLine="0" w:firstLineChars="0"/>
              <w:jc w:val="center"/>
            </w:pPr>
            <w:r>
              <w:t>人员要求</w:t>
            </w:r>
          </w:p>
        </w:tc>
        <w:tc>
          <w:tcPr>
            <w:tcW w:w="2466" w:type="dxa"/>
            <w:shd w:val="clear" w:color="auto" w:fill="auto"/>
            <w:noWrap/>
            <w:vAlign w:val="center"/>
          </w:tcPr>
          <w:p>
            <w:pPr>
              <w:ind w:firstLine="0" w:firstLineChars="0"/>
              <w:jc w:val="center"/>
            </w:pPr>
            <w: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ind w:firstLine="0" w:firstLineChars="0"/>
              <w:jc w:val="center"/>
            </w:pPr>
            <w:r>
              <w:t>项目经理</w:t>
            </w:r>
          </w:p>
        </w:tc>
        <w:tc>
          <w:tcPr>
            <w:tcW w:w="2130" w:type="dxa"/>
            <w:shd w:val="clear" w:color="auto" w:fill="auto"/>
            <w:vAlign w:val="center"/>
          </w:tcPr>
          <w:p>
            <w:pPr>
              <w:ind w:firstLine="0" w:firstLineChars="0"/>
              <w:jc w:val="center"/>
            </w:pPr>
            <w:r>
              <w:t>负责项目质量和进度控制</w:t>
            </w:r>
          </w:p>
        </w:tc>
        <w:tc>
          <w:tcPr>
            <w:tcW w:w="1240" w:type="dxa"/>
            <w:shd w:val="clear" w:color="auto" w:fill="auto"/>
            <w:noWrap/>
            <w:vAlign w:val="center"/>
          </w:tcPr>
          <w:p>
            <w:pPr>
              <w:ind w:firstLine="0" w:firstLineChars="0"/>
              <w:jc w:val="center"/>
            </w:pPr>
            <w:r>
              <w:t>1人</w:t>
            </w:r>
          </w:p>
        </w:tc>
        <w:tc>
          <w:tcPr>
            <w:tcW w:w="1276" w:type="dxa"/>
            <w:vAlign w:val="center"/>
          </w:tcPr>
          <w:p>
            <w:pPr>
              <w:ind w:firstLine="0" w:firstLineChars="0"/>
              <w:jc w:val="center"/>
            </w:pPr>
            <w:r>
              <w:t>/</w:t>
            </w:r>
          </w:p>
        </w:tc>
        <w:tc>
          <w:tcPr>
            <w:tcW w:w="2466" w:type="dxa"/>
            <w:shd w:val="clear" w:color="auto" w:fill="auto"/>
            <w:noWrap/>
            <w:vAlign w:val="center"/>
          </w:tcPr>
          <w:p>
            <w:pPr>
              <w:ind w:firstLine="0" w:firstLineChars="0"/>
              <w:jc w:val="center"/>
            </w:pPr>
            <w:r>
              <w:t>日常不驻场，根据项目进度需要与甲方协商一致后驻场支持。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ind w:firstLine="0" w:firstLineChars="0"/>
              <w:jc w:val="center"/>
            </w:pPr>
            <w:r>
              <w:t>产品经理</w:t>
            </w:r>
          </w:p>
        </w:tc>
        <w:tc>
          <w:tcPr>
            <w:tcW w:w="2130" w:type="dxa"/>
            <w:shd w:val="clear" w:color="auto" w:fill="auto"/>
            <w:vAlign w:val="center"/>
          </w:tcPr>
          <w:p>
            <w:pPr>
              <w:ind w:firstLine="0" w:firstLineChars="0"/>
              <w:jc w:val="center"/>
            </w:pPr>
            <w:r>
              <w:t>负责项目需求评估与产品设计</w:t>
            </w:r>
          </w:p>
        </w:tc>
        <w:tc>
          <w:tcPr>
            <w:tcW w:w="1240" w:type="dxa"/>
            <w:shd w:val="clear" w:color="auto" w:fill="auto"/>
            <w:noWrap/>
            <w:vAlign w:val="center"/>
          </w:tcPr>
          <w:p>
            <w:pPr>
              <w:ind w:firstLine="0" w:firstLineChars="0"/>
              <w:jc w:val="center"/>
            </w:pPr>
            <w:r>
              <w:t>1人</w:t>
            </w:r>
          </w:p>
        </w:tc>
        <w:tc>
          <w:tcPr>
            <w:tcW w:w="1276" w:type="dxa"/>
            <w:vAlign w:val="center"/>
          </w:tcPr>
          <w:p>
            <w:pPr>
              <w:ind w:firstLine="0" w:firstLineChars="0"/>
              <w:jc w:val="center"/>
            </w:pPr>
            <w:r>
              <w:t>/</w:t>
            </w:r>
          </w:p>
        </w:tc>
        <w:tc>
          <w:tcPr>
            <w:tcW w:w="2466" w:type="dxa"/>
            <w:shd w:val="clear" w:color="auto" w:fill="auto"/>
            <w:noWrap/>
            <w:vAlign w:val="center"/>
          </w:tcPr>
          <w:p>
            <w:pPr>
              <w:ind w:firstLine="0" w:firstLineChars="0"/>
              <w:jc w:val="center"/>
            </w:pPr>
            <w:r>
              <w:t>日常不驻场，根据项目进度需要与甲方协商一致后驻场支持。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ind w:firstLine="0" w:firstLineChars="0"/>
              <w:jc w:val="center"/>
            </w:pPr>
            <w:r>
              <w:t>技术工程师</w:t>
            </w:r>
          </w:p>
        </w:tc>
        <w:tc>
          <w:tcPr>
            <w:tcW w:w="2130" w:type="dxa"/>
            <w:shd w:val="clear" w:color="auto" w:fill="auto"/>
            <w:noWrap/>
            <w:vAlign w:val="center"/>
          </w:tcPr>
          <w:p>
            <w:pPr>
              <w:ind w:firstLine="0" w:firstLineChars="0"/>
              <w:jc w:val="center"/>
            </w:pPr>
            <w:r>
              <w:t>负责项目运行维护</w:t>
            </w:r>
          </w:p>
        </w:tc>
        <w:tc>
          <w:tcPr>
            <w:tcW w:w="1240" w:type="dxa"/>
            <w:shd w:val="clear" w:color="auto" w:fill="auto"/>
            <w:noWrap/>
            <w:vAlign w:val="center"/>
          </w:tcPr>
          <w:p>
            <w:pPr>
              <w:ind w:firstLine="0" w:firstLineChars="0"/>
              <w:jc w:val="center"/>
            </w:pPr>
            <w:r>
              <w:t>2人</w:t>
            </w:r>
          </w:p>
        </w:tc>
        <w:tc>
          <w:tcPr>
            <w:tcW w:w="1276" w:type="dxa"/>
            <w:vAlign w:val="center"/>
          </w:tcPr>
          <w:p>
            <w:pPr>
              <w:ind w:firstLine="0" w:firstLineChars="0"/>
              <w:jc w:val="center"/>
            </w:pPr>
            <w:r>
              <w:t>/</w:t>
            </w:r>
          </w:p>
        </w:tc>
        <w:tc>
          <w:tcPr>
            <w:tcW w:w="2466" w:type="dxa"/>
            <w:shd w:val="clear" w:color="auto" w:fill="auto"/>
            <w:noWrap/>
            <w:vAlign w:val="center"/>
          </w:tcPr>
          <w:p>
            <w:pPr>
              <w:ind w:firstLine="0" w:firstLineChars="0"/>
              <w:jc w:val="center"/>
            </w:pPr>
            <w:r>
              <w:t>日常不驻场，根据项目进度需要与甲方协商一致后驻场支持。</w:t>
            </w:r>
          </w:p>
        </w:tc>
      </w:tr>
    </w:tbl>
    <w:p>
      <w:pPr>
        <w:pStyle w:val="3"/>
        <w:ind w:hanging="568"/>
      </w:pPr>
      <w:bookmarkStart w:id="59" w:name="_Toc63785511"/>
      <w:r>
        <w:t>等级保护要求</w:t>
      </w:r>
      <w:bookmarkEnd w:id="59"/>
    </w:p>
    <w:p>
      <w:r>
        <w:t>本项目等级保护要求：本项目系统建设符合国家信息系统安全等级保护（二级）备案要求。</w:t>
      </w:r>
    </w:p>
    <w:p>
      <w:pPr>
        <w:pStyle w:val="3"/>
        <w:ind w:hanging="568"/>
      </w:pPr>
      <w:r>
        <w:t>商业密码应用需求</w:t>
      </w:r>
    </w:p>
    <w:p>
      <w:r>
        <w:t>商用密码应用需求包括如下内容：用户身份认证机制、用户访问控制信息签名验签、应用系统重要数据签名验签、应用系统重要数据加解密、服务器虚拟机设备日志/访问控制信息完整性。</w:t>
      </w:r>
    </w:p>
    <w:p>
      <w:pPr>
        <w:pStyle w:val="3"/>
        <w:ind w:hanging="568"/>
      </w:pPr>
      <w:bookmarkStart w:id="60" w:name="_Toc63785512"/>
      <w:r>
        <w:t>技术文件要求</w:t>
      </w:r>
    </w:p>
    <w:p>
      <w:r>
        <w:t>投标人提供的书面技术资料应能确保系统正常运行所需的管理、运营及维护有关的全套文件。技术文件应该全面、完整、详细。投标人提供的技术文件至少应包括：</w:t>
      </w:r>
    </w:p>
    <w:p>
      <w:r>
        <w:t xml:space="preserve">－ 系统说明文件； </w:t>
      </w:r>
    </w:p>
    <w:p>
      <w:r>
        <w:t xml:space="preserve">－ 技术手册(安装、测试、操作、维护、故障排除等)； </w:t>
      </w:r>
    </w:p>
    <w:p>
      <w:r>
        <w:t>－ 项目文档，应该包括：</w:t>
      </w:r>
    </w:p>
    <w:p>
      <w:r>
        <w:t>(1)软件需求说明书</w:t>
      </w:r>
    </w:p>
    <w:p>
      <w:r>
        <w:t>(2)</w:t>
      </w:r>
      <w:r>
        <w:tab/>
      </w:r>
      <w:r>
        <w:t>系统总体设计说明书</w:t>
      </w:r>
    </w:p>
    <w:p>
      <w:r>
        <w:t>(3)</w:t>
      </w:r>
      <w:r>
        <w:tab/>
      </w:r>
      <w:r>
        <w:t>应用软件功能清单</w:t>
      </w:r>
    </w:p>
    <w:p>
      <w:pPr>
        <w:pStyle w:val="18"/>
        <w:rPr>
          <w:strike/>
        </w:rPr>
      </w:pPr>
      <w:r>
        <w:t>提供全套技术文件纸介质3套以及电子文件1套。</w:t>
      </w:r>
      <w:bookmarkEnd w:id="60"/>
    </w:p>
    <w:p>
      <w:pPr>
        <w:pStyle w:val="3"/>
        <w:ind w:hanging="568"/>
      </w:pPr>
      <w:r>
        <w:t>企业综合实力要求</w:t>
      </w:r>
    </w:p>
    <w:p>
      <w:r>
        <w:t>1、供应商具有与本项目相关的（研究生管理系统、研究生培养管理、研究生专业实践管理、研究生奖学金管理、企业级软件开发平台类、学生管理类）软件著作权登记证书的优先考虑。</w:t>
      </w:r>
    </w:p>
    <w:p>
      <w:pPr>
        <w:rPr>
          <w:bCs w:val="0"/>
        </w:rPr>
      </w:pPr>
      <w:r>
        <w:t>2、供应商具备信息技术服务标准（ITSS）认证证书、ISO27001</w:t>
      </w:r>
      <w:r>
        <w:rPr>
          <w:rFonts w:hint="eastAsia"/>
        </w:rPr>
        <w:t>（GB/T 22080）</w:t>
      </w:r>
      <w:r>
        <w:t>信息安全管理体系认证证书的优先考虑。</w:t>
      </w:r>
    </w:p>
    <w:p>
      <w:pPr>
        <w:pStyle w:val="18"/>
      </w:pPr>
    </w:p>
    <w:p/>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56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9"/>
          <w:ind w:firstLine="360"/>
          <w:jc w:val="center"/>
        </w:pPr>
        <w:r>
          <w:fldChar w:fldCharType="begin"/>
        </w:r>
        <w:r>
          <w:instrText xml:space="preserve">PAGE   \* MERGEFORMAT</w:instrText>
        </w:r>
        <w:r>
          <w:fldChar w:fldCharType="separate"/>
        </w:r>
        <w:r>
          <w:rPr>
            <w:lang w:val="zh-CN"/>
          </w:rPr>
          <w:t>4</w:t>
        </w:r>
        <w:r>
          <w:fldChar w:fldCharType="end"/>
        </w:r>
      </w:p>
    </w:sdtContent>
  </w:sdt>
  <w:p>
    <w:pPr>
      <w:pStyle w:val="9"/>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p/>
  <w:p/>
  <w:p/>
  <w:p/>
  <w:p/>
  <w:p/>
  <w:p/>
  <w:p/>
  <w:p/>
  <w:p/>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p/>
  <w:p/>
  <w:p/>
  <w:p/>
  <w:p/>
  <w:p/>
  <w:p/>
  <w:p/>
  <w:p/>
  <w:p/>
  <w:p/>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p>
    <w:pPr>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A1F79"/>
    <w:multiLevelType w:val="singleLevel"/>
    <w:tmpl w:val="872A1F79"/>
    <w:lvl w:ilvl="0" w:tentative="0">
      <w:start w:val="1"/>
      <w:numFmt w:val="decimal"/>
      <w:lvlText w:val="%1、"/>
      <w:lvlJc w:val="left"/>
      <w:pPr>
        <w:ind w:left="988" w:hanging="420"/>
      </w:pPr>
      <w:rPr>
        <w:rFonts w:hint="default"/>
      </w:rPr>
    </w:lvl>
  </w:abstractNum>
  <w:abstractNum w:abstractNumId="1">
    <w:nsid w:val="A7D56FDB"/>
    <w:multiLevelType w:val="multilevel"/>
    <w:tmpl w:val="A7D56FD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E3129CC3"/>
    <w:multiLevelType w:val="singleLevel"/>
    <w:tmpl w:val="E3129CC3"/>
    <w:lvl w:ilvl="0" w:tentative="0">
      <w:start w:val="1"/>
      <w:numFmt w:val="decimal"/>
      <w:lvlText w:val="(%1)"/>
      <w:lvlJc w:val="left"/>
      <w:pPr>
        <w:ind w:left="420" w:hanging="420"/>
      </w:pPr>
      <w:rPr>
        <w:rFonts w:hint="default"/>
      </w:rPr>
    </w:lvl>
  </w:abstractNum>
  <w:abstractNum w:abstractNumId="3">
    <w:nsid w:val="E37161D6"/>
    <w:multiLevelType w:val="singleLevel"/>
    <w:tmpl w:val="E37161D6"/>
    <w:lvl w:ilvl="0" w:tentative="0">
      <w:start w:val="1"/>
      <w:numFmt w:val="decimal"/>
      <w:suff w:val="nothing"/>
      <w:lvlText w:val="%1、"/>
      <w:lvlJc w:val="left"/>
    </w:lvl>
  </w:abstractNum>
  <w:abstractNum w:abstractNumId="4">
    <w:nsid w:val="020936DF"/>
    <w:multiLevelType w:val="multilevel"/>
    <w:tmpl w:val="020936DF"/>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8F963E3"/>
    <w:multiLevelType w:val="multilevel"/>
    <w:tmpl w:val="08F963E3"/>
    <w:lvl w:ilvl="0" w:tentative="0">
      <w:start w:val="1"/>
      <w:numFmt w:val="decimal"/>
      <w:lvlText w:val="%1、"/>
      <w:lvlJc w:val="left"/>
      <w:pPr>
        <w:ind w:left="1288" w:hanging="720"/>
      </w:pPr>
      <w:rPr>
        <w:rFonts w:hint="default"/>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6">
    <w:nsid w:val="145D78B9"/>
    <w:multiLevelType w:val="singleLevel"/>
    <w:tmpl w:val="145D78B9"/>
    <w:lvl w:ilvl="0" w:tentative="0">
      <w:start w:val="1"/>
      <w:numFmt w:val="decimal"/>
      <w:lvlText w:val="(%1)"/>
      <w:lvlJc w:val="left"/>
      <w:pPr>
        <w:ind w:left="425" w:hanging="425"/>
      </w:pPr>
      <w:rPr>
        <w:rFonts w:hint="default"/>
      </w:rPr>
    </w:lvl>
  </w:abstractNum>
  <w:abstractNum w:abstractNumId="7">
    <w:nsid w:val="6179369F"/>
    <w:multiLevelType w:val="multilevel"/>
    <w:tmpl w:val="6179369F"/>
    <w:lvl w:ilvl="0" w:tentative="0">
      <w:start w:val="1"/>
      <w:numFmt w:val="decimal"/>
      <w:lvlText w:val="%1、"/>
      <w:lvlJc w:val="left"/>
      <w:pPr>
        <w:ind w:left="1288" w:hanging="720"/>
      </w:pPr>
      <w:rPr>
        <w:rFonts w:hint="default"/>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8">
    <w:nsid w:val="63126AD4"/>
    <w:multiLevelType w:val="multilevel"/>
    <w:tmpl w:val="63126AD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993"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10">
    <w:nsid w:val="6C8671AF"/>
    <w:multiLevelType w:val="singleLevel"/>
    <w:tmpl w:val="6C8671AF"/>
    <w:lvl w:ilvl="0" w:tentative="0">
      <w:start w:val="1"/>
      <w:numFmt w:val="decimal"/>
      <w:lvlText w:val="(%1)"/>
      <w:lvlJc w:val="left"/>
      <w:pPr>
        <w:ind w:left="425" w:hanging="425"/>
      </w:pPr>
      <w:rPr>
        <w:rFonts w:hint="default"/>
      </w:rPr>
    </w:lvl>
  </w:abstractNum>
  <w:abstractNum w:abstractNumId="11">
    <w:nsid w:val="72A31A7F"/>
    <w:multiLevelType w:val="singleLevel"/>
    <w:tmpl w:val="72A31A7F"/>
    <w:lvl w:ilvl="0" w:tentative="0">
      <w:start w:val="1"/>
      <w:numFmt w:val="decimal"/>
      <w:suff w:val="nothing"/>
      <w:lvlText w:val="%1、"/>
      <w:lvlJc w:val="left"/>
    </w:lvl>
  </w:abstractNum>
  <w:num w:numId="1">
    <w:abstractNumId w:val="9"/>
  </w:num>
  <w:num w:numId="2">
    <w:abstractNumId w:val="7"/>
  </w:num>
  <w:num w:numId="3">
    <w:abstractNumId w:val="5"/>
  </w:num>
  <w:num w:numId="4">
    <w:abstractNumId w:val="3"/>
  </w:num>
  <w:num w:numId="5">
    <w:abstractNumId w:val="11"/>
  </w:num>
  <w:num w:numId="6">
    <w:abstractNumId w:val="1"/>
  </w:num>
  <w:num w:numId="7">
    <w:abstractNumId w:val="10"/>
  </w:num>
  <w:num w:numId="8">
    <w:abstractNumId w:val="6"/>
  </w:num>
  <w:num w:numId="9">
    <w:abstractNumId w:val="8"/>
  </w:num>
  <w:num w:numId="10">
    <w:abstractNumId w:val="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OTMyYmVkNDBiZGZjOTJjNzg0ZTljMGM2NGM1NWEifQ=="/>
  </w:docVars>
  <w:rsids>
    <w:rsidRoot w:val="00BB621D"/>
    <w:rsid w:val="000000D6"/>
    <w:rsid w:val="000002E7"/>
    <w:rsid w:val="00001556"/>
    <w:rsid w:val="00003A2C"/>
    <w:rsid w:val="000045AC"/>
    <w:rsid w:val="00004944"/>
    <w:rsid w:val="00004D48"/>
    <w:rsid w:val="000059B4"/>
    <w:rsid w:val="00006082"/>
    <w:rsid w:val="00012A78"/>
    <w:rsid w:val="00013290"/>
    <w:rsid w:val="00015394"/>
    <w:rsid w:val="00015674"/>
    <w:rsid w:val="00016FFF"/>
    <w:rsid w:val="0001797F"/>
    <w:rsid w:val="0002035A"/>
    <w:rsid w:val="000210AA"/>
    <w:rsid w:val="000234A4"/>
    <w:rsid w:val="00030665"/>
    <w:rsid w:val="00030949"/>
    <w:rsid w:val="000317CB"/>
    <w:rsid w:val="00032414"/>
    <w:rsid w:val="00032D3E"/>
    <w:rsid w:val="00033289"/>
    <w:rsid w:val="00036065"/>
    <w:rsid w:val="00040B63"/>
    <w:rsid w:val="00040CD5"/>
    <w:rsid w:val="000439BD"/>
    <w:rsid w:val="000457CF"/>
    <w:rsid w:val="00045D6C"/>
    <w:rsid w:val="00045FD6"/>
    <w:rsid w:val="00046F04"/>
    <w:rsid w:val="00047914"/>
    <w:rsid w:val="0005281E"/>
    <w:rsid w:val="00053048"/>
    <w:rsid w:val="0005433A"/>
    <w:rsid w:val="000548F1"/>
    <w:rsid w:val="00054B0F"/>
    <w:rsid w:val="000566F3"/>
    <w:rsid w:val="000577C0"/>
    <w:rsid w:val="00057891"/>
    <w:rsid w:val="00057F3F"/>
    <w:rsid w:val="00061C5B"/>
    <w:rsid w:val="000669ED"/>
    <w:rsid w:val="00070956"/>
    <w:rsid w:val="00071C42"/>
    <w:rsid w:val="0007510A"/>
    <w:rsid w:val="0008068E"/>
    <w:rsid w:val="00081FBB"/>
    <w:rsid w:val="00084B41"/>
    <w:rsid w:val="00093121"/>
    <w:rsid w:val="00097653"/>
    <w:rsid w:val="000A4647"/>
    <w:rsid w:val="000A5696"/>
    <w:rsid w:val="000A7294"/>
    <w:rsid w:val="000B0A79"/>
    <w:rsid w:val="000B1B2D"/>
    <w:rsid w:val="000B341E"/>
    <w:rsid w:val="000B4A58"/>
    <w:rsid w:val="000B6B60"/>
    <w:rsid w:val="000C1A24"/>
    <w:rsid w:val="000C4861"/>
    <w:rsid w:val="000C5C00"/>
    <w:rsid w:val="000C6C4A"/>
    <w:rsid w:val="000D0CC4"/>
    <w:rsid w:val="000D3DCB"/>
    <w:rsid w:val="000D6C2C"/>
    <w:rsid w:val="000D7441"/>
    <w:rsid w:val="000E01AB"/>
    <w:rsid w:val="000E5046"/>
    <w:rsid w:val="000E79BC"/>
    <w:rsid w:val="000F04CB"/>
    <w:rsid w:val="000F13E1"/>
    <w:rsid w:val="000F793C"/>
    <w:rsid w:val="0010033B"/>
    <w:rsid w:val="0010600A"/>
    <w:rsid w:val="00107332"/>
    <w:rsid w:val="001078EC"/>
    <w:rsid w:val="0011338E"/>
    <w:rsid w:val="00117D65"/>
    <w:rsid w:val="00120C31"/>
    <w:rsid w:val="001236FD"/>
    <w:rsid w:val="00123A86"/>
    <w:rsid w:val="0012457F"/>
    <w:rsid w:val="00124FDB"/>
    <w:rsid w:val="001256B4"/>
    <w:rsid w:val="001269AD"/>
    <w:rsid w:val="00130964"/>
    <w:rsid w:val="0013161C"/>
    <w:rsid w:val="0013245E"/>
    <w:rsid w:val="00132488"/>
    <w:rsid w:val="0013358F"/>
    <w:rsid w:val="00135E1F"/>
    <w:rsid w:val="00143A09"/>
    <w:rsid w:val="001451D8"/>
    <w:rsid w:val="00145D90"/>
    <w:rsid w:val="001517F9"/>
    <w:rsid w:val="0015224A"/>
    <w:rsid w:val="001525AD"/>
    <w:rsid w:val="00152662"/>
    <w:rsid w:val="00153E15"/>
    <w:rsid w:val="00155947"/>
    <w:rsid w:val="00155DAF"/>
    <w:rsid w:val="00156929"/>
    <w:rsid w:val="0016354B"/>
    <w:rsid w:val="00163B13"/>
    <w:rsid w:val="00165067"/>
    <w:rsid w:val="001658DB"/>
    <w:rsid w:val="00165B3F"/>
    <w:rsid w:val="00165D4B"/>
    <w:rsid w:val="001673F1"/>
    <w:rsid w:val="00167C6F"/>
    <w:rsid w:val="001710FF"/>
    <w:rsid w:val="00172A2F"/>
    <w:rsid w:val="00173437"/>
    <w:rsid w:val="001738C7"/>
    <w:rsid w:val="00174259"/>
    <w:rsid w:val="00174AD1"/>
    <w:rsid w:val="00174E82"/>
    <w:rsid w:val="00175645"/>
    <w:rsid w:val="00175AF2"/>
    <w:rsid w:val="00177E9F"/>
    <w:rsid w:val="001820A5"/>
    <w:rsid w:val="00182C37"/>
    <w:rsid w:val="00183C4A"/>
    <w:rsid w:val="00183CE9"/>
    <w:rsid w:val="001841B1"/>
    <w:rsid w:val="00187A72"/>
    <w:rsid w:val="00187EB4"/>
    <w:rsid w:val="00190BA6"/>
    <w:rsid w:val="00190FB4"/>
    <w:rsid w:val="00191E8C"/>
    <w:rsid w:val="00194346"/>
    <w:rsid w:val="001948C9"/>
    <w:rsid w:val="00197760"/>
    <w:rsid w:val="001A273B"/>
    <w:rsid w:val="001A2894"/>
    <w:rsid w:val="001A2B91"/>
    <w:rsid w:val="001A4329"/>
    <w:rsid w:val="001B0DA8"/>
    <w:rsid w:val="001B28A0"/>
    <w:rsid w:val="001B2E14"/>
    <w:rsid w:val="001B74B3"/>
    <w:rsid w:val="001C11EC"/>
    <w:rsid w:val="001C3189"/>
    <w:rsid w:val="001C368E"/>
    <w:rsid w:val="001C5035"/>
    <w:rsid w:val="001C6A4C"/>
    <w:rsid w:val="001C73AB"/>
    <w:rsid w:val="001C7AAF"/>
    <w:rsid w:val="001D0923"/>
    <w:rsid w:val="001D34FD"/>
    <w:rsid w:val="001D3BE1"/>
    <w:rsid w:val="001D4EFC"/>
    <w:rsid w:val="001D66E3"/>
    <w:rsid w:val="001D70B7"/>
    <w:rsid w:val="001E319A"/>
    <w:rsid w:val="001E326E"/>
    <w:rsid w:val="001E40C8"/>
    <w:rsid w:val="001E6478"/>
    <w:rsid w:val="001E7E9C"/>
    <w:rsid w:val="001F1529"/>
    <w:rsid w:val="001F180D"/>
    <w:rsid w:val="001F24A8"/>
    <w:rsid w:val="001F2945"/>
    <w:rsid w:val="001F38F4"/>
    <w:rsid w:val="001F4754"/>
    <w:rsid w:val="001F4D02"/>
    <w:rsid w:val="001F71E3"/>
    <w:rsid w:val="002003B9"/>
    <w:rsid w:val="00200CA3"/>
    <w:rsid w:val="00201FE0"/>
    <w:rsid w:val="00202D9F"/>
    <w:rsid w:val="00203231"/>
    <w:rsid w:val="002050F7"/>
    <w:rsid w:val="002064E7"/>
    <w:rsid w:val="00207C16"/>
    <w:rsid w:val="00210121"/>
    <w:rsid w:val="002115D5"/>
    <w:rsid w:val="00211688"/>
    <w:rsid w:val="00214F6C"/>
    <w:rsid w:val="0023039C"/>
    <w:rsid w:val="0023231A"/>
    <w:rsid w:val="00234977"/>
    <w:rsid w:val="002372D9"/>
    <w:rsid w:val="00237AFE"/>
    <w:rsid w:val="0024345C"/>
    <w:rsid w:val="00252976"/>
    <w:rsid w:val="00253599"/>
    <w:rsid w:val="002570CC"/>
    <w:rsid w:val="00257DE1"/>
    <w:rsid w:val="002609F6"/>
    <w:rsid w:val="00263430"/>
    <w:rsid w:val="00263678"/>
    <w:rsid w:val="00263878"/>
    <w:rsid w:val="00263F61"/>
    <w:rsid w:val="00263FE4"/>
    <w:rsid w:val="002643E7"/>
    <w:rsid w:val="00264A50"/>
    <w:rsid w:val="00266948"/>
    <w:rsid w:val="00267440"/>
    <w:rsid w:val="00270626"/>
    <w:rsid w:val="00270E4F"/>
    <w:rsid w:val="00275B66"/>
    <w:rsid w:val="00276AC2"/>
    <w:rsid w:val="00280AE6"/>
    <w:rsid w:val="00281B45"/>
    <w:rsid w:val="002847A3"/>
    <w:rsid w:val="002854EA"/>
    <w:rsid w:val="00285E5B"/>
    <w:rsid w:val="00287C66"/>
    <w:rsid w:val="0029007F"/>
    <w:rsid w:val="002922E1"/>
    <w:rsid w:val="002926D6"/>
    <w:rsid w:val="00292A73"/>
    <w:rsid w:val="00296B85"/>
    <w:rsid w:val="002A2DC5"/>
    <w:rsid w:val="002A44A7"/>
    <w:rsid w:val="002A5499"/>
    <w:rsid w:val="002A5C76"/>
    <w:rsid w:val="002B15B3"/>
    <w:rsid w:val="002B190A"/>
    <w:rsid w:val="002B2CDF"/>
    <w:rsid w:val="002B35E8"/>
    <w:rsid w:val="002B379F"/>
    <w:rsid w:val="002B431D"/>
    <w:rsid w:val="002B5D2F"/>
    <w:rsid w:val="002B6BC4"/>
    <w:rsid w:val="002C47C8"/>
    <w:rsid w:val="002C4B4F"/>
    <w:rsid w:val="002C7D66"/>
    <w:rsid w:val="002D1373"/>
    <w:rsid w:val="002D3024"/>
    <w:rsid w:val="002D45ED"/>
    <w:rsid w:val="002D6247"/>
    <w:rsid w:val="002E29AD"/>
    <w:rsid w:val="002E39E5"/>
    <w:rsid w:val="002E4218"/>
    <w:rsid w:val="002F069B"/>
    <w:rsid w:val="002F0F82"/>
    <w:rsid w:val="002F1A4F"/>
    <w:rsid w:val="002F3651"/>
    <w:rsid w:val="002F3683"/>
    <w:rsid w:val="002F3FE0"/>
    <w:rsid w:val="002F5EDA"/>
    <w:rsid w:val="002F75D6"/>
    <w:rsid w:val="002F7BDB"/>
    <w:rsid w:val="00300B4D"/>
    <w:rsid w:val="00302B23"/>
    <w:rsid w:val="00303C9F"/>
    <w:rsid w:val="00303F3C"/>
    <w:rsid w:val="00304D9C"/>
    <w:rsid w:val="00304F98"/>
    <w:rsid w:val="00306619"/>
    <w:rsid w:val="0030777F"/>
    <w:rsid w:val="00310B16"/>
    <w:rsid w:val="003122E2"/>
    <w:rsid w:val="003137B6"/>
    <w:rsid w:val="003140A5"/>
    <w:rsid w:val="00315240"/>
    <w:rsid w:val="003154E4"/>
    <w:rsid w:val="003174A0"/>
    <w:rsid w:val="003174AF"/>
    <w:rsid w:val="00320BB0"/>
    <w:rsid w:val="0032291C"/>
    <w:rsid w:val="003250DD"/>
    <w:rsid w:val="00325324"/>
    <w:rsid w:val="00327F54"/>
    <w:rsid w:val="003304AE"/>
    <w:rsid w:val="00331714"/>
    <w:rsid w:val="003325E4"/>
    <w:rsid w:val="0033298B"/>
    <w:rsid w:val="00332CDB"/>
    <w:rsid w:val="00334ED6"/>
    <w:rsid w:val="00335A41"/>
    <w:rsid w:val="00335EAF"/>
    <w:rsid w:val="0034004B"/>
    <w:rsid w:val="00341024"/>
    <w:rsid w:val="00343939"/>
    <w:rsid w:val="003478B3"/>
    <w:rsid w:val="00350626"/>
    <w:rsid w:val="003534A1"/>
    <w:rsid w:val="00357823"/>
    <w:rsid w:val="00362BE8"/>
    <w:rsid w:val="003632F9"/>
    <w:rsid w:val="003633E8"/>
    <w:rsid w:val="0036440E"/>
    <w:rsid w:val="00366BB9"/>
    <w:rsid w:val="00370467"/>
    <w:rsid w:val="00370F82"/>
    <w:rsid w:val="003713C0"/>
    <w:rsid w:val="0037298E"/>
    <w:rsid w:val="00372DBE"/>
    <w:rsid w:val="003736D4"/>
    <w:rsid w:val="003754E4"/>
    <w:rsid w:val="00375635"/>
    <w:rsid w:val="00376B90"/>
    <w:rsid w:val="0038027B"/>
    <w:rsid w:val="00380BD6"/>
    <w:rsid w:val="00381E4F"/>
    <w:rsid w:val="00382BA0"/>
    <w:rsid w:val="00382FDB"/>
    <w:rsid w:val="00384814"/>
    <w:rsid w:val="0038544E"/>
    <w:rsid w:val="00387A23"/>
    <w:rsid w:val="0039182C"/>
    <w:rsid w:val="003927DE"/>
    <w:rsid w:val="00392D90"/>
    <w:rsid w:val="00393580"/>
    <w:rsid w:val="00393855"/>
    <w:rsid w:val="003948BB"/>
    <w:rsid w:val="00395938"/>
    <w:rsid w:val="00396DF7"/>
    <w:rsid w:val="003A06A6"/>
    <w:rsid w:val="003A0CE2"/>
    <w:rsid w:val="003A0EFF"/>
    <w:rsid w:val="003A4831"/>
    <w:rsid w:val="003B00B7"/>
    <w:rsid w:val="003B239F"/>
    <w:rsid w:val="003B3062"/>
    <w:rsid w:val="003B4AF1"/>
    <w:rsid w:val="003B547A"/>
    <w:rsid w:val="003C2145"/>
    <w:rsid w:val="003C5B28"/>
    <w:rsid w:val="003C6BFE"/>
    <w:rsid w:val="003C7896"/>
    <w:rsid w:val="003C7EE8"/>
    <w:rsid w:val="003D1DED"/>
    <w:rsid w:val="003D1E63"/>
    <w:rsid w:val="003D33D1"/>
    <w:rsid w:val="003D39F8"/>
    <w:rsid w:val="003D4E24"/>
    <w:rsid w:val="003E1F90"/>
    <w:rsid w:val="003E2263"/>
    <w:rsid w:val="003E2CBD"/>
    <w:rsid w:val="003E4320"/>
    <w:rsid w:val="003E6EE7"/>
    <w:rsid w:val="003E798E"/>
    <w:rsid w:val="003F1D90"/>
    <w:rsid w:val="003F3782"/>
    <w:rsid w:val="003F421B"/>
    <w:rsid w:val="003F5ACC"/>
    <w:rsid w:val="003F735F"/>
    <w:rsid w:val="003F7D96"/>
    <w:rsid w:val="00402051"/>
    <w:rsid w:val="00402A04"/>
    <w:rsid w:val="004058E9"/>
    <w:rsid w:val="00405ABD"/>
    <w:rsid w:val="00405E21"/>
    <w:rsid w:val="004078EA"/>
    <w:rsid w:val="00407A90"/>
    <w:rsid w:val="00413904"/>
    <w:rsid w:val="00414200"/>
    <w:rsid w:val="00424F62"/>
    <w:rsid w:val="0042609A"/>
    <w:rsid w:val="00433288"/>
    <w:rsid w:val="004333D9"/>
    <w:rsid w:val="00433597"/>
    <w:rsid w:val="00434B57"/>
    <w:rsid w:val="00435D7C"/>
    <w:rsid w:val="004368B0"/>
    <w:rsid w:val="00437648"/>
    <w:rsid w:val="00440F5A"/>
    <w:rsid w:val="00441300"/>
    <w:rsid w:val="00441636"/>
    <w:rsid w:val="004432AB"/>
    <w:rsid w:val="00444732"/>
    <w:rsid w:val="00444CD6"/>
    <w:rsid w:val="00445AD0"/>
    <w:rsid w:val="00450E54"/>
    <w:rsid w:val="004531D1"/>
    <w:rsid w:val="00454F06"/>
    <w:rsid w:val="00455B5E"/>
    <w:rsid w:val="004624C8"/>
    <w:rsid w:val="004626FD"/>
    <w:rsid w:val="00465B31"/>
    <w:rsid w:val="00466E4A"/>
    <w:rsid w:val="00467224"/>
    <w:rsid w:val="00470B63"/>
    <w:rsid w:val="00473B32"/>
    <w:rsid w:val="00474233"/>
    <w:rsid w:val="00480690"/>
    <w:rsid w:val="0048179F"/>
    <w:rsid w:val="004822DF"/>
    <w:rsid w:val="0048331A"/>
    <w:rsid w:val="004838E0"/>
    <w:rsid w:val="00484626"/>
    <w:rsid w:val="00484F89"/>
    <w:rsid w:val="0049157E"/>
    <w:rsid w:val="004948FC"/>
    <w:rsid w:val="00495154"/>
    <w:rsid w:val="0049664C"/>
    <w:rsid w:val="00496C77"/>
    <w:rsid w:val="004A1EB2"/>
    <w:rsid w:val="004A245C"/>
    <w:rsid w:val="004A2774"/>
    <w:rsid w:val="004A3265"/>
    <w:rsid w:val="004A3F4C"/>
    <w:rsid w:val="004A4338"/>
    <w:rsid w:val="004A6049"/>
    <w:rsid w:val="004A7812"/>
    <w:rsid w:val="004A7F25"/>
    <w:rsid w:val="004B1338"/>
    <w:rsid w:val="004B1A23"/>
    <w:rsid w:val="004B1BA3"/>
    <w:rsid w:val="004B20D3"/>
    <w:rsid w:val="004B2C06"/>
    <w:rsid w:val="004B2D3D"/>
    <w:rsid w:val="004B30F3"/>
    <w:rsid w:val="004B3749"/>
    <w:rsid w:val="004B39E3"/>
    <w:rsid w:val="004B44F6"/>
    <w:rsid w:val="004B6EE9"/>
    <w:rsid w:val="004C0798"/>
    <w:rsid w:val="004C12A4"/>
    <w:rsid w:val="004C14E2"/>
    <w:rsid w:val="004C2A63"/>
    <w:rsid w:val="004C3CFA"/>
    <w:rsid w:val="004C45F0"/>
    <w:rsid w:val="004C5C1D"/>
    <w:rsid w:val="004C5ED9"/>
    <w:rsid w:val="004C6136"/>
    <w:rsid w:val="004C713B"/>
    <w:rsid w:val="004D20D6"/>
    <w:rsid w:val="004D65E9"/>
    <w:rsid w:val="004E030C"/>
    <w:rsid w:val="004E5D90"/>
    <w:rsid w:val="004E6241"/>
    <w:rsid w:val="004F0C38"/>
    <w:rsid w:val="004F18CD"/>
    <w:rsid w:val="004F1C08"/>
    <w:rsid w:val="004F2203"/>
    <w:rsid w:val="004F4BD7"/>
    <w:rsid w:val="004F5B8D"/>
    <w:rsid w:val="004F6173"/>
    <w:rsid w:val="00500E0F"/>
    <w:rsid w:val="005042C0"/>
    <w:rsid w:val="00505B72"/>
    <w:rsid w:val="00507EBE"/>
    <w:rsid w:val="005121BF"/>
    <w:rsid w:val="005123D8"/>
    <w:rsid w:val="00512D45"/>
    <w:rsid w:val="00513174"/>
    <w:rsid w:val="00515616"/>
    <w:rsid w:val="005158BA"/>
    <w:rsid w:val="00516122"/>
    <w:rsid w:val="005164A2"/>
    <w:rsid w:val="00516FD4"/>
    <w:rsid w:val="0051711F"/>
    <w:rsid w:val="00520BEB"/>
    <w:rsid w:val="00520F1F"/>
    <w:rsid w:val="0052124C"/>
    <w:rsid w:val="00521534"/>
    <w:rsid w:val="005234CE"/>
    <w:rsid w:val="00523597"/>
    <w:rsid w:val="00526854"/>
    <w:rsid w:val="0052748E"/>
    <w:rsid w:val="00530983"/>
    <w:rsid w:val="00530F20"/>
    <w:rsid w:val="005325E6"/>
    <w:rsid w:val="00532C59"/>
    <w:rsid w:val="005330D3"/>
    <w:rsid w:val="005338E5"/>
    <w:rsid w:val="00534BF4"/>
    <w:rsid w:val="00537412"/>
    <w:rsid w:val="00540214"/>
    <w:rsid w:val="00540F80"/>
    <w:rsid w:val="00541874"/>
    <w:rsid w:val="0054203A"/>
    <w:rsid w:val="00542DDD"/>
    <w:rsid w:val="00545B2C"/>
    <w:rsid w:val="00546AF0"/>
    <w:rsid w:val="00552A4F"/>
    <w:rsid w:val="00556963"/>
    <w:rsid w:val="00560994"/>
    <w:rsid w:val="00560C54"/>
    <w:rsid w:val="005627A0"/>
    <w:rsid w:val="00563554"/>
    <w:rsid w:val="00566203"/>
    <w:rsid w:val="005666B5"/>
    <w:rsid w:val="005673FB"/>
    <w:rsid w:val="00570793"/>
    <w:rsid w:val="005715AB"/>
    <w:rsid w:val="005718E5"/>
    <w:rsid w:val="00574727"/>
    <w:rsid w:val="0057495C"/>
    <w:rsid w:val="00576CE0"/>
    <w:rsid w:val="005779CC"/>
    <w:rsid w:val="00577DF3"/>
    <w:rsid w:val="00582D51"/>
    <w:rsid w:val="00583642"/>
    <w:rsid w:val="00586DB1"/>
    <w:rsid w:val="005923C2"/>
    <w:rsid w:val="0059330B"/>
    <w:rsid w:val="00593429"/>
    <w:rsid w:val="0059362D"/>
    <w:rsid w:val="0059401A"/>
    <w:rsid w:val="00594429"/>
    <w:rsid w:val="005A1FB2"/>
    <w:rsid w:val="005A285F"/>
    <w:rsid w:val="005A4284"/>
    <w:rsid w:val="005A6F40"/>
    <w:rsid w:val="005A7545"/>
    <w:rsid w:val="005B12A5"/>
    <w:rsid w:val="005B38FA"/>
    <w:rsid w:val="005C15FB"/>
    <w:rsid w:val="005C36EF"/>
    <w:rsid w:val="005D1065"/>
    <w:rsid w:val="005D38B0"/>
    <w:rsid w:val="005D49C9"/>
    <w:rsid w:val="005D4A14"/>
    <w:rsid w:val="005E0ADB"/>
    <w:rsid w:val="005E35E3"/>
    <w:rsid w:val="005E4560"/>
    <w:rsid w:val="005E4850"/>
    <w:rsid w:val="005E4D55"/>
    <w:rsid w:val="005F3628"/>
    <w:rsid w:val="005F3B54"/>
    <w:rsid w:val="005F429B"/>
    <w:rsid w:val="005F5BC4"/>
    <w:rsid w:val="005F71A6"/>
    <w:rsid w:val="005F725B"/>
    <w:rsid w:val="005F7A47"/>
    <w:rsid w:val="006005E4"/>
    <w:rsid w:val="00600687"/>
    <w:rsid w:val="00601290"/>
    <w:rsid w:val="00603FA2"/>
    <w:rsid w:val="00604F34"/>
    <w:rsid w:val="00605DD7"/>
    <w:rsid w:val="00606859"/>
    <w:rsid w:val="006068FA"/>
    <w:rsid w:val="00610252"/>
    <w:rsid w:val="00610E3B"/>
    <w:rsid w:val="00614034"/>
    <w:rsid w:val="00614414"/>
    <w:rsid w:val="00617D43"/>
    <w:rsid w:val="00620E3E"/>
    <w:rsid w:val="0062103A"/>
    <w:rsid w:val="00621D5D"/>
    <w:rsid w:val="00622DBF"/>
    <w:rsid w:val="0062508B"/>
    <w:rsid w:val="00625AAF"/>
    <w:rsid w:val="00626D54"/>
    <w:rsid w:val="0063423E"/>
    <w:rsid w:val="00636474"/>
    <w:rsid w:val="006374CC"/>
    <w:rsid w:val="00637D92"/>
    <w:rsid w:val="0064129B"/>
    <w:rsid w:val="00650E90"/>
    <w:rsid w:val="0065568A"/>
    <w:rsid w:val="0065575D"/>
    <w:rsid w:val="00655871"/>
    <w:rsid w:val="00655DD2"/>
    <w:rsid w:val="006619FB"/>
    <w:rsid w:val="0066521F"/>
    <w:rsid w:val="006668DB"/>
    <w:rsid w:val="00666E09"/>
    <w:rsid w:val="00667FEF"/>
    <w:rsid w:val="00670267"/>
    <w:rsid w:val="00670F04"/>
    <w:rsid w:val="0067193E"/>
    <w:rsid w:val="00675762"/>
    <w:rsid w:val="0067578E"/>
    <w:rsid w:val="0067639B"/>
    <w:rsid w:val="00676943"/>
    <w:rsid w:val="00677044"/>
    <w:rsid w:val="00681DD7"/>
    <w:rsid w:val="00684C01"/>
    <w:rsid w:val="006851DE"/>
    <w:rsid w:val="00685480"/>
    <w:rsid w:val="00685E9C"/>
    <w:rsid w:val="00686C29"/>
    <w:rsid w:val="006919AB"/>
    <w:rsid w:val="00691E8E"/>
    <w:rsid w:val="00692096"/>
    <w:rsid w:val="0069539B"/>
    <w:rsid w:val="006A075A"/>
    <w:rsid w:val="006A0FDE"/>
    <w:rsid w:val="006A3266"/>
    <w:rsid w:val="006A4A76"/>
    <w:rsid w:val="006A612E"/>
    <w:rsid w:val="006A67E5"/>
    <w:rsid w:val="006A7453"/>
    <w:rsid w:val="006B04B6"/>
    <w:rsid w:val="006B1633"/>
    <w:rsid w:val="006B6176"/>
    <w:rsid w:val="006B7445"/>
    <w:rsid w:val="006B78D2"/>
    <w:rsid w:val="006B7914"/>
    <w:rsid w:val="006C0786"/>
    <w:rsid w:val="006C45CF"/>
    <w:rsid w:val="006C5873"/>
    <w:rsid w:val="006C7825"/>
    <w:rsid w:val="006C7DCD"/>
    <w:rsid w:val="006D2589"/>
    <w:rsid w:val="006D4F53"/>
    <w:rsid w:val="006D62E9"/>
    <w:rsid w:val="006D6AAC"/>
    <w:rsid w:val="006D7A8E"/>
    <w:rsid w:val="006D7F09"/>
    <w:rsid w:val="006E2B49"/>
    <w:rsid w:val="006E3472"/>
    <w:rsid w:val="006E4DE4"/>
    <w:rsid w:val="006E5550"/>
    <w:rsid w:val="006E5BE5"/>
    <w:rsid w:val="006E6937"/>
    <w:rsid w:val="006E7E1D"/>
    <w:rsid w:val="006F1C91"/>
    <w:rsid w:val="006F39D0"/>
    <w:rsid w:val="006F748B"/>
    <w:rsid w:val="006F7CCC"/>
    <w:rsid w:val="00701467"/>
    <w:rsid w:val="007014CB"/>
    <w:rsid w:val="00701531"/>
    <w:rsid w:val="00701BC2"/>
    <w:rsid w:val="00702583"/>
    <w:rsid w:val="00710CFE"/>
    <w:rsid w:val="0071394F"/>
    <w:rsid w:val="00714A56"/>
    <w:rsid w:val="007160D4"/>
    <w:rsid w:val="0071610F"/>
    <w:rsid w:val="00721C99"/>
    <w:rsid w:val="00723554"/>
    <w:rsid w:val="007245B2"/>
    <w:rsid w:val="0072630B"/>
    <w:rsid w:val="00727D2F"/>
    <w:rsid w:val="007324F2"/>
    <w:rsid w:val="00732A9E"/>
    <w:rsid w:val="00733F97"/>
    <w:rsid w:val="00734353"/>
    <w:rsid w:val="007355ED"/>
    <w:rsid w:val="00735647"/>
    <w:rsid w:val="00740FBC"/>
    <w:rsid w:val="00741618"/>
    <w:rsid w:val="007418D6"/>
    <w:rsid w:val="007419DB"/>
    <w:rsid w:val="00742F35"/>
    <w:rsid w:val="00743A6D"/>
    <w:rsid w:val="007440C7"/>
    <w:rsid w:val="00744A86"/>
    <w:rsid w:val="0074514F"/>
    <w:rsid w:val="00745C1F"/>
    <w:rsid w:val="0074758F"/>
    <w:rsid w:val="00751B1E"/>
    <w:rsid w:val="00754533"/>
    <w:rsid w:val="00763604"/>
    <w:rsid w:val="00765380"/>
    <w:rsid w:val="007659B4"/>
    <w:rsid w:val="0076769C"/>
    <w:rsid w:val="00767C8F"/>
    <w:rsid w:val="0077289A"/>
    <w:rsid w:val="00773D98"/>
    <w:rsid w:val="00774370"/>
    <w:rsid w:val="00775388"/>
    <w:rsid w:val="0077558C"/>
    <w:rsid w:val="007826F2"/>
    <w:rsid w:val="00785068"/>
    <w:rsid w:val="00792839"/>
    <w:rsid w:val="007932D8"/>
    <w:rsid w:val="007943B8"/>
    <w:rsid w:val="00796674"/>
    <w:rsid w:val="007974C5"/>
    <w:rsid w:val="007A45AB"/>
    <w:rsid w:val="007A4A9C"/>
    <w:rsid w:val="007A5C97"/>
    <w:rsid w:val="007A6DD3"/>
    <w:rsid w:val="007B2364"/>
    <w:rsid w:val="007B3A1D"/>
    <w:rsid w:val="007B59DF"/>
    <w:rsid w:val="007B70AC"/>
    <w:rsid w:val="007C463A"/>
    <w:rsid w:val="007C5B6B"/>
    <w:rsid w:val="007C5E58"/>
    <w:rsid w:val="007C6562"/>
    <w:rsid w:val="007C7CA2"/>
    <w:rsid w:val="007D069F"/>
    <w:rsid w:val="007D3516"/>
    <w:rsid w:val="007D431F"/>
    <w:rsid w:val="007D44CD"/>
    <w:rsid w:val="007D62A5"/>
    <w:rsid w:val="007E2238"/>
    <w:rsid w:val="007E24C2"/>
    <w:rsid w:val="007E2E83"/>
    <w:rsid w:val="007E38D1"/>
    <w:rsid w:val="007E4E88"/>
    <w:rsid w:val="007E7264"/>
    <w:rsid w:val="007F0E4E"/>
    <w:rsid w:val="007F54BE"/>
    <w:rsid w:val="007F5C27"/>
    <w:rsid w:val="007F701B"/>
    <w:rsid w:val="007F71C3"/>
    <w:rsid w:val="007F736E"/>
    <w:rsid w:val="008053B3"/>
    <w:rsid w:val="0081022F"/>
    <w:rsid w:val="00811622"/>
    <w:rsid w:val="00816A18"/>
    <w:rsid w:val="00817BF1"/>
    <w:rsid w:val="008201EF"/>
    <w:rsid w:val="008229A6"/>
    <w:rsid w:val="00824378"/>
    <w:rsid w:val="008243AF"/>
    <w:rsid w:val="0082495F"/>
    <w:rsid w:val="0082759B"/>
    <w:rsid w:val="00827EF4"/>
    <w:rsid w:val="00830597"/>
    <w:rsid w:val="0083108C"/>
    <w:rsid w:val="00832ECC"/>
    <w:rsid w:val="008333FF"/>
    <w:rsid w:val="00834D84"/>
    <w:rsid w:val="008377EE"/>
    <w:rsid w:val="00841095"/>
    <w:rsid w:val="00842C00"/>
    <w:rsid w:val="00842CA3"/>
    <w:rsid w:val="00842DB7"/>
    <w:rsid w:val="008439E1"/>
    <w:rsid w:val="0084424C"/>
    <w:rsid w:val="00844276"/>
    <w:rsid w:val="00844E20"/>
    <w:rsid w:val="00845148"/>
    <w:rsid w:val="00846F43"/>
    <w:rsid w:val="00852131"/>
    <w:rsid w:val="00853543"/>
    <w:rsid w:val="00853A4D"/>
    <w:rsid w:val="00853D5F"/>
    <w:rsid w:val="0085421F"/>
    <w:rsid w:val="00854399"/>
    <w:rsid w:val="00854BDF"/>
    <w:rsid w:val="008551D4"/>
    <w:rsid w:val="00857A87"/>
    <w:rsid w:val="008610A0"/>
    <w:rsid w:val="00861E24"/>
    <w:rsid w:val="0086266B"/>
    <w:rsid w:val="00863BC2"/>
    <w:rsid w:val="00867CB7"/>
    <w:rsid w:val="00872A5B"/>
    <w:rsid w:val="0087405D"/>
    <w:rsid w:val="00874761"/>
    <w:rsid w:val="008758B6"/>
    <w:rsid w:val="008761D2"/>
    <w:rsid w:val="008800EC"/>
    <w:rsid w:val="0088186B"/>
    <w:rsid w:val="00882076"/>
    <w:rsid w:val="00883BC7"/>
    <w:rsid w:val="0088559C"/>
    <w:rsid w:val="00885C80"/>
    <w:rsid w:val="00887F05"/>
    <w:rsid w:val="00891662"/>
    <w:rsid w:val="00891DFB"/>
    <w:rsid w:val="008926CA"/>
    <w:rsid w:val="008945E7"/>
    <w:rsid w:val="00894B69"/>
    <w:rsid w:val="008955A4"/>
    <w:rsid w:val="00897784"/>
    <w:rsid w:val="00897D9B"/>
    <w:rsid w:val="008A16EF"/>
    <w:rsid w:val="008A4D05"/>
    <w:rsid w:val="008A4E31"/>
    <w:rsid w:val="008B2390"/>
    <w:rsid w:val="008B45D5"/>
    <w:rsid w:val="008B4806"/>
    <w:rsid w:val="008B52C7"/>
    <w:rsid w:val="008B56C0"/>
    <w:rsid w:val="008C1455"/>
    <w:rsid w:val="008C2AFE"/>
    <w:rsid w:val="008C5601"/>
    <w:rsid w:val="008D073B"/>
    <w:rsid w:val="008D1CF1"/>
    <w:rsid w:val="008D21D5"/>
    <w:rsid w:val="008D3F40"/>
    <w:rsid w:val="008D4F61"/>
    <w:rsid w:val="008D521F"/>
    <w:rsid w:val="008D5AB6"/>
    <w:rsid w:val="008D73D3"/>
    <w:rsid w:val="008E05CB"/>
    <w:rsid w:val="008E063D"/>
    <w:rsid w:val="008E0661"/>
    <w:rsid w:val="008E54D6"/>
    <w:rsid w:val="008E5AB2"/>
    <w:rsid w:val="008F00F6"/>
    <w:rsid w:val="008F1898"/>
    <w:rsid w:val="008F2B57"/>
    <w:rsid w:val="008F3B42"/>
    <w:rsid w:val="008F54F4"/>
    <w:rsid w:val="008F57E7"/>
    <w:rsid w:val="008F6225"/>
    <w:rsid w:val="008F6A14"/>
    <w:rsid w:val="0090025F"/>
    <w:rsid w:val="0090251B"/>
    <w:rsid w:val="009065B1"/>
    <w:rsid w:val="0091027D"/>
    <w:rsid w:val="00910840"/>
    <w:rsid w:val="00911D22"/>
    <w:rsid w:val="00912227"/>
    <w:rsid w:val="00913104"/>
    <w:rsid w:val="00913ADF"/>
    <w:rsid w:val="009162E5"/>
    <w:rsid w:val="00917664"/>
    <w:rsid w:val="00920B9B"/>
    <w:rsid w:val="009215F3"/>
    <w:rsid w:val="009225EC"/>
    <w:rsid w:val="00923B7E"/>
    <w:rsid w:val="00924350"/>
    <w:rsid w:val="00924D43"/>
    <w:rsid w:val="00924F74"/>
    <w:rsid w:val="00925BDD"/>
    <w:rsid w:val="00926284"/>
    <w:rsid w:val="0093083B"/>
    <w:rsid w:val="00933A99"/>
    <w:rsid w:val="00933E48"/>
    <w:rsid w:val="009370A2"/>
    <w:rsid w:val="00937484"/>
    <w:rsid w:val="00937843"/>
    <w:rsid w:val="00937978"/>
    <w:rsid w:val="00937AC1"/>
    <w:rsid w:val="00940809"/>
    <w:rsid w:val="00941F06"/>
    <w:rsid w:val="00942676"/>
    <w:rsid w:val="00945A57"/>
    <w:rsid w:val="00946C04"/>
    <w:rsid w:val="00946CBA"/>
    <w:rsid w:val="00947BB7"/>
    <w:rsid w:val="00950D31"/>
    <w:rsid w:val="009541FF"/>
    <w:rsid w:val="0095495B"/>
    <w:rsid w:val="00955FCE"/>
    <w:rsid w:val="0095613F"/>
    <w:rsid w:val="0096114E"/>
    <w:rsid w:val="0096389B"/>
    <w:rsid w:val="009654F2"/>
    <w:rsid w:val="009669AE"/>
    <w:rsid w:val="00967E66"/>
    <w:rsid w:val="00972EBF"/>
    <w:rsid w:val="00973B39"/>
    <w:rsid w:val="00974976"/>
    <w:rsid w:val="00974F76"/>
    <w:rsid w:val="009761C5"/>
    <w:rsid w:val="009763F2"/>
    <w:rsid w:val="0097653F"/>
    <w:rsid w:val="009777EF"/>
    <w:rsid w:val="00977AA3"/>
    <w:rsid w:val="00980D43"/>
    <w:rsid w:val="00980F22"/>
    <w:rsid w:val="009813B6"/>
    <w:rsid w:val="00981A13"/>
    <w:rsid w:val="00981D76"/>
    <w:rsid w:val="00981F41"/>
    <w:rsid w:val="0098470E"/>
    <w:rsid w:val="0098477F"/>
    <w:rsid w:val="00984A7C"/>
    <w:rsid w:val="009903C9"/>
    <w:rsid w:val="009923B6"/>
    <w:rsid w:val="00995C19"/>
    <w:rsid w:val="009962C1"/>
    <w:rsid w:val="0099695F"/>
    <w:rsid w:val="0099786D"/>
    <w:rsid w:val="009A0207"/>
    <w:rsid w:val="009A3BCD"/>
    <w:rsid w:val="009A3F00"/>
    <w:rsid w:val="009A4451"/>
    <w:rsid w:val="009A5741"/>
    <w:rsid w:val="009B0612"/>
    <w:rsid w:val="009B1143"/>
    <w:rsid w:val="009B184B"/>
    <w:rsid w:val="009B307B"/>
    <w:rsid w:val="009B5585"/>
    <w:rsid w:val="009B568F"/>
    <w:rsid w:val="009B5A95"/>
    <w:rsid w:val="009C00C4"/>
    <w:rsid w:val="009C0235"/>
    <w:rsid w:val="009C2CA6"/>
    <w:rsid w:val="009C32B3"/>
    <w:rsid w:val="009C412E"/>
    <w:rsid w:val="009C482A"/>
    <w:rsid w:val="009C5131"/>
    <w:rsid w:val="009C5CB9"/>
    <w:rsid w:val="009C5CDC"/>
    <w:rsid w:val="009C5D0D"/>
    <w:rsid w:val="009C5EE4"/>
    <w:rsid w:val="009C5EED"/>
    <w:rsid w:val="009D0AB6"/>
    <w:rsid w:val="009D1531"/>
    <w:rsid w:val="009D240A"/>
    <w:rsid w:val="009D2DBF"/>
    <w:rsid w:val="009D2FE4"/>
    <w:rsid w:val="009D69FB"/>
    <w:rsid w:val="009D7705"/>
    <w:rsid w:val="009E139E"/>
    <w:rsid w:val="009E1811"/>
    <w:rsid w:val="009E1F8C"/>
    <w:rsid w:val="009E278A"/>
    <w:rsid w:val="009E3027"/>
    <w:rsid w:val="009E4506"/>
    <w:rsid w:val="009E509D"/>
    <w:rsid w:val="009E6BE7"/>
    <w:rsid w:val="009E7122"/>
    <w:rsid w:val="009E788D"/>
    <w:rsid w:val="009F03E2"/>
    <w:rsid w:val="009F38F3"/>
    <w:rsid w:val="009F4600"/>
    <w:rsid w:val="009F4F18"/>
    <w:rsid w:val="009F5417"/>
    <w:rsid w:val="00A00AE5"/>
    <w:rsid w:val="00A00E1C"/>
    <w:rsid w:val="00A0283E"/>
    <w:rsid w:val="00A04E32"/>
    <w:rsid w:val="00A139A5"/>
    <w:rsid w:val="00A14003"/>
    <w:rsid w:val="00A145CE"/>
    <w:rsid w:val="00A20336"/>
    <w:rsid w:val="00A218B0"/>
    <w:rsid w:val="00A254CF"/>
    <w:rsid w:val="00A2698F"/>
    <w:rsid w:val="00A3074E"/>
    <w:rsid w:val="00A31909"/>
    <w:rsid w:val="00A31F8B"/>
    <w:rsid w:val="00A32D5B"/>
    <w:rsid w:val="00A367F7"/>
    <w:rsid w:val="00A373BA"/>
    <w:rsid w:val="00A40738"/>
    <w:rsid w:val="00A417A9"/>
    <w:rsid w:val="00A417C4"/>
    <w:rsid w:val="00A44797"/>
    <w:rsid w:val="00A4599C"/>
    <w:rsid w:val="00A45CA0"/>
    <w:rsid w:val="00A475A0"/>
    <w:rsid w:val="00A50FA2"/>
    <w:rsid w:val="00A531D4"/>
    <w:rsid w:val="00A558DD"/>
    <w:rsid w:val="00A57011"/>
    <w:rsid w:val="00A57AEF"/>
    <w:rsid w:val="00A60E4B"/>
    <w:rsid w:val="00A63CBF"/>
    <w:rsid w:val="00A64AAC"/>
    <w:rsid w:val="00A64E6A"/>
    <w:rsid w:val="00A6623C"/>
    <w:rsid w:val="00A672A6"/>
    <w:rsid w:val="00A717AE"/>
    <w:rsid w:val="00A7422E"/>
    <w:rsid w:val="00A74D97"/>
    <w:rsid w:val="00A751A4"/>
    <w:rsid w:val="00A75392"/>
    <w:rsid w:val="00A77A97"/>
    <w:rsid w:val="00A80916"/>
    <w:rsid w:val="00A8213E"/>
    <w:rsid w:val="00A8276D"/>
    <w:rsid w:val="00A85281"/>
    <w:rsid w:val="00A85306"/>
    <w:rsid w:val="00A863BF"/>
    <w:rsid w:val="00A873C5"/>
    <w:rsid w:val="00A915CD"/>
    <w:rsid w:val="00A91B9A"/>
    <w:rsid w:val="00A9202F"/>
    <w:rsid w:val="00A94ED6"/>
    <w:rsid w:val="00AA0380"/>
    <w:rsid w:val="00AA0D5A"/>
    <w:rsid w:val="00AA1C07"/>
    <w:rsid w:val="00AA1E36"/>
    <w:rsid w:val="00AA1F92"/>
    <w:rsid w:val="00AA3E0A"/>
    <w:rsid w:val="00AA6B36"/>
    <w:rsid w:val="00AA754B"/>
    <w:rsid w:val="00AB0D16"/>
    <w:rsid w:val="00AB2565"/>
    <w:rsid w:val="00AB2F99"/>
    <w:rsid w:val="00AB3250"/>
    <w:rsid w:val="00AB3722"/>
    <w:rsid w:val="00AB3EEC"/>
    <w:rsid w:val="00AB420E"/>
    <w:rsid w:val="00AB542F"/>
    <w:rsid w:val="00AC0686"/>
    <w:rsid w:val="00AC14EC"/>
    <w:rsid w:val="00AC166A"/>
    <w:rsid w:val="00AC3635"/>
    <w:rsid w:val="00AC46AF"/>
    <w:rsid w:val="00AC5DBB"/>
    <w:rsid w:val="00AC6325"/>
    <w:rsid w:val="00AC751A"/>
    <w:rsid w:val="00AD2B0C"/>
    <w:rsid w:val="00AD73A1"/>
    <w:rsid w:val="00AD7D7F"/>
    <w:rsid w:val="00AE3285"/>
    <w:rsid w:val="00AE397E"/>
    <w:rsid w:val="00AE39E1"/>
    <w:rsid w:val="00AE4370"/>
    <w:rsid w:val="00AE7806"/>
    <w:rsid w:val="00AE7884"/>
    <w:rsid w:val="00AF37E9"/>
    <w:rsid w:val="00AF43D2"/>
    <w:rsid w:val="00AF7912"/>
    <w:rsid w:val="00B00447"/>
    <w:rsid w:val="00B01A4F"/>
    <w:rsid w:val="00B01B57"/>
    <w:rsid w:val="00B01C8B"/>
    <w:rsid w:val="00B01D6C"/>
    <w:rsid w:val="00B06215"/>
    <w:rsid w:val="00B14A87"/>
    <w:rsid w:val="00B1675B"/>
    <w:rsid w:val="00B2040A"/>
    <w:rsid w:val="00B207C3"/>
    <w:rsid w:val="00B20F8F"/>
    <w:rsid w:val="00B21007"/>
    <w:rsid w:val="00B21E3B"/>
    <w:rsid w:val="00B250A6"/>
    <w:rsid w:val="00B27C71"/>
    <w:rsid w:val="00B31AD6"/>
    <w:rsid w:val="00B33120"/>
    <w:rsid w:val="00B341B6"/>
    <w:rsid w:val="00B35B8F"/>
    <w:rsid w:val="00B36185"/>
    <w:rsid w:val="00B37E45"/>
    <w:rsid w:val="00B4302B"/>
    <w:rsid w:val="00B43DFC"/>
    <w:rsid w:val="00B45C2B"/>
    <w:rsid w:val="00B47044"/>
    <w:rsid w:val="00B51A4E"/>
    <w:rsid w:val="00B534F7"/>
    <w:rsid w:val="00B54725"/>
    <w:rsid w:val="00B64BEA"/>
    <w:rsid w:val="00B66F7E"/>
    <w:rsid w:val="00B70813"/>
    <w:rsid w:val="00B70CAA"/>
    <w:rsid w:val="00B71529"/>
    <w:rsid w:val="00B71BDC"/>
    <w:rsid w:val="00B7275A"/>
    <w:rsid w:val="00B740FC"/>
    <w:rsid w:val="00B7450A"/>
    <w:rsid w:val="00B76170"/>
    <w:rsid w:val="00B770D8"/>
    <w:rsid w:val="00B806F0"/>
    <w:rsid w:val="00B82D0A"/>
    <w:rsid w:val="00B84962"/>
    <w:rsid w:val="00B85AA9"/>
    <w:rsid w:val="00B870DB"/>
    <w:rsid w:val="00B90386"/>
    <w:rsid w:val="00B91EF5"/>
    <w:rsid w:val="00B921BF"/>
    <w:rsid w:val="00B92F31"/>
    <w:rsid w:val="00B93490"/>
    <w:rsid w:val="00B94DD4"/>
    <w:rsid w:val="00B964D8"/>
    <w:rsid w:val="00B96697"/>
    <w:rsid w:val="00BA1577"/>
    <w:rsid w:val="00BA2A87"/>
    <w:rsid w:val="00BA48D3"/>
    <w:rsid w:val="00BA4DE7"/>
    <w:rsid w:val="00BA57D7"/>
    <w:rsid w:val="00BB033C"/>
    <w:rsid w:val="00BB0453"/>
    <w:rsid w:val="00BB089B"/>
    <w:rsid w:val="00BB08AB"/>
    <w:rsid w:val="00BB3686"/>
    <w:rsid w:val="00BB3BB2"/>
    <w:rsid w:val="00BB5478"/>
    <w:rsid w:val="00BB621D"/>
    <w:rsid w:val="00BB70DB"/>
    <w:rsid w:val="00BC13F9"/>
    <w:rsid w:val="00BC1805"/>
    <w:rsid w:val="00BC18BC"/>
    <w:rsid w:val="00BC25BB"/>
    <w:rsid w:val="00BC6759"/>
    <w:rsid w:val="00BC7A4B"/>
    <w:rsid w:val="00BC7CB2"/>
    <w:rsid w:val="00BD14ED"/>
    <w:rsid w:val="00BD1CE6"/>
    <w:rsid w:val="00BD2855"/>
    <w:rsid w:val="00BD3DD5"/>
    <w:rsid w:val="00BE07AD"/>
    <w:rsid w:val="00BE1825"/>
    <w:rsid w:val="00BE1CA5"/>
    <w:rsid w:val="00BE2027"/>
    <w:rsid w:val="00BE5285"/>
    <w:rsid w:val="00BE6AAB"/>
    <w:rsid w:val="00BE7B8F"/>
    <w:rsid w:val="00BF11DE"/>
    <w:rsid w:val="00BF2F88"/>
    <w:rsid w:val="00BF3E28"/>
    <w:rsid w:val="00BF4079"/>
    <w:rsid w:val="00C00790"/>
    <w:rsid w:val="00C016EC"/>
    <w:rsid w:val="00C01949"/>
    <w:rsid w:val="00C030AB"/>
    <w:rsid w:val="00C0451F"/>
    <w:rsid w:val="00C0587D"/>
    <w:rsid w:val="00C05ADE"/>
    <w:rsid w:val="00C11AED"/>
    <w:rsid w:val="00C11D17"/>
    <w:rsid w:val="00C13520"/>
    <w:rsid w:val="00C1416E"/>
    <w:rsid w:val="00C14D0C"/>
    <w:rsid w:val="00C15A4B"/>
    <w:rsid w:val="00C168E6"/>
    <w:rsid w:val="00C16F1E"/>
    <w:rsid w:val="00C16F6D"/>
    <w:rsid w:val="00C174A1"/>
    <w:rsid w:val="00C175BE"/>
    <w:rsid w:val="00C17C0A"/>
    <w:rsid w:val="00C202D8"/>
    <w:rsid w:val="00C20496"/>
    <w:rsid w:val="00C204AD"/>
    <w:rsid w:val="00C22200"/>
    <w:rsid w:val="00C22F1C"/>
    <w:rsid w:val="00C31184"/>
    <w:rsid w:val="00C311BF"/>
    <w:rsid w:val="00C315DB"/>
    <w:rsid w:val="00C34EC1"/>
    <w:rsid w:val="00C36309"/>
    <w:rsid w:val="00C374A4"/>
    <w:rsid w:val="00C401EC"/>
    <w:rsid w:val="00C43224"/>
    <w:rsid w:val="00C46CE9"/>
    <w:rsid w:val="00C53440"/>
    <w:rsid w:val="00C551D2"/>
    <w:rsid w:val="00C5580D"/>
    <w:rsid w:val="00C56F2E"/>
    <w:rsid w:val="00C57041"/>
    <w:rsid w:val="00C6156C"/>
    <w:rsid w:val="00C73C74"/>
    <w:rsid w:val="00C7775D"/>
    <w:rsid w:val="00C80D42"/>
    <w:rsid w:val="00C80FE9"/>
    <w:rsid w:val="00C8227D"/>
    <w:rsid w:val="00C8276D"/>
    <w:rsid w:val="00C8447C"/>
    <w:rsid w:val="00C862CF"/>
    <w:rsid w:val="00C8798C"/>
    <w:rsid w:val="00C9158E"/>
    <w:rsid w:val="00C91D5C"/>
    <w:rsid w:val="00C94ACE"/>
    <w:rsid w:val="00C960EF"/>
    <w:rsid w:val="00CA0133"/>
    <w:rsid w:val="00CA17AA"/>
    <w:rsid w:val="00CA3B28"/>
    <w:rsid w:val="00CA5ACC"/>
    <w:rsid w:val="00CA5B88"/>
    <w:rsid w:val="00CA7561"/>
    <w:rsid w:val="00CA75E2"/>
    <w:rsid w:val="00CB0A68"/>
    <w:rsid w:val="00CB12D8"/>
    <w:rsid w:val="00CB2C0A"/>
    <w:rsid w:val="00CB4B96"/>
    <w:rsid w:val="00CB7D83"/>
    <w:rsid w:val="00CB7DD6"/>
    <w:rsid w:val="00CB7E49"/>
    <w:rsid w:val="00CC04EE"/>
    <w:rsid w:val="00CD0B8E"/>
    <w:rsid w:val="00CD0EDC"/>
    <w:rsid w:val="00CD1CE1"/>
    <w:rsid w:val="00CD2341"/>
    <w:rsid w:val="00CD29D7"/>
    <w:rsid w:val="00CD34E3"/>
    <w:rsid w:val="00CD5110"/>
    <w:rsid w:val="00CD688A"/>
    <w:rsid w:val="00CD7BBD"/>
    <w:rsid w:val="00CE06D1"/>
    <w:rsid w:val="00CE0A02"/>
    <w:rsid w:val="00CE31A3"/>
    <w:rsid w:val="00CE3D43"/>
    <w:rsid w:val="00CE4135"/>
    <w:rsid w:val="00CE69FF"/>
    <w:rsid w:val="00CF1670"/>
    <w:rsid w:val="00CF3BE4"/>
    <w:rsid w:val="00CF40F9"/>
    <w:rsid w:val="00CF6484"/>
    <w:rsid w:val="00D04860"/>
    <w:rsid w:val="00D056EB"/>
    <w:rsid w:val="00D05EC8"/>
    <w:rsid w:val="00D07C3D"/>
    <w:rsid w:val="00D11456"/>
    <w:rsid w:val="00D119DA"/>
    <w:rsid w:val="00D160D4"/>
    <w:rsid w:val="00D1615E"/>
    <w:rsid w:val="00D1783B"/>
    <w:rsid w:val="00D17EA4"/>
    <w:rsid w:val="00D2322F"/>
    <w:rsid w:val="00D241E7"/>
    <w:rsid w:val="00D24693"/>
    <w:rsid w:val="00D24894"/>
    <w:rsid w:val="00D255DC"/>
    <w:rsid w:val="00D26018"/>
    <w:rsid w:val="00D36A5F"/>
    <w:rsid w:val="00D42201"/>
    <w:rsid w:val="00D43085"/>
    <w:rsid w:val="00D53E76"/>
    <w:rsid w:val="00D70FBA"/>
    <w:rsid w:val="00D726D9"/>
    <w:rsid w:val="00D73A7B"/>
    <w:rsid w:val="00D741E1"/>
    <w:rsid w:val="00D772D5"/>
    <w:rsid w:val="00D77E58"/>
    <w:rsid w:val="00D8242C"/>
    <w:rsid w:val="00D83318"/>
    <w:rsid w:val="00D84FD6"/>
    <w:rsid w:val="00D877CF"/>
    <w:rsid w:val="00D9270F"/>
    <w:rsid w:val="00D953DD"/>
    <w:rsid w:val="00D96667"/>
    <w:rsid w:val="00DA0E05"/>
    <w:rsid w:val="00DA1069"/>
    <w:rsid w:val="00DA5041"/>
    <w:rsid w:val="00DA57CC"/>
    <w:rsid w:val="00DA7560"/>
    <w:rsid w:val="00DA7853"/>
    <w:rsid w:val="00DB03AB"/>
    <w:rsid w:val="00DB09C1"/>
    <w:rsid w:val="00DB4CB8"/>
    <w:rsid w:val="00DB5C99"/>
    <w:rsid w:val="00DB5EC5"/>
    <w:rsid w:val="00DB5FB4"/>
    <w:rsid w:val="00DB5FDE"/>
    <w:rsid w:val="00DB672F"/>
    <w:rsid w:val="00DB6E37"/>
    <w:rsid w:val="00DC0926"/>
    <w:rsid w:val="00DC14DC"/>
    <w:rsid w:val="00DC2596"/>
    <w:rsid w:val="00DC4085"/>
    <w:rsid w:val="00DC555B"/>
    <w:rsid w:val="00DC65A7"/>
    <w:rsid w:val="00DC65AD"/>
    <w:rsid w:val="00DD203C"/>
    <w:rsid w:val="00DD4721"/>
    <w:rsid w:val="00DD4C2A"/>
    <w:rsid w:val="00DD4CC5"/>
    <w:rsid w:val="00DD58CC"/>
    <w:rsid w:val="00DD62DD"/>
    <w:rsid w:val="00DD6970"/>
    <w:rsid w:val="00DD6B99"/>
    <w:rsid w:val="00DE0198"/>
    <w:rsid w:val="00DE40FB"/>
    <w:rsid w:val="00DE58B2"/>
    <w:rsid w:val="00DE6A5E"/>
    <w:rsid w:val="00DF0AA4"/>
    <w:rsid w:val="00DF1F3F"/>
    <w:rsid w:val="00DF44C7"/>
    <w:rsid w:val="00DF4C06"/>
    <w:rsid w:val="00DF5047"/>
    <w:rsid w:val="00DF6826"/>
    <w:rsid w:val="00DF769C"/>
    <w:rsid w:val="00E00E6B"/>
    <w:rsid w:val="00E0326E"/>
    <w:rsid w:val="00E047BC"/>
    <w:rsid w:val="00E048DA"/>
    <w:rsid w:val="00E05C45"/>
    <w:rsid w:val="00E07DA5"/>
    <w:rsid w:val="00E12207"/>
    <w:rsid w:val="00E129D4"/>
    <w:rsid w:val="00E137D6"/>
    <w:rsid w:val="00E15CC7"/>
    <w:rsid w:val="00E15F1A"/>
    <w:rsid w:val="00E1706E"/>
    <w:rsid w:val="00E2045B"/>
    <w:rsid w:val="00E2143D"/>
    <w:rsid w:val="00E21FD5"/>
    <w:rsid w:val="00E31BCA"/>
    <w:rsid w:val="00E346B2"/>
    <w:rsid w:val="00E34EA1"/>
    <w:rsid w:val="00E368A9"/>
    <w:rsid w:val="00E36B15"/>
    <w:rsid w:val="00E37865"/>
    <w:rsid w:val="00E400E4"/>
    <w:rsid w:val="00E40558"/>
    <w:rsid w:val="00E415EC"/>
    <w:rsid w:val="00E41DEF"/>
    <w:rsid w:val="00E420A0"/>
    <w:rsid w:val="00E44D0A"/>
    <w:rsid w:val="00E46536"/>
    <w:rsid w:val="00E54758"/>
    <w:rsid w:val="00E54C1F"/>
    <w:rsid w:val="00E55580"/>
    <w:rsid w:val="00E6009C"/>
    <w:rsid w:val="00E60600"/>
    <w:rsid w:val="00E62269"/>
    <w:rsid w:val="00E65012"/>
    <w:rsid w:val="00E6725F"/>
    <w:rsid w:val="00E701C0"/>
    <w:rsid w:val="00E72C1A"/>
    <w:rsid w:val="00E747A8"/>
    <w:rsid w:val="00E74CF7"/>
    <w:rsid w:val="00E75278"/>
    <w:rsid w:val="00E80D85"/>
    <w:rsid w:val="00E81219"/>
    <w:rsid w:val="00E85D7B"/>
    <w:rsid w:val="00E86DCC"/>
    <w:rsid w:val="00E8719D"/>
    <w:rsid w:val="00E87E13"/>
    <w:rsid w:val="00E87EE4"/>
    <w:rsid w:val="00E91286"/>
    <w:rsid w:val="00E921CF"/>
    <w:rsid w:val="00E95936"/>
    <w:rsid w:val="00E96ABE"/>
    <w:rsid w:val="00E97275"/>
    <w:rsid w:val="00EA14DD"/>
    <w:rsid w:val="00EA31CA"/>
    <w:rsid w:val="00EA3403"/>
    <w:rsid w:val="00EA64D7"/>
    <w:rsid w:val="00EA7415"/>
    <w:rsid w:val="00EA7C26"/>
    <w:rsid w:val="00EB044A"/>
    <w:rsid w:val="00EB0C75"/>
    <w:rsid w:val="00EB1FA3"/>
    <w:rsid w:val="00EB6CD5"/>
    <w:rsid w:val="00EB7BB8"/>
    <w:rsid w:val="00EB7C47"/>
    <w:rsid w:val="00EC5759"/>
    <w:rsid w:val="00EC74C5"/>
    <w:rsid w:val="00EC7C70"/>
    <w:rsid w:val="00EC7F2B"/>
    <w:rsid w:val="00ED33A0"/>
    <w:rsid w:val="00ED477A"/>
    <w:rsid w:val="00ED752E"/>
    <w:rsid w:val="00ED7F26"/>
    <w:rsid w:val="00EE4378"/>
    <w:rsid w:val="00EE5CE8"/>
    <w:rsid w:val="00EE7B3C"/>
    <w:rsid w:val="00EE7CBE"/>
    <w:rsid w:val="00EF1421"/>
    <w:rsid w:val="00EF15AF"/>
    <w:rsid w:val="00EF209E"/>
    <w:rsid w:val="00EF2D12"/>
    <w:rsid w:val="00EF3845"/>
    <w:rsid w:val="00EF40B5"/>
    <w:rsid w:val="00EF47AC"/>
    <w:rsid w:val="00EF4FD4"/>
    <w:rsid w:val="00EF5EC3"/>
    <w:rsid w:val="00EF64E5"/>
    <w:rsid w:val="00EF7335"/>
    <w:rsid w:val="00F04BDE"/>
    <w:rsid w:val="00F053D8"/>
    <w:rsid w:val="00F10F26"/>
    <w:rsid w:val="00F110A5"/>
    <w:rsid w:val="00F13421"/>
    <w:rsid w:val="00F13ADA"/>
    <w:rsid w:val="00F14144"/>
    <w:rsid w:val="00F14211"/>
    <w:rsid w:val="00F163AC"/>
    <w:rsid w:val="00F178AE"/>
    <w:rsid w:val="00F22E2F"/>
    <w:rsid w:val="00F23F33"/>
    <w:rsid w:val="00F24D50"/>
    <w:rsid w:val="00F24E3F"/>
    <w:rsid w:val="00F306CF"/>
    <w:rsid w:val="00F31412"/>
    <w:rsid w:val="00F31FDF"/>
    <w:rsid w:val="00F33F8F"/>
    <w:rsid w:val="00F344E4"/>
    <w:rsid w:val="00F34AF4"/>
    <w:rsid w:val="00F364A5"/>
    <w:rsid w:val="00F37C35"/>
    <w:rsid w:val="00F4644B"/>
    <w:rsid w:val="00F502F7"/>
    <w:rsid w:val="00F5235C"/>
    <w:rsid w:val="00F52CE5"/>
    <w:rsid w:val="00F605E3"/>
    <w:rsid w:val="00F621CA"/>
    <w:rsid w:val="00F626C2"/>
    <w:rsid w:val="00F6584B"/>
    <w:rsid w:val="00F704EA"/>
    <w:rsid w:val="00F7416F"/>
    <w:rsid w:val="00F74E35"/>
    <w:rsid w:val="00F74F95"/>
    <w:rsid w:val="00F755F1"/>
    <w:rsid w:val="00F7773B"/>
    <w:rsid w:val="00F82CA2"/>
    <w:rsid w:val="00F82DCE"/>
    <w:rsid w:val="00F85D5B"/>
    <w:rsid w:val="00F91326"/>
    <w:rsid w:val="00F9135C"/>
    <w:rsid w:val="00F91650"/>
    <w:rsid w:val="00F93278"/>
    <w:rsid w:val="00F946A4"/>
    <w:rsid w:val="00FA4FCD"/>
    <w:rsid w:val="00FA515B"/>
    <w:rsid w:val="00FA5BC3"/>
    <w:rsid w:val="00FA6032"/>
    <w:rsid w:val="00FA6834"/>
    <w:rsid w:val="00FA6C7D"/>
    <w:rsid w:val="00FB2664"/>
    <w:rsid w:val="00FB42BE"/>
    <w:rsid w:val="00FB6043"/>
    <w:rsid w:val="00FB6506"/>
    <w:rsid w:val="00FC00DD"/>
    <w:rsid w:val="00FC2B55"/>
    <w:rsid w:val="00FC5628"/>
    <w:rsid w:val="00FC6F71"/>
    <w:rsid w:val="00FC7431"/>
    <w:rsid w:val="00FC7D27"/>
    <w:rsid w:val="00FD1109"/>
    <w:rsid w:val="00FD1438"/>
    <w:rsid w:val="00FD1C08"/>
    <w:rsid w:val="00FD2BB0"/>
    <w:rsid w:val="00FD33D2"/>
    <w:rsid w:val="00FD7CBB"/>
    <w:rsid w:val="00FE156F"/>
    <w:rsid w:val="00FE223C"/>
    <w:rsid w:val="00FE541C"/>
    <w:rsid w:val="00FE5A12"/>
    <w:rsid w:val="00FF1617"/>
    <w:rsid w:val="00FF3CEC"/>
    <w:rsid w:val="00FF506C"/>
    <w:rsid w:val="00FF606A"/>
    <w:rsid w:val="22D87DED"/>
    <w:rsid w:val="23D76437"/>
    <w:rsid w:val="44420F73"/>
    <w:rsid w:val="4FFFB93F"/>
    <w:rsid w:val="58B34AB6"/>
    <w:rsid w:val="645D785C"/>
    <w:rsid w:val="7B5D4F67"/>
    <w:rsid w:val="8CFECBD7"/>
    <w:rsid w:val="FCF68B40"/>
    <w:rsid w:val="FDE7D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Times New Roman" w:hAnsi="Times New Roman" w:eastAsia="宋体" w:cs="Times New Roman"/>
      <w:bCs/>
      <w:kern w:val="2"/>
      <w:sz w:val="24"/>
      <w:szCs w:val="24"/>
      <w:lang w:val="en-US" w:eastAsia="zh-CN" w:bidi="ar-SA"/>
    </w:rPr>
  </w:style>
  <w:style w:type="paragraph" w:styleId="2">
    <w:name w:val="heading 1"/>
    <w:basedOn w:val="1"/>
    <w:next w:val="1"/>
    <w:link w:val="33"/>
    <w:qFormat/>
    <w:uiPriority w:val="0"/>
    <w:pPr>
      <w:keepNext/>
      <w:keepLines/>
      <w:numPr>
        <w:ilvl w:val="0"/>
        <w:numId w:val="1"/>
      </w:numPr>
      <w:spacing w:before="120" w:after="120"/>
      <w:ind w:firstLine="0" w:firstLineChars="0"/>
      <w:outlineLvl w:val="0"/>
    </w:pPr>
    <w:rPr>
      <w:rFonts w:eastAsia="黑体"/>
      <w:b/>
      <w:bCs w:val="0"/>
      <w:kern w:val="44"/>
      <w:sz w:val="32"/>
      <w:szCs w:val="28"/>
    </w:rPr>
  </w:style>
  <w:style w:type="paragraph" w:styleId="3">
    <w:name w:val="heading 2"/>
    <w:basedOn w:val="1"/>
    <w:next w:val="1"/>
    <w:qFormat/>
    <w:uiPriority w:val="9"/>
    <w:pPr>
      <w:keepNext/>
      <w:keepLines/>
      <w:numPr>
        <w:ilvl w:val="1"/>
        <w:numId w:val="1"/>
      </w:numPr>
      <w:spacing w:before="120" w:after="120"/>
      <w:ind w:firstLine="0" w:firstLineChars="0"/>
      <w:outlineLvl w:val="1"/>
    </w:pPr>
    <w:rPr>
      <w:b/>
      <w:bCs w:val="0"/>
      <w:sz w:val="3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spacing w:line="276" w:lineRule="auto"/>
      <w:ind w:firstLine="0" w:firstLineChars="0"/>
      <w:jc w:val="center"/>
    </w:pPr>
    <w:rPr>
      <w:rFonts w:ascii="仿宋" w:hAnsi="仿宋" w:eastAsia="仿宋" w:cstheme="minorBidi"/>
      <w:bCs w:val="0"/>
      <w:sz w:val="21"/>
      <w:szCs w:val="21"/>
    </w:rPr>
  </w:style>
  <w:style w:type="paragraph" w:styleId="5">
    <w:name w:val="annotation text"/>
    <w:basedOn w:val="1"/>
    <w:link w:val="26"/>
    <w:qFormat/>
    <w:uiPriority w:val="0"/>
    <w:pPr>
      <w:jc w:val="left"/>
    </w:pPr>
  </w:style>
  <w:style w:type="paragraph" w:styleId="6">
    <w:name w:val="Body Text"/>
    <w:basedOn w:val="1"/>
    <w:link w:val="36"/>
    <w:qFormat/>
    <w:uiPriority w:val="0"/>
    <w:pPr>
      <w:ind w:firstLine="0" w:firstLineChars="0"/>
    </w:pPr>
    <w:rPr>
      <w:rFonts w:eastAsia="仿宋"/>
      <w:bCs w:val="0"/>
      <w:sz w:val="21"/>
    </w:rPr>
  </w:style>
  <w:style w:type="paragraph" w:styleId="7">
    <w:name w:val="Date"/>
    <w:basedOn w:val="1"/>
    <w:next w:val="1"/>
    <w:link w:val="22"/>
    <w:qFormat/>
    <w:uiPriority w:val="0"/>
    <w:pPr>
      <w:ind w:left="100" w:leftChars="2500"/>
    </w:pPr>
  </w:style>
  <w:style w:type="paragraph" w:styleId="8">
    <w:name w:val="Balloon Text"/>
    <w:basedOn w:val="1"/>
    <w:link w:val="25"/>
    <w:qFormat/>
    <w:uiPriority w:val="0"/>
    <w:pPr>
      <w:spacing w:line="240" w:lineRule="auto"/>
    </w:pPr>
    <w:rPr>
      <w:sz w:val="18"/>
      <w:szCs w:val="18"/>
    </w:rPr>
  </w:style>
  <w:style w:type="paragraph" w:styleId="9">
    <w:name w:val="footer"/>
    <w:basedOn w:val="1"/>
    <w:link w:val="19"/>
    <w:qFormat/>
    <w:uiPriority w:val="99"/>
    <w:pPr>
      <w:tabs>
        <w:tab w:val="center" w:pos="4153"/>
        <w:tab w:val="right" w:pos="8306"/>
      </w:tabs>
      <w:snapToGrid w:val="0"/>
      <w:spacing w:line="240" w:lineRule="auto"/>
      <w:jc w:val="left"/>
    </w:pPr>
    <w:rPr>
      <w:sz w:val="18"/>
      <w:szCs w:val="18"/>
    </w:rPr>
  </w:style>
  <w:style w:type="paragraph" w:styleId="10">
    <w:name w:val="header"/>
    <w:basedOn w:val="1"/>
    <w:qFormat/>
    <w:uiPriority w:val="99"/>
    <w:pPr>
      <w:pBdr>
        <w:bottom w:val="single" w:color="auto" w:sz="4" w:space="0"/>
      </w:pBdr>
      <w:tabs>
        <w:tab w:val="center" w:pos="4153"/>
        <w:tab w:val="right" w:pos="8306"/>
      </w:tabs>
      <w:snapToGrid w:val="0"/>
      <w:jc w:val="center"/>
    </w:pPr>
    <w:rPr>
      <w:sz w:val="18"/>
      <w:szCs w:val="18"/>
    </w:rPr>
  </w:style>
  <w:style w:type="paragraph" w:styleId="11">
    <w:name w:val="annotation subject"/>
    <w:basedOn w:val="5"/>
    <w:next w:val="5"/>
    <w:link w:val="27"/>
    <w:qFormat/>
    <w:uiPriority w:val="0"/>
    <w:rPr>
      <w:b/>
    </w:rPr>
  </w:style>
  <w:style w:type="character" w:styleId="14">
    <w:name w:val="Strong"/>
    <w:basedOn w:val="13"/>
    <w:qFormat/>
    <w:uiPriority w:val="0"/>
    <w:rPr>
      <w:b/>
    </w:rPr>
  </w:style>
  <w:style w:type="character" w:styleId="15">
    <w:name w:val="Hyperlink"/>
    <w:basedOn w:val="13"/>
    <w:qFormat/>
    <w:uiPriority w:val="0"/>
    <w:rPr>
      <w:color w:val="0026E5" w:themeColor="hyperlink"/>
      <w:u w:val="single"/>
      <w14:textFill>
        <w14:solidFill>
          <w14:schemeClr w14:val="hlink"/>
        </w14:solidFill>
      </w14:textFill>
    </w:rPr>
  </w:style>
  <w:style w:type="character" w:styleId="16">
    <w:name w:val="annotation reference"/>
    <w:basedOn w:val="13"/>
    <w:qFormat/>
    <w:uiPriority w:val="0"/>
    <w:rPr>
      <w:sz w:val="21"/>
      <w:szCs w:val="21"/>
    </w:rPr>
  </w:style>
  <w:style w:type="paragraph" w:customStyle="1" w:styleId="17">
    <w:name w:val="正文缩进1"/>
    <w:basedOn w:val="1"/>
    <w:autoRedefine/>
    <w:qFormat/>
    <w:uiPriority w:val="0"/>
    <w:pPr>
      <w:spacing w:line="240" w:lineRule="auto"/>
      <w:ind w:firstLine="420"/>
    </w:pPr>
    <w:rPr>
      <w:sz w:val="21"/>
      <w:szCs w:val="20"/>
    </w:rPr>
  </w:style>
  <w:style w:type="paragraph" w:customStyle="1" w:styleId="18">
    <w:name w:val="正文正文2"/>
    <w:basedOn w:val="1"/>
    <w:autoRedefine/>
    <w:qFormat/>
    <w:uiPriority w:val="0"/>
    <w:pPr>
      <w:ind w:firstLine="420"/>
    </w:pPr>
    <w:rPr>
      <w:sz w:val="21"/>
      <w:szCs w:val="21"/>
    </w:rPr>
  </w:style>
  <w:style w:type="character" w:customStyle="1" w:styleId="19">
    <w:name w:val="页脚 字符"/>
    <w:basedOn w:val="13"/>
    <w:link w:val="9"/>
    <w:qFormat/>
    <w:uiPriority w:val="99"/>
    <w:rPr>
      <w:rFonts w:ascii="宋体" w:hAnsi="宋体" w:eastAsia="宋体" w:cs="Times New Roman"/>
      <w:kern w:val="2"/>
      <w:sz w:val="18"/>
      <w:szCs w:val="18"/>
    </w:rPr>
  </w:style>
  <w:style w:type="paragraph" w:customStyle="1" w:styleId="20">
    <w:name w:val="Revision"/>
    <w:hidden/>
    <w:unhideWhenUsed/>
    <w:qFormat/>
    <w:uiPriority w:val="99"/>
    <w:rPr>
      <w:rFonts w:ascii="宋体" w:hAnsi="宋体" w:eastAsia="宋体" w:cs="Times New Roman"/>
      <w:kern w:val="2"/>
      <w:sz w:val="24"/>
      <w:szCs w:val="24"/>
      <w:lang w:val="en-US" w:eastAsia="zh-CN" w:bidi="ar-SA"/>
    </w:rPr>
  </w:style>
  <w:style w:type="paragraph" w:styleId="21">
    <w:name w:val="List Paragraph"/>
    <w:basedOn w:val="1"/>
    <w:link w:val="37"/>
    <w:unhideWhenUsed/>
    <w:qFormat/>
    <w:uiPriority w:val="34"/>
    <w:pPr>
      <w:ind w:firstLine="420"/>
    </w:pPr>
  </w:style>
  <w:style w:type="character" w:customStyle="1" w:styleId="22">
    <w:name w:val="日期 字符"/>
    <w:basedOn w:val="13"/>
    <w:link w:val="7"/>
    <w:qFormat/>
    <w:uiPriority w:val="0"/>
    <w:rPr>
      <w:rFonts w:ascii="宋体" w:hAnsi="宋体" w:eastAsia="宋体" w:cs="Times New Roman"/>
      <w:bCs/>
      <w:kern w:val="2"/>
      <w:sz w:val="24"/>
      <w:szCs w:val="24"/>
    </w:rPr>
  </w:style>
  <w:style w:type="paragraph" w:customStyle="1" w:styleId="23">
    <w:name w:val="Table Text"/>
    <w:basedOn w:val="1"/>
    <w:semiHidden/>
    <w:qFormat/>
    <w:uiPriority w:val="0"/>
    <w:pPr>
      <w:widowControl/>
      <w:kinsoku w:val="0"/>
      <w:autoSpaceDE w:val="0"/>
      <w:autoSpaceDN w:val="0"/>
      <w:adjustRightInd w:val="0"/>
      <w:snapToGrid w:val="0"/>
      <w:spacing w:line="240" w:lineRule="auto"/>
      <w:ind w:firstLine="0" w:firstLineChars="0"/>
      <w:jc w:val="left"/>
      <w:textAlignment w:val="baseline"/>
    </w:pPr>
    <w:rPr>
      <w:rFonts w:cs="宋体"/>
      <w:bCs w:val="0"/>
      <w:snapToGrid w:val="0"/>
      <w:color w:val="000000"/>
      <w:kern w:val="0"/>
      <w:sz w:val="21"/>
      <w:szCs w:val="21"/>
      <w:lang w:eastAsia="en-US"/>
    </w:rPr>
  </w:style>
  <w:style w:type="character" w:customStyle="1" w:styleId="24">
    <w:name w:val="未处理的提及1"/>
    <w:basedOn w:val="13"/>
    <w:semiHidden/>
    <w:unhideWhenUsed/>
    <w:qFormat/>
    <w:uiPriority w:val="99"/>
    <w:rPr>
      <w:color w:val="605E5C"/>
      <w:shd w:val="clear" w:color="auto" w:fill="E1DFDD"/>
    </w:rPr>
  </w:style>
  <w:style w:type="character" w:customStyle="1" w:styleId="25">
    <w:name w:val="批注框文本 字符"/>
    <w:basedOn w:val="13"/>
    <w:link w:val="8"/>
    <w:qFormat/>
    <w:uiPriority w:val="0"/>
    <w:rPr>
      <w:rFonts w:ascii="Times New Roman" w:hAnsi="Times New Roman" w:eastAsia="宋体" w:cs="Times New Roman"/>
      <w:bCs/>
      <w:kern w:val="2"/>
      <w:sz w:val="18"/>
      <w:szCs w:val="18"/>
    </w:rPr>
  </w:style>
  <w:style w:type="character" w:customStyle="1" w:styleId="26">
    <w:name w:val="批注文字 字符"/>
    <w:basedOn w:val="13"/>
    <w:link w:val="5"/>
    <w:qFormat/>
    <w:uiPriority w:val="0"/>
    <w:rPr>
      <w:rFonts w:ascii="Times New Roman" w:hAnsi="Times New Roman" w:eastAsia="宋体" w:cs="Times New Roman"/>
      <w:bCs/>
      <w:kern w:val="2"/>
      <w:sz w:val="24"/>
      <w:szCs w:val="24"/>
    </w:rPr>
  </w:style>
  <w:style w:type="character" w:customStyle="1" w:styleId="27">
    <w:name w:val="批注主题 字符"/>
    <w:basedOn w:val="26"/>
    <w:link w:val="11"/>
    <w:qFormat/>
    <w:uiPriority w:val="0"/>
    <w:rPr>
      <w:rFonts w:ascii="Times New Roman" w:hAnsi="Times New Roman" w:eastAsia="宋体" w:cs="Times New Roman"/>
      <w:b/>
      <w:kern w:val="2"/>
      <w:sz w:val="24"/>
      <w:szCs w:val="24"/>
    </w:rPr>
  </w:style>
  <w:style w:type="paragraph" w:customStyle="1" w:styleId="28">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9">
    <w:name w:val="仿宋+小四"/>
    <w:basedOn w:val="1"/>
    <w:link w:val="30"/>
    <w:qFormat/>
    <w:uiPriority w:val="0"/>
    <w:pPr>
      <w:ind w:firstLine="0" w:firstLineChars="0"/>
    </w:pPr>
    <w:rPr>
      <w:rFonts w:eastAsia="仿宋"/>
      <w:bCs w:val="0"/>
    </w:rPr>
  </w:style>
  <w:style w:type="character" w:customStyle="1" w:styleId="30">
    <w:name w:val="仿宋+小四 字符"/>
    <w:basedOn w:val="13"/>
    <w:link w:val="29"/>
    <w:qFormat/>
    <w:uiPriority w:val="0"/>
    <w:rPr>
      <w:rFonts w:ascii="Times New Roman" w:hAnsi="Times New Roman" w:eastAsia="仿宋" w:cs="Times New Roman"/>
      <w:kern w:val="2"/>
      <w:sz w:val="24"/>
      <w:szCs w:val="24"/>
    </w:rPr>
  </w:style>
  <w:style w:type="paragraph" w:customStyle="1" w:styleId="31">
    <w:name w:val="申报书正文"/>
    <w:basedOn w:val="1"/>
    <w:link w:val="32"/>
    <w:qFormat/>
    <w:uiPriority w:val="0"/>
    <w:pPr>
      <w:widowControl/>
      <w:adjustRightInd w:val="0"/>
      <w:ind w:firstLine="0" w:firstLineChars="0"/>
      <w:jc w:val="left"/>
    </w:pPr>
    <w:rPr>
      <w:rFonts w:asciiTheme="minorHAnsi" w:hAnsiTheme="minorHAnsi" w:eastAsiaTheme="minorEastAsia" w:cstheme="minorEastAsia"/>
      <w:bCs w:val="0"/>
      <w:kern w:val="0"/>
    </w:rPr>
  </w:style>
  <w:style w:type="character" w:customStyle="1" w:styleId="32">
    <w:name w:val="申报书正文 Char"/>
    <w:link w:val="31"/>
    <w:qFormat/>
    <w:uiPriority w:val="0"/>
    <w:rPr>
      <w:rFonts w:cstheme="minorEastAsia"/>
      <w:sz w:val="24"/>
      <w:szCs w:val="24"/>
    </w:rPr>
  </w:style>
  <w:style w:type="character" w:customStyle="1" w:styleId="33">
    <w:name w:val="标题 1 字符"/>
    <w:basedOn w:val="13"/>
    <w:link w:val="2"/>
    <w:qFormat/>
    <w:uiPriority w:val="0"/>
    <w:rPr>
      <w:rFonts w:ascii="Times New Roman" w:hAnsi="Times New Roman" w:eastAsia="黑体" w:cs="Times New Roman"/>
      <w:b/>
      <w:kern w:val="44"/>
      <w:sz w:val="32"/>
      <w:szCs w:val="28"/>
    </w:rPr>
  </w:style>
  <w:style w:type="paragraph" w:customStyle="1" w:styleId="34">
    <w:name w:val="表格正文"/>
    <w:basedOn w:val="1"/>
    <w:link w:val="35"/>
    <w:qFormat/>
    <w:uiPriority w:val="0"/>
    <w:pPr>
      <w:spacing w:line="276" w:lineRule="auto"/>
      <w:ind w:firstLine="0" w:firstLineChars="0"/>
    </w:pPr>
    <w:rPr>
      <w:rFonts w:eastAsia="仿宋"/>
      <w:bCs w:val="0"/>
      <w:sz w:val="21"/>
      <w:szCs w:val="21"/>
      <w:lang w:val="zh-CN"/>
    </w:rPr>
  </w:style>
  <w:style w:type="character" w:customStyle="1" w:styleId="35">
    <w:name w:val="表格正文 字符"/>
    <w:basedOn w:val="13"/>
    <w:link w:val="34"/>
    <w:autoRedefine/>
    <w:qFormat/>
    <w:uiPriority w:val="0"/>
    <w:rPr>
      <w:rFonts w:ascii="Times New Roman" w:hAnsi="Times New Roman" w:eastAsia="仿宋" w:cs="Times New Roman"/>
      <w:kern w:val="2"/>
      <w:sz w:val="21"/>
      <w:szCs w:val="21"/>
      <w:lang w:val="zh-CN"/>
    </w:rPr>
  </w:style>
  <w:style w:type="character" w:customStyle="1" w:styleId="36">
    <w:name w:val="正文文本 字符"/>
    <w:basedOn w:val="13"/>
    <w:link w:val="6"/>
    <w:qFormat/>
    <w:uiPriority w:val="0"/>
    <w:rPr>
      <w:rFonts w:ascii="Times New Roman" w:hAnsi="Times New Roman" w:eastAsia="仿宋" w:cs="Times New Roman"/>
      <w:kern w:val="2"/>
      <w:sz w:val="21"/>
      <w:szCs w:val="24"/>
    </w:rPr>
  </w:style>
  <w:style w:type="character" w:customStyle="1" w:styleId="37">
    <w:name w:val="列表段落 字符"/>
    <w:link w:val="21"/>
    <w:autoRedefine/>
    <w:qFormat/>
    <w:locked/>
    <w:uiPriority w:val="34"/>
    <w:rPr>
      <w:rFonts w:ascii="Times New Roman" w:hAnsi="Times New Roman" w:eastAsia="宋体" w:cs="Times New Roman"/>
      <w:bCs/>
      <w:kern w:val="2"/>
      <w:sz w:val="24"/>
      <w:szCs w:val="24"/>
    </w:rPr>
  </w:style>
  <w:style w:type="paragraph" w:customStyle="1" w:styleId="38">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070BE7D7-43C0-458D-97FB-ED76E481BC34}">
  <ds:schemaRefs/>
</ds:datastoreItem>
</file>

<file path=docProps/app.xml><?xml version="1.0" encoding="utf-8"?>
<Properties xmlns="http://schemas.openxmlformats.org/officeDocument/2006/extended-properties" xmlns:vt="http://schemas.openxmlformats.org/officeDocument/2006/docPropsVTypes">
  <Template>Normal.dotm</Template>
  <Pages>79</Pages>
  <Words>3494</Words>
  <Characters>3550</Characters>
  <Lines>306</Lines>
  <Paragraphs>86</Paragraphs>
  <TotalTime>2728</TotalTime>
  <ScaleCrop>false</ScaleCrop>
  <LinksUpToDate>false</LinksUpToDate>
  <CharactersWithSpaces>3554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2024-12-07T20:10:00Z</dcterms:created>
  <dc:creator>user</dc:creator>
  <cp:lastModifiedBy>user</cp:lastModifiedBy>
  <dcterms:modified xsi:type="dcterms:W3CDTF">2025-04-14T15:58:16Z</dcterms:modified>
  <cp:revision>1639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5C360B9E9F42596749BFFC67D584748A_43</vt:lpwstr>
  </property>
  <property fmtid="{D5CDD505-2E9C-101B-9397-08002B2CF9AE}" pid="4" name="KSOTemplateDocerSaveRecord">
    <vt:lpwstr>eyJoZGlkIjoiZWVlYjIxMzA1Y2VhMTkxZjMxNTc5MDFiOWZiNzIxNjMiLCJ1c2VySWQiOiI1NTI5Mjk5NjkifQ==</vt:lpwstr>
  </property>
</Properties>
</file>