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1792">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default"/>
          <w:lang w:val="en-US"/>
        </w:rPr>
      </w:pPr>
      <w:r>
        <w:rPr>
          <w:rFonts w:hint="eastAsia" w:ascii="黑体" w:hAnsi="黑体" w:eastAsia="黑体" w:cs="黑体"/>
          <w:sz w:val="36"/>
          <w:szCs w:val="32"/>
          <w:lang w:val="en-US" w:eastAsia="zh-CN"/>
        </w:rPr>
        <w:t xml:space="preserve"> 采购需求</w:t>
      </w:r>
    </w:p>
    <w:p w14:paraId="49D70C59">
      <w:pPr>
        <w:pStyle w:val="2"/>
        <w:bidi w:val="0"/>
        <w:ind w:left="432" w:leftChars="0" w:hanging="432" w:firstLineChars="0"/>
        <w:rPr>
          <w:rFonts w:hint="eastAsia" w:ascii="楷体" w:hAnsi="楷体" w:eastAsia="楷体" w:cs="楷体"/>
        </w:rPr>
      </w:pPr>
      <w:r>
        <w:rPr>
          <w:rFonts w:hint="eastAsia" w:ascii="楷体" w:hAnsi="楷体" w:eastAsia="楷体" w:cs="楷体"/>
        </w:rPr>
        <w:t>项目概况</w:t>
      </w:r>
    </w:p>
    <w:p w14:paraId="3F629F44">
      <w:pPr>
        <w:pStyle w:val="3"/>
        <w:bidi w:val="0"/>
        <w:ind w:left="575" w:leftChars="0" w:hanging="575"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项目名称</w:t>
      </w:r>
    </w:p>
    <w:p w14:paraId="10901F10">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临港新片区财政促进经济社会发展管理系统（升级改造）。</w:t>
      </w:r>
    </w:p>
    <w:p w14:paraId="5CAEE1FD">
      <w:pPr>
        <w:pStyle w:val="3"/>
        <w:bidi w:val="0"/>
        <w:ind w:left="575" w:leftChars="0" w:hanging="575"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项目背景</w:t>
      </w:r>
    </w:p>
    <w:p w14:paraId="650C380C">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在以数字化、智能化为核心的第四次科技革命的大时代背景下，推动数字经济发展已成为提升我国综合国力的关键举措，而加强财税支持政策落实、优化营商环境是促进经济高质量发展的重要手段。2023年8月，财政部在《关于加强财税支持政策落实 促进中小企业高质量发展的通知》中明确提出，要提高财税政策效能，促进支持政策直达快享，完善业务办理流程，压缩或整合申报环节，精简材料报送要求，不断提高办事效率，积极推进“网上办”“掌上办”，让数据“多跑路”、企业“少走路”。此外，也要充分运用财政直达资金监控系统，加强对涉企补助资金的跟踪监控，督促加快资金下达速度，确保财政补贴资金快速精准拨付至受益对象。</w:t>
      </w:r>
    </w:p>
    <w:p w14:paraId="45548460">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为积极响应国家加强财税支持政策落实、优化营商环境等要求，2024年2月，上海召开优化营商环境大会，陈吉宁书记在会上强调，要深刻领会习近平总书记关于优化营商环境的重要指示要求，把整体政府的理念作为优化营商环境的重要原则，完善体制机制，提升服务水平，提高办事效率，做到监管全流程全覆盖，大力推进各区审批服务和行政执法标准化规范化建设，推动更多惠企政策和为企服务“免申即享、直达快享”，打通政策落地“最后一公里”，持续改进优化涉企政策。在此基础上，临港新片区相继发布《中共上海市委、上海市人民政府关于促进中国（上海）自由贸易试验区临港新片区高质量发展实施特殊支持政策的若干意见》《临港新片区管委会助企减负优化营商环境十项承诺》等文件，提出要把完善城市功能作为优化营商环境的重要内容，把为企业减负担、降成本作为优化营商环境的首要任务，加快推进实施新片区“1+3+X”财政扶持政策体系，加大财税金融政策支持力度，构建更加高效便利的行政审批和政务服务体系，大力推进符合条件的企业“免申即享”服务，实现审批事项一次受理完成、一站式办完，增强政府政策的落地效果</w:t>
      </w:r>
      <w:r>
        <w:rPr>
          <w:rFonts w:hint="eastAsia" w:asciiTheme="minorEastAsia" w:hAnsiTheme="minorEastAsia" w:eastAsiaTheme="minorEastAsia" w:cstheme="minorEastAsia"/>
          <w:lang w:val="en-US" w:eastAsia="zh-CN"/>
        </w:rPr>
        <w:t>。</w:t>
      </w:r>
    </w:p>
    <w:p w14:paraId="74C960DE">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采购单位概述</w:t>
      </w:r>
    </w:p>
    <w:p w14:paraId="581D00F2">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上海市临港新片区行政服务中心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上海市临港新片区大数据中心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，为中国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上海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自由贸易试验区临港新片区管理委员会所属公益一类事业单位，机构规格为相当于副处级，主要承担统筹临港新片区行政服务和“一网通办”等政务服务事务，协助推进智慧城市等信息化管理系统的建设运行维护事务，做好相关数据统计归集和应用管理等相关事务性工作。 </w:t>
      </w:r>
    </w:p>
    <w:p w14:paraId="12C7F079">
      <w:pPr>
        <w:bidi w:val="0"/>
        <w:rPr>
          <w:rFonts w:hint="eastAsia"/>
        </w:rPr>
      </w:pPr>
      <w:r>
        <w:rPr>
          <w:rFonts w:hint="eastAsia" w:asciiTheme="minorEastAsia" w:hAnsiTheme="minorEastAsia" w:eastAsiaTheme="minorEastAsia" w:cstheme="minorEastAsia"/>
        </w:rPr>
        <w:t>上海市临港新片区大数据中心代表管委会和业务需求单位，履行项目法人单位职责。负责对接各业务需求部门，综合统筹信息化需求和技术方案；负责数字化发展项目的建设管理、运维服务、技术支撑等；组织采购实施、项目验收、项目运维、信息安全、技术保障等工作。以数据归集共享服务和底座算力算法支撑为两大核心抓手，以“一网通办”和“一网统管”等为依托，承担临港新片区公共数据的归集、存储、编目、质量管理、融合、分析、共享和安全保障工作；承担临港新片区接入政务外网、政务云算力资源应用和人工智能等通用技术算法能力的建设和运维。</w:t>
      </w:r>
    </w:p>
    <w:p w14:paraId="72AAE722">
      <w:pPr>
        <w:pStyle w:val="3"/>
        <w:bidi w:val="0"/>
        <w:ind w:left="575" w:leftChars="0" w:hanging="575" w:firstLineChars="0"/>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项目目标</w:t>
      </w:r>
    </w:p>
    <w:p w14:paraId="59A89770">
      <w:pPr>
        <w:pStyle w:val="12"/>
      </w:pPr>
      <w:r>
        <w:rPr>
          <w:rFonts w:hint="eastAsia"/>
        </w:rPr>
        <w:t>通过本次的系统化项目建设，为实现下述目标：</w:t>
      </w:r>
    </w:p>
    <w:p w14:paraId="33C682FF">
      <w:pPr>
        <w:pStyle w:val="12"/>
        <w:rPr>
          <w:b w:val="0"/>
          <w:bCs w:val="0"/>
        </w:rPr>
      </w:pPr>
      <w:r>
        <w:rPr>
          <w:rFonts w:hint="eastAsia"/>
          <w:b w:val="0"/>
          <w:bCs w:val="0"/>
        </w:rPr>
        <w:t>（1）新增科技创新券业务服务</w:t>
      </w:r>
    </w:p>
    <w:p w14:paraId="619C4C46">
      <w:pPr>
        <w:pStyle w:val="12"/>
      </w:pPr>
      <w:r>
        <w:rPr>
          <w:rFonts w:hint="eastAsia"/>
        </w:rPr>
        <w:t>《中国（上海）自由贸易试验区临港新片区科技创新券管理办法》要求临港科技创新券采取“事前审核备案，事后核实兑付，全年开放申请，集中兑付结算”的方式组织实施，由企业、团队申领和使用，由服务机构收取和申请兑付，申领、使用、兑付全流程采用数字化方式。</w:t>
      </w:r>
      <w:r>
        <w:rPr>
          <w:rFonts w:hint="eastAsia"/>
          <w:b w:val="0"/>
          <w:bCs w:val="0"/>
        </w:rPr>
        <w:t>为积极响应相关政策部署，在临港新片区财政促进经济社会发展管理系统的基础上，</w:t>
      </w:r>
      <w:r>
        <w:rPr>
          <w:rFonts w:hint="eastAsia"/>
          <w:b w:val="0"/>
          <w:bCs w:val="0"/>
          <w:lang w:val="en-US" w:eastAsia="zh-CN"/>
        </w:rPr>
        <w:t>通过升级改造</w:t>
      </w:r>
      <w:r>
        <w:rPr>
          <w:rFonts w:hint="eastAsia"/>
          <w:b w:val="0"/>
          <w:bCs w:val="0"/>
        </w:rPr>
        <w:t>新增科技创新券业务服务功能。</w:t>
      </w:r>
      <w:r>
        <w:rPr>
          <w:rFonts w:hint="eastAsia"/>
        </w:rPr>
        <w:t>由于科技创新券业务流程包括申领、使用、兑付，且每半年集中兑付一次资金，与扶持政策申报流程完全不同，因此新增科技创新券子系统，与扶持资金综合服务子系统、财税综合管理子系统、并行形成</w:t>
      </w:r>
      <w:r>
        <w:rPr>
          <w:rFonts w:hint="eastAsia"/>
          <w:lang w:val="en-US" w:eastAsia="zh-CN"/>
        </w:rPr>
        <w:t>改造升级后</w:t>
      </w:r>
      <w:r>
        <w:rPr>
          <w:rFonts w:hint="eastAsia"/>
        </w:rPr>
        <w:t>系统的</w:t>
      </w:r>
      <w:r>
        <w:rPr>
          <w:rFonts w:hint="eastAsia"/>
          <w:lang w:val="en-US" w:eastAsia="zh-CN"/>
        </w:rPr>
        <w:t>3</w:t>
      </w:r>
      <w:r>
        <w:rPr>
          <w:rFonts w:hint="eastAsia"/>
        </w:rPr>
        <w:t>个子系统。</w:t>
      </w:r>
    </w:p>
    <w:p w14:paraId="4426F8E3">
      <w:pPr>
        <w:pStyle w:val="12"/>
      </w:pPr>
      <w:r>
        <w:rPr>
          <w:rFonts w:hint="eastAsia"/>
        </w:rPr>
        <w:t>（2）拓展扶持资金免申即享服务</w:t>
      </w:r>
    </w:p>
    <w:p w14:paraId="2627060A">
      <w:pPr>
        <w:pStyle w:val="12"/>
      </w:pPr>
      <w:r>
        <w:rPr>
          <w:rFonts w:hint="eastAsia"/>
        </w:rPr>
        <w:t>为落实“大力推进符合条件的企业‘免申即享’服务，实现审批事项一次受理完成、一站式办完”相关要求，提高企业服务满意度与精准化服务能力</w:t>
      </w:r>
      <w:r>
        <w:rPr>
          <w:rFonts w:hint="eastAsia"/>
          <w:b w:val="0"/>
          <w:bCs w:val="0"/>
        </w:rPr>
        <w:t>，试点扶持资金免申即享模式，进</w:t>
      </w:r>
      <w:r>
        <w:rPr>
          <w:rFonts w:hint="eastAsia"/>
        </w:rPr>
        <w:t>一步优化营商环境，更好地服务企业，促进临港新片区经济高质量发展。</w:t>
      </w:r>
    </w:p>
    <w:p w14:paraId="421F84D9">
      <w:pPr>
        <w:pStyle w:val="12"/>
      </w:pPr>
      <w:r>
        <w:rPr>
          <w:rFonts w:hint="eastAsia"/>
        </w:rPr>
        <w:t>（3）进一步归集财政扶持政策业务</w:t>
      </w:r>
      <w:r>
        <w:rPr>
          <w:rFonts w:hint="eastAsia"/>
          <w:lang w:eastAsia="zh-CN"/>
        </w:rPr>
        <w:t>流程</w:t>
      </w:r>
    </w:p>
    <w:p w14:paraId="4E386328">
      <w:pPr>
        <w:pStyle w:val="12"/>
      </w:pPr>
      <w:r>
        <w:rPr>
          <w:rFonts w:hint="eastAsia"/>
        </w:rPr>
        <w:t>临港新片区财政促进经济社会发展管理系统有效统一了</w:t>
      </w:r>
      <w:r>
        <w:rPr>
          <w:rFonts w:hint="eastAsia"/>
          <w:lang w:eastAsia="zh-CN"/>
        </w:rPr>
        <w:t>大多数常见的</w:t>
      </w:r>
      <w:r>
        <w:rPr>
          <w:rFonts w:hint="eastAsia"/>
        </w:rPr>
        <w:t>财政扶持政策的申报审批流程，2023年全年度系统共发布政策37条、开放申报政策37条、关闭申报政策9条。但在此之外，</w:t>
      </w:r>
      <w:r>
        <w:rPr>
          <w:rFonts w:hint="eastAsia"/>
          <w:b w:val="0"/>
          <w:bCs w:val="0"/>
        </w:rPr>
        <w:t>各业务处室中还存在部分业务的申报审批流程与常见流程存在差异，此类业务难以由</w:t>
      </w:r>
      <w:r>
        <w:rPr>
          <w:rFonts w:hint="eastAsia"/>
          <w:b w:val="0"/>
          <w:bCs w:val="0"/>
          <w:lang w:val="en-US" w:eastAsia="zh-CN"/>
        </w:rPr>
        <w:t>已建</w:t>
      </w:r>
      <w:r>
        <w:rPr>
          <w:rFonts w:hint="eastAsia"/>
          <w:b w:val="0"/>
          <w:bCs w:val="0"/>
        </w:rPr>
        <w:t>系统有效支撑，因此如高科处专项政策申报、金贸处政策扶持项目管理等业务，目前仍在相关处室自建扶持政策申报系统中独立运行，未实现财政扶持政策申报审批的有效归集。根据《关于进一步加强临港新片区支持产业发展资金管理的指导意见》</w:t>
      </w:r>
      <w:r>
        <w:rPr>
          <w:rFonts w:hint="eastAsia"/>
          <w:b w:val="0"/>
          <w:bCs w:val="0"/>
          <w:lang w:eastAsia="zh-CN"/>
        </w:rPr>
        <w:t>，</w:t>
      </w:r>
      <w:r>
        <w:rPr>
          <w:rFonts w:hint="eastAsia"/>
          <w:b w:val="0"/>
          <w:bCs w:val="0"/>
          <w:lang w:val="en-US" w:eastAsia="zh-CN"/>
        </w:rPr>
        <w:t>支持产业发展资金申请流程为“</w:t>
      </w:r>
      <w:r>
        <w:rPr>
          <w:rFonts w:hint="eastAsia"/>
          <w:b w:val="0"/>
          <w:bCs w:val="0"/>
        </w:rPr>
        <w:t>汇总发布申报通知</w:t>
      </w:r>
      <w:r>
        <w:rPr>
          <w:rFonts w:hint="eastAsia"/>
          <w:b w:val="0"/>
          <w:bCs w:val="0"/>
          <w:lang w:eastAsia="zh-CN"/>
        </w:rPr>
        <w:t>－</w:t>
      </w:r>
      <w:r>
        <w:rPr>
          <w:rFonts w:hint="eastAsia"/>
          <w:b w:val="0"/>
          <w:bCs w:val="0"/>
        </w:rPr>
        <w:t>申报</w:t>
      </w:r>
      <w:r>
        <w:rPr>
          <w:rFonts w:hint="eastAsia"/>
          <w:b w:val="0"/>
          <w:bCs w:val="0"/>
          <w:lang w:eastAsia="zh-CN"/>
        </w:rPr>
        <w:t>－</w:t>
      </w:r>
      <w:r>
        <w:rPr>
          <w:rFonts w:hint="eastAsia"/>
          <w:b w:val="0"/>
          <w:bCs w:val="0"/>
        </w:rPr>
        <w:t>综合评审</w:t>
      </w:r>
      <w:r>
        <w:rPr>
          <w:rFonts w:hint="eastAsia"/>
          <w:b w:val="0"/>
          <w:bCs w:val="0"/>
          <w:lang w:eastAsia="zh-CN"/>
        </w:rPr>
        <w:t>－</w:t>
      </w:r>
      <w:r>
        <w:rPr>
          <w:rFonts w:hint="eastAsia"/>
          <w:b w:val="0"/>
          <w:bCs w:val="0"/>
        </w:rPr>
        <w:t>联合会审</w:t>
      </w:r>
      <w:r>
        <w:rPr>
          <w:rFonts w:hint="eastAsia"/>
          <w:b w:val="0"/>
          <w:bCs w:val="0"/>
          <w:lang w:eastAsia="zh-CN"/>
        </w:rPr>
        <w:t>－</w:t>
      </w:r>
      <w:r>
        <w:rPr>
          <w:rFonts w:hint="eastAsia"/>
          <w:b w:val="0"/>
          <w:bCs w:val="0"/>
        </w:rPr>
        <w:t>发起请款流程</w:t>
      </w:r>
      <w:r>
        <w:rPr>
          <w:rFonts w:hint="eastAsia"/>
          <w:b w:val="0"/>
          <w:bCs w:val="0"/>
          <w:lang w:val="en-US" w:eastAsia="zh-CN"/>
        </w:rPr>
        <w:t>”，</w:t>
      </w:r>
      <w:r>
        <w:rPr>
          <w:rFonts w:hint="eastAsia"/>
          <w:b w:val="0"/>
          <w:bCs w:val="0"/>
        </w:rPr>
        <w:t>对临港新片区产城融合区</w:t>
      </w:r>
      <w:r>
        <w:rPr>
          <w:rFonts w:hint="eastAsia"/>
        </w:rPr>
        <w:t>域内享受支持的企业，实行统一申报、统一审核、统一拨付的管理模式。</w:t>
      </w:r>
      <w:r>
        <w:rPr>
          <w:rFonts w:hint="eastAsia"/>
          <w:lang w:val="en-US" w:eastAsia="zh-CN"/>
        </w:rPr>
        <w:t>本次项目的</w:t>
      </w:r>
      <w:r>
        <w:rPr>
          <w:rFonts w:hint="eastAsia"/>
        </w:rPr>
        <w:t>升级改造</w:t>
      </w:r>
      <w:r>
        <w:rPr>
          <w:rFonts w:hint="eastAsia"/>
          <w:lang w:eastAsia="zh-CN"/>
        </w:rPr>
        <w:t>，</w:t>
      </w:r>
      <w:r>
        <w:rPr>
          <w:rFonts w:hint="eastAsia"/>
        </w:rPr>
        <w:t>通过在</w:t>
      </w:r>
      <w:r>
        <w:rPr>
          <w:rFonts w:hint="eastAsia"/>
          <w:lang w:val="en-US" w:eastAsia="zh-CN"/>
        </w:rPr>
        <w:t>现有已建系统</w:t>
      </w:r>
      <w:r>
        <w:rPr>
          <w:rFonts w:hint="eastAsia"/>
        </w:rPr>
        <w:t>“扶持资金综合服务子系统”下补充完善此类业务的申报审批模块，进一步归集财政扶持政策业务流</w:t>
      </w:r>
      <w:r>
        <w:rPr>
          <w:rFonts w:hint="eastAsia"/>
          <w:lang w:eastAsia="zh-CN"/>
        </w:rPr>
        <w:t>，</w:t>
      </w:r>
      <w:r>
        <w:rPr>
          <w:rFonts w:hint="eastAsia"/>
        </w:rPr>
        <w:t>有效避免企业用户及审核人员在政策申报时</w:t>
      </w:r>
      <w:r>
        <w:rPr>
          <w:rFonts w:hint="eastAsia"/>
          <w:lang w:eastAsia="zh-CN"/>
        </w:rPr>
        <w:t>进入</w:t>
      </w:r>
      <w:r>
        <w:rPr>
          <w:rFonts w:hint="eastAsia"/>
        </w:rPr>
        <w:t>多个页面的问题，提升用户体验感。（现有已建系统政策有效期到期后，各部门已建财政扶持及管理相关系统将不再维护，立即停用）</w:t>
      </w:r>
    </w:p>
    <w:p w14:paraId="6440C5B4">
      <w:pPr>
        <w:pStyle w:val="12"/>
      </w:pPr>
      <w:r>
        <w:rPr>
          <w:rFonts w:hint="eastAsia"/>
        </w:rPr>
        <w:t>此外，由于系统中对高科、金贸等业务流程的完善，和新片区收入统计范围的调整，将接入高科专项、金融政策等一系列存量已申报及在途扶持政策数据，以及奉贤区域存量企业资质信息等多源数据，并对数据进行清洗等初始化配</w:t>
      </w:r>
      <w:r>
        <w:rPr>
          <w:rFonts w:hint="eastAsia"/>
          <w:b w:val="0"/>
          <w:bCs w:val="0"/>
        </w:rPr>
        <w:t>置。在此基础上，为进一步强化业务精细化管理，亟需提升数据融合管理能力，对政策数据、财税数据、企业数据、产业数据等进行关联融合和多维度分析管理，有力</w:t>
      </w:r>
      <w:r>
        <w:rPr>
          <w:rFonts w:hint="eastAsia"/>
        </w:rPr>
        <w:t>辅助业务工作和管理决策的高效开展。</w:t>
      </w:r>
    </w:p>
    <w:p w14:paraId="23ED71DE">
      <w:pPr>
        <w:pStyle w:val="12"/>
      </w:pPr>
      <w:r>
        <w:rPr>
          <w:rFonts w:hint="eastAsia"/>
        </w:rPr>
        <w:t>（4）升级共性支撑能力</w:t>
      </w:r>
    </w:p>
    <w:p w14:paraId="72E8B55C">
      <w:pPr>
        <w:pStyle w:val="12"/>
        <w:ind w:firstLine="560"/>
        <w:rPr>
          <w:rFonts w:hint="eastAsia" w:asciiTheme="minorEastAsia" w:hAnsiTheme="minorEastAsia" w:eastAsiaTheme="minorEastAsia" w:cstheme="minorEastAsia"/>
        </w:rPr>
      </w:pPr>
      <w:r>
        <w:rPr>
          <w:rFonts w:hint="eastAsia"/>
          <w:lang w:val="en-US" w:eastAsia="zh-CN"/>
        </w:rPr>
        <w:t>已建的</w:t>
      </w:r>
      <w:r>
        <w:rPr>
          <w:rFonts w:hint="eastAsia"/>
        </w:rPr>
        <w:t>临港新片区财政促进经济社会发展管理系统在2023年一年的</w:t>
      </w:r>
      <w:r>
        <w:rPr>
          <w:rFonts w:hint="eastAsia"/>
          <w:b w:val="0"/>
          <w:bCs w:val="0"/>
        </w:rPr>
        <w:t>运维期间，各处室反馈对共性支撑能力需求明显。根据运维报告反馈及业务处室用户</w:t>
      </w:r>
      <w:r>
        <w:rPr>
          <w:rFonts w:hint="eastAsia"/>
          <w:b w:val="0"/>
          <w:bCs w:val="0"/>
          <w:lang w:eastAsia="zh-CN"/>
        </w:rPr>
        <w:t>调研</w:t>
      </w:r>
      <w:r>
        <w:rPr>
          <w:rFonts w:hint="eastAsia"/>
          <w:b w:val="0"/>
          <w:bCs w:val="0"/>
        </w:rPr>
        <w:t>，高科处、财政处、金贸处等业务处室分别提出诸如政策申报审核预警、审核流程柔性化（审核节点回退）、上传文件内容识别、多维度数据查询统计、角色权限分级分类等功能升级需求，以及申报、审核UI页面美化需求（如审核字段完整美观显示、企业申报PDF导出模板适应性强化等），此类需求重合度较高</w:t>
      </w:r>
      <w:r>
        <w:rPr>
          <w:rFonts w:hint="eastAsia"/>
          <w:b w:val="0"/>
          <w:bCs w:val="0"/>
          <w:lang w:eastAsia="zh-CN"/>
        </w:rPr>
        <w:t>。</w:t>
      </w:r>
      <w:r>
        <w:rPr>
          <w:rFonts w:hint="eastAsia"/>
          <w:b w:val="0"/>
          <w:bCs w:val="0"/>
          <w:lang w:val="en-US" w:eastAsia="zh-CN"/>
        </w:rPr>
        <w:t>同时，本系统针对多业务处室、多政策条款，要求实现</w:t>
      </w:r>
      <w:r>
        <w:rPr>
          <w:rFonts w:hint="eastAsia"/>
          <w:b w:val="0"/>
          <w:bCs w:val="0"/>
        </w:rPr>
        <w:t>统一申报、统一审核、统一拨付</w:t>
      </w:r>
      <w:r>
        <w:rPr>
          <w:rFonts w:hint="eastAsia"/>
          <w:b w:val="0"/>
          <w:bCs w:val="0"/>
          <w:lang w:eastAsia="zh-CN"/>
        </w:rPr>
        <w:t>，</w:t>
      </w:r>
      <w:r>
        <w:rPr>
          <w:rFonts w:hint="eastAsia"/>
          <w:b w:val="0"/>
          <w:bCs w:val="0"/>
          <w:lang w:val="en-US" w:eastAsia="zh-CN"/>
        </w:rPr>
        <w:t>对政策可配置、流程可配置、多维数据分析可配置提出更高要求。</w:t>
      </w:r>
      <w:r>
        <w:rPr>
          <w:rFonts w:hint="eastAsia"/>
          <w:b w:val="0"/>
          <w:bCs w:val="0"/>
        </w:rPr>
        <w:t>因此，</w:t>
      </w:r>
      <w:r>
        <w:rPr>
          <w:rFonts w:hint="eastAsia"/>
          <w:b w:val="0"/>
          <w:bCs w:val="0"/>
          <w:lang w:eastAsia="zh-CN"/>
        </w:rPr>
        <w:t>亟须对</w:t>
      </w:r>
      <w:r>
        <w:rPr>
          <w:rFonts w:hint="eastAsia"/>
          <w:b w:val="0"/>
          <w:bCs w:val="0"/>
        </w:rPr>
        <w:t>共性支撑能力归集整合和优化升级，通过进一步完善页面优化、流程引擎升级、内容识别、数据</w:t>
      </w:r>
      <w:r>
        <w:rPr>
          <w:rFonts w:hint="eastAsia"/>
        </w:rPr>
        <w:t>多维度分析等功能，提升系统柔性化、</w:t>
      </w:r>
      <w:r>
        <w:rPr>
          <w:rFonts w:hint="eastAsia"/>
          <w:lang w:val="en-US" w:eastAsia="zh-CN"/>
        </w:rPr>
        <w:t>灵活性、</w:t>
      </w:r>
      <w:r>
        <w:rPr>
          <w:rFonts w:hint="eastAsia"/>
        </w:rPr>
        <w:t>好用性和美观度，为企业申报及业务处室审核提供更加便捷高效的支撑</w:t>
      </w:r>
      <w:r>
        <w:rPr>
          <w:rFonts w:hint="eastAsia" w:asciiTheme="minorEastAsia" w:hAnsiTheme="minorEastAsia" w:eastAsiaTheme="minorEastAsia" w:cstheme="minorEastAsia"/>
          <w:b w:val="0"/>
          <w:bCs w:val="0"/>
          <w:lang w:val="en-US" w:eastAsia="zh-CN"/>
        </w:rPr>
        <w:t>。</w:t>
      </w:r>
    </w:p>
    <w:p w14:paraId="02E6D381">
      <w:pPr>
        <w:pStyle w:val="3"/>
        <w:bidi w:val="0"/>
        <w:ind w:left="432" w:leftChars="0" w:hanging="432" w:firstLineChars="0"/>
        <w:rPr>
          <w:rFonts w:hint="eastAsia" w:ascii="楷体" w:hAnsi="楷体" w:eastAsia="楷体" w:cs="楷体"/>
        </w:rPr>
      </w:pPr>
      <w:r>
        <w:rPr>
          <w:rFonts w:hint="eastAsia" w:ascii="楷体" w:hAnsi="楷体" w:cs="楷体"/>
          <w:lang w:val="en-US" w:eastAsia="zh-CN"/>
        </w:rPr>
        <w:t>招标内容</w:t>
      </w:r>
    </w:p>
    <w:p w14:paraId="341A764B">
      <w:pPr>
        <w:bidi w:val="0"/>
        <w:rPr>
          <w:rFonts w:hint="eastAsia" w:ascii="宋体" w:hAnsi="宋体" w:eastAsia="宋体" w:cs="宋体"/>
          <w:lang w:eastAsia="zh-CN"/>
        </w:rPr>
      </w:pPr>
      <w:r>
        <w:rPr>
          <w:rFonts w:hint="eastAsia" w:ascii="宋体" w:hAnsi="宋体" w:eastAsia="宋体" w:cs="宋体"/>
        </w:rPr>
        <w:t>1）科技创新券管理子系统，包括：服务机构入驻、服务内容管理、额度申领管理、电子创新券申领、合同确认、额度兑付管理、可视化配置、综合统计分析</w:t>
      </w:r>
      <w:r>
        <w:rPr>
          <w:rFonts w:hint="eastAsia" w:ascii="宋体" w:hAnsi="宋体" w:cs="宋体"/>
          <w:lang w:eastAsia="zh-CN"/>
        </w:rPr>
        <w:t>。</w:t>
      </w:r>
    </w:p>
    <w:p w14:paraId="18DE6CAE">
      <w:pPr>
        <w:bidi w:val="0"/>
        <w:rPr>
          <w:rFonts w:hint="eastAsia" w:ascii="宋体" w:hAnsi="宋体" w:eastAsia="宋体" w:cs="宋体"/>
          <w:lang w:eastAsia="zh-CN"/>
        </w:rPr>
      </w:pPr>
      <w:r>
        <w:rPr>
          <w:rFonts w:hint="eastAsia" w:ascii="宋体" w:hAnsi="宋体" w:eastAsia="宋体" w:cs="宋体"/>
        </w:rPr>
        <w:t>2）扶持资金综合服务子系统共性能力，包括：扶持子系统共性能力、支持企业发展资金管理相关功能、业务流程引擎及页面优化、多维度统计分析共性能力开发、数据对接</w:t>
      </w:r>
      <w:r>
        <w:rPr>
          <w:rFonts w:hint="eastAsia" w:ascii="宋体" w:hAnsi="宋体" w:cs="宋体"/>
          <w:lang w:eastAsia="zh-CN"/>
        </w:rPr>
        <w:t>。</w:t>
      </w:r>
    </w:p>
    <w:p w14:paraId="3ACA2DB3">
      <w:pPr>
        <w:bidi w:val="0"/>
        <w:rPr>
          <w:rFonts w:hint="eastAsia" w:ascii="宋体" w:hAnsi="宋体" w:eastAsia="宋体" w:cs="宋体"/>
          <w:lang w:eastAsia="zh-CN"/>
        </w:rPr>
      </w:pPr>
      <w:r>
        <w:rPr>
          <w:rFonts w:hint="eastAsia" w:ascii="宋体" w:hAnsi="宋体" w:eastAsia="宋体" w:cs="宋体"/>
        </w:rPr>
        <w:t>3）高科专项扶持模块，包括：专项申报端、专项审核端、数据服务</w:t>
      </w:r>
      <w:r>
        <w:rPr>
          <w:rFonts w:hint="eastAsia" w:ascii="宋体" w:hAnsi="宋体" w:cs="宋体"/>
          <w:lang w:eastAsia="zh-CN"/>
        </w:rPr>
        <w:t>。</w:t>
      </w:r>
    </w:p>
    <w:p w14:paraId="26FFC88E">
      <w:pPr>
        <w:bidi w:val="0"/>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sz w:val="30"/>
          <w:szCs w:val="30"/>
        </w:rPr>
        <w:t>金贸政策扶持项目</w:t>
      </w:r>
      <w:r>
        <w:rPr>
          <w:rFonts w:hint="eastAsia" w:ascii="宋体" w:hAnsi="宋体" w:eastAsia="宋体" w:cs="宋体"/>
        </w:rPr>
        <w:t>管理模块，包括：金贸政策申报端、金贸政策审核端、数据服务</w:t>
      </w:r>
      <w:r>
        <w:rPr>
          <w:rFonts w:hint="eastAsia" w:ascii="宋体" w:hAnsi="宋体" w:cs="宋体"/>
          <w:lang w:eastAsia="zh-CN"/>
        </w:rPr>
        <w:t>。</w:t>
      </w:r>
    </w:p>
    <w:p w14:paraId="67D2AFBD">
      <w:pPr>
        <w:bidi w:val="0"/>
        <w:rPr>
          <w:rFonts w:hint="eastAsia" w:ascii="宋体" w:hAnsi="宋体" w:eastAsia="宋体" w:cs="宋体"/>
        </w:rPr>
      </w:pPr>
      <w:r>
        <w:rPr>
          <w:rFonts w:hint="eastAsia" w:ascii="宋体" w:hAnsi="宋体" w:eastAsia="宋体" w:cs="宋体"/>
        </w:rPr>
        <w:t>5）</w:t>
      </w:r>
      <w:r>
        <w:rPr>
          <w:rFonts w:hint="eastAsia" w:asciiTheme="minorEastAsia" w:hAnsiTheme="minorEastAsia" w:eastAsiaTheme="minorEastAsia" w:cstheme="minorEastAsia"/>
          <w:b w:val="0"/>
          <w:bCs w:val="0"/>
          <w:sz w:val="28"/>
          <w:szCs w:val="28"/>
          <w:lang w:val="en-US" w:eastAsia="zh-CN"/>
        </w:rPr>
        <w:t>财税综合管理子系统数据融合管理能力优化，</w:t>
      </w:r>
      <w:r>
        <w:rPr>
          <w:rFonts w:hint="eastAsia" w:ascii="宋体" w:hAnsi="宋体" w:eastAsia="宋体" w:cs="宋体"/>
        </w:rPr>
        <w:t>包括；数据格式兼容性升级、新税收维度及统计口径升级、税收企业库信息管理、税收信息管理、产业信息管理、多维度统计分析；</w:t>
      </w:r>
    </w:p>
    <w:p w14:paraId="69292AD6">
      <w:pPr>
        <w:bidi w:val="0"/>
        <w:rPr>
          <w:rFonts w:hint="eastAsia" w:asciiTheme="minorEastAsia" w:hAnsiTheme="minorEastAsia" w:eastAsiaTheme="minorEastAsia" w:cstheme="minorEastAsia"/>
          <w:kern w:val="2"/>
          <w:sz w:val="28"/>
          <w:szCs w:val="28"/>
          <w:lang w:val="zh-CN" w:eastAsia="zh-CN" w:bidi="ar-SA"/>
        </w:rPr>
      </w:pPr>
      <w:r>
        <w:rPr>
          <w:rFonts w:hint="eastAsia" w:ascii="宋体" w:hAnsi="宋体" w:eastAsia="宋体" w:cs="宋体"/>
        </w:rPr>
        <w:t>6）密码应用对接</w:t>
      </w:r>
      <w:r>
        <w:rPr>
          <w:rFonts w:hint="eastAsia" w:asciiTheme="minorEastAsia" w:hAnsiTheme="minorEastAsia" w:eastAsiaTheme="minorEastAsia" w:cstheme="minorEastAsia"/>
          <w:kern w:val="2"/>
          <w:sz w:val="28"/>
          <w:szCs w:val="28"/>
          <w:lang w:val="zh-CN" w:eastAsia="zh-CN" w:bidi="ar-SA"/>
        </w:rPr>
        <w:t>。</w:t>
      </w:r>
    </w:p>
    <w:p w14:paraId="53E14CF2">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项目时间</w:t>
      </w:r>
    </w:p>
    <w:p w14:paraId="3F65748B">
      <w:pPr>
        <w:bidi w:val="0"/>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本项目建设周期为</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个月。</w:t>
      </w:r>
    </w:p>
    <w:tbl>
      <w:tblPr>
        <w:tblStyle w:val="9"/>
        <w:tblW w:w="4897"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88"/>
        <w:gridCol w:w="1858"/>
        <w:gridCol w:w="3850"/>
        <w:gridCol w:w="1288"/>
      </w:tblGrid>
      <w:tr w14:paraId="5455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7" w:type="pct"/>
            <w:shd w:val="clear" w:color="auto" w:fill="auto"/>
            <w:tcMar>
              <w:top w:w="15" w:type="dxa"/>
              <w:left w:w="76" w:type="dxa"/>
              <w:bottom w:w="0" w:type="dxa"/>
              <w:right w:w="76" w:type="dxa"/>
            </w:tcMar>
            <w:vAlign w:val="center"/>
          </w:tcPr>
          <w:p w14:paraId="31356E04">
            <w:pPr>
              <w:widowControl/>
              <w:tabs>
                <w:tab w:val="left" w:pos="544"/>
                <w:tab w:val="center" w:pos="847"/>
              </w:tabs>
              <w:spacing w:line="360" w:lineRule="auto"/>
              <w:ind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bookmarkStart w:id="0" w:name="_Hlk133586582"/>
            <w:r>
              <w:rPr>
                <w:rFonts w:hint="eastAsia" w:asciiTheme="minorEastAsia" w:hAnsiTheme="minorEastAsia" w:eastAsiaTheme="minorEastAsia" w:cstheme="minorEastAsia"/>
                <w:b/>
                <w:bCs/>
                <w:color w:val="000000"/>
                <w:kern w:val="0"/>
                <w:sz w:val="28"/>
                <w:szCs w:val="28"/>
                <w:lang w:val="en-US" w:eastAsia="zh-CN"/>
              </w:rPr>
              <w:t>阶段</w:t>
            </w:r>
          </w:p>
        </w:tc>
        <w:tc>
          <w:tcPr>
            <w:tcW w:w="1121" w:type="pct"/>
            <w:shd w:val="clear" w:color="auto" w:fill="auto"/>
            <w:tcMar>
              <w:top w:w="15" w:type="dxa"/>
              <w:left w:w="76" w:type="dxa"/>
              <w:bottom w:w="0" w:type="dxa"/>
              <w:right w:w="76" w:type="dxa"/>
            </w:tcMar>
            <w:vAlign w:val="center"/>
          </w:tcPr>
          <w:p w14:paraId="2D47756C">
            <w:pPr>
              <w:widowControl/>
              <w:tabs>
                <w:tab w:val="left" w:pos="544"/>
                <w:tab w:val="center" w:pos="847"/>
              </w:tabs>
              <w:spacing w:line="360" w:lineRule="auto"/>
              <w:ind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任务</w:t>
            </w:r>
          </w:p>
        </w:tc>
        <w:tc>
          <w:tcPr>
            <w:tcW w:w="2323" w:type="pct"/>
            <w:shd w:val="clear" w:color="auto" w:fill="auto"/>
            <w:tcMar>
              <w:top w:w="15" w:type="dxa"/>
              <w:left w:w="76" w:type="dxa"/>
              <w:bottom w:w="0" w:type="dxa"/>
              <w:right w:w="76" w:type="dxa"/>
            </w:tcMar>
            <w:vAlign w:val="center"/>
          </w:tcPr>
          <w:p w14:paraId="61470A6D">
            <w:pPr>
              <w:widowControl/>
              <w:spacing w:line="360" w:lineRule="auto"/>
              <w:ind w:firstLine="0" w:firstLineChars="0"/>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主要工作内容</w:t>
            </w:r>
          </w:p>
        </w:tc>
        <w:tc>
          <w:tcPr>
            <w:tcW w:w="777" w:type="pct"/>
            <w:shd w:val="clear" w:color="auto" w:fill="auto"/>
            <w:tcMar>
              <w:top w:w="15" w:type="dxa"/>
              <w:left w:w="76" w:type="dxa"/>
              <w:bottom w:w="0" w:type="dxa"/>
              <w:right w:w="76" w:type="dxa"/>
            </w:tcMar>
            <w:vAlign w:val="center"/>
          </w:tcPr>
          <w:p w14:paraId="606285DC">
            <w:pPr>
              <w:widowControl/>
              <w:spacing w:line="360" w:lineRule="auto"/>
              <w:ind w:firstLine="0" w:firstLineChars="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完工时间</w:t>
            </w:r>
          </w:p>
        </w:tc>
      </w:tr>
      <w:tr w14:paraId="0C6B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7" w:type="pct"/>
            <w:vMerge w:val="restart"/>
            <w:shd w:val="clear" w:color="auto" w:fill="auto"/>
            <w:tcMar>
              <w:top w:w="15" w:type="dxa"/>
              <w:left w:w="76" w:type="dxa"/>
              <w:bottom w:w="0" w:type="dxa"/>
              <w:right w:w="76" w:type="dxa"/>
            </w:tcMar>
            <w:vAlign w:val="center"/>
          </w:tcPr>
          <w:p w14:paraId="17245A46">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项目准备</w:t>
            </w:r>
          </w:p>
        </w:tc>
        <w:tc>
          <w:tcPr>
            <w:tcW w:w="1121" w:type="pct"/>
            <w:vMerge w:val="restart"/>
            <w:shd w:val="clear" w:color="auto" w:fill="auto"/>
            <w:tcMar>
              <w:top w:w="15" w:type="dxa"/>
              <w:left w:w="76" w:type="dxa"/>
              <w:bottom w:w="0" w:type="dxa"/>
              <w:right w:w="76" w:type="dxa"/>
            </w:tcMar>
            <w:vAlign w:val="center"/>
          </w:tcPr>
          <w:p w14:paraId="51FE5223">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建设计划编制</w:t>
            </w:r>
          </w:p>
        </w:tc>
        <w:tc>
          <w:tcPr>
            <w:tcW w:w="2323" w:type="pct"/>
            <w:shd w:val="clear" w:color="auto" w:fill="auto"/>
            <w:tcMar>
              <w:top w:w="15" w:type="dxa"/>
              <w:left w:w="76" w:type="dxa"/>
              <w:bottom w:w="0" w:type="dxa"/>
              <w:right w:w="76" w:type="dxa"/>
            </w:tcMar>
            <w:vAlign w:val="center"/>
          </w:tcPr>
          <w:p w14:paraId="2FD0F8EC">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项目启动会</w:t>
            </w:r>
          </w:p>
        </w:tc>
        <w:tc>
          <w:tcPr>
            <w:tcW w:w="777" w:type="pct"/>
            <w:vMerge w:val="restart"/>
            <w:shd w:val="clear" w:color="auto" w:fill="auto"/>
            <w:tcMar>
              <w:top w:w="15" w:type="dxa"/>
              <w:left w:w="76" w:type="dxa"/>
              <w:bottom w:w="0" w:type="dxa"/>
              <w:right w:w="76" w:type="dxa"/>
            </w:tcMar>
            <w:vAlign w:val="center"/>
          </w:tcPr>
          <w:p w14:paraId="60815229">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1个月</w:t>
            </w:r>
          </w:p>
        </w:tc>
      </w:tr>
      <w:tr w14:paraId="67C7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7" w:type="pct"/>
            <w:vMerge w:val="continue"/>
            <w:shd w:val="clear" w:color="auto" w:fill="auto"/>
            <w:vAlign w:val="center"/>
          </w:tcPr>
          <w:p w14:paraId="1709F42F">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p>
        </w:tc>
        <w:tc>
          <w:tcPr>
            <w:tcW w:w="1121" w:type="pct"/>
            <w:vMerge w:val="continue"/>
            <w:shd w:val="clear" w:color="auto" w:fill="auto"/>
            <w:vAlign w:val="center"/>
          </w:tcPr>
          <w:p w14:paraId="3493D85B">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p>
        </w:tc>
        <w:tc>
          <w:tcPr>
            <w:tcW w:w="2323" w:type="pct"/>
            <w:shd w:val="clear" w:color="auto" w:fill="auto"/>
            <w:tcMar>
              <w:top w:w="15" w:type="dxa"/>
              <w:left w:w="76" w:type="dxa"/>
              <w:bottom w:w="0" w:type="dxa"/>
              <w:right w:w="76" w:type="dxa"/>
            </w:tcMar>
            <w:vAlign w:val="center"/>
          </w:tcPr>
          <w:p w14:paraId="39896159">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项目建设计划编制、确认</w:t>
            </w:r>
          </w:p>
        </w:tc>
        <w:tc>
          <w:tcPr>
            <w:tcW w:w="777" w:type="pct"/>
            <w:vMerge w:val="continue"/>
            <w:shd w:val="clear" w:color="auto" w:fill="auto"/>
            <w:tcMar>
              <w:top w:w="15" w:type="dxa"/>
              <w:left w:w="76" w:type="dxa"/>
              <w:bottom w:w="0" w:type="dxa"/>
              <w:right w:w="76" w:type="dxa"/>
            </w:tcMar>
            <w:vAlign w:val="center"/>
          </w:tcPr>
          <w:p w14:paraId="772DBD7E">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p>
        </w:tc>
      </w:tr>
      <w:tr w14:paraId="0DAD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7" w:type="pct"/>
            <w:vMerge w:val="restart"/>
            <w:shd w:val="clear" w:color="auto" w:fill="auto"/>
            <w:tcMar>
              <w:top w:w="15" w:type="dxa"/>
              <w:left w:w="76" w:type="dxa"/>
              <w:bottom w:w="0" w:type="dxa"/>
              <w:right w:w="76" w:type="dxa"/>
            </w:tcMar>
            <w:vAlign w:val="center"/>
          </w:tcPr>
          <w:p w14:paraId="7447F209">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开发阶段</w:t>
            </w:r>
          </w:p>
        </w:tc>
        <w:tc>
          <w:tcPr>
            <w:tcW w:w="1121" w:type="pct"/>
            <w:shd w:val="clear" w:color="auto" w:fill="auto"/>
            <w:tcMar>
              <w:top w:w="15" w:type="dxa"/>
              <w:left w:w="76" w:type="dxa"/>
              <w:bottom w:w="0" w:type="dxa"/>
              <w:right w:w="76" w:type="dxa"/>
            </w:tcMar>
            <w:vAlign w:val="center"/>
          </w:tcPr>
          <w:p w14:paraId="5E4190F5">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需求深化调研</w:t>
            </w:r>
          </w:p>
        </w:tc>
        <w:tc>
          <w:tcPr>
            <w:tcW w:w="2323" w:type="pct"/>
            <w:shd w:val="clear" w:color="auto" w:fill="auto"/>
            <w:tcMar>
              <w:top w:w="15" w:type="dxa"/>
              <w:left w:w="76" w:type="dxa"/>
              <w:bottom w:w="0" w:type="dxa"/>
              <w:right w:w="76" w:type="dxa"/>
            </w:tcMar>
            <w:vAlign w:val="center"/>
          </w:tcPr>
          <w:p w14:paraId="03B33324">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完成系统</w:t>
            </w:r>
            <w:r>
              <w:rPr>
                <w:rFonts w:hint="eastAsia" w:asciiTheme="minorEastAsia" w:hAnsiTheme="minorEastAsia" w:eastAsiaTheme="minorEastAsia" w:cstheme="minorEastAsia"/>
                <w:color w:val="000000"/>
                <w:kern w:val="0"/>
                <w:sz w:val="28"/>
                <w:szCs w:val="28"/>
              </w:rPr>
              <w:t>深化调研和</w:t>
            </w:r>
            <w:r>
              <w:rPr>
                <w:rFonts w:hint="eastAsia" w:asciiTheme="minorEastAsia" w:hAnsiTheme="minorEastAsia" w:eastAsiaTheme="minorEastAsia" w:cstheme="minorEastAsia"/>
                <w:color w:val="000000"/>
                <w:kern w:val="0"/>
                <w:sz w:val="28"/>
                <w:szCs w:val="28"/>
                <w:lang w:val="en-US" w:eastAsia="zh-CN"/>
              </w:rPr>
              <w:t>详细</w:t>
            </w:r>
            <w:r>
              <w:rPr>
                <w:rFonts w:hint="eastAsia" w:asciiTheme="minorEastAsia" w:hAnsiTheme="minorEastAsia" w:eastAsiaTheme="minorEastAsia" w:cstheme="minorEastAsia"/>
                <w:color w:val="000000"/>
                <w:kern w:val="0"/>
                <w:sz w:val="28"/>
                <w:szCs w:val="28"/>
              </w:rPr>
              <w:t>设计</w:t>
            </w:r>
          </w:p>
        </w:tc>
        <w:tc>
          <w:tcPr>
            <w:tcW w:w="777" w:type="pct"/>
            <w:shd w:val="clear" w:color="auto" w:fill="auto"/>
            <w:tcMar>
              <w:top w:w="15" w:type="dxa"/>
              <w:left w:w="76" w:type="dxa"/>
              <w:bottom w:w="0" w:type="dxa"/>
              <w:right w:w="76" w:type="dxa"/>
            </w:tcMar>
            <w:vAlign w:val="center"/>
          </w:tcPr>
          <w:p w14:paraId="6406DDD4">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1个月</w:t>
            </w:r>
          </w:p>
        </w:tc>
      </w:tr>
      <w:tr w14:paraId="7B36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77" w:type="pct"/>
            <w:vMerge w:val="continue"/>
            <w:shd w:val="clear" w:color="auto" w:fill="auto"/>
            <w:vAlign w:val="center"/>
          </w:tcPr>
          <w:p w14:paraId="7C35E7E1">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p>
        </w:tc>
        <w:tc>
          <w:tcPr>
            <w:tcW w:w="1121" w:type="pct"/>
            <w:shd w:val="clear" w:color="auto" w:fill="auto"/>
            <w:tcMar>
              <w:top w:w="15" w:type="dxa"/>
              <w:left w:w="76" w:type="dxa"/>
              <w:bottom w:w="0" w:type="dxa"/>
              <w:right w:w="76" w:type="dxa"/>
            </w:tcMar>
            <w:vAlign w:val="center"/>
          </w:tcPr>
          <w:p w14:paraId="0437A8AB">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系统</w:t>
            </w:r>
            <w:r>
              <w:rPr>
                <w:rFonts w:hint="eastAsia" w:asciiTheme="minorEastAsia" w:hAnsiTheme="minorEastAsia" w:eastAsiaTheme="minorEastAsia" w:cstheme="minorEastAsia"/>
                <w:color w:val="000000"/>
                <w:kern w:val="0"/>
                <w:sz w:val="28"/>
                <w:szCs w:val="28"/>
              </w:rPr>
              <w:t>开发</w:t>
            </w:r>
          </w:p>
        </w:tc>
        <w:tc>
          <w:tcPr>
            <w:tcW w:w="2323" w:type="pct"/>
            <w:shd w:val="clear" w:color="auto" w:fill="auto"/>
            <w:tcMar>
              <w:top w:w="15" w:type="dxa"/>
              <w:left w:w="76" w:type="dxa"/>
              <w:bottom w:w="0" w:type="dxa"/>
              <w:right w:w="76" w:type="dxa"/>
            </w:tcMar>
            <w:vAlign w:val="center"/>
          </w:tcPr>
          <w:p w14:paraId="123E4B97">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完成系统</w:t>
            </w:r>
            <w:r>
              <w:rPr>
                <w:rFonts w:hint="eastAsia" w:asciiTheme="minorEastAsia" w:hAnsiTheme="minorEastAsia" w:eastAsiaTheme="minorEastAsia" w:cstheme="minorEastAsia"/>
                <w:color w:val="000000"/>
                <w:kern w:val="0"/>
                <w:sz w:val="28"/>
                <w:szCs w:val="28"/>
              </w:rPr>
              <w:t>功能开发</w:t>
            </w:r>
          </w:p>
        </w:tc>
        <w:tc>
          <w:tcPr>
            <w:tcW w:w="777" w:type="pct"/>
            <w:shd w:val="clear" w:color="auto" w:fill="auto"/>
            <w:tcMar>
              <w:top w:w="15" w:type="dxa"/>
              <w:left w:w="76" w:type="dxa"/>
              <w:bottom w:w="0" w:type="dxa"/>
              <w:right w:w="76" w:type="dxa"/>
            </w:tcMar>
            <w:vAlign w:val="center"/>
          </w:tcPr>
          <w:p w14:paraId="517CF790">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6个月</w:t>
            </w:r>
          </w:p>
        </w:tc>
      </w:tr>
      <w:tr w14:paraId="5C69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777" w:type="pct"/>
            <w:shd w:val="clear" w:color="auto" w:fill="auto"/>
            <w:tcMar>
              <w:top w:w="15" w:type="dxa"/>
              <w:left w:w="76" w:type="dxa"/>
              <w:bottom w:w="0" w:type="dxa"/>
              <w:right w:w="76" w:type="dxa"/>
            </w:tcMar>
            <w:vAlign w:val="center"/>
          </w:tcPr>
          <w:p w14:paraId="40D73013">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部署阶段</w:t>
            </w:r>
          </w:p>
        </w:tc>
        <w:tc>
          <w:tcPr>
            <w:tcW w:w="1121" w:type="pct"/>
            <w:shd w:val="clear" w:color="auto" w:fill="auto"/>
            <w:tcMar>
              <w:top w:w="15" w:type="dxa"/>
              <w:left w:w="76" w:type="dxa"/>
              <w:bottom w:w="0" w:type="dxa"/>
              <w:right w:w="76" w:type="dxa"/>
            </w:tcMar>
            <w:vAlign w:val="center"/>
          </w:tcPr>
          <w:p w14:paraId="655E80B5">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系统部署</w:t>
            </w:r>
          </w:p>
        </w:tc>
        <w:tc>
          <w:tcPr>
            <w:tcW w:w="2323" w:type="pct"/>
            <w:shd w:val="clear" w:color="auto" w:fill="auto"/>
            <w:tcMar>
              <w:top w:w="15" w:type="dxa"/>
              <w:left w:w="76" w:type="dxa"/>
              <w:bottom w:w="0" w:type="dxa"/>
              <w:right w:w="76" w:type="dxa"/>
            </w:tcMar>
            <w:vAlign w:val="center"/>
          </w:tcPr>
          <w:p w14:paraId="0FCCC2D4">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rPr>
              <w:t>完成系统</w:t>
            </w:r>
            <w:r>
              <w:rPr>
                <w:rFonts w:hint="eastAsia" w:asciiTheme="minorEastAsia" w:hAnsiTheme="minorEastAsia" w:eastAsiaTheme="minorEastAsia" w:cstheme="minorEastAsia"/>
                <w:color w:val="000000"/>
                <w:kern w:val="0"/>
                <w:sz w:val="28"/>
                <w:szCs w:val="28"/>
              </w:rPr>
              <w:t>数据对接、</w:t>
            </w:r>
            <w:r>
              <w:rPr>
                <w:rFonts w:hint="eastAsia" w:asciiTheme="minorEastAsia" w:hAnsiTheme="minorEastAsia" w:eastAsiaTheme="minorEastAsia" w:cstheme="minorEastAsia"/>
                <w:color w:val="000000"/>
                <w:kern w:val="0"/>
                <w:sz w:val="28"/>
                <w:szCs w:val="28"/>
                <w:lang w:val="en-US" w:eastAsia="zh-CN"/>
              </w:rPr>
              <w:t>系统</w:t>
            </w:r>
            <w:r>
              <w:rPr>
                <w:rFonts w:hint="eastAsia" w:asciiTheme="minorEastAsia" w:hAnsiTheme="minorEastAsia" w:eastAsiaTheme="minorEastAsia" w:cstheme="minorEastAsia"/>
                <w:color w:val="000000"/>
                <w:kern w:val="0"/>
                <w:sz w:val="28"/>
                <w:szCs w:val="28"/>
              </w:rPr>
              <w:t>测试</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对应的验收确认</w:t>
            </w:r>
            <w:r>
              <w:rPr>
                <w:rFonts w:hint="eastAsia" w:asciiTheme="minorEastAsia" w:hAnsiTheme="minorEastAsia" w:eastAsiaTheme="minorEastAsia" w:cstheme="minorEastAsia"/>
                <w:color w:val="000000"/>
                <w:kern w:val="0"/>
                <w:sz w:val="28"/>
                <w:szCs w:val="28"/>
                <w:lang w:val="en-US" w:eastAsia="zh-CN"/>
              </w:rPr>
              <w:t>及部署</w:t>
            </w:r>
          </w:p>
        </w:tc>
        <w:tc>
          <w:tcPr>
            <w:tcW w:w="777" w:type="pct"/>
            <w:shd w:val="clear" w:color="auto" w:fill="auto"/>
            <w:tcMar>
              <w:top w:w="15" w:type="dxa"/>
              <w:left w:w="76" w:type="dxa"/>
              <w:bottom w:w="0" w:type="dxa"/>
              <w:right w:w="76" w:type="dxa"/>
            </w:tcMar>
            <w:vAlign w:val="center"/>
          </w:tcPr>
          <w:p w14:paraId="31705935">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1个月</w:t>
            </w:r>
          </w:p>
        </w:tc>
      </w:tr>
      <w:tr w14:paraId="03DE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trPr>
        <w:tc>
          <w:tcPr>
            <w:tcW w:w="777" w:type="pct"/>
            <w:shd w:val="clear" w:color="auto" w:fill="auto"/>
            <w:tcMar>
              <w:top w:w="15" w:type="dxa"/>
              <w:left w:w="76" w:type="dxa"/>
              <w:bottom w:w="0" w:type="dxa"/>
              <w:right w:w="76" w:type="dxa"/>
            </w:tcMar>
            <w:vAlign w:val="center"/>
          </w:tcPr>
          <w:p w14:paraId="731B5C7A">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试运行</w:t>
            </w:r>
          </w:p>
          <w:p w14:paraId="48A67C9E">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阶段</w:t>
            </w:r>
          </w:p>
        </w:tc>
        <w:tc>
          <w:tcPr>
            <w:tcW w:w="1121" w:type="pct"/>
            <w:shd w:val="clear" w:color="auto" w:fill="auto"/>
            <w:tcMar>
              <w:top w:w="15" w:type="dxa"/>
              <w:left w:w="76" w:type="dxa"/>
              <w:bottom w:w="0" w:type="dxa"/>
              <w:right w:w="76" w:type="dxa"/>
            </w:tcMar>
            <w:vAlign w:val="center"/>
          </w:tcPr>
          <w:p w14:paraId="7E18A239">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试运行</w:t>
            </w:r>
          </w:p>
        </w:tc>
        <w:tc>
          <w:tcPr>
            <w:tcW w:w="2323" w:type="pct"/>
            <w:shd w:val="clear" w:color="auto" w:fill="auto"/>
            <w:tcMar>
              <w:top w:w="15" w:type="dxa"/>
              <w:left w:w="76" w:type="dxa"/>
              <w:bottom w:w="0" w:type="dxa"/>
              <w:right w:w="76" w:type="dxa"/>
            </w:tcMar>
            <w:vAlign w:val="center"/>
          </w:tcPr>
          <w:p w14:paraId="7A108C1B">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组织队伍，按照合同、建设计划记录试运行期间系统遇到的问题</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kern w:val="0"/>
                <w:sz w:val="28"/>
                <w:szCs w:val="28"/>
              </w:rPr>
              <w:t>完成系统试运行</w:t>
            </w:r>
          </w:p>
        </w:tc>
        <w:tc>
          <w:tcPr>
            <w:tcW w:w="777" w:type="pct"/>
            <w:shd w:val="clear" w:color="auto" w:fill="auto"/>
            <w:tcMar>
              <w:top w:w="15" w:type="dxa"/>
              <w:left w:w="76" w:type="dxa"/>
              <w:bottom w:w="0" w:type="dxa"/>
              <w:right w:w="76" w:type="dxa"/>
            </w:tcMar>
            <w:vAlign w:val="center"/>
          </w:tcPr>
          <w:p w14:paraId="1D592BBC">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2个月</w:t>
            </w:r>
          </w:p>
        </w:tc>
      </w:tr>
      <w:tr w14:paraId="0E78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777" w:type="pct"/>
            <w:shd w:val="clear" w:color="auto" w:fill="auto"/>
            <w:tcMar>
              <w:top w:w="15" w:type="dxa"/>
              <w:left w:w="76" w:type="dxa"/>
              <w:bottom w:w="0" w:type="dxa"/>
              <w:right w:w="76" w:type="dxa"/>
            </w:tcMar>
            <w:vAlign w:val="center"/>
          </w:tcPr>
          <w:p w14:paraId="58C8CD2A">
            <w:pPr>
              <w:widowControl/>
              <w:spacing w:line="360" w:lineRule="auto"/>
              <w:ind w:firstLine="0" w:firstLineChars="0"/>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验收阶段</w:t>
            </w:r>
          </w:p>
        </w:tc>
        <w:tc>
          <w:tcPr>
            <w:tcW w:w="1121" w:type="pct"/>
            <w:shd w:val="clear" w:color="auto" w:fill="auto"/>
            <w:tcMar>
              <w:top w:w="15" w:type="dxa"/>
              <w:left w:w="76" w:type="dxa"/>
              <w:bottom w:w="0" w:type="dxa"/>
              <w:right w:w="76" w:type="dxa"/>
            </w:tcMar>
            <w:vAlign w:val="center"/>
          </w:tcPr>
          <w:p w14:paraId="217A41FE">
            <w:pPr>
              <w:widowControl/>
              <w:spacing w:line="360" w:lineRule="auto"/>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项目终验</w:t>
            </w:r>
          </w:p>
        </w:tc>
        <w:tc>
          <w:tcPr>
            <w:tcW w:w="2323" w:type="pct"/>
            <w:shd w:val="clear" w:color="auto" w:fill="auto"/>
            <w:tcMar>
              <w:top w:w="15" w:type="dxa"/>
              <w:left w:w="76" w:type="dxa"/>
              <w:bottom w:w="0" w:type="dxa"/>
              <w:right w:w="76" w:type="dxa"/>
            </w:tcMar>
            <w:vAlign w:val="center"/>
          </w:tcPr>
          <w:p w14:paraId="3BC8B829">
            <w:pPr>
              <w:widowControl/>
              <w:spacing w:line="360" w:lineRule="auto"/>
              <w:ind w:firstLine="0" w:firstLineChars="0"/>
              <w:jc w:val="both"/>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kern w:val="0"/>
                <w:sz w:val="28"/>
                <w:szCs w:val="28"/>
              </w:rPr>
              <w:t>系统验收</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移交用户使用</w:t>
            </w:r>
          </w:p>
        </w:tc>
        <w:tc>
          <w:tcPr>
            <w:tcW w:w="777" w:type="pct"/>
            <w:shd w:val="clear" w:color="auto" w:fill="auto"/>
            <w:tcMar>
              <w:top w:w="15" w:type="dxa"/>
              <w:left w:w="76" w:type="dxa"/>
              <w:bottom w:w="0" w:type="dxa"/>
              <w:right w:w="76" w:type="dxa"/>
            </w:tcMar>
            <w:vAlign w:val="center"/>
          </w:tcPr>
          <w:p w14:paraId="52703AF9">
            <w:pPr>
              <w:widowControl/>
              <w:spacing w:line="360" w:lineRule="auto"/>
              <w:ind w:firstLine="0" w:firstLineChars="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1个月</w:t>
            </w:r>
          </w:p>
        </w:tc>
      </w:tr>
      <w:bookmarkEnd w:id="0"/>
    </w:tbl>
    <w:p w14:paraId="7C3D6B8E">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项目预算</w:t>
      </w:r>
    </w:p>
    <w:p w14:paraId="3FA2DC7E">
      <w:pPr>
        <w:bidi w:val="0"/>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项目总预算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2890000</w:t>
      </w:r>
      <w:r>
        <w:rPr>
          <w:rFonts w:hint="eastAsia" w:asciiTheme="minorEastAsia" w:hAnsiTheme="minorEastAsia" w:eastAsiaTheme="minorEastAsia" w:cstheme="minorEastAsia"/>
        </w:rPr>
        <w:t>.00元（人民币）；</w:t>
      </w:r>
    </w:p>
    <w:p w14:paraId="2F68491A">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lang w:val="en-US" w:eastAsia="zh-CN"/>
        </w:rPr>
        <w:t>274550</w:t>
      </w:r>
      <w:r>
        <w:rPr>
          <w:rFonts w:hint="eastAsia" w:asciiTheme="minorEastAsia" w:hAnsiTheme="minorEastAsia" w:eastAsiaTheme="minorEastAsia" w:cstheme="minorEastAsia"/>
        </w:rPr>
        <w:t>0.00元（人民币）</w:t>
      </w:r>
      <w:r>
        <w:rPr>
          <w:rFonts w:hint="eastAsia" w:asciiTheme="minorEastAsia" w:hAnsiTheme="minorEastAsia" w:eastAsiaTheme="minorEastAsia" w:cstheme="minorEastAsia"/>
          <w:lang w:eastAsia="zh-CN"/>
        </w:rPr>
        <w:t>。</w:t>
      </w:r>
    </w:p>
    <w:p w14:paraId="0969F0FC">
      <w:pPr>
        <w:pStyle w:val="2"/>
        <w:bidi w:val="0"/>
        <w:ind w:left="432" w:leftChars="0" w:hanging="432" w:firstLineChars="0"/>
        <w:rPr>
          <w:rFonts w:hint="eastAsia" w:ascii="楷体" w:hAnsi="楷体" w:eastAsia="楷体" w:cs="楷体"/>
        </w:rPr>
      </w:pPr>
      <w:r>
        <w:rPr>
          <w:rFonts w:hint="eastAsia" w:ascii="楷体" w:hAnsi="楷体" w:cs="楷体"/>
          <w:lang w:val="en-US" w:eastAsia="zh-CN"/>
        </w:rPr>
        <w:t>技术质量要求</w:t>
      </w:r>
    </w:p>
    <w:p w14:paraId="3B5F0ED0">
      <w:pPr>
        <w:pStyle w:val="3"/>
        <w:bidi w:val="0"/>
        <w:ind w:left="432" w:leftChars="0" w:hanging="432" w:firstLineChars="0"/>
        <w:rPr>
          <w:rFonts w:hint="eastAsia" w:ascii="楷体" w:hAnsi="楷体" w:eastAsia="楷体" w:cs="楷体"/>
        </w:rPr>
      </w:pPr>
      <w:r>
        <w:rPr>
          <w:rFonts w:hint="eastAsia" w:ascii="楷体" w:hAnsi="楷体" w:eastAsia="楷体" w:cs="楷体"/>
        </w:rPr>
        <w:t>相关规范及标准</w:t>
      </w:r>
    </w:p>
    <w:p w14:paraId="35BC7A81">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《中华人民共和国国家安全法》</w:t>
      </w:r>
    </w:p>
    <w:p w14:paraId="18289CCA">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《中华人民共和国网络安全法》</w:t>
      </w:r>
    </w:p>
    <w:p w14:paraId="50E3694E">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《中华人民共和国行政许可法》</w:t>
      </w:r>
    </w:p>
    <w:p w14:paraId="760A94FC">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《中华人民共和国行政监察法》</w:t>
      </w:r>
    </w:p>
    <w:p w14:paraId="2E05A46F">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《中华人民共和国保守国家秘密法》</w:t>
      </w:r>
    </w:p>
    <w:p w14:paraId="57410594">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《中华人民共和国保守国家秘密法实施条例》</w:t>
      </w:r>
    </w:p>
    <w:p w14:paraId="26644FF3">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22080-2021《信息技术安全技术信息安全管理体系要求》</w:t>
      </w:r>
    </w:p>
    <w:p w14:paraId="1183E33F">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16260.1-2021《软件工程产品质量要求 第1部分：通用要求》</w:t>
      </w:r>
    </w:p>
    <w:p w14:paraId="3C6B0AB9">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16260.2-2021《软件工程产品质量要求 第2部分：安全性要求》</w:t>
      </w:r>
    </w:p>
    <w:p w14:paraId="3A351FB5">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GB/T36964-2018《软件工程软件开发成本度量规范》</w:t>
      </w:r>
    </w:p>
    <w:p w14:paraId="0D5E7178">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35631-2017《软件工程软件生存周期过程》</w:t>
      </w:r>
    </w:p>
    <w:p w14:paraId="21CF8B48">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20917.1-2021《软件工程测量过程 第1部分：通用要求》</w:t>
      </w:r>
    </w:p>
    <w:p w14:paraId="73720DB0">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20917.2-2021《软件工程测量过程 第2部分：安全性要求》</w:t>
      </w:r>
    </w:p>
    <w:p w14:paraId="4FF7E6B2">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22080-2021《信息技术安全技术信息安全管理体系要求》</w:t>
      </w:r>
    </w:p>
    <w:p w14:paraId="69EE6A0F">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22239-2008《信息安全技术信息系统安全管理要求》</w:t>
      </w:r>
    </w:p>
    <w:p w14:paraId="3A712863">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 39326-2020《信息安全技术信息安全风险评估规范》</w:t>
      </w:r>
    </w:p>
    <w:p w14:paraId="0C1B2397">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GB/T15191-2010《贸易数据交换贸易数据元目录数据元》</w:t>
      </w:r>
    </w:p>
    <w:p w14:paraId="7B634350">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GB/T14805.8-2007《行政、商业和运输业电子数据交换（EDIFACT）应用级语法规则》</w:t>
      </w:r>
    </w:p>
    <w:p w14:paraId="7B2E61EC">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GB/T36625.5-2019《智慧城市数据融合 第5部分：市政基础设施数据元素》</w:t>
      </w:r>
    </w:p>
    <w:p w14:paraId="26B794A4">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GB/T36625.2-2018《智慧城市数据融合 第2部分：数据编码规范》</w:t>
      </w:r>
    </w:p>
    <w:p w14:paraId="7719CE04">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GB/T15635-2014《行政、商业和运输业电子数据交换复合数据元目录》</w:t>
      </w:r>
    </w:p>
    <w:p w14:paraId="0A67E8A2">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GB/T26237.5-2014《信息技术生物特征识别数据交换格式 第5部分：人脸图像数据》</w:t>
      </w:r>
    </w:p>
    <w:p w14:paraId="28CE99EB">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GB/T26237.7-2013《信息技术生物特征识别数据交换格式 第7部分：签名/签字时间序列数据》</w:t>
      </w:r>
    </w:p>
    <w:p w14:paraId="6937DFB7">
      <w:pPr>
        <w:pStyle w:val="12"/>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GB/T19488.2-2008《电子政务数据元 第2部分：公共数据元目录》</w:t>
      </w:r>
    </w:p>
    <w:p w14:paraId="2D56969E">
      <w:pPr>
        <w:pStyle w:val="3"/>
        <w:bidi w:val="0"/>
        <w:ind w:left="575" w:leftChars="0" w:hanging="575" w:firstLineChars="0"/>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技术框架要求</w:t>
      </w:r>
    </w:p>
    <w:p w14:paraId="09665E7B">
      <w:pPr>
        <w:widowControl w:val="0"/>
        <w:spacing w:line="360" w:lineRule="auto"/>
        <w:ind w:firstLine="560" w:firstLineChars="200"/>
        <w:jc w:val="both"/>
        <w:rPr>
          <w:rFonts w:hint="eastAsia" w:ascii="仿宋" w:hAnsi="仿宋" w:eastAsia="宋体" w:cs="Times New Roman"/>
          <w:color w:val="000000" w:themeColor="text1"/>
          <w:kern w:val="2"/>
          <w:sz w:val="28"/>
          <w:szCs w:val="28"/>
          <w:lang w:val="en-US" w:eastAsia="zh-CN" w:bidi="ar-SA"/>
          <w14:textFill>
            <w14:solidFill>
              <w14:schemeClr w14:val="tx1"/>
            </w14:solidFill>
          </w14:textFill>
        </w:rPr>
      </w:pPr>
      <w:r>
        <w:rPr>
          <w:rFonts w:hint="eastAsia" w:ascii="仿宋" w:hAnsi="仿宋" w:eastAsia="宋体" w:cs="Times New Roman"/>
          <w:color w:val="000000" w:themeColor="text1"/>
          <w:kern w:val="2"/>
          <w:sz w:val="28"/>
          <w:szCs w:val="28"/>
          <w:lang w:val="en-US" w:eastAsia="zh-CN" w:bidi="ar-SA"/>
          <w14:textFill>
            <w14:solidFill>
              <w14:schemeClr w14:val="tx1"/>
            </w14:solidFill>
          </w14:textFill>
        </w:rPr>
        <w:t>临港新片区财政促进经济社会发展管理系统（</w:t>
      </w:r>
      <w:r>
        <w:rPr>
          <w:rFonts w:hint="eastAsia" w:ascii="仿宋" w:hAnsi="仿宋" w:cs="Times New Roman"/>
          <w:color w:val="000000" w:themeColor="text1"/>
          <w:kern w:val="2"/>
          <w:sz w:val="28"/>
          <w:szCs w:val="28"/>
          <w:lang w:val="en-US" w:eastAsia="zh-CN" w:bidi="ar-SA"/>
          <w14:textFill>
            <w14:solidFill>
              <w14:schemeClr w14:val="tx1"/>
            </w14:solidFill>
          </w14:textFill>
        </w:rPr>
        <w:t>升级改造</w:t>
      </w:r>
      <w:r>
        <w:rPr>
          <w:rFonts w:hint="eastAsia" w:ascii="仿宋" w:hAnsi="仿宋" w:eastAsia="宋体" w:cs="Times New Roman"/>
          <w:color w:val="000000" w:themeColor="text1"/>
          <w:kern w:val="2"/>
          <w:sz w:val="28"/>
          <w:szCs w:val="28"/>
          <w:lang w:val="en-US" w:eastAsia="zh-CN" w:bidi="ar-SA"/>
          <w14:textFill>
            <w14:solidFill>
              <w14:schemeClr w14:val="tx1"/>
            </w14:solidFill>
          </w14:textFill>
        </w:rPr>
        <w:t>）的建设应以用户需求为导向、以目标达成为宗旨、以任务实现为要点，符合“高内聚、低耦合”的先进软件设计理念，满足应用及服务的对接与集成，在保持各系统独立性的同时，又要促使系统的相互统一、数据共享与互操作。系统需基于成熟的应用开发平台进行设计和开发，并采用国际、国内先进、成熟的技术标准。同时综合考虑部署环境、运行使用环境、系统维护和技术的发展，本项目应满足如下要求：</w:t>
      </w:r>
    </w:p>
    <w:p w14:paraId="38B2EA10">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国产化要求：系统的建设需全面采用国产软硬件及技术标准，以确保信息系统的自主可控与国产化要求。系统设计应该采用多种成熟、稳定、高可用性技术保证关键业务的连续不间断运作和对非正常情况的可靠处理。</w:t>
      </w:r>
    </w:p>
    <w:p w14:paraId="1DDA4A46">
      <w:pPr>
        <w:ind w:firstLine="560" w:firstLineChars="200"/>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（2）复用性与兼容性：最大化复用已建成系统的功能模块、数据库结构和接口服务，减少重复开发成本。</w:t>
      </w:r>
    </w:p>
    <w:p w14:paraId="66061B03">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（3）模块化与微服务架构：采用模块化设计，将系统划分为多个独立且可复用的微服务，提高系统的可扩展性、可维护性和故障隔离能力。</w:t>
      </w:r>
    </w:p>
    <w:p w14:paraId="4467757E">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（4）标准化与接口规范：制定严格的编码规范、数据标准和接口协议，确保系统内部各组件及与外部系统的有效通信与集成。</w:t>
      </w:r>
    </w:p>
    <w:p w14:paraId="739F9BC3">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（5）性能优化与负载均衡：实施性能监控、缓存策略和负载均衡机制，确保系统在高并发、大数据量场景下的稳定运行和高效响应。</w:t>
      </w:r>
    </w:p>
    <w:p w14:paraId="0894F469">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安全性与数据保护：加强系统的安全防护，包括数据加密、访问控制、防火墙和入侵检测等，确保用户数据和系统安全不受威胁。保证系统数据处理的一致性，保证业务和数据不被非法获取和篡改，保证数据不因意外情况丢失和损坏，保证信息传输时对使用者、发送和接收者的身份确认，提供多种安全检查审计手段，实现整个平台的安全性。</w:t>
      </w:r>
    </w:p>
    <w:p w14:paraId="76B71328">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（7）可观测性与故障排查：集成日志管理、性能监控和错误跟踪系统，提供全面的可观测性，便于快速定位和解决系统问题。</w:t>
      </w:r>
    </w:p>
    <w:p w14:paraId="4719EBCD">
      <w:pPr>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（8）用户体验与界面优化：关注用户界面和交互设计，确保升级后的系统易于使用、响应迅速，提升用户满意度和操作效率。</w:t>
      </w:r>
    </w:p>
    <w:p w14:paraId="2533BF2B">
      <w:pPr>
        <w:pStyle w:val="3"/>
        <w:bidi w:val="0"/>
        <w:ind w:left="575" w:leftChars="0" w:hanging="575" w:firstLineChars="0"/>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招标内容及质量</w:t>
      </w:r>
      <w:r>
        <w:rPr>
          <w:rFonts w:hint="eastAsia" w:asciiTheme="majorEastAsia" w:hAnsiTheme="majorEastAsia" w:eastAsiaTheme="majorEastAsia" w:cstheme="majorEastAsia"/>
          <w:color w:val="000000" w:themeColor="text1"/>
          <w14:textFill>
            <w14:solidFill>
              <w14:schemeClr w14:val="tx1"/>
            </w14:solidFill>
          </w14:textFill>
        </w:rPr>
        <w:t>要求</w:t>
      </w:r>
    </w:p>
    <w:p w14:paraId="7BE0508C">
      <w:pPr>
        <w:pStyle w:val="4"/>
        <w:bidi w:val="0"/>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招标清单</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50"/>
        <w:gridCol w:w="5570"/>
        <w:gridCol w:w="816"/>
      </w:tblGrid>
      <w:tr w14:paraId="26CB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9" w:type="dxa"/>
            <w:vAlign w:val="center"/>
          </w:tcPr>
          <w:p w14:paraId="3BE4242F">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750" w:type="dxa"/>
            <w:vAlign w:val="center"/>
          </w:tcPr>
          <w:p w14:paraId="6BDDBB21">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子系统</w:t>
            </w:r>
            <w:r>
              <w:rPr>
                <w:rFonts w:hint="eastAsia" w:asciiTheme="minorEastAsia" w:hAnsiTheme="minorEastAsia" w:eastAsiaTheme="minorEastAsia" w:cstheme="minorEastAsia"/>
                <w:b/>
                <w:sz w:val="28"/>
                <w:szCs w:val="28"/>
              </w:rPr>
              <w:t>名称</w:t>
            </w:r>
          </w:p>
        </w:tc>
        <w:tc>
          <w:tcPr>
            <w:tcW w:w="5570" w:type="dxa"/>
            <w:vAlign w:val="center"/>
          </w:tcPr>
          <w:p w14:paraId="7CF47F5B">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功能及技术指标</w:t>
            </w:r>
          </w:p>
        </w:tc>
        <w:tc>
          <w:tcPr>
            <w:tcW w:w="816" w:type="dxa"/>
            <w:vAlign w:val="center"/>
          </w:tcPr>
          <w:p w14:paraId="3681D073">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备注</w:t>
            </w:r>
          </w:p>
        </w:tc>
      </w:tr>
      <w:tr w14:paraId="7363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159D3D9A">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750" w:type="dxa"/>
            <w:vAlign w:val="center"/>
          </w:tcPr>
          <w:p w14:paraId="09C01F70">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zh-CN"/>
              </w:rPr>
              <w:t>科技创新券管理子系统</w:t>
            </w:r>
          </w:p>
        </w:tc>
        <w:tc>
          <w:tcPr>
            <w:tcW w:w="5570" w:type="dxa"/>
            <w:vAlign w:val="center"/>
          </w:tcPr>
          <w:p w14:paraId="2B739885">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服务机构入驻、服务内容管理、额度申领管理、电子创新券申领、合同确认、额度兑付管理、可视化配置、综合统计分析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详见2.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1AACFF0E">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p>
        </w:tc>
      </w:tr>
      <w:tr w14:paraId="31F1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2F5B7185">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750" w:type="dxa"/>
            <w:vAlign w:val="center"/>
          </w:tcPr>
          <w:p w14:paraId="4D5ED4D5">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扶持资金综合服务子系统共性能力</w:t>
            </w:r>
          </w:p>
        </w:tc>
        <w:tc>
          <w:tcPr>
            <w:tcW w:w="5570" w:type="dxa"/>
            <w:vAlign w:val="center"/>
          </w:tcPr>
          <w:p w14:paraId="53424D95">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扶持子系统共性能力、支持企业发展资金管理相关功能、业务流程引擎及页面优化、多维度统计分析共性能力开发、数据对接。详见2.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5C5BABE5">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4CFD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2F3747AF">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750" w:type="dxa"/>
            <w:vAlign w:val="center"/>
          </w:tcPr>
          <w:p w14:paraId="26F60456">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高科专项扶持模块</w:t>
            </w:r>
          </w:p>
        </w:tc>
        <w:tc>
          <w:tcPr>
            <w:tcW w:w="5570" w:type="dxa"/>
            <w:vAlign w:val="center"/>
          </w:tcPr>
          <w:p w14:paraId="68F7EE8B">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专项申报端、专项审核端、数据服务。详见2.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44EA8000">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467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190356F3">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750" w:type="dxa"/>
            <w:vAlign w:val="center"/>
          </w:tcPr>
          <w:p w14:paraId="429CC38F">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金贸政策扶持项目管理模块</w:t>
            </w:r>
          </w:p>
        </w:tc>
        <w:tc>
          <w:tcPr>
            <w:tcW w:w="5570" w:type="dxa"/>
            <w:vAlign w:val="center"/>
          </w:tcPr>
          <w:p w14:paraId="4031D0AC">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金贸政策申报端、金贸政策审核端、数据服务。详见2.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7FF0554F">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603B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105C1772">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w:t>
            </w:r>
          </w:p>
        </w:tc>
        <w:tc>
          <w:tcPr>
            <w:tcW w:w="1750" w:type="dxa"/>
            <w:vAlign w:val="center"/>
          </w:tcPr>
          <w:p w14:paraId="33F7564C">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lang w:val="en-US" w:eastAsia="zh-CN"/>
              </w:rPr>
              <w:t>财税综合管理子系统数据融合管理能力优化</w:t>
            </w:r>
          </w:p>
        </w:tc>
        <w:tc>
          <w:tcPr>
            <w:tcW w:w="5570" w:type="dxa"/>
            <w:vAlign w:val="center"/>
          </w:tcPr>
          <w:p w14:paraId="1C1F1766">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数据格式兼容性升级、新税收维度及统计口径升级、税收企业库信息管理、税收信息管理、产业信息管理、多维度统计分析。详见2.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03687D53">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bl>
    <w:p w14:paraId="11AA6645">
      <w:pPr>
        <w:bidi w:val="0"/>
        <w:rPr>
          <w:rFonts w:hint="eastAsia" w:asciiTheme="minorEastAsia" w:hAnsiTheme="minorEastAsia" w:eastAsiaTheme="minorEastAsia" w:cstheme="minorEastAsia"/>
          <w:b/>
          <w:bCs/>
          <w:color w:val="000000" w:themeColor="text1"/>
          <w:u w:val="single"/>
          <w14:textFill>
            <w14:solidFill>
              <w14:schemeClr w14:val="tx1"/>
            </w14:solidFill>
          </w14:textFill>
        </w:rPr>
      </w:pPr>
      <w:r>
        <w:rPr>
          <w:rFonts w:hint="eastAsia" w:asciiTheme="minorEastAsia" w:hAnsiTheme="minorEastAsia" w:eastAsiaTheme="minorEastAsia" w:cstheme="minorEastAsia"/>
          <w:b/>
          <w:bCs/>
          <w:color w:val="000000" w:themeColor="text1"/>
          <w:u w:val="single"/>
          <w14:textFill>
            <w14:solidFill>
              <w14:schemeClr w14:val="tx1"/>
            </w14:solidFill>
          </w14:textFill>
        </w:rPr>
        <w:t>说明：上表中所列为本次招标的主要工作内容，其中“●”标记的内容为本项目的核心工作内容，投标人不</w:t>
      </w:r>
      <w:r>
        <w:rPr>
          <w:rFonts w:hint="eastAsia" w:asciiTheme="minorEastAsia" w:hAnsiTheme="minorEastAsia" w:eastAsiaTheme="minorEastAsia" w:cstheme="minorEastAsia"/>
          <w:b/>
          <w:bCs/>
          <w:color w:val="000000" w:themeColor="text1"/>
          <w:u w:val="single"/>
          <w:lang w:eastAsia="zh-CN"/>
          <w14:textFill>
            <w14:solidFill>
              <w14:schemeClr w14:val="tx1"/>
            </w14:solidFill>
          </w14:textFill>
        </w:rPr>
        <w:t>能</w:t>
      </w:r>
      <w:r>
        <w:rPr>
          <w:rFonts w:hint="eastAsia" w:asciiTheme="minorEastAsia" w:hAnsiTheme="minorEastAsia" w:eastAsiaTheme="minorEastAsia" w:cstheme="minorEastAsia"/>
          <w:b/>
          <w:bCs/>
          <w:color w:val="000000" w:themeColor="text1"/>
          <w:u w:val="single"/>
          <w14:textFill>
            <w14:solidFill>
              <w14:schemeClr w14:val="tx1"/>
            </w14:solidFill>
          </w14:textFill>
        </w:rPr>
        <w:t>减少核心模块。</w:t>
      </w:r>
    </w:p>
    <w:p w14:paraId="3A20EA28">
      <w:pPr>
        <w:pStyle w:val="4"/>
        <w:bidi w:val="0"/>
        <w:rPr>
          <w:rFonts w:hint="eastAsia" w:asciiTheme="minorEastAsia" w:hAnsiTheme="minorEastAsia" w:eastAsiaTheme="minorEastAsia" w:cstheme="minorEastAsia"/>
          <w:b/>
          <w:bCs w:val="0"/>
          <w:color w:val="auto"/>
          <w:lang w:val="en-US" w:eastAsia="zh-CN"/>
        </w:rPr>
      </w:pPr>
      <w:r>
        <w:rPr>
          <w:rFonts w:hint="eastAsia" w:asciiTheme="minorEastAsia" w:hAnsiTheme="minorEastAsia" w:eastAsiaTheme="minorEastAsia" w:cstheme="minorEastAsia"/>
          <w:b/>
          <w:bCs w:val="0"/>
          <w:color w:val="auto"/>
          <w:lang w:val="en-US" w:eastAsia="zh-CN"/>
        </w:rPr>
        <w:t>各模块具体要求</w:t>
      </w:r>
    </w:p>
    <w:p w14:paraId="349DE5D4">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en-US" w:eastAsia="zh-CN"/>
        </w:rPr>
      </w:pPr>
      <w:r>
        <w:rPr>
          <w:rFonts w:hint="eastAsia"/>
          <w:lang w:val="en-US" w:eastAsia="zh-CN"/>
        </w:rPr>
        <w:t>科技创新券子系统</w:t>
      </w:r>
    </w:p>
    <w:p w14:paraId="5852686B">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服务机构入驻</w:t>
      </w:r>
    </w:p>
    <w:p w14:paraId="08D87553">
      <w:pPr>
        <w:pStyle w:val="12"/>
        <w:numPr>
          <w:ilvl w:val="0"/>
          <w:numId w:val="0"/>
        </w:numPr>
        <w:ind w:leftChars="200"/>
      </w:pPr>
      <w:r>
        <w:rPr>
          <w:rFonts w:hint="eastAsia"/>
          <w:lang w:val="en-US" w:eastAsia="zh-CN"/>
        </w:rPr>
        <w:t>1、</w:t>
      </w:r>
      <w:r>
        <w:rPr>
          <w:rFonts w:hint="eastAsia"/>
        </w:rPr>
        <w:t>机构数据填报</w:t>
      </w:r>
    </w:p>
    <w:p w14:paraId="4174BE28">
      <w:pPr>
        <w:pStyle w:val="12"/>
      </w:pPr>
      <w:r>
        <w:rPr>
          <w:rFonts w:hint="eastAsia"/>
        </w:rPr>
        <w:t>企业通过服务机构入驻入口填写企业基本信息，并上传政策申请所</w:t>
      </w:r>
      <w:r>
        <w:rPr>
          <w:rFonts w:hint="eastAsia"/>
          <w:lang w:eastAsia="zh-CN"/>
        </w:rPr>
        <w:t>须具备</w:t>
      </w:r>
      <w:r>
        <w:rPr>
          <w:rFonts w:hint="eastAsia"/>
        </w:rPr>
        <w:t>的条件材料附件。企业基本信息调用大数据中心的工商数据库进行数据</w:t>
      </w:r>
      <w:r>
        <w:rPr>
          <w:rFonts w:hint="eastAsia"/>
          <w:lang w:val="en-US" w:eastAsia="zh-CN"/>
        </w:rPr>
        <w:t>回填</w:t>
      </w:r>
      <w:r>
        <w:rPr>
          <w:rFonts w:hint="eastAsia"/>
        </w:rPr>
        <w:t>，让企业尽可能少填写，同时也是部分资格认定工作前序化。</w:t>
      </w:r>
    </w:p>
    <w:p w14:paraId="380D1A56">
      <w:pPr>
        <w:pStyle w:val="12"/>
        <w:numPr>
          <w:ilvl w:val="0"/>
          <w:numId w:val="0"/>
        </w:numPr>
        <w:ind w:leftChars="200"/>
        <w:rPr>
          <w:rFonts w:hint="eastAsia"/>
          <w:lang w:val="en-US" w:eastAsia="zh-CN"/>
        </w:rPr>
      </w:pPr>
      <w:r>
        <w:rPr>
          <w:rFonts w:hint="eastAsia"/>
          <w:lang w:val="en-US" w:eastAsia="zh-CN"/>
        </w:rPr>
        <w:t>2、服务机构信息变更</w:t>
      </w:r>
    </w:p>
    <w:p w14:paraId="69B8257D">
      <w:pPr>
        <w:pStyle w:val="12"/>
      </w:pPr>
      <w:r>
        <w:rPr>
          <w:rFonts w:hint="eastAsia"/>
        </w:rPr>
        <w:t>完成数据填报后，可在申报端对上报数据进行查询，若存在上报数据有误，则可通过修改功能对上报数据进行更正。确认上报数据无误后，可</w:t>
      </w:r>
      <w:r>
        <w:rPr>
          <w:rFonts w:hint="eastAsia"/>
          <w:lang w:val="en-US" w:eastAsia="zh-CN"/>
        </w:rPr>
        <w:t>重新</w:t>
      </w:r>
      <w:r>
        <w:rPr>
          <w:rFonts w:hint="eastAsia"/>
        </w:rPr>
        <w:t>进入企业申报流程。</w:t>
      </w:r>
    </w:p>
    <w:p w14:paraId="655223D9">
      <w:pPr>
        <w:pStyle w:val="12"/>
        <w:numPr>
          <w:ilvl w:val="0"/>
          <w:numId w:val="0"/>
        </w:numPr>
        <w:ind w:leftChars="200"/>
      </w:pPr>
      <w:r>
        <w:rPr>
          <w:rFonts w:hint="eastAsia"/>
          <w:lang w:val="en-US" w:eastAsia="zh-CN"/>
        </w:rPr>
        <w:t>3、</w:t>
      </w:r>
      <w:r>
        <w:rPr>
          <w:rFonts w:hint="eastAsia"/>
        </w:rPr>
        <w:t>申报审核</w:t>
      </w:r>
    </w:p>
    <w:p w14:paraId="38AA135C">
      <w:pPr>
        <w:pStyle w:val="12"/>
      </w:pPr>
      <w:r>
        <w:rPr>
          <w:rFonts w:hint="eastAsia"/>
        </w:rPr>
        <w:t>机构完成入驻申报后，将</w:t>
      </w:r>
      <w:r>
        <w:rPr>
          <w:rFonts w:hint="eastAsia"/>
          <w:lang w:eastAsia="zh-CN"/>
        </w:rPr>
        <w:t>由</w:t>
      </w:r>
      <w:r>
        <w:rPr>
          <w:rFonts w:hint="eastAsia"/>
        </w:rPr>
        <w:t>相关审核单位对机构提报信息进行审核，最终审核通过后，将对入驻机构进行公示。</w:t>
      </w:r>
    </w:p>
    <w:p w14:paraId="6FB5750E">
      <w:pPr>
        <w:pStyle w:val="12"/>
        <w:numPr>
          <w:ilvl w:val="0"/>
          <w:numId w:val="0"/>
        </w:numPr>
        <w:ind w:leftChars="200"/>
        <w:rPr>
          <w:rFonts w:hint="eastAsia"/>
          <w:lang w:val="en-US" w:eastAsia="zh-CN"/>
        </w:rPr>
      </w:pPr>
      <w:r>
        <w:rPr>
          <w:rFonts w:hint="eastAsia"/>
          <w:lang w:val="en-US" w:eastAsia="zh-CN"/>
        </w:rPr>
        <w:t>4、入驻机构公示</w:t>
      </w:r>
    </w:p>
    <w:p w14:paraId="1F58829D">
      <w:pPr>
        <w:pStyle w:val="12"/>
      </w:pPr>
      <w:r>
        <w:rPr>
          <w:rFonts w:hint="eastAsia"/>
        </w:rPr>
        <w:t>审核通过后，申报企业正式成为入驻科技创新券管理的服务机构</w:t>
      </w:r>
      <w:r>
        <w:rPr>
          <w:rFonts w:hint="eastAsia"/>
          <w:lang w:eastAsia="zh-CN"/>
        </w:rPr>
        <w:t>；</w:t>
      </w:r>
      <w:r>
        <w:rPr>
          <w:rFonts w:hint="eastAsia"/>
        </w:rPr>
        <w:t>系统自动生成公示信息</w:t>
      </w:r>
      <w:r>
        <w:rPr>
          <w:rFonts w:hint="eastAsia"/>
          <w:lang w:eastAsia="zh-CN"/>
        </w:rPr>
        <w:t>，</w:t>
      </w:r>
      <w:r>
        <w:rPr>
          <w:rFonts w:hint="eastAsia"/>
        </w:rPr>
        <w:t>审核人员还可根据实际情况自定义发布公示信息。</w:t>
      </w:r>
    </w:p>
    <w:p w14:paraId="21978380">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服务内容管理</w:t>
      </w:r>
    </w:p>
    <w:p w14:paraId="4C9C7D65">
      <w:pPr>
        <w:pStyle w:val="12"/>
        <w:rPr>
          <w:rFonts w:hint="eastAsia" w:eastAsia="宋体"/>
          <w:lang w:eastAsia="zh-CN"/>
        </w:rPr>
      </w:pPr>
      <w:r>
        <w:rPr>
          <w:rFonts w:hint="eastAsia"/>
        </w:rPr>
        <w:t>经审核后的服务机构，按要求梳理并提交服务产品清单等相关文件资料，经相关业务处室进行审核，服务机构提交服务清单审核通过后，由业务审核人员进行最终确认</w:t>
      </w:r>
      <w:r>
        <w:rPr>
          <w:rFonts w:hint="eastAsia"/>
          <w:lang w:eastAsia="zh-CN"/>
        </w:rPr>
        <w:t>。</w:t>
      </w:r>
      <w:r>
        <w:rPr>
          <w:rFonts w:hint="eastAsia"/>
        </w:rPr>
        <w:t>在科技创新区管理系统页面上发布并展示服务清单内容。用户登入创新券管理系统可在页面中浏览服务机构及对应服务内容。页面提供服务类别、服务范围的筛选查询</w:t>
      </w:r>
      <w:r>
        <w:rPr>
          <w:rFonts w:hint="eastAsia"/>
          <w:lang w:eastAsia="zh-CN"/>
        </w:rPr>
        <w:t>。</w:t>
      </w:r>
    </w:p>
    <w:p w14:paraId="2A8378DD">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额度申领管理</w:t>
      </w:r>
    </w:p>
    <w:p w14:paraId="10C082B7">
      <w:pPr>
        <w:pStyle w:val="12"/>
        <w:numPr>
          <w:ilvl w:val="0"/>
          <w:numId w:val="0"/>
        </w:numPr>
        <w:ind w:leftChars="200"/>
      </w:pPr>
      <w:r>
        <w:rPr>
          <w:rFonts w:hint="eastAsia"/>
          <w:lang w:val="en-US" w:eastAsia="zh-CN"/>
        </w:rPr>
        <w:t>1、</w:t>
      </w:r>
      <w:r>
        <w:rPr>
          <w:rFonts w:hint="eastAsia"/>
        </w:rPr>
        <w:t>用券主体额度申领</w:t>
      </w:r>
    </w:p>
    <w:p w14:paraId="44636472">
      <w:pPr>
        <w:pStyle w:val="12"/>
      </w:pPr>
      <w:r>
        <w:rPr>
          <w:rFonts w:hint="eastAsia"/>
        </w:rPr>
        <w:t>由用券主体进入系统进行额度的申领，用券主体可进入申领详情页，填写申领所需基本信息，及所需提供的必要条件</w:t>
      </w:r>
      <w:r>
        <w:rPr>
          <w:rFonts w:hint="eastAsia"/>
          <w:lang w:val="en-US" w:eastAsia="zh-CN"/>
        </w:rPr>
        <w:t>进行额度申领</w:t>
      </w:r>
      <w:r>
        <w:rPr>
          <w:rFonts w:hint="eastAsia"/>
        </w:rPr>
        <w:t>。此功能将对接大数据中心法人库信息，进行基本信息回填，尽可能减少企业填写内容，降低出错率。</w:t>
      </w:r>
    </w:p>
    <w:p w14:paraId="34114B92">
      <w:pPr>
        <w:pStyle w:val="12"/>
        <w:numPr>
          <w:ilvl w:val="0"/>
          <w:numId w:val="0"/>
        </w:numPr>
        <w:ind w:leftChars="200"/>
      </w:pPr>
      <w:r>
        <w:rPr>
          <w:rFonts w:hint="eastAsia"/>
          <w:lang w:val="en-US" w:eastAsia="zh-CN"/>
        </w:rPr>
        <w:t>2、</w:t>
      </w:r>
      <w:r>
        <w:rPr>
          <w:rFonts w:hint="eastAsia"/>
        </w:rPr>
        <w:t>额度审核</w:t>
      </w:r>
    </w:p>
    <w:p w14:paraId="168CF7EF">
      <w:pPr>
        <w:pStyle w:val="12"/>
      </w:pPr>
      <w:r>
        <w:rPr>
          <w:rFonts w:hint="eastAsia"/>
        </w:rPr>
        <w:t>用券主体申领后，将</w:t>
      </w:r>
      <w:r>
        <w:rPr>
          <w:rFonts w:hint="eastAsia"/>
          <w:lang w:eastAsia="zh-CN"/>
        </w:rPr>
        <w:t>由</w:t>
      </w:r>
      <w:r>
        <w:rPr>
          <w:rFonts w:hint="eastAsia"/>
        </w:rPr>
        <w:t>各审核单位、部</w:t>
      </w:r>
      <w:r>
        <w:rPr>
          <w:rFonts w:hint="eastAsia"/>
          <w:lang w:val="en-US" w:eastAsia="zh-CN"/>
        </w:rPr>
        <w:t>门</w:t>
      </w:r>
      <w:r>
        <w:rPr>
          <w:rFonts w:hint="eastAsia"/>
        </w:rPr>
        <w:t>对用券主体申报提交信息进行初核、复审工作，最终审核通过后，将根据用券主体申报情况发放不同种类的券和额度。</w:t>
      </w:r>
    </w:p>
    <w:p w14:paraId="391041C6">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电子创新券申领</w:t>
      </w:r>
    </w:p>
    <w:p w14:paraId="14D8BFBA">
      <w:pPr>
        <w:pStyle w:val="12"/>
      </w:pPr>
      <w:r>
        <w:rPr>
          <w:rFonts w:hint="eastAsia"/>
        </w:rPr>
        <w:t>用券主体在浏览服务机构发布的服务产品内容，选择需要的服务可与机构联系并洽谈，双方达成一致，线下</w:t>
      </w:r>
      <w:r>
        <w:rPr>
          <w:rFonts w:hint="eastAsia"/>
          <w:lang w:val="en-US" w:eastAsia="zh-CN"/>
        </w:rPr>
        <w:t>完成</w:t>
      </w:r>
      <w:r>
        <w:rPr>
          <w:rFonts w:hint="eastAsia"/>
        </w:rPr>
        <w:t>相应服务后，用券主体可以根据不同类型的券按需申领</w:t>
      </w:r>
      <w:r>
        <w:rPr>
          <w:rFonts w:hint="eastAsia"/>
          <w:lang w:eastAsia="zh-CN"/>
        </w:rPr>
        <w:t>，</w:t>
      </w:r>
      <w:r>
        <w:rPr>
          <w:rFonts w:hint="eastAsia"/>
        </w:rPr>
        <w:t>并由系统默认生成电子科技创新券。</w:t>
      </w:r>
      <w:r>
        <w:rPr>
          <w:rFonts w:hint="eastAsia"/>
          <w:lang w:val="en-US" w:eastAsia="zh-CN"/>
        </w:rPr>
        <w:t>支持</w:t>
      </w:r>
      <w:r>
        <w:rPr>
          <w:rFonts w:hint="eastAsia"/>
        </w:rPr>
        <w:t>手机扫创新券二维码，即可查看该创新券详情信息，</w:t>
      </w:r>
      <w:r>
        <w:rPr>
          <w:rFonts w:hint="eastAsia"/>
          <w:lang w:val="en-US" w:eastAsia="zh-CN"/>
        </w:rPr>
        <w:t>也可</w:t>
      </w:r>
      <w:r>
        <w:rPr>
          <w:rFonts w:hint="eastAsia"/>
        </w:rPr>
        <w:t>进入创新券查询界面查看创新券信息。</w:t>
      </w:r>
    </w:p>
    <w:p w14:paraId="5A3FF6CB">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合同确认</w:t>
      </w:r>
    </w:p>
    <w:p w14:paraId="62EBBABC">
      <w:pPr>
        <w:pStyle w:val="12"/>
        <w:numPr>
          <w:ilvl w:val="0"/>
          <w:numId w:val="0"/>
        </w:numPr>
        <w:ind w:leftChars="200"/>
      </w:pPr>
      <w:r>
        <w:rPr>
          <w:rFonts w:hint="eastAsia"/>
          <w:lang w:val="en-US" w:eastAsia="zh-CN"/>
        </w:rPr>
        <w:t>1、</w:t>
      </w:r>
      <w:r>
        <w:rPr>
          <w:rFonts w:hint="eastAsia"/>
        </w:rPr>
        <w:t>合同确认</w:t>
      </w:r>
    </w:p>
    <w:p w14:paraId="0867BB35">
      <w:pPr>
        <w:pStyle w:val="12"/>
      </w:pPr>
      <w:r>
        <w:rPr>
          <w:rFonts w:hint="eastAsia"/>
        </w:rPr>
        <w:t>用券主体生成电子创新券并提交服务合同等相关材料后，可</w:t>
      </w:r>
      <w:r>
        <w:rPr>
          <w:rFonts w:hint="eastAsia"/>
          <w:lang w:val="en-US" w:eastAsia="zh-CN"/>
        </w:rPr>
        <w:t>查</w:t>
      </w:r>
      <w:r>
        <w:rPr>
          <w:rFonts w:hint="eastAsia"/>
        </w:rPr>
        <w:t>看并确认用券主体提交的合同信息。若提交信息有误或不符时，服务机构可点击作废按钮点击可对已确认的优惠券进行作废操作。用券主体可重新生成创新券并提交相关合同信息。服务机构在确认用券主体提交的合同信息同时，也需按要求提供相关材料附件等信息，</w:t>
      </w:r>
      <w:r>
        <w:rPr>
          <w:rFonts w:hint="eastAsia"/>
          <w:lang w:val="en-US" w:eastAsia="zh-CN"/>
        </w:rPr>
        <w:t>进行</w:t>
      </w:r>
      <w:r>
        <w:rPr>
          <w:rFonts w:hint="eastAsia"/>
        </w:rPr>
        <w:t>合同确认</w:t>
      </w:r>
      <w:r>
        <w:rPr>
          <w:rFonts w:hint="eastAsia"/>
          <w:lang w:val="en-US" w:eastAsia="zh-CN"/>
        </w:rPr>
        <w:t>和</w:t>
      </w:r>
      <w:r>
        <w:rPr>
          <w:rFonts w:hint="eastAsia"/>
        </w:rPr>
        <w:t>接收电子创新券。</w:t>
      </w:r>
    </w:p>
    <w:p w14:paraId="0E858BDE">
      <w:pPr>
        <w:pStyle w:val="12"/>
        <w:numPr>
          <w:ilvl w:val="0"/>
          <w:numId w:val="0"/>
        </w:numPr>
        <w:ind w:leftChars="200"/>
      </w:pPr>
      <w:r>
        <w:rPr>
          <w:rFonts w:hint="eastAsia"/>
          <w:lang w:val="en-US" w:eastAsia="zh-CN"/>
        </w:rPr>
        <w:t>2、</w:t>
      </w:r>
      <w:r>
        <w:rPr>
          <w:rFonts w:hint="eastAsia"/>
        </w:rPr>
        <w:t>创新券查询</w:t>
      </w:r>
    </w:p>
    <w:p w14:paraId="34536C30">
      <w:pPr>
        <w:pStyle w:val="12"/>
      </w:pPr>
      <w:r>
        <w:rPr>
          <w:rFonts w:hint="eastAsia"/>
        </w:rPr>
        <w:t>可在创新券查询中查看合同确认后接收的电子创新券及详情。</w:t>
      </w:r>
    </w:p>
    <w:p w14:paraId="7F6A2B2D">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额度兑付管理</w:t>
      </w:r>
    </w:p>
    <w:p w14:paraId="270750F7">
      <w:pPr>
        <w:pStyle w:val="12"/>
        <w:numPr>
          <w:ilvl w:val="0"/>
          <w:numId w:val="0"/>
        </w:numPr>
        <w:ind w:leftChars="200"/>
        <w:rPr>
          <w:rFonts w:hint="eastAsia"/>
          <w:lang w:val="en-US" w:eastAsia="zh-CN"/>
        </w:rPr>
      </w:pPr>
      <w:r>
        <w:rPr>
          <w:rFonts w:hint="eastAsia"/>
          <w:lang w:val="en-US" w:eastAsia="zh-CN"/>
        </w:rPr>
        <w:t>1、兑付申请</w:t>
      </w:r>
    </w:p>
    <w:p w14:paraId="5EB9D1B2">
      <w:pPr>
        <w:pStyle w:val="12"/>
      </w:pPr>
      <w:r>
        <w:rPr>
          <w:rFonts w:hint="eastAsia"/>
        </w:rPr>
        <w:t>服务机构在收到电子创新券后，应根据电子创新券有效期内进行电子创新券兑付。根据要求进行兑付基本信息，并提供必要附件信息完成兑付申请。完成兑付申请后可以在列表信息中查看创新券兑付状态。</w:t>
      </w:r>
    </w:p>
    <w:p w14:paraId="19AE7BD3">
      <w:pPr>
        <w:pStyle w:val="12"/>
        <w:numPr>
          <w:ilvl w:val="0"/>
          <w:numId w:val="0"/>
        </w:numPr>
        <w:ind w:leftChars="200"/>
      </w:pPr>
      <w:r>
        <w:rPr>
          <w:rFonts w:hint="eastAsia"/>
          <w:lang w:val="en-US" w:eastAsia="zh-CN"/>
        </w:rPr>
        <w:t>2、</w:t>
      </w:r>
      <w:r>
        <w:rPr>
          <w:rFonts w:hint="eastAsia"/>
        </w:rPr>
        <w:t>额度兑付</w:t>
      </w:r>
    </w:p>
    <w:p w14:paraId="55D0FF2E">
      <w:pPr>
        <w:pStyle w:val="12"/>
      </w:pPr>
      <w:r>
        <w:rPr>
          <w:rFonts w:hint="eastAsia"/>
        </w:rPr>
        <w:t>经各审核节点审核，并通过高新产业和科技创新项目联审会、报批程序等确定兑付名单。经审核确定的临港新片区科技创新券兑付名单，由管理中心向社会公示，公示期限为5个工作日，经公示无异议后予以兑付。临港科技创新券兑付，每半年集中兑付一次资金。</w:t>
      </w:r>
    </w:p>
    <w:p w14:paraId="4DDA6406">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可视化配置</w:t>
      </w:r>
    </w:p>
    <w:p w14:paraId="4E3C0BA0">
      <w:pPr>
        <w:pStyle w:val="12"/>
      </w:pPr>
      <w:r>
        <w:rPr>
          <w:rFonts w:hint="eastAsia"/>
        </w:rPr>
        <w:t>科技创新券管理系统中，根据审核端权限可对创新券管理中部分模块进行可视化配置操作。让审核端对创新券管理系统</w:t>
      </w:r>
      <w:r>
        <w:rPr>
          <w:rFonts w:hint="eastAsia"/>
          <w:lang w:eastAsia="zh-CN"/>
        </w:rPr>
        <w:t>可操作性</w:t>
      </w:r>
      <w:r>
        <w:rPr>
          <w:rFonts w:hint="eastAsia"/>
        </w:rPr>
        <w:t>更强更方便灵活。第一时间掌握，及时调整相关流程及进展。</w:t>
      </w:r>
    </w:p>
    <w:p w14:paraId="7096E3F8">
      <w:pPr>
        <w:pStyle w:val="6"/>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综合统计分析</w:t>
      </w:r>
    </w:p>
    <w:p w14:paraId="67B4A20B">
      <w:pPr>
        <w:pStyle w:val="12"/>
      </w:pPr>
      <w:r>
        <w:rPr>
          <w:rFonts w:hint="eastAsia"/>
        </w:rPr>
        <w:t>通过科技创新券的发放补贴，系统结合申领、使用、兑付等过程中数据，根据服务机构、申领方、服务范围等不同维度对科技创新专项支持进行统计。便于掌握科技创新企业及创新创业主体实际需求，以便于后续对科技创新券管理办法的修订做参考。</w:t>
      </w:r>
    </w:p>
    <w:p w14:paraId="590DF3F9">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en-US" w:eastAsia="zh-CN"/>
        </w:rPr>
      </w:pPr>
      <w:r>
        <w:rPr>
          <w:rFonts w:hint="eastAsia"/>
          <w:lang w:val="en-US" w:eastAsia="zh-CN"/>
        </w:rPr>
        <w:t>扶持资金综合服务子系统共性能力</w:t>
      </w:r>
    </w:p>
    <w:p w14:paraId="71411DB1">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扶持子系统共性能力</w:t>
      </w:r>
    </w:p>
    <w:p w14:paraId="4864A4E3">
      <w:pPr>
        <w:pStyle w:val="12"/>
        <w:numPr>
          <w:ilvl w:val="0"/>
          <w:numId w:val="5"/>
        </w:numPr>
        <w:rPr>
          <w:rFonts w:hint="eastAsia"/>
        </w:rPr>
      </w:pPr>
      <w:r>
        <w:rPr>
          <w:rFonts w:hint="eastAsia"/>
        </w:rPr>
        <w:t>免申即享流程改造</w:t>
      </w:r>
    </w:p>
    <w:p w14:paraId="20D46A77">
      <w:pPr>
        <w:pStyle w:val="12"/>
        <w:numPr>
          <w:ilvl w:val="0"/>
          <w:numId w:val="0"/>
        </w:numPr>
        <w:ind w:firstLine="560" w:firstLineChars="200"/>
        <w:rPr>
          <w:rFonts w:hint="eastAsia" w:eastAsia="宋体"/>
          <w:lang w:eastAsia="zh-CN"/>
        </w:rPr>
      </w:pPr>
      <w:r>
        <w:rPr>
          <w:rFonts w:hint="eastAsia"/>
        </w:rPr>
        <w:t>根据优化政策审批流程、拓展</w:t>
      </w:r>
      <w:r>
        <w:rPr>
          <w:rFonts w:hint="eastAsia"/>
          <w:lang w:eastAsia="zh-CN"/>
        </w:rPr>
        <w:t>免申即享</w:t>
      </w:r>
      <w:r>
        <w:rPr>
          <w:rFonts w:hint="eastAsia"/>
        </w:rPr>
        <w:t>及应享尽享事项覆盖等政策要求，对资金业务流程进行改造</w:t>
      </w:r>
      <w:r>
        <w:rPr>
          <w:rFonts w:hint="eastAsia"/>
          <w:lang w:eastAsia="zh-CN"/>
        </w:rPr>
        <w:t>。</w:t>
      </w:r>
      <w:r>
        <w:rPr>
          <w:rFonts w:hint="eastAsia"/>
          <w:lang w:val="en-US" w:eastAsia="zh-CN"/>
        </w:rPr>
        <w:t>充分依托临港统筹的流程配置引擎，</w:t>
      </w:r>
      <w:r>
        <w:rPr>
          <w:rFonts w:hint="eastAsia"/>
        </w:rPr>
        <w:t>整合财促系统与</w:t>
      </w:r>
      <w:r>
        <w:rPr>
          <w:rFonts w:hint="eastAsia"/>
          <w:lang w:eastAsia="zh-CN"/>
        </w:rPr>
        <w:t>“一网通办”</w:t>
      </w:r>
      <w:r>
        <w:rPr>
          <w:rFonts w:hint="eastAsia"/>
        </w:rPr>
        <w:t>现有资金扶持免申即享功能，形成资金业务免申即享业务流程</w:t>
      </w:r>
      <w:r>
        <w:rPr>
          <w:rFonts w:hint="eastAsia"/>
          <w:lang w:eastAsia="zh-CN"/>
        </w:rPr>
        <w:t>，</w:t>
      </w:r>
      <w:r>
        <w:rPr>
          <w:rFonts w:hint="eastAsia"/>
        </w:rPr>
        <w:t>提升相关企业用户体验感和满意度</w:t>
      </w:r>
      <w:r>
        <w:rPr>
          <w:rFonts w:hint="eastAsia"/>
          <w:lang w:eastAsia="zh-CN"/>
        </w:rPr>
        <w:t>。</w:t>
      </w:r>
    </w:p>
    <w:p w14:paraId="67294A9F">
      <w:pPr>
        <w:pStyle w:val="12"/>
        <w:numPr>
          <w:ilvl w:val="0"/>
          <w:numId w:val="5"/>
        </w:numPr>
        <w:rPr>
          <w:rFonts w:hint="eastAsia"/>
        </w:rPr>
      </w:pPr>
      <w:r>
        <w:rPr>
          <w:rFonts w:hint="eastAsia"/>
        </w:rPr>
        <w:t>企业免申即享信息确认</w:t>
      </w:r>
    </w:p>
    <w:p w14:paraId="2DBD3A0C">
      <w:pPr>
        <w:pStyle w:val="12"/>
        <w:numPr>
          <w:ilvl w:val="0"/>
          <w:numId w:val="0"/>
        </w:numPr>
        <w:ind w:firstLine="560" w:firstLineChars="200"/>
        <w:rPr>
          <w:rFonts w:hint="eastAsia"/>
        </w:rPr>
      </w:pPr>
      <w:r>
        <w:rPr>
          <w:rFonts w:hint="eastAsia"/>
        </w:rPr>
        <w:t>为保证申报数据的真实性，在企业服务中心确认预核信息</w:t>
      </w:r>
      <w:r>
        <w:rPr>
          <w:rFonts w:hint="eastAsia"/>
          <w:lang w:val="en-US" w:eastAsia="zh-CN"/>
        </w:rPr>
        <w:t>后</w:t>
      </w:r>
      <w:r>
        <w:rPr>
          <w:rFonts w:hint="eastAsia"/>
        </w:rPr>
        <w:t>将结果推送到企业，为保证预核信息的时效性，在规定时间内需企业确认提交，否则将视为作废；为同步企业信息保证数据准确性，企业</w:t>
      </w:r>
      <w:r>
        <w:rPr>
          <w:rFonts w:hint="eastAsia"/>
          <w:lang w:val="en-US" w:eastAsia="zh-CN"/>
        </w:rPr>
        <w:t>需</w:t>
      </w:r>
      <w:r>
        <w:rPr>
          <w:rFonts w:hint="eastAsia"/>
        </w:rPr>
        <w:t>修改信息再提交。</w:t>
      </w:r>
    </w:p>
    <w:p w14:paraId="1F873B31">
      <w:pPr>
        <w:pStyle w:val="12"/>
        <w:numPr>
          <w:ilvl w:val="0"/>
          <w:numId w:val="5"/>
        </w:numPr>
        <w:rPr>
          <w:rFonts w:hint="eastAsia"/>
        </w:rPr>
      </w:pPr>
      <w:r>
        <w:rPr>
          <w:rFonts w:hint="eastAsia"/>
        </w:rPr>
        <w:t>申报信息变更</w:t>
      </w:r>
    </w:p>
    <w:p w14:paraId="21F678DB">
      <w:pPr>
        <w:pStyle w:val="12"/>
        <w:rPr>
          <w:rFonts w:hint="eastAsia"/>
        </w:rPr>
      </w:pPr>
      <w:r>
        <w:rPr>
          <w:rFonts w:hint="eastAsia"/>
        </w:rPr>
        <w:t>在</w:t>
      </w:r>
      <w:r>
        <w:rPr>
          <w:rFonts w:hint="eastAsia"/>
          <w:lang w:val="en-US" w:eastAsia="zh-CN"/>
        </w:rPr>
        <w:t>企业基本信息确认</w:t>
      </w:r>
      <w:r>
        <w:rPr>
          <w:rFonts w:hint="eastAsia"/>
        </w:rPr>
        <w:t>通过后，企业再通过服务期限申请、处室端审核，确定企业的合同协议时间，在后续的扶持申报中计算扶持金额提供计算参数值。当企业申报的业务信息发生变更时，在</w:t>
      </w:r>
      <w:r>
        <w:rPr>
          <w:rFonts w:hint="eastAsia"/>
          <w:lang w:val="en-US" w:eastAsia="zh-CN"/>
        </w:rPr>
        <w:t>企业基本信息确认</w:t>
      </w:r>
      <w:r>
        <w:rPr>
          <w:rFonts w:hint="eastAsia"/>
        </w:rPr>
        <w:t>完成后，需对信息进行修改、修改后发起新的申请；在第一道审核节点未操作的情况下，企业端可自行撤销该条申请。</w:t>
      </w:r>
    </w:p>
    <w:p w14:paraId="078729ED">
      <w:pPr>
        <w:pStyle w:val="12"/>
        <w:numPr>
          <w:ilvl w:val="0"/>
          <w:numId w:val="5"/>
        </w:numPr>
        <w:rPr>
          <w:rFonts w:hint="eastAsia"/>
        </w:rPr>
      </w:pPr>
      <w:r>
        <w:rPr>
          <w:rFonts w:hint="eastAsia"/>
        </w:rPr>
        <w:t>申报信息完善和留痕</w:t>
      </w:r>
    </w:p>
    <w:p w14:paraId="6D602322">
      <w:pPr>
        <w:pStyle w:val="12"/>
        <w:rPr>
          <w:rFonts w:hint="eastAsia"/>
        </w:rPr>
      </w:pPr>
      <w:r>
        <w:rPr>
          <w:rFonts w:hint="eastAsia"/>
        </w:rPr>
        <w:t>在</w:t>
      </w:r>
      <w:r>
        <w:rPr>
          <w:rFonts w:hint="eastAsia"/>
          <w:lang w:val="en-US" w:eastAsia="zh-CN"/>
        </w:rPr>
        <w:t>进行企业申报信息确认</w:t>
      </w:r>
      <w:r>
        <w:rPr>
          <w:rFonts w:hint="eastAsia"/>
        </w:rPr>
        <w:t>时，增加填报信息和附件类目。在</w:t>
      </w:r>
      <w:r>
        <w:rPr>
          <w:rFonts w:hint="eastAsia"/>
          <w:lang w:val="en-US" w:eastAsia="zh-CN"/>
        </w:rPr>
        <w:t>企业基础信息</w:t>
      </w:r>
      <w:r>
        <w:rPr>
          <w:rFonts w:hint="eastAsia"/>
        </w:rPr>
        <w:t>修改审核</w:t>
      </w:r>
      <w:r>
        <w:rPr>
          <w:rFonts w:hint="eastAsia"/>
          <w:lang w:val="en-US" w:eastAsia="zh-CN"/>
        </w:rPr>
        <w:t>过程中</w:t>
      </w:r>
      <w:r>
        <w:rPr>
          <w:rFonts w:hint="eastAsia"/>
        </w:rPr>
        <w:t>，增加审核附件上传，以便于后续追溯留痕。</w:t>
      </w:r>
    </w:p>
    <w:p w14:paraId="1C30B7A7">
      <w:pPr>
        <w:pStyle w:val="12"/>
        <w:numPr>
          <w:ilvl w:val="0"/>
          <w:numId w:val="5"/>
        </w:numPr>
        <w:rPr>
          <w:rFonts w:hint="eastAsia"/>
        </w:rPr>
      </w:pPr>
      <w:r>
        <w:rPr>
          <w:rFonts w:hint="eastAsia"/>
        </w:rPr>
        <w:t>阶梯式扶持比例</w:t>
      </w:r>
    </w:p>
    <w:p w14:paraId="14025584">
      <w:pPr>
        <w:pStyle w:val="12"/>
        <w:numPr>
          <w:ilvl w:val="0"/>
          <w:numId w:val="0"/>
        </w:numPr>
        <w:ind w:firstLine="560" w:firstLineChars="200"/>
        <w:rPr>
          <w:rFonts w:hint="eastAsia"/>
        </w:rPr>
      </w:pPr>
      <w:r>
        <w:rPr>
          <w:rFonts w:hint="eastAsia"/>
        </w:rPr>
        <w:t>为配合奉贤区域的企业申报系统政策，但其特殊的阶梯式比例与现系统的比例模式不同，</w:t>
      </w:r>
      <w:r>
        <w:rPr>
          <w:rFonts w:hint="eastAsia"/>
          <w:lang w:val="en-US" w:eastAsia="zh-CN"/>
        </w:rPr>
        <w:t>需要</w:t>
      </w:r>
      <w:r>
        <w:rPr>
          <w:rFonts w:hint="eastAsia"/>
        </w:rPr>
        <w:t>与现系统进行适配，以便于后续的金额计算、数据维护。</w:t>
      </w:r>
    </w:p>
    <w:p w14:paraId="3897663F">
      <w:pPr>
        <w:pStyle w:val="12"/>
        <w:numPr>
          <w:ilvl w:val="0"/>
          <w:numId w:val="5"/>
        </w:numPr>
        <w:rPr>
          <w:rFonts w:hint="eastAsia"/>
        </w:rPr>
      </w:pPr>
      <w:r>
        <w:rPr>
          <w:rFonts w:hint="eastAsia"/>
        </w:rPr>
        <w:t>一键（批量）扶持申报</w:t>
      </w:r>
    </w:p>
    <w:p w14:paraId="380F0450">
      <w:pPr>
        <w:pStyle w:val="12"/>
      </w:pPr>
      <w:r>
        <w:rPr>
          <w:rFonts w:hint="eastAsia"/>
        </w:rPr>
        <w:t>代理型申报政策，当录入的企业量较大时，可通过一键申报的方式，将满足条件的企业批量一次性申报。</w:t>
      </w:r>
    </w:p>
    <w:p w14:paraId="36758B96">
      <w:pPr>
        <w:pStyle w:val="12"/>
        <w:numPr>
          <w:ilvl w:val="0"/>
          <w:numId w:val="5"/>
        </w:numPr>
        <w:rPr>
          <w:rFonts w:hint="eastAsia"/>
        </w:rPr>
      </w:pPr>
      <w:r>
        <w:rPr>
          <w:rFonts w:hint="eastAsia"/>
        </w:rPr>
        <w:t>角色权限分级分类</w:t>
      </w:r>
    </w:p>
    <w:p w14:paraId="71E6315A">
      <w:pPr>
        <w:pStyle w:val="12"/>
      </w:pPr>
      <w:r>
        <w:rPr>
          <w:rFonts w:hint="eastAsia"/>
        </w:rPr>
        <w:t>围绕日常审核工作追溯及留痕需要，细化审核责任主体，对审核权限进行分级分类，有效支撑业务各级人员的日常工作。为避免误操作及账号安全性等考虑，系统新增审核端只读权限及临时角及角色有效期。</w:t>
      </w:r>
    </w:p>
    <w:p w14:paraId="27004D1F">
      <w:pPr>
        <w:pStyle w:val="12"/>
        <w:numPr>
          <w:ilvl w:val="0"/>
          <w:numId w:val="5"/>
        </w:numPr>
        <w:rPr>
          <w:rFonts w:hint="eastAsia"/>
        </w:rPr>
      </w:pPr>
      <w:r>
        <w:rPr>
          <w:rFonts w:hint="eastAsia"/>
        </w:rPr>
        <w:t>企业信息查询</w:t>
      </w:r>
    </w:p>
    <w:p w14:paraId="4A9E4171">
      <w:pPr>
        <w:pStyle w:val="12"/>
        <w:rPr>
          <w:rFonts w:hint="eastAsia"/>
          <w:lang w:val="en-US" w:eastAsia="zh-CN"/>
        </w:rPr>
      </w:pPr>
      <w:r>
        <w:rPr>
          <w:rFonts w:hint="eastAsia"/>
        </w:rPr>
        <w:t>处室用户同时查询多家企业的申报信息，将需要查询的企业放在excel中，以“文件上传”的形式，批量查询并输出excel文件。</w:t>
      </w:r>
    </w:p>
    <w:p w14:paraId="12E79192">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支持企业发展资金管理相关功能</w:t>
      </w:r>
    </w:p>
    <w:p w14:paraId="78A8FABE">
      <w:pPr>
        <w:pStyle w:val="12"/>
        <w:numPr>
          <w:ilvl w:val="0"/>
          <w:numId w:val="6"/>
        </w:numPr>
        <w:rPr>
          <w:rFonts w:hint="eastAsia"/>
        </w:rPr>
      </w:pPr>
      <w:r>
        <w:rPr>
          <w:rFonts w:hint="eastAsia"/>
        </w:rPr>
        <w:t>资质认定</w:t>
      </w:r>
    </w:p>
    <w:p w14:paraId="50722FA0">
      <w:pPr>
        <w:pStyle w:val="12"/>
        <w:numPr>
          <w:ilvl w:val="255"/>
          <w:numId w:val="0"/>
        </w:numPr>
        <w:ind w:firstLine="560" w:firstLineChars="200"/>
      </w:pPr>
      <w:r>
        <w:rPr>
          <w:rFonts w:hint="eastAsia"/>
        </w:rPr>
        <w:t>包括</w:t>
      </w:r>
      <w:r>
        <w:rPr>
          <w:rFonts w:hint="eastAsia"/>
          <w:lang w:val="en-US" w:eastAsia="zh-CN"/>
        </w:rPr>
        <w:t>企业基本信息</w:t>
      </w:r>
      <w:r>
        <w:rPr>
          <w:rFonts w:hint="eastAsia"/>
        </w:rPr>
        <w:t>功能新增、</w:t>
      </w:r>
      <w:r>
        <w:rPr>
          <w:rFonts w:hint="eastAsia"/>
          <w:lang w:val="en-US" w:eastAsia="zh-CN"/>
        </w:rPr>
        <w:t>企业基本信息</w:t>
      </w:r>
      <w:r>
        <w:rPr>
          <w:rFonts w:hint="eastAsia"/>
        </w:rPr>
        <w:t>配置功能新增、</w:t>
      </w:r>
      <w:r>
        <w:rPr>
          <w:rFonts w:hint="eastAsia"/>
          <w:lang w:val="en-US" w:eastAsia="zh-CN"/>
        </w:rPr>
        <w:t>企业基本信息</w:t>
      </w:r>
      <w:r>
        <w:rPr>
          <w:rFonts w:hint="eastAsia"/>
        </w:rPr>
        <w:t>审核功能新增、</w:t>
      </w:r>
      <w:r>
        <w:rPr>
          <w:rFonts w:hint="eastAsia"/>
          <w:lang w:val="en-US" w:eastAsia="zh-CN"/>
        </w:rPr>
        <w:t>企业基本信息审核</w:t>
      </w:r>
      <w:r>
        <w:rPr>
          <w:rFonts w:hint="eastAsia"/>
        </w:rPr>
        <w:t>配置功能新增功能。资质审核需根据企业申报企业指标和内容，系统将根据不同政策要求，自动分配给相关处室、属地镇服务中心、园区进行审核，审核结果和意见通过消息通知实时反馈给企业。</w:t>
      </w:r>
    </w:p>
    <w:p w14:paraId="7940C0BD">
      <w:pPr>
        <w:pStyle w:val="12"/>
        <w:numPr>
          <w:ilvl w:val="0"/>
          <w:numId w:val="6"/>
        </w:numPr>
        <w:rPr>
          <w:rFonts w:hint="eastAsia"/>
        </w:rPr>
      </w:pPr>
      <w:r>
        <w:rPr>
          <w:rFonts w:hint="eastAsia"/>
        </w:rPr>
        <w:t>税单管理</w:t>
      </w:r>
    </w:p>
    <w:p w14:paraId="5FDBBBE1">
      <w:pPr>
        <w:pStyle w:val="12"/>
        <w:numPr>
          <w:ilvl w:val="255"/>
          <w:numId w:val="0"/>
        </w:numPr>
        <w:ind w:firstLine="560" w:firstLineChars="200"/>
        <w:rPr>
          <w:rFonts w:hint="eastAsia" w:eastAsia="宋体"/>
          <w:lang w:eastAsia="zh-CN"/>
        </w:rPr>
      </w:pPr>
      <w:r>
        <w:rPr>
          <w:rFonts w:hint="eastAsia"/>
        </w:rPr>
        <w:t>税单管理主要包含新增税单上传功能</w:t>
      </w:r>
      <w:r>
        <w:rPr>
          <w:rFonts w:hint="eastAsia"/>
          <w:lang w:val="en-US" w:eastAsia="zh-CN"/>
        </w:rPr>
        <w:t>和校验功能，</w:t>
      </w:r>
      <w:r>
        <w:rPr>
          <w:rFonts w:hint="eastAsia"/>
        </w:rPr>
        <w:t>税单识别功能接口开发</w:t>
      </w:r>
      <w:r>
        <w:rPr>
          <w:rFonts w:hint="eastAsia"/>
          <w:lang w:val="en-US" w:eastAsia="zh-CN"/>
        </w:rPr>
        <w:t>和</w:t>
      </w:r>
      <w:r>
        <w:rPr>
          <w:rFonts w:hint="eastAsia"/>
        </w:rPr>
        <w:t>税单校验功能接口智能监控</w:t>
      </w:r>
      <w:r>
        <w:rPr>
          <w:rFonts w:hint="eastAsia"/>
          <w:lang w:eastAsia="zh-CN"/>
        </w:rPr>
        <w:t>。</w:t>
      </w:r>
    </w:p>
    <w:p w14:paraId="3D81AC61">
      <w:pPr>
        <w:pStyle w:val="12"/>
        <w:numPr>
          <w:ilvl w:val="0"/>
          <w:numId w:val="6"/>
        </w:numPr>
        <w:rPr>
          <w:rFonts w:hint="eastAsia"/>
        </w:rPr>
      </w:pPr>
      <w:r>
        <w:rPr>
          <w:rFonts w:hint="eastAsia"/>
        </w:rPr>
        <w:t>税单识别</w:t>
      </w:r>
    </w:p>
    <w:p w14:paraId="579ECFC9">
      <w:pPr>
        <w:pStyle w:val="12"/>
        <w:numPr>
          <w:ilvl w:val="255"/>
          <w:numId w:val="0"/>
        </w:numPr>
        <w:ind w:firstLine="560" w:firstLineChars="200"/>
        <w:rPr>
          <w:rFonts w:hint="eastAsia"/>
        </w:rPr>
      </w:pPr>
      <w:r>
        <w:rPr>
          <w:rFonts w:hint="eastAsia"/>
          <w:lang w:val="en-US" w:eastAsia="zh-CN"/>
        </w:rPr>
        <w:t>税单识别主要包含</w:t>
      </w:r>
      <w:r>
        <w:rPr>
          <w:rFonts w:hint="eastAsia"/>
        </w:rPr>
        <w:t>税单识别能力对接</w:t>
      </w:r>
      <w:r>
        <w:rPr>
          <w:rFonts w:hint="eastAsia"/>
          <w:lang w:eastAsia="zh-CN"/>
        </w:rPr>
        <w:t>、</w:t>
      </w:r>
      <w:r>
        <w:rPr>
          <w:rFonts w:hint="eastAsia"/>
        </w:rPr>
        <w:t>文书式完税证明模板开发</w:t>
      </w:r>
      <w:r>
        <w:rPr>
          <w:rFonts w:hint="eastAsia"/>
          <w:lang w:eastAsia="zh-CN"/>
        </w:rPr>
        <w:t>、</w:t>
      </w:r>
      <w:r>
        <w:rPr>
          <w:rFonts w:hint="eastAsia"/>
        </w:rPr>
        <w:t>表格式完税证明模板开发</w:t>
      </w:r>
      <w:r>
        <w:rPr>
          <w:rFonts w:hint="eastAsia"/>
          <w:lang w:eastAsia="zh-CN"/>
        </w:rPr>
        <w:t>、</w:t>
      </w:r>
      <w:r>
        <w:rPr>
          <w:rFonts w:hint="eastAsia"/>
        </w:rPr>
        <w:t>税单数据归集</w:t>
      </w:r>
      <w:r>
        <w:rPr>
          <w:rFonts w:hint="eastAsia"/>
          <w:lang w:eastAsia="zh-CN"/>
        </w:rPr>
        <w:t>。</w:t>
      </w:r>
      <w:r>
        <w:rPr>
          <w:rFonts w:hint="eastAsia"/>
          <w:lang w:val="en-US" w:eastAsia="zh-CN"/>
        </w:rPr>
        <w:t>为满足数据安全要求</w:t>
      </w:r>
      <w:r>
        <w:rPr>
          <w:rFonts w:hint="eastAsia"/>
          <w:lang w:eastAsia="zh-CN"/>
        </w:rPr>
        <w:t>，</w:t>
      </w:r>
      <w:r>
        <w:rPr>
          <w:rFonts w:hint="eastAsia"/>
          <w:lang w:val="en-US" w:eastAsia="zh-CN"/>
        </w:rPr>
        <w:t>税单识别设计采用</w:t>
      </w:r>
      <w:r>
        <w:rPr>
          <w:rFonts w:hint="eastAsia"/>
        </w:rPr>
        <w:t>OCR识别和识别数据加工两部分</w:t>
      </w:r>
      <w:r>
        <w:rPr>
          <w:rFonts w:hint="eastAsia"/>
          <w:lang w:val="en-US" w:eastAsia="zh-CN"/>
        </w:rPr>
        <w:t>结合实现。</w:t>
      </w:r>
    </w:p>
    <w:p w14:paraId="61C7BF81">
      <w:pPr>
        <w:pStyle w:val="12"/>
        <w:numPr>
          <w:ilvl w:val="0"/>
          <w:numId w:val="6"/>
        </w:numPr>
        <w:rPr>
          <w:rFonts w:hint="eastAsia"/>
        </w:rPr>
      </w:pPr>
      <w:r>
        <w:rPr>
          <w:rFonts w:hint="eastAsia"/>
        </w:rPr>
        <w:t>企业信息详情</w:t>
      </w:r>
    </w:p>
    <w:p w14:paraId="3C069B3B">
      <w:pPr>
        <w:pStyle w:val="12"/>
        <w:numPr>
          <w:ilvl w:val="255"/>
          <w:numId w:val="0"/>
        </w:numPr>
        <w:ind w:firstLine="560" w:firstLineChars="200"/>
      </w:pPr>
      <w:r>
        <w:rPr>
          <w:rFonts w:hint="eastAsia"/>
        </w:rPr>
        <w:t>系统对接法人库等途径获取企业基本信息、工商信息</w:t>
      </w:r>
      <w:r>
        <w:rPr>
          <w:rFonts w:hint="eastAsia"/>
          <w:lang w:eastAsia="zh-CN"/>
        </w:rPr>
        <w:t>，</w:t>
      </w:r>
      <w:r>
        <w:rPr>
          <w:rFonts w:hint="eastAsia"/>
        </w:rPr>
        <w:t>形成企业评分指标</w:t>
      </w:r>
      <w:r>
        <w:rPr>
          <w:rFonts w:hint="eastAsia"/>
          <w:lang w:eastAsia="zh-CN"/>
        </w:rPr>
        <w:t>。</w:t>
      </w:r>
      <w:r>
        <w:rPr>
          <w:rFonts w:hint="eastAsia"/>
        </w:rPr>
        <w:t>指标体系分为通用评分指标、处室专项指标</w:t>
      </w:r>
      <w:r>
        <w:rPr>
          <w:rFonts w:hint="eastAsia"/>
          <w:lang w:eastAsia="zh-CN"/>
        </w:rPr>
        <w:t>。</w:t>
      </w:r>
      <w:r>
        <w:rPr>
          <w:rFonts w:hint="eastAsia"/>
        </w:rPr>
        <w:t>通过以上指标体系，为处室综合评审、联合会审</w:t>
      </w:r>
      <w:r>
        <w:rPr>
          <w:rFonts w:hint="eastAsia"/>
          <w:lang w:val="en-US" w:eastAsia="zh-CN"/>
        </w:rPr>
        <w:t>以及</w:t>
      </w:r>
      <w:r>
        <w:rPr>
          <w:rFonts w:hint="eastAsia"/>
        </w:rPr>
        <w:t>综合评审报告提供数据支撑。</w:t>
      </w:r>
    </w:p>
    <w:p w14:paraId="7C9C3CB6">
      <w:pPr>
        <w:pStyle w:val="12"/>
        <w:numPr>
          <w:ilvl w:val="0"/>
          <w:numId w:val="6"/>
        </w:numPr>
        <w:rPr>
          <w:rFonts w:hint="eastAsia"/>
        </w:rPr>
      </w:pPr>
      <w:r>
        <w:rPr>
          <w:rFonts w:hint="eastAsia"/>
        </w:rPr>
        <w:t>资金拨付管理</w:t>
      </w:r>
    </w:p>
    <w:p w14:paraId="10D202BD">
      <w:pPr>
        <w:pStyle w:val="12"/>
        <w:numPr>
          <w:ilvl w:val="255"/>
          <w:numId w:val="0"/>
        </w:numPr>
        <w:ind w:firstLine="560" w:firstLineChars="200"/>
      </w:pPr>
      <w:r>
        <w:rPr>
          <w:rFonts w:hint="eastAsia"/>
          <w:lang w:val="en-US" w:eastAsia="zh-CN"/>
        </w:rPr>
        <w:t>满足资金拨付管理要求，本次升级改造需新增以下功能：</w:t>
      </w:r>
      <w:r>
        <w:rPr>
          <w:rFonts w:hint="eastAsia"/>
        </w:rPr>
        <w:t>申报审核记录详情功能、拨付金额核算功能、批量拨付管理功能、核减计算器功能、拨付金额预警功能、综合报告自动生成功能</w:t>
      </w:r>
      <w:r>
        <w:rPr>
          <w:rFonts w:hint="eastAsia"/>
          <w:lang w:eastAsia="zh-CN"/>
        </w:rPr>
        <w:t>，</w:t>
      </w:r>
      <w:r>
        <w:rPr>
          <w:rFonts w:hint="eastAsia"/>
          <w:lang w:val="en-US" w:eastAsia="zh-CN"/>
        </w:rPr>
        <w:t>同时需</w:t>
      </w:r>
      <w:r>
        <w:rPr>
          <w:rFonts w:hint="eastAsia"/>
        </w:rPr>
        <w:t>对接企业资金拨付回单接口开发</w:t>
      </w:r>
      <w:r>
        <w:rPr>
          <w:rFonts w:hint="eastAsia"/>
          <w:lang w:eastAsia="zh-CN"/>
        </w:rPr>
        <w:t>，</w:t>
      </w:r>
      <w:r>
        <w:rPr>
          <w:rFonts w:hint="eastAsia"/>
          <w:lang w:val="en-US" w:eastAsia="zh-CN"/>
        </w:rPr>
        <w:t>并进一步对资金扶持系统中资金拨付状态与财政综合管理系统数据一致性接口进行完善与优化，确保企业申报数据与拨付数据形成完整闭环，为数据治理工作提供有力支撑</w:t>
      </w:r>
      <w:r>
        <w:rPr>
          <w:rFonts w:hint="eastAsia"/>
        </w:rPr>
        <w:t>。</w:t>
      </w:r>
    </w:p>
    <w:p w14:paraId="7A72E6EA">
      <w:pPr>
        <w:pStyle w:val="12"/>
        <w:numPr>
          <w:ilvl w:val="0"/>
          <w:numId w:val="6"/>
        </w:numPr>
        <w:rPr>
          <w:rFonts w:hint="eastAsia"/>
        </w:rPr>
      </w:pPr>
      <w:r>
        <w:rPr>
          <w:rFonts w:hint="eastAsia"/>
        </w:rPr>
        <w:t>企业贡献度计算模型搭建</w:t>
      </w:r>
    </w:p>
    <w:p w14:paraId="25119519">
      <w:pPr>
        <w:pStyle w:val="12"/>
        <w:numPr>
          <w:ilvl w:val="255"/>
          <w:numId w:val="0"/>
        </w:numPr>
        <w:ind w:firstLine="560" w:firstLineChars="200"/>
        <w:rPr>
          <w:rFonts w:hint="eastAsia" w:eastAsia="仿宋_GB2312"/>
          <w:lang w:eastAsia="zh-CN"/>
        </w:rPr>
      </w:pPr>
      <w:r>
        <w:rPr>
          <w:rFonts w:hint="eastAsia"/>
        </w:rPr>
        <w:t>企业综合贡献数据采集、支撑企业贡献模型数据加工、贡献度计算模型搭建、模型配置功能</w:t>
      </w:r>
      <w:r>
        <w:rPr>
          <w:rFonts w:hint="eastAsia"/>
          <w:lang w:eastAsia="zh-CN"/>
        </w:rPr>
        <w:t>。</w:t>
      </w:r>
    </w:p>
    <w:p w14:paraId="1B66A61C">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业务流程引擎及页面优化</w:t>
      </w:r>
    </w:p>
    <w:p w14:paraId="406B0EEE">
      <w:pPr>
        <w:pStyle w:val="12"/>
      </w:pPr>
      <w:r>
        <w:rPr>
          <w:rFonts w:hint="eastAsia"/>
        </w:rPr>
        <w:t>该模块为共性能力建设，将全面优化现有高科、金贸、财政等审核流程及页面等。</w:t>
      </w:r>
    </w:p>
    <w:p w14:paraId="602F3C4A">
      <w:pPr>
        <w:pStyle w:val="12"/>
        <w:numPr>
          <w:ilvl w:val="0"/>
          <w:numId w:val="7"/>
        </w:numPr>
        <w:rPr>
          <w:rFonts w:hint="eastAsia"/>
        </w:rPr>
      </w:pPr>
      <w:r>
        <w:rPr>
          <w:rFonts w:hint="eastAsia"/>
        </w:rPr>
        <w:t>企业申报风险预警</w:t>
      </w:r>
    </w:p>
    <w:p w14:paraId="527B7452">
      <w:pPr>
        <w:pStyle w:val="12"/>
      </w:pPr>
      <w:r>
        <w:rPr>
          <w:rFonts w:hint="eastAsia"/>
        </w:rPr>
        <w:t>企业在申报相关政策过程中，系统通过实时获取企业的关键指标信息，当这些指标达到或接近预警线时，进行风险预警提示。根据各政策历史数据等进行风险评估和测算。通过可视化预警信息展示界面，以便用户直观地了解预警信息，采取相应的措施。</w:t>
      </w:r>
    </w:p>
    <w:p w14:paraId="652A5616">
      <w:pPr>
        <w:pStyle w:val="12"/>
        <w:numPr>
          <w:ilvl w:val="0"/>
          <w:numId w:val="7"/>
        </w:numPr>
        <w:rPr>
          <w:rFonts w:hint="eastAsia"/>
        </w:rPr>
      </w:pPr>
      <w:r>
        <w:rPr>
          <w:rFonts w:hint="eastAsia"/>
        </w:rPr>
        <w:t>页面UI优化</w:t>
      </w:r>
    </w:p>
    <w:p w14:paraId="1A0E954C">
      <w:pPr>
        <w:pStyle w:val="12"/>
        <w:ind w:firstLine="560" w:firstLineChars="200"/>
        <w:rPr>
          <w:rFonts w:hint="eastAsia"/>
          <w:lang w:val="en-US" w:eastAsia="zh-CN"/>
        </w:rPr>
      </w:pPr>
      <w:r>
        <w:rPr>
          <w:rFonts w:hint="eastAsia"/>
        </w:rPr>
        <w:t>为保证页面整体美观、协调，提升申报、审核端用户操作体验，</w:t>
      </w:r>
      <w:r>
        <w:rPr>
          <w:rFonts w:hint="eastAsia"/>
          <w:lang w:val="en-US" w:eastAsia="zh-CN"/>
        </w:rPr>
        <w:t>本次改造升级需</w:t>
      </w:r>
      <w:r>
        <w:rPr>
          <w:rFonts w:hint="eastAsia"/>
        </w:rPr>
        <w:t>对系统页面进行统一再设计、开发。</w:t>
      </w:r>
    </w:p>
    <w:p w14:paraId="50EBF763">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多维度统计分析共性能力开发</w:t>
      </w:r>
    </w:p>
    <w:p w14:paraId="7E13E7A8">
      <w:pPr>
        <w:pStyle w:val="12"/>
        <w:numPr>
          <w:ilvl w:val="0"/>
          <w:numId w:val="8"/>
        </w:numPr>
        <w:rPr>
          <w:rFonts w:hint="eastAsia"/>
        </w:rPr>
      </w:pPr>
      <w:r>
        <w:rPr>
          <w:rFonts w:hint="eastAsia"/>
        </w:rPr>
        <w:t>数据多维度统计分析</w:t>
      </w:r>
    </w:p>
    <w:p w14:paraId="3A5BD5DB">
      <w:pPr>
        <w:pStyle w:val="12"/>
      </w:pPr>
      <w:r>
        <w:rPr>
          <w:rFonts w:hint="eastAsia"/>
        </w:rPr>
        <w:t>该模块为共性能力建设，将支撑财政处、金贸处、高科处等业务处室多维度数据分析。</w:t>
      </w:r>
      <w:r>
        <w:rPr>
          <w:rFonts w:hint="eastAsia"/>
          <w:lang w:val="en-US" w:eastAsia="zh-CN"/>
        </w:rPr>
        <w:t>主要分为统计分析概览、统计分析报表报告、统计分析个性化配置。调用</w:t>
      </w:r>
      <w:r>
        <w:rPr>
          <w:rFonts w:hint="eastAsia"/>
        </w:rPr>
        <w:t>公共数据管理</w:t>
      </w:r>
      <w:r>
        <w:rPr>
          <w:rFonts w:hint="eastAsia"/>
          <w:lang w:val="en-US" w:eastAsia="zh-CN"/>
        </w:rPr>
        <w:t>平台BI能力，</w:t>
      </w:r>
      <w:r>
        <w:rPr>
          <w:rFonts w:hint="eastAsia"/>
        </w:rPr>
        <w:t>以图表、报告和可视化工具展示政策的效果，发现其中的规律和趋势，从而帮助决策者制定更为合适的政策方向。</w:t>
      </w:r>
    </w:p>
    <w:p w14:paraId="6548DAAD">
      <w:pPr>
        <w:pStyle w:val="12"/>
        <w:numPr>
          <w:ilvl w:val="0"/>
          <w:numId w:val="8"/>
        </w:numPr>
        <w:rPr>
          <w:rFonts w:hint="eastAsia"/>
        </w:rPr>
      </w:pPr>
      <w:r>
        <w:rPr>
          <w:rFonts w:hint="eastAsia"/>
        </w:rPr>
        <w:t>公共数据管理能力接入</w:t>
      </w:r>
    </w:p>
    <w:p w14:paraId="515E2CE4">
      <w:pPr>
        <w:pStyle w:val="12"/>
        <w:ind w:firstLine="560" w:firstLineChars="200"/>
        <w:rPr>
          <w:rFonts w:hint="eastAsia"/>
        </w:rPr>
      </w:pPr>
      <w:r>
        <w:rPr>
          <w:rFonts w:hint="eastAsia"/>
        </w:rPr>
        <w:t>为满足各业务处室对数据融合统计分析的需求，为各处室支持临港优化营商环境相关扶持政策提供支撑，复用临港公共数据管理与赋能平台资源，避免重复建设，本项目将通过数据接口，与临港公共数据管理和赋能平台进行对接，就数据融合管理等相关共性能力进行同步建设。包括功能对接、本系统个性化内容适配改造2大部分：一是针对约113条政策、上百条条款的流程图适配（涉及个性化适配，不支持批量完成），以及政策对应的配置与测试工作；二是对与流程引擎相关功能对内的接口改造；三是配置端相关改造；四是针对原流程引擎</w:t>
      </w:r>
      <w:r>
        <w:rPr>
          <w:rFonts w:hint="eastAsia"/>
          <w:lang w:val="en-US" w:eastAsia="zh-CN"/>
        </w:rPr>
        <w:t>改造</w:t>
      </w:r>
      <w:r>
        <w:rPr>
          <w:rFonts w:hint="eastAsia"/>
        </w:rPr>
        <w:t>的数据问题，涉及数据结构调整并支持处室综合查询。</w:t>
      </w:r>
    </w:p>
    <w:p w14:paraId="2E8CCB94">
      <w:pPr>
        <w:pStyle w:val="12"/>
        <w:numPr>
          <w:ilvl w:val="0"/>
          <w:numId w:val="8"/>
        </w:numPr>
        <w:rPr>
          <w:rFonts w:hint="eastAsia"/>
        </w:rPr>
      </w:pPr>
      <w:r>
        <w:rPr>
          <w:rFonts w:hint="eastAsia"/>
        </w:rPr>
        <w:t>数据管理</w:t>
      </w:r>
      <w:r>
        <w:rPr>
          <w:rFonts w:hint="eastAsia"/>
        </w:rPr>
        <w:tab/>
      </w:r>
    </w:p>
    <w:p w14:paraId="3BB9B42C">
      <w:pPr>
        <w:pStyle w:val="12"/>
        <w:ind w:firstLine="560" w:firstLineChars="200"/>
        <w:rPr>
          <w:rFonts w:hint="default"/>
          <w:lang w:val="en-US" w:eastAsia="zh-CN"/>
        </w:rPr>
      </w:pPr>
      <w:r>
        <w:rPr>
          <w:rFonts w:hint="eastAsia"/>
        </w:rPr>
        <w:t>支持审核端各处室、单位按审核角色做数据管理，并支持定制化报表管理</w:t>
      </w:r>
      <w:r>
        <w:rPr>
          <w:rFonts w:hint="eastAsia"/>
          <w:lang w:val="en-US" w:eastAsia="zh-CN"/>
        </w:rPr>
        <w:t>。</w:t>
      </w:r>
    </w:p>
    <w:p w14:paraId="5D6F3057">
      <w:pPr>
        <w:pStyle w:val="6"/>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数据对接</w:t>
      </w:r>
    </w:p>
    <w:p w14:paraId="1EAC96A3">
      <w:pPr>
        <w:pStyle w:val="12"/>
        <w:numPr>
          <w:ilvl w:val="0"/>
          <w:numId w:val="9"/>
        </w:numPr>
        <w:rPr>
          <w:rFonts w:hint="eastAsia"/>
        </w:rPr>
      </w:pPr>
      <w:r>
        <w:rPr>
          <w:rFonts w:hint="eastAsia"/>
        </w:rPr>
        <w:t>奉贤区域存量企业资质信息对接</w:t>
      </w:r>
    </w:p>
    <w:p w14:paraId="728C59AF">
      <w:pPr>
        <w:pStyle w:val="12"/>
        <w:rPr>
          <w:rFonts w:hint="eastAsia"/>
        </w:rPr>
      </w:pPr>
      <w:r>
        <w:rPr>
          <w:rFonts w:hint="eastAsia"/>
        </w:rPr>
        <w:t>将临港新片区行政区域</w:t>
      </w:r>
      <w:r>
        <w:rPr>
          <w:rFonts w:hint="eastAsia"/>
          <w:lang w:eastAsia="zh-CN"/>
        </w:rPr>
        <w:t>：</w:t>
      </w:r>
      <w:r>
        <w:rPr>
          <w:rFonts w:hint="eastAsia"/>
        </w:rPr>
        <w:t>奉贤区域，如四团镇、海湾镇、临港奉贤园区内企业归到临港新片区产城融合</w:t>
      </w:r>
      <w:r>
        <w:rPr>
          <w:rFonts w:hint="eastAsia"/>
          <w:lang w:eastAsia="zh-CN"/>
        </w:rPr>
        <w:t>示范</w:t>
      </w:r>
      <w:r>
        <w:rPr>
          <w:rFonts w:hint="eastAsia"/>
        </w:rPr>
        <w:t>区域内，该区域内注册企业也将享受相关扶持政策。财政处需对原奉贤区域内注册企业数据通过相关业务系统对接到财政促发展系统中。</w:t>
      </w:r>
    </w:p>
    <w:p w14:paraId="3FC0E252">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en-US" w:eastAsia="zh-CN"/>
        </w:rPr>
      </w:pPr>
      <w:r>
        <w:rPr>
          <w:rFonts w:hint="eastAsia"/>
          <w:lang w:val="en-US" w:eastAsia="zh-CN"/>
        </w:rPr>
        <w:t>高科专项扶持模块</w:t>
      </w:r>
    </w:p>
    <w:p w14:paraId="4A6E52F3">
      <w:pPr>
        <w:pStyle w:val="6"/>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专项申报端</w:t>
      </w:r>
    </w:p>
    <w:p w14:paraId="78B42DE1">
      <w:pPr>
        <w:pStyle w:val="12"/>
        <w:numPr>
          <w:ilvl w:val="0"/>
          <w:numId w:val="11"/>
        </w:numPr>
        <w:rPr>
          <w:rFonts w:hint="eastAsia"/>
        </w:rPr>
      </w:pPr>
      <w:r>
        <w:rPr>
          <w:rFonts w:hint="eastAsia"/>
        </w:rPr>
        <w:t>信息分页</w:t>
      </w:r>
    </w:p>
    <w:p w14:paraId="3350F73E">
      <w:pPr>
        <w:pStyle w:val="12"/>
      </w:pPr>
      <w:r>
        <w:rPr>
          <w:rFonts w:hint="eastAsia"/>
        </w:rPr>
        <w:t>信息分页功能将填报信息进行分类、分组，申报页面以多标签页形式展示，不同标签页下存放划分好的填报信息，便于清晰展示，方便用户填写。</w:t>
      </w:r>
    </w:p>
    <w:p w14:paraId="4429CB95">
      <w:pPr>
        <w:pStyle w:val="12"/>
        <w:numPr>
          <w:ilvl w:val="0"/>
          <w:numId w:val="11"/>
        </w:numPr>
        <w:rPr>
          <w:rFonts w:hint="eastAsia"/>
        </w:rPr>
      </w:pPr>
      <w:r>
        <w:rPr>
          <w:rFonts w:hint="eastAsia"/>
        </w:rPr>
        <w:t>申报材料打印</w:t>
      </w:r>
    </w:p>
    <w:p w14:paraId="036262C3">
      <w:pPr>
        <w:pStyle w:val="12"/>
      </w:pPr>
      <w:r>
        <w:rPr>
          <w:rFonts w:hint="eastAsia"/>
        </w:rPr>
        <w:t xml:space="preserve">对当前申报数据进行pdf打印。企业用户在进行申报过程中，需要将申报填写信息形成申报表作为佐证材料，为省去用户线下整理申报表的流程，故实现填报信息打印功能。用户在填写完信息后，系统将填报内容按设置好的模板输出为pdf文件，并加设管委会水印。 </w:t>
      </w:r>
    </w:p>
    <w:p w14:paraId="70738AE2">
      <w:pPr>
        <w:pStyle w:val="12"/>
        <w:numPr>
          <w:ilvl w:val="0"/>
          <w:numId w:val="11"/>
        </w:numPr>
        <w:rPr>
          <w:rFonts w:hint="eastAsia"/>
        </w:rPr>
      </w:pPr>
      <w:r>
        <w:rPr>
          <w:rFonts w:hint="eastAsia"/>
        </w:rPr>
        <w:t>智能填报</w:t>
      </w:r>
    </w:p>
    <w:p w14:paraId="13531F6D">
      <w:pPr>
        <w:pStyle w:val="12"/>
      </w:pPr>
      <w:r>
        <w:rPr>
          <w:rFonts w:hint="eastAsia"/>
        </w:rPr>
        <w:t>数据回填功能，当进行资金扶持申报时，自动带出资质申请时相同字段的填写信息。在进行资金扶持申报时，有和资质申请业务中相同字段的，自动带出信息且可编辑，以减少企业用户重复录入。企业用户的申报信息被拒绝后，需重新申报，</w:t>
      </w:r>
      <w:r>
        <w:rPr>
          <w:rFonts w:hint="eastAsia"/>
          <w:lang w:val="en-US" w:eastAsia="zh-CN"/>
        </w:rPr>
        <w:t>考虑到</w:t>
      </w:r>
      <w:r>
        <w:rPr>
          <w:rFonts w:hint="eastAsia"/>
        </w:rPr>
        <w:t>企业进行修正信息的过程可能较长，</w:t>
      </w:r>
      <w:r>
        <w:rPr>
          <w:rFonts w:hint="eastAsia"/>
          <w:lang w:val="en-US" w:eastAsia="zh-CN"/>
        </w:rPr>
        <w:t>需</w:t>
      </w:r>
      <w:r>
        <w:rPr>
          <w:rFonts w:hint="eastAsia"/>
        </w:rPr>
        <w:t>加上暂存功能。申报过程中，需申报方可多次填写的字段，可设定添加。</w:t>
      </w:r>
    </w:p>
    <w:p w14:paraId="76E9495F">
      <w:pPr>
        <w:pStyle w:val="12"/>
        <w:numPr>
          <w:ilvl w:val="0"/>
          <w:numId w:val="11"/>
        </w:numPr>
        <w:rPr>
          <w:rFonts w:hint="eastAsia"/>
        </w:rPr>
      </w:pPr>
      <w:r>
        <w:rPr>
          <w:rFonts w:hint="eastAsia"/>
        </w:rPr>
        <w:t>政策申报白名单</w:t>
      </w:r>
    </w:p>
    <w:p w14:paraId="6EB0CB3A">
      <w:pPr>
        <w:pStyle w:val="12"/>
      </w:pPr>
      <w:r>
        <w:rPr>
          <w:rFonts w:hint="eastAsia"/>
        </w:rPr>
        <w:t>针对不同政策、不同条线的扶持对象范围进行白名单设置，仅在白名单范围内的企业可浏览、申报政策。</w:t>
      </w:r>
    </w:p>
    <w:p w14:paraId="0F716AE2">
      <w:pPr>
        <w:pStyle w:val="12"/>
        <w:numPr>
          <w:ilvl w:val="0"/>
          <w:numId w:val="11"/>
        </w:numPr>
        <w:rPr>
          <w:rFonts w:hint="eastAsia"/>
        </w:rPr>
      </w:pPr>
      <w:r>
        <w:rPr>
          <w:rFonts w:hint="eastAsia"/>
        </w:rPr>
        <w:t>申报周期限制</w:t>
      </w:r>
    </w:p>
    <w:p w14:paraId="0D1E087E">
      <w:pPr>
        <w:pStyle w:val="12"/>
      </w:pPr>
      <w:r>
        <w:rPr>
          <w:rFonts w:hint="eastAsia"/>
        </w:rPr>
        <w:t>部分政策条线的业务需求要满足在对同一条线进行申报时，</w:t>
      </w:r>
      <w:r>
        <w:rPr>
          <w:rFonts w:hint="eastAsia"/>
          <w:lang w:eastAsia="zh-CN"/>
        </w:rPr>
        <w:t>当其他</w:t>
      </w:r>
      <w:r>
        <w:rPr>
          <w:rFonts w:hint="eastAsia"/>
        </w:rPr>
        <w:t>周期的申报业务没有审核完成时，新周期的申报业务可正常进行，不受</w:t>
      </w:r>
      <w:r>
        <w:rPr>
          <w:rFonts w:hint="eastAsia"/>
          <w:lang w:eastAsia="zh-CN"/>
        </w:rPr>
        <w:t>其他</w:t>
      </w:r>
      <w:r>
        <w:rPr>
          <w:rFonts w:hint="eastAsia"/>
        </w:rPr>
        <w:t>周期影响。</w:t>
      </w:r>
    </w:p>
    <w:p w14:paraId="159CF843">
      <w:pPr>
        <w:pStyle w:val="12"/>
        <w:numPr>
          <w:ilvl w:val="0"/>
          <w:numId w:val="11"/>
        </w:numPr>
        <w:rPr>
          <w:rFonts w:hint="eastAsia"/>
        </w:rPr>
      </w:pPr>
      <w:r>
        <w:rPr>
          <w:rFonts w:hint="eastAsia"/>
        </w:rPr>
        <w:t>项目申报消息中心</w:t>
      </w:r>
    </w:p>
    <w:p w14:paraId="374653EA">
      <w:pPr>
        <w:pStyle w:val="12"/>
      </w:pPr>
      <w:r>
        <w:rPr>
          <w:rFonts w:hint="eastAsia"/>
        </w:rPr>
        <w:t>为提高企业用户的操作效率，可以及时处理代办事项，如有新政策需要申报、申报数据被拒绝后重新申报、有系统通知类消息时，</w:t>
      </w:r>
      <w:r>
        <w:rPr>
          <w:rFonts w:hint="eastAsia"/>
          <w:lang w:val="en-US" w:eastAsia="zh-CN"/>
        </w:rPr>
        <w:t>系统可及时</w:t>
      </w:r>
      <w:r>
        <w:rPr>
          <w:rFonts w:hint="eastAsia"/>
        </w:rPr>
        <w:t>给予通知。</w:t>
      </w:r>
    </w:p>
    <w:p w14:paraId="4E627BED">
      <w:pPr>
        <w:pStyle w:val="6"/>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专项审核端</w:t>
      </w:r>
    </w:p>
    <w:p w14:paraId="33391A6D">
      <w:pPr>
        <w:pStyle w:val="12"/>
        <w:numPr>
          <w:ilvl w:val="0"/>
          <w:numId w:val="12"/>
        </w:numPr>
        <w:rPr>
          <w:rFonts w:hint="eastAsia"/>
        </w:rPr>
      </w:pPr>
      <w:r>
        <w:rPr>
          <w:rFonts w:hint="eastAsia"/>
        </w:rPr>
        <w:t>扶持金额核准</w:t>
      </w:r>
    </w:p>
    <w:p w14:paraId="30B78D95">
      <w:pPr>
        <w:pStyle w:val="12"/>
      </w:pPr>
      <w:r>
        <w:rPr>
          <w:rFonts w:hint="eastAsia"/>
        </w:rPr>
        <w:t>数据审核页新增“核准金额”字段</w:t>
      </w:r>
      <w:r>
        <w:rPr>
          <w:rFonts w:hint="eastAsia"/>
          <w:lang w:eastAsia="zh-CN"/>
        </w:rPr>
        <w:t>。</w:t>
      </w:r>
      <w:r>
        <w:rPr>
          <w:rFonts w:hint="eastAsia"/>
        </w:rPr>
        <w:t>部分政策条线的拨付标准是三年或五年内拨付给企业一笔资金，需设定一个核准金额字段来记录总拨付金额。</w:t>
      </w:r>
    </w:p>
    <w:p w14:paraId="0CBF59A2">
      <w:pPr>
        <w:pStyle w:val="12"/>
        <w:numPr>
          <w:ilvl w:val="0"/>
          <w:numId w:val="12"/>
        </w:numPr>
        <w:rPr>
          <w:rFonts w:hint="eastAsia"/>
        </w:rPr>
      </w:pPr>
      <w:r>
        <w:rPr>
          <w:rFonts w:hint="eastAsia"/>
        </w:rPr>
        <w:t>政策申报数据批量导出</w:t>
      </w:r>
    </w:p>
    <w:p w14:paraId="23DE60CA">
      <w:pPr>
        <w:pStyle w:val="12"/>
      </w:pPr>
      <w:r>
        <w:rPr>
          <w:rFonts w:hint="eastAsia"/>
        </w:rPr>
        <w:t>以政策为维度，导出全部申报信息。政策统</w:t>
      </w:r>
      <w:r>
        <w:rPr>
          <w:rFonts w:hint="eastAsia"/>
          <w:lang w:val="en-US" w:eastAsia="zh-CN"/>
        </w:rPr>
        <w:t>一</w:t>
      </w:r>
      <w:r>
        <w:rPr>
          <w:rFonts w:hint="eastAsia"/>
        </w:rPr>
        <w:t>划分为一级（政策）、二级（条款）、三级（资格），每个资格为一个独立条线，</w:t>
      </w:r>
      <w:r>
        <w:rPr>
          <w:rFonts w:hint="eastAsia"/>
          <w:lang w:val="en-US" w:eastAsia="zh-CN"/>
        </w:rPr>
        <w:t>支持</w:t>
      </w:r>
      <w:r>
        <w:rPr>
          <w:rFonts w:hint="eastAsia"/>
        </w:rPr>
        <w:t>在审批时需要导出全部申报信息，以便于在审核时对比参照其他条线的数据，提高审核效率。</w:t>
      </w:r>
    </w:p>
    <w:p w14:paraId="2533DD0E">
      <w:pPr>
        <w:pStyle w:val="12"/>
        <w:numPr>
          <w:ilvl w:val="0"/>
          <w:numId w:val="12"/>
        </w:numPr>
        <w:rPr>
          <w:rFonts w:hint="eastAsia"/>
        </w:rPr>
      </w:pPr>
      <w:r>
        <w:rPr>
          <w:rFonts w:hint="eastAsia"/>
        </w:rPr>
        <w:t>线下申报数据导入</w:t>
      </w:r>
    </w:p>
    <w:p w14:paraId="51B43A5A">
      <w:pPr>
        <w:pStyle w:val="12"/>
      </w:pPr>
      <w:r>
        <w:rPr>
          <w:rFonts w:hint="eastAsia"/>
        </w:rPr>
        <w:t>审核端支持审核人员批量导入数据，解决系统开放使用前处室已有的存量数据或处室有非政策类扶持数据，</w:t>
      </w:r>
      <w:r>
        <w:rPr>
          <w:rFonts w:hint="eastAsia"/>
          <w:lang w:eastAsia="zh-CN"/>
        </w:rPr>
        <w:t>录入</w:t>
      </w:r>
      <w:r>
        <w:rPr>
          <w:rFonts w:hint="eastAsia"/>
        </w:rPr>
        <w:t>系统中。</w:t>
      </w:r>
    </w:p>
    <w:p w14:paraId="0A2F677D">
      <w:pPr>
        <w:pStyle w:val="12"/>
        <w:numPr>
          <w:ilvl w:val="0"/>
          <w:numId w:val="12"/>
        </w:numPr>
        <w:rPr>
          <w:rFonts w:hint="eastAsia"/>
        </w:rPr>
      </w:pPr>
      <w:r>
        <w:rPr>
          <w:rFonts w:hint="eastAsia"/>
        </w:rPr>
        <w:t>附件批量导出</w:t>
      </w:r>
    </w:p>
    <w:p w14:paraId="57A1E340">
      <w:pPr>
        <w:pStyle w:val="12"/>
      </w:pPr>
      <w:r>
        <w:rPr>
          <w:rFonts w:hint="eastAsia"/>
          <w:lang w:val="en-US" w:eastAsia="zh-CN"/>
        </w:rPr>
        <w:t>该功能能在</w:t>
      </w:r>
      <w:r>
        <w:rPr>
          <w:rFonts w:hint="eastAsia"/>
        </w:rPr>
        <w:t>数据审核页</w:t>
      </w:r>
      <w:r>
        <w:rPr>
          <w:rFonts w:hint="eastAsia"/>
          <w:lang w:val="en-US" w:eastAsia="zh-CN"/>
        </w:rPr>
        <w:t>实现</w:t>
      </w:r>
      <w:r>
        <w:rPr>
          <w:rFonts w:hint="eastAsia"/>
        </w:rPr>
        <w:t>全量文件导出</w:t>
      </w:r>
      <w:r>
        <w:rPr>
          <w:rFonts w:hint="eastAsia"/>
          <w:lang w:eastAsia="zh-CN"/>
        </w:rPr>
        <w:t>，</w:t>
      </w:r>
      <w:r>
        <w:rPr>
          <w:rFonts w:hint="eastAsia"/>
          <w:lang w:val="en-US" w:eastAsia="zh-CN"/>
        </w:rPr>
        <w:t>满足</w:t>
      </w:r>
      <w:r>
        <w:rPr>
          <w:rFonts w:hint="eastAsia"/>
        </w:rPr>
        <w:t>处室用户在审批时下载申报材料。当数据审核页有多家企业的申报记录时，</w:t>
      </w:r>
      <w:r>
        <w:rPr>
          <w:rFonts w:hint="eastAsia"/>
          <w:lang w:val="en-US" w:eastAsia="zh-CN"/>
        </w:rPr>
        <w:t>支持</w:t>
      </w:r>
      <w:r>
        <w:rPr>
          <w:rFonts w:hint="eastAsia"/>
        </w:rPr>
        <w:t>将所有申报记录中的文件一次性全部下载。</w:t>
      </w:r>
    </w:p>
    <w:p w14:paraId="7897FAF8">
      <w:pPr>
        <w:pStyle w:val="12"/>
        <w:numPr>
          <w:ilvl w:val="0"/>
          <w:numId w:val="12"/>
        </w:numPr>
        <w:rPr>
          <w:rFonts w:hint="eastAsia"/>
        </w:rPr>
      </w:pPr>
      <w:r>
        <w:rPr>
          <w:rFonts w:hint="eastAsia"/>
        </w:rPr>
        <w:t>申报信息详情调阅</w:t>
      </w:r>
    </w:p>
    <w:p w14:paraId="7983EB6F">
      <w:pPr>
        <w:pStyle w:val="12"/>
      </w:pPr>
      <w:r>
        <w:rPr>
          <w:rFonts w:hint="eastAsia"/>
        </w:rPr>
        <w:t>为便于审核人员查看数据审核页申报信息，支持详情页弹窗展示。处室用户在审核企业申报的数据时，当填报的信息过多，在原审核页展示时页面比较拥挤，加大了审核</w:t>
      </w:r>
      <w:r>
        <w:rPr>
          <w:rFonts w:hint="eastAsia"/>
          <w:lang w:eastAsia="zh-CN"/>
        </w:rPr>
        <w:t>人员</w:t>
      </w:r>
      <w:r>
        <w:rPr>
          <w:rFonts w:hint="eastAsia"/>
        </w:rPr>
        <w:t>对申报数据的核验工作量，所以需支持详情页弹窗展示</w:t>
      </w:r>
      <w:r>
        <w:rPr>
          <w:rFonts w:hint="eastAsia"/>
          <w:lang w:eastAsia="zh-CN"/>
        </w:rPr>
        <w:t>，</w:t>
      </w:r>
      <w:r>
        <w:rPr>
          <w:rFonts w:hint="eastAsia"/>
        </w:rPr>
        <w:t>新增可独立展开配置的弹窗展示功能。</w:t>
      </w:r>
    </w:p>
    <w:p w14:paraId="54EBFE87">
      <w:pPr>
        <w:pStyle w:val="12"/>
        <w:numPr>
          <w:ilvl w:val="0"/>
          <w:numId w:val="12"/>
        </w:numPr>
        <w:rPr>
          <w:rFonts w:hint="eastAsia"/>
        </w:rPr>
      </w:pPr>
      <w:r>
        <w:rPr>
          <w:rFonts w:hint="eastAsia"/>
        </w:rPr>
        <w:t>金额展示控制</w:t>
      </w:r>
    </w:p>
    <w:p w14:paraId="7C906EF6">
      <w:pPr>
        <w:pStyle w:val="12"/>
      </w:pPr>
      <w:r>
        <w:rPr>
          <w:rFonts w:hint="eastAsia"/>
        </w:rPr>
        <w:t>根据不同政策需求，核准金额和本次扶持金额自定义是否展示。审核端固定展示核准金额和本次扶持金额字段新增金额展示控制相关功能。</w:t>
      </w:r>
    </w:p>
    <w:p w14:paraId="4BFDBF1D">
      <w:pPr>
        <w:pStyle w:val="12"/>
        <w:numPr>
          <w:ilvl w:val="0"/>
          <w:numId w:val="12"/>
        </w:numPr>
        <w:rPr>
          <w:rFonts w:hint="eastAsia"/>
        </w:rPr>
      </w:pPr>
      <w:r>
        <w:rPr>
          <w:rFonts w:hint="eastAsia"/>
        </w:rPr>
        <w:t>项目审核消息中心</w:t>
      </w:r>
    </w:p>
    <w:p w14:paraId="60999D2A">
      <w:pPr>
        <w:pStyle w:val="12"/>
        <w:rPr>
          <w:rFonts w:hint="default" w:eastAsia="宋体"/>
          <w:lang w:val="en-US" w:eastAsia="zh-CN"/>
        </w:rPr>
      </w:pPr>
      <w:r>
        <w:rPr>
          <w:rFonts w:hint="eastAsia"/>
        </w:rPr>
        <w:t>为解决处室审核人员无法及时查阅审核数据，滞后审核进程，</w:t>
      </w:r>
      <w:r>
        <w:rPr>
          <w:rFonts w:hint="eastAsia"/>
          <w:lang w:val="en-US" w:eastAsia="zh-CN"/>
        </w:rPr>
        <w:t>需</w:t>
      </w:r>
      <w:r>
        <w:rPr>
          <w:rFonts w:hint="eastAsia"/>
        </w:rPr>
        <w:t>在审核端做消息提醒功能，当有系统通知类消息时，也给予通知，提高审核效率。</w:t>
      </w:r>
      <w:r>
        <w:rPr>
          <w:rFonts w:hint="eastAsia"/>
          <w:lang w:val="en-US" w:eastAsia="zh-CN"/>
        </w:rPr>
        <w:t>包括但不限于：政策开放提醒、政策关闭提醒、待审核数据提醒、系统通知、延时企业提醒、延时企业通知、角色数据隔离权限控制、链接跳转、自定义通知等。</w:t>
      </w:r>
    </w:p>
    <w:p w14:paraId="002F481A">
      <w:pPr>
        <w:pStyle w:val="6"/>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数据服务</w:t>
      </w:r>
    </w:p>
    <w:p w14:paraId="30EDB9E1">
      <w:pPr>
        <w:pStyle w:val="12"/>
        <w:numPr>
          <w:ilvl w:val="0"/>
          <w:numId w:val="13"/>
        </w:numPr>
        <w:rPr>
          <w:rFonts w:hint="eastAsia"/>
        </w:rPr>
      </w:pPr>
      <w:r>
        <w:rPr>
          <w:rFonts w:hint="eastAsia"/>
          <w:lang w:val="en-US" w:eastAsia="zh-CN"/>
        </w:rPr>
        <w:t>高科专项系统存量政策数据接入</w:t>
      </w:r>
    </w:p>
    <w:p w14:paraId="2B00BB91">
      <w:pPr>
        <w:pStyle w:val="12"/>
      </w:pPr>
      <w:r>
        <w:rPr>
          <w:rFonts w:hint="eastAsia"/>
        </w:rPr>
        <w:t>由于高科处在原专项系统发布了若干政策等一系列政策，其中包含大量申报企业的</w:t>
      </w:r>
      <w:r>
        <w:rPr>
          <w:rFonts w:hint="eastAsia"/>
          <w:lang w:eastAsia="zh-CN"/>
        </w:rPr>
        <w:t>基本</w:t>
      </w:r>
      <w:r>
        <w:rPr>
          <w:rFonts w:hint="eastAsia"/>
        </w:rPr>
        <w:t>资质信息、扶持信息、附件数据和审核阶段的操作记录。需将这些相关数据统一迁入新建系统中，保障数据的完整度和安全性。</w:t>
      </w:r>
    </w:p>
    <w:p w14:paraId="56286ED5">
      <w:pPr>
        <w:pStyle w:val="12"/>
        <w:numPr>
          <w:ilvl w:val="0"/>
          <w:numId w:val="13"/>
        </w:numPr>
        <w:rPr>
          <w:rFonts w:hint="eastAsia"/>
        </w:rPr>
      </w:pPr>
      <w:r>
        <w:rPr>
          <w:rFonts w:hint="eastAsia"/>
        </w:rPr>
        <w:t>专项数据筛选查询</w:t>
      </w:r>
    </w:p>
    <w:p w14:paraId="344E19B1">
      <w:pPr>
        <w:pStyle w:val="12"/>
      </w:pPr>
      <w:r>
        <w:rPr>
          <w:rFonts w:hint="eastAsia"/>
          <w:lang w:val="en-US" w:eastAsia="zh-CN"/>
        </w:rPr>
        <w:t>该</w:t>
      </w:r>
      <w:r>
        <w:rPr>
          <w:rFonts w:hint="eastAsia"/>
        </w:rPr>
        <w:t>模块旨在能够根据处室的业务需求</w:t>
      </w:r>
      <w:r>
        <w:rPr>
          <w:rFonts w:hint="eastAsia"/>
          <w:lang w:eastAsia="zh-CN"/>
        </w:rPr>
        <w:t>，</w:t>
      </w:r>
      <w:r>
        <w:rPr>
          <w:rFonts w:hint="eastAsia"/>
        </w:rPr>
        <w:t>为处室提供从不同数据维度，</w:t>
      </w:r>
      <w:r>
        <w:rPr>
          <w:rFonts w:hint="eastAsia"/>
          <w:lang w:val="en-US" w:eastAsia="zh-CN"/>
        </w:rPr>
        <w:t>在</w:t>
      </w:r>
      <w:r>
        <w:rPr>
          <w:rFonts w:hint="eastAsia"/>
        </w:rPr>
        <w:t>大量的扶持数据中筛选有关特定产业或关键指标，从而量化不同专项的扶持成效。</w:t>
      </w:r>
    </w:p>
    <w:p w14:paraId="140BBECD">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en-US" w:eastAsia="zh-CN"/>
        </w:rPr>
      </w:pPr>
      <w:r>
        <w:rPr>
          <w:rFonts w:hint="eastAsia"/>
          <w:lang w:val="en-US" w:eastAsia="zh-CN"/>
        </w:rPr>
        <w:t>金贸政策扶持项目管理模块</w:t>
      </w:r>
    </w:p>
    <w:p w14:paraId="5B35301A">
      <w:pPr>
        <w:pStyle w:val="6"/>
        <w:keepNext/>
        <w:keepLines/>
        <w:pageBreakBefore w:val="0"/>
        <w:widowControl w:val="0"/>
        <w:numPr>
          <w:ilvl w:val="0"/>
          <w:numId w:val="1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金贸政策申报端</w:t>
      </w:r>
    </w:p>
    <w:p w14:paraId="64F24475">
      <w:pPr>
        <w:pStyle w:val="12"/>
        <w:numPr>
          <w:ilvl w:val="0"/>
          <w:numId w:val="15"/>
        </w:numPr>
        <w:rPr>
          <w:rFonts w:hint="eastAsia"/>
        </w:rPr>
      </w:pPr>
      <w:r>
        <w:rPr>
          <w:rFonts w:hint="eastAsia"/>
        </w:rPr>
        <w:t>申报/审核流程跟踪</w:t>
      </w:r>
    </w:p>
    <w:p w14:paraId="571B9248">
      <w:pPr>
        <w:pStyle w:val="12"/>
      </w:pPr>
      <w:r>
        <w:rPr>
          <w:rFonts w:hint="eastAsia"/>
        </w:rPr>
        <w:t>展示业务的申报、审核过程，在处室审批时提供业务申报全流程的可追溯性，提高审批质量的效率。申报附件上传追加上传时间。数据被审核端拒绝后，用户需修改业务信息或重新上传材料，申报附件模板做匹配，每个附件类目对应匹配一个附件模板。</w:t>
      </w:r>
    </w:p>
    <w:p w14:paraId="57C7B5DD">
      <w:pPr>
        <w:pStyle w:val="12"/>
        <w:numPr>
          <w:ilvl w:val="0"/>
          <w:numId w:val="15"/>
        </w:numPr>
        <w:rPr>
          <w:rFonts w:hint="eastAsia"/>
        </w:rPr>
      </w:pPr>
      <w:r>
        <w:rPr>
          <w:rFonts w:hint="eastAsia"/>
        </w:rPr>
        <w:t>企业自主申报限制判断</w:t>
      </w:r>
    </w:p>
    <w:p w14:paraId="2398B3BB">
      <w:pPr>
        <w:pStyle w:val="12"/>
      </w:pPr>
      <w:r>
        <w:rPr>
          <w:rFonts w:hint="eastAsia"/>
        </w:rPr>
        <w:t>企业在进行自主申报时，系统需调取临港大数据中心和税收管理系统，获取企业的三地信息（注册地、办公地、财税户管地），判断企业的三地是否在临港；当所有条件都满足时，才可允许申报。</w:t>
      </w:r>
    </w:p>
    <w:p w14:paraId="3433DB9C">
      <w:pPr>
        <w:pStyle w:val="12"/>
        <w:numPr>
          <w:ilvl w:val="0"/>
          <w:numId w:val="15"/>
        </w:numPr>
        <w:rPr>
          <w:rFonts w:hint="eastAsia"/>
        </w:rPr>
      </w:pPr>
      <w:r>
        <w:rPr>
          <w:rFonts w:hint="eastAsia"/>
        </w:rPr>
        <w:t>申报信息批量导入及自动填报</w:t>
      </w:r>
    </w:p>
    <w:p w14:paraId="447CBEDF">
      <w:pPr>
        <w:pStyle w:val="12"/>
      </w:pPr>
      <w:r>
        <w:rPr>
          <w:rFonts w:hint="eastAsia"/>
        </w:rPr>
        <w:t>部分政策条线要求企业用户在填报信息时，一些基本类信息可通过页面输入，一些重复且数据量大的业务类数据</w:t>
      </w:r>
      <w:r>
        <w:rPr>
          <w:rFonts w:hint="eastAsia"/>
          <w:lang w:val="en-US" w:eastAsia="zh-CN"/>
        </w:rPr>
        <w:t>可</w:t>
      </w:r>
      <w:r>
        <w:rPr>
          <w:rFonts w:hint="eastAsia"/>
        </w:rPr>
        <w:t>通过导入的方式，以减少企业填报时间，提高效率。</w:t>
      </w:r>
    </w:p>
    <w:p w14:paraId="10B0065F">
      <w:pPr>
        <w:pStyle w:val="12"/>
        <w:numPr>
          <w:ilvl w:val="0"/>
          <w:numId w:val="15"/>
        </w:numPr>
        <w:rPr>
          <w:rFonts w:hint="eastAsia"/>
        </w:rPr>
      </w:pPr>
      <w:r>
        <w:rPr>
          <w:rFonts w:hint="eastAsia"/>
        </w:rPr>
        <w:t xml:space="preserve"> 导入数据校验</w:t>
      </w:r>
    </w:p>
    <w:p w14:paraId="4BF11CCA">
      <w:pPr>
        <w:pStyle w:val="12"/>
      </w:pPr>
      <w:r>
        <w:rPr>
          <w:rFonts w:hint="eastAsia"/>
        </w:rPr>
        <w:t>在数据导入过程中，系统</w:t>
      </w:r>
      <w:r>
        <w:rPr>
          <w:rFonts w:hint="eastAsia"/>
          <w:lang w:val="en-US" w:eastAsia="zh-CN"/>
        </w:rPr>
        <w:t>需</w:t>
      </w:r>
      <w:r>
        <w:rPr>
          <w:rFonts w:hint="eastAsia"/>
        </w:rPr>
        <w:t>检测重复项、字段格式错误等，提供数据清洗和修正的功能，以保证数据的质量和一致性。</w:t>
      </w:r>
    </w:p>
    <w:p w14:paraId="7BEA46A6">
      <w:pPr>
        <w:pStyle w:val="12"/>
        <w:numPr>
          <w:ilvl w:val="0"/>
          <w:numId w:val="15"/>
        </w:numPr>
        <w:rPr>
          <w:rFonts w:hint="eastAsia"/>
        </w:rPr>
      </w:pPr>
      <w:r>
        <w:rPr>
          <w:rFonts w:hint="eastAsia"/>
        </w:rPr>
        <w:t>申报信息自动回填</w:t>
      </w:r>
    </w:p>
    <w:p w14:paraId="65A54344">
      <w:pPr>
        <w:pStyle w:val="12"/>
      </w:pPr>
      <w:r>
        <w:rPr>
          <w:rFonts w:hint="eastAsia"/>
        </w:rPr>
        <w:t>企业进入政策申报，企业基础信息按业务需求可进行自动回填，同时也支持已申报相关信息的回填功能，减少企业重复、频繁填报操作。同时支持页面下载申报信息模板化打印。</w:t>
      </w:r>
    </w:p>
    <w:p w14:paraId="10127660">
      <w:pPr>
        <w:pStyle w:val="12"/>
        <w:numPr>
          <w:ilvl w:val="0"/>
          <w:numId w:val="15"/>
        </w:numPr>
        <w:rPr>
          <w:rFonts w:hint="eastAsia"/>
        </w:rPr>
      </w:pPr>
      <w:r>
        <w:rPr>
          <w:rFonts w:hint="eastAsia"/>
        </w:rPr>
        <w:t>申报金额自动测算</w:t>
      </w:r>
    </w:p>
    <w:p w14:paraId="2F53FF37">
      <w:pPr>
        <w:pStyle w:val="12"/>
      </w:pPr>
      <w:r>
        <w:rPr>
          <w:rFonts w:hint="eastAsia"/>
        </w:rPr>
        <w:t>不同政策/业务需要根据特定的字段进行金额计算，针对不同政策条线，在企业申报页面，需设定不同的字段进行关联/计算，做申报金额的计算或者</w:t>
      </w:r>
      <w:r>
        <w:rPr>
          <w:rFonts w:hint="eastAsia"/>
          <w:lang w:eastAsia="zh-CN"/>
        </w:rPr>
        <w:t>其他</w:t>
      </w:r>
      <w:r>
        <w:rPr>
          <w:rFonts w:hint="eastAsia"/>
        </w:rPr>
        <w:t>申报前的逻辑校验</w:t>
      </w:r>
      <w:r>
        <w:rPr>
          <w:rFonts w:hint="eastAsia"/>
          <w:lang w:eastAsia="zh-CN"/>
        </w:rPr>
        <w:t>，</w:t>
      </w:r>
      <w:r>
        <w:rPr>
          <w:rFonts w:hint="eastAsia"/>
        </w:rPr>
        <w:t>提高了申报效率。</w:t>
      </w:r>
    </w:p>
    <w:p w14:paraId="27685E45">
      <w:pPr>
        <w:pStyle w:val="12"/>
      </w:pPr>
      <w:r>
        <w:rPr>
          <w:rFonts w:hint="eastAsia"/>
          <w:lang w:val="en-US" w:eastAsia="zh-CN"/>
        </w:rPr>
        <w:t>其中</w:t>
      </w:r>
      <w:r>
        <w:rPr>
          <w:rFonts w:hint="eastAsia"/>
        </w:rPr>
        <w:t>贷款贴息政策较为特殊，</w:t>
      </w:r>
      <w:r>
        <w:rPr>
          <w:rFonts w:hint="eastAsia"/>
          <w:lang w:val="en-US" w:eastAsia="zh-CN"/>
        </w:rPr>
        <w:t>需</w:t>
      </w:r>
      <w:r>
        <w:rPr>
          <w:rFonts w:hint="eastAsia"/>
        </w:rPr>
        <w:t>设计扶持金额测算。</w:t>
      </w:r>
      <w:r>
        <w:rPr>
          <w:rFonts w:hint="eastAsia"/>
          <w:lang w:val="en-US" w:eastAsia="zh-CN"/>
        </w:rPr>
        <w:t>一是</w:t>
      </w:r>
      <w:r>
        <w:rPr>
          <w:rFonts w:hint="eastAsia"/>
        </w:rPr>
        <w:t>系统需要根据申报时所填写的行业分类和贷款类型对应自动填写上贴息比例，之后通过贴息比例计算出贴息金额，并且四种贷款类型所对应的每一年度的四轮申报金额总和是有固定上限的，需要系统完成申报金额是否超出上限的判定，如果超过上限，系统需要在页面上提示超出的金额数。</w:t>
      </w:r>
      <w:r>
        <w:rPr>
          <w:rFonts w:hint="eastAsia"/>
          <w:lang w:val="en-US" w:eastAsia="zh-CN"/>
        </w:rPr>
        <w:t>二是需保留目前系统中的所有判定逻辑和表格导入导出功能。</w:t>
      </w:r>
    </w:p>
    <w:p w14:paraId="0DB5F4C7">
      <w:pPr>
        <w:pStyle w:val="6"/>
        <w:keepNext/>
        <w:keepLines/>
        <w:pageBreakBefore w:val="0"/>
        <w:widowControl w:val="0"/>
        <w:numPr>
          <w:ilvl w:val="0"/>
          <w:numId w:val="1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金贸政策审核端</w:t>
      </w:r>
    </w:p>
    <w:p w14:paraId="7B129598">
      <w:pPr>
        <w:pStyle w:val="12"/>
        <w:numPr>
          <w:ilvl w:val="0"/>
          <w:numId w:val="16"/>
        </w:numPr>
        <w:rPr>
          <w:rFonts w:hint="eastAsia"/>
        </w:rPr>
      </w:pPr>
      <w:r>
        <w:rPr>
          <w:rFonts w:hint="eastAsia"/>
        </w:rPr>
        <w:t>审核信息汇总查询</w:t>
      </w:r>
    </w:p>
    <w:p w14:paraId="24ED8906">
      <w:pPr>
        <w:pStyle w:val="12"/>
      </w:pPr>
      <w:r>
        <w:rPr>
          <w:rFonts w:hint="eastAsia"/>
        </w:rPr>
        <w:t>根据业务需求，该政策涉及不同审核节点对应的审核对象不同。审核端页面需两种不同维度进行展示，与现有系统中按申报企业为维度展示不同。该政策由银行统一帮企业申报，由于审核端不同审核节点审核维度不同。根据申报方提交的申报企业信息等，经过处理后以企业为维度在审核页面进行展示。</w:t>
      </w:r>
    </w:p>
    <w:p w14:paraId="602ABDDA">
      <w:pPr>
        <w:pStyle w:val="12"/>
        <w:numPr>
          <w:ilvl w:val="0"/>
          <w:numId w:val="16"/>
        </w:numPr>
        <w:rPr>
          <w:rFonts w:hint="eastAsia"/>
        </w:rPr>
      </w:pPr>
      <w:r>
        <w:rPr>
          <w:rFonts w:hint="eastAsia"/>
        </w:rPr>
        <w:t>申报企业智能预核</w:t>
      </w:r>
    </w:p>
    <w:p w14:paraId="2F4B2758">
      <w:pPr>
        <w:pStyle w:val="12"/>
      </w:pPr>
      <w:r>
        <w:rPr>
          <w:rFonts w:hint="eastAsia"/>
        </w:rPr>
        <w:t>通过与处室业务人员确认政策的人工审核逻辑，利用法人库数据、税收数据、历史申报数据等内外部数据，获取企业审核所需要的字段信息，结合这些字段信息，构建申报企业审核模型，并且利用历史申报企业样本数据，对模型进行验证，当正确率</w:t>
      </w:r>
      <w:r>
        <w:rPr>
          <w:rFonts w:hint="eastAsia"/>
          <w:lang w:eastAsia="zh-CN"/>
        </w:rPr>
        <w:t>达到</w:t>
      </w:r>
      <w:r>
        <w:rPr>
          <w:rFonts w:hint="eastAsia"/>
        </w:rPr>
        <w:t>90%及以上时，则可以进行当前申报企业的智能预核工作。</w:t>
      </w:r>
    </w:p>
    <w:p w14:paraId="72ADED45">
      <w:pPr>
        <w:pStyle w:val="12"/>
        <w:numPr>
          <w:ilvl w:val="0"/>
          <w:numId w:val="16"/>
        </w:numPr>
        <w:rPr>
          <w:rFonts w:hint="eastAsia"/>
        </w:rPr>
      </w:pPr>
      <w:r>
        <w:rPr>
          <w:rFonts w:hint="eastAsia"/>
        </w:rPr>
        <w:t>定制化审核</w:t>
      </w:r>
    </w:p>
    <w:p w14:paraId="0C06AD92">
      <w:pPr>
        <w:pStyle w:val="12"/>
      </w:pPr>
      <w:r>
        <w:rPr>
          <w:rFonts w:hint="eastAsia"/>
        </w:rPr>
        <w:t>政策审核过程中，前两个审核节点分别为投资促进中心和按产业划分的各业务处室/部门。投资促进中心的审核逻辑，是以企业为主体单位开展审核工作；而对于金贸处及财政处审核节点，审核时是针对每一笔贷款进行审核，贷款与贷款之间存在互斥关系。因此需要对审核端处进行功能的定制化设计开发，以满足金贸处与投促审核节点的特殊审核需求。</w:t>
      </w:r>
    </w:p>
    <w:p w14:paraId="3A7A2E00">
      <w:pPr>
        <w:pStyle w:val="12"/>
        <w:numPr>
          <w:ilvl w:val="0"/>
          <w:numId w:val="16"/>
        </w:numPr>
        <w:rPr>
          <w:rFonts w:hint="eastAsia"/>
        </w:rPr>
      </w:pPr>
      <w:r>
        <w:rPr>
          <w:rFonts w:hint="eastAsia"/>
        </w:rPr>
        <w:t>业务修改分类</w:t>
      </w:r>
    </w:p>
    <w:p w14:paraId="7A8531B7">
      <w:pPr>
        <w:pStyle w:val="12"/>
      </w:pPr>
      <w:r>
        <w:rPr>
          <w:rFonts w:hint="eastAsia"/>
        </w:rPr>
        <w:t>为减少处室审核工作量和企业用户的操作负担</w:t>
      </w:r>
      <w:r>
        <w:rPr>
          <w:rFonts w:hint="eastAsia"/>
          <w:lang w:eastAsia="zh-CN"/>
        </w:rPr>
        <w:t>，</w:t>
      </w:r>
      <w:r>
        <w:rPr>
          <w:rFonts w:hint="eastAsia"/>
        </w:rPr>
        <w:t>在审核时，补充协议时间及增值税、企业所得税和个人所得税的扶持比例等，以便于后续资金申报时进行金额测算，提高审核效率。</w:t>
      </w:r>
    </w:p>
    <w:p w14:paraId="6B8F5C5E">
      <w:pPr>
        <w:pStyle w:val="12"/>
        <w:numPr>
          <w:ilvl w:val="0"/>
          <w:numId w:val="16"/>
        </w:numPr>
        <w:rPr>
          <w:rFonts w:hint="eastAsia"/>
        </w:rPr>
      </w:pPr>
      <w:r>
        <w:rPr>
          <w:rFonts w:hint="eastAsia"/>
        </w:rPr>
        <w:t>各审核节点多维度查验</w:t>
      </w:r>
    </w:p>
    <w:p w14:paraId="3A51A220">
      <w:pPr>
        <w:pStyle w:val="12"/>
        <w:rPr>
          <w:rFonts w:hint="eastAsia" w:eastAsia="宋体"/>
          <w:lang w:eastAsia="zh-CN"/>
        </w:rPr>
      </w:pPr>
      <w:r>
        <w:rPr>
          <w:rFonts w:hint="eastAsia"/>
        </w:rPr>
        <w:t>由于金贸处政策特殊性，审核端审核节点也较多，不同审核节点需要审核内容及维度不一，审核节点</w:t>
      </w:r>
      <w:r>
        <w:rPr>
          <w:rFonts w:hint="eastAsia"/>
          <w:lang w:val="en-US" w:eastAsia="zh-CN"/>
        </w:rPr>
        <w:t>需</w:t>
      </w:r>
      <w:r>
        <w:rPr>
          <w:rFonts w:hint="eastAsia"/>
        </w:rPr>
        <w:t>支持多维度查看申报数据，并对不同维度进行申报信息审核。</w:t>
      </w:r>
    </w:p>
    <w:p w14:paraId="4627B78F">
      <w:pPr>
        <w:pStyle w:val="12"/>
        <w:numPr>
          <w:ilvl w:val="0"/>
          <w:numId w:val="16"/>
        </w:numPr>
        <w:rPr>
          <w:rFonts w:hint="eastAsia"/>
        </w:rPr>
      </w:pPr>
      <w:r>
        <w:rPr>
          <w:rFonts w:hint="eastAsia"/>
        </w:rPr>
        <w:t>凭证上传</w:t>
      </w:r>
    </w:p>
    <w:p w14:paraId="06534A0E">
      <w:pPr>
        <w:pStyle w:val="12"/>
        <w:rPr>
          <w:rFonts w:hint="eastAsia"/>
          <w:lang w:val="en-US" w:eastAsia="zh-CN"/>
        </w:rPr>
      </w:pPr>
      <w:r>
        <w:rPr>
          <w:rFonts w:hint="eastAsia"/>
        </w:rPr>
        <w:t>政策审核过程中，申报方需在审核流程结束后进行凭证数据的上传操作。审核流程审核通过，在发放完企业扶持资金后，</w:t>
      </w:r>
      <w:r>
        <w:rPr>
          <w:rFonts w:hint="eastAsia"/>
          <w:lang w:val="en-US" w:eastAsia="zh-CN"/>
        </w:rPr>
        <w:t>满足</w:t>
      </w:r>
      <w:r>
        <w:rPr>
          <w:rFonts w:hint="eastAsia"/>
        </w:rPr>
        <w:t>申报方将转账凭证进行上传</w:t>
      </w:r>
      <w:r>
        <w:rPr>
          <w:rFonts w:hint="eastAsia"/>
          <w:lang w:val="en-US" w:eastAsia="zh-CN"/>
        </w:rPr>
        <w:t>需求</w:t>
      </w:r>
      <w:r>
        <w:rPr>
          <w:rFonts w:hint="eastAsia"/>
        </w:rPr>
        <w:t>。</w:t>
      </w:r>
    </w:p>
    <w:p w14:paraId="04291D1F">
      <w:pPr>
        <w:pStyle w:val="6"/>
        <w:keepNext/>
        <w:keepLines/>
        <w:pageBreakBefore w:val="0"/>
        <w:widowControl w:val="0"/>
        <w:numPr>
          <w:ilvl w:val="0"/>
          <w:numId w:val="14"/>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金贸政策数据服务</w:t>
      </w:r>
    </w:p>
    <w:p w14:paraId="00263882">
      <w:pPr>
        <w:pStyle w:val="12"/>
        <w:numPr>
          <w:ilvl w:val="0"/>
          <w:numId w:val="17"/>
        </w:numPr>
        <w:rPr>
          <w:rFonts w:hint="eastAsia"/>
        </w:rPr>
      </w:pPr>
      <w:r>
        <w:rPr>
          <w:rFonts w:hint="eastAsia"/>
        </w:rPr>
        <w:t>金贸存量数据对接</w:t>
      </w:r>
    </w:p>
    <w:p w14:paraId="555292FD">
      <w:pPr>
        <w:pStyle w:val="12"/>
      </w:pPr>
      <w:r>
        <w:rPr>
          <w:rFonts w:hint="eastAsia"/>
        </w:rPr>
        <w:t>金贸处原金融政策扶持服务系统中，涉及存量已申报及在途扶持政策数据迁移的需求</w:t>
      </w:r>
      <w:r>
        <w:rPr>
          <w:rFonts w:hint="eastAsia"/>
          <w:lang w:eastAsia="zh-CN"/>
        </w:rPr>
        <w:t>。</w:t>
      </w:r>
      <w:r>
        <w:rPr>
          <w:rFonts w:hint="eastAsia"/>
          <w:lang w:val="en-US" w:eastAsia="zh-CN"/>
        </w:rPr>
        <w:t>本次升级改造需将</w:t>
      </w:r>
      <w:r>
        <w:rPr>
          <w:rFonts w:hint="eastAsia"/>
        </w:rPr>
        <w:t>相关数据统一迁入新建系统中，保障数据的完整度和安全性。</w:t>
      </w:r>
    </w:p>
    <w:p w14:paraId="5BDDE3DA">
      <w:pPr>
        <w:pStyle w:val="12"/>
        <w:numPr>
          <w:ilvl w:val="0"/>
          <w:numId w:val="17"/>
        </w:numPr>
        <w:rPr>
          <w:rFonts w:hint="eastAsia"/>
        </w:rPr>
      </w:pPr>
      <w:r>
        <w:rPr>
          <w:rFonts w:hint="eastAsia"/>
        </w:rPr>
        <w:t>政策分组分类</w:t>
      </w:r>
    </w:p>
    <w:p w14:paraId="6A7B18A8">
      <w:pPr>
        <w:pStyle w:val="12"/>
      </w:pPr>
      <w:r>
        <w:rPr>
          <w:rFonts w:hint="eastAsia"/>
          <w:lang w:val="en-US" w:eastAsia="zh-CN"/>
        </w:rPr>
        <w:t>满足</w:t>
      </w:r>
      <w:r>
        <w:rPr>
          <w:rFonts w:hint="eastAsia"/>
        </w:rPr>
        <w:t>根据扶持政策从优不重复原则，对相关政策进行强关联和弱关联的快速配置</w:t>
      </w:r>
      <w:r>
        <w:rPr>
          <w:rFonts w:hint="eastAsia"/>
          <w:lang w:eastAsia="zh-CN"/>
        </w:rPr>
        <w:t>的</w:t>
      </w:r>
      <w:r>
        <w:rPr>
          <w:rFonts w:hint="eastAsia"/>
          <w:lang w:val="en-US" w:eastAsia="zh-CN"/>
        </w:rPr>
        <w:t>需求</w:t>
      </w:r>
      <w:r>
        <w:rPr>
          <w:rFonts w:hint="eastAsia"/>
        </w:rPr>
        <w:t>。</w:t>
      </w:r>
    </w:p>
    <w:p w14:paraId="178FC0A6">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en-US" w:eastAsia="zh-CN"/>
        </w:rPr>
      </w:pPr>
      <w:r>
        <w:rPr>
          <w:rFonts w:hint="eastAsia"/>
          <w:lang w:val="en-US" w:eastAsia="zh-CN"/>
        </w:rPr>
        <w:t>财税综合管理子系统</w:t>
      </w:r>
    </w:p>
    <w:p w14:paraId="3A3AD689">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数据格式兼容性升级</w:t>
      </w:r>
    </w:p>
    <w:p w14:paraId="1BA0FBDE">
      <w:pPr>
        <w:pStyle w:val="12"/>
        <w:numPr>
          <w:ilvl w:val="0"/>
          <w:numId w:val="0"/>
        </w:numPr>
        <w:ind w:firstLine="560" w:firstLineChars="200"/>
        <w:rPr>
          <w:rFonts w:hint="eastAsia"/>
          <w:lang w:val="en-US" w:eastAsia="zh-CN"/>
        </w:rPr>
      </w:pPr>
      <w:r>
        <w:rPr>
          <w:rFonts w:hint="eastAsia"/>
        </w:rPr>
        <w:t>临港新片区企业税收数据每月初会通过市、区两级下发数据源，系统对数据进行入库处理。由于数据源头多种原因，提供的数据源格式会有变动，系统需多数据格式支持，例如dbf，csv，xlsx等。同时支持一些压缩格式数据等等，</w:t>
      </w:r>
      <w:r>
        <w:rPr>
          <w:rFonts w:hint="eastAsia"/>
          <w:lang w:val="en-US" w:eastAsia="zh-CN"/>
        </w:rPr>
        <w:t>该</w:t>
      </w:r>
      <w:r>
        <w:rPr>
          <w:rFonts w:hint="eastAsia"/>
        </w:rPr>
        <w:t>功能</w:t>
      </w:r>
      <w:r>
        <w:rPr>
          <w:rFonts w:hint="eastAsia"/>
          <w:lang w:val="en-US" w:eastAsia="zh-CN"/>
        </w:rPr>
        <w:t>需</w:t>
      </w:r>
      <w:r>
        <w:rPr>
          <w:rFonts w:hint="eastAsia"/>
        </w:rPr>
        <w:t>解决用户适应不同数据源格式入库，能够更方便地处理和使用各种不同格式的数据</w:t>
      </w:r>
      <w:r>
        <w:rPr>
          <w:rFonts w:hint="eastAsia"/>
          <w:lang w:eastAsia="zh-CN"/>
        </w:rPr>
        <w:t>，更高效地转换、编辑和分享不同格式的数据，提升工作效率和用户体验</w:t>
      </w:r>
      <w:r>
        <w:rPr>
          <w:rFonts w:hint="eastAsia"/>
        </w:rPr>
        <w:t>。</w:t>
      </w:r>
    </w:p>
    <w:p w14:paraId="022DB8ED">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新税收维度及统计口径升级</w:t>
      </w:r>
    </w:p>
    <w:p w14:paraId="29D5DF68">
      <w:pPr>
        <w:pStyle w:val="12"/>
        <w:numPr>
          <w:ilvl w:val="0"/>
          <w:numId w:val="19"/>
        </w:numPr>
        <w:rPr>
          <w:rFonts w:hint="eastAsia"/>
        </w:rPr>
      </w:pPr>
      <w:r>
        <w:rPr>
          <w:rFonts w:hint="eastAsia"/>
        </w:rPr>
        <w:t>免抵调数据汇总及展示</w:t>
      </w:r>
    </w:p>
    <w:p w14:paraId="0CE867B0">
      <w:pPr>
        <w:pStyle w:val="12"/>
      </w:pPr>
      <w:r>
        <w:rPr>
          <w:rFonts w:hint="eastAsia"/>
        </w:rPr>
        <w:t>免抵调是国家为鼓励企业出口而出台的一项退税政策免抵调属于出口退税政策。是指对有进出口经营权的生产企业自营或委托外贸企业代理出口货物，实行“免、抵、退”税办法，主管征税机关对生产企业在征税时计算免、抵税额，县级以上征税机关根据主管出口退税的税务机关批准下达的“免、抵”税数额调整税收收入。数据源中新增该项，并支持相关明细查询。</w:t>
      </w:r>
    </w:p>
    <w:p w14:paraId="4ADE7951">
      <w:pPr>
        <w:pStyle w:val="12"/>
        <w:numPr>
          <w:ilvl w:val="0"/>
          <w:numId w:val="19"/>
        </w:numPr>
        <w:rPr>
          <w:rFonts w:hint="eastAsia"/>
        </w:rPr>
      </w:pPr>
      <w:r>
        <w:rPr>
          <w:rFonts w:hint="eastAsia"/>
        </w:rPr>
        <w:t>个人契税入库及展示</w:t>
      </w:r>
    </w:p>
    <w:p w14:paraId="284582B6">
      <w:pPr>
        <w:rPr>
          <w:rFonts w:hint="eastAsia"/>
        </w:rPr>
      </w:pPr>
      <w:r>
        <w:rPr>
          <w:rFonts w:hint="eastAsia"/>
        </w:rPr>
        <w:t>根据财政处每月获取的新片区企业</w:t>
      </w:r>
      <w:r>
        <w:rPr>
          <w:rFonts w:hint="eastAsia"/>
          <w:lang w:val="en-US" w:eastAsia="zh-CN"/>
        </w:rPr>
        <w:t>的</w:t>
      </w:r>
      <w:r>
        <w:rPr>
          <w:rFonts w:hint="eastAsia"/>
        </w:rPr>
        <w:t>市税收数据源，结合业务需要，系统需支持个人契税数据的汇总入库、展示。</w:t>
      </w:r>
    </w:p>
    <w:p w14:paraId="72BA730B">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税收企业库信息管理</w:t>
      </w:r>
    </w:p>
    <w:p w14:paraId="4971B799">
      <w:pPr>
        <w:pStyle w:val="12"/>
        <w:numPr>
          <w:ilvl w:val="0"/>
          <w:numId w:val="20"/>
        </w:numPr>
        <w:rPr>
          <w:rFonts w:hint="default"/>
          <w:lang w:val="en-US" w:eastAsia="zh-CN"/>
        </w:rPr>
      </w:pPr>
      <w:r>
        <w:rPr>
          <w:rFonts w:hint="default"/>
          <w:lang w:val="en-US" w:eastAsia="zh-CN"/>
        </w:rPr>
        <w:t>税收企业库</w:t>
      </w:r>
    </w:p>
    <w:p w14:paraId="7529B8AA">
      <w:pPr>
        <w:rPr>
          <w:rFonts w:hint="default"/>
          <w:lang w:val="en-US" w:eastAsia="zh-CN"/>
        </w:rPr>
      </w:pPr>
      <w:r>
        <w:rPr>
          <w:rFonts w:hint="default"/>
          <w:lang w:val="en-US" w:eastAsia="zh-CN"/>
        </w:rPr>
        <w:t>根据业务需求，设计税收企业库信息指标表，根据数据源文件入库以及接口接入的企业信息加工展示，提供查询新片区范围内所有税收企业（包括未产税）法人库信息。</w:t>
      </w:r>
    </w:p>
    <w:p w14:paraId="48B32388">
      <w:pPr>
        <w:pStyle w:val="12"/>
        <w:numPr>
          <w:ilvl w:val="0"/>
          <w:numId w:val="20"/>
        </w:numPr>
        <w:rPr>
          <w:rFonts w:hint="default"/>
          <w:lang w:val="en-US" w:eastAsia="zh-CN"/>
        </w:rPr>
      </w:pPr>
      <w:r>
        <w:rPr>
          <w:rFonts w:hint="default"/>
          <w:lang w:val="en-US" w:eastAsia="zh-CN"/>
        </w:rPr>
        <w:t>税收企业信息管理</w:t>
      </w:r>
    </w:p>
    <w:p w14:paraId="79D35B9E">
      <w:pPr>
        <w:rPr>
          <w:rFonts w:hint="default"/>
          <w:lang w:val="en-US" w:eastAsia="zh-CN"/>
        </w:rPr>
      </w:pPr>
      <w:r>
        <w:rPr>
          <w:rFonts w:hint="default"/>
          <w:lang w:val="en-US" w:eastAsia="zh-CN"/>
        </w:rPr>
        <w:t>税务信息中企业相关所涉及含法人库企业工商注册信息和各个税种的纳税月度明细等展示导出。系统在提供业务人员查询企业税收同时，可同时查看该企业相关注册地、注册资金、行业类型、所属税务机关等法人库企业工商注册信息和税务基本信息情况。</w:t>
      </w:r>
    </w:p>
    <w:p w14:paraId="6D5F3FE8">
      <w:pPr>
        <w:pStyle w:val="12"/>
        <w:numPr>
          <w:ilvl w:val="0"/>
          <w:numId w:val="20"/>
        </w:numPr>
        <w:rPr>
          <w:rFonts w:hint="default"/>
          <w:lang w:val="en-US" w:eastAsia="zh-CN"/>
        </w:rPr>
      </w:pPr>
      <w:r>
        <w:rPr>
          <w:rFonts w:hint="default"/>
          <w:lang w:val="en-US" w:eastAsia="zh-CN"/>
        </w:rPr>
        <w:t>财政户管地管理</w:t>
      </w:r>
    </w:p>
    <w:p w14:paraId="23467166">
      <w:pPr>
        <w:rPr>
          <w:rFonts w:hint="default"/>
          <w:lang w:val="en-US" w:eastAsia="zh-CN"/>
        </w:rPr>
      </w:pPr>
      <w:r>
        <w:rPr>
          <w:rFonts w:hint="default"/>
          <w:lang w:val="en-US" w:eastAsia="zh-CN"/>
        </w:rPr>
        <w:t>原涉及4镇户管数据，随着新片区高速发展，新增洋山特殊综合保税区财政户管数据接入，增加管委会本级审核角色；且对企业户管地进行管理，支持企业不同户管切换查询和统计。同时根据区域账户统计权限设置用户分类查询权限以及财政处总账号全部查询权限。</w:t>
      </w:r>
    </w:p>
    <w:p w14:paraId="7B1E3969">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税收信息管理</w:t>
      </w:r>
    </w:p>
    <w:p w14:paraId="07F53F3D">
      <w:pPr>
        <w:pStyle w:val="12"/>
        <w:numPr>
          <w:ilvl w:val="0"/>
          <w:numId w:val="21"/>
        </w:numPr>
        <w:rPr>
          <w:rFonts w:hint="default"/>
          <w:lang w:val="en-US" w:eastAsia="zh-CN"/>
        </w:rPr>
      </w:pPr>
      <w:r>
        <w:rPr>
          <w:rFonts w:hint="default"/>
          <w:lang w:val="en-US" w:eastAsia="zh-CN"/>
        </w:rPr>
        <w:t>补充税收渠道处理</w:t>
      </w:r>
    </w:p>
    <w:p w14:paraId="0AA47263">
      <w:pPr>
        <w:rPr>
          <w:rFonts w:hint="default"/>
          <w:lang w:val="en-US" w:eastAsia="zh-CN"/>
        </w:rPr>
      </w:pPr>
      <w:r>
        <w:rPr>
          <w:rFonts w:hint="default"/>
          <w:lang w:val="en-US" w:eastAsia="zh-CN"/>
        </w:rPr>
        <w:t>不定时补充不同企业、税种等税收数据入库，以邮件形式发送数据源文件过来，走系统流程入库处理，留下入库日志相关信息，以便后期盘点税收数据核对数据源以及数据总额的一致。</w:t>
      </w:r>
    </w:p>
    <w:p w14:paraId="625A4AFE">
      <w:pPr>
        <w:pStyle w:val="12"/>
        <w:numPr>
          <w:ilvl w:val="0"/>
          <w:numId w:val="21"/>
        </w:numPr>
        <w:rPr>
          <w:rFonts w:hint="default"/>
          <w:lang w:val="en-US" w:eastAsia="zh-CN"/>
        </w:rPr>
      </w:pPr>
      <w:r>
        <w:rPr>
          <w:rFonts w:hint="default"/>
          <w:lang w:val="en-US" w:eastAsia="zh-CN"/>
        </w:rPr>
        <w:t>企业分层级税收管理</w:t>
      </w:r>
    </w:p>
    <w:p w14:paraId="501D2588">
      <w:pPr>
        <w:rPr>
          <w:rFonts w:hint="default"/>
          <w:lang w:val="en-US" w:eastAsia="zh-CN"/>
        </w:rPr>
      </w:pPr>
      <w:r>
        <w:rPr>
          <w:rFonts w:hint="default"/>
          <w:lang w:val="en-US" w:eastAsia="zh-CN"/>
        </w:rPr>
        <w:t>提供企业维度时间月度维度的中央、市级、区级税收统计查询和导出，便于财政更精准地统计税收数据，可以更好地监督和评估税收政策在不同层级的执行情况，确保税收征收的公平性和合理性。</w:t>
      </w:r>
    </w:p>
    <w:p w14:paraId="251A09D4">
      <w:pPr>
        <w:pStyle w:val="12"/>
        <w:numPr>
          <w:ilvl w:val="0"/>
          <w:numId w:val="21"/>
        </w:numPr>
        <w:rPr>
          <w:rFonts w:hint="default"/>
          <w:lang w:val="en-US" w:eastAsia="zh-CN"/>
        </w:rPr>
      </w:pPr>
      <w:r>
        <w:rPr>
          <w:rFonts w:hint="default"/>
          <w:lang w:val="en-US" w:eastAsia="zh-CN"/>
        </w:rPr>
        <w:t>业务专报汇总调阅</w:t>
      </w:r>
    </w:p>
    <w:p w14:paraId="4526EFFF">
      <w:pPr>
        <w:ind w:left="0" w:leftChars="0" w:firstLine="560" w:firstLineChars="200"/>
        <w:rPr>
          <w:rFonts w:hint="default"/>
          <w:lang w:val="en-US" w:eastAsia="zh-CN"/>
        </w:rPr>
      </w:pPr>
      <w:r>
        <w:rPr>
          <w:rFonts w:hint="default"/>
          <w:lang w:val="en-US" w:eastAsia="zh-CN"/>
        </w:rPr>
        <w:t>分税种汇总及区域汇总不再根据实时税收数据汇总展示，按历史单月税收汇总与财政处税收专报数值保持一致。便于两边数据校验一致性。</w:t>
      </w:r>
    </w:p>
    <w:p w14:paraId="254D88DA">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产业信息管理</w:t>
      </w:r>
    </w:p>
    <w:p w14:paraId="7A2352BF">
      <w:pPr>
        <w:pStyle w:val="12"/>
        <w:numPr>
          <w:ilvl w:val="0"/>
          <w:numId w:val="22"/>
        </w:numPr>
        <w:rPr>
          <w:rFonts w:hint="eastAsia"/>
        </w:rPr>
      </w:pPr>
      <w:r>
        <w:rPr>
          <w:rFonts w:hint="eastAsia"/>
        </w:rPr>
        <w:t>产业汇总报表查询导出</w:t>
      </w:r>
    </w:p>
    <w:p w14:paraId="120F31FC">
      <w:pPr>
        <w:pStyle w:val="12"/>
        <w:rPr>
          <w:rFonts w:hint="eastAsia"/>
        </w:rPr>
      </w:pPr>
      <w:r>
        <w:rPr>
          <w:rFonts w:hint="eastAsia"/>
        </w:rPr>
        <w:t>根据行业代码和行业类型划分第一、二、三产业，提供产业维度的月度税收统计汇总。确定时间月份维度后，根据不同产业提供对应产业里面的企业税收总额排名，以及同比增长。同时提供全量企业的税收总额排名以及总值同比增长。以上数据条件支持查看并导出。</w:t>
      </w:r>
    </w:p>
    <w:p w14:paraId="4B3ED8EA">
      <w:pPr>
        <w:pStyle w:val="12"/>
        <w:numPr>
          <w:ilvl w:val="0"/>
          <w:numId w:val="22"/>
        </w:numPr>
        <w:rPr>
          <w:rFonts w:hint="eastAsia"/>
        </w:rPr>
      </w:pPr>
      <w:r>
        <w:rPr>
          <w:rFonts w:hint="eastAsia"/>
        </w:rPr>
        <w:t>行业维度划分统计</w:t>
      </w:r>
    </w:p>
    <w:p w14:paraId="06289953">
      <w:pPr>
        <w:pStyle w:val="12"/>
        <w:rPr>
          <w:rFonts w:hint="eastAsia"/>
        </w:rPr>
      </w:pPr>
      <w:r>
        <w:rPr>
          <w:rFonts w:hint="eastAsia"/>
        </w:rPr>
        <w:t>根据财政处提供</w:t>
      </w:r>
      <w:r>
        <w:rPr>
          <w:rFonts w:hint="eastAsia"/>
          <w:lang w:val="en-US" w:eastAsia="zh-CN"/>
        </w:rPr>
        <w:t>的</w:t>
      </w:r>
      <w:r>
        <w:rPr>
          <w:rFonts w:hint="eastAsia"/>
        </w:rPr>
        <w:t>国民经济行业分类标准，将所有产税企业根据代码划分行业，并按行业进行统计下载及对企业税收值做汇总排名。</w:t>
      </w:r>
    </w:p>
    <w:p w14:paraId="1E676F67">
      <w:pPr>
        <w:pStyle w:val="6"/>
        <w:keepNext/>
        <w:keepLines/>
        <w:pageBreakBefore w:val="0"/>
        <w:widowControl w:val="0"/>
        <w:numPr>
          <w:ilvl w:val="0"/>
          <w:numId w:val="18"/>
        </w:numPr>
        <w:kinsoku/>
        <w:wordWrap/>
        <w:overflowPunct/>
        <w:topLinePunct w:val="0"/>
        <w:autoSpaceDE/>
        <w:autoSpaceDN/>
        <w:bidi w:val="0"/>
        <w:adjustRightInd/>
        <w:snapToGrid/>
        <w:spacing w:before="0" w:after="0" w:line="360" w:lineRule="auto"/>
        <w:ind w:left="0" w:leftChars="0" w:firstLine="420" w:firstLineChars="0"/>
        <w:textAlignment w:val="auto"/>
        <w:rPr>
          <w:rFonts w:hint="eastAsia"/>
          <w:lang w:val="en-US" w:eastAsia="zh-CN"/>
        </w:rPr>
      </w:pPr>
      <w:r>
        <w:rPr>
          <w:rFonts w:hint="eastAsia"/>
          <w:lang w:val="en-US" w:eastAsia="zh-CN"/>
        </w:rPr>
        <w:t>多维度统计分析</w:t>
      </w:r>
    </w:p>
    <w:p w14:paraId="1E2E9115">
      <w:pPr>
        <w:pStyle w:val="12"/>
        <w:numPr>
          <w:ilvl w:val="0"/>
          <w:numId w:val="23"/>
        </w:numPr>
        <w:rPr>
          <w:rFonts w:hint="default"/>
          <w:lang w:val="en-US" w:eastAsia="zh-CN"/>
        </w:rPr>
      </w:pPr>
      <w:r>
        <w:rPr>
          <w:rFonts w:hint="default"/>
          <w:lang w:val="en-US" w:eastAsia="zh-CN"/>
        </w:rPr>
        <w:t>可视化</w:t>
      </w:r>
      <w:r>
        <w:rPr>
          <w:rFonts w:hint="eastAsia"/>
          <w:lang w:val="en-US" w:eastAsia="zh-CN"/>
        </w:rPr>
        <w:t>展示</w:t>
      </w:r>
    </w:p>
    <w:p w14:paraId="102D9453">
      <w:pPr>
        <w:pStyle w:val="12"/>
        <w:rPr>
          <w:rFonts w:hint="default"/>
          <w:lang w:val="en-US" w:eastAsia="zh-CN"/>
        </w:rPr>
      </w:pPr>
      <w:r>
        <w:rPr>
          <w:rFonts w:hint="default"/>
          <w:lang w:val="en-US" w:eastAsia="zh-CN"/>
        </w:rPr>
        <w:t>基于财政处的数据融合需求，能够对扶持资金与税收数据进一步整合加工，生成可视化的宏观经济运行分析看板和各种主题业务分析看板。</w:t>
      </w:r>
      <w:r>
        <w:rPr>
          <w:rFonts w:hint="eastAsia"/>
          <w:lang w:val="en-US" w:eastAsia="zh-CN"/>
        </w:rPr>
        <w:t>实现</w:t>
      </w:r>
      <w:r>
        <w:rPr>
          <w:rFonts w:hint="default"/>
          <w:lang w:val="en-US" w:eastAsia="zh-CN"/>
        </w:rPr>
        <w:t>通过将财政数据和税收数据分维度进行对比分析，辅助财政处领导可以更准确地判断出哪些政策或哪类政策对企业的经济效益更加显著，实现对行政区域内经济管理由被动管理型向主动服务型转变，由粗放定性型向集约定量型转变，从而实现管委会科学的制度型管理模式。结合财政处行政管理人员的数据统计需求，主要从政策、地域、行业、处室等多维度数据分析应用。</w:t>
      </w:r>
    </w:p>
    <w:p w14:paraId="4180E7AD">
      <w:pPr>
        <w:pStyle w:val="12"/>
        <w:numPr>
          <w:ilvl w:val="0"/>
          <w:numId w:val="23"/>
        </w:numPr>
        <w:rPr>
          <w:rFonts w:hint="default"/>
          <w:lang w:val="en-US" w:eastAsia="zh-CN"/>
        </w:rPr>
      </w:pPr>
      <w:r>
        <w:rPr>
          <w:rFonts w:hint="default"/>
          <w:lang w:val="en-US" w:eastAsia="zh-CN"/>
        </w:rPr>
        <w:t>关联分析</w:t>
      </w:r>
    </w:p>
    <w:p w14:paraId="069C773C">
      <w:pPr>
        <w:pStyle w:val="12"/>
        <w:rPr>
          <w:rFonts w:hint="default"/>
          <w:lang w:val="en-US" w:eastAsia="zh-CN"/>
        </w:rPr>
      </w:pPr>
      <w:r>
        <w:rPr>
          <w:rFonts w:hint="default"/>
          <w:lang w:val="en-US" w:eastAsia="zh-CN"/>
        </w:rPr>
        <w:t>为满足处室对数据进行各种维度的分析，需要对财政系统、税收管理系统、大数据中心及其他业务系统的数据进行获取、整理，包含但不限于扶持金额、税收数据、年份、区域、处室、政策、个人/企业、企业状态等维度各种交叉统计输出。</w:t>
      </w:r>
    </w:p>
    <w:p w14:paraId="30B85235">
      <w:pPr>
        <w:pStyle w:val="5"/>
        <w:keepNext/>
        <w:keepLines/>
        <w:pageBreakBefore w:val="0"/>
        <w:widowControl w:val="0"/>
        <w:kinsoku/>
        <w:wordWrap/>
        <w:overflowPunct/>
        <w:topLinePunct w:val="0"/>
        <w:autoSpaceDE/>
        <w:autoSpaceDN/>
        <w:bidi w:val="0"/>
        <w:adjustRightInd/>
        <w:snapToGrid/>
        <w:spacing w:before="0" w:after="0" w:line="360" w:lineRule="auto"/>
        <w:ind w:left="862" w:hanging="862"/>
        <w:textAlignment w:val="auto"/>
        <w:rPr>
          <w:rFonts w:hint="eastAsia"/>
          <w:lang w:val="zh-CN" w:eastAsia="zh-CN"/>
        </w:rPr>
      </w:pPr>
      <w:bookmarkStart w:id="1" w:name="_Toc157417087"/>
      <w:bookmarkStart w:id="2" w:name="_Toc20024"/>
      <w:bookmarkStart w:id="3" w:name="_Toc109127620"/>
      <w:bookmarkStart w:id="4" w:name="_Toc148103552"/>
      <w:bookmarkStart w:id="5" w:name="_Toc20489"/>
      <w:bookmarkStart w:id="6" w:name="_Toc9461"/>
      <w:bookmarkStart w:id="7" w:name="_Toc147814698"/>
      <w:r>
        <w:rPr>
          <w:rFonts w:hint="eastAsia"/>
          <w:lang w:val="zh-CN" w:eastAsia="zh-CN"/>
        </w:rPr>
        <w:t>密码应用</w:t>
      </w:r>
      <w:r>
        <w:rPr>
          <w:rFonts w:hint="eastAsia"/>
          <w:lang w:val="en-US" w:eastAsia="zh-CN"/>
        </w:rPr>
        <w:t>对接</w:t>
      </w:r>
    </w:p>
    <w:p w14:paraId="5346AC44">
      <w:pPr>
        <w:bidi w:val="0"/>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加强安全风险监测，增强信息安全及</w:t>
      </w:r>
      <w:r>
        <w:rPr>
          <w:rFonts w:hint="eastAsia" w:asciiTheme="minorEastAsia" w:hAnsiTheme="minorEastAsia" w:eastAsiaTheme="minorEastAsia" w:cstheme="minorEastAsia"/>
          <w:kern w:val="2"/>
          <w:sz w:val="28"/>
          <w:szCs w:val="28"/>
          <w:lang w:val="en-US" w:eastAsia="zh-CN" w:bidi="ar-SA"/>
        </w:rPr>
        <w:t>数</w:t>
      </w:r>
      <w:r>
        <w:rPr>
          <w:rFonts w:hint="eastAsia" w:asciiTheme="minorEastAsia" w:hAnsiTheme="minorEastAsia" w:eastAsiaTheme="minorEastAsia" w:cstheme="minorEastAsia"/>
          <w:kern w:val="2"/>
          <w:sz w:val="28"/>
          <w:szCs w:val="28"/>
          <w:lang w:val="zh-CN" w:eastAsia="zh-CN" w:bidi="ar-SA"/>
        </w:rPr>
        <w:t>据安全防护，</w:t>
      </w:r>
      <w:r>
        <w:rPr>
          <w:rFonts w:hint="eastAsia" w:asciiTheme="minorEastAsia" w:hAnsiTheme="minorEastAsia" w:eastAsiaTheme="minorEastAsia" w:cstheme="minorEastAsia"/>
          <w:kern w:val="2"/>
          <w:sz w:val="28"/>
          <w:szCs w:val="28"/>
          <w:lang w:val="en-US" w:eastAsia="zh-CN" w:bidi="ar-SA"/>
        </w:rPr>
        <w:t>确保系统安全、网络安全与数据安全</w:t>
      </w:r>
      <w:r>
        <w:rPr>
          <w:rFonts w:hint="eastAsia" w:asciiTheme="minorEastAsia" w:hAnsiTheme="minorEastAsia" w:eastAsiaTheme="minorEastAsia" w:cstheme="minorEastAsia"/>
          <w:kern w:val="2"/>
          <w:sz w:val="28"/>
          <w:szCs w:val="28"/>
          <w:lang w:val="zh-CN" w:eastAsia="zh-CN" w:bidi="ar-SA"/>
        </w:rPr>
        <w:t>。</w:t>
      </w:r>
    </w:p>
    <w:tbl>
      <w:tblPr>
        <w:tblStyle w:val="10"/>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6898"/>
      </w:tblGrid>
      <w:tr w14:paraId="2E41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29DCAC99">
            <w:pPr>
              <w:spacing w:line="240" w:lineRule="auto"/>
              <w:ind w:firstLine="0" w:firstLineChars="0"/>
              <w:jc w:val="center"/>
              <w:rPr>
                <w:rFonts w:ascii="仿宋" w:hAnsi="仿宋" w:cs="仿宋"/>
                <w:b/>
                <w:bCs/>
                <w:sz w:val="22"/>
                <w:szCs w:val="22"/>
              </w:rPr>
            </w:pPr>
            <w:r>
              <w:rPr>
                <w:rFonts w:hint="eastAsia" w:ascii="仿宋" w:hAnsi="仿宋" w:cs="仿宋"/>
                <w:b/>
                <w:bCs/>
                <w:sz w:val="22"/>
                <w:szCs w:val="22"/>
              </w:rPr>
              <w:t>序号</w:t>
            </w:r>
          </w:p>
        </w:tc>
        <w:tc>
          <w:tcPr>
            <w:tcW w:w="6898" w:type="dxa"/>
            <w:vAlign w:val="center"/>
          </w:tcPr>
          <w:p w14:paraId="11D634AA">
            <w:pPr>
              <w:spacing w:line="240" w:lineRule="auto"/>
              <w:ind w:firstLine="0" w:firstLineChars="0"/>
              <w:jc w:val="center"/>
              <w:rPr>
                <w:rFonts w:ascii="仿宋" w:hAnsi="仿宋" w:cs="仿宋"/>
                <w:b/>
                <w:bCs/>
                <w:sz w:val="22"/>
                <w:szCs w:val="22"/>
              </w:rPr>
            </w:pPr>
            <w:r>
              <w:rPr>
                <w:rFonts w:hint="eastAsia" w:ascii="仿宋" w:hAnsi="仿宋" w:cs="仿宋"/>
                <w:b/>
                <w:bCs/>
                <w:sz w:val="22"/>
                <w:szCs w:val="22"/>
                <w:lang w:val="en-US" w:eastAsia="zh-CN"/>
              </w:rPr>
              <w:t>模块</w:t>
            </w:r>
            <w:r>
              <w:rPr>
                <w:rFonts w:hint="eastAsia" w:ascii="仿宋" w:hAnsi="仿宋" w:cs="仿宋"/>
                <w:b/>
                <w:bCs/>
                <w:sz w:val="22"/>
                <w:szCs w:val="22"/>
              </w:rPr>
              <w:t>名称</w:t>
            </w:r>
          </w:p>
        </w:tc>
      </w:tr>
      <w:tr w14:paraId="6B51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33BD752D">
            <w:pPr>
              <w:spacing w:line="240" w:lineRule="auto"/>
              <w:ind w:firstLine="0" w:firstLineChars="0"/>
              <w:jc w:val="center"/>
              <w:rPr>
                <w:rFonts w:ascii="仿宋" w:hAnsi="仿宋" w:cs="仿宋"/>
                <w:sz w:val="22"/>
                <w:szCs w:val="22"/>
              </w:rPr>
            </w:pPr>
            <w:r>
              <w:rPr>
                <w:rFonts w:hint="eastAsia" w:ascii="仿宋" w:hAnsi="仿宋" w:cs="仿宋"/>
                <w:sz w:val="22"/>
                <w:szCs w:val="22"/>
              </w:rPr>
              <w:t>1</w:t>
            </w:r>
          </w:p>
        </w:tc>
        <w:tc>
          <w:tcPr>
            <w:tcW w:w="6898" w:type="dxa"/>
            <w:vAlign w:val="center"/>
          </w:tcPr>
          <w:p w14:paraId="064506C2">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用户身份认证机制模块</w:t>
            </w:r>
          </w:p>
        </w:tc>
      </w:tr>
      <w:tr w14:paraId="7B98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262F3B76">
            <w:pPr>
              <w:spacing w:line="240" w:lineRule="auto"/>
              <w:ind w:firstLine="0" w:firstLineChars="0"/>
              <w:jc w:val="center"/>
              <w:rPr>
                <w:rFonts w:ascii="仿宋" w:hAnsi="仿宋" w:cs="仿宋"/>
                <w:sz w:val="22"/>
                <w:szCs w:val="22"/>
              </w:rPr>
            </w:pPr>
            <w:r>
              <w:rPr>
                <w:rFonts w:hint="eastAsia" w:ascii="仿宋" w:hAnsi="仿宋" w:cs="仿宋"/>
                <w:sz w:val="22"/>
                <w:szCs w:val="22"/>
              </w:rPr>
              <w:t>2</w:t>
            </w:r>
          </w:p>
        </w:tc>
        <w:tc>
          <w:tcPr>
            <w:tcW w:w="6898" w:type="dxa"/>
            <w:vAlign w:val="center"/>
          </w:tcPr>
          <w:p w14:paraId="7D08D7EF">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业务重要数据安全传输模块</w:t>
            </w:r>
          </w:p>
        </w:tc>
      </w:tr>
      <w:tr w14:paraId="319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23D203B9">
            <w:pPr>
              <w:spacing w:line="240" w:lineRule="auto"/>
              <w:ind w:firstLine="0" w:firstLineChars="0"/>
              <w:jc w:val="center"/>
              <w:rPr>
                <w:rFonts w:ascii="仿宋" w:hAnsi="仿宋" w:cs="仿宋"/>
                <w:sz w:val="22"/>
                <w:szCs w:val="22"/>
              </w:rPr>
            </w:pPr>
            <w:r>
              <w:rPr>
                <w:rFonts w:hint="eastAsia" w:ascii="仿宋" w:hAnsi="仿宋" w:cs="仿宋"/>
                <w:sz w:val="22"/>
                <w:szCs w:val="22"/>
              </w:rPr>
              <w:t>3</w:t>
            </w:r>
          </w:p>
        </w:tc>
        <w:tc>
          <w:tcPr>
            <w:tcW w:w="6898" w:type="dxa"/>
            <w:vAlign w:val="center"/>
          </w:tcPr>
          <w:p w14:paraId="4AE5961D">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服务器虚拟机设备日志／访问控制信息完整性模块</w:t>
            </w:r>
          </w:p>
        </w:tc>
      </w:tr>
      <w:tr w14:paraId="6504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42C1AD00">
            <w:pPr>
              <w:spacing w:line="240" w:lineRule="auto"/>
              <w:ind w:firstLine="0" w:firstLineChars="0"/>
              <w:jc w:val="center"/>
              <w:rPr>
                <w:rFonts w:ascii="仿宋" w:hAnsi="仿宋" w:cs="仿宋"/>
                <w:sz w:val="22"/>
                <w:szCs w:val="22"/>
              </w:rPr>
            </w:pPr>
            <w:r>
              <w:rPr>
                <w:rFonts w:hint="eastAsia" w:ascii="仿宋" w:hAnsi="仿宋" w:cs="仿宋"/>
                <w:sz w:val="22"/>
                <w:szCs w:val="22"/>
              </w:rPr>
              <w:t>4</w:t>
            </w:r>
          </w:p>
        </w:tc>
        <w:tc>
          <w:tcPr>
            <w:tcW w:w="6898" w:type="dxa"/>
            <w:vAlign w:val="center"/>
          </w:tcPr>
          <w:p w14:paraId="1B16BA56">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重要可执行程序完整性保护模块</w:t>
            </w:r>
          </w:p>
        </w:tc>
      </w:tr>
      <w:tr w14:paraId="356B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09C98CB2">
            <w:pPr>
              <w:spacing w:line="240" w:lineRule="auto"/>
              <w:ind w:firstLine="0" w:firstLineChars="0"/>
              <w:jc w:val="center"/>
              <w:rPr>
                <w:rFonts w:ascii="仿宋" w:hAnsi="仿宋" w:cs="仿宋"/>
                <w:sz w:val="22"/>
                <w:szCs w:val="22"/>
              </w:rPr>
            </w:pPr>
            <w:r>
              <w:rPr>
                <w:rFonts w:hint="eastAsia" w:ascii="仿宋" w:hAnsi="仿宋" w:cs="仿宋"/>
                <w:sz w:val="22"/>
                <w:szCs w:val="22"/>
              </w:rPr>
              <w:t>5</w:t>
            </w:r>
          </w:p>
        </w:tc>
        <w:tc>
          <w:tcPr>
            <w:tcW w:w="6898" w:type="dxa"/>
            <w:vAlign w:val="center"/>
          </w:tcPr>
          <w:p w14:paraId="14273EB1">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用户访问控制信息完整性保护模块</w:t>
            </w:r>
          </w:p>
        </w:tc>
      </w:tr>
      <w:tr w14:paraId="0855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77E5F526">
            <w:pPr>
              <w:spacing w:line="240" w:lineRule="auto"/>
              <w:ind w:firstLine="0" w:firstLineChars="0"/>
              <w:jc w:val="center"/>
              <w:rPr>
                <w:rFonts w:ascii="仿宋" w:hAnsi="仿宋" w:cs="仿宋"/>
                <w:sz w:val="22"/>
                <w:szCs w:val="22"/>
              </w:rPr>
            </w:pPr>
            <w:r>
              <w:rPr>
                <w:rFonts w:hint="eastAsia" w:ascii="仿宋" w:hAnsi="仿宋" w:cs="仿宋"/>
                <w:sz w:val="22"/>
                <w:szCs w:val="22"/>
              </w:rPr>
              <w:t>6</w:t>
            </w:r>
          </w:p>
        </w:tc>
        <w:tc>
          <w:tcPr>
            <w:tcW w:w="6898" w:type="dxa"/>
            <w:vAlign w:val="center"/>
          </w:tcPr>
          <w:p w14:paraId="4BFAAD03">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应用系统重要数据加解密模块</w:t>
            </w:r>
          </w:p>
        </w:tc>
      </w:tr>
      <w:tr w14:paraId="2F80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1" w:type="dxa"/>
            <w:vAlign w:val="center"/>
          </w:tcPr>
          <w:p w14:paraId="407DE87E">
            <w:pPr>
              <w:spacing w:line="240" w:lineRule="auto"/>
              <w:ind w:firstLine="0" w:firstLineChars="0"/>
              <w:jc w:val="center"/>
              <w:rPr>
                <w:rFonts w:ascii="仿宋" w:hAnsi="仿宋" w:cs="仿宋"/>
                <w:sz w:val="22"/>
                <w:szCs w:val="22"/>
              </w:rPr>
            </w:pPr>
            <w:r>
              <w:rPr>
                <w:rFonts w:hint="eastAsia" w:ascii="仿宋" w:hAnsi="仿宋" w:cs="仿宋"/>
                <w:sz w:val="22"/>
                <w:szCs w:val="22"/>
              </w:rPr>
              <w:t>7</w:t>
            </w:r>
          </w:p>
        </w:tc>
        <w:tc>
          <w:tcPr>
            <w:tcW w:w="6898" w:type="dxa"/>
            <w:vAlign w:val="center"/>
          </w:tcPr>
          <w:p w14:paraId="394CFA66">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应用系统重要数据完整性保护模块</w:t>
            </w:r>
          </w:p>
        </w:tc>
      </w:tr>
    </w:tbl>
    <w:p w14:paraId="13B01144">
      <w:pPr>
        <w:bidi w:val="0"/>
        <w:ind w:left="0" w:leftChars="0" w:firstLine="0" w:firstLineChars="0"/>
        <w:rPr>
          <w:rFonts w:hint="eastAsia" w:asciiTheme="minorEastAsia" w:hAnsiTheme="minorEastAsia" w:eastAsiaTheme="minorEastAsia" w:cstheme="minorEastAsia"/>
          <w:kern w:val="2"/>
          <w:sz w:val="28"/>
          <w:szCs w:val="28"/>
          <w:lang w:val="en-US" w:eastAsia="zh-CN" w:bidi="ar-SA"/>
        </w:rPr>
      </w:pPr>
    </w:p>
    <w:p w14:paraId="6CE4C5C2">
      <w:pPr>
        <w:pStyle w:val="3"/>
        <w:bidi w:val="0"/>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系统</w:t>
      </w:r>
      <w:bookmarkEnd w:id="1"/>
      <w:bookmarkEnd w:id="2"/>
      <w:bookmarkEnd w:id="3"/>
      <w:bookmarkEnd w:id="4"/>
      <w:bookmarkEnd w:id="5"/>
      <w:bookmarkEnd w:id="6"/>
      <w:bookmarkEnd w:id="7"/>
      <w:r>
        <w:rPr>
          <w:rFonts w:hint="eastAsia"/>
          <w:color w:val="000000" w:themeColor="text1"/>
          <w:lang w:val="en-US" w:eastAsia="zh-CN"/>
          <w14:textFill>
            <w14:solidFill>
              <w14:schemeClr w14:val="tx1"/>
            </w14:solidFill>
          </w14:textFill>
        </w:rPr>
        <w:t>安全需求</w:t>
      </w:r>
    </w:p>
    <w:p w14:paraId="6588F9FE">
      <w:pPr>
        <w:widowControl w:val="0"/>
        <w:spacing w:line="360" w:lineRule="auto"/>
        <w:ind w:firstLine="560" w:firstLineChars="200"/>
        <w:jc w:val="both"/>
      </w:pPr>
      <w:r>
        <w:rPr>
          <w:rFonts w:hint="eastAsia" w:ascii="仿宋" w:hAnsi="仿宋" w:eastAsia="宋体" w:cs="Times New Roman"/>
          <w:kern w:val="2"/>
          <w:sz w:val="28"/>
          <w:szCs w:val="28"/>
          <w:highlight w:val="none"/>
          <w:lang w:val="en-US" w:eastAsia="zh-CN" w:bidi="ar-SA"/>
        </w:rPr>
        <w:t>临港新片区财政促进经济社会发展管理系统（</w:t>
      </w:r>
      <w:r>
        <w:rPr>
          <w:rFonts w:hint="eastAsia" w:ascii="仿宋" w:hAnsi="仿宋" w:cs="Times New Roman"/>
          <w:kern w:val="2"/>
          <w:sz w:val="28"/>
          <w:szCs w:val="28"/>
          <w:highlight w:val="none"/>
          <w:lang w:val="en-US" w:eastAsia="zh-CN" w:bidi="ar-SA"/>
        </w:rPr>
        <w:t>改造升级</w:t>
      </w:r>
      <w:r>
        <w:rPr>
          <w:rFonts w:hint="eastAsia" w:ascii="仿宋" w:hAnsi="仿宋" w:eastAsia="宋体" w:cs="Times New Roman"/>
          <w:kern w:val="2"/>
          <w:sz w:val="28"/>
          <w:szCs w:val="28"/>
          <w:highlight w:val="none"/>
          <w:lang w:val="en-US" w:eastAsia="zh-CN" w:bidi="ar-SA"/>
        </w:rPr>
        <w:t>）的安全体系根据信息系统安全等级保护三级</w:t>
      </w:r>
      <w:r>
        <w:rPr>
          <w:rFonts w:hint="eastAsia" w:ascii="仿宋" w:hAnsi="仿宋" w:eastAsia="宋体" w:cs="Times New Roman"/>
          <w:kern w:val="2"/>
          <w:sz w:val="28"/>
          <w:szCs w:val="28"/>
          <w:lang w:val="en-US" w:eastAsia="zh-CN" w:bidi="ar-SA"/>
        </w:rPr>
        <w:t>和信</w:t>
      </w:r>
      <w:r>
        <w:rPr>
          <w:rFonts w:hint="eastAsia" w:ascii="仿宋" w:hAnsi="仿宋" w:cs="Times New Roman"/>
          <w:kern w:val="2"/>
          <w:sz w:val="28"/>
          <w:szCs w:val="28"/>
          <w:lang w:val="en-US" w:eastAsia="zh-CN" w:bidi="ar-SA"/>
        </w:rPr>
        <w:t xml:space="preserve"> </w:t>
      </w:r>
      <w:r>
        <w:rPr>
          <w:rFonts w:hint="eastAsia" w:ascii="仿宋" w:hAnsi="仿宋" w:eastAsia="宋体" w:cs="Times New Roman"/>
          <w:kern w:val="2"/>
          <w:sz w:val="28"/>
          <w:szCs w:val="28"/>
          <w:lang w:val="en-US" w:eastAsia="zh-CN" w:bidi="ar-SA"/>
        </w:rPr>
        <w:t>创相关要求进行安全体系设计与建设，参考《网络安全等级保护基本要求》（GB/T22239-2019）、《信息安全技术网络安全等级保护测试评估技术指南》（GB/T 36627-2018）中的相关要求</w:t>
      </w:r>
      <w:r>
        <w:rPr>
          <w:rFonts w:hint="eastAsia" w:ascii="仿宋" w:hAnsi="仿宋" w:cs="Times New Roman"/>
          <w:kern w:val="2"/>
          <w:sz w:val="28"/>
          <w:szCs w:val="28"/>
          <w:lang w:val="en-US" w:eastAsia="zh-CN" w:bidi="ar-SA"/>
        </w:rPr>
        <w:t>，最终等保定级以专家评审为准。</w:t>
      </w:r>
      <w:r>
        <w:rPr>
          <w:rFonts w:hint="eastAsia" w:ascii="仿宋" w:hAnsi="仿宋" w:eastAsia="宋体" w:cs="Times New Roman"/>
          <w:kern w:val="2"/>
          <w:sz w:val="28"/>
          <w:szCs w:val="28"/>
          <w:lang w:val="en-US" w:eastAsia="zh-CN" w:bidi="ar-SA"/>
        </w:rPr>
        <w:t>同时，系统应满足以下安全性要求：</w:t>
      </w:r>
    </w:p>
    <w:p w14:paraId="1C28C883">
      <w:pPr>
        <w:pStyle w:val="13"/>
        <w:rPr>
          <w:rFonts w:hint="eastAsia" w:ascii="宋体" w:hAnsi="宋体" w:eastAsia="宋体" w:cs="宋体"/>
        </w:rPr>
      </w:pPr>
      <w:bookmarkStart w:id="8" w:name="_Toc118282498"/>
      <w:bookmarkStart w:id="9" w:name="_Toc3264"/>
      <w:r>
        <w:rPr>
          <w:rFonts w:hint="eastAsia" w:ascii="宋体" w:hAnsi="宋体" w:cs="宋体"/>
          <w:b/>
          <w:bCs/>
          <w:lang w:eastAsia="zh-CN"/>
        </w:rPr>
        <w:t>（</w:t>
      </w: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eastAsia="宋体" w:cs="宋体"/>
          <w:b/>
          <w:bCs/>
        </w:rPr>
        <w:t>身份鉴别</w:t>
      </w:r>
      <w:bookmarkEnd w:id="8"/>
      <w:bookmarkEnd w:id="9"/>
      <w:r>
        <w:rPr>
          <w:rFonts w:hint="eastAsia" w:ascii="宋体" w:hAnsi="宋体" w:cs="宋体"/>
          <w:b/>
          <w:bCs/>
          <w:lang w:eastAsia="zh-CN"/>
        </w:rPr>
        <w:t>：</w:t>
      </w:r>
      <w:r>
        <w:rPr>
          <w:rFonts w:hint="eastAsia" w:ascii="宋体" w:hAnsi="宋体" w:eastAsia="宋体" w:cs="宋体"/>
        </w:rPr>
        <w:t>本项目中为提高应用系统</w:t>
      </w:r>
      <w:r>
        <w:rPr>
          <w:rFonts w:hint="eastAsia" w:ascii="宋体" w:hAnsi="宋体" w:cs="宋体"/>
          <w:lang w:val="en-US" w:eastAsia="zh-CN"/>
        </w:rPr>
        <w:t>的</w:t>
      </w:r>
      <w:r>
        <w:rPr>
          <w:rFonts w:hint="eastAsia" w:ascii="宋体" w:hAnsi="宋体" w:eastAsia="宋体" w:cs="宋体"/>
        </w:rPr>
        <w:t>系统安全性需要进行一系列的加固措施，包括：对登录用户进行</w:t>
      </w:r>
      <w:bookmarkStart w:id="20" w:name="_GoBack"/>
      <w:bookmarkEnd w:id="20"/>
      <w:r>
        <w:rPr>
          <w:rFonts w:hint="eastAsia" w:ascii="宋体" w:hAnsi="宋体" w:eastAsia="宋体" w:cs="宋体"/>
        </w:rPr>
        <w:t>身份标识和鉴别，且保证用户名的唯一性</w:t>
      </w:r>
      <w:r>
        <w:rPr>
          <w:rFonts w:hint="eastAsia" w:ascii="宋体" w:hAnsi="宋体" w:eastAsia="宋体" w:cs="宋体"/>
          <w:lang w:eastAsia="zh-CN"/>
        </w:rPr>
        <w:t>；</w:t>
      </w:r>
      <w:r>
        <w:rPr>
          <w:rFonts w:hint="eastAsia" w:ascii="宋体" w:hAnsi="宋体" w:eastAsia="宋体" w:cs="宋体"/>
          <w:lang w:val="en-US" w:eastAsia="zh-CN"/>
        </w:rPr>
        <w:t>实施</w:t>
      </w:r>
      <w:r>
        <w:rPr>
          <w:rFonts w:hint="eastAsia" w:ascii="宋体" w:hAnsi="宋体" w:eastAsia="宋体" w:cs="宋体"/>
          <w:lang w:val="en-US"/>
        </w:rPr>
        <w:t>法人一证通用户登录</w:t>
      </w:r>
      <w:r>
        <w:rPr>
          <w:rFonts w:hint="eastAsia" w:ascii="宋体" w:hAnsi="宋体" w:eastAsia="宋体" w:cs="宋体"/>
          <w:lang w:val="en-US" w:eastAsia="zh-CN"/>
        </w:rPr>
        <w:t>、</w:t>
      </w:r>
      <w:r>
        <w:rPr>
          <w:rFonts w:hint="eastAsia" w:ascii="宋体" w:hAnsi="宋体" w:eastAsia="宋体" w:cs="宋体"/>
          <w:lang w:val="en-US"/>
        </w:rPr>
        <w:t>独立用户系统登录</w:t>
      </w:r>
      <w:r>
        <w:rPr>
          <w:rFonts w:hint="eastAsia" w:ascii="宋体" w:hAnsi="宋体" w:eastAsia="宋体" w:cs="宋体"/>
          <w:lang w:val="en-US" w:eastAsia="zh-CN"/>
        </w:rPr>
        <w:t>功能，加强系统登录安全。</w:t>
      </w:r>
    </w:p>
    <w:p w14:paraId="1EA890B5">
      <w:pPr>
        <w:pStyle w:val="13"/>
        <w:rPr>
          <w:rFonts w:hint="eastAsia" w:ascii="宋体" w:hAnsi="宋体" w:eastAsia="宋体" w:cs="宋体"/>
        </w:rPr>
      </w:pPr>
      <w:bookmarkStart w:id="10" w:name="_Toc32461"/>
      <w:bookmarkStart w:id="11" w:name="_Toc118282499"/>
      <w:bookmarkStart w:id="12" w:name="_Toc118282500"/>
      <w:r>
        <w:rPr>
          <w:rFonts w:hint="eastAsia" w:ascii="宋体" w:hAnsi="宋体" w:cs="宋体"/>
          <w:b/>
          <w:bCs/>
          <w:lang w:eastAsia="zh-CN"/>
        </w:rPr>
        <w:t>（</w:t>
      </w: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eastAsia="宋体" w:cs="宋体"/>
          <w:b/>
          <w:bCs/>
        </w:rPr>
        <w:t>数据完整性</w:t>
      </w:r>
      <w:r>
        <w:rPr>
          <w:rFonts w:hint="eastAsia" w:ascii="宋体" w:hAnsi="宋体" w:eastAsia="宋体" w:cs="宋体"/>
          <w:b/>
          <w:bCs/>
          <w:lang w:val="en-US" w:eastAsia="zh-CN"/>
        </w:rPr>
        <w:t>和保密性</w:t>
      </w:r>
      <w:r>
        <w:rPr>
          <w:rFonts w:hint="eastAsia" w:ascii="宋体" w:hAnsi="宋体" w:cs="宋体"/>
          <w:b/>
          <w:bCs/>
          <w:lang w:val="en-US" w:eastAsia="zh-CN"/>
        </w:rPr>
        <w:t>：</w:t>
      </w:r>
      <w:r>
        <w:rPr>
          <w:rFonts w:hint="eastAsia" w:ascii="宋体" w:hAnsi="宋体" w:eastAsia="宋体" w:cs="宋体"/>
          <w:lang w:val="en-US" w:eastAsia="zh-CN"/>
        </w:rPr>
        <w:t>系统</w:t>
      </w:r>
      <w:r>
        <w:rPr>
          <w:rFonts w:hint="eastAsia" w:ascii="宋体" w:hAnsi="宋体" w:cs="宋体"/>
          <w:lang w:val="en-US" w:eastAsia="zh-CN"/>
        </w:rPr>
        <w:t>需</w:t>
      </w:r>
      <w:r>
        <w:rPr>
          <w:rFonts w:hint="eastAsia" w:ascii="宋体" w:hAnsi="宋体" w:eastAsia="宋体" w:cs="宋体"/>
        </w:rPr>
        <w:t>基于国产安全标准和规范建立数据安全管理机制，包括安全策略、访问控制、安全审计等，确保平台的数据安全符合信</w:t>
      </w:r>
      <w:r>
        <w:rPr>
          <w:rFonts w:hint="eastAsia" w:ascii="宋体" w:hAnsi="宋体" w:cs="宋体"/>
          <w:lang w:val="en-US" w:eastAsia="zh-CN"/>
        </w:rPr>
        <w:t xml:space="preserve"> </w:t>
      </w:r>
      <w:r>
        <w:rPr>
          <w:rFonts w:hint="eastAsia" w:ascii="宋体" w:hAnsi="宋体" w:eastAsia="宋体" w:cs="宋体"/>
        </w:rPr>
        <w:t>创要求。系统应采取措施对系统存储的关键数据例如运行日志，数据库文件等内容进行完整性保护。数据只能由授权人员修改，并且任何未授权的修改都将被阻止。通过使用数字签名等技术性加密服务确保数据在传输过程中没有被篡改，保证数据的一致性。针对敏感数据或重要数据使用国密技术进行加密。采用先进的可靠的加密算法，实现对数据的安全保护，有效保护数据的安全性。仅采集和保存业务必需的用户信息；禁止未授权访问和非法使用用户信息。</w:t>
      </w:r>
    </w:p>
    <w:p w14:paraId="4F42A9C6">
      <w:pPr>
        <w:pStyle w:val="13"/>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3</w:t>
      </w:r>
      <w:r>
        <w:rPr>
          <w:rFonts w:hint="eastAsia" w:ascii="宋体" w:hAnsi="宋体" w:cs="宋体"/>
          <w:b/>
          <w:bCs/>
          <w:lang w:eastAsia="zh-CN"/>
        </w:rPr>
        <w:t>）</w:t>
      </w:r>
      <w:r>
        <w:rPr>
          <w:rFonts w:hint="eastAsia" w:ascii="宋体" w:hAnsi="宋体" w:eastAsia="宋体" w:cs="宋体"/>
          <w:b/>
          <w:bCs/>
        </w:rPr>
        <w:t>访问控制</w:t>
      </w:r>
      <w:bookmarkEnd w:id="10"/>
      <w:bookmarkEnd w:id="11"/>
      <w:r>
        <w:rPr>
          <w:rFonts w:hint="eastAsia" w:ascii="宋体" w:hAnsi="宋体" w:cs="宋体"/>
          <w:b/>
          <w:bCs/>
          <w:lang w:eastAsia="zh-CN"/>
        </w:rPr>
        <w:t>：</w:t>
      </w:r>
      <w:r>
        <w:rPr>
          <w:rFonts w:hint="eastAsia" w:ascii="宋体" w:hAnsi="宋体" w:eastAsia="宋体" w:cs="宋体"/>
        </w:rPr>
        <w:t>为了避免越权非法使用应用系统的文件、数据库等资源，系统应根据不同用户类型的访问功能需要设计并实现访问控制策略。需要对用户进行身份验证，使用用户名和密码等加密服务，确保只有授权用户才能访问授权的数据，防止未经授权的用户访问和操作数据。为用户分配相应的权限，通过角色控制用户的权限，各用户仅拥有所需的最小权限。</w:t>
      </w:r>
    </w:p>
    <w:p w14:paraId="53FC58E5">
      <w:pPr>
        <w:pStyle w:val="13"/>
        <w:rPr>
          <w:rFonts w:hint="eastAsia" w:ascii="宋体" w:hAnsi="宋体" w:eastAsia="宋体" w:cs="宋体"/>
          <w:lang w:eastAsia="zh-CN"/>
        </w:rPr>
      </w:pPr>
      <w:bookmarkStart w:id="13" w:name="_Toc10680"/>
      <w:r>
        <w:rPr>
          <w:rFonts w:hint="eastAsia" w:ascii="宋体" w:hAnsi="宋体" w:cs="宋体"/>
          <w:b/>
          <w:bCs/>
          <w:lang w:eastAsia="zh-CN"/>
        </w:rPr>
        <w:t>（</w:t>
      </w:r>
      <w:r>
        <w:rPr>
          <w:rFonts w:hint="eastAsia" w:ascii="宋体" w:hAnsi="宋体" w:cs="宋体"/>
          <w:b/>
          <w:bCs/>
          <w:lang w:val="en-US" w:eastAsia="zh-CN"/>
        </w:rPr>
        <w:t>4</w:t>
      </w:r>
      <w:r>
        <w:rPr>
          <w:rFonts w:hint="eastAsia" w:ascii="宋体" w:hAnsi="宋体" w:cs="宋体"/>
          <w:b/>
          <w:bCs/>
          <w:lang w:eastAsia="zh-CN"/>
        </w:rPr>
        <w:t>）</w:t>
      </w:r>
      <w:r>
        <w:rPr>
          <w:rFonts w:hint="eastAsia" w:ascii="宋体" w:hAnsi="宋体" w:eastAsia="宋体" w:cs="宋体"/>
          <w:b/>
          <w:bCs/>
        </w:rPr>
        <w:t>安全审计</w:t>
      </w:r>
      <w:bookmarkEnd w:id="12"/>
      <w:bookmarkEnd w:id="13"/>
      <w:r>
        <w:rPr>
          <w:rFonts w:hint="eastAsia" w:ascii="宋体" w:hAnsi="宋体" w:cs="宋体"/>
          <w:b/>
          <w:bCs/>
          <w:lang w:eastAsia="zh-CN"/>
        </w:rPr>
        <w:t>：</w:t>
      </w:r>
      <w:r>
        <w:rPr>
          <w:rFonts w:hint="eastAsia" w:ascii="宋体" w:hAnsi="宋体" w:eastAsia="宋体" w:cs="宋体"/>
        </w:rPr>
        <w:t>系统在运行的过程中应针对用户的登录，登出及相关业务处理进行安全审计记录。系统安全审计主机审计和应用审计两个层面</w:t>
      </w:r>
      <w:r>
        <w:rPr>
          <w:rFonts w:hint="eastAsia" w:ascii="宋体" w:hAnsi="宋体" w:cs="宋体"/>
          <w:lang w:val="en-US" w:eastAsia="zh-CN"/>
        </w:rPr>
        <w:t>需加强</w:t>
      </w:r>
      <w:r>
        <w:rPr>
          <w:rFonts w:hint="eastAsia" w:ascii="宋体" w:hAnsi="宋体" w:cs="宋体"/>
          <w:lang w:eastAsia="zh-CN"/>
        </w:rPr>
        <w:t>。</w:t>
      </w:r>
    </w:p>
    <w:p w14:paraId="30DBF8B1">
      <w:pPr>
        <w:pStyle w:val="13"/>
        <w:rPr>
          <w:rFonts w:hint="eastAsia" w:ascii="宋体" w:hAnsi="宋体" w:eastAsia="宋体" w:cs="宋体"/>
        </w:rPr>
      </w:pPr>
      <w:bookmarkStart w:id="14" w:name="_Toc14063"/>
      <w:bookmarkStart w:id="15" w:name="_Toc118282501"/>
      <w:r>
        <w:rPr>
          <w:rFonts w:hint="eastAsia" w:ascii="宋体" w:hAnsi="宋体" w:cs="宋体"/>
          <w:b/>
          <w:bCs/>
          <w:lang w:eastAsia="zh-CN"/>
        </w:rPr>
        <w:t>（</w:t>
      </w:r>
      <w:r>
        <w:rPr>
          <w:rFonts w:hint="eastAsia" w:ascii="宋体" w:hAnsi="宋体" w:cs="宋体"/>
          <w:b/>
          <w:bCs/>
          <w:lang w:val="en-US" w:eastAsia="zh-CN"/>
        </w:rPr>
        <w:t>5</w:t>
      </w:r>
      <w:r>
        <w:rPr>
          <w:rFonts w:hint="eastAsia" w:ascii="宋体" w:hAnsi="宋体" w:cs="宋体"/>
          <w:b/>
          <w:bCs/>
          <w:lang w:eastAsia="zh-CN"/>
        </w:rPr>
        <w:t>）</w:t>
      </w:r>
      <w:r>
        <w:rPr>
          <w:rFonts w:hint="eastAsia" w:ascii="宋体" w:hAnsi="宋体" w:eastAsia="宋体" w:cs="宋体"/>
          <w:b/>
          <w:bCs/>
        </w:rPr>
        <w:t>软件容错</w:t>
      </w:r>
      <w:bookmarkEnd w:id="14"/>
      <w:bookmarkEnd w:id="15"/>
      <w:r>
        <w:rPr>
          <w:rFonts w:hint="eastAsia" w:ascii="宋体" w:hAnsi="宋体" w:cs="宋体"/>
          <w:b/>
          <w:bCs/>
          <w:lang w:eastAsia="zh-CN"/>
        </w:rPr>
        <w:t>：</w:t>
      </w:r>
      <w:r>
        <w:rPr>
          <w:rFonts w:hint="eastAsia" w:ascii="宋体" w:hAnsi="宋体" w:eastAsia="宋体" w:cs="宋体"/>
        </w:rPr>
        <w:t>为提高软件可靠性，需提供足够的冗余信息和算法程序，使系统在实际运行时能够及时发现程序设计错误，采取补救措施，保证整个计算机系统的正常运行。</w:t>
      </w:r>
    </w:p>
    <w:p w14:paraId="1A03755C">
      <w:pPr>
        <w:pStyle w:val="13"/>
        <w:rPr>
          <w:rFonts w:hint="eastAsia" w:ascii="宋体" w:hAnsi="宋体" w:eastAsia="宋体" w:cs="宋体"/>
        </w:rPr>
      </w:pPr>
      <w:bookmarkStart w:id="16" w:name="_Toc118282502"/>
      <w:bookmarkStart w:id="17" w:name="_Toc29137"/>
      <w:r>
        <w:rPr>
          <w:rFonts w:hint="eastAsia" w:ascii="宋体" w:hAnsi="宋体" w:cs="宋体"/>
          <w:b/>
          <w:bCs/>
          <w:lang w:eastAsia="zh-CN"/>
        </w:rPr>
        <w:t>（</w:t>
      </w:r>
      <w:r>
        <w:rPr>
          <w:rFonts w:hint="eastAsia" w:ascii="宋体" w:hAnsi="宋体" w:cs="宋体"/>
          <w:b/>
          <w:bCs/>
          <w:lang w:val="en-US" w:eastAsia="zh-CN"/>
        </w:rPr>
        <w:t>6</w:t>
      </w:r>
      <w:r>
        <w:rPr>
          <w:rFonts w:hint="eastAsia" w:ascii="宋体" w:hAnsi="宋体" w:cs="宋体"/>
          <w:b/>
          <w:bCs/>
          <w:lang w:eastAsia="zh-CN"/>
        </w:rPr>
        <w:t>）</w:t>
      </w:r>
      <w:r>
        <w:rPr>
          <w:rFonts w:hint="eastAsia" w:ascii="宋体" w:hAnsi="宋体" w:eastAsia="宋体" w:cs="宋体"/>
          <w:b/>
          <w:bCs/>
        </w:rPr>
        <w:t>可信验证</w:t>
      </w:r>
      <w:bookmarkEnd w:id="16"/>
      <w:bookmarkEnd w:id="17"/>
      <w:r>
        <w:rPr>
          <w:rFonts w:hint="eastAsia" w:ascii="宋体" w:hAnsi="宋体" w:cs="宋体"/>
          <w:b/>
          <w:bCs/>
          <w:lang w:eastAsia="zh-CN"/>
        </w:rPr>
        <w:t>：</w:t>
      </w:r>
      <w:r>
        <w:rPr>
          <w:rFonts w:hint="eastAsia" w:ascii="宋体" w:hAnsi="宋体" w:cs="宋体"/>
          <w:lang w:val="en-US" w:eastAsia="zh-CN"/>
        </w:rPr>
        <w:t>需</w:t>
      </w:r>
      <w:r>
        <w:rPr>
          <w:rFonts w:hint="eastAsia" w:ascii="宋体" w:hAnsi="宋体" w:eastAsia="宋体" w:cs="宋体"/>
        </w:rPr>
        <w:t>基于可信根对通信设备的系统引导程序、系统程序、重要配置参数和通信应用程序等进行可信验证。在应用程序的关键执行环节进行动态可信验证。</w:t>
      </w:r>
    </w:p>
    <w:p w14:paraId="1580BB49">
      <w:pPr>
        <w:pStyle w:val="13"/>
        <w:rPr>
          <w:rFonts w:hint="eastAsia" w:ascii="宋体" w:hAnsi="宋体" w:eastAsia="宋体" w:cs="宋体"/>
        </w:rPr>
      </w:pPr>
      <w:bookmarkStart w:id="18" w:name="_Toc118282504"/>
      <w:bookmarkStart w:id="19" w:name="_Toc896"/>
      <w:r>
        <w:rPr>
          <w:rFonts w:hint="eastAsia" w:ascii="宋体" w:hAnsi="宋体" w:cs="宋体"/>
          <w:b/>
          <w:bCs/>
          <w:lang w:val="en-US" w:eastAsia="zh-CN"/>
        </w:rPr>
        <w:t>（7）</w:t>
      </w:r>
      <w:r>
        <w:rPr>
          <w:rFonts w:hint="eastAsia" w:ascii="宋体" w:hAnsi="宋体" w:eastAsia="宋体" w:cs="宋体"/>
          <w:b/>
          <w:bCs/>
          <w:lang w:val="en-US" w:eastAsia="zh-CN"/>
        </w:rPr>
        <w:t>网络安全</w:t>
      </w:r>
      <w:r>
        <w:rPr>
          <w:rFonts w:hint="eastAsia" w:ascii="宋体" w:hAnsi="宋体" w:cs="宋体"/>
          <w:b/>
          <w:bCs/>
          <w:lang w:val="en-US" w:eastAsia="zh-CN"/>
        </w:rPr>
        <w:t>：</w:t>
      </w:r>
      <w:r>
        <w:rPr>
          <w:rFonts w:hint="eastAsia" w:ascii="宋体" w:hAnsi="宋体" w:eastAsia="宋体" w:cs="宋体"/>
          <w:lang w:val="en-US" w:eastAsia="zh-CN"/>
        </w:rPr>
        <w:t>利用政务云</w:t>
      </w:r>
      <w:r>
        <w:rPr>
          <w:rFonts w:hint="eastAsia" w:ascii="宋体" w:hAnsi="宋体" w:eastAsia="宋体" w:cs="宋体"/>
        </w:rPr>
        <w:t xml:space="preserve">网络监控与入侵检测 </w:t>
      </w:r>
      <w:r>
        <w:rPr>
          <w:rFonts w:hint="eastAsia" w:ascii="宋体" w:hAnsi="宋体" w:eastAsia="宋体" w:cs="宋体"/>
          <w:lang w:eastAsia="zh-CN"/>
        </w:rPr>
        <w:t>，</w:t>
      </w:r>
      <w:r>
        <w:rPr>
          <w:rFonts w:hint="eastAsia" w:ascii="宋体" w:hAnsi="宋体" w:eastAsia="宋体" w:cs="宋体"/>
          <w:lang w:val="en-US" w:eastAsia="zh-CN"/>
        </w:rPr>
        <w:t>即</w:t>
      </w:r>
      <w:r>
        <w:rPr>
          <w:rFonts w:hint="eastAsia" w:ascii="宋体" w:hAnsi="宋体" w:eastAsia="宋体" w:cs="宋体"/>
        </w:rPr>
        <w:t>入侵检测系统（IDS）和入侵防御系统（IPS），及时发现异常活动</w:t>
      </w:r>
      <w:r>
        <w:rPr>
          <w:rFonts w:hint="eastAsia" w:ascii="宋体" w:hAnsi="宋体" w:eastAsia="宋体" w:cs="宋体"/>
          <w:lang w:eastAsia="zh-CN"/>
        </w:rPr>
        <w:t>，</w:t>
      </w:r>
      <w:r>
        <w:rPr>
          <w:rFonts w:hint="eastAsia" w:ascii="宋体" w:hAnsi="宋体" w:eastAsia="宋体" w:cs="宋体"/>
          <w:lang w:val="en-US" w:eastAsia="zh-CN"/>
        </w:rPr>
        <w:t>如</w:t>
      </w:r>
      <w:r>
        <w:rPr>
          <w:rFonts w:hint="eastAsia" w:ascii="宋体" w:hAnsi="宋体" w:eastAsia="宋体" w:cs="宋体"/>
        </w:rPr>
        <w:t>突然出现大量来自陌生IP 地址的访问请求，可能是潜在的攻击迹象</w:t>
      </w:r>
      <w:r>
        <w:rPr>
          <w:rFonts w:hint="eastAsia" w:ascii="宋体" w:hAnsi="宋体" w:eastAsia="宋体" w:cs="宋体"/>
          <w:lang w:eastAsia="zh-CN"/>
        </w:rPr>
        <w:t>；</w:t>
      </w:r>
      <w:r>
        <w:rPr>
          <w:rFonts w:hint="eastAsia" w:ascii="宋体" w:hAnsi="宋体" w:eastAsia="宋体" w:cs="宋体"/>
        </w:rPr>
        <w:t>主动防范和阻止网络攻击</w:t>
      </w:r>
      <w:r>
        <w:rPr>
          <w:rFonts w:hint="eastAsia" w:ascii="宋体" w:hAnsi="宋体" w:eastAsia="宋体" w:cs="宋体"/>
          <w:lang w:eastAsia="zh-CN"/>
        </w:rPr>
        <w:t>；</w:t>
      </w:r>
      <w:r>
        <w:rPr>
          <w:rFonts w:hint="eastAsia" w:ascii="宋体" w:hAnsi="宋体" w:eastAsia="宋体" w:cs="宋体"/>
        </w:rPr>
        <w:t>定期进行漏洞扫描，及时发现并修复系统中的安全漏洞。本系统申请政务云虚拟服务器、存储等云计算资源，操作系统、数据库、应用中间件等软件资源采用政务信</w:t>
      </w:r>
      <w:r>
        <w:rPr>
          <w:rFonts w:hint="eastAsia" w:ascii="宋体" w:hAnsi="宋体" w:cs="宋体"/>
          <w:lang w:val="en-US" w:eastAsia="zh-CN"/>
        </w:rPr>
        <w:t xml:space="preserve"> </w:t>
      </w:r>
      <w:r>
        <w:rPr>
          <w:rFonts w:hint="eastAsia" w:ascii="宋体" w:hAnsi="宋体" w:eastAsia="宋体" w:cs="宋体"/>
        </w:rPr>
        <w:t>创国产化环境。</w:t>
      </w:r>
    </w:p>
    <w:p w14:paraId="0E1C48F7">
      <w:pPr>
        <w:pStyle w:val="13"/>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8</w:t>
      </w:r>
      <w:r>
        <w:rPr>
          <w:rFonts w:hint="eastAsia" w:ascii="宋体" w:hAnsi="宋体" w:cs="宋体"/>
          <w:b/>
          <w:bCs/>
          <w:lang w:eastAsia="zh-CN"/>
        </w:rPr>
        <w:t>）</w:t>
      </w:r>
      <w:r>
        <w:rPr>
          <w:rFonts w:hint="eastAsia" w:ascii="宋体" w:hAnsi="宋体" w:eastAsia="宋体" w:cs="宋体"/>
          <w:b/>
          <w:bCs/>
        </w:rPr>
        <w:t>备份与故障恢复</w:t>
      </w:r>
      <w:r>
        <w:rPr>
          <w:rFonts w:hint="eastAsia" w:ascii="宋体" w:hAnsi="宋体" w:cs="宋体"/>
          <w:b/>
          <w:bCs/>
          <w:lang w:eastAsia="zh-CN"/>
        </w:rPr>
        <w:t>：</w:t>
      </w:r>
      <w:r>
        <w:rPr>
          <w:rFonts w:hint="eastAsia" w:ascii="宋体" w:hAnsi="宋体" w:eastAsia="宋体" w:cs="宋体"/>
          <w:lang w:val="en-US" w:eastAsia="zh-CN"/>
        </w:rPr>
        <w:t>数据备份方面，</w:t>
      </w:r>
      <w:r>
        <w:rPr>
          <w:rFonts w:hint="eastAsia" w:ascii="宋体" w:hAnsi="宋体" w:eastAsia="宋体" w:cs="宋体"/>
        </w:rPr>
        <w:t>系统应根据数据恢复目标要求设计合理备份策略</w:t>
      </w:r>
      <w:r>
        <w:rPr>
          <w:rFonts w:hint="eastAsia" w:ascii="宋体" w:hAnsi="宋体" w:eastAsia="宋体" w:cs="宋体"/>
          <w:lang w:eastAsia="zh-CN"/>
        </w:rPr>
        <w:t>，</w:t>
      </w:r>
      <w:r>
        <w:rPr>
          <w:rFonts w:hint="eastAsia" w:ascii="宋体" w:hAnsi="宋体" w:eastAsia="宋体" w:cs="宋体"/>
          <w:lang w:val="en-US" w:eastAsia="zh-CN"/>
        </w:rPr>
        <w:t>建议采取全量备份方式；针对</w:t>
      </w:r>
      <w:r>
        <w:rPr>
          <w:rFonts w:hint="eastAsia" w:ascii="宋体" w:hAnsi="宋体" w:eastAsia="宋体" w:cs="宋体"/>
        </w:rPr>
        <w:t>不同类型的数据，如用户信息数据、业务数据、平台配置数据、日志数据等，分别制定备份策略和计划。对于敏感的数据，可考虑单独加密备份存储</w:t>
      </w:r>
      <w:r>
        <w:rPr>
          <w:rFonts w:hint="eastAsia" w:ascii="宋体" w:hAnsi="宋体" w:eastAsia="宋体" w:cs="宋体"/>
          <w:lang w:eastAsia="zh-CN"/>
        </w:rPr>
        <w:t>；</w:t>
      </w:r>
      <w:r>
        <w:rPr>
          <w:rFonts w:hint="eastAsia" w:ascii="宋体" w:hAnsi="宋体" w:eastAsia="宋体" w:cs="宋体"/>
        </w:rPr>
        <w:t>关键业务数据和实时性要求高的数据可以采用较高频率的备份，如每小时一次或更短间隔的实时备份同步</w:t>
      </w:r>
      <w:r>
        <w:rPr>
          <w:rFonts w:hint="eastAsia" w:ascii="宋体" w:hAnsi="宋体" w:eastAsia="宋体" w:cs="宋体"/>
          <w:lang w:eastAsia="zh-CN"/>
        </w:rPr>
        <w:t>，</w:t>
      </w:r>
      <w:r>
        <w:rPr>
          <w:rFonts w:hint="eastAsia" w:ascii="宋体" w:hAnsi="宋体" w:eastAsia="宋体" w:cs="宋体"/>
        </w:rPr>
        <w:t>一般数据可以按天或周备份</w:t>
      </w:r>
      <w:r>
        <w:rPr>
          <w:rFonts w:hint="eastAsia" w:ascii="宋体" w:hAnsi="宋体" w:eastAsia="宋体" w:cs="宋体"/>
          <w:lang w:eastAsia="zh-CN"/>
        </w:rPr>
        <w:t>；</w:t>
      </w:r>
      <w:r>
        <w:rPr>
          <w:rFonts w:hint="eastAsia" w:ascii="宋体" w:hAnsi="宋体" w:eastAsia="宋体" w:cs="宋体"/>
        </w:rPr>
        <w:t>如果涉及不同国家和地区的法律法规限制，需明确数据存储地的合法性</w:t>
      </w:r>
      <w:r>
        <w:rPr>
          <w:rFonts w:hint="eastAsia" w:ascii="宋体" w:hAnsi="宋体" w:eastAsia="宋体" w:cs="宋体"/>
          <w:lang w:eastAsia="zh-CN"/>
        </w:rPr>
        <w:t>；</w:t>
      </w:r>
      <w:r>
        <w:rPr>
          <w:rFonts w:hint="eastAsia" w:ascii="宋体" w:hAnsi="宋体" w:eastAsia="宋体" w:cs="宋体"/>
        </w:rPr>
        <w:t>备份验证</w:t>
      </w:r>
      <w:r>
        <w:rPr>
          <w:rFonts w:hint="eastAsia" w:ascii="宋体" w:hAnsi="宋体" w:eastAsia="宋体" w:cs="宋体"/>
          <w:lang w:eastAsia="zh-CN"/>
        </w:rPr>
        <w:t>，</w:t>
      </w:r>
      <w:r>
        <w:rPr>
          <w:rFonts w:hint="eastAsia" w:ascii="宋体" w:hAnsi="宋体" w:eastAsia="宋体" w:cs="宋体"/>
        </w:rPr>
        <w:t>定期随机抽取备份集进行恢复验证，确保备份数据的完整性和可用性</w:t>
      </w:r>
      <w:r>
        <w:rPr>
          <w:rFonts w:hint="eastAsia" w:ascii="宋体" w:hAnsi="宋体" w:eastAsia="宋体" w:cs="宋体"/>
          <w:lang w:eastAsia="zh-CN"/>
        </w:rPr>
        <w:t>，</w:t>
      </w:r>
      <w:r>
        <w:rPr>
          <w:rFonts w:hint="eastAsia" w:ascii="宋体" w:hAnsi="宋体" w:eastAsia="宋体" w:cs="宋体"/>
        </w:rPr>
        <w:t>验证备份的加密完整性（如有加密）</w:t>
      </w:r>
      <w:r>
        <w:rPr>
          <w:rFonts w:hint="eastAsia" w:ascii="宋体" w:hAnsi="宋体" w:eastAsia="宋体" w:cs="宋体"/>
          <w:lang w:eastAsia="zh-CN"/>
        </w:rPr>
        <w:t>，</w:t>
      </w:r>
      <w:r>
        <w:rPr>
          <w:rFonts w:hint="eastAsia" w:ascii="宋体" w:hAnsi="宋体" w:eastAsia="宋体" w:cs="宋体"/>
        </w:rPr>
        <w:t>当备份失败时能及时发出告警通知运维人员。故障恢复方面</w:t>
      </w:r>
      <w:r>
        <w:rPr>
          <w:rFonts w:hint="eastAsia" w:ascii="宋体" w:hAnsi="宋体" w:eastAsia="宋体" w:cs="宋体"/>
          <w:lang w:eastAsia="zh-CN"/>
        </w:rPr>
        <w:t>，</w:t>
      </w:r>
      <w:r>
        <w:rPr>
          <w:rFonts w:hint="eastAsia" w:ascii="宋体" w:hAnsi="宋体" w:eastAsia="宋体" w:cs="宋体"/>
        </w:rPr>
        <w:t>实时监控平台的各项关键指标（</w:t>
      </w:r>
      <w:r>
        <w:rPr>
          <w:rFonts w:hint="eastAsia" w:ascii="宋体" w:hAnsi="宋体" w:eastAsia="宋体" w:cs="宋体"/>
          <w:lang w:val="en-US" w:eastAsia="zh-CN"/>
        </w:rPr>
        <w:t>如</w:t>
      </w:r>
      <w:r>
        <w:rPr>
          <w:rFonts w:hint="eastAsia" w:ascii="宋体" w:hAnsi="宋体" w:eastAsia="宋体" w:cs="宋体"/>
        </w:rPr>
        <w:t>网络流量、服务器负载、数据处理速度、数据存储状态等）</w:t>
      </w:r>
      <w:r>
        <w:rPr>
          <w:rFonts w:hint="eastAsia" w:ascii="宋体" w:hAnsi="宋体" w:eastAsia="宋体" w:cs="宋体"/>
          <w:lang w:eastAsia="zh-CN"/>
        </w:rPr>
        <w:t>，</w:t>
      </w:r>
      <w:r>
        <w:rPr>
          <w:rFonts w:hint="eastAsia" w:ascii="宋体" w:hAnsi="宋体" w:eastAsia="宋体" w:cs="宋体"/>
        </w:rPr>
        <w:t>当出现异常时，快速定位故障点是在数据传输环节、数据处理环节还是存储环节等</w:t>
      </w:r>
      <w:r>
        <w:rPr>
          <w:rFonts w:hint="eastAsia" w:ascii="宋体" w:hAnsi="宋体" w:eastAsia="宋体" w:cs="宋体"/>
          <w:lang w:eastAsia="zh-CN"/>
        </w:rPr>
        <w:t>；</w:t>
      </w:r>
      <w:r>
        <w:rPr>
          <w:rFonts w:hint="eastAsia" w:ascii="宋体" w:hAnsi="宋体" w:eastAsia="宋体" w:cs="宋体"/>
        </w:rPr>
        <w:t>制定恢复策略</w:t>
      </w:r>
      <w:r>
        <w:rPr>
          <w:rFonts w:hint="eastAsia" w:ascii="宋体" w:hAnsi="宋体" w:eastAsia="宋体" w:cs="宋体"/>
          <w:lang w:eastAsia="zh-CN"/>
        </w:rPr>
        <w:t>，</w:t>
      </w:r>
      <w:r>
        <w:rPr>
          <w:rFonts w:hint="eastAsia" w:ascii="宋体" w:hAnsi="宋体" w:eastAsia="宋体" w:cs="宋体"/>
        </w:rPr>
        <w:t>根据数据重要性和业务紧急程度，明确恢复的优先级顺序</w:t>
      </w:r>
      <w:r>
        <w:rPr>
          <w:rFonts w:hint="eastAsia" w:ascii="宋体" w:hAnsi="宋体" w:eastAsia="宋体" w:cs="宋体"/>
          <w:lang w:eastAsia="zh-CN"/>
        </w:rPr>
        <w:t>，</w:t>
      </w:r>
      <w:r>
        <w:rPr>
          <w:rFonts w:hint="eastAsia" w:ascii="宋体" w:hAnsi="宋体" w:eastAsia="宋体" w:cs="宋体"/>
        </w:rPr>
        <w:t>针对不同类型故障（如硬件故障、软件故障、网络故障、恶意攻击等）制定特定的恢复流程和步骤</w:t>
      </w:r>
      <w:r>
        <w:rPr>
          <w:rFonts w:hint="eastAsia" w:ascii="宋体" w:hAnsi="宋体" w:eastAsia="宋体" w:cs="宋体"/>
          <w:lang w:eastAsia="zh-CN"/>
        </w:rPr>
        <w:t>，</w:t>
      </w:r>
      <w:r>
        <w:rPr>
          <w:rFonts w:hint="eastAsia" w:ascii="宋体" w:hAnsi="宋体" w:eastAsia="宋体" w:cs="宋体"/>
        </w:rPr>
        <w:t>当发生故障时，首先评估故障影响范围和损失程度</w:t>
      </w:r>
      <w:r>
        <w:rPr>
          <w:rFonts w:hint="eastAsia" w:ascii="宋体" w:hAnsi="宋体" w:eastAsia="宋体" w:cs="宋体"/>
          <w:lang w:eastAsia="zh-CN"/>
        </w:rPr>
        <w:t>；</w:t>
      </w:r>
      <w:r>
        <w:rPr>
          <w:rFonts w:hint="eastAsia" w:ascii="宋体" w:hAnsi="宋体" w:eastAsia="宋体" w:cs="宋体"/>
        </w:rPr>
        <w:t>对于数据丢失故障</w:t>
      </w:r>
      <w:r>
        <w:rPr>
          <w:rFonts w:hint="eastAsia" w:ascii="宋体" w:hAnsi="宋体" w:eastAsia="宋体" w:cs="宋体"/>
          <w:lang w:eastAsia="zh-CN"/>
        </w:rPr>
        <w:t>，</w:t>
      </w:r>
      <w:r>
        <w:rPr>
          <w:rFonts w:hint="eastAsia" w:ascii="宋体" w:hAnsi="宋体" w:eastAsia="宋体" w:cs="宋体"/>
        </w:rPr>
        <w:t>从最近的备份中进行数据恢复（先恢复全量，再根据需要恢复增量或差异备份</w:t>
      </w:r>
      <w:r>
        <w:rPr>
          <w:rFonts w:hint="eastAsia" w:ascii="宋体" w:hAnsi="宋体" w:eastAsia="宋体" w:cs="宋体"/>
          <w:lang w:eastAsia="zh-CN"/>
        </w:rPr>
        <w:t>）；</w:t>
      </w:r>
      <w:r>
        <w:rPr>
          <w:rFonts w:hint="eastAsia" w:ascii="宋体" w:hAnsi="宋体" w:eastAsia="宋体" w:cs="宋体"/>
        </w:rPr>
        <w:t>硬件故障恢复</w:t>
      </w:r>
      <w:r>
        <w:rPr>
          <w:rFonts w:hint="eastAsia" w:ascii="宋体" w:hAnsi="宋体" w:eastAsia="宋体" w:cs="宋体"/>
          <w:lang w:eastAsia="zh-CN"/>
        </w:rPr>
        <w:t>，</w:t>
      </w:r>
      <w:r>
        <w:rPr>
          <w:rFonts w:hint="eastAsia" w:ascii="宋体" w:hAnsi="宋体" w:eastAsia="宋体" w:cs="宋体"/>
        </w:rPr>
        <w:t>更换故障硬件组件，重新配置系统</w:t>
      </w:r>
      <w:r>
        <w:rPr>
          <w:rFonts w:hint="eastAsia" w:ascii="宋体" w:hAnsi="宋体" w:eastAsia="宋体" w:cs="宋体"/>
          <w:lang w:eastAsia="zh-CN"/>
        </w:rPr>
        <w:t>，</w:t>
      </w:r>
      <w:r>
        <w:rPr>
          <w:rFonts w:hint="eastAsia" w:ascii="宋体" w:hAnsi="宋体" w:eastAsia="宋体" w:cs="宋体"/>
        </w:rPr>
        <w:t>恢复相关软件和数据配置</w:t>
      </w:r>
      <w:r>
        <w:rPr>
          <w:rFonts w:hint="eastAsia" w:ascii="宋体" w:hAnsi="宋体" w:eastAsia="宋体" w:cs="宋体"/>
          <w:lang w:eastAsia="zh-CN"/>
        </w:rPr>
        <w:t>；</w:t>
      </w:r>
      <w:r>
        <w:rPr>
          <w:rFonts w:hint="eastAsia" w:ascii="宋体" w:hAnsi="宋体" w:eastAsia="宋体" w:cs="宋体"/>
        </w:rPr>
        <w:t>网络故障恢复</w:t>
      </w:r>
      <w:r>
        <w:rPr>
          <w:rFonts w:hint="eastAsia" w:ascii="宋体" w:hAnsi="宋体" w:eastAsia="宋体" w:cs="宋体"/>
          <w:lang w:eastAsia="zh-CN"/>
        </w:rPr>
        <w:t>，</w:t>
      </w:r>
      <w:r>
        <w:rPr>
          <w:rFonts w:hint="eastAsia" w:ascii="宋体" w:hAnsi="宋体" w:eastAsia="宋体" w:cs="宋体"/>
        </w:rPr>
        <w:t>切换备用网络链路</w:t>
      </w:r>
      <w:r>
        <w:rPr>
          <w:rFonts w:hint="eastAsia" w:ascii="宋体" w:hAnsi="宋体" w:eastAsia="宋体" w:cs="宋体"/>
          <w:lang w:eastAsia="zh-CN"/>
        </w:rPr>
        <w:t>，</w:t>
      </w:r>
      <w:r>
        <w:rPr>
          <w:rFonts w:hint="eastAsia" w:ascii="宋体" w:hAnsi="宋体" w:eastAsia="宋体" w:cs="宋体"/>
        </w:rPr>
        <w:t>修复网络设备故障或与网络服务提供商协调解决</w:t>
      </w:r>
      <w:r>
        <w:rPr>
          <w:rFonts w:hint="eastAsia" w:ascii="宋体" w:hAnsi="宋体" w:eastAsia="宋体" w:cs="宋体"/>
          <w:lang w:eastAsia="zh-CN"/>
        </w:rPr>
        <w:t>；</w:t>
      </w:r>
      <w:r>
        <w:rPr>
          <w:rFonts w:hint="eastAsia" w:ascii="宋体" w:hAnsi="宋体" w:eastAsia="宋体" w:cs="宋体"/>
        </w:rPr>
        <w:t>定期进行故障恢复演练，模拟不同类型的故障场景</w:t>
      </w:r>
      <w:r>
        <w:rPr>
          <w:rFonts w:hint="eastAsia" w:ascii="宋体" w:hAnsi="宋体" w:eastAsia="宋体" w:cs="宋体"/>
          <w:lang w:eastAsia="zh-CN"/>
        </w:rPr>
        <w:t>，</w:t>
      </w:r>
      <w:r>
        <w:rPr>
          <w:rFonts w:hint="eastAsia" w:ascii="宋体" w:hAnsi="宋体" w:eastAsia="宋体" w:cs="宋体"/>
        </w:rPr>
        <w:t>检验恢复流程的有效性和恢复时间是否满足业务需求。当发生重大故障时，及时与相关的数据主体进行沟通，说明情况和恢复进展。</w:t>
      </w:r>
    </w:p>
    <w:p w14:paraId="795E7C59">
      <w:pPr>
        <w:pStyle w:val="13"/>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9</w:t>
      </w:r>
      <w:r>
        <w:rPr>
          <w:rFonts w:hint="eastAsia" w:ascii="宋体" w:hAnsi="宋体" w:cs="宋体"/>
          <w:b/>
          <w:bCs/>
          <w:lang w:eastAsia="zh-CN"/>
        </w:rPr>
        <w:t>）</w:t>
      </w:r>
      <w:r>
        <w:rPr>
          <w:rFonts w:hint="eastAsia" w:ascii="宋体" w:hAnsi="宋体" w:eastAsia="宋体" w:cs="宋体"/>
          <w:b/>
          <w:bCs/>
        </w:rPr>
        <w:t>应急处理</w:t>
      </w:r>
      <w:r>
        <w:rPr>
          <w:rFonts w:hint="eastAsia" w:ascii="宋体" w:hAnsi="宋体" w:cs="宋体"/>
          <w:b/>
          <w:bCs/>
          <w:lang w:eastAsia="zh-CN"/>
        </w:rPr>
        <w:t>：</w:t>
      </w:r>
      <w:r>
        <w:rPr>
          <w:rFonts w:hint="eastAsia" w:ascii="宋体" w:hAnsi="宋体" w:cs="宋体"/>
          <w:lang w:val="en-US" w:eastAsia="zh-CN"/>
        </w:rPr>
        <w:t>要求</w:t>
      </w:r>
      <w:r>
        <w:rPr>
          <w:rFonts w:hint="eastAsia" w:ascii="宋体" w:hAnsi="宋体" w:eastAsia="宋体" w:cs="宋体"/>
        </w:rPr>
        <w:t>快速响应和解决数据发生的各类紧急事件，最大限度减少损失和影响</w:t>
      </w:r>
      <w:r>
        <w:rPr>
          <w:rFonts w:hint="eastAsia" w:ascii="宋体" w:hAnsi="宋体" w:eastAsia="宋体" w:cs="宋体"/>
          <w:lang w:eastAsia="zh-CN"/>
        </w:rPr>
        <w:t>，</w:t>
      </w:r>
      <w:r>
        <w:rPr>
          <w:rFonts w:hint="eastAsia" w:ascii="宋体" w:hAnsi="宋体" w:eastAsia="宋体" w:cs="宋体"/>
        </w:rPr>
        <w:t>确保数据的安全性、完整性和可用性，保障服务的连续性。</w:t>
      </w:r>
      <w:r>
        <w:rPr>
          <w:rFonts w:hint="eastAsia" w:ascii="宋体" w:hAnsi="宋体" w:cs="宋体"/>
          <w:lang w:val="en-US" w:eastAsia="zh-CN"/>
        </w:rPr>
        <w:t>做好</w:t>
      </w:r>
      <w:r>
        <w:rPr>
          <w:rFonts w:hint="eastAsia" w:ascii="宋体" w:hAnsi="宋体" w:eastAsia="宋体" w:cs="宋体"/>
        </w:rPr>
        <w:t>应急预案制定</w:t>
      </w:r>
      <w:r>
        <w:rPr>
          <w:rFonts w:hint="eastAsia" w:ascii="宋体" w:hAnsi="宋体" w:eastAsia="宋体" w:cs="宋体"/>
          <w:lang w:val="en-US" w:eastAsia="zh-CN"/>
        </w:rPr>
        <w:t>（应急响应计划）</w:t>
      </w:r>
      <w:r>
        <w:rPr>
          <w:rFonts w:hint="eastAsia" w:ascii="宋体" w:hAnsi="宋体" w:cs="宋体"/>
          <w:lang w:val="en-US" w:eastAsia="zh-CN"/>
        </w:rPr>
        <w:t>。</w:t>
      </w:r>
    </w:p>
    <w:bookmarkEnd w:id="18"/>
    <w:bookmarkEnd w:id="19"/>
    <w:p w14:paraId="163754E0">
      <w:pPr>
        <w:pStyle w:val="2"/>
        <w:bidi w:val="0"/>
        <w:ind w:left="432" w:leftChars="0" w:hanging="432" w:firstLineChars="0"/>
        <w:rPr>
          <w:rFonts w:hint="eastAsia" w:ascii="楷体" w:hAnsi="楷体" w:eastAsia="楷体" w:cs="楷体"/>
        </w:rPr>
      </w:pPr>
      <w:r>
        <w:rPr>
          <w:rFonts w:hint="eastAsia" w:ascii="楷体" w:hAnsi="楷体" w:eastAsia="楷体" w:cs="楷体"/>
        </w:rPr>
        <w:t>服务要求</w:t>
      </w:r>
    </w:p>
    <w:p w14:paraId="5A54A954">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工期要求</w:t>
      </w:r>
    </w:p>
    <w:p w14:paraId="3412A991">
      <w:pPr>
        <w:ind w:firstLine="560" w:firstLineChars="200"/>
        <w:rPr>
          <w:rFonts w:hint="eastAsia" w:ascii="宋体" w:hAnsi="宋体" w:eastAsia="宋体"/>
          <w:sz w:val="28"/>
          <w:szCs w:val="28"/>
        </w:rPr>
      </w:pPr>
      <w:r>
        <w:rPr>
          <w:rFonts w:hint="eastAsia" w:ascii="宋体" w:hAnsi="宋体" w:eastAsia="宋体"/>
          <w:sz w:val="28"/>
          <w:szCs w:val="28"/>
        </w:rPr>
        <w:t>（1）供应商承诺在合同签订后</w:t>
      </w:r>
      <w:r>
        <w:rPr>
          <w:rFonts w:hint="default" w:ascii="宋体" w:hAnsi="宋体"/>
          <w:sz w:val="28"/>
          <w:szCs w:val="28"/>
          <w:lang w:val="en-US" w:eastAsia="zh-CN"/>
        </w:rPr>
        <w:t>9</w:t>
      </w:r>
      <w:r>
        <w:rPr>
          <w:rFonts w:hint="eastAsia" w:ascii="宋体" w:hAnsi="宋体" w:eastAsia="宋体"/>
          <w:sz w:val="28"/>
          <w:szCs w:val="28"/>
        </w:rPr>
        <w:t>个月内完成系统的开发工作，</w:t>
      </w:r>
      <w:r>
        <w:rPr>
          <w:rFonts w:hint="eastAsia" w:ascii="宋体" w:hAnsi="宋体"/>
          <w:sz w:val="28"/>
          <w:szCs w:val="28"/>
          <w:lang w:val="en-US" w:eastAsia="zh-CN"/>
        </w:rPr>
        <w:t>并按照业务相关要求与临港新片区财政综合管理系统等系统（如有）完成对接后，</w:t>
      </w:r>
      <w:r>
        <w:rPr>
          <w:rFonts w:hint="eastAsia" w:ascii="宋体" w:hAnsi="宋体" w:eastAsia="宋体"/>
          <w:sz w:val="28"/>
          <w:szCs w:val="28"/>
        </w:rPr>
        <w:t>可上线试运行；</w:t>
      </w:r>
    </w:p>
    <w:p w14:paraId="4AFFF984">
      <w:pPr>
        <w:ind w:firstLine="560" w:firstLineChars="200"/>
        <w:rPr>
          <w:rFonts w:hint="eastAsia" w:ascii="宋体" w:hAnsi="宋体" w:eastAsia="宋体"/>
          <w:sz w:val="28"/>
          <w:szCs w:val="28"/>
        </w:rPr>
      </w:pPr>
      <w:r>
        <w:rPr>
          <w:rFonts w:hint="eastAsia" w:ascii="宋体" w:hAnsi="宋体" w:eastAsia="宋体"/>
          <w:sz w:val="28"/>
          <w:szCs w:val="28"/>
        </w:rPr>
        <w:t>（2）供应商需在合同生效后即派项目实施人员到达用户现场，开展具体工作，并提交系列方案征询采购人同意后方可实施；</w:t>
      </w:r>
    </w:p>
    <w:p w14:paraId="4F7F18EA">
      <w:pPr>
        <w:rPr>
          <w:rFonts w:hint="eastAsia"/>
        </w:rPr>
      </w:pPr>
      <w:r>
        <w:rPr>
          <w:rFonts w:hint="eastAsia" w:ascii="宋体" w:hAnsi="宋体" w:eastAsia="宋体"/>
          <w:sz w:val="28"/>
          <w:szCs w:val="28"/>
        </w:rPr>
        <w:t>（3）系统应完成不少于</w:t>
      </w:r>
      <w:r>
        <w:rPr>
          <w:rFonts w:hint="eastAsia" w:ascii="宋体" w:hAnsi="宋体"/>
          <w:sz w:val="28"/>
          <w:szCs w:val="28"/>
          <w:lang w:val="en-US" w:eastAsia="zh-CN"/>
        </w:rPr>
        <w:t>2</w:t>
      </w:r>
      <w:r>
        <w:rPr>
          <w:rFonts w:hint="eastAsia" w:ascii="宋体" w:hAnsi="宋体" w:eastAsia="宋体"/>
          <w:sz w:val="28"/>
          <w:szCs w:val="28"/>
        </w:rPr>
        <w:t>个月的全部在线试运行，并根据采购人的反馈修改程序达到所需功能要求。</w:t>
      </w:r>
    </w:p>
    <w:p w14:paraId="61EBA261">
      <w:pPr>
        <w:pStyle w:val="3"/>
        <w:bidi w:val="0"/>
        <w:ind w:left="432" w:leftChars="0" w:hanging="432" w:firstLineChars="0"/>
        <w:rPr>
          <w:rFonts w:hint="eastAsia" w:ascii="楷体" w:hAnsi="楷体" w:eastAsia="楷体" w:cs="楷体"/>
        </w:rPr>
      </w:pPr>
      <w:r>
        <w:rPr>
          <w:rFonts w:hint="eastAsia" w:ascii="楷体" w:hAnsi="楷体" w:eastAsia="楷体" w:cs="楷体"/>
        </w:rPr>
        <w:t>人员要求</w:t>
      </w:r>
    </w:p>
    <w:p w14:paraId="5FD7129B">
      <w:pPr>
        <w:ind w:firstLine="560" w:firstLineChars="200"/>
        <w:rPr>
          <w:rFonts w:hint="eastAsia" w:ascii="宋体" w:hAnsi="宋体"/>
          <w:sz w:val="28"/>
          <w:szCs w:val="28"/>
          <w:highlight w:val="none"/>
          <w:lang w:val="en-US" w:eastAsia="zh-CN"/>
        </w:rPr>
      </w:pPr>
      <w:r>
        <w:rPr>
          <w:rFonts w:hint="eastAsia" w:ascii="宋体" w:hAnsi="宋体" w:eastAsia="宋体"/>
          <w:sz w:val="28"/>
          <w:szCs w:val="28"/>
        </w:rPr>
        <w:t>供应商须具有稳定的在职技术保障力量，能够提供及时的技术支援或服务，应针对本项目提供专业项目服务团队，投标单位的相关服务人员</w:t>
      </w:r>
      <w:r>
        <w:rPr>
          <w:rFonts w:hint="eastAsia" w:ascii="宋体" w:hAnsi="宋体"/>
          <w:sz w:val="28"/>
          <w:szCs w:val="28"/>
          <w:lang w:eastAsia="zh-CN"/>
        </w:rPr>
        <w:t>须具备</w:t>
      </w:r>
      <w:r>
        <w:rPr>
          <w:rFonts w:hint="eastAsia" w:ascii="宋体" w:hAnsi="宋体" w:eastAsia="宋体"/>
          <w:sz w:val="28"/>
          <w:szCs w:val="28"/>
        </w:rPr>
        <w:t>相应的服务能力，其中核心团队人员项目经理、核心研发人员需提供相关证明</w:t>
      </w:r>
      <w:r>
        <w:rPr>
          <w:rFonts w:hint="eastAsia" w:ascii="宋体" w:hAnsi="宋体" w:eastAsia="宋体"/>
          <w:sz w:val="28"/>
          <w:szCs w:val="28"/>
          <w:highlight w:val="none"/>
        </w:rPr>
        <w:t>。</w:t>
      </w:r>
      <w:r>
        <w:rPr>
          <w:rFonts w:hint="eastAsia" w:ascii="宋体" w:hAnsi="宋体"/>
          <w:sz w:val="28"/>
          <w:szCs w:val="28"/>
          <w:highlight w:val="none"/>
          <w:lang w:val="en-US" w:eastAsia="zh-CN"/>
        </w:rPr>
        <w:t>项目团队成员的详细资格要求和人员数量详见下表：</w:t>
      </w:r>
    </w:p>
    <w:p w14:paraId="7C853378">
      <w:pPr>
        <w:ind w:firstLine="560" w:firstLineChars="200"/>
        <w:rPr>
          <w:rFonts w:hint="eastAsia" w:ascii="宋体" w:hAnsi="宋体"/>
          <w:sz w:val="28"/>
          <w:szCs w:val="28"/>
          <w:highlight w:val="none"/>
          <w:lang w:val="en-US" w:eastAsia="zh-CN"/>
        </w:rPr>
      </w:pPr>
    </w:p>
    <w:p w14:paraId="01C47B48">
      <w:pPr>
        <w:ind w:firstLine="560" w:firstLineChars="200"/>
        <w:rPr>
          <w:rFonts w:hint="default" w:ascii="宋体" w:hAnsi="宋体"/>
          <w:sz w:val="28"/>
          <w:szCs w:val="28"/>
          <w:highlight w:val="none"/>
          <w:lang w:val="en-US" w:eastAsia="zh-CN"/>
        </w:rPr>
      </w:pPr>
    </w:p>
    <w:tbl>
      <w:tblPr>
        <w:tblStyle w:val="9"/>
        <w:tblW w:w="890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70"/>
        <w:gridCol w:w="6120"/>
      </w:tblGrid>
      <w:tr w14:paraId="161B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10" w:type="dxa"/>
            <w:tcBorders>
              <w:bottom w:val="single" w:color="auto" w:sz="4" w:space="0"/>
            </w:tcBorders>
            <w:vAlign w:val="center"/>
          </w:tcPr>
          <w:p w14:paraId="70BC34E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rPr>
              <w:t>岗位</w:t>
            </w:r>
            <w:r>
              <w:rPr>
                <w:rFonts w:hint="eastAsia" w:ascii="宋体" w:hAnsi="宋体"/>
                <w:b/>
                <w:bCs/>
                <w:sz w:val="28"/>
                <w:szCs w:val="28"/>
                <w:lang w:val="en-US" w:eastAsia="zh-CN"/>
              </w:rPr>
              <w:t>名称</w:t>
            </w:r>
          </w:p>
        </w:tc>
        <w:tc>
          <w:tcPr>
            <w:tcW w:w="1370" w:type="dxa"/>
            <w:tcBorders>
              <w:bottom w:val="single" w:color="auto" w:sz="4" w:space="0"/>
            </w:tcBorders>
            <w:vAlign w:val="center"/>
          </w:tcPr>
          <w:p w14:paraId="0FF78C8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rPr>
            </w:pPr>
            <w:r>
              <w:rPr>
                <w:rFonts w:hint="eastAsia" w:ascii="宋体" w:hAnsi="宋体"/>
                <w:b/>
                <w:bCs/>
                <w:sz w:val="28"/>
                <w:szCs w:val="28"/>
                <w:lang w:val="en-US" w:eastAsia="zh-CN"/>
              </w:rPr>
              <w:t>配置</w:t>
            </w:r>
            <w:r>
              <w:rPr>
                <w:rFonts w:hint="eastAsia" w:ascii="宋体" w:hAnsi="宋体" w:eastAsia="宋体"/>
                <w:b/>
                <w:bCs/>
                <w:sz w:val="28"/>
                <w:szCs w:val="28"/>
              </w:rPr>
              <w:t>人数</w:t>
            </w:r>
          </w:p>
        </w:tc>
        <w:tc>
          <w:tcPr>
            <w:tcW w:w="6120" w:type="dxa"/>
            <w:tcBorders>
              <w:bottom w:val="single" w:color="auto" w:sz="4" w:space="0"/>
            </w:tcBorders>
            <w:vAlign w:val="center"/>
          </w:tcPr>
          <w:p w14:paraId="09CDF9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rPr>
            </w:pPr>
            <w:r>
              <w:rPr>
                <w:rFonts w:hint="eastAsia" w:ascii="宋体" w:hAnsi="宋体" w:eastAsia="宋体"/>
                <w:b/>
                <w:bCs/>
                <w:sz w:val="28"/>
                <w:szCs w:val="28"/>
                <w:lang w:val="en-US" w:eastAsia="zh-CN"/>
              </w:rPr>
              <w:t>资质</w:t>
            </w:r>
            <w:r>
              <w:rPr>
                <w:rFonts w:hint="eastAsia" w:ascii="宋体" w:hAnsi="宋体" w:eastAsia="宋体"/>
                <w:b/>
                <w:bCs/>
                <w:sz w:val="28"/>
                <w:szCs w:val="28"/>
              </w:rPr>
              <w:t>要求</w:t>
            </w:r>
          </w:p>
        </w:tc>
      </w:tr>
      <w:tr w14:paraId="6F80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1410" w:type="dxa"/>
            <w:vAlign w:val="center"/>
          </w:tcPr>
          <w:p w14:paraId="515AD83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rPr>
            </w:pPr>
            <w:r>
              <w:rPr>
                <w:rFonts w:hint="eastAsia" w:ascii="宋体" w:hAnsi="宋体" w:eastAsia="宋体"/>
                <w:bCs/>
                <w:sz w:val="28"/>
                <w:szCs w:val="28"/>
              </w:rPr>
              <w:t>项目管理</w:t>
            </w:r>
          </w:p>
        </w:tc>
        <w:tc>
          <w:tcPr>
            <w:tcW w:w="1370" w:type="dxa"/>
            <w:vAlign w:val="center"/>
          </w:tcPr>
          <w:p w14:paraId="705EE7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sz w:val="28"/>
                <w:szCs w:val="28"/>
              </w:rPr>
              <w:t>1</w:t>
            </w:r>
            <w:r>
              <w:rPr>
                <w:rFonts w:hint="eastAsia" w:ascii="宋体" w:hAnsi="宋体"/>
                <w:sz w:val="28"/>
                <w:szCs w:val="28"/>
                <w:lang w:val="en-US" w:eastAsia="zh-CN"/>
              </w:rPr>
              <w:t>人</w:t>
            </w:r>
          </w:p>
        </w:tc>
        <w:tc>
          <w:tcPr>
            <w:tcW w:w="6120" w:type="dxa"/>
            <w:vAlign w:val="center"/>
          </w:tcPr>
          <w:p w14:paraId="01A4DF9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1.具有计算机相关专业全日制本科及以上学历</w:t>
            </w:r>
          </w:p>
          <w:p w14:paraId="0520071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lang w:eastAsia="zh-CN"/>
              </w:rPr>
            </w:pPr>
            <w:r>
              <w:rPr>
                <w:rFonts w:hint="eastAsia" w:ascii="宋体" w:hAnsi="宋体" w:eastAsia="宋体"/>
                <w:sz w:val="28"/>
                <w:szCs w:val="28"/>
              </w:rPr>
              <w:t>2.具有信息系统项目管理师</w:t>
            </w:r>
            <w:r>
              <w:rPr>
                <w:rFonts w:hint="eastAsia" w:ascii="宋体" w:hAnsi="宋体"/>
                <w:sz w:val="28"/>
                <w:szCs w:val="28"/>
                <w:lang w:eastAsia="zh-CN"/>
              </w:rPr>
              <w:t>证书（</w:t>
            </w:r>
            <w:r>
              <w:rPr>
                <w:rFonts w:hint="eastAsia" w:ascii="宋体" w:hAnsi="宋体"/>
                <w:sz w:val="28"/>
                <w:szCs w:val="28"/>
                <w:lang w:val="en-US" w:eastAsia="zh-CN"/>
              </w:rPr>
              <w:t>高级</w:t>
            </w:r>
            <w:r>
              <w:rPr>
                <w:rFonts w:hint="eastAsia" w:ascii="宋体" w:hAnsi="宋体"/>
                <w:sz w:val="28"/>
                <w:szCs w:val="28"/>
                <w:lang w:eastAsia="zh-CN"/>
              </w:rPr>
              <w:t>）</w:t>
            </w:r>
          </w:p>
          <w:p w14:paraId="0D0EDA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lang w:val="en-US" w:eastAsia="zh-CN"/>
              </w:rPr>
            </w:pPr>
            <w:r>
              <w:rPr>
                <w:rFonts w:hint="eastAsia" w:ascii="宋体" w:hAnsi="宋体" w:eastAsia="宋体"/>
                <w:sz w:val="28"/>
                <w:szCs w:val="28"/>
              </w:rPr>
              <w:t>3.具有5年及以上工作经验</w:t>
            </w:r>
          </w:p>
        </w:tc>
      </w:tr>
      <w:tr w14:paraId="4E27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4832194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Cs/>
                <w:sz w:val="28"/>
                <w:szCs w:val="28"/>
                <w:highlight w:val="none"/>
              </w:rPr>
            </w:pPr>
            <w:r>
              <w:rPr>
                <w:rFonts w:hint="eastAsia" w:ascii="宋体" w:hAnsi="宋体"/>
                <w:bCs/>
                <w:sz w:val="28"/>
                <w:szCs w:val="28"/>
                <w:highlight w:val="none"/>
                <w:lang w:val="en-US" w:eastAsia="zh-CN"/>
              </w:rPr>
              <w:t>技术</w:t>
            </w:r>
            <w:r>
              <w:rPr>
                <w:rFonts w:hint="eastAsia" w:ascii="宋体" w:hAnsi="宋体" w:eastAsia="宋体"/>
                <w:bCs/>
                <w:sz w:val="28"/>
                <w:szCs w:val="28"/>
                <w:highlight w:val="none"/>
              </w:rPr>
              <w:t>专家</w:t>
            </w:r>
          </w:p>
        </w:tc>
        <w:tc>
          <w:tcPr>
            <w:tcW w:w="1370" w:type="dxa"/>
            <w:vAlign w:val="center"/>
          </w:tcPr>
          <w:p w14:paraId="55F63A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3人</w:t>
            </w:r>
          </w:p>
        </w:tc>
        <w:tc>
          <w:tcPr>
            <w:tcW w:w="6120" w:type="dxa"/>
            <w:vAlign w:val="center"/>
          </w:tcPr>
          <w:p w14:paraId="7147B49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highlight w:val="none"/>
              </w:rPr>
            </w:pPr>
            <w:r>
              <w:rPr>
                <w:rFonts w:hint="eastAsia" w:ascii="宋体" w:hAnsi="宋体" w:eastAsia="宋体"/>
                <w:sz w:val="28"/>
                <w:szCs w:val="28"/>
                <w:highlight w:val="none"/>
              </w:rPr>
              <w:t>1.具有系统分析师高级认证资格</w:t>
            </w:r>
          </w:p>
          <w:p w14:paraId="0ED1E2B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highlight w:val="none"/>
              </w:rPr>
            </w:pPr>
            <w:r>
              <w:rPr>
                <w:rFonts w:hint="eastAsia" w:ascii="宋体" w:hAnsi="宋体" w:eastAsia="宋体"/>
                <w:sz w:val="28"/>
                <w:szCs w:val="28"/>
                <w:highlight w:val="none"/>
              </w:rPr>
              <w:t>2.具有系统架构设计师高级认证资格</w:t>
            </w:r>
          </w:p>
          <w:p w14:paraId="24DC20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sz w:val="28"/>
                <w:szCs w:val="28"/>
                <w:highlight w:val="none"/>
                <w:lang w:val="en-US" w:eastAsia="zh-CN"/>
              </w:rPr>
            </w:pPr>
            <w:r>
              <w:rPr>
                <w:rFonts w:hint="eastAsia" w:ascii="宋体" w:hAnsi="宋体" w:eastAsia="宋体"/>
                <w:sz w:val="28"/>
                <w:szCs w:val="28"/>
                <w:highlight w:val="none"/>
              </w:rPr>
              <w:t>3.具有数据安全治理专业人员（CISP-DSG）认证资格</w:t>
            </w:r>
            <w:r>
              <w:rPr>
                <w:rFonts w:hint="eastAsia" w:ascii="宋体" w:hAnsi="宋体"/>
                <w:sz w:val="28"/>
                <w:szCs w:val="28"/>
                <w:highlight w:val="none"/>
                <w:lang w:val="en-US" w:eastAsia="zh-CN"/>
              </w:rPr>
              <w:t>或同类证书</w:t>
            </w:r>
          </w:p>
          <w:p w14:paraId="7EAF982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highlight w:val="none"/>
              </w:rPr>
            </w:pPr>
            <w:r>
              <w:rPr>
                <w:rFonts w:hint="eastAsia" w:ascii="宋体" w:hAnsi="宋体" w:eastAsia="宋体"/>
                <w:sz w:val="28"/>
                <w:szCs w:val="28"/>
                <w:highlight w:val="none"/>
              </w:rPr>
              <w:t>4.至少具备以上一或多种认证资质，且有5年及以上工作经验</w:t>
            </w:r>
          </w:p>
        </w:tc>
      </w:tr>
      <w:tr w14:paraId="3D56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trPr>
        <w:tc>
          <w:tcPr>
            <w:tcW w:w="1410" w:type="dxa"/>
            <w:vAlign w:val="center"/>
          </w:tcPr>
          <w:p w14:paraId="3B8B496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bCs/>
                <w:sz w:val="28"/>
                <w:szCs w:val="28"/>
              </w:rPr>
              <w:t>研发</w:t>
            </w:r>
            <w:r>
              <w:rPr>
                <w:rFonts w:hint="eastAsia" w:ascii="宋体" w:hAnsi="宋体"/>
                <w:bCs/>
                <w:sz w:val="28"/>
                <w:szCs w:val="28"/>
                <w:lang w:val="en-US" w:eastAsia="zh-CN"/>
              </w:rPr>
              <w:t>人员</w:t>
            </w:r>
          </w:p>
        </w:tc>
        <w:tc>
          <w:tcPr>
            <w:tcW w:w="1370" w:type="dxa"/>
            <w:vAlign w:val="center"/>
          </w:tcPr>
          <w:p w14:paraId="69224AB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5人</w:t>
            </w:r>
          </w:p>
        </w:tc>
        <w:tc>
          <w:tcPr>
            <w:tcW w:w="6120" w:type="dxa"/>
            <w:vMerge w:val="restart"/>
            <w:vAlign w:val="center"/>
          </w:tcPr>
          <w:p w14:paraId="60AB22AD">
            <w:pPr>
              <w:keepNext w:val="0"/>
              <w:keepLines w:val="0"/>
              <w:pageBreakBefore w:val="0"/>
              <w:widowControl/>
              <w:numPr>
                <w:ilvl w:val="0"/>
                <w:numId w:val="24"/>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研发负责人具有计算机相关专业全日制硕士研究生及以上学历</w:t>
            </w:r>
          </w:p>
          <w:p w14:paraId="6F9AEE3C">
            <w:pPr>
              <w:keepNext w:val="0"/>
              <w:keepLines w:val="0"/>
              <w:pageBreakBefore w:val="0"/>
              <w:widowControl/>
              <w:numPr>
                <w:ilvl w:val="0"/>
                <w:numId w:val="24"/>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测试负责人具有计算相关专业全日制本科及以上学历，具有软件评测师中级及以上认证资格。</w:t>
            </w:r>
          </w:p>
          <w:p w14:paraId="497ED63C">
            <w:pPr>
              <w:keepNext w:val="0"/>
              <w:keepLines w:val="0"/>
              <w:pageBreakBefore w:val="0"/>
              <w:widowControl/>
              <w:numPr>
                <w:ilvl w:val="0"/>
                <w:numId w:val="24"/>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核心开发工程师不少于 5 人，核心测试工程师不少于 2 人</w:t>
            </w:r>
          </w:p>
          <w:p w14:paraId="7702CB8D">
            <w:pPr>
              <w:keepNext w:val="0"/>
              <w:keepLines w:val="0"/>
              <w:pageBreakBefore w:val="0"/>
              <w:widowControl/>
              <w:numPr>
                <w:ilvl w:val="0"/>
                <w:numId w:val="24"/>
              </w:numPr>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sz w:val="28"/>
                <w:szCs w:val="28"/>
                <w:lang w:val="en-US" w:eastAsia="zh-CN"/>
              </w:rPr>
            </w:pPr>
            <w:r>
              <w:rPr>
                <w:rFonts w:hint="eastAsia" w:ascii="宋体" w:hAnsi="宋体" w:eastAsia="宋体"/>
                <w:sz w:val="28"/>
                <w:szCs w:val="28"/>
              </w:rPr>
              <w:t>具有 3 年及以上工作经验</w:t>
            </w:r>
          </w:p>
        </w:tc>
      </w:tr>
      <w:tr w14:paraId="4EB1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34FAFB5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bCs/>
                <w:sz w:val="28"/>
                <w:szCs w:val="28"/>
                <w:lang w:val="en-US" w:eastAsia="zh-CN"/>
              </w:rPr>
              <w:t>测试人员</w:t>
            </w:r>
          </w:p>
        </w:tc>
        <w:tc>
          <w:tcPr>
            <w:tcW w:w="1370" w:type="dxa"/>
            <w:vAlign w:val="center"/>
          </w:tcPr>
          <w:p w14:paraId="4DD5581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2人</w:t>
            </w:r>
          </w:p>
        </w:tc>
        <w:tc>
          <w:tcPr>
            <w:tcW w:w="6120" w:type="dxa"/>
            <w:vMerge w:val="continue"/>
            <w:vAlign w:val="center"/>
          </w:tcPr>
          <w:p w14:paraId="09BCF6AD">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sz w:val="28"/>
                <w:szCs w:val="28"/>
                <w:lang w:val="en-US" w:eastAsia="zh-CN"/>
              </w:rPr>
            </w:pPr>
          </w:p>
        </w:tc>
      </w:tr>
    </w:tbl>
    <w:p w14:paraId="3B9519CC">
      <w:pPr>
        <w:pStyle w:val="7"/>
        <w:spacing w:line="300" w:lineRule="auto"/>
        <w:rPr>
          <w:rFonts w:hint="eastAsia" w:ascii="宋体" w:hAnsi="宋体" w:eastAsia="宋体" w:cstheme="minorBidi"/>
          <w:b/>
          <w:bCs/>
          <w:color w:val="auto"/>
          <w:kern w:val="2"/>
          <w:sz w:val="28"/>
          <w:szCs w:val="28"/>
          <w:u w:val="single"/>
          <w:lang w:val="en-US" w:eastAsia="zh-CN" w:bidi="ar-SA"/>
        </w:rPr>
      </w:pPr>
      <w:r>
        <w:rPr>
          <w:rFonts w:hint="eastAsia" w:ascii="宋体" w:hAnsi="宋体" w:eastAsia="宋体" w:cstheme="minorBidi"/>
          <w:b/>
          <w:bCs/>
          <w:color w:val="auto"/>
          <w:kern w:val="2"/>
          <w:sz w:val="28"/>
          <w:szCs w:val="28"/>
          <w:u w:val="single"/>
          <w:lang w:val="en-US" w:eastAsia="zh-CN" w:bidi="ar-SA"/>
        </w:rPr>
        <w:t>注：1、以上人员应为本单位正式员工，提供近</w:t>
      </w:r>
      <w:r>
        <w:rPr>
          <w:rFonts w:hint="eastAsia" w:ascii="宋体" w:hAnsi="宋体" w:cstheme="minorBidi"/>
          <w:b/>
          <w:bCs/>
          <w:color w:val="auto"/>
          <w:kern w:val="2"/>
          <w:sz w:val="28"/>
          <w:szCs w:val="28"/>
          <w:u w:val="single"/>
          <w:lang w:val="en-US" w:eastAsia="zh-CN" w:bidi="ar-SA"/>
        </w:rPr>
        <w:t>3</w:t>
      </w:r>
      <w:r>
        <w:rPr>
          <w:rFonts w:hint="eastAsia" w:ascii="宋体" w:hAnsi="宋体" w:eastAsia="宋体" w:cstheme="minorBidi"/>
          <w:b/>
          <w:bCs/>
          <w:color w:val="auto"/>
          <w:kern w:val="2"/>
          <w:sz w:val="28"/>
          <w:szCs w:val="28"/>
          <w:u w:val="single"/>
          <w:lang w:val="en-US" w:eastAsia="zh-CN" w:bidi="ar-SA"/>
        </w:rPr>
        <w:t>个月内</w:t>
      </w:r>
      <w:r>
        <w:rPr>
          <w:rFonts w:hint="eastAsia" w:ascii="宋体" w:hAnsi="宋体" w:cstheme="minorBidi"/>
          <w:b/>
          <w:bCs/>
          <w:color w:val="auto"/>
          <w:kern w:val="2"/>
          <w:sz w:val="28"/>
          <w:szCs w:val="28"/>
          <w:u w:val="single"/>
          <w:lang w:val="en-US" w:eastAsia="zh-CN" w:bidi="ar-SA"/>
        </w:rPr>
        <w:t>任意一个月</w:t>
      </w:r>
      <w:r>
        <w:rPr>
          <w:rFonts w:hint="eastAsia" w:ascii="宋体" w:hAnsi="宋体" w:eastAsia="宋体" w:cstheme="minorBidi"/>
          <w:b/>
          <w:bCs/>
          <w:color w:val="auto"/>
          <w:kern w:val="2"/>
          <w:sz w:val="28"/>
          <w:szCs w:val="28"/>
          <w:u w:val="single"/>
          <w:lang w:val="en-US" w:eastAsia="zh-CN" w:bidi="ar-SA"/>
        </w:rPr>
        <w:t>的在职证明材料；</w:t>
      </w:r>
    </w:p>
    <w:p w14:paraId="2E125BF4">
      <w:pPr>
        <w:pStyle w:val="7"/>
        <w:spacing w:line="300" w:lineRule="auto"/>
        <w:ind w:firstLine="1096" w:firstLineChars="390"/>
        <w:rPr>
          <w:rFonts w:hint="eastAsia" w:ascii="宋体" w:hAnsi="宋体" w:eastAsia="宋体" w:cstheme="minorBidi"/>
          <w:b/>
          <w:bCs/>
          <w:color w:val="auto"/>
          <w:kern w:val="2"/>
          <w:sz w:val="28"/>
          <w:szCs w:val="28"/>
          <w:u w:val="single"/>
          <w:lang w:val="en-US" w:eastAsia="zh-CN" w:bidi="ar-SA"/>
        </w:rPr>
      </w:pPr>
      <w:r>
        <w:rPr>
          <w:rFonts w:hint="eastAsia" w:ascii="宋体" w:hAnsi="宋体" w:eastAsia="宋体" w:cstheme="minorBidi"/>
          <w:b/>
          <w:bCs/>
          <w:color w:val="auto"/>
          <w:kern w:val="2"/>
          <w:sz w:val="28"/>
          <w:szCs w:val="28"/>
          <w:u w:val="single"/>
          <w:lang w:val="en-US" w:eastAsia="zh-CN" w:bidi="ar-SA"/>
        </w:rPr>
        <w:t>2、拟派人员如有相关证书，可在投标文件中提供。</w:t>
      </w:r>
    </w:p>
    <w:p w14:paraId="4F23EBF7">
      <w:pPr>
        <w:ind w:firstLine="560" w:firstLineChars="200"/>
        <w:rPr>
          <w:rFonts w:hint="eastAsia" w:ascii="宋体" w:hAnsi="宋体" w:eastAsia="宋体"/>
          <w:sz w:val="28"/>
          <w:szCs w:val="28"/>
        </w:rPr>
      </w:pPr>
      <w:r>
        <w:rPr>
          <w:rFonts w:hint="eastAsia" w:ascii="宋体" w:hAnsi="宋体" w:eastAsia="宋体"/>
          <w:sz w:val="28"/>
          <w:szCs w:val="28"/>
        </w:rPr>
        <w:t>供应商应向采购人提交《项目实施工程师团队名单》，合同执行期间，供应商项目人员、热线电话、指定联系人发生变化时，应提前3个工作日向采购人提交《项目实施工程师团队调整说明》。</w:t>
      </w:r>
    </w:p>
    <w:p w14:paraId="39452155">
      <w:pPr>
        <w:ind w:firstLine="560" w:firstLineChars="200"/>
        <w:rPr>
          <w:rFonts w:hint="eastAsia" w:ascii="楷体" w:hAnsi="楷体" w:eastAsia="楷体" w:cs="楷体"/>
        </w:rPr>
      </w:pPr>
      <w:r>
        <w:rPr>
          <w:rFonts w:hint="eastAsia" w:ascii="宋体" w:hAnsi="宋体" w:eastAsia="宋体"/>
          <w:sz w:val="28"/>
          <w:szCs w:val="28"/>
        </w:rPr>
        <w:t>供应商应指派1名具有丰富相关项目研发与实施管理经验的工程师协调与维护服务相关的事宜，提供（7×24小时，含节假日）有效的支持服务电话。</w:t>
      </w:r>
    </w:p>
    <w:p w14:paraId="7B5D7177">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安装和调试</w:t>
      </w:r>
    </w:p>
    <w:p w14:paraId="33B79569">
      <w:pPr>
        <w:ind w:firstLine="560" w:firstLineChars="200"/>
        <w:rPr>
          <w:rFonts w:hint="eastAsia"/>
        </w:rPr>
      </w:pPr>
      <w:r>
        <w:rPr>
          <w:rFonts w:hint="eastAsia" w:ascii="宋体" w:hAnsi="宋体" w:eastAsia="宋体"/>
          <w:sz w:val="28"/>
          <w:szCs w:val="28"/>
        </w:rPr>
        <w:t>供应商应根据采购人要求在指定场所进行安装与调试，直至达到采购人的相关要求。</w:t>
      </w:r>
    </w:p>
    <w:p w14:paraId="7B9506F3">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培训要求</w:t>
      </w:r>
    </w:p>
    <w:p w14:paraId="060E0923">
      <w:pPr>
        <w:rPr>
          <w:rFonts w:hint="eastAsia"/>
        </w:rPr>
      </w:pPr>
      <w:r>
        <w:rPr>
          <w:rFonts w:hint="eastAsia" w:ascii="宋体" w:hAnsi="宋体" w:eastAsia="宋体"/>
          <w:sz w:val="28"/>
          <w:szCs w:val="28"/>
        </w:rPr>
        <w:t>供应商应向采购人提供充分培训，以便采购人能够正常使用和管理所建设的平台系统，供应商应当向采购人提供培训资料与使用说明书。</w:t>
      </w:r>
    </w:p>
    <w:p w14:paraId="48770D08">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验收要求</w:t>
      </w:r>
    </w:p>
    <w:p w14:paraId="37D43679">
      <w:pPr>
        <w:rPr>
          <w:rFonts w:hint="default" w:ascii="宋体" w:hAnsi="宋体" w:eastAsia="宋体"/>
          <w:sz w:val="28"/>
          <w:szCs w:val="28"/>
          <w:lang w:val="en-US" w:eastAsia="zh-CN"/>
        </w:rPr>
      </w:pPr>
      <w:r>
        <w:rPr>
          <w:rFonts w:hint="eastAsia" w:ascii="宋体" w:hAnsi="宋体"/>
          <w:sz w:val="28"/>
          <w:szCs w:val="28"/>
          <w:lang w:val="en-US" w:eastAsia="zh-CN"/>
        </w:rPr>
        <w:t>该项目需依照《</w:t>
      </w:r>
      <w:r>
        <w:rPr>
          <w:rFonts w:hint="eastAsia" w:ascii="宋体" w:hAnsi="宋体" w:eastAsia="宋体"/>
          <w:sz w:val="28"/>
          <w:szCs w:val="28"/>
          <w:lang w:val="en-US" w:eastAsia="zh-CN"/>
        </w:rPr>
        <w:t>中国（上海）自由贸易试验区临港新片区数字化发展项目验收细则</w:t>
      </w:r>
      <w:r>
        <w:rPr>
          <w:rFonts w:hint="eastAsia" w:ascii="宋体" w:hAnsi="宋体"/>
          <w:sz w:val="28"/>
          <w:szCs w:val="28"/>
          <w:lang w:val="en-US" w:eastAsia="zh-CN"/>
        </w:rPr>
        <w:t>》开展项目验收，具体流程包含验收申请与受理、功能确认、技术审查、中期验收、试运行、系统测评、最终验收。</w:t>
      </w:r>
    </w:p>
    <w:p w14:paraId="45CD0FAB">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售后服务要求</w:t>
      </w:r>
    </w:p>
    <w:p w14:paraId="6051B003">
      <w:pPr>
        <w:ind w:firstLine="560" w:firstLineChars="200"/>
        <w:rPr>
          <w:rFonts w:hint="eastAsia" w:ascii="宋体" w:hAnsi="宋体" w:eastAsia="宋体"/>
          <w:sz w:val="28"/>
          <w:szCs w:val="28"/>
        </w:rPr>
      </w:pPr>
      <w:r>
        <w:rPr>
          <w:rFonts w:hint="eastAsia" w:ascii="宋体" w:hAnsi="宋体" w:eastAsia="宋体"/>
          <w:sz w:val="28"/>
          <w:szCs w:val="28"/>
        </w:rPr>
        <w:t>（1）质量保证期技术服务</w:t>
      </w:r>
    </w:p>
    <w:p w14:paraId="38DA4ADE">
      <w:pPr>
        <w:ind w:firstLine="560" w:firstLineChars="200"/>
        <w:rPr>
          <w:rFonts w:hint="eastAsia" w:ascii="宋体" w:hAnsi="宋体" w:eastAsia="宋体"/>
          <w:sz w:val="28"/>
          <w:szCs w:val="28"/>
        </w:rPr>
      </w:pPr>
      <w:r>
        <w:rPr>
          <w:rFonts w:hint="eastAsia" w:ascii="宋体" w:hAnsi="宋体" w:eastAsia="宋体"/>
          <w:sz w:val="28"/>
          <w:szCs w:val="28"/>
        </w:rPr>
        <w:t>质量保证期为一年（自项目验收合格后，供应商应负责对运营中的平台进行技术支持服务一年）。</w:t>
      </w:r>
    </w:p>
    <w:p w14:paraId="2976F014">
      <w:pPr>
        <w:ind w:firstLine="560" w:firstLineChars="200"/>
        <w:rPr>
          <w:rFonts w:hint="eastAsia" w:ascii="宋体" w:hAnsi="宋体" w:eastAsia="宋体"/>
          <w:sz w:val="28"/>
          <w:szCs w:val="28"/>
        </w:rPr>
      </w:pPr>
      <w:r>
        <w:rPr>
          <w:rFonts w:hint="eastAsia" w:ascii="宋体" w:hAnsi="宋体" w:eastAsia="宋体"/>
          <w:sz w:val="28"/>
          <w:szCs w:val="28"/>
        </w:rPr>
        <w:t>运行中出现故障时，由采购人通知投标方供应商。供应商接到通知后2小时内响应，派技术人员远程或上门检查处理。根据故障复杂程度，普通故障应在2小时内修复；严重故障应在8小时内完成修复；特别严重的突发故障，供应商应在8小时内给出临时修复方案，并与采购人协商后续完全修复方案与修复时间。</w:t>
      </w:r>
    </w:p>
    <w:p w14:paraId="52E50967">
      <w:pPr>
        <w:ind w:firstLine="560" w:firstLineChars="200"/>
        <w:rPr>
          <w:rFonts w:hint="eastAsia" w:ascii="宋体" w:hAnsi="宋体" w:eastAsia="宋体"/>
          <w:sz w:val="28"/>
          <w:szCs w:val="28"/>
        </w:rPr>
      </w:pPr>
      <w:r>
        <w:rPr>
          <w:rFonts w:hint="eastAsia" w:ascii="宋体" w:hAnsi="宋体" w:eastAsia="宋体"/>
          <w:sz w:val="28"/>
          <w:szCs w:val="28"/>
        </w:rPr>
        <w:t>供应商需提供至少7*24小时的电话支持服务与电子邮件支持服务，5*8小时远程在线服务。</w:t>
      </w:r>
    </w:p>
    <w:p w14:paraId="37A6A1F7">
      <w:pPr>
        <w:ind w:firstLine="560" w:firstLineChars="200"/>
        <w:rPr>
          <w:rFonts w:hint="eastAsia" w:ascii="宋体" w:hAnsi="宋体" w:eastAsia="宋体"/>
          <w:sz w:val="28"/>
          <w:szCs w:val="28"/>
        </w:rPr>
      </w:pPr>
      <w:r>
        <w:rPr>
          <w:rFonts w:hint="eastAsia" w:ascii="宋体" w:hAnsi="宋体" w:eastAsia="宋体"/>
          <w:sz w:val="28"/>
          <w:szCs w:val="28"/>
        </w:rPr>
        <w:t>技术支持方式应包括电话支持、电子邮件支持、远程协助和现场支持。</w:t>
      </w:r>
    </w:p>
    <w:p w14:paraId="0EA049A4">
      <w:pPr>
        <w:ind w:firstLine="560" w:firstLineChars="200"/>
        <w:rPr>
          <w:rFonts w:hint="eastAsia" w:ascii="宋体" w:hAnsi="宋体" w:eastAsia="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eastAsia="宋体"/>
          <w:sz w:val="28"/>
          <w:szCs w:val="28"/>
        </w:rPr>
        <w:t xml:space="preserve"> 系统升级服务</w:t>
      </w:r>
    </w:p>
    <w:p w14:paraId="3635C1F1">
      <w:pPr>
        <w:ind w:firstLine="560" w:firstLineChars="200"/>
        <w:rPr>
          <w:rFonts w:hint="eastAsia" w:ascii="宋体" w:hAnsi="宋体" w:eastAsia="宋体"/>
          <w:sz w:val="28"/>
          <w:szCs w:val="28"/>
        </w:rPr>
      </w:pPr>
      <w:r>
        <w:rPr>
          <w:rFonts w:hint="eastAsia" w:ascii="宋体" w:hAnsi="宋体" w:eastAsia="宋体"/>
          <w:sz w:val="28"/>
          <w:szCs w:val="28"/>
        </w:rPr>
        <w:t>供应商提供的产品需提供一年免费升级服务</w:t>
      </w:r>
      <w:r>
        <w:rPr>
          <w:rFonts w:hint="eastAsia" w:ascii="宋体" w:hAnsi="宋体"/>
          <w:sz w:val="28"/>
          <w:szCs w:val="28"/>
          <w:lang w:eastAsia="zh-CN"/>
        </w:rPr>
        <w:t>（</w:t>
      </w:r>
      <w:r>
        <w:rPr>
          <w:rFonts w:hint="eastAsia" w:ascii="宋体" w:hAnsi="宋体" w:eastAsia="宋体"/>
          <w:sz w:val="28"/>
          <w:szCs w:val="28"/>
        </w:rPr>
        <w:t>自项目验收合格后计算</w:t>
      </w:r>
      <w:r>
        <w:rPr>
          <w:rFonts w:hint="eastAsia" w:ascii="宋体" w:hAnsi="宋体"/>
          <w:sz w:val="28"/>
          <w:szCs w:val="28"/>
          <w:lang w:eastAsia="zh-CN"/>
        </w:rPr>
        <w:t>）</w:t>
      </w:r>
    </w:p>
    <w:p w14:paraId="66268B89">
      <w:pPr>
        <w:ind w:firstLine="560" w:firstLineChars="200"/>
        <w:rPr>
          <w:rFonts w:hint="eastAsia"/>
        </w:rPr>
      </w:pPr>
      <w:r>
        <w:rPr>
          <w:rFonts w:hint="eastAsia" w:ascii="宋体" w:hAnsi="宋体" w:eastAsia="宋体"/>
          <w:sz w:val="28"/>
          <w:szCs w:val="28"/>
        </w:rPr>
        <w:t>在维保期满后，供应商应继续提供运维服务保障，所涉及的运维服务保障费用可以另行商议。</w:t>
      </w:r>
    </w:p>
    <w:p w14:paraId="67F5C3D2">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其他</w:t>
      </w:r>
    </w:p>
    <w:p w14:paraId="7C2CCEBD">
      <w:pPr>
        <w:rPr>
          <w:rFonts w:hint="eastAsia" w:ascii="宋体" w:hAnsi="宋体" w:eastAsia="宋体" w:cs="宋体"/>
          <w:i w:val="0"/>
          <w:iCs w:val="0"/>
          <w:color w:val="0D0D0D"/>
          <w:sz w:val="22"/>
          <w:szCs w:val="22"/>
          <w:u w:val="none"/>
          <w:lang w:val="en-US" w:eastAsia="zh-CN"/>
        </w:rPr>
      </w:pPr>
    </w:p>
    <w:p w14:paraId="3D36FC6F">
      <w:pPr>
        <w:ind w:firstLine="560"/>
        <w:rPr>
          <w:rFonts w:hint="eastAsia" w:ascii="宋体" w:hAnsi="宋体" w:eastAsia="宋体" w:cstheme="minorBidi"/>
          <w:i w:val="0"/>
          <w:iCs w:val="0"/>
          <w:color w:val="auto"/>
          <w:sz w:val="28"/>
          <w:szCs w:val="28"/>
          <w:u w:val="none"/>
          <w:lang w:val="en-US" w:eastAsia="zh-CN"/>
        </w:rPr>
      </w:pPr>
      <w:r>
        <w:rPr>
          <w:rFonts w:hint="eastAsia" w:ascii="宋体" w:hAnsi="宋体" w:eastAsia="宋体" w:cstheme="minorBidi"/>
          <w:i w:val="0"/>
          <w:iCs w:val="0"/>
          <w:sz w:val="28"/>
          <w:szCs w:val="28"/>
          <w:u w:val="none"/>
          <w:lang w:val="en-US" w:eastAsia="zh-CN"/>
        </w:rPr>
        <w:t>供应商具有</w:t>
      </w:r>
      <w:r>
        <w:rPr>
          <w:rFonts w:hint="eastAsia" w:ascii="宋体" w:hAnsi="宋体" w:eastAsia="宋体" w:cstheme="minorBidi"/>
          <w:i w:val="0"/>
          <w:iCs w:val="0"/>
          <w:color w:val="auto"/>
          <w:sz w:val="28"/>
          <w:szCs w:val="28"/>
          <w:u w:val="none"/>
          <w:lang w:val="en-US" w:eastAsia="zh-CN"/>
        </w:rPr>
        <w:t>信息安全管理体系认证证书、质量管理体系认证证书、信息技术服务管理体系认证证书</w:t>
      </w:r>
      <w:r>
        <w:rPr>
          <w:rFonts w:hint="eastAsia"/>
          <w:color w:val="auto"/>
          <w:vertAlign w:val="baseline"/>
          <w:lang w:val="en-US" w:eastAsia="zh-CN"/>
        </w:rPr>
        <w:t>等</w:t>
      </w:r>
      <w:r>
        <w:rPr>
          <w:rFonts w:hint="eastAsia"/>
          <w:color w:val="auto"/>
          <w:vertAlign w:val="baseline"/>
          <w:lang w:eastAsia="zh-CN"/>
        </w:rPr>
        <w:t>。</w:t>
      </w:r>
    </w:p>
    <w:p w14:paraId="6F871DD3">
      <w:pPr>
        <w:ind w:firstLine="560"/>
        <w:rPr>
          <w:rFonts w:hint="eastAsia" w:ascii="宋体" w:hAnsi="宋体" w:eastAsia="宋体" w:cstheme="minorBidi"/>
          <w:i w:val="0"/>
          <w:iCs w:val="0"/>
          <w:color w:val="auto"/>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Book Antiqua">
    <w:altName w:val="Liberation Serif"/>
    <w:panose1 w:val="02040602050305030304"/>
    <w:charset w:val="00"/>
    <w:family w:val="roman"/>
    <w:pitch w:val="default"/>
    <w:sig w:usb0="00000000" w:usb1="00000000" w:usb2="00000000" w:usb3="00000000" w:csb0="2000009F" w:csb1="DFD70000"/>
  </w:font>
  <w:font w:name="Liberation Serif">
    <w:panose1 w:val="02020603050405020304"/>
    <w:charset w:val="00"/>
    <w:family w:val="auto"/>
    <w:pitch w:val="default"/>
    <w:sig w:usb0="A00002AF" w:usb1="500078FB" w:usb2="00000000" w:usb3="00000000" w:csb0="6000009F" w:csb1="DFD7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8D70"/>
    <w:multiLevelType w:val="multilevel"/>
    <w:tmpl w:val="811B8D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189C108"/>
    <w:multiLevelType w:val="singleLevel"/>
    <w:tmpl w:val="8189C108"/>
    <w:lvl w:ilvl="0" w:tentative="0">
      <w:start w:val="1"/>
      <w:numFmt w:val="decimal"/>
      <w:suff w:val="nothing"/>
      <w:lvlText w:val="%1、"/>
      <w:lvlJc w:val="left"/>
    </w:lvl>
  </w:abstractNum>
  <w:abstractNum w:abstractNumId="2">
    <w:nsid w:val="8257B469"/>
    <w:multiLevelType w:val="singleLevel"/>
    <w:tmpl w:val="8257B469"/>
    <w:lvl w:ilvl="0" w:tentative="0">
      <w:start w:val="1"/>
      <w:numFmt w:val="decimal"/>
      <w:suff w:val="nothing"/>
      <w:lvlText w:val="%1、"/>
      <w:lvlJc w:val="left"/>
    </w:lvl>
  </w:abstractNum>
  <w:abstractNum w:abstractNumId="3">
    <w:nsid w:val="9023B206"/>
    <w:multiLevelType w:val="singleLevel"/>
    <w:tmpl w:val="9023B206"/>
    <w:lvl w:ilvl="0" w:tentative="0">
      <w:start w:val="1"/>
      <w:numFmt w:val="decimal"/>
      <w:suff w:val="nothing"/>
      <w:lvlText w:val="%1、"/>
      <w:lvlJc w:val="left"/>
    </w:lvl>
  </w:abstractNum>
  <w:abstractNum w:abstractNumId="4">
    <w:nsid w:val="98AAB105"/>
    <w:multiLevelType w:val="singleLevel"/>
    <w:tmpl w:val="98AAB105"/>
    <w:lvl w:ilvl="0" w:tentative="0">
      <w:start w:val="1"/>
      <w:numFmt w:val="decimal"/>
      <w:suff w:val="nothing"/>
      <w:lvlText w:val="%1、"/>
      <w:lvlJc w:val="left"/>
    </w:lvl>
  </w:abstractNum>
  <w:abstractNum w:abstractNumId="5">
    <w:nsid w:val="C98B720E"/>
    <w:multiLevelType w:val="singleLevel"/>
    <w:tmpl w:val="C98B720E"/>
    <w:lvl w:ilvl="0" w:tentative="0">
      <w:start w:val="1"/>
      <w:numFmt w:val="chineseCounting"/>
      <w:suff w:val="nothing"/>
      <w:lvlText w:val="（%1）"/>
      <w:lvlJc w:val="left"/>
      <w:pPr>
        <w:ind w:left="0" w:firstLine="420"/>
      </w:pPr>
      <w:rPr>
        <w:rFonts w:hint="eastAsia"/>
      </w:rPr>
    </w:lvl>
  </w:abstractNum>
  <w:abstractNum w:abstractNumId="6">
    <w:nsid w:val="E030485A"/>
    <w:multiLevelType w:val="singleLevel"/>
    <w:tmpl w:val="E030485A"/>
    <w:lvl w:ilvl="0" w:tentative="0">
      <w:start w:val="1"/>
      <w:numFmt w:val="chineseCounting"/>
      <w:suff w:val="nothing"/>
      <w:lvlText w:val="（%1）"/>
      <w:lvlJc w:val="left"/>
      <w:pPr>
        <w:ind w:left="0" w:firstLine="420"/>
      </w:pPr>
      <w:rPr>
        <w:rFonts w:hint="eastAsia"/>
      </w:rPr>
    </w:lvl>
  </w:abstractNum>
  <w:abstractNum w:abstractNumId="7">
    <w:nsid w:val="E814E6C2"/>
    <w:multiLevelType w:val="singleLevel"/>
    <w:tmpl w:val="E814E6C2"/>
    <w:lvl w:ilvl="0" w:tentative="0">
      <w:start w:val="1"/>
      <w:numFmt w:val="decimal"/>
      <w:suff w:val="nothing"/>
      <w:lvlText w:val="%1、"/>
      <w:lvlJc w:val="left"/>
    </w:lvl>
  </w:abstractNum>
  <w:abstractNum w:abstractNumId="8">
    <w:nsid w:val="EC9D2F53"/>
    <w:multiLevelType w:val="singleLevel"/>
    <w:tmpl w:val="EC9D2F53"/>
    <w:lvl w:ilvl="0" w:tentative="0">
      <w:start w:val="1"/>
      <w:numFmt w:val="decimal"/>
      <w:suff w:val="nothing"/>
      <w:lvlText w:val="%1、"/>
      <w:lvlJc w:val="left"/>
    </w:lvl>
  </w:abstractNum>
  <w:abstractNum w:abstractNumId="9">
    <w:nsid w:val="EFCF780F"/>
    <w:multiLevelType w:val="singleLevel"/>
    <w:tmpl w:val="EFCF780F"/>
    <w:lvl w:ilvl="0" w:tentative="0">
      <w:start w:val="1"/>
      <w:numFmt w:val="decimal"/>
      <w:lvlText w:val="(%1)"/>
      <w:lvlJc w:val="left"/>
      <w:pPr>
        <w:ind w:left="425" w:hanging="425"/>
      </w:pPr>
      <w:rPr>
        <w:rFonts w:hint="default"/>
      </w:rPr>
    </w:lvl>
  </w:abstractNum>
  <w:abstractNum w:abstractNumId="10">
    <w:nsid w:val="FCFE3D80"/>
    <w:multiLevelType w:val="singleLevel"/>
    <w:tmpl w:val="FCFE3D80"/>
    <w:lvl w:ilvl="0" w:tentative="0">
      <w:start w:val="1"/>
      <w:numFmt w:val="chineseCounting"/>
      <w:suff w:val="nothing"/>
      <w:lvlText w:val="（%1）"/>
      <w:lvlJc w:val="left"/>
      <w:pPr>
        <w:ind w:left="0" w:firstLine="420"/>
      </w:pPr>
      <w:rPr>
        <w:rFonts w:hint="eastAsia"/>
      </w:rPr>
    </w:lvl>
  </w:abstractNum>
  <w:abstractNum w:abstractNumId="11">
    <w:nsid w:val="03B03ED2"/>
    <w:multiLevelType w:val="singleLevel"/>
    <w:tmpl w:val="03B03ED2"/>
    <w:lvl w:ilvl="0" w:tentative="0">
      <w:start w:val="1"/>
      <w:numFmt w:val="decimal"/>
      <w:suff w:val="nothing"/>
      <w:lvlText w:val="%1、"/>
      <w:lvlJc w:val="left"/>
    </w:lvl>
  </w:abstractNum>
  <w:abstractNum w:abstractNumId="12">
    <w:nsid w:val="0DA84669"/>
    <w:multiLevelType w:val="singleLevel"/>
    <w:tmpl w:val="0DA84669"/>
    <w:lvl w:ilvl="0" w:tentative="0">
      <w:start w:val="1"/>
      <w:numFmt w:val="chineseCounting"/>
      <w:suff w:val="nothing"/>
      <w:lvlText w:val="（%1）"/>
      <w:lvlJc w:val="left"/>
      <w:pPr>
        <w:ind w:left="0" w:firstLine="420"/>
      </w:pPr>
      <w:rPr>
        <w:rFonts w:hint="eastAsia"/>
      </w:rPr>
    </w:lvl>
  </w:abstractNum>
  <w:abstractNum w:abstractNumId="13">
    <w:nsid w:val="1F047C4B"/>
    <w:multiLevelType w:val="singleLevel"/>
    <w:tmpl w:val="1F047C4B"/>
    <w:lvl w:ilvl="0" w:tentative="0">
      <w:start w:val="1"/>
      <w:numFmt w:val="decimal"/>
      <w:suff w:val="nothing"/>
      <w:lvlText w:val="%1、"/>
      <w:lvlJc w:val="left"/>
    </w:lvl>
  </w:abstractNum>
  <w:abstractNum w:abstractNumId="14">
    <w:nsid w:val="27A66C2D"/>
    <w:multiLevelType w:val="singleLevel"/>
    <w:tmpl w:val="27A66C2D"/>
    <w:lvl w:ilvl="0" w:tentative="0">
      <w:start w:val="1"/>
      <w:numFmt w:val="decimal"/>
      <w:suff w:val="nothing"/>
      <w:lvlText w:val="%1、"/>
      <w:lvlJc w:val="left"/>
    </w:lvl>
  </w:abstractNum>
  <w:abstractNum w:abstractNumId="15">
    <w:nsid w:val="30CF2DB1"/>
    <w:multiLevelType w:val="singleLevel"/>
    <w:tmpl w:val="30CF2DB1"/>
    <w:lvl w:ilvl="0" w:tentative="0">
      <w:start w:val="1"/>
      <w:numFmt w:val="decimal"/>
      <w:suff w:val="nothing"/>
      <w:lvlText w:val="%1、"/>
      <w:lvlJc w:val="left"/>
    </w:lvl>
  </w:abstractNum>
  <w:abstractNum w:abstractNumId="16">
    <w:nsid w:val="349A00CE"/>
    <w:multiLevelType w:val="singleLevel"/>
    <w:tmpl w:val="349A00CE"/>
    <w:lvl w:ilvl="0" w:tentative="0">
      <w:start w:val="1"/>
      <w:numFmt w:val="chineseCounting"/>
      <w:suff w:val="nothing"/>
      <w:lvlText w:val="（%1）"/>
      <w:lvlJc w:val="left"/>
      <w:pPr>
        <w:ind w:left="0" w:firstLine="420"/>
      </w:pPr>
      <w:rPr>
        <w:rFonts w:hint="eastAsia"/>
      </w:rPr>
    </w:lvl>
  </w:abstractNum>
  <w:abstractNum w:abstractNumId="17">
    <w:nsid w:val="3EA31E04"/>
    <w:multiLevelType w:val="singleLevel"/>
    <w:tmpl w:val="3EA31E04"/>
    <w:lvl w:ilvl="0" w:tentative="0">
      <w:start w:val="1"/>
      <w:numFmt w:val="decimal"/>
      <w:suff w:val="nothing"/>
      <w:lvlText w:val="%1、"/>
      <w:lvlJc w:val="left"/>
    </w:lvl>
  </w:abstractNum>
  <w:abstractNum w:abstractNumId="18">
    <w:nsid w:val="401B46A8"/>
    <w:multiLevelType w:val="singleLevel"/>
    <w:tmpl w:val="401B46A8"/>
    <w:lvl w:ilvl="0" w:tentative="0">
      <w:start w:val="1"/>
      <w:numFmt w:val="decimal"/>
      <w:suff w:val="nothing"/>
      <w:lvlText w:val="%1、"/>
      <w:lvlJc w:val="left"/>
    </w:lvl>
  </w:abstractNum>
  <w:abstractNum w:abstractNumId="19">
    <w:nsid w:val="4886FE7E"/>
    <w:multiLevelType w:val="singleLevel"/>
    <w:tmpl w:val="4886FE7E"/>
    <w:lvl w:ilvl="0" w:tentative="0">
      <w:start w:val="1"/>
      <w:numFmt w:val="decimal"/>
      <w:suff w:val="nothing"/>
      <w:lvlText w:val="%1、"/>
      <w:lvlJc w:val="left"/>
    </w:lvl>
  </w:abstractNum>
  <w:abstractNum w:abstractNumId="20">
    <w:nsid w:val="50169BDC"/>
    <w:multiLevelType w:val="singleLevel"/>
    <w:tmpl w:val="50169BDC"/>
    <w:lvl w:ilvl="0" w:tentative="0">
      <w:start w:val="1"/>
      <w:numFmt w:val="decimal"/>
      <w:suff w:val="nothing"/>
      <w:lvlText w:val="%1、"/>
      <w:lvlJc w:val="left"/>
    </w:lvl>
  </w:abstractNum>
  <w:abstractNum w:abstractNumId="21">
    <w:nsid w:val="510A79B0"/>
    <w:multiLevelType w:val="singleLevel"/>
    <w:tmpl w:val="510A79B0"/>
    <w:lvl w:ilvl="0" w:tentative="0">
      <w:start w:val="1"/>
      <w:numFmt w:val="decimal"/>
      <w:suff w:val="nothing"/>
      <w:lvlText w:val="%1、"/>
      <w:lvlJc w:val="left"/>
    </w:lvl>
  </w:abstractNum>
  <w:abstractNum w:abstractNumId="22">
    <w:nsid w:val="635E9165"/>
    <w:multiLevelType w:val="singleLevel"/>
    <w:tmpl w:val="635E9165"/>
    <w:lvl w:ilvl="0" w:tentative="0">
      <w:start w:val="1"/>
      <w:numFmt w:val="decimal"/>
      <w:suff w:val="nothing"/>
      <w:lvlText w:val="%1、"/>
      <w:lvlJc w:val="left"/>
    </w:lvl>
  </w:abstractNum>
  <w:abstractNum w:abstractNumId="23">
    <w:nsid w:val="65AC3941"/>
    <w:multiLevelType w:val="singleLevel"/>
    <w:tmpl w:val="65AC3941"/>
    <w:lvl w:ilvl="0" w:tentative="0">
      <w:start w:val="1"/>
      <w:numFmt w:val="decimal"/>
      <w:lvlText w:val="%1."/>
      <w:lvlJc w:val="left"/>
      <w:pPr>
        <w:tabs>
          <w:tab w:val="left" w:pos="312"/>
        </w:tabs>
      </w:pPr>
    </w:lvl>
  </w:abstractNum>
  <w:num w:numId="1">
    <w:abstractNumId w:val="0"/>
  </w:num>
  <w:num w:numId="2">
    <w:abstractNumId w:val="9"/>
  </w:num>
  <w:num w:numId="3">
    <w:abstractNumId w:val="12"/>
  </w:num>
  <w:num w:numId="4">
    <w:abstractNumId w:val="6"/>
  </w:num>
  <w:num w:numId="5">
    <w:abstractNumId w:val="19"/>
  </w:num>
  <w:num w:numId="6">
    <w:abstractNumId w:val="3"/>
  </w:num>
  <w:num w:numId="7">
    <w:abstractNumId w:val="18"/>
  </w:num>
  <w:num w:numId="8">
    <w:abstractNumId w:val="8"/>
  </w:num>
  <w:num w:numId="9">
    <w:abstractNumId w:val="15"/>
  </w:num>
  <w:num w:numId="10">
    <w:abstractNumId w:val="10"/>
  </w:num>
  <w:num w:numId="11">
    <w:abstractNumId w:val="4"/>
  </w:num>
  <w:num w:numId="12">
    <w:abstractNumId w:val="2"/>
  </w:num>
  <w:num w:numId="13">
    <w:abstractNumId w:val="22"/>
  </w:num>
  <w:num w:numId="14">
    <w:abstractNumId w:val="16"/>
  </w:num>
  <w:num w:numId="15">
    <w:abstractNumId w:val="1"/>
  </w:num>
  <w:num w:numId="16">
    <w:abstractNumId w:val="20"/>
  </w:num>
  <w:num w:numId="17">
    <w:abstractNumId w:val="14"/>
  </w:num>
  <w:num w:numId="18">
    <w:abstractNumId w:val="5"/>
  </w:num>
  <w:num w:numId="19">
    <w:abstractNumId w:val="17"/>
  </w:num>
  <w:num w:numId="20">
    <w:abstractNumId w:val="7"/>
  </w:num>
  <w:num w:numId="21">
    <w:abstractNumId w:val="11"/>
  </w:num>
  <w:num w:numId="22">
    <w:abstractNumId w:val="13"/>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ZmI4MDVmMTQ2MjVkZjFlZGQ5NmFkYTRlMjc0MmEifQ=="/>
  </w:docVars>
  <w:rsids>
    <w:rsidRoot w:val="6DEE28CF"/>
    <w:rsid w:val="006D35BF"/>
    <w:rsid w:val="07DD7D52"/>
    <w:rsid w:val="09176D56"/>
    <w:rsid w:val="0FF22E07"/>
    <w:rsid w:val="12B43DA5"/>
    <w:rsid w:val="14FD3E0A"/>
    <w:rsid w:val="156B327C"/>
    <w:rsid w:val="1647200A"/>
    <w:rsid w:val="17E458DD"/>
    <w:rsid w:val="17F9412F"/>
    <w:rsid w:val="195376AB"/>
    <w:rsid w:val="1B3C196E"/>
    <w:rsid w:val="204F2A18"/>
    <w:rsid w:val="2080016D"/>
    <w:rsid w:val="231E71A3"/>
    <w:rsid w:val="288A1B89"/>
    <w:rsid w:val="2FF16992"/>
    <w:rsid w:val="3A1D212F"/>
    <w:rsid w:val="3B8A15AF"/>
    <w:rsid w:val="3E24107D"/>
    <w:rsid w:val="42D82049"/>
    <w:rsid w:val="42E55B8F"/>
    <w:rsid w:val="45374AE7"/>
    <w:rsid w:val="4551531B"/>
    <w:rsid w:val="46F10506"/>
    <w:rsid w:val="471067CC"/>
    <w:rsid w:val="47E726FC"/>
    <w:rsid w:val="493450DB"/>
    <w:rsid w:val="4DCB2A58"/>
    <w:rsid w:val="4E0D7866"/>
    <w:rsid w:val="54703A7A"/>
    <w:rsid w:val="588A355D"/>
    <w:rsid w:val="5B8F7673"/>
    <w:rsid w:val="5D170A96"/>
    <w:rsid w:val="5FE99A5D"/>
    <w:rsid w:val="6082013F"/>
    <w:rsid w:val="653D24AC"/>
    <w:rsid w:val="696E55AE"/>
    <w:rsid w:val="69BA2363"/>
    <w:rsid w:val="6DEE28CF"/>
    <w:rsid w:val="7022345C"/>
    <w:rsid w:val="70E4517B"/>
    <w:rsid w:val="780659D7"/>
    <w:rsid w:val="78FB180A"/>
    <w:rsid w:val="7BEFC1B9"/>
    <w:rsid w:val="7EFFA13F"/>
    <w:rsid w:val="AFFE2B3C"/>
    <w:rsid w:val="EE3E3EFD"/>
    <w:rsid w:val="EEBFB347"/>
    <w:rsid w:val="FBEE57A8"/>
    <w:rsid w:val="FF6F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eastAsia="楷体"/>
      <w:b/>
      <w:kern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Arial" w:hAnsi="Arial"/>
      <w:b/>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360" w:lineRule="auto"/>
      <w:ind w:left="0" w:firstLine="0" w:firstLineChars="0"/>
      <w:outlineLvl w:val="2"/>
    </w:pPr>
    <w:rPr>
      <w:rFonts w:eastAsia="宋体"/>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420"/>
    </w:pPr>
    <w:rPr>
      <w:rFonts w:ascii="Book Antiqua" w:hAnsi="Book Antiqua"/>
      <w:sz w:val="22"/>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可研正文"/>
    <w:basedOn w:val="1"/>
    <w:autoRedefine/>
    <w:qFormat/>
    <w:uiPriority w:val="0"/>
    <w:pPr>
      <w:widowControl w:val="0"/>
      <w:spacing w:line="360" w:lineRule="auto"/>
      <w:ind w:firstLine="200" w:firstLineChars="200"/>
      <w:jc w:val="both"/>
    </w:pPr>
    <w:rPr>
      <w:rFonts w:cstheme="minorBidi"/>
      <w:kern w:val="2"/>
      <w:szCs w:val="28"/>
    </w:rPr>
  </w:style>
  <w:style w:type="paragraph" w:customStyle="1" w:styleId="13">
    <w:name w:val="￥正文"/>
    <w:basedOn w:val="1"/>
    <w:autoRedefine/>
    <w:qFormat/>
    <w:uiPriority w:val="0"/>
    <w:pPr>
      <w:spacing w:line="360" w:lineRule="auto"/>
      <w:ind w:firstLine="480" w:firstLineChars="200"/>
    </w:pPr>
    <w:rPr>
      <w:rFonts w:ascii="Calibri" w:hAnsi="Calibri" w:cs="Times New Roman"/>
      <w:color w:val="000000" w:themeColor="text1"/>
      <w:szCs w:val="20"/>
      <w:lang w:val="zh-CN"/>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15812</Words>
  <Characters>16200</Characters>
  <Lines>0</Lines>
  <Paragraphs>0</Paragraphs>
  <TotalTime>11</TotalTime>
  <ScaleCrop>false</ScaleCrop>
  <LinksUpToDate>false</LinksUpToDate>
  <CharactersWithSpaces>16233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2025-04-08T12:28:00Z</dcterms:created>
  <dc:creator>loading。。。</dc:creator>
  <cp:lastModifiedBy>user</cp:lastModifiedBy>
  <dcterms:modified xsi:type="dcterms:W3CDTF">2025-08-28T14:14:28Z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04B5507FFD5746288B4A970F90DEA7D2_13</vt:lpwstr>
  </property>
  <property fmtid="{D5CDD505-2E9C-101B-9397-08002B2CF9AE}" pid="4" name="KSOTemplateDocerSaveRecord">
    <vt:lpwstr>eyJoZGlkIjoiNzIxNjBlYmQ4NDk4MzI2ZGM5MDAyNTc1ZjY1ZDM4YzAiLCJ1c2VySWQiOiIzMTU1MzcwMTAifQ==</vt:lpwstr>
  </property>
</Properties>
</file>