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A52EA">
      <w:pPr>
        <w:ind w:firstLine="0" w:firstLineChars="0"/>
        <w:jc w:val="center"/>
        <w:rPr>
          <w:rFonts w:hint="eastAsia" w:ascii="黑体" w:hAnsi="黑体" w:eastAsia="黑体"/>
          <w:sz w:val="48"/>
          <w:szCs w:val="48"/>
        </w:rPr>
      </w:pPr>
    </w:p>
    <w:p w14:paraId="6C4B973F">
      <w:pPr>
        <w:ind w:firstLine="0" w:firstLineChars="0"/>
        <w:jc w:val="center"/>
        <w:rPr>
          <w:rFonts w:hint="eastAsia" w:ascii="黑体" w:hAnsi="黑体" w:eastAsia="黑体"/>
          <w:sz w:val="48"/>
          <w:szCs w:val="48"/>
        </w:rPr>
      </w:pPr>
    </w:p>
    <w:p w14:paraId="2AF64D97">
      <w:pPr>
        <w:ind w:firstLine="0" w:firstLineChars="0"/>
        <w:jc w:val="center"/>
        <w:rPr>
          <w:rFonts w:hint="eastAsia" w:ascii="黑体" w:hAnsi="黑体" w:eastAsia="黑体"/>
          <w:sz w:val="52"/>
          <w:szCs w:val="52"/>
        </w:rPr>
      </w:pPr>
      <w:r>
        <w:rPr>
          <w:rFonts w:hint="eastAsia" w:ascii="黑体" w:hAnsi="黑体" w:eastAsia="黑体"/>
          <w:sz w:val="52"/>
          <w:szCs w:val="52"/>
        </w:rPr>
        <w:t>上海市安全生产基础信息平台大系统（2025年升级改造）</w:t>
      </w:r>
    </w:p>
    <w:p w14:paraId="460B5D84">
      <w:pPr>
        <w:ind w:firstLine="0" w:firstLineChars="0"/>
        <w:jc w:val="center"/>
        <w:rPr>
          <w:rFonts w:hint="eastAsia" w:ascii="黑体" w:hAnsi="黑体" w:eastAsia="黑体"/>
          <w:sz w:val="52"/>
          <w:szCs w:val="52"/>
        </w:rPr>
      </w:pPr>
      <w:r>
        <w:rPr>
          <w:rFonts w:hint="eastAsia" w:ascii="黑体" w:hAnsi="黑体" w:eastAsia="黑体"/>
          <w:sz w:val="52"/>
          <w:szCs w:val="52"/>
        </w:rPr>
        <w:t>采购需求</w:t>
      </w:r>
    </w:p>
    <w:p w14:paraId="3D0F6B9E">
      <w:pPr>
        <w:ind w:firstLine="0" w:firstLineChars="0"/>
        <w:jc w:val="center"/>
        <w:rPr>
          <w:rFonts w:hint="eastAsia" w:ascii="黑体" w:hAnsi="黑体" w:eastAsia="黑体"/>
          <w:sz w:val="72"/>
          <w:szCs w:val="72"/>
        </w:rPr>
      </w:pPr>
    </w:p>
    <w:p w14:paraId="13A05E00">
      <w:pPr>
        <w:ind w:firstLine="0" w:firstLineChars="0"/>
        <w:jc w:val="center"/>
        <w:rPr>
          <w:rFonts w:hint="eastAsia" w:ascii="黑体" w:hAnsi="黑体" w:eastAsia="黑体"/>
          <w:sz w:val="48"/>
          <w:szCs w:val="48"/>
        </w:rPr>
      </w:pPr>
    </w:p>
    <w:p w14:paraId="0A42D210">
      <w:pPr>
        <w:ind w:firstLine="0" w:firstLineChars="0"/>
        <w:jc w:val="center"/>
        <w:rPr>
          <w:rFonts w:hint="eastAsia" w:ascii="黑体" w:hAnsi="黑体" w:eastAsia="黑体"/>
          <w:sz w:val="52"/>
          <w:szCs w:val="52"/>
        </w:rPr>
      </w:pPr>
    </w:p>
    <w:p w14:paraId="40815BCC">
      <w:pPr>
        <w:ind w:firstLine="1040"/>
        <w:rPr>
          <w:rFonts w:hint="eastAsia" w:ascii="黑体" w:hAnsi="黑体" w:eastAsia="黑体"/>
          <w:sz w:val="52"/>
          <w:szCs w:val="52"/>
        </w:rPr>
      </w:pPr>
    </w:p>
    <w:p w14:paraId="3DAB6C7D">
      <w:pPr>
        <w:rPr>
          <w:rFonts w:hint="eastAsia"/>
        </w:rPr>
      </w:pPr>
    </w:p>
    <w:p w14:paraId="746DC6E8">
      <w:pPr>
        <w:rPr>
          <w:rFonts w:hint="eastAsia"/>
        </w:rPr>
      </w:pPr>
    </w:p>
    <w:p w14:paraId="3274A7C5">
      <w:pPr>
        <w:rPr>
          <w:rFonts w:hint="eastAsia"/>
        </w:rPr>
      </w:pPr>
    </w:p>
    <w:p w14:paraId="40550336">
      <w:pPr>
        <w:rPr>
          <w:rFonts w:hint="eastAsia"/>
        </w:rPr>
      </w:pPr>
    </w:p>
    <w:p w14:paraId="186915DF">
      <w:pPr>
        <w:rPr>
          <w:rFonts w:hint="eastAsia"/>
        </w:rPr>
      </w:pPr>
    </w:p>
    <w:p w14:paraId="1278CB08">
      <w:pPr>
        <w:ind w:firstLine="1040"/>
        <w:rPr>
          <w:rFonts w:hint="eastAsia" w:ascii="黑体" w:hAnsi="黑体" w:eastAsia="黑体"/>
          <w:sz w:val="52"/>
          <w:szCs w:val="52"/>
        </w:rPr>
      </w:pPr>
    </w:p>
    <w:p w14:paraId="7A29D443">
      <w:pPr>
        <w:jc w:val="center"/>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1134" w:right="1797" w:bottom="1135" w:left="1797" w:header="340" w:footer="7" w:gutter="0"/>
          <w:pgNumType w:start="1"/>
          <w:cols w:space="720" w:num="1"/>
          <w:titlePg/>
          <w:docGrid w:type="linesAndChars" w:linePitch="326" w:charSpace="0"/>
        </w:sectPr>
      </w:pPr>
    </w:p>
    <w:p w14:paraId="21A0E22F">
      <w:pPr>
        <w:pStyle w:val="2"/>
        <w:rPr>
          <w:rFonts w:hint="eastAsia"/>
        </w:rPr>
      </w:pPr>
      <w:bookmarkStart w:id="0" w:name="_Toc63785461"/>
      <w:r>
        <w:rPr>
          <w:rFonts w:hint="eastAsia"/>
        </w:rPr>
        <w:t>项目概况</w:t>
      </w:r>
      <w:bookmarkEnd w:id="0"/>
    </w:p>
    <w:p w14:paraId="153F4752">
      <w:pPr>
        <w:spacing w:line="560" w:lineRule="exact"/>
        <w:rPr>
          <w:rFonts w:hint="eastAsia"/>
        </w:rPr>
      </w:pPr>
      <w:r>
        <w:rPr>
          <w:rFonts w:hint="eastAsia"/>
        </w:rPr>
        <w:t>2023年10月8日，市人社局、市应急局、市住建委、市交通委印发了《上海市初级注册安全工程师职业资格考试实施办法和上海市初级注册安全工程师注册和执业管理办法的通知》（沪应急行规〔2023〕5号）（以下简称《上海通知》），正式启动本局初级注册安全工程师相关工作。根据工作需要，有关报名、注册工作需要电子化，建设上海市初级注册安全工程师管理子系统。</w:t>
      </w:r>
    </w:p>
    <w:p w14:paraId="0785F277">
      <w:pPr>
        <w:spacing w:line="560" w:lineRule="exact"/>
        <w:rPr>
          <w:rFonts w:hint="eastAsia"/>
        </w:rPr>
      </w:pPr>
      <w:r>
        <w:rPr>
          <w:rFonts w:hint="eastAsia"/>
        </w:rPr>
        <w:t>上海市安全生产基础信息平台已完成建设，主要包括业务系统门户，实现统一登录、统一权限分配、统一用户管理，通过基础信息共享平台实现各业务系统数据交互和复用。依托安全生产基础信息平台，统筹推进安全生产监管执法信息化工作，实现了与隐患排查治理、重大危险源备案、安全生产专家管理、行政许可等信息共建共享。本次通过对上海市安全生产基础信息平台大系统（2025年升级改造）的建设，在现有基础上新增初级注册安全工程师管理子系统。</w:t>
      </w:r>
    </w:p>
    <w:p w14:paraId="379FE33D">
      <w:pPr>
        <w:spacing w:line="560" w:lineRule="exact"/>
        <w:rPr>
          <w:rFonts w:hint="eastAsia"/>
        </w:rPr>
      </w:pPr>
      <w:r>
        <w:rPr>
          <w:rFonts w:hint="eastAsia"/>
        </w:rPr>
        <w:t>建设期限：合同签订之日起6个月</w:t>
      </w:r>
    </w:p>
    <w:p w14:paraId="0BDD7BD2">
      <w:pPr>
        <w:spacing w:line="560" w:lineRule="exact"/>
        <w:rPr>
          <w:rFonts w:hint="eastAsia"/>
        </w:rPr>
      </w:pPr>
      <w:r>
        <w:rPr>
          <w:rFonts w:hint="eastAsia"/>
        </w:rPr>
        <w:t>建设地点：上海市应急管理局（上海市黄浦区复兴中路593号）</w:t>
      </w:r>
    </w:p>
    <w:p w14:paraId="4AE3E6E7">
      <w:pPr>
        <w:spacing w:line="560" w:lineRule="exact"/>
        <w:rPr>
          <w:rFonts w:hint="eastAsia"/>
        </w:rPr>
      </w:pPr>
      <w:r>
        <w:rPr>
          <w:rFonts w:hint="eastAsia"/>
        </w:rPr>
        <w:t>预算金额：1000000元</w:t>
      </w:r>
    </w:p>
    <w:p w14:paraId="241E0DED">
      <w:pPr>
        <w:spacing w:line="560" w:lineRule="exact"/>
        <w:rPr>
          <w:rFonts w:hint="eastAsia"/>
        </w:rPr>
      </w:pPr>
      <w:r>
        <w:rPr>
          <w:rFonts w:hint="eastAsia"/>
        </w:rPr>
        <w:t>采购金额（最高限价）：1000000元</w:t>
      </w:r>
    </w:p>
    <w:p w14:paraId="3009070E">
      <w:pPr>
        <w:rPr>
          <w:rFonts w:hint="eastAsia"/>
        </w:rPr>
      </w:pPr>
      <w:r>
        <w:rPr>
          <w:rFonts w:hint="eastAsia"/>
        </w:rPr>
        <w:t>组织形式：集中采购</w:t>
      </w:r>
    </w:p>
    <w:p w14:paraId="65606246">
      <w:pPr>
        <w:rPr>
          <w:rFonts w:hint="eastAsia"/>
        </w:rPr>
      </w:pPr>
      <w:r>
        <w:rPr>
          <w:rFonts w:hint="eastAsia"/>
        </w:rPr>
        <w:t>采购方式：竞争性磋商</w:t>
      </w:r>
    </w:p>
    <w:p w14:paraId="3DA70E7E">
      <w:pPr>
        <w:rPr>
          <w:rFonts w:hint="eastAsia"/>
        </w:rPr>
      </w:pPr>
      <w:r>
        <w:rPr>
          <w:rFonts w:hint="eastAsia"/>
        </w:rPr>
        <w:t>是否接受联合体</w:t>
      </w:r>
      <w:r>
        <w:rPr>
          <w:rFonts w:hint="eastAsia"/>
          <w:lang w:eastAsia="zh-CN"/>
        </w:rPr>
        <w:t>响应</w:t>
      </w:r>
      <w:r>
        <w:rPr>
          <w:rFonts w:hint="eastAsia"/>
        </w:rPr>
        <w:t>：否</w:t>
      </w:r>
    </w:p>
    <w:p w14:paraId="4CE3C34D">
      <w:pPr>
        <w:rPr>
          <w:rFonts w:hint="eastAsia"/>
        </w:rPr>
      </w:pPr>
      <w:r>
        <w:t>是否按信创要求建设：是</w:t>
      </w:r>
    </w:p>
    <w:p w14:paraId="58C83E68">
      <w:pPr>
        <w:rPr>
          <w:rFonts w:hint="eastAsia"/>
        </w:rPr>
      </w:pPr>
      <w:r>
        <w:rPr>
          <w:rFonts w:hint="eastAsia"/>
        </w:rPr>
        <w:t>运维后所属大系统：上海市安全生产基础信息平台大系统</w:t>
      </w:r>
    </w:p>
    <w:p w14:paraId="150F0908">
      <w:pPr>
        <w:pStyle w:val="2"/>
        <w:rPr>
          <w:rFonts w:hint="eastAsia"/>
        </w:rPr>
      </w:pPr>
      <w:bookmarkStart w:id="1" w:name="_Toc47536644"/>
      <w:bookmarkEnd w:id="1"/>
      <w:bookmarkStart w:id="2" w:name="_Toc47536272"/>
      <w:bookmarkEnd w:id="2"/>
      <w:bookmarkStart w:id="3" w:name="_Toc47533256"/>
      <w:bookmarkEnd w:id="3"/>
      <w:bookmarkStart w:id="4" w:name="_Toc47537134"/>
      <w:bookmarkEnd w:id="4"/>
      <w:bookmarkStart w:id="5" w:name="_Toc47539070"/>
      <w:bookmarkEnd w:id="5"/>
      <w:bookmarkStart w:id="6" w:name="_Toc47531634"/>
      <w:bookmarkEnd w:id="6"/>
      <w:bookmarkStart w:id="7" w:name="_Toc47532255"/>
      <w:bookmarkEnd w:id="7"/>
      <w:bookmarkStart w:id="8" w:name="_Toc47532891"/>
      <w:bookmarkEnd w:id="8"/>
      <w:bookmarkStart w:id="9" w:name="_Toc63785463"/>
      <w:bookmarkStart w:id="10" w:name="_Toc48223882"/>
      <w:r>
        <w:rPr>
          <w:rFonts w:hint="eastAsia"/>
        </w:rPr>
        <w:t>建设目标</w:t>
      </w:r>
      <w:bookmarkEnd w:id="9"/>
      <w:bookmarkEnd w:id="10"/>
    </w:p>
    <w:p w14:paraId="69C4A978">
      <w:pPr>
        <w:pStyle w:val="3"/>
        <w:ind w:left="567"/>
        <w:rPr>
          <w:rFonts w:hint="eastAsia"/>
        </w:rPr>
      </w:pPr>
      <w:r>
        <w:rPr>
          <w:rFonts w:hint="eastAsia"/>
        </w:rPr>
        <w:t>建设目标</w:t>
      </w:r>
    </w:p>
    <w:p w14:paraId="11C080BC">
      <w:pPr>
        <w:rPr>
          <w:rFonts w:hint="eastAsia"/>
          <w:bCs/>
        </w:rPr>
      </w:pPr>
      <w:r>
        <w:rPr>
          <w:rFonts w:hint="eastAsia"/>
          <w:bCs/>
        </w:rPr>
        <w:t>1.依托“一网通办”基础平台能力，实现“智慧好办”。</w:t>
      </w:r>
    </w:p>
    <w:p w14:paraId="21176EB0">
      <w:pPr>
        <w:rPr>
          <w:rFonts w:hint="eastAsia"/>
          <w:bCs/>
        </w:rPr>
      </w:pPr>
      <w:r>
        <w:rPr>
          <w:rFonts w:hint="eastAsia"/>
          <w:bCs/>
        </w:rPr>
        <w:t>2.通过“一网通办”平台身份认证系统，提交相关申请。</w:t>
      </w:r>
    </w:p>
    <w:p w14:paraId="1AFE06DE">
      <w:pPr>
        <w:rPr>
          <w:rFonts w:hint="eastAsia"/>
          <w:bCs/>
        </w:rPr>
      </w:pPr>
      <w:r>
        <w:rPr>
          <w:rFonts w:hint="eastAsia"/>
          <w:bCs/>
        </w:rPr>
        <w:t>3.报名、注册等相关信息通过系统后台，推送或共享给市职业能力考试院、市住建委、市交通委。</w:t>
      </w:r>
    </w:p>
    <w:p w14:paraId="1E5A3D94">
      <w:pPr>
        <w:rPr>
          <w:rFonts w:hint="eastAsia"/>
          <w:bCs/>
        </w:rPr>
      </w:pPr>
      <w:r>
        <w:rPr>
          <w:rFonts w:hint="eastAsia"/>
          <w:bCs/>
        </w:rPr>
        <w:t>4.审核结果生成电子证明文件或电子证照，加盖电子印章（盖章单位）。</w:t>
      </w:r>
    </w:p>
    <w:p w14:paraId="06F922D2">
      <w:pPr>
        <w:rPr>
          <w:rFonts w:hint="eastAsia"/>
          <w:bCs/>
        </w:rPr>
      </w:pPr>
      <w:r>
        <w:rPr>
          <w:rFonts w:hint="eastAsia"/>
          <w:bCs/>
        </w:rPr>
        <w:t>5.利用“随申办”移动端，精准推送报名、注册等办理事项流程与结果信息。</w:t>
      </w:r>
    </w:p>
    <w:p w14:paraId="1EB993C7">
      <w:pPr>
        <w:rPr>
          <w:rFonts w:hint="eastAsia"/>
          <w:bCs/>
        </w:rPr>
      </w:pPr>
      <w:r>
        <w:rPr>
          <w:rFonts w:hint="eastAsia"/>
          <w:bCs/>
        </w:rPr>
        <w:t>6.接入“一网通办”快递模块功能，可供申请人选择证照快递服务。</w:t>
      </w:r>
    </w:p>
    <w:p w14:paraId="7CDA24EF">
      <w:pPr>
        <w:rPr>
          <w:rFonts w:hint="eastAsia"/>
          <w:bCs/>
        </w:rPr>
      </w:pPr>
      <w:r>
        <w:rPr>
          <w:rFonts w:hint="eastAsia"/>
          <w:bCs/>
        </w:rPr>
        <w:t>7.开发数据统计分析功能。对报名人的信息内容进行后台统计及智能分析，形成年度报表等资料。</w:t>
      </w:r>
    </w:p>
    <w:p w14:paraId="6D02FE65">
      <w:pPr>
        <w:pStyle w:val="3"/>
        <w:ind w:left="567"/>
        <w:rPr>
          <w:rFonts w:hint="eastAsia"/>
        </w:rPr>
      </w:pPr>
      <w:r>
        <w:rPr>
          <w:rFonts w:hint="eastAsia"/>
        </w:rPr>
        <w:t>技术架构</w:t>
      </w:r>
    </w:p>
    <w:p w14:paraId="200684DB">
      <w:pPr>
        <w:ind w:firstLine="0" w:firstLineChars="0"/>
        <w:rPr>
          <w:rFonts w:hint="eastAsia"/>
          <w:bCs/>
        </w:rPr>
      </w:pPr>
      <w:r>
        <w:object>
          <v:shape id="_x0000_i1025" o:spt="75" type="#_x0000_t75" style="height:327.6pt;width:430.8pt;" o:ole="t" filled="f" o:preferrelative="t" stroked="f" coordsize="21600,21600">
            <v:path/>
            <v:fill on="f" focussize="0,0"/>
            <v:stroke on="f" joinstyle="miter"/>
            <v:imagedata r:id="rId14" o:title=""/>
            <o:lock v:ext="edit" aspectratio="t"/>
            <w10:wrap type="none"/>
            <w10:anchorlock/>
          </v:shape>
          <o:OLEObject Type="Embed" ProgID="Visio.Drawing.15" ShapeID="_x0000_i1025" DrawAspect="Content" ObjectID="_1468075725" r:id="rId13">
            <o:LockedField>false</o:LockedField>
          </o:OLEObject>
        </w:object>
      </w:r>
    </w:p>
    <w:p w14:paraId="01377E2B">
      <w:pPr>
        <w:pStyle w:val="3"/>
        <w:ind w:left="567"/>
        <w:rPr>
          <w:rFonts w:hint="eastAsia"/>
        </w:rPr>
      </w:pPr>
      <w:r>
        <w:rPr>
          <w:rFonts w:hint="eastAsia"/>
        </w:rPr>
        <w:t>技术路线</w:t>
      </w:r>
    </w:p>
    <w:p w14:paraId="59AFEE0A">
      <w:pPr>
        <w:widowControl/>
        <w:snapToGrid w:val="0"/>
        <w:spacing w:line="440" w:lineRule="exact"/>
        <w:jc w:val="left"/>
        <w:rPr>
          <w:rFonts w:hint="eastAsia"/>
        </w:rPr>
      </w:pPr>
      <w:r>
        <w:rPr>
          <w:rFonts w:hint="eastAsia"/>
        </w:rPr>
        <w:t>供应商提交的技术方案合理、可行性高，技术路线先进，成交供应商需配合采购人完成项目的整体建设与竣工验收。</w:t>
      </w:r>
    </w:p>
    <w:p w14:paraId="4D4BD923">
      <w:pPr>
        <w:widowControl/>
        <w:snapToGrid w:val="0"/>
        <w:spacing w:line="440" w:lineRule="exact"/>
        <w:jc w:val="left"/>
        <w:rPr>
          <w:rFonts w:hint="eastAsia"/>
          <w:bCs/>
        </w:rPr>
      </w:pPr>
      <w:r>
        <w:rPr>
          <w:rFonts w:hint="eastAsia"/>
          <w:bCs/>
        </w:rPr>
        <w:t xml:space="preserve">（1）系统应符合技术规范，支持中间件技术，并贯穿工作流技术，实现系统快速开发、敏捷定制。 </w:t>
      </w:r>
    </w:p>
    <w:p w14:paraId="71D5F5F1">
      <w:pPr>
        <w:widowControl/>
        <w:snapToGrid w:val="0"/>
        <w:spacing w:line="440" w:lineRule="exact"/>
        <w:jc w:val="left"/>
        <w:rPr>
          <w:rFonts w:hint="eastAsia"/>
          <w:bCs/>
        </w:rPr>
      </w:pPr>
      <w:r>
        <w:rPr>
          <w:rFonts w:hint="eastAsia"/>
          <w:bCs/>
        </w:rPr>
        <w:t xml:space="preserve">（2）采用 SOA 体系架构，支持软件的平滑升级，对软件的升级与修改只在应用服务器端进行，对用户透明，保证用户随时享有最新版本的软件产品。 </w:t>
      </w:r>
    </w:p>
    <w:p w14:paraId="2D7B3F25">
      <w:pPr>
        <w:rPr>
          <w:rFonts w:hint="eastAsia"/>
          <w:bCs/>
        </w:rPr>
      </w:pPr>
      <w:r>
        <w:rPr>
          <w:rFonts w:hint="eastAsia"/>
          <w:bCs/>
        </w:rPr>
        <w:t>（3）支持 J2EE 技术规范，具备完善的技术构件和以及项目管理业务构件，能够满足快速开发和工期要求。</w:t>
      </w:r>
    </w:p>
    <w:p w14:paraId="50548647">
      <w:pPr>
        <w:pStyle w:val="3"/>
        <w:ind w:left="567"/>
        <w:rPr>
          <w:rFonts w:hint="eastAsia"/>
        </w:rPr>
      </w:pPr>
      <w:bookmarkStart w:id="11" w:name="_Toc47532923"/>
      <w:bookmarkEnd w:id="11"/>
      <w:bookmarkStart w:id="12" w:name="_Toc47536676"/>
      <w:bookmarkEnd w:id="12"/>
      <w:bookmarkStart w:id="13" w:name="_Toc47536304"/>
      <w:bookmarkEnd w:id="13"/>
      <w:bookmarkStart w:id="14" w:name="_Toc47539102"/>
      <w:bookmarkEnd w:id="14"/>
      <w:bookmarkStart w:id="15" w:name="_Toc47537166"/>
      <w:bookmarkEnd w:id="15"/>
      <w:bookmarkStart w:id="16" w:name="_Toc47533288"/>
      <w:bookmarkEnd w:id="16"/>
      <w:r>
        <w:rPr>
          <w:rFonts w:hint="eastAsia"/>
        </w:rPr>
        <w:t>业务指标需求</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3"/>
        <w:gridCol w:w="3119"/>
      </w:tblGrid>
      <w:tr w14:paraId="7D5C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53" w:type="dxa"/>
          </w:tcPr>
          <w:p w14:paraId="5D5468C6">
            <w:pPr>
              <w:pStyle w:val="68"/>
              <w:ind w:firstLine="442"/>
              <w:jc w:val="center"/>
              <w:rPr>
                <w:rFonts w:hint="eastAsia" w:asciiTheme="minorEastAsia" w:hAnsiTheme="minorEastAsia" w:eastAsiaTheme="minorEastAsia"/>
                <w:sz w:val="22"/>
                <w:szCs w:val="22"/>
              </w:rPr>
            </w:pPr>
            <w:r>
              <w:rPr>
                <w:rFonts w:hint="eastAsia" w:asciiTheme="minorEastAsia" w:hAnsiTheme="minorEastAsia" w:eastAsiaTheme="minorEastAsia"/>
                <w:b/>
                <w:bCs/>
                <w:sz w:val="22"/>
                <w:szCs w:val="22"/>
              </w:rPr>
              <w:t>指标描述</w:t>
            </w:r>
          </w:p>
        </w:tc>
        <w:tc>
          <w:tcPr>
            <w:tcW w:w="3119" w:type="dxa"/>
          </w:tcPr>
          <w:p w14:paraId="0A446826">
            <w:pPr>
              <w:pStyle w:val="68"/>
              <w:ind w:firstLine="442"/>
              <w:jc w:val="center"/>
              <w:rPr>
                <w:rFonts w:hint="eastAsia" w:asciiTheme="minorEastAsia" w:hAnsiTheme="minorEastAsia" w:eastAsiaTheme="minorEastAsia"/>
                <w:sz w:val="22"/>
                <w:szCs w:val="22"/>
              </w:rPr>
            </w:pPr>
            <w:r>
              <w:rPr>
                <w:rFonts w:hint="eastAsia" w:asciiTheme="minorEastAsia" w:hAnsiTheme="minorEastAsia" w:eastAsiaTheme="minorEastAsia"/>
                <w:b/>
                <w:bCs/>
                <w:sz w:val="22"/>
                <w:szCs w:val="22"/>
              </w:rPr>
              <w:t>目标值</w:t>
            </w:r>
          </w:p>
        </w:tc>
      </w:tr>
      <w:tr w14:paraId="2DAD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53" w:type="dxa"/>
            <w:vAlign w:val="center"/>
          </w:tcPr>
          <w:p w14:paraId="52ACA710">
            <w:pPr>
              <w:pStyle w:val="68"/>
              <w:ind w:firstLine="44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线上办件占比</w:t>
            </w:r>
          </w:p>
        </w:tc>
        <w:tc>
          <w:tcPr>
            <w:tcW w:w="3119" w:type="dxa"/>
            <w:vAlign w:val="center"/>
          </w:tcPr>
          <w:p w14:paraId="4491EFE6">
            <w:pPr>
              <w:pStyle w:val="68"/>
              <w:ind w:firstLine="44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100%</w:t>
            </w:r>
          </w:p>
        </w:tc>
      </w:tr>
      <w:tr w14:paraId="7138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53" w:type="dxa"/>
            <w:vAlign w:val="center"/>
          </w:tcPr>
          <w:p w14:paraId="637D0957">
            <w:pPr>
              <w:pStyle w:val="68"/>
              <w:ind w:firstLine="44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系统用户量</w:t>
            </w:r>
          </w:p>
        </w:tc>
        <w:tc>
          <w:tcPr>
            <w:tcW w:w="3119" w:type="dxa"/>
            <w:vAlign w:val="center"/>
          </w:tcPr>
          <w:p w14:paraId="4EDC370E">
            <w:pPr>
              <w:pStyle w:val="68"/>
              <w:ind w:firstLine="44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&gt;=1000</w:t>
            </w:r>
          </w:p>
        </w:tc>
      </w:tr>
      <w:tr w14:paraId="1A1B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353" w:type="dxa"/>
            <w:vAlign w:val="center"/>
          </w:tcPr>
          <w:p w14:paraId="313D2110">
            <w:pPr>
              <w:pStyle w:val="68"/>
              <w:ind w:firstLine="44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电子证照数据采集完成率</w:t>
            </w:r>
          </w:p>
        </w:tc>
        <w:tc>
          <w:tcPr>
            <w:tcW w:w="3119" w:type="dxa"/>
            <w:vAlign w:val="center"/>
          </w:tcPr>
          <w:p w14:paraId="112A2D5F">
            <w:pPr>
              <w:pStyle w:val="68"/>
              <w:ind w:firstLine="44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100%</w:t>
            </w:r>
          </w:p>
        </w:tc>
      </w:tr>
    </w:tbl>
    <w:p w14:paraId="50E1E8E8">
      <w:pPr>
        <w:rPr>
          <w:rFonts w:hint="eastAsia"/>
        </w:rPr>
      </w:pPr>
    </w:p>
    <w:p w14:paraId="18ED7C5F">
      <w:pPr>
        <w:pStyle w:val="3"/>
        <w:ind w:left="567"/>
        <w:rPr>
          <w:rFonts w:hint="eastAsia"/>
        </w:rPr>
      </w:pPr>
      <w:r>
        <w:rPr>
          <w:rFonts w:hint="eastAsia"/>
        </w:rPr>
        <w:t>技术绩效指标需求</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3"/>
        <w:gridCol w:w="3119"/>
      </w:tblGrid>
      <w:tr w14:paraId="134F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53" w:type="dxa"/>
          </w:tcPr>
          <w:p w14:paraId="5730E9ED">
            <w:pPr>
              <w:pStyle w:val="68"/>
              <w:ind w:firstLine="442"/>
              <w:jc w:val="center"/>
              <w:rPr>
                <w:rFonts w:hint="eastAsia" w:asciiTheme="minorEastAsia" w:hAnsiTheme="minorEastAsia" w:eastAsiaTheme="minorEastAsia"/>
                <w:sz w:val="22"/>
                <w:szCs w:val="22"/>
              </w:rPr>
            </w:pPr>
            <w:r>
              <w:rPr>
                <w:rFonts w:hint="eastAsia" w:asciiTheme="minorEastAsia" w:hAnsiTheme="minorEastAsia" w:eastAsiaTheme="minorEastAsia"/>
                <w:b/>
                <w:bCs/>
                <w:sz w:val="22"/>
                <w:szCs w:val="22"/>
              </w:rPr>
              <w:t>指标描述</w:t>
            </w:r>
          </w:p>
        </w:tc>
        <w:tc>
          <w:tcPr>
            <w:tcW w:w="3119" w:type="dxa"/>
          </w:tcPr>
          <w:p w14:paraId="0A8B0BC8">
            <w:pPr>
              <w:pStyle w:val="68"/>
              <w:ind w:firstLine="442"/>
              <w:jc w:val="center"/>
              <w:rPr>
                <w:rFonts w:hint="eastAsia" w:asciiTheme="minorEastAsia" w:hAnsiTheme="minorEastAsia" w:eastAsiaTheme="minorEastAsia"/>
                <w:sz w:val="22"/>
                <w:szCs w:val="22"/>
              </w:rPr>
            </w:pPr>
            <w:r>
              <w:rPr>
                <w:rFonts w:hint="eastAsia" w:asciiTheme="minorEastAsia" w:hAnsiTheme="minorEastAsia" w:eastAsiaTheme="minorEastAsia"/>
                <w:b/>
                <w:bCs/>
                <w:sz w:val="22"/>
                <w:szCs w:val="22"/>
              </w:rPr>
              <w:t>目标值</w:t>
            </w:r>
          </w:p>
        </w:tc>
      </w:tr>
      <w:tr w14:paraId="0E23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53" w:type="dxa"/>
            <w:vAlign w:val="center"/>
          </w:tcPr>
          <w:p w14:paraId="73A9DA68">
            <w:pPr>
              <w:pStyle w:val="68"/>
              <w:ind w:firstLine="440"/>
              <w:rPr>
                <w:rFonts w:hint="eastAsia" w:asciiTheme="minorEastAsia" w:hAnsiTheme="minorEastAsia" w:eastAsiaTheme="minorEastAsia"/>
                <w:sz w:val="22"/>
                <w:szCs w:val="22"/>
              </w:rPr>
            </w:pPr>
            <w:r>
              <w:rPr>
                <w:rFonts w:hint="eastAsia" w:asciiTheme="minorEastAsia" w:hAnsiTheme="minorEastAsia" w:eastAsiaTheme="minorEastAsia" w:cstheme="minorBidi"/>
                <w:sz w:val="22"/>
                <w:szCs w:val="22"/>
              </w:rPr>
              <w:t>软件开发完成率</w:t>
            </w:r>
          </w:p>
        </w:tc>
        <w:tc>
          <w:tcPr>
            <w:tcW w:w="3119" w:type="dxa"/>
            <w:vAlign w:val="center"/>
          </w:tcPr>
          <w:p w14:paraId="562CC237">
            <w:pPr>
              <w:pStyle w:val="68"/>
              <w:ind w:firstLine="44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100%</w:t>
            </w:r>
          </w:p>
        </w:tc>
      </w:tr>
      <w:tr w14:paraId="2511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53" w:type="dxa"/>
            <w:vAlign w:val="center"/>
          </w:tcPr>
          <w:p w14:paraId="047E83E6">
            <w:pPr>
              <w:pStyle w:val="68"/>
              <w:ind w:firstLine="440"/>
              <w:rPr>
                <w:rFonts w:hint="eastAsia" w:asciiTheme="minorEastAsia" w:hAnsiTheme="minorEastAsia" w:eastAsiaTheme="minorEastAsia"/>
                <w:sz w:val="22"/>
                <w:szCs w:val="22"/>
              </w:rPr>
            </w:pPr>
            <w:r>
              <w:rPr>
                <w:rFonts w:hint="eastAsia" w:asciiTheme="minorEastAsia" w:hAnsiTheme="minorEastAsia" w:eastAsiaTheme="minorEastAsia" w:cstheme="minorBidi"/>
                <w:sz w:val="22"/>
                <w:szCs w:val="22"/>
              </w:rPr>
              <w:t>软件测试</w:t>
            </w:r>
          </w:p>
        </w:tc>
        <w:tc>
          <w:tcPr>
            <w:tcW w:w="3119" w:type="dxa"/>
            <w:vAlign w:val="center"/>
          </w:tcPr>
          <w:p w14:paraId="0496B7B2">
            <w:pPr>
              <w:pStyle w:val="68"/>
              <w:ind w:firstLine="44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通过</w:t>
            </w:r>
          </w:p>
        </w:tc>
      </w:tr>
      <w:tr w14:paraId="79C5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353" w:type="dxa"/>
            <w:vAlign w:val="center"/>
          </w:tcPr>
          <w:p w14:paraId="3775B83F">
            <w:pPr>
              <w:pStyle w:val="68"/>
              <w:ind w:firstLine="440"/>
              <w:rPr>
                <w:rFonts w:hint="eastAsia" w:asciiTheme="minorEastAsia" w:hAnsiTheme="minorEastAsia" w:eastAsiaTheme="minorEastAsia"/>
                <w:sz w:val="22"/>
                <w:szCs w:val="22"/>
              </w:rPr>
            </w:pPr>
            <w:r>
              <w:rPr>
                <w:rFonts w:hint="eastAsia" w:asciiTheme="minorEastAsia" w:hAnsiTheme="minorEastAsia" w:eastAsiaTheme="minorEastAsia" w:cstheme="minorBidi"/>
                <w:sz w:val="22"/>
                <w:szCs w:val="22"/>
              </w:rPr>
              <w:t>安全测试</w:t>
            </w:r>
          </w:p>
        </w:tc>
        <w:tc>
          <w:tcPr>
            <w:tcW w:w="3119" w:type="dxa"/>
            <w:vAlign w:val="center"/>
          </w:tcPr>
          <w:p w14:paraId="3A2A09C6">
            <w:pPr>
              <w:pStyle w:val="68"/>
              <w:ind w:firstLine="44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通过</w:t>
            </w:r>
          </w:p>
        </w:tc>
      </w:tr>
      <w:tr w14:paraId="3ED1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353" w:type="dxa"/>
            <w:vAlign w:val="center"/>
          </w:tcPr>
          <w:p w14:paraId="15BB58AD">
            <w:pPr>
              <w:pStyle w:val="68"/>
              <w:ind w:firstLine="440"/>
              <w:rPr>
                <w:rFonts w:hint="eastAsia" w:asciiTheme="minorEastAsia" w:hAnsiTheme="minorEastAsia" w:eastAsiaTheme="minorEastAsia"/>
                <w:sz w:val="22"/>
                <w:szCs w:val="22"/>
              </w:rPr>
            </w:pPr>
            <w:r>
              <w:rPr>
                <w:rFonts w:hint="eastAsia" w:asciiTheme="minorEastAsia" w:hAnsiTheme="minorEastAsia" w:eastAsiaTheme="minorEastAsia" w:cstheme="minorBidi"/>
                <w:sz w:val="22"/>
                <w:szCs w:val="22"/>
              </w:rPr>
              <w:t>密码测试</w:t>
            </w:r>
          </w:p>
        </w:tc>
        <w:tc>
          <w:tcPr>
            <w:tcW w:w="3119" w:type="dxa"/>
            <w:vAlign w:val="center"/>
          </w:tcPr>
          <w:p w14:paraId="4F45AB81">
            <w:pPr>
              <w:pStyle w:val="68"/>
              <w:ind w:firstLine="440"/>
              <w:rPr>
                <w:rFonts w:hint="eastAsia" w:asciiTheme="minorEastAsia" w:hAnsiTheme="minorEastAsia" w:eastAsiaTheme="minorEastAsia"/>
                <w:sz w:val="22"/>
                <w:szCs w:val="22"/>
              </w:rPr>
            </w:pPr>
            <w:r>
              <w:rPr>
                <w:rFonts w:hint="eastAsia" w:asciiTheme="minorEastAsia" w:hAnsiTheme="minorEastAsia" w:eastAsiaTheme="minorEastAsia"/>
                <w:sz w:val="22"/>
                <w:szCs w:val="22"/>
              </w:rPr>
              <w:t>通过</w:t>
            </w:r>
          </w:p>
        </w:tc>
      </w:tr>
    </w:tbl>
    <w:p w14:paraId="6908C7BC">
      <w:pPr>
        <w:rPr>
          <w:rFonts w:hint="eastAsia"/>
        </w:rPr>
      </w:pPr>
    </w:p>
    <w:p w14:paraId="04E79E3C">
      <w:pPr>
        <w:pStyle w:val="3"/>
        <w:ind w:left="567"/>
        <w:rPr>
          <w:rFonts w:hint="eastAsia"/>
        </w:rPr>
      </w:pPr>
      <w:r>
        <w:rPr>
          <w:rFonts w:hint="eastAsia"/>
        </w:rPr>
        <w:t>性能指标需求</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3"/>
        <w:gridCol w:w="3119"/>
      </w:tblGrid>
      <w:tr w14:paraId="3374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53" w:type="dxa"/>
          </w:tcPr>
          <w:p w14:paraId="3C8F4AED">
            <w:pPr>
              <w:pStyle w:val="68"/>
              <w:jc w:val="center"/>
              <w:rPr>
                <w:rFonts w:hint="eastAsia" w:asciiTheme="minorEastAsia" w:hAnsiTheme="minorEastAsia" w:eastAsiaTheme="minorEastAsia"/>
                <w:sz w:val="22"/>
                <w:szCs w:val="22"/>
              </w:rPr>
            </w:pPr>
            <w:r>
              <w:rPr>
                <w:rFonts w:hint="eastAsia" w:asciiTheme="minorEastAsia" w:hAnsiTheme="minorEastAsia" w:eastAsiaTheme="minorEastAsia"/>
                <w:b/>
                <w:bCs/>
                <w:sz w:val="22"/>
                <w:szCs w:val="22"/>
              </w:rPr>
              <w:t>指标描述</w:t>
            </w:r>
          </w:p>
        </w:tc>
        <w:tc>
          <w:tcPr>
            <w:tcW w:w="3119" w:type="dxa"/>
          </w:tcPr>
          <w:p w14:paraId="603A30F3">
            <w:pPr>
              <w:pStyle w:val="68"/>
              <w:jc w:val="center"/>
              <w:rPr>
                <w:rFonts w:hint="eastAsia" w:asciiTheme="minorEastAsia" w:hAnsiTheme="minorEastAsia" w:eastAsiaTheme="minorEastAsia"/>
                <w:sz w:val="22"/>
                <w:szCs w:val="22"/>
              </w:rPr>
            </w:pPr>
            <w:r>
              <w:rPr>
                <w:rFonts w:hint="eastAsia" w:asciiTheme="minorEastAsia" w:hAnsiTheme="minorEastAsia" w:eastAsiaTheme="minorEastAsia"/>
                <w:b/>
                <w:bCs/>
                <w:sz w:val="22"/>
                <w:szCs w:val="22"/>
              </w:rPr>
              <w:t>目标值</w:t>
            </w:r>
          </w:p>
        </w:tc>
      </w:tr>
      <w:tr w14:paraId="4189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53" w:type="dxa"/>
          </w:tcPr>
          <w:p w14:paraId="6326F786">
            <w:pPr>
              <w:pStyle w:val="68"/>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支持并发用户数（报名）</w:t>
            </w:r>
          </w:p>
        </w:tc>
        <w:tc>
          <w:tcPr>
            <w:tcW w:w="3119" w:type="dxa"/>
          </w:tcPr>
          <w:p w14:paraId="68F2B14F">
            <w:pPr>
              <w:pStyle w:val="68"/>
              <w:rPr>
                <w:rFonts w:hint="eastAsia" w:asciiTheme="minorEastAsia" w:hAnsiTheme="minorEastAsia" w:eastAsiaTheme="minorEastAsia"/>
                <w:sz w:val="22"/>
                <w:szCs w:val="22"/>
              </w:rPr>
            </w:pPr>
            <w:r>
              <w:rPr>
                <w:rFonts w:hint="eastAsia" w:asciiTheme="minorEastAsia" w:hAnsiTheme="minorEastAsia" w:eastAsiaTheme="minorEastAsia"/>
                <w:sz w:val="22"/>
                <w:szCs w:val="22"/>
              </w:rPr>
              <w:t>≥80人</w:t>
            </w:r>
          </w:p>
        </w:tc>
      </w:tr>
      <w:tr w14:paraId="7C33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53" w:type="dxa"/>
          </w:tcPr>
          <w:p w14:paraId="0F7920E8">
            <w:pPr>
              <w:pStyle w:val="68"/>
              <w:rPr>
                <w:rFonts w:hint="eastAsia" w:asciiTheme="minorEastAsia" w:hAnsiTheme="minorEastAsia" w:eastAsiaTheme="minorEastAsia"/>
                <w:sz w:val="22"/>
                <w:szCs w:val="22"/>
              </w:rPr>
            </w:pPr>
            <w:r>
              <w:rPr>
                <w:rFonts w:hint="eastAsia" w:asciiTheme="minorEastAsia" w:hAnsiTheme="minorEastAsia" w:eastAsiaTheme="minorEastAsia"/>
                <w:sz w:val="22"/>
                <w:szCs w:val="22"/>
              </w:rPr>
              <w:t>系统登录时间</w:t>
            </w:r>
          </w:p>
        </w:tc>
        <w:tc>
          <w:tcPr>
            <w:tcW w:w="3119" w:type="dxa"/>
          </w:tcPr>
          <w:p w14:paraId="34F027CB">
            <w:pPr>
              <w:pStyle w:val="68"/>
              <w:rPr>
                <w:rFonts w:hint="eastAsia" w:asciiTheme="minorEastAsia" w:hAnsiTheme="minorEastAsia" w:eastAsiaTheme="minorEastAsia"/>
                <w:sz w:val="22"/>
                <w:szCs w:val="22"/>
              </w:rPr>
            </w:pPr>
            <w:r>
              <w:rPr>
                <w:rFonts w:hint="eastAsia" w:asciiTheme="minorEastAsia" w:hAnsiTheme="minorEastAsia" w:eastAsiaTheme="minorEastAsia"/>
                <w:sz w:val="22"/>
                <w:szCs w:val="22"/>
              </w:rPr>
              <w:t>≤3秒</w:t>
            </w:r>
          </w:p>
        </w:tc>
      </w:tr>
      <w:tr w14:paraId="059D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353" w:type="dxa"/>
          </w:tcPr>
          <w:p w14:paraId="5A7BF2CB">
            <w:pPr>
              <w:pStyle w:val="68"/>
              <w:rPr>
                <w:rFonts w:hint="eastAsia" w:asciiTheme="minorEastAsia" w:hAnsiTheme="minorEastAsia" w:eastAsiaTheme="minorEastAsia"/>
                <w:sz w:val="22"/>
                <w:szCs w:val="22"/>
              </w:rPr>
            </w:pPr>
            <w:r>
              <w:rPr>
                <w:rFonts w:hint="eastAsia" w:asciiTheme="minorEastAsia" w:hAnsiTheme="minorEastAsia" w:eastAsiaTheme="minorEastAsia"/>
                <w:sz w:val="22"/>
                <w:szCs w:val="22"/>
              </w:rPr>
              <w:t>一般查询和写入操作响应时间（90%的操作页面）</w:t>
            </w:r>
          </w:p>
        </w:tc>
        <w:tc>
          <w:tcPr>
            <w:tcW w:w="3119" w:type="dxa"/>
          </w:tcPr>
          <w:p w14:paraId="601E4DDB">
            <w:pPr>
              <w:pStyle w:val="68"/>
              <w:rPr>
                <w:rFonts w:hint="eastAsia" w:asciiTheme="minorEastAsia" w:hAnsiTheme="minorEastAsia" w:eastAsiaTheme="minorEastAsia"/>
                <w:sz w:val="22"/>
                <w:szCs w:val="22"/>
              </w:rPr>
            </w:pPr>
            <w:r>
              <w:rPr>
                <w:rFonts w:hint="eastAsia" w:asciiTheme="minorEastAsia" w:hAnsiTheme="minorEastAsia" w:eastAsiaTheme="minorEastAsia"/>
                <w:sz w:val="22"/>
                <w:szCs w:val="22"/>
              </w:rPr>
              <w:t>≤3秒</w:t>
            </w:r>
          </w:p>
        </w:tc>
      </w:tr>
      <w:tr w14:paraId="01B2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53" w:type="dxa"/>
          </w:tcPr>
          <w:p w14:paraId="0CB2C37B">
            <w:pPr>
              <w:pStyle w:val="68"/>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搜索类操作响应时间（90%的搜索页面）</w:t>
            </w:r>
          </w:p>
        </w:tc>
        <w:tc>
          <w:tcPr>
            <w:tcW w:w="3119" w:type="dxa"/>
          </w:tcPr>
          <w:p w14:paraId="4101EB73">
            <w:pPr>
              <w:pStyle w:val="68"/>
              <w:rPr>
                <w:rFonts w:hint="eastAsia" w:asciiTheme="minorEastAsia" w:hAnsiTheme="minorEastAsia" w:eastAsiaTheme="minorEastAsia"/>
                <w:sz w:val="22"/>
                <w:szCs w:val="22"/>
              </w:rPr>
            </w:pPr>
            <w:r>
              <w:rPr>
                <w:rFonts w:hint="eastAsia" w:asciiTheme="minorEastAsia" w:hAnsiTheme="minorEastAsia" w:eastAsiaTheme="minorEastAsia"/>
                <w:sz w:val="22"/>
                <w:szCs w:val="22"/>
              </w:rPr>
              <w:t>≤5秒</w:t>
            </w:r>
          </w:p>
        </w:tc>
      </w:tr>
      <w:tr w14:paraId="52D6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53" w:type="dxa"/>
          </w:tcPr>
          <w:p w14:paraId="3395C113">
            <w:pPr>
              <w:pStyle w:val="68"/>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报表统计类操作响应时间（90%的报表页面）</w:t>
            </w:r>
          </w:p>
        </w:tc>
        <w:tc>
          <w:tcPr>
            <w:tcW w:w="3119" w:type="dxa"/>
          </w:tcPr>
          <w:p w14:paraId="131CCC4D">
            <w:pPr>
              <w:pStyle w:val="68"/>
              <w:rPr>
                <w:rFonts w:hint="eastAsia" w:asciiTheme="minorEastAsia" w:hAnsiTheme="minorEastAsia" w:eastAsiaTheme="minorEastAsia"/>
                <w:sz w:val="22"/>
                <w:szCs w:val="22"/>
              </w:rPr>
            </w:pPr>
            <w:r>
              <w:rPr>
                <w:rFonts w:hint="eastAsia" w:asciiTheme="minorEastAsia" w:hAnsiTheme="minorEastAsia" w:eastAsiaTheme="minorEastAsia"/>
                <w:sz w:val="22"/>
                <w:szCs w:val="22"/>
              </w:rPr>
              <w:t>≤5秒</w:t>
            </w:r>
          </w:p>
        </w:tc>
      </w:tr>
    </w:tbl>
    <w:p w14:paraId="3BE46EFD">
      <w:pPr>
        <w:rPr>
          <w:rFonts w:hint="eastAsia"/>
        </w:rPr>
      </w:pPr>
    </w:p>
    <w:p w14:paraId="57C7EB65">
      <w:pPr>
        <w:pStyle w:val="2"/>
        <w:rPr>
          <w:rFonts w:hint="eastAsia"/>
        </w:rPr>
      </w:pPr>
      <w:r>
        <w:rPr>
          <w:rFonts w:hint="eastAsia"/>
        </w:rPr>
        <w:t>项目建设内容</w:t>
      </w:r>
    </w:p>
    <w:p w14:paraId="21E2C7D4">
      <w:pPr>
        <w:pStyle w:val="3"/>
        <w:ind w:left="567"/>
        <w:rPr>
          <w:rFonts w:hint="eastAsia"/>
        </w:rPr>
      </w:pPr>
      <w:r>
        <w:rPr>
          <w:rFonts w:hint="eastAsia"/>
        </w:rPr>
        <w:t>建设内容概述</w:t>
      </w:r>
    </w:p>
    <w:p w14:paraId="0FCDF538">
      <w:pPr>
        <w:widowControl/>
        <w:snapToGrid w:val="0"/>
        <w:spacing w:line="440" w:lineRule="exact"/>
        <w:jc w:val="left"/>
        <w:rPr>
          <w:rFonts w:hint="eastAsia"/>
        </w:rPr>
      </w:pPr>
      <w:r>
        <w:rPr>
          <w:rFonts w:hint="eastAsia"/>
        </w:rPr>
        <w:t xml:space="preserve">为满足上海市初级注安师考核注册业务的工作开展，建设初级注册安全工程师管理子系统，主要包括业务管理、报名系统、考务管理和注册管理4个模块。建设的系统隶属于上海市安全生产基础信息平台。 </w:t>
      </w:r>
    </w:p>
    <w:p w14:paraId="37068772">
      <w:pPr>
        <w:pStyle w:val="3"/>
        <w:ind w:left="567"/>
        <w:rPr>
          <w:rFonts w:hint="eastAsia"/>
        </w:rPr>
      </w:pPr>
      <w:r>
        <w:rPr>
          <w:rFonts w:hint="eastAsia"/>
        </w:rPr>
        <w:t>软件开发需求</w:t>
      </w:r>
    </w:p>
    <w:p w14:paraId="4046EF51">
      <w:pPr>
        <w:widowControl/>
        <w:snapToGrid w:val="0"/>
        <w:spacing w:line="440" w:lineRule="exact"/>
        <w:jc w:val="left"/>
        <w:rPr>
          <w:rFonts w:hint="eastAsia"/>
          <w:bCs/>
        </w:rPr>
      </w:pPr>
      <w:r>
        <w:rPr>
          <w:rFonts w:hint="eastAsia"/>
          <w:bCs/>
        </w:rPr>
        <w:t>初级注册安全工程师管理子系统软件开发清单：</w:t>
      </w:r>
    </w:p>
    <w:tbl>
      <w:tblPr>
        <w:tblStyle w:val="35"/>
        <w:tblW w:w="5000" w:type="pct"/>
        <w:jc w:val="center"/>
        <w:tblLayout w:type="autofit"/>
        <w:tblCellMar>
          <w:top w:w="0" w:type="dxa"/>
          <w:left w:w="108" w:type="dxa"/>
          <w:bottom w:w="0" w:type="dxa"/>
          <w:right w:w="108" w:type="dxa"/>
        </w:tblCellMar>
      </w:tblPr>
      <w:tblGrid>
        <w:gridCol w:w="658"/>
        <w:gridCol w:w="1542"/>
        <w:gridCol w:w="1876"/>
        <w:gridCol w:w="4452"/>
      </w:tblGrid>
      <w:tr w14:paraId="184F2D63">
        <w:tblPrEx>
          <w:tblCellMar>
            <w:top w:w="0" w:type="dxa"/>
            <w:left w:w="108" w:type="dxa"/>
            <w:bottom w:w="0" w:type="dxa"/>
            <w:right w:w="108" w:type="dxa"/>
          </w:tblCellMar>
        </w:tblPrEx>
        <w:trPr>
          <w:trHeight w:val="270" w:hRule="atLeast"/>
          <w:jc w:val="center"/>
        </w:trPr>
        <w:tc>
          <w:tcPr>
            <w:tcW w:w="386" w:type="pct"/>
            <w:tcBorders>
              <w:top w:val="single" w:color="auto" w:sz="4" w:space="0"/>
              <w:left w:val="single" w:color="auto" w:sz="4" w:space="0"/>
              <w:bottom w:val="single" w:color="auto" w:sz="4" w:space="0"/>
              <w:right w:val="single" w:color="auto" w:sz="4" w:space="0"/>
            </w:tcBorders>
            <w:shd w:val="clear" w:color="000000" w:fill="F3F8FC"/>
            <w:noWrap/>
            <w:vAlign w:val="center"/>
          </w:tcPr>
          <w:p w14:paraId="053B4CF4">
            <w:pPr>
              <w:widowControl/>
              <w:spacing w:line="240" w:lineRule="auto"/>
              <w:ind w:firstLine="0" w:firstLineChars="0"/>
              <w:jc w:val="center"/>
              <w:rPr>
                <w:rFonts w:hint="eastAsia" w:cs="宋体" w:asciiTheme="minorEastAsia" w:hAnsiTheme="minorEastAsia" w:eastAsiaTheme="minorEastAsia"/>
                <w:b/>
                <w:color w:val="000000"/>
                <w:kern w:val="0"/>
                <w:sz w:val="22"/>
                <w:szCs w:val="22"/>
              </w:rPr>
            </w:pPr>
            <w:r>
              <w:rPr>
                <w:rFonts w:hint="eastAsia" w:cs="宋体" w:asciiTheme="minorEastAsia" w:hAnsiTheme="minorEastAsia" w:eastAsiaTheme="minorEastAsia"/>
                <w:b/>
                <w:color w:val="000000"/>
                <w:kern w:val="0"/>
                <w:sz w:val="22"/>
                <w:szCs w:val="22"/>
              </w:rPr>
              <w:t>序号</w:t>
            </w:r>
          </w:p>
        </w:tc>
        <w:tc>
          <w:tcPr>
            <w:tcW w:w="904" w:type="pct"/>
            <w:tcBorders>
              <w:top w:val="single" w:color="auto" w:sz="4" w:space="0"/>
              <w:left w:val="nil"/>
              <w:bottom w:val="single" w:color="auto" w:sz="4" w:space="0"/>
              <w:right w:val="single" w:color="auto" w:sz="4" w:space="0"/>
            </w:tcBorders>
            <w:shd w:val="clear" w:color="000000" w:fill="F3F8FC"/>
            <w:noWrap/>
            <w:vAlign w:val="center"/>
          </w:tcPr>
          <w:p w14:paraId="4F03DAA5">
            <w:pPr>
              <w:widowControl/>
              <w:spacing w:line="240" w:lineRule="auto"/>
              <w:ind w:firstLine="0" w:firstLineChars="0"/>
              <w:jc w:val="center"/>
              <w:rPr>
                <w:rFonts w:hint="eastAsia" w:cs="宋体" w:asciiTheme="minorEastAsia" w:hAnsiTheme="minorEastAsia" w:eastAsiaTheme="minorEastAsia"/>
                <w:b/>
                <w:color w:val="000000"/>
                <w:kern w:val="0"/>
                <w:sz w:val="22"/>
                <w:szCs w:val="22"/>
              </w:rPr>
            </w:pPr>
            <w:r>
              <w:rPr>
                <w:rFonts w:hint="eastAsia" w:cs="宋体" w:asciiTheme="minorEastAsia" w:hAnsiTheme="minorEastAsia" w:eastAsiaTheme="minorEastAsia"/>
                <w:b/>
                <w:color w:val="000000"/>
                <w:kern w:val="0"/>
                <w:sz w:val="22"/>
                <w:szCs w:val="22"/>
              </w:rPr>
              <w:t>应用系统名称</w:t>
            </w:r>
          </w:p>
        </w:tc>
        <w:tc>
          <w:tcPr>
            <w:tcW w:w="1100" w:type="pct"/>
            <w:tcBorders>
              <w:top w:val="single" w:color="auto" w:sz="4" w:space="0"/>
              <w:left w:val="nil"/>
              <w:bottom w:val="single" w:color="auto" w:sz="4" w:space="0"/>
              <w:right w:val="single" w:color="auto" w:sz="4" w:space="0"/>
            </w:tcBorders>
            <w:shd w:val="clear" w:color="000000" w:fill="F3F8FC"/>
            <w:noWrap/>
            <w:vAlign w:val="center"/>
          </w:tcPr>
          <w:p w14:paraId="61E7DA02">
            <w:pPr>
              <w:widowControl/>
              <w:spacing w:line="240" w:lineRule="auto"/>
              <w:ind w:firstLine="0" w:firstLineChars="0"/>
              <w:jc w:val="center"/>
              <w:rPr>
                <w:rFonts w:hint="eastAsia" w:cs="宋体" w:asciiTheme="minorEastAsia" w:hAnsiTheme="minorEastAsia" w:eastAsiaTheme="minorEastAsia"/>
                <w:b/>
                <w:color w:val="000000"/>
                <w:kern w:val="0"/>
                <w:sz w:val="22"/>
                <w:szCs w:val="22"/>
              </w:rPr>
            </w:pPr>
            <w:r>
              <w:rPr>
                <w:rFonts w:hint="eastAsia" w:cs="宋体" w:asciiTheme="minorEastAsia" w:hAnsiTheme="minorEastAsia" w:eastAsiaTheme="minorEastAsia"/>
                <w:b/>
                <w:color w:val="000000"/>
                <w:kern w:val="0"/>
                <w:sz w:val="22"/>
                <w:szCs w:val="22"/>
              </w:rPr>
              <w:t>模块名称</w:t>
            </w:r>
          </w:p>
        </w:tc>
        <w:tc>
          <w:tcPr>
            <w:tcW w:w="2610" w:type="pct"/>
            <w:tcBorders>
              <w:top w:val="single" w:color="auto" w:sz="4" w:space="0"/>
              <w:left w:val="nil"/>
              <w:bottom w:val="single" w:color="auto" w:sz="4" w:space="0"/>
              <w:right w:val="single" w:color="auto" w:sz="4" w:space="0"/>
            </w:tcBorders>
            <w:shd w:val="clear" w:color="000000" w:fill="F3F8FC"/>
          </w:tcPr>
          <w:p w14:paraId="16A3786A">
            <w:pPr>
              <w:widowControl/>
              <w:spacing w:line="240" w:lineRule="auto"/>
              <w:ind w:firstLine="0" w:firstLineChars="0"/>
              <w:jc w:val="center"/>
              <w:rPr>
                <w:rFonts w:hint="eastAsia" w:cs="宋体" w:asciiTheme="minorEastAsia" w:hAnsiTheme="minorEastAsia" w:eastAsiaTheme="minorEastAsia"/>
                <w:b/>
                <w:color w:val="000000"/>
                <w:kern w:val="0"/>
                <w:sz w:val="22"/>
                <w:szCs w:val="22"/>
              </w:rPr>
            </w:pPr>
            <w:r>
              <w:rPr>
                <w:rFonts w:hint="eastAsia" w:cs="宋体" w:asciiTheme="minorEastAsia" w:hAnsiTheme="minorEastAsia" w:eastAsiaTheme="minorEastAsia"/>
                <w:b/>
                <w:color w:val="000000"/>
                <w:kern w:val="0"/>
                <w:sz w:val="22"/>
                <w:szCs w:val="22"/>
              </w:rPr>
              <w:t>模块描述</w:t>
            </w:r>
          </w:p>
        </w:tc>
      </w:tr>
      <w:tr w14:paraId="7E84800C">
        <w:tblPrEx>
          <w:tblCellMar>
            <w:top w:w="0" w:type="dxa"/>
            <w:left w:w="108" w:type="dxa"/>
            <w:bottom w:w="0" w:type="dxa"/>
            <w:right w:w="108" w:type="dxa"/>
          </w:tblCellMar>
        </w:tblPrEx>
        <w:trPr>
          <w:trHeight w:val="785"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308CEF41">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1</w:t>
            </w:r>
          </w:p>
        </w:tc>
        <w:tc>
          <w:tcPr>
            <w:tcW w:w="904" w:type="pct"/>
            <w:vMerge w:val="restart"/>
            <w:tcBorders>
              <w:top w:val="single" w:color="auto" w:sz="4" w:space="0"/>
              <w:left w:val="nil"/>
              <w:right w:val="single" w:color="auto" w:sz="4" w:space="0"/>
            </w:tcBorders>
            <w:shd w:val="clear" w:color="auto" w:fill="FFFFFF"/>
            <w:vAlign w:val="center"/>
          </w:tcPr>
          <w:p w14:paraId="29C3649C">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cs="Tahoma" w:asciiTheme="minorEastAsia" w:hAnsiTheme="minorEastAsia" w:eastAsiaTheme="minorEastAsia"/>
                <w:color w:val="000000"/>
                <w:kern w:val="0"/>
                <w:sz w:val="22"/>
                <w:szCs w:val="22"/>
              </w:rPr>
              <w:t>业务管理</w:t>
            </w:r>
          </w:p>
        </w:tc>
        <w:tc>
          <w:tcPr>
            <w:tcW w:w="1100" w:type="pct"/>
            <w:tcBorders>
              <w:top w:val="single" w:color="auto" w:sz="4" w:space="0"/>
              <w:left w:val="nil"/>
              <w:bottom w:val="single" w:color="auto" w:sz="4" w:space="0"/>
              <w:right w:val="single" w:color="auto" w:sz="4" w:space="0"/>
            </w:tcBorders>
            <w:shd w:val="clear" w:color="auto" w:fill="FFFFFF"/>
            <w:vAlign w:val="center"/>
          </w:tcPr>
          <w:p w14:paraId="47F77FE6">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cs="Tahoma" w:asciiTheme="minorEastAsia" w:hAnsiTheme="minorEastAsia" w:eastAsiaTheme="minorEastAsia"/>
                <w:color w:val="000000"/>
                <w:kern w:val="0"/>
                <w:sz w:val="22"/>
                <w:szCs w:val="22"/>
              </w:rPr>
              <w:t>一网通办接入</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7CF2827A">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cs="Tahoma" w:asciiTheme="minorEastAsia" w:hAnsiTheme="minorEastAsia" w:eastAsiaTheme="minorEastAsia"/>
                <w:color w:val="000000"/>
                <w:kern w:val="0"/>
                <w:sz w:val="22"/>
                <w:szCs w:val="22"/>
              </w:rPr>
              <w:t>基于一网通办进行考试报名入口的对接与调试，实现考生可通过一网通办门户进行登陆并进入考试报名系统。</w:t>
            </w:r>
          </w:p>
        </w:tc>
      </w:tr>
      <w:tr w14:paraId="46569216">
        <w:tblPrEx>
          <w:tblCellMar>
            <w:top w:w="0" w:type="dxa"/>
            <w:left w:w="108" w:type="dxa"/>
            <w:bottom w:w="0" w:type="dxa"/>
            <w:right w:w="108" w:type="dxa"/>
          </w:tblCellMar>
        </w:tblPrEx>
        <w:trPr>
          <w:trHeight w:val="617"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3C3144C5">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2</w:t>
            </w:r>
          </w:p>
        </w:tc>
        <w:tc>
          <w:tcPr>
            <w:tcW w:w="904" w:type="pct"/>
            <w:vMerge w:val="continue"/>
            <w:tcBorders>
              <w:left w:val="nil"/>
              <w:right w:val="single" w:color="auto" w:sz="4" w:space="0"/>
            </w:tcBorders>
            <w:shd w:val="clear" w:color="auto" w:fill="FFFFFF"/>
            <w:vAlign w:val="center"/>
          </w:tcPr>
          <w:p w14:paraId="49280F82">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20E7D52E">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cs="Tahoma" w:asciiTheme="minorEastAsia" w:hAnsiTheme="minorEastAsia" w:eastAsiaTheme="minorEastAsia"/>
                <w:color w:val="000000"/>
                <w:kern w:val="0"/>
                <w:sz w:val="22"/>
                <w:szCs w:val="22"/>
              </w:rPr>
              <w:t>考试报考指南</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78EA0F36">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cs="Tahoma" w:asciiTheme="minorEastAsia" w:hAnsiTheme="minorEastAsia" w:eastAsiaTheme="minorEastAsia"/>
                <w:color w:val="000000"/>
                <w:kern w:val="0"/>
                <w:sz w:val="22"/>
                <w:szCs w:val="22"/>
              </w:rPr>
              <w:t>在报名模板中提供考试报考指南的在线查看和下载功能。</w:t>
            </w:r>
          </w:p>
        </w:tc>
      </w:tr>
      <w:tr w14:paraId="63C16BB5">
        <w:tblPrEx>
          <w:tblCellMar>
            <w:top w:w="0" w:type="dxa"/>
            <w:left w:w="108" w:type="dxa"/>
            <w:bottom w:w="0" w:type="dxa"/>
            <w:right w:w="108" w:type="dxa"/>
          </w:tblCellMar>
        </w:tblPrEx>
        <w:trPr>
          <w:trHeight w:val="553"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4B554449">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3</w:t>
            </w:r>
          </w:p>
        </w:tc>
        <w:tc>
          <w:tcPr>
            <w:tcW w:w="904" w:type="pct"/>
            <w:vMerge w:val="continue"/>
            <w:tcBorders>
              <w:left w:val="nil"/>
              <w:right w:val="single" w:color="auto" w:sz="4" w:space="0"/>
            </w:tcBorders>
            <w:shd w:val="clear" w:color="auto" w:fill="FFFFFF"/>
            <w:vAlign w:val="center"/>
          </w:tcPr>
          <w:p w14:paraId="2129816F">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50573BCA">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cs="Tahoma" w:asciiTheme="minorEastAsia" w:hAnsiTheme="minorEastAsia" w:eastAsiaTheme="minorEastAsia"/>
                <w:color w:val="000000"/>
                <w:kern w:val="0"/>
                <w:sz w:val="22"/>
                <w:szCs w:val="22"/>
              </w:rPr>
              <w:t>报名承诺书</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3D9DA4A0">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cs="Tahoma" w:asciiTheme="minorEastAsia" w:hAnsiTheme="minorEastAsia" w:eastAsiaTheme="minorEastAsia"/>
                <w:color w:val="000000"/>
                <w:kern w:val="0"/>
                <w:sz w:val="22"/>
                <w:szCs w:val="22"/>
              </w:rPr>
              <w:t>在报名模板中提供报名承诺书的在线查看、下载和确认功能。后台提供报名承诺书模版的在线编辑功能。</w:t>
            </w:r>
          </w:p>
        </w:tc>
      </w:tr>
      <w:tr w14:paraId="28968DAF">
        <w:tblPrEx>
          <w:tblCellMar>
            <w:top w:w="0" w:type="dxa"/>
            <w:left w:w="108" w:type="dxa"/>
            <w:bottom w:w="0" w:type="dxa"/>
            <w:right w:w="108" w:type="dxa"/>
          </w:tblCellMar>
        </w:tblPrEx>
        <w:trPr>
          <w:trHeight w:val="270"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7370FDC9">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4</w:t>
            </w:r>
          </w:p>
        </w:tc>
        <w:tc>
          <w:tcPr>
            <w:tcW w:w="904" w:type="pct"/>
            <w:vMerge w:val="continue"/>
            <w:tcBorders>
              <w:left w:val="nil"/>
              <w:right w:val="single" w:color="auto" w:sz="4" w:space="0"/>
            </w:tcBorders>
            <w:shd w:val="clear" w:color="auto" w:fill="FFFFFF"/>
            <w:vAlign w:val="center"/>
          </w:tcPr>
          <w:p w14:paraId="50C504ED">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315ACA25">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cs="Tahoma" w:asciiTheme="minorEastAsia" w:hAnsiTheme="minorEastAsia" w:eastAsiaTheme="minorEastAsia"/>
                <w:color w:val="000000"/>
                <w:kern w:val="0"/>
                <w:sz w:val="22"/>
                <w:szCs w:val="22"/>
              </w:rPr>
              <w:t>报名表</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0309C350">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cs="Tahoma" w:asciiTheme="minorEastAsia" w:hAnsiTheme="minorEastAsia" w:eastAsiaTheme="minorEastAsia"/>
                <w:color w:val="000000"/>
                <w:kern w:val="0"/>
                <w:sz w:val="22"/>
                <w:szCs w:val="22"/>
              </w:rPr>
              <w:t>在报名模板中提供报名表的在线查看和下载功能。</w:t>
            </w:r>
          </w:p>
        </w:tc>
      </w:tr>
      <w:tr w14:paraId="63BDAD86">
        <w:tblPrEx>
          <w:tblCellMar>
            <w:top w:w="0" w:type="dxa"/>
            <w:left w:w="108" w:type="dxa"/>
            <w:bottom w:w="0" w:type="dxa"/>
            <w:right w:w="108" w:type="dxa"/>
          </w:tblCellMar>
        </w:tblPrEx>
        <w:trPr>
          <w:trHeight w:val="322"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77499D26">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5</w:t>
            </w:r>
          </w:p>
        </w:tc>
        <w:tc>
          <w:tcPr>
            <w:tcW w:w="904" w:type="pct"/>
            <w:vMerge w:val="continue"/>
            <w:tcBorders>
              <w:left w:val="nil"/>
              <w:right w:val="single" w:color="auto" w:sz="4" w:space="0"/>
            </w:tcBorders>
            <w:shd w:val="clear" w:color="auto" w:fill="FFFFFF"/>
            <w:vAlign w:val="center"/>
          </w:tcPr>
          <w:p w14:paraId="5E1EB576">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5B24570B">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cs="Tahoma" w:asciiTheme="minorEastAsia" w:hAnsiTheme="minorEastAsia" w:eastAsiaTheme="minorEastAsia"/>
                <w:color w:val="000000"/>
                <w:kern w:val="0"/>
                <w:sz w:val="22"/>
                <w:szCs w:val="22"/>
              </w:rPr>
              <w:t>准考证模版</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1C2C1F69">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cs="Tahoma" w:asciiTheme="minorEastAsia" w:hAnsiTheme="minorEastAsia" w:eastAsiaTheme="minorEastAsia"/>
                <w:color w:val="000000"/>
                <w:kern w:val="0"/>
                <w:sz w:val="22"/>
                <w:szCs w:val="22"/>
              </w:rPr>
              <w:t>在报名模板中提供准考证的在线查看和下载功能。后台提供准考证的在线编辑功能。</w:t>
            </w:r>
          </w:p>
        </w:tc>
      </w:tr>
      <w:tr w14:paraId="466DEBB1">
        <w:tblPrEx>
          <w:tblCellMar>
            <w:top w:w="0" w:type="dxa"/>
            <w:left w:w="108" w:type="dxa"/>
            <w:bottom w:w="0" w:type="dxa"/>
            <w:right w:w="108" w:type="dxa"/>
          </w:tblCellMar>
        </w:tblPrEx>
        <w:trPr>
          <w:trHeight w:val="217"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01E2C4F5">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6</w:t>
            </w:r>
          </w:p>
        </w:tc>
        <w:tc>
          <w:tcPr>
            <w:tcW w:w="904" w:type="pct"/>
            <w:vMerge w:val="continue"/>
            <w:tcBorders>
              <w:left w:val="nil"/>
              <w:bottom w:val="single" w:color="auto" w:sz="4" w:space="0"/>
              <w:right w:val="single" w:color="auto" w:sz="4" w:space="0"/>
            </w:tcBorders>
            <w:shd w:val="clear" w:color="auto" w:fill="FFFFFF"/>
            <w:vAlign w:val="center"/>
          </w:tcPr>
          <w:p w14:paraId="73AAA718">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74D9377B">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cs="Tahoma" w:asciiTheme="minorEastAsia" w:hAnsiTheme="minorEastAsia" w:eastAsiaTheme="minorEastAsia"/>
                <w:color w:val="000000"/>
                <w:kern w:val="0"/>
                <w:sz w:val="22"/>
                <w:szCs w:val="22"/>
              </w:rPr>
              <w:t>电子缴款书开发</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4C3272E0">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cs="Tahoma" w:asciiTheme="minorEastAsia" w:hAnsiTheme="minorEastAsia" w:eastAsiaTheme="minorEastAsia"/>
                <w:color w:val="000000"/>
                <w:kern w:val="0"/>
                <w:sz w:val="22"/>
                <w:szCs w:val="22"/>
              </w:rPr>
              <w:t>实现与上海市公共支付平台及上海市财政电子票据的对接功能。</w:t>
            </w:r>
          </w:p>
        </w:tc>
      </w:tr>
      <w:tr w14:paraId="379C80E8">
        <w:tblPrEx>
          <w:tblCellMar>
            <w:top w:w="0" w:type="dxa"/>
            <w:left w:w="108" w:type="dxa"/>
            <w:bottom w:w="0" w:type="dxa"/>
            <w:right w:w="108" w:type="dxa"/>
          </w:tblCellMar>
        </w:tblPrEx>
        <w:trPr>
          <w:trHeight w:val="553"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66FC1F1B">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7</w:t>
            </w:r>
          </w:p>
        </w:tc>
        <w:tc>
          <w:tcPr>
            <w:tcW w:w="904" w:type="pct"/>
            <w:vMerge w:val="restart"/>
            <w:tcBorders>
              <w:top w:val="single" w:color="auto" w:sz="4" w:space="0"/>
              <w:left w:val="nil"/>
              <w:right w:val="single" w:color="auto" w:sz="4" w:space="0"/>
            </w:tcBorders>
            <w:shd w:val="clear" w:color="auto" w:fill="FFFFFF"/>
            <w:vAlign w:val="center"/>
          </w:tcPr>
          <w:p w14:paraId="71423E26">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cs="Tahoma" w:asciiTheme="minorEastAsia" w:hAnsiTheme="minorEastAsia" w:eastAsiaTheme="minorEastAsia"/>
                <w:color w:val="000000"/>
                <w:kern w:val="0"/>
                <w:sz w:val="22"/>
                <w:szCs w:val="22"/>
              </w:rPr>
              <w:t>报名系统</w:t>
            </w:r>
          </w:p>
        </w:tc>
        <w:tc>
          <w:tcPr>
            <w:tcW w:w="1100" w:type="pct"/>
            <w:tcBorders>
              <w:top w:val="single" w:color="auto" w:sz="4" w:space="0"/>
              <w:left w:val="nil"/>
              <w:bottom w:val="single" w:color="auto" w:sz="4" w:space="0"/>
              <w:right w:val="single" w:color="auto" w:sz="4" w:space="0"/>
            </w:tcBorders>
            <w:shd w:val="clear" w:color="auto" w:fill="FFFFFF"/>
            <w:vAlign w:val="center"/>
          </w:tcPr>
          <w:p w14:paraId="155734DD">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cs="Tahoma" w:asciiTheme="minorEastAsia" w:hAnsiTheme="minorEastAsia" w:eastAsiaTheme="minorEastAsia"/>
                <w:color w:val="000000"/>
                <w:kern w:val="0"/>
                <w:sz w:val="22"/>
                <w:szCs w:val="22"/>
              </w:rPr>
              <w:t>报名注册（一网通办跳转并注册）</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4D93BBE8">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cs="Tahoma" w:asciiTheme="minorEastAsia" w:hAnsiTheme="minorEastAsia" w:eastAsiaTheme="minorEastAsia"/>
                <w:color w:val="000000"/>
                <w:kern w:val="0"/>
                <w:sz w:val="22"/>
                <w:szCs w:val="22"/>
              </w:rPr>
              <w:t>一网通办直接登录，系统自动注册并完善信息。</w:t>
            </w:r>
          </w:p>
        </w:tc>
      </w:tr>
      <w:tr w14:paraId="1F11B419">
        <w:tblPrEx>
          <w:tblCellMar>
            <w:top w:w="0" w:type="dxa"/>
            <w:left w:w="108" w:type="dxa"/>
            <w:bottom w:w="0" w:type="dxa"/>
            <w:right w:w="108" w:type="dxa"/>
          </w:tblCellMar>
        </w:tblPrEx>
        <w:trPr>
          <w:trHeight w:val="711"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697E6D0C">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8</w:t>
            </w:r>
          </w:p>
        </w:tc>
        <w:tc>
          <w:tcPr>
            <w:tcW w:w="904" w:type="pct"/>
            <w:vMerge w:val="continue"/>
            <w:tcBorders>
              <w:left w:val="nil"/>
              <w:right w:val="single" w:color="auto" w:sz="4" w:space="0"/>
            </w:tcBorders>
            <w:shd w:val="clear" w:color="auto" w:fill="FFFFFF"/>
            <w:vAlign w:val="center"/>
          </w:tcPr>
          <w:p w14:paraId="322A4CB0">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1BCCC1EC">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cs="Tahoma" w:asciiTheme="minorEastAsia" w:hAnsiTheme="minorEastAsia" w:eastAsiaTheme="minorEastAsia"/>
                <w:color w:val="000000"/>
                <w:kern w:val="0"/>
                <w:sz w:val="22"/>
                <w:szCs w:val="22"/>
              </w:rPr>
              <w:t>用户信息确认-绑定手机并验证</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1938473D">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cs="Tahoma" w:asciiTheme="minorEastAsia" w:hAnsiTheme="minorEastAsia" w:eastAsiaTheme="minorEastAsia"/>
                <w:color w:val="000000"/>
                <w:kern w:val="0"/>
                <w:sz w:val="22"/>
                <w:szCs w:val="22"/>
              </w:rPr>
              <w:t>填写正确手机号码，使用手机验证码进行验证</w:t>
            </w:r>
          </w:p>
        </w:tc>
      </w:tr>
      <w:tr w14:paraId="50E6A8FD">
        <w:tblPrEx>
          <w:tblCellMar>
            <w:top w:w="0" w:type="dxa"/>
            <w:left w:w="108" w:type="dxa"/>
            <w:bottom w:w="0" w:type="dxa"/>
            <w:right w:w="108" w:type="dxa"/>
          </w:tblCellMar>
        </w:tblPrEx>
        <w:trPr>
          <w:trHeight w:val="570"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0911BAF6">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9</w:t>
            </w:r>
          </w:p>
        </w:tc>
        <w:tc>
          <w:tcPr>
            <w:tcW w:w="904" w:type="pct"/>
            <w:vMerge w:val="continue"/>
            <w:tcBorders>
              <w:left w:val="nil"/>
              <w:right w:val="single" w:color="auto" w:sz="4" w:space="0"/>
            </w:tcBorders>
            <w:shd w:val="clear" w:color="auto" w:fill="FFFFFF"/>
            <w:vAlign w:val="center"/>
          </w:tcPr>
          <w:p w14:paraId="083E1CA1">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51DCF4E0">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cs="Tahoma" w:asciiTheme="minorEastAsia" w:hAnsiTheme="minorEastAsia" w:eastAsiaTheme="minorEastAsia"/>
                <w:color w:val="000000"/>
                <w:kern w:val="0"/>
                <w:sz w:val="22"/>
                <w:szCs w:val="22"/>
              </w:rPr>
              <w:t>用户信息确认-照片处理</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24AB0B8B">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cs="Tahoma" w:asciiTheme="minorEastAsia" w:hAnsiTheme="minorEastAsia" w:eastAsiaTheme="minorEastAsia"/>
                <w:color w:val="000000"/>
                <w:kern w:val="0"/>
                <w:sz w:val="22"/>
                <w:szCs w:val="22"/>
              </w:rPr>
              <w:t>提供照片处理功能，达到上传的照片符合要求</w:t>
            </w:r>
          </w:p>
        </w:tc>
      </w:tr>
      <w:tr w14:paraId="7C0AFF6A">
        <w:tblPrEx>
          <w:tblCellMar>
            <w:top w:w="0" w:type="dxa"/>
            <w:left w:w="108" w:type="dxa"/>
            <w:bottom w:w="0" w:type="dxa"/>
            <w:right w:w="108" w:type="dxa"/>
          </w:tblCellMar>
        </w:tblPrEx>
        <w:trPr>
          <w:trHeight w:val="711"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5A92A76A">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10</w:t>
            </w:r>
          </w:p>
        </w:tc>
        <w:tc>
          <w:tcPr>
            <w:tcW w:w="904" w:type="pct"/>
            <w:vMerge w:val="continue"/>
            <w:tcBorders>
              <w:left w:val="nil"/>
              <w:right w:val="single" w:color="auto" w:sz="4" w:space="0"/>
            </w:tcBorders>
            <w:shd w:val="clear" w:color="auto" w:fill="FFFFFF"/>
            <w:vAlign w:val="center"/>
          </w:tcPr>
          <w:p w14:paraId="472D640D">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336418B2">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cs="Tahoma" w:asciiTheme="minorEastAsia" w:hAnsiTheme="minorEastAsia" w:eastAsiaTheme="minorEastAsia"/>
                <w:color w:val="000000"/>
                <w:kern w:val="0"/>
                <w:sz w:val="22"/>
                <w:szCs w:val="22"/>
              </w:rPr>
              <w:t>报考指南阅读</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22143391">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cs="Tahoma" w:asciiTheme="minorEastAsia" w:hAnsiTheme="minorEastAsia" w:eastAsiaTheme="minorEastAsia"/>
                <w:color w:val="000000"/>
                <w:kern w:val="0"/>
                <w:sz w:val="22"/>
                <w:szCs w:val="22"/>
              </w:rPr>
              <w:t>报考指南阅读，并确认</w:t>
            </w:r>
          </w:p>
        </w:tc>
      </w:tr>
      <w:tr w14:paraId="3A618DCD">
        <w:tblPrEx>
          <w:tblCellMar>
            <w:top w:w="0" w:type="dxa"/>
            <w:left w:w="108" w:type="dxa"/>
            <w:bottom w:w="0" w:type="dxa"/>
            <w:right w:w="108" w:type="dxa"/>
          </w:tblCellMar>
        </w:tblPrEx>
        <w:trPr>
          <w:trHeight w:val="56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0754E38B">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11</w:t>
            </w:r>
          </w:p>
        </w:tc>
        <w:tc>
          <w:tcPr>
            <w:tcW w:w="904" w:type="pct"/>
            <w:vMerge w:val="continue"/>
            <w:tcBorders>
              <w:left w:val="nil"/>
              <w:right w:val="single" w:color="auto" w:sz="4" w:space="0"/>
            </w:tcBorders>
            <w:shd w:val="clear" w:color="auto" w:fill="FFFFFF"/>
            <w:vAlign w:val="center"/>
          </w:tcPr>
          <w:p w14:paraId="5EA9ECFD">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37F5872B">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报名系统-确认考试科目</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614F4D9E">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进入考试报名界面前，考生先对应的考试名称，确认无误后点击“确认”按钮</w:t>
            </w:r>
          </w:p>
        </w:tc>
      </w:tr>
      <w:tr w14:paraId="6EE6ECF7">
        <w:tblPrEx>
          <w:tblCellMar>
            <w:top w:w="0" w:type="dxa"/>
            <w:left w:w="108" w:type="dxa"/>
            <w:bottom w:w="0" w:type="dxa"/>
            <w:right w:w="108" w:type="dxa"/>
          </w:tblCellMar>
        </w:tblPrEx>
        <w:trPr>
          <w:trHeight w:val="466"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58B555DC">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12</w:t>
            </w:r>
          </w:p>
        </w:tc>
        <w:tc>
          <w:tcPr>
            <w:tcW w:w="904" w:type="pct"/>
            <w:vMerge w:val="continue"/>
            <w:tcBorders>
              <w:left w:val="nil"/>
              <w:right w:val="single" w:color="auto" w:sz="4" w:space="0"/>
            </w:tcBorders>
            <w:shd w:val="clear" w:color="auto" w:fill="FFFFFF"/>
            <w:vAlign w:val="center"/>
          </w:tcPr>
          <w:p w14:paraId="3FABB708">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39998D24">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报名系统-准考证打印</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52C872BF">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提供准考证在线预览，下载和打印功能。</w:t>
            </w:r>
          </w:p>
        </w:tc>
      </w:tr>
      <w:tr w14:paraId="2331FDAE">
        <w:tblPrEx>
          <w:tblCellMar>
            <w:top w:w="0" w:type="dxa"/>
            <w:left w:w="108" w:type="dxa"/>
            <w:bottom w:w="0" w:type="dxa"/>
            <w:right w:w="108" w:type="dxa"/>
          </w:tblCellMar>
        </w:tblPrEx>
        <w:trPr>
          <w:trHeight w:val="517"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6E93FB6C">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13</w:t>
            </w:r>
          </w:p>
        </w:tc>
        <w:tc>
          <w:tcPr>
            <w:tcW w:w="904" w:type="pct"/>
            <w:vMerge w:val="continue"/>
            <w:tcBorders>
              <w:left w:val="nil"/>
              <w:right w:val="single" w:color="auto" w:sz="4" w:space="0"/>
            </w:tcBorders>
            <w:shd w:val="clear" w:color="auto" w:fill="FFFFFF"/>
            <w:vAlign w:val="center"/>
          </w:tcPr>
          <w:p w14:paraId="3E215E70">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2130C070">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报名系统-分数查询</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665342AE">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提供考试成绩在线查询功能。</w:t>
            </w:r>
          </w:p>
        </w:tc>
      </w:tr>
      <w:tr w14:paraId="494D8CAC">
        <w:tblPrEx>
          <w:tblCellMar>
            <w:top w:w="0" w:type="dxa"/>
            <w:left w:w="108" w:type="dxa"/>
            <w:bottom w:w="0" w:type="dxa"/>
            <w:right w:w="108" w:type="dxa"/>
          </w:tblCellMar>
        </w:tblPrEx>
        <w:trPr>
          <w:trHeight w:val="56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68A601F5">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14</w:t>
            </w:r>
          </w:p>
        </w:tc>
        <w:tc>
          <w:tcPr>
            <w:tcW w:w="904" w:type="pct"/>
            <w:vMerge w:val="continue"/>
            <w:tcBorders>
              <w:left w:val="nil"/>
              <w:right w:val="single" w:color="auto" w:sz="4" w:space="0"/>
            </w:tcBorders>
            <w:shd w:val="clear" w:color="auto" w:fill="FFFFFF"/>
            <w:vAlign w:val="center"/>
          </w:tcPr>
          <w:p w14:paraId="43A60FC9">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54B86E8E">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报名系统-证书打印</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427623F0">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为考试合格的考生提供电子证书的在线预览，下载和打印功能。</w:t>
            </w:r>
          </w:p>
        </w:tc>
      </w:tr>
      <w:tr w14:paraId="60033064">
        <w:tblPrEx>
          <w:tblCellMar>
            <w:top w:w="0" w:type="dxa"/>
            <w:left w:w="108" w:type="dxa"/>
            <w:bottom w:w="0" w:type="dxa"/>
            <w:right w:w="108" w:type="dxa"/>
          </w:tblCellMar>
        </w:tblPrEx>
        <w:trPr>
          <w:trHeight w:val="159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682F1493">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15</w:t>
            </w:r>
          </w:p>
        </w:tc>
        <w:tc>
          <w:tcPr>
            <w:tcW w:w="904" w:type="pct"/>
            <w:vMerge w:val="continue"/>
            <w:tcBorders>
              <w:left w:val="nil"/>
              <w:right w:val="single" w:color="auto" w:sz="4" w:space="0"/>
            </w:tcBorders>
            <w:shd w:val="clear" w:color="auto" w:fill="FFFFFF"/>
            <w:vAlign w:val="center"/>
          </w:tcPr>
          <w:p w14:paraId="713534F9">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213E320A">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报名系统-报名信息填写并确认-报名信息、个人信息、教育信息、工作信息</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6A126D97">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考试需填写报名信息、个人信息、教育信息及工作信息， 考生仔细查看考试信息，确认该考试是想要报名的考试后，需在线确认报名表并在线签署承诺。</w:t>
            </w:r>
          </w:p>
        </w:tc>
      </w:tr>
      <w:tr w14:paraId="30F07FCE">
        <w:tblPrEx>
          <w:tblCellMar>
            <w:top w:w="0" w:type="dxa"/>
            <w:left w:w="108" w:type="dxa"/>
            <w:bottom w:w="0" w:type="dxa"/>
            <w:right w:w="108" w:type="dxa"/>
          </w:tblCellMar>
        </w:tblPrEx>
        <w:trPr>
          <w:trHeight w:val="815"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6C9E1AC5">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16</w:t>
            </w:r>
          </w:p>
        </w:tc>
        <w:tc>
          <w:tcPr>
            <w:tcW w:w="904" w:type="pct"/>
            <w:vMerge w:val="continue"/>
            <w:tcBorders>
              <w:left w:val="nil"/>
              <w:bottom w:val="single" w:color="auto" w:sz="4" w:space="0"/>
              <w:right w:val="single" w:color="auto" w:sz="4" w:space="0"/>
            </w:tcBorders>
            <w:shd w:val="clear" w:color="auto" w:fill="FFFFFF"/>
            <w:vAlign w:val="center"/>
          </w:tcPr>
          <w:p w14:paraId="0875DE72">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2CE37E07">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报名系统-网上缴费支付</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2E669861">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选择“已报名考试信息”，按照应急费用进行在线付费，付费成功后提供电子票款的查看及下载功能</w:t>
            </w:r>
          </w:p>
        </w:tc>
      </w:tr>
      <w:tr w14:paraId="2D7EEF96">
        <w:tblPrEx>
          <w:tblCellMar>
            <w:top w:w="0" w:type="dxa"/>
            <w:left w:w="108" w:type="dxa"/>
            <w:bottom w:w="0" w:type="dxa"/>
            <w:right w:w="108" w:type="dxa"/>
          </w:tblCellMar>
        </w:tblPrEx>
        <w:trPr>
          <w:trHeight w:val="957"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22BF8EBC">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17</w:t>
            </w:r>
          </w:p>
        </w:tc>
        <w:tc>
          <w:tcPr>
            <w:tcW w:w="904" w:type="pct"/>
            <w:vMerge w:val="restart"/>
            <w:tcBorders>
              <w:top w:val="single" w:color="auto" w:sz="4" w:space="0"/>
              <w:left w:val="nil"/>
              <w:right w:val="single" w:color="auto" w:sz="4" w:space="0"/>
            </w:tcBorders>
            <w:shd w:val="clear" w:color="auto" w:fill="FFFFFF"/>
            <w:vAlign w:val="center"/>
          </w:tcPr>
          <w:p w14:paraId="29D37E51">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考务管理</w:t>
            </w:r>
          </w:p>
        </w:tc>
        <w:tc>
          <w:tcPr>
            <w:tcW w:w="1100" w:type="pct"/>
            <w:tcBorders>
              <w:top w:val="single" w:color="auto" w:sz="4" w:space="0"/>
              <w:left w:val="nil"/>
              <w:bottom w:val="single" w:color="auto" w:sz="4" w:space="0"/>
              <w:right w:val="single" w:color="auto" w:sz="4" w:space="0"/>
            </w:tcBorders>
            <w:shd w:val="clear" w:color="auto" w:fill="FFFFFF"/>
            <w:vAlign w:val="center"/>
          </w:tcPr>
          <w:p w14:paraId="31A1AFDC">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考前设置-考试维护</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22E45ADF">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可根据考试年月进行查询，对内容进行维护，含考试代码，考试名称，考试简称，考试时间、网上报名时间、准考证打印时间等。</w:t>
            </w:r>
          </w:p>
        </w:tc>
      </w:tr>
      <w:tr w14:paraId="6C7BE47B">
        <w:tblPrEx>
          <w:tblCellMar>
            <w:top w:w="0" w:type="dxa"/>
            <w:left w:w="108" w:type="dxa"/>
            <w:bottom w:w="0" w:type="dxa"/>
            <w:right w:w="108" w:type="dxa"/>
          </w:tblCellMar>
        </w:tblPrEx>
        <w:trPr>
          <w:trHeight w:val="531"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25F12654">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18</w:t>
            </w:r>
          </w:p>
        </w:tc>
        <w:tc>
          <w:tcPr>
            <w:tcW w:w="904" w:type="pct"/>
            <w:vMerge w:val="continue"/>
            <w:tcBorders>
              <w:left w:val="nil"/>
              <w:right w:val="single" w:color="auto" w:sz="4" w:space="0"/>
            </w:tcBorders>
            <w:shd w:val="clear" w:color="auto" w:fill="FFFFFF"/>
            <w:vAlign w:val="center"/>
          </w:tcPr>
          <w:p w14:paraId="2F583BCF">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66FB3F20">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考前设置-专业设置</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4FB1A10A">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提供初级注册安全工程师考试专业的设置功能。</w:t>
            </w:r>
          </w:p>
        </w:tc>
      </w:tr>
      <w:tr w14:paraId="04EEDF07">
        <w:tblPrEx>
          <w:tblCellMar>
            <w:top w:w="0" w:type="dxa"/>
            <w:left w:w="108" w:type="dxa"/>
            <w:bottom w:w="0" w:type="dxa"/>
            <w:right w:w="108" w:type="dxa"/>
          </w:tblCellMar>
        </w:tblPrEx>
        <w:trPr>
          <w:trHeight w:val="583"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7FF49BB4">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19</w:t>
            </w:r>
          </w:p>
        </w:tc>
        <w:tc>
          <w:tcPr>
            <w:tcW w:w="904" w:type="pct"/>
            <w:vMerge w:val="continue"/>
            <w:tcBorders>
              <w:left w:val="nil"/>
              <w:right w:val="single" w:color="auto" w:sz="4" w:space="0"/>
            </w:tcBorders>
            <w:shd w:val="clear" w:color="auto" w:fill="FFFFFF"/>
            <w:vAlign w:val="center"/>
          </w:tcPr>
          <w:p w14:paraId="66064226">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19248C17">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考前设置-科目设置</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2A1F117E">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设置科目名称，科目简称，以及题型，专业科目等，并提供添加、编辑、删除科目功能</w:t>
            </w:r>
          </w:p>
        </w:tc>
      </w:tr>
      <w:tr w14:paraId="73F04CF0">
        <w:tblPrEx>
          <w:tblCellMar>
            <w:top w:w="0" w:type="dxa"/>
            <w:left w:w="108" w:type="dxa"/>
            <w:bottom w:w="0" w:type="dxa"/>
            <w:right w:w="108" w:type="dxa"/>
          </w:tblCellMar>
        </w:tblPrEx>
        <w:trPr>
          <w:trHeight w:val="1060"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6C155367">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20</w:t>
            </w:r>
          </w:p>
        </w:tc>
        <w:tc>
          <w:tcPr>
            <w:tcW w:w="904" w:type="pct"/>
            <w:vMerge w:val="continue"/>
            <w:tcBorders>
              <w:left w:val="nil"/>
              <w:right w:val="single" w:color="auto" w:sz="4" w:space="0"/>
            </w:tcBorders>
            <w:shd w:val="clear" w:color="auto" w:fill="FFFFFF"/>
            <w:vAlign w:val="center"/>
          </w:tcPr>
          <w:p w14:paraId="092D8A55">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3320822C">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考前设置-报考级别设置</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012E9AAB">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设置报考级别，根据考单科、考增项、考全科等级别分别绑定对应的专业，关联考试科目，实现报考级别的删除、考试专业、考试科目的绑定、解除绑定功能。</w:t>
            </w:r>
          </w:p>
        </w:tc>
      </w:tr>
      <w:tr w14:paraId="4EB11730">
        <w:tblPrEx>
          <w:tblCellMar>
            <w:top w:w="0" w:type="dxa"/>
            <w:left w:w="108" w:type="dxa"/>
            <w:bottom w:w="0" w:type="dxa"/>
            <w:right w:w="108" w:type="dxa"/>
          </w:tblCellMar>
        </w:tblPrEx>
        <w:trPr>
          <w:trHeight w:val="583"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7EDE9CBB">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21</w:t>
            </w:r>
          </w:p>
        </w:tc>
        <w:tc>
          <w:tcPr>
            <w:tcW w:w="904" w:type="pct"/>
            <w:vMerge w:val="continue"/>
            <w:tcBorders>
              <w:left w:val="nil"/>
              <w:right w:val="single" w:color="auto" w:sz="4" w:space="0"/>
            </w:tcBorders>
            <w:shd w:val="clear" w:color="auto" w:fill="FFFFFF"/>
            <w:vAlign w:val="center"/>
          </w:tcPr>
          <w:p w14:paraId="3D2FAF84">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696D1EE9">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考前设置-费用设置</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1A47C72F">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提供初级注册安全工程师单科考试费用设置功能。</w:t>
            </w:r>
          </w:p>
        </w:tc>
      </w:tr>
      <w:tr w14:paraId="69579F8D">
        <w:tblPrEx>
          <w:tblCellMar>
            <w:top w:w="0" w:type="dxa"/>
            <w:left w:w="108" w:type="dxa"/>
            <w:bottom w:w="0" w:type="dxa"/>
            <w:right w:w="108" w:type="dxa"/>
          </w:tblCellMar>
        </w:tblPrEx>
        <w:trPr>
          <w:trHeight w:val="493"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2256E566">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22</w:t>
            </w:r>
          </w:p>
        </w:tc>
        <w:tc>
          <w:tcPr>
            <w:tcW w:w="904" w:type="pct"/>
            <w:vMerge w:val="continue"/>
            <w:tcBorders>
              <w:left w:val="nil"/>
              <w:right w:val="single" w:color="auto" w:sz="4" w:space="0"/>
            </w:tcBorders>
            <w:shd w:val="clear" w:color="auto" w:fill="FFFFFF"/>
            <w:vAlign w:val="center"/>
          </w:tcPr>
          <w:p w14:paraId="7AAB3399">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14E7619B">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考前设置-考试发布</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0B9835E1">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提供考试名称、考试编码、专业设置、科目设置、级别设置、费用等考试信息发布功能</w:t>
            </w:r>
          </w:p>
        </w:tc>
      </w:tr>
      <w:tr w14:paraId="16A8E0EF">
        <w:tblPrEx>
          <w:tblCellMar>
            <w:top w:w="0" w:type="dxa"/>
            <w:left w:w="108" w:type="dxa"/>
            <w:bottom w:w="0" w:type="dxa"/>
            <w:right w:w="108" w:type="dxa"/>
          </w:tblCellMar>
        </w:tblPrEx>
        <w:trPr>
          <w:trHeight w:val="82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53FC43E8">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23</w:t>
            </w:r>
          </w:p>
        </w:tc>
        <w:tc>
          <w:tcPr>
            <w:tcW w:w="904" w:type="pct"/>
            <w:vMerge w:val="continue"/>
            <w:tcBorders>
              <w:left w:val="nil"/>
              <w:right w:val="single" w:color="auto" w:sz="4" w:space="0"/>
            </w:tcBorders>
            <w:shd w:val="clear" w:color="auto" w:fill="FFFFFF"/>
            <w:vAlign w:val="center"/>
          </w:tcPr>
          <w:p w14:paraId="0FC60E26">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3C198CBD">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报名数据管理-报名数据查询</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3B390CB2">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可根据证件号码、姓名、报名状态查询报名人员信息并查看详情，实现考生的报名信息的修改功能。</w:t>
            </w:r>
          </w:p>
        </w:tc>
      </w:tr>
      <w:tr w14:paraId="5DA16D0E">
        <w:tblPrEx>
          <w:tblCellMar>
            <w:top w:w="0" w:type="dxa"/>
            <w:left w:w="108" w:type="dxa"/>
            <w:bottom w:w="0" w:type="dxa"/>
            <w:right w:w="108" w:type="dxa"/>
          </w:tblCellMar>
        </w:tblPrEx>
        <w:trPr>
          <w:trHeight w:val="55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26EE3C61">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24</w:t>
            </w:r>
          </w:p>
        </w:tc>
        <w:tc>
          <w:tcPr>
            <w:tcW w:w="904" w:type="pct"/>
            <w:vMerge w:val="continue"/>
            <w:tcBorders>
              <w:left w:val="nil"/>
              <w:right w:val="single" w:color="auto" w:sz="4" w:space="0"/>
            </w:tcBorders>
            <w:shd w:val="clear" w:color="auto" w:fill="FFFFFF"/>
            <w:vAlign w:val="center"/>
          </w:tcPr>
          <w:p w14:paraId="1C8F2B69">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3B810A46">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报名数据管理-报名信息统计</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607402EF">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根据不同的维度统计报名信息，如报考级别、报考专业、报考科目等维度进行统计。</w:t>
            </w:r>
          </w:p>
        </w:tc>
      </w:tr>
      <w:tr w14:paraId="4D8C1B20">
        <w:tblPrEx>
          <w:tblCellMar>
            <w:top w:w="0" w:type="dxa"/>
            <w:left w:w="108" w:type="dxa"/>
            <w:bottom w:w="0" w:type="dxa"/>
            <w:right w:w="108" w:type="dxa"/>
          </w:tblCellMar>
        </w:tblPrEx>
        <w:trPr>
          <w:trHeight w:val="171"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3E54BEBF">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25</w:t>
            </w:r>
          </w:p>
        </w:tc>
        <w:tc>
          <w:tcPr>
            <w:tcW w:w="904" w:type="pct"/>
            <w:vMerge w:val="continue"/>
            <w:tcBorders>
              <w:left w:val="nil"/>
              <w:right w:val="single" w:color="auto" w:sz="4" w:space="0"/>
            </w:tcBorders>
            <w:shd w:val="clear" w:color="auto" w:fill="FFFFFF"/>
            <w:vAlign w:val="center"/>
          </w:tcPr>
          <w:p w14:paraId="54266EBE">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61734231">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报名数据管理-支付订单查询</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1DBF4378">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根据完成支付的在线报名数据，提供支付订单的明细查询。</w:t>
            </w:r>
          </w:p>
        </w:tc>
      </w:tr>
      <w:tr w14:paraId="118A7514">
        <w:tblPrEx>
          <w:tblCellMar>
            <w:top w:w="0" w:type="dxa"/>
            <w:left w:w="108" w:type="dxa"/>
            <w:bottom w:w="0" w:type="dxa"/>
            <w:right w:w="108" w:type="dxa"/>
          </w:tblCellMar>
        </w:tblPrEx>
        <w:trPr>
          <w:trHeight w:val="144"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2E797AEE">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26</w:t>
            </w:r>
          </w:p>
        </w:tc>
        <w:tc>
          <w:tcPr>
            <w:tcW w:w="904" w:type="pct"/>
            <w:vMerge w:val="continue"/>
            <w:tcBorders>
              <w:left w:val="nil"/>
              <w:right w:val="single" w:color="auto" w:sz="4" w:space="0"/>
            </w:tcBorders>
            <w:shd w:val="clear" w:color="auto" w:fill="FFFFFF"/>
            <w:vAlign w:val="center"/>
          </w:tcPr>
          <w:p w14:paraId="056DC54C">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5F369700">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报名数据管理-准考证打印及统计</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4C4BC326">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根据完成支付的在线报名数据，提供准考证的查询、打印功能。以及可按专业，科目等进行准考证统计。</w:t>
            </w:r>
          </w:p>
        </w:tc>
      </w:tr>
      <w:tr w14:paraId="45DA81F1">
        <w:tblPrEx>
          <w:tblCellMar>
            <w:top w:w="0" w:type="dxa"/>
            <w:left w:w="108" w:type="dxa"/>
            <w:bottom w:w="0" w:type="dxa"/>
            <w:right w:w="108" w:type="dxa"/>
          </w:tblCellMar>
        </w:tblPrEx>
        <w:trPr>
          <w:trHeight w:val="58"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04B5D627">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27</w:t>
            </w:r>
          </w:p>
        </w:tc>
        <w:tc>
          <w:tcPr>
            <w:tcW w:w="904" w:type="pct"/>
            <w:vMerge w:val="continue"/>
            <w:tcBorders>
              <w:left w:val="nil"/>
              <w:right w:val="single" w:color="auto" w:sz="4" w:space="0"/>
            </w:tcBorders>
            <w:shd w:val="clear" w:color="auto" w:fill="FFFFFF"/>
            <w:vAlign w:val="center"/>
          </w:tcPr>
          <w:p w14:paraId="4EE53736">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4A83F06D">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考场管理-考点考场设置</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42AB6F52">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提供本次考试各考点考场基础信息维护设置功能，含考点名称、负责人、考点地址、联系方式、考场标准、考场数量，开始结束时间等。</w:t>
            </w:r>
          </w:p>
        </w:tc>
      </w:tr>
      <w:tr w14:paraId="3C9D8400">
        <w:tblPrEx>
          <w:tblCellMar>
            <w:top w:w="0" w:type="dxa"/>
            <w:left w:w="108" w:type="dxa"/>
            <w:bottom w:w="0" w:type="dxa"/>
            <w:right w:w="108" w:type="dxa"/>
          </w:tblCellMar>
        </w:tblPrEx>
        <w:trPr>
          <w:trHeight w:val="518"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55709715">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28</w:t>
            </w:r>
          </w:p>
        </w:tc>
        <w:tc>
          <w:tcPr>
            <w:tcW w:w="904" w:type="pct"/>
            <w:vMerge w:val="continue"/>
            <w:tcBorders>
              <w:left w:val="nil"/>
              <w:right w:val="single" w:color="auto" w:sz="4" w:space="0"/>
            </w:tcBorders>
            <w:shd w:val="clear" w:color="auto" w:fill="FFFFFF"/>
            <w:vAlign w:val="center"/>
          </w:tcPr>
          <w:p w14:paraId="5B60DBF7">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2DE37CAE">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考场管理-考场分配</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0B32F2E9">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按照既定规则自动进行考生和考场的分配功能。</w:t>
            </w:r>
          </w:p>
        </w:tc>
      </w:tr>
      <w:tr w14:paraId="3328B2C3">
        <w:tblPrEx>
          <w:tblCellMar>
            <w:top w:w="0" w:type="dxa"/>
            <w:left w:w="108" w:type="dxa"/>
            <w:bottom w:w="0" w:type="dxa"/>
            <w:right w:w="108" w:type="dxa"/>
          </w:tblCellMar>
        </w:tblPrEx>
        <w:trPr>
          <w:trHeight w:val="556"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119F414E">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29</w:t>
            </w:r>
          </w:p>
        </w:tc>
        <w:tc>
          <w:tcPr>
            <w:tcW w:w="904" w:type="pct"/>
            <w:vMerge w:val="continue"/>
            <w:tcBorders>
              <w:left w:val="nil"/>
              <w:right w:val="single" w:color="auto" w:sz="4" w:space="0"/>
            </w:tcBorders>
            <w:shd w:val="clear" w:color="auto" w:fill="FFFFFF"/>
            <w:vAlign w:val="center"/>
          </w:tcPr>
          <w:p w14:paraId="2598FC05">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79090582">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考场管理-考号管理-》考号生成</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6A25472F">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根据自动生成的考场，按照既定规则生成相应的考号，实现在线生成日志信息。</w:t>
            </w:r>
          </w:p>
        </w:tc>
      </w:tr>
      <w:tr w14:paraId="59EDE22B">
        <w:tblPrEx>
          <w:tblCellMar>
            <w:top w:w="0" w:type="dxa"/>
            <w:left w:w="108" w:type="dxa"/>
            <w:bottom w:w="0" w:type="dxa"/>
            <w:right w:w="108" w:type="dxa"/>
          </w:tblCellMar>
        </w:tblPrEx>
        <w:trPr>
          <w:trHeight w:val="607"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7F07A6B4">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30</w:t>
            </w:r>
          </w:p>
        </w:tc>
        <w:tc>
          <w:tcPr>
            <w:tcW w:w="904" w:type="pct"/>
            <w:vMerge w:val="continue"/>
            <w:tcBorders>
              <w:left w:val="nil"/>
              <w:right w:val="single" w:color="auto" w:sz="4" w:space="0"/>
            </w:tcBorders>
            <w:shd w:val="clear" w:color="auto" w:fill="FFFFFF"/>
            <w:vAlign w:val="center"/>
          </w:tcPr>
          <w:p w14:paraId="63934FFC">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2570557C">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考场管理-考号管理-》撤销考号</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618C2ED7">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可对已生成的考号进行全部撤销处理，然后重新生成考号。</w:t>
            </w:r>
          </w:p>
        </w:tc>
      </w:tr>
      <w:tr w14:paraId="6910F30B">
        <w:tblPrEx>
          <w:tblCellMar>
            <w:top w:w="0" w:type="dxa"/>
            <w:left w:w="108" w:type="dxa"/>
            <w:bottom w:w="0" w:type="dxa"/>
            <w:right w:w="108" w:type="dxa"/>
          </w:tblCellMar>
        </w:tblPrEx>
        <w:trPr>
          <w:trHeight w:val="545"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1D5A4736">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31</w:t>
            </w:r>
          </w:p>
        </w:tc>
        <w:tc>
          <w:tcPr>
            <w:tcW w:w="904" w:type="pct"/>
            <w:vMerge w:val="continue"/>
            <w:tcBorders>
              <w:left w:val="nil"/>
              <w:right w:val="single" w:color="auto" w:sz="4" w:space="0"/>
            </w:tcBorders>
            <w:shd w:val="clear" w:color="auto" w:fill="FFFFFF"/>
            <w:vAlign w:val="center"/>
          </w:tcPr>
          <w:p w14:paraId="2B6AAB26">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3634A40D">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考场管理-考场信息检查</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1C8658FF">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提供不同的检查项检查考场信息，若检查不通过，则报考考生提示异常情况。</w:t>
            </w:r>
          </w:p>
        </w:tc>
      </w:tr>
      <w:tr w14:paraId="55E9796B">
        <w:tblPrEx>
          <w:tblCellMar>
            <w:top w:w="0" w:type="dxa"/>
            <w:left w:w="108" w:type="dxa"/>
            <w:bottom w:w="0" w:type="dxa"/>
            <w:right w:w="108" w:type="dxa"/>
          </w:tblCellMar>
        </w:tblPrEx>
        <w:trPr>
          <w:trHeight w:val="425"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1009ECEF">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32</w:t>
            </w:r>
          </w:p>
        </w:tc>
        <w:tc>
          <w:tcPr>
            <w:tcW w:w="904" w:type="pct"/>
            <w:vMerge w:val="continue"/>
            <w:tcBorders>
              <w:left w:val="nil"/>
              <w:right w:val="single" w:color="auto" w:sz="4" w:space="0"/>
            </w:tcBorders>
            <w:shd w:val="clear" w:color="auto" w:fill="FFFFFF"/>
            <w:vAlign w:val="center"/>
          </w:tcPr>
          <w:p w14:paraId="67D353A1">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313C3A48">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考场管理-考生座次表生成</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6E949A1F">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根据自动考场分配结果，可生成考生座次表，并提供在线预览查询功能</w:t>
            </w:r>
          </w:p>
        </w:tc>
      </w:tr>
      <w:tr w14:paraId="4B48D6CA">
        <w:tblPrEx>
          <w:tblCellMar>
            <w:top w:w="0" w:type="dxa"/>
            <w:left w:w="108" w:type="dxa"/>
            <w:bottom w:w="0" w:type="dxa"/>
            <w:right w:w="108" w:type="dxa"/>
          </w:tblCellMar>
        </w:tblPrEx>
        <w:trPr>
          <w:trHeight w:val="417"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38B0002F">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33</w:t>
            </w:r>
          </w:p>
        </w:tc>
        <w:tc>
          <w:tcPr>
            <w:tcW w:w="904" w:type="pct"/>
            <w:vMerge w:val="continue"/>
            <w:tcBorders>
              <w:left w:val="nil"/>
              <w:right w:val="single" w:color="auto" w:sz="4" w:space="0"/>
            </w:tcBorders>
            <w:shd w:val="clear" w:color="auto" w:fill="FFFFFF"/>
            <w:vAlign w:val="center"/>
          </w:tcPr>
          <w:p w14:paraId="5303DFF8">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56B3FF37">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考场管理-准考证生成</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5252BDD1">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提供自定义设置准考证内容信息，并为每一位考生生成准考证，并提供准考证的查询下载打印功能</w:t>
            </w:r>
          </w:p>
        </w:tc>
      </w:tr>
      <w:tr w14:paraId="2A196FDF">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449DA9FF">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34</w:t>
            </w:r>
          </w:p>
        </w:tc>
        <w:tc>
          <w:tcPr>
            <w:tcW w:w="904" w:type="pct"/>
            <w:vMerge w:val="continue"/>
            <w:tcBorders>
              <w:left w:val="nil"/>
              <w:right w:val="single" w:color="auto" w:sz="4" w:space="0"/>
            </w:tcBorders>
            <w:shd w:val="clear" w:color="auto" w:fill="FFFFFF"/>
            <w:vAlign w:val="center"/>
          </w:tcPr>
          <w:p w14:paraId="6F8F6716">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6B72B3D2">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成绩管理-合格标准设置</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2A6970CF">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合格标准功能用来最终确认实际的合格标准，提供每门考试合格分的设置功能。</w:t>
            </w:r>
          </w:p>
        </w:tc>
      </w:tr>
      <w:tr w14:paraId="243466E2">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0745F1A7">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35</w:t>
            </w:r>
          </w:p>
        </w:tc>
        <w:tc>
          <w:tcPr>
            <w:tcW w:w="904" w:type="pct"/>
            <w:vMerge w:val="continue"/>
            <w:tcBorders>
              <w:left w:val="nil"/>
              <w:right w:val="single" w:color="auto" w:sz="4" w:space="0"/>
            </w:tcBorders>
            <w:shd w:val="clear" w:color="auto" w:fill="FFFFFF"/>
            <w:vAlign w:val="center"/>
          </w:tcPr>
          <w:p w14:paraId="21543B28">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376E3CCE">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成绩管理-成绩导入</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1B1F8B6C">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按照考试院提供的成绩导入模板进行开发，可进行每次考试成绩的批量每门考试的成绩。</w:t>
            </w:r>
          </w:p>
        </w:tc>
      </w:tr>
      <w:tr w14:paraId="353EB70D">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0527265B">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36</w:t>
            </w:r>
          </w:p>
        </w:tc>
        <w:tc>
          <w:tcPr>
            <w:tcW w:w="904" w:type="pct"/>
            <w:vMerge w:val="continue"/>
            <w:tcBorders>
              <w:left w:val="nil"/>
              <w:right w:val="single" w:color="auto" w:sz="4" w:space="0"/>
            </w:tcBorders>
            <w:shd w:val="clear" w:color="auto" w:fill="FFFFFF"/>
            <w:vAlign w:val="center"/>
          </w:tcPr>
          <w:p w14:paraId="49F72941">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29F6854C">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成绩管理-违纪管理-》违纪录入</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7164708D">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按照违纪发生情况进行违纪信息录入，录入信息含考生姓名、科目、准考证、违纪来源、违纪行为及处理结果，比提供录入违纪信息撤销功能。</w:t>
            </w:r>
          </w:p>
        </w:tc>
      </w:tr>
      <w:tr w14:paraId="1D93FBBE">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60E9ACBC">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37</w:t>
            </w:r>
          </w:p>
        </w:tc>
        <w:tc>
          <w:tcPr>
            <w:tcW w:w="904" w:type="pct"/>
            <w:vMerge w:val="continue"/>
            <w:tcBorders>
              <w:left w:val="nil"/>
              <w:right w:val="single" w:color="auto" w:sz="4" w:space="0"/>
            </w:tcBorders>
            <w:shd w:val="clear" w:color="auto" w:fill="FFFFFF"/>
            <w:vAlign w:val="center"/>
          </w:tcPr>
          <w:p w14:paraId="7F948727">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0011E1BA">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成绩管理-违纪管理-》违纪处理</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490D481A">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对已经录入的违纪信息进行处理操作。</w:t>
            </w:r>
          </w:p>
        </w:tc>
      </w:tr>
      <w:tr w14:paraId="28CD693C">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2E1B2E33">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38</w:t>
            </w:r>
          </w:p>
        </w:tc>
        <w:tc>
          <w:tcPr>
            <w:tcW w:w="904" w:type="pct"/>
            <w:vMerge w:val="continue"/>
            <w:tcBorders>
              <w:left w:val="nil"/>
              <w:right w:val="single" w:color="auto" w:sz="4" w:space="0"/>
            </w:tcBorders>
            <w:shd w:val="clear" w:color="auto" w:fill="FFFFFF"/>
            <w:vAlign w:val="center"/>
          </w:tcPr>
          <w:p w14:paraId="63C813C5">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0DAB6415">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成绩管理-违纪管理-》违纪决定书</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032B223E">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根据模版创建违纪决定书，并提供批量下载违纪决定书功能。</w:t>
            </w:r>
          </w:p>
        </w:tc>
      </w:tr>
      <w:tr w14:paraId="026E282E">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26873402">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39</w:t>
            </w:r>
          </w:p>
        </w:tc>
        <w:tc>
          <w:tcPr>
            <w:tcW w:w="904" w:type="pct"/>
            <w:vMerge w:val="continue"/>
            <w:tcBorders>
              <w:left w:val="nil"/>
              <w:right w:val="single" w:color="auto" w:sz="4" w:space="0"/>
            </w:tcBorders>
            <w:shd w:val="clear" w:color="auto" w:fill="FFFFFF"/>
            <w:vAlign w:val="center"/>
          </w:tcPr>
          <w:p w14:paraId="2BE2F8BC">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3D6D0D21">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成绩管理-成绩查询</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1B9D73BF">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提供本次考试全部考试成绩的查询功能。</w:t>
            </w:r>
          </w:p>
        </w:tc>
      </w:tr>
      <w:tr w14:paraId="21E71C6E">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6A24E510">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40</w:t>
            </w:r>
          </w:p>
        </w:tc>
        <w:tc>
          <w:tcPr>
            <w:tcW w:w="904" w:type="pct"/>
            <w:vMerge w:val="continue"/>
            <w:tcBorders>
              <w:left w:val="nil"/>
              <w:right w:val="single" w:color="auto" w:sz="4" w:space="0"/>
            </w:tcBorders>
            <w:shd w:val="clear" w:color="auto" w:fill="FFFFFF"/>
            <w:vAlign w:val="center"/>
          </w:tcPr>
          <w:p w14:paraId="24749046">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26CF91C4">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成绩管理-生成合格人员-生成合格人员</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0417D8DC">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按照合格分的设置，由系统自动生成合格人员名单。</w:t>
            </w:r>
          </w:p>
        </w:tc>
      </w:tr>
      <w:tr w14:paraId="678BDED3">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3B73755D">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41</w:t>
            </w:r>
          </w:p>
        </w:tc>
        <w:tc>
          <w:tcPr>
            <w:tcW w:w="904" w:type="pct"/>
            <w:vMerge w:val="continue"/>
            <w:tcBorders>
              <w:left w:val="nil"/>
              <w:right w:val="single" w:color="auto" w:sz="4" w:space="0"/>
            </w:tcBorders>
            <w:shd w:val="clear" w:color="auto" w:fill="FFFFFF"/>
            <w:vAlign w:val="center"/>
          </w:tcPr>
          <w:p w14:paraId="576A3245">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201777D4">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成绩管理-生成合格人员-撤销合格人员</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3F5CD609">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提供自动生成合格人员的撤销功能。</w:t>
            </w:r>
          </w:p>
        </w:tc>
      </w:tr>
      <w:tr w14:paraId="62EDC067">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10C244EE">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42</w:t>
            </w:r>
          </w:p>
        </w:tc>
        <w:tc>
          <w:tcPr>
            <w:tcW w:w="904" w:type="pct"/>
            <w:vMerge w:val="continue"/>
            <w:tcBorders>
              <w:left w:val="nil"/>
              <w:right w:val="single" w:color="auto" w:sz="4" w:space="0"/>
            </w:tcBorders>
            <w:shd w:val="clear" w:color="auto" w:fill="FFFFFF"/>
            <w:vAlign w:val="center"/>
          </w:tcPr>
          <w:p w14:paraId="07DB1BE8">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7BCA44A8">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成绩管理-合格人员资格审查</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19B8D5C6">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提供合格人员资格信息的查阅功能，对合格人员资料进行审查，不通过审查明确不通过的原因。</w:t>
            </w:r>
          </w:p>
        </w:tc>
      </w:tr>
      <w:tr w14:paraId="30EDF7AE">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0316A112">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43</w:t>
            </w:r>
          </w:p>
        </w:tc>
        <w:tc>
          <w:tcPr>
            <w:tcW w:w="904" w:type="pct"/>
            <w:vMerge w:val="continue"/>
            <w:tcBorders>
              <w:left w:val="nil"/>
              <w:right w:val="single" w:color="auto" w:sz="4" w:space="0"/>
            </w:tcBorders>
            <w:shd w:val="clear" w:color="auto" w:fill="FFFFFF"/>
            <w:vAlign w:val="center"/>
          </w:tcPr>
          <w:p w14:paraId="162DD8E7">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77E6D395">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证书管理-职业资格证书（两门通过需《职业资格证书》模板、证书号规则）</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6D4FFEC7">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两门通过后，按照《职业资格证书》模板由系统生成职业资格证书、证书号由既定规则生成。</w:t>
            </w:r>
          </w:p>
        </w:tc>
      </w:tr>
      <w:tr w14:paraId="2DB3E56A">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0659562C">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44</w:t>
            </w:r>
          </w:p>
        </w:tc>
        <w:tc>
          <w:tcPr>
            <w:tcW w:w="904" w:type="pct"/>
            <w:vMerge w:val="continue"/>
            <w:tcBorders>
              <w:left w:val="nil"/>
              <w:bottom w:val="single" w:color="auto" w:sz="4" w:space="0"/>
              <w:right w:val="single" w:color="auto" w:sz="4" w:space="0"/>
            </w:tcBorders>
            <w:shd w:val="clear" w:color="auto" w:fill="FFFFFF"/>
            <w:vAlign w:val="center"/>
          </w:tcPr>
          <w:p w14:paraId="2C4B8185">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67B4933F">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证书管理-大数据中心电子证照库对接</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1581C01D">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合格证书与职业资格证书需与大数据中心电子证照库对接，根据情况加盖相关部门的电子签章或印章照片。</w:t>
            </w:r>
          </w:p>
        </w:tc>
      </w:tr>
      <w:tr w14:paraId="405770CB">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5FF4310C">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45</w:t>
            </w:r>
          </w:p>
        </w:tc>
        <w:tc>
          <w:tcPr>
            <w:tcW w:w="904" w:type="pct"/>
            <w:vMerge w:val="restart"/>
            <w:tcBorders>
              <w:top w:val="single" w:color="auto" w:sz="4" w:space="0"/>
              <w:left w:val="nil"/>
              <w:right w:val="single" w:color="auto" w:sz="4" w:space="0"/>
            </w:tcBorders>
            <w:shd w:val="clear" w:color="auto" w:fill="FFFFFF"/>
            <w:vAlign w:val="center"/>
          </w:tcPr>
          <w:p w14:paraId="360A7DFD">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注册管理</w:t>
            </w:r>
          </w:p>
        </w:tc>
        <w:tc>
          <w:tcPr>
            <w:tcW w:w="1100" w:type="pct"/>
            <w:tcBorders>
              <w:top w:val="single" w:color="auto" w:sz="4" w:space="0"/>
              <w:left w:val="nil"/>
              <w:bottom w:val="single" w:color="auto" w:sz="4" w:space="0"/>
              <w:right w:val="single" w:color="auto" w:sz="4" w:space="0"/>
            </w:tcBorders>
            <w:shd w:val="clear" w:color="auto" w:fill="FFFFFF"/>
            <w:vAlign w:val="center"/>
          </w:tcPr>
          <w:p w14:paraId="4B902A93">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用户申请端（PC端）-注册申请</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74BE372B">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对拥有职业资格证书的人员提供注册申请功能，提供申请信息的填报，申请材料的上传功能</w:t>
            </w:r>
          </w:p>
        </w:tc>
      </w:tr>
      <w:tr w14:paraId="68D102ED">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37178BA6">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46</w:t>
            </w:r>
          </w:p>
        </w:tc>
        <w:tc>
          <w:tcPr>
            <w:tcW w:w="904" w:type="pct"/>
            <w:vMerge w:val="continue"/>
            <w:tcBorders>
              <w:left w:val="nil"/>
              <w:right w:val="single" w:color="auto" w:sz="4" w:space="0"/>
            </w:tcBorders>
            <w:shd w:val="clear" w:color="auto" w:fill="FFFFFF"/>
            <w:vAlign w:val="center"/>
          </w:tcPr>
          <w:p w14:paraId="1D5533D4">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68B1FB4B">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用户申请端（PC端）-预审/补件</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0F025DB1">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提供预审进度的跟踪查询功能，可查看到预审结果，需要补件的信息。</w:t>
            </w:r>
          </w:p>
        </w:tc>
      </w:tr>
      <w:tr w14:paraId="4425CF59">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61DD85F8">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47</w:t>
            </w:r>
          </w:p>
        </w:tc>
        <w:tc>
          <w:tcPr>
            <w:tcW w:w="904" w:type="pct"/>
            <w:vMerge w:val="continue"/>
            <w:tcBorders>
              <w:left w:val="nil"/>
              <w:right w:val="single" w:color="auto" w:sz="4" w:space="0"/>
            </w:tcBorders>
            <w:shd w:val="clear" w:color="auto" w:fill="FFFFFF"/>
            <w:vAlign w:val="center"/>
          </w:tcPr>
          <w:p w14:paraId="0A6961E6">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07DD7020">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用户申请端（PC端）-暂存事项</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55233E9C">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提供事项暂存及查询功能</w:t>
            </w:r>
          </w:p>
        </w:tc>
      </w:tr>
      <w:tr w14:paraId="511E86CF">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6E2B7231">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48</w:t>
            </w:r>
          </w:p>
        </w:tc>
        <w:tc>
          <w:tcPr>
            <w:tcW w:w="904" w:type="pct"/>
            <w:vMerge w:val="continue"/>
            <w:tcBorders>
              <w:left w:val="nil"/>
              <w:right w:val="single" w:color="auto" w:sz="4" w:space="0"/>
            </w:tcBorders>
            <w:shd w:val="clear" w:color="auto" w:fill="FFFFFF"/>
            <w:vAlign w:val="center"/>
          </w:tcPr>
          <w:p w14:paraId="13C8A42F">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134F6596">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用户申请端（PC端）-在办事项</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67F8DC0B">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提供在办事项的跟踪查询功能</w:t>
            </w:r>
          </w:p>
        </w:tc>
      </w:tr>
      <w:tr w14:paraId="00D5BBD4">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1D52FF85">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49</w:t>
            </w:r>
          </w:p>
        </w:tc>
        <w:tc>
          <w:tcPr>
            <w:tcW w:w="904" w:type="pct"/>
            <w:vMerge w:val="continue"/>
            <w:tcBorders>
              <w:left w:val="nil"/>
              <w:right w:val="single" w:color="auto" w:sz="4" w:space="0"/>
            </w:tcBorders>
            <w:shd w:val="clear" w:color="auto" w:fill="FFFFFF"/>
            <w:vAlign w:val="center"/>
          </w:tcPr>
          <w:p w14:paraId="142156A1">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5E0512A3">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用户申请端（PC端）-办结事项</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03A8E13E">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提供在办结事项的跟踪查询功能，并查看审批结果，审批通过的可以下载电子证书。</w:t>
            </w:r>
          </w:p>
        </w:tc>
      </w:tr>
      <w:tr w14:paraId="770112B7">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20F50EBC">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50</w:t>
            </w:r>
          </w:p>
        </w:tc>
        <w:tc>
          <w:tcPr>
            <w:tcW w:w="904" w:type="pct"/>
            <w:vMerge w:val="continue"/>
            <w:tcBorders>
              <w:left w:val="nil"/>
              <w:right w:val="single" w:color="auto" w:sz="4" w:space="0"/>
            </w:tcBorders>
            <w:shd w:val="clear" w:color="auto" w:fill="FFFFFF"/>
            <w:vAlign w:val="center"/>
          </w:tcPr>
          <w:p w14:paraId="7443056E">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4A344392">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用户申请端（PC端）-好差评</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5211268F">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提供对本次行政事务的好差评评分功能，并接入一网通办。</w:t>
            </w:r>
          </w:p>
        </w:tc>
      </w:tr>
      <w:tr w14:paraId="10C71B16">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291A75C0">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51</w:t>
            </w:r>
          </w:p>
        </w:tc>
        <w:tc>
          <w:tcPr>
            <w:tcW w:w="904" w:type="pct"/>
            <w:vMerge w:val="continue"/>
            <w:tcBorders>
              <w:left w:val="nil"/>
              <w:right w:val="single" w:color="auto" w:sz="4" w:space="0"/>
            </w:tcBorders>
            <w:shd w:val="clear" w:color="auto" w:fill="FFFFFF"/>
            <w:vAlign w:val="center"/>
          </w:tcPr>
          <w:p w14:paraId="77240AB5">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3CBBB84A">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用户申请端（移动端）-系统接入随申办app</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0899D683">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在随申办移动端上实现初级注册工程师资质资质申请、预审补件、暂存、在办、办件设及好差评功能实现，并接入一网通办。</w:t>
            </w:r>
          </w:p>
        </w:tc>
      </w:tr>
      <w:tr w14:paraId="0F139C3C">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578C2723">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52</w:t>
            </w:r>
          </w:p>
        </w:tc>
        <w:tc>
          <w:tcPr>
            <w:tcW w:w="904" w:type="pct"/>
            <w:vMerge w:val="continue"/>
            <w:tcBorders>
              <w:left w:val="nil"/>
              <w:right w:val="single" w:color="auto" w:sz="4" w:space="0"/>
            </w:tcBorders>
            <w:shd w:val="clear" w:color="auto" w:fill="FFFFFF"/>
            <w:vAlign w:val="center"/>
          </w:tcPr>
          <w:p w14:paraId="36C6431B">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6F093108">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项目审批（政务网）-审批流程管理</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4EAAF205">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按照既定行政审批业务流程制作系统行政审批流程。</w:t>
            </w:r>
          </w:p>
        </w:tc>
      </w:tr>
      <w:tr w14:paraId="411C96EE">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668B87F4">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53</w:t>
            </w:r>
          </w:p>
        </w:tc>
        <w:tc>
          <w:tcPr>
            <w:tcW w:w="904" w:type="pct"/>
            <w:vMerge w:val="continue"/>
            <w:tcBorders>
              <w:left w:val="nil"/>
              <w:right w:val="single" w:color="auto" w:sz="4" w:space="0"/>
            </w:tcBorders>
            <w:shd w:val="clear" w:color="auto" w:fill="FFFFFF"/>
            <w:vAlign w:val="center"/>
          </w:tcPr>
          <w:p w14:paraId="11EB7E53">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1259F219">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项目审批（政务网）-待审项目</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1FA9688C">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可查看到当前账户的尚未审批的事项项目，并提供审批信息的管理功能。</w:t>
            </w:r>
          </w:p>
        </w:tc>
      </w:tr>
      <w:tr w14:paraId="4D434E87">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0B630A53">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54</w:t>
            </w:r>
          </w:p>
        </w:tc>
        <w:tc>
          <w:tcPr>
            <w:tcW w:w="904" w:type="pct"/>
            <w:vMerge w:val="continue"/>
            <w:tcBorders>
              <w:left w:val="nil"/>
              <w:right w:val="single" w:color="auto" w:sz="4" w:space="0"/>
            </w:tcBorders>
            <w:shd w:val="clear" w:color="auto" w:fill="FFFFFF"/>
            <w:vAlign w:val="center"/>
          </w:tcPr>
          <w:p w14:paraId="718FD702">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36386528">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项目审批（政务网）-整改项目</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2C8D8C12">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可查看到所有待整改的事项项目，并提供整改后审批信息的管理功能。</w:t>
            </w:r>
          </w:p>
        </w:tc>
      </w:tr>
      <w:tr w14:paraId="7A77B4C2">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6B09A812">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55</w:t>
            </w:r>
          </w:p>
        </w:tc>
        <w:tc>
          <w:tcPr>
            <w:tcW w:w="904" w:type="pct"/>
            <w:vMerge w:val="continue"/>
            <w:tcBorders>
              <w:left w:val="nil"/>
              <w:right w:val="single" w:color="auto" w:sz="4" w:space="0"/>
            </w:tcBorders>
            <w:shd w:val="clear" w:color="auto" w:fill="FFFFFF"/>
            <w:vAlign w:val="center"/>
          </w:tcPr>
          <w:p w14:paraId="6C81BAAA">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47E2FCF9">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项目审批（政务网）-办结项目</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6A0FC7FA">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可查看到所有已办结的事项项目。</w:t>
            </w:r>
          </w:p>
        </w:tc>
      </w:tr>
      <w:tr w14:paraId="5CEF777F">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325F0107">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56</w:t>
            </w:r>
          </w:p>
        </w:tc>
        <w:tc>
          <w:tcPr>
            <w:tcW w:w="904" w:type="pct"/>
            <w:vMerge w:val="continue"/>
            <w:tcBorders>
              <w:left w:val="nil"/>
              <w:right w:val="single" w:color="auto" w:sz="4" w:space="0"/>
            </w:tcBorders>
            <w:shd w:val="clear" w:color="auto" w:fill="FFFFFF"/>
            <w:vAlign w:val="center"/>
          </w:tcPr>
          <w:p w14:paraId="01B72D35">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6B4DFE8D">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项目审批（政务网）-电子证照管理</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2A2B5F30">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提供初级注册安全工程师电子证照的创建、查阅，下载等功能。</w:t>
            </w:r>
          </w:p>
        </w:tc>
      </w:tr>
      <w:tr w14:paraId="214CE0CE">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62EDBC01">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57</w:t>
            </w:r>
          </w:p>
        </w:tc>
        <w:tc>
          <w:tcPr>
            <w:tcW w:w="904" w:type="pct"/>
            <w:vMerge w:val="continue"/>
            <w:tcBorders>
              <w:left w:val="nil"/>
              <w:right w:val="single" w:color="auto" w:sz="4" w:space="0"/>
            </w:tcBorders>
            <w:shd w:val="clear" w:color="auto" w:fill="FFFFFF"/>
            <w:vAlign w:val="center"/>
          </w:tcPr>
          <w:p w14:paraId="555266E0">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55418A85">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项目审批（政务网）-已办项目</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4E6C06C7">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当前用户可查看到所有审批过的项目，并查询项目信息及跟踪项目进度。</w:t>
            </w:r>
          </w:p>
        </w:tc>
      </w:tr>
      <w:tr w14:paraId="5E8A5BC9">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12A3084C">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58</w:t>
            </w:r>
          </w:p>
        </w:tc>
        <w:tc>
          <w:tcPr>
            <w:tcW w:w="904" w:type="pct"/>
            <w:vMerge w:val="continue"/>
            <w:tcBorders>
              <w:left w:val="nil"/>
              <w:right w:val="single" w:color="auto" w:sz="4" w:space="0"/>
            </w:tcBorders>
            <w:shd w:val="clear" w:color="auto" w:fill="FFFFFF"/>
            <w:vAlign w:val="center"/>
          </w:tcPr>
          <w:p w14:paraId="138206BB">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7E48F378">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项目审批（政务网）-统计分析</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4FB143FF">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可按年度，专业，环比、同比等进行统计分析。</w:t>
            </w:r>
          </w:p>
        </w:tc>
      </w:tr>
      <w:tr w14:paraId="794DA446">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2300C473">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59</w:t>
            </w:r>
          </w:p>
        </w:tc>
        <w:tc>
          <w:tcPr>
            <w:tcW w:w="904" w:type="pct"/>
            <w:vMerge w:val="continue"/>
            <w:tcBorders>
              <w:left w:val="nil"/>
              <w:right w:val="single" w:color="auto" w:sz="4" w:space="0"/>
            </w:tcBorders>
            <w:shd w:val="clear" w:color="auto" w:fill="FFFFFF"/>
            <w:vAlign w:val="center"/>
          </w:tcPr>
          <w:p w14:paraId="6F7D353C">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31702740">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项目审批（政务网）-初级注册工程师资格证书电子证照同步制发</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369E7DD2">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按照一网通办电子证照同步制发接口实现电子证照制发，并自动归集一网通办。</w:t>
            </w:r>
          </w:p>
        </w:tc>
      </w:tr>
      <w:tr w14:paraId="31506E70">
        <w:tblPrEx>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66E92BE3">
            <w:pPr>
              <w:widowControl/>
              <w:spacing w:line="240" w:lineRule="auto"/>
              <w:ind w:firstLine="0" w:firstLineChars="0"/>
              <w:jc w:val="center"/>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60</w:t>
            </w:r>
          </w:p>
        </w:tc>
        <w:tc>
          <w:tcPr>
            <w:tcW w:w="904" w:type="pct"/>
            <w:vMerge w:val="continue"/>
            <w:tcBorders>
              <w:left w:val="nil"/>
              <w:bottom w:val="single" w:color="auto" w:sz="4" w:space="0"/>
              <w:right w:val="single" w:color="auto" w:sz="4" w:space="0"/>
            </w:tcBorders>
            <w:shd w:val="clear" w:color="auto" w:fill="FFFFFF"/>
            <w:vAlign w:val="center"/>
          </w:tcPr>
          <w:p w14:paraId="1A45A0E6">
            <w:pPr>
              <w:widowControl/>
              <w:spacing w:line="240" w:lineRule="auto"/>
              <w:ind w:firstLine="0" w:firstLineChars="0"/>
              <w:jc w:val="left"/>
              <w:rPr>
                <w:rFonts w:hint="eastAsia" w:cs="Tahoma" w:asciiTheme="minorEastAsia" w:hAnsiTheme="minorEastAsia" w:eastAsiaTheme="minorEastAsia"/>
                <w:color w:val="000000"/>
                <w:kern w:val="0"/>
                <w:sz w:val="22"/>
                <w:szCs w:val="22"/>
              </w:rPr>
            </w:pPr>
          </w:p>
        </w:tc>
        <w:tc>
          <w:tcPr>
            <w:tcW w:w="1100" w:type="pct"/>
            <w:tcBorders>
              <w:top w:val="single" w:color="auto" w:sz="4" w:space="0"/>
              <w:left w:val="nil"/>
              <w:bottom w:val="single" w:color="auto" w:sz="4" w:space="0"/>
              <w:right w:val="single" w:color="auto" w:sz="4" w:space="0"/>
            </w:tcBorders>
            <w:shd w:val="clear" w:color="auto" w:fill="FFFFFF"/>
            <w:vAlign w:val="center"/>
          </w:tcPr>
          <w:p w14:paraId="7C3A4D93">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项目审批（政务网）-一网通办接入</w:t>
            </w:r>
          </w:p>
        </w:tc>
        <w:tc>
          <w:tcPr>
            <w:tcW w:w="2610" w:type="pct"/>
            <w:tcBorders>
              <w:top w:val="single" w:color="auto" w:sz="4" w:space="0"/>
              <w:left w:val="nil"/>
              <w:bottom w:val="single" w:color="auto" w:sz="4" w:space="0"/>
              <w:right w:val="single" w:color="auto" w:sz="4" w:space="0"/>
            </w:tcBorders>
            <w:shd w:val="clear" w:color="auto" w:fill="FFFFFF"/>
            <w:vAlign w:val="center"/>
          </w:tcPr>
          <w:p w14:paraId="63BEFF2E">
            <w:pPr>
              <w:widowControl/>
              <w:spacing w:line="240" w:lineRule="auto"/>
              <w:ind w:firstLine="0" w:firstLineChars="0"/>
              <w:jc w:val="left"/>
              <w:rPr>
                <w:rFonts w:hint="eastAsia" w:cs="Tahom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编制初级注册安全工程师办事指南，并与一网通办对接接入。</w:t>
            </w:r>
          </w:p>
        </w:tc>
      </w:tr>
    </w:tbl>
    <w:p w14:paraId="7FDF6DF8">
      <w:pPr>
        <w:pStyle w:val="2"/>
        <w:rPr>
          <w:rFonts w:hint="eastAsia"/>
        </w:rPr>
      </w:pPr>
      <w:bookmarkStart w:id="17" w:name="_Toc63785502"/>
      <w:r>
        <w:rPr>
          <w:rFonts w:hint="eastAsia"/>
        </w:rPr>
        <w:t>电子政务云资源需求</w:t>
      </w:r>
      <w:bookmarkEnd w:id="17"/>
    </w:p>
    <w:p w14:paraId="1383D5F2">
      <w:pPr>
        <w:rPr>
          <w:rFonts w:hint="eastAsia"/>
        </w:rPr>
      </w:pPr>
      <w:r>
        <w:rPr>
          <w:rFonts w:hint="eastAsia"/>
        </w:rPr>
        <w:t>本次建设根据估算拟向电子政务云申请6台虚拟机、资源核心（核）88核、内存168G、存储3500GB。</w:t>
      </w:r>
    </w:p>
    <w:p w14:paraId="327E9677">
      <w:pPr>
        <w:rPr>
          <w:rFonts w:hint="eastAsia"/>
        </w:rPr>
      </w:pPr>
      <w:bookmarkStart w:id="18" w:name="_Hlk187327625"/>
      <w:r>
        <w:rPr>
          <w:rFonts w:hint="eastAsia"/>
        </w:rPr>
        <w:t>操作系统：6套；</w:t>
      </w:r>
    </w:p>
    <w:p w14:paraId="183C73FC">
      <w:pPr>
        <w:rPr>
          <w:rFonts w:hint="eastAsia"/>
        </w:rPr>
      </w:pPr>
      <w:r>
        <w:rPr>
          <w:rFonts w:hint="eastAsia"/>
        </w:rPr>
        <w:t>中间件：4套；</w:t>
      </w:r>
    </w:p>
    <w:p w14:paraId="435353E3">
      <w:pPr>
        <w:rPr>
          <w:rFonts w:hint="eastAsia"/>
        </w:rPr>
      </w:pPr>
      <w:r>
        <w:rPr>
          <w:rFonts w:hint="eastAsia"/>
        </w:rPr>
        <w:t>数据库服务：1套；</w:t>
      </w:r>
    </w:p>
    <w:p w14:paraId="0BA1FF3F">
      <w:pPr>
        <w:rPr>
          <w:rFonts w:hint="eastAsia"/>
        </w:rPr>
      </w:pPr>
      <w:r>
        <w:rPr>
          <w:rFonts w:hint="eastAsia"/>
        </w:rPr>
        <w:t>数字证书服务：SSL</w:t>
      </w:r>
      <w:r>
        <w:rPr>
          <w:sz w:val="24"/>
        </w:rPr>
        <mc:AlternateContent>
          <mc:Choice Requires="wps">
            <w:drawing>
              <wp:anchor distT="0" distB="0" distL="114300" distR="114300" simplePos="0" relativeHeight="251659264" behindDoc="0" locked="0" layoutInCell="1" allowOverlap="1">
                <wp:simplePos x="0" y="0"/>
                <wp:positionH relativeFrom="column">
                  <wp:posOffset>3981450</wp:posOffset>
                </wp:positionH>
                <wp:positionV relativeFrom="paragraph">
                  <wp:posOffset>250825</wp:posOffset>
                </wp:positionV>
                <wp:extent cx="635" cy="635"/>
                <wp:effectExtent l="8890" t="8890" r="20955" b="13335"/>
                <wp:wrapNone/>
                <wp:docPr id="1" name="墨迹 1"/>
                <wp:cNvGraphicFramePr/>
                <a:graphic xmlns:a="http://schemas.openxmlformats.org/drawingml/2006/main">
                  <a:graphicData uri="http://schemas.microsoft.com/office/word/2010/wordprocessingInk">
                    <mc:AlternateContent xmlns:a14="http://schemas.microsoft.com/office/drawing/2010/main">
                      <mc:Choice Requires="a14">
                        <w14:contentPart bwMode="clr" r:id="rId15">
                          <w14:nvContentPartPr>
                            <w14:cNvPr id="1" name="墨迹 1"/>
                            <w14:cNvContentPartPr/>
                          </w14:nvContentPartPr>
                          <w14:xfrm>
                            <a:off x="5122545" y="970915"/>
                            <a:ext cx="635" cy="635"/>
                          </w14:xfrm>
                        </w14:contentPart>
                      </mc:Choice>
                    </mc:AlternateContent>
                  </a:graphicData>
                </a:graphic>
              </wp:anchor>
            </w:drawing>
          </mc:Choice>
          <mc:Fallback>
            <w:pict>
              <v:shape id="_x0000_s1026" o:spid="_x0000_s1026" o:spt="75" style="position:absolute;left:0pt;margin-left:313.5pt;margin-top:19.75pt;height:0.05pt;width:0.05pt;z-index:251659264;mso-width-relative:page;mso-height-relative:page;" coordsize="21600,21600" o:gfxdata="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">
                <v:imagedata r:id="rId16" o:title=""/>
                <o:lock v:ext="edit"/>
              </v:shape>
            </w:pict>
          </mc:Fallback>
        </mc:AlternateContent>
      </w:r>
      <w:r>
        <w:rPr>
          <w:rFonts w:hint="eastAsia"/>
        </w:rPr>
        <w:t>证书-通配符2张；</w:t>
      </w:r>
    </w:p>
    <w:p w14:paraId="6D4249E1">
      <w:pPr>
        <w:rPr>
          <w:rFonts w:hint="eastAsia"/>
        </w:rPr>
      </w:pPr>
      <w:r>
        <w:rPr>
          <w:rFonts w:hint="eastAsia"/>
        </w:rPr>
        <w:t>数字证书服务：SSL证书-单域名2张；</w:t>
      </w:r>
    </w:p>
    <w:p w14:paraId="3807968B">
      <w:pPr>
        <w:rPr>
          <w:rFonts w:hint="eastAsia"/>
        </w:rPr>
      </w:pPr>
      <w:r>
        <w:rPr>
          <w:rFonts w:hint="eastAsia"/>
        </w:rPr>
        <w:t>签名验签服务：2套。</w:t>
      </w:r>
      <w:bookmarkEnd w:id="18"/>
    </w:p>
    <w:p w14:paraId="43B36248">
      <w:pPr>
        <w:pStyle w:val="2"/>
        <w:rPr>
          <w:rFonts w:hint="eastAsia"/>
        </w:rPr>
      </w:pPr>
      <w:bookmarkStart w:id="19" w:name="_Toc63785503"/>
      <w:r>
        <w:rPr>
          <w:rFonts w:hint="eastAsia"/>
        </w:rPr>
        <w:t>其他工作要求</w:t>
      </w:r>
      <w:bookmarkEnd w:id="19"/>
    </w:p>
    <w:p w14:paraId="17BEC10C">
      <w:pPr>
        <w:keepNext/>
        <w:keepLines/>
        <w:numPr>
          <w:ilvl w:val="1"/>
          <w:numId w:val="3"/>
        </w:numPr>
        <w:tabs>
          <w:tab w:val="left" w:pos="360"/>
        </w:tabs>
        <w:spacing w:before="120" w:line="240" w:lineRule="auto"/>
        <w:ind w:left="0" w:firstLine="0" w:firstLineChars="0"/>
        <w:outlineLvl w:val="1"/>
        <w:rPr>
          <w:rFonts w:hint="eastAsia" w:ascii="仿宋" w:hAnsi="仿宋" w:eastAsia="仿宋"/>
          <w:b/>
          <w:vanish/>
          <w:color w:val="000000"/>
          <w:sz w:val="28"/>
          <w:szCs w:val="20"/>
        </w:rPr>
      </w:pPr>
      <w:bookmarkStart w:id="20" w:name="_Toc62219358"/>
      <w:bookmarkEnd w:id="20"/>
      <w:bookmarkStart w:id="21" w:name="_Toc61968111"/>
      <w:bookmarkEnd w:id="21"/>
      <w:bookmarkStart w:id="22" w:name="_Toc63585480"/>
      <w:bookmarkEnd w:id="22"/>
      <w:bookmarkStart w:id="23" w:name="_Toc63785439"/>
      <w:bookmarkEnd w:id="23"/>
      <w:bookmarkStart w:id="24" w:name="_Toc62209488"/>
      <w:bookmarkEnd w:id="24"/>
      <w:bookmarkStart w:id="25" w:name="_Toc63762370"/>
      <w:bookmarkEnd w:id="25"/>
      <w:bookmarkStart w:id="26" w:name="_Toc63785504"/>
      <w:bookmarkEnd w:id="26"/>
      <w:bookmarkStart w:id="27" w:name="_Toc63151871"/>
      <w:bookmarkEnd w:id="27"/>
    </w:p>
    <w:p w14:paraId="0C00B93D">
      <w:pPr>
        <w:pStyle w:val="3"/>
        <w:ind w:left="567"/>
        <w:rPr>
          <w:rFonts w:hint="eastAsia"/>
        </w:rPr>
      </w:pPr>
      <w:bookmarkStart w:id="28" w:name="_Toc63785505"/>
      <w:r>
        <w:rPr>
          <w:rFonts w:hint="eastAsia"/>
        </w:rPr>
        <w:t>售后服务要求</w:t>
      </w:r>
      <w:bookmarkEnd w:id="28"/>
    </w:p>
    <w:p w14:paraId="12CEFE67">
      <w:pPr>
        <w:pStyle w:val="106"/>
        <w:snapToGrid w:val="0"/>
        <w:spacing w:line="360" w:lineRule="auto"/>
        <w:ind w:firstLine="480"/>
        <w:rPr>
          <w:rFonts w:hint="eastAsia" w:ascii="宋体" w:hAnsi="宋体"/>
          <w:sz w:val="24"/>
          <w:szCs w:val="24"/>
        </w:rPr>
      </w:pPr>
      <w:r>
        <w:rPr>
          <w:rFonts w:hint="eastAsia" w:ascii="宋体" w:hAnsi="宋体"/>
          <w:sz w:val="24"/>
          <w:szCs w:val="24"/>
        </w:rPr>
        <w:t>本项目质量保证期为自系统验收通过之日起不少于1年。在质量保证期内内提供</w:t>
      </w:r>
      <w:r>
        <w:rPr>
          <w:rFonts w:ascii="宋体" w:hAnsi="宋体"/>
          <w:sz w:val="24"/>
          <w:szCs w:val="24"/>
        </w:rPr>
        <w:t>7*24小时免费技术支持</w:t>
      </w:r>
      <w:r>
        <w:rPr>
          <w:rFonts w:hint="eastAsia" w:ascii="宋体" w:hAnsi="宋体"/>
          <w:sz w:val="24"/>
          <w:szCs w:val="24"/>
        </w:rPr>
        <w:t>和售后服务。</w:t>
      </w:r>
    </w:p>
    <w:p w14:paraId="2A027376">
      <w:pPr>
        <w:pStyle w:val="106"/>
        <w:snapToGrid w:val="0"/>
        <w:spacing w:line="360" w:lineRule="auto"/>
        <w:ind w:firstLine="480"/>
        <w:rPr>
          <w:rFonts w:hint="eastAsia" w:ascii="宋体" w:hAnsi="宋体"/>
          <w:sz w:val="24"/>
          <w:szCs w:val="24"/>
        </w:rPr>
      </w:pPr>
      <w:r>
        <w:rPr>
          <w:rFonts w:hint="eastAsia" w:ascii="宋体" w:hAnsi="宋体"/>
          <w:sz w:val="24"/>
          <w:szCs w:val="24"/>
        </w:rPr>
        <w:t>在质量保证期内，供应商将按照售后服务的承诺提供保修和运行维护服务，如果厂商对信息系统中软、硬件设备等产品中的部分保修期超过上述期限的，则按照厂商的规定进行免费保修。</w:t>
      </w:r>
    </w:p>
    <w:p w14:paraId="3B1438A1">
      <w:pPr>
        <w:pStyle w:val="106"/>
        <w:snapToGrid w:val="0"/>
        <w:spacing w:line="360" w:lineRule="auto"/>
        <w:ind w:firstLine="480"/>
        <w:rPr>
          <w:rFonts w:hint="eastAsia" w:ascii="宋体" w:hAnsi="宋体"/>
          <w:sz w:val="24"/>
          <w:szCs w:val="24"/>
        </w:rPr>
      </w:pPr>
      <w:r>
        <w:rPr>
          <w:rFonts w:hint="eastAsia" w:ascii="宋体" w:hAnsi="宋体"/>
          <w:sz w:val="24"/>
          <w:szCs w:val="24"/>
        </w:rPr>
        <w:t>在质量保证期内，供应商负责信息系统的运行维护工作，确保信息系统安全、稳定、可靠地运行。本项目涉及的运行维护工作范围为：初级注册安全工程师管理子系统。</w:t>
      </w:r>
    </w:p>
    <w:p w14:paraId="11CD4C43">
      <w:pPr>
        <w:pStyle w:val="3"/>
        <w:ind w:left="567"/>
        <w:rPr>
          <w:rFonts w:hint="eastAsia"/>
        </w:rPr>
      </w:pPr>
      <w:bookmarkStart w:id="29" w:name="_Toc63785506"/>
      <w:r>
        <w:rPr>
          <w:rFonts w:hint="eastAsia"/>
        </w:rPr>
        <w:t>应急响应要求</w:t>
      </w:r>
      <w:bookmarkEnd w:id="29"/>
    </w:p>
    <w:p w14:paraId="0BF35CAB">
      <w:pPr>
        <w:pStyle w:val="106"/>
        <w:snapToGrid w:val="0"/>
        <w:spacing w:line="360" w:lineRule="auto"/>
        <w:ind w:firstLine="480"/>
        <w:rPr>
          <w:rFonts w:hint="eastAsia" w:ascii="宋体" w:hAnsi="宋体"/>
          <w:sz w:val="24"/>
          <w:szCs w:val="24"/>
        </w:rPr>
      </w:pPr>
      <w:r>
        <w:rPr>
          <w:rFonts w:hint="eastAsia" w:ascii="宋体" w:hAnsi="宋体"/>
          <w:sz w:val="24"/>
          <w:szCs w:val="24"/>
        </w:rPr>
        <w:t>供应商对系统故障应能够实时响应，若系统发生故障，接到通知后</w:t>
      </w:r>
      <w:r>
        <w:rPr>
          <w:rFonts w:ascii="宋体" w:hAnsi="宋体"/>
          <w:sz w:val="24"/>
          <w:szCs w:val="24"/>
        </w:rPr>
        <w:t>30分钟之内响应，专业工程师2小时内到达现场</w:t>
      </w:r>
      <w:r>
        <w:rPr>
          <w:rFonts w:hint="eastAsia" w:ascii="宋体" w:hAnsi="宋体"/>
          <w:sz w:val="24"/>
          <w:szCs w:val="24"/>
        </w:rPr>
        <w:t>。特殊故障与客户沟通协商后，按照协商的方式制定解决方案并进行处理。</w:t>
      </w:r>
    </w:p>
    <w:p w14:paraId="1236B3B0">
      <w:pPr>
        <w:pStyle w:val="106"/>
        <w:snapToGrid w:val="0"/>
        <w:spacing w:line="360" w:lineRule="auto"/>
        <w:ind w:firstLine="480"/>
        <w:rPr>
          <w:rFonts w:hint="eastAsia" w:ascii="宋体" w:hAnsi="宋体"/>
          <w:sz w:val="24"/>
          <w:szCs w:val="24"/>
        </w:rPr>
      </w:pPr>
      <w:r>
        <w:rPr>
          <w:rFonts w:hint="eastAsia" w:ascii="宋体" w:hAnsi="宋体"/>
          <w:sz w:val="24"/>
          <w:szCs w:val="24"/>
        </w:rPr>
        <w:t>具体故障级别及对应的应急响应要求如下：</w:t>
      </w:r>
    </w:p>
    <w:p w14:paraId="579816D1">
      <w:pPr>
        <w:pStyle w:val="106"/>
        <w:snapToGrid w:val="0"/>
        <w:spacing w:line="360" w:lineRule="auto"/>
        <w:ind w:firstLine="480"/>
        <w:rPr>
          <w:rFonts w:hint="eastAsia" w:ascii="宋体" w:hAnsi="宋体"/>
          <w:sz w:val="24"/>
          <w:szCs w:val="24"/>
        </w:rPr>
      </w:pPr>
      <w:r>
        <w:rPr>
          <w:rFonts w:hint="eastAsia" w:ascii="宋体" w:hAnsi="宋体"/>
          <w:sz w:val="24"/>
          <w:szCs w:val="24"/>
        </w:rPr>
        <w:t>一级故障：在</w:t>
      </w:r>
      <w:r>
        <w:rPr>
          <w:rFonts w:ascii="宋体" w:hAnsi="宋体"/>
          <w:sz w:val="24"/>
          <w:szCs w:val="24"/>
        </w:rPr>
        <w:t>1小时内确诊，总故障解决时间不超过4小时。</w:t>
      </w:r>
    </w:p>
    <w:p w14:paraId="00B02C64">
      <w:pPr>
        <w:pStyle w:val="106"/>
        <w:snapToGrid w:val="0"/>
        <w:spacing w:line="360" w:lineRule="auto"/>
        <w:ind w:firstLine="480"/>
        <w:rPr>
          <w:rFonts w:hint="eastAsia" w:ascii="宋体" w:hAnsi="宋体"/>
          <w:sz w:val="24"/>
          <w:szCs w:val="24"/>
        </w:rPr>
      </w:pPr>
      <w:r>
        <w:rPr>
          <w:rFonts w:hint="eastAsia" w:ascii="宋体" w:hAnsi="宋体"/>
          <w:sz w:val="24"/>
          <w:szCs w:val="24"/>
        </w:rPr>
        <w:t>二级故障：在</w:t>
      </w:r>
      <w:r>
        <w:rPr>
          <w:rFonts w:ascii="宋体" w:hAnsi="宋体"/>
          <w:sz w:val="24"/>
          <w:szCs w:val="24"/>
        </w:rPr>
        <w:t>2小时内确诊，并在4小时内由专家到达现场确诊并解决，总故障解决时间不超过8小时；</w:t>
      </w:r>
    </w:p>
    <w:p w14:paraId="01A3B15A">
      <w:pPr>
        <w:pStyle w:val="106"/>
        <w:snapToGrid w:val="0"/>
        <w:spacing w:line="360" w:lineRule="auto"/>
        <w:ind w:firstLine="480"/>
        <w:rPr>
          <w:rFonts w:hint="eastAsia" w:ascii="宋体" w:hAnsi="宋体"/>
          <w:sz w:val="24"/>
          <w:szCs w:val="24"/>
        </w:rPr>
      </w:pPr>
      <w:r>
        <w:rPr>
          <w:rFonts w:hint="eastAsia" w:ascii="宋体" w:hAnsi="宋体"/>
          <w:sz w:val="24"/>
          <w:szCs w:val="24"/>
        </w:rPr>
        <w:t>三、四级故障：在</w:t>
      </w:r>
      <w:r>
        <w:rPr>
          <w:rFonts w:ascii="宋体" w:hAnsi="宋体"/>
          <w:sz w:val="24"/>
          <w:szCs w:val="24"/>
        </w:rPr>
        <w:t>4小时内确诊故障，总故障解决时间不超过16小时。</w:t>
      </w:r>
    </w:p>
    <w:p w14:paraId="7FD785EF">
      <w:pPr>
        <w:pStyle w:val="3"/>
        <w:ind w:left="567"/>
        <w:rPr>
          <w:rFonts w:hint="eastAsia"/>
        </w:rPr>
      </w:pPr>
      <w:bookmarkStart w:id="30" w:name="_Toc63785507"/>
      <w:r>
        <w:rPr>
          <w:rFonts w:hint="eastAsia"/>
        </w:rPr>
        <w:t>培训要求</w:t>
      </w:r>
      <w:bookmarkEnd w:id="30"/>
    </w:p>
    <w:p w14:paraId="0A3A2F07">
      <w:pPr>
        <w:rPr>
          <w:rFonts w:hint="eastAsia"/>
        </w:rPr>
      </w:pPr>
      <w:r>
        <w:rPr>
          <w:rFonts w:hint="eastAsia"/>
        </w:rPr>
        <w:t>对系统使用单位提供业务操作培训，应提供详细培训方案。</w:t>
      </w:r>
    </w:p>
    <w:p w14:paraId="752ADACF">
      <w:pPr>
        <w:rPr>
          <w:rFonts w:hint="eastAsia"/>
        </w:rPr>
      </w:pPr>
      <w:r>
        <w:rPr>
          <w:rFonts w:hint="eastAsia"/>
        </w:rPr>
        <w:t>(1)在不少于12个月的质量保证期内，提供2次与项目相关的必要培训。</w:t>
      </w:r>
    </w:p>
    <w:p w14:paraId="08192B0B">
      <w:pPr>
        <w:rPr>
          <w:rFonts w:hint="eastAsia"/>
        </w:rPr>
      </w:pPr>
      <w:r>
        <w:rPr>
          <w:rFonts w:hint="eastAsia"/>
        </w:rPr>
        <w:t>(2)供应商需要开展分层次的人员培训工作，每次培训后应对参加培训人员进行测试，评估培训成果。培训应具有培训教材、培训环境和高水平的培训讲师。</w:t>
      </w:r>
    </w:p>
    <w:p w14:paraId="4894F194">
      <w:pPr>
        <w:rPr>
          <w:rFonts w:hint="eastAsia"/>
        </w:rPr>
      </w:pPr>
      <w:r>
        <w:rPr>
          <w:rFonts w:hint="eastAsia"/>
        </w:rPr>
        <w:t>(3)供应商应提供一般用户的基础操作培训和部门信息管理员的日常应用维护的培训，确保用户对象能够掌握对应的操作技能。</w:t>
      </w:r>
    </w:p>
    <w:p w14:paraId="15049788">
      <w:pPr>
        <w:pStyle w:val="3"/>
        <w:ind w:left="567"/>
        <w:rPr>
          <w:rFonts w:hint="eastAsia"/>
        </w:rPr>
      </w:pPr>
      <w:bookmarkStart w:id="31" w:name="_Toc63785508"/>
      <w:r>
        <w:rPr>
          <w:rFonts w:hint="eastAsia"/>
        </w:rPr>
        <w:t>验收要求</w:t>
      </w:r>
      <w:bookmarkEnd w:id="31"/>
    </w:p>
    <w:p w14:paraId="6C35EAEF">
      <w:pPr>
        <w:rPr>
          <w:rFonts w:hint="eastAsia"/>
          <w:szCs w:val="21"/>
        </w:rPr>
      </w:pPr>
      <w:r>
        <w:rPr>
          <w:rFonts w:hint="eastAsia"/>
          <w:szCs w:val="21"/>
        </w:rPr>
        <w:t>本项目按下述方式开展验收。</w:t>
      </w:r>
    </w:p>
    <w:p w14:paraId="6B82CB4E">
      <w:pPr>
        <w:rPr>
          <w:rFonts w:hint="eastAsia"/>
          <w:szCs w:val="21"/>
        </w:rPr>
      </w:pPr>
      <w:r>
        <w:rPr>
          <w:rFonts w:hint="eastAsia"/>
          <w:szCs w:val="21"/>
        </w:rPr>
        <w:t>（</w:t>
      </w:r>
      <w:r>
        <w:rPr>
          <w:szCs w:val="21"/>
        </w:rPr>
        <w:t>1）验收分初验和终验。</w:t>
      </w:r>
    </w:p>
    <w:p w14:paraId="13BE728A">
      <w:pPr>
        <w:rPr>
          <w:rFonts w:hint="eastAsia"/>
          <w:szCs w:val="21"/>
        </w:rPr>
      </w:pPr>
      <w:r>
        <w:rPr>
          <w:rFonts w:hint="eastAsia"/>
          <w:szCs w:val="21"/>
        </w:rPr>
        <w:t>（</w:t>
      </w:r>
      <w:r>
        <w:rPr>
          <w:szCs w:val="21"/>
        </w:rPr>
        <w:t>2）初验前，供应商须完成软件开发、软硬件安装和信息系统的调试等，并对本项目进行功能和运行检测，确保所有信息系统功能模块能够正常运行且已达到本项目约定的各类标准要求。供应商应以书面形式向</w:t>
      </w:r>
      <w:r>
        <w:rPr>
          <w:rFonts w:hint="eastAsia"/>
          <w:szCs w:val="21"/>
        </w:rPr>
        <w:t>采购人</w:t>
      </w:r>
      <w:r>
        <w:rPr>
          <w:szCs w:val="21"/>
        </w:rPr>
        <w:t>递交初验通知书。</w:t>
      </w:r>
      <w:r>
        <w:rPr>
          <w:rFonts w:hint="eastAsia"/>
          <w:szCs w:val="21"/>
        </w:rPr>
        <w:t>采购人</w:t>
      </w:r>
      <w:r>
        <w:rPr>
          <w:szCs w:val="21"/>
        </w:rPr>
        <w:t>应当在接到通知后的5个工作日内确定初验的具体日期，由双方按照本项目的约定完成本项目的初验。</w:t>
      </w:r>
      <w:r>
        <w:rPr>
          <w:rFonts w:hint="eastAsia"/>
          <w:szCs w:val="21"/>
        </w:rPr>
        <w:t>采购人</w:t>
      </w:r>
      <w:r>
        <w:rPr>
          <w:szCs w:val="21"/>
        </w:rPr>
        <w:t>有权委托第三方检测机构进行验收，对此供应商应当配合。</w:t>
      </w:r>
    </w:p>
    <w:p w14:paraId="0C3CCDB6">
      <w:pPr>
        <w:rPr>
          <w:rFonts w:hint="eastAsia"/>
          <w:szCs w:val="21"/>
        </w:rPr>
      </w:pPr>
      <w:r>
        <w:rPr>
          <w:rFonts w:hint="eastAsia"/>
          <w:szCs w:val="21"/>
        </w:rPr>
        <w:t>（</w:t>
      </w:r>
      <w:r>
        <w:rPr>
          <w:szCs w:val="21"/>
        </w:rPr>
        <w:t>3）初验时，供应商须提供软件文档包括《用户需求说明书》、《系统概要设计说明书》、《系统详细设计说明书》、</w:t>
      </w:r>
      <w:r>
        <w:rPr>
          <w:rFonts w:hint="eastAsia"/>
          <w:szCs w:val="21"/>
        </w:rPr>
        <w:t>《三方功能需求确认单》、</w:t>
      </w:r>
      <w:r>
        <w:rPr>
          <w:szCs w:val="21"/>
        </w:rPr>
        <w:t>《测试报告》、《用户使用手册》、《系统部署文档》等）及可安装的程序运行文件。所交付的文档与文件应当是可供自然人阅读的书面和电子文档。软件文档及可安装的程序运行文件验收通过后，视为初验通过。如有缺陷，</w:t>
      </w:r>
      <w:r>
        <w:rPr>
          <w:rFonts w:hint="eastAsia"/>
          <w:szCs w:val="21"/>
        </w:rPr>
        <w:t>采购人</w:t>
      </w:r>
      <w:r>
        <w:rPr>
          <w:szCs w:val="21"/>
        </w:rPr>
        <w:t>应向供应商出具书面报告，陈述需要改进的缺陷。供应商应立即严格依照</w:t>
      </w:r>
      <w:r>
        <w:rPr>
          <w:rFonts w:hint="eastAsia"/>
          <w:szCs w:val="21"/>
        </w:rPr>
        <w:t>采购人</w:t>
      </w:r>
      <w:r>
        <w:rPr>
          <w:szCs w:val="21"/>
        </w:rPr>
        <w:t>的书面报告中的要求改进缺陷，并再次进行初验。</w:t>
      </w:r>
    </w:p>
    <w:p w14:paraId="13AC6DBA">
      <w:pPr>
        <w:rPr>
          <w:rFonts w:hint="eastAsia"/>
          <w:szCs w:val="21"/>
        </w:rPr>
      </w:pPr>
      <w:r>
        <w:rPr>
          <w:rFonts w:hint="eastAsia"/>
          <w:szCs w:val="21"/>
        </w:rPr>
        <w:t>（</w:t>
      </w:r>
      <w:r>
        <w:rPr>
          <w:szCs w:val="21"/>
        </w:rPr>
        <w:t>4）自初验通过之日起，</w:t>
      </w:r>
      <w:r>
        <w:rPr>
          <w:rFonts w:hint="eastAsia"/>
          <w:szCs w:val="21"/>
        </w:rPr>
        <w:t>采购人</w:t>
      </w:r>
      <w:r>
        <w:rPr>
          <w:szCs w:val="21"/>
        </w:rPr>
        <w:t>享有供应商免费提供的</w:t>
      </w:r>
      <w:r>
        <w:rPr>
          <w:rFonts w:hint="eastAsia"/>
          <w:szCs w:val="21"/>
        </w:rPr>
        <w:t>30</w:t>
      </w:r>
      <w:r>
        <w:rPr>
          <w:szCs w:val="21"/>
        </w:rPr>
        <w:t>天的信息系统试运行现场驻场服务期。该期间内，供应商应当按照</w:t>
      </w:r>
      <w:r>
        <w:rPr>
          <w:rFonts w:hint="eastAsia"/>
          <w:szCs w:val="21"/>
        </w:rPr>
        <w:t>采购人</w:t>
      </w:r>
      <w:r>
        <w:rPr>
          <w:szCs w:val="21"/>
        </w:rPr>
        <w:t>的要求提供现场技术支持服务，解决信息系统试运行期间可能出现的各类问题，或进一步提高与完善信息系统运行水平。</w:t>
      </w:r>
    </w:p>
    <w:p w14:paraId="58FA2B4C">
      <w:pPr>
        <w:rPr>
          <w:rFonts w:hint="eastAsia"/>
          <w:szCs w:val="21"/>
        </w:rPr>
      </w:pPr>
      <w:r>
        <w:rPr>
          <w:rFonts w:hint="eastAsia"/>
          <w:szCs w:val="21"/>
        </w:rPr>
        <w:t>（</w:t>
      </w:r>
      <w:r>
        <w:rPr>
          <w:szCs w:val="21"/>
        </w:rPr>
        <w:t>5）初验通过且信息系统试运行期已经达到本项目约定的时间，经供应商确认信息系统具备正常运行条件，且信息系统通过运行测试，供应商应以书面形式通知</w:t>
      </w:r>
      <w:r>
        <w:rPr>
          <w:rFonts w:hint="eastAsia"/>
          <w:szCs w:val="21"/>
        </w:rPr>
        <w:t>采购人</w:t>
      </w:r>
      <w:r>
        <w:rPr>
          <w:szCs w:val="21"/>
        </w:rPr>
        <w:t>信息系统已准备就绪等待终验。</w:t>
      </w:r>
      <w:r>
        <w:rPr>
          <w:rFonts w:hint="eastAsia"/>
          <w:szCs w:val="21"/>
        </w:rPr>
        <w:t>采购人</w:t>
      </w:r>
      <w:r>
        <w:rPr>
          <w:szCs w:val="21"/>
        </w:rPr>
        <w:t>在收到终验通知后的</w:t>
      </w:r>
      <w:r>
        <w:rPr>
          <w:rFonts w:hint="eastAsia"/>
          <w:szCs w:val="21"/>
        </w:rPr>
        <w:t>10</w:t>
      </w:r>
      <w:r>
        <w:rPr>
          <w:szCs w:val="21"/>
        </w:rPr>
        <w:t>个工作日内发起组织专家验收会。</w:t>
      </w:r>
    </w:p>
    <w:p w14:paraId="105BDB54">
      <w:pPr>
        <w:rPr>
          <w:rFonts w:hint="eastAsia"/>
          <w:szCs w:val="21"/>
        </w:rPr>
      </w:pPr>
      <w:r>
        <w:rPr>
          <w:rFonts w:hint="eastAsia"/>
          <w:szCs w:val="21"/>
        </w:rPr>
        <w:t>（6</w:t>
      </w:r>
      <w:r>
        <w:rPr>
          <w:szCs w:val="21"/>
        </w:rPr>
        <w:t>）如果属于供应商原因致使本项目未能通过终验，供应商应当排除缺陷，直至本项目完全符合验收标准，由上述情形而产生的相关费用应由供应商自行承担。</w:t>
      </w:r>
    </w:p>
    <w:p w14:paraId="2EF9DB64">
      <w:pPr>
        <w:rPr>
          <w:rFonts w:hint="eastAsia"/>
          <w:szCs w:val="21"/>
        </w:rPr>
      </w:pPr>
      <w:r>
        <w:rPr>
          <w:rFonts w:hint="eastAsia"/>
          <w:szCs w:val="21"/>
        </w:rPr>
        <w:t>（7</w:t>
      </w:r>
      <w:r>
        <w:rPr>
          <w:szCs w:val="21"/>
        </w:rPr>
        <w:t>）如果由于</w:t>
      </w:r>
      <w:r>
        <w:rPr>
          <w:rFonts w:hint="eastAsia"/>
          <w:szCs w:val="21"/>
        </w:rPr>
        <w:t>采购人</w:t>
      </w:r>
      <w:r>
        <w:rPr>
          <w:szCs w:val="21"/>
        </w:rPr>
        <w:t>原因导致本项目在终验通过前出现故障或问题，供应商应及时配合排除该方面的故障或问题。</w:t>
      </w:r>
    </w:p>
    <w:p w14:paraId="426255CF">
      <w:pPr>
        <w:rPr>
          <w:rFonts w:hint="eastAsia"/>
          <w:szCs w:val="21"/>
        </w:rPr>
      </w:pPr>
      <w:r>
        <w:rPr>
          <w:rFonts w:hint="eastAsia"/>
          <w:szCs w:val="21"/>
        </w:rPr>
        <w:t>（8</w:t>
      </w:r>
      <w:r>
        <w:rPr>
          <w:szCs w:val="21"/>
        </w:rPr>
        <w:t>）如本项目连续3次验收未通过（含初验未通过或终验未通过），</w:t>
      </w:r>
      <w:r>
        <w:rPr>
          <w:rFonts w:hint="eastAsia"/>
          <w:szCs w:val="21"/>
        </w:rPr>
        <w:t>采购人</w:t>
      </w:r>
      <w:r>
        <w:rPr>
          <w:szCs w:val="21"/>
        </w:rPr>
        <w:t>有权解除项目，并有权依照本项目约定的违约条款追究供应商的违约责任。</w:t>
      </w:r>
    </w:p>
    <w:p w14:paraId="5182AECE">
      <w:pPr>
        <w:pStyle w:val="3"/>
        <w:ind w:left="567"/>
        <w:rPr>
          <w:rFonts w:hint="eastAsia"/>
        </w:rPr>
      </w:pPr>
      <w:bookmarkStart w:id="32" w:name="_Toc63785509"/>
      <w:r>
        <w:rPr>
          <w:rFonts w:hint="eastAsia"/>
        </w:rPr>
        <w:t>进度要求</w:t>
      </w:r>
      <w:bookmarkEnd w:id="32"/>
    </w:p>
    <w:p w14:paraId="1D78EF0D">
      <w:pPr>
        <w:rPr>
          <w:rFonts w:hint="eastAsia"/>
        </w:rPr>
      </w:pPr>
      <w:r>
        <w:rPr>
          <w:rFonts w:hint="eastAsia"/>
        </w:rPr>
        <w:t>供应商应根据建设内容，分阶段制定合理的时间进度，并且应根据采购人要求进行调整和细化。</w:t>
      </w:r>
    </w:p>
    <w:p w14:paraId="2D161A59">
      <w:pPr>
        <w:rPr>
          <w:rFonts w:hint="eastAsia"/>
        </w:rPr>
      </w:pPr>
      <w:r>
        <w:rPr>
          <w:rFonts w:hint="eastAsia"/>
        </w:rPr>
        <w:t>总建设周期为6个月，分为三个阶段。</w:t>
      </w:r>
    </w:p>
    <w:p w14:paraId="43FD968F">
      <w:pPr>
        <w:rPr>
          <w:rFonts w:hint="eastAsia"/>
        </w:rPr>
      </w:pPr>
      <w:r>
        <w:rPr>
          <w:rFonts w:hint="eastAsia"/>
        </w:rPr>
        <w:t>项目规划设计阶段： 1个月</w:t>
      </w:r>
    </w:p>
    <w:p w14:paraId="7285B7B3">
      <w:pPr>
        <w:rPr>
          <w:rFonts w:hint="eastAsia"/>
        </w:rPr>
      </w:pPr>
      <w:r>
        <w:rPr>
          <w:rFonts w:hint="eastAsia"/>
        </w:rPr>
        <w:t>项目开发测试阶段： 4个月</w:t>
      </w:r>
    </w:p>
    <w:p w14:paraId="0EE5405F">
      <w:pPr>
        <w:rPr>
          <w:rFonts w:hint="eastAsia"/>
        </w:rPr>
      </w:pPr>
      <w:r>
        <w:rPr>
          <w:rFonts w:hint="eastAsia"/>
        </w:rPr>
        <w:t>项目试运行、迭代开发和项目验收阶段：1个月</w:t>
      </w:r>
    </w:p>
    <w:p w14:paraId="5D5AF9C8">
      <w:pPr>
        <w:pStyle w:val="3"/>
        <w:ind w:left="567"/>
        <w:rPr>
          <w:rFonts w:hint="eastAsia"/>
        </w:rPr>
      </w:pPr>
      <w:bookmarkStart w:id="33" w:name="_Toc63785510"/>
      <w:r>
        <w:rPr>
          <w:rFonts w:hint="eastAsia"/>
        </w:rPr>
        <w:t>项目团队及驻场人员要求</w:t>
      </w:r>
      <w:bookmarkEnd w:id="33"/>
    </w:p>
    <w:p w14:paraId="062D45B3">
      <w:pPr>
        <w:rPr>
          <w:rFonts w:hint="eastAsia"/>
        </w:rPr>
      </w:pPr>
      <w:r>
        <w:t>1）</w:t>
      </w:r>
      <w:r>
        <w:rPr>
          <w:rFonts w:hint="eastAsia"/>
        </w:rPr>
        <w:t>供应商</w:t>
      </w:r>
      <w:r>
        <w:t>须具有稳定的在职技术保障力量，能够提供及时的技术支援或服务，应针对本项目提供不少于</w:t>
      </w:r>
      <w:r>
        <w:rPr>
          <w:rFonts w:hint="eastAsia"/>
        </w:rPr>
        <w:t>7</w:t>
      </w:r>
      <w:r>
        <w:t>人的项目服务团队（包括项目经理、技术负责人、</w:t>
      </w:r>
      <w:r>
        <w:rPr>
          <w:rFonts w:hint="eastAsia"/>
        </w:rPr>
        <w:t>开发人员</w:t>
      </w:r>
      <w:r>
        <w:t>等），</w:t>
      </w:r>
      <w:r>
        <w:rPr>
          <w:rFonts w:hint="eastAsia"/>
          <w:lang w:eastAsia="zh-CN"/>
        </w:rPr>
        <w:t>供应商</w:t>
      </w:r>
      <w:r>
        <w:t>的相关服务人员需具备相应的服务能力，需提供相关证明。</w:t>
      </w:r>
    </w:p>
    <w:tbl>
      <w:tblPr>
        <w:tblStyle w:val="3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2856"/>
        <w:gridCol w:w="1180"/>
        <w:gridCol w:w="2027"/>
        <w:gridCol w:w="1276"/>
      </w:tblGrid>
      <w:tr w14:paraId="5F5F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0" w:type="auto"/>
            <w:shd w:val="clear" w:color="auto" w:fill="auto"/>
            <w:noWrap/>
            <w:vAlign w:val="center"/>
          </w:tcPr>
          <w:p w14:paraId="11D7A7EA">
            <w:pPr>
              <w:widowControl/>
              <w:spacing w:line="240" w:lineRule="auto"/>
              <w:ind w:firstLine="0" w:firstLineChars="0"/>
              <w:jc w:val="center"/>
              <w:rPr>
                <w:rFonts w:hint="eastAsia"/>
                <w:b/>
              </w:rPr>
            </w:pPr>
            <w:r>
              <w:rPr>
                <w:rFonts w:hint="eastAsia"/>
                <w:b/>
              </w:rPr>
              <w:t>角色</w:t>
            </w:r>
          </w:p>
        </w:tc>
        <w:tc>
          <w:tcPr>
            <w:tcW w:w="0" w:type="auto"/>
            <w:shd w:val="clear" w:color="auto" w:fill="auto"/>
            <w:noWrap/>
            <w:vAlign w:val="center"/>
          </w:tcPr>
          <w:p w14:paraId="19518537">
            <w:pPr>
              <w:widowControl/>
              <w:spacing w:line="240" w:lineRule="auto"/>
              <w:ind w:firstLine="0" w:firstLineChars="0"/>
              <w:jc w:val="center"/>
              <w:rPr>
                <w:rFonts w:hint="eastAsia"/>
                <w:b/>
              </w:rPr>
            </w:pPr>
            <w:r>
              <w:rPr>
                <w:rFonts w:hint="eastAsia"/>
                <w:b/>
              </w:rPr>
              <w:t>主要职责</w:t>
            </w:r>
          </w:p>
        </w:tc>
        <w:tc>
          <w:tcPr>
            <w:tcW w:w="0" w:type="auto"/>
            <w:shd w:val="clear" w:color="auto" w:fill="auto"/>
            <w:noWrap/>
            <w:vAlign w:val="center"/>
          </w:tcPr>
          <w:p w14:paraId="67705436">
            <w:pPr>
              <w:widowControl/>
              <w:spacing w:line="240" w:lineRule="auto"/>
              <w:ind w:firstLine="0" w:firstLineChars="0"/>
              <w:jc w:val="center"/>
              <w:rPr>
                <w:rFonts w:hint="eastAsia"/>
                <w:b/>
              </w:rPr>
            </w:pPr>
            <w:r>
              <w:rPr>
                <w:rFonts w:hint="eastAsia"/>
                <w:b/>
              </w:rPr>
              <w:t>人员数量</w:t>
            </w:r>
          </w:p>
        </w:tc>
        <w:tc>
          <w:tcPr>
            <w:tcW w:w="2027" w:type="dxa"/>
            <w:vAlign w:val="center"/>
          </w:tcPr>
          <w:p w14:paraId="5B5B9586">
            <w:pPr>
              <w:widowControl/>
              <w:spacing w:line="240" w:lineRule="auto"/>
              <w:ind w:firstLine="0" w:firstLineChars="0"/>
              <w:jc w:val="center"/>
              <w:rPr>
                <w:rFonts w:hint="eastAsia"/>
                <w:b/>
              </w:rPr>
            </w:pPr>
            <w:r>
              <w:rPr>
                <w:rFonts w:hint="eastAsia"/>
                <w:b/>
              </w:rPr>
              <w:t>人员要求</w:t>
            </w:r>
          </w:p>
        </w:tc>
        <w:tc>
          <w:tcPr>
            <w:tcW w:w="1276" w:type="dxa"/>
            <w:shd w:val="clear" w:color="auto" w:fill="auto"/>
            <w:noWrap/>
            <w:vAlign w:val="center"/>
          </w:tcPr>
          <w:p w14:paraId="638423D3">
            <w:pPr>
              <w:widowControl/>
              <w:spacing w:line="240" w:lineRule="auto"/>
              <w:ind w:firstLine="0" w:firstLineChars="0"/>
              <w:jc w:val="center"/>
              <w:rPr>
                <w:rFonts w:hint="eastAsia"/>
                <w:b/>
              </w:rPr>
            </w:pPr>
            <w:r>
              <w:rPr>
                <w:rFonts w:hint="eastAsia"/>
                <w:b/>
              </w:rPr>
              <w:t>驻场要求</w:t>
            </w:r>
          </w:p>
        </w:tc>
      </w:tr>
      <w:tr w14:paraId="2634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61BF05AB">
            <w:pPr>
              <w:widowControl/>
              <w:spacing w:line="240" w:lineRule="auto"/>
              <w:ind w:firstLine="0" w:firstLineChars="0"/>
              <w:jc w:val="center"/>
              <w:rPr>
                <w:rFonts w:hint="eastAsia"/>
              </w:rPr>
            </w:pPr>
            <w:r>
              <w:rPr>
                <w:rFonts w:hint="eastAsia"/>
              </w:rPr>
              <w:t>项目经理</w:t>
            </w:r>
          </w:p>
        </w:tc>
        <w:tc>
          <w:tcPr>
            <w:tcW w:w="0" w:type="auto"/>
            <w:shd w:val="clear" w:color="auto" w:fill="auto"/>
            <w:vAlign w:val="center"/>
          </w:tcPr>
          <w:p w14:paraId="78495825">
            <w:pPr>
              <w:widowControl/>
              <w:spacing w:line="240" w:lineRule="auto"/>
              <w:ind w:firstLine="0" w:firstLineChars="0"/>
              <w:jc w:val="left"/>
              <w:rPr>
                <w:rFonts w:hint="eastAsia"/>
              </w:rPr>
            </w:pPr>
            <w:r>
              <w:rPr>
                <w:rFonts w:hint="eastAsia"/>
              </w:rPr>
              <w:t>负责项目质量和进度控制</w:t>
            </w:r>
          </w:p>
        </w:tc>
        <w:tc>
          <w:tcPr>
            <w:tcW w:w="0" w:type="auto"/>
            <w:shd w:val="clear" w:color="auto" w:fill="auto"/>
            <w:noWrap/>
            <w:vAlign w:val="center"/>
          </w:tcPr>
          <w:p w14:paraId="30C77A47">
            <w:pPr>
              <w:widowControl/>
              <w:spacing w:line="240" w:lineRule="auto"/>
              <w:ind w:firstLine="0" w:firstLineChars="0"/>
              <w:jc w:val="center"/>
              <w:rPr>
                <w:rFonts w:hint="eastAsia"/>
              </w:rPr>
            </w:pPr>
            <w:r>
              <w:rPr>
                <w:rFonts w:hint="eastAsia"/>
              </w:rPr>
              <w:t>1人</w:t>
            </w:r>
          </w:p>
        </w:tc>
        <w:tc>
          <w:tcPr>
            <w:tcW w:w="2027" w:type="dxa"/>
            <w:vAlign w:val="center"/>
          </w:tcPr>
          <w:p w14:paraId="6FAAD2ED">
            <w:pPr>
              <w:widowControl/>
              <w:spacing w:line="240" w:lineRule="auto"/>
              <w:ind w:firstLine="0" w:firstLineChars="0"/>
              <w:jc w:val="center"/>
              <w:rPr>
                <w:rFonts w:hint="eastAsia"/>
              </w:rPr>
            </w:pPr>
            <w:r>
              <w:rPr>
                <w:rFonts w:hint="eastAsia" w:cs="宋体"/>
                <w:kern w:val="0"/>
                <w:sz w:val="22"/>
                <w:szCs w:val="22"/>
              </w:rPr>
              <w:t>具有本科及以上学历，</w:t>
            </w:r>
            <w:r>
              <w:rPr>
                <w:rFonts w:hint="eastAsia"/>
              </w:rPr>
              <w:t>具备</w:t>
            </w:r>
            <w:r>
              <w:rPr>
                <w:rFonts w:hint="eastAsia" w:cs="宋体"/>
                <w:kern w:val="0"/>
                <w:sz w:val="22"/>
                <w:szCs w:val="22"/>
              </w:rPr>
              <w:t>信息系统项目管理师资质证书，具备4年及以上信息化系统建设管理经验的</w:t>
            </w:r>
          </w:p>
        </w:tc>
        <w:tc>
          <w:tcPr>
            <w:tcW w:w="1276" w:type="dxa"/>
            <w:shd w:val="clear" w:color="auto" w:fill="auto"/>
            <w:noWrap/>
            <w:vAlign w:val="center"/>
          </w:tcPr>
          <w:p w14:paraId="076AC5D6">
            <w:pPr>
              <w:widowControl/>
              <w:spacing w:line="240" w:lineRule="auto"/>
              <w:ind w:firstLine="0" w:firstLineChars="0"/>
              <w:jc w:val="center"/>
              <w:rPr>
                <w:rFonts w:hint="eastAsia"/>
              </w:rPr>
            </w:pPr>
            <w:r>
              <w:rPr>
                <w:rFonts w:hint="eastAsia"/>
              </w:rPr>
              <w:t>驻场</w:t>
            </w:r>
          </w:p>
        </w:tc>
      </w:tr>
      <w:tr w14:paraId="3B1B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4263626D">
            <w:pPr>
              <w:widowControl/>
              <w:spacing w:line="240" w:lineRule="auto"/>
              <w:ind w:firstLine="0" w:firstLineChars="0"/>
              <w:jc w:val="center"/>
              <w:rPr>
                <w:rFonts w:hint="eastAsia"/>
              </w:rPr>
            </w:pPr>
            <w:r>
              <w:t>技术负责人</w:t>
            </w:r>
          </w:p>
        </w:tc>
        <w:tc>
          <w:tcPr>
            <w:tcW w:w="0" w:type="auto"/>
            <w:shd w:val="clear" w:color="auto" w:fill="auto"/>
            <w:vAlign w:val="center"/>
          </w:tcPr>
          <w:p w14:paraId="79C3D7F8">
            <w:pPr>
              <w:widowControl/>
              <w:spacing w:line="240" w:lineRule="auto"/>
              <w:ind w:firstLine="0" w:firstLineChars="0"/>
              <w:jc w:val="left"/>
              <w:rPr>
                <w:rFonts w:hint="eastAsia"/>
              </w:rPr>
            </w:pPr>
            <w:r>
              <w:rPr>
                <w:rFonts w:hint="eastAsia"/>
              </w:rPr>
              <w:t>负责项目需求评估与设计</w:t>
            </w:r>
          </w:p>
        </w:tc>
        <w:tc>
          <w:tcPr>
            <w:tcW w:w="0" w:type="auto"/>
            <w:shd w:val="clear" w:color="auto" w:fill="auto"/>
            <w:noWrap/>
            <w:vAlign w:val="center"/>
          </w:tcPr>
          <w:p w14:paraId="69414645">
            <w:pPr>
              <w:widowControl/>
              <w:spacing w:line="240" w:lineRule="auto"/>
              <w:ind w:firstLine="0" w:firstLineChars="0"/>
              <w:jc w:val="center"/>
              <w:rPr>
                <w:rFonts w:hint="eastAsia"/>
              </w:rPr>
            </w:pPr>
            <w:r>
              <w:rPr>
                <w:rFonts w:hint="eastAsia"/>
              </w:rPr>
              <w:t>1人</w:t>
            </w:r>
          </w:p>
        </w:tc>
        <w:tc>
          <w:tcPr>
            <w:tcW w:w="2027" w:type="dxa"/>
            <w:vAlign w:val="center"/>
          </w:tcPr>
          <w:p w14:paraId="0831A49B">
            <w:pPr>
              <w:widowControl/>
              <w:spacing w:line="240" w:lineRule="auto"/>
              <w:ind w:firstLine="0" w:firstLineChars="0"/>
              <w:jc w:val="center"/>
              <w:rPr>
                <w:rFonts w:hint="eastAsia" w:cs="宋体"/>
                <w:kern w:val="0"/>
                <w:sz w:val="22"/>
                <w:szCs w:val="22"/>
              </w:rPr>
            </w:pPr>
            <w:r>
              <w:rPr>
                <w:rFonts w:hint="eastAsia" w:cs="宋体"/>
                <w:kern w:val="0"/>
                <w:sz w:val="22"/>
                <w:szCs w:val="22"/>
              </w:rPr>
              <w:t>本科及以上，3年以上政务信息系统软件开发经验</w:t>
            </w:r>
          </w:p>
        </w:tc>
        <w:tc>
          <w:tcPr>
            <w:tcW w:w="1276" w:type="dxa"/>
            <w:shd w:val="clear" w:color="auto" w:fill="auto"/>
            <w:noWrap/>
            <w:vAlign w:val="center"/>
          </w:tcPr>
          <w:p w14:paraId="7384721F">
            <w:pPr>
              <w:widowControl/>
              <w:spacing w:line="240" w:lineRule="auto"/>
              <w:ind w:firstLine="0" w:firstLineChars="0"/>
              <w:jc w:val="center"/>
              <w:rPr>
                <w:rFonts w:hint="eastAsia"/>
              </w:rPr>
            </w:pPr>
            <w:r>
              <w:rPr>
                <w:rFonts w:hint="eastAsia"/>
              </w:rPr>
              <w:t>驻场</w:t>
            </w:r>
          </w:p>
        </w:tc>
      </w:tr>
      <w:tr w14:paraId="4DF5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172A659F">
            <w:pPr>
              <w:widowControl/>
              <w:spacing w:line="240" w:lineRule="auto"/>
              <w:ind w:firstLine="0" w:firstLineChars="0"/>
              <w:jc w:val="center"/>
              <w:rPr>
                <w:rFonts w:hint="eastAsia"/>
              </w:rPr>
            </w:pPr>
            <w:r>
              <w:rPr>
                <w:rFonts w:hint="eastAsia"/>
              </w:rPr>
              <w:t>开发人员</w:t>
            </w:r>
          </w:p>
        </w:tc>
        <w:tc>
          <w:tcPr>
            <w:tcW w:w="0" w:type="auto"/>
            <w:shd w:val="clear" w:color="auto" w:fill="auto"/>
            <w:noWrap/>
            <w:vAlign w:val="center"/>
          </w:tcPr>
          <w:p w14:paraId="50893205">
            <w:pPr>
              <w:widowControl/>
              <w:spacing w:line="240" w:lineRule="auto"/>
              <w:ind w:firstLine="0" w:firstLineChars="0"/>
              <w:jc w:val="left"/>
              <w:rPr>
                <w:rFonts w:hint="eastAsia"/>
              </w:rPr>
            </w:pPr>
            <w:r>
              <w:rPr>
                <w:rFonts w:hint="eastAsia"/>
              </w:rPr>
              <w:t>负责项目具体开发与实施</w:t>
            </w:r>
          </w:p>
        </w:tc>
        <w:tc>
          <w:tcPr>
            <w:tcW w:w="0" w:type="auto"/>
            <w:shd w:val="clear" w:color="auto" w:fill="auto"/>
            <w:noWrap/>
            <w:vAlign w:val="center"/>
          </w:tcPr>
          <w:p w14:paraId="3A50B891">
            <w:pPr>
              <w:widowControl/>
              <w:spacing w:line="240" w:lineRule="auto"/>
              <w:ind w:firstLine="0" w:firstLineChars="0"/>
              <w:jc w:val="center"/>
              <w:rPr>
                <w:rFonts w:hint="eastAsia"/>
              </w:rPr>
            </w:pPr>
            <w:r>
              <w:rPr>
                <w:rFonts w:hint="eastAsia"/>
              </w:rPr>
              <w:t>5人</w:t>
            </w:r>
          </w:p>
        </w:tc>
        <w:tc>
          <w:tcPr>
            <w:tcW w:w="2027" w:type="dxa"/>
            <w:vAlign w:val="center"/>
          </w:tcPr>
          <w:p w14:paraId="45C568D8">
            <w:pPr>
              <w:widowControl/>
              <w:spacing w:line="240" w:lineRule="auto"/>
              <w:ind w:firstLine="0" w:firstLineChars="0"/>
              <w:jc w:val="center"/>
              <w:rPr>
                <w:rFonts w:hint="eastAsia" w:cs="宋体"/>
                <w:kern w:val="0"/>
                <w:sz w:val="22"/>
                <w:szCs w:val="22"/>
              </w:rPr>
            </w:pPr>
            <w:r>
              <w:rPr>
                <w:rFonts w:hint="eastAsia" w:cs="宋体"/>
                <w:kern w:val="0"/>
                <w:sz w:val="22"/>
                <w:szCs w:val="22"/>
              </w:rPr>
              <w:t>本科及以上，3年以上政务信息系统软件开发经验</w:t>
            </w:r>
          </w:p>
        </w:tc>
        <w:tc>
          <w:tcPr>
            <w:tcW w:w="1276" w:type="dxa"/>
            <w:shd w:val="clear" w:color="auto" w:fill="auto"/>
            <w:noWrap/>
            <w:vAlign w:val="center"/>
          </w:tcPr>
          <w:p w14:paraId="4153FBF6">
            <w:pPr>
              <w:widowControl/>
              <w:spacing w:line="240" w:lineRule="auto"/>
              <w:ind w:firstLine="0" w:firstLineChars="0"/>
              <w:jc w:val="center"/>
              <w:rPr>
                <w:rFonts w:hint="eastAsia"/>
              </w:rPr>
            </w:pPr>
            <w:r>
              <w:rPr>
                <w:rFonts w:hint="eastAsia"/>
              </w:rPr>
              <w:t>驻场</w:t>
            </w:r>
          </w:p>
        </w:tc>
      </w:tr>
    </w:tbl>
    <w:p w14:paraId="6F00203D">
      <w:pPr>
        <w:rPr>
          <w:rFonts w:hint="eastAsia"/>
        </w:rPr>
      </w:pPr>
      <w:r>
        <w:t>2）</w:t>
      </w:r>
      <w:r>
        <w:rPr>
          <w:rFonts w:hint="eastAsia"/>
        </w:rPr>
        <w:t>供应商</w:t>
      </w:r>
      <w:r>
        <w:t>应针对本项目提供不少于</w:t>
      </w:r>
      <w:r>
        <w:rPr>
          <w:rFonts w:hint="eastAsia"/>
        </w:rPr>
        <w:t>2</w:t>
      </w:r>
      <w:r>
        <w:t>人的质保期间支撑团队（其中</w:t>
      </w:r>
      <w:r>
        <w:rPr>
          <w:rFonts w:hint="eastAsia"/>
        </w:rPr>
        <w:t>运维经理1人</w:t>
      </w:r>
      <w:r>
        <w:t>，技术工程师</w:t>
      </w:r>
      <w:r>
        <w:rPr>
          <w:rFonts w:hint="eastAsia"/>
        </w:rPr>
        <w:t>1</w:t>
      </w:r>
      <w:r>
        <w:t>人）；</w:t>
      </w:r>
      <w:r>
        <w:rPr>
          <w:rFonts w:hint="eastAsia"/>
        </w:rPr>
        <w:t>供应商</w:t>
      </w:r>
      <w:r>
        <w:t>的相关服务人员需具备相应的服务能力，需提供相关证明（最近一个季度依法缴纳社保费的证明）。</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2415"/>
        <w:gridCol w:w="1180"/>
        <w:gridCol w:w="2337"/>
        <w:gridCol w:w="1180"/>
      </w:tblGrid>
      <w:tr w14:paraId="1C1A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72E1C961">
            <w:pPr>
              <w:widowControl/>
              <w:spacing w:line="240" w:lineRule="auto"/>
              <w:ind w:firstLine="0" w:firstLineChars="0"/>
              <w:jc w:val="center"/>
              <w:rPr>
                <w:rFonts w:hint="eastAsia"/>
                <w:b/>
              </w:rPr>
            </w:pPr>
            <w:r>
              <w:rPr>
                <w:rFonts w:hint="eastAsia"/>
                <w:b/>
              </w:rPr>
              <w:t>角色</w:t>
            </w:r>
          </w:p>
        </w:tc>
        <w:tc>
          <w:tcPr>
            <w:tcW w:w="0" w:type="auto"/>
            <w:shd w:val="clear" w:color="auto" w:fill="auto"/>
            <w:noWrap/>
            <w:vAlign w:val="center"/>
          </w:tcPr>
          <w:p w14:paraId="5AF78CF1">
            <w:pPr>
              <w:widowControl/>
              <w:spacing w:line="240" w:lineRule="auto"/>
              <w:ind w:firstLine="0" w:firstLineChars="0"/>
              <w:jc w:val="center"/>
              <w:rPr>
                <w:rFonts w:hint="eastAsia"/>
                <w:b/>
              </w:rPr>
            </w:pPr>
            <w:r>
              <w:rPr>
                <w:rFonts w:hint="eastAsia"/>
                <w:b/>
              </w:rPr>
              <w:t>主要职责</w:t>
            </w:r>
          </w:p>
        </w:tc>
        <w:tc>
          <w:tcPr>
            <w:tcW w:w="0" w:type="auto"/>
            <w:shd w:val="clear" w:color="auto" w:fill="auto"/>
            <w:noWrap/>
            <w:vAlign w:val="center"/>
          </w:tcPr>
          <w:p w14:paraId="65E6D962">
            <w:pPr>
              <w:widowControl/>
              <w:spacing w:line="240" w:lineRule="auto"/>
              <w:ind w:firstLine="0" w:firstLineChars="0"/>
              <w:jc w:val="center"/>
              <w:rPr>
                <w:rFonts w:hint="eastAsia"/>
                <w:b/>
              </w:rPr>
            </w:pPr>
            <w:r>
              <w:rPr>
                <w:rFonts w:hint="eastAsia"/>
                <w:b/>
              </w:rPr>
              <w:t>人员数量</w:t>
            </w:r>
          </w:p>
        </w:tc>
        <w:tc>
          <w:tcPr>
            <w:tcW w:w="0" w:type="auto"/>
            <w:vAlign w:val="center"/>
          </w:tcPr>
          <w:p w14:paraId="642E6AA7">
            <w:pPr>
              <w:widowControl/>
              <w:spacing w:line="240" w:lineRule="auto"/>
              <w:ind w:firstLine="0" w:firstLineChars="0"/>
              <w:jc w:val="center"/>
              <w:rPr>
                <w:rFonts w:hint="eastAsia"/>
                <w:b/>
              </w:rPr>
            </w:pPr>
            <w:r>
              <w:rPr>
                <w:rFonts w:hint="eastAsia"/>
                <w:b/>
              </w:rPr>
              <w:t>人员要求</w:t>
            </w:r>
          </w:p>
        </w:tc>
        <w:tc>
          <w:tcPr>
            <w:tcW w:w="0" w:type="auto"/>
            <w:shd w:val="clear" w:color="auto" w:fill="auto"/>
            <w:noWrap/>
            <w:vAlign w:val="center"/>
          </w:tcPr>
          <w:p w14:paraId="63BE71A4">
            <w:pPr>
              <w:widowControl/>
              <w:spacing w:line="240" w:lineRule="auto"/>
              <w:ind w:firstLine="0" w:firstLineChars="0"/>
              <w:jc w:val="center"/>
              <w:rPr>
                <w:rFonts w:hint="eastAsia"/>
                <w:b/>
              </w:rPr>
            </w:pPr>
            <w:r>
              <w:rPr>
                <w:rFonts w:hint="eastAsia"/>
                <w:b/>
              </w:rPr>
              <w:t>驻场要求</w:t>
            </w:r>
          </w:p>
        </w:tc>
      </w:tr>
      <w:tr w14:paraId="1652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41976CDC">
            <w:pPr>
              <w:widowControl/>
              <w:spacing w:line="240" w:lineRule="auto"/>
              <w:ind w:firstLine="0" w:firstLineChars="0"/>
              <w:jc w:val="center"/>
              <w:rPr>
                <w:rFonts w:hint="eastAsia"/>
              </w:rPr>
            </w:pPr>
            <w:r>
              <w:rPr>
                <w:rFonts w:hint="eastAsia"/>
              </w:rPr>
              <w:t>运维经理</w:t>
            </w:r>
          </w:p>
        </w:tc>
        <w:tc>
          <w:tcPr>
            <w:tcW w:w="0" w:type="auto"/>
            <w:shd w:val="clear" w:color="auto" w:fill="auto"/>
            <w:vAlign w:val="center"/>
          </w:tcPr>
          <w:p w14:paraId="69380119">
            <w:pPr>
              <w:widowControl/>
              <w:spacing w:line="240" w:lineRule="auto"/>
              <w:ind w:firstLine="0" w:firstLineChars="0"/>
              <w:jc w:val="left"/>
              <w:rPr>
                <w:rFonts w:hint="eastAsia"/>
              </w:rPr>
            </w:pPr>
            <w:r>
              <w:rPr>
                <w:rFonts w:hint="eastAsia"/>
              </w:rPr>
              <w:t>负责项目质量和进度控制</w:t>
            </w:r>
          </w:p>
        </w:tc>
        <w:tc>
          <w:tcPr>
            <w:tcW w:w="0" w:type="auto"/>
            <w:shd w:val="clear" w:color="auto" w:fill="auto"/>
            <w:noWrap/>
            <w:vAlign w:val="center"/>
          </w:tcPr>
          <w:p w14:paraId="248EF95F">
            <w:pPr>
              <w:widowControl/>
              <w:spacing w:line="240" w:lineRule="auto"/>
              <w:ind w:firstLine="0" w:firstLineChars="0"/>
              <w:jc w:val="center"/>
              <w:rPr>
                <w:rFonts w:hint="eastAsia"/>
              </w:rPr>
            </w:pPr>
            <w:r>
              <w:rPr>
                <w:rFonts w:hint="eastAsia"/>
              </w:rPr>
              <w:t>1人</w:t>
            </w:r>
          </w:p>
        </w:tc>
        <w:tc>
          <w:tcPr>
            <w:tcW w:w="0" w:type="auto"/>
            <w:vAlign w:val="center"/>
          </w:tcPr>
          <w:p w14:paraId="1C016A76">
            <w:pPr>
              <w:widowControl/>
              <w:spacing w:line="240" w:lineRule="auto"/>
              <w:ind w:firstLine="0" w:firstLineChars="0"/>
              <w:jc w:val="center"/>
              <w:rPr>
                <w:rFonts w:hint="eastAsia" w:cs="宋体"/>
                <w:kern w:val="0"/>
                <w:sz w:val="22"/>
                <w:szCs w:val="22"/>
              </w:rPr>
            </w:pPr>
            <w:r>
              <w:rPr>
                <w:rFonts w:hint="eastAsia" w:cs="宋体"/>
                <w:kern w:val="0"/>
                <w:sz w:val="22"/>
                <w:szCs w:val="22"/>
              </w:rPr>
              <w:t>本科及以上，3年以上政务信息系统软件开发经验</w:t>
            </w:r>
          </w:p>
        </w:tc>
        <w:tc>
          <w:tcPr>
            <w:tcW w:w="0" w:type="auto"/>
            <w:shd w:val="clear" w:color="auto" w:fill="auto"/>
            <w:noWrap/>
            <w:vAlign w:val="center"/>
          </w:tcPr>
          <w:p w14:paraId="7D5DE623">
            <w:pPr>
              <w:widowControl/>
              <w:spacing w:line="240" w:lineRule="auto"/>
              <w:ind w:firstLine="0" w:firstLineChars="0"/>
              <w:jc w:val="center"/>
              <w:rPr>
                <w:rFonts w:hint="eastAsia"/>
              </w:rPr>
            </w:pPr>
            <w:r>
              <w:rPr>
                <w:rFonts w:hint="eastAsia"/>
              </w:rPr>
              <w:t>驻场</w:t>
            </w:r>
          </w:p>
        </w:tc>
      </w:tr>
      <w:tr w14:paraId="1C41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3CBCD97A">
            <w:pPr>
              <w:widowControl/>
              <w:spacing w:line="240" w:lineRule="auto"/>
              <w:ind w:firstLine="0" w:firstLineChars="0"/>
              <w:jc w:val="center"/>
              <w:rPr>
                <w:rFonts w:hint="eastAsia"/>
              </w:rPr>
            </w:pPr>
            <w:r>
              <w:rPr>
                <w:rFonts w:hint="eastAsia"/>
              </w:rPr>
              <w:t>技术工程师</w:t>
            </w:r>
          </w:p>
        </w:tc>
        <w:tc>
          <w:tcPr>
            <w:tcW w:w="0" w:type="auto"/>
            <w:shd w:val="clear" w:color="auto" w:fill="auto"/>
            <w:noWrap/>
            <w:vAlign w:val="center"/>
          </w:tcPr>
          <w:p w14:paraId="33EFDF2F">
            <w:pPr>
              <w:widowControl/>
              <w:spacing w:line="240" w:lineRule="auto"/>
              <w:ind w:firstLine="0" w:firstLineChars="0"/>
              <w:jc w:val="left"/>
              <w:rPr>
                <w:rFonts w:hint="eastAsia"/>
              </w:rPr>
            </w:pPr>
            <w:r>
              <w:rPr>
                <w:rFonts w:hint="eastAsia"/>
              </w:rPr>
              <w:t>负责项目运行维护</w:t>
            </w:r>
          </w:p>
        </w:tc>
        <w:tc>
          <w:tcPr>
            <w:tcW w:w="0" w:type="auto"/>
            <w:shd w:val="clear" w:color="auto" w:fill="auto"/>
            <w:noWrap/>
            <w:vAlign w:val="center"/>
          </w:tcPr>
          <w:p w14:paraId="1451DAF4">
            <w:pPr>
              <w:widowControl/>
              <w:spacing w:line="240" w:lineRule="auto"/>
              <w:ind w:firstLine="0" w:firstLineChars="0"/>
              <w:jc w:val="center"/>
              <w:rPr>
                <w:rFonts w:hint="eastAsia"/>
              </w:rPr>
            </w:pPr>
            <w:r>
              <w:rPr>
                <w:rFonts w:hint="eastAsia"/>
              </w:rPr>
              <w:t>1人</w:t>
            </w:r>
          </w:p>
        </w:tc>
        <w:tc>
          <w:tcPr>
            <w:tcW w:w="0" w:type="auto"/>
            <w:vAlign w:val="center"/>
          </w:tcPr>
          <w:p w14:paraId="2349840E">
            <w:pPr>
              <w:widowControl/>
              <w:spacing w:line="240" w:lineRule="auto"/>
              <w:ind w:firstLine="0" w:firstLineChars="0"/>
              <w:jc w:val="center"/>
              <w:rPr>
                <w:rFonts w:hint="eastAsia" w:cs="宋体"/>
                <w:kern w:val="0"/>
                <w:sz w:val="22"/>
                <w:szCs w:val="22"/>
              </w:rPr>
            </w:pPr>
            <w:r>
              <w:rPr>
                <w:rFonts w:hint="eastAsia" w:cs="宋体"/>
                <w:kern w:val="0"/>
                <w:sz w:val="22"/>
                <w:szCs w:val="22"/>
              </w:rPr>
              <w:t>本科及以上，3年以上政务信息系统软件开发经验</w:t>
            </w:r>
          </w:p>
        </w:tc>
        <w:tc>
          <w:tcPr>
            <w:tcW w:w="0" w:type="auto"/>
            <w:shd w:val="clear" w:color="auto" w:fill="auto"/>
            <w:noWrap/>
            <w:vAlign w:val="center"/>
          </w:tcPr>
          <w:p w14:paraId="565BD684">
            <w:pPr>
              <w:widowControl/>
              <w:spacing w:line="240" w:lineRule="auto"/>
              <w:ind w:firstLine="0" w:firstLineChars="0"/>
              <w:jc w:val="center"/>
              <w:rPr>
                <w:rFonts w:hint="eastAsia"/>
              </w:rPr>
            </w:pPr>
            <w:r>
              <w:rPr>
                <w:rFonts w:hint="eastAsia"/>
              </w:rPr>
              <w:t>驻场</w:t>
            </w:r>
          </w:p>
        </w:tc>
      </w:tr>
    </w:tbl>
    <w:p w14:paraId="5336F6BF">
      <w:pPr>
        <w:pStyle w:val="3"/>
        <w:numPr>
          <w:ilvl w:val="255"/>
          <w:numId w:val="0"/>
        </w:numPr>
        <w:ind w:left="567"/>
        <w:rPr>
          <w:rFonts w:hint="eastAsia"/>
          <w:b w:val="0"/>
          <w:bCs w:val="0"/>
          <w:sz w:val="24"/>
          <w:szCs w:val="24"/>
        </w:rPr>
      </w:pPr>
      <w:bookmarkStart w:id="34" w:name="_Toc63785511"/>
      <w:r>
        <w:rPr>
          <w:rFonts w:hint="eastAsia"/>
          <w:b w:val="0"/>
          <w:bCs w:val="0"/>
          <w:sz w:val="24"/>
          <w:szCs w:val="24"/>
        </w:rPr>
        <w:t>3）企业综合实力：具有质量管理体系认证证书、信息技术服务管理体系认证证书、信息安全管理体系认证证书的</w:t>
      </w:r>
      <w:r>
        <w:rPr>
          <w:rFonts w:hint="eastAsia"/>
          <w:b w:val="0"/>
          <w:bCs w:val="0"/>
          <w:sz w:val="24"/>
          <w:szCs w:val="24"/>
          <w:lang w:eastAsia="zh-CN"/>
        </w:rPr>
        <w:t>，</w:t>
      </w:r>
      <w:r>
        <w:rPr>
          <w:rFonts w:hint="eastAsia"/>
          <w:b w:val="0"/>
          <w:bCs w:val="0"/>
          <w:sz w:val="24"/>
          <w:szCs w:val="24"/>
        </w:rPr>
        <w:t>优先考虑；具有政务类信息系统开发项目业绩的</w:t>
      </w:r>
      <w:r>
        <w:rPr>
          <w:rFonts w:hint="eastAsia"/>
          <w:b w:val="0"/>
          <w:bCs w:val="0"/>
          <w:sz w:val="24"/>
          <w:szCs w:val="24"/>
          <w:lang w:eastAsia="zh-CN"/>
        </w:rPr>
        <w:t>，</w:t>
      </w:r>
      <w:bookmarkStart w:id="37" w:name="_GoBack"/>
      <w:bookmarkEnd w:id="37"/>
      <w:r>
        <w:rPr>
          <w:rFonts w:hint="eastAsia"/>
          <w:b w:val="0"/>
          <w:bCs w:val="0"/>
          <w:sz w:val="24"/>
          <w:szCs w:val="24"/>
        </w:rPr>
        <w:t>优先考虑。</w:t>
      </w:r>
    </w:p>
    <w:p w14:paraId="13103FE7">
      <w:pPr>
        <w:pStyle w:val="3"/>
        <w:ind w:left="567"/>
        <w:rPr>
          <w:rFonts w:hint="eastAsia"/>
        </w:rPr>
      </w:pPr>
      <w:r>
        <w:t>等级保护要求</w:t>
      </w:r>
      <w:bookmarkEnd w:id="34"/>
    </w:p>
    <w:p w14:paraId="717049D2">
      <w:pPr>
        <w:rPr>
          <w:rFonts w:hint="eastAsia"/>
        </w:rPr>
      </w:pPr>
      <w:r>
        <w:t>本项目等级保护要求：</w:t>
      </w:r>
      <w:r>
        <w:rPr>
          <w:rFonts w:hint="eastAsia"/>
        </w:rPr>
        <w:t>二级。</w:t>
      </w:r>
    </w:p>
    <w:p w14:paraId="00A18DE9">
      <w:pPr>
        <w:pStyle w:val="3"/>
        <w:ind w:left="567"/>
        <w:rPr>
          <w:rFonts w:hint="eastAsia"/>
        </w:rPr>
      </w:pPr>
      <w:r>
        <w:rPr>
          <w:rFonts w:hint="eastAsia"/>
        </w:rPr>
        <w:t>商业密码应用需求</w:t>
      </w:r>
    </w:p>
    <w:p w14:paraId="588A3FC9">
      <w:pPr>
        <w:rPr>
          <w:rFonts w:hint="eastAsia"/>
        </w:rPr>
      </w:pPr>
      <w:r>
        <w:rPr>
          <w:rFonts w:hint="eastAsia"/>
          <w:lang w:bidi="ar"/>
        </w:rPr>
        <w:t>本项目参照商用密码应用二级要求建设。</w:t>
      </w:r>
    </w:p>
    <w:p w14:paraId="4ABDDCFB">
      <w:pPr>
        <w:rPr>
          <w:rFonts w:hint="eastAsia"/>
          <w:lang w:bidi="ar"/>
        </w:rPr>
      </w:pPr>
      <w:r>
        <w:rPr>
          <w:rFonts w:hint="eastAsia"/>
          <w:lang w:bidi="ar"/>
        </w:rPr>
        <w:t>按照《信息安全技术信息系统密码应用基本要求》（GB/T 39786-2021）基本指标第二级要求进行测评，具体测评单元及指标如下：</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559"/>
        <w:gridCol w:w="5245"/>
        <w:gridCol w:w="1190"/>
      </w:tblGrid>
      <w:tr w14:paraId="75B6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70D376A7">
            <w:pPr>
              <w:widowControl/>
              <w:spacing w:line="240" w:lineRule="auto"/>
              <w:ind w:firstLine="0" w:firstLineChars="0"/>
              <w:jc w:val="center"/>
              <w:rPr>
                <w:rFonts w:hint="eastAsia" w:cs="宋体" w:asciiTheme="minorEastAsia" w:hAnsiTheme="minorEastAsia" w:eastAsiaTheme="minorEastAsia"/>
                <w:b/>
                <w:color w:val="000000"/>
                <w:kern w:val="0"/>
                <w:sz w:val="22"/>
                <w:szCs w:val="22"/>
              </w:rPr>
            </w:pPr>
            <w:r>
              <w:rPr>
                <w:rFonts w:hint="eastAsia" w:cs="宋体" w:asciiTheme="minorEastAsia" w:hAnsiTheme="minorEastAsia" w:eastAsiaTheme="minorEastAsia"/>
                <w:b/>
                <w:color w:val="000000"/>
                <w:kern w:val="0"/>
                <w:sz w:val="22"/>
                <w:szCs w:val="22"/>
              </w:rPr>
              <w:t>测评单元</w:t>
            </w:r>
          </w:p>
        </w:tc>
        <w:tc>
          <w:tcPr>
            <w:tcW w:w="5245" w:type="dxa"/>
          </w:tcPr>
          <w:p w14:paraId="7B7BCCF7">
            <w:pPr>
              <w:widowControl/>
              <w:spacing w:line="240" w:lineRule="auto"/>
              <w:ind w:firstLine="0" w:firstLineChars="0"/>
              <w:jc w:val="center"/>
              <w:rPr>
                <w:rFonts w:hint="eastAsia" w:cs="宋体" w:asciiTheme="minorEastAsia" w:hAnsiTheme="minorEastAsia" w:eastAsiaTheme="minorEastAsia"/>
                <w:b/>
                <w:color w:val="000000"/>
                <w:kern w:val="0"/>
                <w:sz w:val="22"/>
                <w:szCs w:val="22"/>
              </w:rPr>
            </w:pPr>
            <w:r>
              <w:rPr>
                <w:rFonts w:hint="eastAsia" w:cs="宋体" w:asciiTheme="minorEastAsia" w:hAnsiTheme="minorEastAsia" w:eastAsiaTheme="minorEastAsia"/>
                <w:b/>
                <w:color w:val="000000"/>
                <w:kern w:val="0"/>
                <w:sz w:val="22"/>
                <w:szCs w:val="22"/>
              </w:rPr>
              <w:t>测评指标</w:t>
            </w:r>
          </w:p>
        </w:tc>
        <w:tc>
          <w:tcPr>
            <w:tcW w:w="1190" w:type="dxa"/>
          </w:tcPr>
          <w:p w14:paraId="577319F0">
            <w:pPr>
              <w:widowControl/>
              <w:spacing w:line="240" w:lineRule="auto"/>
              <w:ind w:firstLine="0" w:firstLineChars="0"/>
              <w:jc w:val="center"/>
              <w:rPr>
                <w:rFonts w:hint="eastAsia" w:cs="宋体" w:asciiTheme="minorEastAsia" w:hAnsiTheme="minorEastAsia" w:eastAsiaTheme="minorEastAsia"/>
                <w:b/>
                <w:color w:val="000000"/>
                <w:kern w:val="0"/>
                <w:sz w:val="22"/>
                <w:szCs w:val="22"/>
              </w:rPr>
            </w:pPr>
            <w:r>
              <w:rPr>
                <w:rFonts w:hint="eastAsia" w:cs="宋体" w:asciiTheme="minorEastAsia" w:hAnsiTheme="minorEastAsia" w:eastAsiaTheme="minorEastAsia"/>
                <w:b/>
                <w:color w:val="000000"/>
                <w:kern w:val="0"/>
                <w:sz w:val="22"/>
                <w:szCs w:val="22"/>
              </w:rPr>
              <w:t>应用要求</w:t>
            </w:r>
          </w:p>
        </w:tc>
      </w:tr>
      <w:tr w14:paraId="23B1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14:paraId="061EDB26">
            <w:pPr>
              <w:ind w:firstLine="0" w:firstLineChars="0"/>
              <w:jc w:val="center"/>
              <w:rPr>
                <w:rFonts w:hint="eastAsia"/>
                <w:sz w:val="22"/>
                <w:szCs w:val="22"/>
                <w:lang w:bidi="ar"/>
              </w:rPr>
            </w:pPr>
            <w:r>
              <w:rPr>
                <w:rFonts w:hint="eastAsia"/>
                <w:sz w:val="22"/>
                <w:szCs w:val="22"/>
                <w:lang w:bidi="ar"/>
              </w:rPr>
              <w:t>应用和数据安全</w:t>
            </w:r>
          </w:p>
        </w:tc>
        <w:tc>
          <w:tcPr>
            <w:tcW w:w="1559" w:type="dxa"/>
            <w:vAlign w:val="center"/>
          </w:tcPr>
          <w:p w14:paraId="68C9ED16">
            <w:pPr>
              <w:ind w:firstLine="0" w:firstLineChars="0"/>
              <w:rPr>
                <w:rFonts w:hint="eastAsia"/>
                <w:sz w:val="22"/>
                <w:szCs w:val="22"/>
                <w:lang w:bidi="ar"/>
              </w:rPr>
            </w:pPr>
            <w:r>
              <w:rPr>
                <w:rFonts w:hint="eastAsia"/>
                <w:sz w:val="22"/>
                <w:szCs w:val="22"/>
                <w:lang w:bidi="ar"/>
              </w:rPr>
              <w:t>身份鉴别</w:t>
            </w:r>
          </w:p>
        </w:tc>
        <w:tc>
          <w:tcPr>
            <w:tcW w:w="5245" w:type="dxa"/>
          </w:tcPr>
          <w:p w14:paraId="25994C3F">
            <w:pPr>
              <w:ind w:firstLine="0" w:firstLineChars="0"/>
              <w:rPr>
                <w:rFonts w:hint="eastAsia"/>
                <w:sz w:val="22"/>
                <w:szCs w:val="22"/>
                <w:lang w:bidi="ar"/>
              </w:rPr>
            </w:pPr>
            <w:r>
              <w:rPr>
                <w:rFonts w:hint="eastAsia"/>
                <w:sz w:val="22"/>
                <w:szCs w:val="22"/>
                <w:lang w:bidi="ar"/>
              </w:rPr>
              <w:t>宜采用密码技术对登录用户进行身份鉴别，保证应用系统用户身份的真实性</w:t>
            </w:r>
          </w:p>
        </w:tc>
        <w:tc>
          <w:tcPr>
            <w:tcW w:w="1190" w:type="dxa"/>
            <w:vAlign w:val="center"/>
          </w:tcPr>
          <w:p w14:paraId="050ECBE8">
            <w:pPr>
              <w:ind w:firstLine="0" w:firstLineChars="0"/>
              <w:jc w:val="center"/>
              <w:rPr>
                <w:rFonts w:hint="eastAsia"/>
                <w:sz w:val="22"/>
                <w:szCs w:val="22"/>
                <w:lang w:bidi="ar"/>
              </w:rPr>
            </w:pPr>
            <w:r>
              <w:rPr>
                <w:rFonts w:hint="eastAsia"/>
                <w:sz w:val="22"/>
                <w:szCs w:val="22"/>
                <w:lang w:bidi="ar"/>
              </w:rPr>
              <w:t>宜</w:t>
            </w:r>
          </w:p>
        </w:tc>
      </w:tr>
      <w:tr w14:paraId="3D5B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5F2CF20E">
            <w:pPr>
              <w:ind w:firstLine="0" w:firstLineChars="0"/>
              <w:jc w:val="center"/>
              <w:rPr>
                <w:rFonts w:hint="eastAsia"/>
                <w:sz w:val="22"/>
                <w:szCs w:val="22"/>
                <w:lang w:bidi="ar"/>
              </w:rPr>
            </w:pPr>
          </w:p>
        </w:tc>
        <w:tc>
          <w:tcPr>
            <w:tcW w:w="1559" w:type="dxa"/>
            <w:vAlign w:val="center"/>
          </w:tcPr>
          <w:p w14:paraId="5A4EE4A4">
            <w:pPr>
              <w:ind w:firstLine="0" w:firstLineChars="0"/>
              <w:rPr>
                <w:rFonts w:hint="eastAsia"/>
                <w:sz w:val="22"/>
                <w:szCs w:val="22"/>
                <w:lang w:bidi="ar"/>
              </w:rPr>
            </w:pPr>
            <w:r>
              <w:rPr>
                <w:rFonts w:hint="eastAsia"/>
                <w:sz w:val="22"/>
                <w:szCs w:val="22"/>
                <w:lang w:bidi="ar"/>
              </w:rPr>
              <w:t>访问控制信息完整性</w:t>
            </w:r>
          </w:p>
        </w:tc>
        <w:tc>
          <w:tcPr>
            <w:tcW w:w="5245" w:type="dxa"/>
          </w:tcPr>
          <w:p w14:paraId="1FA65474">
            <w:pPr>
              <w:ind w:firstLine="0" w:firstLineChars="0"/>
              <w:rPr>
                <w:rFonts w:hint="eastAsia"/>
                <w:sz w:val="22"/>
                <w:szCs w:val="22"/>
                <w:lang w:bidi="ar"/>
              </w:rPr>
            </w:pPr>
            <w:r>
              <w:rPr>
                <w:rFonts w:hint="eastAsia"/>
                <w:sz w:val="22"/>
                <w:szCs w:val="22"/>
                <w:lang w:bidi="ar"/>
              </w:rPr>
              <w:t>可采用密码技术保证信息系统应用的访问控制信息的完整性；</w:t>
            </w:r>
          </w:p>
        </w:tc>
        <w:tc>
          <w:tcPr>
            <w:tcW w:w="1190" w:type="dxa"/>
            <w:vAlign w:val="center"/>
          </w:tcPr>
          <w:p w14:paraId="4B0296B2">
            <w:pPr>
              <w:ind w:firstLine="0" w:firstLineChars="0"/>
              <w:jc w:val="center"/>
              <w:rPr>
                <w:rFonts w:hint="eastAsia"/>
                <w:sz w:val="22"/>
                <w:szCs w:val="22"/>
                <w:lang w:bidi="ar"/>
              </w:rPr>
            </w:pPr>
            <w:r>
              <w:rPr>
                <w:rFonts w:hint="eastAsia"/>
                <w:sz w:val="22"/>
                <w:szCs w:val="22"/>
                <w:lang w:bidi="ar"/>
              </w:rPr>
              <w:t>可</w:t>
            </w:r>
          </w:p>
        </w:tc>
      </w:tr>
      <w:tr w14:paraId="12D1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Merge w:val="continue"/>
            <w:vAlign w:val="center"/>
          </w:tcPr>
          <w:p w14:paraId="0C70AE32">
            <w:pPr>
              <w:ind w:firstLine="0" w:firstLineChars="0"/>
              <w:jc w:val="center"/>
              <w:rPr>
                <w:rFonts w:hint="eastAsia"/>
                <w:sz w:val="22"/>
                <w:szCs w:val="22"/>
                <w:lang w:bidi="ar"/>
              </w:rPr>
            </w:pPr>
          </w:p>
        </w:tc>
        <w:tc>
          <w:tcPr>
            <w:tcW w:w="1559" w:type="dxa"/>
            <w:vAlign w:val="center"/>
          </w:tcPr>
          <w:p w14:paraId="59D773C7">
            <w:pPr>
              <w:ind w:firstLine="0" w:firstLineChars="0"/>
              <w:rPr>
                <w:rFonts w:hint="eastAsia"/>
                <w:sz w:val="22"/>
                <w:szCs w:val="22"/>
                <w:lang w:bidi="ar"/>
              </w:rPr>
            </w:pPr>
            <w:r>
              <w:rPr>
                <w:rFonts w:hint="eastAsia"/>
                <w:sz w:val="22"/>
                <w:szCs w:val="22"/>
                <w:lang w:bidi="ar"/>
              </w:rPr>
              <w:t>重要数据传输机密性</w:t>
            </w:r>
          </w:p>
        </w:tc>
        <w:tc>
          <w:tcPr>
            <w:tcW w:w="5245" w:type="dxa"/>
          </w:tcPr>
          <w:p w14:paraId="39817B4D">
            <w:pPr>
              <w:ind w:firstLine="0" w:firstLineChars="0"/>
              <w:rPr>
                <w:rFonts w:hint="eastAsia"/>
                <w:sz w:val="22"/>
                <w:szCs w:val="22"/>
                <w:lang w:bidi="ar"/>
              </w:rPr>
            </w:pPr>
            <w:r>
              <w:rPr>
                <w:rFonts w:hint="eastAsia"/>
                <w:sz w:val="22"/>
                <w:szCs w:val="22"/>
                <w:lang w:bidi="ar"/>
              </w:rPr>
              <w:t>宜采用密码技术保证信息系统应用的重要数据在传输过程中的机密性；</w:t>
            </w:r>
          </w:p>
        </w:tc>
        <w:tc>
          <w:tcPr>
            <w:tcW w:w="1190" w:type="dxa"/>
            <w:vAlign w:val="center"/>
          </w:tcPr>
          <w:p w14:paraId="376402ED">
            <w:pPr>
              <w:ind w:firstLine="0" w:firstLineChars="0"/>
              <w:jc w:val="center"/>
              <w:rPr>
                <w:rFonts w:hint="eastAsia"/>
                <w:sz w:val="22"/>
                <w:szCs w:val="22"/>
                <w:lang w:bidi="ar"/>
              </w:rPr>
            </w:pPr>
            <w:r>
              <w:rPr>
                <w:rFonts w:hint="eastAsia"/>
                <w:sz w:val="22"/>
                <w:szCs w:val="22"/>
                <w:lang w:bidi="ar"/>
              </w:rPr>
              <w:t>宜</w:t>
            </w:r>
          </w:p>
        </w:tc>
      </w:tr>
      <w:tr w14:paraId="7CC2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7C2B315D">
            <w:pPr>
              <w:ind w:firstLine="0" w:firstLineChars="0"/>
              <w:jc w:val="center"/>
              <w:rPr>
                <w:rFonts w:hint="eastAsia"/>
                <w:sz w:val="22"/>
                <w:szCs w:val="22"/>
                <w:lang w:bidi="ar"/>
              </w:rPr>
            </w:pPr>
          </w:p>
        </w:tc>
        <w:tc>
          <w:tcPr>
            <w:tcW w:w="1559" w:type="dxa"/>
            <w:vAlign w:val="center"/>
          </w:tcPr>
          <w:p w14:paraId="2011AEAE">
            <w:pPr>
              <w:ind w:firstLine="0" w:firstLineChars="0"/>
              <w:rPr>
                <w:rFonts w:hint="eastAsia"/>
                <w:sz w:val="22"/>
                <w:szCs w:val="22"/>
                <w:lang w:bidi="ar"/>
              </w:rPr>
            </w:pPr>
            <w:r>
              <w:rPr>
                <w:rFonts w:hint="eastAsia"/>
                <w:sz w:val="22"/>
                <w:szCs w:val="22"/>
                <w:lang w:bidi="ar"/>
              </w:rPr>
              <w:t>重要数据存储机密性</w:t>
            </w:r>
          </w:p>
        </w:tc>
        <w:tc>
          <w:tcPr>
            <w:tcW w:w="5245" w:type="dxa"/>
          </w:tcPr>
          <w:p w14:paraId="61670048">
            <w:pPr>
              <w:ind w:firstLine="0" w:firstLineChars="0"/>
              <w:rPr>
                <w:rFonts w:hint="eastAsia"/>
                <w:sz w:val="22"/>
                <w:szCs w:val="22"/>
                <w:lang w:bidi="ar"/>
              </w:rPr>
            </w:pPr>
            <w:r>
              <w:rPr>
                <w:rFonts w:hint="eastAsia"/>
                <w:sz w:val="22"/>
                <w:szCs w:val="22"/>
                <w:lang w:bidi="ar"/>
              </w:rPr>
              <w:t>宜采用密码技术保证信息系统应用的重要数据在存储过程中的机密性</w:t>
            </w:r>
          </w:p>
        </w:tc>
        <w:tc>
          <w:tcPr>
            <w:tcW w:w="1190" w:type="dxa"/>
            <w:vAlign w:val="center"/>
          </w:tcPr>
          <w:p w14:paraId="4782B767">
            <w:pPr>
              <w:ind w:firstLine="0" w:firstLineChars="0"/>
              <w:jc w:val="center"/>
              <w:rPr>
                <w:rFonts w:hint="eastAsia"/>
                <w:sz w:val="22"/>
                <w:szCs w:val="22"/>
                <w:lang w:bidi="ar"/>
              </w:rPr>
            </w:pPr>
            <w:r>
              <w:rPr>
                <w:rFonts w:hint="eastAsia"/>
                <w:sz w:val="22"/>
                <w:szCs w:val="22"/>
                <w:lang w:bidi="ar"/>
              </w:rPr>
              <w:t>宜</w:t>
            </w:r>
          </w:p>
        </w:tc>
      </w:tr>
      <w:tr w14:paraId="3A4D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55F8B4C5">
            <w:pPr>
              <w:ind w:firstLine="0" w:firstLineChars="0"/>
              <w:jc w:val="center"/>
              <w:rPr>
                <w:rFonts w:hint="eastAsia"/>
                <w:sz w:val="22"/>
                <w:szCs w:val="22"/>
                <w:lang w:bidi="ar"/>
              </w:rPr>
            </w:pPr>
          </w:p>
        </w:tc>
        <w:tc>
          <w:tcPr>
            <w:tcW w:w="1559" w:type="dxa"/>
            <w:vAlign w:val="center"/>
          </w:tcPr>
          <w:p w14:paraId="413BCC19">
            <w:pPr>
              <w:ind w:firstLine="0" w:firstLineChars="0"/>
              <w:rPr>
                <w:rFonts w:hint="eastAsia"/>
                <w:sz w:val="22"/>
                <w:szCs w:val="22"/>
                <w:lang w:bidi="ar"/>
              </w:rPr>
            </w:pPr>
            <w:r>
              <w:rPr>
                <w:rFonts w:hint="eastAsia"/>
                <w:sz w:val="22"/>
                <w:szCs w:val="22"/>
                <w:lang w:bidi="ar"/>
              </w:rPr>
              <w:t>重要数据传输完整性</w:t>
            </w:r>
          </w:p>
        </w:tc>
        <w:tc>
          <w:tcPr>
            <w:tcW w:w="5245" w:type="dxa"/>
          </w:tcPr>
          <w:p w14:paraId="2E11AF74">
            <w:pPr>
              <w:ind w:firstLine="0" w:firstLineChars="0"/>
              <w:rPr>
                <w:rFonts w:hint="eastAsia"/>
                <w:sz w:val="22"/>
                <w:szCs w:val="22"/>
                <w:lang w:bidi="ar"/>
              </w:rPr>
            </w:pPr>
            <w:r>
              <w:rPr>
                <w:rFonts w:hint="eastAsia"/>
                <w:sz w:val="22"/>
                <w:szCs w:val="22"/>
                <w:lang w:bidi="ar"/>
              </w:rPr>
              <w:t>宜采用密码技术保证信息系统应用的重要数据在传输过程中的完整性；</w:t>
            </w:r>
          </w:p>
        </w:tc>
        <w:tc>
          <w:tcPr>
            <w:tcW w:w="1190" w:type="dxa"/>
            <w:vAlign w:val="center"/>
          </w:tcPr>
          <w:p w14:paraId="7784BCD8">
            <w:pPr>
              <w:ind w:firstLine="0" w:firstLineChars="0"/>
              <w:jc w:val="center"/>
              <w:rPr>
                <w:rFonts w:hint="eastAsia"/>
                <w:sz w:val="22"/>
                <w:szCs w:val="22"/>
                <w:lang w:bidi="ar"/>
              </w:rPr>
            </w:pPr>
            <w:r>
              <w:rPr>
                <w:rFonts w:hint="eastAsia"/>
                <w:sz w:val="22"/>
                <w:szCs w:val="22"/>
                <w:lang w:bidi="ar"/>
              </w:rPr>
              <w:t>宜</w:t>
            </w:r>
          </w:p>
        </w:tc>
      </w:tr>
      <w:tr w14:paraId="72C0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4F9F4568">
            <w:pPr>
              <w:ind w:firstLine="0" w:firstLineChars="0"/>
              <w:jc w:val="center"/>
              <w:rPr>
                <w:rFonts w:hint="eastAsia"/>
                <w:sz w:val="22"/>
                <w:szCs w:val="22"/>
                <w:lang w:bidi="ar"/>
              </w:rPr>
            </w:pPr>
          </w:p>
        </w:tc>
        <w:tc>
          <w:tcPr>
            <w:tcW w:w="1559" w:type="dxa"/>
            <w:vAlign w:val="center"/>
          </w:tcPr>
          <w:p w14:paraId="2C368D6F">
            <w:pPr>
              <w:ind w:firstLine="0" w:firstLineChars="0"/>
              <w:rPr>
                <w:rFonts w:hint="eastAsia"/>
                <w:sz w:val="22"/>
                <w:szCs w:val="22"/>
                <w:lang w:bidi="ar"/>
              </w:rPr>
            </w:pPr>
            <w:r>
              <w:rPr>
                <w:rFonts w:hint="eastAsia"/>
                <w:sz w:val="22"/>
                <w:szCs w:val="22"/>
                <w:lang w:bidi="ar"/>
              </w:rPr>
              <w:t>重要数据存储完整性</w:t>
            </w:r>
          </w:p>
        </w:tc>
        <w:tc>
          <w:tcPr>
            <w:tcW w:w="5245" w:type="dxa"/>
          </w:tcPr>
          <w:p w14:paraId="43DCAF52">
            <w:pPr>
              <w:ind w:firstLine="0" w:firstLineChars="0"/>
              <w:rPr>
                <w:rFonts w:hint="eastAsia"/>
                <w:sz w:val="22"/>
                <w:szCs w:val="22"/>
                <w:lang w:bidi="ar"/>
              </w:rPr>
            </w:pPr>
            <w:r>
              <w:rPr>
                <w:rFonts w:hint="eastAsia"/>
                <w:sz w:val="22"/>
                <w:szCs w:val="22"/>
                <w:lang w:bidi="ar"/>
              </w:rPr>
              <w:t>宜采用密码技术保证信息系统应用的重要数据在存储过程中的完整性；</w:t>
            </w:r>
          </w:p>
        </w:tc>
        <w:tc>
          <w:tcPr>
            <w:tcW w:w="1190" w:type="dxa"/>
            <w:vAlign w:val="center"/>
          </w:tcPr>
          <w:p w14:paraId="043EA805">
            <w:pPr>
              <w:ind w:firstLine="0" w:firstLineChars="0"/>
              <w:jc w:val="center"/>
              <w:rPr>
                <w:rFonts w:hint="eastAsia"/>
                <w:sz w:val="22"/>
                <w:szCs w:val="22"/>
                <w:lang w:bidi="ar"/>
              </w:rPr>
            </w:pPr>
            <w:r>
              <w:rPr>
                <w:rFonts w:hint="eastAsia"/>
                <w:sz w:val="22"/>
                <w:szCs w:val="22"/>
                <w:lang w:bidi="ar"/>
              </w:rPr>
              <w:t>宜</w:t>
            </w:r>
          </w:p>
        </w:tc>
      </w:tr>
    </w:tbl>
    <w:p w14:paraId="50CDC3A3">
      <w:pPr>
        <w:rPr>
          <w:rFonts w:hint="eastAsia"/>
        </w:rPr>
      </w:pPr>
    </w:p>
    <w:p w14:paraId="00D73390">
      <w:pPr>
        <w:pStyle w:val="3"/>
        <w:ind w:left="567"/>
        <w:rPr>
          <w:rFonts w:hint="eastAsia"/>
        </w:rPr>
      </w:pPr>
      <w:bookmarkStart w:id="35" w:name="_Toc63785512"/>
      <w:r>
        <w:rPr>
          <w:rFonts w:hint="eastAsia"/>
        </w:rPr>
        <w:t>技术文件要求</w:t>
      </w:r>
    </w:p>
    <w:p w14:paraId="5AE1D71B">
      <w:pPr>
        <w:rPr>
          <w:rFonts w:hint="eastAsia"/>
        </w:rPr>
      </w:pPr>
      <w:r>
        <w:rPr>
          <w:rFonts w:hint="eastAsia"/>
        </w:rPr>
        <w:t>供应商提供的书面技术资料应能确保系统正常运行所需的管理、运营及维护有关的全套文件。技术文件应该全面、完整、详细。供应商提供的技术文件至少应包括：</w:t>
      </w:r>
    </w:p>
    <w:p w14:paraId="2505FEB4">
      <w:pPr>
        <w:rPr>
          <w:rFonts w:hint="eastAsia"/>
        </w:rPr>
      </w:pPr>
      <w:r>
        <w:rPr>
          <w:rFonts w:hint="eastAsia"/>
        </w:rPr>
        <w:t>－</w:t>
      </w:r>
      <w:r>
        <w:t xml:space="preserve"> 系统说明文件； </w:t>
      </w:r>
    </w:p>
    <w:p w14:paraId="720900CD">
      <w:pPr>
        <w:rPr>
          <w:rFonts w:hint="eastAsia"/>
        </w:rPr>
      </w:pPr>
      <w:r>
        <w:rPr>
          <w:rFonts w:hint="eastAsia"/>
        </w:rPr>
        <w:t>－</w:t>
      </w:r>
      <w:r>
        <w:t xml:space="preserve"> 技术手册(安装、测试、操作、维护、故障排除等)； </w:t>
      </w:r>
    </w:p>
    <w:p w14:paraId="5E70A844">
      <w:pPr>
        <w:rPr>
          <w:rFonts w:hint="eastAsia"/>
        </w:rPr>
      </w:pPr>
      <w:r>
        <w:rPr>
          <w:rFonts w:hint="eastAsia"/>
        </w:rPr>
        <w:t>－</w:t>
      </w:r>
      <w:r>
        <w:t xml:space="preserve"> 项目文档，应该包括：</w:t>
      </w:r>
    </w:p>
    <w:p w14:paraId="22F412D8">
      <w:pPr>
        <w:ind w:left="360"/>
        <w:rPr>
          <w:rFonts w:hint="eastAsia"/>
        </w:rPr>
      </w:pPr>
      <w:r>
        <w:t>(1)软件需求说明书</w:t>
      </w:r>
    </w:p>
    <w:p w14:paraId="0883AFA8">
      <w:pPr>
        <w:ind w:left="360"/>
        <w:rPr>
          <w:rFonts w:hint="eastAsia"/>
        </w:rPr>
      </w:pPr>
      <w:r>
        <w:t>(2)</w:t>
      </w:r>
      <w:r>
        <w:tab/>
      </w:r>
      <w:r>
        <w:t>系统总体设计说明书</w:t>
      </w:r>
    </w:p>
    <w:p w14:paraId="3EF66293">
      <w:pPr>
        <w:ind w:left="360"/>
        <w:rPr>
          <w:rFonts w:hint="eastAsia"/>
        </w:rPr>
      </w:pPr>
      <w:r>
        <w:t>(3)</w:t>
      </w:r>
      <w:r>
        <w:tab/>
      </w:r>
      <w:r>
        <w:t>应用软件功能清单</w:t>
      </w:r>
    </w:p>
    <w:p w14:paraId="0D307121">
      <w:pPr>
        <w:rPr>
          <w:rFonts w:hint="eastAsia"/>
        </w:rPr>
      </w:pPr>
      <w:r>
        <w:rPr>
          <w:rFonts w:hint="eastAsia"/>
        </w:rPr>
        <w:t>提供全套技术文件纸介质</w:t>
      </w:r>
      <w:r>
        <w:t>3套以及电子文件1套。</w:t>
      </w:r>
    </w:p>
    <w:p w14:paraId="531138F9">
      <w:pPr>
        <w:pStyle w:val="2"/>
        <w:rPr>
          <w:rFonts w:hint="eastAsia"/>
        </w:rPr>
      </w:pPr>
      <w:r>
        <w:rPr>
          <w:rFonts w:hint="eastAsia"/>
        </w:rPr>
        <w:t>供应商管理要求</w:t>
      </w:r>
      <w:bookmarkEnd w:id="35"/>
    </w:p>
    <w:p w14:paraId="718E62C6">
      <w:pPr>
        <w:pStyle w:val="80"/>
        <w:ind w:firstLine="480"/>
        <w:rPr>
          <w:rFonts w:hint="eastAsia"/>
          <w:sz w:val="24"/>
          <w:szCs w:val="24"/>
        </w:rPr>
      </w:pPr>
      <w:r>
        <w:rPr>
          <w:rFonts w:hint="eastAsia"/>
          <w:sz w:val="24"/>
          <w:szCs w:val="24"/>
        </w:rPr>
        <w:t>1、在项目实施期间，成交供应商应严格执行国家、地方、行业有关本项目业务管理和安全作业的法律、法规和制度并按规定承担相应的费用。成交供应商因违反规定等原因造成的一切损失和责任由成交供应商自行承担。</w:t>
      </w:r>
    </w:p>
    <w:p w14:paraId="7E704B86">
      <w:pPr>
        <w:pStyle w:val="80"/>
        <w:ind w:firstLine="480"/>
        <w:rPr>
          <w:rFonts w:hint="eastAsia"/>
          <w:sz w:val="24"/>
          <w:szCs w:val="24"/>
        </w:rPr>
      </w:pPr>
      <w:r>
        <w:rPr>
          <w:rFonts w:hint="eastAsia"/>
          <w:sz w:val="24"/>
          <w:szCs w:val="24"/>
        </w:rPr>
        <w:t>2、成交供应商在</w:t>
      </w:r>
      <w:r>
        <w:rPr>
          <w:rFonts w:hint="eastAsia"/>
          <w:sz w:val="24"/>
          <w:szCs w:val="24"/>
          <w:lang w:eastAsia="zh-CN"/>
        </w:rPr>
        <w:t>响应文件</w:t>
      </w:r>
      <w:r>
        <w:rPr>
          <w:rFonts w:hint="eastAsia"/>
          <w:sz w:val="24"/>
          <w:szCs w:val="24"/>
        </w:rPr>
        <w:t>中承诺并经采购人认定的项目负责人及专业技术人员必须是本单位职工（在本单位缴纳社会保障金）和该项目实施现场的实际操作者，应具有类似本项目的实施经验，并应在软件应用调研、安装、试运行等期间常驻项目现场。未经采购人同意，成交供应商不得调换或撤离上述人员。如采购人认为有必要，可要求成交供应商对上述人员中的部分人员作出更好的调整。</w:t>
      </w:r>
    </w:p>
    <w:p w14:paraId="350E4ECA">
      <w:pPr>
        <w:pStyle w:val="80"/>
        <w:ind w:firstLine="480"/>
        <w:rPr>
          <w:rFonts w:hint="eastAsia"/>
          <w:sz w:val="24"/>
          <w:szCs w:val="24"/>
        </w:rPr>
      </w:pPr>
      <w:r>
        <w:rPr>
          <w:rFonts w:hint="eastAsia"/>
          <w:sz w:val="24"/>
          <w:szCs w:val="24"/>
        </w:rPr>
        <w:t>3、成交供应商在项目实施期间，应按项目实际进度与环节落实所对应项目整体及各环节管理工作，按照规范做好项目实施期间相关管理与实施记录。</w:t>
      </w:r>
    </w:p>
    <w:p w14:paraId="00F15FA6">
      <w:pPr>
        <w:pStyle w:val="80"/>
        <w:ind w:firstLine="480"/>
        <w:rPr>
          <w:rFonts w:hint="eastAsia"/>
          <w:sz w:val="24"/>
          <w:szCs w:val="24"/>
        </w:rPr>
      </w:pPr>
      <w:r>
        <w:rPr>
          <w:rFonts w:hint="eastAsia"/>
          <w:sz w:val="24"/>
          <w:szCs w:val="24"/>
        </w:rPr>
        <w:t>4、参与本项目的工作人员应严格遵循采购人的安全制度，保障采购人资料和设备的安全。</w:t>
      </w:r>
      <w:r>
        <w:rPr>
          <w:rFonts w:hint="eastAsia"/>
          <w:sz w:val="24"/>
          <w:szCs w:val="24"/>
          <w:lang w:eastAsia="zh-CN"/>
        </w:rPr>
        <w:t>成交供应商</w:t>
      </w:r>
      <w:r>
        <w:rPr>
          <w:rFonts w:hint="eastAsia"/>
          <w:sz w:val="24"/>
          <w:szCs w:val="24"/>
        </w:rPr>
        <w:t>如需进入采购人机房工作，只能在采购人规定的工作区域内对项目涉及的设备进行操作，严禁触动与项目无关的任何设备（包括任何操作行为），如需跨区操作必须得到采购人项目联系人确认。</w:t>
      </w:r>
    </w:p>
    <w:p w14:paraId="46EF02A0">
      <w:pPr>
        <w:pStyle w:val="80"/>
        <w:ind w:firstLine="480"/>
        <w:rPr>
          <w:rFonts w:hint="eastAsia"/>
          <w:sz w:val="24"/>
          <w:szCs w:val="24"/>
        </w:rPr>
      </w:pPr>
      <w:r>
        <w:rPr>
          <w:rFonts w:hint="eastAsia"/>
          <w:sz w:val="24"/>
          <w:szCs w:val="24"/>
        </w:rPr>
        <w:t>5、成交供应商在项目实施期间必须遵守采购人的规章制度并提供实施人员名单。</w:t>
      </w:r>
    </w:p>
    <w:p w14:paraId="5A448B1E">
      <w:pPr>
        <w:pStyle w:val="80"/>
        <w:ind w:firstLine="480"/>
        <w:rPr>
          <w:rFonts w:hint="eastAsia"/>
          <w:sz w:val="24"/>
          <w:szCs w:val="24"/>
        </w:rPr>
      </w:pPr>
      <w:r>
        <w:rPr>
          <w:rFonts w:hint="eastAsia"/>
          <w:sz w:val="24"/>
          <w:szCs w:val="24"/>
        </w:rPr>
        <w:t>6、各供应商在响应文件中要结合本项目的特点和采购人上述的具体要求制定相应的管理措施，并在报价中列支相应的费用清单，供应商报价中未列支上述费用清单的，上述费用视为已包含在供应商的</w:t>
      </w:r>
      <w:r>
        <w:rPr>
          <w:rFonts w:hint="eastAsia"/>
          <w:sz w:val="24"/>
          <w:szCs w:val="24"/>
          <w:lang w:eastAsia="zh-CN"/>
        </w:rPr>
        <w:t>响应</w:t>
      </w:r>
      <w:r>
        <w:rPr>
          <w:rFonts w:hint="eastAsia"/>
          <w:sz w:val="24"/>
          <w:szCs w:val="24"/>
        </w:rPr>
        <w:t>总报价中。</w:t>
      </w:r>
    </w:p>
    <w:p w14:paraId="3404732D">
      <w:pPr>
        <w:pStyle w:val="80"/>
        <w:ind w:firstLine="480"/>
        <w:rPr>
          <w:rFonts w:hint="eastAsia"/>
        </w:rPr>
      </w:pPr>
      <w:r>
        <w:rPr>
          <w:rFonts w:hint="eastAsia"/>
          <w:sz w:val="24"/>
          <w:szCs w:val="24"/>
        </w:rPr>
        <w:t>7、本项目软件开发及调试将纳入采购人的管理范围，成交供应商在此过程中须服从上述单位的管理协调。</w:t>
      </w:r>
    </w:p>
    <w:p w14:paraId="0D63B1AF">
      <w:pPr>
        <w:pStyle w:val="2"/>
        <w:rPr>
          <w:rFonts w:hint="eastAsia"/>
        </w:rPr>
      </w:pPr>
      <w:bookmarkStart w:id="36" w:name="_Toc63785513"/>
      <w:r>
        <w:rPr>
          <w:rFonts w:hint="eastAsia"/>
        </w:rPr>
        <w:t>知识产权及保密要求</w:t>
      </w:r>
      <w:bookmarkEnd w:id="36"/>
    </w:p>
    <w:p w14:paraId="1D97DCF0">
      <w:pPr>
        <w:ind w:firstLine="482"/>
        <w:rPr>
          <w:rFonts w:hint="eastAsia"/>
          <w:b/>
        </w:rPr>
      </w:pPr>
      <w:r>
        <w:rPr>
          <w:b/>
        </w:rPr>
        <w:t>1、</w:t>
      </w:r>
      <w:r>
        <w:rPr>
          <w:rFonts w:hint="eastAsia"/>
          <w:b/>
        </w:rPr>
        <w:t>成交供应商</w:t>
      </w:r>
      <w:r>
        <w:rPr>
          <w:b/>
        </w:rPr>
        <w:t>数据、文件、资料知识产权</w:t>
      </w:r>
    </w:p>
    <w:p w14:paraId="66039490">
      <w:pPr>
        <w:rPr>
          <w:rFonts w:hint="eastAsia"/>
        </w:rPr>
      </w:pPr>
      <w:r>
        <w:rPr>
          <w:rFonts w:hint="eastAsia"/>
        </w:rPr>
        <w:t>成交供应商保证其所提供的服务和交付的成果以及在履行本项目义务中使用到的所有数据、文件、信息不会引起任何第三方在专利权、著作权、商标权等知识产权方面向采购人或采购人的关联方及合作方（包括但不限于采购人的主管单位和采购人的合作单位等）发出侵权指控或提出索赔。若有，成交供应商应负责与第三方解决纠纷，若因此导致采购人损失的，采购人有权要求成交供应商赔偿采购人因此遭受的全部损失，包括但不限于直接损失、间接损失、诉讼费／仲裁费、律师费、公证费、鉴定费等。</w:t>
      </w:r>
    </w:p>
    <w:p w14:paraId="32674D0D">
      <w:pPr>
        <w:rPr>
          <w:rFonts w:hint="eastAsia"/>
        </w:rPr>
      </w:pPr>
      <w:r>
        <w:rPr>
          <w:rFonts w:hint="eastAsia"/>
        </w:rPr>
        <w:t>成交供应商因履行本项目而产生的所有成果的知识产权等权利均归采购人所有，成交供应商应配合采购人进行相关权利登记或申请。未经采购人书面同意，成交供应商不得以任何形式使用或许可他人使用本项目成果的相关内容，不得擅自对外公开发表或向任何第三方透露。</w:t>
      </w:r>
    </w:p>
    <w:p w14:paraId="4003C56A">
      <w:pPr>
        <w:rPr>
          <w:rFonts w:hint="eastAsia"/>
        </w:rPr>
      </w:pPr>
      <w:r>
        <w:rPr>
          <w:rFonts w:hint="eastAsia"/>
        </w:rPr>
        <w:t>在不影响上述条款规定的由采购人取得所有成果的知识产权的前提下，双方因履行本项目而被授权接触或使用对方之知识产权（包括但不限于商标、专利、著作权等），和/或任何其他相关资料、数据等涉及的任何权利，均不视为向另一方转让上述权利或在本项目范围外授权许可另一方使用上述权利，上述权利仍应属于提供方，并仅可使用于本项目，被授权接触或使用方未经提供方书面同意，不得擅自挪作他用。</w:t>
      </w:r>
    </w:p>
    <w:p w14:paraId="6BB9373E">
      <w:pPr>
        <w:ind w:firstLine="482"/>
        <w:rPr>
          <w:rFonts w:hint="eastAsia"/>
          <w:b/>
        </w:rPr>
      </w:pPr>
      <w:r>
        <w:rPr>
          <w:b/>
        </w:rPr>
        <w:t>2、项目保密要求</w:t>
      </w:r>
    </w:p>
    <w:p w14:paraId="3B892728">
      <w:pPr>
        <w:rPr>
          <w:rFonts w:hint="eastAsia"/>
        </w:rPr>
      </w:pPr>
      <w:r>
        <w:rPr>
          <w:rFonts w:hint="eastAsia"/>
        </w:rPr>
        <w:t>成交供应商因履行本项目而知悉的所有数据、信息和资料（包括但不限于账号信息、图表、文字、计算过程、任何形式的文件、访谈记录、现场实测数据、采购人相关工作程序等）以及因履行本项目而形成的数据、信息和任何形式的工作成果，均是采购人要求保密的信息。未经采购人书面同意，成交供应商不得对外泄露采购人要求保密的信息，不得用于其他用途，否则成交供应商需承担由此引起的法律责任和经济责任，包括但不限于直接损失、间接损失、律师费、诉讼费/仲裁费、调查费、公证费等。</w:t>
      </w:r>
    </w:p>
    <w:p w14:paraId="17AFF716">
      <w:pPr>
        <w:rPr>
          <w:rFonts w:hint="eastAsia"/>
        </w:rPr>
      </w:pPr>
      <w:r>
        <w:rPr>
          <w:rFonts w:hint="eastAsia"/>
        </w:rPr>
        <w:t>成交供应商应采取必要的有效措施保证其参与本项目的人员（包括成交供应商聘用的人员、借调的人员、实习的人员）无论是在职或离职后，以及成交供应商的合作方无论是合作中或合作终止后，都能够履行本项目约定的保密义务。若成交供应商人员或成交供应商合作方违反保密规定，成交供应商应承担连带责任。</w:t>
      </w:r>
    </w:p>
    <w:p w14:paraId="54A6BA64">
      <w:pPr>
        <w:rPr>
          <w:rFonts w:hint="eastAsia"/>
        </w:rPr>
      </w:pPr>
      <w:r>
        <w:rPr>
          <w:rFonts w:hint="eastAsia"/>
        </w:rPr>
        <w:t>成交供应商（含成交供应商参与本项目的人员以及其合作方）未经采购方书面许可，不得以任何形式自行使用或以任何方式向第三方披露、转让、授权、出售与本项目有关的技术成果、计算机软件、源代码、策划文档、技术诀窍、秘密信息、技术资料和其他文件。</w:t>
      </w:r>
    </w:p>
    <w:p w14:paraId="1B497F66">
      <w:pPr>
        <w:rPr>
          <w:rFonts w:hint="eastAsia"/>
        </w:rPr>
      </w:pPr>
      <w:r>
        <w:rPr>
          <w:rFonts w:hint="eastAsia"/>
        </w:rPr>
        <w:t>以上内容的保密期限自成交供应商知悉保密信息起始至保密信息被合法公开之日止。</w:t>
      </w:r>
    </w:p>
    <w:p w14:paraId="6DA92333">
      <w:pPr>
        <w:ind w:firstLine="482"/>
        <w:rPr>
          <w:rFonts w:hint="eastAsia"/>
          <w:b/>
        </w:rPr>
      </w:pPr>
      <w:r>
        <w:rPr>
          <w:b/>
        </w:rPr>
        <w:t>3、临时账号等使用要求</w:t>
      </w:r>
    </w:p>
    <w:p w14:paraId="0CB84FBF">
      <w:pPr>
        <w:rPr>
          <w:rFonts w:hint="eastAsia"/>
        </w:rPr>
      </w:pPr>
      <w:r>
        <w:rPr>
          <w:rFonts w:hint="eastAsia"/>
        </w:rPr>
        <w:t>成交供应商对采购人提拱的临时使用账号要保密，不得公开，对组件开发的账号密码需进行加密，避免信息安全的泄露。未经采购人的同意不得利用采购人的网络及平台进行短信、彩信、微信发送</w:t>
      </w:r>
      <w:r>
        <w:t>,造成的一切后果由</w:t>
      </w:r>
      <w:r>
        <w:rPr>
          <w:rFonts w:hint="eastAsia"/>
        </w:rPr>
        <w:t>成交供应商</w:t>
      </w:r>
      <w:r>
        <w:t>负责。</w:t>
      </w:r>
    </w:p>
    <w:p w14:paraId="590026EB">
      <w:pPr>
        <w:rPr>
          <w:rFonts w:hint="eastAsia"/>
          <w:bCs/>
        </w:rPr>
      </w:pPr>
    </w:p>
    <w:sectPr>
      <w:footerReference r:id="rId11" w:type="first"/>
      <w:pgSz w:w="11906" w:h="16838"/>
      <w:pgMar w:top="1134" w:right="1797" w:bottom="1135" w:left="1797" w:header="340" w:footer="7" w:gutter="0"/>
      <w:pgNumType w:start="1"/>
      <w:cols w:space="720" w:num="1"/>
      <w:titlePg/>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9" w:usb3="00000000" w:csb0="000001FF" w:csb1="00000000"/>
  </w:font>
  <w:font w:name="Arial Unicode MS">
    <w:altName w:val="DejaVu Sans"/>
    <w:panose1 w:val="020B0604020202020204"/>
    <w:charset w:val="86"/>
    <w:family w:val="swiss"/>
    <w:pitch w:val="default"/>
    <w:sig w:usb0="00000000" w:usb1="00000000" w:usb2="0000003F" w:usb3="00000000" w:csb0="003F01FF" w:csb1="00000000"/>
  </w:font>
  <w:font w:name="等线 Light">
    <w:altName w:val="汉仪中圆B5"/>
    <w:panose1 w:val="02010600030101010101"/>
    <w:charset w:val="86"/>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 w:name="time">
    <w:altName w:val="思源宋体"/>
    <w:panose1 w:val="00000000000000000000"/>
    <w:charset w:val="00"/>
    <w:family w:val="roman"/>
    <w:pitch w:val="default"/>
    <w:sig w:usb0="00000000" w:usb1="00000000" w:usb2="00000000" w:usb3="00000000" w:csb0="00040001" w:csb1="00000000"/>
  </w:font>
  <w:font w:name="思源宋体">
    <w:panose1 w:val="02020400000000000000"/>
    <w:charset w:val="86"/>
    <w:family w:val="auto"/>
    <w:pitch w:val="default"/>
    <w:sig w:usb0="30000083" w:usb1="2BDF3C10" w:usb2="00000016" w:usb3="00000000" w:csb0="602E0107" w:csb1="00000000"/>
  </w:font>
  <w:font w:name="Microsoft YaHei UI">
    <w:altName w:val="文泉驿微米黑"/>
    <w:panose1 w:val="020B0503020204020204"/>
    <w:charset w:val="86"/>
    <w:family w:val="swiss"/>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Microsoft Sans Serif">
    <w:altName w:val="Liberation Sans"/>
    <w:panose1 w:val="020B0604020202020204"/>
    <w:charset w:val="00"/>
    <w:family w:val="swiss"/>
    <w:pitch w:val="default"/>
    <w:sig w:usb0="00000000" w:usb1="00000000" w:usb2="00000029" w:usb3="00000000" w:csb0="000101FF" w:csb1="00000000"/>
  </w:font>
  <w:font w:name="Liberation Sans">
    <w:panose1 w:val="020B0604020202020204"/>
    <w:charset w:val="00"/>
    <w:family w:val="auto"/>
    <w:pitch w:val="default"/>
    <w:sig w:usb0="A00002AF" w:usb1="5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0B919">
    <w:pPr>
      <w:ind w:firstLine="0" w:firstLineChars="0"/>
      <w:jc w:val="center"/>
      <w:rPr>
        <w:rFonts w:hint="eastAsia"/>
      </w:rPr>
    </w:pPr>
    <w:r>
      <w:fldChar w:fldCharType="begin"/>
    </w:r>
    <w:r>
      <w:instrText xml:space="preserve">PAGE   \* MERGEFORMAT</w:instrText>
    </w:r>
    <w:r>
      <w:fldChar w:fldCharType="separate"/>
    </w:r>
    <w:r>
      <w:rPr>
        <w:lang w:val="zh-CN"/>
      </w:rPr>
      <w:t>11</w:t>
    </w:r>
    <w:r>
      <w:rPr>
        <w:lang w:val="zh-CN"/>
      </w:rPr>
      <w:fldChar w:fldCharType="end"/>
    </w:r>
  </w:p>
  <w:p w14:paraId="7989B065">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14485">
    <w:pPr>
      <w:rPr>
        <w:rFonts w:hint="eastAsia"/>
      </w:rPr>
    </w:pPr>
  </w:p>
  <w:p w14:paraId="233E618F">
    <w:pP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3E8FC">
    <w:pPr>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42770">
    <w:pPr>
      <w:ind w:firstLine="0" w:firstLineChars="0"/>
      <w:jc w:val="center"/>
      <w:rPr>
        <w:rFonts w:hint="eastAsia"/>
        <w:lang w:val="zh-CN"/>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p w14:paraId="14A9C211">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A649D">
    <w:pPr>
      <w:pStyle w:val="2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3A735">
    <w:pPr>
      <w:rPr>
        <w:rFonts w:hint="eastAsia"/>
      </w:rPr>
    </w:pPr>
  </w:p>
  <w:p w14:paraId="03D2653E">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37E41">
    <w:pPr>
      <w:pStyle w:val="2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CC7CA"/>
    <w:multiLevelType w:val="singleLevel"/>
    <w:tmpl w:val="8ABCC7CA"/>
    <w:lvl w:ilvl="0" w:tentative="0">
      <w:start w:val="1"/>
      <w:numFmt w:val="decimal"/>
      <w:lvlText w:val="%1)"/>
      <w:lvlJc w:val="left"/>
      <w:pPr>
        <w:ind w:left="425" w:hanging="425"/>
      </w:pPr>
      <w:rPr>
        <w:rFonts w:hint="default"/>
      </w:rPr>
    </w:lvl>
  </w:abstractNum>
  <w:abstractNum w:abstractNumId="1">
    <w:nsid w:val="6350366A"/>
    <w:multiLevelType w:val="multilevel"/>
    <w:tmpl w:val="6350366A"/>
    <w:lvl w:ilvl="0" w:tentative="0">
      <w:start w:val="1"/>
      <w:numFmt w:val="none"/>
      <w:pStyle w:val="112"/>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A2F4AB3"/>
    <w:multiLevelType w:val="multilevel"/>
    <w:tmpl w:val="6A2F4AB3"/>
    <w:lvl w:ilvl="0" w:tentative="0">
      <w:start w:val="1"/>
      <w:numFmt w:val="chineseCountingThousand"/>
      <w:pStyle w:val="2"/>
      <w:suff w:val="nothing"/>
      <w:lvlText w:val="%1、"/>
      <w:lvlJc w:val="left"/>
      <w:pPr>
        <w:ind w:left="425" w:hanging="425"/>
      </w:pPr>
      <w:rPr>
        <w:rFonts w:hint="eastAsia"/>
        <w:sz w:val="32"/>
        <w:szCs w:val="32"/>
      </w:rPr>
    </w:lvl>
    <w:lvl w:ilvl="1" w:tentative="0">
      <w:start w:val="1"/>
      <w:numFmt w:val="decimal"/>
      <w:pStyle w:val="3"/>
      <w:isLgl/>
      <w:suff w:val="nothing"/>
      <w:lvlText w:val="%1.%2、"/>
      <w:lvlJc w:val="left"/>
      <w:pPr>
        <w:ind w:left="1135" w:hanging="567"/>
      </w:pPr>
    </w:lvl>
    <w:lvl w:ilvl="2" w:tentative="0">
      <w:start w:val="1"/>
      <w:numFmt w:val="decimal"/>
      <w:pStyle w:val="4"/>
      <w:isLgl/>
      <w:suff w:val="nothing"/>
      <w:lvlText w:val="%1.%2.%3、"/>
      <w:lvlJc w:val="left"/>
      <w:pPr>
        <w:ind w:left="1069" w:hanging="1069"/>
      </w:pPr>
      <w:rPr>
        <w:rFonts w:hint="default" w:ascii="宋体" w:hAnsi="宋体" w:eastAsia="宋体" w:cs="Arial"/>
      </w:rPr>
    </w:lvl>
    <w:lvl w:ilvl="3" w:tentative="0">
      <w:start w:val="1"/>
      <w:numFmt w:val="decimal"/>
      <w:pStyle w:val="5"/>
      <w:isLgl/>
      <w:suff w:val="nothing"/>
      <w:lvlText w:val="%1.%2.%3.%4、"/>
      <w:lvlJc w:val="left"/>
      <w:pPr>
        <w:ind w:left="3403" w:hanging="851"/>
      </w:pPr>
    </w:lvl>
    <w:lvl w:ilvl="4" w:tentative="0">
      <w:start w:val="1"/>
      <w:numFmt w:val="decimal"/>
      <w:pStyle w:val="6"/>
      <w:isLgl/>
      <w:suff w:val="nothing"/>
      <w:lvlText w:val="%1.%2.%3.%4.%5、"/>
      <w:lvlJc w:val="left"/>
      <w:pPr>
        <w:ind w:left="3544" w:hanging="992"/>
      </w:pPr>
      <w:rPr>
        <w:rFonts w:hint="eastAsia"/>
      </w:rPr>
    </w:lvl>
    <w:lvl w:ilvl="5" w:tentative="0">
      <w:start w:val="1"/>
      <w:numFmt w:val="decimal"/>
      <w:pStyle w:val="7"/>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E4YmIxNzI4ZGQ3ZWQ1ZDA0YzA0YjM3YjI4NzdkMWUifQ=="/>
  </w:docVars>
  <w:rsids>
    <w:rsidRoot w:val="006910C0"/>
    <w:rsid w:val="0000005A"/>
    <w:rsid w:val="00000AED"/>
    <w:rsid w:val="00003516"/>
    <w:rsid w:val="0000380E"/>
    <w:rsid w:val="00005AFD"/>
    <w:rsid w:val="00006563"/>
    <w:rsid w:val="000074F1"/>
    <w:rsid w:val="00007A41"/>
    <w:rsid w:val="00007DA7"/>
    <w:rsid w:val="00012EF0"/>
    <w:rsid w:val="000156DE"/>
    <w:rsid w:val="000165AD"/>
    <w:rsid w:val="000179E9"/>
    <w:rsid w:val="00020C18"/>
    <w:rsid w:val="00021EE6"/>
    <w:rsid w:val="0002280E"/>
    <w:rsid w:val="00022C74"/>
    <w:rsid w:val="00025122"/>
    <w:rsid w:val="000252D5"/>
    <w:rsid w:val="00026997"/>
    <w:rsid w:val="00027A64"/>
    <w:rsid w:val="00032D27"/>
    <w:rsid w:val="00035325"/>
    <w:rsid w:val="00035D5B"/>
    <w:rsid w:val="000378D0"/>
    <w:rsid w:val="00037F2C"/>
    <w:rsid w:val="00042C2A"/>
    <w:rsid w:val="000430EC"/>
    <w:rsid w:val="000447CB"/>
    <w:rsid w:val="00047915"/>
    <w:rsid w:val="00047D06"/>
    <w:rsid w:val="00050FBD"/>
    <w:rsid w:val="0005107A"/>
    <w:rsid w:val="0005192C"/>
    <w:rsid w:val="00052929"/>
    <w:rsid w:val="0005299F"/>
    <w:rsid w:val="000541D7"/>
    <w:rsid w:val="000545C0"/>
    <w:rsid w:val="0005586D"/>
    <w:rsid w:val="00056C0E"/>
    <w:rsid w:val="000574A8"/>
    <w:rsid w:val="000574F8"/>
    <w:rsid w:val="00057A49"/>
    <w:rsid w:val="00060317"/>
    <w:rsid w:val="0006231F"/>
    <w:rsid w:val="00062A05"/>
    <w:rsid w:val="00062EE6"/>
    <w:rsid w:val="0006344E"/>
    <w:rsid w:val="000649E6"/>
    <w:rsid w:val="0006794B"/>
    <w:rsid w:val="00067DCA"/>
    <w:rsid w:val="00070063"/>
    <w:rsid w:val="0007087A"/>
    <w:rsid w:val="000710EC"/>
    <w:rsid w:val="00072237"/>
    <w:rsid w:val="00072ABE"/>
    <w:rsid w:val="00080B39"/>
    <w:rsid w:val="00083950"/>
    <w:rsid w:val="0008452F"/>
    <w:rsid w:val="00084E8E"/>
    <w:rsid w:val="00085A68"/>
    <w:rsid w:val="000866EA"/>
    <w:rsid w:val="00090625"/>
    <w:rsid w:val="00090948"/>
    <w:rsid w:val="00091CD1"/>
    <w:rsid w:val="00092CEB"/>
    <w:rsid w:val="00094200"/>
    <w:rsid w:val="0009460E"/>
    <w:rsid w:val="000951D4"/>
    <w:rsid w:val="000A2146"/>
    <w:rsid w:val="000A2930"/>
    <w:rsid w:val="000A3276"/>
    <w:rsid w:val="000A3C35"/>
    <w:rsid w:val="000A3E30"/>
    <w:rsid w:val="000A5876"/>
    <w:rsid w:val="000A61D0"/>
    <w:rsid w:val="000A6C67"/>
    <w:rsid w:val="000A6DB8"/>
    <w:rsid w:val="000A7596"/>
    <w:rsid w:val="000B11A8"/>
    <w:rsid w:val="000B1959"/>
    <w:rsid w:val="000B2E1C"/>
    <w:rsid w:val="000B4459"/>
    <w:rsid w:val="000B4B46"/>
    <w:rsid w:val="000B5363"/>
    <w:rsid w:val="000B53BA"/>
    <w:rsid w:val="000B642F"/>
    <w:rsid w:val="000B6C99"/>
    <w:rsid w:val="000C3F3C"/>
    <w:rsid w:val="000C5A75"/>
    <w:rsid w:val="000C75F7"/>
    <w:rsid w:val="000D0AB2"/>
    <w:rsid w:val="000D225C"/>
    <w:rsid w:val="000D36F2"/>
    <w:rsid w:val="000D4B26"/>
    <w:rsid w:val="000D74DB"/>
    <w:rsid w:val="000E24D6"/>
    <w:rsid w:val="000E3481"/>
    <w:rsid w:val="000E6072"/>
    <w:rsid w:val="000E6D61"/>
    <w:rsid w:val="000E7A23"/>
    <w:rsid w:val="000F1C29"/>
    <w:rsid w:val="000F1E9E"/>
    <w:rsid w:val="000F2B10"/>
    <w:rsid w:val="000F3F72"/>
    <w:rsid w:val="001055B2"/>
    <w:rsid w:val="001068F0"/>
    <w:rsid w:val="00106AB8"/>
    <w:rsid w:val="00106C9E"/>
    <w:rsid w:val="00106E16"/>
    <w:rsid w:val="0010768B"/>
    <w:rsid w:val="00111701"/>
    <w:rsid w:val="00112A29"/>
    <w:rsid w:val="001167F6"/>
    <w:rsid w:val="00116C86"/>
    <w:rsid w:val="001178A3"/>
    <w:rsid w:val="00121ACF"/>
    <w:rsid w:val="00121D8F"/>
    <w:rsid w:val="00122037"/>
    <w:rsid w:val="0012210C"/>
    <w:rsid w:val="00122A7F"/>
    <w:rsid w:val="00123F98"/>
    <w:rsid w:val="001242A5"/>
    <w:rsid w:val="00124531"/>
    <w:rsid w:val="00124B11"/>
    <w:rsid w:val="00126EDF"/>
    <w:rsid w:val="00127BBE"/>
    <w:rsid w:val="00131D52"/>
    <w:rsid w:val="001329C1"/>
    <w:rsid w:val="00132C16"/>
    <w:rsid w:val="00136320"/>
    <w:rsid w:val="00136824"/>
    <w:rsid w:val="00136FFA"/>
    <w:rsid w:val="00137AC6"/>
    <w:rsid w:val="001428EE"/>
    <w:rsid w:val="00145512"/>
    <w:rsid w:val="001465BD"/>
    <w:rsid w:val="00147B45"/>
    <w:rsid w:val="00150803"/>
    <w:rsid w:val="00151D83"/>
    <w:rsid w:val="00153022"/>
    <w:rsid w:val="001546C9"/>
    <w:rsid w:val="00154FAE"/>
    <w:rsid w:val="00155E77"/>
    <w:rsid w:val="001562E8"/>
    <w:rsid w:val="00156A70"/>
    <w:rsid w:val="00160A61"/>
    <w:rsid w:val="00160FC0"/>
    <w:rsid w:val="0016429B"/>
    <w:rsid w:val="00164525"/>
    <w:rsid w:val="00164C50"/>
    <w:rsid w:val="00165CB2"/>
    <w:rsid w:val="00166203"/>
    <w:rsid w:val="00166767"/>
    <w:rsid w:val="001707CB"/>
    <w:rsid w:val="00171477"/>
    <w:rsid w:val="00172A1A"/>
    <w:rsid w:val="00173251"/>
    <w:rsid w:val="00176BED"/>
    <w:rsid w:val="0017759D"/>
    <w:rsid w:val="001804A5"/>
    <w:rsid w:val="00181C94"/>
    <w:rsid w:val="00182C84"/>
    <w:rsid w:val="00187031"/>
    <w:rsid w:val="00191EA4"/>
    <w:rsid w:val="00192B6C"/>
    <w:rsid w:val="00192C30"/>
    <w:rsid w:val="0019381E"/>
    <w:rsid w:val="00194CF5"/>
    <w:rsid w:val="0019503C"/>
    <w:rsid w:val="00195D94"/>
    <w:rsid w:val="00196F7B"/>
    <w:rsid w:val="001971CB"/>
    <w:rsid w:val="0019795C"/>
    <w:rsid w:val="001A053A"/>
    <w:rsid w:val="001A22A2"/>
    <w:rsid w:val="001A2971"/>
    <w:rsid w:val="001A3D52"/>
    <w:rsid w:val="001A460A"/>
    <w:rsid w:val="001A4A4C"/>
    <w:rsid w:val="001B0230"/>
    <w:rsid w:val="001B13AB"/>
    <w:rsid w:val="001B1B4A"/>
    <w:rsid w:val="001B3907"/>
    <w:rsid w:val="001B3B49"/>
    <w:rsid w:val="001B4907"/>
    <w:rsid w:val="001B4DC5"/>
    <w:rsid w:val="001B5505"/>
    <w:rsid w:val="001C2180"/>
    <w:rsid w:val="001C29CC"/>
    <w:rsid w:val="001C3217"/>
    <w:rsid w:val="001C3B98"/>
    <w:rsid w:val="001C6028"/>
    <w:rsid w:val="001C6365"/>
    <w:rsid w:val="001C7F57"/>
    <w:rsid w:val="001D0E79"/>
    <w:rsid w:val="001D6049"/>
    <w:rsid w:val="001D7339"/>
    <w:rsid w:val="001D7D9F"/>
    <w:rsid w:val="001E2750"/>
    <w:rsid w:val="001E4343"/>
    <w:rsid w:val="001E52BB"/>
    <w:rsid w:val="001E660A"/>
    <w:rsid w:val="001E7F98"/>
    <w:rsid w:val="001F05D6"/>
    <w:rsid w:val="001F5B0A"/>
    <w:rsid w:val="001F640F"/>
    <w:rsid w:val="001F6794"/>
    <w:rsid w:val="001F6F65"/>
    <w:rsid w:val="002002DF"/>
    <w:rsid w:val="00203A6F"/>
    <w:rsid w:val="00205646"/>
    <w:rsid w:val="002063F7"/>
    <w:rsid w:val="002129E5"/>
    <w:rsid w:val="00212AA4"/>
    <w:rsid w:val="00212E13"/>
    <w:rsid w:val="002163C8"/>
    <w:rsid w:val="002179FE"/>
    <w:rsid w:val="00220CC0"/>
    <w:rsid w:val="00221A36"/>
    <w:rsid w:val="00223296"/>
    <w:rsid w:val="0022329B"/>
    <w:rsid w:val="002240F7"/>
    <w:rsid w:val="0022486F"/>
    <w:rsid w:val="00225314"/>
    <w:rsid w:val="00225DF4"/>
    <w:rsid w:val="00226C70"/>
    <w:rsid w:val="00230C8A"/>
    <w:rsid w:val="00231F98"/>
    <w:rsid w:val="002324F8"/>
    <w:rsid w:val="002348B0"/>
    <w:rsid w:val="00235CDC"/>
    <w:rsid w:val="00237E76"/>
    <w:rsid w:val="00240BBE"/>
    <w:rsid w:val="00241525"/>
    <w:rsid w:val="00241D87"/>
    <w:rsid w:val="00243C55"/>
    <w:rsid w:val="00243D5E"/>
    <w:rsid w:val="002451EC"/>
    <w:rsid w:val="00245ED4"/>
    <w:rsid w:val="00246B41"/>
    <w:rsid w:val="0025002B"/>
    <w:rsid w:val="002500DE"/>
    <w:rsid w:val="00252457"/>
    <w:rsid w:val="00252581"/>
    <w:rsid w:val="002535B5"/>
    <w:rsid w:val="002538CB"/>
    <w:rsid w:val="002542BD"/>
    <w:rsid w:val="0025774E"/>
    <w:rsid w:val="00257D64"/>
    <w:rsid w:val="0026340A"/>
    <w:rsid w:val="002654EA"/>
    <w:rsid w:val="002704EA"/>
    <w:rsid w:val="0027061A"/>
    <w:rsid w:val="002719CC"/>
    <w:rsid w:val="002730C5"/>
    <w:rsid w:val="0027337C"/>
    <w:rsid w:val="0027602B"/>
    <w:rsid w:val="00277F5E"/>
    <w:rsid w:val="00280084"/>
    <w:rsid w:val="00280490"/>
    <w:rsid w:val="002860B8"/>
    <w:rsid w:val="0029206E"/>
    <w:rsid w:val="00293382"/>
    <w:rsid w:val="00293B3F"/>
    <w:rsid w:val="00294F51"/>
    <w:rsid w:val="002A2342"/>
    <w:rsid w:val="002A25D9"/>
    <w:rsid w:val="002A279E"/>
    <w:rsid w:val="002A3017"/>
    <w:rsid w:val="002A4FA3"/>
    <w:rsid w:val="002B3606"/>
    <w:rsid w:val="002B3D80"/>
    <w:rsid w:val="002B4402"/>
    <w:rsid w:val="002B4946"/>
    <w:rsid w:val="002B4C41"/>
    <w:rsid w:val="002B588D"/>
    <w:rsid w:val="002C1839"/>
    <w:rsid w:val="002C214A"/>
    <w:rsid w:val="002C28E8"/>
    <w:rsid w:val="002C3027"/>
    <w:rsid w:val="002C674D"/>
    <w:rsid w:val="002C7648"/>
    <w:rsid w:val="002C7DC4"/>
    <w:rsid w:val="002D0821"/>
    <w:rsid w:val="002D1929"/>
    <w:rsid w:val="002D1B73"/>
    <w:rsid w:val="002D3CB0"/>
    <w:rsid w:val="002D4800"/>
    <w:rsid w:val="002D5B21"/>
    <w:rsid w:val="002D6F6D"/>
    <w:rsid w:val="002D7B06"/>
    <w:rsid w:val="002E1FE6"/>
    <w:rsid w:val="002E2EA7"/>
    <w:rsid w:val="002E36D2"/>
    <w:rsid w:val="002E748B"/>
    <w:rsid w:val="002F1BE7"/>
    <w:rsid w:val="002F1E52"/>
    <w:rsid w:val="002F2002"/>
    <w:rsid w:val="002F335D"/>
    <w:rsid w:val="002F4E32"/>
    <w:rsid w:val="002F503F"/>
    <w:rsid w:val="002F51DD"/>
    <w:rsid w:val="002F5D08"/>
    <w:rsid w:val="002F6895"/>
    <w:rsid w:val="002F6D13"/>
    <w:rsid w:val="003038D3"/>
    <w:rsid w:val="003049C7"/>
    <w:rsid w:val="00305F0E"/>
    <w:rsid w:val="0030667A"/>
    <w:rsid w:val="003106DE"/>
    <w:rsid w:val="00311530"/>
    <w:rsid w:val="00312D31"/>
    <w:rsid w:val="00315216"/>
    <w:rsid w:val="0031691C"/>
    <w:rsid w:val="00317AEF"/>
    <w:rsid w:val="00317F49"/>
    <w:rsid w:val="0032089B"/>
    <w:rsid w:val="00323450"/>
    <w:rsid w:val="00323D93"/>
    <w:rsid w:val="0032489B"/>
    <w:rsid w:val="0032525B"/>
    <w:rsid w:val="00326A7A"/>
    <w:rsid w:val="00326FEE"/>
    <w:rsid w:val="003315D7"/>
    <w:rsid w:val="00334DE6"/>
    <w:rsid w:val="0033536D"/>
    <w:rsid w:val="003353FF"/>
    <w:rsid w:val="003366D2"/>
    <w:rsid w:val="00337C79"/>
    <w:rsid w:val="00337FEF"/>
    <w:rsid w:val="0034084C"/>
    <w:rsid w:val="00340D5E"/>
    <w:rsid w:val="003420B5"/>
    <w:rsid w:val="00343646"/>
    <w:rsid w:val="00344CCB"/>
    <w:rsid w:val="00345897"/>
    <w:rsid w:val="00351BFC"/>
    <w:rsid w:val="0035575E"/>
    <w:rsid w:val="003565B4"/>
    <w:rsid w:val="00362E75"/>
    <w:rsid w:val="003631AA"/>
    <w:rsid w:val="003632D5"/>
    <w:rsid w:val="00363575"/>
    <w:rsid w:val="00364EF9"/>
    <w:rsid w:val="00367579"/>
    <w:rsid w:val="0036795B"/>
    <w:rsid w:val="00370973"/>
    <w:rsid w:val="00370A29"/>
    <w:rsid w:val="003722F9"/>
    <w:rsid w:val="00372349"/>
    <w:rsid w:val="003724F1"/>
    <w:rsid w:val="00372CBC"/>
    <w:rsid w:val="00373A61"/>
    <w:rsid w:val="00374BDE"/>
    <w:rsid w:val="00376B39"/>
    <w:rsid w:val="003772C0"/>
    <w:rsid w:val="00377BAC"/>
    <w:rsid w:val="00380142"/>
    <w:rsid w:val="00380558"/>
    <w:rsid w:val="00381D3C"/>
    <w:rsid w:val="0038223E"/>
    <w:rsid w:val="00382D92"/>
    <w:rsid w:val="00385AEF"/>
    <w:rsid w:val="003860EA"/>
    <w:rsid w:val="0038781A"/>
    <w:rsid w:val="0039080B"/>
    <w:rsid w:val="0039326E"/>
    <w:rsid w:val="00394E22"/>
    <w:rsid w:val="003967A4"/>
    <w:rsid w:val="00397FA3"/>
    <w:rsid w:val="003A1596"/>
    <w:rsid w:val="003A317E"/>
    <w:rsid w:val="003A345B"/>
    <w:rsid w:val="003A49EE"/>
    <w:rsid w:val="003A674D"/>
    <w:rsid w:val="003A7123"/>
    <w:rsid w:val="003B102E"/>
    <w:rsid w:val="003B2167"/>
    <w:rsid w:val="003B3A49"/>
    <w:rsid w:val="003B5F5D"/>
    <w:rsid w:val="003B62C8"/>
    <w:rsid w:val="003C0C62"/>
    <w:rsid w:val="003C12DC"/>
    <w:rsid w:val="003C2CDA"/>
    <w:rsid w:val="003D000A"/>
    <w:rsid w:val="003D31E9"/>
    <w:rsid w:val="003D5185"/>
    <w:rsid w:val="003D544E"/>
    <w:rsid w:val="003D5980"/>
    <w:rsid w:val="003E0842"/>
    <w:rsid w:val="003E13B0"/>
    <w:rsid w:val="003E24CD"/>
    <w:rsid w:val="003E2580"/>
    <w:rsid w:val="003E3DEE"/>
    <w:rsid w:val="003E3EBB"/>
    <w:rsid w:val="003E4A4C"/>
    <w:rsid w:val="003E4CBA"/>
    <w:rsid w:val="003E4D2F"/>
    <w:rsid w:val="003E4EDC"/>
    <w:rsid w:val="003E599D"/>
    <w:rsid w:val="003E5C81"/>
    <w:rsid w:val="003E6965"/>
    <w:rsid w:val="003F00E8"/>
    <w:rsid w:val="003F1936"/>
    <w:rsid w:val="003F1BDD"/>
    <w:rsid w:val="003F3BA3"/>
    <w:rsid w:val="003F3BD5"/>
    <w:rsid w:val="003F400E"/>
    <w:rsid w:val="003F6F35"/>
    <w:rsid w:val="003F7768"/>
    <w:rsid w:val="00400E8C"/>
    <w:rsid w:val="004017DC"/>
    <w:rsid w:val="00401B53"/>
    <w:rsid w:val="00402668"/>
    <w:rsid w:val="00404FEC"/>
    <w:rsid w:val="0040534D"/>
    <w:rsid w:val="00405FAD"/>
    <w:rsid w:val="004117AB"/>
    <w:rsid w:val="00412B2F"/>
    <w:rsid w:val="0041403A"/>
    <w:rsid w:val="00415281"/>
    <w:rsid w:val="00415716"/>
    <w:rsid w:val="0041604D"/>
    <w:rsid w:val="00417842"/>
    <w:rsid w:val="00417A6E"/>
    <w:rsid w:val="0042285D"/>
    <w:rsid w:val="00427D2B"/>
    <w:rsid w:val="00430B13"/>
    <w:rsid w:val="00430CE5"/>
    <w:rsid w:val="0043153C"/>
    <w:rsid w:val="00431D0F"/>
    <w:rsid w:val="0043481C"/>
    <w:rsid w:val="00444307"/>
    <w:rsid w:val="0044436F"/>
    <w:rsid w:val="004443EB"/>
    <w:rsid w:val="00444432"/>
    <w:rsid w:val="00444673"/>
    <w:rsid w:val="0044621E"/>
    <w:rsid w:val="00447BF1"/>
    <w:rsid w:val="00450BA4"/>
    <w:rsid w:val="004511FC"/>
    <w:rsid w:val="00456784"/>
    <w:rsid w:val="00456DCA"/>
    <w:rsid w:val="00461140"/>
    <w:rsid w:val="004611DB"/>
    <w:rsid w:val="004658B0"/>
    <w:rsid w:val="0046614B"/>
    <w:rsid w:val="00467FD7"/>
    <w:rsid w:val="00470073"/>
    <w:rsid w:val="004730F8"/>
    <w:rsid w:val="00474353"/>
    <w:rsid w:val="00474555"/>
    <w:rsid w:val="004750F4"/>
    <w:rsid w:val="00476CB1"/>
    <w:rsid w:val="00480A48"/>
    <w:rsid w:val="00482501"/>
    <w:rsid w:val="00482E7D"/>
    <w:rsid w:val="00484395"/>
    <w:rsid w:val="004865FB"/>
    <w:rsid w:val="00486C03"/>
    <w:rsid w:val="0049162B"/>
    <w:rsid w:val="00491AB3"/>
    <w:rsid w:val="00497A33"/>
    <w:rsid w:val="004A0E56"/>
    <w:rsid w:val="004A1112"/>
    <w:rsid w:val="004A1DA0"/>
    <w:rsid w:val="004A1F20"/>
    <w:rsid w:val="004A2393"/>
    <w:rsid w:val="004A3569"/>
    <w:rsid w:val="004A452A"/>
    <w:rsid w:val="004A5F2C"/>
    <w:rsid w:val="004A6E4F"/>
    <w:rsid w:val="004A720D"/>
    <w:rsid w:val="004B00D0"/>
    <w:rsid w:val="004B6084"/>
    <w:rsid w:val="004B7AE0"/>
    <w:rsid w:val="004C0BC4"/>
    <w:rsid w:val="004C0FE4"/>
    <w:rsid w:val="004C260D"/>
    <w:rsid w:val="004C2D47"/>
    <w:rsid w:val="004C4357"/>
    <w:rsid w:val="004C4477"/>
    <w:rsid w:val="004C553E"/>
    <w:rsid w:val="004C5730"/>
    <w:rsid w:val="004C6397"/>
    <w:rsid w:val="004C668F"/>
    <w:rsid w:val="004C682B"/>
    <w:rsid w:val="004D142C"/>
    <w:rsid w:val="004D29F7"/>
    <w:rsid w:val="004D36D8"/>
    <w:rsid w:val="004D4C5C"/>
    <w:rsid w:val="004D5AB0"/>
    <w:rsid w:val="004D5EAE"/>
    <w:rsid w:val="004D5EB4"/>
    <w:rsid w:val="004D603A"/>
    <w:rsid w:val="004D7A0E"/>
    <w:rsid w:val="004E06E7"/>
    <w:rsid w:val="004E0AE3"/>
    <w:rsid w:val="004E20D3"/>
    <w:rsid w:val="004E2C82"/>
    <w:rsid w:val="004E4FAE"/>
    <w:rsid w:val="004E62C7"/>
    <w:rsid w:val="004E68FF"/>
    <w:rsid w:val="004E7A1B"/>
    <w:rsid w:val="004F0500"/>
    <w:rsid w:val="004F0B7F"/>
    <w:rsid w:val="004F1193"/>
    <w:rsid w:val="004F11DC"/>
    <w:rsid w:val="004F2124"/>
    <w:rsid w:val="004F271B"/>
    <w:rsid w:val="004F3A52"/>
    <w:rsid w:val="004F449F"/>
    <w:rsid w:val="004F4E7E"/>
    <w:rsid w:val="004F63AB"/>
    <w:rsid w:val="004F6B76"/>
    <w:rsid w:val="004F6C7C"/>
    <w:rsid w:val="004F7F1A"/>
    <w:rsid w:val="004F7FBB"/>
    <w:rsid w:val="005042B3"/>
    <w:rsid w:val="005045AB"/>
    <w:rsid w:val="00504873"/>
    <w:rsid w:val="00507D43"/>
    <w:rsid w:val="005103F2"/>
    <w:rsid w:val="00510E2C"/>
    <w:rsid w:val="00511FDC"/>
    <w:rsid w:val="005124C6"/>
    <w:rsid w:val="00513EBC"/>
    <w:rsid w:val="00514CE1"/>
    <w:rsid w:val="00517155"/>
    <w:rsid w:val="00517DB3"/>
    <w:rsid w:val="005200DC"/>
    <w:rsid w:val="005200F2"/>
    <w:rsid w:val="0052369D"/>
    <w:rsid w:val="005271DB"/>
    <w:rsid w:val="00530D2F"/>
    <w:rsid w:val="0053487C"/>
    <w:rsid w:val="005356E1"/>
    <w:rsid w:val="00536A8B"/>
    <w:rsid w:val="00540418"/>
    <w:rsid w:val="00541A96"/>
    <w:rsid w:val="00541C6A"/>
    <w:rsid w:val="00542C54"/>
    <w:rsid w:val="00544214"/>
    <w:rsid w:val="00546A43"/>
    <w:rsid w:val="00546C70"/>
    <w:rsid w:val="00547258"/>
    <w:rsid w:val="00550CF0"/>
    <w:rsid w:val="005559FE"/>
    <w:rsid w:val="005560D6"/>
    <w:rsid w:val="00556D07"/>
    <w:rsid w:val="005611F2"/>
    <w:rsid w:val="00561734"/>
    <w:rsid w:val="00561952"/>
    <w:rsid w:val="00564B9A"/>
    <w:rsid w:val="00565694"/>
    <w:rsid w:val="00566DD6"/>
    <w:rsid w:val="005714EF"/>
    <w:rsid w:val="00571CEC"/>
    <w:rsid w:val="00572FCE"/>
    <w:rsid w:val="005750DB"/>
    <w:rsid w:val="005759FC"/>
    <w:rsid w:val="00575B85"/>
    <w:rsid w:val="00576DB9"/>
    <w:rsid w:val="0057738F"/>
    <w:rsid w:val="005805E4"/>
    <w:rsid w:val="0058102C"/>
    <w:rsid w:val="0058202F"/>
    <w:rsid w:val="00584221"/>
    <w:rsid w:val="00584EB6"/>
    <w:rsid w:val="00586B68"/>
    <w:rsid w:val="0058774E"/>
    <w:rsid w:val="005878CF"/>
    <w:rsid w:val="00590CA0"/>
    <w:rsid w:val="005912C0"/>
    <w:rsid w:val="005931FB"/>
    <w:rsid w:val="00595B01"/>
    <w:rsid w:val="00596D98"/>
    <w:rsid w:val="005979A5"/>
    <w:rsid w:val="005A0021"/>
    <w:rsid w:val="005A017B"/>
    <w:rsid w:val="005A2AEC"/>
    <w:rsid w:val="005A412D"/>
    <w:rsid w:val="005A5212"/>
    <w:rsid w:val="005B002D"/>
    <w:rsid w:val="005B0FFF"/>
    <w:rsid w:val="005B19AF"/>
    <w:rsid w:val="005B258C"/>
    <w:rsid w:val="005B61DD"/>
    <w:rsid w:val="005B6735"/>
    <w:rsid w:val="005B7831"/>
    <w:rsid w:val="005C0CD6"/>
    <w:rsid w:val="005C12D9"/>
    <w:rsid w:val="005C2146"/>
    <w:rsid w:val="005C309D"/>
    <w:rsid w:val="005C544B"/>
    <w:rsid w:val="005C5916"/>
    <w:rsid w:val="005C5AEE"/>
    <w:rsid w:val="005C774A"/>
    <w:rsid w:val="005D3734"/>
    <w:rsid w:val="005D4F16"/>
    <w:rsid w:val="005D5A53"/>
    <w:rsid w:val="005D5DA0"/>
    <w:rsid w:val="005D7FBD"/>
    <w:rsid w:val="005E19B4"/>
    <w:rsid w:val="005E1D6B"/>
    <w:rsid w:val="005E227A"/>
    <w:rsid w:val="005E2CF8"/>
    <w:rsid w:val="005E3126"/>
    <w:rsid w:val="005E7075"/>
    <w:rsid w:val="005E75A7"/>
    <w:rsid w:val="005F0658"/>
    <w:rsid w:val="005F38E2"/>
    <w:rsid w:val="005F3EE6"/>
    <w:rsid w:val="005F6736"/>
    <w:rsid w:val="00602C10"/>
    <w:rsid w:val="00602EBD"/>
    <w:rsid w:val="00604CF2"/>
    <w:rsid w:val="00606DFF"/>
    <w:rsid w:val="00606FB7"/>
    <w:rsid w:val="00610533"/>
    <w:rsid w:val="006110F6"/>
    <w:rsid w:val="00611FA1"/>
    <w:rsid w:val="00612522"/>
    <w:rsid w:val="00612DA6"/>
    <w:rsid w:val="0061365B"/>
    <w:rsid w:val="006138B6"/>
    <w:rsid w:val="00614BC6"/>
    <w:rsid w:val="00614E33"/>
    <w:rsid w:val="006158B8"/>
    <w:rsid w:val="0061706D"/>
    <w:rsid w:val="006173DA"/>
    <w:rsid w:val="00617EF9"/>
    <w:rsid w:val="00620295"/>
    <w:rsid w:val="00622F8E"/>
    <w:rsid w:val="00626AC8"/>
    <w:rsid w:val="00627912"/>
    <w:rsid w:val="0063195F"/>
    <w:rsid w:val="00631C61"/>
    <w:rsid w:val="00636C0A"/>
    <w:rsid w:val="00637E55"/>
    <w:rsid w:val="00637EC6"/>
    <w:rsid w:val="00641683"/>
    <w:rsid w:val="0064240C"/>
    <w:rsid w:val="00642FF5"/>
    <w:rsid w:val="006430FB"/>
    <w:rsid w:val="00643992"/>
    <w:rsid w:val="00644DBC"/>
    <w:rsid w:val="00646FE6"/>
    <w:rsid w:val="006474CD"/>
    <w:rsid w:val="00647744"/>
    <w:rsid w:val="006479A0"/>
    <w:rsid w:val="006500D9"/>
    <w:rsid w:val="00652812"/>
    <w:rsid w:val="00652A3E"/>
    <w:rsid w:val="00653B54"/>
    <w:rsid w:val="006541A3"/>
    <w:rsid w:val="00654FAD"/>
    <w:rsid w:val="00655C9F"/>
    <w:rsid w:val="006567FF"/>
    <w:rsid w:val="00656867"/>
    <w:rsid w:val="0066109F"/>
    <w:rsid w:val="00664B26"/>
    <w:rsid w:val="0066596B"/>
    <w:rsid w:val="00670295"/>
    <w:rsid w:val="006704F5"/>
    <w:rsid w:val="00672894"/>
    <w:rsid w:val="00674B47"/>
    <w:rsid w:val="0067609E"/>
    <w:rsid w:val="00677749"/>
    <w:rsid w:val="00680E07"/>
    <w:rsid w:val="00682B9D"/>
    <w:rsid w:val="00683806"/>
    <w:rsid w:val="00686AF9"/>
    <w:rsid w:val="006910C0"/>
    <w:rsid w:val="00691954"/>
    <w:rsid w:val="0069320E"/>
    <w:rsid w:val="00693D13"/>
    <w:rsid w:val="00694F58"/>
    <w:rsid w:val="006955BC"/>
    <w:rsid w:val="006959E2"/>
    <w:rsid w:val="00696920"/>
    <w:rsid w:val="00697EB9"/>
    <w:rsid w:val="006A20D4"/>
    <w:rsid w:val="006A268D"/>
    <w:rsid w:val="006A350F"/>
    <w:rsid w:val="006A3957"/>
    <w:rsid w:val="006A39A4"/>
    <w:rsid w:val="006A41D6"/>
    <w:rsid w:val="006A669D"/>
    <w:rsid w:val="006A6E41"/>
    <w:rsid w:val="006B012F"/>
    <w:rsid w:val="006B27CF"/>
    <w:rsid w:val="006B41BD"/>
    <w:rsid w:val="006B5678"/>
    <w:rsid w:val="006B62B2"/>
    <w:rsid w:val="006C1C57"/>
    <w:rsid w:val="006C5760"/>
    <w:rsid w:val="006C6D6F"/>
    <w:rsid w:val="006D0D78"/>
    <w:rsid w:val="006D1128"/>
    <w:rsid w:val="006D2848"/>
    <w:rsid w:val="006D30E0"/>
    <w:rsid w:val="006D5521"/>
    <w:rsid w:val="006D5FE9"/>
    <w:rsid w:val="006D6CBB"/>
    <w:rsid w:val="006D76A9"/>
    <w:rsid w:val="006D77F4"/>
    <w:rsid w:val="006E0898"/>
    <w:rsid w:val="006E41CD"/>
    <w:rsid w:val="006E7C0E"/>
    <w:rsid w:val="006F0EAC"/>
    <w:rsid w:val="006F2CAF"/>
    <w:rsid w:val="006F3BEC"/>
    <w:rsid w:val="00703C00"/>
    <w:rsid w:val="007057CC"/>
    <w:rsid w:val="007066F2"/>
    <w:rsid w:val="00706AE5"/>
    <w:rsid w:val="0070740A"/>
    <w:rsid w:val="00707CAD"/>
    <w:rsid w:val="00711F93"/>
    <w:rsid w:val="00712940"/>
    <w:rsid w:val="0071428C"/>
    <w:rsid w:val="00715A16"/>
    <w:rsid w:val="007164B0"/>
    <w:rsid w:val="007166FF"/>
    <w:rsid w:val="007260CC"/>
    <w:rsid w:val="00726543"/>
    <w:rsid w:val="0073353E"/>
    <w:rsid w:val="00736633"/>
    <w:rsid w:val="0074069B"/>
    <w:rsid w:val="00741EE7"/>
    <w:rsid w:val="00743A79"/>
    <w:rsid w:val="007444D4"/>
    <w:rsid w:val="0074594D"/>
    <w:rsid w:val="007459F3"/>
    <w:rsid w:val="00746E35"/>
    <w:rsid w:val="007470E2"/>
    <w:rsid w:val="0075232F"/>
    <w:rsid w:val="00753132"/>
    <w:rsid w:val="007550B3"/>
    <w:rsid w:val="0075621A"/>
    <w:rsid w:val="00760451"/>
    <w:rsid w:val="007622D0"/>
    <w:rsid w:val="0077182A"/>
    <w:rsid w:val="00771913"/>
    <w:rsid w:val="00772718"/>
    <w:rsid w:val="00775BCF"/>
    <w:rsid w:val="007818AA"/>
    <w:rsid w:val="00783140"/>
    <w:rsid w:val="007838B6"/>
    <w:rsid w:val="00783E77"/>
    <w:rsid w:val="007906F1"/>
    <w:rsid w:val="0079243D"/>
    <w:rsid w:val="00794A9B"/>
    <w:rsid w:val="00794F23"/>
    <w:rsid w:val="0079583B"/>
    <w:rsid w:val="00796602"/>
    <w:rsid w:val="00796F65"/>
    <w:rsid w:val="00797185"/>
    <w:rsid w:val="007976B7"/>
    <w:rsid w:val="00797A7E"/>
    <w:rsid w:val="00797D6F"/>
    <w:rsid w:val="007B014B"/>
    <w:rsid w:val="007B0D88"/>
    <w:rsid w:val="007B1528"/>
    <w:rsid w:val="007B306F"/>
    <w:rsid w:val="007B4608"/>
    <w:rsid w:val="007B4714"/>
    <w:rsid w:val="007B4E82"/>
    <w:rsid w:val="007C1996"/>
    <w:rsid w:val="007C3773"/>
    <w:rsid w:val="007C3F1F"/>
    <w:rsid w:val="007C7C29"/>
    <w:rsid w:val="007D0125"/>
    <w:rsid w:val="007D2D0D"/>
    <w:rsid w:val="007D3325"/>
    <w:rsid w:val="007D3818"/>
    <w:rsid w:val="007D6DC5"/>
    <w:rsid w:val="007D7425"/>
    <w:rsid w:val="007E320E"/>
    <w:rsid w:val="007E3280"/>
    <w:rsid w:val="007E4A02"/>
    <w:rsid w:val="007E595C"/>
    <w:rsid w:val="007E59A5"/>
    <w:rsid w:val="007F366D"/>
    <w:rsid w:val="007F3B8C"/>
    <w:rsid w:val="007F41D0"/>
    <w:rsid w:val="007F4B8B"/>
    <w:rsid w:val="007F5957"/>
    <w:rsid w:val="007F70B6"/>
    <w:rsid w:val="007F74CA"/>
    <w:rsid w:val="00800F1E"/>
    <w:rsid w:val="0080195A"/>
    <w:rsid w:val="0080239C"/>
    <w:rsid w:val="00802841"/>
    <w:rsid w:val="008037D5"/>
    <w:rsid w:val="00804C88"/>
    <w:rsid w:val="00805447"/>
    <w:rsid w:val="008054FA"/>
    <w:rsid w:val="0080717A"/>
    <w:rsid w:val="00807DFA"/>
    <w:rsid w:val="0081009F"/>
    <w:rsid w:val="00810152"/>
    <w:rsid w:val="008115AB"/>
    <w:rsid w:val="00812D2C"/>
    <w:rsid w:val="008159F4"/>
    <w:rsid w:val="008167C1"/>
    <w:rsid w:val="008167C6"/>
    <w:rsid w:val="00816B8F"/>
    <w:rsid w:val="00820331"/>
    <w:rsid w:val="00820BF5"/>
    <w:rsid w:val="008212B1"/>
    <w:rsid w:val="0082155A"/>
    <w:rsid w:val="0082209F"/>
    <w:rsid w:val="008223C2"/>
    <w:rsid w:val="008250A2"/>
    <w:rsid w:val="00825D64"/>
    <w:rsid w:val="0082650B"/>
    <w:rsid w:val="008301CE"/>
    <w:rsid w:val="008312E3"/>
    <w:rsid w:val="00831D5B"/>
    <w:rsid w:val="00832DD6"/>
    <w:rsid w:val="00832F0C"/>
    <w:rsid w:val="008336F2"/>
    <w:rsid w:val="008345D9"/>
    <w:rsid w:val="008347CB"/>
    <w:rsid w:val="00835647"/>
    <w:rsid w:val="00837A2E"/>
    <w:rsid w:val="00841558"/>
    <w:rsid w:val="00842A68"/>
    <w:rsid w:val="008435BA"/>
    <w:rsid w:val="0084558B"/>
    <w:rsid w:val="0084654A"/>
    <w:rsid w:val="00847654"/>
    <w:rsid w:val="00847682"/>
    <w:rsid w:val="00851064"/>
    <w:rsid w:val="00855543"/>
    <w:rsid w:val="008566B3"/>
    <w:rsid w:val="008576B7"/>
    <w:rsid w:val="00857F7B"/>
    <w:rsid w:val="0086118D"/>
    <w:rsid w:val="008635BE"/>
    <w:rsid w:val="00863DA1"/>
    <w:rsid w:val="008654A6"/>
    <w:rsid w:val="00865D86"/>
    <w:rsid w:val="00870495"/>
    <w:rsid w:val="00870EA1"/>
    <w:rsid w:val="008710C5"/>
    <w:rsid w:val="00874438"/>
    <w:rsid w:val="00874E75"/>
    <w:rsid w:val="008767F3"/>
    <w:rsid w:val="00876CEF"/>
    <w:rsid w:val="00877342"/>
    <w:rsid w:val="008803C3"/>
    <w:rsid w:val="00881450"/>
    <w:rsid w:val="008817C7"/>
    <w:rsid w:val="00881875"/>
    <w:rsid w:val="008848A3"/>
    <w:rsid w:val="00884AF1"/>
    <w:rsid w:val="00885F7A"/>
    <w:rsid w:val="00890712"/>
    <w:rsid w:val="00890D81"/>
    <w:rsid w:val="00892955"/>
    <w:rsid w:val="00893628"/>
    <w:rsid w:val="008941EB"/>
    <w:rsid w:val="0089545A"/>
    <w:rsid w:val="00895A02"/>
    <w:rsid w:val="008A01EE"/>
    <w:rsid w:val="008A0DAC"/>
    <w:rsid w:val="008A3B78"/>
    <w:rsid w:val="008A4166"/>
    <w:rsid w:val="008A7DBF"/>
    <w:rsid w:val="008B136C"/>
    <w:rsid w:val="008B55EF"/>
    <w:rsid w:val="008B6910"/>
    <w:rsid w:val="008C0B5C"/>
    <w:rsid w:val="008C1343"/>
    <w:rsid w:val="008C3912"/>
    <w:rsid w:val="008C5598"/>
    <w:rsid w:val="008C69EA"/>
    <w:rsid w:val="008C6F8B"/>
    <w:rsid w:val="008C7AB7"/>
    <w:rsid w:val="008C7FB4"/>
    <w:rsid w:val="008D2C8C"/>
    <w:rsid w:val="008D3040"/>
    <w:rsid w:val="008D3ECD"/>
    <w:rsid w:val="008D5C03"/>
    <w:rsid w:val="008D7580"/>
    <w:rsid w:val="008D7C35"/>
    <w:rsid w:val="008E5698"/>
    <w:rsid w:val="008E5733"/>
    <w:rsid w:val="008E77D2"/>
    <w:rsid w:val="008E78FD"/>
    <w:rsid w:val="008F199D"/>
    <w:rsid w:val="008F38A0"/>
    <w:rsid w:val="008F39C9"/>
    <w:rsid w:val="008F5EB5"/>
    <w:rsid w:val="008F678C"/>
    <w:rsid w:val="008F75A7"/>
    <w:rsid w:val="008F7E5A"/>
    <w:rsid w:val="00900A7F"/>
    <w:rsid w:val="009036EE"/>
    <w:rsid w:val="00905815"/>
    <w:rsid w:val="00905D1D"/>
    <w:rsid w:val="0091016D"/>
    <w:rsid w:val="00910C98"/>
    <w:rsid w:val="00911910"/>
    <w:rsid w:val="00912A58"/>
    <w:rsid w:val="00913908"/>
    <w:rsid w:val="00913D26"/>
    <w:rsid w:val="0091438B"/>
    <w:rsid w:val="009147E3"/>
    <w:rsid w:val="00920FD2"/>
    <w:rsid w:val="00923A43"/>
    <w:rsid w:val="0092439C"/>
    <w:rsid w:val="0092498E"/>
    <w:rsid w:val="00925B91"/>
    <w:rsid w:val="00934461"/>
    <w:rsid w:val="00934F7E"/>
    <w:rsid w:val="00936A1C"/>
    <w:rsid w:val="00942B9D"/>
    <w:rsid w:val="00942CCD"/>
    <w:rsid w:val="00943E35"/>
    <w:rsid w:val="00945278"/>
    <w:rsid w:val="0094658D"/>
    <w:rsid w:val="00947678"/>
    <w:rsid w:val="00947878"/>
    <w:rsid w:val="009504C2"/>
    <w:rsid w:val="0095254A"/>
    <w:rsid w:val="0095273B"/>
    <w:rsid w:val="009559E1"/>
    <w:rsid w:val="009568D5"/>
    <w:rsid w:val="00957CD3"/>
    <w:rsid w:val="00961820"/>
    <w:rsid w:val="0096269B"/>
    <w:rsid w:val="00963FB0"/>
    <w:rsid w:val="00964C86"/>
    <w:rsid w:val="00965E82"/>
    <w:rsid w:val="009664BB"/>
    <w:rsid w:val="009669F8"/>
    <w:rsid w:val="00966F89"/>
    <w:rsid w:val="009706D5"/>
    <w:rsid w:val="00973B5D"/>
    <w:rsid w:val="0097755E"/>
    <w:rsid w:val="00981467"/>
    <w:rsid w:val="00981C24"/>
    <w:rsid w:val="009852F6"/>
    <w:rsid w:val="00985DE5"/>
    <w:rsid w:val="00986254"/>
    <w:rsid w:val="0098729E"/>
    <w:rsid w:val="00990067"/>
    <w:rsid w:val="00992977"/>
    <w:rsid w:val="009937D4"/>
    <w:rsid w:val="00993C78"/>
    <w:rsid w:val="009948C7"/>
    <w:rsid w:val="009951FF"/>
    <w:rsid w:val="00995850"/>
    <w:rsid w:val="0099796C"/>
    <w:rsid w:val="009A0B15"/>
    <w:rsid w:val="009A194E"/>
    <w:rsid w:val="009A1EA2"/>
    <w:rsid w:val="009A209E"/>
    <w:rsid w:val="009A3FD7"/>
    <w:rsid w:val="009A6652"/>
    <w:rsid w:val="009A74FD"/>
    <w:rsid w:val="009B25D8"/>
    <w:rsid w:val="009B2FEA"/>
    <w:rsid w:val="009B42E3"/>
    <w:rsid w:val="009B5859"/>
    <w:rsid w:val="009C3EC8"/>
    <w:rsid w:val="009C6D07"/>
    <w:rsid w:val="009C7CEC"/>
    <w:rsid w:val="009D154D"/>
    <w:rsid w:val="009D18EF"/>
    <w:rsid w:val="009D3BE8"/>
    <w:rsid w:val="009D44AA"/>
    <w:rsid w:val="009D44E0"/>
    <w:rsid w:val="009D573B"/>
    <w:rsid w:val="009D59A0"/>
    <w:rsid w:val="009D716A"/>
    <w:rsid w:val="009E1AC4"/>
    <w:rsid w:val="009E20B8"/>
    <w:rsid w:val="009E29A0"/>
    <w:rsid w:val="009E41B5"/>
    <w:rsid w:val="009E55D7"/>
    <w:rsid w:val="009E627C"/>
    <w:rsid w:val="009F110B"/>
    <w:rsid w:val="009F1498"/>
    <w:rsid w:val="009F1E9F"/>
    <w:rsid w:val="009F3793"/>
    <w:rsid w:val="009F54F2"/>
    <w:rsid w:val="00A0056B"/>
    <w:rsid w:val="00A01657"/>
    <w:rsid w:val="00A01C65"/>
    <w:rsid w:val="00A0213D"/>
    <w:rsid w:val="00A04C73"/>
    <w:rsid w:val="00A0679A"/>
    <w:rsid w:val="00A07A2B"/>
    <w:rsid w:val="00A12375"/>
    <w:rsid w:val="00A125B8"/>
    <w:rsid w:val="00A13124"/>
    <w:rsid w:val="00A15370"/>
    <w:rsid w:val="00A156AB"/>
    <w:rsid w:val="00A16B8D"/>
    <w:rsid w:val="00A21293"/>
    <w:rsid w:val="00A2134B"/>
    <w:rsid w:val="00A21623"/>
    <w:rsid w:val="00A220EB"/>
    <w:rsid w:val="00A22302"/>
    <w:rsid w:val="00A25F1B"/>
    <w:rsid w:val="00A325F3"/>
    <w:rsid w:val="00A33103"/>
    <w:rsid w:val="00A33294"/>
    <w:rsid w:val="00A35DCB"/>
    <w:rsid w:val="00A3690E"/>
    <w:rsid w:val="00A37751"/>
    <w:rsid w:val="00A406B1"/>
    <w:rsid w:val="00A4113E"/>
    <w:rsid w:val="00A42435"/>
    <w:rsid w:val="00A438BA"/>
    <w:rsid w:val="00A446FD"/>
    <w:rsid w:val="00A46F46"/>
    <w:rsid w:val="00A52CB6"/>
    <w:rsid w:val="00A52F99"/>
    <w:rsid w:val="00A538BB"/>
    <w:rsid w:val="00A54164"/>
    <w:rsid w:val="00A56737"/>
    <w:rsid w:val="00A60002"/>
    <w:rsid w:val="00A603D8"/>
    <w:rsid w:val="00A60AE2"/>
    <w:rsid w:val="00A61834"/>
    <w:rsid w:val="00A618B0"/>
    <w:rsid w:val="00A62790"/>
    <w:rsid w:val="00A6291F"/>
    <w:rsid w:val="00A63F53"/>
    <w:rsid w:val="00A6409C"/>
    <w:rsid w:val="00A7111E"/>
    <w:rsid w:val="00A755B6"/>
    <w:rsid w:val="00A75B1A"/>
    <w:rsid w:val="00A80ED4"/>
    <w:rsid w:val="00A816C4"/>
    <w:rsid w:val="00A81DC0"/>
    <w:rsid w:val="00A82981"/>
    <w:rsid w:val="00A86F10"/>
    <w:rsid w:val="00A87AF2"/>
    <w:rsid w:val="00A90B23"/>
    <w:rsid w:val="00A93193"/>
    <w:rsid w:val="00A93C2B"/>
    <w:rsid w:val="00A94556"/>
    <w:rsid w:val="00A96D49"/>
    <w:rsid w:val="00A974CB"/>
    <w:rsid w:val="00A977F7"/>
    <w:rsid w:val="00AA1EAC"/>
    <w:rsid w:val="00AA45E2"/>
    <w:rsid w:val="00AA7AC1"/>
    <w:rsid w:val="00AB4488"/>
    <w:rsid w:val="00AB602F"/>
    <w:rsid w:val="00AB6327"/>
    <w:rsid w:val="00AB6B8F"/>
    <w:rsid w:val="00AC0C65"/>
    <w:rsid w:val="00AC0FB2"/>
    <w:rsid w:val="00AC3721"/>
    <w:rsid w:val="00AC41C6"/>
    <w:rsid w:val="00AC70C7"/>
    <w:rsid w:val="00AC76B7"/>
    <w:rsid w:val="00AD0223"/>
    <w:rsid w:val="00AD0A53"/>
    <w:rsid w:val="00AD123A"/>
    <w:rsid w:val="00AD15FF"/>
    <w:rsid w:val="00AD1AA5"/>
    <w:rsid w:val="00AD2920"/>
    <w:rsid w:val="00AD2CD5"/>
    <w:rsid w:val="00AD2DFC"/>
    <w:rsid w:val="00AD3366"/>
    <w:rsid w:val="00AD38C4"/>
    <w:rsid w:val="00AD5A4A"/>
    <w:rsid w:val="00AD60EE"/>
    <w:rsid w:val="00AD6A2B"/>
    <w:rsid w:val="00AD73D4"/>
    <w:rsid w:val="00AE1EA2"/>
    <w:rsid w:val="00AE2874"/>
    <w:rsid w:val="00AE2BA2"/>
    <w:rsid w:val="00AE2F98"/>
    <w:rsid w:val="00AE3602"/>
    <w:rsid w:val="00AE4DEB"/>
    <w:rsid w:val="00AE5342"/>
    <w:rsid w:val="00AE5987"/>
    <w:rsid w:val="00AE6472"/>
    <w:rsid w:val="00AE6F20"/>
    <w:rsid w:val="00AF0B80"/>
    <w:rsid w:val="00AF1345"/>
    <w:rsid w:val="00AF299A"/>
    <w:rsid w:val="00AF38A8"/>
    <w:rsid w:val="00AF63EB"/>
    <w:rsid w:val="00B016D2"/>
    <w:rsid w:val="00B018EC"/>
    <w:rsid w:val="00B060C7"/>
    <w:rsid w:val="00B11AB7"/>
    <w:rsid w:val="00B12213"/>
    <w:rsid w:val="00B13710"/>
    <w:rsid w:val="00B22881"/>
    <w:rsid w:val="00B23EFC"/>
    <w:rsid w:val="00B24B72"/>
    <w:rsid w:val="00B25DB8"/>
    <w:rsid w:val="00B2656C"/>
    <w:rsid w:val="00B266E6"/>
    <w:rsid w:val="00B27B67"/>
    <w:rsid w:val="00B3094D"/>
    <w:rsid w:val="00B30B04"/>
    <w:rsid w:val="00B311BC"/>
    <w:rsid w:val="00B31810"/>
    <w:rsid w:val="00B31C10"/>
    <w:rsid w:val="00B3446D"/>
    <w:rsid w:val="00B34652"/>
    <w:rsid w:val="00B34F89"/>
    <w:rsid w:val="00B358C8"/>
    <w:rsid w:val="00B36185"/>
    <w:rsid w:val="00B3662F"/>
    <w:rsid w:val="00B373CD"/>
    <w:rsid w:val="00B377C8"/>
    <w:rsid w:val="00B400B8"/>
    <w:rsid w:val="00B404DE"/>
    <w:rsid w:val="00B40765"/>
    <w:rsid w:val="00B4232D"/>
    <w:rsid w:val="00B42682"/>
    <w:rsid w:val="00B43065"/>
    <w:rsid w:val="00B44784"/>
    <w:rsid w:val="00B449D0"/>
    <w:rsid w:val="00B456AB"/>
    <w:rsid w:val="00B46C2A"/>
    <w:rsid w:val="00B47E8B"/>
    <w:rsid w:val="00B51C67"/>
    <w:rsid w:val="00B53F86"/>
    <w:rsid w:val="00B53FDC"/>
    <w:rsid w:val="00B55431"/>
    <w:rsid w:val="00B55CAE"/>
    <w:rsid w:val="00B5601E"/>
    <w:rsid w:val="00B576C6"/>
    <w:rsid w:val="00B615F2"/>
    <w:rsid w:val="00B61A28"/>
    <w:rsid w:val="00B65C6D"/>
    <w:rsid w:val="00B66B06"/>
    <w:rsid w:val="00B67862"/>
    <w:rsid w:val="00B70634"/>
    <w:rsid w:val="00B70BE4"/>
    <w:rsid w:val="00B73880"/>
    <w:rsid w:val="00B73CF1"/>
    <w:rsid w:val="00B745B3"/>
    <w:rsid w:val="00B7599D"/>
    <w:rsid w:val="00B7648F"/>
    <w:rsid w:val="00B76E13"/>
    <w:rsid w:val="00B771EE"/>
    <w:rsid w:val="00B7765B"/>
    <w:rsid w:val="00B77B4B"/>
    <w:rsid w:val="00B80ABC"/>
    <w:rsid w:val="00B814C2"/>
    <w:rsid w:val="00B87790"/>
    <w:rsid w:val="00B900FE"/>
    <w:rsid w:val="00B9064C"/>
    <w:rsid w:val="00BA0A14"/>
    <w:rsid w:val="00BA228D"/>
    <w:rsid w:val="00BA398D"/>
    <w:rsid w:val="00BA39D3"/>
    <w:rsid w:val="00BA4FB4"/>
    <w:rsid w:val="00BA5C56"/>
    <w:rsid w:val="00BA776F"/>
    <w:rsid w:val="00BB0A28"/>
    <w:rsid w:val="00BB0C0D"/>
    <w:rsid w:val="00BB0D69"/>
    <w:rsid w:val="00BB366E"/>
    <w:rsid w:val="00BB3AF0"/>
    <w:rsid w:val="00BB4F70"/>
    <w:rsid w:val="00BB67FF"/>
    <w:rsid w:val="00BC11B9"/>
    <w:rsid w:val="00BC138C"/>
    <w:rsid w:val="00BC14CF"/>
    <w:rsid w:val="00BC1659"/>
    <w:rsid w:val="00BC2C91"/>
    <w:rsid w:val="00BC3A9C"/>
    <w:rsid w:val="00BC5288"/>
    <w:rsid w:val="00BC6259"/>
    <w:rsid w:val="00BC6A71"/>
    <w:rsid w:val="00BC6B2F"/>
    <w:rsid w:val="00BD0637"/>
    <w:rsid w:val="00BD08A8"/>
    <w:rsid w:val="00BD1BAC"/>
    <w:rsid w:val="00BD1FA8"/>
    <w:rsid w:val="00BD25A6"/>
    <w:rsid w:val="00BD4C95"/>
    <w:rsid w:val="00BD65FC"/>
    <w:rsid w:val="00BD7660"/>
    <w:rsid w:val="00BE0666"/>
    <w:rsid w:val="00BE24B9"/>
    <w:rsid w:val="00BE2AE8"/>
    <w:rsid w:val="00BE2D55"/>
    <w:rsid w:val="00BE38DD"/>
    <w:rsid w:val="00BE4AB1"/>
    <w:rsid w:val="00BF16C3"/>
    <w:rsid w:val="00BF38E0"/>
    <w:rsid w:val="00BF44FA"/>
    <w:rsid w:val="00BF57E1"/>
    <w:rsid w:val="00C003B4"/>
    <w:rsid w:val="00C00A5F"/>
    <w:rsid w:val="00C042E0"/>
    <w:rsid w:val="00C051D9"/>
    <w:rsid w:val="00C05AB6"/>
    <w:rsid w:val="00C06333"/>
    <w:rsid w:val="00C06F68"/>
    <w:rsid w:val="00C075BA"/>
    <w:rsid w:val="00C10A3A"/>
    <w:rsid w:val="00C11E20"/>
    <w:rsid w:val="00C15D16"/>
    <w:rsid w:val="00C20015"/>
    <w:rsid w:val="00C247DD"/>
    <w:rsid w:val="00C25B43"/>
    <w:rsid w:val="00C267C1"/>
    <w:rsid w:val="00C26A54"/>
    <w:rsid w:val="00C3261C"/>
    <w:rsid w:val="00C3318B"/>
    <w:rsid w:val="00C33C20"/>
    <w:rsid w:val="00C35362"/>
    <w:rsid w:val="00C357EA"/>
    <w:rsid w:val="00C379F8"/>
    <w:rsid w:val="00C37A1C"/>
    <w:rsid w:val="00C400A0"/>
    <w:rsid w:val="00C42323"/>
    <w:rsid w:val="00C4316E"/>
    <w:rsid w:val="00C453A9"/>
    <w:rsid w:val="00C465D5"/>
    <w:rsid w:val="00C4756A"/>
    <w:rsid w:val="00C47C39"/>
    <w:rsid w:val="00C50649"/>
    <w:rsid w:val="00C50E1F"/>
    <w:rsid w:val="00C51630"/>
    <w:rsid w:val="00C51C09"/>
    <w:rsid w:val="00C52BB6"/>
    <w:rsid w:val="00C53471"/>
    <w:rsid w:val="00C55143"/>
    <w:rsid w:val="00C5611B"/>
    <w:rsid w:val="00C5695E"/>
    <w:rsid w:val="00C61528"/>
    <w:rsid w:val="00C63457"/>
    <w:rsid w:val="00C64964"/>
    <w:rsid w:val="00C6631E"/>
    <w:rsid w:val="00C67473"/>
    <w:rsid w:val="00C67AA4"/>
    <w:rsid w:val="00C7148C"/>
    <w:rsid w:val="00C72192"/>
    <w:rsid w:val="00C72E06"/>
    <w:rsid w:val="00C732E5"/>
    <w:rsid w:val="00C73D0B"/>
    <w:rsid w:val="00C75017"/>
    <w:rsid w:val="00C765B4"/>
    <w:rsid w:val="00C813EA"/>
    <w:rsid w:val="00C81496"/>
    <w:rsid w:val="00C82CE6"/>
    <w:rsid w:val="00C82E22"/>
    <w:rsid w:val="00C85144"/>
    <w:rsid w:val="00C8672B"/>
    <w:rsid w:val="00C86738"/>
    <w:rsid w:val="00C86A27"/>
    <w:rsid w:val="00C91517"/>
    <w:rsid w:val="00C929BD"/>
    <w:rsid w:val="00C931A2"/>
    <w:rsid w:val="00CA02E1"/>
    <w:rsid w:val="00CA15DA"/>
    <w:rsid w:val="00CA224E"/>
    <w:rsid w:val="00CA3E1E"/>
    <w:rsid w:val="00CA41C5"/>
    <w:rsid w:val="00CA42B7"/>
    <w:rsid w:val="00CA4A53"/>
    <w:rsid w:val="00CA51F5"/>
    <w:rsid w:val="00CB218A"/>
    <w:rsid w:val="00CB225A"/>
    <w:rsid w:val="00CB69E6"/>
    <w:rsid w:val="00CB761B"/>
    <w:rsid w:val="00CB7E33"/>
    <w:rsid w:val="00CC13DF"/>
    <w:rsid w:val="00CC1EEE"/>
    <w:rsid w:val="00CC562B"/>
    <w:rsid w:val="00CC6C15"/>
    <w:rsid w:val="00CC7FCF"/>
    <w:rsid w:val="00CD2749"/>
    <w:rsid w:val="00CD2A60"/>
    <w:rsid w:val="00CD306F"/>
    <w:rsid w:val="00CD3971"/>
    <w:rsid w:val="00CD3DAB"/>
    <w:rsid w:val="00CE0DF1"/>
    <w:rsid w:val="00CE3786"/>
    <w:rsid w:val="00CE4027"/>
    <w:rsid w:val="00CE47CC"/>
    <w:rsid w:val="00CE68F6"/>
    <w:rsid w:val="00CE7E27"/>
    <w:rsid w:val="00CF22AC"/>
    <w:rsid w:val="00CF2F0A"/>
    <w:rsid w:val="00CF79E8"/>
    <w:rsid w:val="00D015AA"/>
    <w:rsid w:val="00D021B8"/>
    <w:rsid w:val="00D03D90"/>
    <w:rsid w:val="00D04024"/>
    <w:rsid w:val="00D043EB"/>
    <w:rsid w:val="00D06705"/>
    <w:rsid w:val="00D06A9B"/>
    <w:rsid w:val="00D0750D"/>
    <w:rsid w:val="00D07DD8"/>
    <w:rsid w:val="00D1038F"/>
    <w:rsid w:val="00D10BF7"/>
    <w:rsid w:val="00D10FEB"/>
    <w:rsid w:val="00D140A0"/>
    <w:rsid w:val="00D203D1"/>
    <w:rsid w:val="00D2057A"/>
    <w:rsid w:val="00D21D98"/>
    <w:rsid w:val="00D2317F"/>
    <w:rsid w:val="00D231A9"/>
    <w:rsid w:val="00D24391"/>
    <w:rsid w:val="00D2472B"/>
    <w:rsid w:val="00D253DD"/>
    <w:rsid w:val="00D26FFA"/>
    <w:rsid w:val="00D3215D"/>
    <w:rsid w:val="00D33352"/>
    <w:rsid w:val="00D347D9"/>
    <w:rsid w:val="00D35565"/>
    <w:rsid w:val="00D36A19"/>
    <w:rsid w:val="00D40DCF"/>
    <w:rsid w:val="00D41075"/>
    <w:rsid w:val="00D41C76"/>
    <w:rsid w:val="00D41DD8"/>
    <w:rsid w:val="00D4222C"/>
    <w:rsid w:val="00D425CE"/>
    <w:rsid w:val="00D42F40"/>
    <w:rsid w:val="00D4396C"/>
    <w:rsid w:val="00D4446F"/>
    <w:rsid w:val="00D44B55"/>
    <w:rsid w:val="00D45490"/>
    <w:rsid w:val="00D457B8"/>
    <w:rsid w:val="00D457E1"/>
    <w:rsid w:val="00D47BEB"/>
    <w:rsid w:val="00D50487"/>
    <w:rsid w:val="00D50563"/>
    <w:rsid w:val="00D50F50"/>
    <w:rsid w:val="00D5235F"/>
    <w:rsid w:val="00D52F50"/>
    <w:rsid w:val="00D55A98"/>
    <w:rsid w:val="00D56B49"/>
    <w:rsid w:val="00D60525"/>
    <w:rsid w:val="00D6053F"/>
    <w:rsid w:val="00D6073D"/>
    <w:rsid w:val="00D618D6"/>
    <w:rsid w:val="00D62426"/>
    <w:rsid w:val="00D62804"/>
    <w:rsid w:val="00D70F55"/>
    <w:rsid w:val="00D70FA5"/>
    <w:rsid w:val="00D71ED4"/>
    <w:rsid w:val="00D74171"/>
    <w:rsid w:val="00D7474C"/>
    <w:rsid w:val="00D8032C"/>
    <w:rsid w:val="00D80CE2"/>
    <w:rsid w:val="00D81211"/>
    <w:rsid w:val="00D83080"/>
    <w:rsid w:val="00D8353F"/>
    <w:rsid w:val="00D84D5F"/>
    <w:rsid w:val="00D851E2"/>
    <w:rsid w:val="00D87FFA"/>
    <w:rsid w:val="00D91419"/>
    <w:rsid w:val="00D92A09"/>
    <w:rsid w:val="00D92D2A"/>
    <w:rsid w:val="00D92EEC"/>
    <w:rsid w:val="00D93470"/>
    <w:rsid w:val="00D9395F"/>
    <w:rsid w:val="00D93D55"/>
    <w:rsid w:val="00D941FA"/>
    <w:rsid w:val="00D94B59"/>
    <w:rsid w:val="00D95315"/>
    <w:rsid w:val="00D95EAB"/>
    <w:rsid w:val="00DA0B39"/>
    <w:rsid w:val="00DA1203"/>
    <w:rsid w:val="00DA2316"/>
    <w:rsid w:val="00DA25E0"/>
    <w:rsid w:val="00DA2700"/>
    <w:rsid w:val="00DA3001"/>
    <w:rsid w:val="00DA3C5D"/>
    <w:rsid w:val="00DA3EFF"/>
    <w:rsid w:val="00DA7769"/>
    <w:rsid w:val="00DB08C6"/>
    <w:rsid w:val="00DB1BC2"/>
    <w:rsid w:val="00DB1CBB"/>
    <w:rsid w:val="00DB31ED"/>
    <w:rsid w:val="00DB4124"/>
    <w:rsid w:val="00DB4511"/>
    <w:rsid w:val="00DB4F0C"/>
    <w:rsid w:val="00DC0176"/>
    <w:rsid w:val="00DC043F"/>
    <w:rsid w:val="00DC093E"/>
    <w:rsid w:val="00DC0E29"/>
    <w:rsid w:val="00DC0E7A"/>
    <w:rsid w:val="00DC2A65"/>
    <w:rsid w:val="00DC2A86"/>
    <w:rsid w:val="00DC3631"/>
    <w:rsid w:val="00DC37F7"/>
    <w:rsid w:val="00DC6F54"/>
    <w:rsid w:val="00DD0C00"/>
    <w:rsid w:val="00DD0F8C"/>
    <w:rsid w:val="00DD116C"/>
    <w:rsid w:val="00DD23D5"/>
    <w:rsid w:val="00DD2AF1"/>
    <w:rsid w:val="00DD46DA"/>
    <w:rsid w:val="00DD6072"/>
    <w:rsid w:val="00DD62BE"/>
    <w:rsid w:val="00DD77D9"/>
    <w:rsid w:val="00DD7CA4"/>
    <w:rsid w:val="00DE167C"/>
    <w:rsid w:val="00DE3B70"/>
    <w:rsid w:val="00DE5813"/>
    <w:rsid w:val="00DF10B1"/>
    <w:rsid w:val="00DF1FDA"/>
    <w:rsid w:val="00DF3DD0"/>
    <w:rsid w:val="00DF4D50"/>
    <w:rsid w:val="00DF538C"/>
    <w:rsid w:val="00E021C2"/>
    <w:rsid w:val="00E024A3"/>
    <w:rsid w:val="00E0423D"/>
    <w:rsid w:val="00E057B5"/>
    <w:rsid w:val="00E0581E"/>
    <w:rsid w:val="00E079C5"/>
    <w:rsid w:val="00E07CBD"/>
    <w:rsid w:val="00E07F56"/>
    <w:rsid w:val="00E10A16"/>
    <w:rsid w:val="00E1112F"/>
    <w:rsid w:val="00E1318F"/>
    <w:rsid w:val="00E13B3B"/>
    <w:rsid w:val="00E13E29"/>
    <w:rsid w:val="00E16857"/>
    <w:rsid w:val="00E16C3A"/>
    <w:rsid w:val="00E20651"/>
    <w:rsid w:val="00E2107C"/>
    <w:rsid w:val="00E21E70"/>
    <w:rsid w:val="00E224DE"/>
    <w:rsid w:val="00E23DCE"/>
    <w:rsid w:val="00E26363"/>
    <w:rsid w:val="00E272A4"/>
    <w:rsid w:val="00E305F9"/>
    <w:rsid w:val="00E306AC"/>
    <w:rsid w:val="00E34446"/>
    <w:rsid w:val="00E3633B"/>
    <w:rsid w:val="00E36870"/>
    <w:rsid w:val="00E374E1"/>
    <w:rsid w:val="00E417AB"/>
    <w:rsid w:val="00E43D48"/>
    <w:rsid w:val="00E4542D"/>
    <w:rsid w:val="00E45BE0"/>
    <w:rsid w:val="00E46CAD"/>
    <w:rsid w:val="00E47521"/>
    <w:rsid w:val="00E4760C"/>
    <w:rsid w:val="00E507A6"/>
    <w:rsid w:val="00E5375C"/>
    <w:rsid w:val="00E561AD"/>
    <w:rsid w:val="00E57FAF"/>
    <w:rsid w:val="00E60BA9"/>
    <w:rsid w:val="00E62757"/>
    <w:rsid w:val="00E63510"/>
    <w:rsid w:val="00E635EA"/>
    <w:rsid w:val="00E655E5"/>
    <w:rsid w:val="00E65F4E"/>
    <w:rsid w:val="00E662E0"/>
    <w:rsid w:val="00E67D5D"/>
    <w:rsid w:val="00E71C7A"/>
    <w:rsid w:val="00E73119"/>
    <w:rsid w:val="00E73E1E"/>
    <w:rsid w:val="00E767FF"/>
    <w:rsid w:val="00E80D34"/>
    <w:rsid w:val="00E84C91"/>
    <w:rsid w:val="00E84E60"/>
    <w:rsid w:val="00E8556E"/>
    <w:rsid w:val="00E86B2D"/>
    <w:rsid w:val="00E86F4D"/>
    <w:rsid w:val="00E87D08"/>
    <w:rsid w:val="00E90D0E"/>
    <w:rsid w:val="00E91B2D"/>
    <w:rsid w:val="00E92FCA"/>
    <w:rsid w:val="00E95CAA"/>
    <w:rsid w:val="00EA0A39"/>
    <w:rsid w:val="00EA0EB2"/>
    <w:rsid w:val="00EA236F"/>
    <w:rsid w:val="00EA3023"/>
    <w:rsid w:val="00EA3E49"/>
    <w:rsid w:val="00EA3FC8"/>
    <w:rsid w:val="00EA5B8C"/>
    <w:rsid w:val="00EB0DC9"/>
    <w:rsid w:val="00EB1383"/>
    <w:rsid w:val="00EB252D"/>
    <w:rsid w:val="00EB28B1"/>
    <w:rsid w:val="00EB29FA"/>
    <w:rsid w:val="00EB2CCE"/>
    <w:rsid w:val="00EB385F"/>
    <w:rsid w:val="00EB3E49"/>
    <w:rsid w:val="00EB5FC3"/>
    <w:rsid w:val="00EB6DA9"/>
    <w:rsid w:val="00EC1561"/>
    <w:rsid w:val="00EC462E"/>
    <w:rsid w:val="00EC6CD8"/>
    <w:rsid w:val="00EC786F"/>
    <w:rsid w:val="00ED1866"/>
    <w:rsid w:val="00ED3134"/>
    <w:rsid w:val="00ED38E2"/>
    <w:rsid w:val="00ED5C44"/>
    <w:rsid w:val="00ED635B"/>
    <w:rsid w:val="00EE742D"/>
    <w:rsid w:val="00EF0A22"/>
    <w:rsid w:val="00EF1267"/>
    <w:rsid w:val="00EF180C"/>
    <w:rsid w:val="00EF3B6B"/>
    <w:rsid w:val="00EF4B43"/>
    <w:rsid w:val="00EF6750"/>
    <w:rsid w:val="00EF770B"/>
    <w:rsid w:val="00F02836"/>
    <w:rsid w:val="00F02FB5"/>
    <w:rsid w:val="00F0534E"/>
    <w:rsid w:val="00F05C30"/>
    <w:rsid w:val="00F10F1B"/>
    <w:rsid w:val="00F120F7"/>
    <w:rsid w:val="00F14179"/>
    <w:rsid w:val="00F15786"/>
    <w:rsid w:val="00F167C5"/>
    <w:rsid w:val="00F20B5A"/>
    <w:rsid w:val="00F21F0B"/>
    <w:rsid w:val="00F236AB"/>
    <w:rsid w:val="00F24EA4"/>
    <w:rsid w:val="00F27087"/>
    <w:rsid w:val="00F2773C"/>
    <w:rsid w:val="00F300B3"/>
    <w:rsid w:val="00F30DB9"/>
    <w:rsid w:val="00F30FB8"/>
    <w:rsid w:val="00F31D68"/>
    <w:rsid w:val="00F33152"/>
    <w:rsid w:val="00F338F2"/>
    <w:rsid w:val="00F349D3"/>
    <w:rsid w:val="00F3533E"/>
    <w:rsid w:val="00F35B84"/>
    <w:rsid w:val="00F377A5"/>
    <w:rsid w:val="00F402B5"/>
    <w:rsid w:val="00F4072F"/>
    <w:rsid w:val="00F42839"/>
    <w:rsid w:val="00F44CC0"/>
    <w:rsid w:val="00F450BA"/>
    <w:rsid w:val="00F4684B"/>
    <w:rsid w:val="00F46BE9"/>
    <w:rsid w:val="00F47C3B"/>
    <w:rsid w:val="00F506CA"/>
    <w:rsid w:val="00F53A7A"/>
    <w:rsid w:val="00F54FCD"/>
    <w:rsid w:val="00F5785C"/>
    <w:rsid w:val="00F65E3C"/>
    <w:rsid w:val="00F67076"/>
    <w:rsid w:val="00F677FA"/>
    <w:rsid w:val="00F7115A"/>
    <w:rsid w:val="00F717AA"/>
    <w:rsid w:val="00F71C28"/>
    <w:rsid w:val="00F72714"/>
    <w:rsid w:val="00F744C3"/>
    <w:rsid w:val="00F75EE2"/>
    <w:rsid w:val="00F75F69"/>
    <w:rsid w:val="00F76014"/>
    <w:rsid w:val="00F802D3"/>
    <w:rsid w:val="00F80F94"/>
    <w:rsid w:val="00F81BA2"/>
    <w:rsid w:val="00F823A4"/>
    <w:rsid w:val="00F8412F"/>
    <w:rsid w:val="00F84791"/>
    <w:rsid w:val="00F85995"/>
    <w:rsid w:val="00F85FC5"/>
    <w:rsid w:val="00F86C22"/>
    <w:rsid w:val="00F90C09"/>
    <w:rsid w:val="00F90CB3"/>
    <w:rsid w:val="00F912A2"/>
    <w:rsid w:val="00F913A3"/>
    <w:rsid w:val="00F925C3"/>
    <w:rsid w:val="00FA0109"/>
    <w:rsid w:val="00FA458B"/>
    <w:rsid w:val="00FA5EC5"/>
    <w:rsid w:val="00FA7016"/>
    <w:rsid w:val="00FA7174"/>
    <w:rsid w:val="00FA793D"/>
    <w:rsid w:val="00FB020E"/>
    <w:rsid w:val="00FB0F17"/>
    <w:rsid w:val="00FB4B9D"/>
    <w:rsid w:val="00FB50ED"/>
    <w:rsid w:val="00FB6E18"/>
    <w:rsid w:val="00FC144B"/>
    <w:rsid w:val="00FC2169"/>
    <w:rsid w:val="00FC28E2"/>
    <w:rsid w:val="00FC3BF6"/>
    <w:rsid w:val="00FC3D22"/>
    <w:rsid w:val="00FC6FE1"/>
    <w:rsid w:val="00FC763B"/>
    <w:rsid w:val="00FD0C3D"/>
    <w:rsid w:val="00FD2F6B"/>
    <w:rsid w:val="00FD717E"/>
    <w:rsid w:val="00FE064A"/>
    <w:rsid w:val="00FE0B55"/>
    <w:rsid w:val="00FE1E98"/>
    <w:rsid w:val="00FE2452"/>
    <w:rsid w:val="00FE5469"/>
    <w:rsid w:val="00FE66C2"/>
    <w:rsid w:val="00FE684A"/>
    <w:rsid w:val="00FE6F23"/>
    <w:rsid w:val="00FF01A5"/>
    <w:rsid w:val="00FF0423"/>
    <w:rsid w:val="00FF0F8C"/>
    <w:rsid w:val="00FF408B"/>
    <w:rsid w:val="00FF43E1"/>
    <w:rsid w:val="03430854"/>
    <w:rsid w:val="039F5FA6"/>
    <w:rsid w:val="09305ADA"/>
    <w:rsid w:val="0E8013B7"/>
    <w:rsid w:val="10D604C6"/>
    <w:rsid w:val="11B515E0"/>
    <w:rsid w:val="13A53267"/>
    <w:rsid w:val="13F970D2"/>
    <w:rsid w:val="14AA4136"/>
    <w:rsid w:val="163A420B"/>
    <w:rsid w:val="19413B26"/>
    <w:rsid w:val="1C6D3688"/>
    <w:rsid w:val="1CC63D0A"/>
    <w:rsid w:val="1DC2081A"/>
    <w:rsid w:val="1DD94266"/>
    <w:rsid w:val="1F9D0947"/>
    <w:rsid w:val="1FFB29C6"/>
    <w:rsid w:val="22AF3620"/>
    <w:rsid w:val="22E70AD4"/>
    <w:rsid w:val="24F1508D"/>
    <w:rsid w:val="266F634F"/>
    <w:rsid w:val="291059EA"/>
    <w:rsid w:val="2BBF12EC"/>
    <w:rsid w:val="2BC649D9"/>
    <w:rsid w:val="3515160D"/>
    <w:rsid w:val="3A978A3D"/>
    <w:rsid w:val="3C7D00D8"/>
    <w:rsid w:val="3CA06C0C"/>
    <w:rsid w:val="3EA25851"/>
    <w:rsid w:val="3F6C3757"/>
    <w:rsid w:val="405D6A10"/>
    <w:rsid w:val="41DA6594"/>
    <w:rsid w:val="444C1A75"/>
    <w:rsid w:val="44A3526F"/>
    <w:rsid w:val="44B032F4"/>
    <w:rsid w:val="457D25F7"/>
    <w:rsid w:val="468341CD"/>
    <w:rsid w:val="472C2589"/>
    <w:rsid w:val="4A760AEB"/>
    <w:rsid w:val="4F3162CA"/>
    <w:rsid w:val="50D95873"/>
    <w:rsid w:val="526102AF"/>
    <w:rsid w:val="528444DA"/>
    <w:rsid w:val="537745D5"/>
    <w:rsid w:val="552306F6"/>
    <w:rsid w:val="56E352D5"/>
    <w:rsid w:val="57E435FE"/>
    <w:rsid w:val="582D0655"/>
    <w:rsid w:val="5951205C"/>
    <w:rsid w:val="59D079E8"/>
    <w:rsid w:val="59D40847"/>
    <w:rsid w:val="5AE37F25"/>
    <w:rsid w:val="5CB23D47"/>
    <w:rsid w:val="5FAF09C4"/>
    <w:rsid w:val="608C4642"/>
    <w:rsid w:val="62795572"/>
    <w:rsid w:val="64DD6417"/>
    <w:rsid w:val="66004745"/>
    <w:rsid w:val="6A567F20"/>
    <w:rsid w:val="6CD97953"/>
    <w:rsid w:val="6ED30FD7"/>
    <w:rsid w:val="6FFFD9BD"/>
    <w:rsid w:val="727D78FD"/>
    <w:rsid w:val="73BBDC69"/>
    <w:rsid w:val="73CC655F"/>
    <w:rsid w:val="75957445"/>
    <w:rsid w:val="75D01AE1"/>
    <w:rsid w:val="77524363"/>
    <w:rsid w:val="77B917B5"/>
    <w:rsid w:val="78703975"/>
    <w:rsid w:val="7BE420FD"/>
    <w:rsid w:val="7BFF1494"/>
    <w:rsid w:val="7D0D296B"/>
    <w:rsid w:val="7D4E0B54"/>
    <w:rsid w:val="7D503E78"/>
    <w:rsid w:val="7E0160D4"/>
    <w:rsid w:val="7EEDB2D6"/>
    <w:rsid w:val="7EFFD9E9"/>
    <w:rsid w:val="BE774380"/>
    <w:rsid w:val="BFF7CA0F"/>
    <w:rsid w:val="D72EEC61"/>
    <w:rsid w:val="E4DC4303"/>
    <w:rsid w:val="F3F51D74"/>
    <w:rsid w:val="FEF706A6"/>
    <w:rsid w:val="FFD173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2">
    <w:name w:val="heading 1"/>
    <w:basedOn w:val="1"/>
    <w:next w:val="1"/>
    <w:link w:val="75"/>
    <w:qFormat/>
    <w:uiPriority w:val="0"/>
    <w:pPr>
      <w:keepNext/>
      <w:keepLines/>
      <w:numPr>
        <w:ilvl w:val="0"/>
        <w:numId w:val="1"/>
      </w:numPr>
      <w:spacing w:before="120" w:after="120"/>
      <w:ind w:firstLine="0" w:firstLineChars="0"/>
      <w:outlineLvl w:val="0"/>
    </w:pPr>
    <w:rPr>
      <w:rFonts w:eastAsia="黑体"/>
      <w:b/>
      <w:bCs/>
      <w:kern w:val="44"/>
      <w:sz w:val="32"/>
      <w:szCs w:val="28"/>
    </w:rPr>
  </w:style>
  <w:style w:type="paragraph" w:styleId="3">
    <w:name w:val="heading 2"/>
    <w:basedOn w:val="1"/>
    <w:next w:val="1"/>
    <w:link w:val="88"/>
    <w:qFormat/>
    <w:uiPriority w:val="9"/>
    <w:pPr>
      <w:keepNext/>
      <w:keepLines/>
      <w:numPr>
        <w:ilvl w:val="1"/>
        <w:numId w:val="1"/>
      </w:numPr>
      <w:spacing w:before="120" w:after="120"/>
      <w:ind w:firstLine="0" w:firstLineChars="0"/>
      <w:outlineLvl w:val="1"/>
    </w:pPr>
    <w:rPr>
      <w:b/>
      <w:bCs/>
      <w:sz w:val="30"/>
      <w:szCs w:val="32"/>
    </w:rPr>
  </w:style>
  <w:style w:type="paragraph" w:styleId="4">
    <w:name w:val="heading 3"/>
    <w:basedOn w:val="1"/>
    <w:next w:val="1"/>
    <w:link w:val="81"/>
    <w:qFormat/>
    <w:uiPriority w:val="0"/>
    <w:pPr>
      <w:keepNext/>
      <w:keepLines/>
      <w:numPr>
        <w:ilvl w:val="2"/>
        <w:numId w:val="1"/>
      </w:numPr>
      <w:spacing w:before="120" w:after="120"/>
      <w:ind w:firstLine="0" w:firstLineChars="0"/>
      <w:outlineLvl w:val="2"/>
    </w:pPr>
    <w:rPr>
      <w:b/>
      <w:bCs/>
      <w:sz w:val="28"/>
      <w:szCs w:val="28"/>
    </w:rPr>
  </w:style>
  <w:style w:type="paragraph" w:styleId="5">
    <w:name w:val="heading 4"/>
    <w:basedOn w:val="1"/>
    <w:next w:val="1"/>
    <w:link w:val="58"/>
    <w:qFormat/>
    <w:uiPriority w:val="0"/>
    <w:pPr>
      <w:keepNext/>
      <w:keepLines/>
      <w:numPr>
        <w:ilvl w:val="3"/>
        <w:numId w:val="1"/>
      </w:numPr>
      <w:spacing w:before="120" w:after="120"/>
      <w:ind w:left="851" w:firstLine="0" w:firstLineChars="0"/>
      <w:outlineLvl w:val="3"/>
    </w:pPr>
    <w:rPr>
      <w:b/>
      <w:bCs/>
      <w:sz w:val="30"/>
      <w:szCs w:val="30"/>
    </w:rPr>
  </w:style>
  <w:style w:type="paragraph" w:styleId="6">
    <w:name w:val="heading 5"/>
    <w:basedOn w:val="1"/>
    <w:next w:val="1"/>
    <w:link w:val="86"/>
    <w:qFormat/>
    <w:uiPriority w:val="0"/>
    <w:pPr>
      <w:keepNext/>
      <w:keepLines/>
      <w:numPr>
        <w:ilvl w:val="4"/>
        <w:numId w:val="1"/>
      </w:numPr>
      <w:spacing w:before="120" w:after="120"/>
      <w:ind w:left="0" w:firstLine="0" w:firstLineChars="0"/>
      <w:outlineLvl w:val="4"/>
    </w:pPr>
    <w:rPr>
      <w:b/>
      <w:bCs/>
      <w:szCs w:val="28"/>
    </w:rPr>
  </w:style>
  <w:style w:type="paragraph" w:styleId="7">
    <w:name w:val="heading 6"/>
    <w:basedOn w:val="1"/>
    <w:next w:val="1"/>
    <w:link w:val="99"/>
    <w:qFormat/>
    <w:uiPriority w:val="0"/>
    <w:pPr>
      <w:keepNext/>
      <w:keepLines/>
      <w:numPr>
        <w:ilvl w:val="5"/>
        <w:numId w:val="1"/>
      </w:numPr>
      <w:spacing w:before="120" w:after="120"/>
      <w:ind w:firstLine="0" w:firstLineChars="0"/>
      <w:outlineLvl w:val="5"/>
    </w:pPr>
    <w:rPr>
      <w:rFonts w:ascii="Cambria" w:hAnsi="Cambria"/>
      <w:b/>
      <w:bCs/>
    </w:rPr>
  </w:style>
  <w:style w:type="paragraph" w:styleId="8">
    <w:name w:val="heading 7"/>
    <w:basedOn w:val="1"/>
    <w:next w:val="1"/>
    <w:link w:val="72"/>
    <w:qFormat/>
    <w:uiPriority w:val="9"/>
    <w:pPr>
      <w:keepNext/>
      <w:keepLines/>
      <w:spacing w:before="240" w:after="64" w:line="319" w:lineRule="auto"/>
      <w:ind w:firstLine="0" w:firstLineChars="0"/>
      <w:outlineLvl w:val="6"/>
    </w:pPr>
    <w:rPr>
      <w:rFonts w:ascii="Times New Roman" w:hAnsi="Times New Roman"/>
      <w:b/>
      <w:bCs/>
      <w:sz w:val="21"/>
    </w:rPr>
  </w:style>
  <w:style w:type="paragraph" w:styleId="9">
    <w:name w:val="heading 8"/>
    <w:basedOn w:val="1"/>
    <w:next w:val="1"/>
    <w:link w:val="98"/>
    <w:qFormat/>
    <w:uiPriority w:val="9"/>
    <w:pPr>
      <w:keepNext/>
      <w:keepLines/>
      <w:spacing w:before="240" w:after="64" w:line="319" w:lineRule="auto"/>
      <w:ind w:firstLine="0" w:firstLineChars="0"/>
      <w:outlineLvl w:val="7"/>
    </w:pPr>
    <w:rPr>
      <w:rFonts w:ascii="Cambria" w:hAnsi="Cambria"/>
      <w:sz w:val="21"/>
    </w:rPr>
  </w:style>
  <w:style w:type="paragraph" w:styleId="10">
    <w:name w:val="heading 9"/>
    <w:basedOn w:val="1"/>
    <w:next w:val="1"/>
    <w:link w:val="48"/>
    <w:qFormat/>
    <w:uiPriority w:val="9"/>
    <w:pPr>
      <w:keepNext/>
      <w:keepLines/>
      <w:spacing w:before="240" w:after="64" w:line="319" w:lineRule="auto"/>
      <w:ind w:firstLine="0" w:firstLineChars="0"/>
      <w:outlineLvl w:val="8"/>
    </w:pPr>
    <w:rPr>
      <w:rFonts w:ascii="Cambria" w:hAnsi="Cambria"/>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等线" w:hAnsi="等线" w:eastAsia="等线"/>
      <w:szCs w:val="22"/>
    </w:rPr>
  </w:style>
  <w:style w:type="paragraph" w:styleId="12">
    <w:name w:val="Normal Indent"/>
    <w:basedOn w:val="1"/>
    <w:unhideWhenUsed/>
    <w:qFormat/>
    <w:uiPriority w:val="99"/>
    <w:pPr>
      <w:spacing w:line="240" w:lineRule="auto"/>
      <w:ind w:firstLine="420"/>
    </w:pPr>
    <w:rPr>
      <w:rFonts w:ascii="Calibri" w:hAnsi="Calibri"/>
      <w:sz w:val="21"/>
    </w:rPr>
  </w:style>
  <w:style w:type="paragraph" w:styleId="13">
    <w:name w:val="caption"/>
    <w:basedOn w:val="1"/>
    <w:next w:val="1"/>
    <w:link w:val="54"/>
    <w:qFormat/>
    <w:uiPriority w:val="0"/>
    <w:pPr>
      <w:spacing w:afterLines="50"/>
      <w:ind w:firstLine="200"/>
    </w:pPr>
    <w:rPr>
      <w:rFonts w:ascii="Arial" w:hAnsi="Arial" w:eastAsia="黑体"/>
      <w:sz w:val="20"/>
      <w:szCs w:val="20"/>
    </w:rPr>
  </w:style>
  <w:style w:type="paragraph" w:styleId="14">
    <w:name w:val="Document Map"/>
    <w:basedOn w:val="1"/>
    <w:link w:val="91"/>
    <w:qFormat/>
    <w:uiPriority w:val="0"/>
    <w:rPr>
      <w:rFonts w:hAnsi="Times New Roman"/>
      <w:sz w:val="18"/>
      <w:szCs w:val="18"/>
    </w:rPr>
  </w:style>
  <w:style w:type="paragraph" w:styleId="15">
    <w:name w:val="annotation text"/>
    <w:basedOn w:val="1"/>
    <w:link w:val="45"/>
    <w:qFormat/>
    <w:uiPriority w:val="99"/>
    <w:pPr>
      <w:jc w:val="left"/>
    </w:pPr>
    <w:rPr>
      <w:rFonts w:ascii="Times New Roman" w:hAnsi="Times New Roman" w:eastAsia="仿宋"/>
      <w:sz w:val="28"/>
    </w:rPr>
  </w:style>
  <w:style w:type="paragraph" w:styleId="16">
    <w:name w:val="Body Text"/>
    <w:basedOn w:val="1"/>
    <w:link w:val="59"/>
    <w:unhideWhenUsed/>
    <w:qFormat/>
    <w:uiPriority w:val="0"/>
    <w:pPr>
      <w:spacing w:after="120" w:line="240" w:lineRule="auto"/>
      <w:ind w:firstLine="0" w:firstLineChars="0"/>
    </w:pPr>
    <w:rPr>
      <w:rFonts w:ascii="Times New Roman" w:hAnsi="Times New Roman"/>
      <w:sz w:val="21"/>
    </w:rPr>
  </w:style>
  <w:style w:type="paragraph" w:styleId="17">
    <w:name w:val="Body Text Indent"/>
    <w:basedOn w:val="1"/>
    <w:link w:val="85"/>
    <w:qFormat/>
    <w:uiPriority w:val="0"/>
    <w:pPr>
      <w:spacing w:after="120"/>
      <w:ind w:firstLine="200"/>
    </w:pPr>
    <w:rPr>
      <w:rFonts w:ascii="Times New Roman" w:hAnsi="Times New Roman"/>
      <w:sz w:val="21"/>
      <w:szCs w:val="20"/>
    </w:rPr>
  </w:style>
  <w:style w:type="paragraph" w:styleId="18">
    <w:name w:val="toc 5"/>
    <w:basedOn w:val="1"/>
    <w:next w:val="1"/>
    <w:unhideWhenUsed/>
    <w:qFormat/>
    <w:uiPriority w:val="39"/>
    <w:pPr>
      <w:ind w:left="1680" w:leftChars="800"/>
    </w:pPr>
    <w:rPr>
      <w:rFonts w:ascii="等线" w:hAnsi="等线" w:eastAsia="等线"/>
      <w:szCs w:val="22"/>
    </w:rPr>
  </w:style>
  <w:style w:type="paragraph" w:styleId="19">
    <w:name w:val="toc 3"/>
    <w:basedOn w:val="1"/>
    <w:next w:val="1"/>
    <w:qFormat/>
    <w:uiPriority w:val="39"/>
    <w:pPr>
      <w:tabs>
        <w:tab w:val="right" w:leader="dot" w:pos="8302"/>
      </w:tabs>
      <w:ind w:left="840" w:leftChars="400"/>
    </w:pPr>
  </w:style>
  <w:style w:type="paragraph" w:styleId="20">
    <w:name w:val="Plain Text"/>
    <w:basedOn w:val="1"/>
    <w:link w:val="66"/>
    <w:qFormat/>
    <w:uiPriority w:val="0"/>
    <w:pPr>
      <w:spacing w:line="240" w:lineRule="auto"/>
      <w:ind w:firstLine="0" w:firstLineChars="0"/>
    </w:pPr>
    <w:rPr>
      <w:rFonts w:hAnsi="Courier New"/>
      <w:sz w:val="21"/>
      <w:szCs w:val="20"/>
    </w:rPr>
  </w:style>
  <w:style w:type="paragraph" w:styleId="21">
    <w:name w:val="toc 8"/>
    <w:basedOn w:val="1"/>
    <w:next w:val="1"/>
    <w:unhideWhenUsed/>
    <w:qFormat/>
    <w:uiPriority w:val="39"/>
    <w:pPr>
      <w:ind w:left="2940" w:leftChars="1400"/>
    </w:pPr>
    <w:rPr>
      <w:rFonts w:ascii="等线" w:hAnsi="等线" w:eastAsia="等线"/>
      <w:szCs w:val="22"/>
    </w:rPr>
  </w:style>
  <w:style w:type="paragraph" w:styleId="22">
    <w:name w:val="Date"/>
    <w:basedOn w:val="1"/>
    <w:next w:val="1"/>
    <w:link w:val="47"/>
    <w:qFormat/>
    <w:uiPriority w:val="0"/>
    <w:pPr>
      <w:ind w:left="100" w:leftChars="2500"/>
    </w:pPr>
    <w:rPr>
      <w:rFonts w:ascii="Times New Roman" w:hAnsi="Times New Roman"/>
      <w:sz w:val="21"/>
    </w:rPr>
  </w:style>
  <w:style w:type="paragraph" w:styleId="23">
    <w:name w:val="Balloon Text"/>
    <w:basedOn w:val="1"/>
    <w:link w:val="96"/>
    <w:qFormat/>
    <w:uiPriority w:val="0"/>
    <w:rPr>
      <w:rFonts w:ascii="Times New Roman" w:hAnsi="Times New Roman"/>
      <w:sz w:val="18"/>
      <w:szCs w:val="18"/>
    </w:rPr>
  </w:style>
  <w:style w:type="paragraph" w:styleId="24">
    <w:name w:val="footer"/>
    <w:basedOn w:val="1"/>
    <w:link w:val="89"/>
    <w:qFormat/>
    <w:uiPriority w:val="99"/>
    <w:pPr>
      <w:tabs>
        <w:tab w:val="center" w:pos="4153"/>
        <w:tab w:val="right" w:pos="8306"/>
      </w:tabs>
      <w:snapToGrid w:val="0"/>
      <w:jc w:val="center"/>
    </w:pPr>
    <w:rPr>
      <w:rFonts w:ascii="Times New Roman" w:hAnsi="Times New Roman"/>
      <w:sz w:val="18"/>
      <w:szCs w:val="18"/>
    </w:rPr>
  </w:style>
  <w:style w:type="paragraph" w:styleId="25">
    <w:name w:val="header"/>
    <w:basedOn w:val="1"/>
    <w:link w:val="97"/>
    <w:qFormat/>
    <w:uiPriority w:val="99"/>
    <w:pPr>
      <w:pBdr>
        <w:bottom w:val="single" w:color="auto" w:sz="4" w:space="0"/>
      </w:pBdr>
      <w:tabs>
        <w:tab w:val="center" w:pos="4153"/>
        <w:tab w:val="right" w:pos="8306"/>
      </w:tabs>
      <w:snapToGrid w:val="0"/>
      <w:jc w:val="center"/>
    </w:pPr>
    <w:rPr>
      <w:rFonts w:ascii="Times New Roman" w:hAnsi="Times New Roman"/>
      <w:sz w:val="18"/>
      <w:szCs w:val="18"/>
    </w:rPr>
  </w:style>
  <w:style w:type="paragraph" w:styleId="26">
    <w:name w:val="toc 1"/>
    <w:basedOn w:val="1"/>
    <w:next w:val="1"/>
    <w:qFormat/>
    <w:uiPriority w:val="39"/>
  </w:style>
  <w:style w:type="paragraph" w:styleId="27">
    <w:name w:val="toc 4"/>
    <w:basedOn w:val="1"/>
    <w:next w:val="1"/>
    <w:unhideWhenUsed/>
    <w:qFormat/>
    <w:uiPriority w:val="39"/>
    <w:pPr>
      <w:ind w:left="1260" w:leftChars="600"/>
    </w:pPr>
    <w:rPr>
      <w:rFonts w:ascii="等线" w:hAnsi="等线" w:eastAsia="等线"/>
      <w:szCs w:val="22"/>
    </w:rPr>
  </w:style>
  <w:style w:type="paragraph" w:styleId="28">
    <w:name w:val="Subtitle"/>
    <w:basedOn w:val="1"/>
    <w:next w:val="1"/>
    <w:link w:val="87"/>
    <w:qFormat/>
    <w:uiPriority w:val="0"/>
    <w:pPr>
      <w:spacing w:before="240" w:after="60" w:line="312" w:lineRule="auto"/>
      <w:jc w:val="center"/>
      <w:outlineLvl w:val="1"/>
    </w:pPr>
    <w:rPr>
      <w:rFonts w:ascii="Calibri Light" w:hAnsi="Calibri Light"/>
      <w:b/>
      <w:bCs/>
      <w:kern w:val="28"/>
      <w:sz w:val="32"/>
      <w:szCs w:val="32"/>
    </w:rPr>
  </w:style>
  <w:style w:type="paragraph" w:styleId="29">
    <w:name w:val="toc 6"/>
    <w:basedOn w:val="1"/>
    <w:next w:val="1"/>
    <w:unhideWhenUsed/>
    <w:qFormat/>
    <w:uiPriority w:val="39"/>
    <w:pPr>
      <w:ind w:left="2100" w:leftChars="1000"/>
    </w:pPr>
    <w:rPr>
      <w:rFonts w:ascii="等线" w:hAnsi="等线" w:eastAsia="等线"/>
      <w:szCs w:val="22"/>
    </w:rPr>
  </w:style>
  <w:style w:type="paragraph" w:styleId="30">
    <w:name w:val="toc 2"/>
    <w:basedOn w:val="1"/>
    <w:next w:val="1"/>
    <w:qFormat/>
    <w:uiPriority w:val="39"/>
    <w:pPr>
      <w:tabs>
        <w:tab w:val="right" w:leader="dot" w:pos="8302"/>
      </w:tabs>
      <w:ind w:left="420" w:leftChars="200"/>
    </w:pPr>
  </w:style>
  <w:style w:type="paragraph" w:styleId="31">
    <w:name w:val="toc 9"/>
    <w:basedOn w:val="1"/>
    <w:next w:val="1"/>
    <w:unhideWhenUsed/>
    <w:qFormat/>
    <w:uiPriority w:val="39"/>
    <w:pPr>
      <w:ind w:left="3360" w:leftChars="1600"/>
    </w:pPr>
    <w:rPr>
      <w:rFonts w:ascii="等线" w:hAnsi="等线" w:eastAsia="等线"/>
      <w:szCs w:val="22"/>
    </w:rPr>
  </w:style>
  <w:style w:type="paragraph" w:styleId="32">
    <w:name w:val="Normal (Web)"/>
    <w:basedOn w:val="1"/>
    <w:qFormat/>
    <w:uiPriority w:val="99"/>
    <w:pPr>
      <w:widowControl/>
      <w:spacing w:before="100" w:after="100"/>
      <w:jc w:val="left"/>
    </w:pPr>
    <w:rPr>
      <w:rFonts w:hint="eastAsia" w:ascii="Arial Unicode MS" w:hAnsi="Arial Unicode MS" w:eastAsia="Arial Unicode MS"/>
      <w:kern w:val="0"/>
    </w:rPr>
  </w:style>
  <w:style w:type="paragraph" w:styleId="33">
    <w:name w:val="Title"/>
    <w:basedOn w:val="1"/>
    <w:next w:val="1"/>
    <w:link w:val="95"/>
    <w:qFormat/>
    <w:uiPriority w:val="0"/>
    <w:pPr>
      <w:spacing w:before="240" w:after="60" w:line="960" w:lineRule="auto"/>
      <w:jc w:val="center"/>
    </w:pPr>
    <w:rPr>
      <w:rFonts w:ascii="Cambria" w:hAnsi="Cambria" w:eastAsia="黑体"/>
      <w:b/>
      <w:bCs/>
      <w:sz w:val="52"/>
      <w:szCs w:val="32"/>
    </w:rPr>
  </w:style>
  <w:style w:type="paragraph" w:styleId="34">
    <w:name w:val="annotation subject"/>
    <w:basedOn w:val="15"/>
    <w:next w:val="15"/>
    <w:link w:val="83"/>
    <w:qFormat/>
    <w:uiPriority w:val="0"/>
    <w:rPr>
      <w:b/>
      <w:bCs/>
      <w:sz w:val="21"/>
    </w:rPr>
  </w:style>
  <w:style w:type="table" w:styleId="36">
    <w:name w:val="Table Grid"/>
    <w:basedOn w:val="35"/>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character" w:customStyle="1" w:styleId="42">
    <w:name w:val="标题 3 字符1"/>
    <w:qFormat/>
    <w:uiPriority w:val="0"/>
    <w:rPr>
      <w:rFonts w:ascii="宋体" w:hAnsi="宋体"/>
      <w:b/>
      <w:bCs/>
      <w:kern w:val="2"/>
      <w:sz w:val="28"/>
      <w:szCs w:val="28"/>
    </w:rPr>
  </w:style>
  <w:style w:type="character" w:customStyle="1" w:styleId="43">
    <w:name w:val="首行缩进正文 Char"/>
    <w:link w:val="44"/>
    <w:qFormat/>
    <w:uiPriority w:val="0"/>
    <w:rPr>
      <w:kern w:val="2"/>
      <w:sz w:val="24"/>
    </w:rPr>
  </w:style>
  <w:style w:type="paragraph" w:customStyle="1" w:styleId="44">
    <w:name w:val="首行缩进正文"/>
    <w:basedOn w:val="1"/>
    <w:link w:val="43"/>
    <w:qFormat/>
    <w:uiPriority w:val="0"/>
    <w:pPr>
      <w:widowControl/>
      <w:adjustRightInd w:val="0"/>
      <w:snapToGrid w:val="0"/>
      <w:spacing w:afterLines="50" w:line="276" w:lineRule="auto"/>
      <w:ind w:firstLine="420" w:firstLineChars="0"/>
      <w:jc w:val="left"/>
    </w:pPr>
    <w:rPr>
      <w:rFonts w:ascii="Times New Roman" w:hAnsi="Times New Roman"/>
      <w:szCs w:val="20"/>
    </w:rPr>
  </w:style>
  <w:style w:type="character" w:customStyle="1" w:styleId="45">
    <w:name w:val="批注文字 字符1"/>
    <w:link w:val="15"/>
    <w:qFormat/>
    <w:uiPriority w:val="99"/>
    <w:rPr>
      <w:rFonts w:eastAsia="仿宋"/>
      <w:kern w:val="2"/>
      <w:sz w:val="28"/>
      <w:szCs w:val="24"/>
    </w:rPr>
  </w:style>
  <w:style w:type="character" w:customStyle="1" w:styleId="46">
    <w:name w:val="日期 字符"/>
    <w:semiHidden/>
    <w:qFormat/>
    <w:uiPriority w:val="99"/>
    <w:rPr>
      <w:rFonts w:ascii="宋体" w:hAnsi="宋体"/>
      <w:kern w:val="2"/>
      <w:sz w:val="24"/>
      <w:szCs w:val="24"/>
    </w:rPr>
  </w:style>
  <w:style w:type="character" w:customStyle="1" w:styleId="47">
    <w:name w:val="日期 字符1"/>
    <w:link w:val="22"/>
    <w:qFormat/>
    <w:uiPriority w:val="0"/>
    <w:rPr>
      <w:kern w:val="2"/>
      <w:sz w:val="21"/>
      <w:szCs w:val="24"/>
    </w:rPr>
  </w:style>
  <w:style w:type="character" w:customStyle="1" w:styleId="48">
    <w:name w:val="标题 9 字符"/>
    <w:link w:val="10"/>
    <w:qFormat/>
    <w:uiPriority w:val="9"/>
    <w:rPr>
      <w:rFonts w:ascii="Cambria" w:hAnsi="Cambria"/>
      <w:kern w:val="2"/>
      <w:sz w:val="21"/>
      <w:szCs w:val="21"/>
    </w:rPr>
  </w:style>
  <w:style w:type="character" w:customStyle="1" w:styleId="49">
    <w:name w:val="未处理的提及1"/>
    <w:unhideWhenUsed/>
    <w:qFormat/>
    <w:uiPriority w:val="99"/>
    <w:rPr>
      <w:color w:val="605E5C"/>
      <w:shd w:val="clear" w:color="auto" w:fill="E1DFDD"/>
    </w:rPr>
  </w:style>
  <w:style w:type="character" w:customStyle="1" w:styleId="50">
    <w:name w:val="标题 1 字符"/>
    <w:qFormat/>
    <w:uiPriority w:val="9"/>
    <w:rPr>
      <w:rFonts w:ascii="宋体" w:hAnsi="宋体"/>
      <w:b/>
      <w:bCs/>
      <w:kern w:val="44"/>
      <w:sz w:val="44"/>
      <w:szCs w:val="44"/>
    </w:rPr>
  </w:style>
  <w:style w:type="character" w:customStyle="1" w:styleId="51">
    <w:name w:val="标题 3 字符"/>
    <w:semiHidden/>
    <w:qFormat/>
    <w:uiPriority w:val="9"/>
    <w:rPr>
      <w:rFonts w:ascii="宋体" w:hAnsi="宋体"/>
      <w:b/>
      <w:bCs/>
      <w:kern w:val="2"/>
      <w:sz w:val="32"/>
      <w:szCs w:val="32"/>
    </w:rPr>
  </w:style>
  <w:style w:type="character" w:customStyle="1" w:styleId="52">
    <w:name w:val="页脚 字符"/>
    <w:qFormat/>
    <w:uiPriority w:val="99"/>
  </w:style>
  <w:style w:type="character" w:customStyle="1" w:styleId="53">
    <w:name w:val="标题 5 字符"/>
    <w:semiHidden/>
    <w:qFormat/>
    <w:uiPriority w:val="9"/>
    <w:rPr>
      <w:rFonts w:ascii="宋体" w:hAnsi="宋体"/>
      <w:b/>
      <w:bCs/>
      <w:kern w:val="2"/>
      <w:sz w:val="28"/>
      <w:szCs w:val="28"/>
    </w:rPr>
  </w:style>
  <w:style w:type="character" w:customStyle="1" w:styleId="54">
    <w:name w:val="题注 字符"/>
    <w:link w:val="13"/>
    <w:qFormat/>
    <w:locked/>
    <w:uiPriority w:val="0"/>
    <w:rPr>
      <w:rFonts w:ascii="Arial" w:hAnsi="Arial" w:eastAsia="黑体"/>
      <w:kern w:val="2"/>
    </w:rPr>
  </w:style>
  <w:style w:type="character" w:customStyle="1" w:styleId="55">
    <w:name w:val="标题 2 字符"/>
    <w:semiHidden/>
    <w:qFormat/>
    <w:uiPriority w:val="9"/>
    <w:rPr>
      <w:rFonts w:ascii="等线 Light" w:hAnsi="等线 Light" w:eastAsia="等线 Light" w:cs="Times New Roman"/>
      <w:b/>
      <w:bCs/>
      <w:kern w:val="2"/>
      <w:sz w:val="32"/>
      <w:szCs w:val="32"/>
    </w:rPr>
  </w:style>
  <w:style w:type="character" w:customStyle="1" w:styleId="56">
    <w:name w:val="纯文本 字符"/>
    <w:qFormat/>
    <w:uiPriority w:val="0"/>
    <w:rPr>
      <w:rFonts w:ascii="宋体" w:hAnsi="Courier New" w:cs="Courier New"/>
      <w:kern w:val="2"/>
      <w:sz w:val="21"/>
      <w:szCs w:val="21"/>
    </w:rPr>
  </w:style>
  <w:style w:type="character" w:customStyle="1" w:styleId="57">
    <w:name w:val="列表段落 字符"/>
    <w:qFormat/>
    <w:uiPriority w:val="34"/>
    <w:rPr>
      <w:kern w:val="2"/>
      <w:sz w:val="21"/>
      <w:szCs w:val="22"/>
    </w:rPr>
  </w:style>
  <w:style w:type="character" w:customStyle="1" w:styleId="58">
    <w:name w:val="标题 4 字符1"/>
    <w:link w:val="5"/>
    <w:qFormat/>
    <w:uiPriority w:val="0"/>
    <w:rPr>
      <w:rFonts w:ascii="宋体" w:hAnsi="宋体"/>
      <w:b/>
      <w:bCs/>
      <w:kern w:val="2"/>
      <w:sz w:val="30"/>
      <w:szCs w:val="30"/>
    </w:rPr>
  </w:style>
  <w:style w:type="character" w:customStyle="1" w:styleId="59">
    <w:name w:val="正文文本 字符"/>
    <w:link w:val="16"/>
    <w:qFormat/>
    <w:uiPriority w:val="0"/>
    <w:rPr>
      <w:kern w:val="2"/>
      <w:sz w:val="21"/>
      <w:szCs w:val="24"/>
    </w:rPr>
  </w:style>
  <w:style w:type="character" w:customStyle="1" w:styleId="60">
    <w:name w:val="列表段落 字符1"/>
    <w:link w:val="61"/>
    <w:qFormat/>
    <w:uiPriority w:val="34"/>
    <w:rPr>
      <w:kern w:val="2"/>
      <w:sz w:val="21"/>
      <w:szCs w:val="24"/>
    </w:rPr>
  </w:style>
  <w:style w:type="paragraph" w:styleId="61">
    <w:name w:val="List Paragraph"/>
    <w:basedOn w:val="1"/>
    <w:link w:val="60"/>
    <w:qFormat/>
    <w:uiPriority w:val="34"/>
    <w:pPr>
      <w:ind w:firstLine="420"/>
    </w:pPr>
    <w:rPr>
      <w:rFonts w:ascii="Times New Roman" w:hAnsi="Times New Roman"/>
      <w:sz w:val="21"/>
    </w:rPr>
  </w:style>
  <w:style w:type="character" w:customStyle="1" w:styleId="62">
    <w:name w:val="font21"/>
    <w:qFormat/>
    <w:uiPriority w:val="0"/>
    <w:rPr>
      <w:rFonts w:ascii="Calibri" w:hAnsi="Calibri" w:cs="Calibri"/>
      <w:color w:val="000000"/>
      <w:sz w:val="21"/>
      <w:szCs w:val="21"/>
      <w:u w:val="none"/>
    </w:rPr>
  </w:style>
  <w:style w:type="character" w:customStyle="1" w:styleId="63">
    <w:name w:val="*正文 Char"/>
    <w:link w:val="64"/>
    <w:qFormat/>
    <w:uiPriority w:val="0"/>
    <w:rPr>
      <w:rFonts w:ascii="time" w:hAnsi="time"/>
      <w:sz w:val="24"/>
      <w:szCs w:val="24"/>
      <w:lang w:bidi="en-US"/>
    </w:rPr>
  </w:style>
  <w:style w:type="paragraph" w:customStyle="1" w:styleId="64">
    <w:name w:val="*正文"/>
    <w:basedOn w:val="1"/>
    <w:link w:val="63"/>
    <w:qFormat/>
    <w:uiPriority w:val="0"/>
    <w:pPr>
      <w:widowControl/>
      <w:ind w:firstLine="200"/>
      <w:contextualSpacing/>
    </w:pPr>
    <w:rPr>
      <w:rFonts w:ascii="time" w:hAnsi="time"/>
      <w:kern w:val="0"/>
      <w:lang w:bidi="en-US"/>
    </w:rPr>
  </w:style>
  <w:style w:type="character" w:customStyle="1" w:styleId="65">
    <w:name w:val="正文文本缩进 字符"/>
    <w:semiHidden/>
    <w:qFormat/>
    <w:uiPriority w:val="99"/>
    <w:rPr>
      <w:rFonts w:ascii="宋体" w:hAnsi="宋体"/>
      <w:kern w:val="2"/>
      <w:sz w:val="24"/>
      <w:szCs w:val="24"/>
    </w:rPr>
  </w:style>
  <w:style w:type="character" w:customStyle="1" w:styleId="66">
    <w:name w:val="纯文本 字符1"/>
    <w:link w:val="20"/>
    <w:qFormat/>
    <w:locked/>
    <w:uiPriority w:val="0"/>
    <w:rPr>
      <w:rFonts w:ascii="宋体" w:hAnsi="Courier New"/>
      <w:kern w:val="2"/>
      <w:sz w:val="21"/>
    </w:rPr>
  </w:style>
  <w:style w:type="character" w:customStyle="1" w:styleId="67">
    <w:name w:val="my正文 Char"/>
    <w:link w:val="68"/>
    <w:qFormat/>
    <w:uiPriority w:val="0"/>
    <w:rPr>
      <w:kern w:val="2"/>
      <w:sz w:val="21"/>
      <w:szCs w:val="24"/>
    </w:rPr>
  </w:style>
  <w:style w:type="paragraph" w:customStyle="1" w:styleId="68">
    <w:name w:val="my正文"/>
    <w:basedOn w:val="1"/>
    <w:link w:val="67"/>
    <w:qFormat/>
    <w:uiPriority w:val="0"/>
    <w:pPr>
      <w:spacing w:line="240" w:lineRule="auto"/>
      <w:ind w:firstLine="0" w:firstLineChars="0"/>
    </w:pPr>
    <w:rPr>
      <w:rFonts w:ascii="Times New Roman" w:hAnsi="Times New Roman"/>
      <w:sz w:val="21"/>
    </w:rPr>
  </w:style>
  <w:style w:type="character" w:customStyle="1" w:styleId="69">
    <w:name w:val="正文2 字符"/>
    <w:link w:val="70"/>
    <w:qFormat/>
    <w:uiPriority w:val="0"/>
    <w:rPr>
      <w:kern w:val="2"/>
      <w:sz w:val="21"/>
      <w:szCs w:val="24"/>
    </w:rPr>
  </w:style>
  <w:style w:type="paragraph" w:customStyle="1" w:styleId="70">
    <w:name w:val="正文2"/>
    <w:basedOn w:val="1"/>
    <w:link w:val="69"/>
    <w:qFormat/>
    <w:uiPriority w:val="0"/>
    <w:pPr>
      <w:ind w:firstLine="420"/>
    </w:pPr>
    <w:rPr>
      <w:rFonts w:ascii="Times New Roman" w:hAnsi="Times New Roman"/>
      <w:sz w:val="21"/>
    </w:rPr>
  </w:style>
  <w:style w:type="character" w:customStyle="1" w:styleId="71">
    <w:name w:val="font41"/>
    <w:qFormat/>
    <w:uiPriority w:val="0"/>
    <w:rPr>
      <w:rFonts w:hint="eastAsia" w:ascii="宋体" w:hAnsi="宋体" w:eastAsia="宋体" w:cs="宋体"/>
      <w:color w:val="000000"/>
      <w:sz w:val="21"/>
      <w:szCs w:val="21"/>
      <w:u w:val="none"/>
    </w:rPr>
  </w:style>
  <w:style w:type="character" w:customStyle="1" w:styleId="72">
    <w:name w:val="标题 7 字符"/>
    <w:link w:val="8"/>
    <w:qFormat/>
    <w:uiPriority w:val="9"/>
    <w:rPr>
      <w:b/>
      <w:bCs/>
      <w:kern w:val="2"/>
      <w:sz w:val="21"/>
      <w:szCs w:val="24"/>
    </w:rPr>
  </w:style>
  <w:style w:type="character" w:customStyle="1" w:styleId="73">
    <w:name w:val="批注框文本 字符"/>
    <w:semiHidden/>
    <w:qFormat/>
    <w:uiPriority w:val="99"/>
    <w:rPr>
      <w:rFonts w:ascii="宋体" w:hAnsi="宋体"/>
      <w:kern w:val="2"/>
      <w:sz w:val="18"/>
      <w:szCs w:val="18"/>
    </w:rPr>
  </w:style>
  <w:style w:type="character" w:customStyle="1" w:styleId="74">
    <w:name w:val="副标题 Char1"/>
    <w:qFormat/>
    <w:uiPriority w:val="0"/>
    <w:rPr>
      <w:rFonts w:ascii="Calibri Light" w:hAnsi="Calibri Light" w:cs="Times New Roman"/>
      <w:b/>
      <w:bCs/>
      <w:kern w:val="28"/>
      <w:sz w:val="32"/>
      <w:szCs w:val="32"/>
    </w:rPr>
  </w:style>
  <w:style w:type="character" w:customStyle="1" w:styleId="75">
    <w:name w:val="标题 1 字符1"/>
    <w:link w:val="2"/>
    <w:qFormat/>
    <w:uiPriority w:val="0"/>
    <w:rPr>
      <w:rFonts w:ascii="宋体" w:hAnsi="宋体" w:eastAsia="黑体"/>
      <w:b/>
      <w:bCs/>
      <w:kern w:val="44"/>
      <w:sz w:val="32"/>
      <w:szCs w:val="28"/>
    </w:rPr>
  </w:style>
  <w:style w:type="character" w:customStyle="1" w:styleId="76">
    <w:name w:val="批注文字 字符"/>
    <w:qFormat/>
    <w:uiPriority w:val="99"/>
    <w:rPr>
      <w:rFonts w:ascii="宋体" w:hAnsi="宋体"/>
      <w:kern w:val="2"/>
      <w:sz w:val="24"/>
      <w:szCs w:val="24"/>
    </w:rPr>
  </w:style>
  <w:style w:type="character" w:customStyle="1" w:styleId="77">
    <w:name w:val="文档结构图 字符"/>
    <w:semiHidden/>
    <w:qFormat/>
    <w:uiPriority w:val="99"/>
    <w:rPr>
      <w:rFonts w:ascii="Microsoft YaHei UI" w:hAnsi="宋体" w:eastAsia="Microsoft YaHei UI"/>
      <w:kern w:val="2"/>
      <w:sz w:val="18"/>
      <w:szCs w:val="18"/>
    </w:rPr>
  </w:style>
  <w:style w:type="character" w:customStyle="1" w:styleId="78">
    <w:name w:val="标题 6 字符"/>
    <w:semiHidden/>
    <w:qFormat/>
    <w:uiPriority w:val="9"/>
    <w:rPr>
      <w:rFonts w:ascii="等线 Light" w:hAnsi="等线 Light" w:eastAsia="等线 Light" w:cs="Times New Roman"/>
      <w:b/>
      <w:bCs/>
      <w:kern w:val="2"/>
      <w:sz w:val="24"/>
      <w:szCs w:val="24"/>
    </w:rPr>
  </w:style>
  <w:style w:type="character" w:customStyle="1" w:styleId="79">
    <w:name w:val="正文正文2 Char"/>
    <w:link w:val="80"/>
    <w:qFormat/>
    <w:uiPriority w:val="0"/>
    <w:rPr>
      <w:rFonts w:ascii="宋体" w:hAnsi="宋体"/>
      <w:kern w:val="2"/>
      <w:sz w:val="21"/>
      <w:szCs w:val="21"/>
    </w:rPr>
  </w:style>
  <w:style w:type="paragraph" w:customStyle="1" w:styleId="80">
    <w:name w:val="正文正文2"/>
    <w:basedOn w:val="1"/>
    <w:link w:val="79"/>
    <w:qFormat/>
    <w:uiPriority w:val="0"/>
    <w:pPr>
      <w:ind w:firstLine="460"/>
    </w:pPr>
    <w:rPr>
      <w:sz w:val="21"/>
      <w:szCs w:val="21"/>
    </w:rPr>
  </w:style>
  <w:style w:type="character" w:customStyle="1" w:styleId="81">
    <w:name w:val="标题 3 字符2"/>
    <w:link w:val="4"/>
    <w:qFormat/>
    <w:uiPriority w:val="0"/>
    <w:rPr>
      <w:rFonts w:ascii="宋体" w:hAnsi="宋体"/>
      <w:b/>
      <w:bCs/>
      <w:kern w:val="2"/>
      <w:sz w:val="28"/>
      <w:szCs w:val="28"/>
    </w:rPr>
  </w:style>
  <w:style w:type="character" w:customStyle="1" w:styleId="82">
    <w:name w:val="标题 4 字符"/>
    <w:semiHidden/>
    <w:qFormat/>
    <w:uiPriority w:val="9"/>
    <w:rPr>
      <w:rFonts w:ascii="等线 Light" w:hAnsi="等线 Light" w:eastAsia="等线 Light" w:cs="Times New Roman"/>
      <w:b/>
      <w:bCs/>
      <w:kern w:val="2"/>
      <w:sz w:val="28"/>
      <w:szCs w:val="28"/>
    </w:rPr>
  </w:style>
  <w:style w:type="character" w:customStyle="1" w:styleId="83">
    <w:name w:val="批注主题 字符1"/>
    <w:link w:val="34"/>
    <w:qFormat/>
    <w:uiPriority w:val="0"/>
    <w:rPr>
      <w:rFonts w:eastAsia="仿宋"/>
      <w:b/>
      <w:bCs/>
      <w:kern w:val="2"/>
      <w:sz w:val="21"/>
      <w:szCs w:val="24"/>
    </w:rPr>
  </w:style>
  <w:style w:type="character" w:customStyle="1" w:styleId="84">
    <w:name w:val="页眉 字符"/>
    <w:semiHidden/>
    <w:qFormat/>
    <w:uiPriority w:val="99"/>
    <w:rPr>
      <w:rFonts w:ascii="宋体" w:hAnsi="宋体"/>
      <w:kern w:val="2"/>
      <w:sz w:val="18"/>
      <w:szCs w:val="18"/>
    </w:rPr>
  </w:style>
  <w:style w:type="character" w:customStyle="1" w:styleId="85">
    <w:name w:val="正文文本缩进 字符1"/>
    <w:link w:val="17"/>
    <w:qFormat/>
    <w:uiPriority w:val="0"/>
    <w:rPr>
      <w:kern w:val="2"/>
      <w:sz w:val="21"/>
    </w:rPr>
  </w:style>
  <w:style w:type="character" w:customStyle="1" w:styleId="86">
    <w:name w:val="标题 5 字符1"/>
    <w:link w:val="6"/>
    <w:qFormat/>
    <w:uiPriority w:val="0"/>
    <w:rPr>
      <w:rFonts w:ascii="宋体" w:hAnsi="宋体"/>
      <w:b/>
      <w:bCs/>
      <w:kern w:val="2"/>
      <w:sz w:val="24"/>
      <w:szCs w:val="28"/>
    </w:rPr>
  </w:style>
  <w:style w:type="character" w:customStyle="1" w:styleId="87">
    <w:name w:val="副标题 字符1"/>
    <w:link w:val="28"/>
    <w:qFormat/>
    <w:uiPriority w:val="0"/>
    <w:rPr>
      <w:rFonts w:ascii="Calibri Light" w:hAnsi="Calibri Light"/>
      <w:b/>
      <w:bCs/>
      <w:kern w:val="28"/>
      <w:sz w:val="32"/>
      <w:szCs w:val="32"/>
    </w:rPr>
  </w:style>
  <w:style w:type="character" w:customStyle="1" w:styleId="88">
    <w:name w:val="标题 2 字符1"/>
    <w:link w:val="3"/>
    <w:qFormat/>
    <w:uiPriority w:val="9"/>
    <w:rPr>
      <w:rFonts w:ascii="宋体" w:hAnsi="宋体"/>
      <w:b/>
      <w:bCs/>
      <w:kern w:val="2"/>
      <w:sz w:val="30"/>
      <w:szCs w:val="32"/>
    </w:rPr>
  </w:style>
  <w:style w:type="character" w:customStyle="1" w:styleId="89">
    <w:name w:val="页脚 字符1"/>
    <w:link w:val="24"/>
    <w:qFormat/>
    <w:uiPriority w:val="99"/>
    <w:rPr>
      <w:kern w:val="2"/>
      <w:sz w:val="18"/>
      <w:szCs w:val="18"/>
    </w:rPr>
  </w:style>
  <w:style w:type="character" w:customStyle="1" w:styleId="90">
    <w:name w:val="批注主题 字符"/>
    <w:semiHidden/>
    <w:qFormat/>
    <w:uiPriority w:val="99"/>
    <w:rPr>
      <w:rFonts w:ascii="宋体" w:hAnsi="宋体"/>
      <w:b/>
      <w:bCs/>
      <w:kern w:val="2"/>
      <w:sz w:val="24"/>
      <w:szCs w:val="24"/>
    </w:rPr>
  </w:style>
  <w:style w:type="character" w:customStyle="1" w:styleId="91">
    <w:name w:val="文档结构图 字符1"/>
    <w:link w:val="14"/>
    <w:qFormat/>
    <w:uiPriority w:val="0"/>
    <w:rPr>
      <w:rFonts w:ascii="宋体"/>
      <w:kern w:val="2"/>
      <w:sz w:val="18"/>
      <w:szCs w:val="18"/>
    </w:rPr>
  </w:style>
  <w:style w:type="character" w:customStyle="1" w:styleId="92">
    <w:name w:val="font31"/>
    <w:qFormat/>
    <w:uiPriority w:val="0"/>
    <w:rPr>
      <w:rFonts w:hint="eastAsia" w:ascii="宋体" w:hAnsi="宋体" w:eastAsia="宋体" w:cs="宋体"/>
      <w:color w:val="000000"/>
      <w:sz w:val="21"/>
      <w:szCs w:val="21"/>
      <w:u w:val="none"/>
    </w:rPr>
  </w:style>
  <w:style w:type="character" w:customStyle="1" w:styleId="93">
    <w:name w:val="标准正文 Char"/>
    <w:link w:val="94"/>
    <w:qFormat/>
    <w:uiPriority w:val="0"/>
    <w:rPr>
      <w:rFonts w:ascii="Arial" w:hAnsi="Arial"/>
      <w:kern w:val="2"/>
      <w:sz w:val="24"/>
    </w:rPr>
  </w:style>
  <w:style w:type="paragraph" w:customStyle="1" w:styleId="94">
    <w:name w:val="标准正文"/>
    <w:basedOn w:val="17"/>
    <w:link w:val="93"/>
    <w:qFormat/>
    <w:uiPriority w:val="0"/>
    <w:pPr>
      <w:spacing w:before="60" w:after="60"/>
      <w:ind w:firstLine="482" w:firstLineChars="0"/>
    </w:pPr>
    <w:rPr>
      <w:rFonts w:ascii="Arial" w:hAnsi="Arial"/>
      <w:sz w:val="24"/>
    </w:rPr>
  </w:style>
  <w:style w:type="character" w:customStyle="1" w:styleId="95">
    <w:name w:val="标题 字符1"/>
    <w:link w:val="33"/>
    <w:qFormat/>
    <w:uiPriority w:val="0"/>
    <w:rPr>
      <w:rFonts w:ascii="Cambria" w:hAnsi="Cambria" w:eastAsia="黑体"/>
      <w:b/>
      <w:bCs/>
      <w:kern w:val="2"/>
      <w:sz w:val="52"/>
      <w:szCs w:val="32"/>
    </w:rPr>
  </w:style>
  <w:style w:type="character" w:customStyle="1" w:styleId="96">
    <w:name w:val="批注框文本 字符1"/>
    <w:link w:val="23"/>
    <w:qFormat/>
    <w:uiPriority w:val="0"/>
    <w:rPr>
      <w:kern w:val="2"/>
      <w:sz w:val="18"/>
      <w:szCs w:val="18"/>
    </w:rPr>
  </w:style>
  <w:style w:type="character" w:customStyle="1" w:styleId="97">
    <w:name w:val="页眉 字符1"/>
    <w:link w:val="25"/>
    <w:qFormat/>
    <w:uiPriority w:val="99"/>
    <w:rPr>
      <w:kern w:val="2"/>
      <w:sz w:val="18"/>
      <w:szCs w:val="18"/>
    </w:rPr>
  </w:style>
  <w:style w:type="character" w:customStyle="1" w:styleId="98">
    <w:name w:val="标题 8 字符"/>
    <w:link w:val="9"/>
    <w:qFormat/>
    <w:uiPriority w:val="9"/>
    <w:rPr>
      <w:rFonts w:ascii="Cambria" w:hAnsi="Cambria"/>
      <w:kern w:val="2"/>
      <w:sz w:val="21"/>
      <w:szCs w:val="24"/>
    </w:rPr>
  </w:style>
  <w:style w:type="character" w:customStyle="1" w:styleId="99">
    <w:name w:val="标题 6 字符1"/>
    <w:link w:val="7"/>
    <w:qFormat/>
    <w:uiPriority w:val="0"/>
    <w:rPr>
      <w:rFonts w:ascii="Cambria" w:hAnsi="Cambria"/>
      <w:b/>
      <w:bCs/>
      <w:kern w:val="2"/>
      <w:sz w:val="24"/>
      <w:szCs w:val="24"/>
    </w:rPr>
  </w:style>
  <w:style w:type="character" w:customStyle="1" w:styleId="100">
    <w:name w:val="标题 字符"/>
    <w:qFormat/>
    <w:uiPriority w:val="10"/>
    <w:rPr>
      <w:rFonts w:ascii="等线 Light" w:hAnsi="等线 Light" w:eastAsia="等线 Light" w:cs="Times New Roman"/>
      <w:b/>
      <w:bCs/>
      <w:kern w:val="2"/>
      <w:sz w:val="32"/>
      <w:szCs w:val="32"/>
    </w:rPr>
  </w:style>
  <w:style w:type="character" w:customStyle="1" w:styleId="101">
    <w:name w:val="副标题 字符"/>
    <w:qFormat/>
    <w:uiPriority w:val="11"/>
    <w:rPr>
      <w:rFonts w:ascii="等线" w:hAnsi="等线" w:eastAsia="等线" w:cs="Times New Roman"/>
      <w:b/>
      <w:bCs/>
      <w:kern w:val="28"/>
      <w:sz w:val="32"/>
      <w:szCs w:val="32"/>
    </w:rPr>
  </w:style>
  <w:style w:type="paragraph" w:customStyle="1" w:styleId="102">
    <w:name w:val="xl72"/>
    <w:basedOn w:val="1"/>
    <w:qFormat/>
    <w:uiPriority w:val="0"/>
    <w:pPr>
      <w:widowControl/>
      <w:spacing w:before="100" w:beforeAutospacing="1" w:after="100" w:afterAutospacing="1" w:line="240" w:lineRule="auto"/>
      <w:ind w:firstLine="0" w:firstLineChars="0"/>
      <w:jc w:val="center"/>
    </w:pPr>
    <w:rPr>
      <w:rFonts w:cs="宋体"/>
      <w:kern w:val="0"/>
    </w:rPr>
  </w:style>
  <w:style w:type="paragraph" w:customStyle="1" w:styleId="103">
    <w:name w:val="正文（深信服）"/>
    <w:qFormat/>
    <w:uiPriority w:val="0"/>
    <w:pPr>
      <w:spacing w:line="360" w:lineRule="auto"/>
      <w:ind w:firstLine="420"/>
    </w:pPr>
    <w:rPr>
      <w:rFonts w:ascii="Arial" w:hAnsi="Arial" w:eastAsia="宋体" w:cs="Times New Roman"/>
      <w:sz w:val="24"/>
      <w:szCs w:val="21"/>
      <w:shd w:val="clear" w:color="auto" w:fill="FFFFFF"/>
      <w:lang w:val="en-US" w:eastAsia="zh-CN" w:bidi="ar-SA"/>
    </w:rPr>
  </w:style>
  <w:style w:type="paragraph" w:customStyle="1" w:styleId="104">
    <w:name w:val="xl70"/>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Microsoft Sans Serif" w:hAnsi="Microsoft Sans Serif" w:cs="Microsoft Sans Serif"/>
      <w:kern w:val="0"/>
      <w:sz w:val="18"/>
      <w:szCs w:val="18"/>
    </w:rPr>
  </w:style>
  <w:style w:type="paragraph" w:customStyle="1" w:styleId="105">
    <w:name w:val="_Style 2"/>
    <w:basedOn w:val="2"/>
    <w:next w:val="1"/>
    <w:qFormat/>
    <w:uiPriority w:val="39"/>
    <w:pPr>
      <w:widowControl/>
      <w:numPr>
        <w:numId w:val="0"/>
      </w:numPr>
      <w:spacing w:before="480" w:after="0" w:line="276" w:lineRule="auto"/>
      <w:jc w:val="left"/>
      <w:outlineLvl w:val="9"/>
    </w:pPr>
    <w:rPr>
      <w:rFonts w:ascii="Cambria" w:hAnsi="Cambria" w:eastAsia="宋体"/>
      <w:color w:val="365F91"/>
      <w:kern w:val="0"/>
      <w:sz w:val="28"/>
    </w:rPr>
  </w:style>
  <w:style w:type="paragraph" w:customStyle="1" w:styleId="106">
    <w:name w:val="正文缩进1"/>
    <w:basedOn w:val="1"/>
    <w:qFormat/>
    <w:uiPriority w:val="0"/>
    <w:pPr>
      <w:spacing w:line="240" w:lineRule="auto"/>
      <w:ind w:firstLine="420"/>
    </w:pPr>
    <w:rPr>
      <w:rFonts w:ascii="Times New Roman" w:hAnsi="Times New Roman"/>
      <w:sz w:val="21"/>
      <w:szCs w:val="20"/>
    </w:rPr>
  </w:style>
  <w:style w:type="paragraph" w:customStyle="1" w:styleId="107">
    <w:name w:val="xl68"/>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Microsoft Sans Serif" w:hAnsi="Microsoft Sans Serif" w:cs="Microsoft Sans Serif"/>
      <w:kern w:val="0"/>
      <w:sz w:val="18"/>
      <w:szCs w:val="18"/>
    </w:rPr>
  </w:style>
  <w:style w:type="paragraph" w:customStyle="1" w:styleId="108">
    <w:name w:val="前言、引言标题"/>
    <w:next w:val="1"/>
    <w:qFormat/>
    <w:uiPriority w:val="99"/>
    <w:pPr>
      <w:shd w:val="clear" w:color="FFFFFF" w:fill="FFFFFF"/>
      <w:tabs>
        <w:tab w:val="left" w:pos="425"/>
      </w:tabs>
      <w:spacing w:before="640" w:after="560"/>
      <w:jc w:val="center"/>
      <w:outlineLvl w:val="0"/>
    </w:pPr>
    <w:rPr>
      <w:rFonts w:ascii="黑体" w:hAnsi="Times New Roman" w:eastAsia="黑体" w:cs="Times New Roman"/>
      <w:sz w:val="32"/>
      <w:lang w:val="en-US" w:eastAsia="zh-CN" w:bidi="ar-SA"/>
    </w:rPr>
  </w:style>
  <w:style w:type="paragraph" w:customStyle="1" w:styleId="109">
    <w:name w:val="Indent Normal"/>
    <w:basedOn w:val="1"/>
    <w:qFormat/>
    <w:uiPriority w:val="0"/>
    <w:pPr>
      <w:ind w:firstLine="150" w:firstLineChars="150"/>
    </w:pPr>
  </w:style>
  <w:style w:type="paragraph" w:customStyle="1" w:styleId="110">
    <w:name w:val="msonormal"/>
    <w:basedOn w:val="1"/>
    <w:qFormat/>
    <w:uiPriority w:val="0"/>
    <w:pPr>
      <w:widowControl/>
      <w:spacing w:before="100" w:beforeAutospacing="1" w:after="100" w:afterAutospacing="1" w:line="240" w:lineRule="auto"/>
      <w:ind w:firstLine="0" w:firstLineChars="0"/>
      <w:jc w:val="left"/>
    </w:pPr>
    <w:rPr>
      <w:rFonts w:cs="宋体"/>
      <w:kern w:val="0"/>
    </w:rPr>
  </w:style>
  <w:style w:type="paragraph" w:customStyle="1" w:styleId="111">
    <w:name w:val="正文 缩进2字符"/>
    <w:basedOn w:val="1"/>
    <w:qFormat/>
    <w:uiPriority w:val="0"/>
    <w:pPr>
      <w:spacing w:afterLines="50" w:line="240" w:lineRule="auto"/>
      <w:ind w:firstLine="0" w:firstLineChars="0"/>
    </w:pPr>
    <w:rPr>
      <w:rFonts w:ascii="Times New Roman" w:hAnsi="Times New Roman" w:cs="宋体"/>
      <w:sz w:val="21"/>
      <w:szCs w:val="20"/>
    </w:rPr>
  </w:style>
  <w:style w:type="paragraph" w:customStyle="1" w:styleId="112">
    <w:name w:val="列项●（二级）"/>
    <w:qFormat/>
    <w:uiPriority w:val="0"/>
    <w:pPr>
      <w:numPr>
        <w:ilvl w:val="0"/>
        <w:numId w:val="2"/>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13">
    <w:name w:val="助手文本"/>
    <w:basedOn w:val="1"/>
    <w:qFormat/>
    <w:uiPriority w:val="0"/>
    <w:pPr>
      <w:autoSpaceDE w:val="0"/>
      <w:autoSpaceDN w:val="0"/>
      <w:adjustRightInd w:val="0"/>
      <w:spacing w:beforeLines="50" w:afterLines="50"/>
      <w:ind w:left="14" w:firstLine="434"/>
      <w:textAlignment w:val="baseline"/>
    </w:pPr>
    <w:rPr>
      <w:rFonts w:ascii="楷体_GB2312" w:eastAsia="楷体_GB2312"/>
      <w:kern w:val="0"/>
      <w:szCs w:val="20"/>
      <w:u w:val="single"/>
    </w:rPr>
  </w:style>
  <w:style w:type="paragraph" w:customStyle="1" w:styleId="114">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b/>
      <w:bCs/>
      <w:kern w:val="0"/>
      <w:sz w:val="18"/>
      <w:szCs w:val="18"/>
    </w:rPr>
  </w:style>
  <w:style w:type="paragraph" w:customStyle="1" w:styleId="115">
    <w:name w:val="段"/>
    <w:qFormat/>
    <w:uiPriority w:val="0"/>
    <w:pPr>
      <w:autoSpaceDE w:val="0"/>
      <w:autoSpaceDN w:val="0"/>
      <w:ind w:firstLine="200" w:firstLineChars="200"/>
      <w:jc w:val="both"/>
    </w:pPr>
    <w:rPr>
      <w:rFonts w:ascii="宋体" w:hAnsi="Times New Roman" w:eastAsia="宋体" w:cs="Calibri"/>
      <w:sz w:val="21"/>
      <w:lang w:val="en-US" w:eastAsia="zh-CN" w:bidi="ar-SA"/>
    </w:rPr>
  </w:style>
  <w:style w:type="paragraph" w:customStyle="1" w:styleId="11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rPr>
  </w:style>
  <w:style w:type="paragraph" w:customStyle="1" w:styleId="117">
    <w:name w:val="Char Char Char Char Char Char1 Char"/>
    <w:basedOn w:val="1"/>
    <w:qFormat/>
    <w:uiPriority w:val="0"/>
    <w:pPr>
      <w:widowControl/>
      <w:spacing w:after="160" w:line="240" w:lineRule="exact"/>
      <w:jc w:val="left"/>
    </w:pPr>
  </w:style>
  <w:style w:type="paragraph" w:customStyle="1" w:styleId="118">
    <w:name w:val="PM_Body"/>
    <w:basedOn w:val="1"/>
    <w:qFormat/>
    <w:locked/>
    <w:uiPriority w:val="0"/>
    <w:rPr>
      <w:szCs w:val="21"/>
    </w:rPr>
  </w:style>
  <w:style w:type="paragraph" w:customStyle="1" w:styleId="119">
    <w:name w:val="Char Char1"/>
    <w:basedOn w:val="1"/>
    <w:qFormat/>
    <w:uiPriority w:val="0"/>
    <w:pPr>
      <w:widowControl/>
      <w:spacing w:before="120" w:after="120"/>
    </w:pPr>
    <w:rPr>
      <w:rFonts w:ascii="Times New Roman" w:hAnsi="Times New Roman" w:cs="宋体"/>
    </w:rPr>
  </w:style>
  <w:style w:type="paragraph" w:customStyle="1" w:styleId="120">
    <w:name w:val="xl71"/>
    <w:basedOn w:val="1"/>
    <w:qFormat/>
    <w:uiPriority w:val="0"/>
    <w:pPr>
      <w:widowControl/>
      <w:spacing w:before="100" w:beforeAutospacing="1" w:after="100" w:afterAutospacing="1" w:line="240" w:lineRule="auto"/>
      <w:ind w:firstLine="0" w:firstLineChars="0"/>
      <w:jc w:val="right"/>
      <w:textAlignment w:val="center"/>
    </w:pPr>
    <w:rPr>
      <w:rFonts w:ascii="Microsoft Sans Serif" w:hAnsi="Microsoft Sans Serif" w:cs="Microsoft Sans Serif"/>
      <w:kern w:val="0"/>
      <w:sz w:val="18"/>
      <w:szCs w:val="18"/>
    </w:rPr>
  </w:style>
  <w:style w:type="paragraph" w:customStyle="1" w:styleId="121">
    <w:name w:val="修订1"/>
    <w:unhideWhenUsed/>
    <w:qFormat/>
    <w:uiPriority w:val="99"/>
    <w:rPr>
      <w:rFonts w:ascii="宋体" w:hAnsi="宋体" w:eastAsia="宋体" w:cs="Times New Roman"/>
      <w:kern w:val="2"/>
      <w:sz w:val="24"/>
      <w:szCs w:val="24"/>
      <w:lang w:val="en-US" w:eastAsia="zh-CN" w:bidi="ar-SA"/>
    </w:rPr>
  </w:style>
  <w:style w:type="paragraph" w:customStyle="1" w:styleId="122">
    <w:name w:val="列出段落2"/>
    <w:basedOn w:val="1"/>
    <w:qFormat/>
    <w:uiPriority w:val="0"/>
    <w:pPr>
      <w:spacing w:line="240" w:lineRule="auto"/>
      <w:ind w:firstLine="420"/>
    </w:pPr>
    <w:rPr>
      <w:rFonts w:ascii="等线" w:hAnsi="等线" w:eastAsia="等线" w:cs="等线"/>
      <w:sz w:val="21"/>
      <w:szCs w:val="21"/>
    </w:rPr>
  </w:style>
  <w:style w:type="paragraph" w:customStyle="1" w:styleId="123">
    <w:name w:val="xl69"/>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kern w:val="0"/>
      <w:sz w:val="18"/>
      <w:szCs w:val="18"/>
    </w:rPr>
  </w:style>
  <w:style w:type="paragraph" w:customStyle="1" w:styleId="1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b/>
      <w:bCs/>
      <w:kern w:val="0"/>
      <w:sz w:val="18"/>
      <w:szCs w:val="18"/>
    </w:rPr>
  </w:style>
  <w:style w:type="paragraph" w:customStyle="1" w:styleId="125">
    <w:name w:val="文档正文文本（中安网脉）"/>
    <w:basedOn w:val="1"/>
    <w:qFormat/>
    <w:uiPriority w:val="0"/>
    <w:pPr>
      <w:ind w:firstLine="200"/>
    </w:pPr>
    <w:rPr>
      <w:rFonts w:ascii="Times New Roman" w:hAnsi="Times New Roman" w:eastAsia="仿宋_GB2312"/>
      <w:color w:val="000000"/>
      <w:szCs w:val="28"/>
    </w:rPr>
  </w:style>
  <w:style w:type="paragraph" w:customStyle="1" w:styleId="126">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Microsoft Sans Serif" w:hAnsi="Microsoft Sans Serif" w:cs="Microsoft Sans Serif"/>
      <w:kern w:val="0"/>
      <w:sz w:val="18"/>
      <w:szCs w:val="18"/>
    </w:rPr>
  </w:style>
  <w:style w:type="paragraph" w:customStyle="1" w:styleId="127">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128">
    <w:name w:val="样式 行距: 1.5 倍行距 首行缩进:  2 字符"/>
    <w:basedOn w:val="1"/>
    <w:qFormat/>
    <w:uiPriority w:val="0"/>
    <w:pPr>
      <w:ind w:firstLine="560"/>
      <w:jc w:val="left"/>
    </w:pPr>
    <w:rPr>
      <w:rFonts w:ascii="仿宋" w:hAnsi="仿宋" w:eastAsia="仿宋" w:cs="宋体"/>
      <w:sz w:val="28"/>
      <w:szCs w:val="20"/>
    </w:rPr>
  </w:style>
  <w:style w:type="paragraph" w:customStyle="1" w:styleId="129">
    <w:name w:val="TOC 标题1"/>
    <w:basedOn w:val="2"/>
    <w:next w:val="1"/>
    <w:qFormat/>
    <w:uiPriority w:val="39"/>
    <w:pPr>
      <w:widowControl/>
      <w:numPr>
        <w:numId w:val="0"/>
      </w:numPr>
      <w:spacing w:before="480" w:after="0" w:line="276" w:lineRule="auto"/>
      <w:jc w:val="left"/>
      <w:outlineLvl w:val="9"/>
    </w:pPr>
    <w:rPr>
      <w:rFonts w:ascii="Cambria" w:hAnsi="Cambria" w:eastAsia="宋体"/>
      <w:color w:val="365F91"/>
      <w:kern w:val="0"/>
      <w:sz w:val="28"/>
    </w:rPr>
  </w:style>
  <w:style w:type="table" w:customStyle="1" w:styleId="130">
    <w:name w:val="!我的表格1"/>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
    <w:name w:val="网格型1"/>
    <w:basedOn w:val="35"/>
    <w:unhideWhenUsed/>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2">
    <w:name w:val="标题 1 Char"/>
    <w:qFormat/>
    <w:uiPriority w:val="0"/>
    <w:rPr>
      <w:rFonts w:ascii="宋体" w:hAnsi="宋体" w:eastAsia="黑体"/>
      <w:b/>
      <w:bCs/>
      <w:kern w:val="44"/>
      <w:sz w:val="32"/>
      <w:szCs w:val="28"/>
    </w:rPr>
  </w:style>
  <w:style w:type="character" w:customStyle="1" w:styleId="133">
    <w:name w:val="纯文本 Char2"/>
    <w:qFormat/>
    <w:uiPriority w:val="0"/>
    <w:rPr>
      <w:rFonts w:ascii="宋体" w:hAnsi="宋体" w:eastAsia="宋体" w:cs="Times New Roman"/>
      <w:color w:val="000000"/>
      <w:kern w:val="0"/>
      <w:sz w:val="24"/>
      <w:szCs w:val="24"/>
    </w:rPr>
  </w:style>
  <w:style w:type="paragraph" w:customStyle="1" w:styleId="134">
    <w:name w:val="B-表正文"/>
    <w:qFormat/>
    <w:uiPriority w:val="0"/>
    <w:rPr>
      <w:rFonts w:ascii="Times New Roman" w:hAnsi="Times New Roman" w:eastAsia="仿宋" w:cstheme="minorBidi"/>
      <w:kern w:val="2"/>
      <w:sz w:val="21"/>
      <w:szCs w:val="24"/>
      <w:lang w:val="en-US" w:eastAsia="zh-CN" w:bidi="ar-SA"/>
    </w:rPr>
  </w:style>
  <w:style w:type="paragraph" w:customStyle="1" w:styleId="135">
    <w:name w:val="Revision"/>
    <w:hidden/>
    <w:unhideWhenUsed/>
    <w:qFormat/>
    <w:uiPriority w:val="99"/>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customXml" Target="ink/ink1.xml"/><Relationship Id="rId14" Type="http://schemas.openxmlformats.org/officeDocument/2006/relationships/image" Target="media/image1.emf"/><Relationship Id="rId13" Type="http://schemas.openxmlformats.org/officeDocument/2006/relationships/package" Target="embeddings/Microsoft_Visio___1.vsdx"/><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566929134" units="1/cm"/>
          <inkml:channelProperty channel="Y" name="resolution" value="28.3464566929134" units="1/cm"/>
          <inkml:channelProperty channel="F" name="resolution" value="0" units="1/dev"/>
        </inkml:channelProperties>
      </inkml:inkSource>
      <inkml:timestamp xml:id="ts0" timeString="2025-04-09T15:02:14"/>
    </inkml:context>
    <inkml:brush xml:id="br0">
      <inkml:brushProperty name="width" value="0.0529194456206428" units="cm"/>
      <inkml:brushProperty name="height" value="0.0529194456206428" units="cm"/>
      <inkml:brushProperty name="color" value="#f80600"/>
      <inkml:brushProperty name="ignorePressure" value="0"/>
    </inkml:brush>
  </inkml:definitions>
  <inkml:trace contextRef="#ctx0" brushRef="#br0">13375.000 138780.000 767</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AD641-0B16-48B9-B81A-C11DF304B1BF}">
  <ds:schemaRefs/>
</ds:datastoreItem>
</file>

<file path=docProps/app.xml><?xml version="1.0" encoding="utf-8"?>
<Properties xmlns="http://schemas.openxmlformats.org/officeDocument/2006/extended-properties" xmlns:vt="http://schemas.openxmlformats.org/officeDocument/2006/docPropsVTypes">
  <Template>Normal</Template>
  <Pages>15</Pages>
  <Words>6374</Words>
  <Characters>6502</Characters>
  <Lines>722</Lines>
  <Paragraphs>536</Paragraphs>
  <TotalTime>164</TotalTime>
  <ScaleCrop>false</ScaleCrop>
  <LinksUpToDate>false</LinksUpToDate>
  <CharactersWithSpaces>12340</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2025-02-10T11:23:00Z</dcterms:created>
  <dc:creator>gtig_tzb</dc:creator>
  <cp:lastModifiedBy>李修辞</cp:lastModifiedBy>
  <cp:lastPrinted>2020-08-08T20:08:00Z</cp:lastPrinted>
  <dcterms:modified xsi:type="dcterms:W3CDTF">2025-04-10T09:02:27Z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BB85908D4E16DF36B859EA6770B89DEB_42</vt:lpwstr>
  </property>
</Properties>
</file>