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C10E9B">
      <w:pPr>
        <w:ind w:firstLine="0" w:firstLineChars="0"/>
        <w:jc w:val="center"/>
        <w:rPr>
          <w:rFonts w:ascii="黑体" w:hAnsi="黑体" w:eastAsia="黑体"/>
          <w:color w:val="auto"/>
          <w:sz w:val="48"/>
          <w:szCs w:val="48"/>
        </w:rPr>
      </w:pPr>
    </w:p>
    <w:p w14:paraId="306AD759">
      <w:pPr>
        <w:ind w:firstLine="0" w:firstLineChars="0"/>
        <w:jc w:val="center"/>
        <w:rPr>
          <w:rFonts w:ascii="黑体" w:hAnsi="黑体" w:eastAsia="黑体"/>
          <w:color w:val="auto"/>
          <w:sz w:val="48"/>
          <w:szCs w:val="48"/>
        </w:rPr>
      </w:pPr>
    </w:p>
    <w:p w14:paraId="2A99B0C9">
      <w:pPr>
        <w:ind w:firstLine="0" w:firstLineChars="0"/>
        <w:jc w:val="center"/>
        <w:rPr>
          <w:rFonts w:hint="eastAsia" w:ascii="黑体" w:hAnsi="黑体" w:eastAsia="黑体"/>
          <w:color w:val="auto"/>
          <w:sz w:val="52"/>
          <w:szCs w:val="52"/>
          <w:lang w:eastAsia="zh-CN"/>
        </w:rPr>
      </w:pPr>
      <w:r>
        <w:rPr>
          <w:rFonts w:hint="eastAsia" w:ascii="黑体" w:hAnsi="黑体" w:eastAsia="黑体"/>
          <w:color w:val="auto"/>
          <w:sz w:val="52"/>
          <w:szCs w:val="52"/>
          <w:lang w:eastAsia="zh-CN"/>
        </w:rPr>
        <w:t>上海数字化智能审计工程</w:t>
      </w:r>
    </w:p>
    <w:p w14:paraId="3BC90A93">
      <w:pPr>
        <w:ind w:firstLine="0" w:firstLineChars="0"/>
        <w:jc w:val="center"/>
        <w:rPr>
          <w:rFonts w:ascii="黑体" w:hAnsi="黑体" w:eastAsia="黑体"/>
          <w:color w:val="auto"/>
          <w:sz w:val="52"/>
          <w:szCs w:val="52"/>
        </w:rPr>
      </w:pPr>
      <w:r>
        <w:rPr>
          <w:rFonts w:hint="eastAsia" w:ascii="黑体" w:hAnsi="黑体" w:eastAsia="黑体"/>
          <w:color w:val="auto"/>
          <w:sz w:val="52"/>
          <w:szCs w:val="52"/>
          <w:lang w:eastAsia="zh-CN"/>
        </w:rPr>
        <w:t>（2025年升级改造）</w:t>
      </w:r>
    </w:p>
    <w:p w14:paraId="04FD0605">
      <w:pPr>
        <w:ind w:firstLine="0" w:firstLineChars="0"/>
        <w:jc w:val="center"/>
        <w:rPr>
          <w:rFonts w:ascii="黑体" w:hAnsi="黑体" w:eastAsia="黑体"/>
          <w:color w:val="auto"/>
          <w:sz w:val="72"/>
          <w:szCs w:val="72"/>
        </w:rPr>
      </w:pPr>
      <w:r>
        <w:rPr>
          <w:rFonts w:hint="eastAsia" w:ascii="黑体" w:hAnsi="黑体" w:eastAsia="黑体"/>
          <w:color w:val="auto"/>
          <w:sz w:val="52"/>
          <w:szCs w:val="52"/>
        </w:rPr>
        <w:t>采购需求</w:t>
      </w:r>
    </w:p>
    <w:p w14:paraId="1476D4B0">
      <w:pPr>
        <w:ind w:firstLine="0" w:firstLineChars="0"/>
        <w:jc w:val="center"/>
        <w:rPr>
          <w:rFonts w:ascii="黑体" w:hAnsi="黑体" w:eastAsia="黑体"/>
          <w:color w:val="auto"/>
          <w:sz w:val="48"/>
          <w:szCs w:val="48"/>
        </w:rPr>
      </w:pPr>
    </w:p>
    <w:p w14:paraId="1F908A19">
      <w:pPr>
        <w:ind w:firstLine="0" w:firstLineChars="0"/>
        <w:jc w:val="center"/>
        <w:rPr>
          <w:rFonts w:ascii="黑体" w:hAnsi="黑体" w:eastAsia="黑体"/>
          <w:color w:val="auto"/>
          <w:sz w:val="52"/>
          <w:szCs w:val="52"/>
        </w:rPr>
      </w:pPr>
    </w:p>
    <w:p w14:paraId="2CA98496">
      <w:pPr>
        <w:ind w:firstLine="1040"/>
        <w:rPr>
          <w:rFonts w:ascii="黑体" w:hAnsi="黑体" w:eastAsia="黑体"/>
          <w:color w:val="auto"/>
          <w:sz w:val="52"/>
          <w:szCs w:val="52"/>
        </w:rPr>
      </w:pPr>
    </w:p>
    <w:p w14:paraId="22385AF9">
      <w:pPr>
        <w:rPr>
          <w:color w:val="auto"/>
        </w:rPr>
      </w:pPr>
    </w:p>
    <w:p w14:paraId="69F0097A">
      <w:pPr>
        <w:rPr>
          <w:color w:val="auto"/>
        </w:rPr>
      </w:pPr>
    </w:p>
    <w:p w14:paraId="1E434D56">
      <w:pPr>
        <w:rPr>
          <w:color w:val="auto"/>
        </w:rPr>
      </w:pPr>
    </w:p>
    <w:p w14:paraId="43E800A6">
      <w:pPr>
        <w:rPr>
          <w:color w:val="auto"/>
        </w:rPr>
      </w:pPr>
    </w:p>
    <w:p w14:paraId="12D01BE1">
      <w:pPr>
        <w:rPr>
          <w:color w:val="auto"/>
        </w:rPr>
      </w:pPr>
    </w:p>
    <w:p w14:paraId="631A77AE">
      <w:pPr>
        <w:ind w:firstLine="1040"/>
        <w:rPr>
          <w:rFonts w:ascii="黑体" w:hAnsi="黑体" w:eastAsia="黑体"/>
          <w:color w:val="auto"/>
          <w:sz w:val="52"/>
          <w:szCs w:val="52"/>
        </w:rPr>
      </w:pPr>
    </w:p>
    <w:p w14:paraId="5D2FEDA7">
      <w:pPr>
        <w:jc w:val="cente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42C5F6C1">
      <w:pPr>
        <w:pStyle w:val="2"/>
        <w:rPr>
          <w:color w:val="auto"/>
          <w:highlight w:val="none"/>
        </w:rPr>
      </w:pPr>
      <w:bookmarkStart w:id="0" w:name="_Toc63785461"/>
      <w:r>
        <w:rPr>
          <w:rFonts w:hint="eastAsia"/>
          <w:color w:val="auto"/>
          <w:highlight w:val="none"/>
        </w:rPr>
        <w:t>项目概况</w:t>
      </w:r>
      <w:bookmarkEnd w:id="0"/>
    </w:p>
    <w:p w14:paraId="4365B901">
      <w:pPr>
        <w:rPr>
          <w:rFonts w:hint="eastAsia"/>
          <w:color w:val="auto"/>
          <w:lang w:val="en-US" w:eastAsia="zh-CN"/>
        </w:rPr>
      </w:pPr>
      <w:r>
        <w:rPr>
          <w:rFonts w:hint="eastAsia"/>
          <w:color w:val="auto"/>
          <w:lang w:val="en-US" w:eastAsia="zh-CN"/>
        </w:rPr>
        <w:t>项目背景和现状：“上海数字化智能审计工程”是基于审计署“金审二期”工程部署推广要求及上海智慧城市建设大背景下提出。自2018年建成以来已有效提升审计效率和效能。为响应政府信创工作部署要求，拟在2027年前，对原工程中暂缓信创改造的系统进行一体化信创升级改造，实现软硬件的国产化替代和应用功能创新。</w:t>
      </w:r>
    </w:p>
    <w:p w14:paraId="5B71E6F1">
      <w:pPr>
        <w:rPr>
          <w:rFonts w:hint="eastAsia"/>
          <w:color w:val="auto"/>
          <w:lang w:val="en-US" w:eastAsia="zh-CN"/>
        </w:rPr>
      </w:pPr>
      <w:r>
        <w:rPr>
          <w:rFonts w:hint="eastAsia"/>
          <w:color w:val="auto"/>
          <w:lang w:val="en-US" w:eastAsia="zh-CN"/>
        </w:rPr>
        <w:t>随着经济全球化、信息技术快速发展，作为党和国家监督体系重要组成部分的审计工作存在任务繁重，审计人员相对不足等问题。通过数字化智能审计工程信创改造项目，提高审计工作的效率和质量。同时，习近平总书记《在二十届中央审计委员会第一次会议上的讲话》重要文章中指出：“做好新时代新征程审计工作，总的要求是在构建集中统一、全面覆盖、权威高效的审计监督体系，更好发挥审计监督作用上聚焦发力，具体要做到‘三个如’。”在此工作要求下，通过整合和利用更先进、更高效、更智能的信息技术支持，优化审计流程，提升审计效率，增强数据分析能力，强化审计结果的准确性。以实现对政府财政资金使用、公共资源配置和权力运行的全面、深入监督。项目建设将为审计人员提供更加科学、高效的工作手段，推动审计工作向更高水平发展。</w:t>
      </w:r>
    </w:p>
    <w:p w14:paraId="32588D0D">
      <w:pPr>
        <w:rPr>
          <w:rFonts w:hint="eastAsia"/>
          <w:color w:val="auto"/>
          <w:lang w:val="en-US" w:eastAsia="zh-CN"/>
        </w:rPr>
      </w:pPr>
      <w:r>
        <w:rPr>
          <w:rFonts w:hint="eastAsia"/>
          <w:color w:val="auto"/>
          <w:lang w:val="en-US" w:eastAsia="zh-CN"/>
        </w:rPr>
        <w:t>习近平总书记在二十届中央审计委员会第一次会议上对新时代新征程审计工作提出了总体高质量发展要求。项目建设旨在通过引入和应用大数据、云计算、人工智能等先进技术，构建集中统一、全面覆盖、权威高效的审计监督体系，以达到“如臂使指”般精准、“如影随形”般及时、“如雷贯耳”般深远的审计工作要求。实现审计工作智能化升级，提升大数据环境下审计工作效率和质量，推动审计工作在新时代实现高质量发展。</w:t>
      </w:r>
    </w:p>
    <w:p w14:paraId="32619029">
      <w:pPr>
        <w:rPr>
          <w:rFonts w:hint="eastAsia" w:ascii="宋体" w:hAnsi="宋体" w:eastAsia="宋体" w:cs="Times New Roman"/>
          <w:color w:val="auto"/>
          <w:kern w:val="2"/>
          <w:szCs w:val="24"/>
          <w:lang w:val="en-US" w:eastAsia="zh-CN" w:bidi="ar-SA"/>
        </w:rPr>
      </w:pPr>
      <w:r>
        <w:rPr>
          <w:rFonts w:hint="eastAsia"/>
          <w:color w:val="auto"/>
          <w:lang w:val="en-US" w:eastAsia="zh-CN"/>
        </w:rPr>
        <w:t>本项目建设是将审计管理和审计业务的信息化水平向更高效、更规范、更智能的层次提升，实现审计资源的集中化、审计业务的数字化、审计方式的智能化和审计决策的科学化，从而使整个审计工作（包含审计模式和审计方式）以一种更高效科学的方式运行，实现审计工作的数据共享、业务协同和审计方式方法的创新，充分发挥审计监督的免疫系统功能作用，保障上海经济转型升级，服务科学发展大局。</w:t>
      </w:r>
    </w:p>
    <w:p w14:paraId="47B7E4DC">
      <w:pPr>
        <w:spacing w:line="560" w:lineRule="exact"/>
        <w:rPr>
          <w:rFonts w:hint="eastAsia" w:eastAsia="宋体"/>
          <w:color w:val="auto"/>
          <w:highlight w:val="none"/>
          <w:lang w:eastAsia="zh-CN"/>
        </w:rPr>
      </w:pPr>
      <w:r>
        <w:rPr>
          <w:rFonts w:hint="eastAsia"/>
          <w:color w:val="auto"/>
          <w:highlight w:val="none"/>
        </w:rPr>
        <w:t>建设期限：</w:t>
      </w:r>
      <w:r>
        <w:rPr>
          <w:rFonts w:hint="eastAsia"/>
          <w:color w:val="auto"/>
          <w:highlight w:val="none"/>
          <w:lang w:val="en-US" w:eastAsia="zh-CN"/>
        </w:rPr>
        <w:t>自合同签订之日起</w:t>
      </w:r>
      <w:r>
        <w:rPr>
          <w:rFonts w:hint="eastAsia"/>
          <w:color w:val="auto"/>
          <w:highlight w:val="none"/>
        </w:rPr>
        <w:t>至20</w:t>
      </w:r>
      <w:r>
        <w:rPr>
          <w:rFonts w:hint="eastAsia"/>
          <w:color w:val="auto"/>
          <w:highlight w:val="none"/>
          <w:lang w:val="en-US" w:eastAsia="zh-CN"/>
        </w:rPr>
        <w:t>26</w:t>
      </w:r>
      <w:r>
        <w:rPr>
          <w:rFonts w:hint="eastAsia"/>
          <w:color w:val="auto"/>
          <w:highlight w:val="none"/>
        </w:rPr>
        <w:t>年</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31日前</w:t>
      </w:r>
      <w:r>
        <w:rPr>
          <w:rFonts w:hint="eastAsia"/>
          <w:color w:val="auto"/>
          <w:highlight w:val="none"/>
          <w:lang w:eastAsia="zh-CN"/>
        </w:rPr>
        <w:t>完成项目并通过验收</w:t>
      </w:r>
    </w:p>
    <w:p w14:paraId="03447072">
      <w:pPr>
        <w:spacing w:line="560" w:lineRule="exact"/>
        <w:rPr>
          <w:rFonts w:hint="eastAsia"/>
          <w:color w:val="auto"/>
        </w:rPr>
      </w:pPr>
      <w:r>
        <w:rPr>
          <w:rFonts w:hint="eastAsia"/>
          <w:color w:val="auto"/>
        </w:rPr>
        <w:t>建设地点：</w:t>
      </w:r>
      <w:r>
        <w:rPr>
          <w:rFonts w:hint="eastAsia" w:cs="宋体"/>
          <w:color w:val="auto"/>
          <w:highlight w:val="none"/>
        </w:rPr>
        <w:t>上海市</w:t>
      </w:r>
      <w:r>
        <w:rPr>
          <w:rFonts w:hint="eastAsia" w:cs="宋体"/>
          <w:color w:val="auto"/>
          <w:highlight w:val="none"/>
          <w:lang w:val="en-US" w:eastAsia="zh-CN"/>
        </w:rPr>
        <w:t>世博村路300号</w:t>
      </w:r>
    </w:p>
    <w:p w14:paraId="6B5DFB8F">
      <w:pPr>
        <w:spacing w:line="560" w:lineRule="exact"/>
        <w:rPr>
          <w:color w:val="auto"/>
        </w:rPr>
      </w:pPr>
      <w:r>
        <w:rPr>
          <w:rFonts w:hint="eastAsia"/>
          <w:color w:val="auto"/>
        </w:rPr>
        <w:t>预算金额：1</w:t>
      </w:r>
      <w:r>
        <w:rPr>
          <w:rFonts w:hint="eastAsia"/>
          <w:color w:val="auto"/>
          <w:lang w:val="en-US" w:eastAsia="zh-CN"/>
        </w:rPr>
        <w:t>5877500</w:t>
      </w:r>
      <w:r>
        <w:rPr>
          <w:rFonts w:hint="eastAsia"/>
          <w:color w:val="auto"/>
        </w:rPr>
        <w:t>元</w:t>
      </w:r>
    </w:p>
    <w:p w14:paraId="59DD2B89">
      <w:pPr>
        <w:spacing w:line="560" w:lineRule="exact"/>
        <w:rPr>
          <w:color w:val="auto"/>
        </w:rPr>
      </w:pPr>
      <w:r>
        <w:rPr>
          <w:rFonts w:hint="eastAsia"/>
          <w:color w:val="auto"/>
        </w:rPr>
        <w:t>采购金额（最高限价）：1</w:t>
      </w:r>
      <w:r>
        <w:rPr>
          <w:rFonts w:hint="eastAsia"/>
          <w:color w:val="auto"/>
          <w:lang w:val="en-US" w:eastAsia="zh-CN"/>
        </w:rPr>
        <w:t>5877500</w:t>
      </w:r>
      <w:r>
        <w:rPr>
          <w:rFonts w:hint="eastAsia"/>
          <w:color w:val="auto"/>
        </w:rPr>
        <w:t>元</w:t>
      </w:r>
    </w:p>
    <w:p w14:paraId="1F04462C">
      <w:pPr>
        <w:rPr>
          <w:color w:val="auto"/>
        </w:rPr>
      </w:pPr>
      <w:r>
        <w:rPr>
          <w:rFonts w:hint="eastAsia"/>
          <w:color w:val="auto"/>
        </w:rPr>
        <w:t>组织形式：集中采购</w:t>
      </w:r>
    </w:p>
    <w:p w14:paraId="50AB05D3">
      <w:pPr>
        <w:rPr>
          <w:color w:val="auto"/>
        </w:rPr>
      </w:pPr>
      <w:r>
        <w:rPr>
          <w:rFonts w:hint="eastAsia"/>
          <w:color w:val="auto"/>
        </w:rPr>
        <w:t>采购方式：公开招标</w:t>
      </w:r>
    </w:p>
    <w:p w14:paraId="6B982885">
      <w:pPr>
        <w:rPr>
          <w:color w:val="auto"/>
        </w:rPr>
      </w:pPr>
      <w:r>
        <w:rPr>
          <w:rFonts w:hint="eastAsia"/>
          <w:color w:val="auto"/>
        </w:rPr>
        <w:t>是否接受联合体投标：否</w:t>
      </w:r>
    </w:p>
    <w:p w14:paraId="57EA9495">
      <w:pPr>
        <w:rPr>
          <w:color w:val="auto"/>
        </w:rPr>
      </w:pPr>
      <w:r>
        <w:rPr>
          <w:color w:val="auto"/>
        </w:rPr>
        <w:t>是否按信创要求建设：是</w:t>
      </w:r>
    </w:p>
    <w:p w14:paraId="404A5425">
      <w:pPr>
        <w:rPr>
          <w:color w:val="auto"/>
        </w:rPr>
      </w:pPr>
      <w:r>
        <w:rPr>
          <w:rFonts w:hint="eastAsia"/>
          <w:color w:val="auto"/>
        </w:rPr>
        <w:t>运维后所属大系统：数字化智能审计工程</w:t>
      </w:r>
    </w:p>
    <w:p w14:paraId="38BB0944">
      <w:pPr>
        <w:pStyle w:val="2"/>
        <w:rPr>
          <w:color w:val="auto"/>
        </w:rPr>
      </w:pPr>
      <w:bookmarkStart w:id="1" w:name="_Toc47537134"/>
      <w:bookmarkEnd w:id="1"/>
      <w:bookmarkStart w:id="2" w:name="_Toc47532891"/>
      <w:bookmarkEnd w:id="2"/>
      <w:bookmarkStart w:id="3" w:name="_Toc47536644"/>
      <w:bookmarkEnd w:id="3"/>
      <w:bookmarkStart w:id="4" w:name="_Toc47531634"/>
      <w:bookmarkEnd w:id="4"/>
      <w:bookmarkStart w:id="5" w:name="_Toc47532255"/>
      <w:bookmarkEnd w:id="5"/>
      <w:bookmarkStart w:id="6" w:name="_Toc47533256"/>
      <w:bookmarkEnd w:id="6"/>
      <w:bookmarkStart w:id="7" w:name="_Toc47539070"/>
      <w:bookmarkEnd w:id="7"/>
      <w:bookmarkStart w:id="8" w:name="_Toc47536272"/>
      <w:bookmarkEnd w:id="8"/>
      <w:bookmarkStart w:id="9" w:name="_Toc48223882"/>
      <w:bookmarkStart w:id="10" w:name="_Toc63785463"/>
      <w:r>
        <w:rPr>
          <w:rFonts w:hint="eastAsia"/>
          <w:color w:val="auto"/>
        </w:rPr>
        <w:t>建设目标</w:t>
      </w:r>
      <w:bookmarkEnd w:id="9"/>
      <w:bookmarkEnd w:id="10"/>
    </w:p>
    <w:p w14:paraId="294E42F0">
      <w:pPr>
        <w:pStyle w:val="3"/>
        <w:rPr>
          <w:rFonts w:hint="eastAsia"/>
          <w:b/>
          <w:color w:val="auto"/>
        </w:rPr>
      </w:pPr>
      <w:r>
        <w:rPr>
          <w:rFonts w:hint="eastAsia"/>
          <w:b/>
          <w:color w:val="auto"/>
          <w:lang w:val="en-US" w:eastAsia="zh-CN"/>
        </w:rPr>
        <w:t>建设目标</w:t>
      </w:r>
    </w:p>
    <w:p w14:paraId="5138C0AA">
      <w:pPr>
        <w:ind w:firstLine="482"/>
        <w:rPr>
          <w:rFonts w:hint="eastAsia"/>
          <w:color w:val="auto"/>
        </w:rPr>
      </w:pPr>
      <w:r>
        <w:rPr>
          <w:rFonts w:hint="eastAsia"/>
          <w:color w:val="auto"/>
        </w:rPr>
        <w:t>项目建设将紧紧围绕市委审计委员会关于《“十四五”上海市审计工作发展规划》目标，本市电子政务建设及</w:t>
      </w:r>
      <w:r>
        <w:rPr>
          <w:rFonts w:hint="eastAsia"/>
          <w:color w:val="auto"/>
          <w:lang w:val="en-US" w:eastAsia="zh-CN"/>
        </w:rPr>
        <w:t>信创</w:t>
      </w:r>
      <w:r>
        <w:rPr>
          <w:rFonts w:hint="eastAsia"/>
          <w:color w:val="auto"/>
        </w:rPr>
        <w:t>等文件要求，以审计工作数字化、信创化、智能化推进审计数字化转型，赋能审计工作高质量发展。</w:t>
      </w:r>
    </w:p>
    <w:p w14:paraId="2F56EA7F">
      <w:pPr>
        <w:ind w:firstLine="482"/>
        <w:rPr>
          <w:rFonts w:hint="eastAsia"/>
          <w:color w:val="auto"/>
        </w:rPr>
      </w:pPr>
      <w:r>
        <w:rPr>
          <w:rFonts w:hint="eastAsia"/>
          <w:color w:val="auto"/>
        </w:rPr>
        <w:t>一是通过整合审计流程、优化审计方法、简化审计步骤等方式，通过引入数据分析审计、通过审计数据分析和模型预测等先进的审计理念和技术，提升审计方式的智能化，并基于对原有系统功能整合优化，实现审计资源的集中化管理，提高资源利用效率。</w:t>
      </w:r>
    </w:p>
    <w:p w14:paraId="1517A398">
      <w:pPr>
        <w:ind w:firstLine="482"/>
        <w:rPr>
          <w:rFonts w:hint="eastAsia"/>
          <w:color w:val="auto"/>
        </w:rPr>
      </w:pPr>
      <w:r>
        <w:rPr>
          <w:rFonts w:hint="eastAsia"/>
          <w:color w:val="auto"/>
        </w:rPr>
        <w:t>二是引用新技术提升审计智能化水平，通过整合大数据、云计算、人工智能、自然语言处理技术、大语言模型等信息技术，提升审计工作的自动化程度，减轻审计人员的工作负担。通过新技术应用，极大缓解审计任务繁重和审计人员相对不足等问题的同时，可提高审计工作的准确性、全面性和时效性，在“上海数字化智能审计工程”的基础上进一步提高审计工作的质量。</w:t>
      </w:r>
    </w:p>
    <w:p w14:paraId="57B93764">
      <w:pPr>
        <w:ind w:firstLine="482"/>
        <w:rPr>
          <w:rFonts w:hint="eastAsia"/>
          <w:b/>
          <w:color w:val="auto"/>
        </w:rPr>
      </w:pPr>
      <w:r>
        <w:rPr>
          <w:rFonts w:hint="eastAsia"/>
          <w:color w:val="auto"/>
        </w:rPr>
        <w:t>三是对“上海数字化智能审计工程”中暂缓信创改造的系统进行一体化信创升级改造，实现软硬件的国产化替代和应用功能创新。提升系统运行性能、效率与安全性，保障数据存储与使用安全。同时，通过对数据分类管理、权限分级授权等各类措施，保障数据存储和使用的安全性</w:t>
      </w:r>
      <w:r>
        <w:rPr>
          <w:color w:val="auto"/>
        </w:rPr>
        <w:t>。</w:t>
      </w:r>
    </w:p>
    <w:p w14:paraId="32ADCB50">
      <w:pPr>
        <w:pStyle w:val="3"/>
        <w:rPr>
          <w:rFonts w:hint="eastAsia"/>
          <w:color w:val="auto"/>
          <w:highlight w:val="none"/>
        </w:rPr>
      </w:pPr>
      <w:r>
        <w:rPr>
          <w:rFonts w:hint="eastAsia"/>
          <w:b/>
          <w:color w:val="auto"/>
          <w:highlight w:val="none"/>
          <w:lang w:val="en-US" w:eastAsia="zh-CN"/>
        </w:rPr>
        <w:t>业务绩效目标</w:t>
      </w:r>
    </w:p>
    <w:tbl>
      <w:tblPr>
        <w:tblStyle w:val="36"/>
        <w:tblW w:w="85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2"/>
        <w:gridCol w:w="1122"/>
        <w:gridCol w:w="1362"/>
        <w:gridCol w:w="3334"/>
        <w:gridCol w:w="1585"/>
      </w:tblGrid>
      <w:tr w14:paraId="461B1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44" w:type="dxa"/>
            <w:gridSpan w:val="2"/>
            <w:tcBorders>
              <w:top w:val="single" w:color="000000" w:sz="4" w:space="0"/>
              <w:left w:val="single" w:color="000000" w:sz="4" w:space="0"/>
              <w:bottom w:val="single" w:color="000000" w:sz="4" w:space="0"/>
              <w:right w:val="single" w:color="000000" w:sz="4" w:space="0"/>
            </w:tcBorders>
            <w:vAlign w:val="center"/>
          </w:tcPr>
          <w:p w14:paraId="60D71AED">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总体目标</w:t>
            </w:r>
          </w:p>
        </w:tc>
        <w:tc>
          <w:tcPr>
            <w:tcW w:w="6281" w:type="dxa"/>
            <w:gridSpan w:val="3"/>
            <w:tcBorders>
              <w:top w:val="single" w:color="000000" w:sz="4" w:space="0"/>
              <w:left w:val="single" w:color="000000" w:sz="4" w:space="0"/>
              <w:bottom w:val="single" w:color="000000" w:sz="4" w:space="0"/>
              <w:right w:val="single" w:color="000000" w:sz="4" w:space="0"/>
            </w:tcBorders>
            <w:vAlign w:val="center"/>
          </w:tcPr>
          <w:p w14:paraId="02C41B4A">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本项目根据《关于印发中共上海市委审计委员会2023年度工作总结和2024年度工作要点的通知》（沪委审〔2024〕1号）《“十四五”推进国家政务信息化规划》等文件要求、建设智审DESK、审计应用助手，升级改造数据报采中心、数据管理中心等，提升审计工作数字化，智能化，推进审计数字化转型，赋能审计工作高质量发展。</w:t>
            </w:r>
          </w:p>
        </w:tc>
      </w:tr>
      <w:tr w14:paraId="1C3F6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restart"/>
            <w:tcBorders>
              <w:top w:val="single" w:color="000000" w:sz="4" w:space="0"/>
              <w:left w:val="single" w:color="000000" w:sz="4" w:space="0"/>
              <w:bottom w:val="single" w:color="000000" w:sz="4" w:space="0"/>
              <w:right w:val="single" w:color="000000" w:sz="4" w:space="0"/>
            </w:tcBorders>
            <w:vAlign w:val="center"/>
          </w:tcPr>
          <w:p w14:paraId="7586B1CF">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规划指标参数</w:t>
            </w:r>
          </w:p>
        </w:tc>
        <w:tc>
          <w:tcPr>
            <w:tcW w:w="1122" w:type="dxa"/>
            <w:tcBorders>
              <w:top w:val="single" w:color="000000" w:sz="4" w:space="0"/>
              <w:left w:val="single" w:color="000000" w:sz="4" w:space="0"/>
              <w:bottom w:val="single" w:color="000000" w:sz="4" w:space="0"/>
              <w:right w:val="single" w:color="000000" w:sz="4" w:space="0"/>
            </w:tcBorders>
            <w:vAlign w:val="center"/>
          </w:tcPr>
          <w:p w14:paraId="51B0F3EE">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一级指标</w:t>
            </w:r>
          </w:p>
        </w:tc>
        <w:tc>
          <w:tcPr>
            <w:tcW w:w="1362" w:type="dxa"/>
            <w:tcBorders>
              <w:top w:val="single" w:color="000000" w:sz="4" w:space="0"/>
              <w:left w:val="single" w:color="000000" w:sz="4" w:space="0"/>
              <w:bottom w:val="single" w:color="000000" w:sz="4" w:space="0"/>
              <w:right w:val="single" w:color="000000" w:sz="4" w:space="0"/>
            </w:tcBorders>
            <w:vAlign w:val="center"/>
          </w:tcPr>
          <w:p w14:paraId="1998C0B1">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二级指标</w:t>
            </w:r>
          </w:p>
        </w:tc>
        <w:tc>
          <w:tcPr>
            <w:tcW w:w="3334" w:type="dxa"/>
            <w:tcBorders>
              <w:top w:val="single" w:color="000000" w:sz="4" w:space="0"/>
              <w:left w:val="single" w:color="000000" w:sz="4" w:space="0"/>
              <w:bottom w:val="single" w:color="000000" w:sz="4" w:space="0"/>
              <w:right w:val="single" w:color="000000" w:sz="4" w:space="0"/>
            </w:tcBorders>
            <w:vAlign w:val="center"/>
          </w:tcPr>
          <w:p w14:paraId="3719C6AE">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三级指标</w:t>
            </w:r>
          </w:p>
        </w:tc>
        <w:tc>
          <w:tcPr>
            <w:tcW w:w="1585" w:type="dxa"/>
            <w:tcBorders>
              <w:top w:val="single" w:color="000000" w:sz="4" w:space="0"/>
              <w:left w:val="single" w:color="000000" w:sz="4" w:space="0"/>
              <w:bottom w:val="single" w:color="000000" w:sz="4" w:space="0"/>
              <w:right w:val="single" w:color="000000" w:sz="4" w:space="0"/>
            </w:tcBorders>
            <w:vAlign w:val="center"/>
          </w:tcPr>
          <w:p w14:paraId="1253EF6F">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目标值</w:t>
            </w:r>
          </w:p>
        </w:tc>
      </w:tr>
      <w:tr w14:paraId="7F6A8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6770294">
            <w:pPr>
              <w:jc w:val="center"/>
              <w:rPr>
                <w:rFonts w:hint="eastAsia" w:ascii="宋体" w:hAnsi="宋体" w:eastAsia="宋体" w:cs="宋体"/>
                <w:i w:val="0"/>
                <w:iCs w:val="0"/>
                <w:color w:val="auto"/>
                <w:sz w:val="22"/>
                <w:szCs w:val="22"/>
                <w:u w:val="none"/>
              </w:rPr>
            </w:pPr>
          </w:p>
        </w:tc>
        <w:tc>
          <w:tcPr>
            <w:tcW w:w="1122" w:type="dxa"/>
            <w:vMerge w:val="restart"/>
            <w:tcBorders>
              <w:top w:val="single" w:color="000000" w:sz="4" w:space="0"/>
              <w:left w:val="single" w:color="000000" w:sz="4" w:space="0"/>
              <w:bottom w:val="single" w:color="000000" w:sz="4" w:space="0"/>
              <w:right w:val="single" w:color="000000" w:sz="4" w:space="0"/>
            </w:tcBorders>
            <w:vAlign w:val="center"/>
          </w:tcPr>
          <w:p w14:paraId="6CCC14CD">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通用指标</w:t>
            </w:r>
          </w:p>
        </w:tc>
        <w:tc>
          <w:tcPr>
            <w:tcW w:w="1362" w:type="dxa"/>
            <w:tcBorders>
              <w:top w:val="single" w:color="000000" w:sz="4" w:space="0"/>
              <w:left w:val="single" w:color="000000" w:sz="4" w:space="0"/>
              <w:bottom w:val="single" w:color="000000" w:sz="4" w:space="0"/>
              <w:right w:val="single" w:color="000000" w:sz="4" w:space="0"/>
            </w:tcBorders>
            <w:vAlign w:val="center"/>
          </w:tcPr>
          <w:p w14:paraId="4D13A64A">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产出数量</w:t>
            </w:r>
          </w:p>
        </w:tc>
        <w:tc>
          <w:tcPr>
            <w:tcW w:w="3334" w:type="dxa"/>
            <w:tcBorders>
              <w:top w:val="single" w:color="000000" w:sz="4" w:space="0"/>
              <w:left w:val="single" w:color="000000" w:sz="4" w:space="0"/>
              <w:bottom w:val="single" w:color="000000" w:sz="4" w:space="0"/>
              <w:right w:val="single" w:color="000000" w:sz="4" w:space="0"/>
            </w:tcBorders>
            <w:vAlign w:val="center"/>
          </w:tcPr>
          <w:p w14:paraId="56118C68">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软件开发完成率</w:t>
            </w:r>
          </w:p>
        </w:tc>
        <w:tc>
          <w:tcPr>
            <w:tcW w:w="1585" w:type="dxa"/>
            <w:tcBorders>
              <w:top w:val="single" w:color="000000" w:sz="4" w:space="0"/>
              <w:left w:val="single" w:color="000000" w:sz="4" w:space="0"/>
              <w:bottom w:val="single" w:color="000000" w:sz="4" w:space="0"/>
              <w:right w:val="single" w:color="000000" w:sz="4" w:space="0"/>
            </w:tcBorders>
            <w:vAlign w:val="center"/>
          </w:tcPr>
          <w:p w14:paraId="21F4438F">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w:t>
            </w:r>
          </w:p>
        </w:tc>
      </w:tr>
      <w:tr w14:paraId="65CEF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003AF74">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668DE922">
            <w:pPr>
              <w:jc w:val="center"/>
              <w:rPr>
                <w:rFonts w:hint="eastAsia" w:ascii="宋体" w:hAnsi="宋体" w:eastAsia="宋体" w:cs="宋体"/>
                <w:i w:val="0"/>
                <w:iCs w:val="0"/>
                <w:color w:val="auto"/>
                <w:sz w:val="22"/>
                <w:szCs w:val="22"/>
                <w:u w:val="none"/>
              </w:rPr>
            </w:pPr>
          </w:p>
        </w:tc>
        <w:tc>
          <w:tcPr>
            <w:tcW w:w="1362" w:type="dxa"/>
            <w:vMerge w:val="restart"/>
            <w:tcBorders>
              <w:top w:val="single" w:color="000000" w:sz="4" w:space="0"/>
              <w:left w:val="single" w:color="000000" w:sz="4" w:space="0"/>
              <w:bottom w:val="single" w:color="000000" w:sz="4" w:space="0"/>
              <w:right w:val="single" w:color="000000" w:sz="4" w:space="0"/>
            </w:tcBorders>
            <w:vAlign w:val="center"/>
          </w:tcPr>
          <w:p w14:paraId="68249915">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产出质量</w:t>
            </w:r>
          </w:p>
        </w:tc>
        <w:tc>
          <w:tcPr>
            <w:tcW w:w="3334" w:type="dxa"/>
            <w:tcBorders>
              <w:top w:val="single" w:color="000000" w:sz="4" w:space="0"/>
              <w:left w:val="single" w:color="000000" w:sz="4" w:space="0"/>
              <w:bottom w:val="single" w:color="000000" w:sz="4" w:space="0"/>
              <w:right w:val="single" w:color="000000" w:sz="4" w:space="0"/>
            </w:tcBorders>
            <w:vAlign w:val="center"/>
          </w:tcPr>
          <w:p w14:paraId="64750C8E">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一次性验收合格率</w:t>
            </w:r>
          </w:p>
        </w:tc>
        <w:tc>
          <w:tcPr>
            <w:tcW w:w="1585" w:type="dxa"/>
            <w:tcBorders>
              <w:top w:val="single" w:color="000000" w:sz="4" w:space="0"/>
              <w:left w:val="single" w:color="000000" w:sz="4" w:space="0"/>
              <w:bottom w:val="single" w:color="000000" w:sz="4" w:space="0"/>
              <w:right w:val="single" w:color="000000" w:sz="4" w:space="0"/>
            </w:tcBorders>
            <w:vAlign w:val="center"/>
          </w:tcPr>
          <w:p w14:paraId="3D71ABBC">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w:t>
            </w:r>
          </w:p>
        </w:tc>
      </w:tr>
      <w:tr w14:paraId="11E5E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1CFEB87">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7557960">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1B61F412">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7BB80615">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系统稳定性</w:t>
            </w:r>
          </w:p>
        </w:tc>
        <w:tc>
          <w:tcPr>
            <w:tcW w:w="1585" w:type="dxa"/>
            <w:tcBorders>
              <w:top w:val="single" w:color="000000" w:sz="4" w:space="0"/>
              <w:left w:val="single" w:color="000000" w:sz="4" w:space="0"/>
              <w:bottom w:val="single" w:color="000000" w:sz="4" w:space="0"/>
              <w:right w:val="single" w:color="000000" w:sz="4" w:space="0"/>
            </w:tcBorders>
            <w:vAlign w:val="center"/>
          </w:tcPr>
          <w:p w14:paraId="660985C3">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99.90%</w:t>
            </w:r>
          </w:p>
        </w:tc>
      </w:tr>
      <w:tr w14:paraId="1F085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BA7AB4A">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A5C60DE">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3E5E9619">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23F57486">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平均故障修复时间</w:t>
            </w:r>
          </w:p>
        </w:tc>
        <w:tc>
          <w:tcPr>
            <w:tcW w:w="1585" w:type="dxa"/>
            <w:tcBorders>
              <w:top w:val="single" w:color="000000" w:sz="4" w:space="0"/>
              <w:left w:val="single" w:color="000000" w:sz="4" w:space="0"/>
              <w:bottom w:val="single" w:color="000000" w:sz="4" w:space="0"/>
              <w:right w:val="single" w:color="000000" w:sz="4" w:space="0"/>
            </w:tcBorders>
            <w:vAlign w:val="center"/>
          </w:tcPr>
          <w:p w14:paraId="799ECD0E">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&lt;30分钟</w:t>
            </w:r>
          </w:p>
        </w:tc>
      </w:tr>
      <w:tr w14:paraId="1769B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19D0D322">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6DEC9032">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3264ABF6">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143118C1">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软件测试</w:t>
            </w:r>
          </w:p>
        </w:tc>
        <w:tc>
          <w:tcPr>
            <w:tcW w:w="1585" w:type="dxa"/>
            <w:tcBorders>
              <w:top w:val="single" w:color="000000" w:sz="4" w:space="0"/>
              <w:left w:val="single" w:color="000000" w:sz="4" w:space="0"/>
              <w:bottom w:val="single" w:color="000000" w:sz="4" w:space="0"/>
              <w:right w:val="single" w:color="000000" w:sz="4" w:space="0"/>
            </w:tcBorders>
            <w:vAlign w:val="center"/>
          </w:tcPr>
          <w:p w14:paraId="1400E31F">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通过</w:t>
            </w:r>
          </w:p>
        </w:tc>
      </w:tr>
      <w:tr w14:paraId="7C894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069CC976">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00186856">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6288BA4F">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69C97CB1">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密码测评</w:t>
            </w:r>
          </w:p>
        </w:tc>
        <w:tc>
          <w:tcPr>
            <w:tcW w:w="1585" w:type="dxa"/>
            <w:tcBorders>
              <w:top w:val="single" w:color="000000" w:sz="4" w:space="0"/>
              <w:left w:val="single" w:color="000000" w:sz="4" w:space="0"/>
              <w:bottom w:val="single" w:color="000000" w:sz="4" w:space="0"/>
              <w:right w:val="single" w:color="000000" w:sz="4" w:space="0"/>
            </w:tcBorders>
            <w:vAlign w:val="center"/>
          </w:tcPr>
          <w:p w14:paraId="26EAAD0D">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通过</w:t>
            </w:r>
          </w:p>
        </w:tc>
      </w:tr>
      <w:tr w14:paraId="02CFE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0E0C235B">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79FE5AD">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4FBCA0FD">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2EC2C9D6">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安全测评</w:t>
            </w:r>
          </w:p>
        </w:tc>
        <w:tc>
          <w:tcPr>
            <w:tcW w:w="1585" w:type="dxa"/>
            <w:tcBorders>
              <w:top w:val="single" w:color="000000" w:sz="4" w:space="0"/>
              <w:left w:val="single" w:color="000000" w:sz="4" w:space="0"/>
              <w:bottom w:val="single" w:color="000000" w:sz="4" w:space="0"/>
              <w:right w:val="single" w:color="000000" w:sz="4" w:space="0"/>
            </w:tcBorders>
            <w:vAlign w:val="center"/>
          </w:tcPr>
          <w:p w14:paraId="400344CB">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通过</w:t>
            </w:r>
          </w:p>
        </w:tc>
      </w:tr>
      <w:tr w14:paraId="7381F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4367FCC">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9A1BFAA">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27522495">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7297C71F">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网络安全等级</w:t>
            </w:r>
          </w:p>
        </w:tc>
        <w:tc>
          <w:tcPr>
            <w:tcW w:w="1585" w:type="dxa"/>
            <w:tcBorders>
              <w:top w:val="single" w:color="000000" w:sz="4" w:space="0"/>
              <w:left w:val="single" w:color="000000" w:sz="4" w:space="0"/>
              <w:bottom w:val="single" w:color="000000" w:sz="4" w:space="0"/>
              <w:right w:val="single" w:color="000000" w:sz="4" w:space="0"/>
            </w:tcBorders>
            <w:vAlign w:val="center"/>
          </w:tcPr>
          <w:p w14:paraId="7A27227E">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三级</w:t>
            </w:r>
          </w:p>
        </w:tc>
      </w:tr>
      <w:tr w14:paraId="5D866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024DF4E">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665DE94">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11967759">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70FBF2E2">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安全事件发生次数</w:t>
            </w:r>
          </w:p>
        </w:tc>
        <w:tc>
          <w:tcPr>
            <w:tcW w:w="1585" w:type="dxa"/>
            <w:tcBorders>
              <w:top w:val="single" w:color="000000" w:sz="4" w:space="0"/>
              <w:left w:val="single" w:color="000000" w:sz="4" w:space="0"/>
              <w:bottom w:val="single" w:color="000000" w:sz="4" w:space="0"/>
              <w:right w:val="single" w:color="000000" w:sz="4" w:space="0"/>
            </w:tcBorders>
            <w:vAlign w:val="center"/>
          </w:tcPr>
          <w:p w14:paraId="47DC0596">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0次</w:t>
            </w:r>
          </w:p>
        </w:tc>
      </w:tr>
      <w:tr w14:paraId="42CF8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26EB00C">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4C02424">
            <w:pPr>
              <w:jc w:val="center"/>
              <w:rPr>
                <w:rFonts w:hint="eastAsia" w:ascii="宋体" w:hAnsi="宋体" w:eastAsia="宋体" w:cs="宋体"/>
                <w:i w:val="0"/>
                <w:iCs w:val="0"/>
                <w:color w:val="auto"/>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vAlign w:val="center"/>
          </w:tcPr>
          <w:p w14:paraId="1086FBC3">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产出时效</w:t>
            </w:r>
          </w:p>
        </w:tc>
        <w:tc>
          <w:tcPr>
            <w:tcW w:w="3334" w:type="dxa"/>
            <w:tcBorders>
              <w:top w:val="single" w:color="000000" w:sz="4" w:space="0"/>
              <w:left w:val="single" w:color="000000" w:sz="4" w:space="0"/>
              <w:bottom w:val="single" w:color="000000" w:sz="4" w:space="0"/>
              <w:right w:val="single" w:color="000000" w:sz="4" w:space="0"/>
            </w:tcBorders>
            <w:vAlign w:val="center"/>
          </w:tcPr>
          <w:p w14:paraId="7C5E6001">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项目建设周期</w:t>
            </w:r>
          </w:p>
        </w:tc>
        <w:tc>
          <w:tcPr>
            <w:tcW w:w="1585" w:type="dxa"/>
            <w:tcBorders>
              <w:top w:val="single" w:color="000000" w:sz="4" w:space="0"/>
              <w:left w:val="single" w:color="000000" w:sz="4" w:space="0"/>
              <w:bottom w:val="single" w:color="000000" w:sz="4" w:space="0"/>
              <w:right w:val="single" w:color="000000" w:sz="4" w:space="0"/>
            </w:tcBorders>
            <w:vAlign w:val="center"/>
          </w:tcPr>
          <w:p w14:paraId="76786308">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24个月</w:t>
            </w:r>
          </w:p>
        </w:tc>
      </w:tr>
      <w:tr w14:paraId="1962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1127F97B">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7EAF3A7">
            <w:pPr>
              <w:jc w:val="center"/>
              <w:rPr>
                <w:rFonts w:hint="eastAsia" w:ascii="宋体" w:hAnsi="宋体" w:eastAsia="宋体" w:cs="宋体"/>
                <w:i w:val="0"/>
                <w:iCs w:val="0"/>
                <w:color w:val="auto"/>
                <w:sz w:val="22"/>
                <w:szCs w:val="22"/>
                <w:u w:val="none"/>
              </w:rPr>
            </w:pPr>
          </w:p>
        </w:tc>
        <w:tc>
          <w:tcPr>
            <w:tcW w:w="1362" w:type="dxa"/>
            <w:vMerge w:val="restart"/>
            <w:tcBorders>
              <w:top w:val="single" w:color="000000" w:sz="4" w:space="0"/>
              <w:left w:val="single" w:color="000000" w:sz="4" w:space="0"/>
              <w:bottom w:val="single" w:color="000000" w:sz="4" w:space="0"/>
              <w:right w:val="single" w:color="000000" w:sz="4" w:space="0"/>
            </w:tcBorders>
            <w:vAlign w:val="center"/>
          </w:tcPr>
          <w:p w14:paraId="4993BD9A">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数据服务与数据治理水平</w:t>
            </w:r>
          </w:p>
        </w:tc>
        <w:tc>
          <w:tcPr>
            <w:tcW w:w="3334" w:type="dxa"/>
            <w:tcBorders>
              <w:top w:val="single" w:color="000000" w:sz="4" w:space="0"/>
              <w:left w:val="single" w:color="000000" w:sz="4" w:space="0"/>
              <w:bottom w:val="single" w:color="000000" w:sz="4" w:space="0"/>
              <w:right w:val="single" w:color="000000" w:sz="4" w:space="0"/>
            </w:tcBorders>
            <w:vAlign w:val="center"/>
          </w:tcPr>
          <w:p w14:paraId="456012ED">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数据源覆盖度</w:t>
            </w:r>
          </w:p>
        </w:tc>
        <w:tc>
          <w:tcPr>
            <w:tcW w:w="1585" w:type="dxa"/>
            <w:tcBorders>
              <w:top w:val="single" w:color="000000" w:sz="4" w:space="0"/>
              <w:left w:val="single" w:color="000000" w:sz="4" w:space="0"/>
              <w:bottom w:val="single" w:color="000000" w:sz="4" w:space="0"/>
              <w:right w:val="single" w:color="000000" w:sz="4" w:space="0"/>
            </w:tcBorders>
            <w:vAlign w:val="center"/>
          </w:tcPr>
          <w:p w14:paraId="13482249">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w:t>
            </w:r>
          </w:p>
        </w:tc>
      </w:tr>
      <w:tr w14:paraId="48DE0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6CC79A16">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B310EC0">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796596D5">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10B1F450">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采集数据量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2E144FC5">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≥1TB</w:t>
            </w:r>
          </w:p>
        </w:tc>
      </w:tr>
      <w:tr w14:paraId="5E282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6874D918">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29E109C8">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15510E4A">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706BE3EB">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平均每月治理数据量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0F681E48">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≥1TB</w:t>
            </w:r>
          </w:p>
        </w:tc>
      </w:tr>
      <w:tr w14:paraId="0B3E6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0F7FD1D3">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81F6A79">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4475C65D">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23EF761B">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平均每月数据分析量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00B1D5DC">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≥5TB</w:t>
            </w:r>
          </w:p>
        </w:tc>
      </w:tr>
      <w:tr w14:paraId="656F7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2307430C">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6F31628">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1C8681A8">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1B22764B">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形成数据治理模板数量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0FC2BE64">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≥10000个</w:t>
            </w:r>
          </w:p>
        </w:tc>
      </w:tr>
      <w:tr w14:paraId="430CF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64E93E81">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2EC38C36">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4D49C2B3">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64726649">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支撑业务数量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62E84A4A">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≥1000个</w:t>
            </w:r>
          </w:p>
        </w:tc>
      </w:tr>
      <w:tr w14:paraId="7E7D0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2331D8AE">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D477311">
            <w:pPr>
              <w:jc w:val="center"/>
              <w:rPr>
                <w:rFonts w:hint="eastAsia" w:ascii="宋体" w:hAnsi="宋体" w:eastAsia="宋体" w:cs="宋体"/>
                <w:i w:val="0"/>
                <w:iCs w:val="0"/>
                <w:color w:val="auto"/>
                <w:sz w:val="22"/>
                <w:szCs w:val="22"/>
                <w:u w:val="none"/>
              </w:rPr>
            </w:pPr>
          </w:p>
        </w:tc>
        <w:tc>
          <w:tcPr>
            <w:tcW w:w="1362" w:type="dxa"/>
            <w:vMerge w:val="restart"/>
            <w:tcBorders>
              <w:top w:val="single" w:color="000000" w:sz="4" w:space="0"/>
              <w:left w:val="single" w:color="000000" w:sz="4" w:space="0"/>
              <w:bottom w:val="single" w:color="000000" w:sz="4" w:space="0"/>
              <w:right w:val="single" w:color="000000" w:sz="4" w:space="0"/>
            </w:tcBorders>
            <w:vAlign w:val="center"/>
          </w:tcPr>
          <w:p w14:paraId="17FF2C90">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综合办公水平</w:t>
            </w:r>
          </w:p>
        </w:tc>
        <w:tc>
          <w:tcPr>
            <w:tcW w:w="3334" w:type="dxa"/>
            <w:tcBorders>
              <w:top w:val="single" w:color="000000" w:sz="4" w:space="0"/>
              <w:left w:val="single" w:color="000000" w:sz="4" w:space="0"/>
              <w:bottom w:val="single" w:color="000000" w:sz="4" w:space="0"/>
              <w:right w:val="single" w:color="000000" w:sz="4" w:space="0"/>
            </w:tcBorders>
            <w:vAlign w:val="center"/>
          </w:tcPr>
          <w:p w14:paraId="0E124233">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系统用户数量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5737CFBE">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≥300人</w:t>
            </w:r>
          </w:p>
        </w:tc>
      </w:tr>
      <w:tr w14:paraId="3FDA7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08FD542A">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12179554">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697912E8">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7333BA0C">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月人均登录次数</w:t>
            </w:r>
          </w:p>
        </w:tc>
        <w:tc>
          <w:tcPr>
            <w:tcW w:w="1585" w:type="dxa"/>
            <w:tcBorders>
              <w:top w:val="single" w:color="000000" w:sz="4" w:space="0"/>
              <w:left w:val="single" w:color="000000" w:sz="4" w:space="0"/>
              <w:bottom w:val="single" w:color="000000" w:sz="4" w:space="0"/>
              <w:right w:val="single" w:color="000000" w:sz="4" w:space="0"/>
            </w:tcBorders>
            <w:vAlign w:val="center"/>
          </w:tcPr>
          <w:p w14:paraId="0E83C30B">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≥8次</w:t>
            </w:r>
          </w:p>
        </w:tc>
      </w:tr>
      <w:tr w14:paraId="2D5CB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173C28A5">
            <w:pPr>
              <w:jc w:val="center"/>
              <w:rPr>
                <w:rFonts w:hint="eastAsia" w:ascii="宋体" w:hAnsi="宋体" w:eastAsia="宋体" w:cs="宋体"/>
                <w:i w:val="0"/>
                <w:iCs w:val="0"/>
                <w:color w:val="auto"/>
                <w:sz w:val="22"/>
                <w:szCs w:val="22"/>
                <w:u w:val="none"/>
              </w:rPr>
            </w:pPr>
          </w:p>
        </w:tc>
        <w:tc>
          <w:tcPr>
            <w:tcW w:w="1122" w:type="dxa"/>
            <w:vMerge w:val="restart"/>
            <w:tcBorders>
              <w:top w:val="single" w:color="000000" w:sz="4" w:space="0"/>
              <w:left w:val="single" w:color="000000" w:sz="4" w:space="0"/>
              <w:bottom w:val="single" w:color="000000" w:sz="4" w:space="0"/>
              <w:right w:val="single" w:color="000000" w:sz="4" w:space="0"/>
            </w:tcBorders>
            <w:vAlign w:val="center"/>
          </w:tcPr>
          <w:p w14:paraId="04937F99">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业务指标</w:t>
            </w:r>
          </w:p>
        </w:tc>
        <w:tc>
          <w:tcPr>
            <w:tcW w:w="1362" w:type="dxa"/>
            <w:tcBorders>
              <w:top w:val="single" w:color="000000" w:sz="4" w:space="0"/>
              <w:left w:val="single" w:color="000000" w:sz="4" w:space="0"/>
              <w:bottom w:val="single" w:color="000000" w:sz="4" w:space="0"/>
              <w:right w:val="single" w:color="000000" w:sz="4" w:space="0"/>
            </w:tcBorders>
            <w:vAlign w:val="center"/>
          </w:tcPr>
          <w:p w14:paraId="61C21056">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产出数量</w:t>
            </w:r>
          </w:p>
        </w:tc>
        <w:tc>
          <w:tcPr>
            <w:tcW w:w="3334" w:type="dxa"/>
            <w:tcBorders>
              <w:top w:val="single" w:color="000000" w:sz="4" w:space="0"/>
              <w:left w:val="single" w:color="000000" w:sz="4" w:space="0"/>
              <w:bottom w:val="single" w:color="000000" w:sz="4" w:space="0"/>
              <w:right w:val="single" w:color="000000" w:sz="4" w:space="0"/>
            </w:tcBorders>
            <w:vAlign w:val="center"/>
          </w:tcPr>
          <w:p w14:paraId="4B2AE751">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建立审计方法数量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2F8EA1D1">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≥1000个</w:t>
            </w:r>
          </w:p>
        </w:tc>
      </w:tr>
      <w:tr w14:paraId="0FDEE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2A36400D">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1C00BD55">
            <w:pPr>
              <w:jc w:val="center"/>
              <w:rPr>
                <w:rFonts w:hint="eastAsia" w:ascii="宋体" w:hAnsi="宋体" w:eastAsia="宋体" w:cs="宋体"/>
                <w:i w:val="0"/>
                <w:iCs w:val="0"/>
                <w:color w:val="auto"/>
                <w:sz w:val="22"/>
                <w:szCs w:val="22"/>
                <w:u w:val="none"/>
              </w:rPr>
            </w:pPr>
          </w:p>
        </w:tc>
        <w:tc>
          <w:tcPr>
            <w:tcW w:w="1362" w:type="dxa"/>
            <w:vMerge w:val="restart"/>
            <w:tcBorders>
              <w:top w:val="single" w:color="000000" w:sz="4" w:space="0"/>
              <w:left w:val="single" w:color="000000" w:sz="4" w:space="0"/>
              <w:bottom w:val="single" w:color="000000" w:sz="4" w:space="0"/>
              <w:right w:val="single" w:color="000000" w:sz="4" w:space="0"/>
            </w:tcBorders>
            <w:vAlign w:val="center"/>
          </w:tcPr>
          <w:p w14:paraId="05DC1224">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质量指标</w:t>
            </w:r>
          </w:p>
        </w:tc>
        <w:tc>
          <w:tcPr>
            <w:tcW w:w="3334" w:type="dxa"/>
            <w:tcBorders>
              <w:top w:val="single" w:color="000000" w:sz="4" w:space="0"/>
              <w:left w:val="single" w:color="000000" w:sz="4" w:space="0"/>
              <w:bottom w:val="single" w:color="000000" w:sz="4" w:space="0"/>
              <w:right w:val="single" w:color="000000" w:sz="4" w:space="0"/>
            </w:tcBorders>
            <w:vAlign w:val="center"/>
          </w:tcPr>
          <w:p w14:paraId="16E48153">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建立分析模型数量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1119EEE3">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≥80个</w:t>
            </w:r>
          </w:p>
        </w:tc>
      </w:tr>
      <w:tr w14:paraId="4E1B9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229F8CDA">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19797D2">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58861C39">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72369A0B">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建立审计分析工具数量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3D361343">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≥4个</w:t>
            </w:r>
          </w:p>
        </w:tc>
      </w:tr>
      <w:tr w14:paraId="066B3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F8B30C7">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27304B02">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7696E381">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71853AD4">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并发用户数量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553AD0B0">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≥50个</w:t>
            </w:r>
          </w:p>
        </w:tc>
      </w:tr>
      <w:tr w14:paraId="6A24C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CBB6F4C">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8F56FED">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32AA9D07">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4C43237C">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点击时延</w:t>
            </w:r>
          </w:p>
        </w:tc>
        <w:tc>
          <w:tcPr>
            <w:tcW w:w="1585" w:type="dxa"/>
            <w:tcBorders>
              <w:top w:val="single" w:color="000000" w:sz="4" w:space="0"/>
              <w:left w:val="single" w:color="000000" w:sz="4" w:space="0"/>
              <w:bottom w:val="single" w:color="000000" w:sz="4" w:space="0"/>
              <w:right w:val="single" w:color="000000" w:sz="4" w:space="0"/>
            </w:tcBorders>
            <w:vAlign w:val="center"/>
          </w:tcPr>
          <w:p w14:paraId="1E22F07C">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≤7秒</w:t>
            </w:r>
          </w:p>
        </w:tc>
      </w:tr>
      <w:tr w14:paraId="06CFE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1892BA9D">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8F429EB">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7228B49C">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05C4B7C9">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页面呈现时延</w:t>
            </w:r>
          </w:p>
        </w:tc>
        <w:tc>
          <w:tcPr>
            <w:tcW w:w="1585" w:type="dxa"/>
            <w:tcBorders>
              <w:top w:val="single" w:color="000000" w:sz="4" w:space="0"/>
              <w:left w:val="single" w:color="000000" w:sz="4" w:space="0"/>
              <w:bottom w:val="single" w:color="000000" w:sz="4" w:space="0"/>
              <w:right w:val="single" w:color="000000" w:sz="4" w:space="0"/>
            </w:tcBorders>
            <w:vAlign w:val="center"/>
          </w:tcPr>
          <w:p w14:paraId="2B3570DC">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≤7秒</w:t>
            </w:r>
          </w:p>
        </w:tc>
      </w:tr>
      <w:tr w14:paraId="40B57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171DE1A">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62AF061">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2E66A805">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56E50024">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接口响应时延</w:t>
            </w:r>
          </w:p>
        </w:tc>
        <w:tc>
          <w:tcPr>
            <w:tcW w:w="1585" w:type="dxa"/>
            <w:tcBorders>
              <w:top w:val="single" w:color="000000" w:sz="4" w:space="0"/>
              <w:left w:val="single" w:color="000000" w:sz="4" w:space="0"/>
              <w:bottom w:val="single" w:color="000000" w:sz="4" w:space="0"/>
              <w:right w:val="single" w:color="000000" w:sz="4" w:space="0"/>
            </w:tcBorders>
            <w:vAlign w:val="center"/>
          </w:tcPr>
          <w:p w14:paraId="3CD65A46">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≤7秒</w:t>
            </w:r>
          </w:p>
        </w:tc>
      </w:tr>
      <w:tr w14:paraId="5F6A8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0C92F86E">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2D9A22C9">
            <w:pPr>
              <w:jc w:val="center"/>
              <w:rPr>
                <w:rFonts w:hint="eastAsia" w:ascii="宋体" w:hAnsi="宋体" w:eastAsia="宋体" w:cs="宋体"/>
                <w:i w:val="0"/>
                <w:iCs w:val="0"/>
                <w:color w:val="auto"/>
                <w:sz w:val="22"/>
                <w:szCs w:val="22"/>
                <w:u w:val="none"/>
              </w:rPr>
            </w:pPr>
          </w:p>
        </w:tc>
        <w:tc>
          <w:tcPr>
            <w:tcW w:w="1362" w:type="dxa"/>
            <w:vMerge w:val="restart"/>
            <w:tcBorders>
              <w:top w:val="single" w:color="000000" w:sz="4" w:space="0"/>
              <w:left w:val="single" w:color="000000" w:sz="4" w:space="0"/>
              <w:bottom w:val="single" w:color="000000" w:sz="4" w:space="0"/>
              <w:right w:val="single" w:color="000000" w:sz="4" w:space="0"/>
            </w:tcBorders>
            <w:vAlign w:val="center"/>
          </w:tcPr>
          <w:p w14:paraId="0D0D5FB1">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社会效益</w:t>
            </w:r>
          </w:p>
        </w:tc>
        <w:tc>
          <w:tcPr>
            <w:tcW w:w="3334" w:type="dxa"/>
            <w:tcBorders>
              <w:top w:val="single" w:color="000000" w:sz="4" w:space="0"/>
              <w:left w:val="single" w:color="000000" w:sz="4" w:space="0"/>
              <w:bottom w:val="single" w:color="000000" w:sz="4" w:space="0"/>
              <w:right w:val="single" w:color="000000" w:sz="4" w:space="0"/>
            </w:tcBorders>
            <w:vAlign w:val="center"/>
          </w:tcPr>
          <w:p w14:paraId="3E9361A2">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平均每月线上审计单位数量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3FE5FDBD">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≥10家</w:t>
            </w:r>
          </w:p>
        </w:tc>
      </w:tr>
      <w:tr w14:paraId="7589B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045A2C1B">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53D7CC7">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6FC4760A">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281E6B8F">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形成审计文档语料库数量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37002B56">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≥5000份</w:t>
            </w:r>
          </w:p>
        </w:tc>
      </w:tr>
      <w:tr w14:paraId="2578A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793B09C0">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0400B360">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53B6462F">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4BBF2200">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形成政策语料库数量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799EF449">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≥10000份</w:t>
            </w:r>
          </w:p>
        </w:tc>
      </w:tr>
      <w:tr w14:paraId="0D557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8685674">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71815A2">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6AFB7DB1">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077A1607">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形成标准化采集模板数量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250E2C7A">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≥10000个</w:t>
            </w:r>
          </w:p>
        </w:tc>
      </w:tr>
      <w:tr w14:paraId="45C28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1A7DAB20">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817EF23">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41F9F3D2">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4D48CD00">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形成单位图谱数量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2A5172FB">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≥100家</w:t>
            </w:r>
          </w:p>
        </w:tc>
      </w:tr>
      <w:tr w14:paraId="32969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566FFCB">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0F9B5D36">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50583425">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69D402B5">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形成数据图谱数量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1DC279E0">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≥1000个</w:t>
            </w:r>
          </w:p>
        </w:tc>
      </w:tr>
      <w:tr w14:paraId="727B5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37C065E7">
            <w:pPr>
              <w:jc w:val="center"/>
              <w:rPr>
                <w:rFonts w:hint="eastAsia" w:ascii="宋体" w:hAnsi="宋体" w:eastAsia="宋体" w:cs="宋体"/>
                <w:i w:val="0"/>
                <w:iCs w:val="0"/>
                <w:color w:val="auto"/>
                <w:sz w:val="22"/>
                <w:szCs w:val="22"/>
                <w:u w:val="none"/>
              </w:rPr>
            </w:pPr>
          </w:p>
        </w:tc>
        <w:tc>
          <w:tcPr>
            <w:tcW w:w="1122" w:type="dxa"/>
            <w:vMerge w:val="continue"/>
            <w:tcBorders>
              <w:top w:val="single" w:color="000000" w:sz="4" w:space="0"/>
              <w:left w:val="single" w:color="000000" w:sz="4" w:space="0"/>
              <w:bottom w:val="single" w:color="000000" w:sz="4" w:space="0"/>
              <w:right w:val="single" w:color="000000" w:sz="4" w:space="0"/>
            </w:tcBorders>
            <w:vAlign w:val="center"/>
          </w:tcPr>
          <w:p w14:paraId="52E4E83F">
            <w:pPr>
              <w:jc w:val="center"/>
              <w:rPr>
                <w:rFonts w:hint="eastAsia" w:ascii="宋体" w:hAnsi="宋体" w:eastAsia="宋体" w:cs="宋体"/>
                <w:i w:val="0"/>
                <w:iCs w:val="0"/>
                <w:color w:val="auto"/>
                <w:sz w:val="22"/>
                <w:szCs w:val="22"/>
                <w:u w:val="none"/>
              </w:rPr>
            </w:pPr>
          </w:p>
        </w:tc>
        <w:tc>
          <w:tcPr>
            <w:tcW w:w="1362" w:type="dxa"/>
            <w:vMerge w:val="continue"/>
            <w:tcBorders>
              <w:top w:val="single" w:color="000000" w:sz="4" w:space="0"/>
              <w:left w:val="single" w:color="000000" w:sz="4" w:space="0"/>
              <w:bottom w:val="single" w:color="000000" w:sz="4" w:space="0"/>
              <w:right w:val="single" w:color="000000" w:sz="4" w:space="0"/>
            </w:tcBorders>
            <w:vAlign w:val="center"/>
          </w:tcPr>
          <w:p w14:paraId="4995A335">
            <w:pPr>
              <w:jc w:val="center"/>
              <w:rPr>
                <w:rFonts w:hint="eastAsia" w:ascii="宋体" w:hAnsi="宋体" w:eastAsia="宋体" w:cs="宋体"/>
                <w:i w:val="0"/>
                <w:iCs w:val="0"/>
                <w:color w:val="auto"/>
                <w:sz w:val="22"/>
                <w:szCs w:val="22"/>
                <w:u w:val="none"/>
              </w:rPr>
            </w:pPr>
          </w:p>
        </w:tc>
        <w:tc>
          <w:tcPr>
            <w:tcW w:w="3334" w:type="dxa"/>
            <w:tcBorders>
              <w:top w:val="single" w:color="000000" w:sz="4" w:space="0"/>
              <w:left w:val="single" w:color="000000" w:sz="4" w:space="0"/>
              <w:bottom w:val="single" w:color="000000" w:sz="4" w:space="0"/>
              <w:right w:val="single" w:color="000000" w:sz="4" w:space="0"/>
            </w:tcBorders>
            <w:vAlign w:val="center"/>
          </w:tcPr>
          <w:p w14:paraId="2CC19A40">
            <w:pPr>
              <w:widowControl/>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形成个人画像数量</w:t>
            </w:r>
          </w:p>
        </w:tc>
        <w:tc>
          <w:tcPr>
            <w:tcW w:w="1585" w:type="dxa"/>
            <w:tcBorders>
              <w:top w:val="single" w:color="000000" w:sz="4" w:space="0"/>
              <w:left w:val="single" w:color="000000" w:sz="4" w:space="0"/>
              <w:bottom w:val="single" w:color="000000" w:sz="4" w:space="0"/>
              <w:right w:val="single" w:color="000000" w:sz="4" w:space="0"/>
            </w:tcBorders>
            <w:vAlign w:val="center"/>
          </w:tcPr>
          <w:p w14:paraId="63FFBA97">
            <w:pPr>
              <w:widowControl/>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rPr>
              <w:t>≥50人</w:t>
            </w:r>
          </w:p>
        </w:tc>
      </w:tr>
    </w:tbl>
    <w:p w14:paraId="4B40E902">
      <w:pPr>
        <w:pStyle w:val="2"/>
        <w:rPr>
          <w:color w:val="auto"/>
        </w:rPr>
      </w:pPr>
      <w:bookmarkStart w:id="11" w:name="_Toc47539102"/>
      <w:bookmarkEnd w:id="11"/>
      <w:bookmarkStart w:id="12" w:name="_Toc47536676"/>
      <w:bookmarkEnd w:id="12"/>
      <w:bookmarkStart w:id="13" w:name="_Toc47532923"/>
      <w:bookmarkEnd w:id="13"/>
      <w:bookmarkStart w:id="14" w:name="_Toc47537166"/>
      <w:bookmarkEnd w:id="14"/>
      <w:bookmarkStart w:id="15" w:name="_Toc47533288"/>
      <w:bookmarkEnd w:id="15"/>
      <w:bookmarkStart w:id="16" w:name="_Toc47536304"/>
      <w:bookmarkEnd w:id="16"/>
      <w:r>
        <w:rPr>
          <w:rFonts w:hint="eastAsia"/>
          <w:color w:val="auto"/>
        </w:rPr>
        <w:t>项目建设内容</w:t>
      </w:r>
    </w:p>
    <w:p w14:paraId="60D87A3B">
      <w:pPr>
        <w:pStyle w:val="3"/>
        <w:rPr>
          <w:rFonts w:hint="eastAsia"/>
          <w:color w:val="auto"/>
        </w:rPr>
      </w:pPr>
      <w:r>
        <w:rPr>
          <w:rFonts w:hint="eastAsia"/>
          <w:b/>
          <w:color w:val="auto"/>
          <w:lang w:val="en-US" w:eastAsia="zh-CN"/>
        </w:rPr>
        <w:t>技术路线要求</w:t>
      </w:r>
    </w:p>
    <w:p w14:paraId="5A96C879">
      <w:pPr>
        <w:numPr>
          <w:ilvl w:val="0"/>
          <w:numId w:val="3"/>
        </w:numPr>
        <w:ind w:left="425" w:leftChars="0" w:hanging="425" w:firstLineChars="0"/>
        <w:rPr>
          <w:rFonts w:hint="eastAsia" w:ascii="宋体" w:hAnsi="宋体" w:eastAsia="宋体" w:cs="Times New Roman"/>
          <w:b w:val="0"/>
          <w:bCs/>
          <w:color w:val="auto"/>
        </w:rPr>
      </w:pPr>
      <w:r>
        <w:rPr>
          <w:rFonts w:hint="eastAsia" w:ascii="宋体" w:hAnsi="宋体" w:eastAsia="宋体" w:cs="Times New Roman"/>
          <w:b w:val="0"/>
          <w:bCs/>
          <w:color w:val="auto"/>
        </w:rPr>
        <w:t>本项目要求基于信创环境进行建设。</w:t>
      </w:r>
    </w:p>
    <w:p w14:paraId="127EAF75">
      <w:pPr>
        <w:numPr>
          <w:ilvl w:val="0"/>
          <w:numId w:val="3"/>
        </w:numPr>
        <w:ind w:left="425" w:leftChars="0" w:hanging="425" w:firstLineChars="0"/>
        <w:rPr>
          <w:rFonts w:hint="eastAsia" w:ascii="宋体" w:hAnsi="宋体" w:eastAsia="宋体" w:cs="Times New Roman"/>
          <w:b w:val="0"/>
          <w:bCs/>
          <w:color w:val="auto"/>
        </w:rPr>
      </w:pPr>
      <w:r>
        <w:rPr>
          <w:rFonts w:hint="eastAsia" w:ascii="宋体" w:hAnsi="宋体" w:eastAsia="宋体" w:cs="Times New Roman"/>
          <w:b w:val="0"/>
          <w:bCs/>
          <w:color w:val="auto"/>
        </w:rPr>
        <w:t>项目技术路线</w:t>
      </w:r>
      <w:r>
        <w:rPr>
          <w:rFonts w:hint="eastAsia" w:cs="Times New Roman"/>
          <w:b w:val="0"/>
          <w:bCs/>
          <w:color w:val="auto"/>
          <w:lang w:val="en-US" w:eastAsia="zh-CN"/>
        </w:rPr>
        <w:t>可</w:t>
      </w:r>
      <w:r>
        <w:rPr>
          <w:rFonts w:hint="eastAsia" w:ascii="宋体" w:hAnsi="宋体" w:eastAsia="宋体" w:cs="Times New Roman"/>
          <w:b w:val="0"/>
          <w:bCs/>
          <w:color w:val="auto"/>
        </w:rPr>
        <w:t>采用微服务架构</w:t>
      </w:r>
      <w:r>
        <w:rPr>
          <w:rFonts w:hint="eastAsia" w:cs="Times New Roman"/>
          <w:b w:val="0"/>
          <w:bCs/>
          <w:color w:val="auto"/>
          <w:lang w:val="en-US" w:eastAsia="zh-CN"/>
        </w:rPr>
        <w:t>等</w:t>
      </w:r>
      <w:r>
        <w:rPr>
          <w:rFonts w:hint="eastAsia" w:ascii="宋体" w:hAnsi="宋体" w:eastAsia="宋体" w:cs="Times New Roman"/>
          <w:b w:val="0"/>
          <w:bCs/>
          <w:color w:val="auto"/>
        </w:rPr>
        <w:t>开发</w:t>
      </w:r>
      <w:r>
        <w:rPr>
          <w:rFonts w:hint="eastAsia" w:cs="Times New Roman"/>
          <w:b w:val="0"/>
          <w:bCs/>
          <w:color w:val="auto"/>
          <w:lang w:val="en-US" w:eastAsia="zh-CN"/>
        </w:rPr>
        <w:t>方式</w:t>
      </w:r>
      <w:r>
        <w:rPr>
          <w:rFonts w:hint="eastAsia" w:ascii="宋体" w:hAnsi="宋体" w:eastAsia="宋体" w:cs="Times New Roman"/>
          <w:b w:val="0"/>
          <w:bCs/>
          <w:color w:val="auto"/>
        </w:rPr>
        <w:t>，</w:t>
      </w:r>
      <w:r>
        <w:rPr>
          <w:rFonts w:hint="eastAsia" w:cs="Times New Roman"/>
          <w:b w:val="0"/>
          <w:bCs/>
          <w:color w:val="auto"/>
          <w:lang w:val="en-US" w:eastAsia="zh-CN"/>
        </w:rPr>
        <w:t>能</w:t>
      </w:r>
      <w:r>
        <w:rPr>
          <w:rFonts w:hint="eastAsia" w:ascii="宋体" w:hAnsi="宋体" w:eastAsia="宋体" w:cs="Times New Roman"/>
          <w:b w:val="0"/>
          <w:bCs/>
          <w:color w:val="auto"/>
        </w:rPr>
        <w:t>支持分布式集群部署和负载均衡，同时大数据平台</w:t>
      </w:r>
      <w:r>
        <w:rPr>
          <w:rFonts w:hint="eastAsia" w:cs="Times New Roman"/>
          <w:b w:val="0"/>
          <w:bCs/>
          <w:color w:val="auto"/>
          <w:lang w:val="en-US" w:eastAsia="zh-CN"/>
        </w:rPr>
        <w:t>能</w:t>
      </w:r>
      <w:r>
        <w:rPr>
          <w:rFonts w:hint="eastAsia" w:ascii="宋体" w:hAnsi="宋体" w:eastAsia="宋体" w:cs="Times New Roman"/>
          <w:b w:val="0"/>
          <w:bCs/>
          <w:color w:val="auto"/>
        </w:rPr>
        <w:t>与数据库为数据处理与AI应用提供支持，确保系统的高效、稳定与可扩展性。</w:t>
      </w:r>
    </w:p>
    <w:p w14:paraId="5D666FD9">
      <w:pPr>
        <w:numPr>
          <w:ilvl w:val="0"/>
          <w:numId w:val="3"/>
        </w:numPr>
        <w:ind w:left="425" w:leftChars="0" w:hanging="425" w:firstLineChars="0"/>
        <w:rPr>
          <w:rFonts w:hint="eastAsia" w:ascii="宋体" w:hAnsi="宋体" w:eastAsia="宋体" w:cs="Times New Roman"/>
          <w:b w:val="0"/>
          <w:bCs/>
          <w:color w:val="auto"/>
        </w:rPr>
      </w:pPr>
      <w:r>
        <w:rPr>
          <w:rFonts w:hint="eastAsia" w:ascii="宋体" w:hAnsi="宋体" w:eastAsia="宋体" w:cs="Times New Roman"/>
          <w:b w:val="0"/>
          <w:bCs/>
          <w:color w:val="auto"/>
        </w:rPr>
        <w:t>系统整体为B/S架构，采用客户端浏览器－Web应用服务器－数据库服务器三层结构。</w:t>
      </w:r>
    </w:p>
    <w:p w14:paraId="56060BC9">
      <w:pPr>
        <w:numPr>
          <w:ilvl w:val="0"/>
          <w:numId w:val="3"/>
        </w:numPr>
        <w:ind w:left="425" w:leftChars="0" w:hanging="425" w:firstLineChars="0"/>
        <w:rPr>
          <w:rFonts w:hint="eastAsia" w:ascii="宋体" w:hAnsi="宋体" w:eastAsia="宋体" w:cs="Times New Roman"/>
          <w:b w:val="0"/>
          <w:bCs/>
          <w:color w:val="auto"/>
        </w:rPr>
      </w:pPr>
      <w:r>
        <w:rPr>
          <w:rFonts w:hint="eastAsia" w:ascii="宋体" w:hAnsi="宋体" w:eastAsia="宋体" w:cs="Times New Roman"/>
          <w:b w:val="0"/>
          <w:bCs/>
          <w:color w:val="auto"/>
        </w:rPr>
        <w:t>系统应具有良好的适应性</w:t>
      </w:r>
      <w:r>
        <w:rPr>
          <w:rFonts w:hint="eastAsia" w:ascii="宋体" w:hAnsi="宋体" w:eastAsia="宋体" w:cs="Times New Roman"/>
          <w:b w:val="0"/>
          <w:bCs/>
          <w:color w:val="auto"/>
          <w:lang w:eastAsia="zh-CN"/>
        </w:rPr>
        <w:t>、</w:t>
      </w:r>
      <w:r>
        <w:rPr>
          <w:rFonts w:hint="eastAsia" w:ascii="宋体" w:hAnsi="宋体" w:eastAsia="宋体" w:cs="Times New Roman"/>
          <w:b w:val="0"/>
          <w:bCs/>
          <w:color w:val="auto"/>
        </w:rPr>
        <w:t>扩展性</w:t>
      </w:r>
      <w:r>
        <w:rPr>
          <w:rFonts w:hint="eastAsia" w:ascii="宋体" w:hAnsi="宋体" w:eastAsia="宋体" w:cs="Times New Roman"/>
          <w:b w:val="0"/>
          <w:bCs/>
          <w:color w:val="auto"/>
          <w:lang w:eastAsia="zh-CN"/>
        </w:rPr>
        <w:t>、</w:t>
      </w:r>
      <w:r>
        <w:rPr>
          <w:rFonts w:hint="eastAsia" w:ascii="宋体" w:hAnsi="宋体" w:eastAsia="宋体" w:cs="Times New Roman"/>
          <w:b w:val="0"/>
          <w:bCs/>
          <w:color w:val="auto"/>
        </w:rPr>
        <w:t>可移植性，在不同的操作平台均可以平滑运行，</w:t>
      </w:r>
      <w:r>
        <w:rPr>
          <w:rFonts w:hint="eastAsia" w:cs="Times New Roman"/>
          <w:b w:val="0"/>
          <w:bCs/>
          <w:color w:val="auto"/>
          <w:lang w:val="en-US" w:eastAsia="zh-CN"/>
        </w:rPr>
        <w:t>并能</w:t>
      </w:r>
      <w:r>
        <w:rPr>
          <w:rFonts w:hint="eastAsia" w:ascii="宋体" w:hAnsi="宋体" w:eastAsia="宋体" w:cs="Times New Roman"/>
          <w:b w:val="0"/>
          <w:bCs/>
          <w:color w:val="auto"/>
        </w:rPr>
        <w:t>适应未来业务的扩展的需要。</w:t>
      </w:r>
    </w:p>
    <w:p w14:paraId="0F9C7E65">
      <w:pPr>
        <w:numPr>
          <w:ilvl w:val="0"/>
          <w:numId w:val="3"/>
        </w:numPr>
        <w:ind w:left="425" w:leftChars="0" w:hanging="425" w:firstLineChars="0"/>
        <w:rPr>
          <w:rFonts w:hint="eastAsia" w:ascii="宋体" w:hAnsi="宋体" w:eastAsia="宋体" w:cs="Times New Roman"/>
          <w:b w:val="0"/>
          <w:bCs/>
          <w:color w:val="auto"/>
        </w:rPr>
      </w:pPr>
      <w:r>
        <w:rPr>
          <w:rFonts w:hint="eastAsia" w:ascii="宋体" w:hAnsi="宋体" w:eastAsia="宋体" w:cs="Times New Roman"/>
          <w:b w:val="0"/>
          <w:bCs/>
          <w:color w:val="auto"/>
        </w:rPr>
        <w:t>系统提供友好的界面，用户可以直观方便</w:t>
      </w:r>
      <w:r>
        <w:rPr>
          <w:rFonts w:hint="eastAsia" w:cs="Times New Roman"/>
          <w:b w:val="0"/>
          <w:bCs/>
          <w:color w:val="auto"/>
          <w:lang w:eastAsia="zh-CN"/>
        </w:rPr>
        <w:t>地</w:t>
      </w:r>
      <w:r>
        <w:rPr>
          <w:rFonts w:hint="eastAsia" w:ascii="宋体" w:hAnsi="宋体" w:eastAsia="宋体" w:cs="Times New Roman"/>
          <w:b w:val="0"/>
          <w:bCs/>
          <w:color w:val="auto"/>
        </w:rPr>
        <w:t>运行系统。</w:t>
      </w:r>
    </w:p>
    <w:p w14:paraId="77F2FDF2">
      <w:pPr>
        <w:numPr>
          <w:ilvl w:val="0"/>
          <w:numId w:val="3"/>
        </w:numPr>
        <w:ind w:left="425" w:leftChars="0" w:hanging="425" w:firstLineChars="0"/>
        <w:rPr>
          <w:rFonts w:hint="eastAsia" w:ascii="宋体" w:hAnsi="宋体" w:eastAsia="宋体" w:cs="Times New Roman"/>
          <w:b w:val="0"/>
          <w:bCs/>
          <w:color w:val="auto"/>
        </w:rPr>
      </w:pPr>
      <w:r>
        <w:rPr>
          <w:rFonts w:hint="eastAsia" w:ascii="宋体" w:hAnsi="宋体" w:eastAsia="宋体" w:cs="Times New Roman"/>
          <w:b w:val="0"/>
          <w:bCs/>
          <w:color w:val="auto"/>
        </w:rPr>
        <w:t>系统提供开放的应用接口，可以方便地与其他厂家的应用系统进行数据交换，便于系统未来的扩展。</w:t>
      </w:r>
    </w:p>
    <w:p w14:paraId="6D8736F5">
      <w:pPr>
        <w:pStyle w:val="3"/>
        <w:rPr>
          <w:rFonts w:hint="eastAsia" w:ascii="宋体" w:hAnsi="宋体" w:eastAsia="宋体" w:cs="Times New Roman"/>
          <w:b/>
          <w:color w:val="auto"/>
          <w:lang w:val="en-US" w:eastAsia="zh-CN"/>
        </w:rPr>
      </w:pPr>
      <w:r>
        <w:rPr>
          <w:rFonts w:hint="eastAsia" w:ascii="宋体" w:hAnsi="宋体" w:eastAsia="宋体" w:cs="Times New Roman"/>
          <w:b/>
          <w:color w:val="auto"/>
          <w:lang w:val="en-US" w:eastAsia="zh-CN"/>
        </w:rPr>
        <w:t>系统性能要求</w:t>
      </w:r>
    </w:p>
    <w:p w14:paraId="48074FF7">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1）系统运行环境需满足</w:t>
      </w:r>
    </w:p>
    <w:p w14:paraId="07B45D20">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数据库：</w:t>
      </w:r>
      <w:r>
        <w:rPr>
          <w:rFonts w:hint="eastAsia" w:cs="Times New Roman"/>
          <w:b w:val="0"/>
          <w:bCs/>
          <w:color w:val="auto"/>
          <w:lang w:val="en-US" w:eastAsia="zh-CN"/>
        </w:rPr>
        <w:t>支持适配国产</w:t>
      </w:r>
      <w:r>
        <w:rPr>
          <w:rFonts w:hint="eastAsia" w:ascii="宋体" w:hAnsi="宋体" w:eastAsia="宋体" w:cs="Times New Roman"/>
          <w:b w:val="0"/>
          <w:bCs/>
          <w:color w:val="auto"/>
          <w:lang w:val="en-US" w:eastAsia="zh-CN"/>
        </w:rPr>
        <w:t>数据库等。</w:t>
      </w:r>
    </w:p>
    <w:p w14:paraId="5D33FE81">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中间件：东方通</w:t>
      </w:r>
      <w:r>
        <w:rPr>
          <w:rFonts w:hint="eastAsia" w:cs="Times New Roman"/>
          <w:b w:val="0"/>
          <w:bCs/>
          <w:color w:val="auto"/>
          <w:lang w:val="en-US" w:eastAsia="zh-CN"/>
        </w:rPr>
        <w:t>、普元、金蝶</w:t>
      </w:r>
      <w:r>
        <w:rPr>
          <w:rFonts w:hint="eastAsia" w:ascii="宋体" w:hAnsi="宋体" w:eastAsia="宋体" w:cs="Times New Roman"/>
          <w:b w:val="0"/>
          <w:bCs/>
          <w:color w:val="auto"/>
          <w:lang w:val="en-US" w:eastAsia="zh-CN"/>
        </w:rPr>
        <w:t>等。</w:t>
      </w:r>
    </w:p>
    <w:p w14:paraId="30700BD4">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操作系统：麒麟、统信等。</w:t>
      </w:r>
    </w:p>
    <w:p w14:paraId="1C7B32F7">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浏览器：支持360、火狐等主流浏览器，并支持奇安信可信浏览器、360安全浏览器（信创版）、审计专用安全浏览器等</w:t>
      </w:r>
      <w:r>
        <w:rPr>
          <w:rFonts w:hint="eastAsia" w:cs="Times New Roman"/>
          <w:b w:val="0"/>
          <w:bCs/>
          <w:color w:val="auto"/>
          <w:lang w:val="en-US" w:eastAsia="zh-CN"/>
        </w:rPr>
        <w:t>符合</w:t>
      </w:r>
      <w:r>
        <w:rPr>
          <w:rFonts w:hint="eastAsia" w:ascii="宋体" w:hAnsi="宋体" w:eastAsia="宋体" w:cs="Times New Roman"/>
          <w:b w:val="0"/>
          <w:bCs/>
          <w:color w:val="auto"/>
          <w:lang w:val="en-US" w:eastAsia="zh-CN"/>
        </w:rPr>
        <w:t>信创要求</w:t>
      </w:r>
      <w:r>
        <w:rPr>
          <w:rFonts w:hint="eastAsia" w:cs="Times New Roman"/>
          <w:b w:val="0"/>
          <w:bCs/>
          <w:color w:val="auto"/>
          <w:lang w:val="en-US" w:eastAsia="zh-CN"/>
        </w:rPr>
        <w:t>的浏览器</w:t>
      </w:r>
      <w:r>
        <w:rPr>
          <w:rFonts w:hint="eastAsia" w:ascii="宋体" w:hAnsi="宋体" w:eastAsia="宋体" w:cs="Times New Roman"/>
          <w:b w:val="0"/>
          <w:bCs/>
          <w:color w:val="auto"/>
          <w:lang w:val="en-US" w:eastAsia="zh-CN"/>
        </w:rPr>
        <w:t>。</w:t>
      </w:r>
    </w:p>
    <w:p w14:paraId="162C3FA3">
      <w:pPr>
        <w:ind w:firstLine="482"/>
        <w:rPr>
          <w:rFonts w:hint="eastAsia" w:ascii="宋体" w:hAnsi="宋体" w:eastAsia="宋体" w:cs="Times New Roman"/>
          <w:b w:val="0"/>
          <w:bCs/>
          <w:color w:val="auto"/>
          <w:lang w:val="en-US" w:eastAsia="zh-CN"/>
        </w:rPr>
      </w:pPr>
    </w:p>
    <w:p w14:paraId="757AF248">
      <w:pPr>
        <w:ind w:firstLine="482"/>
        <w:rPr>
          <w:rFonts w:hint="eastAsia" w:ascii="宋体" w:hAnsi="宋体" w:eastAsia="宋体" w:cs="Times New Roman"/>
          <w:b w:val="0"/>
          <w:bCs/>
          <w:color w:val="auto"/>
          <w:lang w:val="en-US" w:eastAsia="zh-CN"/>
        </w:rPr>
      </w:pPr>
      <w:r>
        <w:rPr>
          <w:rFonts w:hint="eastAsia" w:cs="Times New Roman"/>
          <w:b w:val="0"/>
          <w:bCs/>
          <w:color w:val="auto"/>
          <w:lang w:val="en-US" w:eastAsia="zh-CN"/>
        </w:rPr>
        <w:t>2）</w:t>
      </w:r>
      <w:r>
        <w:rPr>
          <w:rFonts w:hint="eastAsia" w:ascii="宋体" w:hAnsi="宋体" w:eastAsia="宋体" w:cs="Times New Roman"/>
          <w:b w:val="0"/>
          <w:bCs/>
          <w:color w:val="auto"/>
          <w:lang w:val="en-US" w:eastAsia="zh-CN"/>
        </w:rPr>
        <w:t>本项目系统性能需求如下：</w:t>
      </w:r>
    </w:p>
    <w:p w14:paraId="7A68C929">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并发用户数量</w:t>
      </w:r>
      <w:r>
        <w:rPr>
          <w:rFonts w:hint="eastAsia" w:ascii="宋体" w:hAnsi="宋体" w:eastAsia="宋体" w:cs="Times New Roman"/>
          <w:b w:val="0"/>
          <w:bCs/>
          <w:color w:val="auto"/>
          <w:lang w:val="en-US" w:eastAsia="zh-CN"/>
        </w:rPr>
        <w:tab/>
      </w:r>
      <w:r>
        <w:rPr>
          <w:rFonts w:hint="eastAsia" w:ascii="宋体" w:hAnsi="宋体" w:eastAsia="宋体" w:cs="Times New Roman"/>
          <w:b w:val="0"/>
          <w:bCs/>
          <w:color w:val="auto"/>
          <w:lang w:val="en-US" w:eastAsia="zh-CN"/>
        </w:rPr>
        <w:t>PC端按照并发数50个。</w:t>
      </w:r>
    </w:p>
    <w:p w14:paraId="3CE1C1D4">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点击时延</w:t>
      </w:r>
      <w:r>
        <w:rPr>
          <w:rFonts w:hint="eastAsia" w:ascii="宋体" w:hAnsi="宋体" w:eastAsia="宋体" w:cs="Times New Roman"/>
          <w:b w:val="0"/>
          <w:bCs/>
          <w:color w:val="auto"/>
          <w:lang w:val="en-US" w:eastAsia="zh-CN"/>
        </w:rPr>
        <w:tab/>
      </w:r>
      <w:r>
        <w:rPr>
          <w:rFonts w:hint="eastAsia" w:ascii="宋体" w:hAnsi="宋体" w:eastAsia="宋体" w:cs="Times New Roman"/>
          <w:b w:val="0"/>
          <w:bCs/>
          <w:color w:val="auto"/>
          <w:lang w:val="en-US" w:eastAsia="zh-CN"/>
        </w:rPr>
        <w:t>≤7秒</w:t>
      </w:r>
      <w:r>
        <w:rPr>
          <w:rFonts w:hint="eastAsia" w:cs="Times New Roman"/>
          <w:b w:val="0"/>
          <w:bCs/>
          <w:color w:val="auto"/>
          <w:lang w:val="en-US" w:eastAsia="zh-CN"/>
        </w:rPr>
        <w:t>。</w:t>
      </w:r>
    </w:p>
    <w:p w14:paraId="16212486">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页面呈现时延</w:t>
      </w:r>
      <w:r>
        <w:rPr>
          <w:rFonts w:hint="eastAsia" w:ascii="宋体" w:hAnsi="宋体" w:eastAsia="宋体" w:cs="Times New Roman"/>
          <w:b w:val="0"/>
          <w:bCs/>
          <w:color w:val="auto"/>
          <w:lang w:val="en-US" w:eastAsia="zh-CN"/>
        </w:rPr>
        <w:tab/>
      </w:r>
      <w:r>
        <w:rPr>
          <w:rFonts w:hint="eastAsia" w:ascii="宋体" w:hAnsi="宋体" w:eastAsia="宋体" w:cs="Times New Roman"/>
          <w:b w:val="0"/>
          <w:bCs/>
          <w:color w:val="auto"/>
          <w:lang w:val="en-US" w:eastAsia="zh-CN"/>
        </w:rPr>
        <w:t>界面整体打开时延小于7秒</w:t>
      </w:r>
      <w:r>
        <w:rPr>
          <w:rFonts w:hint="eastAsia" w:cs="Times New Roman"/>
          <w:b w:val="0"/>
          <w:bCs/>
          <w:color w:val="auto"/>
          <w:lang w:val="en-US" w:eastAsia="zh-CN"/>
        </w:rPr>
        <w:t>。</w:t>
      </w:r>
    </w:p>
    <w:p w14:paraId="386DA2F1">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接口响应时延</w:t>
      </w:r>
      <w:r>
        <w:rPr>
          <w:rFonts w:hint="eastAsia" w:ascii="宋体" w:hAnsi="宋体" w:eastAsia="宋体" w:cs="Times New Roman"/>
          <w:b w:val="0"/>
          <w:bCs/>
          <w:color w:val="auto"/>
          <w:lang w:val="en-US" w:eastAsia="zh-CN"/>
        </w:rPr>
        <w:tab/>
      </w:r>
      <w:r>
        <w:rPr>
          <w:rFonts w:hint="eastAsia" w:ascii="宋体" w:hAnsi="宋体" w:eastAsia="宋体" w:cs="Times New Roman"/>
          <w:b w:val="0"/>
          <w:bCs/>
          <w:color w:val="auto"/>
          <w:lang w:val="en-US" w:eastAsia="zh-CN"/>
        </w:rPr>
        <w:t>≤7秒</w:t>
      </w:r>
      <w:r>
        <w:rPr>
          <w:rFonts w:hint="eastAsia" w:cs="Times New Roman"/>
          <w:b w:val="0"/>
          <w:bCs/>
          <w:color w:val="auto"/>
          <w:lang w:val="en-US" w:eastAsia="zh-CN"/>
        </w:rPr>
        <w:t>。</w:t>
      </w:r>
    </w:p>
    <w:p w14:paraId="32602875">
      <w:pPr>
        <w:ind w:firstLine="482"/>
        <w:rPr>
          <w:rFonts w:hint="eastAsia" w:ascii="宋体" w:hAnsi="宋体" w:eastAsia="宋体" w:cs="Times New Roman"/>
          <w:b w:val="0"/>
          <w:bCs/>
          <w:color w:val="auto"/>
          <w:lang w:val="en-US" w:eastAsia="zh-CN"/>
        </w:rPr>
      </w:pPr>
      <w:r>
        <w:rPr>
          <w:rFonts w:hint="eastAsia" w:ascii="宋体" w:hAnsi="宋体" w:eastAsia="宋体" w:cs="Times New Roman"/>
          <w:b w:val="0"/>
          <w:bCs/>
          <w:color w:val="auto"/>
          <w:lang w:val="en-US" w:eastAsia="zh-CN"/>
        </w:rPr>
        <w:t>检索时延</w:t>
      </w:r>
      <w:r>
        <w:rPr>
          <w:rFonts w:hint="eastAsia" w:ascii="宋体" w:hAnsi="宋体" w:eastAsia="宋体" w:cs="Times New Roman"/>
          <w:b w:val="0"/>
          <w:bCs/>
          <w:color w:val="auto"/>
          <w:lang w:val="en-US" w:eastAsia="zh-CN"/>
        </w:rPr>
        <w:tab/>
      </w:r>
      <w:r>
        <w:rPr>
          <w:rFonts w:hint="eastAsia" w:ascii="宋体" w:hAnsi="宋体" w:eastAsia="宋体" w:cs="Times New Roman"/>
          <w:b w:val="0"/>
          <w:bCs/>
          <w:color w:val="auto"/>
          <w:lang w:val="en-US" w:eastAsia="zh-CN"/>
        </w:rPr>
        <w:t>≤9秒</w:t>
      </w:r>
      <w:r>
        <w:rPr>
          <w:rFonts w:hint="eastAsia" w:cs="Times New Roman"/>
          <w:b w:val="0"/>
          <w:bCs/>
          <w:color w:val="auto"/>
          <w:lang w:val="en-US" w:eastAsia="zh-CN"/>
        </w:rPr>
        <w:t>。</w:t>
      </w:r>
    </w:p>
    <w:p w14:paraId="1BA701EE">
      <w:pPr>
        <w:pStyle w:val="3"/>
        <w:rPr>
          <w:rFonts w:hint="eastAsia" w:ascii="宋体" w:hAnsi="宋体" w:eastAsia="宋体" w:cs="Times New Roman"/>
          <w:b/>
          <w:color w:val="auto"/>
          <w:lang w:val="en-US" w:eastAsia="zh-CN"/>
        </w:rPr>
      </w:pPr>
      <w:r>
        <w:rPr>
          <w:rFonts w:hint="eastAsia" w:ascii="宋体" w:hAnsi="宋体" w:eastAsia="宋体" w:cs="Times New Roman"/>
          <w:b/>
          <w:color w:val="auto"/>
          <w:lang w:val="en-US" w:eastAsia="zh-CN"/>
        </w:rPr>
        <w:t>功能建设要求</w:t>
      </w:r>
    </w:p>
    <w:p w14:paraId="0E8A8243">
      <w:pPr>
        <w:pStyle w:val="4"/>
        <w:rPr>
          <w:rFonts w:hint="default"/>
          <w:b/>
          <w:color w:val="auto"/>
          <w:sz w:val="24"/>
          <w:szCs w:val="24"/>
          <w:highlight w:val="none"/>
          <w:lang w:val="en-US"/>
        </w:rPr>
      </w:pPr>
      <w:r>
        <w:rPr>
          <w:rFonts w:hint="eastAsia"/>
          <w:b/>
          <w:color w:val="auto"/>
          <w:sz w:val="24"/>
          <w:szCs w:val="24"/>
          <w:highlight w:val="none"/>
          <w:lang w:val="en-US" w:eastAsia="zh-CN"/>
        </w:rPr>
        <w:t>改造前系统情况概述</w:t>
      </w:r>
    </w:p>
    <w:p w14:paraId="59B7188B">
      <w:pPr>
        <w:spacing w:beforeLines="0" w:afterLines="0" w:line="560" w:lineRule="exact"/>
        <w:ind w:firstLine="480" w:firstLineChars="200"/>
        <w:rPr>
          <w:rFonts w:hint="eastAsia" w:ascii="宋体" w:hAnsi="宋体" w:eastAsia="宋体" w:cs="宋体"/>
          <w:bCs/>
          <w:color w:val="auto"/>
          <w:kern w:val="2"/>
          <w:sz w:val="24"/>
          <w:szCs w:val="24"/>
          <w:highlight w:val="none"/>
          <w:lang w:val="en-US" w:eastAsia="zh-CN"/>
        </w:rPr>
      </w:pPr>
      <w:r>
        <w:rPr>
          <w:rFonts w:hint="eastAsia" w:ascii="宋体" w:hAnsi="宋体" w:eastAsia="宋体" w:cs="宋体"/>
          <w:color w:val="auto"/>
          <w:sz w:val="24"/>
          <w:szCs w:val="24"/>
          <w:highlight w:val="none"/>
        </w:rPr>
        <w:t>“上海数字化智能审计工程”</w:t>
      </w:r>
      <w:r>
        <w:rPr>
          <w:rFonts w:hint="eastAsia" w:ascii="宋体" w:hAnsi="宋体" w:eastAsia="宋体" w:cs="宋体"/>
          <w:color w:val="auto"/>
          <w:sz w:val="24"/>
          <w:szCs w:val="24"/>
          <w:highlight w:val="none"/>
          <w:lang w:val="en-US" w:eastAsia="zh-CN"/>
        </w:rPr>
        <w:t>于</w:t>
      </w:r>
      <w:r>
        <w:rPr>
          <w:rFonts w:hint="eastAsia" w:ascii="宋体" w:hAnsi="宋体" w:eastAsia="宋体" w:cs="宋体"/>
          <w:color w:val="auto"/>
          <w:sz w:val="24"/>
          <w:szCs w:val="24"/>
          <w:highlight w:val="none"/>
        </w:rPr>
        <w:t>2018年建成。</w:t>
      </w:r>
      <w:r>
        <w:rPr>
          <w:rFonts w:hint="eastAsia" w:ascii="宋体" w:hAnsi="宋体" w:eastAsia="宋体" w:cs="宋体"/>
          <w:color w:val="auto"/>
          <w:sz w:val="24"/>
          <w:szCs w:val="24"/>
          <w:highlight w:val="none"/>
          <w:lang w:val="en-US" w:eastAsia="zh-CN"/>
        </w:rPr>
        <w:t>原系统采用C/S架构，系统</w:t>
      </w:r>
      <w:r>
        <w:rPr>
          <w:rFonts w:hint="eastAsia" w:ascii="宋体" w:hAnsi="宋体" w:eastAsia="宋体" w:cs="宋体"/>
          <w:color w:val="auto"/>
          <w:sz w:val="24"/>
          <w:szCs w:val="24"/>
          <w:highlight w:val="none"/>
        </w:rPr>
        <w:t>主要基于审计署“金审二期”工程</w:t>
      </w:r>
      <w:r>
        <w:rPr>
          <w:rFonts w:hint="eastAsia" w:ascii="宋体" w:hAnsi="宋体" w:eastAsia="宋体" w:cs="宋体"/>
          <w:color w:val="auto"/>
          <w:sz w:val="24"/>
          <w:szCs w:val="24"/>
          <w:highlight w:val="none"/>
          <w:lang w:val="en-US" w:eastAsia="zh-CN"/>
        </w:rPr>
        <w:t>本地化</w:t>
      </w:r>
      <w:r>
        <w:rPr>
          <w:rFonts w:hint="eastAsia" w:ascii="宋体" w:hAnsi="宋体" w:eastAsia="宋体" w:cs="宋体"/>
          <w:color w:val="auto"/>
          <w:sz w:val="24"/>
          <w:szCs w:val="24"/>
          <w:highlight w:val="none"/>
        </w:rPr>
        <w:t>部署</w:t>
      </w:r>
      <w:r>
        <w:rPr>
          <w:rFonts w:hint="eastAsia" w:ascii="宋体" w:hAnsi="宋体" w:eastAsia="宋体" w:cs="宋体"/>
          <w:color w:val="auto"/>
          <w:sz w:val="24"/>
          <w:szCs w:val="24"/>
          <w:highlight w:val="none"/>
          <w:lang w:val="en-US" w:eastAsia="zh-CN"/>
        </w:rPr>
        <w:t>及基于“金审工程”的二次开发功能。</w:t>
      </w:r>
      <w:r>
        <w:rPr>
          <w:rFonts w:hint="eastAsia" w:ascii="宋体" w:hAnsi="宋体" w:eastAsia="宋体" w:cs="宋体"/>
          <w:b w:val="0"/>
          <w:bCs/>
          <w:color w:val="auto"/>
          <w:sz w:val="24"/>
          <w:szCs w:val="24"/>
          <w:highlight w:val="none"/>
          <w:lang w:val="zh-CN" w:eastAsia="zh-CN"/>
        </w:rPr>
        <w:t>该工程的核心应用系统建设包括统一数据采集与交换平台、审计数据中心、数字化审计分析平台、审计内容综合管理平台和上百家被审计单位的业务数据采集、审计方法制作等；核心数据来源主要包括市区两级财政数据报送和项目审计期间的数据采集，</w:t>
      </w:r>
      <w:r>
        <w:rPr>
          <w:rFonts w:hint="eastAsia" w:ascii="宋体" w:hAnsi="宋体" w:eastAsia="宋体" w:cs="宋体"/>
          <w:b w:val="0"/>
          <w:bCs/>
          <w:color w:val="auto"/>
          <w:sz w:val="24"/>
          <w:szCs w:val="24"/>
          <w:highlight w:val="none"/>
          <w:lang w:val="en-US" w:eastAsia="zh-CN"/>
        </w:rPr>
        <w:t>已</w:t>
      </w:r>
      <w:r>
        <w:rPr>
          <w:rFonts w:hint="eastAsia" w:ascii="宋体" w:hAnsi="宋体" w:eastAsia="宋体" w:cs="宋体"/>
          <w:b w:val="0"/>
          <w:bCs/>
          <w:color w:val="auto"/>
          <w:sz w:val="24"/>
          <w:szCs w:val="24"/>
          <w:highlight w:val="none"/>
          <w:lang w:val="zh-CN" w:eastAsia="zh-CN"/>
        </w:rPr>
        <w:t>初步形成数据采集、数据加工、数据管理、数据分析和模型运用的应用框架</w:t>
      </w:r>
      <w:r>
        <w:rPr>
          <w:rFonts w:hint="eastAsia" w:ascii="宋体" w:hAnsi="宋体" w:eastAsia="宋体" w:cs="宋体"/>
          <w:bCs/>
          <w:color w:val="auto"/>
          <w:kern w:val="2"/>
          <w:sz w:val="24"/>
          <w:szCs w:val="24"/>
          <w:highlight w:val="none"/>
          <w:lang w:val="zh-CN" w:eastAsia="zh-CN"/>
        </w:rPr>
        <w:t>。</w:t>
      </w:r>
    </w:p>
    <w:p w14:paraId="0488AF9F">
      <w:pPr>
        <w:pStyle w:val="4"/>
        <w:rPr>
          <w:rFonts w:hint="eastAsia"/>
          <w:color w:val="auto"/>
          <w:sz w:val="24"/>
          <w:szCs w:val="24"/>
          <w:lang w:val="en-US" w:eastAsia="zh-CN"/>
        </w:rPr>
      </w:pPr>
      <w:r>
        <w:rPr>
          <w:rFonts w:hint="eastAsia"/>
          <w:b/>
          <w:color w:val="auto"/>
          <w:sz w:val="24"/>
          <w:szCs w:val="24"/>
          <w:lang w:val="en-US" w:eastAsia="zh-CN"/>
        </w:rPr>
        <w:t>改造前核心系统</w:t>
      </w:r>
      <w:r>
        <w:rPr>
          <w:rFonts w:hint="eastAsia"/>
          <w:color w:val="auto"/>
          <w:sz w:val="24"/>
          <w:szCs w:val="24"/>
          <w:lang w:val="en-US" w:eastAsia="zh-CN"/>
        </w:rPr>
        <w:t>功能现状</w:t>
      </w:r>
    </w:p>
    <w:p w14:paraId="1CA714BF">
      <w:pPr>
        <w:widowControl/>
        <w:numPr>
          <w:ilvl w:val="0"/>
          <w:numId w:val="4"/>
        </w:numPr>
        <w:pBdr>
          <w:left w:val="none" w:color="auto" w:sz="0" w:space="0"/>
        </w:pBdr>
        <w:spacing w:before="0" w:beforeAutospacing="0" w:after="0" w:afterAutospacing="0" w:line="360" w:lineRule="auto"/>
        <w:ind w:left="0" w:hanging="360"/>
        <w:rPr>
          <w:color w:val="auto"/>
        </w:rPr>
      </w:pPr>
      <w:r>
        <w:rPr>
          <w:b/>
          <w:bCs/>
          <w:color w:val="auto"/>
        </w:rPr>
        <w:t>统一数据采集与交换平台</w:t>
      </w:r>
      <w:r>
        <w:rPr>
          <w:color w:val="auto"/>
        </w:rPr>
        <w:t>：实现</w:t>
      </w:r>
      <w:r>
        <w:rPr>
          <w:rFonts w:hint="eastAsia"/>
          <w:color w:val="auto"/>
          <w:lang w:val="en-US" w:eastAsia="zh-CN"/>
        </w:rPr>
        <w:t>了</w:t>
      </w:r>
      <w:r>
        <w:rPr>
          <w:color w:val="auto"/>
        </w:rPr>
        <w:t>审计数据采集转换、支撑审计高效高质量分析的基础系统，建立了多行业、百余家审计单位约 5 万个采集模板，统一集中管理被审计单位业务数据的采集转换过程和模板。</w:t>
      </w:r>
    </w:p>
    <w:p w14:paraId="1A919AC0">
      <w:pPr>
        <w:widowControl/>
        <w:numPr>
          <w:ilvl w:val="0"/>
          <w:numId w:val="4"/>
        </w:numPr>
        <w:pBdr>
          <w:left w:val="none" w:color="auto" w:sz="0" w:space="0"/>
        </w:pBdr>
        <w:spacing w:before="0" w:beforeAutospacing="0" w:after="0" w:afterAutospacing="0" w:line="360" w:lineRule="auto"/>
        <w:ind w:left="0" w:hanging="360"/>
        <w:rPr>
          <w:b/>
          <w:bCs/>
          <w:color w:val="auto"/>
        </w:rPr>
      </w:pPr>
      <w:r>
        <w:rPr>
          <w:b/>
          <w:bCs/>
          <w:color w:val="auto"/>
        </w:rPr>
        <w:t>审计数据中心：</w:t>
      </w:r>
      <w:r>
        <w:rPr>
          <w:b w:val="0"/>
          <w:bCs w:val="0"/>
          <w:color w:val="auto"/>
        </w:rPr>
        <w:t>作为上海数字化智能审计工程的数据枢纽，在部署审计署数据中心基础上，管理多行业、百余家单位约 80TB 审计数据，包含近 200 个数据库和约 2.5 万张数据表，为其他平台提供数据资源支撑。</w:t>
      </w:r>
    </w:p>
    <w:p w14:paraId="6990A5E8">
      <w:pPr>
        <w:widowControl/>
        <w:numPr>
          <w:ilvl w:val="0"/>
          <w:numId w:val="4"/>
        </w:numPr>
        <w:pBdr>
          <w:left w:val="none" w:color="auto" w:sz="0" w:space="0"/>
        </w:pBdr>
        <w:spacing w:before="0" w:beforeAutospacing="0" w:after="0" w:afterAutospacing="0" w:line="360" w:lineRule="auto"/>
        <w:ind w:left="0" w:hanging="360"/>
        <w:rPr>
          <w:b/>
          <w:bCs/>
          <w:color w:val="auto"/>
        </w:rPr>
      </w:pPr>
      <w:r>
        <w:rPr>
          <w:b/>
          <w:bCs/>
          <w:color w:val="auto"/>
        </w:rPr>
        <w:t>审计分析平台：</w:t>
      </w:r>
      <w:r>
        <w:rPr>
          <w:rFonts w:hint="eastAsia" w:ascii="宋体" w:hAnsi="宋体" w:eastAsia="宋体" w:cs="Times New Roman"/>
          <w:b w:val="0"/>
          <w:bCs w:val="0"/>
          <w:color w:val="auto"/>
          <w:lang w:val="en-US" w:eastAsia="zh-CN"/>
        </w:rPr>
        <w:t>作为</w:t>
      </w:r>
      <w:r>
        <w:rPr>
          <w:b w:val="0"/>
          <w:bCs w:val="0"/>
          <w:color w:val="auto"/>
        </w:rPr>
        <w:t>核心业务分析支撑系统，在部署审计署联网审计平台基础上，构建约 3000 个固化行业审计方法模型。</w:t>
      </w:r>
    </w:p>
    <w:p w14:paraId="07E987A7">
      <w:pPr>
        <w:widowControl/>
        <w:numPr>
          <w:ilvl w:val="0"/>
          <w:numId w:val="4"/>
        </w:numPr>
        <w:pBdr>
          <w:left w:val="none" w:color="auto" w:sz="0" w:space="0"/>
        </w:pBdr>
        <w:spacing w:before="0" w:beforeAutospacing="0" w:after="0" w:afterAutospacing="0" w:line="360" w:lineRule="auto"/>
        <w:ind w:left="0" w:hanging="360"/>
        <w:rPr>
          <w:rFonts w:hint="eastAsia"/>
          <w:b/>
          <w:bCs/>
          <w:color w:val="auto"/>
        </w:rPr>
      </w:pPr>
      <w:r>
        <w:rPr>
          <w:b/>
          <w:bCs/>
          <w:color w:val="auto"/>
        </w:rPr>
        <w:t>内容综合管理平台：</w:t>
      </w:r>
      <w:r>
        <w:rPr>
          <w:b w:val="0"/>
          <w:bCs w:val="0"/>
          <w:color w:val="auto"/>
        </w:rPr>
        <w:t>是审计数字化分析体系重要组成部分，提供一键式</w:t>
      </w:r>
      <w:r>
        <w:rPr>
          <w:rFonts w:hint="eastAsia"/>
          <w:b w:val="0"/>
          <w:bCs w:val="0"/>
          <w:color w:val="auto"/>
        </w:rPr>
        <w:t>搜索，配合 “单位图谱” 和 “数据图谱” 工具，帮助审计人员锁定审计疑点。系统所用核心数据包括 131 张表，构建了单位、人员、项目实体节点 3000 多万个，关联关系近 8000 万个，在审计中发挥重要作用。</w:t>
      </w:r>
    </w:p>
    <w:p w14:paraId="66F4738F">
      <w:pPr>
        <w:pStyle w:val="4"/>
        <w:rPr>
          <w:rFonts w:hint="eastAsia"/>
          <w:color w:val="auto"/>
          <w:sz w:val="24"/>
          <w:szCs w:val="24"/>
          <w:lang w:val="en-US" w:eastAsia="zh-CN"/>
        </w:rPr>
      </w:pPr>
      <w:r>
        <w:rPr>
          <w:rFonts w:hint="eastAsia"/>
          <w:b/>
          <w:color w:val="auto"/>
          <w:sz w:val="24"/>
          <w:szCs w:val="24"/>
          <w:lang w:val="en-US" w:eastAsia="zh-CN"/>
        </w:rPr>
        <w:t>改造前系统</w:t>
      </w:r>
      <w:r>
        <w:rPr>
          <w:rFonts w:hint="eastAsia"/>
          <w:color w:val="auto"/>
          <w:sz w:val="24"/>
          <w:szCs w:val="24"/>
          <w:lang w:val="en-US" w:eastAsia="zh-CN"/>
        </w:rPr>
        <w:t>数据现状</w:t>
      </w:r>
    </w:p>
    <w:p w14:paraId="66BB2828">
      <w:pPr>
        <w:spacing w:line="360" w:lineRule="auto"/>
        <w:ind w:firstLine="480" w:firstLineChars="200"/>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 xml:space="preserve">系统现已存有十余个审计领域、数百家单位的160TB规划数据（不含原始数据），当前拥有在线数据80TB，备份数据约60TB，已构建近8000万条数据关联关系，形成2万余张数据规划表，总数据条数达1700亿条，近3000多个审计方法模型。 </w:t>
      </w:r>
    </w:p>
    <w:p w14:paraId="7341BEDF">
      <w:pPr>
        <w:spacing w:line="360" w:lineRule="auto"/>
        <w:ind w:firstLine="480" w:firstLineChars="200"/>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但部分采集数据质量不高，数据治理标准化程度不足，跨表一致性较差；且缺乏对数据的全生命周期管理，包括数据的采集、存储、处理和使用等环节，无法有效保障数据的质量和安全。</w:t>
      </w:r>
    </w:p>
    <w:p w14:paraId="252269B2">
      <w:pPr>
        <w:spacing w:line="360" w:lineRule="auto"/>
        <w:ind w:firstLine="0" w:firstLineChars="0"/>
        <w:rPr>
          <w:rFonts w:hint="eastAsia" w:ascii="宋体" w:hAnsi="宋体" w:eastAsia="宋体" w:cs="宋体"/>
          <w:color w:val="auto"/>
          <w:sz w:val="24"/>
          <w:szCs w:val="24"/>
          <w:lang w:val="en-US" w:eastAsia="zh-CN"/>
        </w:rPr>
      </w:pPr>
    </w:p>
    <w:p w14:paraId="209AF44B">
      <w:pPr>
        <w:pStyle w:val="4"/>
        <w:rPr>
          <w:rFonts w:hint="eastAsia"/>
          <w:b/>
          <w:color w:val="auto"/>
          <w:sz w:val="24"/>
          <w:szCs w:val="24"/>
          <w:lang w:val="en-US" w:eastAsia="zh-CN"/>
        </w:rPr>
      </w:pPr>
      <w:r>
        <w:rPr>
          <w:rFonts w:hint="eastAsia"/>
          <w:b/>
          <w:color w:val="auto"/>
          <w:sz w:val="24"/>
          <w:szCs w:val="24"/>
          <w:lang w:val="en-US" w:eastAsia="zh-CN"/>
        </w:rPr>
        <w:t>系统升级改造建设内容需求</w:t>
      </w:r>
    </w:p>
    <w:p w14:paraId="7F6740B0">
      <w:pPr>
        <w:numPr>
          <w:ilvl w:val="0"/>
          <w:numId w:val="5"/>
        </w:numPr>
        <w:rPr>
          <w:rFonts w:hint="default"/>
          <w:color w:val="auto"/>
          <w:sz w:val="24"/>
          <w:szCs w:val="32"/>
          <w:lang w:val="en-US" w:eastAsia="zh-CN"/>
        </w:rPr>
      </w:pPr>
      <w:r>
        <w:rPr>
          <w:rFonts w:hint="eastAsia"/>
          <w:b/>
          <w:color w:val="auto"/>
          <w:sz w:val="24"/>
          <w:szCs w:val="32"/>
          <w:lang w:val="en-US" w:eastAsia="zh-CN"/>
        </w:rPr>
        <w:t>系统架构设计</w:t>
      </w:r>
    </w:p>
    <w:p w14:paraId="6D89D3BD">
      <w:pPr>
        <w:numPr>
          <w:ilvl w:val="0"/>
          <w:numId w:val="0"/>
        </w:numPr>
        <w:ind w:firstLine="480" w:firstLineChars="200"/>
        <w:rPr>
          <w:rFonts w:hint="eastAsia" w:ascii="宋体" w:hAnsi="宋体" w:eastAsia="宋体" w:cs="宋体"/>
          <w:b w:val="0"/>
          <w:bCs/>
          <w:color w:val="auto"/>
          <w:sz w:val="24"/>
          <w:szCs w:val="32"/>
          <w:lang w:val="en-US" w:eastAsia="zh-CN"/>
        </w:rPr>
      </w:pPr>
      <w:r>
        <w:rPr>
          <w:rFonts w:hint="eastAsia" w:ascii="宋体" w:hAnsi="宋体" w:eastAsia="宋体" w:cs="宋体"/>
          <w:b w:val="0"/>
          <w:bCs/>
          <w:color w:val="auto"/>
          <w:sz w:val="24"/>
          <w:szCs w:val="32"/>
          <w:lang w:val="en-US" w:eastAsia="zh-CN"/>
        </w:rPr>
        <w:t>本项目涉及</w:t>
      </w:r>
      <w:r>
        <w:rPr>
          <w:rFonts w:hint="eastAsia" w:ascii="宋体" w:hAnsi="宋体" w:eastAsia="宋体" w:cs="宋体"/>
          <w:color w:val="auto"/>
          <w:sz w:val="24"/>
          <w:szCs w:val="24"/>
          <w:lang w:val="en-US" w:eastAsia="zh-CN"/>
        </w:rPr>
        <w:t>市政务云与审计专有域等国产基础设施由市大数据中心统一提供。数据资源包括技术数据、业务数据、管理数据、大模型数据等结构化数据、半结构数据和非结构化数据。本项目需实现与各类数据源安全交互。从市大数据资源平台、审计监督主题库、审计信息化系统等多个数据源中进行数据交互，为审计人员提供针对性的数据支持，便于审计人员获取和管理审计项目相关数据。</w:t>
      </w:r>
    </w:p>
    <w:p w14:paraId="6E3CBF59">
      <w:pPr>
        <w:numPr>
          <w:ilvl w:val="0"/>
          <w:numId w:val="0"/>
        </w:numPr>
        <w:rPr>
          <w:rFonts w:hint="default"/>
          <w:color w:val="auto"/>
          <w:sz w:val="24"/>
          <w:szCs w:val="32"/>
          <w:lang w:val="en-US" w:eastAsia="zh-CN"/>
        </w:rPr>
      </w:pPr>
      <w:r>
        <w:rPr>
          <w:rFonts w:hint="eastAsia"/>
          <w:b w:val="0"/>
          <w:bCs/>
          <w:color w:val="auto"/>
          <w:sz w:val="24"/>
          <w:szCs w:val="32"/>
          <w:lang w:val="en-US" w:eastAsia="zh-CN"/>
        </w:rPr>
        <w:t>投标方应根据本项目升级改造需求，完成整体系统架构设计。</w:t>
      </w:r>
    </w:p>
    <w:p w14:paraId="772B0E0E">
      <w:pPr>
        <w:numPr>
          <w:ilvl w:val="0"/>
          <w:numId w:val="5"/>
        </w:numPr>
        <w:rPr>
          <w:rFonts w:hint="eastAsia"/>
          <w:b/>
          <w:color w:val="auto"/>
          <w:sz w:val="24"/>
          <w:szCs w:val="32"/>
          <w:lang w:val="en-US" w:eastAsia="zh-CN"/>
        </w:rPr>
      </w:pPr>
      <w:r>
        <w:rPr>
          <w:rFonts w:hint="eastAsia"/>
          <w:b/>
          <w:color w:val="auto"/>
          <w:sz w:val="24"/>
          <w:szCs w:val="32"/>
          <w:lang w:val="en-US" w:eastAsia="zh-CN"/>
        </w:rPr>
        <w:t>网络架构设计</w:t>
      </w:r>
    </w:p>
    <w:p w14:paraId="0CF85A3E">
      <w:pPr>
        <w:widowControl/>
        <w:numPr>
          <w:ilvl w:val="0"/>
          <w:numId w:val="6"/>
        </w:numPr>
        <w:spacing w:beforeAutospacing="1" w:afterAutospacing="1"/>
        <w:ind w:left="425" w:hanging="425" w:firstLineChars="0"/>
        <w:jc w:val="left"/>
        <w:rPr>
          <w:rFonts w:hint="eastAsia" w:ascii="宋体" w:hAnsi="宋体" w:eastAsia="宋体" w:cs="宋体"/>
          <w:color w:val="auto"/>
        </w:rPr>
      </w:pPr>
      <w:r>
        <w:rPr>
          <w:rFonts w:hint="eastAsia" w:ascii="宋体" w:hAnsi="宋体" w:eastAsia="宋体" w:cs="宋体"/>
          <w:color w:val="auto"/>
          <w:lang w:val="en-US" w:eastAsia="zh-CN"/>
        </w:rPr>
        <w:t>本项目全面依托</w:t>
      </w:r>
      <w:r>
        <w:rPr>
          <w:rFonts w:hint="eastAsia" w:ascii="宋体" w:hAnsi="宋体" w:eastAsia="宋体" w:cs="宋体"/>
          <w:color w:val="auto"/>
        </w:rPr>
        <w:t>上海</w:t>
      </w:r>
      <w:r>
        <w:rPr>
          <w:rFonts w:hint="eastAsia" w:ascii="宋体" w:hAnsi="宋体" w:eastAsia="宋体" w:cs="宋体"/>
          <w:color w:val="auto"/>
          <w:lang w:val="en-US" w:eastAsia="zh-CN"/>
        </w:rPr>
        <w:t>市电子政务云建设，部署在市大数据中心信创云</w:t>
      </w:r>
      <w:r>
        <w:rPr>
          <w:rFonts w:hint="eastAsia" w:ascii="宋体" w:hAnsi="宋体" w:eastAsia="宋体" w:cs="宋体"/>
          <w:color w:val="auto"/>
        </w:rPr>
        <w:t>。</w:t>
      </w:r>
    </w:p>
    <w:p w14:paraId="5F32DC0F">
      <w:pPr>
        <w:widowControl/>
        <w:numPr>
          <w:ilvl w:val="0"/>
          <w:numId w:val="6"/>
        </w:numPr>
        <w:spacing w:beforeAutospacing="1" w:afterAutospacing="1"/>
        <w:ind w:left="425" w:hanging="425" w:firstLineChars="0"/>
        <w:jc w:val="left"/>
        <w:rPr>
          <w:rFonts w:hint="eastAsia" w:ascii="宋体" w:hAnsi="宋体" w:eastAsia="宋体" w:cs="宋体"/>
          <w:color w:val="auto"/>
        </w:rPr>
      </w:pPr>
      <w:r>
        <w:rPr>
          <w:rFonts w:hint="eastAsia" w:ascii="宋体" w:hAnsi="宋体" w:eastAsia="宋体" w:cs="宋体"/>
          <w:i w:val="0"/>
          <w:iCs w:val="0"/>
          <w:color w:val="auto"/>
          <w:kern w:val="2"/>
          <w:sz w:val="24"/>
          <w:szCs w:val="24"/>
          <w:u w:val="none"/>
          <w:lang w:val="en-US" w:eastAsia="zh-CN" w:bidi="ar-SA"/>
        </w:rPr>
        <w:t>本项目网络架构设计应考虑与上海市大数据中心数据中台等对接要求。</w:t>
      </w:r>
    </w:p>
    <w:p w14:paraId="04FF5FB1">
      <w:pPr>
        <w:numPr>
          <w:ilvl w:val="0"/>
          <w:numId w:val="5"/>
        </w:numPr>
        <w:rPr>
          <w:rFonts w:hint="eastAsia"/>
          <w:color w:val="auto"/>
          <w:sz w:val="24"/>
          <w:szCs w:val="32"/>
          <w:lang w:val="en-US" w:eastAsia="zh-CN"/>
        </w:rPr>
      </w:pPr>
      <w:r>
        <w:rPr>
          <w:rFonts w:hint="eastAsia"/>
          <w:color w:val="auto"/>
          <w:sz w:val="24"/>
          <w:szCs w:val="32"/>
          <w:lang w:val="en-US" w:eastAsia="zh-CN"/>
        </w:rPr>
        <w:t>整体功能需求：</w:t>
      </w:r>
    </w:p>
    <w:p w14:paraId="7DC1FDC6">
      <w:pPr>
        <w:widowControl/>
        <w:numPr>
          <w:ilvl w:val="0"/>
          <w:numId w:val="7"/>
        </w:numPr>
        <w:spacing w:before="0" w:beforeAutospacing="1" w:after="0" w:afterAutospacing="1" w:line="360" w:lineRule="auto"/>
        <w:ind w:left="425" w:leftChars="0" w:hanging="425"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用户界面设计简洁、直观，便于审计人员操作。界面布局合理，功能按钮易于点击，数据展示清晰明了。</w:t>
      </w:r>
    </w:p>
    <w:p w14:paraId="5BCE545A">
      <w:pPr>
        <w:widowControl/>
        <w:numPr>
          <w:ilvl w:val="0"/>
          <w:numId w:val="7"/>
        </w:numPr>
        <w:spacing w:before="0" w:beforeAutospacing="1" w:after="0" w:afterAutospacing="1" w:line="360" w:lineRule="auto"/>
        <w:ind w:left="425" w:leftChars="0" w:hanging="425"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允许审计人员根据自己的需求进行个性化、图形化设置。系统需建立完善的安全保障体系，确保系统各模块的数据安全和系统稳定运行。</w:t>
      </w:r>
    </w:p>
    <w:p w14:paraId="7B13D31A">
      <w:pPr>
        <w:widowControl/>
        <w:numPr>
          <w:ilvl w:val="0"/>
          <w:numId w:val="7"/>
        </w:numPr>
        <w:spacing w:before="0" w:beforeAutospacing="1" w:after="0" w:afterAutospacing="1" w:line="360" w:lineRule="auto"/>
        <w:ind w:left="425" w:leftChars="0" w:hanging="425"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数据传输需采用加密技术、访问控制技术等，保障数据在传输和存储过程中的安全，防止数据泄露和篡改。</w:t>
      </w:r>
    </w:p>
    <w:p w14:paraId="3B1EF3A3">
      <w:pPr>
        <w:widowControl/>
        <w:numPr>
          <w:ilvl w:val="0"/>
          <w:numId w:val="7"/>
        </w:numPr>
        <w:spacing w:before="0" w:beforeAutospacing="1" w:after="0" w:afterAutospacing="1" w:line="360" w:lineRule="auto"/>
        <w:ind w:left="425" w:leftChars="0" w:hanging="425"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系统需设计严格的权限管理，根据审计人员的角色和职责，分配不同的操作权限，确保审计人员只能访问和操作其授权范围内的数据和功能。同时，记录审计人员的操作日志，便于进行审计和追溯。</w:t>
      </w:r>
    </w:p>
    <w:p w14:paraId="3A926246">
      <w:pPr>
        <w:widowControl/>
        <w:numPr>
          <w:ilvl w:val="0"/>
          <w:numId w:val="7"/>
        </w:numPr>
        <w:spacing w:before="0" w:beforeAutospacing="1" w:after="0" w:afterAutospacing="1" w:line="360" w:lineRule="auto"/>
        <w:ind w:left="425" w:leftChars="0" w:hanging="425"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系统需要支持与审计其他系统、上海市大数据中心数据中台等实现数据的共享和交互。并提供开放接口，方便与外部系统进行数据交换和集成，且支持多种数据格式和传输协议。</w:t>
      </w:r>
    </w:p>
    <w:p w14:paraId="138B4B97">
      <w:pPr>
        <w:widowControl/>
        <w:numPr>
          <w:ilvl w:val="0"/>
          <w:numId w:val="7"/>
        </w:numPr>
        <w:spacing w:before="0" w:beforeAutospacing="1" w:after="0" w:afterAutospacing="1" w:line="360" w:lineRule="auto"/>
        <w:ind w:left="425" w:leftChars="0" w:hanging="425" w:firstLineChars="0"/>
        <w:jc w:val="left"/>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本项目数据库拟采用符合信创要求的数据库。供应商</w:t>
      </w:r>
      <w:r>
        <w:rPr>
          <w:rFonts w:hint="eastAsia" w:cs="宋体"/>
          <w:color w:val="auto"/>
          <w:kern w:val="2"/>
          <w:sz w:val="24"/>
          <w:szCs w:val="24"/>
          <w:lang w:val="en-US" w:eastAsia="zh-CN" w:bidi="ar-SA"/>
        </w:rPr>
        <w:t>需</w:t>
      </w:r>
      <w:r>
        <w:rPr>
          <w:rFonts w:hint="eastAsia" w:ascii="宋体" w:hAnsi="宋体" w:eastAsia="宋体" w:cs="宋体"/>
          <w:color w:val="auto"/>
          <w:kern w:val="2"/>
          <w:sz w:val="24"/>
          <w:szCs w:val="24"/>
          <w:lang w:val="en-US" w:eastAsia="zh-CN" w:bidi="ar-SA"/>
        </w:rPr>
        <w:t>具备自行安装数据库能力</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若需聘请原数据库厂商协助安装，相关费用需供应商自行承担。</w:t>
      </w:r>
    </w:p>
    <w:p w14:paraId="603BAE51">
      <w:pPr>
        <w:widowControl/>
        <w:numPr>
          <w:ilvl w:val="0"/>
          <w:numId w:val="7"/>
        </w:numPr>
        <w:spacing w:beforeAutospacing="1" w:afterAutospacing="1"/>
        <w:ind w:left="425" w:hanging="425" w:firstLineChars="0"/>
        <w:jc w:val="left"/>
        <w:rPr>
          <w:rFonts w:hint="eastAsia" w:ascii="宋体" w:hAnsi="宋体" w:eastAsia="宋体" w:cs="宋体"/>
          <w:color w:val="auto"/>
        </w:rPr>
      </w:pPr>
      <w:r>
        <w:rPr>
          <w:rFonts w:hint="eastAsia" w:ascii="宋体" w:hAnsi="宋体" w:eastAsia="宋体" w:cs="宋体"/>
          <w:color w:val="auto"/>
          <w:kern w:val="2"/>
          <w:sz w:val="24"/>
          <w:szCs w:val="24"/>
          <w:lang w:val="en-US" w:eastAsia="zh-CN" w:bidi="ar-SA"/>
        </w:rPr>
        <w:t>项目各应用功能建设应依据需求年度计划执行（具体内容详见建设清单表中“需求年度”相关内容）。</w:t>
      </w:r>
    </w:p>
    <w:p w14:paraId="294C0911">
      <w:pPr>
        <w:numPr>
          <w:ilvl w:val="0"/>
          <w:numId w:val="5"/>
        </w:numPr>
        <w:rPr>
          <w:rFonts w:hint="eastAsia"/>
          <w:color w:val="auto"/>
        </w:rPr>
      </w:pPr>
      <w:r>
        <w:rPr>
          <w:rFonts w:hint="eastAsia"/>
          <w:color w:val="auto"/>
          <w:sz w:val="24"/>
          <w:szCs w:val="32"/>
          <w:lang w:val="en-US" w:eastAsia="zh-CN"/>
        </w:rPr>
        <w:t>应用功能</w:t>
      </w:r>
      <w:bookmarkStart w:id="17" w:name="_Toc2045414869"/>
      <w:bookmarkStart w:id="18" w:name="_Toc769169312"/>
      <w:bookmarkStart w:id="19" w:name="_Toc1346129603"/>
      <w:bookmarkStart w:id="20" w:name="_Toc1770376985"/>
      <w:bookmarkStart w:id="21" w:name="_Toc173495768"/>
      <w:bookmarkStart w:id="22" w:name="_Toc128175770"/>
      <w:bookmarkStart w:id="23" w:name="_Toc38201958"/>
      <w:bookmarkStart w:id="24" w:name="_Toc1947746120"/>
      <w:bookmarkStart w:id="25" w:name="_Toc1872974346"/>
      <w:bookmarkStart w:id="26" w:name="_Toc31727"/>
      <w:bookmarkStart w:id="27" w:name="_Toc749312154"/>
      <w:bookmarkStart w:id="28" w:name="_Toc9164"/>
      <w:bookmarkStart w:id="29" w:name="_Toc1060927475"/>
      <w:bookmarkStart w:id="30" w:name="_Toc24331"/>
      <w:bookmarkStart w:id="31" w:name="_Toc1841658507"/>
      <w:bookmarkStart w:id="32" w:name="_Toc11903"/>
      <w:bookmarkStart w:id="33" w:name="_Toc1479247020"/>
      <w:bookmarkStart w:id="34" w:name="_Toc985443506"/>
      <w:bookmarkStart w:id="35" w:name="_Toc1414889392"/>
      <w:bookmarkStart w:id="36" w:name="_Toc331006882"/>
      <w:bookmarkStart w:id="37" w:name="_Toc18444"/>
      <w:bookmarkStart w:id="38" w:name="_Toc1472182778"/>
      <w:bookmarkStart w:id="39" w:name="_Toc14275"/>
      <w:bookmarkStart w:id="40" w:name="_Toc1243772761"/>
      <w:bookmarkStart w:id="41" w:name="_Toc119182173"/>
      <w:bookmarkStart w:id="42" w:name="_Toc241152076"/>
      <w:bookmarkStart w:id="43" w:name="_Toc808637821"/>
      <w:bookmarkStart w:id="44" w:name="_Toc328038622"/>
      <w:bookmarkStart w:id="45" w:name="_Toc461135378"/>
      <w:r>
        <w:rPr>
          <w:rFonts w:hint="eastAsia"/>
          <w:color w:val="auto"/>
          <w:sz w:val="24"/>
          <w:szCs w:val="32"/>
          <w:lang w:val="en-US" w:eastAsia="zh-CN"/>
        </w:rPr>
        <w:t>需求：</w:t>
      </w:r>
    </w:p>
    <w:p w14:paraId="2D9DA501">
      <w:pPr>
        <w:numPr>
          <w:ilvl w:val="0"/>
          <w:numId w:val="8"/>
        </w:numPr>
        <w:ind w:left="0" w:leftChars="0" w:firstLine="420" w:firstLineChars="0"/>
        <w:rPr>
          <w:rFonts w:hint="eastAsia"/>
          <w:color w:val="auto"/>
          <w:sz w:val="24"/>
          <w:szCs w:val="24"/>
        </w:rPr>
      </w:pPr>
      <w:r>
        <w:rPr>
          <w:rFonts w:hint="eastAsia"/>
          <w:color w:val="auto"/>
          <w:sz w:val="24"/>
          <w:szCs w:val="24"/>
        </w:rPr>
        <w:t>智审DESK</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DFD5731">
      <w:pPr>
        <w:widowControl/>
        <w:numPr>
          <w:ilvl w:val="0"/>
          <w:numId w:val="9"/>
        </w:numPr>
        <w:ind w:left="425" w:leftChars="0" w:hanging="425" w:firstLineChars="0"/>
        <w:jc w:val="left"/>
        <w:rPr>
          <w:rFonts w:hint="eastAsia"/>
          <w:color w:val="auto"/>
          <w:sz w:val="24"/>
          <w:szCs w:val="24"/>
        </w:rPr>
      </w:pPr>
      <w:r>
        <w:rPr>
          <w:rFonts w:hint="eastAsia" w:ascii="宋体" w:hAnsi="宋体" w:cs="宋体"/>
          <w:b/>
          <w:bCs/>
          <w:color w:val="auto"/>
          <w:kern w:val="2"/>
          <w:sz w:val="24"/>
          <w:szCs w:val="24"/>
          <w:lang w:val="en-US" w:eastAsia="zh-CN" w:bidi="ar-SA"/>
        </w:rPr>
        <w:t>模块功能概述：</w:t>
      </w:r>
    </w:p>
    <w:p w14:paraId="3AF36691">
      <w:pPr>
        <w:rPr>
          <w:rFonts w:hint="eastAsia" w:eastAsia="宋体"/>
          <w:color w:val="auto"/>
          <w:lang w:val="en-US" w:eastAsia="zh-CN"/>
        </w:rPr>
      </w:pPr>
      <w:r>
        <w:rPr>
          <w:rFonts w:hint="eastAsia"/>
          <w:color w:val="auto"/>
        </w:rPr>
        <w:t>功能主要包括疑点核查专区、审计知识助手</w:t>
      </w:r>
      <w:r>
        <w:rPr>
          <w:rFonts w:hint="eastAsia"/>
          <w:color w:val="auto"/>
          <w:lang w:eastAsia="zh-CN"/>
        </w:rPr>
        <w:t>、</w:t>
      </w:r>
      <w:r>
        <w:rPr>
          <w:rFonts w:hint="eastAsia"/>
          <w:color w:val="auto"/>
        </w:rPr>
        <w:t>数据脱敏、数据沙箱、AI助手等功能</w:t>
      </w:r>
      <w:r>
        <w:rPr>
          <w:rFonts w:hint="eastAsia"/>
          <w:color w:val="auto"/>
          <w:lang w:eastAsia="zh-CN"/>
        </w:rPr>
        <w:t>。</w:t>
      </w:r>
      <w:r>
        <w:rPr>
          <w:rFonts w:hint="eastAsia"/>
          <w:color w:val="auto"/>
        </w:rPr>
        <w:t>审计人员可以通过移动办公等方式</w:t>
      </w:r>
      <w:r>
        <w:rPr>
          <w:rFonts w:hint="eastAsia"/>
          <w:color w:val="auto"/>
          <w:lang w:val="en-US" w:eastAsia="zh-CN"/>
        </w:rPr>
        <w:t>利用智审DESK开展现场审计</w:t>
      </w:r>
      <w:r>
        <w:rPr>
          <w:color w:val="auto"/>
        </w:rPr>
        <w:t>。</w:t>
      </w:r>
    </w:p>
    <w:p w14:paraId="64FC9F87">
      <w:pPr>
        <w:widowControl/>
        <w:numPr>
          <w:ilvl w:val="0"/>
          <w:numId w:val="9"/>
        </w:numPr>
        <w:ind w:left="425" w:leftChars="0" w:hanging="425" w:firstLineChars="0"/>
        <w:jc w:val="left"/>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核心功能</w:t>
      </w:r>
      <w:r>
        <w:rPr>
          <w:rFonts w:hint="eastAsia" w:ascii="宋体" w:hAnsi="宋体" w:eastAsia="宋体" w:cs="宋体"/>
          <w:b/>
          <w:bCs/>
          <w:color w:val="auto"/>
          <w:kern w:val="2"/>
          <w:sz w:val="24"/>
          <w:szCs w:val="24"/>
          <w:lang w:val="en-US" w:eastAsia="zh-CN" w:bidi="ar-SA"/>
        </w:rPr>
        <w:t>需求</w:t>
      </w:r>
      <w:r>
        <w:rPr>
          <w:rFonts w:hint="eastAsia" w:ascii="宋体" w:hAnsi="宋体" w:cs="宋体"/>
          <w:b/>
          <w:bCs/>
          <w:color w:val="auto"/>
          <w:kern w:val="2"/>
          <w:sz w:val="24"/>
          <w:szCs w:val="24"/>
          <w:lang w:val="en-US" w:eastAsia="zh-CN" w:bidi="ar-SA"/>
        </w:rPr>
        <w:t>：</w:t>
      </w:r>
    </w:p>
    <w:p w14:paraId="3C6790DF">
      <w:pPr>
        <w:widowControl/>
        <w:numPr>
          <w:ilvl w:val="0"/>
          <w:numId w:val="10"/>
        </w:numPr>
        <w:ind w:left="425" w:leftChars="0" w:hanging="425" w:firstLineChars="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疑点核查专区</w:t>
      </w:r>
      <w:r>
        <w:rPr>
          <w:rFonts w:hint="eastAsia" w:ascii="宋体" w:hAnsi="宋体" w:eastAsia="宋体" w:cs="宋体"/>
          <w:color w:val="auto"/>
          <w:highlight w:val="none"/>
          <w:lang w:eastAsia="zh-CN"/>
        </w:rPr>
        <w:t>：疑点核查专区旨在集中展示数据集市中的疑点主题数据，以清晰、直观的方式展示给审计人员，以帮助审计人员迅速识别和核实潜在的财务数据异常、业务流程不合规、系统操作风险等多方面的审计疑点。</w:t>
      </w:r>
    </w:p>
    <w:p w14:paraId="1FCC0E89">
      <w:pPr>
        <w:widowControl/>
        <w:numPr>
          <w:ilvl w:val="0"/>
          <w:numId w:val="10"/>
        </w:numPr>
        <w:ind w:left="425" w:leftChars="0" w:hanging="425" w:firstLineChars="0"/>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highlight w:val="none"/>
        </w:rPr>
        <w:t>审计知识助手</w:t>
      </w:r>
      <w:r>
        <w:rPr>
          <w:rFonts w:hint="eastAsia" w:ascii="宋体" w:hAnsi="宋体" w:eastAsia="宋体" w:cs="宋体"/>
          <w:color w:val="auto"/>
          <w:highlight w:val="none"/>
          <w:lang w:eastAsia="zh-CN"/>
        </w:rPr>
        <w:t>：依托WPS软件，定位为提高审计工作质量的效率工具，以加载项形式提供一系列审计知识的快速查询、引用和分析功能，主要包括审计流程指引、审计文书资料、审计问题描述参考、审计问题定性指引、政策热点法规、审计案例参考。</w:t>
      </w:r>
    </w:p>
    <w:p w14:paraId="15E25B9F">
      <w:pPr>
        <w:widowControl/>
        <w:numPr>
          <w:ilvl w:val="0"/>
          <w:numId w:val="10"/>
        </w:numPr>
        <w:spacing w:line="360" w:lineRule="auto"/>
        <w:ind w:left="425" w:leftChars="0" w:hanging="425"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数据脱敏</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系统需</w:t>
      </w:r>
      <w:r>
        <w:rPr>
          <w:rFonts w:hint="eastAsia" w:ascii="宋体" w:hAnsi="宋体" w:eastAsia="宋体" w:cs="宋体"/>
          <w:color w:val="auto"/>
          <w:kern w:val="2"/>
          <w:sz w:val="24"/>
          <w:szCs w:val="24"/>
          <w:lang w:val="en-US" w:eastAsia="zh-CN" w:bidi="ar-SA"/>
        </w:rPr>
        <w:t>对审计高安全性数据进行脱敏处理后，推送到智审DESK前端应用。确保数据隐私和安全性的同时，满足现场审计人员对数据的查询和分析需求。</w:t>
      </w:r>
    </w:p>
    <w:p w14:paraId="0A35B621">
      <w:pPr>
        <w:widowControl/>
        <w:numPr>
          <w:ilvl w:val="0"/>
          <w:numId w:val="10"/>
        </w:numPr>
        <w:spacing w:line="360" w:lineRule="auto"/>
        <w:ind w:left="425" w:leftChars="0" w:hanging="425"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数据沙箱</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系统需</w:t>
      </w:r>
      <w:r>
        <w:rPr>
          <w:rFonts w:hint="eastAsia" w:ascii="宋体" w:hAnsi="宋体" w:eastAsia="宋体" w:cs="宋体"/>
          <w:color w:val="auto"/>
          <w:kern w:val="2"/>
          <w:sz w:val="24"/>
          <w:szCs w:val="24"/>
          <w:lang w:val="en-US" w:eastAsia="zh-CN" w:bidi="ar-SA"/>
        </w:rPr>
        <w:t>实现数据管理中心高安全性数据和现场审计人员上传数据的比对。支持比对模型设计和调试、模型提交、审核、启用管理等功能，确保比对过程的可控性和安全性。同时，提供数据沙箱运算和比对结果处理功能，帮助审计人员快速发现数据中的问题和风险。</w:t>
      </w:r>
    </w:p>
    <w:p w14:paraId="528C88EA">
      <w:pPr>
        <w:widowControl/>
        <w:numPr>
          <w:ilvl w:val="0"/>
          <w:numId w:val="10"/>
        </w:numPr>
        <w:spacing w:line="360" w:lineRule="auto"/>
        <w:ind w:left="425" w:leftChars="0" w:hanging="425" w:firstLineChars="0"/>
        <w:jc w:val="left"/>
        <w:rPr>
          <w:rFonts w:hint="eastAsia"/>
          <w:color w:val="auto"/>
        </w:rPr>
      </w:pPr>
      <w:r>
        <w:rPr>
          <w:rFonts w:hint="eastAsia" w:ascii="宋体" w:hAnsi="宋体" w:eastAsia="宋体" w:cs="宋体"/>
          <w:b w:val="0"/>
          <w:bCs w:val="0"/>
          <w:color w:val="auto"/>
          <w:kern w:val="2"/>
          <w:sz w:val="24"/>
          <w:szCs w:val="24"/>
          <w:lang w:val="en-US" w:eastAsia="zh-CN" w:bidi="ar-SA"/>
        </w:rPr>
        <w:t>AI助手：系统需要通过集成AI技术，提供文档分析类应用、文书生成类应用等大模型数字助手功能接口应用，协助审计人员更高效地完成任务、优化决策过程</w:t>
      </w:r>
      <w:r>
        <w:rPr>
          <w:rFonts w:hint="eastAsia" w:ascii="宋体" w:hAnsi="宋体" w:eastAsia="宋体" w:cs="宋体"/>
          <w:b w:val="0"/>
          <w:bCs w:val="0"/>
          <w:color w:val="auto"/>
        </w:rPr>
        <w:t>。</w:t>
      </w:r>
      <w:r>
        <w:rPr>
          <w:rFonts w:hint="eastAsia" w:ascii="宋体" w:hAnsi="宋体" w:eastAsia="宋体" w:cs="宋体"/>
          <w:color w:val="auto"/>
          <w:kern w:val="2"/>
          <w:sz w:val="24"/>
          <w:szCs w:val="24"/>
          <w:lang w:val="en-US" w:eastAsia="zh-CN" w:bidi="ar-SA"/>
        </w:rPr>
        <w:t xml:space="preserve">  </w:t>
      </w:r>
    </w:p>
    <w:p w14:paraId="12560123">
      <w:pPr>
        <w:numPr>
          <w:ilvl w:val="0"/>
          <w:numId w:val="8"/>
        </w:numPr>
        <w:ind w:left="0" w:leftChars="0" w:firstLine="420" w:firstLineChars="0"/>
        <w:rPr>
          <w:rFonts w:hint="eastAsia"/>
          <w:color w:val="auto"/>
          <w:sz w:val="24"/>
          <w:szCs w:val="24"/>
        </w:rPr>
      </w:pPr>
      <w:r>
        <w:rPr>
          <w:rFonts w:hint="eastAsia"/>
          <w:color w:val="auto"/>
          <w:sz w:val="24"/>
          <w:szCs w:val="24"/>
        </w:rPr>
        <w:t>百川·数据报采中心</w:t>
      </w:r>
    </w:p>
    <w:p w14:paraId="7373368C">
      <w:pPr>
        <w:widowControl/>
        <w:numPr>
          <w:ilvl w:val="0"/>
          <w:numId w:val="11"/>
        </w:numPr>
        <w:ind w:left="425" w:leftChars="0" w:hanging="425" w:firstLineChars="0"/>
        <w:jc w:val="left"/>
        <w:rPr>
          <w:rFonts w:hint="eastAsia"/>
          <w:color w:val="auto"/>
          <w:sz w:val="24"/>
          <w:szCs w:val="24"/>
        </w:rPr>
      </w:pPr>
      <w:r>
        <w:rPr>
          <w:rFonts w:hint="eastAsia" w:ascii="宋体" w:hAnsi="宋体" w:cs="宋体"/>
          <w:b/>
          <w:bCs/>
          <w:color w:val="auto"/>
          <w:kern w:val="2"/>
          <w:sz w:val="24"/>
          <w:szCs w:val="24"/>
          <w:lang w:val="en-US" w:eastAsia="zh-CN" w:bidi="ar-SA"/>
        </w:rPr>
        <w:t>模块功能概述：</w:t>
      </w:r>
    </w:p>
    <w:p w14:paraId="5508DC4C">
      <w:pPr>
        <w:widowControl/>
        <w:numPr>
          <w:ilvl w:val="0"/>
          <w:numId w:val="0"/>
        </w:numPr>
        <w:spacing w:line="360" w:lineRule="auto"/>
        <w:ind w:leftChars="0" w:firstLine="480"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本次改造</w:t>
      </w:r>
      <w:r>
        <w:rPr>
          <w:rFonts w:hint="eastAsia" w:ascii="宋体" w:hAnsi="宋体" w:cs="宋体"/>
          <w:color w:val="auto"/>
          <w:kern w:val="2"/>
          <w:sz w:val="24"/>
          <w:szCs w:val="24"/>
          <w:lang w:val="en-US" w:eastAsia="zh-CN" w:bidi="ar-SA"/>
        </w:rPr>
        <w:t>需要建设一个</w:t>
      </w:r>
      <w:r>
        <w:rPr>
          <w:rFonts w:hint="eastAsia" w:ascii="宋体" w:hAnsi="宋体" w:eastAsia="宋体" w:cs="宋体"/>
          <w:color w:val="auto"/>
          <w:kern w:val="2"/>
          <w:sz w:val="24"/>
          <w:szCs w:val="24"/>
          <w:lang w:val="en-US" w:eastAsia="zh-CN" w:bidi="ar-SA"/>
        </w:rPr>
        <w:t>统一的报送与采集转换中心，</w:t>
      </w:r>
      <w:r>
        <w:rPr>
          <w:rFonts w:hint="eastAsia" w:ascii="宋体" w:hAnsi="宋体" w:cs="宋体"/>
          <w:color w:val="auto"/>
          <w:kern w:val="2"/>
          <w:sz w:val="24"/>
          <w:szCs w:val="24"/>
          <w:lang w:val="en-US" w:eastAsia="zh-CN" w:bidi="ar-SA"/>
        </w:rPr>
        <w:t>实现</w:t>
      </w:r>
      <w:r>
        <w:rPr>
          <w:rFonts w:hint="eastAsia" w:ascii="宋体" w:hAnsi="宋体" w:eastAsia="宋体" w:cs="宋体"/>
          <w:color w:val="auto"/>
          <w:kern w:val="2"/>
          <w:sz w:val="24"/>
          <w:szCs w:val="24"/>
          <w:lang w:val="en-US" w:eastAsia="zh-CN" w:bidi="ar-SA"/>
        </w:rPr>
        <w:t>被审计单位统一数据接口。主要功能有报采中心总览、报采统计、任务发布、数据报送，数据报送管理、业务数据源管理、数据模板管理、数据质量管理、财务账套管理、数据对比、数据转换、数据加工等。</w:t>
      </w:r>
    </w:p>
    <w:p w14:paraId="1780BEEB">
      <w:pPr>
        <w:widowControl/>
        <w:numPr>
          <w:ilvl w:val="0"/>
          <w:numId w:val="11"/>
        </w:numPr>
        <w:ind w:left="425" w:leftChars="0"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核心功能需求：</w:t>
      </w:r>
    </w:p>
    <w:p w14:paraId="4E9A2CEE">
      <w:pPr>
        <w:widowControl/>
        <w:numPr>
          <w:ilvl w:val="0"/>
          <w:numId w:val="12"/>
        </w:numPr>
        <w:ind w:left="425" w:leftChars="0" w:hanging="425" w:firstLineChars="0"/>
        <w:jc w:val="left"/>
        <w:rPr>
          <w:rFonts w:hint="eastAsia" w:ascii="宋体" w:hAnsi="宋体" w:cs="宋体"/>
          <w:b w:val="0"/>
          <w:bCs w:val="0"/>
          <w:color w:val="auto"/>
          <w:kern w:val="2"/>
          <w:sz w:val="24"/>
          <w:szCs w:val="24"/>
          <w:lang w:val="en-US" w:eastAsia="zh-CN" w:bidi="ar-SA"/>
        </w:rPr>
      </w:pPr>
      <w:r>
        <w:rPr>
          <w:rFonts w:hint="eastAsia" w:ascii="宋体" w:hAnsi="宋体" w:cs="宋体"/>
          <w:b/>
          <w:bCs/>
          <w:color w:val="auto"/>
          <w:kern w:val="2"/>
          <w:sz w:val="24"/>
          <w:szCs w:val="24"/>
          <w:lang w:val="en-US" w:eastAsia="zh-CN" w:bidi="ar-SA"/>
        </w:rPr>
        <w:t>报送管理：</w:t>
      </w:r>
      <w:r>
        <w:rPr>
          <w:rFonts w:hint="eastAsia" w:ascii="宋体" w:hAnsi="宋体" w:cs="宋体"/>
          <w:b w:val="0"/>
          <w:bCs w:val="0"/>
          <w:color w:val="auto"/>
          <w:kern w:val="2"/>
          <w:sz w:val="24"/>
          <w:szCs w:val="24"/>
          <w:lang w:val="en-US" w:eastAsia="zh-CN" w:bidi="ar-SA"/>
        </w:rPr>
        <w:t xml:space="preserve">系统需能通过可视化图表等形式实时展示报采进度，并支持按时间、报送单位及任务维度统计报送数据，提供多形式报表导出功能。系统需能支持自定义表单设计及附件上传任务下发，定向推送至被审计单位完成数据填报。 </w:t>
      </w:r>
      <w:r>
        <w:rPr>
          <w:rFonts w:hint="eastAsia" w:ascii="宋体" w:hAnsi="宋体" w:cs="宋体"/>
          <w:b w:val="0"/>
          <w:bCs w:val="0"/>
          <w:color w:val="auto"/>
          <w:lang w:val="en-US" w:eastAsia="zh-CN"/>
        </w:rPr>
        <w:t>系统需</w:t>
      </w:r>
      <w:r>
        <w:rPr>
          <w:rFonts w:hint="eastAsia" w:ascii="宋体" w:hAnsi="宋体" w:cs="宋体"/>
          <w:b w:val="0"/>
          <w:bCs w:val="0"/>
          <w:color w:val="auto"/>
        </w:rPr>
        <w:t>提供多种数据报送方式，包括在线填报、数据文件报送、文件断点续传、多种文件类型上传以及文件指纹检查</w:t>
      </w:r>
      <w:r>
        <w:rPr>
          <w:rFonts w:hint="eastAsia" w:ascii="宋体" w:hAnsi="宋体" w:cs="宋体"/>
          <w:b w:val="0"/>
          <w:bCs w:val="0"/>
          <w:color w:val="auto"/>
          <w:lang w:val="en-US" w:eastAsia="zh-CN"/>
        </w:rPr>
        <w:t>等功能，并提供对</w:t>
      </w:r>
      <w:r>
        <w:rPr>
          <w:rFonts w:hint="eastAsia" w:ascii="宋体" w:hAnsi="宋体" w:cs="宋体"/>
          <w:b w:val="0"/>
          <w:bCs w:val="0"/>
          <w:color w:val="auto"/>
        </w:rPr>
        <w:t>报送单位管理</w:t>
      </w:r>
      <w:r>
        <w:rPr>
          <w:rFonts w:hint="eastAsia" w:ascii="宋体" w:hAnsi="宋体" w:cs="宋体"/>
          <w:b w:val="0"/>
          <w:bCs w:val="0"/>
          <w:color w:val="auto"/>
          <w:lang w:eastAsia="zh-CN"/>
        </w:rPr>
        <w:t>、</w:t>
      </w:r>
      <w:r>
        <w:rPr>
          <w:rFonts w:hint="eastAsia" w:ascii="宋体" w:hAnsi="宋体" w:cs="宋体"/>
          <w:b w:val="0"/>
          <w:bCs w:val="0"/>
          <w:color w:val="auto"/>
        </w:rPr>
        <w:t>通知管理</w:t>
      </w:r>
      <w:r>
        <w:rPr>
          <w:rFonts w:hint="eastAsia" w:ascii="宋体" w:hAnsi="宋体" w:cs="宋体"/>
          <w:b w:val="0"/>
          <w:bCs w:val="0"/>
          <w:color w:val="auto"/>
          <w:lang w:eastAsia="zh-CN"/>
        </w:rPr>
        <w:t>、</w:t>
      </w:r>
      <w:r>
        <w:rPr>
          <w:rFonts w:hint="eastAsia" w:ascii="宋体" w:hAnsi="宋体" w:cs="宋体"/>
          <w:b w:val="0"/>
          <w:bCs w:val="0"/>
          <w:color w:val="auto"/>
        </w:rPr>
        <w:t>报送批次管理</w:t>
      </w:r>
      <w:r>
        <w:rPr>
          <w:rFonts w:hint="eastAsia" w:ascii="宋体" w:hAnsi="宋体" w:cs="宋体"/>
          <w:b w:val="0"/>
          <w:bCs w:val="0"/>
          <w:color w:val="auto"/>
          <w:lang w:eastAsia="zh-CN"/>
        </w:rPr>
        <w:t>、</w:t>
      </w:r>
      <w:r>
        <w:rPr>
          <w:rFonts w:hint="eastAsia" w:ascii="宋体" w:hAnsi="宋体" w:cs="宋体"/>
          <w:b w:val="0"/>
          <w:bCs w:val="0"/>
          <w:color w:val="auto"/>
        </w:rPr>
        <w:t>财务软件管理</w:t>
      </w:r>
      <w:r>
        <w:rPr>
          <w:rFonts w:hint="eastAsia" w:ascii="宋体" w:hAnsi="宋体" w:cs="宋体"/>
          <w:b w:val="0"/>
          <w:bCs w:val="0"/>
          <w:color w:val="auto"/>
          <w:lang w:eastAsia="zh-CN"/>
        </w:rPr>
        <w:t>、</w:t>
      </w:r>
      <w:r>
        <w:rPr>
          <w:rFonts w:hint="eastAsia" w:ascii="宋体" w:hAnsi="宋体" w:cs="宋体"/>
          <w:b w:val="0"/>
          <w:bCs w:val="0"/>
          <w:color w:val="auto"/>
        </w:rPr>
        <w:t>报送规则维护</w:t>
      </w:r>
      <w:r>
        <w:rPr>
          <w:rFonts w:hint="eastAsia" w:ascii="宋体" w:hAnsi="宋体" w:cs="宋体"/>
          <w:b w:val="0"/>
          <w:bCs w:val="0"/>
          <w:color w:val="auto"/>
          <w:lang w:eastAsia="zh-CN"/>
        </w:rPr>
        <w:t>、</w:t>
      </w:r>
      <w:r>
        <w:rPr>
          <w:rFonts w:hint="eastAsia" w:ascii="宋体" w:hAnsi="宋体" w:cs="宋体"/>
          <w:b w:val="0"/>
          <w:bCs w:val="0"/>
          <w:color w:val="auto"/>
        </w:rPr>
        <w:t>数据字典管理</w:t>
      </w:r>
      <w:r>
        <w:rPr>
          <w:rFonts w:hint="eastAsia" w:ascii="宋体" w:hAnsi="宋体" w:cs="宋体"/>
          <w:b w:val="0"/>
          <w:bCs w:val="0"/>
          <w:color w:val="auto"/>
          <w:lang w:val="en-US" w:eastAsia="zh-CN"/>
        </w:rPr>
        <w:t>等数据报送管理功能</w:t>
      </w:r>
      <w:r>
        <w:rPr>
          <w:rFonts w:hint="eastAsia" w:ascii="宋体" w:hAnsi="宋体" w:cs="宋体"/>
          <w:b w:val="0"/>
          <w:bCs w:val="0"/>
          <w:color w:val="auto"/>
        </w:rPr>
        <w:t>。</w:t>
      </w:r>
    </w:p>
    <w:p w14:paraId="095466D0">
      <w:pPr>
        <w:widowControl/>
        <w:numPr>
          <w:ilvl w:val="0"/>
          <w:numId w:val="12"/>
        </w:numPr>
        <w:ind w:left="425" w:leftChars="0" w:hanging="425" w:firstLineChars="0"/>
        <w:jc w:val="left"/>
        <w:rPr>
          <w:rFonts w:hint="eastAsia" w:ascii="宋体" w:hAnsi="宋体" w:cs="宋体"/>
          <w:b w:val="0"/>
          <w:bCs w:val="0"/>
          <w:color w:val="auto"/>
          <w:kern w:val="2"/>
          <w:sz w:val="24"/>
          <w:szCs w:val="24"/>
          <w:lang w:val="en-US" w:eastAsia="zh-CN" w:bidi="ar-SA"/>
        </w:rPr>
      </w:pPr>
      <w:r>
        <w:rPr>
          <w:rFonts w:hint="eastAsia" w:ascii="宋体" w:hAnsi="宋体" w:cs="宋体"/>
          <w:b/>
          <w:bCs/>
          <w:color w:val="auto"/>
          <w:kern w:val="2"/>
          <w:sz w:val="24"/>
          <w:szCs w:val="24"/>
          <w:lang w:val="en-US" w:eastAsia="zh-CN" w:bidi="ar-SA"/>
        </w:rPr>
        <w:t>采集管理：</w:t>
      </w:r>
      <w:r>
        <w:rPr>
          <w:rFonts w:hint="eastAsia" w:ascii="宋体" w:hAnsi="宋体" w:cs="宋体"/>
          <w:b w:val="0"/>
          <w:bCs w:val="0"/>
          <w:color w:val="auto"/>
          <w:kern w:val="2"/>
          <w:sz w:val="24"/>
          <w:szCs w:val="24"/>
          <w:lang w:val="en-US" w:eastAsia="zh-CN" w:bidi="ar-SA"/>
        </w:rPr>
        <w:t>系统需支持业务数据源的连接配置、有效性检测、状态监控，以及财务数据源的服务器信息维护、数据库连接测试；支持对业务与财务数据模板进行管理，实现模板分类归档、图形化编辑配置、离线模板同步，并针对财务数据维护采集脚本及模板分类；系统需提供模板优化与任务管理功能，并支持格式转换、清洗规则自动生成与手工调整等功能；系统需能以可视化方式展示多源数据差异并自定义对比规则；通过质量监控、规则管理、质控指标配置及自定义报告生成等功能对数据质量进行管理；系统需能通过</w:t>
      </w:r>
      <w:r>
        <w:rPr>
          <w:rFonts w:hint="eastAsia" w:ascii="宋体" w:hAnsi="宋体" w:eastAsia="宋体" w:cs="宋体"/>
          <w:b w:val="0"/>
          <w:bCs w:val="0"/>
          <w:i w:val="0"/>
          <w:iCs w:val="0"/>
          <w:caps w:val="0"/>
          <w:color w:val="auto"/>
          <w:spacing w:val="0"/>
          <w:kern w:val="2"/>
          <w:sz w:val="24"/>
          <w:szCs w:val="24"/>
          <w:highlight w:val="none"/>
          <w:shd w:val="clear" w:color="0C0000" w:fill="auto"/>
          <w:lang w:val="en-US" w:eastAsia="zh-CN" w:bidi="ar-SA"/>
        </w:rPr>
        <w:t>清洗规则管理、清洗任务管理、任务实例管理实现</w:t>
      </w:r>
      <w:r>
        <w:rPr>
          <w:rFonts w:hint="eastAsia" w:ascii="宋体" w:hAnsi="宋体" w:cs="宋体"/>
          <w:b w:val="0"/>
          <w:bCs w:val="0"/>
          <w:color w:val="auto"/>
          <w:kern w:val="2"/>
          <w:sz w:val="24"/>
          <w:szCs w:val="24"/>
          <w:lang w:val="en-US" w:eastAsia="zh-CN" w:bidi="ar-SA"/>
        </w:rPr>
        <w:t>数据清洗； 系统可以通过支持定时批量处理任务、原始文件标准化转换（含数据库直连、日志管理）等方式对业务与财务数据进行加工；系统需能对所有数据操作行为进行完整记录并导出；通过可视化展示形式展示</w:t>
      </w:r>
      <w:r>
        <w:rPr>
          <w:rFonts w:hint="eastAsia" w:ascii="宋体" w:hAnsi="宋体" w:cs="宋体"/>
          <w:b w:val="0"/>
          <w:bCs w:val="0"/>
          <w:color w:val="auto"/>
        </w:rPr>
        <w:t>总体</w:t>
      </w:r>
      <w:r>
        <w:rPr>
          <w:rFonts w:hint="eastAsia" w:ascii="宋体" w:hAnsi="宋体" w:cs="宋体"/>
          <w:b w:val="0"/>
          <w:bCs w:val="0"/>
          <w:color w:val="auto"/>
          <w:kern w:val="2"/>
          <w:sz w:val="24"/>
          <w:szCs w:val="24"/>
          <w:lang w:val="en-US" w:eastAsia="zh-CN" w:bidi="ar-SA"/>
        </w:rPr>
        <w:t>运行状态，实时监控采集、清洗、质控任务进度及异常诊断；系统需提供账套维护、在线看账工具及EPKG包转换功能，形成从数据采集、清洗加工到账套生成的全链路闭环管理能力。</w:t>
      </w:r>
    </w:p>
    <w:p w14:paraId="450F8A2B">
      <w:pPr>
        <w:widowControl/>
        <w:numPr>
          <w:ilvl w:val="0"/>
          <w:numId w:val="0"/>
        </w:numPr>
        <w:spacing w:line="360" w:lineRule="auto"/>
        <w:ind w:leftChars="0" w:firstLine="0" w:firstLineChars="0"/>
        <w:jc w:val="left"/>
        <w:rPr>
          <w:rFonts w:hint="eastAsia" w:ascii="宋体" w:hAnsi="宋体" w:cs="宋体"/>
          <w:color w:val="auto"/>
          <w:kern w:val="2"/>
          <w:sz w:val="24"/>
          <w:szCs w:val="24"/>
          <w:lang w:val="en-US" w:eastAsia="zh-CN" w:bidi="ar-SA"/>
        </w:rPr>
      </w:pPr>
    </w:p>
    <w:p w14:paraId="0F50EF9C">
      <w:pPr>
        <w:numPr>
          <w:ilvl w:val="0"/>
          <w:numId w:val="8"/>
        </w:numPr>
        <w:ind w:left="0" w:leftChars="0" w:firstLine="420" w:firstLineChars="0"/>
        <w:rPr>
          <w:rFonts w:hint="eastAsia"/>
          <w:color w:val="auto"/>
          <w:sz w:val="24"/>
          <w:szCs w:val="24"/>
        </w:rPr>
      </w:pPr>
      <w:r>
        <w:rPr>
          <w:rFonts w:hint="eastAsia" w:ascii="宋体" w:hAnsi="宋体" w:cs="宋体"/>
          <w:color w:val="auto"/>
          <w:kern w:val="2"/>
          <w:sz w:val="24"/>
          <w:szCs w:val="24"/>
          <w:lang w:val="en-US" w:eastAsia="zh-CN" w:bidi="ar-SA"/>
        </w:rPr>
        <w:t>海涵·数据管理中心</w:t>
      </w:r>
    </w:p>
    <w:p w14:paraId="4AF4BA28">
      <w:pPr>
        <w:widowControl/>
        <w:numPr>
          <w:ilvl w:val="0"/>
          <w:numId w:val="13"/>
        </w:numPr>
        <w:spacing w:line="360" w:lineRule="auto"/>
        <w:ind w:left="425" w:leftChars="0"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模块功能概述：</w:t>
      </w:r>
    </w:p>
    <w:p w14:paraId="603A703A">
      <w:pPr>
        <w:widowControl/>
        <w:numPr>
          <w:ilvl w:val="0"/>
          <w:numId w:val="0"/>
        </w:numPr>
        <w:spacing w:line="360" w:lineRule="auto"/>
        <w:ind w:leftChars="0" w:firstLine="480" w:firstLineChars="200"/>
        <w:jc w:val="left"/>
        <w:rPr>
          <w:rFonts w:hint="default"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本项目拟应用大数据中心中台共性能力如数据装载、元数据管理、数据资源目录等功能的基础上，建设数据集市管理、标签管理、数据分级分类等审计业务特色功能。并针对本项目所涉及的数据，以及数据流转应用所必需的计算资源、存储资源进行全面管理。</w:t>
      </w:r>
    </w:p>
    <w:p w14:paraId="16BFB3C3">
      <w:pPr>
        <w:widowControl/>
        <w:numPr>
          <w:ilvl w:val="0"/>
          <w:numId w:val="13"/>
        </w:numPr>
        <w:spacing w:line="360" w:lineRule="auto"/>
        <w:ind w:left="425" w:leftChars="0"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核心功能需求：</w:t>
      </w:r>
    </w:p>
    <w:p w14:paraId="4A214906">
      <w:pPr>
        <w:widowControl/>
        <w:numPr>
          <w:ilvl w:val="0"/>
          <w:numId w:val="14"/>
        </w:numPr>
        <w:spacing w:line="360" w:lineRule="auto"/>
        <w:ind w:left="425"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数据中心总览</w:t>
      </w:r>
    </w:p>
    <w:p w14:paraId="022F217A">
      <w:pPr>
        <w:widowControl/>
        <w:numPr>
          <w:ilvl w:val="0"/>
          <w:numId w:val="0"/>
        </w:numPr>
        <w:spacing w:line="360" w:lineRule="auto"/>
        <w:ind w:firstLine="480" w:firstLineChars="200"/>
        <w:jc w:val="left"/>
        <w:rPr>
          <w:rFonts w:hint="eastAsia" w:ascii="宋体" w:hAnsi="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系统需能以可视化展示行业信息、单位数量、数据总量、采集模板数量、审计方法等关键信息。并支持大数据表的统计，同时支持数据规划等相关操作。</w:t>
      </w:r>
    </w:p>
    <w:p w14:paraId="4A7D8D54">
      <w:pPr>
        <w:widowControl/>
        <w:numPr>
          <w:ilvl w:val="0"/>
          <w:numId w:val="14"/>
        </w:numPr>
        <w:spacing w:line="360" w:lineRule="auto"/>
        <w:ind w:left="425"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数据准备</w:t>
      </w:r>
    </w:p>
    <w:p w14:paraId="114C57B8">
      <w:pPr>
        <w:widowControl/>
        <w:jc w:val="left"/>
        <w:rPr>
          <w:rFonts w:hint="eastAsia" w:ascii="宋体" w:hAnsi="宋体" w:eastAsia="宋体" w:cs="宋体"/>
          <w:b w:val="0"/>
          <w:bCs w:val="0"/>
          <w:color w:val="auto"/>
          <w:highlight w:val="none"/>
        </w:rPr>
      </w:pPr>
      <w:r>
        <w:rPr>
          <w:rFonts w:hint="eastAsia" w:ascii="宋体" w:hAnsi="宋体" w:eastAsia="宋体" w:cs="宋体"/>
          <w:b w:val="0"/>
          <w:bCs w:val="0"/>
          <w:color w:val="auto"/>
          <w:kern w:val="2"/>
          <w:sz w:val="24"/>
          <w:szCs w:val="24"/>
          <w:highlight w:val="none"/>
          <w:lang w:val="en-US" w:eastAsia="zh-CN" w:bidi="ar-SA"/>
        </w:rPr>
        <w:t>系统建设</w:t>
      </w:r>
      <w:r>
        <w:rPr>
          <w:rFonts w:hint="eastAsia" w:ascii="宋体" w:hAnsi="宋体" w:eastAsia="宋体" w:cs="宋体"/>
          <w:b w:val="0"/>
          <w:bCs w:val="0"/>
          <w:i w:val="0"/>
          <w:iCs w:val="0"/>
          <w:caps w:val="0"/>
          <w:color w:val="auto"/>
          <w:spacing w:val="0"/>
          <w:kern w:val="2"/>
          <w:sz w:val="24"/>
          <w:szCs w:val="24"/>
          <w:highlight w:val="none"/>
          <w:shd w:val="clear" w:color="0C0000" w:fill="auto"/>
          <w:lang w:val="en-US" w:eastAsia="zh-CN" w:bidi="ar-SA"/>
        </w:rPr>
        <w:t>需完成行业服务器的注册流程，并对公用数据进行标记，确保公用数据可被再次查询分析与利用。</w:t>
      </w:r>
    </w:p>
    <w:p w14:paraId="02E1B90D">
      <w:pPr>
        <w:widowControl/>
        <w:numPr>
          <w:ilvl w:val="0"/>
          <w:numId w:val="14"/>
        </w:numPr>
        <w:spacing w:line="360" w:lineRule="auto"/>
        <w:ind w:left="425"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标签管理</w:t>
      </w:r>
    </w:p>
    <w:p w14:paraId="693CC539">
      <w:pPr>
        <w:widowControl/>
        <w:numPr>
          <w:ilvl w:val="0"/>
          <w:numId w:val="0"/>
        </w:numPr>
        <w:spacing w:line="360" w:lineRule="auto"/>
        <w:ind w:firstLine="480" w:firstLineChars="200"/>
        <w:jc w:val="left"/>
        <w:rPr>
          <w:rFonts w:hint="eastAsia" w:ascii="宋体" w:hAnsi="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系统需提供标签自定义、授权管理、生命周期管理、统计、任务调度等功能。并能通过标签管理体系，支持数据分析与挖掘、实现个性化推荐与定制服务，同时保障数据质量与合规性。</w:t>
      </w:r>
    </w:p>
    <w:p w14:paraId="52C45345">
      <w:pPr>
        <w:widowControl/>
        <w:numPr>
          <w:ilvl w:val="0"/>
          <w:numId w:val="14"/>
        </w:numPr>
        <w:spacing w:line="360" w:lineRule="auto"/>
        <w:ind w:left="425"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标签自动化</w:t>
      </w:r>
    </w:p>
    <w:p w14:paraId="73749CD4">
      <w:pPr>
        <w:widowControl/>
        <w:numPr>
          <w:ilvl w:val="0"/>
          <w:numId w:val="0"/>
        </w:numPr>
        <w:spacing w:line="360" w:lineRule="auto"/>
        <w:ind w:firstLine="480" w:firstLineChars="200"/>
        <w:jc w:val="left"/>
        <w:rPr>
          <w:rFonts w:hint="eastAsia" w:ascii="宋体" w:hAnsi="宋体" w:cs="宋体"/>
          <w:b/>
          <w:bCs/>
          <w:color w:val="auto"/>
          <w:kern w:val="2"/>
          <w:sz w:val="24"/>
          <w:szCs w:val="24"/>
          <w:highlight w:val="none"/>
          <w:lang w:val="en-US" w:eastAsia="zh-CN" w:bidi="ar-SA"/>
        </w:rPr>
      </w:pPr>
      <w:r>
        <w:rPr>
          <w:rFonts w:hint="eastAsia" w:ascii="宋体" w:hAnsi="宋体" w:eastAsia="宋体" w:cs="宋体"/>
          <w:b w:val="0"/>
          <w:bCs w:val="0"/>
          <w:i w:val="0"/>
          <w:iCs w:val="0"/>
          <w:caps w:val="0"/>
          <w:color w:val="auto"/>
          <w:spacing w:val="0"/>
          <w:kern w:val="2"/>
          <w:sz w:val="24"/>
          <w:szCs w:val="24"/>
          <w:highlight w:val="none"/>
          <w:shd w:val="clear" w:color="0B0000" w:fill="auto"/>
          <w:lang w:val="en-US" w:eastAsia="zh-CN" w:bidi="ar-SA"/>
        </w:rPr>
        <w:t>系统需能为数据库中的记录或条目添加元数据或分类信息打标签。满足提升搜索效率、支持数据挖掘分析、保障数据治理合规等需求。</w:t>
      </w:r>
    </w:p>
    <w:p w14:paraId="27DFDB48">
      <w:pPr>
        <w:widowControl/>
        <w:numPr>
          <w:ilvl w:val="0"/>
          <w:numId w:val="14"/>
        </w:numPr>
        <w:spacing w:line="360" w:lineRule="auto"/>
        <w:ind w:left="425"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数据集市管理</w:t>
      </w:r>
    </w:p>
    <w:p w14:paraId="490D8C0A">
      <w:pPr>
        <w:widowControl/>
        <w:numPr>
          <w:ilvl w:val="0"/>
          <w:numId w:val="0"/>
        </w:numPr>
        <w:spacing w:line="360" w:lineRule="auto"/>
        <w:ind w:firstLine="480" w:firstLineChars="200"/>
        <w:jc w:val="left"/>
        <w:rPr>
          <w:rFonts w:hint="eastAsia" w:ascii="宋体" w:hAnsi="宋体" w:cs="宋体"/>
          <w:b/>
          <w:bCs/>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系统需能对特定数据进行维护与利用，并能推送至对应的智审 DESK 专区、审计分析中心等应用。</w:t>
      </w:r>
    </w:p>
    <w:p w14:paraId="7F7C6EDB">
      <w:pPr>
        <w:widowControl/>
        <w:numPr>
          <w:ilvl w:val="0"/>
          <w:numId w:val="14"/>
        </w:numPr>
        <w:spacing w:line="360" w:lineRule="auto"/>
        <w:ind w:left="425"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数据销毁管理</w:t>
      </w:r>
    </w:p>
    <w:p w14:paraId="71E06EEF">
      <w:pPr>
        <w:widowControl/>
        <w:numPr>
          <w:ilvl w:val="0"/>
          <w:numId w:val="0"/>
        </w:numPr>
        <w:spacing w:line="360" w:lineRule="auto"/>
        <w:ind w:firstLine="480" w:firstLineChars="200"/>
        <w:jc w:val="left"/>
        <w:rPr>
          <w:rFonts w:hint="eastAsia" w:ascii="宋体" w:hAnsi="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系统需可以设置数据销毁申请入口，同时提供审批功能，确保数据销毁过程合规可控。</w:t>
      </w:r>
    </w:p>
    <w:p w14:paraId="01AD4984">
      <w:pPr>
        <w:widowControl/>
        <w:numPr>
          <w:ilvl w:val="0"/>
          <w:numId w:val="14"/>
        </w:numPr>
        <w:spacing w:line="360" w:lineRule="auto"/>
        <w:ind w:left="425"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被审计对象管理</w:t>
      </w:r>
    </w:p>
    <w:p w14:paraId="1FDE6B51">
      <w:pPr>
        <w:widowControl/>
        <w:numPr>
          <w:ilvl w:val="0"/>
          <w:numId w:val="0"/>
        </w:numPr>
        <w:spacing w:line="360" w:lineRule="auto"/>
        <w:ind w:firstLine="480" w:firstLineChars="200"/>
        <w:jc w:val="left"/>
        <w:rPr>
          <w:rFonts w:hint="eastAsia" w:ascii="宋体" w:hAnsi="宋体" w:cs="宋体"/>
          <w:b/>
          <w:bCs/>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系统需支持能以财政预算单位为基础，定期更新被审计单位信息。能提供维护与授权查看审计对象信息的权限。</w:t>
      </w:r>
    </w:p>
    <w:p w14:paraId="08192B06">
      <w:pPr>
        <w:widowControl/>
        <w:numPr>
          <w:ilvl w:val="0"/>
          <w:numId w:val="14"/>
        </w:numPr>
        <w:spacing w:line="360" w:lineRule="auto"/>
        <w:ind w:left="425"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系统配置管理</w:t>
      </w:r>
    </w:p>
    <w:p w14:paraId="18F4B87C">
      <w:pPr>
        <w:widowControl/>
        <w:numPr>
          <w:ilvl w:val="0"/>
          <w:numId w:val="0"/>
        </w:numPr>
        <w:spacing w:line="360" w:lineRule="auto"/>
        <w:ind w:firstLine="480" w:firstLineChars="200"/>
        <w:jc w:val="left"/>
        <w:rPr>
          <w:rFonts w:hint="eastAsia" w:ascii="宋体" w:hAnsi="宋体" w:cs="宋体"/>
          <w:b/>
          <w:bCs/>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系统需能对数据管理中心页面引用的基础数据进行统一维护。需能提供多种操作指引方式，降低系统使用门槛。</w:t>
      </w:r>
    </w:p>
    <w:p w14:paraId="5C2A29B8">
      <w:pPr>
        <w:widowControl/>
        <w:numPr>
          <w:ilvl w:val="0"/>
          <w:numId w:val="14"/>
        </w:numPr>
        <w:spacing w:line="360" w:lineRule="auto"/>
        <w:ind w:left="425"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数据分级分类</w:t>
      </w:r>
    </w:p>
    <w:p w14:paraId="46BAFE6E">
      <w:pPr>
        <w:widowControl/>
        <w:numPr>
          <w:ilvl w:val="0"/>
          <w:numId w:val="0"/>
        </w:numPr>
        <w:spacing w:line="360" w:lineRule="auto"/>
        <w:ind w:firstLine="480" w:firstLineChars="200"/>
        <w:jc w:val="left"/>
        <w:rPr>
          <w:rFonts w:hint="eastAsia" w:ascii="宋体" w:hAnsi="宋体" w:cs="宋体"/>
          <w:b/>
          <w:bCs/>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系统要能实现数据分类功能，并能依据敏感性和重要性划分数据等级与类别。并能基于分类结果，配置安全控制、审计日志和安全策略等功能。</w:t>
      </w:r>
    </w:p>
    <w:p w14:paraId="6DD5F2DF">
      <w:pPr>
        <w:numPr>
          <w:ilvl w:val="0"/>
          <w:numId w:val="8"/>
        </w:numPr>
        <w:spacing w:line="360" w:lineRule="auto"/>
        <w:ind w:left="0" w:leftChars="0" w:firstLine="42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求真·审计分析中心</w:t>
      </w:r>
    </w:p>
    <w:p w14:paraId="20B8AD77">
      <w:pPr>
        <w:widowControl/>
        <w:numPr>
          <w:ilvl w:val="0"/>
          <w:numId w:val="15"/>
        </w:numPr>
        <w:spacing w:line="360" w:lineRule="auto"/>
        <w:ind w:left="425" w:leftChars="0" w:hanging="425"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模块功能概述：</w:t>
      </w:r>
    </w:p>
    <w:p w14:paraId="17C27E0B">
      <w:pPr>
        <w:spacing w:line="36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本次项目建设的功能建设要求主要包括：</w:t>
      </w:r>
      <w:r>
        <w:rPr>
          <w:rFonts w:hint="eastAsia" w:ascii="宋体" w:hAnsi="宋体" w:eastAsia="宋体" w:cs="宋体"/>
          <w:color w:val="auto"/>
          <w:highlight w:val="none"/>
          <w:lang w:val="en-US" w:eastAsia="zh-CN"/>
        </w:rPr>
        <w:t>开发模型管理</w:t>
      </w:r>
      <w:r>
        <w:rPr>
          <w:rFonts w:hint="eastAsia" w:ascii="宋体" w:hAnsi="宋体" w:eastAsia="宋体" w:cs="宋体"/>
          <w:color w:val="auto"/>
          <w:lang w:val="en-US" w:eastAsia="zh-CN"/>
        </w:rPr>
        <w:t>、参数管理、审计预警、疑点管理以及审计分析报告管理等功能模块，同时新增SQL分析工具、多维分析工具等分析工具，通过对内容综合管理平台进行信创改造，实现对审计局核心业务数据的关联分析，功能包括单位/个人画像、图谱构建和数据检索等，并通过借助大数据中心的算力支持，搭建“审计事实发现描述－审计底稿”审计应用助手应用场景，实现审计工作的智能化辅助，提升审计工作质量和效率。</w:t>
      </w:r>
    </w:p>
    <w:p w14:paraId="24307E1C">
      <w:pPr>
        <w:widowControl/>
        <w:numPr>
          <w:ilvl w:val="0"/>
          <w:numId w:val="15"/>
        </w:numPr>
        <w:spacing w:line="360" w:lineRule="auto"/>
        <w:ind w:left="425" w:leftChars="0" w:hanging="425"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核心功能需求：</w:t>
      </w:r>
    </w:p>
    <w:p w14:paraId="361CC3D6">
      <w:pPr>
        <w:widowControl/>
        <w:numPr>
          <w:ilvl w:val="0"/>
          <w:numId w:val="16"/>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内容综合管理平台</w:t>
      </w:r>
      <w:r>
        <w:rPr>
          <w:rFonts w:hint="eastAsia" w:ascii="宋体" w:hAnsi="宋体" w:eastAsia="宋体" w:cs="宋体"/>
          <w:b/>
          <w:bCs/>
          <w:color w:val="auto"/>
          <w:lang w:eastAsia="zh-CN"/>
        </w:rPr>
        <w:t>：</w:t>
      </w:r>
      <w:r>
        <w:rPr>
          <w:rFonts w:hint="eastAsia" w:ascii="宋体" w:hAnsi="宋体" w:eastAsia="宋体" w:cs="宋体"/>
          <w:b w:val="0"/>
          <w:bCs w:val="0"/>
          <w:color w:val="auto"/>
          <w:lang w:val="en-US" w:eastAsia="zh-CN"/>
        </w:rPr>
        <w:t>系统需能</w:t>
      </w:r>
      <w:r>
        <w:rPr>
          <w:rFonts w:hint="eastAsia" w:ascii="宋体" w:hAnsi="宋体" w:eastAsia="宋体" w:cs="宋体"/>
          <w:b w:val="0"/>
          <w:bCs w:val="0"/>
          <w:color w:val="auto"/>
          <w:lang w:eastAsia="zh-CN"/>
        </w:rPr>
        <w:t>支持基础与高级检索模式，允许用户通过多条件组合实现精准资源定位，可配置重点审计对象及辅助数据来源、更新频度等参数，自动生成数据准备任务，并基于检索日志分析生成数据热度报告，预测数据趋势；</w:t>
      </w:r>
      <w:r>
        <w:rPr>
          <w:rFonts w:hint="eastAsia" w:ascii="宋体" w:hAnsi="宋体" w:eastAsia="宋体" w:cs="宋体"/>
          <w:b w:val="0"/>
          <w:bCs w:val="0"/>
          <w:color w:val="auto"/>
          <w:lang w:val="en-US" w:eastAsia="zh-CN"/>
        </w:rPr>
        <w:t>系统需</w:t>
      </w:r>
      <w:r>
        <w:rPr>
          <w:rFonts w:hint="eastAsia" w:ascii="宋体" w:hAnsi="宋体" w:eastAsia="宋体" w:cs="宋体"/>
          <w:b w:val="0"/>
          <w:bCs w:val="0"/>
          <w:color w:val="auto"/>
          <w:lang w:eastAsia="zh-CN"/>
        </w:rPr>
        <w:t>提供多维单位和个人画像分析及智能推荐功能，</w:t>
      </w:r>
      <w:r>
        <w:rPr>
          <w:rFonts w:hint="eastAsia" w:ascii="宋体" w:hAnsi="宋体" w:eastAsia="宋体" w:cs="宋体"/>
          <w:b w:val="0"/>
          <w:bCs w:val="0"/>
          <w:color w:val="auto"/>
          <w:lang w:val="en-US" w:eastAsia="zh-CN"/>
        </w:rPr>
        <w:t>并</w:t>
      </w:r>
      <w:r>
        <w:rPr>
          <w:rFonts w:hint="eastAsia" w:ascii="宋体" w:hAnsi="宋体" w:eastAsia="宋体" w:cs="宋体"/>
          <w:b w:val="0"/>
          <w:bCs w:val="0"/>
          <w:color w:val="auto"/>
          <w:lang w:eastAsia="zh-CN"/>
        </w:rPr>
        <w:t>具备数据标签化能力；</w:t>
      </w:r>
      <w:r>
        <w:rPr>
          <w:rFonts w:hint="eastAsia" w:ascii="宋体" w:hAnsi="宋体" w:eastAsia="宋体" w:cs="宋体"/>
          <w:b w:val="0"/>
          <w:bCs w:val="0"/>
          <w:color w:val="auto"/>
          <w:lang w:val="en-US" w:eastAsia="zh-CN"/>
        </w:rPr>
        <w:t>系统能对</w:t>
      </w:r>
      <w:r>
        <w:rPr>
          <w:rFonts w:hint="eastAsia" w:ascii="宋体" w:hAnsi="宋体" w:eastAsia="宋体" w:cs="宋体"/>
          <w:b w:val="0"/>
          <w:bCs w:val="0"/>
          <w:color w:val="auto"/>
          <w:lang w:eastAsia="zh-CN"/>
        </w:rPr>
        <w:t>单位图谱</w:t>
      </w:r>
      <w:r>
        <w:rPr>
          <w:rFonts w:hint="eastAsia" w:ascii="宋体" w:hAnsi="宋体" w:eastAsia="宋体" w:cs="宋体"/>
          <w:b w:val="0"/>
          <w:bCs w:val="0"/>
          <w:color w:val="auto"/>
          <w:lang w:val="en-US" w:eastAsia="zh-CN"/>
        </w:rPr>
        <w:t>进行</w:t>
      </w:r>
      <w:r>
        <w:rPr>
          <w:rFonts w:hint="eastAsia" w:ascii="宋体" w:hAnsi="宋体" w:eastAsia="宋体" w:cs="宋体"/>
          <w:b w:val="0"/>
          <w:bCs w:val="0"/>
          <w:color w:val="auto"/>
          <w:lang w:eastAsia="zh-CN"/>
        </w:rPr>
        <w:t>图谱构建、关联检索、层级下钻查询、深度挖掘单位间关系</w:t>
      </w:r>
      <w:r>
        <w:rPr>
          <w:rFonts w:hint="eastAsia" w:ascii="宋体" w:hAnsi="宋体" w:eastAsia="宋体" w:cs="宋体"/>
          <w:b w:val="0"/>
          <w:bCs w:val="0"/>
          <w:color w:val="auto"/>
          <w:lang w:val="en-US" w:eastAsia="zh-CN"/>
        </w:rPr>
        <w:t>等操作</w:t>
      </w:r>
      <w:r>
        <w:rPr>
          <w:rFonts w:hint="eastAsia" w:ascii="宋体" w:hAnsi="宋体" w:eastAsia="宋体" w:cs="宋体"/>
          <w:b w:val="0"/>
          <w:bCs w:val="0"/>
          <w:color w:val="auto"/>
          <w:lang w:eastAsia="zh-CN"/>
        </w:rPr>
        <w:t>；</w:t>
      </w:r>
      <w:r>
        <w:rPr>
          <w:rFonts w:hint="eastAsia" w:ascii="宋体" w:hAnsi="宋体" w:eastAsia="宋体" w:cs="宋体"/>
          <w:b w:val="0"/>
          <w:bCs w:val="0"/>
          <w:color w:val="auto"/>
          <w:highlight w:val="none"/>
          <w:lang w:val="en-US" w:eastAsia="zh-CN"/>
        </w:rPr>
        <w:t>系统</w:t>
      </w:r>
      <w:r>
        <w:rPr>
          <w:rFonts w:hint="eastAsia" w:cs="宋体"/>
          <w:b w:val="0"/>
          <w:bCs w:val="0"/>
          <w:color w:val="auto"/>
          <w:highlight w:val="none"/>
          <w:lang w:val="en-US" w:eastAsia="zh-CN"/>
        </w:rPr>
        <w:t>需</w:t>
      </w:r>
      <w:r>
        <w:rPr>
          <w:rFonts w:hint="eastAsia" w:ascii="宋体" w:hAnsi="宋体" w:eastAsia="宋体" w:cs="宋体"/>
          <w:b w:val="0"/>
          <w:bCs w:val="0"/>
          <w:color w:val="auto"/>
          <w:highlight w:val="none"/>
          <w:lang w:val="en-US" w:eastAsia="zh-CN"/>
        </w:rPr>
        <w:t>具备</w:t>
      </w:r>
      <w:r>
        <w:rPr>
          <w:rFonts w:hint="eastAsia" w:ascii="宋体" w:hAnsi="宋体" w:eastAsia="宋体" w:cs="宋体"/>
          <w:b w:val="0"/>
          <w:bCs w:val="0"/>
          <w:i w:val="0"/>
          <w:iCs w:val="0"/>
          <w:caps w:val="0"/>
          <w:color w:val="auto"/>
          <w:spacing w:val="0"/>
          <w:kern w:val="2"/>
          <w:sz w:val="24"/>
          <w:szCs w:val="24"/>
          <w:highlight w:val="none"/>
          <w:shd w:val="clear" w:color="0C0000" w:fill="auto"/>
          <w:lang w:val="en-US" w:eastAsia="zh-CN"/>
        </w:rPr>
        <w:t>数据图谱构建能力，支持图谱分级展示，实现图谱下钻分析，并提供点边详情查看等功能。</w:t>
      </w:r>
    </w:p>
    <w:p w14:paraId="53CFEEFB">
      <w:pPr>
        <w:widowControl/>
        <w:numPr>
          <w:ilvl w:val="0"/>
          <w:numId w:val="16"/>
        </w:numPr>
        <w:spacing w:line="360" w:lineRule="auto"/>
        <w:ind w:left="425" w:hanging="425" w:firstLineChars="0"/>
        <w:jc w:val="left"/>
        <w:rPr>
          <w:rFonts w:hint="eastAsia" w:ascii="宋体" w:hAnsi="宋体" w:eastAsia="宋体" w:cs="宋体"/>
          <w:color w:val="auto"/>
          <w:highlight w:val="none"/>
          <w:shd w:val="clear" w:color="040000" w:fill="auto"/>
          <w:lang w:eastAsia="zh-CN"/>
        </w:rPr>
      </w:pPr>
      <w:r>
        <w:rPr>
          <w:rFonts w:hint="eastAsia" w:ascii="宋体" w:hAnsi="宋体" w:eastAsia="宋体" w:cs="宋体"/>
          <w:b/>
          <w:bCs/>
          <w:color w:val="auto"/>
          <w:highlight w:val="none"/>
          <w:lang w:eastAsia="zh-CN"/>
        </w:rPr>
        <w:t>数字化审计分析：</w:t>
      </w:r>
    </w:p>
    <w:p w14:paraId="181BDFED">
      <w:pPr>
        <w:widowControl/>
        <w:numPr>
          <w:ilvl w:val="0"/>
          <w:numId w:val="17"/>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平台大首页</w:t>
      </w:r>
    </w:p>
    <w:p w14:paraId="475A7ECE">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系统需能够以图形化形式展示、</w:t>
      </w:r>
      <w:r>
        <w:rPr>
          <w:rFonts w:hint="eastAsia" w:ascii="宋体" w:hAnsi="宋体" w:eastAsia="宋体" w:cs="宋体"/>
          <w:color w:val="auto"/>
        </w:rPr>
        <w:t>汇总局内所有数据使用情况。</w:t>
      </w:r>
    </w:p>
    <w:p w14:paraId="03A39BCD">
      <w:pPr>
        <w:widowControl/>
        <w:numPr>
          <w:ilvl w:val="0"/>
          <w:numId w:val="17"/>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分析平台驾驶舱</w:t>
      </w:r>
    </w:p>
    <w:p w14:paraId="520D9213">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系统需能</w:t>
      </w:r>
      <w:r>
        <w:rPr>
          <w:rFonts w:hint="eastAsia" w:ascii="宋体" w:hAnsi="宋体" w:eastAsia="宋体" w:cs="宋体"/>
          <w:color w:val="auto"/>
        </w:rPr>
        <w:t>展示个人任务、系统资源、模型使用情况、查出疑点数和第三方工具等信息</w:t>
      </w:r>
      <w:r>
        <w:rPr>
          <w:rFonts w:hint="eastAsia" w:ascii="宋体" w:hAnsi="宋体" w:eastAsia="宋体" w:cs="宋体"/>
          <w:color w:val="auto"/>
          <w:lang w:eastAsia="zh-CN"/>
        </w:rPr>
        <w:t>，</w:t>
      </w:r>
      <w:r>
        <w:rPr>
          <w:rFonts w:hint="eastAsia" w:ascii="宋体" w:hAnsi="宋体" w:eastAsia="宋体" w:cs="宋体"/>
          <w:color w:val="auto"/>
          <w:lang w:val="en-US" w:eastAsia="zh-CN"/>
        </w:rPr>
        <w:t>需</w:t>
      </w:r>
      <w:r>
        <w:rPr>
          <w:rFonts w:hint="eastAsia" w:ascii="宋体" w:hAnsi="宋体" w:eastAsia="宋体" w:cs="宋体"/>
          <w:color w:val="auto"/>
        </w:rPr>
        <w:t>支持按工作内容搜索，</w:t>
      </w:r>
      <w:r>
        <w:rPr>
          <w:rFonts w:hint="eastAsia" w:ascii="宋体" w:hAnsi="宋体" w:eastAsia="宋体" w:cs="宋体"/>
          <w:color w:val="auto"/>
          <w:lang w:val="en-US" w:eastAsia="zh-CN"/>
        </w:rPr>
        <w:t>并</w:t>
      </w:r>
      <w:r>
        <w:rPr>
          <w:rFonts w:hint="eastAsia" w:ascii="宋体" w:hAnsi="宋体" w:eastAsia="宋体" w:cs="宋体"/>
          <w:color w:val="auto"/>
        </w:rPr>
        <w:t>集成外部工具辅助审计人员获取线索和疑点。</w:t>
      </w:r>
    </w:p>
    <w:p w14:paraId="3CB20B8B">
      <w:pPr>
        <w:widowControl/>
        <w:numPr>
          <w:ilvl w:val="0"/>
          <w:numId w:val="17"/>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模型管理</w:t>
      </w:r>
    </w:p>
    <w:p w14:paraId="20BB9907">
      <w:pPr>
        <w:widowControl/>
        <w:numPr>
          <w:ilvl w:val="0"/>
          <w:numId w:val="0"/>
        </w:numPr>
        <w:spacing w:line="360" w:lineRule="auto"/>
        <w:jc w:val="left"/>
        <w:rPr>
          <w:rFonts w:hint="eastAsia" w:ascii="宋体" w:hAnsi="宋体" w:eastAsia="宋体" w:cs="宋体"/>
          <w:b w:val="0"/>
          <w:bCs w:val="0"/>
          <w:i w:val="0"/>
          <w:iCs w:val="0"/>
          <w:caps w:val="0"/>
          <w:color w:val="auto"/>
          <w:spacing w:val="0"/>
          <w:kern w:val="2"/>
          <w:sz w:val="24"/>
          <w:szCs w:val="24"/>
          <w:highlight w:val="none"/>
          <w:shd w:val="clear" w:color="0D0000" w:fill="auto"/>
          <w:lang w:val="en-US" w:eastAsia="zh-CN" w:bidi="ar-SA"/>
        </w:rPr>
      </w:pPr>
      <w:r>
        <w:rPr>
          <w:rFonts w:hint="eastAsia" w:ascii="宋体" w:hAnsi="宋体" w:eastAsia="宋体" w:cs="宋体"/>
          <w:b w:val="0"/>
          <w:bCs w:val="0"/>
          <w:i w:val="0"/>
          <w:iCs w:val="0"/>
          <w:caps w:val="0"/>
          <w:color w:val="auto"/>
          <w:spacing w:val="0"/>
          <w:kern w:val="2"/>
          <w:sz w:val="24"/>
          <w:szCs w:val="24"/>
          <w:highlight w:val="none"/>
          <w:shd w:val="clear" w:color="0C0000" w:fill="auto"/>
          <w:lang w:val="en-US" w:eastAsia="zh-CN" w:bidi="ar-SA"/>
        </w:rPr>
        <w:t>模型全生命周期管理、公共及个人模型的分类管理及编辑、执行、复制、导入、导出、审批等功能。并支持模型的收藏、共享、批量分析</w:t>
      </w:r>
      <w:r>
        <w:rPr>
          <w:rFonts w:hint="eastAsia" w:cs="宋体"/>
          <w:b w:val="0"/>
          <w:bCs w:val="0"/>
          <w:i w:val="0"/>
          <w:iCs w:val="0"/>
          <w:caps w:val="0"/>
          <w:color w:val="auto"/>
          <w:spacing w:val="0"/>
          <w:kern w:val="2"/>
          <w:sz w:val="24"/>
          <w:szCs w:val="24"/>
          <w:highlight w:val="none"/>
          <w:shd w:val="clear" w:color="0C0000" w:fill="auto"/>
          <w:lang w:val="en-US" w:eastAsia="zh-CN" w:bidi="ar-SA"/>
        </w:rPr>
        <w:t>需</w:t>
      </w:r>
      <w:r>
        <w:rPr>
          <w:rFonts w:hint="eastAsia" w:ascii="宋体" w:hAnsi="宋体" w:eastAsia="宋体" w:cs="宋体"/>
          <w:b w:val="0"/>
          <w:bCs w:val="0"/>
          <w:i w:val="0"/>
          <w:iCs w:val="0"/>
          <w:caps w:val="0"/>
          <w:color w:val="auto"/>
          <w:spacing w:val="0"/>
          <w:kern w:val="2"/>
          <w:sz w:val="24"/>
          <w:szCs w:val="24"/>
          <w:highlight w:val="none"/>
          <w:shd w:val="clear" w:color="0C0000" w:fill="auto"/>
          <w:lang w:val="en-US" w:eastAsia="zh-CN" w:bidi="ar-SA"/>
        </w:rPr>
        <w:t>具备的执行、定时分析和定期分析及模型监控等功能。</w:t>
      </w:r>
    </w:p>
    <w:p w14:paraId="33144772">
      <w:pPr>
        <w:widowControl/>
        <w:numPr>
          <w:ilvl w:val="0"/>
          <w:numId w:val="16"/>
        </w:numPr>
        <w:spacing w:line="360" w:lineRule="auto"/>
        <w:ind w:left="425" w:hanging="425" w:firstLineChars="0"/>
        <w:jc w:val="left"/>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数字化审计分析（</w:t>
      </w:r>
      <w:r>
        <w:rPr>
          <w:rFonts w:hint="eastAsia" w:ascii="宋体" w:hAnsi="宋体" w:eastAsia="宋体" w:cs="宋体"/>
          <w:b/>
          <w:bCs/>
          <w:color w:val="auto"/>
          <w:highlight w:val="none"/>
          <w:lang w:val="en-US" w:eastAsia="zh-CN"/>
        </w:rPr>
        <w:t>2026年建设规划）</w:t>
      </w:r>
      <w:r>
        <w:rPr>
          <w:rFonts w:hint="eastAsia" w:ascii="宋体" w:hAnsi="宋体" w:eastAsia="宋体" w:cs="宋体"/>
          <w:b/>
          <w:bCs/>
          <w:color w:val="auto"/>
          <w:highlight w:val="none"/>
          <w:lang w:eastAsia="zh-CN"/>
        </w:rPr>
        <w:t>：</w:t>
      </w:r>
    </w:p>
    <w:p w14:paraId="5FAE2EA2">
      <w:pPr>
        <w:widowControl/>
        <w:numPr>
          <w:ilvl w:val="0"/>
          <w:numId w:val="18"/>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审计方法模型重构</w:t>
      </w:r>
    </w:p>
    <w:p w14:paraId="61879EE6">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系统需能</w:t>
      </w:r>
      <w:r>
        <w:rPr>
          <w:rFonts w:hint="eastAsia" w:ascii="宋体" w:hAnsi="宋体" w:eastAsia="宋体" w:cs="宋体"/>
          <w:color w:val="auto"/>
        </w:rPr>
        <w:t>按不同审计领域（如财政</w:t>
      </w:r>
      <w:r>
        <w:rPr>
          <w:rFonts w:hint="eastAsia" w:ascii="宋体" w:hAnsi="宋体" w:eastAsia="宋体" w:cs="宋体"/>
          <w:color w:val="auto"/>
          <w:lang w:eastAsia="zh-CN"/>
        </w:rPr>
        <w:t>、</w:t>
      </w:r>
      <w:r>
        <w:rPr>
          <w:rFonts w:hint="eastAsia" w:ascii="宋体" w:hAnsi="宋体" w:eastAsia="宋体" w:cs="宋体"/>
          <w:color w:val="auto"/>
        </w:rPr>
        <w:t>社保审计等）提供相应数量的审计方法模型</w:t>
      </w:r>
      <w:r>
        <w:rPr>
          <w:rFonts w:hint="eastAsia" w:ascii="宋体" w:hAnsi="宋体" w:eastAsia="宋体" w:cs="宋体"/>
          <w:color w:val="auto"/>
          <w:lang w:val="en-US" w:eastAsia="zh-CN"/>
        </w:rPr>
        <w:t>重构</w:t>
      </w:r>
      <w:r>
        <w:rPr>
          <w:rFonts w:hint="eastAsia" w:ascii="宋体" w:hAnsi="宋体" w:eastAsia="宋体" w:cs="宋体"/>
          <w:color w:val="auto"/>
        </w:rPr>
        <w:t>。</w:t>
      </w:r>
    </w:p>
    <w:p w14:paraId="2834C5D2">
      <w:pPr>
        <w:widowControl/>
        <w:numPr>
          <w:ilvl w:val="0"/>
          <w:numId w:val="18"/>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参数管理</w:t>
      </w:r>
    </w:p>
    <w:p w14:paraId="36753083">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系统需能对</w:t>
      </w:r>
      <w:r>
        <w:rPr>
          <w:rFonts w:hint="eastAsia" w:ascii="宋体" w:hAnsi="宋体" w:eastAsia="宋体" w:cs="宋体"/>
          <w:color w:val="auto"/>
        </w:rPr>
        <w:t>模型参数</w:t>
      </w:r>
      <w:r>
        <w:rPr>
          <w:rFonts w:hint="eastAsia" w:ascii="宋体" w:hAnsi="宋体" w:eastAsia="宋体" w:cs="宋体"/>
          <w:color w:val="auto"/>
          <w:lang w:val="en-US" w:eastAsia="zh-CN"/>
        </w:rPr>
        <w:t>进行</w:t>
      </w:r>
      <w:r>
        <w:rPr>
          <w:rFonts w:hint="eastAsia" w:ascii="宋体" w:hAnsi="宋体" w:eastAsia="宋体" w:cs="宋体"/>
          <w:color w:val="auto"/>
        </w:rPr>
        <w:t>分类管理，涉及分类标记、版本控制等</w:t>
      </w:r>
      <w:r>
        <w:rPr>
          <w:rFonts w:hint="eastAsia" w:ascii="宋体" w:hAnsi="宋体" w:eastAsia="宋体" w:cs="宋体"/>
          <w:color w:val="auto"/>
          <w:lang w:val="en-US" w:eastAsia="zh-CN"/>
        </w:rPr>
        <w:t>操作</w:t>
      </w:r>
      <w:r>
        <w:rPr>
          <w:rFonts w:hint="eastAsia" w:ascii="宋体" w:hAnsi="宋体" w:eastAsia="宋体" w:cs="宋体"/>
          <w:color w:val="auto"/>
        </w:rPr>
        <w:t>。</w:t>
      </w:r>
      <w:r>
        <w:rPr>
          <w:rFonts w:hint="eastAsia" w:ascii="宋体" w:hAnsi="宋体" w:eastAsia="宋体" w:cs="宋体"/>
          <w:color w:val="auto"/>
          <w:lang w:val="en-US" w:eastAsia="zh-CN"/>
        </w:rPr>
        <w:t>并能</w:t>
      </w:r>
      <w:r>
        <w:rPr>
          <w:rFonts w:hint="eastAsia" w:ascii="宋体" w:hAnsi="宋体" w:eastAsia="宋体" w:cs="宋体"/>
          <w:color w:val="auto"/>
        </w:rPr>
        <w:t>为模型编制和执行提供动态查询条件。</w:t>
      </w:r>
    </w:p>
    <w:p w14:paraId="75B7C1AB">
      <w:pPr>
        <w:widowControl/>
        <w:numPr>
          <w:ilvl w:val="0"/>
          <w:numId w:val="18"/>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审计预警</w:t>
      </w:r>
    </w:p>
    <w:p w14:paraId="75E2D73D">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w:t>
      </w:r>
      <w:r>
        <w:rPr>
          <w:rFonts w:hint="eastAsia" w:ascii="宋体" w:hAnsi="宋体" w:eastAsia="宋体" w:cs="宋体"/>
          <w:color w:val="auto"/>
        </w:rPr>
        <w:t>可批量设置预警模型执行周期，定期生成疑点数据</w:t>
      </w:r>
      <w:r>
        <w:rPr>
          <w:rFonts w:hint="eastAsia" w:ascii="宋体" w:hAnsi="宋体" w:eastAsia="宋体" w:cs="宋体"/>
          <w:color w:val="auto"/>
          <w:lang w:eastAsia="zh-CN"/>
        </w:rPr>
        <w:t>，</w:t>
      </w:r>
      <w:r>
        <w:rPr>
          <w:rFonts w:hint="eastAsia" w:ascii="宋体" w:hAnsi="宋体" w:eastAsia="宋体" w:cs="宋体"/>
          <w:color w:val="auto"/>
          <w:lang w:val="en-US" w:eastAsia="zh-CN"/>
        </w:rPr>
        <w:t>并</w:t>
      </w:r>
      <w:r>
        <w:rPr>
          <w:rFonts w:hint="eastAsia" w:ascii="宋体" w:hAnsi="宋体" w:eastAsia="宋体" w:cs="宋体"/>
          <w:color w:val="auto"/>
        </w:rPr>
        <w:t>对系统内预警进行分类。</w:t>
      </w:r>
      <w:r>
        <w:rPr>
          <w:rFonts w:hint="eastAsia" w:ascii="宋体" w:hAnsi="宋体" w:eastAsia="宋体" w:cs="宋体"/>
          <w:color w:val="auto"/>
          <w:lang w:val="en-US" w:eastAsia="zh-CN"/>
        </w:rPr>
        <w:t>并</w:t>
      </w:r>
      <w:r>
        <w:rPr>
          <w:rFonts w:hint="eastAsia" w:ascii="宋体" w:hAnsi="宋体" w:eastAsia="宋体" w:cs="宋体"/>
          <w:color w:val="auto"/>
        </w:rPr>
        <w:t>对预警执行状态全程监控。</w:t>
      </w:r>
    </w:p>
    <w:p w14:paraId="5EFE72BD">
      <w:pPr>
        <w:widowControl/>
        <w:numPr>
          <w:ilvl w:val="0"/>
          <w:numId w:val="18"/>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模型结果管理</w:t>
      </w:r>
    </w:p>
    <w:p w14:paraId="6DBA22D3">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系统需支持</w:t>
      </w:r>
      <w:r>
        <w:rPr>
          <w:rFonts w:hint="eastAsia" w:ascii="宋体" w:hAnsi="宋体" w:eastAsia="宋体" w:cs="宋体"/>
          <w:color w:val="auto"/>
        </w:rPr>
        <w:t>用户查看模型执行情况</w:t>
      </w:r>
      <w:r>
        <w:rPr>
          <w:rFonts w:hint="eastAsia" w:ascii="宋体" w:hAnsi="宋体" w:eastAsia="宋体" w:cs="宋体"/>
          <w:color w:val="auto"/>
          <w:lang w:val="en-US" w:eastAsia="zh-CN"/>
        </w:rPr>
        <w:t>并</w:t>
      </w:r>
      <w:r>
        <w:rPr>
          <w:rFonts w:hint="eastAsia" w:ascii="宋体" w:hAnsi="宋体" w:eastAsia="宋体" w:cs="宋体"/>
          <w:color w:val="auto"/>
        </w:rPr>
        <w:t>将模型跑出的疑点数据推送至疑点管理进行核查，也</w:t>
      </w:r>
      <w:r>
        <w:rPr>
          <w:rFonts w:hint="eastAsia" w:ascii="宋体" w:hAnsi="宋体" w:eastAsia="宋体" w:cs="宋体"/>
          <w:color w:val="auto"/>
          <w:lang w:val="en-US" w:eastAsia="zh-CN"/>
        </w:rPr>
        <w:t>支持</w:t>
      </w:r>
      <w:r>
        <w:rPr>
          <w:rFonts w:hint="eastAsia" w:ascii="宋体" w:hAnsi="宋体" w:eastAsia="宋体" w:cs="宋体"/>
          <w:color w:val="auto"/>
        </w:rPr>
        <w:t>查看预警模型结果并保存到疑点。</w:t>
      </w:r>
    </w:p>
    <w:p w14:paraId="50AB0774">
      <w:pPr>
        <w:widowControl/>
        <w:numPr>
          <w:ilvl w:val="0"/>
          <w:numId w:val="18"/>
        </w:numPr>
        <w:spacing w:line="360" w:lineRule="auto"/>
        <w:ind w:left="425" w:hanging="425" w:firstLineChars="0"/>
        <w:jc w:val="left"/>
        <w:rPr>
          <w:rFonts w:hint="eastAsia" w:ascii="宋体" w:hAnsi="宋体" w:eastAsia="宋体" w:cs="宋体"/>
          <w:b/>
          <w:bCs/>
          <w:color w:val="auto"/>
          <w:highlight w:val="none"/>
        </w:rPr>
      </w:pPr>
      <w:r>
        <w:rPr>
          <w:rFonts w:hint="eastAsia" w:ascii="宋体" w:hAnsi="宋体" w:eastAsia="宋体" w:cs="宋体"/>
          <w:b/>
          <w:bCs/>
          <w:color w:val="auto"/>
          <w:highlight w:val="none"/>
        </w:rPr>
        <w:t>审计分析笔记</w:t>
      </w:r>
    </w:p>
    <w:p w14:paraId="5F4B0864">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系统需在</w:t>
      </w:r>
      <w:r>
        <w:rPr>
          <w:rFonts w:hint="eastAsia" w:ascii="宋体" w:hAnsi="宋体" w:eastAsia="宋体" w:cs="宋体"/>
          <w:color w:val="auto"/>
        </w:rPr>
        <w:t>审计人员构建模型过程提供笔记功能。</w:t>
      </w:r>
      <w:r>
        <w:rPr>
          <w:rFonts w:hint="eastAsia" w:ascii="宋体" w:hAnsi="宋体" w:eastAsia="宋体" w:cs="宋体"/>
          <w:color w:val="auto"/>
          <w:lang w:val="en-US" w:eastAsia="zh-CN"/>
        </w:rPr>
        <w:t>并能</w:t>
      </w:r>
      <w:r>
        <w:rPr>
          <w:rFonts w:hint="eastAsia" w:ascii="宋体" w:hAnsi="宋体" w:eastAsia="宋体" w:cs="宋体"/>
          <w:color w:val="auto"/>
        </w:rPr>
        <w:t>以图表形式展示疑点落实情况、问题金额对比情况，</w:t>
      </w:r>
      <w:r>
        <w:rPr>
          <w:rFonts w:hint="eastAsia" w:ascii="宋体" w:hAnsi="宋体" w:eastAsia="宋体" w:cs="宋体"/>
          <w:color w:val="auto"/>
          <w:lang w:val="en-US" w:eastAsia="zh-CN"/>
        </w:rPr>
        <w:t>并</w:t>
      </w:r>
      <w:r>
        <w:rPr>
          <w:rFonts w:hint="eastAsia" w:ascii="宋体" w:hAnsi="宋体" w:eastAsia="宋体" w:cs="宋体"/>
          <w:color w:val="auto"/>
        </w:rPr>
        <w:t>以列表形式展示常用审计方法出现频率。</w:t>
      </w:r>
    </w:p>
    <w:p w14:paraId="23589454">
      <w:pPr>
        <w:widowControl/>
        <w:numPr>
          <w:ilvl w:val="0"/>
          <w:numId w:val="18"/>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疑点管理</w:t>
      </w:r>
    </w:p>
    <w:p w14:paraId="6DFFBA4A">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系统需提供</w:t>
      </w:r>
      <w:r>
        <w:rPr>
          <w:rFonts w:hint="eastAsia" w:ascii="宋体" w:hAnsi="宋体" w:eastAsia="宋体" w:cs="宋体"/>
          <w:color w:val="auto"/>
        </w:rPr>
        <w:t>疑点分析</w:t>
      </w:r>
      <w:r>
        <w:rPr>
          <w:rFonts w:hint="eastAsia" w:ascii="宋体" w:hAnsi="宋体" w:eastAsia="宋体" w:cs="宋体"/>
          <w:color w:val="auto"/>
          <w:lang w:eastAsia="zh-CN"/>
        </w:rPr>
        <w:t>、</w:t>
      </w:r>
      <w:r>
        <w:rPr>
          <w:rFonts w:hint="eastAsia" w:ascii="宋体" w:hAnsi="宋体" w:eastAsia="宋体" w:cs="宋体"/>
          <w:color w:val="auto"/>
        </w:rPr>
        <w:t>疑点推送</w:t>
      </w:r>
      <w:r>
        <w:rPr>
          <w:rFonts w:hint="eastAsia" w:ascii="宋体" w:hAnsi="宋体" w:eastAsia="宋体" w:cs="宋体"/>
          <w:color w:val="auto"/>
          <w:lang w:val="en-US" w:eastAsia="zh-CN"/>
        </w:rPr>
        <w:t>等功能帮助</w:t>
      </w:r>
      <w:r>
        <w:rPr>
          <w:rFonts w:hint="eastAsia" w:ascii="宋体" w:hAnsi="宋体" w:eastAsia="宋体" w:cs="宋体"/>
          <w:color w:val="auto"/>
        </w:rPr>
        <w:t>审计人员进一步核查</w:t>
      </w:r>
      <w:r>
        <w:rPr>
          <w:rFonts w:hint="eastAsia" w:ascii="宋体" w:hAnsi="宋体" w:eastAsia="宋体" w:cs="宋体"/>
          <w:color w:val="auto"/>
          <w:lang w:val="en-US" w:eastAsia="zh-CN"/>
        </w:rPr>
        <w:t>疑点</w:t>
      </w:r>
      <w:r>
        <w:rPr>
          <w:rFonts w:hint="eastAsia" w:ascii="宋体" w:hAnsi="宋体" w:eastAsia="宋体" w:cs="宋体"/>
          <w:color w:val="auto"/>
        </w:rPr>
        <w:t>。</w:t>
      </w:r>
    </w:p>
    <w:p w14:paraId="13A78199">
      <w:pPr>
        <w:widowControl/>
        <w:numPr>
          <w:ilvl w:val="0"/>
          <w:numId w:val="18"/>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分析报告管理</w:t>
      </w:r>
    </w:p>
    <w:p w14:paraId="3612A1B6">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系统可</w:t>
      </w:r>
      <w:r>
        <w:rPr>
          <w:rFonts w:hint="eastAsia" w:ascii="宋体" w:hAnsi="宋体" w:eastAsia="宋体" w:cs="宋体"/>
          <w:color w:val="auto"/>
        </w:rPr>
        <w:t>预先设计和储存标准报告格式和功能</w:t>
      </w:r>
      <w:r>
        <w:rPr>
          <w:rFonts w:hint="eastAsia" w:ascii="宋体" w:hAnsi="宋体" w:eastAsia="宋体" w:cs="宋体"/>
          <w:color w:val="auto"/>
          <w:lang w:eastAsia="zh-CN"/>
        </w:rPr>
        <w:t>，</w:t>
      </w:r>
      <w:r>
        <w:rPr>
          <w:rFonts w:hint="eastAsia" w:ascii="宋体" w:hAnsi="宋体" w:eastAsia="宋体" w:cs="宋体"/>
          <w:color w:val="auto"/>
          <w:lang w:val="en-US" w:eastAsia="zh-CN"/>
        </w:rPr>
        <w:t>并</w:t>
      </w:r>
      <w:r>
        <w:rPr>
          <w:rFonts w:hint="eastAsia" w:ascii="宋体" w:hAnsi="宋体" w:eastAsia="宋体" w:cs="宋体"/>
          <w:color w:val="auto"/>
        </w:rPr>
        <w:t>结合模板管理</w:t>
      </w:r>
      <w:r>
        <w:rPr>
          <w:rFonts w:hint="eastAsia" w:ascii="宋体" w:hAnsi="宋体" w:eastAsia="宋体" w:cs="宋体"/>
          <w:color w:val="auto"/>
          <w:lang w:eastAsia="zh-CN"/>
        </w:rPr>
        <w:t>，</w:t>
      </w:r>
      <w:r>
        <w:rPr>
          <w:rFonts w:hint="eastAsia" w:ascii="宋体" w:hAnsi="宋体" w:eastAsia="宋体" w:cs="宋体"/>
          <w:color w:val="auto"/>
        </w:rPr>
        <w:t>自动生成标准化分析报告。</w:t>
      </w:r>
    </w:p>
    <w:p w14:paraId="7FFF0DC7">
      <w:pPr>
        <w:widowControl/>
        <w:numPr>
          <w:ilvl w:val="0"/>
          <w:numId w:val="18"/>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审计分析工具箱</w:t>
      </w:r>
    </w:p>
    <w:p w14:paraId="5BBA7C65">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系统需提供如</w:t>
      </w:r>
      <w:r>
        <w:rPr>
          <w:rFonts w:hint="eastAsia" w:ascii="宋体" w:hAnsi="宋体" w:eastAsia="宋体" w:cs="宋体"/>
          <w:color w:val="auto"/>
        </w:rPr>
        <w:t>SQL 分析工具</w:t>
      </w:r>
      <w:r>
        <w:rPr>
          <w:rFonts w:hint="eastAsia" w:ascii="宋体" w:hAnsi="宋体" w:eastAsia="宋体" w:cs="宋体"/>
          <w:color w:val="auto"/>
          <w:lang w:eastAsia="zh-CN"/>
        </w:rPr>
        <w:t>、</w:t>
      </w:r>
      <w:r>
        <w:rPr>
          <w:rFonts w:hint="eastAsia" w:ascii="宋体" w:hAnsi="宋体" w:eastAsia="宋体" w:cs="宋体"/>
          <w:color w:val="auto"/>
        </w:rPr>
        <w:t>多维分析工具</w:t>
      </w:r>
      <w:r>
        <w:rPr>
          <w:rFonts w:hint="eastAsia" w:ascii="宋体" w:hAnsi="宋体" w:eastAsia="宋体" w:cs="宋体"/>
          <w:color w:val="auto"/>
          <w:lang w:eastAsia="zh-CN"/>
        </w:rPr>
        <w:t>、</w:t>
      </w:r>
      <w:r>
        <w:rPr>
          <w:rFonts w:hint="eastAsia" w:ascii="宋体" w:hAnsi="宋体" w:eastAsia="宋体" w:cs="宋体"/>
          <w:color w:val="auto"/>
        </w:rPr>
        <w:t>非结构化</w:t>
      </w:r>
      <w:r>
        <w:rPr>
          <w:rFonts w:hint="eastAsia" w:ascii="宋体" w:hAnsi="宋体" w:eastAsia="宋体" w:cs="宋体"/>
          <w:color w:val="auto"/>
          <w:lang w:val="en-US" w:eastAsia="zh-CN"/>
        </w:rPr>
        <w:t>数据</w:t>
      </w:r>
      <w:r>
        <w:rPr>
          <w:rFonts w:hint="eastAsia" w:ascii="宋体" w:hAnsi="宋体" w:eastAsia="宋体" w:cs="宋体"/>
          <w:color w:val="auto"/>
        </w:rPr>
        <w:t>分析工具等功能。</w:t>
      </w:r>
    </w:p>
    <w:p w14:paraId="2BB089FB">
      <w:pPr>
        <w:widowControl/>
        <w:numPr>
          <w:ilvl w:val="0"/>
          <w:numId w:val="18"/>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基础配置管理</w:t>
      </w:r>
    </w:p>
    <w:p w14:paraId="5D300D65">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系统需能</w:t>
      </w:r>
      <w:r>
        <w:rPr>
          <w:rFonts w:hint="eastAsia" w:ascii="宋体" w:hAnsi="宋体" w:eastAsia="宋体" w:cs="宋体"/>
          <w:color w:val="auto"/>
        </w:rPr>
        <w:t>对审计指标进行分类</w:t>
      </w:r>
      <w:r>
        <w:rPr>
          <w:rFonts w:hint="eastAsia" w:ascii="宋体" w:hAnsi="宋体" w:eastAsia="宋体" w:cs="宋体"/>
          <w:color w:val="auto"/>
          <w:lang w:val="en-US" w:eastAsia="zh-CN"/>
        </w:rPr>
        <w:t>并对</w:t>
      </w:r>
      <w:r>
        <w:rPr>
          <w:rFonts w:hint="eastAsia" w:ascii="宋体" w:hAnsi="宋体" w:eastAsia="宋体" w:cs="宋体"/>
          <w:color w:val="auto"/>
        </w:rPr>
        <w:t>行业指标</w:t>
      </w:r>
      <w:r>
        <w:rPr>
          <w:rFonts w:hint="eastAsia" w:ascii="宋体" w:hAnsi="宋体" w:eastAsia="宋体" w:cs="宋体"/>
          <w:color w:val="auto"/>
          <w:lang w:val="en-US" w:eastAsia="zh-CN"/>
        </w:rPr>
        <w:t>进行</w:t>
      </w:r>
      <w:r>
        <w:rPr>
          <w:rFonts w:hint="eastAsia" w:ascii="宋体" w:hAnsi="宋体" w:eastAsia="宋体" w:cs="宋体"/>
          <w:color w:val="auto"/>
        </w:rPr>
        <w:t>管理。</w:t>
      </w:r>
    </w:p>
    <w:p w14:paraId="385B3995">
      <w:pPr>
        <w:widowControl/>
        <w:numPr>
          <w:ilvl w:val="0"/>
          <w:numId w:val="18"/>
        </w:numPr>
        <w:spacing w:line="360" w:lineRule="auto"/>
        <w:ind w:left="425" w:hanging="425" w:firstLineChars="0"/>
        <w:jc w:val="left"/>
        <w:rPr>
          <w:rFonts w:hint="eastAsia" w:ascii="宋体" w:hAnsi="宋体" w:eastAsia="宋体" w:cs="宋体"/>
          <w:b/>
          <w:bCs/>
          <w:color w:val="auto"/>
        </w:rPr>
      </w:pPr>
      <w:r>
        <w:rPr>
          <w:rFonts w:hint="eastAsia" w:ascii="宋体" w:hAnsi="宋体" w:eastAsia="宋体" w:cs="宋体"/>
          <w:b/>
          <w:bCs/>
          <w:color w:val="auto"/>
        </w:rPr>
        <w:t>“审计事实发现描述 - 审计底稿” 场景应用</w:t>
      </w:r>
    </w:p>
    <w:p w14:paraId="0365DCE0">
      <w:pPr>
        <w:widowControl/>
        <w:numPr>
          <w:ilvl w:val="0"/>
          <w:numId w:val="0"/>
        </w:numPr>
        <w:spacing w:line="360" w:lineRule="auto"/>
        <w:ind w:left="0"/>
        <w:jc w:val="left"/>
        <w:rPr>
          <w:rFonts w:hint="eastAsia" w:ascii="宋体" w:hAnsi="宋体" w:eastAsia="宋体" w:cs="宋体"/>
          <w:color w:val="auto"/>
        </w:rPr>
      </w:pPr>
      <w:r>
        <w:rPr>
          <w:rFonts w:hint="eastAsia" w:ascii="宋体" w:hAnsi="宋体" w:eastAsia="宋体" w:cs="宋体"/>
          <w:color w:val="auto"/>
          <w:lang w:val="en-US" w:eastAsia="zh-CN"/>
        </w:rPr>
        <w:t>系统需通过</w:t>
      </w:r>
      <w:r>
        <w:rPr>
          <w:rFonts w:hint="eastAsia" w:ascii="宋体" w:hAnsi="宋体" w:eastAsia="宋体" w:cs="宋体"/>
          <w:color w:val="auto"/>
        </w:rPr>
        <w:t>事实描述与分析</w:t>
      </w:r>
      <w:r>
        <w:rPr>
          <w:rFonts w:hint="eastAsia" w:ascii="宋体" w:hAnsi="宋体" w:eastAsia="宋体" w:cs="宋体"/>
          <w:color w:val="auto"/>
          <w:lang w:eastAsia="zh-CN"/>
        </w:rPr>
        <w:t>、</w:t>
      </w:r>
      <w:r>
        <w:rPr>
          <w:rFonts w:hint="eastAsia" w:ascii="宋体" w:hAnsi="宋体" w:eastAsia="宋体" w:cs="宋体"/>
          <w:color w:val="auto"/>
        </w:rPr>
        <w:t>定性推荐</w:t>
      </w:r>
      <w:r>
        <w:rPr>
          <w:rFonts w:hint="eastAsia" w:ascii="宋体" w:hAnsi="宋体" w:eastAsia="宋体" w:cs="宋体"/>
          <w:color w:val="auto"/>
          <w:lang w:val="en-US" w:eastAsia="zh-CN"/>
        </w:rPr>
        <w:t>并生成审计</w:t>
      </w:r>
      <w:r>
        <w:rPr>
          <w:rFonts w:hint="eastAsia" w:ascii="宋体" w:hAnsi="宋体" w:eastAsia="宋体" w:cs="宋体"/>
          <w:color w:val="auto"/>
        </w:rPr>
        <w:t>底稿</w:t>
      </w:r>
      <w:r>
        <w:rPr>
          <w:rFonts w:hint="eastAsia" w:ascii="宋体" w:hAnsi="宋体" w:eastAsia="宋体" w:cs="宋体"/>
          <w:color w:val="auto"/>
          <w:lang w:eastAsia="zh-CN"/>
        </w:rPr>
        <w:t>，</w:t>
      </w:r>
      <w:r>
        <w:rPr>
          <w:rFonts w:hint="eastAsia" w:ascii="宋体" w:hAnsi="宋体" w:eastAsia="宋体" w:cs="宋体"/>
          <w:color w:val="auto"/>
          <w:lang w:val="en-US" w:eastAsia="zh-CN"/>
        </w:rPr>
        <w:t>并提供</w:t>
      </w:r>
      <w:r>
        <w:rPr>
          <w:rFonts w:hint="eastAsia" w:ascii="宋体" w:hAnsi="宋体" w:eastAsia="宋体" w:cs="宋体"/>
          <w:color w:val="auto"/>
        </w:rPr>
        <w:t>法律法规</w:t>
      </w:r>
      <w:r>
        <w:rPr>
          <w:rFonts w:hint="eastAsia" w:ascii="宋体" w:hAnsi="宋体" w:eastAsia="宋体" w:cs="宋体"/>
          <w:color w:val="auto"/>
          <w:lang w:val="en-US" w:eastAsia="zh-CN"/>
        </w:rPr>
        <w:t>的</w:t>
      </w:r>
      <w:r>
        <w:rPr>
          <w:rFonts w:hint="eastAsia" w:ascii="宋体" w:hAnsi="宋体" w:eastAsia="宋体" w:cs="宋体"/>
          <w:color w:val="auto"/>
        </w:rPr>
        <w:t>检索与推荐</w:t>
      </w:r>
      <w:r>
        <w:rPr>
          <w:rFonts w:hint="eastAsia" w:ascii="宋体" w:hAnsi="宋体" w:eastAsia="宋体" w:cs="宋体"/>
          <w:color w:val="auto"/>
          <w:lang w:val="en-US" w:eastAsia="zh-CN"/>
        </w:rPr>
        <w:t>等辅助功能</w:t>
      </w:r>
      <w:r>
        <w:rPr>
          <w:rFonts w:hint="eastAsia" w:ascii="宋体" w:hAnsi="宋体" w:eastAsia="宋体" w:cs="宋体"/>
          <w:color w:val="auto"/>
        </w:rPr>
        <w:t>。</w:t>
      </w:r>
      <w:r>
        <w:rPr>
          <w:rFonts w:hint="eastAsia" w:ascii="宋体" w:hAnsi="宋体" w:eastAsia="宋体" w:cs="宋体"/>
          <w:color w:val="auto"/>
          <w:lang w:val="en-US" w:eastAsia="zh-CN"/>
        </w:rPr>
        <w:t>需能</w:t>
      </w:r>
      <w:r>
        <w:rPr>
          <w:rFonts w:hint="eastAsia" w:ascii="宋体" w:hAnsi="宋体" w:eastAsia="宋体" w:cs="宋体"/>
          <w:color w:val="auto"/>
        </w:rPr>
        <w:t>对定性推荐、法规条文推荐、底稿生成等功能进行优化，</w:t>
      </w:r>
      <w:r>
        <w:rPr>
          <w:rFonts w:hint="eastAsia" w:ascii="宋体" w:hAnsi="宋体" w:eastAsia="宋体" w:cs="宋体"/>
          <w:color w:val="auto"/>
          <w:lang w:val="en-US" w:eastAsia="zh-CN"/>
        </w:rPr>
        <w:t>对</w:t>
      </w:r>
      <w:r>
        <w:rPr>
          <w:rFonts w:hint="eastAsia" w:ascii="宋体" w:hAnsi="宋体" w:eastAsia="宋体" w:cs="宋体"/>
          <w:color w:val="auto"/>
        </w:rPr>
        <w:t>模型效果</w:t>
      </w:r>
      <w:r>
        <w:rPr>
          <w:rFonts w:hint="eastAsia" w:ascii="宋体" w:hAnsi="宋体" w:eastAsia="宋体" w:cs="宋体"/>
          <w:color w:val="auto"/>
          <w:lang w:val="en-US" w:eastAsia="zh-CN"/>
        </w:rPr>
        <w:t>进行调优</w:t>
      </w:r>
      <w:r>
        <w:rPr>
          <w:rFonts w:hint="eastAsia" w:ascii="宋体" w:hAnsi="宋体" w:eastAsia="宋体" w:cs="宋体"/>
          <w:color w:val="auto"/>
        </w:rPr>
        <w:t>。</w:t>
      </w:r>
    </w:p>
    <w:p w14:paraId="42A74DB8">
      <w:pPr>
        <w:numPr>
          <w:ilvl w:val="0"/>
          <w:numId w:val="8"/>
        </w:numPr>
        <w:ind w:left="0" w:leftChars="0" w:firstLine="42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睿智·审计应用助手</w:t>
      </w:r>
    </w:p>
    <w:p w14:paraId="1924141A">
      <w:pPr>
        <w:widowControl/>
        <w:numPr>
          <w:ilvl w:val="0"/>
          <w:numId w:val="19"/>
        </w:numPr>
        <w:spacing w:line="360" w:lineRule="auto"/>
        <w:ind w:left="425" w:leftChars="0" w:hanging="425" w:firstLineChars="0"/>
        <w:jc w:val="left"/>
        <w:rPr>
          <w:rFonts w:hint="eastAsia" w:ascii="宋体" w:hAnsi="宋体" w:cs="宋体"/>
          <w:color w:val="auto"/>
          <w:kern w:val="2"/>
          <w:sz w:val="24"/>
          <w:szCs w:val="24"/>
          <w:lang w:val="en-US" w:eastAsia="zh-CN" w:bidi="ar-SA"/>
        </w:rPr>
      </w:pPr>
      <w:r>
        <w:rPr>
          <w:rFonts w:hint="eastAsia" w:ascii="宋体" w:hAnsi="宋体" w:cs="宋体"/>
          <w:b/>
          <w:bCs/>
          <w:color w:val="auto"/>
          <w:kern w:val="2"/>
          <w:sz w:val="24"/>
          <w:szCs w:val="24"/>
          <w:lang w:val="en-US" w:eastAsia="zh-CN" w:bidi="ar-SA"/>
        </w:rPr>
        <w:t>模块功能概述：</w:t>
      </w:r>
    </w:p>
    <w:p w14:paraId="5EA4859F">
      <w:pPr>
        <w:spacing w:line="360" w:lineRule="auto"/>
        <w:ind w:firstLine="480" w:firstLineChars="200"/>
        <w:rPr>
          <w:rFonts w:hint="eastAsia" w:ascii="宋体" w:hAnsi="宋体" w:eastAsia="宋体" w:cs="宋体"/>
          <w:color w:val="auto"/>
          <w:sz w:val="24"/>
          <w:szCs w:val="36"/>
        </w:rPr>
      </w:pPr>
      <w:r>
        <w:rPr>
          <w:rFonts w:hint="eastAsia" w:ascii="宋体" w:hAnsi="宋体" w:eastAsia="宋体" w:cs="宋体"/>
          <w:color w:val="auto"/>
          <w:sz w:val="24"/>
          <w:szCs w:val="36"/>
        </w:rPr>
        <w:t>睿智·审计应用助手的功能</w:t>
      </w:r>
      <w:r>
        <w:rPr>
          <w:rFonts w:hint="eastAsia" w:ascii="宋体" w:hAnsi="宋体" w:cs="宋体"/>
          <w:color w:val="auto"/>
          <w:sz w:val="24"/>
          <w:szCs w:val="36"/>
          <w:lang w:val="en-US" w:eastAsia="zh-CN"/>
        </w:rPr>
        <w:t>需</w:t>
      </w:r>
      <w:r>
        <w:rPr>
          <w:rFonts w:hint="eastAsia" w:ascii="宋体" w:hAnsi="宋体" w:eastAsia="宋体" w:cs="宋体"/>
          <w:color w:val="auto"/>
          <w:sz w:val="24"/>
          <w:szCs w:val="36"/>
        </w:rPr>
        <w:t>基于原审计业务数字化分析系统的方法模型部分功能与数据中心审计署系统部署部分功能，进行功能升级改造与全新开发；新增</w:t>
      </w:r>
      <w:r>
        <w:rPr>
          <w:rFonts w:hint="eastAsia" w:ascii="宋体" w:hAnsi="宋体" w:cs="宋体"/>
          <w:color w:val="auto"/>
          <w:sz w:val="24"/>
          <w:szCs w:val="36"/>
          <w:lang w:val="en-US" w:eastAsia="zh-CN"/>
        </w:rPr>
        <w:t>功能</w:t>
      </w:r>
      <w:r>
        <w:rPr>
          <w:rFonts w:hint="eastAsia" w:ascii="宋体" w:hAnsi="宋体" w:eastAsia="宋体" w:cs="宋体"/>
          <w:color w:val="auto"/>
          <w:sz w:val="24"/>
          <w:szCs w:val="36"/>
        </w:rPr>
        <w:t>主要包括大模型</w:t>
      </w:r>
      <w:r>
        <w:rPr>
          <w:rFonts w:hint="eastAsia" w:ascii="宋体" w:hAnsi="宋体" w:cs="宋体"/>
          <w:color w:val="auto"/>
          <w:sz w:val="24"/>
          <w:szCs w:val="36"/>
          <w:lang w:val="en-US" w:eastAsia="zh-CN"/>
        </w:rPr>
        <w:t>接口开发</w:t>
      </w:r>
      <w:r>
        <w:rPr>
          <w:rFonts w:hint="eastAsia" w:ascii="宋体" w:hAnsi="宋体" w:eastAsia="宋体" w:cs="宋体"/>
          <w:color w:val="auto"/>
          <w:sz w:val="24"/>
          <w:szCs w:val="36"/>
        </w:rPr>
        <w:t>、审计智能搜索</w:t>
      </w:r>
      <w:r>
        <w:rPr>
          <w:rFonts w:hint="eastAsia" w:ascii="宋体" w:hAnsi="宋体" w:cs="宋体"/>
          <w:color w:val="auto"/>
          <w:sz w:val="24"/>
          <w:szCs w:val="36"/>
          <w:lang w:eastAsia="zh-CN"/>
        </w:rPr>
        <w:t>、</w:t>
      </w:r>
      <w:r>
        <w:rPr>
          <w:rFonts w:hint="eastAsia" w:ascii="宋体" w:hAnsi="宋体" w:eastAsia="宋体" w:cs="宋体"/>
          <w:color w:val="auto"/>
          <w:sz w:val="24"/>
          <w:szCs w:val="36"/>
        </w:rPr>
        <w:t>文档提炼与摘要生成等功能。</w:t>
      </w:r>
    </w:p>
    <w:p w14:paraId="1ADEFA07">
      <w:pPr>
        <w:widowControl/>
        <w:numPr>
          <w:ilvl w:val="0"/>
          <w:numId w:val="19"/>
        </w:numPr>
        <w:spacing w:line="360" w:lineRule="auto"/>
        <w:ind w:left="425" w:leftChars="0" w:hanging="425" w:firstLineChars="0"/>
        <w:jc w:val="left"/>
        <w:rPr>
          <w:rFonts w:hint="eastAsia" w:ascii="宋体" w:hAnsi="宋体" w:cs="宋体"/>
          <w:color w:val="auto"/>
          <w:kern w:val="2"/>
          <w:sz w:val="24"/>
          <w:szCs w:val="24"/>
          <w:lang w:val="en-US" w:eastAsia="zh-CN" w:bidi="ar-SA"/>
        </w:rPr>
      </w:pPr>
      <w:r>
        <w:rPr>
          <w:rFonts w:hint="eastAsia" w:ascii="宋体" w:hAnsi="宋体" w:cs="宋体"/>
          <w:b/>
          <w:bCs/>
          <w:color w:val="auto"/>
          <w:kern w:val="2"/>
          <w:sz w:val="24"/>
          <w:szCs w:val="24"/>
          <w:lang w:val="en-US" w:eastAsia="zh-CN" w:bidi="ar-SA"/>
        </w:rPr>
        <w:t>核心功能需求：</w:t>
      </w:r>
    </w:p>
    <w:p w14:paraId="544C8A4D">
      <w:pPr>
        <w:widowControl/>
        <w:numPr>
          <w:ilvl w:val="0"/>
          <w:numId w:val="20"/>
        </w:numPr>
        <w:spacing w:line="360" w:lineRule="auto"/>
        <w:ind w:left="425" w:leftChars="0"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文档分析智能应用</w:t>
      </w:r>
    </w:p>
    <w:p w14:paraId="0DAF5AD7">
      <w:pPr>
        <w:widowControl/>
        <w:numPr>
          <w:ilvl w:val="0"/>
          <w:numId w:val="0"/>
        </w:numPr>
        <w:spacing w:line="360" w:lineRule="auto"/>
        <w:ind w:left="0" w:leftChars="0" w:firstLine="480" w:firstLineChars="200"/>
        <w:jc w:val="left"/>
        <w:rPr>
          <w:rFonts w:hint="eastAsia" w:ascii="宋体" w:hAnsi="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应用包括非结构化信息提取和线索智能定性。非结构化信息提取应实现：历史文件拉取和增量文件上传，智能语义抽取，审计术语库，结果校验与提示。线索智能定性应实现线索输入与解析，案例及法规知识库管理，案例及法规知识库管理，审计线索推荐，助手调优。</w:t>
      </w:r>
    </w:p>
    <w:p w14:paraId="1A9F8EE2">
      <w:pPr>
        <w:widowControl/>
        <w:numPr>
          <w:ilvl w:val="0"/>
          <w:numId w:val="20"/>
        </w:numPr>
        <w:spacing w:line="360" w:lineRule="auto"/>
        <w:ind w:left="425" w:leftChars="0"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文书生成类智能应用</w:t>
      </w:r>
    </w:p>
    <w:p w14:paraId="141B1A72">
      <w:pPr>
        <w:widowControl/>
        <w:numPr>
          <w:ilvl w:val="0"/>
          <w:numId w:val="0"/>
        </w:numPr>
        <w:spacing w:line="360" w:lineRule="auto"/>
        <w:ind w:left="0" w:leftChars="0" w:firstLine="480" w:firstLineChars="200"/>
        <w:jc w:val="left"/>
        <w:rPr>
          <w:rFonts w:hint="default" w:ascii="宋体" w:hAnsi="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应用需支持审计人员输入报告生成要求、在知识库中检索与用户需求相关的法规条款、历史案例和数据、根据用户需求和检索知识匹配生成报告模板、审计报告等功能。</w:t>
      </w:r>
    </w:p>
    <w:p w14:paraId="3812E9EA">
      <w:pPr>
        <w:widowControl/>
        <w:numPr>
          <w:ilvl w:val="0"/>
          <w:numId w:val="20"/>
        </w:numPr>
        <w:spacing w:line="360" w:lineRule="auto"/>
        <w:ind w:left="425" w:leftChars="0"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审计智能搜索</w:t>
      </w:r>
    </w:p>
    <w:p w14:paraId="007E4204">
      <w:pPr>
        <w:widowControl/>
        <w:numPr>
          <w:ilvl w:val="0"/>
          <w:numId w:val="0"/>
        </w:numPr>
        <w:spacing w:line="360" w:lineRule="auto"/>
        <w:ind w:left="0" w:leftChars="0" w:firstLine="480" w:firstLineChars="200"/>
        <w:jc w:val="left"/>
        <w:rPr>
          <w:rFonts w:hint="eastAsia" w:ascii="宋体" w:hAnsi="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应用需支持结构化数据导入、查询转换、标签处理、画像构建等功能，并能提供可视化界面展示数据画像。</w:t>
      </w:r>
    </w:p>
    <w:p w14:paraId="190247CE">
      <w:pPr>
        <w:widowControl/>
        <w:numPr>
          <w:ilvl w:val="0"/>
          <w:numId w:val="20"/>
        </w:numPr>
        <w:spacing w:line="360" w:lineRule="auto"/>
        <w:ind w:left="425" w:leftChars="0"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大模型接口开发</w:t>
      </w:r>
    </w:p>
    <w:p w14:paraId="3AE19607">
      <w:pPr>
        <w:widowControl/>
        <w:numPr>
          <w:ilvl w:val="0"/>
          <w:numId w:val="0"/>
        </w:numPr>
        <w:spacing w:before="0" w:beforeAutospacing="0" w:after="0" w:afterAutospacing="0" w:line="360" w:lineRule="auto"/>
        <w:ind w:firstLine="480" w:firstLineChars="200"/>
        <w:rPr>
          <w:rFonts w:hint="eastAsia"/>
          <w:color w:val="auto"/>
          <w:lang w:val="en-US" w:eastAsia="zh-CN"/>
        </w:rPr>
      </w:pPr>
      <w:r>
        <w:rPr>
          <w:rFonts w:hint="eastAsia"/>
          <w:color w:val="auto"/>
          <w:lang w:val="en-US" w:eastAsia="zh-CN"/>
        </w:rPr>
        <w:t>系统需要</w:t>
      </w:r>
      <w:r>
        <w:rPr>
          <w:rFonts w:hint="eastAsia"/>
          <w:color w:val="auto"/>
        </w:rPr>
        <w:t>对大模型的 API 请求进行封装，</w:t>
      </w:r>
      <w:r>
        <w:rPr>
          <w:rFonts w:hint="eastAsia"/>
          <w:color w:val="auto"/>
          <w:lang w:val="en-US" w:eastAsia="zh-CN"/>
        </w:rPr>
        <w:t>并进行响应处理。并需要</w:t>
      </w:r>
      <w:r>
        <w:rPr>
          <w:rFonts w:hint="eastAsia"/>
          <w:color w:val="auto"/>
        </w:rPr>
        <w:t>对大模型接口的安全</w:t>
      </w:r>
      <w:r>
        <w:rPr>
          <w:rFonts w:hint="eastAsia"/>
          <w:color w:val="auto"/>
          <w:lang w:val="en-US" w:eastAsia="zh-CN"/>
        </w:rPr>
        <w:t>进行</w:t>
      </w:r>
      <w:r>
        <w:rPr>
          <w:rFonts w:hint="eastAsia"/>
          <w:color w:val="auto"/>
        </w:rPr>
        <w:t>认证和访问控制。</w:t>
      </w:r>
      <w:r>
        <w:rPr>
          <w:rFonts w:hint="eastAsia"/>
          <w:color w:val="auto"/>
          <w:lang w:val="en-US" w:eastAsia="zh-CN"/>
        </w:rPr>
        <w:t>同时系统需要</w:t>
      </w:r>
      <w:r>
        <w:rPr>
          <w:rFonts w:hint="eastAsia"/>
          <w:color w:val="auto"/>
        </w:rPr>
        <w:t>提供友好的用户界面，支持用户通过输入框、下拉菜单等方式提交请求，触发大模型的分析和处理。</w:t>
      </w:r>
      <w:r>
        <w:rPr>
          <w:rFonts w:hint="eastAsia"/>
          <w:color w:val="auto"/>
          <w:lang w:val="en-US" w:eastAsia="zh-CN"/>
        </w:rPr>
        <w:t>系统需要</w:t>
      </w:r>
      <w:r>
        <w:rPr>
          <w:rFonts w:hint="eastAsia"/>
          <w:color w:val="auto"/>
        </w:rPr>
        <w:t>将大模型的响应结果以直观、清晰的方式展示给用户，</w:t>
      </w:r>
      <w:r>
        <w:rPr>
          <w:rFonts w:hint="eastAsia"/>
          <w:color w:val="auto"/>
          <w:lang w:val="en-US" w:eastAsia="zh-CN"/>
        </w:rPr>
        <w:t>并</w:t>
      </w:r>
      <w:r>
        <w:rPr>
          <w:rFonts w:hint="eastAsia"/>
          <w:color w:val="auto"/>
        </w:rPr>
        <w:t>支持用户与大模型进行交互，获取更多的信息和解释</w:t>
      </w:r>
      <w:r>
        <w:rPr>
          <w:rFonts w:hint="eastAsia"/>
          <w:color w:val="auto"/>
          <w:lang w:eastAsia="zh-CN"/>
        </w:rPr>
        <w:t>。</w:t>
      </w:r>
    </w:p>
    <w:p w14:paraId="33FE3FEB">
      <w:pPr>
        <w:numPr>
          <w:ilvl w:val="0"/>
          <w:numId w:val="8"/>
        </w:numPr>
        <w:ind w:left="0" w:leftChars="0" w:firstLine="42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管理控制台</w:t>
      </w:r>
    </w:p>
    <w:p w14:paraId="15FCB998">
      <w:pPr>
        <w:widowControl/>
        <w:numPr>
          <w:ilvl w:val="0"/>
          <w:numId w:val="21"/>
        </w:numPr>
        <w:spacing w:line="360" w:lineRule="auto"/>
        <w:ind w:left="425" w:leftChars="0" w:hanging="425" w:firstLineChars="0"/>
        <w:jc w:val="left"/>
        <w:rPr>
          <w:rFonts w:hint="eastAsia" w:ascii="宋体" w:hAnsi="宋体" w:cs="宋体"/>
          <w:color w:val="auto"/>
          <w:kern w:val="2"/>
          <w:sz w:val="24"/>
          <w:szCs w:val="24"/>
          <w:lang w:val="en-US" w:eastAsia="zh-CN" w:bidi="ar-SA"/>
        </w:rPr>
      </w:pPr>
      <w:r>
        <w:rPr>
          <w:rFonts w:hint="eastAsia" w:ascii="宋体" w:hAnsi="宋体" w:cs="宋体"/>
          <w:b/>
          <w:bCs/>
          <w:color w:val="auto"/>
          <w:kern w:val="2"/>
          <w:sz w:val="24"/>
          <w:szCs w:val="24"/>
          <w:lang w:val="en-US" w:eastAsia="zh-CN" w:bidi="ar-SA"/>
        </w:rPr>
        <w:t>模块功能概述：</w:t>
      </w:r>
    </w:p>
    <w:p w14:paraId="321A0958">
      <w:pPr>
        <w:numPr>
          <w:ilvl w:val="0"/>
          <w:numId w:val="0"/>
        </w:numPr>
        <w:spacing w:line="360" w:lineRule="auto"/>
        <w:ind w:left="0" w:leftChars="0" w:firstLine="480" w:firstLineChars="200"/>
        <w:rPr>
          <w:rFonts w:hint="default" w:eastAsia="宋体"/>
          <w:b/>
          <w:bCs/>
          <w:color w:val="auto"/>
          <w:sz w:val="24"/>
          <w:szCs w:val="24"/>
          <w:highlight w:val="none"/>
          <w:lang w:val="en-US" w:eastAsia="zh-CN"/>
        </w:rPr>
      </w:pPr>
      <w:r>
        <w:rPr>
          <w:color w:val="auto"/>
          <w:sz w:val="24"/>
          <w:szCs w:val="24"/>
        </w:rPr>
        <w:t>管理控制台</w:t>
      </w:r>
      <w:r>
        <w:rPr>
          <w:rFonts w:hint="eastAsia"/>
          <w:color w:val="auto"/>
          <w:sz w:val="24"/>
          <w:szCs w:val="24"/>
          <w:lang w:val="en-US" w:eastAsia="zh-CN"/>
        </w:rPr>
        <w:t>需要集中管理本项目各</w:t>
      </w:r>
      <w:r>
        <w:rPr>
          <w:rFonts w:hint="eastAsia"/>
          <w:color w:val="auto"/>
          <w:sz w:val="24"/>
          <w:szCs w:val="24"/>
        </w:rPr>
        <w:t>系统中</w:t>
      </w:r>
      <w:r>
        <w:rPr>
          <w:rFonts w:hint="eastAsia"/>
          <w:color w:val="auto"/>
          <w:sz w:val="24"/>
          <w:szCs w:val="24"/>
          <w:lang w:val="en-US" w:eastAsia="zh-CN"/>
        </w:rPr>
        <w:t>的权限、角色、工具等</w:t>
      </w:r>
      <w:r>
        <w:rPr>
          <w:rFonts w:hint="eastAsia"/>
          <w:color w:val="auto"/>
          <w:sz w:val="24"/>
          <w:szCs w:val="24"/>
        </w:rPr>
        <w:t>。</w:t>
      </w:r>
      <w:r>
        <w:rPr>
          <w:color w:val="auto"/>
          <w:sz w:val="24"/>
          <w:szCs w:val="24"/>
        </w:rPr>
        <w:t>主要功能包括系统工具、系统维护、角色管理和系统安全管理等</w:t>
      </w:r>
      <w:r>
        <w:rPr>
          <w:rFonts w:hint="eastAsia"/>
          <w:color w:val="auto"/>
          <w:sz w:val="24"/>
          <w:szCs w:val="24"/>
        </w:rPr>
        <w:t>。</w:t>
      </w:r>
    </w:p>
    <w:p w14:paraId="3B573EB2">
      <w:pPr>
        <w:widowControl/>
        <w:numPr>
          <w:ilvl w:val="0"/>
          <w:numId w:val="21"/>
        </w:numPr>
        <w:spacing w:line="360" w:lineRule="auto"/>
        <w:ind w:left="425" w:leftChars="0" w:hanging="425" w:firstLineChars="0"/>
        <w:jc w:val="left"/>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核心功能需求：</w:t>
      </w:r>
    </w:p>
    <w:p w14:paraId="01D16406">
      <w:pPr>
        <w:widowControl/>
        <w:numPr>
          <w:ilvl w:val="0"/>
          <w:numId w:val="22"/>
        </w:numPr>
        <w:spacing w:line="360" w:lineRule="auto"/>
        <w:ind w:left="425" w:leftChars="0" w:hanging="425" w:firstLineChars="0"/>
        <w:rPr>
          <w:rFonts w:hint="eastAsia" w:ascii="宋体" w:hAnsi="宋体" w:eastAsia="宋体"/>
          <w:b/>
          <w:bCs/>
          <w:color w:val="auto"/>
        </w:rPr>
      </w:pPr>
      <w:r>
        <w:rPr>
          <w:rFonts w:hint="eastAsia" w:ascii="宋体" w:hAnsi="宋体" w:eastAsia="宋体"/>
          <w:b/>
          <w:bCs/>
          <w:color w:val="auto"/>
        </w:rPr>
        <w:t>系统工具</w:t>
      </w:r>
    </w:p>
    <w:p w14:paraId="41BC4D78">
      <w:pPr>
        <w:widowControl/>
        <w:numPr>
          <w:ilvl w:val="0"/>
          <w:numId w:val="0"/>
        </w:numPr>
        <w:spacing w:line="360" w:lineRule="auto"/>
        <w:ind w:left="0" w:leftChars="0" w:firstLine="240" w:firstLineChars="100"/>
        <w:rPr>
          <w:rFonts w:hint="eastAsia" w:ascii="宋体" w:hAnsi="宋体" w:eastAsia="宋体"/>
          <w:b w:val="0"/>
          <w:bCs w:val="0"/>
          <w:color w:val="auto"/>
        </w:rPr>
      </w:pPr>
      <w:r>
        <w:rPr>
          <w:rFonts w:hint="eastAsia" w:ascii="宋体" w:hAnsi="宋体" w:eastAsia="宋体"/>
          <w:b w:val="0"/>
          <w:bCs w:val="0"/>
          <w:color w:val="auto"/>
          <w:lang w:val="en-US" w:eastAsia="zh-CN"/>
        </w:rPr>
        <w:t>系统</w:t>
      </w:r>
      <w:r>
        <w:rPr>
          <w:rFonts w:hint="eastAsia" w:ascii="宋体" w:hAnsi="宋体" w:eastAsia="宋体"/>
          <w:b w:val="0"/>
          <w:bCs w:val="0"/>
          <w:color w:val="auto"/>
        </w:rPr>
        <w:t>应具备授权管理功能，可对用户进行授权操作。</w:t>
      </w:r>
    </w:p>
    <w:p w14:paraId="3BE63791">
      <w:pPr>
        <w:widowControl/>
        <w:numPr>
          <w:ilvl w:val="0"/>
          <w:numId w:val="22"/>
        </w:numPr>
        <w:spacing w:line="360" w:lineRule="auto"/>
        <w:ind w:left="425" w:leftChars="0" w:hanging="425" w:firstLineChars="0"/>
        <w:rPr>
          <w:rFonts w:hint="eastAsia" w:ascii="宋体" w:hAnsi="宋体" w:eastAsia="宋体"/>
          <w:b/>
          <w:bCs/>
          <w:color w:val="auto"/>
        </w:rPr>
      </w:pPr>
      <w:r>
        <w:rPr>
          <w:rFonts w:hint="eastAsia" w:ascii="宋体" w:hAnsi="宋体" w:eastAsia="宋体"/>
          <w:b/>
          <w:bCs/>
          <w:color w:val="auto"/>
        </w:rPr>
        <w:t>系统维护</w:t>
      </w:r>
    </w:p>
    <w:p w14:paraId="4CF1A852">
      <w:pPr>
        <w:widowControl/>
        <w:numPr>
          <w:ilvl w:val="0"/>
          <w:numId w:val="0"/>
        </w:numPr>
        <w:spacing w:line="360" w:lineRule="auto"/>
        <w:ind w:left="0" w:leftChars="0" w:firstLine="480" w:firstLineChars="200"/>
        <w:rPr>
          <w:rFonts w:hint="eastAsia" w:ascii="宋体" w:hAnsi="宋体" w:eastAsia="宋体"/>
          <w:b w:val="0"/>
          <w:bCs w:val="0"/>
          <w:color w:val="auto"/>
        </w:rPr>
      </w:pPr>
      <w:r>
        <w:rPr>
          <w:rFonts w:hint="eastAsia" w:ascii="宋体" w:hAnsi="宋体" w:eastAsia="宋体"/>
          <w:b w:val="0"/>
          <w:bCs w:val="0"/>
          <w:color w:val="auto"/>
          <w:lang w:val="en-US" w:eastAsia="zh-CN"/>
        </w:rPr>
        <w:t>系统需能</w:t>
      </w:r>
      <w:r>
        <w:rPr>
          <w:rFonts w:hint="eastAsia" w:ascii="宋体" w:hAnsi="宋体" w:eastAsia="宋体"/>
          <w:b w:val="0"/>
          <w:bCs w:val="0"/>
          <w:color w:val="auto"/>
        </w:rPr>
        <w:t>提供对审计机关单位相关信息的维护功能</w:t>
      </w:r>
      <w:r>
        <w:rPr>
          <w:rFonts w:hint="eastAsia" w:ascii="宋体" w:hAnsi="宋体" w:eastAsia="宋体"/>
          <w:b w:val="0"/>
          <w:bCs w:val="0"/>
          <w:color w:val="auto"/>
          <w:lang w:eastAsia="zh-CN"/>
        </w:rPr>
        <w:t>、</w:t>
      </w:r>
      <w:r>
        <w:rPr>
          <w:rFonts w:hint="eastAsia" w:ascii="宋体" w:hAnsi="宋体" w:eastAsia="宋体"/>
          <w:b w:val="0"/>
          <w:bCs w:val="0"/>
          <w:color w:val="auto"/>
        </w:rPr>
        <w:t>能够维护系统用户的基本信息。</w:t>
      </w:r>
    </w:p>
    <w:p w14:paraId="50D843BA">
      <w:pPr>
        <w:widowControl/>
        <w:numPr>
          <w:ilvl w:val="0"/>
          <w:numId w:val="22"/>
        </w:numPr>
        <w:spacing w:line="360" w:lineRule="auto"/>
        <w:ind w:left="425" w:leftChars="0" w:hanging="425" w:firstLineChars="0"/>
        <w:rPr>
          <w:rFonts w:hint="eastAsia" w:ascii="宋体" w:hAnsi="宋体" w:eastAsia="宋体"/>
          <w:b/>
          <w:bCs/>
          <w:color w:val="auto"/>
        </w:rPr>
      </w:pPr>
      <w:r>
        <w:rPr>
          <w:rFonts w:hint="eastAsia" w:ascii="宋体" w:hAnsi="宋体" w:eastAsia="宋体"/>
          <w:b/>
          <w:bCs/>
          <w:color w:val="auto"/>
        </w:rPr>
        <w:t>角色管理</w:t>
      </w:r>
    </w:p>
    <w:p w14:paraId="10F5351C">
      <w:pPr>
        <w:widowControl/>
        <w:numPr>
          <w:ilvl w:val="0"/>
          <w:numId w:val="0"/>
        </w:numPr>
        <w:spacing w:line="360" w:lineRule="auto"/>
        <w:ind w:left="0" w:leftChars="0" w:firstLine="480" w:firstLineChars="200"/>
        <w:rPr>
          <w:rFonts w:hint="eastAsia" w:ascii="宋体" w:hAnsi="宋体" w:eastAsia="宋体"/>
          <w:b w:val="0"/>
          <w:bCs w:val="0"/>
          <w:color w:val="auto"/>
        </w:rPr>
      </w:pPr>
      <w:r>
        <w:rPr>
          <w:rFonts w:hint="eastAsia" w:ascii="宋体" w:hAnsi="宋体" w:eastAsia="宋体"/>
          <w:b w:val="0"/>
          <w:bCs w:val="0"/>
          <w:color w:val="auto"/>
          <w:lang w:val="en-US" w:eastAsia="zh-CN"/>
        </w:rPr>
        <w:t>系统</w:t>
      </w:r>
      <w:r>
        <w:rPr>
          <w:rFonts w:hint="eastAsia" w:ascii="宋体" w:hAnsi="宋体" w:eastAsia="宋体"/>
          <w:b w:val="0"/>
          <w:bCs w:val="0"/>
          <w:color w:val="auto"/>
        </w:rPr>
        <w:t>要</w:t>
      </w:r>
      <w:r>
        <w:rPr>
          <w:rFonts w:hint="eastAsia" w:ascii="宋体" w:hAnsi="宋体" w:eastAsia="宋体"/>
          <w:b w:val="0"/>
          <w:bCs w:val="0"/>
          <w:color w:val="auto"/>
          <w:lang w:val="en-US" w:eastAsia="zh-CN"/>
        </w:rPr>
        <w:t>能</w:t>
      </w:r>
      <w:r>
        <w:rPr>
          <w:rFonts w:hint="eastAsia" w:ascii="宋体" w:hAnsi="宋体" w:eastAsia="宋体"/>
          <w:b w:val="0"/>
          <w:bCs w:val="0"/>
          <w:color w:val="auto"/>
        </w:rPr>
        <w:t>实现对角色的全面维护功能。</w:t>
      </w:r>
    </w:p>
    <w:p w14:paraId="0C8BDA63">
      <w:pPr>
        <w:widowControl/>
        <w:numPr>
          <w:ilvl w:val="0"/>
          <w:numId w:val="22"/>
        </w:numPr>
        <w:spacing w:line="360" w:lineRule="auto"/>
        <w:ind w:left="425" w:leftChars="0" w:hanging="425" w:firstLineChars="0"/>
        <w:rPr>
          <w:rFonts w:hint="eastAsia" w:ascii="宋体" w:hAnsi="宋体" w:eastAsia="宋体"/>
          <w:b/>
          <w:bCs/>
          <w:color w:val="auto"/>
        </w:rPr>
      </w:pPr>
      <w:r>
        <w:rPr>
          <w:rFonts w:hint="eastAsia" w:ascii="宋体" w:hAnsi="宋体" w:eastAsia="宋体"/>
          <w:b/>
          <w:bCs/>
          <w:color w:val="auto"/>
        </w:rPr>
        <w:t>系统安全管理</w:t>
      </w:r>
    </w:p>
    <w:p w14:paraId="4DF2AECA">
      <w:pPr>
        <w:widowControl/>
        <w:numPr>
          <w:ilvl w:val="0"/>
          <w:numId w:val="0"/>
        </w:numPr>
        <w:spacing w:before="0" w:beforeAutospacing="0" w:after="0" w:afterAutospacing="0"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b w:val="0"/>
          <w:bCs w:val="0"/>
          <w:color w:val="auto"/>
          <w:lang w:val="en-US" w:eastAsia="zh-CN"/>
        </w:rPr>
        <w:t>系统</w:t>
      </w:r>
      <w:r>
        <w:rPr>
          <w:rFonts w:hint="eastAsia" w:ascii="宋体" w:hAnsi="宋体" w:eastAsia="宋体"/>
          <w:b w:val="0"/>
          <w:bCs w:val="0"/>
          <w:color w:val="auto"/>
        </w:rPr>
        <w:t>需</w:t>
      </w:r>
      <w:r>
        <w:rPr>
          <w:rFonts w:hint="eastAsia" w:ascii="宋体" w:hAnsi="宋体" w:eastAsia="宋体"/>
          <w:b w:val="0"/>
          <w:bCs w:val="0"/>
          <w:color w:val="auto"/>
          <w:lang w:val="en-US" w:eastAsia="zh-CN"/>
        </w:rPr>
        <w:t>能</w:t>
      </w:r>
      <w:r>
        <w:rPr>
          <w:rFonts w:hint="eastAsia" w:ascii="宋体" w:hAnsi="宋体" w:eastAsia="宋体"/>
          <w:b w:val="0"/>
          <w:bCs w:val="0"/>
          <w:color w:val="auto"/>
        </w:rPr>
        <w:t>通过对系统密码复杂度进行设定，限制特定系统 IP 或 IP 段的访问。</w:t>
      </w:r>
    </w:p>
    <w:p w14:paraId="3C6C45CB">
      <w:pPr>
        <w:numPr>
          <w:ilvl w:val="0"/>
          <w:numId w:val="8"/>
        </w:numPr>
        <w:ind w:left="0" w:leftChars="0" w:firstLine="42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系统融合对接</w:t>
      </w:r>
    </w:p>
    <w:p w14:paraId="09A28827">
      <w:pPr>
        <w:widowControl/>
        <w:numPr>
          <w:ilvl w:val="0"/>
          <w:numId w:val="23"/>
        </w:numPr>
        <w:spacing w:line="360" w:lineRule="auto"/>
        <w:ind w:left="425" w:leftChars="0" w:hanging="425" w:firstLineChars="0"/>
        <w:jc w:val="left"/>
        <w:rPr>
          <w:rFonts w:hint="eastAsia" w:ascii="宋体" w:hAnsi="宋体" w:cs="宋体"/>
          <w:color w:val="auto"/>
          <w:kern w:val="2"/>
          <w:sz w:val="24"/>
          <w:szCs w:val="24"/>
          <w:lang w:val="en-US" w:eastAsia="zh-CN" w:bidi="ar-SA"/>
        </w:rPr>
      </w:pPr>
      <w:r>
        <w:rPr>
          <w:rFonts w:hint="eastAsia" w:ascii="宋体" w:hAnsi="宋体" w:cs="宋体"/>
          <w:b/>
          <w:bCs/>
          <w:color w:val="auto"/>
          <w:kern w:val="2"/>
          <w:sz w:val="24"/>
          <w:szCs w:val="24"/>
          <w:lang w:val="en-US" w:eastAsia="zh-CN" w:bidi="ar-SA"/>
        </w:rPr>
        <w:t>模块功能概述：</w:t>
      </w:r>
    </w:p>
    <w:p w14:paraId="4682E48D">
      <w:pPr>
        <w:widowControl/>
        <w:numPr>
          <w:ilvl w:val="0"/>
          <w:numId w:val="0"/>
        </w:numPr>
        <w:spacing w:line="360" w:lineRule="auto"/>
        <w:jc w:val="left"/>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本项目需要和上海市审计信息化系统融合对接同步组织架构、人员、岗位等信息；与上海市统一身份认证服务平台集成，实现全市统一的身份认证服务；集成金审工程三期项目（上海建设部分）财务数据、审计项目等数据的同步与匹配；并将大数据分析能力整合为接口，</w:t>
      </w:r>
      <w:r>
        <w:rPr>
          <w:rFonts w:hint="eastAsia" w:ascii="宋体" w:hAnsi="宋体" w:eastAsia="宋体" w:cs="宋体"/>
          <w:i w:val="0"/>
          <w:iCs w:val="0"/>
          <w:caps w:val="0"/>
          <w:color w:val="auto"/>
          <w:spacing w:val="0"/>
          <w:kern w:val="2"/>
          <w:sz w:val="24"/>
          <w:szCs w:val="24"/>
          <w:highlight w:val="none"/>
          <w:shd w:val="clear" w:color="090000" w:fill="auto"/>
          <w:lang w:val="en-US" w:eastAsia="zh-CN"/>
        </w:rPr>
        <w:t>提供给各应用调用。</w:t>
      </w:r>
    </w:p>
    <w:p w14:paraId="7AAE9E20">
      <w:pPr>
        <w:widowControl/>
        <w:numPr>
          <w:ilvl w:val="0"/>
          <w:numId w:val="23"/>
        </w:numPr>
        <w:spacing w:line="360" w:lineRule="auto"/>
        <w:ind w:left="425" w:leftChars="0" w:hanging="425" w:firstLineChars="0"/>
        <w:jc w:val="left"/>
        <w:rPr>
          <w:rFonts w:hint="eastAsia" w:ascii="宋体" w:hAnsi="宋体" w:cs="宋体"/>
          <w:color w:val="auto"/>
          <w:kern w:val="2"/>
          <w:sz w:val="24"/>
          <w:szCs w:val="24"/>
          <w:lang w:val="en-US" w:eastAsia="zh-CN" w:bidi="ar-SA"/>
        </w:rPr>
      </w:pPr>
      <w:r>
        <w:rPr>
          <w:rFonts w:hint="eastAsia" w:ascii="宋体" w:hAnsi="宋体" w:cs="宋体"/>
          <w:b/>
          <w:bCs/>
          <w:color w:val="auto"/>
          <w:kern w:val="2"/>
          <w:sz w:val="24"/>
          <w:szCs w:val="24"/>
          <w:lang w:val="en-US" w:eastAsia="zh-CN" w:bidi="ar-SA"/>
        </w:rPr>
        <w:t>核心功能需求：</w:t>
      </w:r>
    </w:p>
    <w:p w14:paraId="1AFBE3A5">
      <w:pPr>
        <w:numPr>
          <w:ilvl w:val="0"/>
          <w:numId w:val="24"/>
        </w:numPr>
        <w:spacing w:line="360" w:lineRule="auto"/>
        <w:ind w:left="425" w:leftChars="0" w:hanging="425" w:firstLineChars="0"/>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与上海市审计局审计信息化系统集成，完成同步组织架构、人员、岗位信息，作为</w:t>
      </w:r>
      <w:r>
        <w:rPr>
          <w:rFonts w:hint="eastAsia" w:cs="宋体"/>
          <w:color w:val="auto"/>
          <w:kern w:val="0"/>
          <w:sz w:val="24"/>
          <w:szCs w:val="24"/>
          <w:lang w:val="en-US" w:eastAsia="zh-CN"/>
        </w:rPr>
        <w:t>本项目</w:t>
      </w:r>
      <w:r>
        <w:rPr>
          <w:rFonts w:hint="eastAsia" w:ascii="宋体" w:hAnsi="宋体" w:eastAsia="宋体" w:cs="宋体"/>
          <w:color w:val="auto"/>
          <w:kern w:val="0"/>
          <w:sz w:val="24"/>
          <w:szCs w:val="24"/>
          <w:lang w:val="en-US" w:eastAsia="zh-CN"/>
        </w:rPr>
        <w:t>用户体系的基础数据源；同步项目信息和数据申请信息，完善审计业务过程和数据申请过程。</w:t>
      </w:r>
    </w:p>
    <w:p w14:paraId="1A0F3A37">
      <w:pPr>
        <w:numPr>
          <w:ilvl w:val="0"/>
          <w:numId w:val="24"/>
        </w:numPr>
        <w:spacing w:line="360" w:lineRule="auto"/>
        <w:ind w:left="425" w:leftChars="0" w:hanging="425" w:firstLineChars="0"/>
        <w:rPr>
          <w:rFonts w:hint="eastAsia" w:ascii="宋体" w:hAnsi="宋体" w:eastAsia="宋体" w:cs="宋体"/>
          <w:color w:val="auto"/>
          <w:sz w:val="24"/>
          <w:szCs w:val="24"/>
        </w:rPr>
      </w:pPr>
      <w:r>
        <w:rPr>
          <w:rFonts w:hint="eastAsia" w:ascii="宋体" w:hAnsi="宋体" w:eastAsia="宋体" w:cs="宋体"/>
          <w:color w:val="auto"/>
          <w:sz w:val="24"/>
          <w:szCs w:val="24"/>
        </w:rPr>
        <w:t>与上海市统一身份认证服务平台集成</w:t>
      </w:r>
      <w:r>
        <w:rPr>
          <w:rFonts w:hint="eastAsia" w:ascii="宋体" w:hAnsi="宋体" w:cs="宋体"/>
          <w:color w:val="auto"/>
          <w:sz w:val="24"/>
          <w:szCs w:val="24"/>
          <w:lang w:eastAsia="zh-CN"/>
        </w:rPr>
        <w:t>，按政策要求实现全市统一的身份认证服务。</w:t>
      </w:r>
    </w:p>
    <w:p w14:paraId="6C050176">
      <w:pPr>
        <w:numPr>
          <w:ilvl w:val="0"/>
          <w:numId w:val="24"/>
        </w:numPr>
        <w:spacing w:line="360" w:lineRule="auto"/>
        <w:ind w:left="425" w:leftChars="0" w:hanging="425" w:firstLineChars="0"/>
        <w:rPr>
          <w:rFonts w:hint="eastAsia" w:ascii="宋体" w:hAnsi="宋体" w:eastAsia="宋体" w:cs="宋体"/>
          <w:color w:val="auto"/>
          <w:sz w:val="24"/>
          <w:szCs w:val="24"/>
        </w:rPr>
      </w:pPr>
      <w:r>
        <w:rPr>
          <w:rFonts w:hint="eastAsia" w:ascii="宋体" w:hAnsi="宋体" w:eastAsia="宋体" w:cs="宋体"/>
          <w:color w:val="auto"/>
          <w:sz w:val="24"/>
          <w:szCs w:val="24"/>
        </w:rPr>
        <w:t>与金审工程三期项目（上海建设部分）集成</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需</w:t>
      </w:r>
      <w:r>
        <w:rPr>
          <w:rFonts w:hint="eastAsia" w:ascii="宋体" w:hAnsi="宋体" w:cs="宋体"/>
          <w:color w:val="auto"/>
          <w:sz w:val="24"/>
          <w:szCs w:val="24"/>
          <w:lang w:eastAsia="zh-CN"/>
        </w:rPr>
        <w:t>完成财务数据、审计项目、审计人员、组织机构在两个系统间的同步和匹配，</w:t>
      </w:r>
      <w:r>
        <w:rPr>
          <w:rFonts w:hint="eastAsia" w:ascii="宋体" w:hAnsi="宋体" w:cs="宋体"/>
          <w:color w:val="auto"/>
          <w:sz w:val="24"/>
          <w:szCs w:val="24"/>
          <w:lang w:val="en-US" w:eastAsia="zh-CN"/>
        </w:rPr>
        <w:t>能</w:t>
      </w:r>
      <w:r>
        <w:rPr>
          <w:rFonts w:hint="eastAsia" w:ascii="宋体" w:hAnsi="宋体" w:cs="宋体"/>
          <w:color w:val="auto"/>
          <w:sz w:val="24"/>
          <w:szCs w:val="24"/>
          <w:lang w:eastAsia="zh-CN"/>
        </w:rPr>
        <w:t>对财务账套数据</w:t>
      </w:r>
      <w:r>
        <w:rPr>
          <w:rFonts w:hint="eastAsia" w:ascii="宋体" w:hAnsi="宋体" w:cs="宋体"/>
          <w:color w:val="auto"/>
          <w:sz w:val="24"/>
          <w:szCs w:val="24"/>
          <w:lang w:val="en-US" w:eastAsia="zh-CN"/>
        </w:rPr>
        <w:t>进行</w:t>
      </w:r>
      <w:r>
        <w:rPr>
          <w:rFonts w:hint="eastAsia" w:ascii="宋体" w:hAnsi="宋体" w:cs="宋体"/>
          <w:color w:val="auto"/>
          <w:sz w:val="24"/>
          <w:szCs w:val="24"/>
          <w:lang w:eastAsia="zh-CN"/>
        </w:rPr>
        <w:t>不落地查询。</w:t>
      </w:r>
    </w:p>
    <w:p w14:paraId="0238F02E">
      <w:pPr>
        <w:numPr>
          <w:ilvl w:val="0"/>
          <w:numId w:val="24"/>
        </w:numPr>
        <w:spacing w:line="360" w:lineRule="auto"/>
        <w:ind w:left="425" w:leftChars="0" w:hanging="425" w:firstLineChars="0"/>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开发</w:t>
      </w:r>
      <w:r>
        <w:rPr>
          <w:rFonts w:hint="eastAsia" w:ascii="宋体" w:hAnsi="宋体" w:eastAsia="宋体" w:cs="宋体"/>
          <w:color w:val="auto"/>
          <w:sz w:val="24"/>
          <w:szCs w:val="24"/>
        </w:rPr>
        <w:t>大数据接口</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系统需要对本项目数据资源进行加工，抽取形成审计核心数据库，本应用需</w:t>
      </w:r>
      <w:r>
        <w:rPr>
          <w:rFonts w:hint="eastAsia" w:ascii="宋体" w:hAnsi="宋体" w:cs="宋体"/>
          <w:color w:val="auto"/>
          <w:sz w:val="24"/>
          <w:szCs w:val="24"/>
          <w:lang w:eastAsia="zh-CN"/>
        </w:rPr>
        <w:t>将大数据分析能力整合</w:t>
      </w:r>
      <w:r>
        <w:rPr>
          <w:rFonts w:hint="eastAsia" w:ascii="宋体" w:hAnsi="宋体" w:cs="宋体"/>
          <w:color w:val="auto"/>
          <w:sz w:val="24"/>
          <w:szCs w:val="24"/>
          <w:lang w:val="en-US" w:eastAsia="zh-CN"/>
        </w:rPr>
        <w:t>开发约</w:t>
      </w:r>
      <w:r>
        <w:rPr>
          <w:rFonts w:hint="eastAsia" w:ascii="宋体" w:hAnsi="宋体" w:cs="宋体"/>
          <w:color w:val="auto"/>
          <w:sz w:val="24"/>
          <w:szCs w:val="24"/>
          <w:lang w:eastAsia="zh-CN"/>
        </w:rPr>
        <w:t>20个接口，提供给</w:t>
      </w:r>
      <w:r>
        <w:rPr>
          <w:rFonts w:hint="eastAsia" w:ascii="宋体" w:hAnsi="宋体" w:cs="宋体"/>
          <w:color w:val="auto"/>
          <w:sz w:val="24"/>
          <w:szCs w:val="24"/>
          <w:lang w:val="en-US" w:eastAsia="zh-CN"/>
        </w:rPr>
        <w:t>本项目内</w:t>
      </w:r>
      <w:r>
        <w:rPr>
          <w:rFonts w:hint="eastAsia" w:ascii="宋体" w:hAnsi="宋体" w:cs="宋体"/>
          <w:color w:val="auto"/>
          <w:sz w:val="24"/>
          <w:szCs w:val="24"/>
          <w:lang w:eastAsia="zh-CN"/>
        </w:rPr>
        <w:t>各个应用进行调用。</w:t>
      </w:r>
    </w:p>
    <w:p w14:paraId="28097042">
      <w:pPr>
        <w:numPr>
          <w:ilvl w:val="0"/>
          <w:numId w:val="8"/>
        </w:numPr>
        <w:spacing w:line="360" w:lineRule="auto"/>
        <w:ind w:left="0" w:leftChars="0" w:firstLine="42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密码应用</w:t>
      </w:r>
    </w:p>
    <w:p w14:paraId="04CBACF5">
      <w:pPr>
        <w:numPr>
          <w:ilvl w:val="0"/>
          <w:numId w:val="25"/>
        </w:numPr>
        <w:ind w:left="425" w:hanging="425" w:firstLineChars="0"/>
        <w:rPr>
          <w:rFonts w:hint="eastAsia"/>
          <w:color w:val="auto"/>
        </w:rPr>
      </w:pPr>
      <w:r>
        <w:rPr>
          <w:rFonts w:hint="eastAsia"/>
          <w:color w:val="auto"/>
        </w:rPr>
        <w:t>用户登录模块</w:t>
      </w:r>
    </w:p>
    <w:p w14:paraId="5C4F31F4">
      <w:pPr>
        <w:numPr>
          <w:ilvl w:val="0"/>
          <w:numId w:val="0"/>
        </w:numPr>
        <w:rPr>
          <w:rFonts w:hint="eastAsia"/>
          <w:color w:val="auto"/>
        </w:rPr>
      </w:pPr>
      <w:r>
        <w:rPr>
          <w:rFonts w:hint="eastAsia"/>
          <w:color w:val="auto"/>
        </w:rPr>
        <w:t>需要通过对接上海市大数据中心上海市统一身份认证服务平台，获取登录用户（审计局工作人员）的个人身份以及对应单位的法人身份，</w:t>
      </w:r>
      <w:r>
        <w:rPr>
          <w:rFonts w:hint="eastAsia"/>
          <w:color w:val="auto"/>
          <w:lang w:val="en-US" w:eastAsia="zh-CN"/>
        </w:rPr>
        <w:t>对</w:t>
      </w:r>
      <w:r>
        <w:rPr>
          <w:rFonts w:hint="eastAsia"/>
          <w:color w:val="auto"/>
        </w:rPr>
        <w:t>智审DESK</w:t>
      </w:r>
      <w:r>
        <w:rPr>
          <w:rFonts w:hint="eastAsia"/>
          <w:color w:val="auto"/>
          <w:lang w:val="en-US" w:eastAsia="zh-CN"/>
        </w:rPr>
        <w:t>用户登录机制进行建设，</w:t>
      </w:r>
      <w:r>
        <w:rPr>
          <w:rFonts w:hint="eastAsia"/>
          <w:color w:val="auto"/>
        </w:rPr>
        <w:t>并进行双因子认证。</w:t>
      </w:r>
    </w:p>
    <w:p w14:paraId="5A476F32">
      <w:pPr>
        <w:numPr>
          <w:ilvl w:val="0"/>
          <w:numId w:val="25"/>
        </w:numPr>
        <w:ind w:left="425" w:hanging="425" w:firstLineChars="0"/>
        <w:rPr>
          <w:rFonts w:hint="eastAsia"/>
          <w:color w:val="auto"/>
        </w:rPr>
      </w:pPr>
      <w:r>
        <w:rPr>
          <w:rFonts w:hint="eastAsia"/>
          <w:color w:val="auto"/>
        </w:rPr>
        <w:t>应用系统重要数据加解密模块</w:t>
      </w:r>
      <w:r>
        <w:rPr>
          <w:rFonts w:hint="eastAsia"/>
          <w:color w:val="auto"/>
        </w:rPr>
        <w:tab/>
      </w:r>
    </w:p>
    <w:p w14:paraId="4A96E687">
      <w:pPr>
        <w:numPr>
          <w:ilvl w:val="0"/>
          <w:numId w:val="0"/>
        </w:numPr>
        <w:ind w:left="0"/>
        <w:rPr>
          <w:rFonts w:hint="eastAsia"/>
          <w:color w:val="auto"/>
        </w:rPr>
      </w:pPr>
      <w:r>
        <w:rPr>
          <w:rFonts w:hint="eastAsia"/>
          <w:color w:val="auto"/>
          <w:lang w:val="en-US" w:eastAsia="zh-CN"/>
        </w:rPr>
        <w:t>通过</w:t>
      </w:r>
      <w:r>
        <w:rPr>
          <w:rFonts w:hint="eastAsia"/>
          <w:color w:val="auto"/>
        </w:rPr>
        <w:t>调用云平台提供的数据库加密服务接口、加密存储服务接口，实现对应用用户访问权限控制列表、用户身份鉴别数据、个人身份数据</w:t>
      </w:r>
      <w:r>
        <w:rPr>
          <w:rFonts w:hint="eastAsia"/>
          <w:color w:val="auto"/>
          <w:lang w:eastAsia="zh-CN"/>
        </w:rPr>
        <w:t>、</w:t>
      </w:r>
      <w:r>
        <w:rPr>
          <w:rFonts w:hint="eastAsia"/>
          <w:color w:val="auto"/>
        </w:rPr>
        <w:t>单位实体数据、系统业务数据、非结构化业务数据、系统业务日志等数据的存储机密性保护。</w:t>
      </w:r>
    </w:p>
    <w:p w14:paraId="05728ED2">
      <w:pPr>
        <w:numPr>
          <w:ilvl w:val="0"/>
          <w:numId w:val="25"/>
        </w:numPr>
        <w:ind w:left="425" w:hanging="425" w:firstLineChars="0"/>
        <w:rPr>
          <w:rFonts w:hint="eastAsia"/>
          <w:color w:val="auto"/>
        </w:rPr>
      </w:pPr>
      <w:r>
        <w:rPr>
          <w:rFonts w:hint="eastAsia"/>
          <w:color w:val="auto"/>
        </w:rPr>
        <w:t>应用系统重要数据签名验签模块</w:t>
      </w:r>
      <w:r>
        <w:rPr>
          <w:rFonts w:hint="eastAsia"/>
          <w:color w:val="auto"/>
        </w:rPr>
        <w:tab/>
      </w:r>
    </w:p>
    <w:p w14:paraId="4B3B95D8">
      <w:pPr>
        <w:numPr>
          <w:ilvl w:val="0"/>
          <w:numId w:val="0"/>
        </w:numPr>
        <w:rPr>
          <w:rFonts w:hint="eastAsia"/>
          <w:color w:val="auto"/>
        </w:rPr>
      </w:pPr>
      <w:r>
        <w:rPr>
          <w:rFonts w:hint="eastAsia"/>
          <w:color w:val="auto"/>
          <w:lang w:val="en-US" w:eastAsia="zh-CN"/>
        </w:rPr>
        <w:t>通过</w:t>
      </w:r>
      <w:r>
        <w:rPr>
          <w:rFonts w:hint="eastAsia"/>
          <w:color w:val="auto"/>
        </w:rPr>
        <w:t>调用云平台提供的签名验签服务接口，实现对应用用户访问权限控制列表、用户身份鉴别数据、非结构化业务数据、系统业务日志等重要数据的完整性保护。</w:t>
      </w:r>
    </w:p>
    <w:p w14:paraId="627B1214">
      <w:pPr>
        <w:numPr>
          <w:ilvl w:val="0"/>
          <w:numId w:val="8"/>
        </w:numPr>
        <w:spacing w:line="360" w:lineRule="auto"/>
        <w:ind w:left="0" w:leftChars="0" w:firstLine="42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数据服务</w:t>
      </w:r>
    </w:p>
    <w:p w14:paraId="35AED4FC">
      <w:pPr>
        <w:numPr>
          <w:ilvl w:val="0"/>
          <w:numId w:val="26"/>
        </w:numPr>
        <w:spacing w:line="360" w:lineRule="auto"/>
        <w:ind w:left="425" w:leftChars="0" w:hanging="425" w:firstLineChars="0"/>
        <w:rPr>
          <w:rFonts w:hint="eastAsia" w:ascii="宋体" w:hAnsi="宋体" w:eastAsia="宋体" w:cs="宋体"/>
          <w:color w:val="auto"/>
          <w:kern w:val="2"/>
          <w:sz w:val="24"/>
          <w:szCs w:val="24"/>
          <w:u w:val="none"/>
          <w:lang w:val="en-US" w:eastAsia="zh-CN" w:bidi="ar-SA"/>
        </w:rPr>
      </w:pPr>
      <w:r>
        <w:rPr>
          <w:rFonts w:hint="eastAsia" w:ascii="宋体" w:hAnsi="宋体" w:eastAsia="宋体" w:cs="宋体"/>
          <w:color w:val="auto"/>
          <w:kern w:val="2"/>
          <w:sz w:val="24"/>
          <w:szCs w:val="24"/>
          <w:u w:val="none"/>
          <w:lang w:val="en-US" w:eastAsia="zh-CN" w:bidi="ar-SA"/>
        </w:rPr>
        <w:t>数据治理</w:t>
      </w:r>
    </w:p>
    <w:p w14:paraId="26C148D9">
      <w:pPr>
        <w:numPr>
          <w:ilvl w:val="0"/>
          <w:numId w:val="0"/>
        </w:numPr>
        <w:spacing w:line="360" w:lineRule="auto"/>
        <w:ind w:left="0" w:lef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审计原系统已积累的在线数据存储在集中式关系型数据库（以SQLSERVER为主）中，总计 1700 亿条数据，涉及 1.4 万张表，存储量约 80TB 的数据，</w:t>
      </w:r>
      <w:r>
        <w:rPr>
          <w:rFonts w:hint="eastAsia" w:ascii="宋体" w:hAnsi="宋体" w:eastAsia="宋体" w:cs="宋体"/>
          <w:color w:val="auto"/>
          <w:sz w:val="24"/>
          <w:szCs w:val="24"/>
          <w:lang w:val="en-US" w:eastAsia="zh-CN"/>
        </w:rPr>
        <w:t>本次</w:t>
      </w:r>
      <w:r>
        <w:rPr>
          <w:rFonts w:hint="eastAsia" w:ascii="宋体" w:hAnsi="宋体" w:eastAsia="宋体" w:cs="宋体"/>
          <w:color w:val="auto"/>
          <w:kern w:val="2"/>
          <w:sz w:val="24"/>
          <w:szCs w:val="24"/>
          <w:lang w:val="en-US" w:eastAsia="zh-CN" w:bidi="ar-SA"/>
        </w:rPr>
        <w:t>需治理和迁移到国产化分布式数据库环境中的数据量约为1342亿条。治理需求包括解决跨行业数据融合，如关联字段不匹配、特征代码差异等问题，以及应对技术特性差异，如字段命名规则、数据类型转换、分库分表规则等。功能需包括：构建融合实体表以提炼跨行业关联实体；开发“采集－治理－评估”一体化模板，实现数据从SQL Server到国产化分布式数据库的迁移与治理；建立数据清洗规则，对关键字段进行合理性校验；统计治理过程中的数据质量；以及提供手工处理退回数据的机制。整个治理过程需通过采集管理平台实现，确保高效、低成本且符合国产化技术要求，最终提升数据的可用性和审计业务的效率。</w:t>
      </w:r>
    </w:p>
    <w:p w14:paraId="4ACC9F14">
      <w:pPr>
        <w:numPr>
          <w:ilvl w:val="0"/>
          <w:numId w:val="26"/>
        </w:numPr>
        <w:spacing w:line="360" w:lineRule="auto"/>
        <w:ind w:left="425" w:leftChars="0" w:hanging="425" w:firstLineChars="0"/>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语料</w:t>
      </w:r>
      <w:r>
        <w:rPr>
          <w:rFonts w:hint="eastAsia" w:ascii="宋体" w:hAnsi="宋体" w:eastAsia="宋体" w:cs="宋体"/>
          <w:color w:val="auto"/>
          <w:kern w:val="2"/>
          <w:sz w:val="24"/>
          <w:szCs w:val="24"/>
          <w:lang w:val="en-US" w:eastAsia="zh-CN" w:bidi="ar-SA"/>
        </w:rPr>
        <w:t>治理</w:t>
      </w:r>
    </w:p>
    <w:p w14:paraId="51702138">
      <w:pPr>
        <w:numPr>
          <w:ilvl w:val="0"/>
          <w:numId w:val="0"/>
        </w:numPr>
        <w:spacing w:line="360" w:lineRule="auto"/>
        <w:ind w:leftChars="0" w:firstLine="480" w:firstLineChars="20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审计语料库建设旨在构建一个高质量、全面覆盖的语料库，以支持审计应用助手及未来大模型的开发和优化。语料库将涵盖约14,000张结构化审计业务数据表、41,000份审计业务文件（包括审计方案、底稿、报告等）、60,000份政策法规文件、3,300</w:t>
      </w:r>
      <w:r>
        <w:rPr>
          <w:rFonts w:hint="eastAsia" w:ascii="宋体" w:hAnsi="宋体" w:eastAsia="宋体" w:cs="宋体"/>
          <w:color w:val="auto"/>
          <w:kern w:val="2"/>
          <w:sz w:val="24"/>
          <w:szCs w:val="24"/>
          <w:lang w:val="en-US" w:eastAsia="zh-CN" w:bidi="ar-SA"/>
        </w:rPr>
        <w:t>个</w:t>
      </w:r>
      <w:r>
        <w:rPr>
          <w:rFonts w:hint="default" w:ascii="宋体" w:hAnsi="宋体" w:eastAsia="宋体" w:cs="宋体"/>
          <w:color w:val="auto"/>
          <w:kern w:val="2"/>
          <w:sz w:val="24"/>
          <w:szCs w:val="24"/>
          <w:lang w:val="en-US" w:eastAsia="zh-CN" w:bidi="ar-SA"/>
        </w:rPr>
        <w:t>SQL脚本</w:t>
      </w:r>
      <w:r>
        <w:rPr>
          <w:rFonts w:hint="eastAsia" w:ascii="宋体" w:hAnsi="宋体" w:eastAsia="宋体" w:cs="宋体"/>
          <w:color w:val="auto"/>
          <w:kern w:val="2"/>
          <w:sz w:val="24"/>
          <w:szCs w:val="24"/>
          <w:lang w:val="en-US" w:eastAsia="zh-CN" w:bidi="ar-SA"/>
        </w:rPr>
        <w:t>、3300个审计方法描述，40000条政策数据</w:t>
      </w:r>
      <w:r>
        <w:rPr>
          <w:rFonts w:hint="default" w:ascii="宋体" w:hAnsi="宋体" w:eastAsia="宋体" w:cs="宋体"/>
          <w:color w:val="auto"/>
          <w:kern w:val="2"/>
          <w:sz w:val="24"/>
          <w:szCs w:val="24"/>
          <w:lang w:val="en-US" w:eastAsia="zh-CN" w:bidi="ar-SA"/>
        </w:rPr>
        <w:t>以及</w:t>
      </w:r>
      <w:r>
        <w:rPr>
          <w:rFonts w:hint="eastAsia" w:ascii="宋体" w:hAnsi="宋体" w:eastAsia="宋体" w:cs="宋体"/>
          <w:color w:val="auto"/>
          <w:kern w:val="2"/>
          <w:sz w:val="24"/>
          <w:szCs w:val="24"/>
          <w:lang w:val="en-US" w:eastAsia="zh-CN" w:bidi="ar-SA"/>
        </w:rPr>
        <w:t>多</w:t>
      </w:r>
      <w:r>
        <w:rPr>
          <w:rFonts w:hint="default" w:ascii="宋体" w:hAnsi="宋体" w:eastAsia="宋体" w:cs="宋体"/>
          <w:color w:val="auto"/>
          <w:kern w:val="2"/>
          <w:sz w:val="24"/>
          <w:szCs w:val="24"/>
          <w:lang w:val="en-US" w:eastAsia="zh-CN" w:bidi="ar-SA"/>
        </w:rPr>
        <w:t>份其他类型文件（如论文、合同等）。建设内容</w:t>
      </w:r>
      <w:r>
        <w:rPr>
          <w:rFonts w:hint="eastAsia" w:ascii="宋体" w:hAnsi="宋体" w:cs="宋体"/>
          <w:color w:val="auto"/>
          <w:kern w:val="2"/>
          <w:sz w:val="24"/>
          <w:szCs w:val="24"/>
          <w:lang w:val="en-US" w:eastAsia="zh-CN" w:bidi="ar-SA"/>
        </w:rPr>
        <w:t>需</w:t>
      </w:r>
      <w:r>
        <w:rPr>
          <w:rFonts w:hint="default" w:ascii="宋体" w:hAnsi="宋体" w:eastAsia="宋体" w:cs="宋体"/>
          <w:color w:val="auto"/>
          <w:kern w:val="2"/>
          <w:sz w:val="24"/>
          <w:szCs w:val="24"/>
          <w:lang w:val="en-US" w:eastAsia="zh-CN" w:bidi="ar-SA"/>
        </w:rPr>
        <w:t>包括数据采集与分类、数据清洗加工、数据标注、数据增强以及术语库建设等，确保数据的准确性、多样性和可扩展性。</w:t>
      </w:r>
    </w:p>
    <w:p w14:paraId="145C6442">
      <w:pPr>
        <w:numPr>
          <w:ilvl w:val="0"/>
          <w:numId w:val="0"/>
        </w:numPr>
        <w:spacing w:line="360" w:lineRule="auto"/>
        <w:ind w:leftChars="0" w:firstLine="480" w:firstLineChars="200"/>
        <w:rPr>
          <w:rFonts w:hint="default"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其中：</w:t>
      </w:r>
      <w:r>
        <w:rPr>
          <w:rFonts w:hint="eastAsia" w:ascii="宋体" w:hAnsi="宋体" w:eastAsia="宋体" w:cs="宋体"/>
          <w:b w:val="0"/>
          <w:bCs w:val="0"/>
          <w:color w:val="auto"/>
          <w:kern w:val="2"/>
          <w:sz w:val="24"/>
          <w:szCs w:val="24"/>
          <w:lang w:val="en-US" w:eastAsia="zh-CN" w:bidi="ar-SA"/>
        </w:rPr>
        <w:t>“</w:t>
      </w:r>
      <w:r>
        <w:rPr>
          <w:rFonts w:hint="default" w:ascii="宋体" w:hAnsi="宋体" w:eastAsia="宋体" w:cs="宋体"/>
          <w:color w:val="auto"/>
          <w:kern w:val="2"/>
          <w:sz w:val="24"/>
          <w:szCs w:val="24"/>
          <w:lang w:val="en-US" w:eastAsia="zh-CN" w:bidi="ar-SA"/>
        </w:rPr>
        <w:t>14,000张结构化审计业务数据表</w:t>
      </w:r>
      <w:r>
        <w:rPr>
          <w:rFonts w:hint="eastAsia" w:ascii="宋体" w:hAnsi="宋体" w:eastAsia="宋体" w:cs="宋体"/>
          <w:color w:val="auto"/>
          <w:kern w:val="2"/>
          <w:sz w:val="24"/>
          <w:szCs w:val="24"/>
          <w:lang w:val="en-US" w:eastAsia="zh-CN" w:bidi="ar-SA"/>
        </w:rPr>
        <w:t>”、“3300个SQL脚本”、“3300个审计方法描述，40000条政策数据”规划在2026年完成相关数据治理。</w:t>
      </w:r>
    </w:p>
    <w:p w14:paraId="726233CA">
      <w:pPr>
        <w:numPr>
          <w:ilvl w:val="0"/>
          <w:numId w:val="26"/>
        </w:numPr>
        <w:spacing w:line="360" w:lineRule="auto"/>
        <w:ind w:left="425" w:leftChars="0" w:hanging="425" w:firstLineChars="0"/>
        <w:rPr>
          <w:rStyle w:val="39"/>
          <w:rFonts w:hint="eastAsia" w:ascii="宋体" w:hAnsi="宋体" w:eastAsia="宋体" w:cs="宋体"/>
          <w:b w:val="0"/>
          <w:bCs/>
          <w:color w:val="auto"/>
          <w:sz w:val="24"/>
          <w:szCs w:val="32"/>
        </w:rPr>
      </w:pPr>
      <w:r>
        <w:rPr>
          <w:rFonts w:hint="eastAsia" w:ascii="宋体" w:hAnsi="宋体" w:eastAsia="宋体" w:cs="宋体"/>
          <w:color w:val="auto"/>
          <w:kern w:val="2"/>
          <w:sz w:val="24"/>
          <w:szCs w:val="24"/>
          <w:lang w:val="en-US" w:eastAsia="zh-CN" w:bidi="ar-SA"/>
        </w:rPr>
        <w:t>大数据迁移</w:t>
      </w:r>
    </w:p>
    <w:p w14:paraId="0F30E764">
      <w:pPr>
        <w:numPr>
          <w:ilvl w:val="0"/>
          <w:numId w:val="0"/>
        </w:numPr>
        <w:ind w:firstLine="480"/>
        <w:rPr>
          <w:rFonts w:hint="eastAsia" w:ascii="宋体" w:hAnsi="宋体" w:eastAsia="宋体" w:cs="宋体"/>
          <w:color w:val="auto"/>
          <w:sz w:val="24"/>
          <w:szCs w:val="24"/>
        </w:rPr>
      </w:pPr>
      <w:r>
        <w:rPr>
          <w:rFonts w:hint="default" w:ascii="宋体" w:hAnsi="宋体" w:eastAsia="宋体" w:cs="Times New Roman"/>
          <w:b w:val="0"/>
          <w:bCs w:val="0"/>
          <w:color w:val="auto"/>
          <w:sz w:val="24"/>
          <w:szCs w:val="24"/>
        </w:rPr>
        <w:t>需</w:t>
      </w:r>
      <w:r>
        <w:rPr>
          <w:rFonts w:hint="eastAsia" w:cs="Times New Roman"/>
          <w:b w:val="0"/>
          <w:bCs w:val="0"/>
          <w:color w:val="auto"/>
          <w:sz w:val="24"/>
          <w:szCs w:val="24"/>
          <w:lang w:val="en-US" w:eastAsia="zh-CN"/>
        </w:rPr>
        <w:t>将核心数据库中的</w:t>
      </w:r>
      <w:r>
        <w:rPr>
          <w:rFonts w:hint="default" w:ascii="宋体" w:hAnsi="宋体" w:eastAsia="宋体" w:cs="Times New Roman"/>
          <w:b w:val="0"/>
          <w:bCs w:val="0"/>
          <w:color w:val="auto"/>
          <w:sz w:val="24"/>
          <w:szCs w:val="24"/>
        </w:rPr>
        <w:t>分析型数据库</w:t>
      </w:r>
      <w:r>
        <w:rPr>
          <w:rFonts w:hint="default" w:ascii="宋体" w:hAnsi="宋体" w:cs="Times New Roman"/>
          <w:b w:val="0"/>
          <w:bCs w:val="0"/>
          <w:color w:val="auto"/>
          <w:sz w:val="24"/>
          <w:szCs w:val="24"/>
          <w:lang w:val="en-US" w:eastAsia="zh-CN"/>
        </w:rPr>
        <w:t>的</w:t>
      </w:r>
      <w:r>
        <w:rPr>
          <w:rFonts w:hint="default" w:ascii="宋体" w:hAnsi="宋体" w:eastAsia="宋体" w:cs="Times New Roman"/>
          <w:b w:val="0"/>
          <w:bCs w:val="0"/>
          <w:color w:val="auto"/>
          <w:sz w:val="24"/>
          <w:szCs w:val="24"/>
        </w:rPr>
        <w:t>数据迁移。迁移的数据量约为12TB，涉及约98.5亿条记录。迁移过程中，需对Hive、HBase、ES等组件的数据和元数据进行同步，确保新旧集群的数据目录、元数据一致，并通过严格的迁移流程和验证环节，保证数据总量、特征字段值一致，确保迁移后系统能够正常运行并满足业务需求。</w:t>
      </w:r>
    </w:p>
    <w:p w14:paraId="0C7CD0C3">
      <w:pPr>
        <w:ind w:firstLine="482"/>
        <w:rPr>
          <w:rFonts w:hint="eastAsia"/>
          <w:b/>
          <w:color w:val="auto"/>
        </w:rPr>
      </w:pPr>
      <w:r>
        <w:rPr>
          <w:rFonts w:hint="eastAsia"/>
          <w:b/>
          <w:color w:val="auto"/>
          <w:lang w:val="en-US" w:eastAsia="zh-CN"/>
        </w:rPr>
        <w:t>系统建设</w:t>
      </w:r>
      <w:r>
        <w:rPr>
          <w:rFonts w:hint="eastAsia"/>
          <w:b/>
          <w:color w:val="auto"/>
        </w:rPr>
        <w:t>清单</w:t>
      </w:r>
      <w:r>
        <w:rPr>
          <w:rFonts w:hint="eastAsia"/>
          <w:b/>
          <w:color w:val="auto"/>
          <w:lang w:val="en-US" w:eastAsia="zh-CN"/>
        </w:rPr>
        <w:t>如下</w:t>
      </w:r>
      <w:r>
        <w:rPr>
          <w:rFonts w:hint="eastAsia"/>
          <w:b/>
          <w:color w:val="auto"/>
        </w:rPr>
        <w:t>：</w:t>
      </w:r>
    </w:p>
    <w:p w14:paraId="1081F34C">
      <w:pPr>
        <w:numPr>
          <w:ilvl w:val="0"/>
          <w:numId w:val="27"/>
        </w:numPr>
        <w:ind w:left="0" w:leftChars="0" w:firstLine="420" w:firstLineChars="0"/>
        <w:rPr>
          <w:rFonts w:hint="eastAsia" w:ascii="宋体" w:hAnsi="宋体" w:eastAsia="宋体" w:cs="Times New Roman"/>
          <w:b/>
          <w:bCs w:val="0"/>
          <w:color w:val="auto"/>
          <w:lang w:val="en-US" w:eastAsia="zh-CN"/>
        </w:rPr>
      </w:pPr>
      <w:r>
        <w:rPr>
          <w:rFonts w:hint="eastAsia" w:cs="Times New Roman"/>
          <w:b/>
          <w:bCs w:val="0"/>
          <w:color w:val="auto"/>
          <w:lang w:val="en-US" w:eastAsia="zh-CN"/>
        </w:rPr>
        <w:t>智审DESK</w:t>
      </w:r>
    </w:p>
    <w:tbl>
      <w:tblPr>
        <w:tblStyle w:val="36"/>
        <w:tblW w:w="8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5"/>
        <w:gridCol w:w="1312"/>
        <w:gridCol w:w="5308"/>
        <w:gridCol w:w="1250"/>
      </w:tblGrid>
      <w:tr w14:paraId="64E10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655"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57662DF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序号</w:t>
            </w:r>
          </w:p>
        </w:tc>
        <w:tc>
          <w:tcPr>
            <w:tcW w:w="131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0E9A691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功能名称</w:t>
            </w:r>
          </w:p>
        </w:tc>
        <w:tc>
          <w:tcPr>
            <w:tcW w:w="5308"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09AACBE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功能描述</w:t>
            </w:r>
          </w:p>
        </w:tc>
        <w:tc>
          <w:tcPr>
            <w:tcW w:w="1250"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1E55C1D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需求年度</w:t>
            </w:r>
          </w:p>
        </w:tc>
      </w:tr>
      <w:tr w14:paraId="503C6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3AB37DC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w:t>
            </w:r>
          </w:p>
        </w:tc>
        <w:tc>
          <w:tcPr>
            <w:tcW w:w="1312" w:type="dxa"/>
            <w:tcBorders>
              <w:top w:val="single" w:color="000000" w:sz="4" w:space="0"/>
              <w:left w:val="single" w:color="000000" w:sz="4" w:space="0"/>
              <w:bottom w:val="single" w:color="000000" w:sz="4" w:space="0"/>
              <w:right w:val="single" w:color="000000" w:sz="4" w:space="0"/>
            </w:tcBorders>
            <w:vAlign w:val="center"/>
          </w:tcPr>
          <w:p w14:paraId="744A033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智审DESK-疑点核查专区－疑点数据交换</w:t>
            </w:r>
          </w:p>
        </w:tc>
        <w:tc>
          <w:tcPr>
            <w:tcW w:w="5308" w:type="dxa"/>
            <w:tcBorders>
              <w:top w:val="single" w:color="000000" w:sz="4" w:space="0"/>
              <w:left w:val="single" w:color="000000" w:sz="4" w:space="0"/>
              <w:bottom w:val="single" w:color="000000" w:sz="4" w:space="0"/>
              <w:right w:val="single" w:color="000000" w:sz="4" w:space="0"/>
            </w:tcBorders>
            <w:vAlign w:val="center"/>
          </w:tcPr>
          <w:p w14:paraId="69B78A20">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对疑点数据的引入，确认，下发，作废，入库等多种管理操作。</w:t>
            </w:r>
          </w:p>
        </w:tc>
        <w:tc>
          <w:tcPr>
            <w:tcW w:w="1250" w:type="dxa"/>
            <w:tcBorders>
              <w:top w:val="single" w:color="000000" w:sz="4" w:space="0"/>
              <w:left w:val="single" w:color="000000" w:sz="4" w:space="0"/>
              <w:bottom w:val="single" w:color="000000" w:sz="4" w:space="0"/>
              <w:right w:val="single" w:color="000000" w:sz="4" w:space="0"/>
            </w:tcBorders>
            <w:vAlign w:val="center"/>
          </w:tcPr>
          <w:p w14:paraId="3627AF98">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5F32B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B30DF1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w:t>
            </w:r>
          </w:p>
        </w:tc>
        <w:tc>
          <w:tcPr>
            <w:tcW w:w="1312" w:type="dxa"/>
            <w:tcBorders>
              <w:top w:val="single" w:color="000000" w:sz="4" w:space="0"/>
              <w:left w:val="single" w:color="000000" w:sz="4" w:space="0"/>
              <w:bottom w:val="single" w:color="000000" w:sz="4" w:space="0"/>
              <w:right w:val="single" w:color="000000" w:sz="4" w:space="0"/>
            </w:tcBorders>
            <w:vAlign w:val="center"/>
          </w:tcPr>
          <w:p w14:paraId="10B325D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智审DESK-疑点核查专区－疑点数据导出</w:t>
            </w:r>
          </w:p>
        </w:tc>
        <w:tc>
          <w:tcPr>
            <w:tcW w:w="5308" w:type="dxa"/>
            <w:tcBorders>
              <w:top w:val="single" w:color="000000" w:sz="4" w:space="0"/>
              <w:left w:val="single" w:color="000000" w:sz="4" w:space="0"/>
              <w:bottom w:val="single" w:color="000000" w:sz="4" w:space="0"/>
              <w:right w:val="single" w:color="000000" w:sz="4" w:space="0"/>
            </w:tcBorders>
            <w:vAlign w:val="center"/>
          </w:tcPr>
          <w:p w14:paraId="7FEA627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支持疑点数据导出excel、txt等格式，可支持大批量数据导出，定制关注字段，支持导出字段转码规则，质量校验规则。</w:t>
            </w:r>
          </w:p>
        </w:tc>
        <w:tc>
          <w:tcPr>
            <w:tcW w:w="1250" w:type="dxa"/>
            <w:tcBorders>
              <w:top w:val="single" w:color="000000" w:sz="4" w:space="0"/>
              <w:left w:val="single" w:color="000000" w:sz="4" w:space="0"/>
              <w:bottom w:val="single" w:color="000000" w:sz="4" w:space="0"/>
              <w:right w:val="single" w:color="000000" w:sz="4" w:space="0"/>
            </w:tcBorders>
            <w:vAlign w:val="center"/>
          </w:tcPr>
          <w:p w14:paraId="39F29A70">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0F7C7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BBFF91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3</w:t>
            </w:r>
          </w:p>
        </w:tc>
        <w:tc>
          <w:tcPr>
            <w:tcW w:w="1312" w:type="dxa"/>
            <w:tcBorders>
              <w:top w:val="single" w:color="000000" w:sz="4" w:space="0"/>
              <w:left w:val="single" w:color="000000" w:sz="4" w:space="0"/>
              <w:bottom w:val="single" w:color="000000" w:sz="4" w:space="0"/>
              <w:right w:val="single" w:color="000000" w:sz="4" w:space="0"/>
            </w:tcBorders>
            <w:vAlign w:val="center"/>
          </w:tcPr>
          <w:p w14:paraId="139BFFF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智审DESK-疑点核查专区－疑点数据反馈</w:t>
            </w:r>
          </w:p>
        </w:tc>
        <w:tc>
          <w:tcPr>
            <w:tcW w:w="5308" w:type="dxa"/>
            <w:tcBorders>
              <w:top w:val="single" w:color="000000" w:sz="4" w:space="0"/>
              <w:left w:val="single" w:color="000000" w:sz="4" w:space="0"/>
              <w:bottom w:val="single" w:color="000000" w:sz="4" w:space="0"/>
              <w:right w:val="single" w:color="000000" w:sz="4" w:space="0"/>
            </w:tcBorders>
            <w:vAlign w:val="center"/>
          </w:tcPr>
          <w:p w14:paraId="6A99BA8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对疑点数据可逐条落实反馈，支持审计人员与被审计人员线上协同工作，线上留痕。支持逾期提醒功能。</w:t>
            </w:r>
          </w:p>
        </w:tc>
        <w:tc>
          <w:tcPr>
            <w:tcW w:w="1250" w:type="dxa"/>
            <w:tcBorders>
              <w:top w:val="single" w:color="000000" w:sz="4" w:space="0"/>
              <w:left w:val="single" w:color="000000" w:sz="4" w:space="0"/>
              <w:bottom w:val="single" w:color="000000" w:sz="4" w:space="0"/>
              <w:right w:val="single" w:color="000000" w:sz="4" w:space="0"/>
            </w:tcBorders>
            <w:vAlign w:val="center"/>
          </w:tcPr>
          <w:p w14:paraId="511B41A8">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07B55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31D4EC0">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4</w:t>
            </w:r>
          </w:p>
        </w:tc>
        <w:tc>
          <w:tcPr>
            <w:tcW w:w="1312" w:type="dxa"/>
            <w:tcBorders>
              <w:top w:val="single" w:color="000000" w:sz="4" w:space="0"/>
              <w:left w:val="single" w:color="000000" w:sz="4" w:space="0"/>
              <w:bottom w:val="single" w:color="000000" w:sz="4" w:space="0"/>
              <w:right w:val="single" w:color="000000" w:sz="4" w:space="0"/>
            </w:tcBorders>
            <w:vAlign w:val="center"/>
          </w:tcPr>
          <w:p w14:paraId="1040BA1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智审DESK-疑点核查专区－疑点关联分析</w:t>
            </w:r>
          </w:p>
        </w:tc>
        <w:tc>
          <w:tcPr>
            <w:tcW w:w="5308" w:type="dxa"/>
            <w:tcBorders>
              <w:top w:val="single" w:color="000000" w:sz="4" w:space="0"/>
              <w:left w:val="single" w:color="000000" w:sz="4" w:space="0"/>
              <w:bottom w:val="single" w:color="000000" w:sz="4" w:space="0"/>
              <w:right w:val="single" w:color="000000" w:sz="4" w:space="0"/>
            </w:tcBorders>
            <w:vAlign w:val="center"/>
          </w:tcPr>
          <w:p w14:paraId="3AC0E52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疑点关联分析高效挖掘数据间的直接或间接联系，聚焦频繁出现的属性组合，揭示潜在审计疑点。例如通过对供应商名称、代码等关键字段的跨模型关联，快速识别出频繁中标、异常后继续中标及评标专家重复出现的异常供应商。这一功能实现疑点数据的分层分类与智能抽样，有效验证各类疑点，提升工作效率与精准度。</w:t>
            </w:r>
          </w:p>
        </w:tc>
        <w:tc>
          <w:tcPr>
            <w:tcW w:w="1250" w:type="dxa"/>
            <w:tcBorders>
              <w:top w:val="single" w:color="000000" w:sz="4" w:space="0"/>
              <w:left w:val="single" w:color="000000" w:sz="4" w:space="0"/>
              <w:bottom w:val="single" w:color="000000" w:sz="4" w:space="0"/>
              <w:right w:val="single" w:color="000000" w:sz="4" w:space="0"/>
            </w:tcBorders>
            <w:vAlign w:val="center"/>
          </w:tcPr>
          <w:p w14:paraId="1736DA7F">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518CC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A94631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5</w:t>
            </w:r>
          </w:p>
        </w:tc>
        <w:tc>
          <w:tcPr>
            <w:tcW w:w="1312" w:type="dxa"/>
            <w:tcBorders>
              <w:top w:val="single" w:color="000000" w:sz="4" w:space="0"/>
              <w:left w:val="single" w:color="000000" w:sz="4" w:space="0"/>
              <w:bottom w:val="single" w:color="000000" w:sz="4" w:space="0"/>
              <w:right w:val="single" w:color="000000" w:sz="4" w:space="0"/>
            </w:tcBorders>
            <w:vAlign w:val="center"/>
          </w:tcPr>
          <w:p w14:paraId="146E782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智审DESK-审计知识助手-审计知识助手客户端-WPS加载项框架和首页</w:t>
            </w:r>
          </w:p>
        </w:tc>
        <w:tc>
          <w:tcPr>
            <w:tcW w:w="5308" w:type="dxa"/>
            <w:tcBorders>
              <w:top w:val="single" w:color="000000" w:sz="4" w:space="0"/>
              <w:left w:val="single" w:color="000000" w:sz="4" w:space="0"/>
              <w:bottom w:val="single" w:color="000000" w:sz="4" w:space="0"/>
              <w:right w:val="single" w:color="000000" w:sz="4" w:space="0"/>
            </w:tcBorders>
            <w:vAlign w:val="center"/>
          </w:tcPr>
          <w:p w14:paraId="2AA8C01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基于WPS加载项技术构建审计知识助手的客户端首页，形成工具栏，web任务窗格，智能焦化对话框三大主要模块</w:t>
            </w:r>
          </w:p>
        </w:tc>
        <w:tc>
          <w:tcPr>
            <w:tcW w:w="1250" w:type="dxa"/>
            <w:tcBorders>
              <w:top w:val="single" w:color="000000" w:sz="4" w:space="0"/>
              <w:left w:val="single" w:color="000000" w:sz="4" w:space="0"/>
              <w:bottom w:val="single" w:color="000000" w:sz="4" w:space="0"/>
              <w:right w:val="single" w:color="000000" w:sz="4" w:space="0"/>
            </w:tcBorders>
            <w:vAlign w:val="center"/>
          </w:tcPr>
          <w:p w14:paraId="0E47B51C">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46D9A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66DF246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6</w:t>
            </w:r>
          </w:p>
        </w:tc>
        <w:tc>
          <w:tcPr>
            <w:tcW w:w="1312" w:type="dxa"/>
            <w:tcBorders>
              <w:top w:val="single" w:color="000000" w:sz="4" w:space="0"/>
              <w:left w:val="single" w:color="000000" w:sz="4" w:space="0"/>
              <w:bottom w:val="single" w:color="000000" w:sz="4" w:space="0"/>
              <w:right w:val="single" w:color="000000" w:sz="4" w:space="0"/>
            </w:tcBorders>
            <w:vAlign w:val="center"/>
          </w:tcPr>
          <w:p w14:paraId="7350EF3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智审DESK-审计知识助手-审计知识助手客户端-审计助手导航</w:t>
            </w:r>
          </w:p>
        </w:tc>
        <w:tc>
          <w:tcPr>
            <w:tcW w:w="5308" w:type="dxa"/>
            <w:tcBorders>
              <w:top w:val="single" w:color="000000" w:sz="4" w:space="0"/>
              <w:left w:val="single" w:color="000000" w:sz="4" w:space="0"/>
              <w:bottom w:val="single" w:color="000000" w:sz="4" w:space="0"/>
              <w:right w:val="single" w:color="000000" w:sz="4" w:space="0"/>
            </w:tcBorders>
            <w:vAlign w:val="center"/>
          </w:tcPr>
          <w:p w14:paraId="6D659417">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原有系统功能的改造升级，要融合到WPS加载项中，对各种审计流程进行整理归类，提炼相关关键控制点和规范操作要求，方便审计人员在进行相关计划制作时快速查询或直接引用。</w:t>
            </w:r>
          </w:p>
        </w:tc>
        <w:tc>
          <w:tcPr>
            <w:tcW w:w="1250" w:type="dxa"/>
            <w:tcBorders>
              <w:top w:val="single" w:color="000000" w:sz="4" w:space="0"/>
              <w:left w:val="single" w:color="000000" w:sz="4" w:space="0"/>
              <w:bottom w:val="single" w:color="000000" w:sz="4" w:space="0"/>
              <w:right w:val="single" w:color="000000" w:sz="4" w:space="0"/>
            </w:tcBorders>
            <w:vAlign w:val="center"/>
          </w:tcPr>
          <w:p w14:paraId="2F715E41">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543D6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0F5D6B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7</w:t>
            </w:r>
          </w:p>
        </w:tc>
        <w:tc>
          <w:tcPr>
            <w:tcW w:w="1312" w:type="dxa"/>
            <w:tcBorders>
              <w:top w:val="single" w:color="000000" w:sz="4" w:space="0"/>
              <w:left w:val="single" w:color="000000" w:sz="4" w:space="0"/>
              <w:bottom w:val="single" w:color="000000" w:sz="4" w:space="0"/>
              <w:right w:val="single" w:color="000000" w:sz="4" w:space="0"/>
            </w:tcBorders>
            <w:vAlign w:val="center"/>
          </w:tcPr>
          <w:p w14:paraId="6EC8E70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智审DESK-审计知识助手-审计知识助手客户端－审计知识服务</w:t>
            </w:r>
          </w:p>
        </w:tc>
        <w:tc>
          <w:tcPr>
            <w:tcW w:w="5308" w:type="dxa"/>
            <w:tcBorders>
              <w:top w:val="single" w:color="000000" w:sz="4" w:space="0"/>
              <w:left w:val="single" w:color="000000" w:sz="4" w:space="0"/>
              <w:bottom w:val="single" w:color="000000" w:sz="4" w:space="0"/>
              <w:right w:val="single" w:color="000000" w:sz="4" w:space="0"/>
            </w:tcBorders>
            <w:vAlign w:val="center"/>
          </w:tcPr>
          <w:p w14:paraId="1D36069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构建审计文书格式、问题描述参考、问题定性及处理处罚建议三大类审计知识库供工作人员查阅和引用</w:t>
            </w:r>
          </w:p>
        </w:tc>
        <w:tc>
          <w:tcPr>
            <w:tcW w:w="1250" w:type="dxa"/>
            <w:tcBorders>
              <w:top w:val="single" w:color="000000" w:sz="4" w:space="0"/>
              <w:left w:val="single" w:color="000000" w:sz="4" w:space="0"/>
              <w:bottom w:val="single" w:color="000000" w:sz="4" w:space="0"/>
              <w:right w:val="single" w:color="000000" w:sz="4" w:space="0"/>
            </w:tcBorders>
            <w:vAlign w:val="center"/>
          </w:tcPr>
          <w:p w14:paraId="2492FCB0">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72706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F38A73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8</w:t>
            </w:r>
          </w:p>
        </w:tc>
        <w:tc>
          <w:tcPr>
            <w:tcW w:w="1312" w:type="dxa"/>
            <w:tcBorders>
              <w:top w:val="single" w:color="000000" w:sz="4" w:space="0"/>
              <w:left w:val="single" w:color="000000" w:sz="4" w:space="0"/>
              <w:bottom w:val="single" w:color="000000" w:sz="4" w:space="0"/>
              <w:right w:val="single" w:color="000000" w:sz="4" w:space="0"/>
            </w:tcBorders>
            <w:vAlign w:val="center"/>
          </w:tcPr>
          <w:p w14:paraId="08A5F11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智审DESK-审计知识助手-审计知识助手客户端-审计研究服务</w:t>
            </w:r>
          </w:p>
        </w:tc>
        <w:tc>
          <w:tcPr>
            <w:tcW w:w="5308" w:type="dxa"/>
            <w:tcBorders>
              <w:top w:val="single" w:color="000000" w:sz="4" w:space="0"/>
              <w:left w:val="single" w:color="000000" w:sz="4" w:space="0"/>
              <w:bottom w:val="single" w:color="000000" w:sz="4" w:space="0"/>
              <w:right w:val="single" w:color="000000" w:sz="4" w:space="0"/>
            </w:tcBorders>
            <w:vAlign w:val="center"/>
          </w:tcPr>
          <w:p w14:paraId="15054A6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构建法律法规查询、政策热点跟踪、行业研究报告、审计前沿动态四大类审计研究支持工具，让审计人员及时把握审计技术发展趋势</w:t>
            </w:r>
          </w:p>
        </w:tc>
        <w:tc>
          <w:tcPr>
            <w:tcW w:w="1250" w:type="dxa"/>
            <w:tcBorders>
              <w:top w:val="single" w:color="000000" w:sz="4" w:space="0"/>
              <w:left w:val="single" w:color="000000" w:sz="4" w:space="0"/>
              <w:bottom w:val="single" w:color="000000" w:sz="4" w:space="0"/>
              <w:right w:val="single" w:color="000000" w:sz="4" w:space="0"/>
            </w:tcBorders>
            <w:vAlign w:val="center"/>
          </w:tcPr>
          <w:p w14:paraId="0D65DA24">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48646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13F113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9</w:t>
            </w:r>
          </w:p>
        </w:tc>
        <w:tc>
          <w:tcPr>
            <w:tcW w:w="1312" w:type="dxa"/>
            <w:tcBorders>
              <w:top w:val="single" w:color="000000" w:sz="4" w:space="0"/>
              <w:left w:val="single" w:color="000000" w:sz="4" w:space="0"/>
              <w:bottom w:val="single" w:color="000000" w:sz="4" w:space="0"/>
              <w:right w:val="single" w:color="000000" w:sz="4" w:space="0"/>
            </w:tcBorders>
            <w:vAlign w:val="center"/>
          </w:tcPr>
          <w:p w14:paraId="52ECE63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智审DESK-审计知识助手-审计知识助手客户端－历年审计情况</w:t>
            </w:r>
          </w:p>
        </w:tc>
        <w:tc>
          <w:tcPr>
            <w:tcW w:w="5308" w:type="dxa"/>
            <w:tcBorders>
              <w:top w:val="single" w:color="000000" w:sz="4" w:space="0"/>
              <w:left w:val="single" w:color="000000" w:sz="4" w:space="0"/>
              <w:bottom w:val="single" w:color="000000" w:sz="4" w:space="0"/>
              <w:right w:val="single" w:color="000000" w:sz="4" w:space="0"/>
            </w:tcBorders>
            <w:vAlign w:val="center"/>
          </w:tcPr>
          <w:p w14:paraId="1936995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原有系统功能的改造升级，要融合到WPS加载项中，将历年审计情况整理分类后形成参考案例集，工作人员可以通过关键字、审计年度等多个条件进行检索，帮助审计人员了解各类审计案例的背景、审计过程中的关键点、审计发现的问题及跟踪整改情况</w:t>
            </w:r>
          </w:p>
        </w:tc>
        <w:tc>
          <w:tcPr>
            <w:tcW w:w="1250" w:type="dxa"/>
            <w:tcBorders>
              <w:top w:val="single" w:color="000000" w:sz="4" w:space="0"/>
              <w:left w:val="single" w:color="000000" w:sz="4" w:space="0"/>
              <w:bottom w:val="single" w:color="000000" w:sz="4" w:space="0"/>
              <w:right w:val="single" w:color="000000" w:sz="4" w:space="0"/>
            </w:tcBorders>
            <w:vAlign w:val="center"/>
          </w:tcPr>
          <w:p w14:paraId="18D23063">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44D0C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2A54B47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10</w:t>
            </w:r>
          </w:p>
        </w:tc>
        <w:tc>
          <w:tcPr>
            <w:tcW w:w="1312" w:type="dxa"/>
            <w:tcBorders>
              <w:top w:val="single" w:color="000000" w:sz="4" w:space="0"/>
              <w:left w:val="single" w:color="000000" w:sz="4" w:space="0"/>
              <w:bottom w:val="single" w:color="000000" w:sz="4" w:space="0"/>
              <w:right w:val="single" w:color="000000" w:sz="4" w:space="0"/>
            </w:tcBorders>
            <w:vAlign w:val="center"/>
          </w:tcPr>
          <w:p w14:paraId="24E90910">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智审DESK-审计知识助手-审计知识助手客户端－单位基本信息</w:t>
            </w:r>
          </w:p>
        </w:tc>
        <w:tc>
          <w:tcPr>
            <w:tcW w:w="5308" w:type="dxa"/>
            <w:tcBorders>
              <w:top w:val="single" w:color="000000" w:sz="4" w:space="0"/>
              <w:left w:val="single" w:color="000000" w:sz="4" w:space="0"/>
              <w:bottom w:val="single" w:color="000000" w:sz="4" w:space="0"/>
              <w:right w:val="single" w:color="000000" w:sz="4" w:space="0"/>
            </w:tcBorders>
            <w:vAlign w:val="center"/>
          </w:tcPr>
          <w:p w14:paraId="19E0698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原有系统功能的改造升级，要融合到WPS加载项中，以被审计单位作为维度梳理历史审计材料，构建针对重点单位的审计信息集合，形成审计日历和重大问题跟踪链</w:t>
            </w:r>
          </w:p>
        </w:tc>
        <w:tc>
          <w:tcPr>
            <w:tcW w:w="1250" w:type="dxa"/>
            <w:tcBorders>
              <w:top w:val="single" w:color="000000" w:sz="4" w:space="0"/>
              <w:left w:val="single" w:color="000000" w:sz="4" w:space="0"/>
              <w:bottom w:val="single" w:color="000000" w:sz="4" w:space="0"/>
              <w:right w:val="single" w:color="000000" w:sz="4" w:space="0"/>
            </w:tcBorders>
            <w:vAlign w:val="center"/>
          </w:tcPr>
          <w:p w14:paraId="23FD8F74">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38F75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08817A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11</w:t>
            </w:r>
          </w:p>
        </w:tc>
        <w:tc>
          <w:tcPr>
            <w:tcW w:w="1312" w:type="dxa"/>
            <w:tcBorders>
              <w:top w:val="single" w:color="000000" w:sz="4" w:space="0"/>
              <w:left w:val="single" w:color="000000" w:sz="4" w:space="0"/>
              <w:bottom w:val="single" w:color="000000" w:sz="4" w:space="0"/>
              <w:right w:val="single" w:color="000000" w:sz="4" w:space="0"/>
            </w:tcBorders>
            <w:vAlign w:val="center"/>
          </w:tcPr>
          <w:p w14:paraId="1F4C222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智审DESK-审计知识助手-审计知识助手客户端-资金流向分析工具</w:t>
            </w:r>
          </w:p>
        </w:tc>
        <w:tc>
          <w:tcPr>
            <w:tcW w:w="5308" w:type="dxa"/>
            <w:tcBorders>
              <w:top w:val="single" w:color="000000" w:sz="4" w:space="0"/>
              <w:left w:val="single" w:color="000000" w:sz="4" w:space="0"/>
              <w:bottom w:val="single" w:color="000000" w:sz="4" w:space="0"/>
              <w:right w:val="single" w:color="000000" w:sz="4" w:space="0"/>
            </w:tcBorders>
            <w:vAlign w:val="center"/>
          </w:tcPr>
          <w:p w14:paraId="4D4FA9E0">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基于轻量级数据图谱引擎，审计人员可以选择本地的合同表、招投标表、财政支付表、发票表等各类表格，构建资金流向图</w:t>
            </w:r>
          </w:p>
        </w:tc>
        <w:tc>
          <w:tcPr>
            <w:tcW w:w="1250" w:type="dxa"/>
            <w:tcBorders>
              <w:top w:val="single" w:color="000000" w:sz="4" w:space="0"/>
              <w:left w:val="single" w:color="000000" w:sz="4" w:space="0"/>
              <w:bottom w:val="single" w:color="000000" w:sz="4" w:space="0"/>
              <w:right w:val="single" w:color="000000" w:sz="4" w:space="0"/>
            </w:tcBorders>
            <w:vAlign w:val="center"/>
          </w:tcPr>
          <w:p w14:paraId="35944ACE">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49B4F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6096EE1">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12</w:t>
            </w:r>
          </w:p>
        </w:tc>
        <w:tc>
          <w:tcPr>
            <w:tcW w:w="1312" w:type="dxa"/>
            <w:tcBorders>
              <w:top w:val="single" w:color="000000" w:sz="4" w:space="0"/>
              <w:left w:val="single" w:color="000000" w:sz="4" w:space="0"/>
              <w:bottom w:val="single" w:color="000000" w:sz="4" w:space="0"/>
              <w:right w:val="single" w:color="000000" w:sz="4" w:space="0"/>
            </w:tcBorders>
            <w:vAlign w:val="center"/>
          </w:tcPr>
          <w:p w14:paraId="7B426A8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智审DESK-审计知识助手-审计知识助手服务端-知识维护</w:t>
            </w:r>
          </w:p>
        </w:tc>
        <w:tc>
          <w:tcPr>
            <w:tcW w:w="5308" w:type="dxa"/>
            <w:tcBorders>
              <w:top w:val="single" w:color="000000" w:sz="4" w:space="0"/>
              <w:left w:val="single" w:color="000000" w:sz="4" w:space="0"/>
              <w:bottom w:val="single" w:color="000000" w:sz="4" w:space="0"/>
              <w:right w:val="single" w:color="000000" w:sz="4" w:space="0"/>
            </w:tcBorders>
            <w:vAlign w:val="center"/>
          </w:tcPr>
          <w:p w14:paraId="20EB8CC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提供知识新增和维护功能，支持富文本框编辑、附件上传等多种方式对知识进行新增和维护，支持对知识的树形分级管理，支持对知识的标签管理。</w:t>
            </w:r>
          </w:p>
        </w:tc>
        <w:tc>
          <w:tcPr>
            <w:tcW w:w="1250" w:type="dxa"/>
            <w:tcBorders>
              <w:top w:val="single" w:color="000000" w:sz="4" w:space="0"/>
              <w:left w:val="single" w:color="000000" w:sz="4" w:space="0"/>
              <w:bottom w:val="single" w:color="000000" w:sz="4" w:space="0"/>
              <w:right w:val="single" w:color="000000" w:sz="4" w:space="0"/>
            </w:tcBorders>
            <w:vAlign w:val="center"/>
          </w:tcPr>
          <w:p w14:paraId="78BC2CE4">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3F561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0014A1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13</w:t>
            </w:r>
          </w:p>
        </w:tc>
        <w:tc>
          <w:tcPr>
            <w:tcW w:w="1312" w:type="dxa"/>
            <w:tcBorders>
              <w:top w:val="single" w:color="000000" w:sz="4" w:space="0"/>
              <w:left w:val="single" w:color="000000" w:sz="4" w:space="0"/>
              <w:bottom w:val="single" w:color="000000" w:sz="4" w:space="0"/>
              <w:right w:val="single" w:color="000000" w:sz="4" w:space="0"/>
            </w:tcBorders>
            <w:vAlign w:val="center"/>
          </w:tcPr>
          <w:p w14:paraId="44DE509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智审DESK-审计知识助手-审计知识助手服务端－知识检索</w:t>
            </w:r>
          </w:p>
        </w:tc>
        <w:tc>
          <w:tcPr>
            <w:tcW w:w="5308" w:type="dxa"/>
            <w:tcBorders>
              <w:top w:val="single" w:color="000000" w:sz="4" w:space="0"/>
              <w:left w:val="single" w:color="000000" w:sz="4" w:space="0"/>
              <w:bottom w:val="single" w:color="000000" w:sz="4" w:space="0"/>
              <w:right w:val="single" w:color="000000" w:sz="4" w:space="0"/>
            </w:tcBorders>
            <w:vAlign w:val="center"/>
          </w:tcPr>
          <w:p w14:paraId="75372A8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根据关键字、标题、维护人、描述对象、分类、标签等条件实现对知识的检索，可以查询知识的详细信息，维护轨迹。</w:t>
            </w:r>
          </w:p>
        </w:tc>
        <w:tc>
          <w:tcPr>
            <w:tcW w:w="1250" w:type="dxa"/>
            <w:tcBorders>
              <w:top w:val="single" w:color="000000" w:sz="4" w:space="0"/>
              <w:left w:val="single" w:color="000000" w:sz="4" w:space="0"/>
              <w:bottom w:val="single" w:color="000000" w:sz="4" w:space="0"/>
              <w:right w:val="single" w:color="000000" w:sz="4" w:space="0"/>
            </w:tcBorders>
            <w:vAlign w:val="center"/>
          </w:tcPr>
          <w:p w14:paraId="71F91D17">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43583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38E46967">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14</w:t>
            </w:r>
          </w:p>
        </w:tc>
        <w:tc>
          <w:tcPr>
            <w:tcW w:w="1312" w:type="dxa"/>
            <w:tcBorders>
              <w:top w:val="single" w:color="000000" w:sz="4" w:space="0"/>
              <w:left w:val="single" w:color="000000" w:sz="4" w:space="0"/>
              <w:bottom w:val="single" w:color="000000" w:sz="4" w:space="0"/>
              <w:right w:val="single" w:color="000000" w:sz="4" w:space="0"/>
            </w:tcBorders>
            <w:vAlign w:val="center"/>
          </w:tcPr>
          <w:p w14:paraId="58D4F6D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智审DESK-数据脱敏-脱敏任务管理</w:t>
            </w:r>
          </w:p>
        </w:tc>
        <w:tc>
          <w:tcPr>
            <w:tcW w:w="5308" w:type="dxa"/>
            <w:tcBorders>
              <w:top w:val="single" w:color="000000" w:sz="4" w:space="0"/>
              <w:left w:val="single" w:color="000000" w:sz="4" w:space="0"/>
              <w:bottom w:val="single" w:color="000000" w:sz="4" w:space="0"/>
              <w:right w:val="single" w:color="000000" w:sz="4" w:space="0"/>
            </w:tcBorders>
            <w:vAlign w:val="center"/>
          </w:tcPr>
          <w:p w14:paraId="56EC9091">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建立脱敏任务管理机制，可以设置定时任务，对增量或变更数据进行脱敏。</w:t>
            </w:r>
          </w:p>
        </w:tc>
        <w:tc>
          <w:tcPr>
            <w:tcW w:w="1250" w:type="dxa"/>
            <w:tcBorders>
              <w:top w:val="single" w:color="000000" w:sz="4" w:space="0"/>
              <w:left w:val="single" w:color="000000" w:sz="4" w:space="0"/>
              <w:bottom w:val="single" w:color="000000" w:sz="4" w:space="0"/>
              <w:right w:val="single" w:color="000000" w:sz="4" w:space="0"/>
            </w:tcBorders>
            <w:vAlign w:val="center"/>
          </w:tcPr>
          <w:p w14:paraId="6B33D105">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12755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3981C77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15</w:t>
            </w:r>
          </w:p>
        </w:tc>
        <w:tc>
          <w:tcPr>
            <w:tcW w:w="1312" w:type="dxa"/>
            <w:tcBorders>
              <w:top w:val="single" w:color="000000" w:sz="4" w:space="0"/>
              <w:left w:val="single" w:color="000000" w:sz="4" w:space="0"/>
              <w:bottom w:val="single" w:color="000000" w:sz="4" w:space="0"/>
              <w:right w:val="single" w:color="000000" w:sz="4" w:space="0"/>
            </w:tcBorders>
            <w:vAlign w:val="center"/>
          </w:tcPr>
          <w:p w14:paraId="363A4D0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智审DESK-数据脱敏-脱敏数据交换</w:t>
            </w:r>
          </w:p>
        </w:tc>
        <w:tc>
          <w:tcPr>
            <w:tcW w:w="5308" w:type="dxa"/>
            <w:tcBorders>
              <w:top w:val="single" w:color="000000" w:sz="4" w:space="0"/>
              <w:left w:val="single" w:color="000000" w:sz="4" w:space="0"/>
              <w:bottom w:val="single" w:color="000000" w:sz="4" w:space="0"/>
              <w:right w:val="single" w:color="000000" w:sz="4" w:space="0"/>
            </w:tcBorders>
            <w:vAlign w:val="center"/>
          </w:tcPr>
          <w:p w14:paraId="05AF7CA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将脱敏后的数据从审计局内部数据域搬运到外部应用区域的脱敏数据库，支持全量交换，增量交换。</w:t>
            </w:r>
          </w:p>
        </w:tc>
        <w:tc>
          <w:tcPr>
            <w:tcW w:w="1250" w:type="dxa"/>
            <w:tcBorders>
              <w:top w:val="single" w:color="000000" w:sz="4" w:space="0"/>
              <w:left w:val="single" w:color="000000" w:sz="4" w:space="0"/>
              <w:bottom w:val="single" w:color="000000" w:sz="4" w:space="0"/>
              <w:right w:val="single" w:color="000000" w:sz="4" w:space="0"/>
            </w:tcBorders>
            <w:vAlign w:val="center"/>
          </w:tcPr>
          <w:p w14:paraId="60D1CC11">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11ED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2625BC6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16</w:t>
            </w:r>
          </w:p>
        </w:tc>
        <w:tc>
          <w:tcPr>
            <w:tcW w:w="1312" w:type="dxa"/>
            <w:tcBorders>
              <w:top w:val="single" w:color="000000" w:sz="4" w:space="0"/>
              <w:left w:val="single" w:color="000000" w:sz="4" w:space="0"/>
              <w:bottom w:val="single" w:color="000000" w:sz="4" w:space="0"/>
              <w:right w:val="single" w:color="000000" w:sz="4" w:space="0"/>
            </w:tcBorders>
            <w:vAlign w:val="center"/>
          </w:tcPr>
          <w:p w14:paraId="100D244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智审DESK-数据脱敏-脱敏数据反查</w:t>
            </w:r>
          </w:p>
        </w:tc>
        <w:tc>
          <w:tcPr>
            <w:tcW w:w="5308" w:type="dxa"/>
            <w:tcBorders>
              <w:top w:val="single" w:color="000000" w:sz="4" w:space="0"/>
              <w:left w:val="single" w:color="000000" w:sz="4" w:space="0"/>
              <w:bottom w:val="single" w:color="000000" w:sz="4" w:space="0"/>
              <w:right w:val="single" w:color="000000" w:sz="4" w:space="0"/>
            </w:tcBorders>
            <w:vAlign w:val="center"/>
          </w:tcPr>
          <w:p w14:paraId="60D6D86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可根据脱敏数据或者比对结果数据中心数据的唯一ID，反查该数据在审计局内部数据域内的非脱敏数据情况。审计人员可以到审计局大数据分析室使用该功能。</w:t>
            </w:r>
          </w:p>
        </w:tc>
        <w:tc>
          <w:tcPr>
            <w:tcW w:w="1250" w:type="dxa"/>
            <w:tcBorders>
              <w:top w:val="single" w:color="000000" w:sz="4" w:space="0"/>
              <w:left w:val="single" w:color="000000" w:sz="4" w:space="0"/>
              <w:bottom w:val="single" w:color="000000" w:sz="4" w:space="0"/>
              <w:right w:val="single" w:color="000000" w:sz="4" w:space="0"/>
            </w:tcBorders>
            <w:vAlign w:val="center"/>
          </w:tcPr>
          <w:p w14:paraId="77B15522">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5991E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55EF41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17</w:t>
            </w:r>
          </w:p>
        </w:tc>
        <w:tc>
          <w:tcPr>
            <w:tcW w:w="1312" w:type="dxa"/>
            <w:tcBorders>
              <w:top w:val="single" w:color="000000" w:sz="4" w:space="0"/>
              <w:left w:val="single" w:color="000000" w:sz="4" w:space="0"/>
              <w:bottom w:val="single" w:color="000000" w:sz="4" w:space="0"/>
              <w:right w:val="single" w:color="000000" w:sz="4" w:space="0"/>
            </w:tcBorders>
            <w:vAlign w:val="center"/>
          </w:tcPr>
          <w:p w14:paraId="4B745AD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智审DESK-数据脱敏-脱敏数据查询</w:t>
            </w:r>
          </w:p>
        </w:tc>
        <w:tc>
          <w:tcPr>
            <w:tcW w:w="5308" w:type="dxa"/>
            <w:tcBorders>
              <w:top w:val="single" w:color="000000" w:sz="4" w:space="0"/>
              <w:left w:val="single" w:color="000000" w:sz="4" w:space="0"/>
              <w:bottom w:val="single" w:color="000000" w:sz="4" w:space="0"/>
              <w:right w:val="single" w:color="000000" w:sz="4" w:space="0"/>
            </w:tcBorders>
            <w:vAlign w:val="center"/>
          </w:tcPr>
          <w:p w14:paraId="099D60F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可按主题、按分类检索脱敏数据库内的数据，也支持基于自然语言解析的数据查询应用，但因为是脱敏数据，部分关键的数据关联关系消失，所以主要以单表查询为主。</w:t>
            </w:r>
          </w:p>
        </w:tc>
        <w:tc>
          <w:tcPr>
            <w:tcW w:w="1250" w:type="dxa"/>
            <w:tcBorders>
              <w:top w:val="single" w:color="000000" w:sz="4" w:space="0"/>
              <w:left w:val="single" w:color="000000" w:sz="4" w:space="0"/>
              <w:bottom w:val="single" w:color="000000" w:sz="4" w:space="0"/>
              <w:right w:val="single" w:color="000000" w:sz="4" w:space="0"/>
            </w:tcBorders>
            <w:vAlign w:val="center"/>
          </w:tcPr>
          <w:p w14:paraId="07150B6B">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04EA3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F9A7F7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18</w:t>
            </w:r>
          </w:p>
        </w:tc>
        <w:tc>
          <w:tcPr>
            <w:tcW w:w="1312" w:type="dxa"/>
            <w:tcBorders>
              <w:top w:val="single" w:color="000000" w:sz="4" w:space="0"/>
              <w:left w:val="single" w:color="000000" w:sz="4" w:space="0"/>
              <w:bottom w:val="single" w:color="000000" w:sz="4" w:space="0"/>
              <w:right w:val="single" w:color="000000" w:sz="4" w:space="0"/>
            </w:tcBorders>
            <w:vAlign w:val="center"/>
          </w:tcPr>
          <w:p w14:paraId="330D283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智审DESK-数据沙箱－比对模型设计和调试</w:t>
            </w:r>
          </w:p>
        </w:tc>
        <w:tc>
          <w:tcPr>
            <w:tcW w:w="5308" w:type="dxa"/>
            <w:tcBorders>
              <w:top w:val="single" w:color="000000" w:sz="4" w:space="0"/>
              <w:left w:val="single" w:color="000000" w:sz="4" w:space="0"/>
              <w:bottom w:val="single" w:color="000000" w:sz="4" w:space="0"/>
              <w:right w:val="single" w:color="000000" w:sz="4" w:space="0"/>
            </w:tcBorders>
            <w:vAlign w:val="center"/>
          </w:tcPr>
          <w:p w14:paraId="758B388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针对数据沙箱使用到的比对模型进行设计和调试，设计时支持SQL语句编写、比对数据源配置以及本地数据上传，模型可以进行调试，调试过程可以返回SQL执行结果和错误信息，调试日志将完整记录。</w:t>
            </w:r>
          </w:p>
        </w:tc>
        <w:tc>
          <w:tcPr>
            <w:tcW w:w="1250" w:type="dxa"/>
            <w:tcBorders>
              <w:top w:val="single" w:color="000000" w:sz="4" w:space="0"/>
              <w:left w:val="single" w:color="000000" w:sz="4" w:space="0"/>
              <w:bottom w:val="single" w:color="000000" w:sz="4" w:space="0"/>
              <w:right w:val="single" w:color="000000" w:sz="4" w:space="0"/>
            </w:tcBorders>
            <w:vAlign w:val="center"/>
          </w:tcPr>
          <w:p w14:paraId="1BF09FA0">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6D481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FCB587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19</w:t>
            </w:r>
          </w:p>
        </w:tc>
        <w:tc>
          <w:tcPr>
            <w:tcW w:w="1312" w:type="dxa"/>
            <w:tcBorders>
              <w:top w:val="single" w:color="000000" w:sz="4" w:space="0"/>
              <w:left w:val="single" w:color="000000" w:sz="4" w:space="0"/>
              <w:bottom w:val="single" w:color="000000" w:sz="4" w:space="0"/>
              <w:right w:val="single" w:color="000000" w:sz="4" w:space="0"/>
            </w:tcBorders>
            <w:vAlign w:val="center"/>
          </w:tcPr>
          <w:p w14:paraId="4FBAC10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智审DESK-数据沙箱－比对模型提交</w:t>
            </w:r>
          </w:p>
        </w:tc>
        <w:tc>
          <w:tcPr>
            <w:tcW w:w="5308" w:type="dxa"/>
            <w:tcBorders>
              <w:top w:val="single" w:color="000000" w:sz="4" w:space="0"/>
              <w:left w:val="single" w:color="000000" w:sz="4" w:space="0"/>
              <w:bottom w:val="single" w:color="000000" w:sz="4" w:space="0"/>
              <w:right w:val="single" w:color="000000" w:sz="4" w:space="0"/>
            </w:tcBorders>
            <w:vAlign w:val="center"/>
          </w:tcPr>
          <w:p w14:paraId="42B8A6D0">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完成调试的模型可以提交，如果是在审计局大数据分析室使用专用电脑设计，则直接提交到位于审计局内部数据域的比对模型库，如果是利用自己的工作电脑设计，则只提交到位于外部应用区的比对模型库，再由数据交换应用定时抽取到审计局内部数据域的比对模型库。此时模型的状态均为待审核。</w:t>
            </w:r>
          </w:p>
        </w:tc>
        <w:tc>
          <w:tcPr>
            <w:tcW w:w="1250" w:type="dxa"/>
            <w:tcBorders>
              <w:top w:val="single" w:color="000000" w:sz="4" w:space="0"/>
              <w:left w:val="single" w:color="000000" w:sz="4" w:space="0"/>
              <w:bottom w:val="single" w:color="000000" w:sz="4" w:space="0"/>
              <w:right w:val="single" w:color="000000" w:sz="4" w:space="0"/>
            </w:tcBorders>
            <w:vAlign w:val="center"/>
          </w:tcPr>
          <w:p w14:paraId="12F33C6C">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3ED5F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5AF7E9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w:t>
            </w:r>
          </w:p>
        </w:tc>
        <w:tc>
          <w:tcPr>
            <w:tcW w:w="1312" w:type="dxa"/>
            <w:tcBorders>
              <w:top w:val="single" w:color="000000" w:sz="4" w:space="0"/>
              <w:left w:val="single" w:color="000000" w:sz="4" w:space="0"/>
              <w:bottom w:val="single" w:color="000000" w:sz="4" w:space="0"/>
              <w:right w:val="single" w:color="000000" w:sz="4" w:space="0"/>
            </w:tcBorders>
            <w:vAlign w:val="center"/>
          </w:tcPr>
          <w:p w14:paraId="3B8241D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智审DESK-数据沙箱－比对模型审核</w:t>
            </w:r>
          </w:p>
        </w:tc>
        <w:tc>
          <w:tcPr>
            <w:tcW w:w="5308" w:type="dxa"/>
            <w:tcBorders>
              <w:top w:val="single" w:color="000000" w:sz="4" w:space="0"/>
              <w:left w:val="single" w:color="000000" w:sz="4" w:space="0"/>
              <w:bottom w:val="single" w:color="000000" w:sz="4" w:space="0"/>
              <w:right w:val="single" w:color="000000" w:sz="4" w:space="0"/>
            </w:tcBorders>
            <w:vAlign w:val="center"/>
          </w:tcPr>
          <w:p w14:paraId="77EEA180">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审计局工作人员对待审核的模型进行审核操作，主要审核模型的目标、原理，实现逻辑以及调试日志</w:t>
            </w:r>
          </w:p>
        </w:tc>
        <w:tc>
          <w:tcPr>
            <w:tcW w:w="1250" w:type="dxa"/>
            <w:tcBorders>
              <w:top w:val="single" w:color="000000" w:sz="4" w:space="0"/>
              <w:left w:val="single" w:color="000000" w:sz="4" w:space="0"/>
              <w:bottom w:val="single" w:color="000000" w:sz="4" w:space="0"/>
              <w:right w:val="single" w:color="000000" w:sz="4" w:space="0"/>
            </w:tcBorders>
            <w:vAlign w:val="center"/>
          </w:tcPr>
          <w:p w14:paraId="2B8D2B59">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392DB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6C5CD06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21</w:t>
            </w:r>
          </w:p>
        </w:tc>
        <w:tc>
          <w:tcPr>
            <w:tcW w:w="1312" w:type="dxa"/>
            <w:tcBorders>
              <w:top w:val="single" w:color="000000" w:sz="4" w:space="0"/>
              <w:left w:val="single" w:color="000000" w:sz="4" w:space="0"/>
              <w:bottom w:val="single" w:color="000000" w:sz="4" w:space="0"/>
              <w:right w:val="single" w:color="000000" w:sz="4" w:space="0"/>
            </w:tcBorders>
            <w:vAlign w:val="center"/>
          </w:tcPr>
          <w:p w14:paraId="31A2998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智审DESK-数据沙箱－比对模型启用管理</w:t>
            </w:r>
          </w:p>
        </w:tc>
        <w:tc>
          <w:tcPr>
            <w:tcW w:w="5308" w:type="dxa"/>
            <w:tcBorders>
              <w:top w:val="single" w:color="000000" w:sz="4" w:space="0"/>
              <w:left w:val="single" w:color="000000" w:sz="4" w:space="0"/>
              <w:bottom w:val="single" w:color="000000" w:sz="4" w:space="0"/>
              <w:right w:val="single" w:color="000000" w:sz="4" w:space="0"/>
            </w:tcBorders>
            <w:vAlign w:val="center"/>
          </w:tcPr>
          <w:p w14:paraId="5564969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审计局工作人员对待启用的模型进行启用操作，启用或模型为可使用状态，处于可使用状态的模型也可以临时下线，进行下线操作后模型变为已下线。</w:t>
            </w:r>
          </w:p>
        </w:tc>
        <w:tc>
          <w:tcPr>
            <w:tcW w:w="1250" w:type="dxa"/>
            <w:tcBorders>
              <w:top w:val="single" w:color="000000" w:sz="4" w:space="0"/>
              <w:left w:val="single" w:color="000000" w:sz="4" w:space="0"/>
              <w:bottom w:val="single" w:color="000000" w:sz="4" w:space="0"/>
              <w:right w:val="single" w:color="000000" w:sz="4" w:space="0"/>
            </w:tcBorders>
            <w:vAlign w:val="center"/>
          </w:tcPr>
          <w:p w14:paraId="7A1F6E19">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1D6E4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6032807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22</w:t>
            </w:r>
          </w:p>
        </w:tc>
        <w:tc>
          <w:tcPr>
            <w:tcW w:w="1312" w:type="dxa"/>
            <w:tcBorders>
              <w:top w:val="single" w:color="000000" w:sz="4" w:space="0"/>
              <w:left w:val="single" w:color="000000" w:sz="4" w:space="0"/>
              <w:bottom w:val="single" w:color="000000" w:sz="4" w:space="0"/>
              <w:right w:val="single" w:color="000000" w:sz="4" w:space="0"/>
            </w:tcBorders>
            <w:vAlign w:val="center"/>
          </w:tcPr>
          <w:p w14:paraId="6B5CD6E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智审DESK-数据沙箱－比对模型交换</w:t>
            </w:r>
          </w:p>
        </w:tc>
        <w:tc>
          <w:tcPr>
            <w:tcW w:w="5308" w:type="dxa"/>
            <w:tcBorders>
              <w:top w:val="single" w:color="000000" w:sz="4" w:space="0"/>
              <w:left w:val="single" w:color="000000" w:sz="4" w:space="0"/>
              <w:bottom w:val="single" w:color="000000" w:sz="4" w:space="0"/>
              <w:right w:val="single" w:color="000000" w:sz="4" w:space="0"/>
            </w:tcBorders>
            <w:vAlign w:val="center"/>
          </w:tcPr>
          <w:p w14:paraId="2F6F16B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同步审计局内部数据域和外部应用区内模型库的数据，包括模型的状态信息，模型的审核意见等</w:t>
            </w:r>
          </w:p>
        </w:tc>
        <w:tc>
          <w:tcPr>
            <w:tcW w:w="1250" w:type="dxa"/>
            <w:tcBorders>
              <w:top w:val="single" w:color="000000" w:sz="4" w:space="0"/>
              <w:left w:val="single" w:color="000000" w:sz="4" w:space="0"/>
              <w:bottom w:val="single" w:color="000000" w:sz="4" w:space="0"/>
              <w:right w:val="single" w:color="000000" w:sz="4" w:space="0"/>
            </w:tcBorders>
            <w:vAlign w:val="center"/>
          </w:tcPr>
          <w:p w14:paraId="52583E9B">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19B9D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4208D7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23</w:t>
            </w:r>
          </w:p>
        </w:tc>
        <w:tc>
          <w:tcPr>
            <w:tcW w:w="1312" w:type="dxa"/>
            <w:tcBorders>
              <w:top w:val="single" w:color="000000" w:sz="4" w:space="0"/>
              <w:left w:val="single" w:color="000000" w:sz="4" w:space="0"/>
              <w:bottom w:val="single" w:color="000000" w:sz="4" w:space="0"/>
              <w:right w:val="single" w:color="000000" w:sz="4" w:space="0"/>
            </w:tcBorders>
            <w:vAlign w:val="center"/>
          </w:tcPr>
          <w:p w14:paraId="1EB2CD4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智审DESK-数据沙箱－建立比对任务</w:t>
            </w:r>
          </w:p>
        </w:tc>
        <w:tc>
          <w:tcPr>
            <w:tcW w:w="5308" w:type="dxa"/>
            <w:tcBorders>
              <w:top w:val="single" w:color="000000" w:sz="4" w:space="0"/>
              <w:left w:val="single" w:color="000000" w:sz="4" w:space="0"/>
              <w:bottom w:val="single" w:color="000000" w:sz="4" w:space="0"/>
              <w:right w:val="single" w:color="000000" w:sz="4" w:space="0"/>
            </w:tcBorders>
            <w:vAlign w:val="center"/>
          </w:tcPr>
          <w:p w14:paraId="4BF599A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建立基于数据沙箱的比对任务，功能按引导式设计，需要选择比对模型，并根据比对模型要求选择符合要求的比对数据，其中本地采集数据支持上传，审计局内部数据可以设置筛选条件。</w:t>
            </w:r>
          </w:p>
        </w:tc>
        <w:tc>
          <w:tcPr>
            <w:tcW w:w="1250" w:type="dxa"/>
            <w:tcBorders>
              <w:top w:val="single" w:color="000000" w:sz="4" w:space="0"/>
              <w:left w:val="single" w:color="000000" w:sz="4" w:space="0"/>
              <w:bottom w:val="single" w:color="000000" w:sz="4" w:space="0"/>
              <w:right w:val="single" w:color="000000" w:sz="4" w:space="0"/>
            </w:tcBorders>
            <w:vAlign w:val="center"/>
          </w:tcPr>
          <w:p w14:paraId="1EF29ACC">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3FD4B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0FF8D2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24</w:t>
            </w:r>
          </w:p>
        </w:tc>
        <w:tc>
          <w:tcPr>
            <w:tcW w:w="1312" w:type="dxa"/>
            <w:tcBorders>
              <w:top w:val="single" w:color="000000" w:sz="4" w:space="0"/>
              <w:left w:val="single" w:color="000000" w:sz="4" w:space="0"/>
              <w:bottom w:val="single" w:color="000000" w:sz="4" w:space="0"/>
              <w:right w:val="single" w:color="000000" w:sz="4" w:space="0"/>
            </w:tcBorders>
            <w:vAlign w:val="center"/>
          </w:tcPr>
          <w:p w14:paraId="301B07E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智审DESK-数据沙箱－比对任务池</w:t>
            </w:r>
          </w:p>
        </w:tc>
        <w:tc>
          <w:tcPr>
            <w:tcW w:w="5308" w:type="dxa"/>
            <w:tcBorders>
              <w:top w:val="single" w:color="000000" w:sz="4" w:space="0"/>
              <w:left w:val="single" w:color="000000" w:sz="4" w:space="0"/>
              <w:bottom w:val="single" w:color="000000" w:sz="4" w:space="0"/>
              <w:right w:val="single" w:color="000000" w:sz="4" w:space="0"/>
            </w:tcBorders>
            <w:vAlign w:val="center"/>
          </w:tcPr>
          <w:p w14:paraId="47F5E53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位于外部应用区的比对任务池承接来自审计人员申请建立的比对任务，并可以对这些比对任务过程进行监控，比对结果也在该功能中查询和导出。</w:t>
            </w:r>
            <w:r>
              <w:rPr>
                <w:rFonts w:hint="eastAsia" w:ascii="宋体" w:hAnsi="宋体" w:eastAsia="宋体" w:cs="宋体"/>
                <w:b w:val="0"/>
                <w:bCs w:val="0"/>
                <w:i w:val="0"/>
                <w:iCs w:val="0"/>
                <w:color w:val="auto"/>
                <w:kern w:val="0"/>
                <w:sz w:val="21"/>
                <w:szCs w:val="21"/>
                <w:u w:val="none"/>
                <w:lang w:val="en-US" w:eastAsia="zh-CN"/>
              </w:rPr>
              <w:br w:type="textWrapping"/>
            </w:r>
            <w:r>
              <w:rPr>
                <w:rFonts w:hint="eastAsia" w:ascii="宋体" w:hAnsi="宋体" w:eastAsia="宋体" w:cs="宋体"/>
                <w:b w:val="0"/>
                <w:bCs w:val="0"/>
                <w:i w:val="0"/>
                <w:iCs w:val="0"/>
                <w:color w:val="auto"/>
                <w:kern w:val="0"/>
                <w:sz w:val="21"/>
                <w:szCs w:val="21"/>
                <w:u w:val="none"/>
                <w:lang w:val="en-US" w:eastAsia="zh-CN"/>
              </w:rPr>
              <w:t>位于审计局内部数据域的任务池同步外部应用区任务池中任务数据（基于任务交换功能），用于驱动将比对所需数据注入沙箱。</w:t>
            </w:r>
          </w:p>
        </w:tc>
        <w:tc>
          <w:tcPr>
            <w:tcW w:w="1250" w:type="dxa"/>
            <w:tcBorders>
              <w:top w:val="single" w:color="000000" w:sz="4" w:space="0"/>
              <w:left w:val="single" w:color="000000" w:sz="4" w:space="0"/>
              <w:bottom w:val="single" w:color="000000" w:sz="4" w:space="0"/>
              <w:right w:val="single" w:color="000000" w:sz="4" w:space="0"/>
            </w:tcBorders>
            <w:vAlign w:val="center"/>
          </w:tcPr>
          <w:p w14:paraId="465AD48C">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40B95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5E46BD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25</w:t>
            </w:r>
          </w:p>
        </w:tc>
        <w:tc>
          <w:tcPr>
            <w:tcW w:w="1312" w:type="dxa"/>
            <w:tcBorders>
              <w:top w:val="single" w:color="000000" w:sz="4" w:space="0"/>
              <w:left w:val="single" w:color="000000" w:sz="4" w:space="0"/>
              <w:bottom w:val="single" w:color="000000" w:sz="4" w:space="0"/>
              <w:right w:val="single" w:color="000000" w:sz="4" w:space="0"/>
            </w:tcBorders>
            <w:vAlign w:val="center"/>
          </w:tcPr>
          <w:p w14:paraId="65BBDA5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智审DESK-数据沙箱－比对任务同步</w:t>
            </w:r>
          </w:p>
        </w:tc>
        <w:tc>
          <w:tcPr>
            <w:tcW w:w="5308" w:type="dxa"/>
            <w:tcBorders>
              <w:top w:val="single" w:color="000000" w:sz="4" w:space="0"/>
              <w:left w:val="single" w:color="000000" w:sz="4" w:space="0"/>
              <w:bottom w:val="single" w:color="000000" w:sz="4" w:space="0"/>
              <w:right w:val="single" w:color="000000" w:sz="4" w:space="0"/>
            </w:tcBorders>
            <w:vAlign w:val="center"/>
          </w:tcPr>
          <w:p w14:paraId="22AEDA7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根据任务池中待执行任务对于审计局内部数据的目录和筛选条件，查询数据并构建数据包并推送到隐私计算数据沙箱。</w:t>
            </w:r>
          </w:p>
        </w:tc>
        <w:tc>
          <w:tcPr>
            <w:tcW w:w="1250" w:type="dxa"/>
            <w:tcBorders>
              <w:top w:val="single" w:color="000000" w:sz="4" w:space="0"/>
              <w:left w:val="single" w:color="000000" w:sz="4" w:space="0"/>
              <w:bottom w:val="single" w:color="000000" w:sz="4" w:space="0"/>
              <w:right w:val="single" w:color="000000" w:sz="4" w:space="0"/>
            </w:tcBorders>
            <w:vAlign w:val="center"/>
          </w:tcPr>
          <w:p w14:paraId="25DF49E2">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48B2B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41FD67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26</w:t>
            </w:r>
          </w:p>
        </w:tc>
        <w:tc>
          <w:tcPr>
            <w:tcW w:w="1312" w:type="dxa"/>
            <w:tcBorders>
              <w:top w:val="single" w:color="000000" w:sz="4" w:space="0"/>
              <w:left w:val="single" w:color="000000" w:sz="4" w:space="0"/>
              <w:bottom w:val="single" w:color="000000" w:sz="4" w:space="0"/>
              <w:right w:val="single" w:color="000000" w:sz="4" w:space="0"/>
            </w:tcBorders>
            <w:vAlign w:val="center"/>
          </w:tcPr>
          <w:p w14:paraId="60F82BE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智审DESK-数据沙箱－任务信息交换</w:t>
            </w:r>
          </w:p>
        </w:tc>
        <w:tc>
          <w:tcPr>
            <w:tcW w:w="5308" w:type="dxa"/>
            <w:tcBorders>
              <w:top w:val="single" w:color="000000" w:sz="4" w:space="0"/>
              <w:left w:val="single" w:color="000000" w:sz="4" w:space="0"/>
              <w:bottom w:val="single" w:color="000000" w:sz="4" w:space="0"/>
              <w:right w:val="single" w:color="000000" w:sz="4" w:space="0"/>
            </w:tcBorders>
            <w:vAlign w:val="center"/>
          </w:tcPr>
          <w:p w14:paraId="3E9C01F0">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同步审计局内部数据域和外部应用区内任务池的数据，包括从外部应用区内任务池获取待执行的任务以及向外部应用区内任务池同步审核信息，推送准备完成或准备失败状态以及错误信息</w:t>
            </w:r>
          </w:p>
        </w:tc>
        <w:tc>
          <w:tcPr>
            <w:tcW w:w="1250" w:type="dxa"/>
            <w:tcBorders>
              <w:top w:val="single" w:color="000000" w:sz="4" w:space="0"/>
              <w:left w:val="single" w:color="000000" w:sz="4" w:space="0"/>
              <w:bottom w:val="single" w:color="000000" w:sz="4" w:space="0"/>
              <w:right w:val="single" w:color="000000" w:sz="4" w:space="0"/>
            </w:tcBorders>
            <w:vAlign w:val="center"/>
          </w:tcPr>
          <w:p w14:paraId="36C3162B">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249F9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01A67E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27</w:t>
            </w:r>
          </w:p>
        </w:tc>
        <w:tc>
          <w:tcPr>
            <w:tcW w:w="1312" w:type="dxa"/>
            <w:tcBorders>
              <w:top w:val="single" w:color="000000" w:sz="4" w:space="0"/>
              <w:left w:val="single" w:color="000000" w:sz="4" w:space="0"/>
              <w:bottom w:val="single" w:color="000000" w:sz="4" w:space="0"/>
              <w:right w:val="single" w:color="000000" w:sz="4" w:space="0"/>
            </w:tcBorders>
            <w:vAlign w:val="center"/>
          </w:tcPr>
          <w:p w14:paraId="044DCCB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智审DESK-数据沙箱－数据沙箱运算</w:t>
            </w:r>
          </w:p>
        </w:tc>
        <w:tc>
          <w:tcPr>
            <w:tcW w:w="5308" w:type="dxa"/>
            <w:tcBorders>
              <w:top w:val="single" w:color="000000" w:sz="4" w:space="0"/>
              <w:left w:val="single" w:color="000000" w:sz="4" w:space="0"/>
              <w:bottom w:val="single" w:color="000000" w:sz="4" w:space="0"/>
              <w:right w:val="single" w:color="000000" w:sz="4" w:space="0"/>
            </w:tcBorders>
            <w:vAlign w:val="center"/>
          </w:tcPr>
          <w:p w14:paraId="154332E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调用大数据中心提供的统一的隐私计算服务能力。模型注入数据沙箱，将审计人员上传的本地采集数据注入数据沙箱，让数据沙箱执行模型，形成结果。并销毁原始数据。</w:t>
            </w:r>
          </w:p>
        </w:tc>
        <w:tc>
          <w:tcPr>
            <w:tcW w:w="1250" w:type="dxa"/>
            <w:tcBorders>
              <w:top w:val="single" w:color="000000" w:sz="4" w:space="0"/>
              <w:left w:val="single" w:color="000000" w:sz="4" w:space="0"/>
              <w:bottom w:val="single" w:color="000000" w:sz="4" w:space="0"/>
              <w:right w:val="single" w:color="000000" w:sz="4" w:space="0"/>
            </w:tcBorders>
            <w:vAlign w:val="center"/>
          </w:tcPr>
          <w:p w14:paraId="2480E4E5">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44DDF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3536B2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28</w:t>
            </w:r>
          </w:p>
        </w:tc>
        <w:tc>
          <w:tcPr>
            <w:tcW w:w="1312" w:type="dxa"/>
            <w:tcBorders>
              <w:top w:val="single" w:color="000000" w:sz="4" w:space="0"/>
              <w:left w:val="single" w:color="000000" w:sz="4" w:space="0"/>
              <w:bottom w:val="single" w:color="000000" w:sz="4" w:space="0"/>
              <w:right w:val="single" w:color="000000" w:sz="4" w:space="0"/>
            </w:tcBorders>
            <w:vAlign w:val="center"/>
          </w:tcPr>
          <w:p w14:paraId="693210F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智审DESK-数据沙箱－比对结果处理</w:t>
            </w:r>
          </w:p>
        </w:tc>
        <w:tc>
          <w:tcPr>
            <w:tcW w:w="5308" w:type="dxa"/>
            <w:tcBorders>
              <w:top w:val="single" w:color="000000" w:sz="4" w:space="0"/>
              <w:left w:val="single" w:color="000000" w:sz="4" w:space="0"/>
              <w:bottom w:val="single" w:color="000000" w:sz="4" w:space="0"/>
              <w:right w:val="single" w:color="000000" w:sz="4" w:space="0"/>
            </w:tcBorders>
            <w:vAlign w:val="center"/>
          </w:tcPr>
          <w:p w14:paraId="0A7EAA2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针对比对后的结果进行处理，在结果数据的字段中对非本地采集数据的字段进行筛选，并对其中敏感字段进行脱敏。</w:t>
            </w:r>
          </w:p>
        </w:tc>
        <w:tc>
          <w:tcPr>
            <w:tcW w:w="1250" w:type="dxa"/>
            <w:tcBorders>
              <w:top w:val="single" w:color="000000" w:sz="4" w:space="0"/>
              <w:left w:val="single" w:color="000000" w:sz="4" w:space="0"/>
              <w:bottom w:val="single" w:color="000000" w:sz="4" w:space="0"/>
              <w:right w:val="single" w:color="000000" w:sz="4" w:space="0"/>
            </w:tcBorders>
            <w:vAlign w:val="center"/>
          </w:tcPr>
          <w:p w14:paraId="674847C7">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6BC43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269E3E1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29</w:t>
            </w:r>
          </w:p>
        </w:tc>
        <w:tc>
          <w:tcPr>
            <w:tcW w:w="1312" w:type="dxa"/>
            <w:tcBorders>
              <w:top w:val="single" w:color="000000" w:sz="4" w:space="0"/>
              <w:left w:val="single" w:color="000000" w:sz="4" w:space="0"/>
              <w:bottom w:val="single" w:color="000000" w:sz="4" w:space="0"/>
              <w:right w:val="single" w:color="000000" w:sz="4" w:space="0"/>
            </w:tcBorders>
            <w:vAlign w:val="center"/>
          </w:tcPr>
          <w:p w14:paraId="7441FFF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智审DESK-AI助手-文档分析类应用</w:t>
            </w:r>
          </w:p>
        </w:tc>
        <w:tc>
          <w:tcPr>
            <w:tcW w:w="5308" w:type="dxa"/>
            <w:tcBorders>
              <w:top w:val="single" w:color="000000" w:sz="4" w:space="0"/>
              <w:left w:val="single" w:color="000000" w:sz="4" w:space="0"/>
              <w:bottom w:val="single" w:color="000000" w:sz="4" w:space="0"/>
              <w:right w:val="single" w:color="000000" w:sz="4" w:space="0"/>
            </w:tcBorders>
            <w:vAlign w:val="center"/>
          </w:tcPr>
          <w:p w14:paraId="6061B58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集成文档分析类应用，支持从文档中提炼出核心信息和主要观点。并将提炼出的信息以自然语言的形式生成简洁明了的摘要。</w:t>
            </w:r>
          </w:p>
        </w:tc>
        <w:tc>
          <w:tcPr>
            <w:tcW w:w="1250" w:type="dxa"/>
            <w:tcBorders>
              <w:top w:val="single" w:color="000000" w:sz="4" w:space="0"/>
              <w:left w:val="single" w:color="000000" w:sz="4" w:space="0"/>
              <w:bottom w:val="single" w:color="000000" w:sz="4" w:space="0"/>
              <w:right w:val="single" w:color="000000" w:sz="4" w:space="0"/>
            </w:tcBorders>
            <w:vAlign w:val="center"/>
          </w:tcPr>
          <w:p w14:paraId="4893C0E7">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4E16D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3F98294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30</w:t>
            </w:r>
          </w:p>
        </w:tc>
        <w:tc>
          <w:tcPr>
            <w:tcW w:w="1312" w:type="dxa"/>
            <w:tcBorders>
              <w:top w:val="single" w:color="000000" w:sz="4" w:space="0"/>
              <w:left w:val="single" w:color="000000" w:sz="4" w:space="0"/>
              <w:bottom w:val="single" w:color="000000" w:sz="4" w:space="0"/>
              <w:right w:val="single" w:color="000000" w:sz="4" w:space="0"/>
            </w:tcBorders>
            <w:vAlign w:val="center"/>
          </w:tcPr>
          <w:p w14:paraId="7BA36E6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智审DESK-AI助手-文书生成智能应用</w:t>
            </w:r>
          </w:p>
        </w:tc>
        <w:tc>
          <w:tcPr>
            <w:tcW w:w="5308" w:type="dxa"/>
            <w:tcBorders>
              <w:top w:val="single" w:color="000000" w:sz="4" w:space="0"/>
              <w:left w:val="single" w:color="000000" w:sz="4" w:space="0"/>
              <w:bottom w:val="single" w:color="000000" w:sz="4" w:space="0"/>
              <w:right w:val="single" w:color="000000" w:sz="4" w:space="0"/>
            </w:tcBorders>
            <w:vAlign w:val="center"/>
          </w:tcPr>
          <w:p w14:paraId="1FF896A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集成文书生成类智能应用，包括审计事项生成和文书生成智能体，根据智能分析的结果，自动生成一份针对当前审计项目的审计事项清单，列出应重点关注的领域和潜在风险点。</w:t>
            </w:r>
          </w:p>
        </w:tc>
        <w:tc>
          <w:tcPr>
            <w:tcW w:w="1250" w:type="dxa"/>
            <w:tcBorders>
              <w:top w:val="single" w:color="000000" w:sz="4" w:space="0"/>
              <w:left w:val="single" w:color="000000" w:sz="4" w:space="0"/>
              <w:bottom w:val="single" w:color="000000" w:sz="4" w:space="0"/>
              <w:right w:val="single" w:color="000000" w:sz="4" w:space="0"/>
            </w:tcBorders>
            <w:vAlign w:val="center"/>
          </w:tcPr>
          <w:p w14:paraId="33C819F5">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7A5FD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160F7E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31</w:t>
            </w:r>
          </w:p>
        </w:tc>
        <w:tc>
          <w:tcPr>
            <w:tcW w:w="1312" w:type="dxa"/>
            <w:tcBorders>
              <w:top w:val="single" w:color="000000" w:sz="4" w:space="0"/>
              <w:left w:val="single" w:color="000000" w:sz="4" w:space="0"/>
              <w:bottom w:val="single" w:color="000000" w:sz="4" w:space="0"/>
              <w:right w:val="single" w:color="000000" w:sz="4" w:space="0"/>
            </w:tcBorders>
            <w:vAlign w:val="center"/>
          </w:tcPr>
          <w:p w14:paraId="1C333EC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智审DESK-AI助手-结构化分析智能应用</w:t>
            </w:r>
          </w:p>
        </w:tc>
        <w:tc>
          <w:tcPr>
            <w:tcW w:w="5308" w:type="dxa"/>
            <w:tcBorders>
              <w:top w:val="single" w:color="000000" w:sz="4" w:space="0"/>
              <w:left w:val="single" w:color="000000" w:sz="4" w:space="0"/>
              <w:bottom w:val="single" w:color="000000" w:sz="4" w:space="0"/>
              <w:right w:val="single" w:color="000000" w:sz="4" w:space="0"/>
            </w:tcBorders>
            <w:vAlign w:val="center"/>
          </w:tcPr>
          <w:p w14:paraId="2703768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集成结构化分析类智能应用，包括文本字段智能分类检索、审计问数、审计智能搜索；利用大语言模型对财政支出数据中的文本字段进行深度语义分析。</w:t>
            </w:r>
          </w:p>
        </w:tc>
        <w:tc>
          <w:tcPr>
            <w:tcW w:w="1250" w:type="dxa"/>
            <w:tcBorders>
              <w:top w:val="single" w:color="000000" w:sz="4" w:space="0"/>
              <w:left w:val="single" w:color="000000" w:sz="4" w:space="0"/>
              <w:bottom w:val="single" w:color="000000" w:sz="4" w:space="0"/>
              <w:right w:val="single" w:color="000000" w:sz="4" w:space="0"/>
            </w:tcBorders>
            <w:vAlign w:val="center"/>
          </w:tcPr>
          <w:p w14:paraId="05FCC010">
            <w:pPr>
              <w:widowControl/>
              <w:ind w:firstLine="440" w:firstLineChars="20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bl>
    <w:p w14:paraId="4FDFE703">
      <w:pPr>
        <w:numPr>
          <w:ilvl w:val="0"/>
          <w:numId w:val="27"/>
        </w:numPr>
        <w:ind w:left="0" w:leftChars="0" w:firstLine="420" w:firstLineChars="0"/>
        <w:rPr>
          <w:rFonts w:hint="eastAsia" w:ascii="宋体" w:hAnsi="宋体" w:eastAsia="宋体" w:cs="Times New Roman"/>
          <w:b/>
          <w:bCs w:val="0"/>
          <w:color w:val="auto"/>
          <w:lang w:val="en-US" w:eastAsia="zh-CN"/>
        </w:rPr>
      </w:pPr>
      <w:r>
        <w:rPr>
          <w:rFonts w:hint="eastAsia" w:ascii="宋体" w:hAnsi="宋体" w:eastAsia="宋体" w:cs="Times New Roman"/>
          <w:b/>
          <w:bCs w:val="0"/>
          <w:color w:val="auto"/>
          <w:lang w:val="en-US" w:eastAsia="zh-CN"/>
        </w:rPr>
        <w:t>百川·数据报采中心</w:t>
      </w:r>
    </w:p>
    <w:tbl>
      <w:tblPr>
        <w:tblStyle w:val="36"/>
        <w:tblW w:w="8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0"/>
        <w:gridCol w:w="1312"/>
        <w:gridCol w:w="5337"/>
        <w:gridCol w:w="1226"/>
      </w:tblGrid>
      <w:tr w14:paraId="7A920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650"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56035409">
            <w:pPr>
              <w:widowControl/>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序号</w:t>
            </w:r>
          </w:p>
        </w:tc>
        <w:tc>
          <w:tcPr>
            <w:tcW w:w="131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7B9F1D9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功能名称</w:t>
            </w:r>
          </w:p>
        </w:tc>
        <w:tc>
          <w:tcPr>
            <w:tcW w:w="5337"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52CB871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功能描述</w:t>
            </w:r>
          </w:p>
        </w:tc>
        <w:tc>
          <w:tcPr>
            <w:tcW w:w="1226"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4ED3F51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需求年度</w:t>
            </w:r>
          </w:p>
        </w:tc>
      </w:tr>
      <w:tr w14:paraId="56651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6C2DE1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w:t>
            </w:r>
          </w:p>
        </w:tc>
        <w:tc>
          <w:tcPr>
            <w:tcW w:w="1312" w:type="dxa"/>
            <w:tcBorders>
              <w:top w:val="single" w:color="000000" w:sz="4" w:space="0"/>
              <w:left w:val="single" w:color="000000" w:sz="4" w:space="0"/>
              <w:bottom w:val="single" w:color="000000" w:sz="4" w:space="0"/>
              <w:right w:val="single" w:color="000000" w:sz="4" w:space="0"/>
            </w:tcBorders>
            <w:vAlign w:val="center"/>
          </w:tcPr>
          <w:p w14:paraId="585D85D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百川·数据报采中心-报送管理-报采中心总览-报采中心总览</w:t>
            </w:r>
          </w:p>
        </w:tc>
        <w:tc>
          <w:tcPr>
            <w:tcW w:w="5337" w:type="dxa"/>
            <w:tcBorders>
              <w:top w:val="single" w:color="000000" w:sz="4" w:space="0"/>
              <w:left w:val="single" w:color="000000" w:sz="4" w:space="0"/>
              <w:bottom w:val="single" w:color="000000" w:sz="4" w:space="0"/>
              <w:right w:val="single" w:color="000000" w:sz="4" w:space="0"/>
            </w:tcBorders>
            <w:vAlign w:val="center"/>
          </w:tcPr>
          <w:p w14:paraId="4A0B645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以流程图的形式展示报采的进度</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可实时查看报采的当前所在进度，以及具体详细情况。如已报送单位数、未报送单位数、已采集数、未采集数、生成财务账套数等。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07D5F44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4D86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8075C0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w:t>
            </w:r>
          </w:p>
        </w:tc>
        <w:tc>
          <w:tcPr>
            <w:tcW w:w="1312" w:type="dxa"/>
            <w:tcBorders>
              <w:top w:val="single" w:color="000000" w:sz="4" w:space="0"/>
              <w:left w:val="single" w:color="000000" w:sz="4" w:space="0"/>
              <w:bottom w:val="single" w:color="000000" w:sz="4" w:space="0"/>
              <w:right w:val="single" w:color="000000" w:sz="4" w:space="0"/>
            </w:tcBorders>
            <w:vAlign w:val="center"/>
          </w:tcPr>
          <w:p w14:paraId="4E157A3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报采统计</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按时间、报送单位、任务统计</w:t>
            </w:r>
          </w:p>
        </w:tc>
        <w:tc>
          <w:tcPr>
            <w:tcW w:w="5337" w:type="dxa"/>
            <w:tcBorders>
              <w:top w:val="single" w:color="000000" w:sz="4" w:space="0"/>
              <w:left w:val="single" w:color="000000" w:sz="4" w:space="0"/>
              <w:bottom w:val="single" w:color="000000" w:sz="4" w:space="0"/>
              <w:right w:val="single" w:color="000000" w:sz="4" w:space="0"/>
            </w:tcBorders>
            <w:vAlign w:val="center"/>
          </w:tcPr>
          <w:p w14:paraId="0CEEA88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支持按时间、报送单位和任务统计各单位、各种形式数据报送情况，支持统计数据导出报表。</w:t>
            </w:r>
          </w:p>
        </w:tc>
        <w:tc>
          <w:tcPr>
            <w:tcW w:w="1226" w:type="dxa"/>
            <w:tcBorders>
              <w:top w:val="single" w:color="000000" w:sz="4" w:space="0"/>
              <w:left w:val="single" w:color="000000" w:sz="4" w:space="0"/>
              <w:bottom w:val="single" w:color="000000" w:sz="4" w:space="0"/>
              <w:right w:val="single" w:color="000000" w:sz="4" w:space="0"/>
            </w:tcBorders>
            <w:vAlign w:val="center"/>
          </w:tcPr>
          <w:p w14:paraId="7A25C2B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88B4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E19BD1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w:t>
            </w:r>
          </w:p>
        </w:tc>
        <w:tc>
          <w:tcPr>
            <w:tcW w:w="1312" w:type="dxa"/>
            <w:tcBorders>
              <w:top w:val="single" w:color="000000" w:sz="4" w:space="0"/>
              <w:left w:val="single" w:color="000000" w:sz="4" w:space="0"/>
              <w:bottom w:val="single" w:color="000000" w:sz="4" w:space="0"/>
              <w:right w:val="single" w:color="000000" w:sz="4" w:space="0"/>
            </w:tcBorders>
            <w:vAlign w:val="center"/>
          </w:tcPr>
          <w:p w14:paraId="366985C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任务发布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发布任务（上传附件）</w:t>
            </w:r>
          </w:p>
        </w:tc>
        <w:tc>
          <w:tcPr>
            <w:tcW w:w="5337" w:type="dxa"/>
            <w:tcBorders>
              <w:top w:val="single" w:color="000000" w:sz="4" w:space="0"/>
              <w:left w:val="single" w:color="000000" w:sz="4" w:space="0"/>
              <w:bottom w:val="single" w:color="000000" w:sz="4" w:space="0"/>
              <w:right w:val="single" w:color="000000" w:sz="4" w:space="0"/>
            </w:tcBorders>
            <w:vAlign w:val="center"/>
          </w:tcPr>
          <w:p w14:paraId="2CF1DFB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发布上传附件</w:t>
            </w:r>
            <w:r>
              <w:rPr>
                <w:rFonts w:hint="eastAsia" w:ascii="宋体" w:hAnsi="宋体" w:eastAsia="宋体" w:cs="宋体"/>
                <w:b w:val="0"/>
                <w:bCs w:val="0"/>
                <w:i w:val="0"/>
                <w:iCs w:val="0"/>
                <w:color w:val="auto"/>
                <w:kern w:val="0"/>
                <w:sz w:val="21"/>
                <w:szCs w:val="21"/>
                <w:u w:val="none"/>
                <w:lang w:val="en-US" w:eastAsia="zh-CN"/>
              </w:rPr>
              <w:t>的</w:t>
            </w:r>
            <w:r>
              <w:rPr>
                <w:rFonts w:hint="default" w:ascii="宋体" w:hAnsi="宋体" w:eastAsia="宋体" w:cs="宋体"/>
                <w:b w:val="0"/>
                <w:bCs w:val="0"/>
                <w:i w:val="0"/>
                <w:iCs w:val="0"/>
                <w:color w:val="auto"/>
                <w:kern w:val="0"/>
                <w:sz w:val="21"/>
                <w:szCs w:val="21"/>
                <w:u w:val="none"/>
                <w:lang w:val="en-US" w:eastAsia="zh-CN"/>
              </w:rPr>
              <w:t>任务</w:t>
            </w:r>
          </w:p>
        </w:tc>
        <w:tc>
          <w:tcPr>
            <w:tcW w:w="1226" w:type="dxa"/>
            <w:tcBorders>
              <w:top w:val="single" w:color="000000" w:sz="4" w:space="0"/>
              <w:left w:val="single" w:color="000000" w:sz="4" w:space="0"/>
              <w:bottom w:val="single" w:color="000000" w:sz="4" w:space="0"/>
              <w:right w:val="single" w:color="000000" w:sz="4" w:space="0"/>
            </w:tcBorders>
            <w:vAlign w:val="center"/>
          </w:tcPr>
          <w:p w14:paraId="51777F2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F29E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0E5A10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w:t>
            </w:r>
          </w:p>
        </w:tc>
        <w:tc>
          <w:tcPr>
            <w:tcW w:w="1312" w:type="dxa"/>
            <w:tcBorders>
              <w:top w:val="single" w:color="000000" w:sz="4" w:space="0"/>
              <w:left w:val="single" w:color="000000" w:sz="4" w:space="0"/>
              <w:bottom w:val="single" w:color="000000" w:sz="4" w:space="0"/>
              <w:right w:val="single" w:color="000000" w:sz="4" w:space="0"/>
            </w:tcBorders>
            <w:vAlign w:val="center"/>
          </w:tcPr>
          <w:p w14:paraId="539F58D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任务发布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发布任务（填报报表编辑）</w:t>
            </w:r>
          </w:p>
        </w:tc>
        <w:tc>
          <w:tcPr>
            <w:tcW w:w="5337" w:type="dxa"/>
            <w:tcBorders>
              <w:top w:val="single" w:color="000000" w:sz="4" w:space="0"/>
              <w:left w:val="single" w:color="000000" w:sz="4" w:space="0"/>
              <w:bottom w:val="single" w:color="000000" w:sz="4" w:space="0"/>
              <w:right w:val="single" w:color="000000" w:sz="4" w:space="0"/>
            </w:tcBorders>
            <w:vAlign w:val="center"/>
          </w:tcPr>
          <w:p w14:paraId="6359702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自定义表单，发给被审计单位预算单位进行填报。</w:t>
            </w:r>
          </w:p>
        </w:tc>
        <w:tc>
          <w:tcPr>
            <w:tcW w:w="1226" w:type="dxa"/>
            <w:tcBorders>
              <w:top w:val="single" w:color="000000" w:sz="4" w:space="0"/>
              <w:left w:val="single" w:color="000000" w:sz="4" w:space="0"/>
              <w:bottom w:val="single" w:color="000000" w:sz="4" w:space="0"/>
              <w:right w:val="single" w:color="000000" w:sz="4" w:space="0"/>
            </w:tcBorders>
            <w:vAlign w:val="center"/>
          </w:tcPr>
          <w:p w14:paraId="375EC07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16D4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4DF5AC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w:t>
            </w:r>
          </w:p>
        </w:tc>
        <w:tc>
          <w:tcPr>
            <w:tcW w:w="1312" w:type="dxa"/>
            <w:tcBorders>
              <w:top w:val="single" w:color="000000" w:sz="4" w:space="0"/>
              <w:left w:val="single" w:color="000000" w:sz="4" w:space="0"/>
              <w:bottom w:val="single" w:color="000000" w:sz="4" w:space="0"/>
              <w:right w:val="single" w:color="000000" w:sz="4" w:space="0"/>
            </w:tcBorders>
            <w:vAlign w:val="center"/>
          </w:tcPr>
          <w:p w14:paraId="4F74E20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在线填报</w:t>
            </w:r>
          </w:p>
        </w:tc>
        <w:tc>
          <w:tcPr>
            <w:tcW w:w="5337" w:type="dxa"/>
            <w:tcBorders>
              <w:top w:val="single" w:color="000000" w:sz="4" w:space="0"/>
              <w:left w:val="single" w:color="000000" w:sz="4" w:space="0"/>
              <w:bottom w:val="single" w:color="000000" w:sz="4" w:space="0"/>
              <w:right w:val="single" w:color="000000" w:sz="4" w:space="0"/>
            </w:tcBorders>
            <w:vAlign w:val="center"/>
          </w:tcPr>
          <w:p w14:paraId="13DC1B4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被审计单位依照后台生成的报表填报相关数据，数据填报后自动保存至数据库中。</w:t>
            </w:r>
          </w:p>
        </w:tc>
        <w:tc>
          <w:tcPr>
            <w:tcW w:w="1226" w:type="dxa"/>
            <w:tcBorders>
              <w:top w:val="single" w:color="000000" w:sz="4" w:space="0"/>
              <w:left w:val="single" w:color="000000" w:sz="4" w:space="0"/>
              <w:bottom w:val="single" w:color="000000" w:sz="4" w:space="0"/>
              <w:right w:val="single" w:color="000000" w:sz="4" w:space="0"/>
            </w:tcBorders>
            <w:vAlign w:val="center"/>
          </w:tcPr>
          <w:p w14:paraId="209E517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3932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500C2C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w:t>
            </w:r>
          </w:p>
        </w:tc>
        <w:tc>
          <w:tcPr>
            <w:tcW w:w="1312" w:type="dxa"/>
            <w:tcBorders>
              <w:top w:val="single" w:color="000000" w:sz="4" w:space="0"/>
              <w:left w:val="single" w:color="000000" w:sz="4" w:space="0"/>
              <w:bottom w:val="single" w:color="000000" w:sz="4" w:space="0"/>
              <w:right w:val="single" w:color="000000" w:sz="4" w:space="0"/>
            </w:tcBorders>
            <w:vAlign w:val="center"/>
          </w:tcPr>
          <w:p w14:paraId="74365F2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数据文件报送</w:t>
            </w:r>
          </w:p>
        </w:tc>
        <w:tc>
          <w:tcPr>
            <w:tcW w:w="5337" w:type="dxa"/>
            <w:tcBorders>
              <w:top w:val="single" w:color="000000" w:sz="4" w:space="0"/>
              <w:left w:val="single" w:color="000000" w:sz="4" w:space="0"/>
              <w:bottom w:val="single" w:color="000000" w:sz="4" w:space="0"/>
              <w:right w:val="single" w:color="000000" w:sz="4" w:space="0"/>
            </w:tcBorders>
            <w:vAlign w:val="center"/>
          </w:tcPr>
          <w:p w14:paraId="57D1E06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被审计单位用户将数据库备份文件报送至审计局。</w:t>
            </w:r>
          </w:p>
        </w:tc>
        <w:tc>
          <w:tcPr>
            <w:tcW w:w="1226" w:type="dxa"/>
            <w:tcBorders>
              <w:top w:val="single" w:color="000000" w:sz="4" w:space="0"/>
              <w:left w:val="single" w:color="000000" w:sz="4" w:space="0"/>
              <w:bottom w:val="single" w:color="000000" w:sz="4" w:space="0"/>
              <w:right w:val="single" w:color="000000" w:sz="4" w:space="0"/>
            </w:tcBorders>
            <w:vAlign w:val="center"/>
          </w:tcPr>
          <w:p w14:paraId="180C898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2771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916814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w:t>
            </w:r>
          </w:p>
        </w:tc>
        <w:tc>
          <w:tcPr>
            <w:tcW w:w="1312" w:type="dxa"/>
            <w:tcBorders>
              <w:top w:val="single" w:color="000000" w:sz="4" w:space="0"/>
              <w:left w:val="single" w:color="000000" w:sz="4" w:space="0"/>
              <w:bottom w:val="single" w:color="000000" w:sz="4" w:space="0"/>
              <w:right w:val="single" w:color="000000" w:sz="4" w:space="0"/>
            </w:tcBorders>
            <w:vAlign w:val="center"/>
          </w:tcPr>
          <w:p w14:paraId="55666E2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百川·数据报采中心-报送管理-数据报送-文件断点续传</w:t>
            </w:r>
          </w:p>
        </w:tc>
        <w:tc>
          <w:tcPr>
            <w:tcW w:w="5337" w:type="dxa"/>
            <w:tcBorders>
              <w:top w:val="single" w:color="000000" w:sz="4" w:space="0"/>
              <w:left w:val="single" w:color="000000" w:sz="4" w:space="0"/>
              <w:bottom w:val="single" w:color="000000" w:sz="4" w:space="0"/>
              <w:right w:val="single" w:color="000000" w:sz="4" w:space="0"/>
            </w:tcBorders>
            <w:vAlign w:val="center"/>
          </w:tcPr>
          <w:p w14:paraId="2F5B9F9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当报送传输过程中断时，再次上传支持从文件上次中断的地方开始传送。</w:t>
            </w:r>
          </w:p>
        </w:tc>
        <w:tc>
          <w:tcPr>
            <w:tcW w:w="1226" w:type="dxa"/>
            <w:tcBorders>
              <w:top w:val="single" w:color="000000" w:sz="4" w:space="0"/>
              <w:left w:val="single" w:color="000000" w:sz="4" w:space="0"/>
              <w:bottom w:val="single" w:color="000000" w:sz="4" w:space="0"/>
              <w:right w:val="single" w:color="000000" w:sz="4" w:space="0"/>
            </w:tcBorders>
            <w:vAlign w:val="center"/>
          </w:tcPr>
          <w:p w14:paraId="0957CED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69AB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ACD06D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w:t>
            </w:r>
          </w:p>
        </w:tc>
        <w:tc>
          <w:tcPr>
            <w:tcW w:w="1312" w:type="dxa"/>
            <w:tcBorders>
              <w:top w:val="single" w:color="000000" w:sz="4" w:space="0"/>
              <w:left w:val="single" w:color="000000" w:sz="4" w:space="0"/>
              <w:bottom w:val="single" w:color="000000" w:sz="4" w:space="0"/>
              <w:right w:val="single" w:color="000000" w:sz="4" w:space="0"/>
            </w:tcBorders>
            <w:vAlign w:val="center"/>
          </w:tcPr>
          <w:p w14:paraId="182C0DE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文件上传（压缩文件、电子表格等）</w:t>
            </w:r>
          </w:p>
        </w:tc>
        <w:tc>
          <w:tcPr>
            <w:tcW w:w="5337" w:type="dxa"/>
            <w:tcBorders>
              <w:top w:val="single" w:color="000000" w:sz="4" w:space="0"/>
              <w:left w:val="single" w:color="000000" w:sz="4" w:space="0"/>
              <w:bottom w:val="single" w:color="000000" w:sz="4" w:space="0"/>
              <w:right w:val="single" w:color="000000" w:sz="4" w:space="0"/>
            </w:tcBorders>
            <w:vAlign w:val="center"/>
          </w:tcPr>
          <w:p w14:paraId="12C1176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压缩</w:t>
            </w:r>
            <w:r>
              <w:rPr>
                <w:rFonts w:hint="eastAsia" w:ascii="宋体" w:hAnsi="宋体" w:eastAsia="宋体" w:cs="宋体"/>
                <w:b w:val="0"/>
                <w:bCs w:val="0"/>
                <w:i w:val="0"/>
                <w:iCs w:val="0"/>
                <w:color w:val="auto"/>
                <w:kern w:val="0"/>
                <w:sz w:val="21"/>
                <w:szCs w:val="21"/>
                <w:u w:val="none"/>
                <w:lang w:val="en-US" w:eastAsia="zh-CN"/>
              </w:rPr>
              <w:t>文件</w:t>
            </w:r>
            <w:r>
              <w:rPr>
                <w:rFonts w:hint="default" w:ascii="宋体" w:hAnsi="宋体" w:eastAsia="宋体" w:cs="宋体"/>
                <w:b w:val="0"/>
                <w:bCs w:val="0"/>
                <w:i w:val="0"/>
                <w:iCs w:val="0"/>
                <w:color w:val="auto"/>
                <w:kern w:val="0"/>
                <w:sz w:val="21"/>
                <w:szCs w:val="21"/>
                <w:u w:val="none"/>
                <w:lang w:val="en-US" w:eastAsia="zh-CN"/>
              </w:rPr>
              <w:t>报送至审计局，支持压缩文件的自动解压操作；支持对电子表格类文件的直接上传，上传后的电子表格自动采集入库。</w:t>
            </w:r>
          </w:p>
        </w:tc>
        <w:tc>
          <w:tcPr>
            <w:tcW w:w="1226" w:type="dxa"/>
            <w:tcBorders>
              <w:top w:val="single" w:color="000000" w:sz="4" w:space="0"/>
              <w:left w:val="single" w:color="000000" w:sz="4" w:space="0"/>
              <w:bottom w:val="single" w:color="000000" w:sz="4" w:space="0"/>
              <w:right w:val="single" w:color="000000" w:sz="4" w:space="0"/>
            </w:tcBorders>
            <w:vAlign w:val="center"/>
          </w:tcPr>
          <w:p w14:paraId="3510C2E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9146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C10412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9</w:t>
            </w:r>
          </w:p>
        </w:tc>
        <w:tc>
          <w:tcPr>
            <w:tcW w:w="1312" w:type="dxa"/>
            <w:tcBorders>
              <w:top w:val="single" w:color="000000" w:sz="4" w:space="0"/>
              <w:left w:val="single" w:color="000000" w:sz="4" w:space="0"/>
              <w:bottom w:val="single" w:color="000000" w:sz="4" w:space="0"/>
              <w:right w:val="single" w:color="000000" w:sz="4" w:space="0"/>
            </w:tcBorders>
            <w:vAlign w:val="center"/>
          </w:tcPr>
          <w:p w14:paraId="574E3E3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文件指纹检查</w:t>
            </w:r>
          </w:p>
        </w:tc>
        <w:tc>
          <w:tcPr>
            <w:tcW w:w="5337" w:type="dxa"/>
            <w:tcBorders>
              <w:top w:val="single" w:color="000000" w:sz="4" w:space="0"/>
              <w:left w:val="single" w:color="000000" w:sz="4" w:space="0"/>
              <w:bottom w:val="single" w:color="000000" w:sz="4" w:space="0"/>
              <w:right w:val="single" w:color="000000" w:sz="4" w:space="0"/>
            </w:tcBorders>
            <w:vAlign w:val="center"/>
          </w:tcPr>
          <w:p w14:paraId="285414E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系统为每个报送的文件打上特殊的标记，文件报送成功后再次上传同一文件时，系统会阻止报送操作，避免同一文件重复报送。</w:t>
            </w:r>
          </w:p>
        </w:tc>
        <w:tc>
          <w:tcPr>
            <w:tcW w:w="1226" w:type="dxa"/>
            <w:tcBorders>
              <w:top w:val="single" w:color="000000" w:sz="4" w:space="0"/>
              <w:left w:val="single" w:color="000000" w:sz="4" w:space="0"/>
              <w:bottom w:val="single" w:color="000000" w:sz="4" w:space="0"/>
              <w:right w:val="single" w:color="000000" w:sz="4" w:space="0"/>
            </w:tcBorders>
            <w:vAlign w:val="center"/>
          </w:tcPr>
          <w:p w14:paraId="46570367">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3D8E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0F8EC4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10</w:t>
            </w:r>
          </w:p>
        </w:tc>
        <w:tc>
          <w:tcPr>
            <w:tcW w:w="1312" w:type="dxa"/>
            <w:tcBorders>
              <w:top w:val="single" w:color="000000" w:sz="4" w:space="0"/>
              <w:left w:val="single" w:color="000000" w:sz="4" w:space="0"/>
              <w:bottom w:val="single" w:color="000000" w:sz="4" w:space="0"/>
              <w:right w:val="single" w:color="000000" w:sz="4" w:space="0"/>
            </w:tcBorders>
            <w:vAlign w:val="center"/>
          </w:tcPr>
          <w:p w14:paraId="0F1B91F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报送单位管理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561E1C9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配置报送数据的单位信息，并关联报送单位用户，自动推送到采集管理子系统。</w:t>
            </w:r>
          </w:p>
        </w:tc>
        <w:tc>
          <w:tcPr>
            <w:tcW w:w="1226" w:type="dxa"/>
            <w:tcBorders>
              <w:top w:val="single" w:color="000000" w:sz="4" w:space="0"/>
              <w:left w:val="single" w:color="000000" w:sz="4" w:space="0"/>
              <w:bottom w:val="single" w:color="000000" w:sz="4" w:space="0"/>
              <w:right w:val="single" w:color="000000" w:sz="4" w:space="0"/>
            </w:tcBorders>
            <w:vAlign w:val="center"/>
          </w:tcPr>
          <w:p w14:paraId="79E9928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53CC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52FA1A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11</w:t>
            </w:r>
          </w:p>
        </w:tc>
        <w:tc>
          <w:tcPr>
            <w:tcW w:w="1312" w:type="dxa"/>
            <w:tcBorders>
              <w:top w:val="single" w:color="000000" w:sz="4" w:space="0"/>
              <w:left w:val="single" w:color="000000" w:sz="4" w:space="0"/>
              <w:bottom w:val="single" w:color="000000" w:sz="4" w:space="0"/>
              <w:right w:val="single" w:color="000000" w:sz="4" w:space="0"/>
            </w:tcBorders>
            <w:vAlign w:val="center"/>
          </w:tcPr>
          <w:p w14:paraId="0C156F0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通知管理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26C3FC2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填写标题、通知内容、通知单位、文件名称等信息，发送到通知单位。</w:t>
            </w:r>
          </w:p>
        </w:tc>
        <w:tc>
          <w:tcPr>
            <w:tcW w:w="1226" w:type="dxa"/>
            <w:tcBorders>
              <w:top w:val="single" w:color="000000" w:sz="4" w:space="0"/>
              <w:left w:val="single" w:color="000000" w:sz="4" w:space="0"/>
              <w:bottom w:val="single" w:color="000000" w:sz="4" w:space="0"/>
              <w:right w:val="single" w:color="000000" w:sz="4" w:space="0"/>
            </w:tcBorders>
            <w:vAlign w:val="center"/>
          </w:tcPr>
          <w:p w14:paraId="13006BC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E69F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0E573EA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12</w:t>
            </w:r>
          </w:p>
        </w:tc>
        <w:tc>
          <w:tcPr>
            <w:tcW w:w="1312" w:type="dxa"/>
            <w:tcBorders>
              <w:top w:val="single" w:color="000000" w:sz="4" w:space="0"/>
              <w:left w:val="single" w:color="000000" w:sz="4" w:space="0"/>
              <w:bottom w:val="single" w:color="000000" w:sz="4" w:space="0"/>
              <w:right w:val="single" w:color="000000" w:sz="4" w:space="0"/>
            </w:tcBorders>
            <w:vAlign w:val="center"/>
          </w:tcPr>
          <w:p w14:paraId="0970E6B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报送批次管理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404B2C9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展示所有批次，可以对批次进行添加修改删除操作，针对批次维护数据库规划信息。</w:t>
            </w:r>
          </w:p>
        </w:tc>
        <w:tc>
          <w:tcPr>
            <w:tcW w:w="1226" w:type="dxa"/>
            <w:tcBorders>
              <w:top w:val="single" w:color="000000" w:sz="4" w:space="0"/>
              <w:left w:val="single" w:color="000000" w:sz="4" w:space="0"/>
              <w:bottom w:val="single" w:color="000000" w:sz="4" w:space="0"/>
              <w:right w:val="single" w:color="000000" w:sz="4" w:space="0"/>
            </w:tcBorders>
            <w:vAlign w:val="center"/>
          </w:tcPr>
          <w:p w14:paraId="61A2C7B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1DA7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0FCE879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13</w:t>
            </w:r>
          </w:p>
        </w:tc>
        <w:tc>
          <w:tcPr>
            <w:tcW w:w="1312" w:type="dxa"/>
            <w:tcBorders>
              <w:top w:val="single" w:color="000000" w:sz="4" w:space="0"/>
              <w:left w:val="single" w:color="000000" w:sz="4" w:space="0"/>
              <w:bottom w:val="single" w:color="000000" w:sz="4" w:space="0"/>
              <w:right w:val="single" w:color="000000" w:sz="4" w:space="0"/>
            </w:tcBorders>
            <w:vAlign w:val="center"/>
          </w:tcPr>
          <w:p w14:paraId="695EF41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财务软件管理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46644A2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维护财务软件的名称、版本、数据库类型、数据库版本、供应商名称等信息。</w:t>
            </w:r>
          </w:p>
        </w:tc>
        <w:tc>
          <w:tcPr>
            <w:tcW w:w="1226" w:type="dxa"/>
            <w:tcBorders>
              <w:top w:val="single" w:color="000000" w:sz="4" w:space="0"/>
              <w:left w:val="single" w:color="000000" w:sz="4" w:space="0"/>
              <w:bottom w:val="single" w:color="000000" w:sz="4" w:space="0"/>
              <w:right w:val="single" w:color="000000" w:sz="4" w:space="0"/>
            </w:tcBorders>
            <w:vAlign w:val="center"/>
          </w:tcPr>
          <w:p w14:paraId="4AA0117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993A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1F318B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14</w:t>
            </w:r>
          </w:p>
        </w:tc>
        <w:tc>
          <w:tcPr>
            <w:tcW w:w="1312" w:type="dxa"/>
            <w:tcBorders>
              <w:top w:val="single" w:color="000000" w:sz="4" w:space="0"/>
              <w:left w:val="single" w:color="000000" w:sz="4" w:space="0"/>
              <w:bottom w:val="single" w:color="000000" w:sz="4" w:space="0"/>
              <w:right w:val="single" w:color="000000" w:sz="4" w:space="0"/>
            </w:tcBorders>
            <w:vAlign w:val="center"/>
          </w:tcPr>
          <w:p w14:paraId="5FA4816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报送规则维护</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基础数据管理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0189351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将数据字典的内容以下拉列表的形式展现给用户，用户可选择列表项，系统将选择的内容填写到指定位置和相关列。</w:t>
            </w:r>
          </w:p>
        </w:tc>
        <w:tc>
          <w:tcPr>
            <w:tcW w:w="1226" w:type="dxa"/>
            <w:tcBorders>
              <w:top w:val="single" w:color="000000" w:sz="4" w:space="0"/>
              <w:left w:val="single" w:color="000000" w:sz="4" w:space="0"/>
              <w:bottom w:val="single" w:color="000000" w:sz="4" w:space="0"/>
              <w:right w:val="single" w:color="000000" w:sz="4" w:space="0"/>
            </w:tcBorders>
            <w:vAlign w:val="center"/>
          </w:tcPr>
          <w:p w14:paraId="2AEC043C">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2FC6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83A1DF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15</w:t>
            </w:r>
          </w:p>
        </w:tc>
        <w:tc>
          <w:tcPr>
            <w:tcW w:w="1312" w:type="dxa"/>
            <w:tcBorders>
              <w:top w:val="single" w:color="000000" w:sz="4" w:space="0"/>
              <w:left w:val="single" w:color="000000" w:sz="4" w:space="0"/>
              <w:bottom w:val="single" w:color="000000" w:sz="4" w:space="0"/>
              <w:right w:val="single" w:color="000000" w:sz="4" w:space="0"/>
            </w:tcBorders>
            <w:vAlign w:val="center"/>
          </w:tcPr>
          <w:p w14:paraId="05C90D0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报送规则维护</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基本模板管理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4E4D561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（1）报表模板预览功能</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用户可通过此功能查看报表模板的样式；（2）报表模板新增、修改、删除功能，用户可删除选定的报表模板，删除后将无法创建此类报表，但不影响已创建报表操作。</w:t>
            </w:r>
          </w:p>
        </w:tc>
        <w:tc>
          <w:tcPr>
            <w:tcW w:w="1226" w:type="dxa"/>
            <w:tcBorders>
              <w:top w:val="single" w:color="000000" w:sz="4" w:space="0"/>
              <w:left w:val="single" w:color="000000" w:sz="4" w:space="0"/>
              <w:bottom w:val="single" w:color="000000" w:sz="4" w:space="0"/>
              <w:right w:val="single" w:color="000000" w:sz="4" w:space="0"/>
            </w:tcBorders>
            <w:vAlign w:val="center"/>
          </w:tcPr>
          <w:p w14:paraId="5EF1991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90BC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C22D76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16</w:t>
            </w:r>
          </w:p>
        </w:tc>
        <w:tc>
          <w:tcPr>
            <w:tcW w:w="1312" w:type="dxa"/>
            <w:tcBorders>
              <w:top w:val="single" w:color="000000" w:sz="4" w:space="0"/>
              <w:left w:val="single" w:color="000000" w:sz="4" w:space="0"/>
              <w:bottom w:val="single" w:color="000000" w:sz="4" w:space="0"/>
              <w:right w:val="single" w:color="000000" w:sz="4" w:space="0"/>
            </w:tcBorders>
            <w:vAlign w:val="center"/>
          </w:tcPr>
          <w:p w14:paraId="796BBF5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报送规则维护</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定制报送模板</w:t>
            </w:r>
          </w:p>
        </w:tc>
        <w:tc>
          <w:tcPr>
            <w:tcW w:w="5337" w:type="dxa"/>
            <w:tcBorders>
              <w:top w:val="single" w:color="000000" w:sz="4" w:space="0"/>
              <w:left w:val="single" w:color="000000" w:sz="4" w:space="0"/>
              <w:bottom w:val="single" w:color="000000" w:sz="4" w:space="0"/>
              <w:right w:val="single" w:color="000000" w:sz="4" w:space="0"/>
            </w:tcBorders>
            <w:vAlign w:val="center"/>
          </w:tcPr>
          <w:p w14:paraId="55B4870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3.定制报送模板：可根据实际业务需要定制报送模板，可定制表头、列类型、列长度、数据是否允许为空、下列选项来源等。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4229244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32FC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3A26CC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17</w:t>
            </w:r>
          </w:p>
        </w:tc>
        <w:tc>
          <w:tcPr>
            <w:tcW w:w="1312" w:type="dxa"/>
            <w:tcBorders>
              <w:top w:val="single" w:color="000000" w:sz="4" w:space="0"/>
              <w:left w:val="single" w:color="000000" w:sz="4" w:space="0"/>
              <w:bottom w:val="single" w:color="000000" w:sz="4" w:space="0"/>
              <w:right w:val="single" w:color="000000" w:sz="4" w:space="0"/>
            </w:tcBorders>
            <w:vAlign w:val="center"/>
          </w:tcPr>
          <w:p w14:paraId="5CE6AF7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报送规则维护</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模板生成数据表</w:t>
            </w:r>
          </w:p>
        </w:tc>
        <w:tc>
          <w:tcPr>
            <w:tcW w:w="5337" w:type="dxa"/>
            <w:tcBorders>
              <w:top w:val="single" w:color="000000" w:sz="4" w:space="0"/>
              <w:left w:val="single" w:color="000000" w:sz="4" w:space="0"/>
              <w:bottom w:val="single" w:color="000000" w:sz="4" w:space="0"/>
              <w:right w:val="single" w:color="000000" w:sz="4" w:space="0"/>
            </w:tcBorders>
            <w:vAlign w:val="center"/>
          </w:tcPr>
          <w:p w14:paraId="3A3983D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4.模板生成数据表：程序连接数据库，根据制定的规则模板生成数据表，供被审计单位人员进行在线数据填报。</w:t>
            </w:r>
          </w:p>
        </w:tc>
        <w:tc>
          <w:tcPr>
            <w:tcW w:w="1226" w:type="dxa"/>
            <w:tcBorders>
              <w:top w:val="single" w:color="000000" w:sz="4" w:space="0"/>
              <w:left w:val="single" w:color="000000" w:sz="4" w:space="0"/>
              <w:bottom w:val="single" w:color="000000" w:sz="4" w:space="0"/>
              <w:right w:val="single" w:color="000000" w:sz="4" w:space="0"/>
            </w:tcBorders>
            <w:vAlign w:val="center"/>
          </w:tcPr>
          <w:p w14:paraId="0ADDB24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94AD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125EF6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18</w:t>
            </w:r>
          </w:p>
        </w:tc>
        <w:tc>
          <w:tcPr>
            <w:tcW w:w="1312" w:type="dxa"/>
            <w:tcBorders>
              <w:top w:val="single" w:color="000000" w:sz="4" w:space="0"/>
              <w:left w:val="single" w:color="000000" w:sz="4" w:space="0"/>
              <w:bottom w:val="single" w:color="000000" w:sz="4" w:space="0"/>
              <w:right w:val="single" w:color="000000" w:sz="4" w:space="0"/>
            </w:tcBorders>
            <w:vAlign w:val="center"/>
          </w:tcPr>
          <w:p w14:paraId="5879159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报送规则维护</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报送规则执行周期</w:t>
            </w:r>
          </w:p>
        </w:tc>
        <w:tc>
          <w:tcPr>
            <w:tcW w:w="5337" w:type="dxa"/>
            <w:tcBorders>
              <w:top w:val="single" w:color="000000" w:sz="4" w:space="0"/>
              <w:left w:val="single" w:color="000000" w:sz="4" w:space="0"/>
              <w:bottom w:val="single" w:color="000000" w:sz="4" w:space="0"/>
              <w:right w:val="single" w:color="000000" w:sz="4" w:space="0"/>
            </w:tcBorders>
            <w:vAlign w:val="center"/>
          </w:tcPr>
          <w:p w14:paraId="43B891F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报送规则执行周期是根据预设的周期规则，自动触发特定报送任务的推送，确保相关单位能够按照既定时间表进行数据的填报和提交。</w:t>
            </w:r>
          </w:p>
        </w:tc>
        <w:tc>
          <w:tcPr>
            <w:tcW w:w="1226" w:type="dxa"/>
            <w:tcBorders>
              <w:top w:val="single" w:color="000000" w:sz="4" w:space="0"/>
              <w:left w:val="single" w:color="000000" w:sz="4" w:space="0"/>
              <w:bottom w:val="single" w:color="000000" w:sz="4" w:space="0"/>
              <w:right w:val="single" w:color="000000" w:sz="4" w:space="0"/>
            </w:tcBorders>
            <w:vAlign w:val="center"/>
          </w:tcPr>
          <w:p w14:paraId="06F236E0">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EDC1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33D4F6A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19</w:t>
            </w:r>
          </w:p>
        </w:tc>
        <w:tc>
          <w:tcPr>
            <w:tcW w:w="1312" w:type="dxa"/>
            <w:tcBorders>
              <w:top w:val="single" w:color="000000" w:sz="4" w:space="0"/>
              <w:left w:val="single" w:color="000000" w:sz="4" w:space="0"/>
              <w:bottom w:val="single" w:color="000000" w:sz="4" w:space="0"/>
              <w:right w:val="single" w:color="000000" w:sz="4" w:space="0"/>
            </w:tcBorders>
            <w:vAlign w:val="center"/>
          </w:tcPr>
          <w:p w14:paraId="4A66ACF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数据报送管理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数据字典管理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2AC6114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维护系统使用的基础数据。</w:t>
            </w:r>
          </w:p>
        </w:tc>
        <w:tc>
          <w:tcPr>
            <w:tcW w:w="1226" w:type="dxa"/>
            <w:tcBorders>
              <w:top w:val="single" w:color="000000" w:sz="4" w:space="0"/>
              <w:left w:val="single" w:color="000000" w:sz="4" w:space="0"/>
              <w:bottom w:val="single" w:color="000000" w:sz="4" w:space="0"/>
              <w:right w:val="single" w:color="000000" w:sz="4" w:space="0"/>
            </w:tcBorders>
            <w:vAlign w:val="center"/>
          </w:tcPr>
          <w:p w14:paraId="0487FA7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4EA8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893C04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20</w:t>
            </w:r>
          </w:p>
        </w:tc>
        <w:tc>
          <w:tcPr>
            <w:tcW w:w="1312" w:type="dxa"/>
            <w:tcBorders>
              <w:top w:val="single" w:color="000000" w:sz="4" w:space="0"/>
              <w:left w:val="single" w:color="000000" w:sz="4" w:space="0"/>
              <w:bottom w:val="single" w:color="000000" w:sz="4" w:space="0"/>
              <w:right w:val="single" w:color="000000" w:sz="4" w:space="0"/>
            </w:tcBorders>
            <w:vAlign w:val="center"/>
          </w:tcPr>
          <w:p w14:paraId="6658E91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业务数据源管理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集中式数据源连接配置</w:t>
            </w:r>
          </w:p>
        </w:tc>
        <w:tc>
          <w:tcPr>
            <w:tcW w:w="5337" w:type="dxa"/>
            <w:tcBorders>
              <w:top w:val="single" w:color="000000" w:sz="4" w:space="0"/>
              <w:left w:val="single" w:color="000000" w:sz="4" w:space="0"/>
              <w:bottom w:val="single" w:color="000000" w:sz="4" w:space="0"/>
              <w:right w:val="single" w:color="000000" w:sz="4" w:space="0"/>
            </w:tcBorders>
            <w:vAlign w:val="center"/>
          </w:tcPr>
          <w:p w14:paraId="336971E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对于数据源，需要设置相应的连接参数和认证信息，如服务器地址、用户名、密码、加密方式等，以实现稳定可靠的连接。</w:t>
            </w:r>
          </w:p>
        </w:tc>
        <w:tc>
          <w:tcPr>
            <w:tcW w:w="1226" w:type="dxa"/>
            <w:tcBorders>
              <w:top w:val="single" w:color="000000" w:sz="4" w:space="0"/>
              <w:left w:val="single" w:color="000000" w:sz="4" w:space="0"/>
              <w:bottom w:val="single" w:color="000000" w:sz="4" w:space="0"/>
              <w:right w:val="single" w:color="000000" w:sz="4" w:space="0"/>
            </w:tcBorders>
            <w:vAlign w:val="center"/>
          </w:tcPr>
          <w:p w14:paraId="791198F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34F2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2E66DE3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21</w:t>
            </w:r>
          </w:p>
        </w:tc>
        <w:tc>
          <w:tcPr>
            <w:tcW w:w="1312" w:type="dxa"/>
            <w:tcBorders>
              <w:top w:val="single" w:color="000000" w:sz="4" w:space="0"/>
              <w:left w:val="single" w:color="000000" w:sz="4" w:space="0"/>
              <w:bottom w:val="single" w:color="000000" w:sz="4" w:space="0"/>
              <w:right w:val="single" w:color="000000" w:sz="4" w:space="0"/>
            </w:tcBorders>
            <w:vAlign w:val="center"/>
          </w:tcPr>
          <w:p w14:paraId="0716A2F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业务数据源管理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数据源有效性检测</w:t>
            </w:r>
          </w:p>
        </w:tc>
        <w:tc>
          <w:tcPr>
            <w:tcW w:w="5337" w:type="dxa"/>
            <w:tcBorders>
              <w:top w:val="single" w:color="000000" w:sz="4" w:space="0"/>
              <w:left w:val="single" w:color="000000" w:sz="4" w:space="0"/>
              <w:bottom w:val="single" w:color="000000" w:sz="4" w:space="0"/>
              <w:right w:val="single" w:color="000000" w:sz="4" w:space="0"/>
            </w:tcBorders>
            <w:vAlign w:val="center"/>
          </w:tcPr>
          <w:p w14:paraId="3D71446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在调试过程中，可以选择简单的验证方式，来检测数据源是否正常工作以避免出现访问失败的情况。</w:t>
            </w:r>
          </w:p>
        </w:tc>
        <w:tc>
          <w:tcPr>
            <w:tcW w:w="1226" w:type="dxa"/>
            <w:tcBorders>
              <w:top w:val="single" w:color="000000" w:sz="4" w:space="0"/>
              <w:left w:val="single" w:color="000000" w:sz="4" w:space="0"/>
              <w:bottom w:val="single" w:color="000000" w:sz="4" w:space="0"/>
              <w:right w:val="single" w:color="000000" w:sz="4" w:space="0"/>
            </w:tcBorders>
            <w:vAlign w:val="center"/>
          </w:tcPr>
          <w:p w14:paraId="59B9273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6A42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9C94B7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22</w:t>
            </w:r>
          </w:p>
        </w:tc>
        <w:tc>
          <w:tcPr>
            <w:tcW w:w="1312" w:type="dxa"/>
            <w:tcBorders>
              <w:top w:val="single" w:color="000000" w:sz="4" w:space="0"/>
              <w:left w:val="single" w:color="000000" w:sz="4" w:space="0"/>
              <w:bottom w:val="single" w:color="000000" w:sz="4" w:space="0"/>
              <w:right w:val="single" w:color="000000" w:sz="4" w:space="0"/>
            </w:tcBorders>
            <w:vAlign w:val="center"/>
          </w:tcPr>
          <w:p w14:paraId="2B01AD9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业务数据源管理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数据源状态监控</w:t>
            </w:r>
          </w:p>
        </w:tc>
        <w:tc>
          <w:tcPr>
            <w:tcW w:w="5337" w:type="dxa"/>
            <w:tcBorders>
              <w:top w:val="single" w:color="000000" w:sz="4" w:space="0"/>
              <w:left w:val="single" w:color="000000" w:sz="4" w:space="0"/>
              <w:bottom w:val="single" w:color="000000" w:sz="4" w:space="0"/>
              <w:right w:val="single" w:color="000000" w:sz="4" w:space="0"/>
            </w:tcBorders>
            <w:vAlign w:val="center"/>
          </w:tcPr>
          <w:p w14:paraId="242627F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定时检测和记录数据源的连接状态、延迟和错误等信息，及时发现并处理数据源故障问题。</w:t>
            </w:r>
          </w:p>
        </w:tc>
        <w:tc>
          <w:tcPr>
            <w:tcW w:w="1226" w:type="dxa"/>
            <w:tcBorders>
              <w:top w:val="single" w:color="000000" w:sz="4" w:space="0"/>
              <w:left w:val="single" w:color="000000" w:sz="4" w:space="0"/>
              <w:bottom w:val="single" w:color="000000" w:sz="4" w:space="0"/>
              <w:right w:val="single" w:color="000000" w:sz="4" w:space="0"/>
            </w:tcBorders>
            <w:vAlign w:val="center"/>
          </w:tcPr>
          <w:p w14:paraId="2CC2BB3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E755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981C5B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23</w:t>
            </w:r>
          </w:p>
        </w:tc>
        <w:tc>
          <w:tcPr>
            <w:tcW w:w="1312" w:type="dxa"/>
            <w:tcBorders>
              <w:top w:val="single" w:color="000000" w:sz="4" w:space="0"/>
              <w:left w:val="single" w:color="000000" w:sz="4" w:space="0"/>
              <w:bottom w:val="single" w:color="000000" w:sz="4" w:space="0"/>
              <w:right w:val="single" w:color="000000" w:sz="4" w:space="0"/>
            </w:tcBorders>
            <w:vAlign w:val="center"/>
          </w:tcPr>
          <w:p w14:paraId="67CE85C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财务数据源管理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服务器管理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217440C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配置服务器信息，维护服务器的IP、服务器类型、操作系统类型等信息。</w:t>
            </w:r>
          </w:p>
        </w:tc>
        <w:tc>
          <w:tcPr>
            <w:tcW w:w="1226" w:type="dxa"/>
            <w:tcBorders>
              <w:top w:val="single" w:color="000000" w:sz="4" w:space="0"/>
              <w:left w:val="single" w:color="000000" w:sz="4" w:space="0"/>
              <w:bottom w:val="single" w:color="000000" w:sz="4" w:space="0"/>
              <w:right w:val="single" w:color="000000" w:sz="4" w:space="0"/>
            </w:tcBorders>
            <w:vAlign w:val="center"/>
          </w:tcPr>
          <w:p w14:paraId="0613087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0329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83EC21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24</w:t>
            </w:r>
          </w:p>
        </w:tc>
        <w:tc>
          <w:tcPr>
            <w:tcW w:w="1312" w:type="dxa"/>
            <w:tcBorders>
              <w:top w:val="single" w:color="000000" w:sz="4" w:space="0"/>
              <w:left w:val="single" w:color="000000" w:sz="4" w:space="0"/>
              <w:bottom w:val="single" w:color="000000" w:sz="4" w:space="0"/>
              <w:right w:val="single" w:color="000000" w:sz="4" w:space="0"/>
            </w:tcBorders>
            <w:vAlign w:val="center"/>
          </w:tcPr>
          <w:p w14:paraId="671863A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财务数据源管理-数据库管理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02B9D2C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维护数据库信息，如数据库实例、用户名、密码、端口等信息，并支持测试数据库是否正常连接。</w:t>
            </w:r>
          </w:p>
        </w:tc>
        <w:tc>
          <w:tcPr>
            <w:tcW w:w="1226" w:type="dxa"/>
            <w:tcBorders>
              <w:top w:val="single" w:color="000000" w:sz="4" w:space="0"/>
              <w:left w:val="single" w:color="000000" w:sz="4" w:space="0"/>
              <w:bottom w:val="single" w:color="000000" w:sz="4" w:space="0"/>
              <w:right w:val="single" w:color="000000" w:sz="4" w:space="0"/>
            </w:tcBorders>
            <w:vAlign w:val="center"/>
          </w:tcPr>
          <w:p w14:paraId="2D4CF80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0C7C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692B661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25</w:t>
            </w:r>
          </w:p>
        </w:tc>
        <w:tc>
          <w:tcPr>
            <w:tcW w:w="1312" w:type="dxa"/>
            <w:tcBorders>
              <w:top w:val="single" w:color="000000" w:sz="4" w:space="0"/>
              <w:left w:val="single" w:color="000000" w:sz="4" w:space="0"/>
              <w:bottom w:val="single" w:color="000000" w:sz="4" w:space="0"/>
              <w:right w:val="single" w:color="000000" w:sz="4" w:space="0"/>
            </w:tcBorders>
            <w:vAlign w:val="center"/>
          </w:tcPr>
          <w:p w14:paraId="0203037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业务数据模板管理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采集模板分类管理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1E5C345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根据不同的业务需求，将采集模板进行分类和归档，方便快速查找和应用。</w:t>
            </w:r>
          </w:p>
        </w:tc>
        <w:tc>
          <w:tcPr>
            <w:tcW w:w="1226" w:type="dxa"/>
            <w:tcBorders>
              <w:top w:val="single" w:color="000000" w:sz="4" w:space="0"/>
              <w:left w:val="single" w:color="000000" w:sz="4" w:space="0"/>
              <w:bottom w:val="single" w:color="000000" w:sz="4" w:space="0"/>
              <w:right w:val="single" w:color="000000" w:sz="4" w:space="0"/>
            </w:tcBorders>
            <w:vAlign w:val="center"/>
          </w:tcPr>
          <w:p w14:paraId="1048C76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1C17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25BBA6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26</w:t>
            </w:r>
          </w:p>
        </w:tc>
        <w:tc>
          <w:tcPr>
            <w:tcW w:w="1312" w:type="dxa"/>
            <w:tcBorders>
              <w:top w:val="single" w:color="000000" w:sz="4" w:space="0"/>
              <w:left w:val="single" w:color="000000" w:sz="4" w:space="0"/>
              <w:bottom w:val="single" w:color="000000" w:sz="4" w:space="0"/>
              <w:right w:val="single" w:color="000000" w:sz="4" w:space="0"/>
            </w:tcBorders>
            <w:vAlign w:val="center"/>
          </w:tcPr>
          <w:p w14:paraId="7B7ADB8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业务数据模板管理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采集模板编辑</w:t>
            </w:r>
          </w:p>
        </w:tc>
        <w:tc>
          <w:tcPr>
            <w:tcW w:w="5337" w:type="dxa"/>
            <w:tcBorders>
              <w:top w:val="single" w:color="000000" w:sz="4" w:space="0"/>
              <w:left w:val="single" w:color="000000" w:sz="4" w:space="0"/>
              <w:bottom w:val="single" w:color="000000" w:sz="4" w:space="0"/>
              <w:right w:val="single" w:color="000000" w:sz="4" w:space="0"/>
            </w:tcBorders>
            <w:vAlign w:val="center"/>
          </w:tcPr>
          <w:p w14:paraId="066CE6F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w:t>
            </w:r>
            <w:r>
              <w:rPr>
                <w:rFonts w:hint="eastAsia" w:ascii="宋体" w:hAnsi="宋体" w:eastAsia="宋体" w:cs="宋体"/>
                <w:b w:val="0"/>
                <w:bCs w:val="0"/>
                <w:i w:val="0"/>
                <w:iCs w:val="0"/>
                <w:color w:val="auto"/>
                <w:kern w:val="0"/>
                <w:sz w:val="21"/>
                <w:szCs w:val="21"/>
                <w:u w:val="none"/>
                <w:lang w:val="en-US" w:eastAsia="zh-CN"/>
              </w:rPr>
              <w:t>用户</w:t>
            </w:r>
            <w:r>
              <w:rPr>
                <w:rFonts w:hint="default" w:ascii="宋体" w:hAnsi="宋体" w:eastAsia="宋体" w:cs="宋体"/>
                <w:b w:val="0"/>
                <w:bCs w:val="0"/>
                <w:i w:val="0"/>
                <w:iCs w:val="0"/>
                <w:color w:val="auto"/>
                <w:kern w:val="0"/>
                <w:sz w:val="21"/>
                <w:szCs w:val="21"/>
                <w:u w:val="none"/>
                <w:lang w:val="en-US" w:eastAsia="zh-CN"/>
              </w:rPr>
              <w:t>创建新的数据采集模板，可以根据具体业务需求，定义模板基本信息。</w:t>
            </w:r>
          </w:p>
        </w:tc>
        <w:tc>
          <w:tcPr>
            <w:tcW w:w="1226" w:type="dxa"/>
            <w:tcBorders>
              <w:top w:val="single" w:color="000000" w:sz="4" w:space="0"/>
              <w:left w:val="single" w:color="000000" w:sz="4" w:space="0"/>
              <w:bottom w:val="single" w:color="000000" w:sz="4" w:space="0"/>
              <w:right w:val="single" w:color="000000" w:sz="4" w:space="0"/>
            </w:tcBorders>
            <w:vAlign w:val="center"/>
          </w:tcPr>
          <w:p w14:paraId="08BB392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5AEA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EB6A12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27</w:t>
            </w:r>
          </w:p>
        </w:tc>
        <w:tc>
          <w:tcPr>
            <w:tcW w:w="1312" w:type="dxa"/>
            <w:tcBorders>
              <w:top w:val="single" w:color="000000" w:sz="4" w:space="0"/>
              <w:left w:val="single" w:color="000000" w:sz="4" w:space="0"/>
              <w:bottom w:val="single" w:color="000000" w:sz="4" w:space="0"/>
              <w:right w:val="single" w:color="000000" w:sz="4" w:space="0"/>
            </w:tcBorders>
            <w:vAlign w:val="center"/>
          </w:tcPr>
          <w:p w14:paraId="24DB011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业务数据模板管理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采集模板配置</w:t>
            </w:r>
          </w:p>
        </w:tc>
        <w:tc>
          <w:tcPr>
            <w:tcW w:w="5337" w:type="dxa"/>
            <w:tcBorders>
              <w:top w:val="single" w:color="000000" w:sz="4" w:space="0"/>
              <w:left w:val="single" w:color="000000" w:sz="4" w:space="0"/>
              <w:bottom w:val="single" w:color="000000" w:sz="4" w:space="0"/>
              <w:right w:val="single" w:color="000000" w:sz="4" w:space="0"/>
            </w:tcBorders>
            <w:vAlign w:val="center"/>
          </w:tcPr>
          <w:p w14:paraId="02CF84E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可以为具体的采集任务配置相关参数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对采集到的数据进行验证，确保数据符合预定义的格式和要求。</w:t>
            </w:r>
          </w:p>
        </w:tc>
        <w:tc>
          <w:tcPr>
            <w:tcW w:w="1226" w:type="dxa"/>
            <w:tcBorders>
              <w:top w:val="single" w:color="000000" w:sz="4" w:space="0"/>
              <w:left w:val="single" w:color="000000" w:sz="4" w:space="0"/>
              <w:bottom w:val="single" w:color="000000" w:sz="4" w:space="0"/>
              <w:right w:val="single" w:color="000000" w:sz="4" w:space="0"/>
            </w:tcBorders>
            <w:vAlign w:val="center"/>
          </w:tcPr>
          <w:p w14:paraId="303486E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4F06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32E13E7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28</w:t>
            </w:r>
          </w:p>
        </w:tc>
        <w:tc>
          <w:tcPr>
            <w:tcW w:w="1312" w:type="dxa"/>
            <w:tcBorders>
              <w:top w:val="single" w:color="000000" w:sz="4" w:space="0"/>
              <w:left w:val="single" w:color="000000" w:sz="4" w:space="0"/>
              <w:bottom w:val="single" w:color="000000" w:sz="4" w:space="0"/>
              <w:right w:val="single" w:color="000000" w:sz="4" w:space="0"/>
            </w:tcBorders>
            <w:vAlign w:val="center"/>
          </w:tcPr>
          <w:p w14:paraId="529FD25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业务数据模板管理-离线/中心模板同步</w:t>
            </w:r>
          </w:p>
        </w:tc>
        <w:tc>
          <w:tcPr>
            <w:tcW w:w="5337" w:type="dxa"/>
            <w:tcBorders>
              <w:top w:val="single" w:color="000000" w:sz="4" w:space="0"/>
              <w:left w:val="single" w:color="000000" w:sz="4" w:space="0"/>
              <w:bottom w:val="single" w:color="000000" w:sz="4" w:space="0"/>
              <w:right w:val="single" w:color="000000" w:sz="4" w:space="0"/>
            </w:tcBorders>
            <w:vAlign w:val="center"/>
          </w:tcPr>
          <w:p w14:paraId="0180D7E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支持用户将离线采集模板与中心模板进行同步。</w:t>
            </w:r>
          </w:p>
        </w:tc>
        <w:tc>
          <w:tcPr>
            <w:tcW w:w="1226" w:type="dxa"/>
            <w:tcBorders>
              <w:top w:val="single" w:color="000000" w:sz="4" w:space="0"/>
              <w:left w:val="single" w:color="000000" w:sz="4" w:space="0"/>
              <w:bottom w:val="single" w:color="000000" w:sz="4" w:space="0"/>
              <w:right w:val="single" w:color="000000" w:sz="4" w:space="0"/>
            </w:tcBorders>
            <w:vAlign w:val="center"/>
          </w:tcPr>
          <w:p w14:paraId="266E7607">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D97C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617C6CD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29</w:t>
            </w:r>
          </w:p>
        </w:tc>
        <w:tc>
          <w:tcPr>
            <w:tcW w:w="1312" w:type="dxa"/>
            <w:tcBorders>
              <w:top w:val="single" w:color="000000" w:sz="4" w:space="0"/>
              <w:left w:val="single" w:color="000000" w:sz="4" w:space="0"/>
              <w:bottom w:val="single" w:color="000000" w:sz="4" w:space="0"/>
              <w:right w:val="single" w:color="000000" w:sz="4" w:space="0"/>
            </w:tcBorders>
            <w:vAlign w:val="center"/>
          </w:tcPr>
          <w:p w14:paraId="36263AE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财务数据模板管理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采集脚本管理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6CE9C08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维护脚本的基本信息，如脚本名称，脚本类型（标准化脚本、校验脚本等）等，支持在线编辑脚本和导入脚本。</w:t>
            </w:r>
          </w:p>
        </w:tc>
        <w:tc>
          <w:tcPr>
            <w:tcW w:w="1226" w:type="dxa"/>
            <w:tcBorders>
              <w:top w:val="single" w:color="000000" w:sz="4" w:space="0"/>
              <w:left w:val="single" w:color="000000" w:sz="4" w:space="0"/>
              <w:bottom w:val="single" w:color="000000" w:sz="4" w:space="0"/>
              <w:right w:val="single" w:color="000000" w:sz="4" w:space="0"/>
            </w:tcBorders>
            <w:vAlign w:val="center"/>
          </w:tcPr>
          <w:p w14:paraId="1255D70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2CE2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3B7029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30</w:t>
            </w:r>
          </w:p>
        </w:tc>
        <w:tc>
          <w:tcPr>
            <w:tcW w:w="1312" w:type="dxa"/>
            <w:tcBorders>
              <w:top w:val="single" w:color="000000" w:sz="4" w:space="0"/>
              <w:left w:val="single" w:color="000000" w:sz="4" w:space="0"/>
              <w:bottom w:val="single" w:color="000000" w:sz="4" w:space="0"/>
              <w:right w:val="single" w:color="000000" w:sz="4" w:space="0"/>
            </w:tcBorders>
            <w:vAlign w:val="center"/>
          </w:tcPr>
          <w:p w14:paraId="07F2CF1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财务数据模板管理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采集模板分类管理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772115C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维护采集模板的分类，如模板名称、模板类型、关联单位等。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231BD41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77F0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3526D52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31</w:t>
            </w:r>
          </w:p>
        </w:tc>
        <w:tc>
          <w:tcPr>
            <w:tcW w:w="1312" w:type="dxa"/>
            <w:tcBorders>
              <w:top w:val="single" w:color="000000" w:sz="4" w:space="0"/>
              <w:left w:val="single" w:color="000000" w:sz="4" w:space="0"/>
              <w:bottom w:val="single" w:color="000000" w:sz="4" w:space="0"/>
              <w:right w:val="single" w:color="000000" w:sz="4" w:space="0"/>
            </w:tcBorders>
            <w:vAlign w:val="center"/>
          </w:tcPr>
          <w:p w14:paraId="51DB5CF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财务数据模板管理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采集模板配置</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类型关联</w:t>
            </w:r>
          </w:p>
        </w:tc>
        <w:tc>
          <w:tcPr>
            <w:tcW w:w="5337" w:type="dxa"/>
            <w:tcBorders>
              <w:top w:val="single" w:color="000000" w:sz="4" w:space="0"/>
              <w:left w:val="single" w:color="000000" w:sz="4" w:space="0"/>
              <w:bottom w:val="single" w:color="000000" w:sz="4" w:space="0"/>
              <w:right w:val="single" w:color="000000" w:sz="4" w:space="0"/>
            </w:tcBorders>
            <w:vAlign w:val="center"/>
          </w:tcPr>
          <w:p w14:paraId="4DDAA8D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明确采集模板的类型（如资产负债表模板、利润表模板等），并将其与相应的财务软件类型进行关联。</w:t>
            </w:r>
          </w:p>
        </w:tc>
        <w:tc>
          <w:tcPr>
            <w:tcW w:w="1226" w:type="dxa"/>
            <w:tcBorders>
              <w:top w:val="single" w:color="000000" w:sz="4" w:space="0"/>
              <w:left w:val="single" w:color="000000" w:sz="4" w:space="0"/>
              <w:bottom w:val="single" w:color="000000" w:sz="4" w:space="0"/>
              <w:right w:val="single" w:color="000000" w:sz="4" w:space="0"/>
            </w:tcBorders>
            <w:vAlign w:val="center"/>
          </w:tcPr>
          <w:p w14:paraId="52FA130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A55A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2305F0A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32</w:t>
            </w:r>
          </w:p>
        </w:tc>
        <w:tc>
          <w:tcPr>
            <w:tcW w:w="1312" w:type="dxa"/>
            <w:tcBorders>
              <w:top w:val="single" w:color="000000" w:sz="4" w:space="0"/>
              <w:left w:val="single" w:color="000000" w:sz="4" w:space="0"/>
              <w:bottom w:val="single" w:color="000000" w:sz="4" w:space="0"/>
              <w:right w:val="single" w:color="000000" w:sz="4" w:space="0"/>
            </w:tcBorders>
            <w:vAlign w:val="center"/>
          </w:tcPr>
          <w:p w14:paraId="7231121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财务数据模板管理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采集模板配置</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步骤设置</w:t>
            </w:r>
          </w:p>
        </w:tc>
        <w:tc>
          <w:tcPr>
            <w:tcW w:w="5337" w:type="dxa"/>
            <w:tcBorders>
              <w:top w:val="single" w:color="000000" w:sz="4" w:space="0"/>
              <w:left w:val="single" w:color="000000" w:sz="4" w:space="0"/>
              <w:bottom w:val="single" w:color="000000" w:sz="4" w:space="0"/>
              <w:right w:val="single" w:color="000000" w:sz="4" w:space="0"/>
            </w:tcBorders>
            <w:vAlign w:val="center"/>
          </w:tcPr>
          <w:p w14:paraId="451B45E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根据审计需求和财务软件的特点，设置模板执行的步骤，可能包括数据获取、数据清洗、数据转换等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006E3BD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DC3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CDBD7F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33</w:t>
            </w:r>
          </w:p>
        </w:tc>
        <w:tc>
          <w:tcPr>
            <w:tcW w:w="1312" w:type="dxa"/>
            <w:tcBorders>
              <w:top w:val="single" w:color="000000" w:sz="4" w:space="0"/>
              <w:left w:val="single" w:color="000000" w:sz="4" w:space="0"/>
              <w:bottom w:val="single" w:color="000000" w:sz="4" w:space="0"/>
              <w:right w:val="single" w:color="000000" w:sz="4" w:space="0"/>
            </w:tcBorders>
            <w:vAlign w:val="center"/>
          </w:tcPr>
          <w:p w14:paraId="18E3DBC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财务数据模板管理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采集模板配置-脚本关联</w:t>
            </w:r>
          </w:p>
        </w:tc>
        <w:tc>
          <w:tcPr>
            <w:tcW w:w="5337" w:type="dxa"/>
            <w:tcBorders>
              <w:top w:val="single" w:color="000000" w:sz="4" w:space="0"/>
              <w:left w:val="single" w:color="000000" w:sz="4" w:space="0"/>
              <w:bottom w:val="single" w:color="000000" w:sz="4" w:space="0"/>
              <w:right w:val="single" w:color="000000" w:sz="4" w:space="0"/>
            </w:tcBorders>
            <w:vAlign w:val="center"/>
          </w:tcPr>
          <w:p w14:paraId="433E743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将每个步骤与对应的采集脚本进行关联，包含了数据抓取、数据验证、数据转换等逻辑</w:t>
            </w:r>
          </w:p>
        </w:tc>
        <w:tc>
          <w:tcPr>
            <w:tcW w:w="1226" w:type="dxa"/>
            <w:tcBorders>
              <w:top w:val="single" w:color="000000" w:sz="4" w:space="0"/>
              <w:left w:val="single" w:color="000000" w:sz="4" w:space="0"/>
              <w:bottom w:val="single" w:color="000000" w:sz="4" w:space="0"/>
              <w:right w:val="single" w:color="000000" w:sz="4" w:space="0"/>
            </w:tcBorders>
            <w:vAlign w:val="center"/>
          </w:tcPr>
          <w:p w14:paraId="257B3B97">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F605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7919E6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34</w:t>
            </w:r>
          </w:p>
        </w:tc>
        <w:tc>
          <w:tcPr>
            <w:tcW w:w="1312" w:type="dxa"/>
            <w:tcBorders>
              <w:top w:val="single" w:color="000000" w:sz="4" w:space="0"/>
              <w:left w:val="single" w:color="000000" w:sz="4" w:space="0"/>
              <w:bottom w:val="single" w:color="000000" w:sz="4" w:space="0"/>
              <w:right w:val="single" w:color="000000" w:sz="4" w:space="0"/>
            </w:tcBorders>
            <w:vAlign w:val="center"/>
          </w:tcPr>
          <w:p w14:paraId="2FB2A88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财务数据模板管理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采集模板配置</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测试校验</w:t>
            </w:r>
          </w:p>
        </w:tc>
        <w:tc>
          <w:tcPr>
            <w:tcW w:w="5337" w:type="dxa"/>
            <w:tcBorders>
              <w:top w:val="single" w:color="000000" w:sz="4" w:space="0"/>
              <w:left w:val="single" w:color="000000" w:sz="4" w:space="0"/>
              <w:bottom w:val="single" w:color="000000" w:sz="4" w:space="0"/>
              <w:right w:val="single" w:color="000000" w:sz="4" w:space="0"/>
            </w:tcBorders>
            <w:vAlign w:val="center"/>
          </w:tcPr>
          <w:p w14:paraId="703672C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对模板进行测试运行，检查每个步骤和脚本是否按照预期执行，并验证采集到的数据的准确性和完整性</w:t>
            </w:r>
          </w:p>
        </w:tc>
        <w:tc>
          <w:tcPr>
            <w:tcW w:w="1226" w:type="dxa"/>
            <w:tcBorders>
              <w:top w:val="single" w:color="000000" w:sz="4" w:space="0"/>
              <w:left w:val="single" w:color="000000" w:sz="4" w:space="0"/>
              <w:bottom w:val="single" w:color="000000" w:sz="4" w:space="0"/>
              <w:right w:val="single" w:color="000000" w:sz="4" w:space="0"/>
            </w:tcBorders>
            <w:vAlign w:val="center"/>
          </w:tcPr>
          <w:p w14:paraId="64C54E6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26D9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2E72FD7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35</w:t>
            </w:r>
          </w:p>
        </w:tc>
        <w:tc>
          <w:tcPr>
            <w:tcW w:w="1312" w:type="dxa"/>
            <w:tcBorders>
              <w:top w:val="single" w:color="000000" w:sz="4" w:space="0"/>
              <w:left w:val="single" w:color="000000" w:sz="4" w:space="0"/>
              <w:bottom w:val="single" w:color="000000" w:sz="4" w:space="0"/>
              <w:right w:val="single" w:color="000000" w:sz="4" w:space="0"/>
            </w:tcBorders>
            <w:vAlign w:val="center"/>
          </w:tcPr>
          <w:p w14:paraId="40B08EB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重构功能开发-重构任务管理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27024E5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新建重构任务，根据重构任务的类型、执行起始时间执行任务，查询已有任务的状态</w:t>
            </w:r>
          </w:p>
        </w:tc>
        <w:tc>
          <w:tcPr>
            <w:tcW w:w="1226" w:type="dxa"/>
            <w:tcBorders>
              <w:top w:val="single" w:color="000000" w:sz="4" w:space="0"/>
              <w:left w:val="single" w:color="000000" w:sz="4" w:space="0"/>
              <w:bottom w:val="single" w:color="000000" w:sz="4" w:space="0"/>
              <w:right w:val="single" w:color="000000" w:sz="4" w:space="0"/>
            </w:tcBorders>
            <w:vAlign w:val="center"/>
          </w:tcPr>
          <w:p w14:paraId="72C97D0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D51F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01FD56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36</w:t>
            </w:r>
          </w:p>
        </w:tc>
        <w:tc>
          <w:tcPr>
            <w:tcW w:w="1312" w:type="dxa"/>
            <w:tcBorders>
              <w:top w:val="single" w:color="000000" w:sz="4" w:space="0"/>
              <w:left w:val="single" w:color="000000" w:sz="4" w:space="0"/>
              <w:bottom w:val="single" w:color="000000" w:sz="4" w:space="0"/>
              <w:right w:val="single" w:color="000000" w:sz="4" w:space="0"/>
            </w:tcBorders>
            <w:vAlign w:val="center"/>
          </w:tcPr>
          <w:p w14:paraId="0DE9B60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重构功能开发-XML转json</w:t>
            </w:r>
          </w:p>
        </w:tc>
        <w:tc>
          <w:tcPr>
            <w:tcW w:w="5337" w:type="dxa"/>
            <w:tcBorders>
              <w:top w:val="single" w:color="000000" w:sz="4" w:space="0"/>
              <w:left w:val="single" w:color="000000" w:sz="4" w:space="0"/>
              <w:bottom w:val="single" w:color="000000" w:sz="4" w:space="0"/>
              <w:right w:val="single" w:color="000000" w:sz="4" w:space="0"/>
            </w:tcBorders>
            <w:vAlign w:val="center"/>
          </w:tcPr>
          <w:p w14:paraId="247E8BA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将原有XML的采集模板转为json格式的模板</w:t>
            </w:r>
          </w:p>
        </w:tc>
        <w:tc>
          <w:tcPr>
            <w:tcW w:w="1226" w:type="dxa"/>
            <w:tcBorders>
              <w:top w:val="single" w:color="000000" w:sz="4" w:space="0"/>
              <w:left w:val="single" w:color="000000" w:sz="4" w:space="0"/>
              <w:bottom w:val="single" w:color="000000" w:sz="4" w:space="0"/>
              <w:right w:val="single" w:color="000000" w:sz="4" w:space="0"/>
            </w:tcBorders>
            <w:vAlign w:val="center"/>
          </w:tcPr>
          <w:p w14:paraId="5D8C671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CED9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09ED046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37</w:t>
            </w:r>
          </w:p>
        </w:tc>
        <w:tc>
          <w:tcPr>
            <w:tcW w:w="1312" w:type="dxa"/>
            <w:tcBorders>
              <w:top w:val="single" w:color="000000" w:sz="4" w:space="0"/>
              <w:left w:val="single" w:color="000000" w:sz="4" w:space="0"/>
              <w:bottom w:val="single" w:color="000000" w:sz="4" w:space="0"/>
              <w:right w:val="single" w:color="000000" w:sz="4" w:space="0"/>
            </w:tcBorders>
            <w:vAlign w:val="center"/>
          </w:tcPr>
          <w:p w14:paraId="69EF30B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重构功能开发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数据清洗规则自动生成</w:t>
            </w:r>
          </w:p>
        </w:tc>
        <w:tc>
          <w:tcPr>
            <w:tcW w:w="5337" w:type="dxa"/>
            <w:tcBorders>
              <w:top w:val="single" w:color="000000" w:sz="4" w:space="0"/>
              <w:left w:val="single" w:color="000000" w:sz="4" w:space="0"/>
              <w:bottom w:val="single" w:color="000000" w:sz="4" w:space="0"/>
              <w:right w:val="single" w:color="000000" w:sz="4" w:space="0"/>
            </w:tcBorders>
            <w:vAlign w:val="center"/>
          </w:tcPr>
          <w:p w14:paraId="1FF5627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针对完成XML转写json步骤的数据采集模板，自动添加简易数据清洗规则</w:t>
            </w:r>
          </w:p>
        </w:tc>
        <w:tc>
          <w:tcPr>
            <w:tcW w:w="1226" w:type="dxa"/>
            <w:tcBorders>
              <w:top w:val="single" w:color="000000" w:sz="4" w:space="0"/>
              <w:left w:val="single" w:color="000000" w:sz="4" w:space="0"/>
              <w:bottom w:val="single" w:color="000000" w:sz="4" w:space="0"/>
              <w:right w:val="single" w:color="000000" w:sz="4" w:space="0"/>
            </w:tcBorders>
            <w:vAlign w:val="center"/>
          </w:tcPr>
          <w:p w14:paraId="3959E46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4268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6A8071D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38</w:t>
            </w:r>
          </w:p>
        </w:tc>
        <w:tc>
          <w:tcPr>
            <w:tcW w:w="1312" w:type="dxa"/>
            <w:tcBorders>
              <w:top w:val="single" w:color="000000" w:sz="4" w:space="0"/>
              <w:left w:val="single" w:color="000000" w:sz="4" w:space="0"/>
              <w:bottom w:val="single" w:color="000000" w:sz="4" w:space="0"/>
              <w:right w:val="single" w:color="000000" w:sz="4" w:space="0"/>
            </w:tcBorders>
            <w:vAlign w:val="center"/>
          </w:tcPr>
          <w:p w14:paraId="358347E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重构功能开发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数据清洗规则手工调整</w:t>
            </w:r>
          </w:p>
        </w:tc>
        <w:tc>
          <w:tcPr>
            <w:tcW w:w="5337" w:type="dxa"/>
            <w:tcBorders>
              <w:top w:val="single" w:color="000000" w:sz="4" w:space="0"/>
              <w:left w:val="single" w:color="000000" w:sz="4" w:space="0"/>
              <w:bottom w:val="single" w:color="000000" w:sz="4" w:space="0"/>
              <w:right w:val="single" w:color="000000" w:sz="4" w:space="0"/>
            </w:tcBorders>
            <w:vAlign w:val="center"/>
          </w:tcPr>
          <w:p w14:paraId="6D5F98A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对于经过数据清洗规则自动设置后的采集模板，如有特殊的清洗规则，还可以基于该功能手工设置清洗规则</w:t>
            </w:r>
          </w:p>
        </w:tc>
        <w:tc>
          <w:tcPr>
            <w:tcW w:w="1226" w:type="dxa"/>
            <w:tcBorders>
              <w:top w:val="single" w:color="000000" w:sz="4" w:space="0"/>
              <w:left w:val="single" w:color="000000" w:sz="4" w:space="0"/>
              <w:bottom w:val="single" w:color="000000" w:sz="4" w:space="0"/>
              <w:right w:val="single" w:color="000000" w:sz="4" w:space="0"/>
            </w:tcBorders>
            <w:vAlign w:val="center"/>
          </w:tcPr>
          <w:p w14:paraId="2BD103C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3B9D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ECF34E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39</w:t>
            </w:r>
          </w:p>
        </w:tc>
        <w:tc>
          <w:tcPr>
            <w:tcW w:w="1312" w:type="dxa"/>
            <w:tcBorders>
              <w:top w:val="single" w:color="000000" w:sz="4" w:space="0"/>
              <w:left w:val="single" w:color="000000" w:sz="4" w:space="0"/>
              <w:bottom w:val="single" w:color="000000" w:sz="4" w:space="0"/>
              <w:right w:val="single" w:color="000000" w:sz="4" w:space="0"/>
            </w:tcBorders>
            <w:vAlign w:val="center"/>
          </w:tcPr>
          <w:p w14:paraId="4B1B1E6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重构功能开发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数据质量规则手工调整</w:t>
            </w:r>
          </w:p>
        </w:tc>
        <w:tc>
          <w:tcPr>
            <w:tcW w:w="5337" w:type="dxa"/>
            <w:tcBorders>
              <w:top w:val="single" w:color="000000" w:sz="4" w:space="0"/>
              <w:left w:val="single" w:color="000000" w:sz="4" w:space="0"/>
              <w:bottom w:val="single" w:color="000000" w:sz="4" w:space="0"/>
              <w:right w:val="single" w:color="000000" w:sz="4" w:space="0"/>
            </w:tcBorders>
            <w:vAlign w:val="center"/>
          </w:tcPr>
          <w:p w14:paraId="4433D44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数据质量规则需要手工设置，通过该功能的采集模板查询页可以通过行业、名称、所属任务等多个条件定位需要处理的模板</w:t>
            </w:r>
          </w:p>
        </w:tc>
        <w:tc>
          <w:tcPr>
            <w:tcW w:w="1226" w:type="dxa"/>
            <w:tcBorders>
              <w:top w:val="single" w:color="000000" w:sz="4" w:space="0"/>
              <w:left w:val="single" w:color="000000" w:sz="4" w:space="0"/>
              <w:bottom w:val="single" w:color="000000" w:sz="4" w:space="0"/>
              <w:right w:val="single" w:color="000000" w:sz="4" w:space="0"/>
            </w:tcBorders>
            <w:vAlign w:val="center"/>
          </w:tcPr>
          <w:p w14:paraId="4439CFE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6385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AD1571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40</w:t>
            </w:r>
          </w:p>
        </w:tc>
        <w:tc>
          <w:tcPr>
            <w:tcW w:w="1312" w:type="dxa"/>
            <w:tcBorders>
              <w:top w:val="single" w:color="000000" w:sz="4" w:space="0"/>
              <w:left w:val="single" w:color="000000" w:sz="4" w:space="0"/>
              <w:bottom w:val="single" w:color="000000" w:sz="4" w:space="0"/>
              <w:right w:val="single" w:color="000000" w:sz="4" w:space="0"/>
            </w:tcBorders>
            <w:vAlign w:val="center"/>
          </w:tcPr>
          <w:p w14:paraId="71F2F77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采集模板重构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原有采集模板的优化、重构</w:t>
            </w:r>
          </w:p>
        </w:tc>
        <w:tc>
          <w:tcPr>
            <w:tcW w:w="5337" w:type="dxa"/>
            <w:tcBorders>
              <w:top w:val="single" w:color="000000" w:sz="4" w:space="0"/>
              <w:left w:val="single" w:color="000000" w:sz="4" w:space="0"/>
              <w:bottom w:val="single" w:color="000000" w:sz="4" w:space="0"/>
              <w:right w:val="single" w:color="000000" w:sz="4" w:space="0"/>
            </w:tcBorders>
            <w:vAlign w:val="center"/>
          </w:tcPr>
          <w:p w14:paraId="7670B36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1、对于转换过程报错的，需人工分析调整程序或者源模板内容后补充执行；</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2、对于自动生成报错的以及需要额外增加清洗规则的表，再执行数据清洗规则手工调整；</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3、人工检查所有重构的模板并手工设置质量规则</w:t>
            </w:r>
          </w:p>
        </w:tc>
        <w:tc>
          <w:tcPr>
            <w:tcW w:w="1226" w:type="dxa"/>
            <w:tcBorders>
              <w:top w:val="single" w:color="000000" w:sz="4" w:space="0"/>
              <w:left w:val="single" w:color="000000" w:sz="4" w:space="0"/>
              <w:bottom w:val="single" w:color="000000" w:sz="4" w:space="0"/>
              <w:right w:val="single" w:color="000000" w:sz="4" w:space="0"/>
            </w:tcBorders>
            <w:vAlign w:val="center"/>
          </w:tcPr>
          <w:p w14:paraId="6C5DB42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BD02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773BFB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41</w:t>
            </w:r>
          </w:p>
        </w:tc>
        <w:tc>
          <w:tcPr>
            <w:tcW w:w="1312" w:type="dxa"/>
            <w:tcBorders>
              <w:top w:val="single" w:color="000000" w:sz="4" w:space="0"/>
              <w:left w:val="single" w:color="000000" w:sz="4" w:space="0"/>
              <w:bottom w:val="single" w:color="000000" w:sz="4" w:space="0"/>
              <w:right w:val="single" w:color="000000" w:sz="4" w:space="0"/>
            </w:tcBorders>
            <w:vAlign w:val="center"/>
          </w:tcPr>
          <w:p w14:paraId="40D9456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数据对比</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差异展示</w:t>
            </w:r>
          </w:p>
        </w:tc>
        <w:tc>
          <w:tcPr>
            <w:tcW w:w="5337" w:type="dxa"/>
            <w:tcBorders>
              <w:top w:val="single" w:color="000000" w:sz="4" w:space="0"/>
              <w:left w:val="single" w:color="000000" w:sz="4" w:space="0"/>
              <w:bottom w:val="single" w:color="000000" w:sz="4" w:space="0"/>
              <w:right w:val="single" w:color="000000" w:sz="4" w:space="0"/>
            </w:tcBorders>
            <w:vAlign w:val="center"/>
          </w:tcPr>
          <w:p w14:paraId="57A2945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以可视化的方式展示，包括图表、图形、对比表格等，直观地展示不同数据源之间的差异。</w:t>
            </w:r>
          </w:p>
        </w:tc>
        <w:tc>
          <w:tcPr>
            <w:tcW w:w="1226" w:type="dxa"/>
            <w:tcBorders>
              <w:top w:val="single" w:color="000000" w:sz="4" w:space="0"/>
              <w:left w:val="single" w:color="000000" w:sz="4" w:space="0"/>
              <w:bottom w:val="single" w:color="000000" w:sz="4" w:space="0"/>
              <w:right w:val="single" w:color="000000" w:sz="4" w:space="0"/>
            </w:tcBorders>
            <w:vAlign w:val="center"/>
          </w:tcPr>
          <w:p w14:paraId="3FD900C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3A8F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398E1FD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42</w:t>
            </w:r>
          </w:p>
        </w:tc>
        <w:tc>
          <w:tcPr>
            <w:tcW w:w="1312" w:type="dxa"/>
            <w:tcBorders>
              <w:top w:val="single" w:color="000000" w:sz="4" w:space="0"/>
              <w:left w:val="single" w:color="000000" w:sz="4" w:space="0"/>
              <w:bottom w:val="single" w:color="000000" w:sz="4" w:space="0"/>
              <w:right w:val="single" w:color="000000" w:sz="4" w:space="0"/>
            </w:tcBorders>
            <w:vAlign w:val="center"/>
          </w:tcPr>
          <w:p w14:paraId="3628698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数据对比</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对比规则设置</w:t>
            </w:r>
          </w:p>
        </w:tc>
        <w:tc>
          <w:tcPr>
            <w:tcW w:w="5337" w:type="dxa"/>
            <w:tcBorders>
              <w:top w:val="single" w:color="000000" w:sz="4" w:space="0"/>
              <w:left w:val="single" w:color="000000" w:sz="4" w:space="0"/>
              <w:bottom w:val="single" w:color="000000" w:sz="4" w:space="0"/>
              <w:right w:val="single" w:color="000000" w:sz="4" w:space="0"/>
            </w:tcBorders>
            <w:vAlign w:val="center"/>
          </w:tcPr>
          <w:p w14:paraId="6827266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根据具体需求设置数据对比的范围和粒度，选择比较的数据字段和属性，调整对比的算法和规则。</w:t>
            </w:r>
          </w:p>
        </w:tc>
        <w:tc>
          <w:tcPr>
            <w:tcW w:w="1226" w:type="dxa"/>
            <w:tcBorders>
              <w:top w:val="single" w:color="000000" w:sz="4" w:space="0"/>
              <w:left w:val="single" w:color="000000" w:sz="4" w:space="0"/>
              <w:bottom w:val="single" w:color="000000" w:sz="4" w:space="0"/>
              <w:right w:val="single" w:color="000000" w:sz="4" w:space="0"/>
            </w:tcBorders>
            <w:vAlign w:val="center"/>
          </w:tcPr>
          <w:p w14:paraId="6E12650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5BB6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8E9301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43</w:t>
            </w:r>
          </w:p>
        </w:tc>
        <w:tc>
          <w:tcPr>
            <w:tcW w:w="1312" w:type="dxa"/>
            <w:tcBorders>
              <w:top w:val="single" w:color="000000" w:sz="4" w:space="0"/>
              <w:left w:val="single" w:color="000000" w:sz="4" w:space="0"/>
              <w:bottom w:val="single" w:color="000000" w:sz="4" w:space="0"/>
              <w:right w:val="single" w:color="000000" w:sz="4" w:space="0"/>
            </w:tcBorders>
            <w:vAlign w:val="center"/>
          </w:tcPr>
          <w:p w14:paraId="340A082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数据质量管理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质量监控</w:t>
            </w:r>
          </w:p>
        </w:tc>
        <w:tc>
          <w:tcPr>
            <w:tcW w:w="5337" w:type="dxa"/>
            <w:tcBorders>
              <w:top w:val="single" w:color="000000" w:sz="4" w:space="0"/>
              <w:left w:val="single" w:color="000000" w:sz="4" w:space="0"/>
              <w:bottom w:val="single" w:color="000000" w:sz="4" w:space="0"/>
              <w:right w:val="single" w:color="000000" w:sz="4" w:space="0"/>
            </w:tcBorders>
            <w:vAlign w:val="center"/>
          </w:tcPr>
          <w:p w14:paraId="7345F40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展示数据质量监控情况，范围涵盖质控规则、质控指标、主题报告、任务执行情况等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2D96698C">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2D69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2045D15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44</w:t>
            </w:r>
          </w:p>
        </w:tc>
        <w:tc>
          <w:tcPr>
            <w:tcW w:w="1312" w:type="dxa"/>
            <w:tcBorders>
              <w:top w:val="single" w:color="000000" w:sz="4" w:space="0"/>
              <w:left w:val="single" w:color="000000" w:sz="4" w:space="0"/>
              <w:bottom w:val="single" w:color="000000" w:sz="4" w:space="0"/>
              <w:right w:val="single" w:color="000000" w:sz="4" w:space="0"/>
            </w:tcBorders>
            <w:vAlign w:val="center"/>
          </w:tcPr>
          <w:p w14:paraId="49004ED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数据质量管理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质量规则管理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384652A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对数据质量规则进行管理， 通过质量规则清单查看所有质量规则，系统支持创建/编辑规则。</w:t>
            </w:r>
          </w:p>
        </w:tc>
        <w:tc>
          <w:tcPr>
            <w:tcW w:w="1226" w:type="dxa"/>
            <w:tcBorders>
              <w:top w:val="single" w:color="000000" w:sz="4" w:space="0"/>
              <w:left w:val="single" w:color="000000" w:sz="4" w:space="0"/>
              <w:bottom w:val="single" w:color="000000" w:sz="4" w:space="0"/>
              <w:right w:val="single" w:color="000000" w:sz="4" w:space="0"/>
            </w:tcBorders>
            <w:vAlign w:val="center"/>
          </w:tcPr>
          <w:p w14:paraId="5A2BA10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9B76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F36328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45</w:t>
            </w:r>
          </w:p>
        </w:tc>
        <w:tc>
          <w:tcPr>
            <w:tcW w:w="1312" w:type="dxa"/>
            <w:tcBorders>
              <w:top w:val="single" w:color="000000" w:sz="4" w:space="0"/>
              <w:left w:val="single" w:color="000000" w:sz="4" w:space="0"/>
              <w:bottom w:val="single" w:color="000000" w:sz="4" w:space="0"/>
              <w:right w:val="single" w:color="000000" w:sz="4" w:space="0"/>
            </w:tcBorders>
            <w:vAlign w:val="center"/>
          </w:tcPr>
          <w:p w14:paraId="444AFAE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数据质量管理-质控指标管理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3362AB0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根据选择或关键字搜索，查找到符合条件的数据质量指标清单，对质控指标进行创建和维护</w:t>
            </w:r>
          </w:p>
        </w:tc>
        <w:tc>
          <w:tcPr>
            <w:tcW w:w="1226" w:type="dxa"/>
            <w:tcBorders>
              <w:top w:val="single" w:color="000000" w:sz="4" w:space="0"/>
              <w:left w:val="single" w:color="000000" w:sz="4" w:space="0"/>
              <w:bottom w:val="single" w:color="000000" w:sz="4" w:space="0"/>
              <w:right w:val="single" w:color="000000" w:sz="4" w:space="0"/>
            </w:tcBorders>
            <w:vAlign w:val="center"/>
          </w:tcPr>
          <w:p w14:paraId="6027AF5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4814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9E8183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46</w:t>
            </w:r>
          </w:p>
        </w:tc>
        <w:tc>
          <w:tcPr>
            <w:tcW w:w="1312" w:type="dxa"/>
            <w:tcBorders>
              <w:top w:val="single" w:color="000000" w:sz="4" w:space="0"/>
              <w:left w:val="single" w:color="000000" w:sz="4" w:space="0"/>
              <w:bottom w:val="single" w:color="000000" w:sz="4" w:space="0"/>
              <w:right w:val="single" w:color="000000" w:sz="4" w:space="0"/>
            </w:tcBorders>
            <w:vAlign w:val="center"/>
          </w:tcPr>
          <w:p w14:paraId="440A1F0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数据质量管理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离线/中心质控任务管理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647F186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通过配置生成数据质控任务，任务的执行频率支持单次任务和周期任务。支持执行任务，并查看质控结果。</w:t>
            </w:r>
          </w:p>
        </w:tc>
        <w:tc>
          <w:tcPr>
            <w:tcW w:w="1226" w:type="dxa"/>
            <w:tcBorders>
              <w:top w:val="single" w:color="000000" w:sz="4" w:space="0"/>
              <w:left w:val="single" w:color="000000" w:sz="4" w:space="0"/>
              <w:bottom w:val="single" w:color="000000" w:sz="4" w:space="0"/>
              <w:right w:val="single" w:color="000000" w:sz="4" w:space="0"/>
            </w:tcBorders>
            <w:vAlign w:val="center"/>
          </w:tcPr>
          <w:p w14:paraId="52997F0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6153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535CE0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47</w:t>
            </w:r>
          </w:p>
        </w:tc>
        <w:tc>
          <w:tcPr>
            <w:tcW w:w="1312" w:type="dxa"/>
            <w:tcBorders>
              <w:top w:val="single" w:color="000000" w:sz="4" w:space="0"/>
              <w:left w:val="single" w:color="000000" w:sz="4" w:space="0"/>
              <w:bottom w:val="single" w:color="000000" w:sz="4" w:space="0"/>
              <w:right w:val="single" w:color="000000" w:sz="4" w:space="0"/>
            </w:tcBorders>
            <w:vAlign w:val="center"/>
          </w:tcPr>
          <w:p w14:paraId="524BD86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数据质量管理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自动化报告</w:t>
            </w:r>
          </w:p>
        </w:tc>
        <w:tc>
          <w:tcPr>
            <w:tcW w:w="5337" w:type="dxa"/>
            <w:tcBorders>
              <w:top w:val="single" w:color="000000" w:sz="4" w:space="0"/>
              <w:left w:val="single" w:color="000000" w:sz="4" w:space="0"/>
              <w:bottom w:val="single" w:color="000000" w:sz="4" w:space="0"/>
              <w:right w:val="single" w:color="000000" w:sz="4" w:space="0"/>
            </w:tcBorders>
            <w:vAlign w:val="center"/>
          </w:tcPr>
          <w:p w14:paraId="54E1E6D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支持自定义分析报告中需要展示的内容，可配置主题所需要统计的指标，以及各个指标的评分规则，从而计算此主题下的整体质控得分</w:t>
            </w:r>
          </w:p>
        </w:tc>
        <w:tc>
          <w:tcPr>
            <w:tcW w:w="1226" w:type="dxa"/>
            <w:tcBorders>
              <w:top w:val="single" w:color="000000" w:sz="4" w:space="0"/>
              <w:left w:val="single" w:color="000000" w:sz="4" w:space="0"/>
              <w:bottom w:val="single" w:color="000000" w:sz="4" w:space="0"/>
              <w:right w:val="single" w:color="000000" w:sz="4" w:space="0"/>
            </w:tcBorders>
            <w:vAlign w:val="center"/>
          </w:tcPr>
          <w:p w14:paraId="69E3A02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54E2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41B807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48</w:t>
            </w:r>
          </w:p>
        </w:tc>
        <w:tc>
          <w:tcPr>
            <w:tcW w:w="1312" w:type="dxa"/>
            <w:tcBorders>
              <w:top w:val="single" w:color="000000" w:sz="4" w:space="0"/>
              <w:left w:val="single" w:color="000000" w:sz="4" w:space="0"/>
              <w:bottom w:val="single" w:color="000000" w:sz="4" w:space="0"/>
              <w:right w:val="single" w:color="000000" w:sz="4" w:space="0"/>
            </w:tcBorders>
            <w:vAlign w:val="center"/>
          </w:tcPr>
          <w:p w14:paraId="7352106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数据清洗</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清洗规则管理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6E55C24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根据其特定需求和数据质量要求定义的一组规则和逻辑，以识别和处理数据中的问题。</w:t>
            </w:r>
          </w:p>
        </w:tc>
        <w:tc>
          <w:tcPr>
            <w:tcW w:w="1226" w:type="dxa"/>
            <w:tcBorders>
              <w:top w:val="single" w:color="000000" w:sz="4" w:space="0"/>
              <w:left w:val="single" w:color="000000" w:sz="4" w:space="0"/>
              <w:bottom w:val="single" w:color="000000" w:sz="4" w:space="0"/>
              <w:right w:val="single" w:color="000000" w:sz="4" w:space="0"/>
            </w:tcBorders>
            <w:vAlign w:val="center"/>
          </w:tcPr>
          <w:p w14:paraId="1E0E0E4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9B45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3C247BF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49</w:t>
            </w:r>
          </w:p>
        </w:tc>
        <w:tc>
          <w:tcPr>
            <w:tcW w:w="1312" w:type="dxa"/>
            <w:tcBorders>
              <w:top w:val="single" w:color="000000" w:sz="4" w:space="0"/>
              <w:left w:val="single" w:color="000000" w:sz="4" w:space="0"/>
              <w:bottom w:val="single" w:color="000000" w:sz="4" w:space="0"/>
              <w:right w:val="single" w:color="000000" w:sz="4" w:space="0"/>
            </w:tcBorders>
            <w:vAlign w:val="center"/>
          </w:tcPr>
          <w:p w14:paraId="198642E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数据清洗</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清洗任务管理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7D67F0B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清洗任务管理指的是在平台上创建、安排、监视和管理数据清洗任务的过程。</w:t>
            </w:r>
          </w:p>
        </w:tc>
        <w:tc>
          <w:tcPr>
            <w:tcW w:w="1226" w:type="dxa"/>
            <w:tcBorders>
              <w:top w:val="single" w:color="000000" w:sz="4" w:space="0"/>
              <w:left w:val="single" w:color="000000" w:sz="4" w:space="0"/>
              <w:bottom w:val="single" w:color="000000" w:sz="4" w:space="0"/>
              <w:right w:val="single" w:color="000000" w:sz="4" w:space="0"/>
            </w:tcBorders>
            <w:vAlign w:val="center"/>
          </w:tcPr>
          <w:p w14:paraId="6F7FCA7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9BBA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9C78C0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50</w:t>
            </w:r>
          </w:p>
        </w:tc>
        <w:tc>
          <w:tcPr>
            <w:tcW w:w="1312" w:type="dxa"/>
            <w:tcBorders>
              <w:top w:val="single" w:color="000000" w:sz="4" w:space="0"/>
              <w:left w:val="single" w:color="000000" w:sz="4" w:space="0"/>
              <w:bottom w:val="single" w:color="000000" w:sz="4" w:space="0"/>
              <w:right w:val="single" w:color="000000" w:sz="4" w:space="0"/>
            </w:tcBorders>
            <w:vAlign w:val="center"/>
          </w:tcPr>
          <w:p w14:paraId="01EDD2B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数据清洗</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任务实例管理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6881DC4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任务实例管理指的是对每个数据清洗任务的具体执行实例进行跟踪、记录和管理的过程。</w:t>
            </w:r>
          </w:p>
        </w:tc>
        <w:tc>
          <w:tcPr>
            <w:tcW w:w="1226" w:type="dxa"/>
            <w:tcBorders>
              <w:top w:val="single" w:color="000000" w:sz="4" w:space="0"/>
              <w:left w:val="single" w:color="000000" w:sz="4" w:space="0"/>
              <w:bottom w:val="single" w:color="000000" w:sz="4" w:space="0"/>
              <w:right w:val="single" w:color="000000" w:sz="4" w:space="0"/>
            </w:tcBorders>
            <w:vAlign w:val="center"/>
          </w:tcPr>
          <w:p w14:paraId="59A7CAE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4292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092ABD4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51</w:t>
            </w:r>
          </w:p>
        </w:tc>
        <w:tc>
          <w:tcPr>
            <w:tcW w:w="1312" w:type="dxa"/>
            <w:tcBorders>
              <w:top w:val="single" w:color="000000" w:sz="4" w:space="0"/>
              <w:left w:val="single" w:color="000000" w:sz="4" w:space="0"/>
              <w:bottom w:val="single" w:color="000000" w:sz="4" w:space="0"/>
              <w:right w:val="single" w:color="000000" w:sz="4" w:space="0"/>
            </w:tcBorders>
            <w:vAlign w:val="center"/>
          </w:tcPr>
          <w:p w14:paraId="2891C90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业务数据加工</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加工任务设计</w:t>
            </w:r>
          </w:p>
        </w:tc>
        <w:tc>
          <w:tcPr>
            <w:tcW w:w="5337" w:type="dxa"/>
            <w:tcBorders>
              <w:top w:val="single" w:color="000000" w:sz="4" w:space="0"/>
              <w:left w:val="single" w:color="000000" w:sz="4" w:space="0"/>
              <w:bottom w:val="single" w:color="000000" w:sz="4" w:space="0"/>
              <w:right w:val="single" w:color="000000" w:sz="4" w:space="0"/>
            </w:tcBorders>
            <w:vAlign w:val="center"/>
          </w:tcPr>
          <w:p w14:paraId="5E869C6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通过任务设计器可以对任务进行管理，同时，支持对画布、任务参数、算子和任务的运行情况进行管理。</w:t>
            </w:r>
          </w:p>
        </w:tc>
        <w:tc>
          <w:tcPr>
            <w:tcW w:w="1226" w:type="dxa"/>
            <w:tcBorders>
              <w:top w:val="single" w:color="000000" w:sz="4" w:space="0"/>
              <w:left w:val="single" w:color="000000" w:sz="4" w:space="0"/>
              <w:bottom w:val="single" w:color="000000" w:sz="4" w:space="0"/>
              <w:right w:val="single" w:color="000000" w:sz="4" w:space="0"/>
            </w:tcBorders>
            <w:vAlign w:val="center"/>
          </w:tcPr>
          <w:p w14:paraId="4BA7871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1FE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2666EB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52</w:t>
            </w:r>
          </w:p>
        </w:tc>
        <w:tc>
          <w:tcPr>
            <w:tcW w:w="1312" w:type="dxa"/>
            <w:tcBorders>
              <w:top w:val="single" w:color="000000" w:sz="4" w:space="0"/>
              <w:left w:val="single" w:color="000000" w:sz="4" w:space="0"/>
              <w:bottom w:val="single" w:color="000000" w:sz="4" w:space="0"/>
              <w:right w:val="single" w:color="000000" w:sz="4" w:space="0"/>
            </w:tcBorders>
            <w:vAlign w:val="center"/>
          </w:tcPr>
          <w:p w14:paraId="1388E01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业务数据加工</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批量执行引擎</w:t>
            </w:r>
          </w:p>
        </w:tc>
        <w:tc>
          <w:tcPr>
            <w:tcW w:w="5337" w:type="dxa"/>
            <w:tcBorders>
              <w:top w:val="single" w:color="000000" w:sz="4" w:space="0"/>
              <w:left w:val="single" w:color="000000" w:sz="4" w:space="0"/>
              <w:bottom w:val="single" w:color="000000" w:sz="4" w:space="0"/>
              <w:right w:val="single" w:color="000000" w:sz="4" w:space="0"/>
            </w:tcBorders>
            <w:vAlign w:val="center"/>
          </w:tcPr>
          <w:p w14:paraId="15C191F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支持对大量数据进行定时或按需批量处理，用户可以通过配置任务计划和依赖关系，设定任务的执行顺序和触发条件。</w:t>
            </w:r>
          </w:p>
        </w:tc>
        <w:tc>
          <w:tcPr>
            <w:tcW w:w="1226" w:type="dxa"/>
            <w:tcBorders>
              <w:top w:val="single" w:color="000000" w:sz="4" w:space="0"/>
              <w:left w:val="single" w:color="000000" w:sz="4" w:space="0"/>
              <w:bottom w:val="single" w:color="000000" w:sz="4" w:space="0"/>
              <w:right w:val="single" w:color="000000" w:sz="4" w:space="0"/>
            </w:tcBorders>
            <w:vAlign w:val="center"/>
          </w:tcPr>
          <w:p w14:paraId="536F2A7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594B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0EDD745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53</w:t>
            </w:r>
          </w:p>
        </w:tc>
        <w:tc>
          <w:tcPr>
            <w:tcW w:w="1312" w:type="dxa"/>
            <w:tcBorders>
              <w:top w:val="single" w:color="000000" w:sz="4" w:space="0"/>
              <w:left w:val="single" w:color="000000" w:sz="4" w:space="0"/>
              <w:bottom w:val="single" w:color="000000" w:sz="4" w:space="0"/>
              <w:right w:val="single" w:color="000000" w:sz="4" w:space="0"/>
            </w:tcBorders>
            <w:vAlign w:val="center"/>
          </w:tcPr>
          <w:p w14:paraId="37C47D4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业务数据加工</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任务导入与导出</w:t>
            </w:r>
          </w:p>
        </w:tc>
        <w:tc>
          <w:tcPr>
            <w:tcW w:w="5337" w:type="dxa"/>
            <w:tcBorders>
              <w:top w:val="single" w:color="000000" w:sz="4" w:space="0"/>
              <w:left w:val="single" w:color="000000" w:sz="4" w:space="0"/>
              <w:bottom w:val="single" w:color="000000" w:sz="4" w:space="0"/>
              <w:right w:val="single" w:color="000000" w:sz="4" w:space="0"/>
            </w:tcBorders>
            <w:vAlign w:val="center"/>
          </w:tcPr>
          <w:p w14:paraId="3D65853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支持单条或多条任务的导出，任务依赖的参数也一并导出。将导出的任务导入到某个项目中。</w:t>
            </w:r>
          </w:p>
        </w:tc>
        <w:tc>
          <w:tcPr>
            <w:tcW w:w="1226" w:type="dxa"/>
            <w:tcBorders>
              <w:top w:val="single" w:color="000000" w:sz="4" w:space="0"/>
              <w:left w:val="single" w:color="000000" w:sz="4" w:space="0"/>
              <w:bottom w:val="single" w:color="000000" w:sz="4" w:space="0"/>
              <w:right w:val="single" w:color="000000" w:sz="4" w:space="0"/>
            </w:tcBorders>
            <w:vAlign w:val="center"/>
          </w:tcPr>
          <w:p w14:paraId="02979B5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E4D3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23C2F14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54</w:t>
            </w:r>
          </w:p>
        </w:tc>
        <w:tc>
          <w:tcPr>
            <w:tcW w:w="1312" w:type="dxa"/>
            <w:tcBorders>
              <w:top w:val="single" w:color="000000" w:sz="4" w:space="0"/>
              <w:left w:val="single" w:color="000000" w:sz="4" w:space="0"/>
              <w:bottom w:val="single" w:color="000000" w:sz="4" w:space="0"/>
              <w:right w:val="single" w:color="000000" w:sz="4" w:space="0"/>
            </w:tcBorders>
            <w:vAlign w:val="center"/>
          </w:tcPr>
          <w:p w14:paraId="27094A1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业务数据加工</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加工任务执行</w:t>
            </w:r>
          </w:p>
        </w:tc>
        <w:tc>
          <w:tcPr>
            <w:tcW w:w="5337" w:type="dxa"/>
            <w:tcBorders>
              <w:top w:val="single" w:color="000000" w:sz="4" w:space="0"/>
              <w:left w:val="single" w:color="000000" w:sz="4" w:space="0"/>
              <w:bottom w:val="single" w:color="000000" w:sz="4" w:space="0"/>
              <w:right w:val="single" w:color="000000" w:sz="4" w:space="0"/>
            </w:tcBorders>
            <w:vAlign w:val="center"/>
          </w:tcPr>
          <w:p w14:paraId="5B274F6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将任务配置信息导出，进行初始化，并将执行信息及资源需求信息提交至执行引擎。</w:t>
            </w:r>
          </w:p>
        </w:tc>
        <w:tc>
          <w:tcPr>
            <w:tcW w:w="1226" w:type="dxa"/>
            <w:tcBorders>
              <w:top w:val="single" w:color="000000" w:sz="4" w:space="0"/>
              <w:left w:val="single" w:color="000000" w:sz="4" w:space="0"/>
              <w:bottom w:val="single" w:color="000000" w:sz="4" w:space="0"/>
              <w:right w:val="single" w:color="000000" w:sz="4" w:space="0"/>
            </w:tcBorders>
            <w:vAlign w:val="center"/>
          </w:tcPr>
          <w:p w14:paraId="517EC000">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7059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09804CA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55</w:t>
            </w:r>
          </w:p>
        </w:tc>
        <w:tc>
          <w:tcPr>
            <w:tcW w:w="1312" w:type="dxa"/>
            <w:tcBorders>
              <w:top w:val="single" w:color="000000" w:sz="4" w:space="0"/>
              <w:left w:val="single" w:color="000000" w:sz="4" w:space="0"/>
              <w:bottom w:val="single" w:color="000000" w:sz="4" w:space="0"/>
              <w:right w:val="single" w:color="000000" w:sz="4" w:space="0"/>
            </w:tcBorders>
            <w:vAlign w:val="center"/>
          </w:tcPr>
          <w:p w14:paraId="4E836BD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财务数据加工-数据库文件转换</w:t>
            </w:r>
          </w:p>
        </w:tc>
        <w:tc>
          <w:tcPr>
            <w:tcW w:w="5337" w:type="dxa"/>
            <w:tcBorders>
              <w:top w:val="single" w:color="000000" w:sz="4" w:space="0"/>
              <w:left w:val="single" w:color="000000" w:sz="4" w:space="0"/>
              <w:bottom w:val="single" w:color="000000" w:sz="4" w:space="0"/>
              <w:right w:val="single" w:color="000000" w:sz="4" w:space="0"/>
            </w:tcBorders>
            <w:vAlign w:val="center"/>
          </w:tcPr>
          <w:p w14:paraId="4841A04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将被审计单位报送的原始文件自动还原并形成标准数据。系统通过采集模板基于原始数据形成7张标准表（基础表_电子账簿信息表、基础表_会计科目表、基础表_科目年初数表、基础表_记账凭证表、基础表_辅助信息表、基础表_辅助年初数、基础表_凭证辅助明细表），之后基于已形成的7张标准表数据，通过账表重建脚本形成另外的5张标准表（基础表_辅助类型表、基础表_会计期间定义、基础表_科目余额表、基础表_辅助余额表、基础表_预算单位），此过程在采集过程中自动完成，无需人工干预。</w:t>
            </w:r>
          </w:p>
        </w:tc>
        <w:tc>
          <w:tcPr>
            <w:tcW w:w="1226" w:type="dxa"/>
            <w:tcBorders>
              <w:top w:val="single" w:color="000000" w:sz="4" w:space="0"/>
              <w:left w:val="single" w:color="000000" w:sz="4" w:space="0"/>
              <w:bottom w:val="single" w:color="000000" w:sz="4" w:space="0"/>
              <w:right w:val="single" w:color="000000" w:sz="4" w:space="0"/>
            </w:tcBorders>
            <w:vAlign w:val="center"/>
          </w:tcPr>
          <w:p w14:paraId="1FD053C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F220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3D69F4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56</w:t>
            </w:r>
          </w:p>
        </w:tc>
        <w:tc>
          <w:tcPr>
            <w:tcW w:w="1312" w:type="dxa"/>
            <w:tcBorders>
              <w:top w:val="single" w:color="000000" w:sz="4" w:space="0"/>
              <w:left w:val="single" w:color="000000" w:sz="4" w:space="0"/>
              <w:bottom w:val="single" w:color="000000" w:sz="4" w:space="0"/>
              <w:right w:val="single" w:color="000000" w:sz="4" w:space="0"/>
            </w:tcBorders>
            <w:vAlign w:val="center"/>
          </w:tcPr>
          <w:p w14:paraId="7F172DC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财务数据加工-数据库直连转换</w:t>
            </w:r>
          </w:p>
        </w:tc>
        <w:tc>
          <w:tcPr>
            <w:tcW w:w="5337" w:type="dxa"/>
            <w:tcBorders>
              <w:top w:val="single" w:color="000000" w:sz="4" w:space="0"/>
              <w:left w:val="single" w:color="000000" w:sz="4" w:space="0"/>
              <w:bottom w:val="single" w:color="000000" w:sz="4" w:space="0"/>
              <w:right w:val="single" w:color="000000" w:sz="4" w:space="0"/>
            </w:tcBorders>
            <w:vAlign w:val="center"/>
          </w:tcPr>
          <w:p w14:paraId="559D182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将单位报送的原始文件手动或自动还原成数据库后，直接连接数据库</w:t>
            </w:r>
            <w:r>
              <w:rPr>
                <w:rFonts w:hint="eastAsia" w:ascii="宋体" w:hAnsi="宋体" w:eastAsia="宋体" w:cs="宋体"/>
                <w:b w:val="0"/>
                <w:bCs w:val="0"/>
                <w:i w:val="0"/>
                <w:iCs w:val="0"/>
                <w:color w:val="auto"/>
                <w:kern w:val="0"/>
                <w:sz w:val="21"/>
                <w:szCs w:val="21"/>
                <w:u w:val="none"/>
                <w:lang w:val="en-US" w:eastAsia="zh-CN"/>
              </w:rPr>
              <w:t>链接</w:t>
            </w:r>
            <w:r>
              <w:rPr>
                <w:rFonts w:hint="default" w:ascii="宋体" w:hAnsi="宋体" w:eastAsia="宋体" w:cs="宋体"/>
                <w:b w:val="0"/>
                <w:bCs w:val="0"/>
                <w:i w:val="0"/>
                <w:iCs w:val="0"/>
                <w:color w:val="auto"/>
                <w:kern w:val="0"/>
                <w:sz w:val="21"/>
                <w:szCs w:val="21"/>
                <w:u w:val="none"/>
                <w:lang w:val="en-US" w:eastAsia="zh-CN"/>
              </w:rPr>
              <w:t>，再通过采集模板自动执行形成财务标准数据。</w:t>
            </w:r>
          </w:p>
        </w:tc>
        <w:tc>
          <w:tcPr>
            <w:tcW w:w="1226" w:type="dxa"/>
            <w:tcBorders>
              <w:top w:val="single" w:color="000000" w:sz="4" w:space="0"/>
              <w:left w:val="single" w:color="000000" w:sz="4" w:space="0"/>
              <w:bottom w:val="single" w:color="000000" w:sz="4" w:space="0"/>
              <w:right w:val="single" w:color="000000" w:sz="4" w:space="0"/>
            </w:tcBorders>
            <w:vAlign w:val="center"/>
          </w:tcPr>
          <w:p w14:paraId="67826937">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0853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0EA8376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57</w:t>
            </w:r>
          </w:p>
        </w:tc>
        <w:tc>
          <w:tcPr>
            <w:tcW w:w="1312" w:type="dxa"/>
            <w:tcBorders>
              <w:top w:val="single" w:color="000000" w:sz="4" w:space="0"/>
              <w:left w:val="single" w:color="000000" w:sz="4" w:space="0"/>
              <w:bottom w:val="single" w:color="000000" w:sz="4" w:space="0"/>
              <w:right w:val="single" w:color="000000" w:sz="4" w:space="0"/>
            </w:tcBorders>
            <w:vAlign w:val="center"/>
          </w:tcPr>
          <w:p w14:paraId="477BD78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财务数据加工</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采集日志管理</w:t>
            </w:r>
          </w:p>
        </w:tc>
        <w:tc>
          <w:tcPr>
            <w:tcW w:w="5337" w:type="dxa"/>
            <w:tcBorders>
              <w:top w:val="single" w:color="000000" w:sz="4" w:space="0"/>
              <w:left w:val="single" w:color="000000" w:sz="4" w:space="0"/>
              <w:bottom w:val="single" w:color="000000" w:sz="4" w:space="0"/>
              <w:right w:val="single" w:color="000000" w:sz="4" w:space="0"/>
            </w:tcBorders>
            <w:vAlign w:val="center"/>
          </w:tcPr>
          <w:p w14:paraId="54A6FB8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实时查看跟踪数据库文件和数据库转换的采集进度，对于财务数据与单位关联不准时，可手动重新选择单位关联账套，进行校准。</w:t>
            </w:r>
          </w:p>
        </w:tc>
        <w:tc>
          <w:tcPr>
            <w:tcW w:w="1226" w:type="dxa"/>
            <w:tcBorders>
              <w:top w:val="single" w:color="000000" w:sz="4" w:space="0"/>
              <w:left w:val="single" w:color="000000" w:sz="4" w:space="0"/>
              <w:bottom w:val="single" w:color="000000" w:sz="4" w:space="0"/>
              <w:right w:val="single" w:color="000000" w:sz="4" w:space="0"/>
            </w:tcBorders>
            <w:vAlign w:val="center"/>
          </w:tcPr>
          <w:p w14:paraId="40656BB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6D18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30C29AE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58</w:t>
            </w:r>
          </w:p>
        </w:tc>
        <w:tc>
          <w:tcPr>
            <w:tcW w:w="1312" w:type="dxa"/>
            <w:tcBorders>
              <w:top w:val="single" w:color="000000" w:sz="4" w:space="0"/>
              <w:left w:val="single" w:color="000000" w:sz="4" w:space="0"/>
              <w:bottom w:val="single" w:color="000000" w:sz="4" w:space="0"/>
              <w:right w:val="single" w:color="000000" w:sz="4" w:space="0"/>
            </w:tcBorders>
            <w:vAlign w:val="center"/>
          </w:tcPr>
          <w:p w14:paraId="021AECD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行为日志</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操作行为记录</w:t>
            </w:r>
          </w:p>
        </w:tc>
        <w:tc>
          <w:tcPr>
            <w:tcW w:w="5337" w:type="dxa"/>
            <w:tcBorders>
              <w:top w:val="single" w:color="000000" w:sz="4" w:space="0"/>
              <w:left w:val="single" w:color="000000" w:sz="4" w:space="0"/>
              <w:bottom w:val="single" w:color="000000" w:sz="4" w:space="0"/>
              <w:right w:val="single" w:color="000000" w:sz="4" w:space="0"/>
            </w:tcBorders>
            <w:vAlign w:val="center"/>
          </w:tcPr>
          <w:p w14:paraId="1936E97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数据操作行为记录功能跟踪和记录所有对数据的操作行为，包括数据修改、删除、导入和导出等。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6A22F59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ADE1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41D5516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59</w:t>
            </w:r>
          </w:p>
        </w:tc>
        <w:tc>
          <w:tcPr>
            <w:tcW w:w="1312" w:type="dxa"/>
            <w:tcBorders>
              <w:top w:val="single" w:color="000000" w:sz="4" w:space="0"/>
              <w:left w:val="single" w:color="000000" w:sz="4" w:space="0"/>
              <w:bottom w:val="single" w:color="000000" w:sz="4" w:space="0"/>
              <w:right w:val="single" w:color="000000" w:sz="4" w:space="0"/>
            </w:tcBorders>
            <w:vAlign w:val="center"/>
          </w:tcPr>
          <w:p w14:paraId="55070D6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行为日志</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行为日志导出</w:t>
            </w:r>
          </w:p>
        </w:tc>
        <w:tc>
          <w:tcPr>
            <w:tcW w:w="5337" w:type="dxa"/>
            <w:tcBorders>
              <w:top w:val="single" w:color="000000" w:sz="4" w:space="0"/>
              <w:left w:val="single" w:color="000000" w:sz="4" w:space="0"/>
              <w:bottom w:val="single" w:color="000000" w:sz="4" w:space="0"/>
              <w:right w:val="single" w:color="000000" w:sz="4" w:space="0"/>
            </w:tcBorders>
            <w:vAlign w:val="center"/>
          </w:tcPr>
          <w:p w14:paraId="299ABC3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所有生成的行为日志可以导入到中心版系统，便于集中存储和管理。</w:t>
            </w:r>
          </w:p>
        </w:tc>
        <w:tc>
          <w:tcPr>
            <w:tcW w:w="1226" w:type="dxa"/>
            <w:tcBorders>
              <w:top w:val="single" w:color="000000" w:sz="4" w:space="0"/>
              <w:left w:val="single" w:color="000000" w:sz="4" w:space="0"/>
              <w:bottom w:val="single" w:color="000000" w:sz="4" w:space="0"/>
              <w:right w:val="single" w:color="000000" w:sz="4" w:space="0"/>
            </w:tcBorders>
            <w:vAlign w:val="center"/>
          </w:tcPr>
          <w:p w14:paraId="3B32886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C2CE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365F260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60</w:t>
            </w:r>
          </w:p>
        </w:tc>
        <w:tc>
          <w:tcPr>
            <w:tcW w:w="1312" w:type="dxa"/>
            <w:tcBorders>
              <w:top w:val="single" w:color="000000" w:sz="4" w:space="0"/>
              <w:left w:val="single" w:color="000000" w:sz="4" w:space="0"/>
              <w:bottom w:val="single" w:color="000000" w:sz="4" w:space="0"/>
              <w:right w:val="single" w:color="000000" w:sz="4" w:space="0"/>
            </w:tcBorders>
            <w:vAlign w:val="center"/>
          </w:tcPr>
          <w:p w14:paraId="72853B5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在线监控</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运行总览</w:t>
            </w:r>
          </w:p>
        </w:tc>
        <w:tc>
          <w:tcPr>
            <w:tcW w:w="5337" w:type="dxa"/>
            <w:tcBorders>
              <w:top w:val="single" w:color="000000" w:sz="4" w:space="0"/>
              <w:left w:val="single" w:color="000000" w:sz="4" w:space="0"/>
              <w:bottom w:val="single" w:color="000000" w:sz="4" w:space="0"/>
              <w:right w:val="single" w:color="000000" w:sz="4" w:space="0"/>
            </w:tcBorders>
            <w:vAlign w:val="center"/>
          </w:tcPr>
          <w:p w14:paraId="3944F36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通过直观的仪表盘展示平台的总体运行情况，包括系统资源使用情况、网络流量、并发任务数量以及系统健康状态。</w:t>
            </w:r>
          </w:p>
        </w:tc>
        <w:tc>
          <w:tcPr>
            <w:tcW w:w="1226" w:type="dxa"/>
            <w:tcBorders>
              <w:top w:val="single" w:color="000000" w:sz="4" w:space="0"/>
              <w:left w:val="single" w:color="000000" w:sz="4" w:space="0"/>
              <w:bottom w:val="single" w:color="000000" w:sz="4" w:space="0"/>
              <w:right w:val="single" w:color="000000" w:sz="4" w:space="0"/>
            </w:tcBorders>
            <w:vAlign w:val="center"/>
          </w:tcPr>
          <w:p w14:paraId="233CF1D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A5E9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89FE6E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61</w:t>
            </w:r>
          </w:p>
        </w:tc>
        <w:tc>
          <w:tcPr>
            <w:tcW w:w="1312" w:type="dxa"/>
            <w:tcBorders>
              <w:top w:val="single" w:color="000000" w:sz="4" w:space="0"/>
              <w:left w:val="single" w:color="000000" w:sz="4" w:space="0"/>
              <w:bottom w:val="single" w:color="000000" w:sz="4" w:space="0"/>
              <w:right w:val="single" w:color="000000" w:sz="4" w:space="0"/>
            </w:tcBorders>
            <w:vAlign w:val="center"/>
          </w:tcPr>
          <w:p w14:paraId="4EF066D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在线监控</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运行概况</w:t>
            </w:r>
          </w:p>
        </w:tc>
        <w:tc>
          <w:tcPr>
            <w:tcW w:w="5337" w:type="dxa"/>
            <w:tcBorders>
              <w:top w:val="single" w:color="000000" w:sz="4" w:space="0"/>
              <w:left w:val="single" w:color="000000" w:sz="4" w:space="0"/>
              <w:bottom w:val="single" w:color="000000" w:sz="4" w:space="0"/>
              <w:right w:val="single" w:color="000000" w:sz="4" w:space="0"/>
            </w:tcBorders>
            <w:vAlign w:val="center"/>
          </w:tcPr>
          <w:p w14:paraId="6D4E996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运行概况功能详细展示各个子系统和组件的运行状态，包括数据采集模块、数据存储模块、数据处理模块等。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5CD1A7EC">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E0E0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24150F6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62</w:t>
            </w:r>
          </w:p>
        </w:tc>
        <w:tc>
          <w:tcPr>
            <w:tcW w:w="1312" w:type="dxa"/>
            <w:tcBorders>
              <w:top w:val="single" w:color="000000" w:sz="4" w:space="0"/>
              <w:left w:val="single" w:color="000000" w:sz="4" w:space="0"/>
              <w:bottom w:val="single" w:color="000000" w:sz="4" w:space="0"/>
              <w:right w:val="single" w:color="000000" w:sz="4" w:space="0"/>
            </w:tcBorders>
            <w:vAlign w:val="center"/>
          </w:tcPr>
          <w:p w14:paraId="29C8BE2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在线监控</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采集任务监控</w:t>
            </w:r>
          </w:p>
        </w:tc>
        <w:tc>
          <w:tcPr>
            <w:tcW w:w="5337" w:type="dxa"/>
            <w:tcBorders>
              <w:top w:val="single" w:color="000000" w:sz="4" w:space="0"/>
              <w:left w:val="single" w:color="000000" w:sz="4" w:space="0"/>
              <w:bottom w:val="single" w:color="000000" w:sz="4" w:space="0"/>
              <w:right w:val="single" w:color="000000" w:sz="4" w:space="0"/>
            </w:tcBorders>
            <w:vAlign w:val="center"/>
          </w:tcPr>
          <w:p w14:paraId="47C0BB2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数据采集任务监控功能实时跟踪和管理所有数据采集任务。</w:t>
            </w:r>
          </w:p>
        </w:tc>
        <w:tc>
          <w:tcPr>
            <w:tcW w:w="1226" w:type="dxa"/>
            <w:tcBorders>
              <w:top w:val="single" w:color="000000" w:sz="4" w:space="0"/>
              <w:left w:val="single" w:color="000000" w:sz="4" w:space="0"/>
              <w:bottom w:val="single" w:color="000000" w:sz="4" w:space="0"/>
              <w:right w:val="single" w:color="000000" w:sz="4" w:space="0"/>
            </w:tcBorders>
            <w:vAlign w:val="center"/>
          </w:tcPr>
          <w:p w14:paraId="182F098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A590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C74283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63</w:t>
            </w:r>
          </w:p>
        </w:tc>
        <w:tc>
          <w:tcPr>
            <w:tcW w:w="1312" w:type="dxa"/>
            <w:tcBorders>
              <w:top w:val="single" w:color="000000" w:sz="4" w:space="0"/>
              <w:left w:val="single" w:color="000000" w:sz="4" w:space="0"/>
              <w:bottom w:val="single" w:color="000000" w:sz="4" w:space="0"/>
              <w:right w:val="single" w:color="000000" w:sz="4" w:space="0"/>
            </w:tcBorders>
            <w:vAlign w:val="center"/>
          </w:tcPr>
          <w:p w14:paraId="16FD090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在线监控-质控任务监控</w:t>
            </w:r>
          </w:p>
        </w:tc>
        <w:tc>
          <w:tcPr>
            <w:tcW w:w="5337" w:type="dxa"/>
            <w:tcBorders>
              <w:top w:val="single" w:color="000000" w:sz="4" w:space="0"/>
              <w:left w:val="single" w:color="000000" w:sz="4" w:space="0"/>
              <w:bottom w:val="single" w:color="000000" w:sz="4" w:space="0"/>
              <w:right w:val="single" w:color="000000" w:sz="4" w:space="0"/>
            </w:tcBorders>
            <w:vAlign w:val="center"/>
          </w:tcPr>
          <w:p w14:paraId="7328BDD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数据质量评估任务的实时监控会定期执行数据质量检查，并记录各项质量指标，如数据完整性、一致性、准确性和及时性等。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04DFD610">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4A4D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5FD7A9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64</w:t>
            </w:r>
          </w:p>
        </w:tc>
        <w:tc>
          <w:tcPr>
            <w:tcW w:w="1312" w:type="dxa"/>
            <w:tcBorders>
              <w:top w:val="single" w:color="000000" w:sz="4" w:space="0"/>
              <w:left w:val="single" w:color="000000" w:sz="4" w:space="0"/>
              <w:bottom w:val="single" w:color="000000" w:sz="4" w:space="0"/>
              <w:right w:val="single" w:color="000000" w:sz="4" w:space="0"/>
            </w:tcBorders>
            <w:vAlign w:val="center"/>
          </w:tcPr>
          <w:p w14:paraId="38D3219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在线监控</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清洗任务监控</w:t>
            </w:r>
          </w:p>
        </w:tc>
        <w:tc>
          <w:tcPr>
            <w:tcW w:w="5337" w:type="dxa"/>
            <w:tcBorders>
              <w:top w:val="single" w:color="000000" w:sz="4" w:space="0"/>
              <w:left w:val="single" w:color="000000" w:sz="4" w:space="0"/>
              <w:bottom w:val="single" w:color="000000" w:sz="4" w:space="0"/>
              <w:right w:val="single" w:color="000000" w:sz="4" w:space="0"/>
            </w:tcBorders>
            <w:vAlign w:val="center"/>
          </w:tcPr>
          <w:p w14:paraId="0C30CF6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数据清洗任务监控功能负责跟踪和管理数据清洗过程，确保数据的准确性和一致性。</w:t>
            </w:r>
          </w:p>
        </w:tc>
        <w:tc>
          <w:tcPr>
            <w:tcW w:w="1226" w:type="dxa"/>
            <w:tcBorders>
              <w:top w:val="single" w:color="000000" w:sz="4" w:space="0"/>
              <w:left w:val="single" w:color="000000" w:sz="4" w:space="0"/>
              <w:bottom w:val="single" w:color="000000" w:sz="4" w:space="0"/>
              <w:right w:val="single" w:color="000000" w:sz="4" w:space="0"/>
            </w:tcBorders>
            <w:vAlign w:val="center"/>
          </w:tcPr>
          <w:p w14:paraId="5A15A36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225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65AD0B7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65</w:t>
            </w:r>
          </w:p>
        </w:tc>
        <w:tc>
          <w:tcPr>
            <w:tcW w:w="1312" w:type="dxa"/>
            <w:tcBorders>
              <w:top w:val="single" w:color="000000" w:sz="4" w:space="0"/>
              <w:left w:val="single" w:color="000000" w:sz="4" w:space="0"/>
              <w:bottom w:val="single" w:color="000000" w:sz="4" w:space="0"/>
              <w:right w:val="single" w:color="000000" w:sz="4" w:space="0"/>
            </w:tcBorders>
            <w:vAlign w:val="center"/>
          </w:tcPr>
          <w:p w14:paraId="26B6BE5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在线监控-采集异常诊断</w:t>
            </w:r>
          </w:p>
        </w:tc>
        <w:tc>
          <w:tcPr>
            <w:tcW w:w="5337" w:type="dxa"/>
            <w:tcBorders>
              <w:top w:val="single" w:color="000000" w:sz="4" w:space="0"/>
              <w:left w:val="single" w:color="000000" w:sz="4" w:space="0"/>
              <w:bottom w:val="single" w:color="000000" w:sz="4" w:space="0"/>
              <w:right w:val="single" w:color="000000" w:sz="4" w:space="0"/>
            </w:tcBorders>
            <w:vAlign w:val="center"/>
          </w:tcPr>
          <w:p w14:paraId="4C329D7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采集异常诊断用于监测和分析数据采集过程中出现的各种异常情况。基于采集平台的运行日志进行分析。</w:t>
            </w:r>
          </w:p>
        </w:tc>
        <w:tc>
          <w:tcPr>
            <w:tcW w:w="1226" w:type="dxa"/>
            <w:tcBorders>
              <w:top w:val="single" w:color="000000" w:sz="4" w:space="0"/>
              <w:left w:val="single" w:color="000000" w:sz="4" w:space="0"/>
              <w:bottom w:val="single" w:color="000000" w:sz="4" w:space="0"/>
              <w:right w:val="single" w:color="000000" w:sz="4" w:space="0"/>
            </w:tcBorders>
            <w:vAlign w:val="center"/>
          </w:tcPr>
          <w:p w14:paraId="5DCFB1B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D4A2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259FB3F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66</w:t>
            </w:r>
          </w:p>
        </w:tc>
        <w:tc>
          <w:tcPr>
            <w:tcW w:w="1312" w:type="dxa"/>
            <w:tcBorders>
              <w:top w:val="single" w:color="000000" w:sz="4" w:space="0"/>
              <w:left w:val="single" w:color="000000" w:sz="4" w:space="0"/>
              <w:bottom w:val="single" w:color="000000" w:sz="4" w:space="0"/>
              <w:right w:val="single" w:color="000000" w:sz="4" w:space="0"/>
            </w:tcBorders>
            <w:vAlign w:val="center"/>
          </w:tcPr>
          <w:p w14:paraId="2CB2988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维护财务账套</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维护账套</w:t>
            </w:r>
          </w:p>
        </w:tc>
        <w:tc>
          <w:tcPr>
            <w:tcW w:w="5337" w:type="dxa"/>
            <w:tcBorders>
              <w:top w:val="single" w:color="000000" w:sz="4" w:space="0"/>
              <w:left w:val="single" w:color="000000" w:sz="4" w:space="0"/>
              <w:bottom w:val="single" w:color="000000" w:sz="4" w:space="0"/>
              <w:right w:val="single" w:color="000000" w:sz="4" w:space="0"/>
            </w:tcBorders>
            <w:vAlign w:val="center"/>
          </w:tcPr>
          <w:p w14:paraId="66B317A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针对财务数据按照采集转化脚本转换后的标准数据，以财务账套的形式进行管理，包括删除、引入账套等功能。</w:t>
            </w:r>
          </w:p>
        </w:tc>
        <w:tc>
          <w:tcPr>
            <w:tcW w:w="1226" w:type="dxa"/>
            <w:tcBorders>
              <w:top w:val="single" w:color="000000" w:sz="4" w:space="0"/>
              <w:left w:val="single" w:color="000000" w:sz="4" w:space="0"/>
              <w:bottom w:val="single" w:color="000000" w:sz="4" w:space="0"/>
              <w:right w:val="single" w:color="000000" w:sz="4" w:space="0"/>
            </w:tcBorders>
            <w:vAlign w:val="center"/>
          </w:tcPr>
          <w:p w14:paraId="1E08240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3157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EE3E44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67</w:t>
            </w:r>
          </w:p>
        </w:tc>
        <w:tc>
          <w:tcPr>
            <w:tcW w:w="1312" w:type="dxa"/>
            <w:tcBorders>
              <w:top w:val="single" w:color="000000" w:sz="4" w:space="0"/>
              <w:left w:val="single" w:color="000000" w:sz="4" w:space="0"/>
              <w:bottom w:val="single" w:color="000000" w:sz="4" w:space="0"/>
              <w:right w:val="single" w:color="000000" w:sz="4" w:space="0"/>
            </w:tcBorders>
            <w:vAlign w:val="center"/>
          </w:tcPr>
          <w:p w14:paraId="2D8D491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维护财务账套</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账套同步</w:t>
            </w:r>
          </w:p>
        </w:tc>
        <w:tc>
          <w:tcPr>
            <w:tcW w:w="5337" w:type="dxa"/>
            <w:tcBorders>
              <w:top w:val="single" w:color="000000" w:sz="4" w:space="0"/>
              <w:left w:val="single" w:color="000000" w:sz="4" w:space="0"/>
              <w:bottom w:val="single" w:color="000000" w:sz="4" w:space="0"/>
              <w:right w:val="single" w:color="000000" w:sz="4" w:space="0"/>
            </w:tcBorders>
            <w:vAlign w:val="center"/>
          </w:tcPr>
          <w:p w14:paraId="0E686E0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设置同步账套执行的周期，填写任务类型、执行类型、间隔类型、执行时间等信息，并启动定时任务，包括新增、修改、删除、启动和停止。</w:t>
            </w:r>
          </w:p>
        </w:tc>
        <w:tc>
          <w:tcPr>
            <w:tcW w:w="1226" w:type="dxa"/>
            <w:tcBorders>
              <w:top w:val="single" w:color="000000" w:sz="4" w:space="0"/>
              <w:left w:val="single" w:color="000000" w:sz="4" w:space="0"/>
              <w:bottom w:val="single" w:color="000000" w:sz="4" w:space="0"/>
              <w:right w:val="single" w:color="000000" w:sz="4" w:space="0"/>
            </w:tcBorders>
            <w:vAlign w:val="center"/>
          </w:tcPr>
          <w:p w14:paraId="499F391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8608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053F7C8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68</w:t>
            </w:r>
          </w:p>
        </w:tc>
        <w:tc>
          <w:tcPr>
            <w:tcW w:w="1312" w:type="dxa"/>
            <w:tcBorders>
              <w:top w:val="single" w:color="000000" w:sz="4" w:space="0"/>
              <w:left w:val="single" w:color="000000" w:sz="4" w:space="0"/>
              <w:bottom w:val="single" w:color="000000" w:sz="4" w:space="0"/>
              <w:right w:val="single" w:color="000000" w:sz="4" w:space="0"/>
            </w:tcBorders>
            <w:vAlign w:val="center"/>
          </w:tcPr>
          <w:p w14:paraId="75B3C00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在线看账工具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切换账套</w:t>
            </w:r>
          </w:p>
        </w:tc>
        <w:tc>
          <w:tcPr>
            <w:tcW w:w="5337" w:type="dxa"/>
            <w:tcBorders>
              <w:top w:val="single" w:color="000000" w:sz="4" w:space="0"/>
              <w:left w:val="single" w:color="000000" w:sz="4" w:space="0"/>
              <w:bottom w:val="single" w:color="000000" w:sz="4" w:space="0"/>
              <w:right w:val="single" w:color="000000" w:sz="4" w:space="0"/>
            </w:tcBorders>
            <w:vAlign w:val="center"/>
          </w:tcPr>
          <w:p w14:paraId="068D3C2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通过切换账套，查看一家单位的财务账套，通过科目余额查询，从科目余额穿透查看总账，再从总账穿透查看明细，从明细穿透查看凭证，从凭证穿透查看凭证明细；</w:t>
            </w:r>
          </w:p>
        </w:tc>
        <w:tc>
          <w:tcPr>
            <w:tcW w:w="1226" w:type="dxa"/>
            <w:tcBorders>
              <w:top w:val="single" w:color="000000" w:sz="4" w:space="0"/>
              <w:left w:val="single" w:color="000000" w:sz="4" w:space="0"/>
              <w:bottom w:val="single" w:color="000000" w:sz="4" w:space="0"/>
              <w:right w:val="single" w:color="000000" w:sz="4" w:space="0"/>
            </w:tcBorders>
            <w:vAlign w:val="center"/>
          </w:tcPr>
          <w:p w14:paraId="2609410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78E1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3F20EC4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69</w:t>
            </w:r>
          </w:p>
        </w:tc>
        <w:tc>
          <w:tcPr>
            <w:tcW w:w="1312" w:type="dxa"/>
            <w:tcBorders>
              <w:top w:val="single" w:color="000000" w:sz="4" w:space="0"/>
              <w:left w:val="single" w:color="000000" w:sz="4" w:space="0"/>
              <w:bottom w:val="single" w:color="000000" w:sz="4" w:space="0"/>
              <w:right w:val="single" w:color="000000" w:sz="4" w:space="0"/>
            </w:tcBorders>
            <w:vAlign w:val="center"/>
          </w:tcPr>
          <w:p w14:paraId="479425A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在线看账工具-辅助账查询</w:t>
            </w:r>
          </w:p>
        </w:tc>
        <w:tc>
          <w:tcPr>
            <w:tcW w:w="5337" w:type="dxa"/>
            <w:tcBorders>
              <w:top w:val="single" w:color="000000" w:sz="4" w:space="0"/>
              <w:left w:val="single" w:color="000000" w:sz="4" w:space="0"/>
              <w:bottom w:val="single" w:color="000000" w:sz="4" w:space="0"/>
              <w:right w:val="single" w:color="000000" w:sz="4" w:space="0"/>
            </w:tcBorders>
            <w:vAlign w:val="center"/>
          </w:tcPr>
          <w:p w14:paraId="19B1E41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通过辅助账查询，从辅助账穿透查看辅助余额表，从辅助余额表穿透查看辅助明细账，从辅助明细账穿透查看记账凭证，从记账凭证穿透查看凭证明细；</w:t>
            </w:r>
          </w:p>
        </w:tc>
        <w:tc>
          <w:tcPr>
            <w:tcW w:w="1226" w:type="dxa"/>
            <w:tcBorders>
              <w:top w:val="single" w:color="000000" w:sz="4" w:space="0"/>
              <w:left w:val="single" w:color="000000" w:sz="4" w:space="0"/>
              <w:bottom w:val="single" w:color="000000" w:sz="4" w:space="0"/>
              <w:right w:val="single" w:color="000000" w:sz="4" w:space="0"/>
            </w:tcBorders>
            <w:vAlign w:val="center"/>
          </w:tcPr>
          <w:p w14:paraId="2136CF2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D558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55FFBA3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70</w:t>
            </w:r>
          </w:p>
        </w:tc>
        <w:tc>
          <w:tcPr>
            <w:tcW w:w="1312" w:type="dxa"/>
            <w:tcBorders>
              <w:top w:val="single" w:color="000000" w:sz="4" w:space="0"/>
              <w:left w:val="single" w:color="000000" w:sz="4" w:space="0"/>
              <w:bottom w:val="single" w:color="000000" w:sz="4" w:space="0"/>
              <w:right w:val="single" w:color="000000" w:sz="4" w:space="0"/>
            </w:tcBorders>
            <w:vAlign w:val="center"/>
          </w:tcPr>
          <w:p w14:paraId="3A5B92C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在线看账工具-现金日记账查询</w:t>
            </w:r>
          </w:p>
        </w:tc>
        <w:tc>
          <w:tcPr>
            <w:tcW w:w="5337" w:type="dxa"/>
            <w:tcBorders>
              <w:top w:val="single" w:color="000000" w:sz="4" w:space="0"/>
              <w:left w:val="single" w:color="000000" w:sz="4" w:space="0"/>
              <w:bottom w:val="single" w:color="000000" w:sz="4" w:space="0"/>
              <w:right w:val="single" w:color="000000" w:sz="4" w:space="0"/>
            </w:tcBorders>
            <w:vAlign w:val="center"/>
          </w:tcPr>
          <w:p w14:paraId="0B1926F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通过现金日记账查询，查看单位现金记账的科目编码、凭证日期、凭证号、年度、会计月份、摘要、借方金额、贷方金额等信息；</w:t>
            </w:r>
          </w:p>
        </w:tc>
        <w:tc>
          <w:tcPr>
            <w:tcW w:w="1226" w:type="dxa"/>
            <w:tcBorders>
              <w:top w:val="single" w:color="000000" w:sz="4" w:space="0"/>
              <w:left w:val="single" w:color="000000" w:sz="4" w:space="0"/>
              <w:bottom w:val="single" w:color="000000" w:sz="4" w:space="0"/>
              <w:right w:val="single" w:color="000000" w:sz="4" w:space="0"/>
            </w:tcBorders>
            <w:vAlign w:val="center"/>
          </w:tcPr>
          <w:p w14:paraId="1A9F78B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9CE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34905B3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71</w:t>
            </w:r>
          </w:p>
        </w:tc>
        <w:tc>
          <w:tcPr>
            <w:tcW w:w="1312" w:type="dxa"/>
            <w:tcBorders>
              <w:top w:val="single" w:color="000000" w:sz="4" w:space="0"/>
              <w:left w:val="single" w:color="000000" w:sz="4" w:space="0"/>
              <w:bottom w:val="single" w:color="000000" w:sz="4" w:space="0"/>
              <w:right w:val="single" w:color="000000" w:sz="4" w:space="0"/>
            </w:tcBorders>
            <w:vAlign w:val="center"/>
          </w:tcPr>
          <w:p w14:paraId="55E3E7B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在线看账工具-银行日记账查询</w:t>
            </w:r>
          </w:p>
        </w:tc>
        <w:tc>
          <w:tcPr>
            <w:tcW w:w="5337" w:type="dxa"/>
            <w:tcBorders>
              <w:top w:val="single" w:color="000000" w:sz="4" w:space="0"/>
              <w:left w:val="single" w:color="000000" w:sz="4" w:space="0"/>
              <w:bottom w:val="single" w:color="000000" w:sz="4" w:space="0"/>
              <w:right w:val="single" w:color="000000" w:sz="4" w:space="0"/>
            </w:tcBorders>
            <w:vAlign w:val="center"/>
          </w:tcPr>
          <w:p w14:paraId="430E431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通过银行日记账查询，查看单位现金记账的科目编码、凭证日期、凭证号、年度、会计月份、摘要、借方金额、贷方金额等信息；</w:t>
            </w:r>
          </w:p>
        </w:tc>
        <w:tc>
          <w:tcPr>
            <w:tcW w:w="1226" w:type="dxa"/>
            <w:tcBorders>
              <w:top w:val="single" w:color="000000" w:sz="4" w:space="0"/>
              <w:left w:val="single" w:color="000000" w:sz="4" w:space="0"/>
              <w:bottom w:val="single" w:color="000000" w:sz="4" w:space="0"/>
              <w:right w:val="single" w:color="000000" w:sz="4" w:space="0"/>
            </w:tcBorders>
            <w:vAlign w:val="center"/>
          </w:tcPr>
          <w:p w14:paraId="691458D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E278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624ECA2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72</w:t>
            </w:r>
          </w:p>
        </w:tc>
        <w:tc>
          <w:tcPr>
            <w:tcW w:w="1312" w:type="dxa"/>
            <w:tcBorders>
              <w:top w:val="single" w:color="000000" w:sz="4" w:space="0"/>
              <w:left w:val="single" w:color="000000" w:sz="4" w:space="0"/>
              <w:bottom w:val="single" w:color="000000" w:sz="4" w:space="0"/>
              <w:right w:val="single" w:color="000000" w:sz="4" w:space="0"/>
            </w:tcBorders>
            <w:vAlign w:val="center"/>
          </w:tcPr>
          <w:p w14:paraId="1D7A213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在线看账工具-凭证库查询</w:t>
            </w:r>
          </w:p>
        </w:tc>
        <w:tc>
          <w:tcPr>
            <w:tcW w:w="5337" w:type="dxa"/>
            <w:tcBorders>
              <w:top w:val="single" w:color="000000" w:sz="4" w:space="0"/>
              <w:left w:val="single" w:color="000000" w:sz="4" w:space="0"/>
              <w:bottom w:val="single" w:color="000000" w:sz="4" w:space="0"/>
              <w:right w:val="single" w:color="000000" w:sz="4" w:space="0"/>
            </w:tcBorders>
            <w:vAlign w:val="center"/>
          </w:tcPr>
          <w:p w14:paraId="1A29980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凭证库查询，查看凭证信息，从凭证库穿透查看具体凭证明细，从凭证明细穿透查看科目明细账，根据科目明细账中的凭证号可以继续穿透查看凭证，从凭证穿透查看凭证明细，可以循环不断的查看，直到最后一层数据；</w:t>
            </w:r>
          </w:p>
        </w:tc>
        <w:tc>
          <w:tcPr>
            <w:tcW w:w="1226" w:type="dxa"/>
            <w:tcBorders>
              <w:top w:val="single" w:color="000000" w:sz="4" w:space="0"/>
              <w:left w:val="single" w:color="000000" w:sz="4" w:space="0"/>
              <w:bottom w:val="single" w:color="000000" w:sz="4" w:space="0"/>
              <w:right w:val="single" w:color="000000" w:sz="4" w:space="0"/>
            </w:tcBorders>
            <w:vAlign w:val="center"/>
          </w:tcPr>
          <w:p w14:paraId="65E3BA0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605A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871025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73</w:t>
            </w:r>
          </w:p>
        </w:tc>
        <w:tc>
          <w:tcPr>
            <w:tcW w:w="1312" w:type="dxa"/>
            <w:tcBorders>
              <w:top w:val="single" w:color="000000" w:sz="4" w:space="0"/>
              <w:left w:val="single" w:color="000000" w:sz="4" w:space="0"/>
              <w:bottom w:val="single" w:color="000000" w:sz="4" w:space="0"/>
              <w:right w:val="single" w:color="000000" w:sz="4" w:space="0"/>
            </w:tcBorders>
            <w:vAlign w:val="center"/>
          </w:tcPr>
          <w:p w14:paraId="330484E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在线看账工具-凭证辅助明细查询</w:t>
            </w:r>
          </w:p>
        </w:tc>
        <w:tc>
          <w:tcPr>
            <w:tcW w:w="5337" w:type="dxa"/>
            <w:tcBorders>
              <w:top w:val="single" w:color="000000" w:sz="4" w:space="0"/>
              <w:left w:val="single" w:color="000000" w:sz="4" w:space="0"/>
              <w:bottom w:val="single" w:color="000000" w:sz="4" w:space="0"/>
              <w:right w:val="single" w:color="000000" w:sz="4" w:space="0"/>
            </w:tcBorders>
            <w:vAlign w:val="center"/>
          </w:tcPr>
          <w:p w14:paraId="595C913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凭证辅助明细查询，查看凭证辅助明细信息，从凭证辅助明细穿透查看具体凭证明细，从凭证明细穿透查看科目明细账，根据科目明细账中的凭证号可以继续穿透查看凭证，从凭证穿透查看凭证明细，可以循环不断的查看，直到最后一层数据。</w:t>
            </w:r>
          </w:p>
        </w:tc>
        <w:tc>
          <w:tcPr>
            <w:tcW w:w="1226" w:type="dxa"/>
            <w:tcBorders>
              <w:top w:val="single" w:color="000000" w:sz="4" w:space="0"/>
              <w:left w:val="single" w:color="000000" w:sz="4" w:space="0"/>
              <w:bottom w:val="single" w:color="000000" w:sz="4" w:space="0"/>
              <w:right w:val="single" w:color="000000" w:sz="4" w:space="0"/>
            </w:tcBorders>
            <w:vAlign w:val="center"/>
          </w:tcPr>
          <w:p w14:paraId="6EA83E1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1F59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7EFB5D2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74</w:t>
            </w:r>
          </w:p>
        </w:tc>
        <w:tc>
          <w:tcPr>
            <w:tcW w:w="1312" w:type="dxa"/>
            <w:tcBorders>
              <w:top w:val="single" w:color="000000" w:sz="4" w:space="0"/>
              <w:left w:val="single" w:color="000000" w:sz="4" w:space="0"/>
              <w:bottom w:val="single" w:color="000000" w:sz="4" w:space="0"/>
              <w:right w:val="single" w:color="000000" w:sz="4" w:space="0"/>
            </w:tcBorders>
            <w:vAlign w:val="center"/>
          </w:tcPr>
          <w:p w14:paraId="12606F4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财务账套管理-EPKG包转换工具-数据库格式转换</w:t>
            </w:r>
          </w:p>
        </w:tc>
        <w:tc>
          <w:tcPr>
            <w:tcW w:w="5337" w:type="dxa"/>
            <w:tcBorders>
              <w:top w:val="single" w:color="000000" w:sz="4" w:space="0"/>
              <w:left w:val="single" w:color="000000" w:sz="4" w:space="0"/>
              <w:bottom w:val="single" w:color="000000" w:sz="4" w:space="0"/>
              <w:right w:val="single" w:color="000000" w:sz="4" w:space="0"/>
            </w:tcBorders>
            <w:vAlign w:val="center"/>
          </w:tcPr>
          <w:p w14:paraId="138E539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根据账套名称和编号抽取12张标准表，按照数据库备份的格式进行转换，形成标准数据库文件，把账套基本信息转换成xml格式存储，再根据EPKG格式进行转换，并下载到本地目录。</w:t>
            </w:r>
          </w:p>
        </w:tc>
        <w:tc>
          <w:tcPr>
            <w:tcW w:w="1226" w:type="dxa"/>
            <w:tcBorders>
              <w:top w:val="single" w:color="000000" w:sz="4" w:space="0"/>
              <w:left w:val="single" w:color="000000" w:sz="4" w:space="0"/>
              <w:bottom w:val="single" w:color="000000" w:sz="4" w:space="0"/>
              <w:right w:val="single" w:color="000000" w:sz="4" w:space="0"/>
            </w:tcBorders>
            <w:vAlign w:val="center"/>
          </w:tcPr>
          <w:p w14:paraId="2381687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B1C0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0" w:type="dxa"/>
            <w:tcBorders>
              <w:top w:val="single" w:color="000000" w:sz="4" w:space="0"/>
              <w:left w:val="single" w:color="000000" w:sz="4" w:space="0"/>
              <w:bottom w:val="single" w:color="000000" w:sz="4" w:space="0"/>
              <w:right w:val="single" w:color="000000" w:sz="4" w:space="0"/>
            </w:tcBorders>
            <w:vAlign w:val="center"/>
          </w:tcPr>
          <w:p w14:paraId="1BA956D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75</w:t>
            </w:r>
          </w:p>
        </w:tc>
        <w:tc>
          <w:tcPr>
            <w:tcW w:w="1312" w:type="dxa"/>
            <w:tcBorders>
              <w:top w:val="single" w:color="000000" w:sz="4" w:space="0"/>
              <w:left w:val="single" w:color="000000" w:sz="4" w:space="0"/>
              <w:bottom w:val="single" w:color="000000" w:sz="4" w:space="0"/>
              <w:right w:val="single" w:color="000000" w:sz="4" w:space="0"/>
            </w:tcBorders>
            <w:vAlign w:val="center"/>
          </w:tcPr>
          <w:p w14:paraId="44007F0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百川·数据报采中心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采集管理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财务账套管理-EPKG包转换工具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文件格式转换</w:t>
            </w:r>
          </w:p>
        </w:tc>
        <w:tc>
          <w:tcPr>
            <w:tcW w:w="5337" w:type="dxa"/>
            <w:tcBorders>
              <w:top w:val="single" w:color="000000" w:sz="4" w:space="0"/>
              <w:left w:val="single" w:color="000000" w:sz="4" w:space="0"/>
              <w:bottom w:val="single" w:color="000000" w:sz="4" w:space="0"/>
              <w:right w:val="single" w:color="000000" w:sz="4" w:space="0"/>
            </w:tcBorders>
            <w:vAlign w:val="center"/>
          </w:tcPr>
          <w:p w14:paraId="1CB2782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根据账套名称和编号抽取12张标准表，每张表形成独立的xml数据文件，再把账套基本信息转换成xml格式存储，根据epkg格式进行转换，并下载到本地目录。</w:t>
            </w:r>
          </w:p>
        </w:tc>
        <w:tc>
          <w:tcPr>
            <w:tcW w:w="1226" w:type="dxa"/>
            <w:tcBorders>
              <w:top w:val="single" w:color="000000" w:sz="4" w:space="0"/>
              <w:left w:val="single" w:color="000000" w:sz="4" w:space="0"/>
              <w:bottom w:val="single" w:color="000000" w:sz="4" w:space="0"/>
              <w:right w:val="single" w:color="000000" w:sz="4" w:space="0"/>
            </w:tcBorders>
            <w:vAlign w:val="center"/>
          </w:tcPr>
          <w:p w14:paraId="16816E6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bl>
    <w:p w14:paraId="179C957E">
      <w:pPr>
        <w:numPr>
          <w:ilvl w:val="0"/>
          <w:numId w:val="27"/>
        </w:numPr>
        <w:ind w:left="0" w:leftChars="0" w:firstLine="420" w:firstLineChars="0"/>
        <w:rPr>
          <w:rFonts w:hint="eastAsia" w:ascii="宋体" w:hAnsi="宋体" w:eastAsia="宋体" w:cs="Times New Roman"/>
          <w:b/>
          <w:bCs w:val="0"/>
          <w:color w:val="auto"/>
          <w:lang w:val="en-US" w:eastAsia="zh-CN"/>
        </w:rPr>
      </w:pPr>
      <w:r>
        <w:rPr>
          <w:rFonts w:hint="eastAsia" w:ascii="宋体" w:hAnsi="宋体" w:eastAsia="宋体" w:cs="Times New Roman"/>
          <w:b/>
          <w:bCs w:val="0"/>
          <w:color w:val="auto"/>
          <w:lang w:val="en-US" w:eastAsia="zh-CN"/>
        </w:rPr>
        <w:t>海涵·数据管理中心</w:t>
      </w:r>
    </w:p>
    <w:tbl>
      <w:tblPr>
        <w:tblStyle w:val="36"/>
        <w:tblW w:w="8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5"/>
        <w:gridCol w:w="1312"/>
        <w:gridCol w:w="5332"/>
        <w:gridCol w:w="1226"/>
      </w:tblGrid>
      <w:tr w14:paraId="08342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655"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7C4C8EB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序号</w:t>
            </w:r>
          </w:p>
        </w:tc>
        <w:tc>
          <w:tcPr>
            <w:tcW w:w="131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43B5C78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功能名称</w:t>
            </w:r>
          </w:p>
        </w:tc>
        <w:tc>
          <w:tcPr>
            <w:tcW w:w="533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5D20BC5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功能描述</w:t>
            </w:r>
          </w:p>
        </w:tc>
        <w:tc>
          <w:tcPr>
            <w:tcW w:w="1226"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4D94280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需求年度</w:t>
            </w:r>
          </w:p>
        </w:tc>
      </w:tr>
      <w:tr w14:paraId="38BD0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2B7D577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w:t>
            </w:r>
          </w:p>
        </w:tc>
        <w:tc>
          <w:tcPr>
            <w:tcW w:w="1312" w:type="dxa"/>
            <w:tcBorders>
              <w:top w:val="single" w:color="000000" w:sz="4" w:space="0"/>
              <w:left w:val="single" w:color="000000" w:sz="4" w:space="0"/>
              <w:bottom w:val="single" w:color="000000" w:sz="4" w:space="0"/>
              <w:right w:val="single" w:color="000000" w:sz="4" w:space="0"/>
            </w:tcBorders>
            <w:vAlign w:val="center"/>
          </w:tcPr>
          <w:p w14:paraId="69EDC82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数据中心总览</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数据中心总览</w:t>
            </w:r>
          </w:p>
        </w:tc>
        <w:tc>
          <w:tcPr>
            <w:tcW w:w="5332" w:type="dxa"/>
            <w:tcBorders>
              <w:top w:val="single" w:color="000000" w:sz="4" w:space="0"/>
              <w:left w:val="single" w:color="000000" w:sz="4" w:space="0"/>
              <w:bottom w:val="single" w:color="000000" w:sz="4" w:space="0"/>
              <w:right w:val="single" w:color="000000" w:sz="4" w:space="0"/>
            </w:tcBorders>
            <w:vAlign w:val="center"/>
          </w:tcPr>
          <w:p w14:paraId="0F91ADE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包括行业信息、单位数量、数据总量、数据库数量、数据表数量、采集模板数量、审计方法、行业数据可视化展现、大数据表统计、数据规划等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5AE9AE0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0538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748383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w:t>
            </w:r>
          </w:p>
        </w:tc>
        <w:tc>
          <w:tcPr>
            <w:tcW w:w="1312" w:type="dxa"/>
            <w:tcBorders>
              <w:top w:val="single" w:color="000000" w:sz="4" w:space="0"/>
              <w:left w:val="single" w:color="000000" w:sz="4" w:space="0"/>
              <w:bottom w:val="single" w:color="000000" w:sz="4" w:space="0"/>
              <w:right w:val="single" w:color="000000" w:sz="4" w:space="0"/>
            </w:tcBorders>
            <w:vAlign w:val="center"/>
          </w:tcPr>
          <w:p w14:paraId="0EE3063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数据准备</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服务器注册</w:t>
            </w:r>
          </w:p>
        </w:tc>
        <w:tc>
          <w:tcPr>
            <w:tcW w:w="5332" w:type="dxa"/>
            <w:tcBorders>
              <w:top w:val="single" w:color="000000" w:sz="4" w:space="0"/>
              <w:left w:val="single" w:color="000000" w:sz="4" w:space="0"/>
              <w:bottom w:val="single" w:color="000000" w:sz="4" w:space="0"/>
              <w:right w:val="single" w:color="000000" w:sz="4" w:space="0"/>
            </w:tcBorders>
            <w:vAlign w:val="center"/>
          </w:tcPr>
          <w:p w14:paraId="79D7122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行业服务器注册是一个涉及多个步骤的过程，它确保了服务器的合法性、安全性和稳定运行。</w:t>
            </w:r>
          </w:p>
        </w:tc>
        <w:tc>
          <w:tcPr>
            <w:tcW w:w="1226" w:type="dxa"/>
            <w:tcBorders>
              <w:top w:val="single" w:color="000000" w:sz="4" w:space="0"/>
              <w:left w:val="single" w:color="000000" w:sz="4" w:space="0"/>
              <w:bottom w:val="single" w:color="000000" w:sz="4" w:space="0"/>
              <w:right w:val="single" w:color="000000" w:sz="4" w:space="0"/>
            </w:tcBorders>
            <w:vAlign w:val="center"/>
          </w:tcPr>
          <w:p w14:paraId="6D829A9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4F04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8C1B52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w:t>
            </w:r>
          </w:p>
        </w:tc>
        <w:tc>
          <w:tcPr>
            <w:tcW w:w="1312" w:type="dxa"/>
            <w:tcBorders>
              <w:top w:val="single" w:color="000000" w:sz="4" w:space="0"/>
              <w:left w:val="single" w:color="000000" w:sz="4" w:space="0"/>
              <w:bottom w:val="single" w:color="000000" w:sz="4" w:space="0"/>
              <w:right w:val="single" w:color="000000" w:sz="4" w:space="0"/>
            </w:tcBorders>
            <w:vAlign w:val="center"/>
          </w:tcPr>
          <w:p w14:paraId="3F37F91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数据准备-公用数据管理</w:t>
            </w:r>
          </w:p>
        </w:tc>
        <w:tc>
          <w:tcPr>
            <w:tcW w:w="5332" w:type="dxa"/>
            <w:tcBorders>
              <w:top w:val="single" w:color="000000" w:sz="4" w:space="0"/>
              <w:left w:val="single" w:color="000000" w:sz="4" w:space="0"/>
              <w:bottom w:val="single" w:color="000000" w:sz="4" w:space="0"/>
              <w:right w:val="single" w:color="000000" w:sz="4" w:space="0"/>
            </w:tcBorders>
            <w:vAlign w:val="center"/>
          </w:tcPr>
          <w:p w14:paraId="749F292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对数据进行标记，是否为公用数据，公用数据对数据对象不设权限使用，可以再次查询分析利用。</w:t>
            </w:r>
          </w:p>
        </w:tc>
        <w:tc>
          <w:tcPr>
            <w:tcW w:w="1226" w:type="dxa"/>
            <w:tcBorders>
              <w:top w:val="single" w:color="000000" w:sz="4" w:space="0"/>
              <w:left w:val="single" w:color="000000" w:sz="4" w:space="0"/>
              <w:bottom w:val="single" w:color="000000" w:sz="4" w:space="0"/>
              <w:right w:val="single" w:color="000000" w:sz="4" w:space="0"/>
            </w:tcBorders>
            <w:vAlign w:val="center"/>
          </w:tcPr>
          <w:p w14:paraId="3646BE6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2B6A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2D28DBF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w:t>
            </w:r>
          </w:p>
        </w:tc>
        <w:tc>
          <w:tcPr>
            <w:tcW w:w="1312" w:type="dxa"/>
            <w:tcBorders>
              <w:top w:val="single" w:color="000000" w:sz="4" w:space="0"/>
              <w:left w:val="single" w:color="000000" w:sz="4" w:space="0"/>
              <w:bottom w:val="single" w:color="000000" w:sz="4" w:space="0"/>
              <w:right w:val="single" w:color="000000" w:sz="4" w:space="0"/>
            </w:tcBorders>
            <w:vAlign w:val="center"/>
          </w:tcPr>
          <w:p w14:paraId="54658B1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标签定义</w:t>
            </w:r>
          </w:p>
        </w:tc>
        <w:tc>
          <w:tcPr>
            <w:tcW w:w="5332" w:type="dxa"/>
            <w:tcBorders>
              <w:top w:val="single" w:color="000000" w:sz="4" w:space="0"/>
              <w:left w:val="single" w:color="000000" w:sz="4" w:space="0"/>
              <w:bottom w:val="single" w:color="000000" w:sz="4" w:space="0"/>
              <w:right w:val="single" w:color="000000" w:sz="4" w:space="0"/>
            </w:tcBorders>
            <w:vAlign w:val="center"/>
          </w:tcPr>
          <w:p w14:paraId="7B69760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提供标签定义和创建功能，让用户可以自定义和命名标签。用户可以指定标签的名称、描述和类型等信息，对于不同类别的标签，需要定义的内容也不同，具体类型需要在标签类别中进行维护，以便后续的标签应用和管理。</w:t>
            </w:r>
          </w:p>
        </w:tc>
        <w:tc>
          <w:tcPr>
            <w:tcW w:w="1226" w:type="dxa"/>
            <w:tcBorders>
              <w:top w:val="single" w:color="000000" w:sz="4" w:space="0"/>
              <w:left w:val="single" w:color="000000" w:sz="4" w:space="0"/>
              <w:bottom w:val="single" w:color="000000" w:sz="4" w:space="0"/>
              <w:right w:val="single" w:color="000000" w:sz="4" w:space="0"/>
            </w:tcBorders>
            <w:vAlign w:val="center"/>
          </w:tcPr>
          <w:p w14:paraId="72060ED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437F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4E7D3C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w:t>
            </w:r>
          </w:p>
        </w:tc>
        <w:tc>
          <w:tcPr>
            <w:tcW w:w="1312" w:type="dxa"/>
            <w:tcBorders>
              <w:top w:val="single" w:color="000000" w:sz="4" w:space="0"/>
              <w:left w:val="single" w:color="000000" w:sz="4" w:space="0"/>
              <w:bottom w:val="single" w:color="000000" w:sz="4" w:space="0"/>
              <w:right w:val="single" w:color="000000" w:sz="4" w:space="0"/>
            </w:tcBorders>
            <w:vAlign w:val="center"/>
          </w:tcPr>
          <w:p w14:paraId="6814E6E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标签授权管理</w:t>
            </w:r>
          </w:p>
        </w:tc>
        <w:tc>
          <w:tcPr>
            <w:tcW w:w="5332" w:type="dxa"/>
            <w:tcBorders>
              <w:top w:val="single" w:color="000000" w:sz="4" w:space="0"/>
              <w:left w:val="single" w:color="000000" w:sz="4" w:space="0"/>
              <w:bottom w:val="single" w:color="000000" w:sz="4" w:space="0"/>
              <w:right w:val="single" w:color="000000" w:sz="4" w:space="0"/>
            </w:tcBorders>
            <w:vAlign w:val="center"/>
          </w:tcPr>
          <w:p w14:paraId="78678D3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提供标签的权限管理，由系统管理员进行授权，确保只有授权的用户可以访问和使用特定标签。</w:t>
            </w:r>
          </w:p>
        </w:tc>
        <w:tc>
          <w:tcPr>
            <w:tcW w:w="1226" w:type="dxa"/>
            <w:tcBorders>
              <w:top w:val="single" w:color="000000" w:sz="4" w:space="0"/>
              <w:left w:val="single" w:color="000000" w:sz="4" w:space="0"/>
              <w:bottom w:val="single" w:color="000000" w:sz="4" w:space="0"/>
              <w:right w:val="single" w:color="000000" w:sz="4" w:space="0"/>
            </w:tcBorders>
            <w:vAlign w:val="center"/>
          </w:tcPr>
          <w:p w14:paraId="30DE5880">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910B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7155230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w:t>
            </w:r>
          </w:p>
        </w:tc>
        <w:tc>
          <w:tcPr>
            <w:tcW w:w="1312" w:type="dxa"/>
            <w:tcBorders>
              <w:top w:val="single" w:color="000000" w:sz="4" w:space="0"/>
              <w:left w:val="single" w:color="000000" w:sz="4" w:space="0"/>
              <w:bottom w:val="single" w:color="000000" w:sz="4" w:space="0"/>
              <w:right w:val="single" w:color="000000" w:sz="4" w:space="0"/>
            </w:tcBorders>
            <w:vAlign w:val="center"/>
          </w:tcPr>
          <w:p w14:paraId="6434B3E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标签生命周期管理</w:t>
            </w:r>
          </w:p>
        </w:tc>
        <w:tc>
          <w:tcPr>
            <w:tcW w:w="5332" w:type="dxa"/>
            <w:tcBorders>
              <w:top w:val="single" w:color="000000" w:sz="4" w:space="0"/>
              <w:left w:val="single" w:color="000000" w:sz="4" w:space="0"/>
              <w:bottom w:val="single" w:color="000000" w:sz="4" w:space="0"/>
              <w:right w:val="single" w:color="000000" w:sz="4" w:space="0"/>
            </w:tcBorders>
            <w:vAlign w:val="center"/>
          </w:tcPr>
          <w:p w14:paraId="4EE02BF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支持对标签进行生命周期管理，确保标签数据的有效性和可用性。系统可以提供标签的开始、结束生命周期定义，同时可以对定义好的标签进行更新、删除、下架等操作，并提供标签数据的变更记录和审计功能。</w:t>
            </w:r>
          </w:p>
        </w:tc>
        <w:tc>
          <w:tcPr>
            <w:tcW w:w="1226" w:type="dxa"/>
            <w:tcBorders>
              <w:top w:val="single" w:color="000000" w:sz="4" w:space="0"/>
              <w:left w:val="single" w:color="000000" w:sz="4" w:space="0"/>
              <w:bottom w:val="single" w:color="000000" w:sz="4" w:space="0"/>
              <w:right w:val="single" w:color="000000" w:sz="4" w:space="0"/>
            </w:tcBorders>
            <w:vAlign w:val="center"/>
          </w:tcPr>
          <w:p w14:paraId="43F1003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450C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6DB541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w:t>
            </w:r>
          </w:p>
        </w:tc>
        <w:tc>
          <w:tcPr>
            <w:tcW w:w="1312" w:type="dxa"/>
            <w:tcBorders>
              <w:top w:val="single" w:color="000000" w:sz="4" w:space="0"/>
              <w:left w:val="single" w:color="000000" w:sz="4" w:space="0"/>
              <w:bottom w:val="single" w:color="000000" w:sz="4" w:space="0"/>
              <w:right w:val="single" w:color="000000" w:sz="4" w:space="0"/>
            </w:tcBorders>
            <w:vAlign w:val="center"/>
          </w:tcPr>
          <w:p w14:paraId="5E29708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标签统计</w:t>
            </w:r>
          </w:p>
        </w:tc>
        <w:tc>
          <w:tcPr>
            <w:tcW w:w="5332" w:type="dxa"/>
            <w:tcBorders>
              <w:top w:val="single" w:color="000000" w:sz="4" w:space="0"/>
              <w:left w:val="single" w:color="000000" w:sz="4" w:space="0"/>
              <w:bottom w:val="single" w:color="000000" w:sz="4" w:space="0"/>
              <w:right w:val="single" w:color="000000" w:sz="4" w:space="0"/>
            </w:tcBorders>
            <w:vAlign w:val="center"/>
          </w:tcPr>
          <w:p w14:paraId="2BAEB31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提供标签的可视化统计、搜索和浏览功能，让用户能够快速掌握系统中的标签总体情况，并可以直观</w:t>
            </w:r>
            <w:r>
              <w:rPr>
                <w:rFonts w:hint="eastAsia" w:ascii="宋体" w:hAnsi="宋体" w:eastAsia="宋体" w:cs="宋体"/>
                <w:b w:val="0"/>
                <w:bCs w:val="0"/>
                <w:i w:val="0"/>
                <w:iCs w:val="0"/>
                <w:color w:val="auto"/>
                <w:kern w:val="0"/>
                <w:sz w:val="21"/>
                <w:szCs w:val="21"/>
                <w:u w:val="none"/>
                <w:lang w:val="en-US" w:eastAsia="zh-CN"/>
              </w:rPr>
              <w:t>地</w:t>
            </w:r>
            <w:r>
              <w:rPr>
                <w:rFonts w:hint="default" w:ascii="宋体" w:hAnsi="宋体" w:eastAsia="宋体" w:cs="宋体"/>
                <w:b w:val="0"/>
                <w:bCs w:val="0"/>
                <w:i w:val="0"/>
                <w:iCs w:val="0"/>
                <w:color w:val="auto"/>
                <w:kern w:val="0"/>
                <w:sz w:val="21"/>
                <w:szCs w:val="21"/>
                <w:u w:val="none"/>
                <w:lang w:val="en-US" w:eastAsia="zh-CN"/>
              </w:rPr>
              <w:t>查看特定标签的信息。用户可以根据标签的名称、分类或属性进行搜索和过滤，并可以对搜索到的标签进行详情查看。</w:t>
            </w:r>
          </w:p>
        </w:tc>
        <w:tc>
          <w:tcPr>
            <w:tcW w:w="1226" w:type="dxa"/>
            <w:tcBorders>
              <w:top w:val="single" w:color="000000" w:sz="4" w:space="0"/>
              <w:left w:val="single" w:color="000000" w:sz="4" w:space="0"/>
              <w:bottom w:val="single" w:color="000000" w:sz="4" w:space="0"/>
              <w:right w:val="single" w:color="000000" w:sz="4" w:space="0"/>
            </w:tcBorders>
            <w:vAlign w:val="center"/>
          </w:tcPr>
          <w:p w14:paraId="2828C0C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667F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68DFA49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w:t>
            </w:r>
          </w:p>
        </w:tc>
        <w:tc>
          <w:tcPr>
            <w:tcW w:w="1312" w:type="dxa"/>
            <w:tcBorders>
              <w:top w:val="single" w:color="000000" w:sz="4" w:space="0"/>
              <w:left w:val="single" w:color="000000" w:sz="4" w:space="0"/>
              <w:bottom w:val="single" w:color="000000" w:sz="4" w:space="0"/>
              <w:right w:val="single" w:color="000000" w:sz="4" w:space="0"/>
            </w:tcBorders>
            <w:vAlign w:val="center"/>
          </w:tcPr>
          <w:p w14:paraId="03FE931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标签任务调度管理</w:t>
            </w:r>
          </w:p>
        </w:tc>
        <w:tc>
          <w:tcPr>
            <w:tcW w:w="5332" w:type="dxa"/>
            <w:tcBorders>
              <w:top w:val="single" w:color="000000" w:sz="4" w:space="0"/>
              <w:left w:val="single" w:color="000000" w:sz="4" w:space="0"/>
              <w:bottom w:val="single" w:color="000000" w:sz="4" w:space="0"/>
              <w:right w:val="single" w:color="000000" w:sz="4" w:space="0"/>
            </w:tcBorders>
            <w:vAlign w:val="center"/>
          </w:tcPr>
          <w:p w14:paraId="5BC6907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中对接的各种大数据分析类型的数据源较多，部分为系统内部数据源，部分为外部系统数据源或者离线数据，在使用大数据分析功能时如果没有提前进行打标签操作可能无法及时获取被审计单位标签；部分模型类别的标签可能存在关联多数据源数据进行关联分析，完成分析周期较长。</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本功能由用户对不同类别运行效率不同的标签定义定时任务，让系统在闲时自动执行定</w:t>
            </w:r>
            <w:r>
              <w:rPr>
                <w:rFonts w:hint="eastAsia" w:ascii="宋体" w:hAnsi="宋体" w:eastAsia="宋体" w:cs="宋体"/>
                <w:b w:val="0"/>
                <w:bCs w:val="0"/>
                <w:i w:val="0"/>
                <w:iCs w:val="0"/>
                <w:color w:val="auto"/>
                <w:kern w:val="0"/>
                <w:sz w:val="21"/>
                <w:szCs w:val="21"/>
                <w:u w:val="none"/>
                <w:lang w:val="en-US" w:eastAsia="zh-CN"/>
              </w:rPr>
              <w:t>时</w:t>
            </w:r>
            <w:r>
              <w:rPr>
                <w:rFonts w:hint="default" w:ascii="宋体" w:hAnsi="宋体" w:eastAsia="宋体" w:cs="宋体"/>
                <w:b w:val="0"/>
                <w:bCs w:val="0"/>
                <w:i w:val="0"/>
                <w:iCs w:val="0"/>
                <w:color w:val="auto"/>
                <w:kern w:val="0"/>
                <w:sz w:val="21"/>
                <w:szCs w:val="21"/>
                <w:u w:val="none"/>
                <w:lang w:val="en-US" w:eastAsia="zh-CN"/>
              </w:rPr>
              <w:t>打标签操作，以提升审计用户在使用用户大数据分析相关功能的交互体验，并对定时任务的执行过程进行全面的日志记录，方便用户跟踪和回溯任务执行过程。</w:t>
            </w:r>
          </w:p>
        </w:tc>
        <w:tc>
          <w:tcPr>
            <w:tcW w:w="1226" w:type="dxa"/>
            <w:tcBorders>
              <w:top w:val="single" w:color="000000" w:sz="4" w:space="0"/>
              <w:left w:val="single" w:color="000000" w:sz="4" w:space="0"/>
              <w:bottom w:val="single" w:color="000000" w:sz="4" w:space="0"/>
              <w:right w:val="single" w:color="000000" w:sz="4" w:space="0"/>
            </w:tcBorders>
            <w:vAlign w:val="center"/>
          </w:tcPr>
          <w:p w14:paraId="285A206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121C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78F97AD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9</w:t>
            </w:r>
          </w:p>
        </w:tc>
        <w:tc>
          <w:tcPr>
            <w:tcW w:w="1312" w:type="dxa"/>
            <w:tcBorders>
              <w:top w:val="single" w:color="000000" w:sz="4" w:space="0"/>
              <w:left w:val="single" w:color="000000" w:sz="4" w:space="0"/>
              <w:bottom w:val="single" w:color="000000" w:sz="4" w:space="0"/>
              <w:right w:val="single" w:color="000000" w:sz="4" w:space="0"/>
            </w:tcBorders>
            <w:vAlign w:val="center"/>
          </w:tcPr>
          <w:p w14:paraId="516A7EE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标签自动化-标签自动化</w:t>
            </w:r>
          </w:p>
        </w:tc>
        <w:tc>
          <w:tcPr>
            <w:tcW w:w="5332" w:type="dxa"/>
            <w:tcBorders>
              <w:top w:val="single" w:color="000000" w:sz="4" w:space="0"/>
              <w:left w:val="single" w:color="000000" w:sz="4" w:space="0"/>
              <w:bottom w:val="single" w:color="000000" w:sz="4" w:space="0"/>
              <w:right w:val="single" w:color="000000" w:sz="4" w:space="0"/>
            </w:tcBorders>
            <w:vAlign w:val="center"/>
          </w:tcPr>
          <w:p w14:paraId="242E9A0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在数据库中打标签是为数据库中的记录或条目添加元数据或分类信息，基本步骤包括：确定标签类型和用途、设计数据库结构、创建标签集、为条目打标签、优化搜索和查询、维护标签等，通过打标签可以有效提高搜索效率、增强数据理解、支持数据分析和挖掘、个性化推荐和定制化服务、提升数据质量、支持数据治理和合规等。</w:t>
            </w:r>
          </w:p>
        </w:tc>
        <w:tc>
          <w:tcPr>
            <w:tcW w:w="1226" w:type="dxa"/>
            <w:tcBorders>
              <w:top w:val="single" w:color="000000" w:sz="4" w:space="0"/>
              <w:left w:val="single" w:color="000000" w:sz="4" w:space="0"/>
              <w:bottom w:val="single" w:color="000000" w:sz="4" w:space="0"/>
              <w:right w:val="single" w:color="000000" w:sz="4" w:space="0"/>
            </w:tcBorders>
            <w:vAlign w:val="center"/>
          </w:tcPr>
          <w:p w14:paraId="6CDFBA5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5860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23E6ED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10</w:t>
            </w:r>
          </w:p>
        </w:tc>
        <w:tc>
          <w:tcPr>
            <w:tcW w:w="1312" w:type="dxa"/>
            <w:tcBorders>
              <w:top w:val="single" w:color="000000" w:sz="4" w:space="0"/>
              <w:left w:val="single" w:color="000000" w:sz="4" w:space="0"/>
              <w:bottom w:val="single" w:color="000000" w:sz="4" w:space="0"/>
              <w:right w:val="single" w:color="000000" w:sz="4" w:space="0"/>
            </w:tcBorders>
            <w:vAlign w:val="center"/>
          </w:tcPr>
          <w:p w14:paraId="7D4FF1C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数据集市管理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疑点数据管理</w:t>
            </w:r>
          </w:p>
        </w:tc>
        <w:tc>
          <w:tcPr>
            <w:tcW w:w="5332" w:type="dxa"/>
            <w:tcBorders>
              <w:top w:val="single" w:color="000000" w:sz="4" w:space="0"/>
              <w:left w:val="single" w:color="000000" w:sz="4" w:space="0"/>
              <w:bottom w:val="single" w:color="000000" w:sz="4" w:space="0"/>
              <w:right w:val="single" w:color="000000" w:sz="4" w:space="0"/>
            </w:tcBorders>
            <w:vAlign w:val="center"/>
          </w:tcPr>
          <w:p w14:paraId="2FACB47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对疑点数据进行维护并支持再次分析利用，</w:t>
            </w:r>
            <w:r>
              <w:rPr>
                <w:rFonts w:hint="eastAsia" w:ascii="宋体" w:hAnsi="宋体" w:eastAsia="宋体" w:cs="宋体"/>
                <w:b w:val="0"/>
                <w:bCs w:val="0"/>
                <w:i w:val="0"/>
                <w:iCs w:val="0"/>
                <w:color w:val="auto"/>
                <w:kern w:val="0"/>
                <w:sz w:val="21"/>
                <w:szCs w:val="21"/>
                <w:u w:val="none"/>
                <w:lang w:val="en-US" w:eastAsia="zh-CN"/>
              </w:rPr>
              <w:t>支持</w:t>
            </w:r>
            <w:r>
              <w:rPr>
                <w:rFonts w:hint="default" w:ascii="宋体" w:hAnsi="宋体" w:eastAsia="宋体" w:cs="宋体"/>
                <w:b w:val="0"/>
                <w:bCs w:val="0"/>
                <w:i w:val="0"/>
                <w:iCs w:val="0"/>
                <w:color w:val="auto"/>
                <w:kern w:val="0"/>
                <w:sz w:val="21"/>
                <w:szCs w:val="21"/>
                <w:u w:val="none"/>
                <w:lang w:val="en-US" w:eastAsia="zh-CN"/>
              </w:rPr>
              <w:t>删除、分享给他人，并支持推送到智审DESK疑点专区。</w:t>
            </w:r>
          </w:p>
        </w:tc>
        <w:tc>
          <w:tcPr>
            <w:tcW w:w="1226" w:type="dxa"/>
            <w:tcBorders>
              <w:top w:val="single" w:color="000000" w:sz="4" w:space="0"/>
              <w:left w:val="single" w:color="000000" w:sz="4" w:space="0"/>
              <w:bottom w:val="single" w:color="000000" w:sz="4" w:space="0"/>
              <w:right w:val="single" w:color="000000" w:sz="4" w:space="0"/>
            </w:tcBorders>
            <w:vAlign w:val="center"/>
          </w:tcPr>
          <w:p w14:paraId="15977A4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4D90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7F440E5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11</w:t>
            </w:r>
          </w:p>
        </w:tc>
        <w:tc>
          <w:tcPr>
            <w:tcW w:w="1312" w:type="dxa"/>
            <w:tcBorders>
              <w:top w:val="single" w:color="000000" w:sz="4" w:space="0"/>
              <w:left w:val="single" w:color="000000" w:sz="4" w:space="0"/>
              <w:bottom w:val="single" w:color="000000" w:sz="4" w:space="0"/>
              <w:right w:val="single" w:color="000000" w:sz="4" w:space="0"/>
            </w:tcBorders>
            <w:vAlign w:val="center"/>
          </w:tcPr>
          <w:p w14:paraId="6C7BAED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数据集市管理-专项数据管理</w:t>
            </w:r>
          </w:p>
        </w:tc>
        <w:tc>
          <w:tcPr>
            <w:tcW w:w="5332" w:type="dxa"/>
            <w:tcBorders>
              <w:top w:val="single" w:color="000000" w:sz="4" w:space="0"/>
              <w:left w:val="single" w:color="000000" w:sz="4" w:space="0"/>
              <w:bottom w:val="single" w:color="000000" w:sz="4" w:space="0"/>
              <w:right w:val="single" w:color="000000" w:sz="4" w:space="0"/>
            </w:tcBorders>
            <w:vAlign w:val="center"/>
          </w:tcPr>
          <w:p w14:paraId="53A7E49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对专项数据进行维护并支持再次分析利用，</w:t>
            </w:r>
            <w:r>
              <w:rPr>
                <w:rFonts w:hint="eastAsia" w:ascii="宋体" w:hAnsi="宋体" w:eastAsia="宋体" w:cs="宋体"/>
                <w:b w:val="0"/>
                <w:bCs w:val="0"/>
                <w:i w:val="0"/>
                <w:iCs w:val="0"/>
                <w:color w:val="auto"/>
                <w:kern w:val="0"/>
                <w:sz w:val="21"/>
                <w:szCs w:val="21"/>
                <w:u w:val="none"/>
                <w:lang w:val="en-US" w:eastAsia="zh-CN"/>
              </w:rPr>
              <w:t>支持</w:t>
            </w:r>
            <w:r>
              <w:rPr>
                <w:rFonts w:hint="default" w:ascii="宋体" w:hAnsi="宋体" w:eastAsia="宋体" w:cs="宋体"/>
                <w:b w:val="0"/>
                <w:bCs w:val="0"/>
                <w:i w:val="0"/>
                <w:iCs w:val="0"/>
                <w:color w:val="auto"/>
                <w:kern w:val="0"/>
                <w:sz w:val="21"/>
                <w:szCs w:val="21"/>
                <w:u w:val="none"/>
                <w:lang w:val="en-US" w:eastAsia="zh-CN"/>
              </w:rPr>
              <w:t>删除、分享给他人，并支持推送到智审DESK疑点专区。</w:t>
            </w:r>
          </w:p>
        </w:tc>
        <w:tc>
          <w:tcPr>
            <w:tcW w:w="1226" w:type="dxa"/>
            <w:tcBorders>
              <w:top w:val="single" w:color="000000" w:sz="4" w:space="0"/>
              <w:left w:val="single" w:color="000000" w:sz="4" w:space="0"/>
              <w:bottom w:val="single" w:color="000000" w:sz="4" w:space="0"/>
              <w:right w:val="single" w:color="000000" w:sz="4" w:space="0"/>
            </w:tcBorders>
            <w:vAlign w:val="center"/>
          </w:tcPr>
          <w:p w14:paraId="5D8F660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0180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A76823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12</w:t>
            </w:r>
          </w:p>
        </w:tc>
        <w:tc>
          <w:tcPr>
            <w:tcW w:w="1312" w:type="dxa"/>
            <w:tcBorders>
              <w:top w:val="single" w:color="000000" w:sz="4" w:space="0"/>
              <w:left w:val="single" w:color="000000" w:sz="4" w:space="0"/>
              <w:bottom w:val="single" w:color="000000" w:sz="4" w:space="0"/>
              <w:right w:val="single" w:color="000000" w:sz="4" w:space="0"/>
            </w:tcBorders>
            <w:vAlign w:val="center"/>
          </w:tcPr>
          <w:p w14:paraId="6245F66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数据集市管理-脱敏数据管理</w:t>
            </w:r>
          </w:p>
        </w:tc>
        <w:tc>
          <w:tcPr>
            <w:tcW w:w="5332" w:type="dxa"/>
            <w:tcBorders>
              <w:top w:val="single" w:color="000000" w:sz="4" w:space="0"/>
              <w:left w:val="single" w:color="000000" w:sz="4" w:space="0"/>
              <w:bottom w:val="single" w:color="000000" w:sz="4" w:space="0"/>
              <w:right w:val="single" w:color="000000" w:sz="4" w:space="0"/>
            </w:tcBorders>
            <w:vAlign w:val="center"/>
          </w:tcPr>
          <w:p w14:paraId="634B2F0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对脱敏数据进行维护并支持再次分析利用，</w:t>
            </w:r>
            <w:r>
              <w:rPr>
                <w:rFonts w:hint="eastAsia" w:ascii="宋体" w:hAnsi="宋体" w:eastAsia="宋体" w:cs="宋体"/>
                <w:b w:val="0"/>
                <w:bCs w:val="0"/>
                <w:i w:val="0"/>
                <w:iCs w:val="0"/>
                <w:color w:val="auto"/>
                <w:kern w:val="0"/>
                <w:sz w:val="21"/>
                <w:szCs w:val="21"/>
                <w:u w:val="none"/>
                <w:lang w:val="en-US" w:eastAsia="zh-CN"/>
              </w:rPr>
              <w:t>支持</w:t>
            </w:r>
            <w:r>
              <w:rPr>
                <w:rFonts w:hint="default" w:ascii="宋体" w:hAnsi="宋体" w:eastAsia="宋体" w:cs="宋体"/>
                <w:b w:val="0"/>
                <w:bCs w:val="0"/>
                <w:i w:val="0"/>
                <w:iCs w:val="0"/>
                <w:color w:val="auto"/>
                <w:kern w:val="0"/>
                <w:sz w:val="21"/>
                <w:szCs w:val="21"/>
                <w:u w:val="none"/>
                <w:lang w:val="en-US" w:eastAsia="zh-CN"/>
              </w:rPr>
              <w:t>删除、分享给他人，并支持推送到智审DESK数据脱敏专区。</w:t>
            </w:r>
          </w:p>
        </w:tc>
        <w:tc>
          <w:tcPr>
            <w:tcW w:w="1226" w:type="dxa"/>
            <w:tcBorders>
              <w:top w:val="single" w:color="000000" w:sz="4" w:space="0"/>
              <w:left w:val="single" w:color="000000" w:sz="4" w:space="0"/>
              <w:bottom w:val="single" w:color="000000" w:sz="4" w:space="0"/>
              <w:right w:val="single" w:color="000000" w:sz="4" w:space="0"/>
            </w:tcBorders>
            <w:vAlign w:val="center"/>
          </w:tcPr>
          <w:p w14:paraId="547DEF5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E64F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2A2E4CE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13</w:t>
            </w:r>
          </w:p>
        </w:tc>
        <w:tc>
          <w:tcPr>
            <w:tcW w:w="1312" w:type="dxa"/>
            <w:tcBorders>
              <w:top w:val="single" w:color="000000" w:sz="4" w:space="0"/>
              <w:left w:val="single" w:color="000000" w:sz="4" w:space="0"/>
              <w:bottom w:val="single" w:color="000000" w:sz="4" w:space="0"/>
              <w:right w:val="single" w:color="000000" w:sz="4" w:space="0"/>
            </w:tcBorders>
            <w:vAlign w:val="center"/>
          </w:tcPr>
          <w:p w14:paraId="18183D3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数据销毁管理-数据销毁申请</w:t>
            </w:r>
          </w:p>
        </w:tc>
        <w:tc>
          <w:tcPr>
            <w:tcW w:w="5332" w:type="dxa"/>
            <w:tcBorders>
              <w:top w:val="single" w:color="000000" w:sz="4" w:space="0"/>
              <w:left w:val="single" w:color="000000" w:sz="4" w:space="0"/>
              <w:bottom w:val="single" w:color="000000" w:sz="4" w:space="0"/>
              <w:right w:val="single" w:color="000000" w:sz="4" w:space="0"/>
            </w:tcBorders>
            <w:vAlign w:val="center"/>
          </w:tcPr>
          <w:p w14:paraId="269B5BF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数据管理员对需销毁的数据进行申请，提交领导进行审核。</w:t>
            </w:r>
          </w:p>
        </w:tc>
        <w:tc>
          <w:tcPr>
            <w:tcW w:w="1226" w:type="dxa"/>
            <w:tcBorders>
              <w:top w:val="single" w:color="000000" w:sz="4" w:space="0"/>
              <w:left w:val="single" w:color="000000" w:sz="4" w:space="0"/>
              <w:bottom w:val="single" w:color="000000" w:sz="4" w:space="0"/>
              <w:right w:val="single" w:color="000000" w:sz="4" w:space="0"/>
            </w:tcBorders>
            <w:vAlign w:val="center"/>
          </w:tcPr>
          <w:p w14:paraId="1C976CEC">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E701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44F4F6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14</w:t>
            </w:r>
          </w:p>
        </w:tc>
        <w:tc>
          <w:tcPr>
            <w:tcW w:w="1312" w:type="dxa"/>
            <w:tcBorders>
              <w:top w:val="single" w:color="000000" w:sz="4" w:space="0"/>
              <w:left w:val="single" w:color="000000" w:sz="4" w:space="0"/>
              <w:bottom w:val="single" w:color="000000" w:sz="4" w:space="0"/>
              <w:right w:val="single" w:color="000000" w:sz="4" w:space="0"/>
            </w:tcBorders>
            <w:vAlign w:val="center"/>
          </w:tcPr>
          <w:p w14:paraId="6200BF0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数据销毁管理-数据销毁审批</w:t>
            </w:r>
          </w:p>
        </w:tc>
        <w:tc>
          <w:tcPr>
            <w:tcW w:w="5332" w:type="dxa"/>
            <w:tcBorders>
              <w:top w:val="single" w:color="000000" w:sz="4" w:space="0"/>
              <w:left w:val="single" w:color="000000" w:sz="4" w:space="0"/>
              <w:bottom w:val="single" w:color="000000" w:sz="4" w:space="0"/>
              <w:right w:val="single" w:color="000000" w:sz="4" w:space="0"/>
            </w:tcBorders>
            <w:vAlign w:val="center"/>
          </w:tcPr>
          <w:p w14:paraId="7FB25F8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领导对数据管理员申请销毁的数据进行审核，并填写审核意见。</w:t>
            </w:r>
          </w:p>
        </w:tc>
        <w:tc>
          <w:tcPr>
            <w:tcW w:w="1226" w:type="dxa"/>
            <w:tcBorders>
              <w:top w:val="single" w:color="000000" w:sz="4" w:space="0"/>
              <w:left w:val="single" w:color="000000" w:sz="4" w:space="0"/>
              <w:bottom w:val="single" w:color="000000" w:sz="4" w:space="0"/>
              <w:right w:val="single" w:color="000000" w:sz="4" w:space="0"/>
            </w:tcBorders>
            <w:vAlign w:val="center"/>
          </w:tcPr>
          <w:p w14:paraId="506DC13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2FB6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5107919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15</w:t>
            </w:r>
          </w:p>
        </w:tc>
        <w:tc>
          <w:tcPr>
            <w:tcW w:w="1312" w:type="dxa"/>
            <w:tcBorders>
              <w:top w:val="single" w:color="000000" w:sz="4" w:space="0"/>
              <w:left w:val="single" w:color="000000" w:sz="4" w:space="0"/>
              <w:bottom w:val="single" w:color="000000" w:sz="4" w:space="0"/>
              <w:right w:val="single" w:color="000000" w:sz="4" w:space="0"/>
            </w:tcBorders>
            <w:vAlign w:val="center"/>
          </w:tcPr>
          <w:p w14:paraId="72BA1D3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被审计对象管理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被审计单位管理</w:t>
            </w:r>
          </w:p>
        </w:tc>
        <w:tc>
          <w:tcPr>
            <w:tcW w:w="5332" w:type="dxa"/>
            <w:tcBorders>
              <w:top w:val="single" w:color="000000" w:sz="4" w:space="0"/>
              <w:left w:val="single" w:color="000000" w:sz="4" w:space="0"/>
              <w:bottom w:val="single" w:color="000000" w:sz="4" w:space="0"/>
              <w:right w:val="single" w:color="000000" w:sz="4" w:space="0"/>
            </w:tcBorders>
            <w:vAlign w:val="center"/>
          </w:tcPr>
          <w:p w14:paraId="635E166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被审计单位以财政预算单位为源头定期更新，对被审计单位进行维护，包括添加，删除，修改以及查询的功能，并支持导入；牵头业务处可维护本审计领域审计对象信息，也可将本审计领域的审计对象信息授权其他业务处室查看。</w:t>
            </w:r>
          </w:p>
        </w:tc>
        <w:tc>
          <w:tcPr>
            <w:tcW w:w="1226" w:type="dxa"/>
            <w:tcBorders>
              <w:top w:val="single" w:color="000000" w:sz="4" w:space="0"/>
              <w:left w:val="single" w:color="000000" w:sz="4" w:space="0"/>
              <w:bottom w:val="single" w:color="000000" w:sz="4" w:space="0"/>
              <w:right w:val="single" w:color="000000" w:sz="4" w:space="0"/>
            </w:tcBorders>
            <w:vAlign w:val="center"/>
          </w:tcPr>
          <w:p w14:paraId="0822017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D643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B0445F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16</w:t>
            </w:r>
          </w:p>
        </w:tc>
        <w:tc>
          <w:tcPr>
            <w:tcW w:w="1312" w:type="dxa"/>
            <w:tcBorders>
              <w:top w:val="single" w:color="000000" w:sz="4" w:space="0"/>
              <w:left w:val="single" w:color="000000" w:sz="4" w:space="0"/>
              <w:bottom w:val="single" w:color="000000" w:sz="4" w:space="0"/>
              <w:right w:val="single" w:color="000000" w:sz="4" w:space="0"/>
            </w:tcBorders>
            <w:vAlign w:val="center"/>
          </w:tcPr>
          <w:p w14:paraId="5A4EAB8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系统配置管理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基础数据管理</w:t>
            </w:r>
          </w:p>
        </w:tc>
        <w:tc>
          <w:tcPr>
            <w:tcW w:w="5332" w:type="dxa"/>
            <w:tcBorders>
              <w:top w:val="single" w:color="000000" w:sz="4" w:space="0"/>
              <w:left w:val="single" w:color="000000" w:sz="4" w:space="0"/>
              <w:bottom w:val="single" w:color="000000" w:sz="4" w:space="0"/>
              <w:right w:val="single" w:color="000000" w:sz="4" w:space="0"/>
            </w:tcBorders>
            <w:vAlign w:val="center"/>
          </w:tcPr>
          <w:p w14:paraId="1F309DF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数据管理中心页面引用的基础数据进行管理，通过基础数据管理来实现统一的参数管理，用来维护数据类型的数据，如下拉框、单选按钮、复选框、树选择的数据，方便系统管理员维护，如果客户要求增加或变更一个配置项，只需要修改对应的字典类型数据即可，不需要修改代码。</w:t>
            </w:r>
          </w:p>
        </w:tc>
        <w:tc>
          <w:tcPr>
            <w:tcW w:w="1226" w:type="dxa"/>
            <w:tcBorders>
              <w:top w:val="single" w:color="000000" w:sz="4" w:space="0"/>
              <w:left w:val="single" w:color="000000" w:sz="4" w:space="0"/>
              <w:bottom w:val="single" w:color="000000" w:sz="4" w:space="0"/>
              <w:right w:val="single" w:color="000000" w:sz="4" w:space="0"/>
            </w:tcBorders>
            <w:vAlign w:val="center"/>
          </w:tcPr>
          <w:p w14:paraId="1449AFB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A66D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A70162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17</w:t>
            </w:r>
          </w:p>
        </w:tc>
        <w:tc>
          <w:tcPr>
            <w:tcW w:w="1312" w:type="dxa"/>
            <w:tcBorders>
              <w:top w:val="single" w:color="000000" w:sz="4" w:space="0"/>
              <w:left w:val="single" w:color="000000" w:sz="4" w:space="0"/>
              <w:bottom w:val="single" w:color="000000" w:sz="4" w:space="0"/>
              <w:right w:val="single" w:color="000000" w:sz="4" w:space="0"/>
            </w:tcBorders>
            <w:vAlign w:val="center"/>
          </w:tcPr>
          <w:p w14:paraId="658CB73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系统配置管理-操作指引</w:t>
            </w:r>
          </w:p>
        </w:tc>
        <w:tc>
          <w:tcPr>
            <w:tcW w:w="5332" w:type="dxa"/>
            <w:tcBorders>
              <w:top w:val="single" w:color="000000" w:sz="4" w:space="0"/>
              <w:left w:val="single" w:color="000000" w:sz="4" w:space="0"/>
              <w:bottom w:val="single" w:color="000000" w:sz="4" w:space="0"/>
              <w:right w:val="single" w:color="000000" w:sz="4" w:space="0"/>
            </w:tcBorders>
            <w:vAlign w:val="center"/>
          </w:tcPr>
          <w:p w14:paraId="20773C6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系统为帮助审计人员熟悉系统和解决系统使用中遇到的问题，专门为审计人员提供了三种帮助方式，来提高系统的易用性和便利性：</w:t>
            </w:r>
          </w:p>
        </w:tc>
        <w:tc>
          <w:tcPr>
            <w:tcW w:w="1226" w:type="dxa"/>
            <w:tcBorders>
              <w:top w:val="single" w:color="000000" w:sz="4" w:space="0"/>
              <w:left w:val="single" w:color="000000" w:sz="4" w:space="0"/>
              <w:bottom w:val="single" w:color="000000" w:sz="4" w:space="0"/>
              <w:right w:val="single" w:color="000000" w:sz="4" w:space="0"/>
            </w:tcBorders>
            <w:vAlign w:val="center"/>
          </w:tcPr>
          <w:p w14:paraId="1C27799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4CB5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20833AF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18</w:t>
            </w:r>
          </w:p>
        </w:tc>
        <w:tc>
          <w:tcPr>
            <w:tcW w:w="1312" w:type="dxa"/>
            <w:tcBorders>
              <w:top w:val="single" w:color="000000" w:sz="4" w:space="0"/>
              <w:left w:val="single" w:color="000000" w:sz="4" w:space="0"/>
              <w:bottom w:val="single" w:color="000000" w:sz="4" w:space="0"/>
              <w:right w:val="single" w:color="000000" w:sz="4" w:space="0"/>
            </w:tcBorders>
            <w:vAlign w:val="center"/>
          </w:tcPr>
          <w:p w14:paraId="1A3A9F1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数据分级分类</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数据分类</w:t>
            </w:r>
          </w:p>
        </w:tc>
        <w:tc>
          <w:tcPr>
            <w:tcW w:w="5332" w:type="dxa"/>
            <w:tcBorders>
              <w:top w:val="single" w:color="000000" w:sz="4" w:space="0"/>
              <w:left w:val="single" w:color="000000" w:sz="4" w:space="0"/>
              <w:bottom w:val="single" w:color="000000" w:sz="4" w:space="0"/>
              <w:right w:val="single" w:color="000000" w:sz="4" w:space="0"/>
            </w:tcBorders>
            <w:vAlign w:val="center"/>
          </w:tcPr>
          <w:p w14:paraId="211878C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数据分类分级管理模块允许用户对数据进行分类和标记，根据数据的敏感性和重要性将数据划分为不同的等级或类别</w:t>
            </w:r>
          </w:p>
        </w:tc>
        <w:tc>
          <w:tcPr>
            <w:tcW w:w="1226" w:type="dxa"/>
            <w:tcBorders>
              <w:top w:val="single" w:color="000000" w:sz="4" w:space="0"/>
              <w:left w:val="single" w:color="000000" w:sz="4" w:space="0"/>
              <w:bottom w:val="single" w:color="000000" w:sz="4" w:space="0"/>
              <w:right w:val="single" w:color="000000" w:sz="4" w:space="0"/>
            </w:tcBorders>
            <w:vAlign w:val="center"/>
          </w:tcPr>
          <w:p w14:paraId="44319AE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2CE5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101BF5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19</w:t>
            </w:r>
          </w:p>
        </w:tc>
        <w:tc>
          <w:tcPr>
            <w:tcW w:w="1312" w:type="dxa"/>
            <w:tcBorders>
              <w:top w:val="single" w:color="000000" w:sz="4" w:space="0"/>
              <w:left w:val="single" w:color="000000" w:sz="4" w:space="0"/>
              <w:bottom w:val="single" w:color="000000" w:sz="4" w:space="0"/>
              <w:right w:val="single" w:color="000000" w:sz="4" w:space="0"/>
            </w:tcBorders>
            <w:vAlign w:val="center"/>
          </w:tcPr>
          <w:p w14:paraId="0D53262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数据分级分类</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安全控制</w:t>
            </w:r>
          </w:p>
        </w:tc>
        <w:tc>
          <w:tcPr>
            <w:tcW w:w="5332" w:type="dxa"/>
            <w:tcBorders>
              <w:top w:val="single" w:color="000000" w:sz="4" w:space="0"/>
              <w:left w:val="single" w:color="000000" w:sz="4" w:space="0"/>
              <w:bottom w:val="single" w:color="000000" w:sz="4" w:space="0"/>
              <w:right w:val="single" w:color="000000" w:sz="4" w:space="0"/>
            </w:tcBorders>
            <w:vAlign w:val="center"/>
          </w:tcPr>
          <w:p w14:paraId="36EC1D5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安全权限控制功能允许管理员根据数据的分类和等级设置不同的访问权限和操作权限</w:t>
            </w:r>
          </w:p>
        </w:tc>
        <w:tc>
          <w:tcPr>
            <w:tcW w:w="1226" w:type="dxa"/>
            <w:tcBorders>
              <w:top w:val="single" w:color="000000" w:sz="4" w:space="0"/>
              <w:left w:val="single" w:color="000000" w:sz="4" w:space="0"/>
              <w:bottom w:val="single" w:color="000000" w:sz="4" w:space="0"/>
              <w:right w:val="single" w:color="000000" w:sz="4" w:space="0"/>
            </w:tcBorders>
            <w:vAlign w:val="center"/>
          </w:tcPr>
          <w:p w14:paraId="660DC8F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AE08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6EE891B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20</w:t>
            </w:r>
          </w:p>
        </w:tc>
        <w:tc>
          <w:tcPr>
            <w:tcW w:w="1312" w:type="dxa"/>
            <w:tcBorders>
              <w:top w:val="single" w:color="000000" w:sz="4" w:space="0"/>
              <w:left w:val="single" w:color="000000" w:sz="4" w:space="0"/>
              <w:bottom w:val="single" w:color="000000" w:sz="4" w:space="0"/>
              <w:right w:val="single" w:color="000000" w:sz="4" w:space="0"/>
            </w:tcBorders>
            <w:vAlign w:val="center"/>
          </w:tcPr>
          <w:p w14:paraId="1DEE75D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数据分级分类-审计日志</w:t>
            </w:r>
          </w:p>
        </w:tc>
        <w:tc>
          <w:tcPr>
            <w:tcW w:w="5332" w:type="dxa"/>
            <w:tcBorders>
              <w:top w:val="single" w:color="000000" w:sz="4" w:space="0"/>
              <w:left w:val="single" w:color="000000" w:sz="4" w:space="0"/>
              <w:bottom w:val="single" w:color="000000" w:sz="4" w:space="0"/>
              <w:right w:val="single" w:color="000000" w:sz="4" w:space="0"/>
            </w:tcBorders>
            <w:vAlign w:val="center"/>
          </w:tcPr>
          <w:p w14:paraId="402C13B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审计日志记录模块记录对数据的访问和操作历史，包括谁在何时对数据进行了何种操作</w:t>
            </w:r>
          </w:p>
        </w:tc>
        <w:tc>
          <w:tcPr>
            <w:tcW w:w="1226" w:type="dxa"/>
            <w:tcBorders>
              <w:top w:val="single" w:color="000000" w:sz="4" w:space="0"/>
              <w:left w:val="single" w:color="000000" w:sz="4" w:space="0"/>
              <w:bottom w:val="single" w:color="000000" w:sz="4" w:space="0"/>
              <w:right w:val="single" w:color="000000" w:sz="4" w:space="0"/>
            </w:tcBorders>
            <w:vAlign w:val="center"/>
          </w:tcPr>
          <w:p w14:paraId="1F790850">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7FE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80F6D5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21</w:t>
            </w:r>
          </w:p>
        </w:tc>
        <w:tc>
          <w:tcPr>
            <w:tcW w:w="1312" w:type="dxa"/>
            <w:tcBorders>
              <w:top w:val="single" w:color="000000" w:sz="4" w:space="0"/>
              <w:left w:val="single" w:color="000000" w:sz="4" w:space="0"/>
              <w:bottom w:val="single" w:color="000000" w:sz="4" w:space="0"/>
              <w:right w:val="single" w:color="000000" w:sz="4" w:space="0"/>
            </w:tcBorders>
            <w:vAlign w:val="center"/>
          </w:tcPr>
          <w:p w14:paraId="5713EE9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海涵·数据管理中心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数据分级分类-安全策略</w:t>
            </w:r>
          </w:p>
        </w:tc>
        <w:tc>
          <w:tcPr>
            <w:tcW w:w="5332" w:type="dxa"/>
            <w:tcBorders>
              <w:top w:val="single" w:color="000000" w:sz="4" w:space="0"/>
              <w:left w:val="single" w:color="000000" w:sz="4" w:space="0"/>
              <w:bottom w:val="single" w:color="000000" w:sz="4" w:space="0"/>
              <w:right w:val="single" w:color="000000" w:sz="4" w:space="0"/>
            </w:tcBorders>
            <w:vAlign w:val="center"/>
          </w:tcPr>
          <w:p w14:paraId="2908BAD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数据分类分级管理模块支持设置安全策略和措施，针对不同等级的数据采取相应的安全保护措施</w:t>
            </w:r>
          </w:p>
        </w:tc>
        <w:tc>
          <w:tcPr>
            <w:tcW w:w="1226" w:type="dxa"/>
            <w:tcBorders>
              <w:top w:val="single" w:color="000000" w:sz="4" w:space="0"/>
              <w:left w:val="single" w:color="000000" w:sz="4" w:space="0"/>
              <w:bottom w:val="single" w:color="000000" w:sz="4" w:space="0"/>
              <w:right w:val="single" w:color="000000" w:sz="4" w:space="0"/>
            </w:tcBorders>
            <w:vAlign w:val="center"/>
          </w:tcPr>
          <w:p w14:paraId="4425CD0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bl>
    <w:p w14:paraId="4C3970BF">
      <w:pPr>
        <w:numPr>
          <w:ilvl w:val="0"/>
          <w:numId w:val="27"/>
        </w:numPr>
        <w:ind w:left="0" w:leftChars="0" w:firstLine="420" w:firstLineChars="0"/>
        <w:rPr>
          <w:rFonts w:hint="eastAsia" w:ascii="宋体" w:hAnsi="宋体" w:eastAsia="宋体" w:cs="Times New Roman"/>
          <w:b/>
          <w:bCs w:val="0"/>
          <w:color w:val="auto"/>
          <w:lang w:val="en-US" w:eastAsia="zh-CN"/>
        </w:rPr>
      </w:pPr>
      <w:r>
        <w:rPr>
          <w:rFonts w:hint="eastAsia" w:ascii="宋体" w:hAnsi="宋体" w:eastAsia="宋体" w:cs="Times New Roman"/>
          <w:b/>
          <w:bCs w:val="0"/>
          <w:color w:val="auto"/>
          <w:lang w:val="en-US" w:eastAsia="zh-CN"/>
        </w:rPr>
        <w:t>求真·审计分析中心</w:t>
      </w:r>
    </w:p>
    <w:tbl>
      <w:tblPr>
        <w:tblStyle w:val="36"/>
        <w:tblW w:w="8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2"/>
        <w:gridCol w:w="1312"/>
        <w:gridCol w:w="5330"/>
        <w:gridCol w:w="1231"/>
      </w:tblGrid>
      <w:tr w14:paraId="37E7D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65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06B536B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序号</w:t>
            </w:r>
          </w:p>
        </w:tc>
        <w:tc>
          <w:tcPr>
            <w:tcW w:w="131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5372345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功能名称</w:t>
            </w:r>
          </w:p>
        </w:tc>
        <w:tc>
          <w:tcPr>
            <w:tcW w:w="5330"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6E97723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功能描述</w:t>
            </w:r>
          </w:p>
        </w:tc>
        <w:tc>
          <w:tcPr>
            <w:tcW w:w="1231"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47B9FFA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需求年度</w:t>
            </w:r>
          </w:p>
        </w:tc>
      </w:tr>
      <w:tr w14:paraId="37335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A4E88B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w:t>
            </w:r>
          </w:p>
        </w:tc>
        <w:tc>
          <w:tcPr>
            <w:tcW w:w="1312" w:type="dxa"/>
            <w:tcBorders>
              <w:top w:val="single" w:color="000000" w:sz="4" w:space="0"/>
              <w:left w:val="single" w:color="000000" w:sz="4" w:space="0"/>
              <w:bottom w:val="single" w:color="000000" w:sz="4" w:space="0"/>
              <w:right w:val="single" w:color="000000" w:sz="4" w:space="0"/>
            </w:tcBorders>
            <w:vAlign w:val="center"/>
          </w:tcPr>
          <w:p w14:paraId="04D5149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一键检索</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一般检索</w:t>
            </w:r>
          </w:p>
        </w:tc>
        <w:tc>
          <w:tcPr>
            <w:tcW w:w="5330" w:type="dxa"/>
            <w:tcBorders>
              <w:top w:val="single" w:color="000000" w:sz="4" w:space="0"/>
              <w:left w:val="single" w:color="000000" w:sz="4" w:space="0"/>
              <w:bottom w:val="single" w:color="000000" w:sz="4" w:space="0"/>
              <w:right w:val="single" w:color="000000" w:sz="4" w:space="0"/>
            </w:tcBorders>
            <w:vAlign w:val="center"/>
          </w:tcPr>
          <w:p w14:paraId="6FFBEA7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通过用户输入的关键词或短语，检索出用户需要的内容，并提供相关的信息资源。</w:t>
            </w:r>
          </w:p>
        </w:tc>
        <w:tc>
          <w:tcPr>
            <w:tcW w:w="1231" w:type="dxa"/>
            <w:tcBorders>
              <w:top w:val="single" w:color="000000" w:sz="4" w:space="0"/>
              <w:left w:val="single" w:color="000000" w:sz="4" w:space="0"/>
              <w:bottom w:val="single" w:color="000000" w:sz="4" w:space="0"/>
              <w:right w:val="single" w:color="000000" w:sz="4" w:space="0"/>
            </w:tcBorders>
            <w:vAlign w:val="center"/>
          </w:tcPr>
          <w:p w14:paraId="5A71A31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4C22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57AD31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w:t>
            </w:r>
          </w:p>
        </w:tc>
        <w:tc>
          <w:tcPr>
            <w:tcW w:w="1312" w:type="dxa"/>
            <w:tcBorders>
              <w:top w:val="single" w:color="000000" w:sz="4" w:space="0"/>
              <w:left w:val="single" w:color="000000" w:sz="4" w:space="0"/>
              <w:bottom w:val="single" w:color="000000" w:sz="4" w:space="0"/>
              <w:right w:val="single" w:color="000000" w:sz="4" w:space="0"/>
            </w:tcBorders>
            <w:vAlign w:val="center"/>
          </w:tcPr>
          <w:p w14:paraId="2195FAF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一键检索-高级检索</w:t>
            </w:r>
          </w:p>
        </w:tc>
        <w:tc>
          <w:tcPr>
            <w:tcW w:w="5330" w:type="dxa"/>
            <w:tcBorders>
              <w:top w:val="single" w:color="000000" w:sz="4" w:space="0"/>
              <w:left w:val="single" w:color="000000" w:sz="4" w:space="0"/>
              <w:bottom w:val="single" w:color="000000" w:sz="4" w:space="0"/>
              <w:right w:val="single" w:color="000000" w:sz="4" w:space="0"/>
            </w:tcBorders>
            <w:vAlign w:val="center"/>
          </w:tcPr>
          <w:p w14:paraId="5A4DB88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支持通过更多查询条件和方法，精确查找相关信息资源。</w:t>
            </w:r>
          </w:p>
        </w:tc>
        <w:tc>
          <w:tcPr>
            <w:tcW w:w="1231" w:type="dxa"/>
            <w:tcBorders>
              <w:top w:val="single" w:color="000000" w:sz="4" w:space="0"/>
              <w:left w:val="single" w:color="000000" w:sz="4" w:space="0"/>
              <w:bottom w:val="single" w:color="000000" w:sz="4" w:space="0"/>
              <w:right w:val="single" w:color="000000" w:sz="4" w:space="0"/>
            </w:tcBorders>
            <w:vAlign w:val="center"/>
          </w:tcPr>
          <w:p w14:paraId="03E2A6B7">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A671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F81389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w:t>
            </w:r>
          </w:p>
        </w:tc>
        <w:tc>
          <w:tcPr>
            <w:tcW w:w="1312" w:type="dxa"/>
            <w:tcBorders>
              <w:top w:val="single" w:color="000000" w:sz="4" w:space="0"/>
              <w:left w:val="single" w:color="000000" w:sz="4" w:space="0"/>
              <w:bottom w:val="single" w:color="000000" w:sz="4" w:space="0"/>
              <w:right w:val="single" w:color="000000" w:sz="4" w:space="0"/>
            </w:tcBorders>
            <w:vAlign w:val="center"/>
          </w:tcPr>
          <w:p w14:paraId="1E4F3BE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一键检索</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数据准备</w:t>
            </w:r>
          </w:p>
        </w:tc>
        <w:tc>
          <w:tcPr>
            <w:tcW w:w="5330" w:type="dxa"/>
            <w:tcBorders>
              <w:top w:val="single" w:color="000000" w:sz="4" w:space="0"/>
              <w:left w:val="single" w:color="000000" w:sz="4" w:space="0"/>
              <w:bottom w:val="single" w:color="000000" w:sz="4" w:space="0"/>
              <w:right w:val="single" w:color="000000" w:sz="4" w:space="0"/>
            </w:tcBorders>
            <w:vAlign w:val="center"/>
          </w:tcPr>
          <w:p w14:paraId="2AEB83B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配置关注的重点审计对象以及常用辅助数据的数据来源，数据更新频度等参数，在系统内生成数据准备任务，定期更新数据写入搜索数据库，数据准备任务包括将重点审计对象采集或报送的数据写入搜索数据库</w:t>
            </w:r>
          </w:p>
        </w:tc>
        <w:tc>
          <w:tcPr>
            <w:tcW w:w="1231" w:type="dxa"/>
            <w:tcBorders>
              <w:top w:val="single" w:color="000000" w:sz="4" w:space="0"/>
              <w:left w:val="single" w:color="000000" w:sz="4" w:space="0"/>
              <w:bottom w:val="single" w:color="000000" w:sz="4" w:space="0"/>
              <w:right w:val="single" w:color="000000" w:sz="4" w:space="0"/>
            </w:tcBorders>
            <w:vAlign w:val="center"/>
          </w:tcPr>
          <w:p w14:paraId="15776A2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321F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2F1785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w:t>
            </w:r>
          </w:p>
        </w:tc>
        <w:tc>
          <w:tcPr>
            <w:tcW w:w="1312" w:type="dxa"/>
            <w:tcBorders>
              <w:top w:val="single" w:color="000000" w:sz="4" w:space="0"/>
              <w:left w:val="single" w:color="000000" w:sz="4" w:space="0"/>
              <w:bottom w:val="single" w:color="000000" w:sz="4" w:space="0"/>
              <w:right w:val="single" w:color="000000" w:sz="4" w:space="0"/>
            </w:tcBorders>
            <w:vAlign w:val="center"/>
          </w:tcPr>
          <w:p w14:paraId="209499F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一键检索</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基于机器学习的数据热点预测</w:t>
            </w:r>
          </w:p>
        </w:tc>
        <w:tc>
          <w:tcPr>
            <w:tcW w:w="5330" w:type="dxa"/>
            <w:tcBorders>
              <w:top w:val="single" w:color="000000" w:sz="4" w:space="0"/>
              <w:left w:val="single" w:color="000000" w:sz="4" w:space="0"/>
              <w:bottom w:val="single" w:color="000000" w:sz="4" w:space="0"/>
              <w:right w:val="single" w:color="000000" w:sz="4" w:space="0"/>
            </w:tcBorders>
            <w:vAlign w:val="center"/>
          </w:tcPr>
          <w:p w14:paraId="577A29E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利用线性回归算法，对一键检索过程日志的学习，可以形成数据热度报告，预测未来一段时间的数据热点和趋势，对于优化数据准备过程，甚至优化整个审计数据治理的过程，提供参考依据。</w:t>
            </w:r>
          </w:p>
        </w:tc>
        <w:tc>
          <w:tcPr>
            <w:tcW w:w="1231" w:type="dxa"/>
            <w:tcBorders>
              <w:top w:val="single" w:color="000000" w:sz="4" w:space="0"/>
              <w:left w:val="single" w:color="000000" w:sz="4" w:space="0"/>
              <w:bottom w:val="single" w:color="000000" w:sz="4" w:space="0"/>
              <w:right w:val="single" w:color="000000" w:sz="4" w:space="0"/>
            </w:tcBorders>
            <w:vAlign w:val="center"/>
          </w:tcPr>
          <w:p w14:paraId="09ED12A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D743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935CB9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w:t>
            </w:r>
          </w:p>
        </w:tc>
        <w:tc>
          <w:tcPr>
            <w:tcW w:w="1312" w:type="dxa"/>
            <w:tcBorders>
              <w:top w:val="single" w:color="000000" w:sz="4" w:space="0"/>
              <w:left w:val="single" w:color="000000" w:sz="4" w:space="0"/>
              <w:bottom w:val="single" w:color="000000" w:sz="4" w:space="0"/>
              <w:right w:val="single" w:color="000000" w:sz="4" w:space="0"/>
            </w:tcBorders>
            <w:vAlign w:val="center"/>
          </w:tcPr>
          <w:p w14:paraId="3231858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单位和个人画像</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单位和个人的数据标签化处理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64256B7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单位和个人标签用于标识和描述单位和个人的各种特征和属性。单位/个人标签有助于快速分类和筛选。支持标签的创建、编辑和删除，且能够根据数据自动生成或推荐标签。</w:t>
            </w:r>
          </w:p>
        </w:tc>
        <w:tc>
          <w:tcPr>
            <w:tcW w:w="1231" w:type="dxa"/>
            <w:tcBorders>
              <w:top w:val="single" w:color="000000" w:sz="4" w:space="0"/>
              <w:left w:val="single" w:color="000000" w:sz="4" w:space="0"/>
              <w:bottom w:val="single" w:color="000000" w:sz="4" w:space="0"/>
              <w:right w:val="single" w:color="000000" w:sz="4" w:space="0"/>
            </w:tcBorders>
            <w:vAlign w:val="center"/>
          </w:tcPr>
          <w:p w14:paraId="5DCF03C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81B7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CE012F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w:t>
            </w:r>
          </w:p>
        </w:tc>
        <w:tc>
          <w:tcPr>
            <w:tcW w:w="1312" w:type="dxa"/>
            <w:tcBorders>
              <w:top w:val="single" w:color="000000" w:sz="4" w:space="0"/>
              <w:left w:val="single" w:color="000000" w:sz="4" w:space="0"/>
              <w:bottom w:val="single" w:color="000000" w:sz="4" w:space="0"/>
              <w:right w:val="single" w:color="000000" w:sz="4" w:space="0"/>
            </w:tcBorders>
            <w:vAlign w:val="center"/>
          </w:tcPr>
          <w:p w14:paraId="274D2EA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单位和个人画像</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单位群体画像</w:t>
            </w:r>
          </w:p>
        </w:tc>
        <w:tc>
          <w:tcPr>
            <w:tcW w:w="5330" w:type="dxa"/>
            <w:tcBorders>
              <w:top w:val="single" w:color="000000" w:sz="4" w:space="0"/>
              <w:left w:val="single" w:color="000000" w:sz="4" w:space="0"/>
              <w:bottom w:val="single" w:color="000000" w:sz="4" w:space="0"/>
              <w:right w:val="single" w:color="000000" w:sz="4" w:space="0"/>
            </w:tcBorders>
            <w:vAlign w:val="center"/>
          </w:tcPr>
          <w:p w14:paraId="6CC1954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单位群体画像功能模块用于对特定的单位群体进行综合分析和描述。</w:t>
            </w:r>
          </w:p>
        </w:tc>
        <w:tc>
          <w:tcPr>
            <w:tcW w:w="1231" w:type="dxa"/>
            <w:tcBorders>
              <w:top w:val="single" w:color="000000" w:sz="4" w:space="0"/>
              <w:left w:val="single" w:color="000000" w:sz="4" w:space="0"/>
              <w:bottom w:val="single" w:color="000000" w:sz="4" w:space="0"/>
              <w:right w:val="single" w:color="000000" w:sz="4" w:space="0"/>
            </w:tcBorders>
            <w:vAlign w:val="center"/>
          </w:tcPr>
          <w:p w14:paraId="13A68387">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3550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3D0912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w:t>
            </w:r>
          </w:p>
        </w:tc>
        <w:tc>
          <w:tcPr>
            <w:tcW w:w="1312" w:type="dxa"/>
            <w:tcBorders>
              <w:top w:val="single" w:color="000000" w:sz="4" w:space="0"/>
              <w:left w:val="single" w:color="000000" w:sz="4" w:space="0"/>
              <w:bottom w:val="single" w:color="000000" w:sz="4" w:space="0"/>
              <w:right w:val="single" w:color="000000" w:sz="4" w:space="0"/>
            </w:tcBorders>
            <w:vAlign w:val="center"/>
          </w:tcPr>
          <w:p w14:paraId="015EC5B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单位和个人画像</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单位个体画像</w:t>
            </w:r>
          </w:p>
        </w:tc>
        <w:tc>
          <w:tcPr>
            <w:tcW w:w="5330" w:type="dxa"/>
            <w:tcBorders>
              <w:top w:val="single" w:color="000000" w:sz="4" w:space="0"/>
              <w:left w:val="single" w:color="000000" w:sz="4" w:space="0"/>
              <w:bottom w:val="single" w:color="000000" w:sz="4" w:space="0"/>
              <w:right w:val="single" w:color="000000" w:sz="4" w:space="0"/>
            </w:tcBorders>
            <w:vAlign w:val="center"/>
          </w:tcPr>
          <w:p w14:paraId="5BB0B48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单位个体画像功能用于深入分析和描述个体单位的详细特征。</w:t>
            </w:r>
          </w:p>
        </w:tc>
        <w:tc>
          <w:tcPr>
            <w:tcW w:w="1231" w:type="dxa"/>
            <w:tcBorders>
              <w:top w:val="single" w:color="000000" w:sz="4" w:space="0"/>
              <w:left w:val="single" w:color="000000" w:sz="4" w:space="0"/>
              <w:bottom w:val="single" w:color="000000" w:sz="4" w:space="0"/>
              <w:right w:val="single" w:color="000000" w:sz="4" w:space="0"/>
            </w:tcBorders>
            <w:vAlign w:val="center"/>
          </w:tcPr>
          <w:p w14:paraId="666CD74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BEF8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19C1E8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w:t>
            </w:r>
          </w:p>
        </w:tc>
        <w:tc>
          <w:tcPr>
            <w:tcW w:w="1312" w:type="dxa"/>
            <w:tcBorders>
              <w:top w:val="single" w:color="000000" w:sz="4" w:space="0"/>
              <w:left w:val="single" w:color="000000" w:sz="4" w:space="0"/>
              <w:bottom w:val="single" w:color="000000" w:sz="4" w:space="0"/>
              <w:right w:val="single" w:color="000000" w:sz="4" w:space="0"/>
            </w:tcBorders>
            <w:vAlign w:val="center"/>
          </w:tcPr>
          <w:p w14:paraId="5236B07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单位和个人画像</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个人个体画像</w:t>
            </w:r>
          </w:p>
        </w:tc>
        <w:tc>
          <w:tcPr>
            <w:tcW w:w="5330" w:type="dxa"/>
            <w:tcBorders>
              <w:top w:val="single" w:color="000000" w:sz="4" w:space="0"/>
              <w:left w:val="single" w:color="000000" w:sz="4" w:space="0"/>
              <w:bottom w:val="single" w:color="000000" w:sz="4" w:space="0"/>
              <w:right w:val="single" w:color="000000" w:sz="4" w:space="0"/>
            </w:tcBorders>
            <w:vAlign w:val="center"/>
          </w:tcPr>
          <w:p w14:paraId="3AD799C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个人个体画像是对个人特征的全面分析和描述。</w:t>
            </w:r>
          </w:p>
        </w:tc>
        <w:tc>
          <w:tcPr>
            <w:tcW w:w="1231" w:type="dxa"/>
            <w:tcBorders>
              <w:top w:val="single" w:color="000000" w:sz="4" w:space="0"/>
              <w:left w:val="single" w:color="000000" w:sz="4" w:space="0"/>
              <w:bottom w:val="single" w:color="000000" w:sz="4" w:space="0"/>
              <w:right w:val="single" w:color="000000" w:sz="4" w:space="0"/>
            </w:tcBorders>
            <w:vAlign w:val="center"/>
          </w:tcPr>
          <w:p w14:paraId="0C249BF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1ED1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C66D11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9</w:t>
            </w:r>
          </w:p>
        </w:tc>
        <w:tc>
          <w:tcPr>
            <w:tcW w:w="1312" w:type="dxa"/>
            <w:tcBorders>
              <w:top w:val="single" w:color="000000" w:sz="4" w:space="0"/>
              <w:left w:val="single" w:color="000000" w:sz="4" w:space="0"/>
              <w:bottom w:val="single" w:color="000000" w:sz="4" w:space="0"/>
              <w:right w:val="single" w:color="000000" w:sz="4" w:space="0"/>
            </w:tcBorders>
            <w:vAlign w:val="center"/>
          </w:tcPr>
          <w:p w14:paraId="38D1096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单位和个人画像</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单位和个人智能推荐</w:t>
            </w:r>
          </w:p>
        </w:tc>
        <w:tc>
          <w:tcPr>
            <w:tcW w:w="5330" w:type="dxa"/>
            <w:tcBorders>
              <w:top w:val="single" w:color="000000" w:sz="4" w:space="0"/>
              <w:left w:val="single" w:color="000000" w:sz="4" w:space="0"/>
              <w:bottom w:val="single" w:color="000000" w:sz="4" w:space="0"/>
              <w:right w:val="single" w:color="000000" w:sz="4" w:space="0"/>
            </w:tcBorders>
            <w:vAlign w:val="center"/>
          </w:tcPr>
          <w:p w14:paraId="00B178A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单位和个人智能推荐是基于单位标签和单位个体画像，结合业务需求，进行业务需求与单位精准匹配的方法。</w:t>
            </w:r>
          </w:p>
        </w:tc>
        <w:tc>
          <w:tcPr>
            <w:tcW w:w="1231" w:type="dxa"/>
            <w:tcBorders>
              <w:top w:val="single" w:color="000000" w:sz="4" w:space="0"/>
              <w:left w:val="single" w:color="000000" w:sz="4" w:space="0"/>
              <w:bottom w:val="single" w:color="000000" w:sz="4" w:space="0"/>
              <w:right w:val="single" w:color="000000" w:sz="4" w:space="0"/>
            </w:tcBorders>
            <w:vAlign w:val="center"/>
          </w:tcPr>
          <w:p w14:paraId="1AF3D11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45F0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978D81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10</w:t>
            </w:r>
          </w:p>
        </w:tc>
        <w:tc>
          <w:tcPr>
            <w:tcW w:w="1312" w:type="dxa"/>
            <w:tcBorders>
              <w:top w:val="single" w:color="000000" w:sz="4" w:space="0"/>
              <w:left w:val="single" w:color="000000" w:sz="4" w:space="0"/>
              <w:bottom w:val="single" w:color="000000" w:sz="4" w:space="0"/>
              <w:right w:val="single" w:color="000000" w:sz="4" w:space="0"/>
            </w:tcBorders>
            <w:vAlign w:val="center"/>
          </w:tcPr>
          <w:p w14:paraId="2A45854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单位图谱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单位图谱构建</w:t>
            </w:r>
          </w:p>
        </w:tc>
        <w:tc>
          <w:tcPr>
            <w:tcW w:w="5330" w:type="dxa"/>
            <w:tcBorders>
              <w:top w:val="single" w:color="000000" w:sz="4" w:space="0"/>
              <w:left w:val="single" w:color="000000" w:sz="4" w:space="0"/>
              <w:bottom w:val="single" w:color="000000" w:sz="4" w:space="0"/>
              <w:right w:val="single" w:color="000000" w:sz="4" w:space="0"/>
            </w:tcBorders>
            <w:vAlign w:val="center"/>
          </w:tcPr>
          <w:p w14:paraId="660F162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利用图数据库知和识图谱技术，将单位及其属性以节点和边的形式表示</w:t>
            </w:r>
          </w:p>
        </w:tc>
        <w:tc>
          <w:tcPr>
            <w:tcW w:w="1231" w:type="dxa"/>
            <w:tcBorders>
              <w:top w:val="single" w:color="000000" w:sz="4" w:space="0"/>
              <w:left w:val="single" w:color="000000" w:sz="4" w:space="0"/>
              <w:bottom w:val="single" w:color="000000" w:sz="4" w:space="0"/>
              <w:right w:val="single" w:color="000000" w:sz="4" w:space="0"/>
            </w:tcBorders>
            <w:vAlign w:val="center"/>
          </w:tcPr>
          <w:p w14:paraId="5E9DC50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2169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104DA2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11</w:t>
            </w:r>
          </w:p>
        </w:tc>
        <w:tc>
          <w:tcPr>
            <w:tcW w:w="1312" w:type="dxa"/>
            <w:tcBorders>
              <w:top w:val="single" w:color="000000" w:sz="4" w:space="0"/>
              <w:left w:val="single" w:color="000000" w:sz="4" w:space="0"/>
              <w:bottom w:val="single" w:color="000000" w:sz="4" w:space="0"/>
              <w:right w:val="single" w:color="000000" w:sz="4" w:space="0"/>
            </w:tcBorders>
            <w:vAlign w:val="center"/>
          </w:tcPr>
          <w:p w14:paraId="6CE42C9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单位图谱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单位图谱检索</w:t>
            </w:r>
          </w:p>
        </w:tc>
        <w:tc>
          <w:tcPr>
            <w:tcW w:w="5330" w:type="dxa"/>
            <w:tcBorders>
              <w:top w:val="single" w:color="000000" w:sz="4" w:space="0"/>
              <w:left w:val="single" w:color="000000" w:sz="4" w:space="0"/>
              <w:bottom w:val="single" w:color="000000" w:sz="4" w:space="0"/>
              <w:right w:val="single" w:color="000000" w:sz="4" w:space="0"/>
            </w:tcBorders>
            <w:vAlign w:val="center"/>
          </w:tcPr>
          <w:p w14:paraId="10A358E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单位图谱检索功能可快速准确地检索单位图谱。用户可以按照事先设定的分类、级别、关键字等条件，例如按行业、地区、规模、单位名称等进行检索，检索后可以根据结果的单位列表查询单位图谱</w:t>
            </w:r>
          </w:p>
        </w:tc>
        <w:tc>
          <w:tcPr>
            <w:tcW w:w="1231" w:type="dxa"/>
            <w:tcBorders>
              <w:top w:val="single" w:color="000000" w:sz="4" w:space="0"/>
              <w:left w:val="single" w:color="000000" w:sz="4" w:space="0"/>
              <w:bottom w:val="single" w:color="000000" w:sz="4" w:space="0"/>
              <w:right w:val="single" w:color="000000" w:sz="4" w:space="0"/>
            </w:tcBorders>
            <w:vAlign w:val="center"/>
          </w:tcPr>
          <w:p w14:paraId="437F081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24FD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E13E13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12</w:t>
            </w:r>
          </w:p>
        </w:tc>
        <w:tc>
          <w:tcPr>
            <w:tcW w:w="1312" w:type="dxa"/>
            <w:tcBorders>
              <w:top w:val="single" w:color="000000" w:sz="4" w:space="0"/>
              <w:left w:val="single" w:color="000000" w:sz="4" w:space="0"/>
              <w:bottom w:val="single" w:color="000000" w:sz="4" w:space="0"/>
              <w:right w:val="single" w:color="000000" w:sz="4" w:space="0"/>
            </w:tcBorders>
            <w:vAlign w:val="center"/>
          </w:tcPr>
          <w:p w14:paraId="21FF6A6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单位图谱-下钻查询</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关联详细信息</w:t>
            </w:r>
          </w:p>
        </w:tc>
        <w:tc>
          <w:tcPr>
            <w:tcW w:w="5330" w:type="dxa"/>
            <w:tcBorders>
              <w:top w:val="single" w:color="000000" w:sz="4" w:space="0"/>
              <w:left w:val="single" w:color="000000" w:sz="4" w:space="0"/>
              <w:bottom w:val="single" w:color="000000" w:sz="4" w:space="0"/>
              <w:right w:val="single" w:color="000000" w:sz="4" w:space="0"/>
            </w:tcBorders>
            <w:vAlign w:val="center"/>
          </w:tcPr>
          <w:p w14:paraId="5F8DEBB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点击“边”进一步查询单位与其他单位或个体之间的关系的详细内容</w:t>
            </w:r>
          </w:p>
        </w:tc>
        <w:tc>
          <w:tcPr>
            <w:tcW w:w="1231" w:type="dxa"/>
            <w:tcBorders>
              <w:top w:val="single" w:color="000000" w:sz="4" w:space="0"/>
              <w:left w:val="single" w:color="000000" w:sz="4" w:space="0"/>
              <w:bottom w:val="single" w:color="000000" w:sz="4" w:space="0"/>
              <w:right w:val="single" w:color="000000" w:sz="4" w:space="0"/>
            </w:tcBorders>
            <w:vAlign w:val="center"/>
          </w:tcPr>
          <w:p w14:paraId="174ED74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B72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7E9E989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13</w:t>
            </w:r>
          </w:p>
        </w:tc>
        <w:tc>
          <w:tcPr>
            <w:tcW w:w="1312" w:type="dxa"/>
            <w:tcBorders>
              <w:top w:val="single" w:color="000000" w:sz="4" w:space="0"/>
              <w:left w:val="single" w:color="000000" w:sz="4" w:space="0"/>
              <w:bottom w:val="single" w:color="000000" w:sz="4" w:space="0"/>
              <w:right w:val="single" w:color="000000" w:sz="4" w:space="0"/>
            </w:tcBorders>
            <w:vAlign w:val="center"/>
          </w:tcPr>
          <w:p w14:paraId="71E7136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单位图谱-下钻查询</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单位详细信息</w:t>
            </w:r>
          </w:p>
        </w:tc>
        <w:tc>
          <w:tcPr>
            <w:tcW w:w="5330" w:type="dxa"/>
            <w:tcBorders>
              <w:top w:val="single" w:color="000000" w:sz="4" w:space="0"/>
              <w:left w:val="single" w:color="000000" w:sz="4" w:space="0"/>
              <w:bottom w:val="single" w:color="000000" w:sz="4" w:space="0"/>
              <w:right w:val="single" w:color="000000" w:sz="4" w:space="0"/>
            </w:tcBorders>
            <w:vAlign w:val="center"/>
          </w:tcPr>
          <w:p w14:paraId="1D2AA86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点击“节点”进一步查询该单位详细信息。可以通过图表和图形的方式直观展示单位的基本信息，包括单位的法人、投资金额等</w:t>
            </w:r>
          </w:p>
        </w:tc>
        <w:tc>
          <w:tcPr>
            <w:tcW w:w="1231" w:type="dxa"/>
            <w:tcBorders>
              <w:top w:val="single" w:color="000000" w:sz="4" w:space="0"/>
              <w:left w:val="single" w:color="000000" w:sz="4" w:space="0"/>
              <w:bottom w:val="single" w:color="000000" w:sz="4" w:space="0"/>
              <w:right w:val="single" w:color="000000" w:sz="4" w:space="0"/>
            </w:tcBorders>
            <w:vAlign w:val="center"/>
          </w:tcPr>
          <w:p w14:paraId="6B9D380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F3F1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238717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14</w:t>
            </w:r>
          </w:p>
        </w:tc>
        <w:tc>
          <w:tcPr>
            <w:tcW w:w="1312" w:type="dxa"/>
            <w:tcBorders>
              <w:top w:val="single" w:color="000000" w:sz="4" w:space="0"/>
              <w:left w:val="single" w:color="000000" w:sz="4" w:space="0"/>
              <w:bottom w:val="single" w:color="000000" w:sz="4" w:space="0"/>
              <w:right w:val="single" w:color="000000" w:sz="4" w:space="0"/>
            </w:tcBorders>
            <w:vAlign w:val="center"/>
          </w:tcPr>
          <w:p w14:paraId="488BFF0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数据图谱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数据图谱构建</w:t>
            </w:r>
          </w:p>
        </w:tc>
        <w:tc>
          <w:tcPr>
            <w:tcW w:w="5330" w:type="dxa"/>
            <w:tcBorders>
              <w:top w:val="single" w:color="000000" w:sz="4" w:space="0"/>
              <w:left w:val="single" w:color="000000" w:sz="4" w:space="0"/>
              <w:bottom w:val="single" w:color="000000" w:sz="4" w:space="0"/>
              <w:right w:val="single" w:color="000000" w:sz="4" w:space="0"/>
            </w:tcBorders>
            <w:vAlign w:val="center"/>
          </w:tcPr>
          <w:p w14:paraId="1385412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选择被审计单位、行业（数据来源）等条件，从关系型数据库中选取被审计单位的数据资源，按照轻量级数据图谱的要求形成数据资源，调用轻量化数据图谱的接口实现数据图谱生成，并将生成的数据图谱进行展现。</w:t>
            </w:r>
          </w:p>
        </w:tc>
        <w:tc>
          <w:tcPr>
            <w:tcW w:w="1231" w:type="dxa"/>
            <w:tcBorders>
              <w:top w:val="single" w:color="000000" w:sz="4" w:space="0"/>
              <w:left w:val="single" w:color="000000" w:sz="4" w:space="0"/>
              <w:bottom w:val="single" w:color="000000" w:sz="4" w:space="0"/>
              <w:right w:val="single" w:color="000000" w:sz="4" w:space="0"/>
            </w:tcBorders>
            <w:vAlign w:val="center"/>
          </w:tcPr>
          <w:p w14:paraId="332A77C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6758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3100D7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15</w:t>
            </w:r>
          </w:p>
        </w:tc>
        <w:tc>
          <w:tcPr>
            <w:tcW w:w="1312" w:type="dxa"/>
            <w:tcBorders>
              <w:top w:val="single" w:color="000000" w:sz="4" w:space="0"/>
              <w:left w:val="single" w:color="000000" w:sz="4" w:space="0"/>
              <w:bottom w:val="single" w:color="000000" w:sz="4" w:space="0"/>
              <w:right w:val="single" w:color="000000" w:sz="4" w:space="0"/>
            </w:tcBorders>
            <w:vAlign w:val="center"/>
          </w:tcPr>
          <w:p w14:paraId="165E062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数据图谱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图谱分级展示</w:t>
            </w:r>
          </w:p>
        </w:tc>
        <w:tc>
          <w:tcPr>
            <w:tcW w:w="5330" w:type="dxa"/>
            <w:tcBorders>
              <w:top w:val="single" w:color="000000" w:sz="4" w:space="0"/>
              <w:left w:val="single" w:color="000000" w:sz="4" w:space="0"/>
              <w:bottom w:val="single" w:color="000000" w:sz="4" w:space="0"/>
              <w:right w:val="single" w:color="000000" w:sz="4" w:space="0"/>
            </w:tcBorders>
            <w:vAlign w:val="center"/>
          </w:tcPr>
          <w:p w14:paraId="2B20C4A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针对展示的数据图谱，可以设置条件对数据图谱进行简化，避免过于复杂的数据铺排影响体验。筛选条件包括行业（数据来源），层级，状态等</w:t>
            </w:r>
          </w:p>
        </w:tc>
        <w:tc>
          <w:tcPr>
            <w:tcW w:w="1231" w:type="dxa"/>
            <w:tcBorders>
              <w:top w:val="single" w:color="000000" w:sz="4" w:space="0"/>
              <w:left w:val="single" w:color="000000" w:sz="4" w:space="0"/>
              <w:bottom w:val="single" w:color="000000" w:sz="4" w:space="0"/>
              <w:right w:val="single" w:color="000000" w:sz="4" w:space="0"/>
            </w:tcBorders>
            <w:vAlign w:val="center"/>
          </w:tcPr>
          <w:p w14:paraId="0B64D88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5FD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435AE6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16</w:t>
            </w:r>
          </w:p>
        </w:tc>
        <w:tc>
          <w:tcPr>
            <w:tcW w:w="1312" w:type="dxa"/>
            <w:tcBorders>
              <w:top w:val="single" w:color="000000" w:sz="4" w:space="0"/>
              <w:left w:val="single" w:color="000000" w:sz="4" w:space="0"/>
              <w:bottom w:val="single" w:color="000000" w:sz="4" w:space="0"/>
              <w:right w:val="single" w:color="000000" w:sz="4" w:space="0"/>
            </w:tcBorders>
            <w:vAlign w:val="center"/>
          </w:tcPr>
          <w:p w14:paraId="1A146D2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数据图谱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图谱下钻分析</w:t>
            </w:r>
          </w:p>
        </w:tc>
        <w:tc>
          <w:tcPr>
            <w:tcW w:w="5330" w:type="dxa"/>
            <w:tcBorders>
              <w:top w:val="single" w:color="000000" w:sz="4" w:space="0"/>
              <w:left w:val="single" w:color="000000" w:sz="4" w:space="0"/>
              <w:bottom w:val="single" w:color="000000" w:sz="4" w:space="0"/>
              <w:right w:val="single" w:color="000000" w:sz="4" w:space="0"/>
            </w:tcBorders>
            <w:vAlign w:val="center"/>
          </w:tcPr>
          <w:p w14:paraId="3A5C99A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在数据图谱中，通过不断深入和展开相关实体、关系和属性的分析过程，以逐步揭示更为详细和深层次的信息</w:t>
            </w:r>
          </w:p>
        </w:tc>
        <w:tc>
          <w:tcPr>
            <w:tcW w:w="1231" w:type="dxa"/>
            <w:tcBorders>
              <w:top w:val="single" w:color="000000" w:sz="4" w:space="0"/>
              <w:left w:val="single" w:color="000000" w:sz="4" w:space="0"/>
              <w:bottom w:val="single" w:color="000000" w:sz="4" w:space="0"/>
              <w:right w:val="single" w:color="000000" w:sz="4" w:space="0"/>
            </w:tcBorders>
            <w:vAlign w:val="center"/>
          </w:tcPr>
          <w:p w14:paraId="746928C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61E2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BA6E71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17</w:t>
            </w:r>
          </w:p>
        </w:tc>
        <w:tc>
          <w:tcPr>
            <w:tcW w:w="1312" w:type="dxa"/>
            <w:tcBorders>
              <w:top w:val="single" w:color="000000" w:sz="4" w:space="0"/>
              <w:left w:val="single" w:color="000000" w:sz="4" w:space="0"/>
              <w:bottom w:val="single" w:color="000000" w:sz="4" w:space="0"/>
              <w:right w:val="single" w:color="000000" w:sz="4" w:space="0"/>
            </w:tcBorders>
            <w:vAlign w:val="center"/>
          </w:tcPr>
          <w:p w14:paraId="2980FE3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内容综合管理平台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数据图谱-点边详情</w:t>
            </w:r>
          </w:p>
        </w:tc>
        <w:tc>
          <w:tcPr>
            <w:tcW w:w="5330" w:type="dxa"/>
            <w:tcBorders>
              <w:top w:val="single" w:color="000000" w:sz="4" w:space="0"/>
              <w:left w:val="single" w:color="000000" w:sz="4" w:space="0"/>
              <w:bottom w:val="single" w:color="000000" w:sz="4" w:space="0"/>
              <w:right w:val="single" w:color="000000" w:sz="4" w:space="0"/>
            </w:tcBorders>
            <w:vAlign w:val="center"/>
          </w:tcPr>
          <w:p w14:paraId="7374646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在进行数据图谱详细信息查看时，通常需要沿着数据图谱中的特定路径或节点，深入分析和了解具体实体的详细信息</w:t>
            </w:r>
          </w:p>
        </w:tc>
        <w:tc>
          <w:tcPr>
            <w:tcW w:w="1231" w:type="dxa"/>
            <w:tcBorders>
              <w:top w:val="single" w:color="000000" w:sz="4" w:space="0"/>
              <w:left w:val="single" w:color="000000" w:sz="4" w:space="0"/>
              <w:bottom w:val="single" w:color="000000" w:sz="4" w:space="0"/>
              <w:right w:val="single" w:color="000000" w:sz="4" w:space="0"/>
            </w:tcBorders>
            <w:vAlign w:val="center"/>
          </w:tcPr>
          <w:p w14:paraId="6E836A6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42BA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D0A9DA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18</w:t>
            </w:r>
          </w:p>
        </w:tc>
        <w:tc>
          <w:tcPr>
            <w:tcW w:w="1312" w:type="dxa"/>
            <w:tcBorders>
              <w:top w:val="single" w:color="000000" w:sz="4" w:space="0"/>
              <w:left w:val="single" w:color="000000" w:sz="4" w:space="0"/>
              <w:bottom w:val="single" w:color="000000" w:sz="4" w:space="0"/>
              <w:right w:val="single" w:color="000000" w:sz="4" w:space="0"/>
            </w:tcBorders>
            <w:vAlign w:val="center"/>
          </w:tcPr>
          <w:p w14:paraId="5C01F5A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平台大首页</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大首页</w:t>
            </w:r>
          </w:p>
        </w:tc>
        <w:tc>
          <w:tcPr>
            <w:tcW w:w="5330" w:type="dxa"/>
            <w:tcBorders>
              <w:top w:val="single" w:color="000000" w:sz="4" w:space="0"/>
              <w:left w:val="single" w:color="000000" w:sz="4" w:space="0"/>
              <w:bottom w:val="single" w:color="000000" w:sz="4" w:space="0"/>
              <w:right w:val="single" w:color="000000" w:sz="4" w:space="0"/>
            </w:tcBorders>
            <w:vAlign w:val="center"/>
          </w:tcPr>
          <w:p w14:paraId="57D0A37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汇总局内所有数据的使用情况，利用图形、表格等形式进行展示，包括行业信息、单位数量、数据总量、数据库数量、数据表数量、采集模板数量、审计方法、行业数据可视化展现、大数据表统计、数据规划、疑点数据情况等。</w:t>
            </w:r>
          </w:p>
        </w:tc>
        <w:tc>
          <w:tcPr>
            <w:tcW w:w="1231" w:type="dxa"/>
            <w:tcBorders>
              <w:top w:val="single" w:color="000000" w:sz="4" w:space="0"/>
              <w:left w:val="single" w:color="000000" w:sz="4" w:space="0"/>
              <w:bottom w:val="single" w:color="000000" w:sz="4" w:space="0"/>
              <w:right w:val="single" w:color="000000" w:sz="4" w:space="0"/>
            </w:tcBorders>
            <w:vAlign w:val="center"/>
          </w:tcPr>
          <w:p w14:paraId="73B42A4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3673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970B1D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19</w:t>
            </w:r>
          </w:p>
        </w:tc>
        <w:tc>
          <w:tcPr>
            <w:tcW w:w="1312" w:type="dxa"/>
            <w:tcBorders>
              <w:top w:val="single" w:color="000000" w:sz="4" w:space="0"/>
              <w:left w:val="single" w:color="000000" w:sz="4" w:space="0"/>
              <w:bottom w:val="single" w:color="000000" w:sz="4" w:space="0"/>
              <w:right w:val="single" w:color="000000" w:sz="4" w:space="0"/>
            </w:tcBorders>
            <w:vAlign w:val="center"/>
          </w:tcPr>
          <w:p w14:paraId="1817621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分析平台驾驶舱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分析平台驾驶舱</w:t>
            </w:r>
          </w:p>
        </w:tc>
        <w:tc>
          <w:tcPr>
            <w:tcW w:w="5330" w:type="dxa"/>
            <w:tcBorders>
              <w:top w:val="single" w:color="000000" w:sz="4" w:space="0"/>
              <w:left w:val="single" w:color="000000" w:sz="4" w:space="0"/>
              <w:bottom w:val="single" w:color="000000" w:sz="4" w:space="0"/>
              <w:right w:val="single" w:color="000000" w:sz="4" w:space="0"/>
            </w:tcBorders>
            <w:vAlign w:val="center"/>
          </w:tcPr>
          <w:p w14:paraId="6C90FDB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包括个人任务展示、系统资源、模型使用情况、查出疑点数和第三方工具等信息。内容涵盖所有任务数据，实现流程指引工作步骤，并可按工作内容搜索，关键字模糊查询导出方法集、基础表、审计方法等，并进行系统数据统计等；集成的外部工具包括财务报表分析工具、可视化展现工具等，帮助审计人员获取审计线索和疑点。</w:t>
            </w:r>
          </w:p>
        </w:tc>
        <w:tc>
          <w:tcPr>
            <w:tcW w:w="1231" w:type="dxa"/>
            <w:tcBorders>
              <w:top w:val="single" w:color="000000" w:sz="4" w:space="0"/>
              <w:left w:val="single" w:color="000000" w:sz="4" w:space="0"/>
              <w:bottom w:val="single" w:color="000000" w:sz="4" w:space="0"/>
              <w:right w:val="single" w:color="000000" w:sz="4" w:space="0"/>
            </w:tcBorders>
            <w:vAlign w:val="center"/>
          </w:tcPr>
          <w:p w14:paraId="5CFFF7A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1B82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8CB498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20</w:t>
            </w:r>
          </w:p>
        </w:tc>
        <w:tc>
          <w:tcPr>
            <w:tcW w:w="1312" w:type="dxa"/>
            <w:tcBorders>
              <w:top w:val="single" w:color="000000" w:sz="4" w:space="0"/>
              <w:left w:val="single" w:color="000000" w:sz="4" w:space="0"/>
              <w:bottom w:val="single" w:color="000000" w:sz="4" w:space="0"/>
              <w:right w:val="single" w:color="000000" w:sz="4" w:space="0"/>
            </w:tcBorders>
            <w:vAlign w:val="center"/>
          </w:tcPr>
          <w:p w14:paraId="63CE963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模型全生命周期管理-需求管理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72A3F7D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审计人员在模型管理功能中填写模型编写需求（包含模型名称、编写思路等），需求编写完成后发起模型流程。</w:t>
            </w:r>
          </w:p>
        </w:tc>
        <w:tc>
          <w:tcPr>
            <w:tcW w:w="1231" w:type="dxa"/>
            <w:tcBorders>
              <w:top w:val="single" w:color="000000" w:sz="4" w:space="0"/>
              <w:left w:val="single" w:color="000000" w:sz="4" w:space="0"/>
              <w:bottom w:val="single" w:color="000000" w:sz="4" w:space="0"/>
              <w:right w:val="single" w:color="000000" w:sz="4" w:space="0"/>
            </w:tcBorders>
            <w:vAlign w:val="center"/>
          </w:tcPr>
          <w:p w14:paraId="44F9B91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FD82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554DA9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21</w:t>
            </w:r>
          </w:p>
        </w:tc>
        <w:tc>
          <w:tcPr>
            <w:tcW w:w="1312" w:type="dxa"/>
            <w:tcBorders>
              <w:top w:val="single" w:color="000000" w:sz="4" w:space="0"/>
              <w:left w:val="single" w:color="000000" w:sz="4" w:space="0"/>
              <w:bottom w:val="single" w:color="000000" w:sz="4" w:space="0"/>
              <w:right w:val="single" w:color="000000" w:sz="4" w:space="0"/>
            </w:tcBorders>
            <w:vAlign w:val="center"/>
          </w:tcPr>
          <w:p w14:paraId="53A130E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模型全生命周期管理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模型开发</w:t>
            </w:r>
          </w:p>
        </w:tc>
        <w:tc>
          <w:tcPr>
            <w:tcW w:w="5330" w:type="dxa"/>
            <w:tcBorders>
              <w:top w:val="single" w:color="000000" w:sz="4" w:space="0"/>
              <w:left w:val="single" w:color="000000" w:sz="4" w:space="0"/>
              <w:bottom w:val="single" w:color="000000" w:sz="4" w:space="0"/>
              <w:right w:val="single" w:color="000000" w:sz="4" w:space="0"/>
            </w:tcBorders>
            <w:vAlign w:val="center"/>
          </w:tcPr>
          <w:p w14:paraId="0A067E2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模型流转至模型开发人员时，模型开发人员使用分析工具进行模型建模工作。</w:t>
            </w:r>
          </w:p>
        </w:tc>
        <w:tc>
          <w:tcPr>
            <w:tcW w:w="1231" w:type="dxa"/>
            <w:tcBorders>
              <w:top w:val="single" w:color="000000" w:sz="4" w:space="0"/>
              <w:left w:val="single" w:color="000000" w:sz="4" w:space="0"/>
              <w:bottom w:val="single" w:color="000000" w:sz="4" w:space="0"/>
              <w:right w:val="single" w:color="000000" w:sz="4" w:space="0"/>
            </w:tcBorders>
            <w:vAlign w:val="center"/>
          </w:tcPr>
          <w:p w14:paraId="76CBCED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5364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583877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22</w:t>
            </w:r>
          </w:p>
        </w:tc>
        <w:tc>
          <w:tcPr>
            <w:tcW w:w="1312" w:type="dxa"/>
            <w:tcBorders>
              <w:top w:val="single" w:color="000000" w:sz="4" w:space="0"/>
              <w:left w:val="single" w:color="000000" w:sz="4" w:space="0"/>
              <w:bottom w:val="single" w:color="000000" w:sz="4" w:space="0"/>
              <w:right w:val="single" w:color="000000" w:sz="4" w:space="0"/>
            </w:tcBorders>
            <w:vAlign w:val="center"/>
          </w:tcPr>
          <w:p w14:paraId="330F802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模型全生命周期管理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模型验证</w:t>
            </w:r>
          </w:p>
        </w:tc>
        <w:tc>
          <w:tcPr>
            <w:tcW w:w="5330" w:type="dxa"/>
            <w:tcBorders>
              <w:top w:val="single" w:color="000000" w:sz="4" w:space="0"/>
              <w:left w:val="single" w:color="000000" w:sz="4" w:space="0"/>
              <w:bottom w:val="single" w:color="000000" w:sz="4" w:space="0"/>
              <w:right w:val="single" w:color="000000" w:sz="4" w:space="0"/>
            </w:tcBorders>
            <w:vAlign w:val="center"/>
          </w:tcPr>
          <w:p w14:paraId="36ACF1B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模型建模完成后，由模型需求提出人进行模型的验证工作。</w:t>
            </w:r>
          </w:p>
        </w:tc>
        <w:tc>
          <w:tcPr>
            <w:tcW w:w="1231" w:type="dxa"/>
            <w:tcBorders>
              <w:top w:val="single" w:color="000000" w:sz="4" w:space="0"/>
              <w:left w:val="single" w:color="000000" w:sz="4" w:space="0"/>
              <w:bottom w:val="single" w:color="000000" w:sz="4" w:space="0"/>
              <w:right w:val="single" w:color="000000" w:sz="4" w:space="0"/>
            </w:tcBorders>
            <w:vAlign w:val="center"/>
          </w:tcPr>
          <w:p w14:paraId="1E9B5060">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8E0B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F27DED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23</w:t>
            </w:r>
          </w:p>
        </w:tc>
        <w:tc>
          <w:tcPr>
            <w:tcW w:w="1312" w:type="dxa"/>
            <w:tcBorders>
              <w:top w:val="single" w:color="000000" w:sz="4" w:space="0"/>
              <w:left w:val="single" w:color="000000" w:sz="4" w:space="0"/>
              <w:bottom w:val="single" w:color="000000" w:sz="4" w:space="0"/>
              <w:right w:val="single" w:color="000000" w:sz="4" w:space="0"/>
            </w:tcBorders>
            <w:vAlign w:val="center"/>
          </w:tcPr>
          <w:p w14:paraId="34A8C03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模型全生命周期管理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模型上线</w:t>
            </w:r>
          </w:p>
        </w:tc>
        <w:tc>
          <w:tcPr>
            <w:tcW w:w="5330" w:type="dxa"/>
            <w:tcBorders>
              <w:top w:val="single" w:color="000000" w:sz="4" w:space="0"/>
              <w:left w:val="single" w:color="000000" w:sz="4" w:space="0"/>
              <w:bottom w:val="single" w:color="000000" w:sz="4" w:space="0"/>
              <w:right w:val="single" w:color="000000" w:sz="4" w:space="0"/>
            </w:tcBorders>
            <w:vAlign w:val="center"/>
          </w:tcPr>
          <w:p w14:paraId="36112B0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模型验证后，由模型管理员完成模型的上线工作。</w:t>
            </w:r>
          </w:p>
        </w:tc>
        <w:tc>
          <w:tcPr>
            <w:tcW w:w="1231" w:type="dxa"/>
            <w:tcBorders>
              <w:top w:val="single" w:color="000000" w:sz="4" w:space="0"/>
              <w:left w:val="single" w:color="000000" w:sz="4" w:space="0"/>
              <w:bottom w:val="single" w:color="000000" w:sz="4" w:space="0"/>
              <w:right w:val="single" w:color="000000" w:sz="4" w:space="0"/>
            </w:tcBorders>
            <w:vAlign w:val="center"/>
          </w:tcPr>
          <w:p w14:paraId="0F43714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D62E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018F97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24</w:t>
            </w:r>
          </w:p>
        </w:tc>
        <w:tc>
          <w:tcPr>
            <w:tcW w:w="1312" w:type="dxa"/>
            <w:tcBorders>
              <w:top w:val="single" w:color="000000" w:sz="4" w:space="0"/>
              <w:left w:val="single" w:color="000000" w:sz="4" w:space="0"/>
              <w:bottom w:val="single" w:color="000000" w:sz="4" w:space="0"/>
              <w:right w:val="single" w:color="000000" w:sz="4" w:space="0"/>
            </w:tcBorders>
            <w:vAlign w:val="center"/>
          </w:tcPr>
          <w:p w14:paraId="10A1939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模型全生命周期管理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模型评估</w:t>
            </w:r>
          </w:p>
        </w:tc>
        <w:tc>
          <w:tcPr>
            <w:tcW w:w="5330" w:type="dxa"/>
            <w:tcBorders>
              <w:top w:val="single" w:color="000000" w:sz="4" w:space="0"/>
              <w:left w:val="single" w:color="000000" w:sz="4" w:space="0"/>
              <w:bottom w:val="single" w:color="000000" w:sz="4" w:space="0"/>
              <w:right w:val="single" w:color="000000" w:sz="4" w:space="0"/>
            </w:tcBorders>
            <w:vAlign w:val="center"/>
          </w:tcPr>
          <w:p w14:paraId="6430C77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模型使用过程中，可进行模型的评估，模型成效不佳时，可进行模型的优化或模型的下线流程。</w:t>
            </w:r>
          </w:p>
        </w:tc>
        <w:tc>
          <w:tcPr>
            <w:tcW w:w="1231" w:type="dxa"/>
            <w:tcBorders>
              <w:top w:val="single" w:color="000000" w:sz="4" w:space="0"/>
              <w:left w:val="single" w:color="000000" w:sz="4" w:space="0"/>
              <w:bottom w:val="single" w:color="000000" w:sz="4" w:space="0"/>
              <w:right w:val="single" w:color="000000" w:sz="4" w:space="0"/>
            </w:tcBorders>
            <w:vAlign w:val="center"/>
          </w:tcPr>
          <w:p w14:paraId="69D2F7C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A65E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FDE76D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25</w:t>
            </w:r>
          </w:p>
        </w:tc>
        <w:tc>
          <w:tcPr>
            <w:tcW w:w="1312" w:type="dxa"/>
            <w:tcBorders>
              <w:top w:val="single" w:color="000000" w:sz="4" w:space="0"/>
              <w:left w:val="single" w:color="000000" w:sz="4" w:space="0"/>
              <w:bottom w:val="single" w:color="000000" w:sz="4" w:space="0"/>
              <w:right w:val="single" w:color="000000" w:sz="4" w:space="0"/>
            </w:tcBorders>
            <w:vAlign w:val="center"/>
          </w:tcPr>
          <w:p w14:paraId="6C31582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模型全生命周期管理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模型优化</w:t>
            </w:r>
          </w:p>
        </w:tc>
        <w:tc>
          <w:tcPr>
            <w:tcW w:w="5330" w:type="dxa"/>
            <w:tcBorders>
              <w:top w:val="single" w:color="000000" w:sz="4" w:space="0"/>
              <w:left w:val="single" w:color="000000" w:sz="4" w:space="0"/>
              <w:bottom w:val="single" w:color="000000" w:sz="4" w:space="0"/>
              <w:right w:val="single" w:color="000000" w:sz="4" w:space="0"/>
            </w:tcBorders>
            <w:vAlign w:val="center"/>
          </w:tcPr>
          <w:p w14:paraId="0EAA600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可以从模型使用情况、模型查询线索数量、模型产生审计问题数量等角度进行模型成效的分析。</w:t>
            </w:r>
          </w:p>
        </w:tc>
        <w:tc>
          <w:tcPr>
            <w:tcW w:w="1231" w:type="dxa"/>
            <w:tcBorders>
              <w:top w:val="single" w:color="000000" w:sz="4" w:space="0"/>
              <w:left w:val="single" w:color="000000" w:sz="4" w:space="0"/>
              <w:bottom w:val="single" w:color="000000" w:sz="4" w:space="0"/>
              <w:right w:val="single" w:color="000000" w:sz="4" w:space="0"/>
            </w:tcBorders>
            <w:vAlign w:val="center"/>
          </w:tcPr>
          <w:p w14:paraId="107D552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3DA2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8FCF07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26</w:t>
            </w:r>
          </w:p>
        </w:tc>
        <w:tc>
          <w:tcPr>
            <w:tcW w:w="1312" w:type="dxa"/>
            <w:tcBorders>
              <w:top w:val="single" w:color="000000" w:sz="4" w:space="0"/>
              <w:left w:val="single" w:color="000000" w:sz="4" w:space="0"/>
              <w:bottom w:val="single" w:color="000000" w:sz="4" w:space="0"/>
              <w:right w:val="single" w:color="000000" w:sz="4" w:space="0"/>
            </w:tcBorders>
            <w:vAlign w:val="center"/>
          </w:tcPr>
          <w:p w14:paraId="7D6420E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模型全生命周期管理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模型下线</w:t>
            </w:r>
          </w:p>
        </w:tc>
        <w:tc>
          <w:tcPr>
            <w:tcW w:w="5330" w:type="dxa"/>
            <w:tcBorders>
              <w:top w:val="single" w:color="000000" w:sz="4" w:space="0"/>
              <w:left w:val="single" w:color="000000" w:sz="4" w:space="0"/>
              <w:bottom w:val="single" w:color="000000" w:sz="4" w:space="0"/>
              <w:right w:val="single" w:color="000000" w:sz="4" w:space="0"/>
            </w:tcBorders>
            <w:vAlign w:val="center"/>
          </w:tcPr>
          <w:p w14:paraId="6EB95AF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当模型</w:t>
            </w:r>
            <w:r>
              <w:rPr>
                <w:rFonts w:hint="eastAsia" w:ascii="宋体" w:hAnsi="宋体" w:eastAsia="宋体" w:cs="宋体"/>
                <w:b w:val="0"/>
                <w:bCs w:val="0"/>
                <w:i w:val="0"/>
                <w:iCs w:val="0"/>
                <w:color w:val="auto"/>
                <w:kern w:val="0"/>
                <w:sz w:val="21"/>
                <w:szCs w:val="21"/>
                <w:u w:val="none"/>
                <w:lang w:val="en-US" w:eastAsia="zh-CN"/>
              </w:rPr>
              <w:t>不再</w:t>
            </w:r>
            <w:r>
              <w:rPr>
                <w:rFonts w:hint="default" w:ascii="宋体" w:hAnsi="宋体" w:eastAsia="宋体" w:cs="宋体"/>
                <w:b w:val="0"/>
                <w:bCs w:val="0"/>
                <w:i w:val="0"/>
                <w:iCs w:val="0"/>
                <w:color w:val="auto"/>
                <w:kern w:val="0"/>
                <w:sz w:val="21"/>
                <w:szCs w:val="21"/>
                <w:u w:val="none"/>
                <w:lang w:val="en-US" w:eastAsia="zh-CN"/>
              </w:rPr>
              <w:t>使用时，可以通过模型下线将该模型下线，下线模型</w:t>
            </w:r>
            <w:r>
              <w:rPr>
                <w:rFonts w:hint="eastAsia" w:ascii="宋体" w:hAnsi="宋体" w:eastAsia="宋体" w:cs="宋体"/>
                <w:b w:val="0"/>
                <w:bCs w:val="0"/>
                <w:i w:val="0"/>
                <w:iCs w:val="0"/>
                <w:color w:val="auto"/>
                <w:kern w:val="0"/>
                <w:sz w:val="21"/>
                <w:szCs w:val="21"/>
                <w:u w:val="none"/>
                <w:lang w:val="en-US" w:eastAsia="zh-CN"/>
              </w:rPr>
              <w:t>不再</w:t>
            </w:r>
            <w:r>
              <w:rPr>
                <w:rFonts w:hint="default" w:ascii="宋体" w:hAnsi="宋体" w:eastAsia="宋体" w:cs="宋体"/>
                <w:b w:val="0"/>
                <w:bCs w:val="0"/>
                <w:i w:val="0"/>
                <w:iCs w:val="0"/>
                <w:color w:val="auto"/>
                <w:kern w:val="0"/>
                <w:sz w:val="21"/>
                <w:szCs w:val="21"/>
                <w:u w:val="none"/>
                <w:lang w:val="en-US" w:eastAsia="zh-CN"/>
              </w:rPr>
              <w:t>使用但进行保留。</w:t>
            </w:r>
          </w:p>
        </w:tc>
        <w:tc>
          <w:tcPr>
            <w:tcW w:w="1231" w:type="dxa"/>
            <w:tcBorders>
              <w:top w:val="single" w:color="000000" w:sz="4" w:space="0"/>
              <w:left w:val="single" w:color="000000" w:sz="4" w:space="0"/>
              <w:bottom w:val="single" w:color="000000" w:sz="4" w:space="0"/>
              <w:right w:val="single" w:color="000000" w:sz="4" w:space="0"/>
            </w:tcBorders>
            <w:vAlign w:val="center"/>
          </w:tcPr>
          <w:p w14:paraId="2EC55B70">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A91D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DAA54D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27</w:t>
            </w:r>
          </w:p>
        </w:tc>
        <w:tc>
          <w:tcPr>
            <w:tcW w:w="1312" w:type="dxa"/>
            <w:tcBorders>
              <w:top w:val="single" w:color="000000" w:sz="4" w:space="0"/>
              <w:left w:val="single" w:color="000000" w:sz="4" w:space="0"/>
              <w:bottom w:val="single" w:color="000000" w:sz="4" w:space="0"/>
              <w:right w:val="single" w:color="000000" w:sz="4" w:space="0"/>
            </w:tcBorders>
            <w:vAlign w:val="center"/>
          </w:tcPr>
          <w:p w14:paraId="6230884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公共模型管理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模型分类管理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6450A87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由模型管理员对模型的类型进行管理，可根据审计行业进行分类，例如金融审计、社保审计、财政审计、部门预算审计等，包括新增、修改、删除、查询等功能。</w:t>
            </w:r>
          </w:p>
        </w:tc>
        <w:tc>
          <w:tcPr>
            <w:tcW w:w="1231" w:type="dxa"/>
            <w:tcBorders>
              <w:top w:val="single" w:color="000000" w:sz="4" w:space="0"/>
              <w:left w:val="single" w:color="000000" w:sz="4" w:space="0"/>
              <w:bottom w:val="single" w:color="000000" w:sz="4" w:space="0"/>
              <w:right w:val="single" w:color="000000" w:sz="4" w:space="0"/>
            </w:tcBorders>
            <w:vAlign w:val="center"/>
          </w:tcPr>
          <w:p w14:paraId="7377E0A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1950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9BE9D4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28</w:t>
            </w:r>
          </w:p>
        </w:tc>
        <w:tc>
          <w:tcPr>
            <w:tcW w:w="1312" w:type="dxa"/>
            <w:tcBorders>
              <w:top w:val="single" w:color="000000" w:sz="4" w:space="0"/>
              <w:left w:val="single" w:color="000000" w:sz="4" w:space="0"/>
              <w:bottom w:val="single" w:color="000000" w:sz="4" w:space="0"/>
              <w:right w:val="single" w:color="000000" w:sz="4" w:space="0"/>
            </w:tcBorders>
            <w:vAlign w:val="center"/>
          </w:tcPr>
          <w:p w14:paraId="4ABFDA0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模型管理-公共模型管理-编辑模型</w:t>
            </w:r>
          </w:p>
        </w:tc>
        <w:tc>
          <w:tcPr>
            <w:tcW w:w="5330" w:type="dxa"/>
            <w:tcBorders>
              <w:top w:val="single" w:color="000000" w:sz="4" w:space="0"/>
              <w:left w:val="single" w:color="000000" w:sz="4" w:space="0"/>
              <w:bottom w:val="single" w:color="000000" w:sz="4" w:space="0"/>
              <w:right w:val="single" w:color="000000" w:sz="4" w:space="0"/>
            </w:tcBorders>
            <w:vAlign w:val="center"/>
          </w:tcPr>
          <w:p w14:paraId="7534CDE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管理员可在线利用SQL工具、图形化工具编写模型，对模型基础信息进行维护，如模型名称、审计思路、关联审计事项、模型类型（查询模型、预警模型等）等信息，维护信息后对模型进行发布，形成公共模型供审计人员使用。</w:t>
            </w:r>
          </w:p>
        </w:tc>
        <w:tc>
          <w:tcPr>
            <w:tcW w:w="1231" w:type="dxa"/>
            <w:tcBorders>
              <w:top w:val="single" w:color="000000" w:sz="4" w:space="0"/>
              <w:left w:val="single" w:color="000000" w:sz="4" w:space="0"/>
              <w:bottom w:val="single" w:color="000000" w:sz="4" w:space="0"/>
              <w:right w:val="single" w:color="000000" w:sz="4" w:space="0"/>
            </w:tcBorders>
            <w:vAlign w:val="center"/>
          </w:tcPr>
          <w:p w14:paraId="12317A70">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0B91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B04F99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29</w:t>
            </w:r>
          </w:p>
        </w:tc>
        <w:tc>
          <w:tcPr>
            <w:tcW w:w="1312" w:type="dxa"/>
            <w:tcBorders>
              <w:top w:val="single" w:color="000000" w:sz="4" w:space="0"/>
              <w:left w:val="single" w:color="000000" w:sz="4" w:space="0"/>
              <w:bottom w:val="single" w:color="000000" w:sz="4" w:space="0"/>
              <w:right w:val="single" w:color="000000" w:sz="4" w:space="0"/>
            </w:tcBorders>
            <w:vAlign w:val="center"/>
          </w:tcPr>
          <w:p w14:paraId="42DEE6F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公共模型管理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模型执行</w:t>
            </w:r>
          </w:p>
        </w:tc>
        <w:tc>
          <w:tcPr>
            <w:tcW w:w="5330" w:type="dxa"/>
            <w:tcBorders>
              <w:top w:val="single" w:color="000000" w:sz="4" w:space="0"/>
              <w:left w:val="single" w:color="000000" w:sz="4" w:space="0"/>
              <w:bottom w:val="single" w:color="000000" w:sz="4" w:space="0"/>
              <w:right w:val="single" w:color="000000" w:sz="4" w:space="0"/>
            </w:tcBorders>
            <w:vAlign w:val="center"/>
          </w:tcPr>
          <w:p w14:paraId="732C3E8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审计人员选择并执行模型，执行的模型结果可支持打上水印导出成excel表。同时支持批量定时执行模型，执行的模型结果可到模型结果管理中去进行操作。</w:t>
            </w:r>
          </w:p>
        </w:tc>
        <w:tc>
          <w:tcPr>
            <w:tcW w:w="1231" w:type="dxa"/>
            <w:tcBorders>
              <w:top w:val="single" w:color="000000" w:sz="4" w:space="0"/>
              <w:left w:val="single" w:color="000000" w:sz="4" w:space="0"/>
              <w:bottom w:val="single" w:color="000000" w:sz="4" w:space="0"/>
              <w:right w:val="single" w:color="000000" w:sz="4" w:space="0"/>
            </w:tcBorders>
            <w:vAlign w:val="center"/>
          </w:tcPr>
          <w:p w14:paraId="528BD95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1CC2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451A33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30</w:t>
            </w:r>
          </w:p>
        </w:tc>
        <w:tc>
          <w:tcPr>
            <w:tcW w:w="1312" w:type="dxa"/>
            <w:tcBorders>
              <w:top w:val="single" w:color="000000" w:sz="4" w:space="0"/>
              <w:left w:val="single" w:color="000000" w:sz="4" w:space="0"/>
              <w:bottom w:val="single" w:color="000000" w:sz="4" w:space="0"/>
              <w:right w:val="single" w:color="000000" w:sz="4" w:space="0"/>
            </w:tcBorders>
            <w:vAlign w:val="center"/>
          </w:tcPr>
          <w:p w14:paraId="680DD25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公共模型管理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模型复制</w:t>
            </w:r>
          </w:p>
        </w:tc>
        <w:tc>
          <w:tcPr>
            <w:tcW w:w="5330" w:type="dxa"/>
            <w:tcBorders>
              <w:top w:val="single" w:color="000000" w:sz="4" w:space="0"/>
              <w:left w:val="single" w:color="000000" w:sz="4" w:space="0"/>
              <w:bottom w:val="single" w:color="000000" w:sz="4" w:space="0"/>
              <w:right w:val="single" w:color="000000" w:sz="4" w:space="0"/>
            </w:tcBorders>
            <w:vAlign w:val="center"/>
          </w:tcPr>
          <w:p w14:paraId="4D50C3D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审计人员选择模型，复制到个人模型，审计人员即可对模型进行编辑，根据个人的思路进行深层次的探索研究。</w:t>
            </w:r>
          </w:p>
        </w:tc>
        <w:tc>
          <w:tcPr>
            <w:tcW w:w="1231" w:type="dxa"/>
            <w:tcBorders>
              <w:top w:val="single" w:color="000000" w:sz="4" w:space="0"/>
              <w:left w:val="single" w:color="000000" w:sz="4" w:space="0"/>
              <w:bottom w:val="single" w:color="000000" w:sz="4" w:space="0"/>
              <w:right w:val="single" w:color="000000" w:sz="4" w:space="0"/>
            </w:tcBorders>
            <w:vAlign w:val="center"/>
          </w:tcPr>
          <w:p w14:paraId="78BCD97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2AF1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280064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31</w:t>
            </w:r>
          </w:p>
        </w:tc>
        <w:tc>
          <w:tcPr>
            <w:tcW w:w="1312" w:type="dxa"/>
            <w:tcBorders>
              <w:top w:val="single" w:color="000000" w:sz="4" w:space="0"/>
              <w:left w:val="single" w:color="000000" w:sz="4" w:space="0"/>
              <w:bottom w:val="single" w:color="000000" w:sz="4" w:space="0"/>
              <w:right w:val="single" w:color="000000" w:sz="4" w:space="0"/>
            </w:tcBorders>
            <w:vAlign w:val="center"/>
          </w:tcPr>
          <w:p w14:paraId="00A3E2C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公共模型管理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模型导出</w:t>
            </w:r>
          </w:p>
        </w:tc>
        <w:tc>
          <w:tcPr>
            <w:tcW w:w="5330" w:type="dxa"/>
            <w:tcBorders>
              <w:top w:val="single" w:color="000000" w:sz="4" w:space="0"/>
              <w:left w:val="single" w:color="000000" w:sz="4" w:space="0"/>
              <w:bottom w:val="single" w:color="000000" w:sz="4" w:space="0"/>
              <w:right w:val="single" w:color="000000" w:sz="4" w:space="0"/>
            </w:tcBorders>
            <w:vAlign w:val="center"/>
          </w:tcPr>
          <w:p w14:paraId="2238D18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支持模型管理员对模型批量导出成带水印的excel文件或json文件。</w:t>
            </w:r>
          </w:p>
        </w:tc>
        <w:tc>
          <w:tcPr>
            <w:tcW w:w="1231" w:type="dxa"/>
            <w:tcBorders>
              <w:top w:val="single" w:color="000000" w:sz="4" w:space="0"/>
              <w:left w:val="single" w:color="000000" w:sz="4" w:space="0"/>
              <w:bottom w:val="single" w:color="000000" w:sz="4" w:space="0"/>
              <w:right w:val="single" w:color="000000" w:sz="4" w:space="0"/>
            </w:tcBorders>
            <w:vAlign w:val="center"/>
          </w:tcPr>
          <w:p w14:paraId="1E1AC09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CA05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B7424C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32</w:t>
            </w:r>
          </w:p>
        </w:tc>
        <w:tc>
          <w:tcPr>
            <w:tcW w:w="1312" w:type="dxa"/>
            <w:tcBorders>
              <w:top w:val="single" w:color="000000" w:sz="4" w:space="0"/>
              <w:left w:val="single" w:color="000000" w:sz="4" w:space="0"/>
              <w:bottom w:val="single" w:color="000000" w:sz="4" w:space="0"/>
              <w:right w:val="single" w:color="000000" w:sz="4" w:space="0"/>
            </w:tcBorders>
            <w:vAlign w:val="center"/>
          </w:tcPr>
          <w:p w14:paraId="0EF56CD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模型管理-公共模型管理-模型导入</w:t>
            </w:r>
          </w:p>
        </w:tc>
        <w:tc>
          <w:tcPr>
            <w:tcW w:w="5330" w:type="dxa"/>
            <w:tcBorders>
              <w:top w:val="single" w:color="000000" w:sz="4" w:space="0"/>
              <w:left w:val="single" w:color="000000" w:sz="4" w:space="0"/>
              <w:bottom w:val="single" w:color="000000" w:sz="4" w:space="0"/>
              <w:right w:val="single" w:color="000000" w:sz="4" w:space="0"/>
            </w:tcBorders>
            <w:vAlign w:val="center"/>
          </w:tcPr>
          <w:p w14:paraId="0BF45AF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支持模型管理员导入excel和json文件。</w:t>
            </w:r>
          </w:p>
        </w:tc>
        <w:tc>
          <w:tcPr>
            <w:tcW w:w="1231" w:type="dxa"/>
            <w:tcBorders>
              <w:top w:val="single" w:color="000000" w:sz="4" w:space="0"/>
              <w:left w:val="single" w:color="000000" w:sz="4" w:space="0"/>
              <w:bottom w:val="single" w:color="000000" w:sz="4" w:space="0"/>
              <w:right w:val="single" w:color="000000" w:sz="4" w:space="0"/>
            </w:tcBorders>
            <w:vAlign w:val="center"/>
          </w:tcPr>
          <w:p w14:paraId="2A60945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2E48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878054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33</w:t>
            </w:r>
          </w:p>
        </w:tc>
        <w:tc>
          <w:tcPr>
            <w:tcW w:w="1312" w:type="dxa"/>
            <w:tcBorders>
              <w:top w:val="single" w:color="000000" w:sz="4" w:space="0"/>
              <w:left w:val="single" w:color="000000" w:sz="4" w:space="0"/>
              <w:bottom w:val="single" w:color="000000" w:sz="4" w:space="0"/>
              <w:right w:val="single" w:color="000000" w:sz="4" w:space="0"/>
            </w:tcBorders>
            <w:vAlign w:val="center"/>
          </w:tcPr>
          <w:p w14:paraId="7F24D9C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公共模型管理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模型审批</w:t>
            </w:r>
          </w:p>
        </w:tc>
        <w:tc>
          <w:tcPr>
            <w:tcW w:w="5330" w:type="dxa"/>
            <w:tcBorders>
              <w:top w:val="single" w:color="000000" w:sz="4" w:space="0"/>
              <w:left w:val="single" w:color="000000" w:sz="4" w:space="0"/>
              <w:bottom w:val="single" w:color="000000" w:sz="4" w:space="0"/>
              <w:right w:val="single" w:color="000000" w:sz="4" w:space="0"/>
            </w:tcBorders>
            <w:vAlign w:val="center"/>
          </w:tcPr>
          <w:p w14:paraId="195F3FB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针对个人提交的模型，模型管理员进行审核，审核通过选择对应的模型目录发布为公共模型，审核不通过则退回个人模型中。</w:t>
            </w:r>
          </w:p>
        </w:tc>
        <w:tc>
          <w:tcPr>
            <w:tcW w:w="1231" w:type="dxa"/>
            <w:tcBorders>
              <w:top w:val="single" w:color="000000" w:sz="4" w:space="0"/>
              <w:left w:val="single" w:color="000000" w:sz="4" w:space="0"/>
              <w:bottom w:val="single" w:color="000000" w:sz="4" w:space="0"/>
              <w:right w:val="single" w:color="000000" w:sz="4" w:space="0"/>
            </w:tcBorders>
            <w:vAlign w:val="center"/>
          </w:tcPr>
          <w:p w14:paraId="3EEC290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F41E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E989F1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34</w:t>
            </w:r>
          </w:p>
        </w:tc>
        <w:tc>
          <w:tcPr>
            <w:tcW w:w="1312" w:type="dxa"/>
            <w:tcBorders>
              <w:top w:val="single" w:color="000000" w:sz="4" w:space="0"/>
              <w:left w:val="single" w:color="000000" w:sz="4" w:space="0"/>
              <w:bottom w:val="single" w:color="000000" w:sz="4" w:space="0"/>
              <w:right w:val="single" w:color="000000" w:sz="4" w:space="0"/>
            </w:tcBorders>
            <w:vAlign w:val="center"/>
          </w:tcPr>
          <w:p w14:paraId="608923D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个人模型管理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分类管理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484F0C2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审计人员根据个人的分类需求对个人模型的类型进行管理，包括新增、修改、删除、查询等功能。</w:t>
            </w:r>
          </w:p>
        </w:tc>
        <w:tc>
          <w:tcPr>
            <w:tcW w:w="1231" w:type="dxa"/>
            <w:tcBorders>
              <w:top w:val="single" w:color="000000" w:sz="4" w:space="0"/>
              <w:left w:val="single" w:color="000000" w:sz="4" w:space="0"/>
              <w:bottom w:val="single" w:color="000000" w:sz="4" w:space="0"/>
              <w:right w:val="single" w:color="000000" w:sz="4" w:space="0"/>
            </w:tcBorders>
            <w:vAlign w:val="center"/>
          </w:tcPr>
          <w:p w14:paraId="27C82CB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AFC8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D44628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35</w:t>
            </w:r>
          </w:p>
        </w:tc>
        <w:tc>
          <w:tcPr>
            <w:tcW w:w="1312" w:type="dxa"/>
            <w:tcBorders>
              <w:top w:val="single" w:color="000000" w:sz="4" w:space="0"/>
              <w:left w:val="single" w:color="000000" w:sz="4" w:space="0"/>
              <w:bottom w:val="single" w:color="000000" w:sz="4" w:space="0"/>
              <w:right w:val="single" w:color="000000" w:sz="4" w:space="0"/>
            </w:tcBorders>
            <w:vAlign w:val="center"/>
          </w:tcPr>
          <w:p w14:paraId="75B16A4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模型管理-个人模型管理-编辑模型</w:t>
            </w:r>
          </w:p>
        </w:tc>
        <w:tc>
          <w:tcPr>
            <w:tcW w:w="5330" w:type="dxa"/>
            <w:tcBorders>
              <w:top w:val="single" w:color="000000" w:sz="4" w:space="0"/>
              <w:left w:val="single" w:color="000000" w:sz="4" w:space="0"/>
              <w:bottom w:val="single" w:color="000000" w:sz="4" w:space="0"/>
              <w:right w:val="single" w:color="000000" w:sz="4" w:space="0"/>
            </w:tcBorders>
            <w:vAlign w:val="center"/>
          </w:tcPr>
          <w:p w14:paraId="3A5B949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人员可在线利用SQL工具、图形化工具编写模型，对模型基础信息进行维护，如模型名称、审计思路、关联审计事项、模型类型（查询模型、预警模型等）等信息，维护信息后对模型进行发布，形成公共模型供审计人员使用。</w:t>
            </w:r>
          </w:p>
        </w:tc>
        <w:tc>
          <w:tcPr>
            <w:tcW w:w="1231" w:type="dxa"/>
            <w:tcBorders>
              <w:top w:val="single" w:color="000000" w:sz="4" w:space="0"/>
              <w:left w:val="single" w:color="000000" w:sz="4" w:space="0"/>
              <w:bottom w:val="single" w:color="000000" w:sz="4" w:space="0"/>
              <w:right w:val="single" w:color="000000" w:sz="4" w:space="0"/>
            </w:tcBorders>
            <w:vAlign w:val="center"/>
          </w:tcPr>
          <w:p w14:paraId="1D3C980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E4ED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6ACA09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36</w:t>
            </w:r>
          </w:p>
        </w:tc>
        <w:tc>
          <w:tcPr>
            <w:tcW w:w="1312" w:type="dxa"/>
            <w:tcBorders>
              <w:top w:val="single" w:color="000000" w:sz="4" w:space="0"/>
              <w:left w:val="single" w:color="000000" w:sz="4" w:space="0"/>
              <w:bottom w:val="single" w:color="000000" w:sz="4" w:space="0"/>
              <w:right w:val="single" w:color="000000" w:sz="4" w:space="0"/>
            </w:tcBorders>
            <w:vAlign w:val="center"/>
          </w:tcPr>
          <w:p w14:paraId="02D69E9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个人模型管理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模型执行</w:t>
            </w:r>
          </w:p>
        </w:tc>
        <w:tc>
          <w:tcPr>
            <w:tcW w:w="5330" w:type="dxa"/>
            <w:tcBorders>
              <w:top w:val="single" w:color="000000" w:sz="4" w:space="0"/>
              <w:left w:val="single" w:color="000000" w:sz="4" w:space="0"/>
              <w:bottom w:val="single" w:color="000000" w:sz="4" w:space="0"/>
              <w:right w:val="single" w:color="000000" w:sz="4" w:space="0"/>
            </w:tcBorders>
            <w:vAlign w:val="center"/>
          </w:tcPr>
          <w:p w14:paraId="3838EB2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审计人员选择并执行模型，执行的模型结果可支持打上水印导出成excel表。同时，支持批量定时执行模型，执行的模型结果可到模型结果管理中去进行操作。</w:t>
            </w:r>
          </w:p>
        </w:tc>
        <w:tc>
          <w:tcPr>
            <w:tcW w:w="1231" w:type="dxa"/>
            <w:tcBorders>
              <w:top w:val="single" w:color="000000" w:sz="4" w:space="0"/>
              <w:left w:val="single" w:color="000000" w:sz="4" w:space="0"/>
              <w:bottom w:val="single" w:color="000000" w:sz="4" w:space="0"/>
              <w:right w:val="single" w:color="000000" w:sz="4" w:space="0"/>
            </w:tcBorders>
            <w:vAlign w:val="center"/>
          </w:tcPr>
          <w:p w14:paraId="4AAA2F0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AE89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C17E30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37</w:t>
            </w:r>
          </w:p>
        </w:tc>
        <w:tc>
          <w:tcPr>
            <w:tcW w:w="1312" w:type="dxa"/>
            <w:tcBorders>
              <w:top w:val="single" w:color="000000" w:sz="4" w:space="0"/>
              <w:left w:val="single" w:color="000000" w:sz="4" w:space="0"/>
              <w:bottom w:val="single" w:color="000000" w:sz="4" w:space="0"/>
              <w:right w:val="single" w:color="000000" w:sz="4" w:space="0"/>
            </w:tcBorders>
            <w:vAlign w:val="center"/>
          </w:tcPr>
          <w:p w14:paraId="3FEF944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个人模型管理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模型共享</w:t>
            </w:r>
          </w:p>
        </w:tc>
        <w:tc>
          <w:tcPr>
            <w:tcW w:w="5330" w:type="dxa"/>
            <w:tcBorders>
              <w:top w:val="single" w:color="000000" w:sz="4" w:space="0"/>
              <w:left w:val="single" w:color="000000" w:sz="4" w:space="0"/>
              <w:bottom w:val="single" w:color="000000" w:sz="4" w:space="0"/>
              <w:right w:val="single" w:color="000000" w:sz="4" w:space="0"/>
            </w:tcBorders>
            <w:vAlign w:val="center"/>
          </w:tcPr>
          <w:p w14:paraId="1D461C5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审计人员选择模型分享给其他人员，其他人员可以编辑模型，支持运行模型结果并查看。</w:t>
            </w:r>
          </w:p>
        </w:tc>
        <w:tc>
          <w:tcPr>
            <w:tcW w:w="1231" w:type="dxa"/>
            <w:tcBorders>
              <w:top w:val="single" w:color="000000" w:sz="4" w:space="0"/>
              <w:left w:val="single" w:color="000000" w:sz="4" w:space="0"/>
              <w:bottom w:val="single" w:color="000000" w:sz="4" w:space="0"/>
              <w:right w:val="single" w:color="000000" w:sz="4" w:space="0"/>
            </w:tcBorders>
            <w:vAlign w:val="center"/>
          </w:tcPr>
          <w:p w14:paraId="1E38D40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32D2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30A79B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38</w:t>
            </w:r>
          </w:p>
        </w:tc>
        <w:tc>
          <w:tcPr>
            <w:tcW w:w="1312" w:type="dxa"/>
            <w:tcBorders>
              <w:top w:val="single" w:color="000000" w:sz="4" w:space="0"/>
              <w:left w:val="single" w:color="000000" w:sz="4" w:space="0"/>
              <w:bottom w:val="single" w:color="000000" w:sz="4" w:space="0"/>
              <w:right w:val="single" w:color="000000" w:sz="4" w:space="0"/>
            </w:tcBorders>
            <w:vAlign w:val="center"/>
          </w:tcPr>
          <w:p w14:paraId="2C8FB05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个人模型管理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模型发布</w:t>
            </w:r>
          </w:p>
        </w:tc>
        <w:tc>
          <w:tcPr>
            <w:tcW w:w="5330" w:type="dxa"/>
            <w:tcBorders>
              <w:top w:val="single" w:color="000000" w:sz="4" w:space="0"/>
              <w:left w:val="single" w:color="000000" w:sz="4" w:space="0"/>
              <w:bottom w:val="single" w:color="000000" w:sz="4" w:space="0"/>
              <w:right w:val="single" w:color="000000" w:sz="4" w:space="0"/>
            </w:tcBorders>
            <w:vAlign w:val="center"/>
          </w:tcPr>
          <w:p w14:paraId="0D11076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审计人员选择个人模型提交模型管理员审核，由管理员审核通过后即可纳入公共模型，否则退回个人模型。</w:t>
            </w:r>
          </w:p>
        </w:tc>
        <w:tc>
          <w:tcPr>
            <w:tcW w:w="1231" w:type="dxa"/>
            <w:tcBorders>
              <w:top w:val="single" w:color="000000" w:sz="4" w:space="0"/>
              <w:left w:val="single" w:color="000000" w:sz="4" w:space="0"/>
              <w:bottom w:val="single" w:color="000000" w:sz="4" w:space="0"/>
              <w:right w:val="single" w:color="000000" w:sz="4" w:space="0"/>
            </w:tcBorders>
            <w:vAlign w:val="center"/>
          </w:tcPr>
          <w:p w14:paraId="1E4CCA8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D212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570D9F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39</w:t>
            </w:r>
          </w:p>
        </w:tc>
        <w:tc>
          <w:tcPr>
            <w:tcW w:w="1312" w:type="dxa"/>
            <w:tcBorders>
              <w:top w:val="single" w:color="000000" w:sz="4" w:space="0"/>
              <w:left w:val="single" w:color="000000" w:sz="4" w:space="0"/>
              <w:bottom w:val="single" w:color="000000" w:sz="4" w:space="0"/>
              <w:right w:val="single" w:color="000000" w:sz="4" w:space="0"/>
            </w:tcBorders>
            <w:vAlign w:val="center"/>
          </w:tcPr>
          <w:p w14:paraId="6E3C93A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个人模型管理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模型导入</w:t>
            </w:r>
          </w:p>
        </w:tc>
        <w:tc>
          <w:tcPr>
            <w:tcW w:w="5330" w:type="dxa"/>
            <w:tcBorders>
              <w:top w:val="single" w:color="000000" w:sz="4" w:space="0"/>
              <w:left w:val="single" w:color="000000" w:sz="4" w:space="0"/>
              <w:bottom w:val="single" w:color="000000" w:sz="4" w:space="0"/>
              <w:right w:val="single" w:color="000000" w:sz="4" w:space="0"/>
            </w:tcBorders>
            <w:vAlign w:val="center"/>
          </w:tcPr>
          <w:p w14:paraId="02F5595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支持模型管理员导入excel和json文件。</w:t>
            </w:r>
          </w:p>
        </w:tc>
        <w:tc>
          <w:tcPr>
            <w:tcW w:w="1231" w:type="dxa"/>
            <w:tcBorders>
              <w:top w:val="single" w:color="000000" w:sz="4" w:space="0"/>
              <w:left w:val="single" w:color="000000" w:sz="4" w:space="0"/>
              <w:bottom w:val="single" w:color="000000" w:sz="4" w:space="0"/>
              <w:right w:val="single" w:color="000000" w:sz="4" w:space="0"/>
            </w:tcBorders>
            <w:vAlign w:val="center"/>
          </w:tcPr>
          <w:p w14:paraId="37AD92D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B4BF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4BB845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40</w:t>
            </w:r>
          </w:p>
        </w:tc>
        <w:tc>
          <w:tcPr>
            <w:tcW w:w="1312" w:type="dxa"/>
            <w:tcBorders>
              <w:top w:val="single" w:color="000000" w:sz="4" w:space="0"/>
              <w:left w:val="single" w:color="000000" w:sz="4" w:space="0"/>
              <w:bottom w:val="single" w:color="000000" w:sz="4" w:space="0"/>
              <w:right w:val="single" w:color="000000" w:sz="4" w:space="0"/>
            </w:tcBorders>
            <w:vAlign w:val="center"/>
          </w:tcPr>
          <w:p w14:paraId="5AD6448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个人模型管理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模型导出</w:t>
            </w:r>
          </w:p>
        </w:tc>
        <w:tc>
          <w:tcPr>
            <w:tcW w:w="5330" w:type="dxa"/>
            <w:tcBorders>
              <w:top w:val="single" w:color="000000" w:sz="4" w:space="0"/>
              <w:left w:val="single" w:color="000000" w:sz="4" w:space="0"/>
              <w:bottom w:val="single" w:color="000000" w:sz="4" w:space="0"/>
              <w:right w:val="single" w:color="000000" w:sz="4" w:space="0"/>
            </w:tcBorders>
            <w:vAlign w:val="center"/>
          </w:tcPr>
          <w:p w14:paraId="60CD88C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支持模型管理员对模型批量导出成带水印的excel文件或json文件。</w:t>
            </w:r>
          </w:p>
        </w:tc>
        <w:tc>
          <w:tcPr>
            <w:tcW w:w="1231" w:type="dxa"/>
            <w:tcBorders>
              <w:top w:val="single" w:color="000000" w:sz="4" w:space="0"/>
              <w:left w:val="single" w:color="000000" w:sz="4" w:space="0"/>
              <w:bottom w:val="single" w:color="000000" w:sz="4" w:space="0"/>
              <w:right w:val="single" w:color="000000" w:sz="4" w:space="0"/>
            </w:tcBorders>
            <w:vAlign w:val="center"/>
          </w:tcPr>
          <w:p w14:paraId="042AF1C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B46E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C04C17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41</w:t>
            </w:r>
          </w:p>
        </w:tc>
        <w:tc>
          <w:tcPr>
            <w:tcW w:w="1312" w:type="dxa"/>
            <w:tcBorders>
              <w:top w:val="single" w:color="000000" w:sz="4" w:space="0"/>
              <w:left w:val="single" w:color="000000" w:sz="4" w:space="0"/>
              <w:bottom w:val="single" w:color="000000" w:sz="4" w:space="0"/>
              <w:right w:val="single" w:color="000000" w:sz="4" w:space="0"/>
            </w:tcBorders>
            <w:vAlign w:val="center"/>
          </w:tcPr>
          <w:p w14:paraId="6E24FAF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收藏模型管理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47A8348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在模型管理中，模型收藏管理指的是对模型进行收集、整理、分类和保存的过程。它允许用户根据自己的需求，将感兴趣的模型添加到收藏夹中，以便于后续查找、使用或分享。</w:t>
            </w:r>
          </w:p>
        </w:tc>
        <w:tc>
          <w:tcPr>
            <w:tcW w:w="1231" w:type="dxa"/>
            <w:tcBorders>
              <w:top w:val="single" w:color="000000" w:sz="4" w:space="0"/>
              <w:left w:val="single" w:color="000000" w:sz="4" w:space="0"/>
              <w:bottom w:val="single" w:color="000000" w:sz="4" w:space="0"/>
              <w:right w:val="single" w:color="000000" w:sz="4" w:space="0"/>
            </w:tcBorders>
            <w:vAlign w:val="center"/>
          </w:tcPr>
          <w:p w14:paraId="16A494D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9B16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CF7F35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42</w:t>
            </w:r>
          </w:p>
        </w:tc>
        <w:tc>
          <w:tcPr>
            <w:tcW w:w="1312" w:type="dxa"/>
            <w:tcBorders>
              <w:top w:val="single" w:color="000000" w:sz="4" w:space="0"/>
              <w:left w:val="single" w:color="000000" w:sz="4" w:space="0"/>
              <w:bottom w:val="single" w:color="000000" w:sz="4" w:space="0"/>
              <w:right w:val="single" w:color="000000" w:sz="4" w:space="0"/>
            </w:tcBorders>
            <w:vAlign w:val="center"/>
          </w:tcPr>
          <w:p w14:paraId="2840D46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共享模型管理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3382348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模型共享管理在模型管理中占据重要地位，它主要关注于如何有效地在团队或组织内部共享、使用和管理各种模型。</w:t>
            </w:r>
          </w:p>
        </w:tc>
        <w:tc>
          <w:tcPr>
            <w:tcW w:w="1231" w:type="dxa"/>
            <w:tcBorders>
              <w:top w:val="single" w:color="000000" w:sz="4" w:space="0"/>
              <w:left w:val="single" w:color="000000" w:sz="4" w:space="0"/>
              <w:bottom w:val="single" w:color="000000" w:sz="4" w:space="0"/>
              <w:right w:val="single" w:color="000000" w:sz="4" w:space="0"/>
            </w:tcBorders>
            <w:vAlign w:val="center"/>
          </w:tcPr>
          <w:p w14:paraId="6060599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AC14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1080D9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43</w:t>
            </w:r>
          </w:p>
        </w:tc>
        <w:tc>
          <w:tcPr>
            <w:tcW w:w="1312" w:type="dxa"/>
            <w:tcBorders>
              <w:top w:val="single" w:color="000000" w:sz="4" w:space="0"/>
              <w:left w:val="single" w:color="000000" w:sz="4" w:space="0"/>
              <w:bottom w:val="single" w:color="000000" w:sz="4" w:space="0"/>
              <w:right w:val="single" w:color="000000" w:sz="4" w:space="0"/>
            </w:tcBorders>
            <w:vAlign w:val="center"/>
          </w:tcPr>
          <w:p w14:paraId="16F93BB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批量分析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立即执行</w:t>
            </w:r>
          </w:p>
        </w:tc>
        <w:tc>
          <w:tcPr>
            <w:tcW w:w="5330" w:type="dxa"/>
            <w:tcBorders>
              <w:top w:val="single" w:color="000000" w:sz="4" w:space="0"/>
              <w:left w:val="single" w:color="000000" w:sz="4" w:space="0"/>
              <w:bottom w:val="single" w:color="000000" w:sz="4" w:space="0"/>
              <w:right w:val="single" w:color="000000" w:sz="4" w:space="0"/>
            </w:tcBorders>
            <w:vAlign w:val="center"/>
          </w:tcPr>
          <w:p w14:paraId="3486364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使用户可以一次运行大批审计模型，方便审计人员的快速审计，提高其工作效率。用户可以通过创建方法集，选择出需要运行的方法，保存新建的方法集后，然后运行创建的方法集，进而查看方法集的运行结果。</w:t>
            </w:r>
          </w:p>
        </w:tc>
        <w:tc>
          <w:tcPr>
            <w:tcW w:w="1231" w:type="dxa"/>
            <w:tcBorders>
              <w:top w:val="single" w:color="000000" w:sz="4" w:space="0"/>
              <w:left w:val="single" w:color="000000" w:sz="4" w:space="0"/>
              <w:bottom w:val="single" w:color="000000" w:sz="4" w:space="0"/>
              <w:right w:val="single" w:color="000000" w:sz="4" w:space="0"/>
            </w:tcBorders>
            <w:vAlign w:val="center"/>
          </w:tcPr>
          <w:p w14:paraId="1BC8DA2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4D22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4ADE3E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44</w:t>
            </w:r>
          </w:p>
        </w:tc>
        <w:tc>
          <w:tcPr>
            <w:tcW w:w="1312" w:type="dxa"/>
            <w:tcBorders>
              <w:top w:val="single" w:color="000000" w:sz="4" w:space="0"/>
              <w:left w:val="single" w:color="000000" w:sz="4" w:space="0"/>
              <w:bottom w:val="single" w:color="000000" w:sz="4" w:space="0"/>
              <w:right w:val="single" w:color="000000" w:sz="4" w:space="0"/>
            </w:tcBorders>
            <w:vAlign w:val="center"/>
          </w:tcPr>
          <w:p w14:paraId="31FA32D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批量分析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定时分析</w:t>
            </w:r>
          </w:p>
        </w:tc>
        <w:tc>
          <w:tcPr>
            <w:tcW w:w="5330" w:type="dxa"/>
            <w:tcBorders>
              <w:top w:val="single" w:color="000000" w:sz="4" w:space="0"/>
              <w:left w:val="single" w:color="000000" w:sz="4" w:space="0"/>
              <w:bottom w:val="single" w:color="000000" w:sz="4" w:space="0"/>
              <w:right w:val="single" w:color="000000" w:sz="4" w:space="0"/>
            </w:tcBorders>
            <w:vAlign w:val="center"/>
          </w:tcPr>
          <w:p w14:paraId="0372369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使用户可以定时运行大批模型，在日常分析过程中，一个大数据量的模型需要分析很久，分析过程中用户只能等待，定时分析可以让用户选择指定的时间后交由系统自动分析，分析完成后通知用户并查看结果。</w:t>
            </w:r>
          </w:p>
        </w:tc>
        <w:tc>
          <w:tcPr>
            <w:tcW w:w="1231" w:type="dxa"/>
            <w:tcBorders>
              <w:top w:val="single" w:color="000000" w:sz="4" w:space="0"/>
              <w:left w:val="single" w:color="000000" w:sz="4" w:space="0"/>
              <w:bottom w:val="single" w:color="000000" w:sz="4" w:space="0"/>
              <w:right w:val="single" w:color="000000" w:sz="4" w:space="0"/>
            </w:tcBorders>
            <w:vAlign w:val="center"/>
          </w:tcPr>
          <w:p w14:paraId="19AE4B2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C413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1EA7F8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45</w:t>
            </w:r>
          </w:p>
        </w:tc>
        <w:tc>
          <w:tcPr>
            <w:tcW w:w="1312" w:type="dxa"/>
            <w:tcBorders>
              <w:top w:val="single" w:color="000000" w:sz="4" w:space="0"/>
              <w:left w:val="single" w:color="000000" w:sz="4" w:space="0"/>
              <w:bottom w:val="single" w:color="000000" w:sz="4" w:space="0"/>
              <w:right w:val="single" w:color="000000" w:sz="4" w:space="0"/>
            </w:tcBorders>
            <w:vAlign w:val="center"/>
          </w:tcPr>
          <w:p w14:paraId="26C1B86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批量分析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定期分析</w:t>
            </w:r>
          </w:p>
        </w:tc>
        <w:tc>
          <w:tcPr>
            <w:tcW w:w="5330" w:type="dxa"/>
            <w:tcBorders>
              <w:top w:val="single" w:color="000000" w:sz="4" w:space="0"/>
              <w:left w:val="single" w:color="000000" w:sz="4" w:space="0"/>
              <w:bottom w:val="single" w:color="000000" w:sz="4" w:space="0"/>
              <w:right w:val="single" w:color="000000" w:sz="4" w:space="0"/>
            </w:tcBorders>
            <w:vAlign w:val="center"/>
          </w:tcPr>
          <w:p w14:paraId="5663318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使用户可以周期性分析大批量模型，不需要用户管理，只需一次设置即可定期自动分析，用户只需要到达分析时间后等待系统分析完成查看结果，大大节省了用户的分析时间。</w:t>
            </w:r>
          </w:p>
        </w:tc>
        <w:tc>
          <w:tcPr>
            <w:tcW w:w="1231" w:type="dxa"/>
            <w:tcBorders>
              <w:top w:val="single" w:color="000000" w:sz="4" w:space="0"/>
              <w:left w:val="single" w:color="000000" w:sz="4" w:space="0"/>
              <w:bottom w:val="single" w:color="000000" w:sz="4" w:space="0"/>
              <w:right w:val="single" w:color="000000" w:sz="4" w:space="0"/>
            </w:tcBorders>
            <w:vAlign w:val="center"/>
          </w:tcPr>
          <w:p w14:paraId="590F725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0CD13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CCD8FE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46</w:t>
            </w:r>
          </w:p>
        </w:tc>
        <w:tc>
          <w:tcPr>
            <w:tcW w:w="1312" w:type="dxa"/>
            <w:tcBorders>
              <w:top w:val="single" w:color="000000" w:sz="4" w:space="0"/>
              <w:left w:val="single" w:color="000000" w:sz="4" w:space="0"/>
              <w:bottom w:val="single" w:color="000000" w:sz="4" w:space="0"/>
              <w:right w:val="single" w:color="000000" w:sz="4" w:space="0"/>
            </w:tcBorders>
            <w:vAlign w:val="center"/>
          </w:tcPr>
          <w:p w14:paraId="5B07066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模型监控</w:t>
            </w:r>
          </w:p>
        </w:tc>
        <w:tc>
          <w:tcPr>
            <w:tcW w:w="5330" w:type="dxa"/>
            <w:tcBorders>
              <w:top w:val="single" w:color="000000" w:sz="4" w:space="0"/>
              <w:left w:val="single" w:color="000000" w:sz="4" w:space="0"/>
              <w:bottom w:val="single" w:color="000000" w:sz="4" w:space="0"/>
              <w:right w:val="single" w:color="000000" w:sz="4" w:space="0"/>
            </w:tcBorders>
            <w:vAlign w:val="center"/>
          </w:tcPr>
          <w:p w14:paraId="443819D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查看系统内的模型建设、运行以及模型产生的疑点和结果等相关信息</w:t>
            </w:r>
          </w:p>
        </w:tc>
        <w:tc>
          <w:tcPr>
            <w:tcW w:w="1231" w:type="dxa"/>
            <w:tcBorders>
              <w:top w:val="single" w:color="000000" w:sz="4" w:space="0"/>
              <w:left w:val="single" w:color="000000" w:sz="4" w:space="0"/>
              <w:bottom w:val="single" w:color="000000" w:sz="4" w:space="0"/>
              <w:right w:val="single" w:color="000000" w:sz="4" w:space="0"/>
            </w:tcBorders>
            <w:vAlign w:val="center"/>
          </w:tcPr>
          <w:p w14:paraId="7EB8624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B6B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7A84E91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47</w:t>
            </w:r>
          </w:p>
        </w:tc>
        <w:tc>
          <w:tcPr>
            <w:tcW w:w="1312" w:type="dxa"/>
            <w:tcBorders>
              <w:top w:val="single" w:color="000000" w:sz="4" w:space="0"/>
              <w:left w:val="single" w:color="000000" w:sz="4" w:space="0"/>
              <w:bottom w:val="single" w:color="000000" w:sz="4" w:space="0"/>
              <w:right w:val="single" w:color="000000" w:sz="4" w:space="0"/>
            </w:tcBorders>
            <w:vAlign w:val="center"/>
          </w:tcPr>
          <w:p w14:paraId="7744AC0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财政</w:t>
            </w:r>
          </w:p>
        </w:tc>
        <w:tc>
          <w:tcPr>
            <w:tcW w:w="5330" w:type="dxa"/>
            <w:tcBorders>
              <w:top w:val="single" w:color="000000" w:sz="4" w:space="0"/>
              <w:left w:val="single" w:color="000000" w:sz="4" w:space="0"/>
              <w:bottom w:val="single" w:color="000000" w:sz="4" w:space="0"/>
              <w:right w:val="single" w:color="000000" w:sz="4" w:space="0"/>
            </w:tcBorders>
            <w:vAlign w:val="center"/>
          </w:tcPr>
          <w:p w14:paraId="1BECD9B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财政审计方法50个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176710D7">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42C3B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5433AA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48</w:t>
            </w:r>
          </w:p>
        </w:tc>
        <w:tc>
          <w:tcPr>
            <w:tcW w:w="1312" w:type="dxa"/>
            <w:tcBorders>
              <w:top w:val="single" w:color="000000" w:sz="4" w:space="0"/>
              <w:left w:val="single" w:color="000000" w:sz="4" w:space="0"/>
              <w:bottom w:val="single" w:color="000000" w:sz="4" w:space="0"/>
              <w:right w:val="single" w:color="000000" w:sz="4" w:space="0"/>
            </w:tcBorders>
            <w:vAlign w:val="center"/>
          </w:tcPr>
          <w:p w14:paraId="0734FB9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地税</w:t>
            </w:r>
          </w:p>
        </w:tc>
        <w:tc>
          <w:tcPr>
            <w:tcW w:w="5330" w:type="dxa"/>
            <w:tcBorders>
              <w:top w:val="single" w:color="000000" w:sz="4" w:space="0"/>
              <w:left w:val="single" w:color="000000" w:sz="4" w:space="0"/>
              <w:bottom w:val="single" w:color="000000" w:sz="4" w:space="0"/>
              <w:right w:val="single" w:color="000000" w:sz="4" w:space="0"/>
            </w:tcBorders>
            <w:vAlign w:val="center"/>
          </w:tcPr>
          <w:p w14:paraId="0EB9B85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地税审计方法150个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14EDC8F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0955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73AC384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49</w:t>
            </w:r>
          </w:p>
        </w:tc>
        <w:tc>
          <w:tcPr>
            <w:tcW w:w="1312" w:type="dxa"/>
            <w:tcBorders>
              <w:top w:val="single" w:color="000000" w:sz="4" w:space="0"/>
              <w:left w:val="single" w:color="000000" w:sz="4" w:space="0"/>
              <w:bottom w:val="single" w:color="000000" w:sz="4" w:space="0"/>
              <w:right w:val="single" w:color="000000" w:sz="4" w:space="0"/>
            </w:tcBorders>
            <w:vAlign w:val="center"/>
          </w:tcPr>
          <w:p w14:paraId="500BD90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社保审计（社保基金）</w:t>
            </w:r>
          </w:p>
        </w:tc>
        <w:tc>
          <w:tcPr>
            <w:tcW w:w="5330" w:type="dxa"/>
            <w:tcBorders>
              <w:top w:val="single" w:color="000000" w:sz="4" w:space="0"/>
              <w:left w:val="single" w:color="000000" w:sz="4" w:space="0"/>
              <w:bottom w:val="single" w:color="000000" w:sz="4" w:space="0"/>
              <w:right w:val="single" w:color="000000" w:sz="4" w:space="0"/>
            </w:tcBorders>
            <w:vAlign w:val="center"/>
          </w:tcPr>
          <w:p w14:paraId="41C3D0B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社保基金审计方法330个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4247969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3905E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C28AB5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50</w:t>
            </w:r>
          </w:p>
        </w:tc>
        <w:tc>
          <w:tcPr>
            <w:tcW w:w="1312" w:type="dxa"/>
            <w:tcBorders>
              <w:top w:val="single" w:color="000000" w:sz="4" w:space="0"/>
              <w:left w:val="single" w:color="000000" w:sz="4" w:space="0"/>
              <w:bottom w:val="single" w:color="000000" w:sz="4" w:space="0"/>
              <w:right w:val="single" w:color="000000" w:sz="4" w:space="0"/>
            </w:tcBorders>
            <w:vAlign w:val="center"/>
          </w:tcPr>
          <w:p w14:paraId="1653719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社保审计（公积金）</w:t>
            </w:r>
          </w:p>
        </w:tc>
        <w:tc>
          <w:tcPr>
            <w:tcW w:w="5330" w:type="dxa"/>
            <w:tcBorders>
              <w:top w:val="single" w:color="000000" w:sz="4" w:space="0"/>
              <w:left w:val="single" w:color="000000" w:sz="4" w:space="0"/>
              <w:bottom w:val="single" w:color="000000" w:sz="4" w:space="0"/>
              <w:right w:val="single" w:color="000000" w:sz="4" w:space="0"/>
            </w:tcBorders>
            <w:vAlign w:val="center"/>
          </w:tcPr>
          <w:p w14:paraId="58276B5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公积金审计方法60个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418785A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4CD5B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98066A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51</w:t>
            </w:r>
          </w:p>
        </w:tc>
        <w:tc>
          <w:tcPr>
            <w:tcW w:w="1312" w:type="dxa"/>
            <w:tcBorders>
              <w:top w:val="single" w:color="000000" w:sz="4" w:space="0"/>
              <w:left w:val="single" w:color="000000" w:sz="4" w:space="0"/>
              <w:bottom w:val="single" w:color="000000" w:sz="4" w:space="0"/>
              <w:right w:val="single" w:color="000000" w:sz="4" w:space="0"/>
            </w:tcBorders>
            <w:vAlign w:val="center"/>
          </w:tcPr>
          <w:p w14:paraId="3517406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社保审计（救助金）</w:t>
            </w:r>
          </w:p>
        </w:tc>
        <w:tc>
          <w:tcPr>
            <w:tcW w:w="5330" w:type="dxa"/>
            <w:tcBorders>
              <w:top w:val="single" w:color="000000" w:sz="4" w:space="0"/>
              <w:left w:val="single" w:color="000000" w:sz="4" w:space="0"/>
              <w:bottom w:val="single" w:color="000000" w:sz="4" w:space="0"/>
              <w:right w:val="single" w:color="000000" w:sz="4" w:space="0"/>
            </w:tcBorders>
            <w:vAlign w:val="center"/>
          </w:tcPr>
          <w:p w14:paraId="397D98B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救助金审计方法100个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01AEDDE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4309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EBD688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52</w:t>
            </w:r>
          </w:p>
        </w:tc>
        <w:tc>
          <w:tcPr>
            <w:tcW w:w="1312" w:type="dxa"/>
            <w:tcBorders>
              <w:top w:val="single" w:color="000000" w:sz="4" w:space="0"/>
              <w:left w:val="single" w:color="000000" w:sz="4" w:space="0"/>
              <w:bottom w:val="single" w:color="000000" w:sz="4" w:space="0"/>
              <w:right w:val="single" w:color="000000" w:sz="4" w:space="0"/>
            </w:tcBorders>
            <w:vAlign w:val="center"/>
          </w:tcPr>
          <w:p w14:paraId="0336DDA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社保审计（福利资金）</w:t>
            </w:r>
          </w:p>
        </w:tc>
        <w:tc>
          <w:tcPr>
            <w:tcW w:w="5330" w:type="dxa"/>
            <w:tcBorders>
              <w:top w:val="single" w:color="000000" w:sz="4" w:space="0"/>
              <w:left w:val="single" w:color="000000" w:sz="4" w:space="0"/>
              <w:bottom w:val="single" w:color="000000" w:sz="4" w:space="0"/>
              <w:right w:val="single" w:color="000000" w:sz="4" w:space="0"/>
            </w:tcBorders>
            <w:vAlign w:val="center"/>
          </w:tcPr>
          <w:p w14:paraId="3E884FE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福利资金审计方法90个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5B5A864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4C5A0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6B2044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53</w:t>
            </w:r>
          </w:p>
        </w:tc>
        <w:tc>
          <w:tcPr>
            <w:tcW w:w="1312" w:type="dxa"/>
            <w:tcBorders>
              <w:top w:val="single" w:color="000000" w:sz="4" w:space="0"/>
              <w:left w:val="single" w:color="000000" w:sz="4" w:space="0"/>
              <w:bottom w:val="single" w:color="000000" w:sz="4" w:space="0"/>
              <w:right w:val="single" w:color="000000" w:sz="4" w:space="0"/>
            </w:tcBorders>
            <w:vAlign w:val="center"/>
          </w:tcPr>
          <w:p w14:paraId="6D86463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社保审计（保障房）</w:t>
            </w:r>
          </w:p>
        </w:tc>
        <w:tc>
          <w:tcPr>
            <w:tcW w:w="5330" w:type="dxa"/>
            <w:tcBorders>
              <w:top w:val="single" w:color="000000" w:sz="4" w:space="0"/>
              <w:left w:val="single" w:color="000000" w:sz="4" w:space="0"/>
              <w:bottom w:val="single" w:color="000000" w:sz="4" w:space="0"/>
              <w:right w:val="single" w:color="000000" w:sz="4" w:space="0"/>
            </w:tcBorders>
            <w:vAlign w:val="center"/>
          </w:tcPr>
          <w:p w14:paraId="6C6DCA6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保障房审计方法40个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3A33940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525D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FD1353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54</w:t>
            </w:r>
          </w:p>
        </w:tc>
        <w:tc>
          <w:tcPr>
            <w:tcW w:w="1312" w:type="dxa"/>
            <w:tcBorders>
              <w:top w:val="single" w:color="000000" w:sz="4" w:space="0"/>
              <w:left w:val="single" w:color="000000" w:sz="4" w:space="0"/>
              <w:bottom w:val="single" w:color="000000" w:sz="4" w:space="0"/>
              <w:right w:val="single" w:color="000000" w:sz="4" w:space="0"/>
            </w:tcBorders>
            <w:vAlign w:val="center"/>
          </w:tcPr>
          <w:p w14:paraId="08C1795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审计方法模型重构-金融</w:t>
            </w:r>
          </w:p>
        </w:tc>
        <w:tc>
          <w:tcPr>
            <w:tcW w:w="5330" w:type="dxa"/>
            <w:tcBorders>
              <w:top w:val="single" w:color="000000" w:sz="4" w:space="0"/>
              <w:left w:val="single" w:color="000000" w:sz="4" w:space="0"/>
              <w:bottom w:val="single" w:color="000000" w:sz="4" w:space="0"/>
              <w:right w:val="single" w:color="000000" w:sz="4" w:space="0"/>
            </w:tcBorders>
            <w:vAlign w:val="center"/>
          </w:tcPr>
          <w:p w14:paraId="423DB06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保险、银行和证券审计方法520个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49D6397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152D4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A2779E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55</w:t>
            </w:r>
          </w:p>
        </w:tc>
        <w:tc>
          <w:tcPr>
            <w:tcW w:w="1312" w:type="dxa"/>
            <w:tcBorders>
              <w:top w:val="single" w:color="000000" w:sz="4" w:space="0"/>
              <w:left w:val="single" w:color="000000" w:sz="4" w:space="0"/>
              <w:bottom w:val="single" w:color="000000" w:sz="4" w:space="0"/>
              <w:right w:val="single" w:color="000000" w:sz="4" w:space="0"/>
            </w:tcBorders>
            <w:vAlign w:val="center"/>
          </w:tcPr>
          <w:p w14:paraId="5A9CE34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部门单位</w:t>
            </w:r>
          </w:p>
        </w:tc>
        <w:tc>
          <w:tcPr>
            <w:tcW w:w="5330" w:type="dxa"/>
            <w:tcBorders>
              <w:top w:val="single" w:color="000000" w:sz="4" w:space="0"/>
              <w:left w:val="single" w:color="000000" w:sz="4" w:space="0"/>
              <w:bottom w:val="single" w:color="000000" w:sz="4" w:space="0"/>
              <w:right w:val="single" w:color="000000" w:sz="4" w:space="0"/>
            </w:tcBorders>
            <w:vAlign w:val="center"/>
          </w:tcPr>
          <w:p w14:paraId="6CACD01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医院、工商、联交所等部门单位审计方法1900个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2866309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3EC52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7310C2A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56</w:t>
            </w:r>
          </w:p>
        </w:tc>
        <w:tc>
          <w:tcPr>
            <w:tcW w:w="1312" w:type="dxa"/>
            <w:tcBorders>
              <w:top w:val="single" w:color="000000" w:sz="4" w:space="0"/>
              <w:left w:val="single" w:color="000000" w:sz="4" w:space="0"/>
              <w:bottom w:val="single" w:color="000000" w:sz="4" w:space="0"/>
              <w:right w:val="single" w:color="000000" w:sz="4" w:space="0"/>
            </w:tcBorders>
            <w:vAlign w:val="center"/>
          </w:tcPr>
          <w:p w14:paraId="2837266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审计方法模型重构</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国企</w:t>
            </w:r>
          </w:p>
        </w:tc>
        <w:tc>
          <w:tcPr>
            <w:tcW w:w="5330" w:type="dxa"/>
            <w:tcBorders>
              <w:top w:val="single" w:color="000000" w:sz="4" w:space="0"/>
              <w:left w:val="single" w:color="000000" w:sz="4" w:space="0"/>
              <w:bottom w:val="single" w:color="000000" w:sz="4" w:space="0"/>
              <w:right w:val="single" w:color="000000" w:sz="4" w:space="0"/>
            </w:tcBorders>
            <w:vAlign w:val="center"/>
          </w:tcPr>
          <w:p w14:paraId="6A0958D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国资委数据审计方法250个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7A0DA9F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F302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7E1E25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57</w:t>
            </w:r>
          </w:p>
        </w:tc>
        <w:tc>
          <w:tcPr>
            <w:tcW w:w="1312" w:type="dxa"/>
            <w:tcBorders>
              <w:top w:val="single" w:color="000000" w:sz="4" w:space="0"/>
              <w:left w:val="single" w:color="000000" w:sz="4" w:space="0"/>
              <w:bottom w:val="single" w:color="000000" w:sz="4" w:space="0"/>
              <w:right w:val="single" w:color="000000" w:sz="4" w:space="0"/>
            </w:tcBorders>
            <w:vAlign w:val="center"/>
          </w:tcPr>
          <w:p w14:paraId="55D704F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数字化审计分析-审计方法模型重构-投资</w:t>
            </w:r>
          </w:p>
        </w:tc>
        <w:tc>
          <w:tcPr>
            <w:tcW w:w="5330" w:type="dxa"/>
            <w:tcBorders>
              <w:top w:val="single" w:color="000000" w:sz="4" w:space="0"/>
              <w:left w:val="single" w:color="000000" w:sz="4" w:space="0"/>
              <w:bottom w:val="single" w:color="000000" w:sz="4" w:space="0"/>
              <w:right w:val="single" w:color="000000" w:sz="4" w:space="0"/>
            </w:tcBorders>
            <w:vAlign w:val="center"/>
          </w:tcPr>
          <w:p w14:paraId="1DB29AE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建设市场审计方法40个</w:t>
            </w:r>
          </w:p>
        </w:tc>
        <w:tc>
          <w:tcPr>
            <w:tcW w:w="1231" w:type="dxa"/>
            <w:tcBorders>
              <w:top w:val="single" w:color="000000" w:sz="4" w:space="0"/>
              <w:left w:val="single" w:color="000000" w:sz="4" w:space="0"/>
              <w:bottom w:val="single" w:color="000000" w:sz="4" w:space="0"/>
              <w:right w:val="single" w:color="000000" w:sz="4" w:space="0"/>
            </w:tcBorders>
            <w:vAlign w:val="center"/>
          </w:tcPr>
          <w:p w14:paraId="5202462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4B4F1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9D53DD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58</w:t>
            </w:r>
          </w:p>
        </w:tc>
        <w:tc>
          <w:tcPr>
            <w:tcW w:w="1312" w:type="dxa"/>
            <w:tcBorders>
              <w:top w:val="single" w:color="000000" w:sz="4" w:space="0"/>
              <w:left w:val="single" w:color="000000" w:sz="4" w:space="0"/>
              <w:bottom w:val="single" w:color="000000" w:sz="4" w:space="0"/>
              <w:right w:val="single" w:color="000000" w:sz="4" w:space="0"/>
            </w:tcBorders>
            <w:vAlign w:val="center"/>
          </w:tcPr>
          <w:p w14:paraId="08377D9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参数管理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参数分类管理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03584F2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模型参数分类管理通常涉及模型的分类与标记、版本控制、共享与协作以及安全性与备份。</w:t>
            </w:r>
          </w:p>
        </w:tc>
        <w:tc>
          <w:tcPr>
            <w:tcW w:w="1231" w:type="dxa"/>
            <w:tcBorders>
              <w:top w:val="single" w:color="000000" w:sz="4" w:space="0"/>
              <w:left w:val="single" w:color="000000" w:sz="4" w:space="0"/>
              <w:bottom w:val="single" w:color="000000" w:sz="4" w:space="0"/>
              <w:right w:val="single" w:color="000000" w:sz="4" w:space="0"/>
            </w:tcBorders>
            <w:vAlign w:val="center"/>
          </w:tcPr>
          <w:p w14:paraId="55C22A7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D00A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FEF5D0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59</w:t>
            </w:r>
          </w:p>
        </w:tc>
        <w:tc>
          <w:tcPr>
            <w:tcW w:w="1312" w:type="dxa"/>
            <w:tcBorders>
              <w:top w:val="single" w:color="000000" w:sz="4" w:space="0"/>
              <w:left w:val="single" w:color="000000" w:sz="4" w:space="0"/>
              <w:bottom w:val="single" w:color="000000" w:sz="4" w:space="0"/>
              <w:right w:val="single" w:color="000000" w:sz="4" w:space="0"/>
            </w:tcBorders>
            <w:vAlign w:val="center"/>
          </w:tcPr>
          <w:p w14:paraId="7D43316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参数管理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参数管理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5409FAC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参数管理是为模型编制和执行时提供动态的查询条件，以实现模型执行结果的灵活查询。模型参数分为公共参数和个人常用参数两类。</w:t>
            </w:r>
          </w:p>
        </w:tc>
        <w:tc>
          <w:tcPr>
            <w:tcW w:w="1231" w:type="dxa"/>
            <w:tcBorders>
              <w:top w:val="single" w:color="000000" w:sz="4" w:space="0"/>
              <w:left w:val="single" w:color="000000" w:sz="4" w:space="0"/>
              <w:bottom w:val="single" w:color="000000" w:sz="4" w:space="0"/>
              <w:right w:val="single" w:color="000000" w:sz="4" w:space="0"/>
            </w:tcBorders>
            <w:vAlign w:val="center"/>
          </w:tcPr>
          <w:p w14:paraId="1CEBEE7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3C012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073053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60</w:t>
            </w:r>
          </w:p>
        </w:tc>
        <w:tc>
          <w:tcPr>
            <w:tcW w:w="1312" w:type="dxa"/>
            <w:tcBorders>
              <w:top w:val="single" w:color="000000" w:sz="4" w:space="0"/>
              <w:left w:val="single" w:color="000000" w:sz="4" w:space="0"/>
              <w:bottom w:val="single" w:color="000000" w:sz="4" w:space="0"/>
              <w:right w:val="single" w:color="000000" w:sz="4" w:space="0"/>
            </w:tcBorders>
            <w:vAlign w:val="center"/>
          </w:tcPr>
          <w:p w14:paraId="2EC92E1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参数管理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参数展现</w:t>
            </w:r>
          </w:p>
        </w:tc>
        <w:tc>
          <w:tcPr>
            <w:tcW w:w="5330" w:type="dxa"/>
            <w:tcBorders>
              <w:top w:val="single" w:color="000000" w:sz="4" w:space="0"/>
              <w:left w:val="single" w:color="000000" w:sz="4" w:space="0"/>
              <w:bottom w:val="single" w:color="000000" w:sz="4" w:space="0"/>
              <w:right w:val="single" w:color="000000" w:sz="4" w:space="0"/>
            </w:tcBorders>
            <w:vAlign w:val="center"/>
          </w:tcPr>
          <w:p w14:paraId="196D689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在模型参数管理中，参数的展现是一个关键环节，它直接关系到参数的可视化、可理解性和易用性。有效的参数展现能够帮助研究者更好地掌握模型的内部状态，理解模型的学习过程，从而进行更有效的参数调整和优化。</w:t>
            </w:r>
          </w:p>
        </w:tc>
        <w:tc>
          <w:tcPr>
            <w:tcW w:w="1231" w:type="dxa"/>
            <w:tcBorders>
              <w:top w:val="single" w:color="000000" w:sz="4" w:space="0"/>
              <w:left w:val="single" w:color="000000" w:sz="4" w:space="0"/>
              <w:bottom w:val="single" w:color="000000" w:sz="4" w:space="0"/>
              <w:right w:val="single" w:color="000000" w:sz="4" w:space="0"/>
            </w:tcBorders>
            <w:vAlign w:val="center"/>
          </w:tcPr>
          <w:p w14:paraId="2B1C229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24AE9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B7F91E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61</w:t>
            </w:r>
          </w:p>
        </w:tc>
        <w:tc>
          <w:tcPr>
            <w:tcW w:w="1312" w:type="dxa"/>
            <w:tcBorders>
              <w:top w:val="single" w:color="000000" w:sz="4" w:space="0"/>
              <w:left w:val="single" w:color="000000" w:sz="4" w:space="0"/>
              <w:bottom w:val="single" w:color="000000" w:sz="4" w:space="0"/>
              <w:right w:val="single" w:color="000000" w:sz="4" w:space="0"/>
            </w:tcBorders>
            <w:vAlign w:val="center"/>
          </w:tcPr>
          <w:p w14:paraId="431A9AE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数字化审计分析-审计预警-预警管理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6E36A31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可对预警模型批量设置执行的周期，定期跑出疑点数据。</w:t>
            </w:r>
          </w:p>
        </w:tc>
        <w:tc>
          <w:tcPr>
            <w:tcW w:w="1231" w:type="dxa"/>
            <w:tcBorders>
              <w:top w:val="single" w:color="000000" w:sz="4" w:space="0"/>
              <w:left w:val="single" w:color="000000" w:sz="4" w:space="0"/>
              <w:bottom w:val="single" w:color="000000" w:sz="4" w:space="0"/>
              <w:right w:val="single" w:color="000000" w:sz="4" w:space="0"/>
            </w:tcBorders>
            <w:vAlign w:val="center"/>
          </w:tcPr>
          <w:p w14:paraId="3AB5AA5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12C34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C6905F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62</w:t>
            </w:r>
          </w:p>
        </w:tc>
        <w:tc>
          <w:tcPr>
            <w:tcW w:w="1312" w:type="dxa"/>
            <w:tcBorders>
              <w:top w:val="single" w:color="000000" w:sz="4" w:space="0"/>
              <w:left w:val="single" w:color="000000" w:sz="4" w:space="0"/>
              <w:bottom w:val="single" w:color="000000" w:sz="4" w:space="0"/>
              <w:right w:val="single" w:color="000000" w:sz="4" w:space="0"/>
            </w:tcBorders>
            <w:vAlign w:val="center"/>
          </w:tcPr>
          <w:p w14:paraId="4D19261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数字化审计分析-审计预警-预警分类管理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04FEEDB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对系统内的预警进行分类，使得查看预警更方便快捷。</w:t>
            </w:r>
          </w:p>
        </w:tc>
        <w:tc>
          <w:tcPr>
            <w:tcW w:w="1231" w:type="dxa"/>
            <w:tcBorders>
              <w:top w:val="single" w:color="000000" w:sz="4" w:space="0"/>
              <w:left w:val="single" w:color="000000" w:sz="4" w:space="0"/>
              <w:bottom w:val="single" w:color="000000" w:sz="4" w:space="0"/>
              <w:right w:val="single" w:color="000000" w:sz="4" w:space="0"/>
            </w:tcBorders>
            <w:vAlign w:val="center"/>
          </w:tcPr>
          <w:p w14:paraId="131498B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EB98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B08959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63</w:t>
            </w:r>
          </w:p>
        </w:tc>
        <w:tc>
          <w:tcPr>
            <w:tcW w:w="1312" w:type="dxa"/>
            <w:tcBorders>
              <w:top w:val="single" w:color="000000" w:sz="4" w:space="0"/>
              <w:left w:val="single" w:color="000000" w:sz="4" w:space="0"/>
              <w:bottom w:val="single" w:color="000000" w:sz="4" w:space="0"/>
              <w:right w:val="single" w:color="000000" w:sz="4" w:space="0"/>
            </w:tcBorders>
            <w:vAlign w:val="center"/>
          </w:tcPr>
          <w:p w14:paraId="28E24B4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数字化审计分析-审计预警-预警监控</w:t>
            </w:r>
          </w:p>
        </w:tc>
        <w:tc>
          <w:tcPr>
            <w:tcW w:w="5330" w:type="dxa"/>
            <w:tcBorders>
              <w:top w:val="single" w:color="000000" w:sz="4" w:space="0"/>
              <w:left w:val="single" w:color="000000" w:sz="4" w:space="0"/>
              <w:bottom w:val="single" w:color="000000" w:sz="4" w:space="0"/>
              <w:right w:val="single" w:color="000000" w:sz="4" w:space="0"/>
            </w:tcBorders>
            <w:vAlign w:val="center"/>
          </w:tcPr>
          <w:p w14:paraId="5C4D584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预警监控主要对整个预警执行状态全程监控，支持错误日志的查看以及异常处理策略。包括任务监控、执行任务统计、当前执行的任务。支持查看系统内正在执行的预警任务，方便监控任务的执行情况。</w:t>
            </w:r>
          </w:p>
        </w:tc>
        <w:tc>
          <w:tcPr>
            <w:tcW w:w="1231" w:type="dxa"/>
            <w:tcBorders>
              <w:top w:val="single" w:color="000000" w:sz="4" w:space="0"/>
              <w:left w:val="single" w:color="000000" w:sz="4" w:space="0"/>
              <w:bottom w:val="single" w:color="000000" w:sz="4" w:space="0"/>
              <w:right w:val="single" w:color="000000" w:sz="4" w:space="0"/>
            </w:tcBorders>
            <w:vAlign w:val="center"/>
          </w:tcPr>
          <w:p w14:paraId="70A2CDF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45A05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443FDD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64</w:t>
            </w:r>
          </w:p>
        </w:tc>
        <w:tc>
          <w:tcPr>
            <w:tcW w:w="1312" w:type="dxa"/>
            <w:tcBorders>
              <w:top w:val="single" w:color="000000" w:sz="4" w:space="0"/>
              <w:left w:val="single" w:color="000000" w:sz="4" w:space="0"/>
              <w:bottom w:val="single" w:color="000000" w:sz="4" w:space="0"/>
              <w:right w:val="single" w:color="000000" w:sz="4" w:space="0"/>
            </w:tcBorders>
            <w:vAlign w:val="center"/>
          </w:tcPr>
          <w:p w14:paraId="2336977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模型结果管理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模型结果查看</w:t>
            </w:r>
          </w:p>
        </w:tc>
        <w:tc>
          <w:tcPr>
            <w:tcW w:w="5330" w:type="dxa"/>
            <w:tcBorders>
              <w:top w:val="single" w:color="000000" w:sz="4" w:space="0"/>
              <w:left w:val="single" w:color="000000" w:sz="4" w:space="0"/>
              <w:bottom w:val="single" w:color="000000" w:sz="4" w:space="0"/>
              <w:right w:val="single" w:color="000000" w:sz="4" w:space="0"/>
            </w:tcBorders>
            <w:vAlign w:val="center"/>
          </w:tcPr>
          <w:p w14:paraId="51B54DD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模型后台执行后，用户可在模型结果管理中对模型进行查看模型执行情况，包含执行时间，执行结果，执行状态，执行进度等，还可以查看模型结果明细数据</w:t>
            </w:r>
          </w:p>
        </w:tc>
        <w:tc>
          <w:tcPr>
            <w:tcW w:w="1231" w:type="dxa"/>
            <w:tcBorders>
              <w:top w:val="single" w:color="000000" w:sz="4" w:space="0"/>
              <w:left w:val="single" w:color="000000" w:sz="4" w:space="0"/>
              <w:bottom w:val="single" w:color="000000" w:sz="4" w:space="0"/>
              <w:right w:val="single" w:color="000000" w:sz="4" w:space="0"/>
            </w:tcBorders>
            <w:vAlign w:val="center"/>
          </w:tcPr>
          <w:p w14:paraId="5E7D65B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79258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A3793B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65</w:t>
            </w:r>
          </w:p>
        </w:tc>
        <w:tc>
          <w:tcPr>
            <w:tcW w:w="1312" w:type="dxa"/>
            <w:tcBorders>
              <w:top w:val="single" w:color="000000" w:sz="4" w:space="0"/>
              <w:left w:val="single" w:color="000000" w:sz="4" w:space="0"/>
              <w:bottom w:val="single" w:color="000000" w:sz="4" w:space="0"/>
              <w:right w:val="single" w:color="000000" w:sz="4" w:space="0"/>
            </w:tcBorders>
            <w:vAlign w:val="center"/>
          </w:tcPr>
          <w:p w14:paraId="7E0C69D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模型结果管理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结果保存到疑点</w:t>
            </w:r>
          </w:p>
        </w:tc>
        <w:tc>
          <w:tcPr>
            <w:tcW w:w="5330" w:type="dxa"/>
            <w:tcBorders>
              <w:top w:val="single" w:color="000000" w:sz="4" w:space="0"/>
              <w:left w:val="single" w:color="000000" w:sz="4" w:space="0"/>
              <w:bottom w:val="single" w:color="000000" w:sz="4" w:space="0"/>
              <w:right w:val="single" w:color="000000" w:sz="4" w:space="0"/>
            </w:tcBorders>
            <w:vAlign w:val="center"/>
          </w:tcPr>
          <w:p w14:paraId="4A4F4D7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模型跑出结果后，由审计人员进行分析，将分析后产生的疑点数据推送至疑点管理，进行疑点核查</w:t>
            </w:r>
          </w:p>
        </w:tc>
        <w:tc>
          <w:tcPr>
            <w:tcW w:w="1231" w:type="dxa"/>
            <w:tcBorders>
              <w:top w:val="single" w:color="000000" w:sz="4" w:space="0"/>
              <w:left w:val="single" w:color="000000" w:sz="4" w:space="0"/>
              <w:bottom w:val="single" w:color="000000" w:sz="4" w:space="0"/>
              <w:right w:val="single" w:color="000000" w:sz="4" w:space="0"/>
            </w:tcBorders>
            <w:vAlign w:val="center"/>
          </w:tcPr>
          <w:p w14:paraId="5B80917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78A7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021E18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66</w:t>
            </w:r>
          </w:p>
        </w:tc>
        <w:tc>
          <w:tcPr>
            <w:tcW w:w="1312" w:type="dxa"/>
            <w:tcBorders>
              <w:top w:val="single" w:color="000000" w:sz="4" w:space="0"/>
              <w:left w:val="single" w:color="000000" w:sz="4" w:space="0"/>
              <w:bottom w:val="single" w:color="000000" w:sz="4" w:space="0"/>
              <w:right w:val="single" w:color="000000" w:sz="4" w:space="0"/>
            </w:tcBorders>
            <w:vAlign w:val="center"/>
          </w:tcPr>
          <w:p w14:paraId="5EE140B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模型结果管理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预警结果查看</w:t>
            </w:r>
          </w:p>
        </w:tc>
        <w:tc>
          <w:tcPr>
            <w:tcW w:w="5330" w:type="dxa"/>
            <w:tcBorders>
              <w:top w:val="single" w:color="000000" w:sz="4" w:space="0"/>
              <w:left w:val="single" w:color="000000" w:sz="4" w:space="0"/>
              <w:bottom w:val="single" w:color="000000" w:sz="4" w:space="0"/>
              <w:right w:val="single" w:color="000000" w:sz="4" w:space="0"/>
            </w:tcBorders>
            <w:vAlign w:val="center"/>
          </w:tcPr>
          <w:p w14:paraId="0904C31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查看预警定期跑出的模型结果，可以将结果保存到疑点</w:t>
            </w:r>
          </w:p>
        </w:tc>
        <w:tc>
          <w:tcPr>
            <w:tcW w:w="1231" w:type="dxa"/>
            <w:tcBorders>
              <w:top w:val="single" w:color="000000" w:sz="4" w:space="0"/>
              <w:left w:val="single" w:color="000000" w:sz="4" w:space="0"/>
              <w:bottom w:val="single" w:color="000000" w:sz="4" w:space="0"/>
              <w:right w:val="single" w:color="000000" w:sz="4" w:space="0"/>
            </w:tcBorders>
            <w:vAlign w:val="center"/>
          </w:tcPr>
          <w:p w14:paraId="7F8A34D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1A512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90B3D6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67</w:t>
            </w:r>
          </w:p>
        </w:tc>
        <w:tc>
          <w:tcPr>
            <w:tcW w:w="1312" w:type="dxa"/>
            <w:tcBorders>
              <w:top w:val="single" w:color="000000" w:sz="4" w:space="0"/>
              <w:left w:val="single" w:color="000000" w:sz="4" w:space="0"/>
              <w:bottom w:val="single" w:color="000000" w:sz="4" w:space="0"/>
              <w:right w:val="single" w:color="000000" w:sz="4" w:space="0"/>
            </w:tcBorders>
            <w:vAlign w:val="center"/>
          </w:tcPr>
          <w:p w14:paraId="7F754EB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数字化审计分析-审计分析笔记-过程回溯</w:t>
            </w:r>
          </w:p>
        </w:tc>
        <w:tc>
          <w:tcPr>
            <w:tcW w:w="5330" w:type="dxa"/>
            <w:tcBorders>
              <w:top w:val="single" w:color="000000" w:sz="4" w:space="0"/>
              <w:left w:val="single" w:color="000000" w:sz="4" w:space="0"/>
              <w:bottom w:val="single" w:color="000000" w:sz="4" w:space="0"/>
              <w:right w:val="single" w:color="000000" w:sz="4" w:space="0"/>
            </w:tcBorders>
            <w:vAlign w:val="center"/>
          </w:tcPr>
          <w:p w14:paraId="7C9BC7A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疑点分析功能的核心在于对海量数据的处理能力，通过集成数据分析、数据挖掘和可视化等技术，自动对审计对象的各类数据等进行多维度、多层次分析。</w:t>
            </w:r>
          </w:p>
        </w:tc>
        <w:tc>
          <w:tcPr>
            <w:tcW w:w="1231" w:type="dxa"/>
            <w:tcBorders>
              <w:top w:val="single" w:color="000000" w:sz="4" w:space="0"/>
              <w:left w:val="single" w:color="000000" w:sz="4" w:space="0"/>
              <w:bottom w:val="single" w:color="000000" w:sz="4" w:space="0"/>
              <w:right w:val="single" w:color="000000" w:sz="4" w:space="0"/>
            </w:tcBorders>
            <w:vAlign w:val="center"/>
          </w:tcPr>
          <w:p w14:paraId="0DD5932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3ADEC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C30AA2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68</w:t>
            </w:r>
          </w:p>
        </w:tc>
        <w:tc>
          <w:tcPr>
            <w:tcW w:w="1312" w:type="dxa"/>
            <w:tcBorders>
              <w:top w:val="single" w:color="000000" w:sz="4" w:space="0"/>
              <w:left w:val="single" w:color="000000" w:sz="4" w:space="0"/>
              <w:bottom w:val="single" w:color="000000" w:sz="4" w:space="0"/>
              <w:right w:val="single" w:color="000000" w:sz="4" w:space="0"/>
            </w:tcBorders>
            <w:vAlign w:val="center"/>
          </w:tcPr>
          <w:p w14:paraId="03F66C1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数字化审计分析-审计分析笔记-审计分析笔记</w:t>
            </w:r>
          </w:p>
        </w:tc>
        <w:tc>
          <w:tcPr>
            <w:tcW w:w="5330" w:type="dxa"/>
            <w:tcBorders>
              <w:top w:val="single" w:color="000000" w:sz="4" w:space="0"/>
              <w:left w:val="single" w:color="000000" w:sz="4" w:space="0"/>
              <w:bottom w:val="single" w:color="000000" w:sz="4" w:space="0"/>
              <w:right w:val="single" w:color="000000" w:sz="4" w:space="0"/>
            </w:tcBorders>
            <w:vAlign w:val="center"/>
          </w:tcPr>
          <w:p w14:paraId="378D942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疑点推送功能的核心在于自动化和智能化地识别出可能存在的问题或风险点，并将这些疑点及时推送给审计人员，以便他们进行进一步的核查和确认。</w:t>
            </w:r>
          </w:p>
        </w:tc>
        <w:tc>
          <w:tcPr>
            <w:tcW w:w="1231" w:type="dxa"/>
            <w:tcBorders>
              <w:top w:val="single" w:color="000000" w:sz="4" w:space="0"/>
              <w:left w:val="single" w:color="000000" w:sz="4" w:space="0"/>
              <w:bottom w:val="single" w:color="000000" w:sz="4" w:space="0"/>
              <w:right w:val="single" w:color="000000" w:sz="4" w:space="0"/>
            </w:tcBorders>
            <w:vAlign w:val="center"/>
          </w:tcPr>
          <w:p w14:paraId="6E74101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2C9E3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D09C5C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69</w:t>
            </w:r>
          </w:p>
        </w:tc>
        <w:tc>
          <w:tcPr>
            <w:tcW w:w="1312" w:type="dxa"/>
            <w:tcBorders>
              <w:top w:val="single" w:color="000000" w:sz="4" w:space="0"/>
              <w:left w:val="single" w:color="000000" w:sz="4" w:space="0"/>
              <w:bottom w:val="single" w:color="000000" w:sz="4" w:space="0"/>
              <w:right w:val="single" w:color="000000" w:sz="4" w:space="0"/>
            </w:tcBorders>
            <w:vAlign w:val="center"/>
          </w:tcPr>
          <w:p w14:paraId="24873CB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疑点管理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疑点分析</w:t>
            </w:r>
          </w:p>
        </w:tc>
        <w:tc>
          <w:tcPr>
            <w:tcW w:w="5330" w:type="dxa"/>
            <w:tcBorders>
              <w:top w:val="single" w:color="000000" w:sz="4" w:space="0"/>
              <w:left w:val="single" w:color="000000" w:sz="4" w:space="0"/>
              <w:bottom w:val="single" w:color="000000" w:sz="4" w:space="0"/>
              <w:right w:val="single" w:color="000000" w:sz="4" w:space="0"/>
            </w:tcBorders>
            <w:vAlign w:val="center"/>
          </w:tcPr>
          <w:p w14:paraId="7206D8C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报告模板管理是预先设计和储存一系列标准报告格式和功能的过程，以便在需要时能够迅速生成符合要求的审计报告。</w:t>
            </w:r>
          </w:p>
        </w:tc>
        <w:tc>
          <w:tcPr>
            <w:tcW w:w="1231" w:type="dxa"/>
            <w:tcBorders>
              <w:top w:val="single" w:color="000000" w:sz="4" w:space="0"/>
              <w:left w:val="single" w:color="000000" w:sz="4" w:space="0"/>
              <w:bottom w:val="single" w:color="000000" w:sz="4" w:space="0"/>
              <w:right w:val="single" w:color="000000" w:sz="4" w:space="0"/>
            </w:tcBorders>
            <w:vAlign w:val="center"/>
          </w:tcPr>
          <w:p w14:paraId="11A49CDF">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3393B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8403FD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70</w:t>
            </w:r>
          </w:p>
        </w:tc>
        <w:tc>
          <w:tcPr>
            <w:tcW w:w="1312" w:type="dxa"/>
            <w:tcBorders>
              <w:top w:val="single" w:color="000000" w:sz="4" w:space="0"/>
              <w:left w:val="single" w:color="000000" w:sz="4" w:space="0"/>
              <w:bottom w:val="single" w:color="000000" w:sz="4" w:space="0"/>
              <w:right w:val="single" w:color="000000" w:sz="4" w:space="0"/>
            </w:tcBorders>
            <w:vAlign w:val="center"/>
          </w:tcPr>
          <w:p w14:paraId="322CADD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疑点管理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疑点推送</w:t>
            </w:r>
          </w:p>
        </w:tc>
        <w:tc>
          <w:tcPr>
            <w:tcW w:w="5330" w:type="dxa"/>
            <w:tcBorders>
              <w:top w:val="single" w:color="000000" w:sz="4" w:space="0"/>
              <w:left w:val="single" w:color="000000" w:sz="4" w:space="0"/>
              <w:bottom w:val="single" w:color="000000" w:sz="4" w:space="0"/>
              <w:right w:val="single" w:color="000000" w:sz="4" w:space="0"/>
            </w:tcBorders>
            <w:vAlign w:val="center"/>
          </w:tcPr>
          <w:p w14:paraId="73505C7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分析报告生成功能结合模板管理和自动生成报告技术，是高效、准确且标准化的报告生成过程。</w:t>
            </w:r>
          </w:p>
        </w:tc>
        <w:tc>
          <w:tcPr>
            <w:tcW w:w="1231" w:type="dxa"/>
            <w:tcBorders>
              <w:top w:val="single" w:color="000000" w:sz="4" w:space="0"/>
              <w:left w:val="single" w:color="000000" w:sz="4" w:space="0"/>
              <w:bottom w:val="single" w:color="000000" w:sz="4" w:space="0"/>
              <w:right w:val="single" w:color="000000" w:sz="4" w:space="0"/>
            </w:tcBorders>
            <w:vAlign w:val="center"/>
          </w:tcPr>
          <w:p w14:paraId="056A5497">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5B1CA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47F7C1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71</w:t>
            </w:r>
          </w:p>
        </w:tc>
        <w:tc>
          <w:tcPr>
            <w:tcW w:w="1312" w:type="dxa"/>
            <w:tcBorders>
              <w:top w:val="single" w:color="000000" w:sz="4" w:space="0"/>
              <w:left w:val="single" w:color="000000" w:sz="4" w:space="0"/>
              <w:bottom w:val="single" w:color="000000" w:sz="4" w:space="0"/>
              <w:right w:val="single" w:color="000000" w:sz="4" w:space="0"/>
            </w:tcBorders>
            <w:vAlign w:val="center"/>
          </w:tcPr>
          <w:p w14:paraId="01B3B64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分析报告管理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报告模板管理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18FD32C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针对审计人员构建模型过程，系统提供审计笔记功能，帮助审计人员对于审计思路，方法的留存，同时支持共享功能，从而加快审计分析知识流通，督促审计分析能力发展。</w:t>
            </w:r>
          </w:p>
        </w:tc>
        <w:tc>
          <w:tcPr>
            <w:tcW w:w="1231" w:type="dxa"/>
            <w:tcBorders>
              <w:top w:val="single" w:color="000000" w:sz="4" w:space="0"/>
              <w:left w:val="single" w:color="000000" w:sz="4" w:space="0"/>
              <w:bottom w:val="single" w:color="000000" w:sz="4" w:space="0"/>
              <w:right w:val="single" w:color="000000" w:sz="4" w:space="0"/>
            </w:tcBorders>
            <w:vAlign w:val="center"/>
          </w:tcPr>
          <w:p w14:paraId="2C51A64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7314D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75D74D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72</w:t>
            </w:r>
          </w:p>
        </w:tc>
        <w:tc>
          <w:tcPr>
            <w:tcW w:w="1312" w:type="dxa"/>
            <w:tcBorders>
              <w:top w:val="single" w:color="000000" w:sz="4" w:space="0"/>
              <w:left w:val="single" w:color="000000" w:sz="4" w:space="0"/>
              <w:bottom w:val="single" w:color="000000" w:sz="4" w:space="0"/>
              <w:right w:val="single" w:color="000000" w:sz="4" w:space="0"/>
            </w:tcBorders>
            <w:vAlign w:val="center"/>
          </w:tcPr>
          <w:p w14:paraId="55ADE66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分析报告管理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分析报告生成</w:t>
            </w:r>
          </w:p>
        </w:tc>
        <w:tc>
          <w:tcPr>
            <w:tcW w:w="5330" w:type="dxa"/>
            <w:tcBorders>
              <w:top w:val="single" w:color="000000" w:sz="4" w:space="0"/>
              <w:left w:val="single" w:color="000000" w:sz="4" w:space="0"/>
              <w:bottom w:val="single" w:color="000000" w:sz="4" w:space="0"/>
              <w:right w:val="single" w:color="000000" w:sz="4" w:space="0"/>
            </w:tcBorders>
            <w:vAlign w:val="center"/>
          </w:tcPr>
          <w:p w14:paraId="60F4490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过程回溯以图表的形式，向用户展示疑点的落实情况，发现问题金额对比情况以及以列表形式展示常用审计方法出现的频率。</w:t>
            </w:r>
          </w:p>
        </w:tc>
        <w:tc>
          <w:tcPr>
            <w:tcW w:w="1231" w:type="dxa"/>
            <w:tcBorders>
              <w:top w:val="single" w:color="000000" w:sz="4" w:space="0"/>
              <w:left w:val="single" w:color="000000" w:sz="4" w:space="0"/>
              <w:bottom w:val="single" w:color="000000" w:sz="4" w:space="0"/>
              <w:right w:val="single" w:color="000000" w:sz="4" w:space="0"/>
            </w:tcBorders>
            <w:vAlign w:val="center"/>
          </w:tcPr>
          <w:p w14:paraId="459499C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05E0A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5D05D4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w:t>
            </w:r>
            <w:r>
              <w:rPr>
                <w:rFonts w:hint="eastAsia" w:ascii="宋体" w:hAnsi="宋体" w:eastAsia="宋体" w:cs="宋体"/>
                <w:b w:val="0"/>
                <w:bCs w:val="0"/>
                <w:i w:val="0"/>
                <w:iCs w:val="0"/>
                <w:color w:val="auto"/>
                <w:kern w:val="0"/>
                <w:sz w:val="21"/>
                <w:szCs w:val="21"/>
                <w:u w:val="none"/>
                <w:lang w:val="en-US" w:eastAsia="zh-CN"/>
              </w:rPr>
              <w:t>3</w:t>
            </w:r>
          </w:p>
        </w:tc>
        <w:tc>
          <w:tcPr>
            <w:tcW w:w="1312" w:type="dxa"/>
            <w:tcBorders>
              <w:top w:val="single" w:color="000000" w:sz="4" w:space="0"/>
              <w:left w:val="single" w:color="000000" w:sz="4" w:space="0"/>
              <w:bottom w:val="single" w:color="000000" w:sz="4" w:space="0"/>
              <w:right w:val="single" w:color="000000" w:sz="4" w:space="0"/>
            </w:tcBorders>
            <w:vAlign w:val="center"/>
          </w:tcPr>
          <w:p w14:paraId="516B67B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数字化审计分析-审计分析工具箱-SQL分析工具--SQL参数管理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4F88AE7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模型参数由审计人员根据当前业务场景需要进行维护，其中参数备选值支持文本输入、时间控件选择、静态列表单/多选、静态树单/多选、动态SQL列表/树多种形式。</w:t>
            </w:r>
          </w:p>
        </w:tc>
        <w:tc>
          <w:tcPr>
            <w:tcW w:w="1231" w:type="dxa"/>
            <w:tcBorders>
              <w:top w:val="single" w:color="000000" w:sz="4" w:space="0"/>
              <w:left w:val="single" w:color="000000" w:sz="4" w:space="0"/>
              <w:bottom w:val="single" w:color="000000" w:sz="4" w:space="0"/>
              <w:right w:val="single" w:color="000000" w:sz="4" w:space="0"/>
            </w:tcBorders>
            <w:vAlign w:val="center"/>
          </w:tcPr>
          <w:p w14:paraId="67093E7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78855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7A0EE4A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w:t>
            </w:r>
            <w:r>
              <w:rPr>
                <w:rFonts w:hint="eastAsia" w:ascii="宋体" w:hAnsi="宋体" w:eastAsia="宋体" w:cs="宋体"/>
                <w:b w:val="0"/>
                <w:bCs w:val="0"/>
                <w:i w:val="0"/>
                <w:iCs w:val="0"/>
                <w:color w:val="auto"/>
                <w:kern w:val="0"/>
                <w:sz w:val="21"/>
                <w:szCs w:val="21"/>
                <w:u w:val="none"/>
                <w:lang w:val="en-US" w:eastAsia="zh-CN"/>
              </w:rPr>
              <w:t>4</w:t>
            </w:r>
          </w:p>
        </w:tc>
        <w:tc>
          <w:tcPr>
            <w:tcW w:w="1312" w:type="dxa"/>
            <w:tcBorders>
              <w:top w:val="single" w:color="000000" w:sz="4" w:space="0"/>
              <w:left w:val="single" w:color="000000" w:sz="4" w:space="0"/>
              <w:bottom w:val="single" w:color="000000" w:sz="4" w:space="0"/>
              <w:right w:val="single" w:color="000000" w:sz="4" w:space="0"/>
            </w:tcBorders>
            <w:vAlign w:val="center"/>
          </w:tcPr>
          <w:p w14:paraId="6353DED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审计分析工具箱-SQL分析工具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-SQL函数管理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3587341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函数按照分类显示，包括：字符函数、数字函数、日期函数、转换函数、聚合函数和其他函数。</w:t>
            </w:r>
          </w:p>
        </w:tc>
        <w:tc>
          <w:tcPr>
            <w:tcW w:w="1231" w:type="dxa"/>
            <w:tcBorders>
              <w:top w:val="single" w:color="000000" w:sz="4" w:space="0"/>
              <w:left w:val="single" w:color="000000" w:sz="4" w:space="0"/>
              <w:bottom w:val="single" w:color="000000" w:sz="4" w:space="0"/>
              <w:right w:val="single" w:color="000000" w:sz="4" w:space="0"/>
            </w:tcBorders>
            <w:vAlign w:val="center"/>
          </w:tcPr>
          <w:p w14:paraId="15BB3BF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58D4C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F64064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w:t>
            </w:r>
            <w:r>
              <w:rPr>
                <w:rFonts w:hint="eastAsia" w:ascii="宋体" w:hAnsi="宋体" w:eastAsia="宋体" w:cs="宋体"/>
                <w:b w:val="0"/>
                <w:bCs w:val="0"/>
                <w:i w:val="0"/>
                <w:iCs w:val="0"/>
                <w:color w:val="auto"/>
                <w:kern w:val="0"/>
                <w:sz w:val="21"/>
                <w:szCs w:val="21"/>
                <w:u w:val="none"/>
                <w:lang w:val="en-US" w:eastAsia="zh-CN"/>
              </w:rPr>
              <w:t>5</w:t>
            </w:r>
          </w:p>
        </w:tc>
        <w:tc>
          <w:tcPr>
            <w:tcW w:w="1312" w:type="dxa"/>
            <w:tcBorders>
              <w:top w:val="single" w:color="000000" w:sz="4" w:space="0"/>
              <w:left w:val="single" w:color="000000" w:sz="4" w:space="0"/>
              <w:bottom w:val="single" w:color="000000" w:sz="4" w:space="0"/>
              <w:right w:val="single" w:color="000000" w:sz="4" w:space="0"/>
            </w:tcBorders>
            <w:vAlign w:val="center"/>
          </w:tcPr>
          <w:p w14:paraId="74444D7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数字化审计分析-审计分析工具箱-多维分析工具--审计多维模型设计器</w:t>
            </w:r>
          </w:p>
        </w:tc>
        <w:tc>
          <w:tcPr>
            <w:tcW w:w="5330" w:type="dxa"/>
            <w:tcBorders>
              <w:top w:val="single" w:color="000000" w:sz="4" w:space="0"/>
              <w:left w:val="single" w:color="000000" w:sz="4" w:space="0"/>
              <w:bottom w:val="single" w:color="000000" w:sz="4" w:space="0"/>
              <w:right w:val="single" w:color="000000" w:sz="4" w:space="0"/>
            </w:tcBorders>
            <w:vAlign w:val="center"/>
          </w:tcPr>
          <w:p w14:paraId="15E714B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数据库连接管理、ER关系定义、创建度量、创建维度、发布模型</w:t>
            </w:r>
          </w:p>
        </w:tc>
        <w:tc>
          <w:tcPr>
            <w:tcW w:w="1231" w:type="dxa"/>
            <w:tcBorders>
              <w:top w:val="single" w:color="000000" w:sz="4" w:space="0"/>
              <w:left w:val="single" w:color="000000" w:sz="4" w:space="0"/>
              <w:bottom w:val="single" w:color="000000" w:sz="4" w:space="0"/>
              <w:right w:val="single" w:color="000000" w:sz="4" w:space="0"/>
            </w:tcBorders>
            <w:vAlign w:val="center"/>
          </w:tcPr>
          <w:p w14:paraId="2C35B0D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24E4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BFE843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76</w:t>
            </w:r>
          </w:p>
        </w:tc>
        <w:tc>
          <w:tcPr>
            <w:tcW w:w="1312" w:type="dxa"/>
            <w:tcBorders>
              <w:top w:val="single" w:color="000000" w:sz="4" w:space="0"/>
              <w:left w:val="single" w:color="000000" w:sz="4" w:space="0"/>
              <w:bottom w:val="single" w:color="000000" w:sz="4" w:space="0"/>
              <w:right w:val="single" w:color="000000" w:sz="4" w:space="0"/>
            </w:tcBorders>
            <w:vAlign w:val="center"/>
          </w:tcPr>
          <w:p w14:paraId="70C72DF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多维分析工具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审计多维分析引擎</w:t>
            </w:r>
          </w:p>
        </w:tc>
        <w:tc>
          <w:tcPr>
            <w:tcW w:w="5330" w:type="dxa"/>
            <w:tcBorders>
              <w:top w:val="single" w:color="000000" w:sz="4" w:space="0"/>
              <w:left w:val="single" w:color="000000" w:sz="4" w:space="0"/>
              <w:bottom w:val="single" w:color="000000" w:sz="4" w:space="0"/>
              <w:right w:val="single" w:color="000000" w:sz="4" w:space="0"/>
            </w:tcBorders>
            <w:vAlign w:val="center"/>
          </w:tcPr>
          <w:p w14:paraId="60E2A27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审计多维分析引擎是审计数据多维分析的计算核心，引擎的主要作用是解析多维模型、解析多维查询语句、执行多维计算、返回多维查询结果。</w:t>
            </w:r>
          </w:p>
        </w:tc>
        <w:tc>
          <w:tcPr>
            <w:tcW w:w="1231" w:type="dxa"/>
            <w:tcBorders>
              <w:top w:val="single" w:color="000000" w:sz="4" w:space="0"/>
              <w:left w:val="single" w:color="000000" w:sz="4" w:space="0"/>
              <w:bottom w:val="single" w:color="000000" w:sz="4" w:space="0"/>
              <w:right w:val="single" w:color="000000" w:sz="4" w:space="0"/>
            </w:tcBorders>
            <w:vAlign w:val="center"/>
          </w:tcPr>
          <w:p w14:paraId="4635849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70308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83A214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77</w:t>
            </w:r>
          </w:p>
        </w:tc>
        <w:tc>
          <w:tcPr>
            <w:tcW w:w="1312" w:type="dxa"/>
            <w:tcBorders>
              <w:top w:val="single" w:color="000000" w:sz="4" w:space="0"/>
              <w:left w:val="single" w:color="000000" w:sz="4" w:space="0"/>
              <w:bottom w:val="single" w:color="000000" w:sz="4" w:space="0"/>
              <w:right w:val="single" w:color="000000" w:sz="4" w:space="0"/>
            </w:tcBorders>
            <w:vAlign w:val="center"/>
          </w:tcPr>
          <w:p w14:paraId="2EDE6BD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多维分析工具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-审计多维查询引擎</w:t>
            </w:r>
          </w:p>
        </w:tc>
        <w:tc>
          <w:tcPr>
            <w:tcW w:w="5330" w:type="dxa"/>
            <w:tcBorders>
              <w:top w:val="single" w:color="000000" w:sz="4" w:space="0"/>
              <w:left w:val="single" w:color="000000" w:sz="4" w:space="0"/>
              <w:bottom w:val="single" w:color="000000" w:sz="4" w:space="0"/>
              <w:right w:val="single" w:color="000000" w:sz="4" w:space="0"/>
            </w:tcBorders>
            <w:vAlign w:val="center"/>
          </w:tcPr>
          <w:p w14:paraId="1F8C48E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多维表格和多维图形展现组件、驾驶舱组件</w:t>
            </w:r>
          </w:p>
        </w:tc>
        <w:tc>
          <w:tcPr>
            <w:tcW w:w="1231" w:type="dxa"/>
            <w:tcBorders>
              <w:top w:val="single" w:color="000000" w:sz="4" w:space="0"/>
              <w:left w:val="single" w:color="000000" w:sz="4" w:space="0"/>
              <w:bottom w:val="single" w:color="000000" w:sz="4" w:space="0"/>
              <w:right w:val="single" w:color="000000" w:sz="4" w:space="0"/>
            </w:tcBorders>
            <w:vAlign w:val="center"/>
          </w:tcPr>
          <w:p w14:paraId="26F0006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FAEB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92705A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7</w:t>
            </w:r>
            <w:r>
              <w:rPr>
                <w:rFonts w:hint="default" w:ascii="宋体" w:hAnsi="宋体" w:eastAsia="宋体" w:cs="宋体"/>
                <w:b w:val="0"/>
                <w:bCs w:val="0"/>
                <w:i w:val="0"/>
                <w:iCs w:val="0"/>
                <w:color w:val="auto"/>
                <w:kern w:val="0"/>
                <w:sz w:val="21"/>
                <w:szCs w:val="21"/>
                <w:u w:val="none"/>
                <w:lang w:val="en-US" w:eastAsia="zh-CN"/>
              </w:rPr>
              <w:t>8</w:t>
            </w:r>
          </w:p>
        </w:tc>
        <w:tc>
          <w:tcPr>
            <w:tcW w:w="1312" w:type="dxa"/>
            <w:tcBorders>
              <w:top w:val="single" w:color="000000" w:sz="4" w:space="0"/>
              <w:left w:val="single" w:color="000000" w:sz="4" w:space="0"/>
              <w:bottom w:val="single" w:color="000000" w:sz="4" w:space="0"/>
              <w:right w:val="single" w:color="000000" w:sz="4" w:space="0"/>
            </w:tcBorders>
            <w:vAlign w:val="center"/>
          </w:tcPr>
          <w:p w14:paraId="2868BE8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审计非结构化分析工具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-文本校对</w:t>
            </w:r>
          </w:p>
        </w:tc>
        <w:tc>
          <w:tcPr>
            <w:tcW w:w="5330" w:type="dxa"/>
            <w:tcBorders>
              <w:top w:val="single" w:color="000000" w:sz="4" w:space="0"/>
              <w:left w:val="single" w:color="000000" w:sz="4" w:space="0"/>
              <w:bottom w:val="single" w:color="000000" w:sz="4" w:space="0"/>
              <w:right w:val="single" w:color="000000" w:sz="4" w:space="0"/>
            </w:tcBorders>
            <w:vAlign w:val="center"/>
          </w:tcPr>
          <w:p w14:paraId="3D2708C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通过将纸质文档转化为基于原文影像及标引信息（或全文信息）的数字文档，再利用OCR识别技术，解析得到数字文档的文本内容，以正负语料库与规则相结合的方式，对OCR识别后的内容进行识别并校对。</w:t>
            </w:r>
          </w:p>
        </w:tc>
        <w:tc>
          <w:tcPr>
            <w:tcW w:w="1231" w:type="dxa"/>
            <w:tcBorders>
              <w:top w:val="single" w:color="000000" w:sz="4" w:space="0"/>
              <w:left w:val="single" w:color="000000" w:sz="4" w:space="0"/>
              <w:bottom w:val="single" w:color="000000" w:sz="4" w:space="0"/>
              <w:right w:val="single" w:color="000000" w:sz="4" w:space="0"/>
            </w:tcBorders>
            <w:vAlign w:val="center"/>
          </w:tcPr>
          <w:p w14:paraId="133424A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42F54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78F750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79</w:t>
            </w:r>
          </w:p>
        </w:tc>
        <w:tc>
          <w:tcPr>
            <w:tcW w:w="1312" w:type="dxa"/>
            <w:tcBorders>
              <w:top w:val="single" w:color="000000" w:sz="4" w:space="0"/>
              <w:left w:val="single" w:color="000000" w:sz="4" w:space="0"/>
              <w:bottom w:val="single" w:color="000000" w:sz="4" w:space="0"/>
              <w:right w:val="single" w:color="000000" w:sz="4" w:space="0"/>
            </w:tcBorders>
            <w:vAlign w:val="center"/>
          </w:tcPr>
          <w:p w14:paraId="132362A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审计非结构化分析工具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审计非结构化信息抽取</w:t>
            </w:r>
          </w:p>
        </w:tc>
        <w:tc>
          <w:tcPr>
            <w:tcW w:w="5330" w:type="dxa"/>
            <w:tcBorders>
              <w:top w:val="single" w:color="000000" w:sz="4" w:space="0"/>
              <w:left w:val="single" w:color="000000" w:sz="4" w:space="0"/>
              <w:bottom w:val="single" w:color="000000" w:sz="4" w:space="0"/>
              <w:right w:val="single" w:color="000000" w:sz="4" w:space="0"/>
            </w:tcBorders>
            <w:vAlign w:val="center"/>
          </w:tcPr>
          <w:p w14:paraId="5F70E75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对于结构字段和非结构化文本成分，提供统一的信息抽取功能，可以对标题、公报号、被审计单位、时间、关键词、摘要等进行定向抽取。</w:t>
            </w:r>
          </w:p>
        </w:tc>
        <w:tc>
          <w:tcPr>
            <w:tcW w:w="1231" w:type="dxa"/>
            <w:tcBorders>
              <w:top w:val="single" w:color="000000" w:sz="4" w:space="0"/>
              <w:left w:val="single" w:color="000000" w:sz="4" w:space="0"/>
              <w:bottom w:val="single" w:color="000000" w:sz="4" w:space="0"/>
              <w:right w:val="single" w:color="000000" w:sz="4" w:space="0"/>
            </w:tcBorders>
            <w:vAlign w:val="center"/>
          </w:tcPr>
          <w:p w14:paraId="380A2BD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7EF0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0E2894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80</w:t>
            </w:r>
          </w:p>
        </w:tc>
        <w:tc>
          <w:tcPr>
            <w:tcW w:w="1312" w:type="dxa"/>
            <w:tcBorders>
              <w:top w:val="single" w:color="000000" w:sz="4" w:space="0"/>
              <w:left w:val="single" w:color="000000" w:sz="4" w:space="0"/>
              <w:bottom w:val="single" w:color="000000" w:sz="4" w:space="0"/>
              <w:right w:val="single" w:color="000000" w:sz="4" w:space="0"/>
            </w:tcBorders>
            <w:vAlign w:val="center"/>
          </w:tcPr>
          <w:p w14:paraId="6C2A87D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审计非结构化分析工具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-审计文档聚类</w:t>
            </w:r>
          </w:p>
        </w:tc>
        <w:tc>
          <w:tcPr>
            <w:tcW w:w="5330" w:type="dxa"/>
            <w:tcBorders>
              <w:top w:val="single" w:color="000000" w:sz="4" w:space="0"/>
              <w:left w:val="single" w:color="000000" w:sz="4" w:space="0"/>
              <w:bottom w:val="single" w:color="000000" w:sz="4" w:space="0"/>
              <w:right w:val="single" w:color="000000" w:sz="4" w:space="0"/>
            </w:tcBorders>
            <w:vAlign w:val="center"/>
          </w:tcPr>
          <w:p w14:paraId="43512E7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文本聚类分析是一种典型的无监督机器学习方法，数据上传后，系统会自动分析非结构化数据，抽取得到文本特征信息，并将其向量化，利用k-mean聚类方法，采用距离作为相似性的评价指标进行聚类，并以直观形式展示的方式。</w:t>
            </w:r>
          </w:p>
        </w:tc>
        <w:tc>
          <w:tcPr>
            <w:tcW w:w="1231" w:type="dxa"/>
            <w:tcBorders>
              <w:top w:val="single" w:color="000000" w:sz="4" w:space="0"/>
              <w:left w:val="single" w:color="000000" w:sz="4" w:space="0"/>
              <w:bottom w:val="single" w:color="000000" w:sz="4" w:space="0"/>
              <w:right w:val="single" w:color="000000" w:sz="4" w:space="0"/>
            </w:tcBorders>
            <w:vAlign w:val="center"/>
          </w:tcPr>
          <w:p w14:paraId="6A7ABAB0">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0212A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EEAB1B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81</w:t>
            </w:r>
          </w:p>
        </w:tc>
        <w:tc>
          <w:tcPr>
            <w:tcW w:w="1312" w:type="dxa"/>
            <w:tcBorders>
              <w:top w:val="single" w:color="000000" w:sz="4" w:space="0"/>
              <w:left w:val="single" w:color="000000" w:sz="4" w:space="0"/>
              <w:bottom w:val="single" w:color="000000" w:sz="4" w:space="0"/>
              <w:right w:val="single" w:color="000000" w:sz="4" w:space="0"/>
            </w:tcBorders>
            <w:vAlign w:val="center"/>
          </w:tcPr>
          <w:p w14:paraId="1001125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审计非结构化分析工具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审计文档分类</w:t>
            </w:r>
          </w:p>
        </w:tc>
        <w:tc>
          <w:tcPr>
            <w:tcW w:w="5330" w:type="dxa"/>
            <w:tcBorders>
              <w:top w:val="single" w:color="000000" w:sz="4" w:space="0"/>
              <w:left w:val="single" w:color="000000" w:sz="4" w:space="0"/>
              <w:bottom w:val="single" w:color="000000" w:sz="4" w:space="0"/>
              <w:right w:val="single" w:color="000000" w:sz="4" w:space="0"/>
            </w:tcBorders>
            <w:vAlign w:val="center"/>
          </w:tcPr>
          <w:p w14:paraId="3FBA7C2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审计文档分类是指按照预先定义的审计文档类别，为文档集合中的每个文档确定一个类别。审计文本分类可以替代费时的人工分类，并广泛应用于审计信息检索、文档的组织和管理、审计信息处理等多个领域。</w:t>
            </w:r>
          </w:p>
        </w:tc>
        <w:tc>
          <w:tcPr>
            <w:tcW w:w="1231" w:type="dxa"/>
            <w:tcBorders>
              <w:top w:val="single" w:color="000000" w:sz="4" w:space="0"/>
              <w:left w:val="single" w:color="000000" w:sz="4" w:space="0"/>
              <w:bottom w:val="single" w:color="000000" w:sz="4" w:space="0"/>
              <w:right w:val="single" w:color="000000" w:sz="4" w:space="0"/>
            </w:tcBorders>
            <w:vAlign w:val="center"/>
          </w:tcPr>
          <w:p w14:paraId="02AE980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276DF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74939E8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82</w:t>
            </w:r>
          </w:p>
        </w:tc>
        <w:tc>
          <w:tcPr>
            <w:tcW w:w="1312" w:type="dxa"/>
            <w:tcBorders>
              <w:top w:val="single" w:color="000000" w:sz="4" w:space="0"/>
              <w:left w:val="single" w:color="000000" w:sz="4" w:space="0"/>
              <w:bottom w:val="single" w:color="000000" w:sz="4" w:space="0"/>
              <w:right w:val="single" w:color="000000" w:sz="4" w:space="0"/>
            </w:tcBorders>
            <w:vAlign w:val="center"/>
          </w:tcPr>
          <w:p w14:paraId="6D4E6E6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审计非结构化分析工具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-共现分析</w:t>
            </w:r>
          </w:p>
        </w:tc>
        <w:tc>
          <w:tcPr>
            <w:tcW w:w="5330" w:type="dxa"/>
            <w:tcBorders>
              <w:top w:val="single" w:color="000000" w:sz="4" w:space="0"/>
              <w:left w:val="single" w:color="000000" w:sz="4" w:space="0"/>
              <w:bottom w:val="single" w:color="000000" w:sz="4" w:space="0"/>
              <w:right w:val="single" w:color="000000" w:sz="4" w:space="0"/>
            </w:tcBorders>
            <w:vAlign w:val="center"/>
          </w:tcPr>
          <w:p w14:paraId="662EFE5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通过统计词汇在文本中的分布特征的技术，进而发现审计疑点。</w:t>
            </w:r>
          </w:p>
        </w:tc>
        <w:tc>
          <w:tcPr>
            <w:tcW w:w="1231" w:type="dxa"/>
            <w:tcBorders>
              <w:top w:val="single" w:color="000000" w:sz="4" w:space="0"/>
              <w:left w:val="single" w:color="000000" w:sz="4" w:space="0"/>
              <w:bottom w:val="single" w:color="000000" w:sz="4" w:space="0"/>
              <w:right w:val="single" w:color="000000" w:sz="4" w:space="0"/>
            </w:tcBorders>
            <w:vAlign w:val="center"/>
          </w:tcPr>
          <w:p w14:paraId="27675ECE">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64AC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401E19E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83</w:t>
            </w:r>
          </w:p>
        </w:tc>
        <w:tc>
          <w:tcPr>
            <w:tcW w:w="1312" w:type="dxa"/>
            <w:tcBorders>
              <w:top w:val="single" w:color="000000" w:sz="4" w:space="0"/>
              <w:left w:val="single" w:color="000000" w:sz="4" w:space="0"/>
              <w:bottom w:val="single" w:color="000000" w:sz="4" w:space="0"/>
              <w:right w:val="single" w:color="000000" w:sz="4" w:space="0"/>
            </w:tcBorders>
            <w:vAlign w:val="center"/>
          </w:tcPr>
          <w:p w14:paraId="25E5AAF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审计非结构化分析工具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文本相似性分析</w:t>
            </w:r>
          </w:p>
        </w:tc>
        <w:tc>
          <w:tcPr>
            <w:tcW w:w="5330" w:type="dxa"/>
            <w:tcBorders>
              <w:top w:val="single" w:color="000000" w:sz="4" w:space="0"/>
              <w:left w:val="single" w:color="000000" w:sz="4" w:space="0"/>
              <w:bottom w:val="single" w:color="000000" w:sz="4" w:space="0"/>
              <w:right w:val="single" w:color="000000" w:sz="4" w:space="0"/>
            </w:tcBorders>
            <w:vAlign w:val="center"/>
          </w:tcPr>
          <w:p w14:paraId="1D68E51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以向量空间模型为基础，计算文本间的相似度，进而可以实现文本内容排重、文档推荐、文档内容比较等，从而辅助审计人员发现文档变更疑点等。</w:t>
            </w:r>
          </w:p>
        </w:tc>
        <w:tc>
          <w:tcPr>
            <w:tcW w:w="1231" w:type="dxa"/>
            <w:tcBorders>
              <w:top w:val="single" w:color="000000" w:sz="4" w:space="0"/>
              <w:left w:val="single" w:color="000000" w:sz="4" w:space="0"/>
              <w:bottom w:val="single" w:color="000000" w:sz="4" w:space="0"/>
              <w:right w:val="single" w:color="000000" w:sz="4" w:space="0"/>
            </w:tcBorders>
            <w:vAlign w:val="center"/>
          </w:tcPr>
          <w:p w14:paraId="62DDE73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4D05C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9B521F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84</w:t>
            </w:r>
          </w:p>
        </w:tc>
        <w:tc>
          <w:tcPr>
            <w:tcW w:w="1312" w:type="dxa"/>
            <w:tcBorders>
              <w:top w:val="single" w:color="000000" w:sz="4" w:space="0"/>
              <w:left w:val="single" w:color="000000" w:sz="4" w:space="0"/>
              <w:bottom w:val="single" w:color="000000" w:sz="4" w:space="0"/>
              <w:right w:val="single" w:color="000000" w:sz="4" w:space="0"/>
            </w:tcBorders>
            <w:vAlign w:val="center"/>
          </w:tcPr>
          <w:p w14:paraId="63B8B6E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审计分析工具箱</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审计非结构化分析工具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审计全文检索</w:t>
            </w:r>
          </w:p>
        </w:tc>
        <w:tc>
          <w:tcPr>
            <w:tcW w:w="5330" w:type="dxa"/>
            <w:tcBorders>
              <w:top w:val="single" w:color="000000" w:sz="4" w:space="0"/>
              <w:left w:val="single" w:color="000000" w:sz="4" w:space="0"/>
              <w:bottom w:val="single" w:color="000000" w:sz="4" w:space="0"/>
              <w:right w:val="single" w:color="000000" w:sz="4" w:space="0"/>
            </w:tcBorders>
            <w:vAlign w:val="center"/>
          </w:tcPr>
          <w:p w14:paraId="1404B76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全文检索支持关键字、布尔操作、时间过滤的搜索，同时包括概念搜索、精炼检索、多语种混合检索、联合检索等功能</w:t>
            </w:r>
          </w:p>
        </w:tc>
        <w:tc>
          <w:tcPr>
            <w:tcW w:w="1231" w:type="dxa"/>
            <w:tcBorders>
              <w:top w:val="single" w:color="000000" w:sz="4" w:space="0"/>
              <w:left w:val="single" w:color="000000" w:sz="4" w:space="0"/>
              <w:bottom w:val="single" w:color="000000" w:sz="4" w:space="0"/>
              <w:right w:val="single" w:color="000000" w:sz="4" w:space="0"/>
            </w:tcBorders>
            <w:vAlign w:val="center"/>
          </w:tcPr>
          <w:p w14:paraId="5BAFFD0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7128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51DA84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85</w:t>
            </w:r>
          </w:p>
        </w:tc>
        <w:tc>
          <w:tcPr>
            <w:tcW w:w="1312" w:type="dxa"/>
            <w:tcBorders>
              <w:top w:val="single" w:color="000000" w:sz="4" w:space="0"/>
              <w:left w:val="single" w:color="000000" w:sz="4" w:space="0"/>
              <w:bottom w:val="single" w:color="000000" w:sz="4" w:space="0"/>
              <w:right w:val="single" w:color="000000" w:sz="4" w:space="0"/>
            </w:tcBorders>
            <w:vAlign w:val="center"/>
          </w:tcPr>
          <w:p w14:paraId="6B6D606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基础配置管理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指标分类管理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110341C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指标分类管理功能的核心在于对审计指标进行清晰、明确的分类，支持对指标的自定义和灵活配置，支持导入、导出和共享功能。</w:t>
            </w:r>
          </w:p>
        </w:tc>
        <w:tc>
          <w:tcPr>
            <w:tcW w:w="1231" w:type="dxa"/>
            <w:tcBorders>
              <w:top w:val="single" w:color="000000" w:sz="4" w:space="0"/>
              <w:left w:val="single" w:color="000000" w:sz="4" w:space="0"/>
              <w:bottom w:val="single" w:color="000000" w:sz="4" w:space="0"/>
              <w:right w:val="single" w:color="000000" w:sz="4" w:space="0"/>
            </w:tcBorders>
            <w:vAlign w:val="center"/>
          </w:tcPr>
          <w:p w14:paraId="15F6EB9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0437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3B62311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86</w:t>
            </w:r>
          </w:p>
        </w:tc>
        <w:tc>
          <w:tcPr>
            <w:tcW w:w="1312" w:type="dxa"/>
            <w:tcBorders>
              <w:top w:val="single" w:color="000000" w:sz="4" w:space="0"/>
              <w:left w:val="single" w:color="000000" w:sz="4" w:space="0"/>
              <w:bottom w:val="single" w:color="000000" w:sz="4" w:space="0"/>
              <w:right w:val="single" w:color="000000" w:sz="4" w:space="0"/>
            </w:tcBorders>
            <w:vAlign w:val="center"/>
          </w:tcPr>
          <w:p w14:paraId="3E2DF91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基础配置管理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行业指标管理</w:t>
            </w:r>
          </w:p>
        </w:tc>
        <w:tc>
          <w:tcPr>
            <w:tcW w:w="5330" w:type="dxa"/>
            <w:tcBorders>
              <w:top w:val="single" w:color="000000" w:sz="4" w:space="0"/>
              <w:left w:val="single" w:color="000000" w:sz="4" w:space="0"/>
              <w:bottom w:val="single" w:color="000000" w:sz="4" w:space="0"/>
              <w:right w:val="single" w:color="000000" w:sz="4" w:space="0"/>
            </w:tcBorders>
            <w:vAlign w:val="center"/>
          </w:tcPr>
          <w:p w14:paraId="1120DA9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行业指标管理主要涉及对特定行业内的各种指标进行收集、整理、分析和监控。通过这一功能，审计机构可以更加深入地了解被审计单位所在行业的运营状况、风险点以及行业标准，从而更有效地进行审计工作。</w:t>
            </w:r>
          </w:p>
        </w:tc>
        <w:tc>
          <w:tcPr>
            <w:tcW w:w="1231" w:type="dxa"/>
            <w:tcBorders>
              <w:top w:val="single" w:color="000000" w:sz="4" w:space="0"/>
              <w:left w:val="single" w:color="000000" w:sz="4" w:space="0"/>
              <w:bottom w:val="single" w:color="000000" w:sz="4" w:space="0"/>
              <w:right w:val="single" w:color="000000" w:sz="4" w:space="0"/>
            </w:tcBorders>
            <w:vAlign w:val="center"/>
          </w:tcPr>
          <w:p w14:paraId="735CA47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02DBE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74B62EA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87</w:t>
            </w:r>
          </w:p>
        </w:tc>
        <w:tc>
          <w:tcPr>
            <w:tcW w:w="1312" w:type="dxa"/>
            <w:tcBorders>
              <w:top w:val="single" w:color="000000" w:sz="4" w:space="0"/>
              <w:left w:val="single" w:color="000000" w:sz="4" w:space="0"/>
              <w:bottom w:val="single" w:color="000000" w:sz="4" w:space="0"/>
              <w:right w:val="single" w:color="000000" w:sz="4" w:space="0"/>
            </w:tcBorders>
            <w:vAlign w:val="center"/>
          </w:tcPr>
          <w:p w14:paraId="3EC6E6D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“审计事实发现描述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审计底稿”场景应用</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审计事实发现描述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文本输入、</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审计事实发现描述-文本分析</w:t>
            </w:r>
          </w:p>
        </w:tc>
        <w:tc>
          <w:tcPr>
            <w:tcW w:w="5330" w:type="dxa"/>
            <w:tcBorders>
              <w:top w:val="single" w:color="000000" w:sz="4" w:space="0"/>
              <w:left w:val="single" w:color="000000" w:sz="4" w:space="0"/>
              <w:bottom w:val="single" w:color="000000" w:sz="4" w:space="0"/>
              <w:right w:val="single" w:color="000000" w:sz="4" w:space="0"/>
            </w:tcBorders>
            <w:vAlign w:val="center"/>
          </w:tcPr>
          <w:p w14:paraId="1461217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审计人员将通过文本输入方式，提供文件上传和文本输入，对记录审计过程中发现的具体事实进行提交和解析；支持对审计事实发现描述进行深度文本分析，提取关键信息和特征。</w:t>
            </w:r>
          </w:p>
        </w:tc>
        <w:tc>
          <w:tcPr>
            <w:tcW w:w="1231" w:type="dxa"/>
            <w:tcBorders>
              <w:top w:val="single" w:color="000000" w:sz="4" w:space="0"/>
              <w:left w:val="single" w:color="000000" w:sz="4" w:space="0"/>
              <w:bottom w:val="single" w:color="000000" w:sz="4" w:space="0"/>
              <w:right w:val="single" w:color="000000" w:sz="4" w:space="0"/>
            </w:tcBorders>
            <w:vAlign w:val="center"/>
          </w:tcPr>
          <w:p w14:paraId="27DC8A7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1F3E3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DDBDA0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88</w:t>
            </w:r>
          </w:p>
        </w:tc>
        <w:tc>
          <w:tcPr>
            <w:tcW w:w="1312" w:type="dxa"/>
            <w:tcBorders>
              <w:top w:val="single" w:color="000000" w:sz="4" w:space="0"/>
              <w:left w:val="single" w:color="000000" w:sz="4" w:space="0"/>
              <w:bottom w:val="single" w:color="000000" w:sz="4" w:space="0"/>
              <w:right w:val="single" w:color="000000" w:sz="4" w:space="0"/>
            </w:tcBorders>
            <w:vAlign w:val="center"/>
          </w:tcPr>
          <w:p w14:paraId="7F5012C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“审计事实发现描述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审计底稿”场景应用</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相关定性推荐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历史报告检索、定性推荐、底稿模板选择、自动填充、人工审核与修改、底稿导出</w:t>
            </w:r>
          </w:p>
        </w:tc>
        <w:tc>
          <w:tcPr>
            <w:tcW w:w="5330" w:type="dxa"/>
            <w:tcBorders>
              <w:top w:val="single" w:color="000000" w:sz="4" w:space="0"/>
              <w:left w:val="single" w:color="000000" w:sz="4" w:space="0"/>
              <w:bottom w:val="single" w:color="000000" w:sz="4" w:space="0"/>
              <w:right w:val="single" w:color="000000" w:sz="4" w:space="0"/>
            </w:tcBorders>
            <w:vAlign w:val="center"/>
          </w:tcPr>
          <w:p w14:paraId="08FBCAE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基于提取的关键信息和特征，支持在历史审计报告中搜索相似的案例或定性描述；根据历史报告中的相似案例，支持为审计人员推荐可能的定性结论；提供多种审计底稿模板供审计人员选择，以适应不同类型的审计项目和发现；根据前面节点的处理结果，支持自动填充审计底稿中的相关内容，如审计事实描述、定性结论、法律依据等；审计人员可以对自动生成的审计底稿进行审核和修改，确保底稿的准确性和完整性；审核无误后，审计人员可以将审计底稿导出为PDF、Word等格式，以便存档和上报。</w:t>
            </w:r>
          </w:p>
        </w:tc>
        <w:tc>
          <w:tcPr>
            <w:tcW w:w="1231" w:type="dxa"/>
            <w:tcBorders>
              <w:top w:val="single" w:color="000000" w:sz="4" w:space="0"/>
              <w:left w:val="single" w:color="000000" w:sz="4" w:space="0"/>
              <w:bottom w:val="single" w:color="000000" w:sz="4" w:space="0"/>
              <w:right w:val="single" w:color="000000" w:sz="4" w:space="0"/>
            </w:tcBorders>
            <w:vAlign w:val="center"/>
          </w:tcPr>
          <w:p w14:paraId="6C7B9D0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64C2B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0BD681C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8</w:t>
            </w:r>
            <w:r>
              <w:rPr>
                <w:rFonts w:hint="default" w:ascii="宋体" w:hAnsi="宋体" w:eastAsia="宋体" w:cs="宋体"/>
                <w:b w:val="0"/>
                <w:bCs w:val="0"/>
                <w:i w:val="0"/>
                <w:iCs w:val="0"/>
                <w:color w:val="auto"/>
                <w:kern w:val="0"/>
                <w:sz w:val="21"/>
                <w:szCs w:val="21"/>
                <w:u w:val="none"/>
                <w:lang w:val="en-US" w:eastAsia="zh-CN"/>
              </w:rPr>
              <w:t>9</w:t>
            </w:r>
          </w:p>
        </w:tc>
        <w:tc>
          <w:tcPr>
            <w:tcW w:w="1312" w:type="dxa"/>
            <w:tcBorders>
              <w:top w:val="single" w:color="000000" w:sz="4" w:space="0"/>
              <w:left w:val="single" w:color="000000" w:sz="4" w:space="0"/>
              <w:bottom w:val="single" w:color="000000" w:sz="4" w:space="0"/>
              <w:right w:val="single" w:color="000000" w:sz="4" w:space="0"/>
            </w:tcBorders>
            <w:vAlign w:val="center"/>
          </w:tcPr>
          <w:p w14:paraId="271D985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“审计事实发现描述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审计底稿”场景应用</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定性法律法规检索－法律法规知识库、</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定性法律法规检索－定性结论检索、</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定性法律法规检索－法律法规推荐</w:t>
            </w:r>
          </w:p>
        </w:tc>
        <w:tc>
          <w:tcPr>
            <w:tcW w:w="5330" w:type="dxa"/>
            <w:tcBorders>
              <w:top w:val="single" w:color="000000" w:sz="4" w:space="0"/>
              <w:left w:val="single" w:color="000000" w:sz="4" w:space="0"/>
              <w:bottom w:val="single" w:color="000000" w:sz="4" w:space="0"/>
              <w:right w:val="single" w:color="000000" w:sz="4" w:space="0"/>
            </w:tcBorders>
            <w:vAlign w:val="center"/>
          </w:tcPr>
          <w:p w14:paraId="2AE86B6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建设配套法律法规知识库，涵盖财务、税务、审计等相关领域的法律、法规、规章和规范性文件；根据推荐的定性结论，支持用户在法律法规知识库中通过关键词匹配技术查找相关的定性依据；支持将查找到的相关法律法规条文推荐给审计人员选择，作为审计定性的法律依据。</w:t>
            </w:r>
          </w:p>
        </w:tc>
        <w:tc>
          <w:tcPr>
            <w:tcW w:w="1231" w:type="dxa"/>
            <w:tcBorders>
              <w:top w:val="single" w:color="000000" w:sz="4" w:space="0"/>
              <w:left w:val="single" w:color="000000" w:sz="4" w:space="0"/>
              <w:bottom w:val="single" w:color="000000" w:sz="4" w:space="0"/>
              <w:right w:val="single" w:color="000000" w:sz="4" w:space="0"/>
            </w:tcBorders>
            <w:vAlign w:val="center"/>
          </w:tcPr>
          <w:p w14:paraId="22227EB5">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r w14:paraId="765D8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2FF68FE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9</w:t>
            </w:r>
            <w:r>
              <w:rPr>
                <w:rFonts w:hint="eastAsia" w:ascii="宋体" w:hAnsi="宋体" w:eastAsia="宋体" w:cs="宋体"/>
                <w:b w:val="0"/>
                <w:bCs w:val="0"/>
                <w:i w:val="0"/>
                <w:iCs w:val="0"/>
                <w:color w:val="auto"/>
                <w:kern w:val="0"/>
                <w:sz w:val="21"/>
                <w:szCs w:val="21"/>
                <w:u w:val="none"/>
                <w:lang w:val="en-US" w:eastAsia="zh-CN"/>
              </w:rPr>
              <w:t>0</w:t>
            </w:r>
          </w:p>
        </w:tc>
        <w:tc>
          <w:tcPr>
            <w:tcW w:w="1312" w:type="dxa"/>
            <w:tcBorders>
              <w:top w:val="single" w:color="000000" w:sz="4" w:space="0"/>
              <w:left w:val="single" w:color="000000" w:sz="4" w:space="0"/>
              <w:bottom w:val="single" w:color="000000" w:sz="4" w:space="0"/>
              <w:right w:val="single" w:color="000000" w:sz="4" w:space="0"/>
            </w:tcBorders>
            <w:vAlign w:val="center"/>
          </w:tcPr>
          <w:p w14:paraId="596013A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求真·审计分析中心</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数字化审计分析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“审计事实发现描述</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审计底稿”场景应用</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智能应用场景调优</w:t>
            </w:r>
          </w:p>
        </w:tc>
        <w:tc>
          <w:tcPr>
            <w:tcW w:w="5330" w:type="dxa"/>
            <w:tcBorders>
              <w:top w:val="single" w:color="000000" w:sz="4" w:space="0"/>
              <w:left w:val="single" w:color="000000" w:sz="4" w:space="0"/>
              <w:bottom w:val="single" w:color="000000" w:sz="4" w:space="0"/>
              <w:right w:val="single" w:color="000000" w:sz="4" w:space="0"/>
            </w:tcBorders>
            <w:vAlign w:val="center"/>
          </w:tcPr>
          <w:p w14:paraId="32649CD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结合用户场景的使用情况，收集和分析用户使用数据，对定性结论推荐进行调优，并根据实际使用过程中用户对推荐定性结论相关的法律条文选择情况来提升法规条文推荐的准确性，优化审计底稿生成效果，提升各助手的准确率，通过定期训练持续提升模型效果。</w:t>
            </w:r>
          </w:p>
        </w:tc>
        <w:tc>
          <w:tcPr>
            <w:tcW w:w="1231" w:type="dxa"/>
            <w:tcBorders>
              <w:top w:val="single" w:color="000000" w:sz="4" w:space="0"/>
              <w:left w:val="single" w:color="000000" w:sz="4" w:space="0"/>
              <w:bottom w:val="single" w:color="000000" w:sz="4" w:space="0"/>
              <w:right w:val="single" w:color="000000" w:sz="4" w:space="0"/>
            </w:tcBorders>
            <w:vAlign w:val="center"/>
          </w:tcPr>
          <w:p w14:paraId="5ACF93E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2026</w:t>
            </w:r>
          </w:p>
        </w:tc>
      </w:tr>
    </w:tbl>
    <w:p w14:paraId="0172B8F5">
      <w:pPr>
        <w:numPr>
          <w:ilvl w:val="0"/>
          <w:numId w:val="27"/>
        </w:numPr>
        <w:ind w:left="0" w:leftChars="0" w:firstLine="420" w:firstLineChars="0"/>
        <w:rPr>
          <w:rFonts w:hint="eastAsia" w:ascii="宋体" w:hAnsi="宋体" w:eastAsia="宋体" w:cs="Times New Roman"/>
          <w:b/>
          <w:bCs w:val="0"/>
          <w:color w:val="auto"/>
          <w:lang w:val="en-US" w:eastAsia="zh-CN"/>
        </w:rPr>
      </w:pPr>
      <w:r>
        <w:rPr>
          <w:rFonts w:hint="eastAsia" w:ascii="宋体" w:hAnsi="宋体" w:eastAsia="宋体" w:cs="Times New Roman"/>
          <w:b/>
          <w:bCs w:val="0"/>
          <w:color w:val="auto"/>
          <w:lang w:val="en-US" w:eastAsia="zh-CN"/>
        </w:rPr>
        <w:t>睿智·审计应用助手</w:t>
      </w:r>
    </w:p>
    <w:tbl>
      <w:tblPr>
        <w:tblStyle w:val="36"/>
        <w:tblW w:w="8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2"/>
        <w:gridCol w:w="1312"/>
        <w:gridCol w:w="5159"/>
        <w:gridCol w:w="1402"/>
      </w:tblGrid>
      <w:tr w14:paraId="2D045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65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745950F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序号</w:t>
            </w:r>
          </w:p>
        </w:tc>
        <w:tc>
          <w:tcPr>
            <w:tcW w:w="131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35B9D68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功能名称</w:t>
            </w:r>
          </w:p>
        </w:tc>
        <w:tc>
          <w:tcPr>
            <w:tcW w:w="5159"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75C8DE1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功能描述</w:t>
            </w:r>
          </w:p>
        </w:tc>
        <w:tc>
          <w:tcPr>
            <w:tcW w:w="140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48E1E83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需求年度</w:t>
            </w:r>
          </w:p>
        </w:tc>
      </w:tr>
      <w:tr w14:paraId="3A1F5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5D7794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w:t>
            </w:r>
          </w:p>
        </w:tc>
        <w:tc>
          <w:tcPr>
            <w:tcW w:w="1312" w:type="dxa"/>
            <w:tcBorders>
              <w:top w:val="single" w:color="000000" w:sz="4" w:space="0"/>
              <w:left w:val="single" w:color="000000" w:sz="4" w:space="0"/>
              <w:bottom w:val="single" w:color="000000" w:sz="4" w:space="0"/>
              <w:right w:val="single" w:color="000000" w:sz="4" w:space="0"/>
            </w:tcBorders>
            <w:vAlign w:val="center"/>
          </w:tcPr>
          <w:p w14:paraId="0D2A3EA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文档分析智能应用</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非结构化信息提取</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历史文件拉取和增量文件上传；智能语义抽取；审计术语库；结果校验与提示。</w:t>
            </w:r>
          </w:p>
        </w:tc>
        <w:tc>
          <w:tcPr>
            <w:tcW w:w="5159" w:type="dxa"/>
            <w:tcBorders>
              <w:top w:val="single" w:color="000000" w:sz="4" w:space="0"/>
              <w:left w:val="single" w:color="000000" w:sz="4" w:space="0"/>
              <w:bottom w:val="single" w:color="000000" w:sz="4" w:space="0"/>
              <w:right w:val="single" w:color="000000" w:sz="4" w:space="0"/>
            </w:tcBorders>
            <w:vAlign w:val="center"/>
          </w:tcPr>
          <w:p w14:paraId="6EE5D2A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自动从指定的存储位置拉取历史非结构化文件，这些文件可能分散在不同的文件夹或存储系统中；新产生的非结构化文件，系统提供一个用户友好的上传界面，支持批量上传和单个文件上传。上传后的文件将自动进入信息提取流程；针对不同类型的文件（如合同、报告、邮件等），构建特定的语义抽取任务。每个任务都包含一系列规则和提示词，用于识别并提取文件中的关键信息；支持导入外部术语文件，以便快速扩充术语库。提供用户界面，允许用户手动添加、删除或修改术语库中的条目；</w:t>
            </w:r>
          </w:p>
        </w:tc>
        <w:tc>
          <w:tcPr>
            <w:tcW w:w="1402" w:type="dxa"/>
            <w:tcBorders>
              <w:top w:val="single" w:color="000000" w:sz="4" w:space="0"/>
              <w:left w:val="single" w:color="000000" w:sz="4" w:space="0"/>
              <w:bottom w:val="single" w:color="000000" w:sz="4" w:space="0"/>
              <w:right w:val="single" w:color="000000" w:sz="4" w:space="0"/>
            </w:tcBorders>
            <w:vAlign w:val="center"/>
          </w:tcPr>
          <w:p w14:paraId="408C3E1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254C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07DF7F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w:t>
            </w:r>
          </w:p>
        </w:tc>
        <w:tc>
          <w:tcPr>
            <w:tcW w:w="1312" w:type="dxa"/>
            <w:tcBorders>
              <w:top w:val="single" w:color="000000" w:sz="4" w:space="0"/>
              <w:left w:val="single" w:color="000000" w:sz="4" w:space="0"/>
              <w:bottom w:val="single" w:color="000000" w:sz="4" w:space="0"/>
              <w:right w:val="single" w:color="000000" w:sz="4" w:space="0"/>
            </w:tcBorders>
            <w:vAlign w:val="center"/>
          </w:tcPr>
          <w:p w14:paraId="2C699AB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文档分析智能应用</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线索智能定性</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线索输入与解析；案例及法规知识库管理；案例及法规知识库管理；审计线索推荐；助手调优。</w:t>
            </w:r>
          </w:p>
        </w:tc>
        <w:tc>
          <w:tcPr>
            <w:tcW w:w="5159" w:type="dxa"/>
            <w:tcBorders>
              <w:top w:val="single" w:color="000000" w:sz="4" w:space="0"/>
              <w:left w:val="single" w:color="000000" w:sz="4" w:space="0"/>
              <w:bottom w:val="single" w:color="000000" w:sz="4" w:space="0"/>
              <w:right w:val="single" w:color="000000" w:sz="4" w:space="0"/>
            </w:tcBorders>
            <w:vAlign w:val="center"/>
          </w:tcPr>
          <w:p w14:paraId="338AA03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文本输入、文件上传等方式提交线索。支持对输入的线索进行深度解析。并提取出关键信息和潜在的风险点；允许审计人员或其他授权用户对案例库和法规知识库进行增删改查等操作，确保知识库的时效性和准确性；当审计人员输入审计线索后，助手会在案例库和法规知识库中进行向量化语义检索。支持通过计算输入线索与案例库、法规库中文本的语义相似度，返回与线索最相关的案例和法规条目。检索结果根据语义相似度进行排序；根据检索到的相关案例和法规，生成一个或多个可能的定性分析结果，并推荐给审计人员；记录用户在使用过程中的反馈，包括定性推荐的合理性以及法规条款推荐的准确性等内容；深入分析模型在线索定性上的不足，优化模型的算法和参数，以提高其对线索描述的敏感度和准确性；优化检索算法，提高法规条款检索的准确性和效率。根据用户反馈和实际使用情况，不断完善推荐逻辑，确保为用户推荐最相关、最实用的法规条款</w:t>
            </w:r>
          </w:p>
        </w:tc>
        <w:tc>
          <w:tcPr>
            <w:tcW w:w="1402" w:type="dxa"/>
            <w:tcBorders>
              <w:top w:val="single" w:color="000000" w:sz="4" w:space="0"/>
              <w:left w:val="single" w:color="000000" w:sz="4" w:space="0"/>
              <w:bottom w:val="single" w:color="000000" w:sz="4" w:space="0"/>
              <w:right w:val="single" w:color="000000" w:sz="4" w:space="0"/>
            </w:tcBorders>
            <w:vAlign w:val="center"/>
          </w:tcPr>
          <w:p w14:paraId="55F5790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14317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BF4F7A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w:t>
            </w:r>
          </w:p>
        </w:tc>
        <w:tc>
          <w:tcPr>
            <w:tcW w:w="1312" w:type="dxa"/>
            <w:tcBorders>
              <w:top w:val="single" w:color="000000" w:sz="4" w:space="0"/>
              <w:left w:val="single" w:color="000000" w:sz="4" w:space="0"/>
              <w:bottom w:val="single" w:color="000000" w:sz="4" w:space="0"/>
              <w:right w:val="single" w:color="000000" w:sz="4" w:space="0"/>
            </w:tcBorders>
            <w:vAlign w:val="center"/>
          </w:tcPr>
          <w:p w14:paraId="5D47451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睿智·审计应用助手---文书生成助手</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用户交互、知识库检索、模板生成、文书生成</w:t>
            </w:r>
          </w:p>
        </w:tc>
        <w:tc>
          <w:tcPr>
            <w:tcW w:w="5159" w:type="dxa"/>
            <w:tcBorders>
              <w:top w:val="single" w:color="000000" w:sz="4" w:space="0"/>
              <w:left w:val="single" w:color="000000" w:sz="4" w:space="0"/>
              <w:bottom w:val="single" w:color="000000" w:sz="4" w:space="0"/>
              <w:right w:val="single" w:color="000000" w:sz="4" w:space="0"/>
            </w:tcBorders>
            <w:vAlign w:val="center"/>
          </w:tcPr>
          <w:p w14:paraId="1DFF5D6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支持审计人员输入报告的生成要求。包括报告的类型、审计对象、审计期间、关键审计发现等。提供必要的提示和引导，以确保输入的准确性和完整性；提供</w:t>
            </w:r>
            <w:r>
              <w:rPr>
                <w:rFonts w:hint="eastAsia" w:ascii="宋体" w:hAnsi="宋体" w:eastAsia="宋体" w:cs="宋体"/>
                <w:b w:val="0"/>
                <w:bCs w:val="0"/>
                <w:i w:val="0"/>
                <w:iCs w:val="0"/>
                <w:color w:val="auto"/>
                <w:kern w:val="0"/>
                <w:sz w:val="21"/>
                <w:szCs w:val="21"/>
                <w:u w:val="none"/>
                <w:lang w:val="en-US" w:eastAsia="zh-CN"/>
              </w:rPr>
              <w:t>在</w:t>
            </w:r>
            <w:r>
              <w:rPr>
                <w:rFonts w:hint="default" w:ascii="宋体" w:hAnsi="宋体" w:eastAsia="宋体" w:cs="宋体"/>
                <w:b w:val="0"/>
                <w:bCs w:val="0"/>
                <w:i w:val="0"/>
                <w:iCs w:val="0"/>
                <w:color w:val="auto"/>
                <w:kern w:val="0"/>
                <w:sz w:val="21"/>
                <w:szCs w:val="21"/>
                <w:u w:val="none"/>
                <w:lang w:val="en-US" w:eastAsia="zh-CN"/>
              </w:rPr>
              <w:t>知识库中进行检索，快速找到与用户需求相关的法规条款、历史案例和数据；支持根据用户需求和检索到的知识，智能匹配并生成相应的报告模板。模板的生成过程考虑了报告的格式、结构和内容要点；基于生成的报告模板和检索到的相关数据，支持自动填充报告内容，辅助生成一份审计报告。支持审计人员对生成的报告进行编辑和修改，以满足特定的需求或偏好。</w:t>
            </w:r>
          </w:p>
        </w:tc>
        <w:tc>
          <w:tcPr>
            <w:tcW w:w="1402" w:type="dxa"/>
            <w:tcBorders>
              <w:top w:val="single" w:color="000000" w:sz="4" w:space="0"/>
              <w:left w:val="single" w:color="000000" w:sz="4" w:space="0"/>
              <w:bottom w:val="single" w:color="000000" w:sz="4" w:space="0"/>
              <w:right w:val="single" w:color="000000" w:sz="4" w:space="0"/>
            </w:tcBorders>
            <w:vAlign w:val="center"/>
          </w:tcPr>
          <w:p w14:paraId="39073DD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4937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ADDFCD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w:t>
            </w:r>
          </w:p>
        </w:tc>
        <w:tc>
          <w:tcPr>
            <w:tcW w:w="1312" w:type="dxa"/>
            <w:tcBorders>
              <w:top w:val="single" w:color="000000" w:sz="4" w:space="0"/>
              <w:left w:val="single" w:color="000000" w:sz="4" w:space="0"/>
              <w:bottom w:val="single" w:color="000000" w:sz="4" w:space="0"/>
              <w:right w:val="single" w:color="000000" w:sz="4" w:space="0"/>
            </w:tcBorders>
            <w:vAlign w:val="center"/>
          </w:tcPr>
          <w:p w14:paraId="348FB8A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睿智·审计应用助手---审计智能搜索-数据导入与转换、自然语言查询到ES查询语句的转换、对象标签化定义与提取、数据画像构建、可视化展示与交互</w:t>
            </w:r>
          </w:p>
        </w:tc>
        <w:tc>
          <w:tcPr>
            <w:tcW w:w="5159" w:type="dxa"/>
            <w:tcBorders>
              <w:top w:val="single" w:color="000000" w:sz="4" w:space="0"/>
              <w:left w:val="single" w:color="000000" w:sz="4" w:space="0"/>
              <w:bottom w:val="single" w:color="000000" w:sz="4" w:space="0"/>
              <w:right w:val="single" w:color="000000" w:sz="4" w:space="0"/>
            </w:tcBorders>
            <w:vAlign w:val="center"/>
          </w:tcPr>
          <w:p w14:paraId="0C7C8DB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支持将结构化数据（如CSV、数据库表等）导入，提供数据校验机制，确保导入数据的准确性和完整性。支持增量导入和批量导入，提高数据导入效率；自动转换为精确的ES查询语句。提供查询预览和调试功能；提供标签定义界面，允许用户指定标签的名称、类型、正则表达式等。支持在数据导入或查询过程中，自动提取和标注数据中的实体和属性；基于导入的数据和用户的查询历史，助手可以构建数据画像，展示数据中的关键实体、属性和关联关系；支持数据画像的自定义配置和扩展；支持可视化界面的自定义配置和扩展，方便用户根据实际需求进行定制和优化。</w:t>
            </w:r>
          </w:p>
        </w:tc>
        <w:tc>
          <w:tcPr>
            <w:tcW w:w="1402" w:type="dxa"/>
            <w:tcBorders>
              <w:top w:val="single" w:color="000000" w:sz="4" w:space="0"/>
              <w:left w:val="single" w:color="000000" w:sz="4" w:space="0"/>
              <w:bottom w:val="single" w:color="000000" w:sz="4" w:space="0"/>
              <w:right w:val="single" w:color="000000" w:sz="4" w:space="0"/>
            </w:tcBorders>
            <w:vAlign w:val="center"/>
          </w:tcPr>
          <w:p w14:paraId="7A13B807">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6FBE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6EC3C4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5</w:t>
            </w:r>
          </w:p>
        </w:tc>
        <w:tc>
          <w:tcPr>
            <w:tcW w:w="1312" w:type="dxa"/>
            <w:tcBorders>
              <w:top w:val="single" w:color="000000" w:sz="4" w:space="0"/>
              <w:left w:val="single" w:color="000000" w:sz="4" w:space="0"/>
              <w:bottom w:val="single" w:color="000000" w:sz="4" w:space="0"/>
              <w:right w:val="single" w:color="000000" w:sz="4" w:space="0"/>
            </w:tcBorders>
            <w:vAlign w:val="center"/>
          </w:tcPr>
          <w:p w14:paraId="75D1A1A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睿智·审计应用助手--大模型接口开发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 xml:space="preserve"> 大模型接口调用开发-API 请求封装与响应处理</w:t>
            </w:r>
          </w:p>
        </w:tc>
        <w:tc>
          <w:tcPr>
            <w:tcW w:w="5159" w:type="dxa"/>
            <w:tcBorders>
              <w:top w:val="single" w:color="000000" w:sz="4" w:space="0"/>
              <w:left w:val="single" w:color="000000" w:sz="4" w:space="0"/>
              <w:bottom w:val="single" w:color="000000" w:sz="4" w:space="0"/>
              <w:right w:val="single" w:color="000000" w:sz="4" w:space="0"/>
            </w:tcBorders>
            <w:vAlign w:val="center"/>
          </w:tcPr>
          <w:p w14:paraId="4451198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创建封装的函数或服务，向外部大模型API发送HTTP请求；输入参数处理；请求频率控制；可以使用异步调用处理API请求；解析外部大模型API的响应数据；针对大模型API可能返回的错误（如超时、调用次数超限），建立错误处理机制并给用户反馈；结果缓存，减少重复调用。</w:t>
            </w:r>
          </w:p>
        </w:tc>
        <w:tc>
          <w:tcPr>
            <w:tcW w:w="1402" w:type="dxa"/>
            <w:tcBorders>
              <w:top w:val="single" w:color="000000" w:sz="4" w:space="0"/>
              <w:left w:val="single" w:color="000000" w:sz="4" w:space="0"/>
              <w:bottom w:val="single" w:color="000000" w:sz="4" w:space="0"/>
              <w:right w:val="single" w:color="000000" w:sz="4" w:space="0"/>
            </w:tcBorders>
            <w:vAlign w:val="center"/>
          </w:tcPr>
          <w:p w14:paraId="1076A86C">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5D91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5A1FA06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6</w:t>
            </w:r>
          </w:p>
        </w:tc>
        <w:tc>
          <w:tcPr>
            <w:tcW w:w="1312" w:type="dxa"/>
            <w:tcBorders>
              <w:top w:val="single" w:color="000000" w:sz="4" w:space="0"/>
              <w:left w:val="single" w:color="000000" w:sz="4" w:space="0"/>
              <w:bottom w:val="single" w:color="000000" w:sz="4" w:space="0"/>
              <w:right w:val="single" w:color="000000" w:sz="4" w:space="0"/>
            </w:tcBorders>
            <w:vAlign w:val="center"/>
          </w:tcPr>
          <w:p w14:paraId="3F7B557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睿智·审计应用助手--大模型接口开发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大模型接口调用开发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安全认证与访问控制</w:t>
            </w:r>
          </w:p>
        </w:tc>
        <w:tc>
          <w:tcPr>
            <w:tcW w:w="5159" w:type="dxa"/>
            <w:tcBorders>
              <w:top w:val="single" w:color="000000" w:sz="4" w:space="0"/>
              <w:left w:val="single" w:color="000000" w:sz="4" w:space="0"/>
              <w:bottom w:val="single" w:color="000000" w:sz="4" w:space="0"/>
              <w:right w:val="single" w:color="000000" w:sz="4" w:space="0"/>
            </w:tcBorders>
            <w:vAlign w:val="center"/>
          </w:tcPr>
          <w:p w14:paraId="099F7BE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API 认证机制：处理API调用时的认证问题，通常需要在请求中加入API密钥或OAuth Token。</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数据加密与脱敏：确保调用大模型时，传输的数据进行加密处理，敏感数据要进行脱敏处理，避免</w:t>
            </w:r>
            <w:r>
              <w:rPr>
                <w:rFonts w:hint="eastAsia" w:ascii="宋体" w:hAnsi="宋体" w:eastAsia="宋体" w:cs="宋体"/>
                <w:b w:val="0"/>
                <w:bCs w:val="0"/>
                <w:i w:val="0"/>
                <w:iCs w:val="0"/>
                <w:color w:val="auto"/>
                <w:kern w:val="0"/>
                <w:sz w:val="21"/>
                <w:szCs w:val="21"/>
                <w:u w:val="none"/>
                <w:lang w:val="en-US" w:eastAsia="zh-CN"/>
              </w:rPr>
              <w:t>泄漏</w:t>
            </w:r>
            <w:r>
              <w:rPr>
                <w:rFonts w:hint="default" w:ascii="宋体" w:hAnsi="宋体" w:eastAsia="宋体" w:cs="宋体"/>
                <w:b w:val="0"/>
                <w:bCs w:val="0"/>
                <w:i w:val="0"/>
                <w:iCs w:val="0"/>
                <w:color w:val="auto"/>
                <w:kern w:val="0"/>
                <w:sz w:val="21"/>
                <w:szCs w:val="21"/>
                <w:u w:val="none"/>
                <w:lang w:val="en-US" w:eastAsia="zh-CN"/>
              </w:rPr>
              <w:t>。</w:t>
            </w:r>
          </w:p>
        </w:tc>
        <w:tc>
          <w:tcPr>
            <w:tcW w:w="1402" w:type="dxa"/>
            <w:tcBorders>
              <w:top w:val="single" w:color="000000" w:sz="4" w:space="0"/>
              <w:left w:val="single" w:color="000000" w:sz="4" w:space="0"/>
              <w:bottom w:val="single" w:color="000000" w:sz="4" w:space="0"/>
              <w:right w:val="single" w:color="000000" w:sz="4" w:space="0"/>
            </w:tcBorders>
            <w:vAlign w:val="center"/>
          </w:tcPr>
          <w:p w14:paraId="35014A2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D8D0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E5A39D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7</w:t>
            </w:r>
          </w:p>
        </w:tc>
        <w:tc>
          <w:tcPr>
            <w:tcW w:w="1312" w:type="dxa"/>
            <w:tcBorders>
              <w:top w:val="single" w:color="000000" w:sz="4" w:space="0"/>
              <w:left w:val="single" w:color="000000" w:sz="4" w:space="0"/>
              <w:bottom w:val="single" w:color="000000" w:sz="4" w:space="0"/>
              <w:right w:val="single" w:color="000000" w:sz="4" w:space="0"/>
            </w:tcBorders>
            <w:vAlign w:val="center"/>
          </w:tcPr>
          <w:p w14:paraId="0E4A360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睿智·审计应用助手--大模型接口开发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页面UI开发与大模型交互</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用户输入与请求触发</w:t>
            </w:r>
          </w:p>
        </w:tc>
        <w:tc>
          <w:tcPr>
            <w:tcW w:w="5159" w:type="dxa"/>
            <w:tcBorders>
              <w:top w:val="single" w:color="000000" w:sz="4" w:space="0"/>
              <w:left w:val="single" w:color="000000" w:sz="4" w:space="0"/>
              <w:bottom w:val="single" w:color="000000" w:sz="4" w:space="0"/>
              <w:right w:val="single" w:color="000000" w:sz="4" w:space="0"/>
            </w:tcBorders>
            <w:vAlign w:val="center"/>
          </w:tcPr>
          <w:p w14:paraId="06EE5C8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用户输入问题、审计文书内容等，通过简洁的文本框设计实现互动。对于需要处理文档的大模型调用场景（如审计文书生成、文书提取），需要支持文件上传功能，前端可以采用拖拽上传或选择文件上传的形式。提供触发调用大模型的按钮（如“生成文书”或“分析数据”），用户点击后触发API请求。在按钮周围加入加载状态提示，反馈当前请求正在处理中。</w:t>
            </w:r>
          </w:p>
        </w:tc>
        <w:tc>
          <w:tcPr>
            <w:tcW w:w="1402" w:type="dxa"/>
            <w:tcBorders>
              <w:top w:val="single" w:color="000000" w:sz="4" w:space="0"/>
              <w:left w:val="single" w:color="000000" w:sz="4" w:space="0"/>
              <w:bottom w:val="single" w:color="000000" w:sz="4" w:space="0"/>
              <w:right w:val="single" w:color="000000" w:sz="4" w:space="0"/>
            </w:tcBorders>
            <w:vAlign w:val="center"/>
          </w:tcPr>
          <w:p w14:paraId="4F23B98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4E7F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212756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8</w:t>
            </w:r>
          </w:p>
        </w:tc>
        <w:tc>
          <w:tcPr>
            <w:tcW w:w="1312" w:type="dxa"/>
            <w:tcBorders>
              <w:top w:val="single" w:color="000000" w:sz="4" w:space="0"/>
              <w:left w:val="single" w:color="000000" w:sz="4" w:space="0"/>
              <w:bottom w:val="single" w:color="000000" w:sz="4" w:space="0"/>
              <w:right w:val="single" w:color="000000" w:sz="4" w:space="0"/>
            </w:tcBorders>
            <w:vAlign w:val="center"/>
          </w:tcPr>
          <w:p w14:paraId="5933422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睿智·审计应用助手--大模型接口开发-页面UI开发与大模型交互-响应展示与结果交互</w:t>
            </w:r>
          </w:p>
        </w:tc>
        <w:tc>
          <w:tcPr>
            <w:tcW w:w="5159" w:type="dxa"/>
            <w:tcBorders>
              <w:top w:val="single" w:color="000000" w:sz="4" w:space="0"/>
              <w:left w:val="single" w:color="000000" w:sz="4" w:space="0"/>
              <w:bottom w:val="single" w:color="000000" w:sz="4" w:space="0"/>
              <w:right w:val="single" w:color="000000" w:sz="4" w:space="0"/>
            </w:tcBorders>
            <w:vAlign w:val="center"/>
          </w:tcPr>
          <w:p w14:paraId="103942B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在页面上动态展示大模型生成的文本结果，如政策问答的回答、生成的审计文书等；对于涉及多轮对话或需要逐步展示的结果，可以分步骤显示每轮模型的响应，并支持用户与系统进行多轮互动；对模型返回的重要信息（如法规条文、文书中的关键数据）进行高亮处理，帮助用户快速识别关键信息。对返回的长文本内容进行格式化展示，如分段、加粗、项目符号等。</w:t>
            </w:r>
          </w:p>
        </w:tc>
        <w:tc>
          <w:tcPr>
            <w:tcW w:w="1402" w:type="dxa"/>
            <w:tcBorders>
              <w:top w:val="single" w:color="000000" w:sz="4" w:space="0"/>
              <w:left w:val="single" w:color="000000" w:sz="4" w:space="0"/>
              <w:bottom w:val="single" w:color="000000" w:sz="4" w:space="0"/>
              <w:right w:val="single" w:color="000000" w:sz="4" w:space="0"/>
            </w:tcBorders>
            <w:vAlign w:val="center"/>
          </w:tcPr>
          <w:p w14:paraId="7D4663F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77AA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7B1CFED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9</w:t>
            </w:r>
          </w:p>
        </w:tc>
        <w:tc>
          <w:tcPr>
            <w:tcW w:w="1312" w:type="dxa"/>
            <w:tcBorders>
              <w:top w:val="single" w:color="000000" w:sz="4" w:space="0"/>
              <w:left w:val="single" w:color="000000" w:sz="4" w:space="0"/>
              <w:bottom w:val="single" w:color="000000" w:sz="4" w:space="0"/>
              <w:right w:val="single" w:color="000000" w:sz="4" w:space="0"/>
            </w:tcBorders>
            <w:vAlign w:val="center"/>
          </w:tcPr>
          <w:p w14:paraId="26D0530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睿智·审计应用助手--大模型接口开发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页面UI开发与大模型交互</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交互反馈与修正功能</w:t>
            </w:r>
          </w:p>
        </w:tc>
        <w:tc>
          <w:tcPr>
            <w:tcW w:w="5159" w:type="dxa"/>
            <w:tcBorders>
              <w:top w:val="single" w:color="000000" w:sz="4" w:space="0"/>
              <w:left w:val="single" w:color="000000" w:sz="4" w:space="0"/>
              <w:bottom w:val="single" w:color="000000" w:sz="4" w:space="0"/>
              <w:right w:val="single" w:color="000000" w:sz="4" w:space="0"/>
            </w:tcBorders>
            <w:vAlign w:val="center"/>
          </w:tcPr>
          <w:p w14:paraId="2C3B011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提供用户反馈按钮，允许对大模型生成结果进行评价或标注不正确的部分。允许用户对大模型生成的结果进行手动编辑，尤其是审计文书生成场景，用户可能需要调整部分内容。前端实现简单的文本编辑器功能，支持用户对生成内容进行手动修正。</w:t>
            </w:r>
          </w:p>
        </w:tc>
        <w:tc>
          <w:tcPr>
            <w:tcW w:w="1402" w:type="dxa"/>
            <w:tcBorders>
              <w:top w:val="single" w:color="000000" w:sz="4" w:space="0"/>
              <w:left w:val="single" w:color="000000" w:sz="4" w:space="0"/>
              <w:bottom w:val="single" w:color="000000" w:sz="4" w:space="0"/>
              <w:right w:val="single" w:color="000000" w:sz="4" w:space="0"/>
            </w:tcBorders>
            <w:vAlign w:val="center"/>
          </w:tcPr>
          <w:p w14:paraId="5A4BCA2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620F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407E23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10</w:t>
            </w:r>
          </w:p>
        </w:tc>
        <w:tc>
          <w:tcPr>
            <w:tcW w:w="1312" w:type="dxa"/>
            <w:tcBorders>
              <w:top w:val="single" w:color="000000" w:sz="4" w:space="0"/>
              <w:left w:val="single" w:color="000000" w:sz="4" w:space="0"/>
              <w:bottom w:val="single" w:color="000000" w:sz="4" w:space="0"/>
              <w:right w:val="single" w:color="000000" w:sz="4" w:space="0"/>
            </w:tcBorders>
            <w:vAlign w:val="center"/>
          </w:tcPr>
          <w:p w14:paraId="7B2EB86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睿智·审计应用助手--大模型接口开发-大模型异步与实时调用的UI优化-响应缓存与历史记录</w:t>
            </w:r>
          </w:p>
        </w:tc>
        <w:tc>
          <w:tcPr>
            <w:tcW w:w="5159" w:type="dxa"/>
            <w:tcBorders>
              <w:top w:val="single" w:color="000000" w:sz="4" w:space="0"/>
              <w:left w:val="single" w:color="000000" w:sz="4" w:space="0"/>
              <w:bottom w:val="single" w:color="000000" w:sz="4" w:space="0"/>
              <w:right w:val="single" w:color="000000" w:sz="4" w:space="0"/>
            </w:tcBorders>
            <w:vAlign w:val="center"/>
          </w:tcPr>
          <w:p w14:paraId="0C3BC02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缓存历史记录：对于用户多次调用同一个功能点，可以提供历史记录缓存功能，允许用户查看之前的结果或重用之前的查询条件。</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快速访问历史：在界面中展示用户最近使用的记录（如最近查询的问题或文书），用户可以一键重新调用。</w:t>
            </w:r>
          </w:p>
        </w:tc>
        <w:tc>
          <w:tcPr>
            <w:tcW w:w="1402" w:type="dxa"/>
            <w:tcBorders>
              <w:top w:val="single" w:color="000000" w:sz="4" w:space="0"/>
              <w:left w:val="single" w:color="000000" w:sz="4" w:space="0"/>
              <w:bottom w:val="single" w:color="000000" w:sz="4" w:space="0"/>
              <w:right w:val="single" w:color="000000" w:sz="4" w:space="0"/>
            </w:tcBorders>
            <w:vAlign w:val="center"/>
          </w:tcPr>
          <w:p w14:paraId="09630F5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2E41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60A8CBE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11</w:t>
            </w:r>
          </w:p>
        </w:tc>
        <w:tc>
          <w:tcPr>
            <w:tcW w:w="1312" w:type="dxa"/>
            <w:tcBorders>
              <w:top w:val="single" w:color="000000" w:sz="4" w:space="0"/>
              <w:left w:val="single" w:color="000000" w:sz="4" w:space="0"/>
              <w:bottom w:val="single" w:color="000000" w:sz="4" w:space="0"/>
              <w:right w:val="single" w:color="000000" w:sz="4" w:space="0"/>
            </w:tcBorders>
            <w:vAlign w:val="center"/>
          </w:tcPr>
          <w:p w14:paraId="25E8AD7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大模型接口开发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大模型前后端交互接口开发</w:t>
            </w:r>
          </w:p>
        </w:tc>
        <w:tc>
          <w:tcPr>
            <w:tcW w:w="5159" w:type="dxa"/>
            <w:tcBorders>
              <w:top w:val="single" w:color="000000" w:sz="4" w:space="0"/>
              <w:left w:val="single" w:color="000000" w:sz="4" w:space="0"/>
              <w:bottom w:val="single" w:color="000000" w:sz="4" w:space="0"/>
              <w:right w:val="single" w:color="000000" w:sz="4" w:space="0"/>
            </w:tcBorders>
            <w:vAlign w:val="center"/>
          </w:tcPr>
          <w:p w14:paraId="4C808DE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前端调用后端服务；后端处理与前端展示的集成</w:t>
            </w:r>
          </w:p>
        </w:tc>
        <w:tc>
          <w:tcPr>
            <w:tcW w:w="1402" w:type="dxa"/>
            <w:tcBorders>
              <w:top w:val="single" w:color="000000" w:sz="4" w:space="0"/>
              <w:left w:val="single" w:color="000000" w:sz="4" w:space="0"/>
              <w:bottom w:val="single" w:color="000000" w:sz="4" w:space="0"/>
              <w:right w:val="single" w:color="000000" w:sz="4" w:space="0"/>
            </w:tcBorders>
            <w:vAlign w:val="center"/>
          </w:tcPr>
          <w:p w14:paraId="53418F7A">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7167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1053974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12</w:t>
            </w:r>
          </w:p>
        </w:tc>
        <w:tc>
          <w:tcPr>
            <w:tcW w:w="1312" w:type="dxa"/>
            <w:tcBorders>
              <w:top w:val="single" w:color="000000" w:sz="4" w:space="0"/>
              <w:left w:val="single" w:color="000000" w:sz="4" w:space="0"/>
              <w:bottom w:val="single" w:color="000000" w:sz="4" w:space="0"/>
              <w:right w:val="single" w:color="000000" w:sz="4" w:space="0"/>
            </w:tcBorders>
            <w:vAlign w:val="center"/>
          </w:tcPr>
          <w:p w14:paraId="0A3A510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睿智·审计应用助手--大模型接口开发</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大模型监控与日志记录</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用户操作日志</w:t>
            </w:r>
          </w:p>
        </w:tc>
        <w:tc>
          <w:tcPr>
            <w:tcW w:w="5159" w:type="dxa"/>
            <w:tcBorders>
              <w:top w:val="single" w:color="000000" w:sz="4" w:space="0"/>
              <w:left w:val="single" w:color="000000" w:sz="4" w:space="0"/>
              <w:bottom w:val="single" w:color="000000" w:sz="4" w:space="0"/>
              <w:right w:val="single" w:color="000000" w:sz="4" w:space="0"/>
            </w:tcBorders>
            <w:vAlign w:val="center"/>
          </w:tcPr>
          <w:p w14:paraId="37E11D2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记录用户每次调用大模型的请求参数和响应结果，方便后期优化与问题排查。</w:t>
            </w:r>
          </w:p>
        </w:tc>
        <w:tc>
          <w:tcPr>
            <w:tcW w:w="1402" w:type="dxa"/>
            <w:tcBorders>
              <w:top w:val="single" w:color="000000" w:sz="4" w:space="0"/>
              <w:left w:val="single" w:color="000000" w:sz="4" w:space="0"/>
              <w:bottom w:val="single" w:color="000000" w:sz="4" w:space="0"/>
              <w:right w:val="single" w:color="000000" w:sz="4" w:space="0"/>
            </w:tcBorders>
            <w:vAlign w:val="center"/>
          </w:tcPr>
          <w:p w14:paraId="39EEAE46">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DDD5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2" w:type="dxa"/>
            <w:tcBorders>
              <w:top w:val="single" w:color="000000" w:sz="4" w:space="0"/>
              <w:left w:val="single" w:color="000000" w:sz="4" w:space="0"/>
              <w:bottom w:val="single" w:color="000000" w:sz="4" w:space="0"/>
              <w:right w:val="single" w:color="000000" w:sz="4" w:space="0"/>
            </w:tcBorders>
            <w:vAlign w:val="center"/>
          </w:tcPr>
          <w:p w14:paraId="7C663C7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13</w:t>
            </w:r>
          </w:p>
        </w:tc>
        <w:tc>
          <w:tcPr>
            <w:tcW w:w="1312" w:type="dxa"/>
            <w:tcBorders>
              <w:top w:val="single" w:color="000000" w:sz="4" w:space="0"/>
              <w:left w:val="single" w:color="000000" w:sz="4" w:space="0"/>
              <w:bottom w:val="single" w:color="000000" w:sz="4" w:space="0"/>
              <w:right w:val="single" w:color="000000" w:sz="4" w:space="0"/>
            </w:tcBorders>
            <w:vAlign w:val="center"/>
          </w:tcPr>
          <w:p w14:paraId="4A565DB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睿智·审计应用助手--大模型接口开发-大模型监控与日志记录-API 调用监控</w:t>
            </w:r>
          </w:p>
        </w:tc>
        <w:tc>
          <w:tcPr>
            <w:tcW w:w="5159" w:type="dxa"/>
            <w:tcBorders>
              <w:top w:val="single" w:color="000000" w:sz="4" w:space="0"/>
              <w:left w:val="single" w:color="000000" w:sz="4" w:space="0"/>
              <w:bottom w:val="single" w:color="000000" w:sz="4" w:space="0"/>
              <w:right w:val="single" w:color="000000" w:sz="4" w:space="0"/>
            </w:tcBorders>
            <w:vAlign w:val="center"/>
          </w:tcPr>
          <w:p w14:paraId="7C4EE63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建立前后端接口调用的监控系统，分析调用次数、响应时间、错误率等，优化用户体验和系统性能。</w:t>
            </w:r>
          </w:p>
        </w:tc>
        <w:tc>
          <w:tcPr>
            <w:tcW w:w="1402" w:type="dxa"/>
            <w:tcBorders>
              <w:top w:val="single" w:color="000000" w:sz="4" w:space="0"/>
              <w:left w:val="single" w:color="000000" w:sz="4" w:space="0"/>
              <w:bottom w:val="single" w:color="000000" w:sz="4" w:space="0"/>
              <w:right w:val="single" w:color="000000" w:sz="4" w:space="0"/>
            </w:tcBorders>
            <w:vAlign w:val="center"/>
          </w:tcPr>
          <w:p w14:paraId="4720B41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bl>
    <w:p w14:paraId="6E54926D">
      <w:pPr>
        <w:numPr>
          <w:ilvl w:val="0"/>
          <w:numId w:val="27"/>
        </w:numPr>
        <w:ind w:left="0" w:leftChars="0" w:firstLine="420" w:firstLineChars="0"/>
        <w:rPr>
          <w:rFonts w:hint="eastAsia" w:ascii="宋体" w:hAnsi="宋体" w:eastAsia="宋体" w:cs="Times New Roman"/>
          <w:b/>
          <w:bCs w:val="0"/>
          <w:color w:val="auto"/>
          <w:lang w:val="en-US" w:eastAsia="zh-CN"/>
        </w:rPr>
      </w:pPr>
      <w:r>
        <w:rPr>
          <w:rFonts w:hint="eastAsia" w:ascii="宋体" w:hAnsi="宋体" w:eastAsia="宋体" w:cs="Times New Roman"/>
          <w:b/>
          <w:bCs w:val="0"/>
          <w:color w:val="auto"/>
          <w:lang w:val="en-US" w:eastAsia="zh-CN"/>
        </w:rPr>
        <w:t>管理控制台</w:t>
      </w:r>
    </w:p>
    <w:tbl>
      <w:tblPr>
        <w:tblStyle w:val="36"/>
        <w:tblW w:w="8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5"/>
        <w:gridCol w:w="1310"/>
        <w:gridCol w:w="5274"/>
        <w:gridCol w:w="1286"/>
      </w:tblGrid>
      <w:tr w14:paraId="05421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655"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411CE6B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序号</w:t>
            </w:r>
          </w:p>
        </w:tc>
        <w:tc>
          <w:tcPr>
            <w:tcW w:w="1310"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0BF4B58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功能名称</w:t>
            </w:r>
          </w:p>
        </w:tc>
        <w:tc>
          <w:tcPr>
            <w:tcW w:w="5274"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22C9CBD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功能描述</w:t>
            </w:r>
          </w:p>
        </w:tc>
        <w:tc>
          <w:tcPr>
            <w:tcW w:w="1286"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0448C409">
            <w:pPr>
              <w:widowControl/>
              <w:ind w:firstLine="0" w:firstLineChars="0"/>
              <w:jc w:val="both"/>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需求年度</w:t>
            </w:r>
          </w:p>
        </w:tc>
      </w:tr>
      <w:tr w14:paraId="7B93D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46FEBB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w:t>
            </w:r>
          </w:p>
        </w:tc>
        <w:tc>
          <w:tcPr>
            <w:tcW w:w="1310" w:type="dxa"/>
            <w:tcBorders>
              <w:top w:val="single" w:color="000000" w:sz="4" w:space="0"/>
              <w:left w:val="single" w:color="000000" w:sz="4" w:space="0"/>
              <w:bottom w:val="single" w:color="000000" w:sz="4" w:space="0"/>
              <w:right w:val="single" w:color="000000" w:sz="4" w:space="0"/>
            </w:tcBorders>
            <w:vAlign w:val="center"/>
          </w:tcPr>
          <w:p w14:paraId="786895ED">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系统工具</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授权管理</w:t>
            </w:r>
          </w:p>
        </w:tc>
        <w:tc>
          <w:tcPr>
            <w:tcW w:w="5274" w:type="dxa"/>
            <w:tcBorders>
              <w:top w:val="single" w:color="000000" w:sz="4" w:space="0"/>
              <w:left w:val="single" w:color="000000" w:sz="4" w:space="0"/>
              <w:bottom w:val="single" w:color="000000" w:sz="4" w:space="0"/>
              <w:right w:val="single" w:color="000000" w:sz="4" w:space="0"/>
            </w:tcBorders>
            <w:vAlign w:val="center"/>
          </w:tcPr>
          <w:p w14:paraId="157CBE0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对用户进行授权，通过角色绑定用户，配置用户访问系统的功能菜单，支持批量授权。</w:t>
            </w:r>
          </w:p>
        </w:tc>
        <w:tc>
          <w:tcPr>
            <w:tcW w:w="1286" w:type="dxa"/>
            <w:tcBorders>
              <w:top w:val="single" w:color="000000" w:sz="4" w:space="0"/>
              <w:left w:val="single" w:color="000000" w:sz="4" w:space="0"/>
              <w:bottom w:val="single" w:color="000000" w:sz="4" w:space="0"/>
              <w:right w:val="single" w:color="000000" w:sz="4" w:space="0"/>
            </w:tcBorders>
            <w:vAlign w:val="center"/>
          </w:tcPr>
          <w:p w14:paraId="06F3C0F8">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47432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74AB119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w:t>
            </w:r>
          </w:p>
        </w:tc>
        <w:tc>
          <w:tcPr>
            <w:tcW w:w="1310" w:type="dxa"/>
            <w:tcBorders>
              <w:top w:val="single" w:color="000000" w:sz="4" w:space="0"/>
              <w:left w:val="single" w:color="000000" w:sz="4" w:space="0"/>
              <w:bottom w:val="single" w:color="000000" w:sz="4" w:space="0"/>
              <w:right w:val="single" w:color="000000" w:sz="4" w:space="0"/>
            </w:tcBorders>
            <w:vAlign w:val="center"/>
          </w:tcPr>
          <w:p w14:paraId="4746BF8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系统维护</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组织管理</w:t>
            </w:r>
          </w:p>
        </w:tc>
        <w:tc>
          <w:tcPr>
            <w:tcW w:w="5274" w:type="dxa"/>
            <w:tcBorders>
              <w:top w:val="single" w:color="000000" w:sz="4" w:space="0"/>
              <w:left w:val="single" w:color="000000" w:sz="4" w:space="0"/>
              <w:bottom w:val="single" w:color="000000" w:sz="4" w:space="0"/>
              <w:right w:val="single" w:color="000000" w:sz="4" w:space="0"/>
            </w:tcBorders>
            <w:vAlign w:val="center"/>
          </w:tcPr>
          <w:p w14:paraId="202FEBB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维护审计机关单位的名称、代码、层级等信息。</w:t>
            </w:r>
          </w:p>
        </w:tc>
        <w:tc>
          <w:tcPr>
            <w:tcW w:w="1286" w:type="dxa"/>
            <w:tcBorders>
              <w:top w:val="single" w:color="000000" w:sz="4" w:space="0"/>
              <w:left w:val="single" w:color="000000" w:sz="4" w:space="0"/>
              <w:bottom w:val="single" w:color="000000" w:sz="4" w:space="0"/>
              <w:right w:val="single" w:color="000000" w:sz="4" w:space="0"/>
            </w:tcBorders>
            <w:vAlign w:val="center"/>
          </w:tcPr>
          <w:p w14:paraId="039059B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3F728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54BC18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w:t>
            </w:r>
          </w:p>
        </w:tc>
        <w:tc>
          <w:tcPr>
            <w:tcW w:w="1310" w:type="dxa"/>
            <w:tcBorders>
              <w:top w:val="single" w:color="000000" w:sz="4" w:space="0"/>
              <w:left w:val="single" w:color="000000" w:sz="4" w:space="0"/>
              <w:bottom w:val="single" w:color="000000" w:sz="4" w:space="0"/>
              <w:right w:val="single" w:color="000000" w:sz="4" w:space="0"/>
            </w:tcBorders>
            <w:vAlign w:val="center"/>
          </w:tcPr>
          <w:p w14:paraId="4B4077B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系统维护</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人员管理</w:t>
            </w:r>
          </w:p>
        </w:tc>
        <w:tc>
          <w:tcPr>
            <w:tcW w:w="5274" w:type="dxa"/>
            <w:tcBorders>
              <w:top w:val="single" w:color="000000" w:sz="4" w:space="0"/>
              <w:left w:val="single" w:color="000000" w:sz="4" w:space="0"/>
              <w:bottom w:val="single" w:color="000000" w:sz="4" w:space="0"/>
              <w:right w:val="single" w:color="000000" w:sz="4" w:space="0"/>
            </w:tcBorders>
            <w:vAlign w:val="center"/>
          </w:tcPr>
          <w:p w14:paraId="1D89187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维护系统用户的基本信息，如账号、密码、姓名、性别、职级、联系方式等信息。</w:t>
            </w:r>
          </w:p>
        </w:tc>
        <w:tc>
          <w:tcPr>
            <w:tcW w:w="1286" w:type="dxa"/>
            <w:tcBorders>
              <w:top w:val="single" w:color="000000" w:sz="4" w:space="0"/>
              <w:left w:val="single" w:color="000000" w:sz="4" w:space="0"/>
              <w:bottom w:val="single" w:color="000000" w:sz="4" w:space="0"/>
              <w:right w:val="single" w:color="000000" w:sz="4" w:space="0"/>
            </w:tcBorders>
            <w:vAlign w:val="center"/>
          </w:tcPr>
          <w:p w14:paraId="1E095B91">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6819A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0AB07C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w:t>
            </w:r>
          </w:p>
        </w:tc>
        <w:tc>
          <w:tcPr>
            <w:tcW w:w="1310" w:type="dxa"/>
            <w:tcBorders>
              <w:top w:val="single" w:color="000000" w:sz="4" w:space="0"/>
              <w:left w:val="single" w:color="000000" w:sz="4" w:space="0"/>
              <w:bottom w:val="single" w:color="000000" w:sz="4" w:space="0"/>
              <w:right w:val="single" w:color="000000" w:sz="4" w:space="0"/>
            </w:tcBorders>
            <w:vAlign w:val="center"/>
          </w:tcPr>
          <w:p w14:paraId="398849B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角色管理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角色管理</w:t>
            </w:r>
          </w:p>
        </w:tc>
        <w:tc>
          <w:tcPr>
            <w:tcW w:w="5274" w:type="dxa"/>
            <w:tcBorders>
              <w:top w:val="single" w:color="000000" w:sz="4" w:space="0"/>
              <w:left w:val="single" w:color="000000" w:sz="4" w:space="0"/>
              <w:bottom w:val="single" w:color="000000" w:sz="4" w:space="0"/>
              <w:right w:val="single" w:color="000000" w:sz="4" w:space="0"/>
            </w:tcBorders>
            <w:vAlign w:val="center"/>
          </w:tcPr>
          <w:p w14:paraId="112B1F3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对角色进行维护，包括新增、修改、删除、查询等，并通过角色关联模块。</w:t>
            </w:r>
          </w:p>
        </w:tc>
        <w:tc>
          <w:tcPr>
            <w:tcW w:w="1286" w:type="dxa"/>
            <w:tcBorders>
              <w:top w:val="single" w:color="000000" w:sz="4" w:space="0"/>
              <w:left w:val="single" w:color="000000" w:sz="4" w:space="0"/>
              <w:bottom w:val="single" w:color="000000" w:sz="4" w:space="0"/>
              <w:right w:val="single" w:color="000000" w:sz="4" w:space="0"/>
            </w:tcBorders>
            <w:vAlign w:val="center"/>
          </w:tcPr>
          <w:p w14:paraId="408796DD">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7D3EE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494E22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5</w:t>
            </w:r>
          </w:p>
        </w:tc>
        <w:tc>
          <w:tcPr>
            <w:tcW w:w="1310" w:type="dxa"/>
            <w:tcBorders>
              <w:top w:val="single" w:color="000000" w:sz="4" w:space="0"/>
              <w:left w:val="single" w:color="000000" w:sz="4" w:space="0"/>
              <w:bottom w:val="single" w:color="000000" w:sz="4" w:space="0"/>
              <w:right w:val="single" w:color="000000" w:sz="4" w:space="0"/>
            </w:tcBorders>
            <w:vAlign w:val="center"/>
          </w:tcPr>
          <w:p w14:paraId="35BA965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系统安全管理</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br w:type="textWrapping"/>
            </w:r>
            <w:r>
              <w:rPr>
                <w:rFonts w:hint="default" w:ascii="宋体" w:hAnsi="宋体" w:eastAsia="宋体" w:cs="宋体"/>
                <w:b w:val="0"/>
                <w:bCs w:val="0"/>
                <w:i w:val="0"/>
                <w:iCs w:val="0"/>
                <w:color w:val="auto"/>
                <w:kern w:val="0"/>
                <w:sz w:val="21"/>
                <w:szCs w:val="21"/>
                <w:u w:val="none"/>
                <w:lang w:val="en-US" w:eastAsia="zh-CN"/>
              </w:rPr>
              <w:t>系统安全管理</w:t>
            </w:r>
          </w:p>
        </w:tc>
        <w:tc>
          <w:tcPr>
            <w:tcW w:w="5274" w:type="dxa"/>
            <w:tcBorders>
              <w:top w:val="single" w:color="000000" w:sz="4" w:space="0"/>
              <w:left w:val="single" w:color="000000" w:sz="4" w:space="0"/>
              <w:bottom w:val="single" w:color="000000" w:sz="4" w:space="0"/>
              <w:right w:val="single" w:color="000000" w:sz="4" w:space="0"/>
            </w:tcBorders>
            <w:vAlign w:val="center"/>
          </w:tcPr>
          <w:p w14:paraId="6A5183C5">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通过系统安全管理，对密码的复杂度、系统IP或IP段访问进行限制，加强系统的安全性。</w:t>
            </w:r>
          </w:p>
        </w:tc>
        <w:tc>
          <w:tcPr>
            <w:tcW w:w="1286" w:type="dxa"/>
            <w:tcBorders>
              <w:top w:val="single" w:color="000000" w:sz="4" w:space="0"/>
              <w:left w:val="single" w:color="000000" w:sz="4" w:space="0"/>
              <w:bottom w:val="single" w:color="000000" w:sz="4" w:space="0"/>
              <w:right w:val="single" w:color="000000" w:sz="4" w:space="0"/>
            </w:tcBorders>
            <w:vAlign w:val="center"/>
          </w:tcPr>
          <w:p w14:paraId="13012599">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bl>
    <w:p w14:paraId="31CD7126">
      <w:pPr>
        <w:numPr>
          <w:ilvl w:val="0"/>
          <w:numId w:val="27"/>
        </w:numPr>
        <w:ind w:left="0" w:leftChars="0" w:firstLine="420" w:firstLineChars="0"/>
        <w:rPr>
          <w:rFonts w:hint="eastAsia" w:ascii="宋体" w:hAnsi="宋体" w:eastAsia="宋体" w:cs="Times New Roman"/>
          <w:b/>
          <w:bCs w:val="0"/>
          <w:color w:val="auto"/>
          <w:lang w:val="en-US" w:eastAsia="zh-CN"/>
        </w:rPr>
      </w:pPr>
      <w:r>
        <w:rPr>
          <w:rFonts w:hint="eastAsia" w:ascii="宋体" w:hAnsi="宋体" w:eastAsia="宋体" w:cs="Times New Roman"/>
          <w:b/>
          <w:bCs w:val="0"/>
          <w:color w:val="auto"/>
          <w:lang w:val="en-US" w:eastAsia="zh-CN"/>
        </w:rPr>
        <w:t>系统融合对接</w:t>
      </w:r>
    </w:p>
    <w:tbl>
      <w:tblPr>
        <w:tblStyle w:val="36"/>
        <w:tblW w:w="8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5"/>
        <w:gridCol w:w="1312"/>
        <w:gridCol w:w="5296"/>
        <w:gridCol w:w="1262"/>
      </w:tblGrid>
      <w:tr w14:paraId="5F37F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655"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2C608E83">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序号</w:t>
            </w:r>
          </w:p>
        </w:tc>
        <w:tc>
          <w:tcPr>
            <w:tcW w:w="131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2CE8A81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功能名称</w:t>
            </w:r>
          </w:p>
        </w:tc>
        <w:tc>
          <w:tcPr>
            <w:tcW w:w="5296"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6C9C567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功能描述</w:t>
            </w:r>
          </w:p>
        </w:tc>
        <w:tc>
          <w:tcPr>
            <w:tcW w:w="126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5B70DF1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需求年度</w:t>
            </w:r>
          </w:p>
        </w:tc>
      </w:tr>
      <w:tr w14:paraId="5168D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364C8E4A">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w:t>
            </w:r>
          </w:p>
        </w:tc>
        <w:tc>
          <w:tcPr>
            <w:tcW w:w="1312" w:type="dxa"/>
            <w:tcBorders>
              <w:top w:val="single" w:color="000000" w:sz="4" w:space="0"/>
              <w:left w:val="single" w:color="000000" w:sz="4" w:space="0"/>
              <w:bottom w:val="single" w:color="000000" w:sz="4" w:space="0"/>
              <w:right w:val="single" w:color="000000" w:sz="4" w:space="0"/>
            </w:tcBorders>
            <w:vAlign w:val="center"/>
          </w:tcPr>
          <w:p w14:paraId="2A10C891">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系统融合对接</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与上海市审计局审计信息化系统集成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与上海市审计局审计信息化系统集成</w:t>
            </w:r>
          </w:p>
        </w:tc>
        <w:tc>
          <w:tcPr>
            <w:tcW w:w="5296" w:type="dxa"/>
            <w:tcBorders>
              <w:top w:val="single" w:color="000000" w:sz="4" w:space="0"/>
              <w:left w:val="single" w:color="000000" w:sz="4" w:space="0"/>
              <w:bottom w:val="single" w:color="000000" w:sz="4" w:space="0"/>
              <w:right w:val="single" w:color="000000" w:sz="4" w:space="0"/>
            </w:tcBorders>
            <w:vAlign w:val="center"/>
          </w:tcPr>
          <w:p w14:paraId="0F1CBB5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主要同步组织架构、人员、岗位信息，作为数字化智能审计工程用户体系的基础数据源；同步项目信息和数据申请信息，完善审计业务过程和数据申请过程</w:t>
            </w:r>
          </w:p>
        </w:tc>
        <w:tc>
          <w:tcPr>
            <w:tcW w:w="1262" w:type="dxa"/>
            <w:tcBorders>
              <w:top w:val="single" w:color="000000" w:sz="4" w:space="0"/>
              <w:left w:val="single" w:color="000000" w:sz="4" w:space="0"/>
              <w:bottom w:val="single" w:color="000000" w:sz="4" w:space="0"/>
              <w:right w:val="single" w:color="000000" w:sz="4" w:space="0"/>
            </w:tcBorders>
            <w:vAlign w:val="center"/>
          </w:tcPr>
          <w:p w14:paraId="6303FFC2">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26A78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851B6D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2</w:t>
            </w:r>
          </w:p>
        </w:tc>
        <w:tc>
          <w:tcPr>
            <w:tcW w:w="1312" w:type="dxa"/>
            <w:tcBorders>
              <w:top w:val="single" w:color="000000" w:sz="4" w:space="0"/>
              <w:left w:val="single" w:color="000000" w:sz="4" w:space="0"/>
              <w:bottom w:val="single" w:color="000000" w:sz="4" w:space="0"/>
              <w:right w:val="single" w:color="000000" w:sz="4" w:space="0"/>
            </w:tcBorders>
            <w:vAlign w:val="center"/>
          </w:tcPr>
          <w:p w14:paraId="35C7750B">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系统融合对接</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与上海市统一身份认证服务平台集成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与上海市统一身份认证服务平台集成</w:t>
            </w:r>
          </w:p>
        </w:tc>
        <w:tc>
          <w:tcPr>
            <w:tcW w:w="5296" w:type="dxa"/>
            <w:tcBorders>
              <w:top w:val="single" w:color="000000" w:sz="4" w:space="0"/>
              <w:left w:val="single" w:color="000000" w:sz="4" w:space="0"/>
              <w:bottom w:val="single" w:color="000000" w:sz="4" w:space="0"/>
              <w:right w:val="single" w:color="000000" w:sz="4" w:space="0"/>
            </w:tcBorders>
            <w:vAlign w:val="center"/>
          </w:tcPr>
          <w:p w14:paraId="15BFD9B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主要按政策要求实现全市统一的身份认证服务</w:t>
            </w:r>
          </w:p>
        </w:tc>
        <w:tc>
          <w:tcPr>
            <w:tcW w:w="1262" w:type="dxa"/>
            <w:tcBorders>
              <w:top w:val="single" w:color="000000" w:sz="4" w:space="0"/>
              <w:left w:val="single" w:color="000000" w:sz="4" w:space="0"/>
              <w:bottom w:val="single" w:color="000000" w:sz="4" w:space="0"/>
              <w:right w:val="single" w:color="000000" w:sz="4" w:space="0"/>
            </w:tcBorders>
            <w:vAlign w:val="center"/>
          </w:tcPr>
          <w:p w14:paraId="2A3EE513">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387D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0A40FA8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3</w:t>
            </w:r>
          </w:p>
        </w:tc>
        <w:tc>
          <w:tcPr>
            <w:tcW w:w="1312" w:type="dxa"/>
            <w:tcBorders>
              <w:top w:val="single" w:color="000000" w:sz="4" w:space="0"/>
              <w:left w:val="single" w:color="000000" w:sz="4" w:space="0"/>
              <w:bottom w:val="single" w:color="000000" w:sz="4" w:space="0"/>
              <w:right w:val="single" w:color="000000" w:sz="4" w:space="0"/>
            </w:tcBorders>
            <w:vAlign w:val="center"/>
          </w:tcPr>
          <w:p w14:paraId="39B4783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系统融合对接</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与金审工程三期项目（上海建设部分）集成</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与金审工程三期项目（上海建设部分）集成</w:t>
            </w:r>
          </w:p>
        </w:tc>
        <w:tc>
          <w:tcPr>
            <w:tcW w:w="5296" w:type="dxa"/>
            <w:tcBorders>
              <w:top w:val="single" w:color="000000" w:sz="4" w:space="0"/>
              <w:left w:val="single" w:color="000000" w:sz="4" w:space="0"/>
              <w:bottom w:val="single" w:color="000000" w:sz="4" w:space="0"/>
              <w:right w:val="single" w:color="000000" w:sz="4" w:space="0"/>
            </w:tcBorders>
            <w:vAlign w:val="center"/>
          </w:tcPr>
          <w:p w14:paraId="7E9E57A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主要完成财务数据、审计项目、审计人员、组织机构在两个系统间的同步和匹配，对财务账套数据不落地查询</w:t>
            </w:r>
          </w:p>
        </w:tc>
        <w:tc>
          <w:tcPr>
            <w:tcW w:w="1262" w:type="dxa"/>
            <w:tcBorders>
              <w:top w:val="single" w:color="000000" w:sz="4" w:space="0"/>
              <w:left w:val="single" w:color="000000" w:sz="4" w:space="0"/>
              <w:bottom w:val="single" w:color="000000" w:sz="4" w:space="0"/>
              <w:right w:val="single" w:color="000000" w:sz="4" w:space="0"/>
            </w:tcBorders>
            <w:vAlign w:val="center"/>
          </w:tcPr>
          <w:p w14:paraId="5A70AD54">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r w14:paraId="565F2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7810C86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4</w:t>
            </w:r>
          </w:p>
        </w:tc>
        <w:tc>
          <w:tcPr>
            <w:tcW w:w="1312" w:type="dxa"/>
            <w:tcBorders>
              <w:top w:val="single" w:color="000000" w:sz="4" w:space="0"/>
              <w:left w:val="single" w:color="000000" w:sz="4" w:space="0"/>
              <w:bottom w:val="single" w:color="000000" w:sz="4" w:space="0"/>
              <w:right w:val="single" w:color="000000" w:sz="4" w:space="0"/>
            </w:tcBorders>
            <w:vAlign w:val="center"/>
          </w:tcPr>
          <w:p w14:paraId="383B935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系统融合对接</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大数据接口</w:t>
            </w:r>
            <w:r>
              <w:rPr>
                <w:rFonts w:hint="eastAsia" w:ascii="宋体" w:hAnsi="宋体" w:eastAsia="宋体" w:cs="宋体"/>
                <w:b w:val="0"/>
                <w:bCs w:val="0"/>
                <w:i w:val="0"/>
                <w:iCs w:val="0"/>
                <w:color w:val="auto"/>
                <w:kern w:val="0"/>
                <w:sz w:val="21"/>
                <w:szCs w:val="21"/>
                <w:u w:val="none"/>
                <w:lang w:val="en-US" w:eastAsia="zh-CN"/>
              </w:rPr>
              <w:t>－</w:t>
            </w:r>
            <w:r>
              <w:rPr>
                <w:rFonts w:hint="default" w:ascii="宋体" w:hAnsi="宋体" w:eastAsia="宋体" w:cs="宋体"/>
                <w:b w:val="0"/>
                <w:bCs w:val="0"/>
                <w:i w:val="0"/>
                <w:iCs w:val="0"/>
                <w:color w:val="auto"/>
                <w:kern w:val="0"/>
                <w:sz w:val="21"/>
                <w:szCs w:val="21"/>
                <w:u w:val="none"/>
                <w:lang w:val="en-US" w:eastAsia="zh-CN"/>
              </w:rPr>
              <w:t>大数据接口</w:t>
            </w:r>
          </w:p>
        </w:tc>
        <w:tc>
          <w:tcPr>
            <w:tcW w:w="5296" w:type="dxa"/>
            <w:tcBorders>
              <w:top w:val="single" w:color="000000" w:sz="4" w:space="0"/>
              <w:left w:val="single" w:color="000000" w:sz="4" w:space="0"/>
              <w:bottom w:val="single" w:color="000000" w:sz="4" w:space="0"/>
              <w:right w:val="single" w:color="000000" w:sz="4" w:space="0"/>
            </w:tcBorders>
            <w:vAlign w:val="center"/>
          </w:tcPr>
          <w:p w14:paraId="2EDA0A4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内容综合管理平台中包含财政、地税、社保、工商、国资等12TB的分析型数据依托大数据平台进行分析，针对由多个组件构成的大数据平台，将大数据分析能力整合为接口，提供给数字化智能审计工程各个应用进行调用，共包含20个接口。</w:t>
            </w:r>
          </w:p>
        </w:tc>
        <w:tc>
          <w:tcPr>
            <w:tcW w:w="1262" w:type="dxa"/>
            <w:tcBorders>
              <w:top w:val="single" w:color="000000" w:sz="4" w:space="0"/>
              <w:left w:val="single" w:color="000000" w:sz="4" w:space="0"/>
              <w:bottom w:val="single" w:color="000000" w:sz="4" w:space="0"/>
              <w:right w:val="single" w:color="000000" w:sz="4" w:space="0"/>
            </w:tcBorders>
            <w:vAlign w:val="center"/>
          </w:tcPr>
          <w:p w14:paraId="7E195C3B">
            <w:pPr>
              <w:widowControl/>
              <w:ind w:firstLine="42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1"/>
                <w:szCs w:val="21"/>
                <w:u w:val="none"/>
                <w:lang w:val="en-US" w:eastAsia="zh-CN"/>
              </w:rPr>
              <w:t>2025</w:t>
            </w:r>
          </w:p>
        </w:tc>
      </w:tr>
    </w:tbl>
    <w:p w14:paraId="4F6FC728">
      <w:pPr>
        <w:numPr>
          <w:ilvl w:val="0"/>
          <w:numId w:val="27"/>
        </w:numPr>
        <w:ind w:left="0" w:leftChars="0" w:firstLine="420" w:firstLineChars="0"/>
        <w:rPr>
          <w:rFonts w:hint="eastAsia" w:ascii="宋体" w:hAnsi="宋体" w:eastAsia="宋体" w:cs="Times New Roman"/>
          <w:b/>
          <w:bCs w:val="0"/>
          <w:color w:val="auto"/>
          <w:lang w:val="en-US" w:eastAsia="zh-CN"/>
        </w:rPr>
      </w:pPr>
      <w:r>
        <w:rPr>
          <w:rFonts w:hint="eastAsia" w:ascii="宋体" w:hAnsi="宋体" w:eastAsia="宋体" w:cs="Times New Roman"/>
          <w:b/>
          <w:bCs w:val="0"/>
          <w:color w:val="auto"/>
          <w:lang w:val="en-US" w:eastAsia="zh-CN"/>
        </w:rPr>
        <w:t>密码应用</w:t>
      </w:r>
    </w:p>
    <w:tbl>
      <w:tblPr>
        <w:tblStyle w:val="36"/>
        <w:tblW w:w="8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5"/>
        <w:gridCol w:w="1310"/>
        <w:gridCol w:w="5058"/>
        <w:gridCol w:w="1502"/>
      </w:tblGrid>
      <w:tr w14:paraId="4299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655"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2C96DFA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序号</w:t>
            </w:r>
          </w:p>
        </w:tc>
        <w:tc>
          <w:tcPr>
            <w:tcW w:w="1310"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37B2444C">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功能名称</w:t>
            </w:r>
          </w:p>
        </w:tc>
        <w:tc>
          <w:tcPr>
            <w:tcW w:w="5058"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47E48C9E">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功能描述</w:t>
            </w:r>
          </w:p>
        </w:tc>
        <w:tc>
          <w:tcPr>
            <w:tcW w:w="1502" w:type="dxa"/>
            <w:tcBorders>
              <w:top w:val="single" w:color="000000" w:sz="4" w:space="0"/>
              <w:left w:val="single" w:color="000000" w:sz="4" w:space="0"/>
              <w:bottom w:val="single" w:color="000000" w:sz="4" w:space="0"/>
              <w:right w:val="single" w:color="000000" w:sz="4" w:space="0"/>
            </w:tcBorders>
            <w:shd w:val="clear" w:color="auto" w:fill="C7DAF1"/>
            <w:vAlign w:val="center"/>
          </w:tcPr>
          <w:p w14:paraId="7FB77F37">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需求年度</w:t>
            </w:r>
          </w:p>
        </w:tc>
      </w:tr>
      <w:tr w14:paraId="6D73B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21AADF1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1</w:t>
            </w:r>
          </w:p>
        </w:tc>
        <w:tc>
          <w:tcPr>
            <w:tcW w:w="1310" w:type="dxa"/>
            <w:tcBorders>
              <w:top w:val="single" w:color="000000" w:sz="4" w:space="0"/>
              <w:left w:val="single" w:color="000000" w:sz="4" w:space="0"/>
              <w:bottom w:val="single" w:color="000000" w:sz="4" w:space="0"/>
              <w:right w:val="single" w:color="000000" w:sz="4" w:space="0"/>
            </w:tcBorders>
            <w:vAlign w:val="center"/>
          </w:tcPr>
          <w:p w14:paraId="0D2A03DF">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用户登录模块</w:t>
            </w:r>
          </w:p>
        </w:tc>
        <w:tc>
          <w:tcPr>
            <w:tcW w:w="5058" w:type="dxa"/>
            <w:tcBorders>
              <w:top w:val="single" w:color="000000" w:sz="4" w:space="0"/>
              <w:left w:val="single" w:color="000000" w:sz="4" w:space="0"/>
              <w:bottom w:val="single" w:color="000000" w:sz="4" w:space="0"/>
              <w:right w:val="single" w:color="000000" w:sz="4" w:space="0"/>
            </w:tcBorders>
            <w:vAlign w:val="center"/>
          </w:tcPr>
          <w:p w14:paraId="0E5A3138">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智审DESK登录改造，需要通过对接上海市大数据中心上海市统一身份认证服务平台，获取登录用户（审计局工作人员）的个人身份以及对应单位的法人身份，并进行双因子认证。</w:t>
            </w:r>
          </w:p>
        </w:tc>
        <w:tc>
          <w:tcPr>
            <w:tcW w:w="1502" w:type="dxa"/>
            <w:tcBorders>
              <w:top w:val="single" w:color="000000" w:sz="4" w:space="0"/>
              <w:left w:val="single" w:color="000000" w:sz="4" w:space="0"/>
              <w:bottom w:val="single" w:color="000000" w:sz="4" w:space="0"/>
              <w:right w:val="single" w:color="000000" w:sz="4" w:space="0"/>
            </w:tcBorders>
            <w:vAlign w:val="center"/>
          </w:tcPr>
          <w:p w14:paraId="3BC986BF">
            <w:pPr>
              <w:widowControl/>
              <w:ind w:firstLine="44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52545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4A4DC834">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2</w:t>
            </w:r>
          </w:p>
        </w:tc>
        <w:tc>
          <w:tcPr>
            <w:tcW w:w="1310" w:type="dxa"/>
            <w:tcBorders>
              <w:top w:val="single" w:color="000000" w:sz="4" w:space="0"/>
              <w:left w:val="single" w:color="000000" w:sz="4" w:space="0"/>
              <w:bottom w:val="single" w:color="000000" w:sz="4" w:space="0"/>
              <w:right w:val="single" w:color="000000" w:sz="4" w:space="0"/>
            </w:tcBorders>
            <w:vAlign w:val="center"/>
          </w:tcPr>
          <w:p w14:paraId="55133E7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应用系统重要数据加解密模块</w:t>
            </w:r>
          </w:p>
        </w:tc>
        <w:tc>
          <w:tcPr>
            <w:tcW w:w="5058" w:type="dxa"/>
            <w:tcBorders>
              <w:top w:val="single" w:color="000000" w:sz="4" w:space="0"/>
              <w:left w:val="single" w:color="000000" w:sz="4" w:space="0"/>
              <w:bottom w:val="single" w:color="000000" w:sz="4" w:space="0"/>
              <w:right w:val="single" w:color="000000" w:sz="4" w:space="0"/>
            </w:tcBorders>
            <w:vAlign w:val="center"/>
          </w:tcPr>
          <w:p w14:paraId="3576C856">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应用系统重要数据加解密模块，开发应用系统重要数据加解密模块，调用云平台提供的数据库加密服务接口、加密存储服务接口，实现针对应用用户访问权限控制列表、用户身份鉴别数据、个人身份数据（包括姓名、证件类型、证件号码、联系电话等结构化数据），单位实体数据（包括单位名称、统一社会信用代码、法定代表人姓名、法定代表人证件号码、股东姓名、股东证件号码等）、系统业务数据（如审计疑点数据）、非结构化业务数据（如合同、协议、会议纪要等）、系统业务日志等数据的存储机密性保护。</w:t>
            </w:r>
          </w:p>
        </w:tc>
        <w:tc>
          <w:tcPr>
            <w:tcW w:w="1502" w:type="dxa"/>
            <w:tcBorders>
              <w:top w:val="single" w:color="000000" w:sz="4" w:space="0"/>
              <w:left w:val="single" w:color="000000" w:sz="4" w:space="0"/>
              <w:bottom w:val="single" w:color="000000" w:sz="4" w:space="0"/>
              <w:right w:val="single" w:color="000000" w:sz="4" w:space="0"/>
            </w:tcBorders>
            <w:vAlign w:val="center"/>
          </w:tcPr>
          <w:p w14:paraId="36CE5226">
            <w:pPr>
              <w:widowControl/>
              <w:ind w:firstLine="44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r w14:paraId="16437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5" w:type="dxa"/>
            <w:tcBorders>
              <w:top w:val="single" w:color="000000" w:sz="4" w:space="0"/>
              <w:left w:val="single" w:color="000000" w:sz="4" w:space="0"/>
              <w:bottom w:val="single" w:color="000000" w:sz="4" w:space="0"/>
              <w:right w:val="single" w:color="000000" w:sz="4" w:space="0"/>
            </w:tcBorders>
            <w:vAlign w:val="center"/>
          </w:tcPr>
          <w:p w14:paraId="10C6BC39">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val="0"/>
                <w:bCs w:val="0"/>
                <w:i w:val="0"/>
                <w:iCs w:val="0"/>
                <w:color w:val="auto"/>
                <w:kern w:val="0"/>
                <w:sz w:val="21"/>
                <w:szCs w:val="21"/>
                <w:u w:val="none"/>
                <w:lang w:val="en-US" w:eastAsia="zh-CN"/>
              </w:rPr>
              <w:t>3</w:t>
            </w:r>
          </w:p>
        </w:tc>
        <w:tc>
          <w:tcPr>
            <w:tcW w:w="1310" w:type="dxa"/>
            <w:tcBorders>
              <w:top w:val="single" w:color="000000" w:sz="4" w:space="0"/>
              <w:left w:val="single" w:color="000000" w:sz="4" w:space="0"/>
              <w:bottom w:val="single" w:color="000000" w:sz="4" w:space="0"/>
              <w:right w:val="single" w:color="000000" w:sz="4" w:space="0"/>
            </w:tcBorders>
            <w:vAlign w:val="center"/>
          </w:tcPr>
          <w:p w14:paraId="2E105FA2">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应用系统重要数据签名验签模块</w:t>
            </w:r>
          </w:p>
        </w:tc>
        <w:tc>
          <w:tcPr>
            <w:tcW w:w="5058" w:type="dxa"/>
            <w:tcBorders>
              <w:top w:val="single" w:color="000000" w:sz="4" w:space="0"/>
              <w:left w:val="single" w:color="000000" w:sz="4" w:space="0"/>
              <w:bottom w:val="single" w:color="000000" w:sz="4" w:space="0"/>
              <w:right w:val="single" w:color="000000" w:sz="4" w:space="0"/>
            </w:tcBorders>
            <w:vAlign w:val="center"/>
          </w:tcPr>
          <w:p w14:paraId="41568520">
            <w:pPr>
              <w:widowControl/>
              <w:spacing w:line="240" w:lineRule="auto"/>
              <w:ind w:firstLine="0" w:firstLineChars="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default" w:ascii="宋体" w:hAnsi="宋体" w:eastAsia="宋体" w:cs="宋体"/>
                <w:b w:val="0"/>
                <w:bCs w:val="0"/>
                <w:i w:val="0"/>
                <w:iCs w:val="0"/>
                <w:color w:val="auto"/>
                <w:kern w:val="0"/>
                <w:sz w:val="21"/>
                <w:szCs w:val="21"/>
                <w:u w:val="none"/>
                <w:lang w:val="en-US" w:eastAsia="zh-CN"/>
              </w:rPr>
              <w:t>应用系统重要数据签名验签模块，开发应用系统重要数据签名验签模块，调用云平台提供的签名验签服务接口，实现针对应用用户访问权限控制列表、用户身份鉴别数据、非结构化业务数据（如合同、协议、会议纪要等）、系统业务日志</w:t>
            </w:r>
            <w:r>
              <w:rPr>
                <w:rFonts w:hint="eastAsia" w:ascii="宋体" w:hAnsi="宋体" w:eastAsia="宋体" w:cs="宋体"/>
                <w:b w:val="0"/>
                <w:bCs w:val="0"/>
                <w:i w:val="0"/>
                <w:iCs w:val="0"/>
                <w:color w:val="auto"/>
                <w:kern w:val="0"/>
                <w:sz w:val="21"/>
                <w:szCs w:val="21"/>
                <w:u w:val="none"/>
                <w:lang w:val="en-US" w:eastAsia="zh-CN"/>
              </w:rPr>
              <w:t>等</w:t>
            </w:r>
            <w:r>
              <w:rPr>
                <w:rFonts w:hint="default" w:ascii="宋体" w:hAnsi="宋体" w:eastAsia="宋体" w:cs="宋体"/>
                <w:b w:val="0"/>
                <w:bCs w:val="0"/>
                <w:i w:val="0"/>
                <w:iCs w:val="0"/>
                <w:color w:val="auto"/>
                <w:kern w:val="0"/>
                <w:sz w:val="21"/>
                <w:szCs w:val="21"/>
                <w:u w:val="none"/>
                <w:lang w:val="en-US" w:eastAsia="zh-CN"/>
              </w:rPr>
              <w:t>重要数据的完整性保护。</w:t>
            </w:r>
          </w:p>
        </w:tc>
        <w:tc>
          <w:tcPr>
            <w:tcW w:w="1502" w:type="dxa"/>
            <w:tcBorders>
              <w:top w:val="single" w:color="000000" w:sz="4" w:space="0"/>
              <w:left w:val="single" w:color="000000" w:sz="4" w:space="0"/>
              <w:bottom w:val="single" w:color="000000" w:sz="4" w:space="0"/>
              <w:right w:val="single" w:color="000000" w:sz="4" w:space="0"/>
            </w:tcBorders>
            <w:vAlign w:val="center"/>
          </w:tcPr>
          <w:p w14:paraId="21762CEA">
            <w:pPr>
              <w:widowControl/>
              <w:ind w:firstLine="440" w:firstLineChars="200"/>
              <w:jc w:val="center"/>
              <w:textAlignment w:val="center"/>
              <w:rPr>
                <w:rFonts w:hint="default" w:ascii="宋体" w:hAnsi="宋体" w:eastAsia="宋体" w:cs="宋体"/>
                <w:b w:val="0"/>
                <w:bCs w:val="0"/>
                <w:i w:val="0"/>
                <w:iCs w:val="0"/>
                <w:color w:val="auto"/>
                <w:kern w:val="0"/>
                <w:sz w:val="21"/>
                <w:szCs w:val="21"/>
                <w:u w:val="none"/>
                <w:lang w:val="en-US" w:eastAsia="zh-CN"/>
              </w:rPr>
            </w:pPr>
            <w:r>
              <w:rPr>
                <w:rFonts w:hint="eastAsia" w:ascii="宋体" w:hAnsi="宋体" w:eastAsia="宋体" w:cs="宋体"/>
                <w:b/>
                <w:bCs/>
                <w:i w:val="0"/>
                <w:iCs w:val="0"/>
                <w:color w:val="auto"/>
                <w:kern w:val="0"/>
                <w:sz w:val="22"/>
                <w:szCs w:val="22"/>
                <w:u w:val="none"/>
                <w:lang w:val="en-US" w:eastAsia="zh-CN"/>
              </w:rPr>
              <w:t>2025</w:t>
            </w:r>
          </w:p>
        </w:tc>
      </w:tr>
    </w:tbl>
    <w:p w14:paraId="53626A22">
      <w:pPr>
        <w:numPr>
          <w:ilvl w:val="0"/>
          <w:numId w:val="27"/>
        </w:numPr>
        <w:ind w:left="0" w:leftChars="0" w:firstLine="420" w:firstLineChars="0"/>
        <w:rPr>
          <w:rFonts w:hint="eastAsia" w:ascii="宋体" w:hAnsi="宋体" w:eastAsia="宋体" w:cs="Times New Roman"/>
          <w:b/>
          <w:bCs w:val="0"/>
          <w:color w:val="auto"/>
          <w:lang w:val="en-US" w:eastAsia="zh-CN"/>
        </w:rPr>
      </w:pPr>
      <w:r>
        <w:rPr>
          <w:rFonts w:hint="eastAsia" w:ascii="宋体" w:hAnsi="宋体" w:eastAsia="宋体" w:cs="Times New Roman"/>
          <w:b/>
          <w:bCs w:val="0"/>
          <w:color w:val="auto"/>
          <w:lang w:val="en-US" w:eastAsia="zh-CN"/>
        </w:rPr>
        <w:t>数据服务</w:t>
      </w:r>
    </w:p>
    <w:tbl>
      <w:tblPr>
        <w:tblStyle w:val="36"/>
        <w:tblW w:w="8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7"/>
        <w:gridCol w:w="1318"/>
        <w:gridCol w:w="5038"/>
        <w:gridCol w:w="1512"/>
      </w:tblGrid>
      <w:tr w14:paraId="239E2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657"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6FE8D32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序号</w:t>
            </w:r>
          </w:p>
        </w:tc>
        <w:tc>
          <w:tcPr>
            <w:tcW w:w="1318"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7159D36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功能名称</w:t>
            </w:r>
          </w:p>
        </w:tc>
        <w:tc>
          <w:tcPr>
            <w:tcW w:w="5038"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21B7A3F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功能描述</w:t>
            </w:r>
          </w:p>
        </w:tc>
        <w:tc>
          <w:tcPr>
            <w:tcW w:w="1512" w:type="dxa"/>
            <w:tcBorders>
              <w:top w:val="single" w:color="000000" w:sz="4" w:space="0"/>
              <w:left w:val="single" w:color="000000" w:sz="4" w:space="0"/>
              <w:bottom w:val="single" w:color="000000" w:sz="4" w:space="0"/>
              <w:right w:val="single" w:color="000000" w:sz="4" w:space="0"/>
            </w:tcBorders>
            <w:shd w:val="clear" w:color="auto" w:fill="8EA9DB"/>
            <w:vAlign w:val="center"/>
          </w:tcPr>
          <w:p w14:paraId="483BA507">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需求年度</w:t>
            </w:r>
          </w:p>
        </w:tc>
      </w:tr>
      <w:tr w14:paraId="2BB17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0ECD8917">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w:t>
            </w:r>
          </w:p>
        </w:tc>
        <w:tc>
          <w:tcPr>
            <w:tcW w:w="1318" w:type="dxa"/>
            <w:tcBorders>
              <w:top w:val="single" w:color="000000" w:sz="4" w:space="0"/>
              <w:left w:val="single" w:color="000000" w:sz="4" w:space="0"/>
              <w:bottom w:val="single" w:color="000000" w:sz="4" w:space="0"/>
              <w:right w:val="single" w:color="000000" w:sz="4" w:space="0"/>
            </w:tcBorders>
            <w:vAlign w:val="center"/>
          </w:tcPr>
          <w:p w14:paraId="30CF022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数据清洗</w:t>
            </w:r>
          </w:p>
        </w:tc>
        <w:tc>
          <w:tcPr>
            <w:tcW w:w="5038" w:type="dxa"/>
            <w:tcBorders>
              <w:top w:val="single" w:color="000000" w:sz="4" w:space="0"/>
              <w:left w:val="single" w:color="000000" w:sz="4" w:space="0"/>
              <w:bottom w:val="single" w:color="000000" w:sz="4" w:space="0"/>
              <w:right w:val="single" w:color="000000" w:sz="4" w:space="0"/>
            </w:tcBorders>
            <w:vAlign w:val="center"/>
          </w:tcPr>
          <w:p w14:paraId="4366BC0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color w:val="auto"/>
              </w:rPr>
              <w:t>1342亿条数据</w:t>
            </w:r>
            <w:r>
              <w:rPr>
                <w:rFonts w:hint="eastAsia" w:ascii="宋体" w:hAnsi="宋体" w:eastAsia="宋体" w:cs="宋体"/>
                <w:color w:val="auto"/>
                <w:kern w:val="2"/>
                <w:sz w:val="24"/>
                <w:szCs w:val="24"/>
                <w:lang w:val="en-US" w:eastAsia="zh-CN" w:bidi="ar-SA"/>
              </w:rPr>
              <w:t>治理和迁移到国产化分布式数据库环境</w:t>
            </w:r>
          </w:p>
        </w:tc>
        <w:tc>
          <w:tcPr>
            <w:tcW w:w="1512" w:type="dxa"/>
            <w:tcBorders>
              <w:top w:val="single" w:color="000000" w:sz="4" w:space="0"/>
              <w:left w:val="single" w:color="000000" w:sz="4" w:space="0"/>
              <w:bottom w:val="single" w:color="000000" w:sz="4" w:space="0"/>
              <w:right w:val="single" w:color="000000" w:sz="4" w:space="0"/>
            </w:tcBorders>
            <w:vAlign w:val="center"/>
          </w:tcPr>
          <w:p w14:paraId="47C510F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2ABBE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405724F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w:t>
            </w:r>
          </w:p>
        </w:tc>
        <w:tc>
          <w:tcPr>
            <w:tcW w:w="1318" w:type="dxa"/>
            <w:tcBorders>
              <w:top w:val="single" w:color="000000" w:sz="4" w:space="0"/>
              <w:left w:val="single" w:color="000000" w:sz="4" w:space="0"/>
              <w:bottom w:val="single" w:color="000000" w:sz="4" w:space="0"/>
              <w:right w:val="single" w:color="000000" w:sz="4" w:space="0"/>
            </w:tcBorders>
            <w:vAlign w:val="center"/>
          </w:tcPr>
          <w:p w14:paraId="7A16E76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数据采集</w:t>
            </w:r>
          </w:p>
        </w:tc>
        <w:tc>
          <w:tcPr>
            <w:tcW w:w="5038" w:type="dxa"/>
            <w:tcBorders>
              <w:top w:val="single" w:color="000000" w:sz="4" w:space="0"/>
              <w:left w:val="single" w:color="000000" w:sz="4" w:space="0"/>
              <w:bottom w:val="single" w:color="000000" w:sz="4" w:space="0"/>
              <w:right w:val="single" w:color="000000" w:sz="4" w:space="0"/>
            </w:tcBorders>
            <w:vAlign w:val="center"/>
          </w:tcPr>
          <w:p w14:paraId="3304084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语料治理－（1.非结构化文件采集后，需对文件按审计业务领域进行详细划分，建立数据分类体系。图片类型的文件，如jpg、pdf等需要通过平台中的图像处理工程方法来转换为文本数据。</w:t>
            </w:r>
            <w:r>
              <w:rPr>
                <w:rFonts w:hint="eastAsia" w:ascii="宋体" w:hAnsi="宋体" w:eastAsia="宋体" w:cs="宋体"/>
                <w:b w:val="0"/>
                <w:bCs w:val="0"/>
                <w:i w:val="0"/>
                <w:iCs w:val="0"/>
                <w:color w:val="auto"/>
                <w:kern w:val="0"/>
                <w:sz w:val="21"/>
                <w:szCs w:val="21"/>
                <w:u w:val="none"/>
                <w:lang w:val="en-US" w:eastAsia="zh-CN"/>
              </w:rPr>
              <w:br w:type="textWrapping"/>
            </w:r>
            <w:r>
              <w:rPr>
                <w:rFonts w:hint="eastAsia" w:ascii="宋体" w:hAnsi="宋体" w:eastAsia="宋体" w:cs="宋体"/>
                <w:b w:val="0"/>
                <w:bCs w:val="0"/>
                <w:i w:val="0"/>
                <w:iCs w:val="0"/>
                <w:color w:val="auto"/>
                <w:kern w:val="0"/>
                <w:sz w:val="21"/>
                <w:szCs w:val="21"/>
                <w:u w:val="none"/>
                <w:lang w:val="en-US" w:eastAsia="zh-CN"/>
              </w:rPr>
              <w:t>2.结构化数据采集，需要收集政府审计相关的业务系统数据，包括财政、社保、工商等领域的审计规划表。确保数据来源的可靠性，避免重复采集和遗漏，需要通过数据库或接口方式对接相关业务系统进行数据获取。</w:t>
            </w:r>
            <w:r>
              <w:rPr>
                <w:rFonts w:hint="eastAsia" w:ascii="宋体" w:hAnsi="宋体" w:eastAsia="宋体" w:cs="宋体"/>
                <w:b w:val="0"/>
                <w:bCs w:val="0"/>
                <w:i w:val="0"/>
                <w:iCs w:val="0"/>
                <w:color w:val="auto"/>
                <w:kern w:val="0"/>
                <w:sz w:val="21"/>
                <w:szCs w:val="21"/>
                <w:u w:val="none"/>
                <w:lang w:val="en-US" w:eastAsia="zh-CN"/>
              </w:rPr>
              <w:br w:type="textWrapping"/>
            </w:r>
            <w:r>
              <w:rPr>
                <w:rFonts w:hint="eastAsia" w:ascii="宋体" w:hAnsi="宋体" w:eastAsia="宋体" w:cs="宋体"/>
                <w:b w:val="0"/>
                <w:bCs w:val="0"/>
                <w:i w:val="0"/>
                <w:iCs w:val="0"/>
                <w:color w:val="auto"/>
                <w:kern w:val="0"/>
                <w:sz w:val="21"/>
                <w:szCs w:val="21"/>
                <w:u w:val="none"/>
                <w:lang w:val="en-US" w:eastAsia="zh-CN"/>
              </w:rPr>
              <w:t>3.审计方法采集，需对现有的审计分析模型进行梳理，确保不同审计领域的SQL分析脚本的全面覆盖，包括财务、税收、企业合规等领域。</w:t>
            </w:r>
            <w:r>
              <w:rPr>
                <w:rFonts w:hint="eastAsia" w:ascii="宋体" w:hAnsi="宋体" w:eastAsia="宋体" w:cs="宋体"/>
                <w:b w:val="0"/>
                <w:bCs w:val="0"/>
                <w:i w:val="0"/>
                <w:iCs w:val="0"/>
                <w:color w:val="auto"/>
                <w:kern w:val="0"/>
                <w:sz w:val="21"/>
                <w:szCs w:val="21"/>
                <w:u w:val="none"/>
                <w:lang w:val="en-US" w:eastAsia="zh-CN"/>
              </w:rPr>
              <w:br w:type="textWrapping"/>
            </w:r>
            <w:r>
              <w:rPr>
                <w:rFonts w:hint="eastAsia" w:ascii="宋体" w:hAnsi="宋体" w:eastAsia="宋体" w:cs="宋体"/>
                <w:b w:val="0"/>
                <w:bCs w:val="0"/>
                <w:i w:val="0"/>
                <w:iCs w:val="0"/>
                <w:color w:val="auto"/>
                <w:kern w:val="0"/>
                <w:sz w:val="21"/>
                <w:szCs w:val="21"/>
                <w:u w:val="none"/>
                <w:lang w:val="en-US" w:eastAsia="zh-CN"/>
              </w:rPr>
              <w:t>4.采集后的文件，需要人工抽样对文件内容进行检测，对不正确的文件进行核对并重新抽取，并完成一致性校验。）</w:t>
            </w:r>
          </w:p>
        </w:tc>
        <w:tc>
          <w:tcPr>
            <w:tcW w:w="1512" w:type="dxa"/>
            <w:tcBorders>
              <w:top w:val="single" w:color="000000" w:sz="4" w:space="0"/>
              <w:left w:val="single" w:color="000000" w:sz="4" w:space="0"/>
              <w:bottom w:val="single" w:color="000000" w:sz="4" w:space="0"/>
              <w:right w:val="single" w:color="000000" w:sz="4" w:space="0"/>
            </w:tcBorders>
            <w:vAlign w:val="center"/>
          </w:tcPr>
          <w:p w14:paraId="744061A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566DE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2BB0642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3</w:t>
            </w:r>
          </w:p>
        </w:tc>
        <w:tc>
          <w:tcPr>
            <w:tcW w:w="1318" w:type="dxa"/>
            <w:tcBorders>
              <w:top w:val="single" w:color="000000" w:sz="4" w:space="0"/>
              <w:left w:val="single" w:color="000000" w:sz="4" w:space="0"/>
              <w:bottom w:val="single" w:color="000000" w:sz="4" w:space="0"/>
              <w:right w:val="single" w:color="000000" w:sz="4" w:space="0"/>
            </w:tcBorders>
            <w:vAlign w:val="center"/>
          </w:tcPr>
          <w:p w14:paraId="37FD7EE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数据标签</w:t>
            </w:r>
          </w:p>
        </w:tc>
        <w:tc>
          <w:tcPr>
            <w:tcW w:w="5038" w:type="dxa"/>
            <w:tcBorders>
              <w:top w:val="single" w:color="000000" w:sz="4" w:space="0"/>
              <w:left w:val="single" w:color="000000" w:sz="4" w:space="0"/>
              <w:bottom w:val="single" w:color="000000" w:sz="4" w:space="0"/>
              <w:right w:val="single" w:color="000000" w:sz="4" w:space="0"/>
            </w:tcBorders>
            <w:vAlign w:val="center"/>
          </w:tcPr>
          <w:p w14:paraId="4C94D10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根据结构化审计业务数据、审计业务文件、论文、政策法规、审计方法等文档内容的结构特点，梳理出其中特定信息或要素进行标识和分类的标签标注。帮助模型快速、准确地从各类文档中提取出关键信息，如审计问题描述、审计风险点、政策条款、改进意见、审计范围、审计目标、审计程序、三重一大具体事项等。）</w:t>
            </w:r>
          </w:p>
        </w:tc>
        <w:tc>
          <w:tcPr>
            <w:tcW w:w="1512" w:type="dxa"/>
            <w:tcBorders>
              <w:top w:val="single" w:color="000000" w:sz="4" w:space="0"/>
              <w:left w:val="single" w:color="000000" w:sz="4" w:space="0"/>
              <w:bottom w:val="single" w:color="000000" w:sz="4" w:space="0"/>
              <w:right w:val="single" w:color="000000" w:sz="4" w:space="0"/>
            </w:tcBorders>
            <w:vAlign w:val="center"/>
          </w:tcPr>
          <w:p w14:paraId="6792AB5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1A226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0F9501D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4</w:t>
            </w:r>
          </w:p>
        </w:tc>
        <w:tc>
          <w:tcPr>
            <w:tcW w:w="1318" w:type="dxa"/>
            <w:tcBorders>
              <w:top w:val="single" w:color="000000" w:sz="4" w:space="0"/>
              <w:left w:val="single" w:color="000000" w:sz="4" w:space="0"/>
              <w:bottom w:val="single" w:color="000000" w:sz="4" w:space="0"/>
              <w:right w:val="single" w:color="000000" w:sz="4" w:space="0"/>
            </w:tcBorders>
            <w:vAlign w:val="center"/>
          </w:tcPr>
          <w:p w14:paraId="109CD7C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590B8D3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语料治理－（结合业务需求指导，对财政、社保、工商等领域审计数据规划表中共计14000张表，通过大模型明确元数据与业务领域的对应关系，通过大模型提取</w:t>
            </w:r>
            <w:r>
              <w:rPr>
                <w:rFonts w:hint="eastAsia" w:ascii="宋体" w:hAnsi="宋体" w:eastAsia="宋体" w:cs="宋体"/>
                <w:b w:val="0"/>
                <w:bCs w:val="0"/>
                <w:i w:val="0"/>
                <w:iCs w:val="0"/>
                <w:color w:val="auto"/>
                <w:kern w:val="0"/>
                <w:sz w:val="21"/>
                <w:szCs w:val="21"/>
                <w:u w:val="none"/>
                <w:lang w:val="en-US" w:eastAsia="zh-CN"/>
              </w:rPr>
              <w:br w:type="textWrapping"/>
            </w:r>
            <w:r>
              <w:rPr>
                <w:rFonts w:hint="eastAsia" w:ascii="宋体" w:hAnsi="宋体" w:eastAsia="宋体" w:cs="宋体"/>
                <w:b w:val="0"/>
                <w:bCs w:val="0"/>
                <w:i w:val="0"/>
                <w:iCs w:val="0"/>
                <w:color w:val="auto"/>
                <w:kern w:val="0"/>
                <w:sz w:val="21"/>
                <w:szCs w:val="21"/>
                <w:u w:val="none"/>
                <w:lang w:val="en-US" w:eastAsia="zh-CN"/>
              </w:rPr>
              <w:t>数据表中的字段名、字段类型、字段注释、表名、表注释等元数据，共超过30000个元数据，例如：财务审计领域：应收、应付、资产负债、利润等。</w:t>
            </w:r>
            <w:r>
              <w:rPr>
                <w:rFonts w:hint="eastAsia" w:ascii="宋体" w:hAnsi="宋体" w:eastAsia="宋体" w:cs="宋体"/>
                <w:b w:val="0"/>
                <w:bCs w:val="0"/>
                <w:i w:val="0"/>
                <w:iCs w:val="0"/>
                <w:color w:val="auto"/>
                <w:kern w:val="0"/>
                <w:sz w:val="21"/>
                <w:szCs w:val="21"/>
                <w:u w:val="none"/>
                <w:lang w:val="en-US" w:eastAsia="zh-CN"/>
              </w:rPr>
              <w:br w:type="textWrapping"/>
            </w:r>
            <w:r>
              <w:rPr>
                <w:rFonts w:hint="eastAsia" w:ascii="宋体" w:hAnsi="宋体" w:eastAsia="宋体" w:cs="宋体"/>
                <w:b w:val="0"/>
                <w:bCs w:val="0"/>
                <w:i w:val="0"/>
                <w:iCs w:val="0"/>
                <w:color w:val="auto"/>
                <w:kern w:val="0"/>
                <w:sz w:val="21"/>
                <w:szCs w:val="21"/>
                <w:u w:val="none"/>
                <w:lang w:val="en-US" w:eastAsia="zh-CN"/>
              </w:rPr>
              <w:t>行政管理领域：差旅费、培训费、办公费用等。人力资源领域：薪酬、福利、人员档案等。对提取结果进行标准化等方式处理，去除重复、错误、无效的记录，帮助对大模型的训练，后续应用到智能分类和审计数据问答的解析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7AD7C32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2026</w:t>
            </w:r>
          </w:p>
        </w:tc>
      </w:tr>
      <w:tr w14:paraId="0BF67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7D57BBB7">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5</w:t>
            </w:r>
          </w:p>
        </w:tc>
        <w:tc>
          <w:tcPr>
            <w:tcW w:w="1318" w:type="dxa"/>
            <w:tcBorders>
              <w:top w:val="single" w:color="000000" w:sz="4" w:space="0"/>
              <w:left w:val="single" w:color="000000" w:sz="4" w:space="0"/>
              <w:bottom w:val="single" w:color="000000" w:sz="4" w:space="0"/>
              <w:right w:val="single" w:color="000000" w:sz="4" w:space="0"/>
            </w:tcBorders>
            <w:vAlign w:val="center"/>
          </w:tcPr>
          <w:p w14:paraId="7AA6027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3889B94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语料治理－（结合业务需求指导，对共计20000个国外审计报告文件，通过大模型提取其中的24个关键要素，包括（报告基础信息：报告标题（Report Title）、审计机构（Audit Authority）、被审计单位（Audited Entity）、报告期（Audit Period）等；审计范围和目标：审计目的（Audit Objective）、审计范围（Audit Scope）；审计程序：审计方法（Audit Methodology）、审计依据（Basis for Audit Opinion）；审计结果与发现；审计意见等）并对提取结果进行标准化等方式处理。帮助对大模型的训练，后续应用到增量文书的解析及文书生成中。）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060C64B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5B34A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5E26C88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6</w:t>
            </w:r>
          </w:p>
        </w:tc>
        <w:tc>
          <w:tcPr>
            <w:tcW w:w="1318" w:type="dxa"/>
            <w:tcBorders>
              <w:top w:val="single" w:color="000000" w:sz="4" w:space="0"/>
              <w:left w:val="single" w:color="000000" w:sz="4" w:space="0"/>
              <w:bottom w:val="single" w:color="000000" w:sz="4" w:space="0"/>
              <w:right w:val="single" w:color="000000" w:sz="4" w:space="0"/>
            </w:tcBorders>
            <w:vAlign w:val="center"/>
          </w:tcPr>
          <w:p w14:paraId="1DBE869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4E51649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共计30000篇论文，通过大模型提取其中的26个关键要素，包括（论文基础信息、研究背景与目的、研究方法、审计主题与领域、主要发现与结论、影响因素、创新等）并对提取结果进行标准化等方式处理。帮助对大模型的训练，后续应用到增量文书的解析及审计知识问答等助手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3EE5340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13D97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21CC283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7</w:t>
            </w:r>
          </w:p>
        </w:tc>
        <w:tc>
          <w:tcPr>
            <w:tcW w:w="1318" w:type="dxa"/>
            <w:tcBorders>
              <w:top w:val="single" w:color="000000" w:sz="4" w:space="0"/>
              <w:left w:val="single" w:color="000000" w:sz="4" w:space="0"/>
              <w:bottom w:val="single" w:color="000000" w:sz="4" w:space="0"/>
              <w:right w:val="single" w:color="000000" w:sz="4" w:space="0"/>
            </w:tcBorders>
            <w:vAlign w:val="center"/>
          </w:tcPr>
          <w:p w14:paraId="08DB784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25A5181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共计1000个审计方案，通过大模型提取其中22个关键要素，包括（审计方案基础信息、审计目标、审计范围、审计标准、审计风险评估、审计方法和程序、审计资源等）并对提取结果进行标准化等方式处理。帮助对大模型的训练，后续应用到增量文书的解析及审计事项生成等助手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69CC686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23920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78FFD46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8</w:t>
            </w:r>
          </w:p>
        </w:tc>
        <w:tc>
          <w:tcPr>
            <w:tcW w:w="1318" w:type="dxa"/>
            <w:tcBorders>
              <w:top w:val="single" w:color="000000" w:sz="4" w:space="0"/>
              <w:left w:val="single" w:color="000000" w:sz="4" w:space="0"/>
              <w:bottom w:val="single" w:color="000000" w:sz="4" w:space="0"/>
              <w:right w:val="single" w:color="000000" w:sz="4" w:space="0"/>
            </w:tcBorders>
            <w:vAlign w:val="center"/>
          </w:tcPr>
          <w:p w14:paraId="3873455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662605A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共计6000份审计底稿，通过大模型提取其中的27个关键要素，包括（审计底稿基础信息、审计程序和方法、审计证据、审计发现、审计结论、底稿支持文件等）并对提取结果进行标准化等方式处理。并对提取结果进行标准化等方式处理。帮助对大模型的训练，后续应用到增量文书的解析和文书生成助手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05B1924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0387A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19BED43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9</w:t>
            </w:r>
          </w:p>
        </w:tc>
        <w:tc>
          <w:tcPr>
            <w:tcW w:w="1318" w:type="dxa"/>
            <w:tcBorders>
              <w:top w:val="single" w:color="000000" w:sz="4" w:space="0"/>
              <w:left w:val="single" w:color="000000" w:sz="4" w:space="0"/>
              <w:bottom w:val="single" w:color="000000" w:sz="4" w:space="0"/>
              <w:right w:val="single" w:color="000000" w:sz="4" w:space="0"/>
            </w:tcBorders>
            <w:vAlign w:val="center"/>
          </w:tcPr>
          <w:p w14:paraId="38C6867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517BBA9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共计6000个审计发现问题，通过大模型提取其中的26个关键要素，包括（问题描述、问题分类、问题影响、问题根因、证据支持、问题状态等）并对提取结果进行标准化等方式处理。并对提取结果进行标准化等方式处理。帮助对大模型的训练，后续应用到增量文书的解析、审计知识问答和审计事项生成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191E6C97">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6926B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3FDFCDF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10</w:t>
            </w:r>
          </w:p>
        </w:tc>
        <w:tc>
          <w:tcPr>
            <w:tcW w:w="1318" w:type="dxa"/>
            <w:tcBorders>
              <w:top w:val="single" w:color="000000" w:sz="4" w:space="0"/>
              <w:left w:val="single" w:color="000000" w:sz="4" w:space="0"/>
              <w:bottom w:val="single" w:color="000000" w:sz="4" w:space="0"/>
              <w:right w:val="single" w:color="000000" w:sz="4" w:space="0"/>
            </w:tcBorders>
            <w:vAlign w:val="center"/>
          </w:tcPr>
          <w:p w14:paraId="1256685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61780E6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1000个审计报告，通过大模型提取其中的23个关键要素，包括（报告基础信息、审计目的、审计范围、审计方法、审计发现、审计结论等）并对提取结果进行标准化等方式处理。并对提取结果进行标准化等方式处理。帮助对大模型的训练，后续应用到增量文书的解析和文书生成助手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7837F11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4653F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5A0A73F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11</w:t>
            </w:r>
          </w:p>
        </w:tc>
        <w:tc>
          <w:tcPr>
            <w:tcW w:w="1318" w:type="dxa"/>
            <w:tcBorders>
              <w:top w:val="single" w:color="000000" w:sz="4" w:space="0"/>
              <w:left w:val="single" w:color="000000" w:sz="4" w:space="0"/>
              <w:bottom w:val="single" w:color="000000" w:sz="4" w:space="0"/>
              <w:right w:val="single" w:color="000000" w:sz="4" w:space="0"/>
            </w:tcBorders>
            <w:vAlign w:val="center"/>
          </w:tcPr>
          <w:p w14:paraId="62E0FEE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4C24CCA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共计6000个审计工作报告，通过大模型提取其中的19个关键要素，包括（审计背景、审计过程、审计方法、审计发现、审计结论、整改建议等）并对提取结果进行标准化等方式处理。帮助对大模型的训练，后续应用到增量文书的解析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17FB267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6AB0C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7C6C735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12</w:t>
            </w:r>
          </w:p>
        </w:tc>
        <w:tc>
          <w:tcPr>
            <w:tcW w:w="1318" w:type="dxa"/>
            <w:tcBorders>
              <w:top w:val="single" w:color="000000" w:sz="4" w:space="0"/>
              <w:left w:val="single" w:color="000000" w:sz="4" w:space="0"/>
              <w:bottom w:val="single" w:color="000000" w:sz="4" w:space="0"/>
              <w:right w:val="single" w:color="000000" w:sz="4" w:space="0"/>
            </w:tcBorders>
            <w:vAlign w:val="center"/>
          </w:tcPr>
          <w:p w14:paraId="091CABB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4AD5DB3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共计1000个审计研究报告，通过大模型提取其中的20个关键要素，包括（报告作者、研究目的、研究范围、研究问题、主要发现等）并对提取结果进行标准化等方式处理。帮助对大模型的训练，后续应用到增量文书的解析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2250A39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2DAB5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1DC7FE2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13</w:t>
            </w:r>
          </w:p>
        </w:tc>
        <w:tc>
          <w:tcPr>
            <w:tcW w:w="1318" w:type="dxa"/>
            <w:tcBorders>
              <w:top w:val="single" w:color="000000" w:sz="4" w:space="0"/>
              <w:left w:val="single" w:color="000000" w:sz="4" w:space="0"/>
              <w:bottom w:val="single" w:color="000000" w:sz="4" w:space="0"/>
              <w:right w:val="single" w:color="000000" w:sz="4" w:space="0"/>
            </w:tcBorders>
            <w:vAlign w:val="center"/>
          </w:tcPr>
          <w:p w14:paraId="019F64D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467CBB6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共计20000条法规，通过大模型提取其中的24个关键要素，包括（法规标题、发布机构、法规类别、适用领域、适用地域、关键条款等）并对提取结果进行标准化等方式处理。帮助对大模型的训练，后续应用到增量文书的解析和审计知识问答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312ECA8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64A35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747A1D1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14</w:t>
            </w:r>
          </w:p>
        </w:tc>
        <w:tc>
          <w:tcPr>
            <w:tcW w:w="1318" w:type="dxa"/>
            <w:tcBorders>
              <w:top w:val="single" w:color="000000" w:sz="4" w:space="0"/>
              <w:left w:val="single" w:color="000000" w:sz="4" w:space="0"/>
              <w:bottom w:val="single" w:color="000000" w:sz="4" w:space="0"/>
              <w:right w:val="single" w:color="000000" w:sz="4" w:space="0"/>
            </w:tcBorders>
            <w:vAlign w:val="center"/>
          </w:tcPr>
          <w:p w14:paraId="752DB15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5601131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40000条政策，通过大模型提取其中的29个关键要素，包括（政策标题、政策目标、适用主体、关键条款、执行机构等）并对提取结果进行标准化等方式处理。帮助对大模型的训练，后续应用到增量文书的解析和政策对比分析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18B6B0C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75B7C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10F4DF70">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15</w:t>
            </w:r>
          </w:p>
        </w:tc>
        <w:tc>
          <w:tcPr>
            <w:tcW w:w="1318" w:type="dxa"/>
            <w:tcBorders>
              <w:top w:val="single" w:color="000000" w:sz="4" w:space="0"/>
              <w:left w:val="single" w:color="000000" w:sz="4" w:space="0"/>
              <w:bottom w:val="single" w:color="000000" w:sz="4" w:space="0"/>
              <w:right w:val="single" w:color="000000" w:sz="4" w:space="0"/>
            </w:tcBorders>
            <w:vAlign w:val="center"/>
          </w:tcPr>
          <w:p w14:paraId="3652DE8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238D4CF3">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共计3300个SQL脚本，通过大模型提取其中的16个关键要素，包括（脚本名称、功能描述、审计目标、适用领域、数据源、主要查询条件等）并对提取结果进行标准化等方式处理。帮助对大模型的训练，后续应用到审计自然语言数据分析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097824A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2026</w:t>
            </w:r>
          </w:p>
        </w:tc>
      </w:tr>
      <w:tr w14:paraId="27616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60234BD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16</w:t>
            </w:r>
          </w:p>
        </w:tc>
        <w:tc>
          <w:tcPr>
            <w:tcW w:w="1318" w:type="dxa"/>
            <w:tcBorders>
              <w:top w:val="single" w:color="000000" w:sz="4" w:space="0"/>
              <w:left w:val="single" w:color="000000" w:sz="4" w:space="0"/>
              <w:bottom w:val="single" w:color="000000" w:sz="4" w:space="0"/>
              <w:right w:val="single" w:color="000000" w:sz="4" w:space="0"/>
            </w:tcBorders>
            <w:vAlign w:val="center"/>
          </w:tcPr>
          <w:p w14:paraId="22C39ED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7AE63977">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1000份合同、会议纪要及三重一大等文件，通过大模型提取其中的21个关键要素，包括（合同金额、甲方乙方、付款方式、会议名称、会议议题、会议决议、重大决策事项、大额资金使用事项、审批人等）并对提取结果进行标准化等方式处理。帮助对大模型的训练，后续应用到增量文书的解析和信息提取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17DAC50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1FC28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702D2F7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17</w:t>
            </w:r>
          </w:p>
        </w:tc>
        <w:tc>
          <w:tcPr>
            <w:tcW w:w="1318" w:type="dxa"/>
            <w:tcBorders>
              <w:top w:val="single" w:color="000000" w:sz="4" w:space="0"/>
              <w:left w:val="single" w:color="000000" w:sz="4" w:space="0"/>
              <w:bottom w:val="single" w:color="000000" w:sz="4" w:space="0"/>
              <w:right w:val="single" w:color="000000" w:sz="4" w:space="0"/>
            </w:tcBorders>
            <w:vAlign w:val="center"/>
          </w:tcPr>
          <w:p w14:paraId="4AD1BBC4">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4C3D5FD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13000份审计底稿，方案，发现问题，1000份合同，会议纪要，三重一大文件，通过同义词替换、语序变换、实体替换等进行数据增强，通过增加错误注入（如模拟常见错误：如日期错误、金额错误、审计报告与整改意见不一致等）添加对抗性数据，来丰富语料库共计1300条审计业务文件，500份合同等文件，帮助对大模型的训练，后续应用到增量文书的解析和文档智能复核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129A97F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3EF1A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3C0719F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18</w:t>
            </w:r>
          </w:p>
        </w:tc>
        <w:tc>
          <w:tcPr>
            <w:tcW w:w="1318" w:type="dxa"/>
            <w:tcBorders>
              <w:top w:val="single" w:color="000000" w:sz="4" w:space="0"/>
              <w:left w:val="single" w:color="000000" w:sz="4" w:space="0"/>
              <w:bottom w:val="single" w:color="000000" w:sz="4" w:space="0"/>
              <w:right w:val="single" w:color="000000" w:sz="4" w:space="0"/>
            </w:tcBorders>
            <w:vAlign w:val="center"/>
          </w:tcPr>
          <w:p w14:paraId="7194B30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数据加工</w:t>
            </w:r>
          </w:p>
        </w:tc>
        <w:tc>
          <w:tcPr>
            <w:tcW w:w="5038" w:type="dxa"/>
            <w:tcBorders>
              <w:top w:val="single" w:color="000000" w:sz="4" w:space="0"/>
              <w:left w:val="single" w:color="000000" w:sz="4" w:space="0"/>
              <w:bottom w:val="single" w:color="000000" w:sz="4" w:space="0"/>
              <w:right w:val="single" w:color="000000" w:sz="4" w:space="0"/>
            </w:tcBorders>
            <w:vAlign w:val="center"/>
          </w:tcPr>
          <w:p w14:paraId="49B1044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语料治理－（结合业务需求指导，对3300个审计方法描述，40000条政策数据，通过同义词替换、语序变换、实体替换等扩展数据，对SQL通过字段顺序变换、条件变换等进行数据增强，生成共计990个审计方法及对应SQL和1000条政策文件，对不正确的审计方法描述和SQL进行核对并重新生成，对有歧义和不正确的政策进行核对，确保领域覆盖并完成业务校验。帮助对大模型的训练，后续应用到审计方法的解析和审计数据分析以及政策对比分析中。）</w:t>
            </w:r>
          </w:p>
        </w:tc>
        <w:tc>
          <w:tcPr>
            <w:tcW w:w="1512" w:type="dxa"/>
            <w:tcBorders>
              <w:top w:val="single" w:color="000000" w:sz="4" w:space="0"/>
              <w:left w:val="single" w:color="000000" w:sz="4" w:space="0"/>
              <w:bottom w:val="single" w:color="000000" w:sz="4" w:space="0"/>
              <w:right w:val="single" w:color="000000" w:sz="4" w:space="0"/>
            </w:tcBorders>
            <w:vAlign w:val="center"/>
          </w:tcPr>
          <w:p w14:paraId="20FF681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2026</w:t>
            </w:r>
          </w:p>
        </w:tc>
      </w:tr>
      <w:tr w14:paraId="6F417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07CDC83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19</w:t>
            </w:r>
          </w:p>
        </w:tc>
        <w:tc>
          <w:tcPr>
            <w:tcW w:w="1318" w:type="dxa"/>
            <w:tcBorders>
              <w:top w:val="single" w:color="000000" w:sz="4" w:space="0"/>
              <w:left w:val="single" w:color="000000" w:sz="4" w:space="0"/>
              <w:bottom w:val="single" w:color="000000" w:sz="4" w:space="0"/>
              <w:right w:val="single" w:color="000000" w:sz="4" w:space="0"/>
            </w:tcBorders>
            <w:vAlign w:val="center"/>
          </w:tcPr>
          <w:p w14:paraId="10CBEF87">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数据采集</w:t>
            </w:r>
          </w:p>
        </w:tc>
        <w:tc>
          <w:tcPr>
            <w:tcW w:w="5038" w:type="dxa"/>
            <w:tcBorders>
              <w:top w:val="single" w:color="000000" w:sz="4" w:space="0"/>
              <w:left w:val="single" w:color="000000" w:sz="4" w:space="0"/>
              <w:bottom w:val="single" w:color="000000" w:sz="4" w:space="0"/>
              <w:right w:val="single" w:color="000000" w:sz="4" w:space="0"/>
            </w:tcBorders>
            <w:vAlign w:val="center"/>
          </w:tcPr>
          <w:p w14:paraId="25172DD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大数据迁移－迁移环境搭建</w:t>
            </w:r>
          </w:p>
        </w:tc>
        <w:tc>
          <w:tcPr>
            <w:tcW w:w="1512" w:type="dxa"/>
            <w:tcBorders>
              <w:top w:val="single" w:color="000000" w:sz="4" w:space="0"/>
              <w:left w:val="single" w:color="000000" w:sz="4" w:space="0"/>
              <w:bottom w:val="single" w:color="000000" w:sz="4" w:space="0"/>
              <w:right w:val="single" w:color="000000" w:sz="4" w:space="0"/>
            </w:tcBorders>
            <w:vAlign w:val="center"/>
          </w:tcPr>
          <w:p w14:paraId="6E4EC83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4C572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1E321861">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w:t>
            </w:r>
          </w:p>
        </w:tc>
        <w:tc>
          <w:tcPr>
            <w:tcW w:w="1318" w:type="dxa"/>
            <w:tcBorders>
              <w:top w:val="single" w:color="000000" w:sz="4" w:space="0"/>
              <w:left w:val="single" w:color="000000" w:sz="4" w:space="0"/>
              <w:bottom w:val="single" w:color="000000" w:sz="4" w:space="0"/>
              <w:right w:val="single" w:color="000000" w:sz="4" w:space="0"/>
            </w:tcBorders>
            <w:vAlign w:val="center"/>
          </w:tcPr>
          <w:p w14:paraId="66B0AE2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数据采集</w:t>
            </w:r>
          </w:p>
        </w:tc>
        <w:tc>
          <w:tcPr>
            <w:tcW w:w="5038" w:type="dxa"/>
            <w:tcBorders>
              <w:top w:val="single" w:color="000000" w:sz="4" w:space="0"/>
              <w:left w:val="single" w:color="000000" w:sz="4" w:space="0"/>
              <w:bottom w:val="single" w:color="000000" w:sz="4" w:space="0"/>
              <w:right w:val="single" w:color="000000" w:sz="4" w:space="0"/>
            </w:tcBorders>
            <w:vAlign w:val="center"/>
          </w:tcPr>
          <w:p w14:paraId="602F9D2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大数据迁移-Hive迁移实施</w:t>
            </w:r>
          </w:p>
        </w:tc>
        <w:tc>
          <w:tcPr>
            <w:tcW w:w="1512" w:type="dxa"/>
            <w:tcBorders>
              <w:top w:val="single" w:color="000000" w:sz="4" w:space="0"/>
              <w:left w:val="single" w:color="000000" w:sz="4" w:space="0"/>
              <w:bottom w:val="single" w:color="000000" w:sz="4" w:space="0"/>
              <w:right w:val="single" w:color="000000" w:sz="4" w:space="0"/>
            </w:tcBorders>
            <w:vAlign w:val="center"/>
          </w:tcPr>
          <w:p w14:paraId="15D305D1">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3A4EA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4D6D720C">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21</w:t>
            </w:r>
          </w:p>
        </w:tc>
        <w:tc>
          <w:tcPr>
            <w:tcW w:w="1318" w:type="dxa"/>
            <w:tcBorders>
              <w:top w:val="single" w:color="000000" w:sz="4" w:space="0"/>
              <w:left w:val="single" w:color="000000" w:sz="4" w:space="0"/>
              <w:bottom w:val="single" w:color="000000" w:sz="4" w:space="0"/>
              <w:right w:val="single" w:color="000000" w:sz="4" w:space="0"/>
            </w:tcBorders>
            <w:vAlign w:val="center"/>
          </w:tcPr>
          <w:p w14:paraId="4E0F821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数据采集</w:t>
            </w:r>
          </w:p>
        </w:tc>
        <w:tc>
          <w:tcPr>
            <w:tcW w:w="5038" w:type="dxa"/>
            <w:tcBorders>
              <w:top w:val="single" w:color="000000" w:sz="4" w:space="0"/>
              <w:left w:val="single" w:color="000000" w:sz="4" w:space="0"/>
              <w:bottom w:val="single" w:color="000000" w:sz="4" w:space="0"/>
              <w:right w:val="single" w:color="000000" w:sz="4" w:space="0"/>
            </w:tcBorders>
            <w:vAlign w:val="center"/>
          </w:tcPr>
          <w:p w14:paraId="0F20743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大数据迁移-hdfs数据迁移</w:t>
            </w:r>
          </w:p>
        </w:tc>
        <w:tc>
          <w:tcPr>
            <w:tcW w:w="1512" w:type="dxa"/>
            <w:tcBorders>
              <w:top w:val="single" w:color="000000" w:sz="4" w:space="0"/>
              <w:left w:val="single" w:color="000000" w:sz="4" w:space="0"/>
              <w:bottom w:val="single" w:color="000000" w:sz="4" w:space="0"/>
              <w:right w:val="single" w:color="000000" w:sz="4" w:space="0"/>
            </w:tcBorders>
            <w:vAlign w:val="center"/>
          </w:tcPr>
          <w:p w14:paraId="0CB3DE1F">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015E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20DAD53A">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22</w:t>
            </w:r>
          </w:p>
        </w:tc>
        <w:tc>
          <w:tcPr>
            <w:tcW w:w="1318" w:type="dxa"/>
            <w:tcBorders>
              <w:top w:val="single" w:color="000000" w:sz="4" w:space="0"/>
              <w:left w:val="single" w:color="000000" w:sz="4" w:space="0"/>
              <w:bottom w:val="single" w:color="000000" w:sz="4" w:space="0"/>
              <w:right w:val="single" w:color="000000" w:sz="4" w:space="0"/>
            </w:tcBorders>
            <w:vAlign w:val="center"/>
          </w:tcPr>
          <w:p w14:paraId="60DCA8D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数据采集</w:t>
            </w:r>
          </w:p>
        </w:tc>
        <w:tc>
          <w:tcPr>
            <w:tcW w:w="5038" w:type="dxa"/>
            <w:tcBorders>
              <w:top w:val="single" w:color="000000" w:sz="4" w:space="0"/>
              <w:left w:val="single" w:color="000000" w:sz="4" w:space="0"/>
              <w:bottom w:val="single" w:color="000000" w:sz="4" w:space="0"/>
              <w:right w:val="single" w:color="000000" w:sz="4" w:space="0"/>
            </w:tcBorders>
            <w:vAlign w:val="center"/>
          </w:tcPr>
          <w:p w14:paraId="30A8162B">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大数据迁移-HBase迁移实施</w:t>
            </w:r>
          </w:p>
        </w:tc>
        <w:tc>
          <w:tcPr>
            <w:tcW w:w="1512" w:type="dxa"/>
            <w:tcBorders>
              <w:top w:val="single" w:color="000000" w:sz="4" w:space="0"/>
              <w:left w:val="single" w:color="000000" w:sz="4" w:space="0"/>
              <w:bottom w:val="single" w:color="000000" w:sz="4" w:space="0"/>
              <w:right w:val="single" w:color="000000" w:sz="4" w:space="0"/>
            </w:tcBorders>
            <w:vAlign w:val="center"/>
          </w:tcPr>
          <w:p w14:paraId="07D86ABD">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70C2B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7B2429A2">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23</w:t>
            </w:r>
          </w:p>
        </w:tc>
        <w:tc>
          <w:tcPr>
            <w:tcW w:w="1318" w:type="dxa"/>
            <w:tcBorders>
              <w:top w:val="single" w:color="000000" w:sz="4" w:space="0"/>
              <w:left w:val="single" w:color="000000" w:sz="4" w:space="0"/>
              <w:bottom w:val="single" w:color="000000" w:sz="4" w:space="0"/>
              <w:right w:val="single" w:color="000000" w:sz="4" w:space="0"/>
            </w:tcBorders>
            <w:vAlign w:val="center"/>
          </w:tcPr>
          <w:p w14:paraId="3D1F3AE5">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数据采集</w:t>
            </w:r>
          </w:p>
        </w:tc>
        <w:tc>
          <w:tcPr>
            <w:tcW w:w="5038" w:type="dxa"/>
            <w:tcBorders>
              <w:top w:val="single" w:color="000000" w:sz="4" w:space="0"/>
              <w:left w:val="single" w:color="000000" w:sz="4" w:space="0"/>
              <w:bottom w:val="single" w:color="000000" w:sz="4" w:space="0"/>
              <w:right w:val="single" w:color="000000" w:sz="4" w:space="0"/>
            </w:tcBorders>
            <w:vAlign w:val="center"/>
          </w:tcPr>
          <w:p w14:paraId="3FC6D0E6">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大数据迁移-ES迁移实施</w:t>
            </w:r>
          </w:p>
        </w:tc>
        <w:tc>
          <w:tcPr>
            <w:tcW w:w="1512" w:type="dxa"/>
            <w:tcBorders>
              <w:top w:val="single" w:color="000000" w:sz="4" w:space="0"/>
              <w:left w:val="single" w:color="000000" w:sz="4" w:space="0"/>
              <w:bottom w:val="single" w:color="000000" w:sz="4" w:space="0"/>
              <w:right w:val="single" w:color="000000" w:sz="4" w:space="0"/>
            </w:tcBorders>
            <w:vAlign w:val="center"/>
          </w:tcPr>
          <w:p w14:paraId="4DC9F2A9">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r w14:paraId="0DFF0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vAlign w:val="center"/>
          </w:tcPr>
          <w:p w14:paraId="3157E9A7">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24</w:t>
            </w:r>
          </w:p>
        </w:tc>
        <w:tc>
          <w:tcPr>
            <w:tcW w:w="1318" w:type="dxa"/>
            <w:tcBorders>
              <w:top w:val="single" w:color="000000" w:sz="4" w:space="0"/>
              <w:left w:val="single" w:color="000000" w:sz="4" w:space="0"/>
              <w:bottom w:val="single" w:color="000000" w:sz="4" w:space="0"/>
              <w:right w:val="single" w:color="000000" w:sz="4" w:space="0"/>
            </w:tcBorders>
            <w:vAlign w:val="center"/>
          </w:tcPr>
          <w:p w14:paraId="27B9AF08">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数据采集</w:t>
            </w:r>
          </w:p>
        </w:tc>
        <w:tc>
          <w:tcPr>
            <w:tcW w:w="5038" w:type="dxa"/>
            <w:tcBorders>
              <w:top w:val="single" w:color="000000" w:sz="4" w:space="0"/>
              <w:left w:val="single" w:color="000000" w:sz="4" w:space="0"/>
              <w:bottom w:val="single" w:color="000000" w:sz="4" w:space="0"/>
              <w:right w:val="single" w:color="000000" w:sz="4" w:space="0"/>
            </w:tcBorders>
            <w:vAlign w:val="center"/>
          </w:tcPr>
          <w:p w14:paraId="3A776681">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大数据迁移－迁移结果验证</w:t>
            </w:r>
          </w:p>
        </w:tc>
        <w:tc>
          <w:tcPr>
            <w:tcW w:w="1512" w:type="dxa"/>
            <w:tcBorders>
              <w:top w:val="single" w:color="000000" w:sz="4" w:space="0"/>
              <w:left w:val="single" w:color="000000" w:sz="4" w:space="0"/>
              <w:bottom w:val="single" w:color="000000" w:sz="4" w:space="0"/>
              <w:right w:val="single" w:color="000000" w:sz="4" w:space="0"/>
            </w:tcBorders>
            <w:vAlign w:val="center"/>
          </w:tcPr>
          <w:p w14:paraId="13786E4E">
            <w:pPr>
              <w:widowControl/>
              <w:spacing w:line="240" w:lineRule="auto"/>
              <w:ind w:firstLine="0" w:firstLineChars="0"/>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rPr>
              <w:t>2025</w:t>
            </w:r>
          </w:p>
        </w:tc>
      </w:tr>
    </w:tbl>
    <w:p w14:paraId="2860F617">
      <w:pPr>
        <w:numPr>
          <w:ilvl w:val="0"/>
          <w:numId w:val="0"/>
        </w:numPr>
        <w:ind w:left="420" w:leftChars="0" w:firstLine="0" w:firstLineChars="0"/>
        <w:rPr>
          <w:rFonts w:hint="eastAsia" w:ascii="宋体" w:hAnsi="宋体" w:eastAsia="宋体" w:cs="Times New Roman"/>
          <w:b/>
          <w:bCs w:val="0"/>
          <w:color w:val="auto"/>
          <w:lang w:val="en-US" w:eastAsia="zh-CN"/>
        </w:rPr>
      </w:pPr>
      <w:bookmarkStart w:id="46" w:name="_Toc63785502"/>
    </w:p>
    <w:p w14:paraId="2A245081">
      <w:pPr>
        <w:pStyle w:val="2"/>
        <w:rPr>
          <w:color w:val="auto"/>
          <w:highlight w:val="none"/>
        </w:rPr>
      </w:pPr>
      <w:r>
        <w:rPr>
          <w:rFonts w:hint="eastAsia"/>
          <w:color w:val="auto"/>
          <w:highlight w:val="none"/>
        </w:rPr>
        <w:t>电子政务云资源需求</w:t>
      </w:r>
      <w:bookmarkEnd w:id="46"/>
    </w:p>
    <w:p w14:paraId="38E71B98">
      <w:pPr>
        <w:rPr>
          <w:color w:val="auto"/>
          <w:highlight w:val="none"/>
        </w:rPr>
      </w:pPr>
      <w:r>
        <w:rPr>
          <w:rFonts w:hint="eastAsia"/>
          <w:color w:val="auto"/>
          <w:highlight w:val="none"/>
        </w:rPr>
        <w:t>根据项目前期资源现状，本次建设根据估算拟向电子政务云申请</w:t>
      </w:r>
      <w:r>
        <w:rPr>
          <w:rFonts w:hint="eastAsia"/>
          <w:color w:val="auto"/>
          <w:highlight w:val="none"/>
          <w:lang w:val="en-US" w:eastAsia="zh-CN"/>
        </w:rPr>
        <w:t>41</w:t>
      </w:r>
      <w:r>
        <w:rPr>
          <w:rFonts w:hint="eastAsia"/>
          <w:color w:val="auto"/>
          <w:highlight w:val="none"/>
        </w:rPr>
        <w:t>台服务器资源CPU</w:t>
      </w:r>
      <w:r>
        <w:rPr>
          <w:rFonts w:hint="eastAsia"/>
          <w:color w:val="auto"/>
          <w:highlight w:val="none"/>
          <w:lang w:val="en-US" w:eastAsia="zh-CN"/>
        </w:rPr>
        <w:t xml:space="preserve"> 872</w:t>
      </w:r>
      <w:r>
        <w:rPr>
          <w:rFonts w:hint="eastAsia"/>
          <w:color w:val="auto"/>
          <w:highlight w:val="none"/>
        </w:rPr>
        <w:t>核 、内存</w:t>
      </w:r>
      <w:r>
        <w:rPr>
          <w:rFonts w:hint="eastAsia"/>
          <w:color w:val="auto"/>
          <w:highlight w:val="none"/>
          <w:lang w:val="en-US" w:eastAsia="zh-CN"/>
        </w:rPr>
        <w:t>4128</w:t>
      </w:r>
      <w:r>
        <w:rPr>
          <w:rFonts w:hint="eastAsia"/>
          <w:color w:val="auto"/>
          <w:highlight w:val="none"/>
        </w:rPr>
        <w:t>G</w:t>
      </w:r>
      <w:r>
        <w:rPr>
          <w:rFonts w:hint="eastAsia"/>
          <w:color w:val="auto"/>
          <w:highlight w:val="none"/>
          <w:lang w:val="en-US" w:eastAsia="zh-CN"/>
        </w:rPr>
        <w:t>B</w:t>
      </w:r>
      <w:r>
        <w:rPr>
          <w:rFonts w:hint="eastAsia"/>
          <w:color w:val="auto"/>
          <w:highlight w:val="none"/>
        </w:rPr>
        <w:t>、存储</w:t>
      </w:r>
      <w:r>
        <w:rPr>
          <w:rFonts w:hint="eastAsia"/>
          <w:color w:val="auto"/>
          <w:highlight w:val="none"/>
          <w:lang w:val="en-US" w:eastAsia="zh-CN"/>
        </w:rPr>
        <w:t>211300GB</w:t>
      </w:r>
      <w:r>
        <w:rPr>
          <w:rFonts w:hint="eastAsia"/>
          <w:color w:val="auto"/>
          <w:highlight w:val="none"/>
        </w:rPr>
        <w:t>。</w:t>
      </w:r>
      <w:r>
        <w:rPr>
          <w:rFonts w:hint="eastAsia"/>
          <w:color w:val="auto"/>
          <w:lang w:val="en-US" w:eastAsia="zh-CN"/>
        </w:rPr>
        <w:t>本项目无需额外采购服务器资源。</w:t>
      </w:r>
    </w:p>
    <w:p w14:paraId="3E4FC3CC">
      <w:pPr>
        <w:pStyle w:val="2"/>
        <w:rPr>
          <w:color w:val="auto"/>
        </w:rPr>
      </w:pPr>
      <w:bookmarkStart w:id="47" w:name="_Toc63785503"/>
      <w:r>
        <w:rPr>
          <w:rFonts w:hint="eastAsia"/>
          <w:color w:val="auto"/>
        </w:rPr>
        <w:t>其他工作要求</w:t>
      </w:r>
      <w:bookmarkEnd w:id="47"/>
    </w:p>
    <w:p w14:paraId="363CF029">
      <w:pPr>
        <w:keepNext/>
        <w:keepLines/>
        <w:numPr>
          <w:ilvl w:val="1"/>
          <w:numId w:val="28"/>
        </w:numPr>
        <w:tabs>
          <w:tab w:val="left" w:pos="360"/>
        </w:tabs>
        <w:spacing w:before="120" w:line="240" w:lineRule="auto"/>
        <w:ind w:left="0" w:firstLine="0" w:firstLineChars="0"/>
        <w:outlineLvl w:val="1"/>
        <w:rPr>
          <w:rFonts w:ascii="仿宋" w:hAnsi="仿宋" w:eastAsia="仿宋"/>
          <w:b/>
          <w:vanish/>
          <w:color w:val="auto"/>
          <w:sz w:val="28"/>
          <w:szCs w:val="20"/>
        </w:rPr>
      </w:pPr>
      <w:bookmarkStart w:id="48" w:name="_Toc62219358"/>
      <w:bookmarkEnd w:id="48"/>
      <w:bookmarkStart w:id="49" w:name="_Toc63762370"/>
      <w:bookmarkEnd w:id="49"/>
      <w:bookmarkStart w:id="50" w:name="_Toc62209488"/>
      <w:bookmarkEnd w:id="50"/>
      <w:bookmarkStart w:id="51" w:name="_Toc63151871"/>
      <w:bookmarkEnd w:id="51"/>
      <w:bookmarkStart w:id="52" w:name="_Toc63785504"/>
      <w:bookmarkEnd w:id="52"/>
      <w:bookmarkStart w:id="53" w:name="_Toc63785439"/>
      <w:bookmarkEnd w:id="53"/>
      <w:bookmarkStart w:id="54" w:name="_Toc63585480"/>
      <w:bookmarkEnd w:id="54"/>
      <w:bookmarkStart w:id="55" w:name="_Toc61968111"/>
      <w:bookmarkEnd w:id="55"/>
    </w:p>
    <w:p w14:paraId="3B3A34AD">
      <w:pPr>
        <w:pStyle w:val="3"/>
        <w:rPr>
          <w:color w:val="auto"/>
        </w:rPr>
      </w:pPr>
      <w:bookmarkStart w:id="56" w:name="_Toc63785505"/>
      <w:r>
        <w:rPr>
          <w:rFonts w:hint="eastAsia"/>
          <w:color w:val="auto"/>
        </w:rPr>
        <w:t>售后服务要求</w:t>
      </w:r>
      <w:bookmarkEnd w:id="56"/>
    </w:p>
    <w:p w14:paraId="210E2F86">
      <w:pPr>
        <w:rPr>
          <w:rFonts w:hint="eastAsia"/>
          <w:color w:val="auto"/>
        </w:rPr>
      </w:pPr>
      <w:r>
        <w:rPr>
          <w:rFonts w:hint="eastAsia"/>
          <w:color w:val="auto"/>
        </w:rPr>
        <w:t>本项目范围内实施升级改造的应用系统，供应商</w:t>
      </w:r>
      <w:r>
        <w:rPr>
          <w:rFonts w:hint="eastAsia"/>
          <w:color w:val="auto"/>
          <w:lang w:eastAsia="zh-CN"/>
        </w:rPr>
        <w:t>需</w:t>
      </w:r>
      <w:r>
        <w:rPr>
          <w:rFonts w:hint="eastAsia"/>
          <w:color w:val="auto"/>
        </w:rPr>
        <w:t>保证在项目实施期间原有应用系统能够稳定运行，并按照用户的要求完成日常运维的工作。</w:t>
      </w:r>
    </w:p>
    <w:p w14:paraId="330C7341">
      <w:pPr>
        <w:rPr>
          <w:rFonts w:hint="eastAsia"/>
          <w:color w:val="auto"/>
        </w:rPr>
      </w:pPr>
      <w:r>
        <w:rPr>
          <w:rFonts w:hint="eastAsia"/>
          <w:color w:val="auto"/>
          <w:lang w:eastAsia="zh-CN"/>
        </w:rPr>
        <w:t>需</w:t>
      </w:r>
      <w:r>
        <w:rPr>
          <w:rFonts w:hint="eastAsia"/>
          <w:color w:val="auto"/>
        </w:rPr>
        <w:t>确保原有系统稳定，无安全事故。</w:t>
      </w:r>
    </w:p>
    <w:p w14:paraId="764DB66D">
      <w:pPr>
        <w:rPr>
          <w:color w:val="auto"/>
        </w:rPr>
      </w:pPr>
      <w:r>
        <w:rPr>
          <w:rFonts w:hint="eastAsia"/>
          <w:color w:val="auto"/>
        </w:rPr>
        <w:t>本项目质保期和免维期为自项目终验合格之日起</w:t>
      </w:r>
      <w:r>
        <w:rPr>
          <w:rFonts w:hint="eastAsia"/>
          <w:color w:val="auto"/>
          <w:lang w:val="en-US" w:eastAsia="zh-CN"/>
        </w:rPr>
        <w:t>一</w:t>
      </w:r>
      <w:r>
        <w:rPr>
          <w:rFonts w:hint="eastAsia"/>
          <w:color w:val="auto"/>
        </w:rPr>
        <w:t>年，在质保期内，供应商需提供7×24小时的运行维护服务，包括系统故障的及时响应与修复、系统性能的优化调整、安全漏洞的修补以及必要的系统升级等，确保系统稳定、安全、高效运行。</w:t>
      </w:r>
    </w:p>
    <w:p w14:paraId="29D401B8">
      <w:pPr>
        <w:rPr>
          <w:color w:val="auto"/>
        </w:rPr>
      </w:pPr>
      <w:r>
        <w:rPr>
          <w:rFonts w:hint="eastAsia"/>
          <w:color w:val="auto"/>
        </w:rPr>
        <w:t>在质量保证期内，供应商将按照售后服务的承诺提供保修和运行维护服务，如果厂商对信息系统中软、硬件设备等产品中的部分保修期超过上述期限的，则按照厂商的规定进行免费保修。</w:t>
      </w:r>
    </w:p>
    <w:p w14:paraId="4D5B7001">
      <w:pPr>
        <w:rPr>
          <w:rFonts w:hint="eastAsia"/>
          <w:color w:val="auto"/>
        </w:rPr>
      </w:pPr>
      <w:r>
        <w:rPr>
          <w:rFonts w:hint="eastAsia"/>
          <w:color w:val="auto"/>
        </w:rPr>
        <w:t>在质量保证期内，供应商负责信息系统的运行维护工作，确保信息系统安全、稳定、可靠地运行。本项目涉及的运行维护工作范围为：</w:t>
      </w:r>
    </w:p>
    <w:p w14:paraId="5F85CF83">
      <w:pPr>
        <w:rPr>
          <w:rFonts w:hint="eastAsia"/>
          <w:color w:val="auto"/>
        </w:rPr>
      </w:pPr>
      <w:r>
        <w:rPr>
          <w:rFonts w:hint="eastAsia"/>
          <w:color w:val="auto"/>
        </w:rPr>
        <w:t>1.  系统监控与巡检：供应商需建立完善的系统监控体系，对信息系统的各项关键指标进行实时监控，包括服务器性能、网络流量、数据库运行状态、应用服务可用性等，及时发现并预警潜在的系统故障。同时，定期对信息系统进行巡检，检查系统的硬件设备、软件环境、网络连接等是否正常，确保系统处于良好的运行状态。</w:t>
      </w:r>
    </w:p>
    <w:p w14:paraId="3E67C6E8">
      <w:pPr>
        <w:rPr>
          <w:rFonts w:hint="eastAsia"/>
          <w:color w:val="auto"/>
        </w:rPr>
      </w:pPr>
      <w:r>
        <w:rPr>
          <w:rFonts w:hint="eastAsia"/>
          <w:color w:val="auto"/>
        </w:rPr>
        <w:t>2.  故障响应与修复：当信息系统出现故障时，供应商应按照应急响应要求迅速响应，及时组织技术人员进行故障诊断和修复。对于一般故障，应在2小时内响应并4小时内解决；对于严重故障，应在1小时内响应并2小时内恢复系统基本功能，4小时内彻底解决问题；对于重大故障，应在30分钟内响应并1小时内采取有效措施防止故障扩大，2小时内恢复关键业务功能，4小时内完成故障修复。修复完成后，需向采购人提供详细的故障报告，包括故障原因、处理过程、解决方案及后续预防措施等。</w:t>
      </w:r>
    </w:p>
    <w:p w14:paraId="333FB61B">
      <w:pPr>
        <w:rPr>
          <w:rFonts w:hint="eastAsia"/>
          <w:color w:val="auto"/>
        </w:rPr>
      </w:pPr>
      <w:r>
        <w:rPr>
          <w:rFonts w:hint="eastAsia"/>
          <w:color w:val="auto"/>
        </w:rPr>
        <w:t>3.  系统优化与升级：供应商应根据信息系统的运行情况和采购人的业务需求，定期对系统进行优化调整，包括但不限于系统性能优化、资源配置调整、代码优化等，以提高系统的运行效率和稳定性。同时，需及时关注信息系统相关技术的发展动态，适时对系统进行升级，引入新的功能和技术，以满足业务发展的需要，确保信息系统的技术先进性和适应性。</w:t>
      </w:r>
    </w:p>
    <w:p w14:paraId="33A7E41D">
      <w:pPr>
        <w:rPr>
          <w:rFonts w:hint="eastAsia"/>
          <w:color w:val="auto"/>
        </w:rPr>
      </w:pPr>
      <w:r>
        <w:rPr>
          <w:rFonts w:hint="eastAsia"/>
          <w:color w:val="auto"/>
        </w:rPr>
        <w:t>4.  数据备份与恢复：供应商负责制定并执行数据备份策略，定期对信息系统的数据进行备份，确保数据的安全性和完整性。备份数据应存储在安全、可靠的存储介质上，并进行异地备份，以防止数据丢失和灾难恢复。在需要时，能够快速、准确地恢复数据，将数据丢失和业务中断时间降至最低。</w:t>
      </w:r>
    </w:p>
    <w:p w14:paraId="73D6212E">
      <w:pPr>
        <w:rPr>
          <w:rFonts w:hint="eastAsia"/>
          <w:color w:val="auto"/>
        </w:rPr>
      </w:pPr>
      <w:r>
        <w:rPr>
          <w:rFonts w:hint="eastAsia"/>
          <w:color w:val="auto"/>
        </w:rPr>
        <w:t>5.  安全管理与维护：供应商需负责信息系统的安全管理，包括但不限于网络安全防护、系统漏洞扫描与修复、安全策略配置与更新、用户权限管理等。定期对信息系统进行安全评估和风险分析，及时发现并修补安全漏洞，防止黑客攻击、病毒感染等安全威胁。同时，需配合采购人建立健全的信息安全管理制度，加强对系统用户的安全教育和培训，提高用户的安全意识和操作规范性。</w:t>
      </w:r>
    </w:p>
    <w:p w14:paraId="06909D17">
      <w:pPr>
        <w:rPr>
          <w:rFonts w:hint="eastAsia"/>
          <w:color w:val="auto"/>
        </w:rPr>
      </w:pPr>
      <w:r>
        <w:rPr>
          <w:rFonts w:hint="eastAsia"/>
          <w:color w:val="auto"/>
        </w:rPr>
        <w:t>6.  文档更新与管理：在质量保证期内，供应商应及时更新和完善信息系统的相关技术文档，包括系统架构图、网络拓扑图、数据库设计文档、用户手册、操作指南等，确保文档的准确性和时效性。同时，需建立完善的文档管理体系，对文档进行分类、归档和存储，方便采购人和供应商相关人员查阅和使用。</w:t>
      </w:r>
    </w:p>
    <w:p w14:paraId="6B2A0884">
      <w:pPr>
        <w:rPr>
          <w:rFonts w:hint="eastAsia"/>
          <w:color w:val="auto"/>
        </w:rPr>
      </w:pPr>
      <w:r>
        <w:rPr>
          <w:rFonts w:hint="eastAsia"/>
          <w:color w:val="auto"/>
        </w:rPr>
        <w:t>7.  技术支持与咨询：供应商应提供7×24小时的技术支持服务，解答采购人在信息系统使用过程中遇到的各种技术问题，提供专业的技术咨询和解决方案。对于采购人提出的合理建议和需求，供应商应及时响应并给予积极</w:t>
      </w:r>
      <w:r>
        <w:rPr>
          <w:rFonts w:hint="eastAsia"/>
          <w:color w:val="auto"/>
          <w:lang w:eastAsia="zh-CN"/>
        </w:rPr>
        <w:t>地</w:t>
      </w:r>
      <w:r>
        <w:rPr>
          <w:rFonts w:hint="eastAsia"/>
          <w:color w:val="auto"/>
        </w:rPr>
        <w:t>反馈，共同推动信息系统的持续改进和完善。</w:t>
      </w:r>
    </w:p>
    <w:p w14:paraId="58446AC5">
      <w:pPr>
        <w:rPr>
          <w:rFonts w:hint="eastAsia"/>
          <w:color w:val="auto"/>
        </w:rPr>
      </w:pPr>
      <w:r>
        <w:rPr>
          <w:rFonts w:hint="eastAsia"/>
          <w:color w:val="auto"/>
        </w:rPr>
        <w:t>8.  配合采购人工作：供应商需积极配合采购人开展与信息系统相关的各项工作，包括但不限于业务培训、数据迁移、系统切换、审计检查等。在项目实施过程中，及时向采购人汇报项目进展情况，接受采购人的监督和管理，确保项目按照合同要求顺利推进。</w:t>
      </w:r>
    </w:p>
    <w:p w14:paraId="093B9086">
      <w:pPr>
        <w:pStyle w:val="3"/>
        <w:rPr>
          <w:color w:val="auto"/>
        </w:rPr>
      </w:pPr>
      <w:bookmarkStart w:id="57" w:name="_Toc63785506"/>
      <w:r>
        <w:rPr>
          <w:rFonts w:hint="eastAsia"/>
          <w:color w:val="auto"/>
        </w:rPr>
        <w:t>应急响应要求</w:t>
      </w:r>
      <w:bookmarkEnd w:id="57"/>
    </w:p>
    <w:p w14:paraId="52042063">
      <w:pPr>
        <w:rPr>
          <w:rFonts w:hint="eastAsia"/>
          <w:color w:val="auto"/>
          <w:lang w:val="en-US" w:eastAsia="zh-CN"/>
        </w:rPr>
      </w:pPr>
      <w:r>
        <w:rPr>
          <w:rFonts w:hint="eastAsia"/>
          <w:color w:val="auto"/>
          <w:lang w:val="en-US" w:eastAsia="zh-CN"/>
        </w:rPr>
        <w:t>发生系统故障时，供应商应按照故障严重程度分级响应。</w:t>
      </w:r>
    </w:p>
    <w:p w14:paraId="25FED0A6">
      <w:pPr>
        <w:rPr>
          <w:rFonts w:hint="eastAsia"/>
          <w:color w:val="auto"/>
          <w:lang w:val="en-US" w:eastAsia="zh-CN"/>
        </w:rPr>
      </w:pPr>
      <w:r>
        <w:rPr>
          <w:rFonts w:hint="eastAsia"/>
          <w:color w:val="auto"/>
          <w:lang w:val="en-US" w:eastAsia="zh-CN"/>
        </w:rPr>
        <w:t>对于一般故障，应在接到通知后2小时内响应，4小时内解决问题；</w:t>
      </w:r>
    </w:p>
    <w:p w14:paraId="4262C07D">
      <w:pPr>
        <w:rPr>
          <w:rFonts w:hint="eastAsia"/>
          <w:color w:val="auto"/>
          <w:lang w:val="en-US" w:eastAsia="zh-CN"/>
        </w:rPr>
      </w:pPr>
      <w:r>
        <w:rPr>
          <w:rFonts w:hint="eastAsia"/>
          <w:color w:val="auto"/>
          <w:lang w:val="en-US" w:eastAsia="zh-CN"/>
        </w:rPr>
        <w:t>对于严重故障，应在接到通知后1小时内响应，2小时内恢复系统基本功能，4小时内彻底解决问题；</w:t>
      </w:r>
    </w:p>
    <w:p w14:paraId="1DF0406C">
      <w:pPr>
        <w:rPr>
          <w:rFonts w:ascii="宋体" w:hAnsi="宋体"/>
          <w:color w:val="auto"/>
          <w:szCs w:val="24"/>
        </w:rPr>
      </w:pPr>
      <w:r>
        <w:rPr>
          <w:rFonts w:hint="eastAsia"/>
          <w:color w:val="auto"/>
          <w:lang w:val="en-US" w:eastAsia="zh-CN"/>
        </w:rPr>
        <w:t>对于重大故障，应在接到通知后30分钟内响应，1小时内采取有效措施防止故障扩大，2小时内恢复关键业务功能，4小时内完成故障修复。</w:t>
      </w:r>
    </w:p>
    <w:p w14:paraId="62E3293B">
      <w:pPr>
        <w:pStyle w:val="3"/>
        <w:rPr>
          <w:color w:val="auto"/>
        </w:rPr>
      </w:pPr>
      <w:bookmarkStart w:id="58" w:name="_Toc63785507"/>
      <w:r>
        <w:rPr>
          <w:rFonts w:hint="eastAsia"/>
          <w:color w:val="auto"/>
        </w:rPr>
        <w:t>培训要求</w:t>
      </w:r>
      <w:bookmarkEnd w:id="58"/>
    </w:p>
    <w:p w14:paraId="55874B00">
      <w:pPr>
        <w:rPr>
          <w:color w:val="auto"/>
        </w:rPr>
      </w:pPr>
      <w:r>
        <w:rPr>
          <w:rFonts w:hint="eastAsia"/>
          <w:color w:val="auto"/>
        </w:rPr>
        <w:t>供应商需提供全面的培训内容，包括系统架构与功能介绍、操作流程演示与实操练习、常见问题处理方法讲解等。培训方式应采用线上线下相结合，线上提供详细的培训资料和视频教程，线下组织集中培训和现场指导，确保用户能够熟练掌握系统的使用和管理，</w:t>
      </w:r>
      <w:r>
        <w:rPr>
          <w:rFonts w:hint="eastAsia"/>
          <w:color w:val="auto"/>
          <w:lang w:val="en-US" w:eastAsia="zh-CN"/>
        </w:rPr>
        <w:t>并</w:t>
      </w:r>
      <w:r>
        <w:rPr>
          <w:rFonts w:hint="eastAsia"/>
          <w:color w:val="auto"/>
        </w:rPr>
        <w:t>提供详细培训方案。</w:t>
      </w:r>
    </w:p>
    <w:p w14:paraId="4F6395A0">
      <w:pPr>
        <w:rPr>
          <w:color w:val="auto"/>
        </w:rPr>
      </w:pPr>
      <w:r>
        <w:rPr>
          <w:rFonts w:hint="eastAsia"/>
          <w:color w:val="auto"/>
          <w:lang w:eastAsia="zh-CN"/>
        </w:rPr>
        <w:t>（</w:t>
      </w:r>
      <w:r>
        <w:rPr>
          <w:rFonts w:hint="eastAsia"/>
          <w:color w:val="auto"/>
          <w:lang w:val="en-US" w:eastAsia="zh-CN"/>
        </w:rPr>
        <w:t>1）</w:t>
      </w:r>
      <w:r>
        <w:rPr>
          <w:rFonts w:hint="eastAsia"/>
          <w:color w:val="auto"/>
        </w:rPr>
        <w:t>在12个月的质量保证期内，提供2次与项目相关的必要培训。</w:t>
      </w:r>
    </w:p>
    <w:p w14:paraId="311DF9A4">
      <w:pPr>
        <w:rPr>
          <w:color w:val="auto"/>
        </w:rPr>
      </w:pPr>
      <w:r>
        <w:rPr>
          <w:rFonts w:hint="eastAsia"/>
          <w:color w:val="auto"/>
          <w:lang w:eastAsia="zh-CN"/>
        </w:rPr>
        <w:t>（</w:t>
      </w:r>
      <w:r>
        <w:rPr>
          <w:rFonts w:hint="eastAsia"/>
          <w:color w:val="auto"/>
          <w:lang w:val="en-US" w:eastAsia="zh-CN"/>
        </w:rPr>
        <w:t>2）</w:t>
      </w:r>
      <w:r>
        <w:rPr>
          <w:rFonts w:hint="eastAsia"/>
          <w:color w:val="auto"/>
        </w:rPr>
        <w:t>供应商需要开展分层次的人员培训工作，每次培训后应对参加培训人员进行测试，评估培训成果。培训应具有培训教材、培训环境和高水平的培训讲师。</w:t>
      </w:r>
    </w:p>
    <w:p w14:paraId="761AECF7">
      <w:pPr>
        <w:rPr>
          <w:color w:val="auto"/>
        </w:rPr>
      </w:pPr>
      <w:r>
        <w:rPr>
          <w:rFonts w:hint="eastAsia"/>
          <w:color w:val="auto"/>
          <w:lang w:eastAsia="zh-CN"/>
        </w:rPr>
        <w:t>（</w:t>
      </w:r>
      <w:r>
        <w:rPr>
          <w:rFonts w:hint="eastAsia"/>
          <w:color w:val="auto"/>
          <w:lang w:val="en-US" w:eastAsia="zh-CN"/>
        </w:rPr>
        <w:t>3）</w:t>
      </w:r>
      <w:r>
        <w:rPr>
          <w:rFonts w:hint="eastAsia"/>
          <w:color w:val="auto"/>
        </w:rPr>
        <w:t>供应商应提供一般用户的基础操作培训和部门信息管理员的日常应用维护的培训，确保用户对象能够掌握对应的操作技能。</w:t>
      </w:r>
    </w:p>
    <w:p w14:paraId="364DA893">
      <w:pPr>
        <w:pStyle w:val="3"/>
        <w:rPr>
          <w:color w:val="auto"/>
        </w:rPr>
      </w:pPr>
      <w:bookmarkStart w:id="59" w:name="_Toc63785508"/>
      <w:r>
        <w:rPr>
          <w:rFonts w:hint="eastAsia"/>
          <w:color w:val="auto"/>
        </w:rPr>
        <w:t>验收要求</w:t>
      </w:r>
      <w:bookmarkEnd w:id="59"/>
    </w:p>
    <w:p w14:paraId="1E648D4F">
      <w:pPr>
        <w:rPr>
          <w:color w:val="auto"/>
        </w:rPr>
      </w:pPr>
      <w:r>
        <w:rPr>
          <w:rFonts w:hint="eastAsia"/>
          <w:color w:val="auto"/>
        </w:rPr>
        <w:t>项目终验在初验合格且系统稳定运行</w:t>
      </w:r>
      <w:r>
        <w:rPr>
          <w:rFonts w:hint="eastAsia"/>
          <w:color w:val="auto"/>
          <w:lang w:val="en-US" w:eastAsia="zh-CN"/>
        </w:rPr>
        <w:t>至少一</w:t>
      </w:r>
      <w:r>
        <w:rPr>
          <w:rFonts w:hint="eastAsia"/>
          <w:color w:val="auto"/>
        </w:rPr>
        <w:t>个月后进行，全面检查项目各项指标是否符合合同要求。若项目未通过验收，供应商需在规定时间内完成整改，并重新申请验收，若因供应商原因导致项目</w:t>
      </w:r>
      <w:r>
        <w:rPr>
          <w:rFonts w:hint="eastAsia"/>
          <w:color w:val="auto"/>
          <w:lang w:val="en-US" w:eastAsia="zh-CN"/>
        </w:rPr>
        <w:t>二</w:t>
      </w:r>
      <w:r>
        <w:rPr>
          <w:rFonts w:hint="eastAsia"/>
          <w:color w:val="auto"/>
        </w:rPr>
        <w:t>次验收仍未通过，采购人有权终止合同，并要求供应商承担相应的违约责任。</w:t>
      </w:r>
    </w:p>
    <w:p w14:paraId="348703E4">
      <w:pPr>
        <w:rPr>
          <w:color w:val="auto"/>
          <w:szCs w:val="21"/>
        </w:rPr>
      </w:pPr>
      <w:r>
        <w:rPr>
          <w:rFonts w:hint="eastAsia"/>
          <w:color w:val="auto"/>
          <w:szCs w:val="21"/>
        </w:rPr>
        <w:t>本项目按下述方式开展验收。</w:t>
      </w:r>
    </w:p>
    <w:p w14:paraId="21ABBD54">
      <w:pPr>
        <w:numPr>
          <w:ilvl w:val="0"/>
          <w:numId w:val="29"/>
        </w:numPr>
        <w:ind w:firstLine="0" w:firstLineChars="0"/>
        <w:rPr>
          <w:color w:val="auto"/>
          <w:szCs w:val="21"/>
        </w:rPr>
      </w:pPr>
      <w:r>
        <w:rPr>
          <w:color w:val="auto"/>
          <w:szCs w:val="21"/>
        </w:rPr>
        <w:t>验收分</w:t>
      </w:r>
      <w:r>
        <w:rPr>
          <w:rFonts w:hint="eastAsia"/>
          <w:color w:val="auto"/>
          <w:szCs w:val="21"/>
          <w:lang w:val="en-US" w:eastAsia="zh-CN"/>
        </w:rPr>
        <w:t>中期验收、</w:t>
      </w:r>
      <w:r>
        <w:rPr>
          <w:color w:val="auto"/>
          <w:szCs w:val="21"/>
        </w:rPr>
        <w:t>初验和终验。</w:t>
      </w:r>
    </w:p>
    <w:p w14:paraId="72545DB8">
      <w:pPr>
        <w:numPr>
          <w:ilvl w:val="0"/>
          <w:numId w:val="29"/>
        </w:numPr>
        <w:ind w:firstLine="0" w:firstLineChars="0"/>
        <w:rPr>
          <w:color w:val="auto"/>
          <w:szCs w:val="21"/>
        </w:rPr>
      </w:pPr>
      <w:r>
        <w:rPr>
          <w:rFonts w:hint="eastAsia"/>
          <w:color w:val="auto"/>
          <w:szCs w:val="21"/>
          <w:lang w:val="en-US" w:eastAsia="zh-CN"/>
        </w:rPr>
        <w:t>中期验收时，供应商需完成</w:t>
      </w:r>
      <w:r>
        <w:rPr>
          <w:rFonts w:hint="eastAsia"/>
          <w:color w:val="auto"/>
        </w:rPr>
        <w:t>约定</w:t>
      </w:r>
      <w:r>
        <w:rPr>
          <w:rFonts w:hint="eastAsia"/>
          <w:color w:val="auto"/>
          <w:lang w:val="en-US" w:eastAsia="zh-CN"/>
        </w:rPr>
        <w:t>2025</w:t>
      </w:r>
      <w:r>
        <w:rPr>
          <w:rFonts w:hint="eastAsia"/>
          <w:color w:val="auto"/>
        </w:rPr>
        <w:t>的项目工作成果</w:t>
      </w:r>
      <w:r>
        <w:rPr>
          <w:rFonts w:hint="eastAsia"/>
          <w:color w:val="auto"/>
          <w:szCs w:val="21"/>
          <w:lang w:val="en-US" w:eastAsia="zh-CN"/>
        </w:rPr>
        <w:t>，</w:t>
      </w:r>
      <w:r>
        <w:rPr>
          <w:rFonts w:hint="eastAsia"/>
          <w:color w:val="auto"/>
          <w:szCs w:val="21"/>
          <w:lang w:eastAsia="zh-CN"/>
        </w:rPr>
        <w:t>需</w:t>
      </w:r>
      <w:r>
        <w:rPr>
          <w:color w:val="auto"/>
          <w:szCs w:val="21"/>
        </w:rPr>
        <w:t>提供</w:t>
      </w:r>
      <w:r>
        <w:rPr>
          <w:rFonts w:hint="eastAsia"/>
          <w:color w:val="auto"/>
          <w:szCs w:val="21"/>
          <w:lang w:val="en-US" w:eastAsia="zh-CN"/>
        </w:rPr>
        <w:t>项目实施前期阶段、软件设计阶段等材料，包含但不限于</w:t>
      </w:r>
      <w:r>
        <w:rPr>
          <w:rFonts w:hint="eastAsia"/>
          <w:color w:val="auto"/>
          <w:szCs w:val="21"/>
          <w:lang w:eastAsia="zh-CN"/>
        </w:rPr>
        <w:t>：</w:t>
      </w:r>
      <w:r>
        <w:rPr>
          <w:color w:val="auto"/>
          <w:szCs w:val="21"/>
        </w:rPr>
        <w:t>《用户需求说明书》、《系统概要设计说明书》、《系统详细设计说明书》、</w:t>
      </w:r>
      <w:r>
        <w:rPr>
          <w:rFonts w:hint="eastAsia"/>
          <w:color w:val="auto"/>
          <w:szCs w:val="21"/>
        </w:rPr>
        <w:t>《三方功能需求确认单》</w:t>
      </w:r>
      <w:r>
        <w:rPr>
          <w:rFonts w:hint="eastAsia"/>
          <w:color w:val="auto"/>
          <w:szCs w:val="21"/>
          <w:lang w:val="en-US" w:eastAsia="zh-CN"/>
        </w:rPr>
        <w:t>等。</w:t>
      </w:r>
      <w:r>
        <w:rPr>
          <w:color w:val="auto"/>
          <w:szCs w:val="21"/>
        </w:rPr>
        <w:t>所交付的文档与文件应当是可供自然人阅读的书面和电子文档。软件文档及可安装的程序运行文件验收通过后，视为</w:t>
      </w:r>
      <w:r>
        <w:rPr>
          <w:rFonts w:hint="eastAsia"/>
          <w:color w:val="auto"/>
          <w:szCs w:val="21"/>
          <w:lang w:val="en-US" w:eastAsia="zh-CN"/>
        </w:rPr>
        <w:t>中期</w:t>
      </w:r>
      <w:r>
        <w:rPr>
          <w:color w:val="auto"/>
          <w:szCs w:val="21"/>
        </w:rPr>
        <w:t>验</w:t>
      </w:r>
      <w:r>
        <w:rPr>
          <w:rFonts w:hint="eastAsia"/>
          <w:color w:val="auto"/>
          <w:szCs w:val="21"/>
          <w:lang w:val="en-US" w:eastAsia="zh-CN"/>
        </w:rPr>
        <w:t>收</w:t>
      </w:r>
      <w:r>
        <w:rPr>
          <w:color w:val="auto"/>
          <w:szCs w:val="21"/>
        </w:rPr>
        <w:t>通过。如有缺陷，招标方应向供应商出具书面报告，陈述需要改进的缺陷。供应商应立即严格依照招标方的书面报告中的要求改进缺陷，并再次进行</w:t>
      </w:r>
      <w:r>
        <w:rPr>
          <w:rFonts w:hint="eastAsia"/>
          <w:color w:val="auto"/>
          <w:szCs w:val="21"/>
          <w:lang w:val="en-US" w:eastAsia="zh-CN"/>
        </w:rPr>
        <w:t>中期</w:t>
      </w:r>
      <w:r>
        <w:rPr>
          <w:color w:val="auto"/>
          <w:szCs w:val="21"/>
        </w:rPr>
        <w:t>验</w:t>
      </w:r>
      <w:r>
        <w:rPr>
          <w:rFonts w:hint="eastAsia"/>
          <w:color w:val="auto"/>
          <w:szCs w:val="21"/>
          <w:lang w:val="en-US" w:eastAsia="zh-CN"/>
        </w:rPr>
        <w:t>收</w:t>
      </w:r>
      <w:r>
        <w:rPr>
          <w:color w:val="auto"/>
          <w:szCs w:val="21"/>
        </w:rPr>
        <w:t>。</w:t>
      </w:r>
    </w:p>
    <w:p w14:paraId="0FE87109">
      <w:pPr>
        <w:numPr>
          <w:ilvl w:val="0"/>
          <w:numId w:val="29"/>
        </w:numPr>
        <w:ind w:firstLine="0" w:firstLineChars="0"/>
        <w:rPr>
          <w:color w:val="auto"/>
          <w:szCs w:val="21"/>
        </w:rPr>
      </w:pPr>
      <w:r>
        <w:rPr>
          <w:color w:val="auto"/>
          <w:szCs w:val="21"/>
        </w:rPr>
        <w:t>初验前，供应商</w:t>
      </w:r>
      <w:r>
        <w:rPr>
          <w:rFonts w:hint="eastAsia"/>
          <w:color w:val="auto"/>
          <w:szCs w:val="21"/>
          <w:lang w:eastAsia="zh-CN"/>
        </w:rPr>
        <w:t>需</w:t>
      </w:r>
      <w:r>
        <w:rPr>
          <w:color w:val="auto"/>
          <w:szCs w:val="21"/>
        </w:rPr>
        <w:t>完成软件开发、软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0192134E">
      <w:pPr>
        <w:numPr>
          <w:ilvl w:val="0"/>
          <w:numId w:val="29"/>
        </w:numPr>
        <w:ind w:firstLine="0" w:firstLineChars="0"/>
        <w:rPr>
          <w:color w:val="auto"/>
          <w:szCs w:val="21"/>
        </w:rPr>
      </w:pPr>
      <w:r>
        <w:rPr>
          <w:color w:val="auto"/>
          <w:szCs w:val="21"/>
        </w:rPr>
        <w:t>初验时，供应商</w:t>
      </w:r>
      <w:r>
        <w:rPr>
          <w:rFonts w:hint="eastAsia"/>
          <w:color w:val="auto"/>
          <w:szCs w:val="21"/>
          <w:lang w:eastAsia="zh-CN"/>
        </w:rPr>
        <w:t>需</w:t>
      </w:r>
      <w:r>
        <w:rPr>
          <w:color w:val="auto"/>
          <w:szCs w:val="21"/>
        </w:rPr>
        <w:t>提供软件文档包括《用户需求说明书》、《系统概要设计说明书》、《系统详细设计说明书》、</w:t>
      </w:r>
      <w:r>
        <w:rPr>
          <w:rFonts w:hint="eastAsia"/>
          <w:color w:val="auto"/>
          <w:szCs w:val="21"/>
        </w:rPr>
        <w:t>《三方功能需求确认单》、</w:t>
      </w:r>
      <w:r>
        <w:rPr>
          <w:color w:val="auto"/>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239599CC">
      <w:pPr>
        <w:numPr>
          <w:ilvl w:val="0"/>
          <w:numId w:val="0"/>
        </w:numPr>
        <w:ind w:firstLine="480" w:firstLineChars="200"/>
        <w:rPr>
          <w:color w:val="auto"/>
          <w:szCs w:val="21"/>
        </w:rPr>
      </w:pPr>
      <w:r>
        <w:rPr>
          <w:color w:val="auto"/>
          <w:szCs w:val="21"/>
        </w:rPr>
        <w:t>自初验通过之日起，招标方享有供应商免费提供的</w:t>
      </w:r>
      <w:r>
        <w:rPr>
          <w:rFonts w:hint="eastAsia"/>
          <w:color w:val="auto"/>
          <w:szCs w:val="21"/>
          <w:lang w:val="en-US" w:eastAsia="zh-CN"/>
        </w:rPr>
        <w:t>至少30</w:t>
      </w:r>
      <w:r>
        <w:rPr>
          <w:color w:val="auto"/>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66EFDDA3">
      <w:pPr>
        <w:numPr>
          <w:ilvl w:val="0"/>
          <w:numId w:val="29"/>
        </w:numPr>
        <w:ind w:firstLine="0" w:firstLineChars="0"/>
        <w:rPr>
          <w:color w:val="auto"/>
          <w:szCs w:val="21"/>
        </w:rPr>
      </w:pPr>
      <w:r>
        <w:rPr>
          <w:color w:val="auto"/>
          <w:szCs w:val="21"/>
        </w:rPr>
        <w:t>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color w:val="auto"/>
          <w:szCs w:val="21"/>
          <w:lang w:val="en-US" w:eastAsia="zh-CN"/>
        </w:rPr>
        <w:t>15</w:t>
      </w:r>
      <w:r>
        <w:rPr>
          <w:color w:val="auto"/>
          <w:szCs w:val="21"/>
        </w:rPr>
        <w:t>个工作日内发起组织专家验收会。</w:t>
      </w:r>
    </w:p>
    <w:p w14:paraId="3C9EDE36">
      <w:pPr>
        <w:numPr>
          <w:ilvl w:val="0"/>
          <w:numId w:val="29"/>
        </w:numPr>
        <w:ind w:firstLine="0" w:firstLineChars="0"/>
        <w:rPr>
          <w:color w:val="auto"/>
          <w:szCs w:val="21"/>
        </w:rPr>
      </w:pPr>
      <w:r>
        <w:rPr>
          <w:color w:val="auto"/>
          <w:szCs w:val="21"/>
        </w:rPr>
        <w:t>如果属于供应商原因致使本项目未能通过终验，供应商应当排除缺陷，直至本项目完全符合验收标准，由上述情形而产生的相关费用应由供应商自行承担。</w:t>
      </w:r>
    </w:p>
    <w:p w14:paraId="66AE6295">
      <w:pPr>
        <w:numPr>
          <w:ilvl w:val="0"/>
          <w:numId w:val="29"/>
        </w:numPr>
        <w:ind w:firstLine="0" w:firstLineChars="0"/>
        <w:rPr>
          <w:color w:val="auto"/>
          <w:szCs w:val="21"/>
        </w:rPr>
      </w:pPr>
      <w:r>
        <w:rPr>
          <w:color w:val="auto"/>
          <w:szCs w:val="21"/>
        </w:rPr>
        <w:t>如果由于招标方原因导致本项目在终验通过前出现故障或问题，供应商应及时配合排除该方面的故障或问题。</w:t>
      </w:r>
    </w:p>
    <w:p w14:paraId="27C43080">
      <w:pPr>
        <w:numPr>
          <w:ilvl w:val="0"/>
          <w:numId w:val="29"/>
        </w:numPr>
        <w:ind w:firstLine="0" w:firstLineChars="0"/>
        <w:rPr>
          <w:color w:val="auto"/>
          <w:szCs w:val="21"/>
        </w:rPr>
      </w:pPr>
      <w:r>
        <w:rPr>
          <w:color w:val="auto"/>
          <w:szCs w:val="21"/>
        </w:rPr>
        <w:t>如本项目连续</w:t>
      </w:r>
      <w:r>
        <w:rPr>
          <w:rFonts w:hint="eastAsia"/>
          <w:color w:val="auto"/>
          <w:szCs w:val="21"/>
          <w:lang w:val="en-US" w:eastAsia="zh-CN"/>
        </w:rPr>
        <w:t>二</w:t>
      </w:r>
      <w:r>
        <w:rPr>
          <w:color w:val="auto"/>
          <w:szCs w:val="21"/>
        </w:rPr>
        <w:t>次验收未通过（含初验未通过或终验未通过），招标方有权解除项目，并有权依照本项目约定的违约条款追究供应商的违约责任。</w:t>
      </w:r>
    </w:p>
    <w:p w14:paraId="7900A980">
      <w:pPr>
        <w:pStyle w:val="3"/>
        <w:rPr>
          <w:color w:val="auto"/>
        </w:rPr>
      </w:pPr>
      <w:bookmarkStart w:id="60" w:name="_Toc63785509"/>
      <w:r>
        <w:rPr>
          <w:rFonts w:hint="eastAsia"/>
          <w:color w:val="auto"/>
        </w:rPr>
        <w:t>进度要求</w:t>
      </w:r>
      <w:bookmarkEnd w:id="60"/>
    </w:p>
    <w:p w14:paraId="2454A13A">
      <w:pPr>
        <w:rPr>
          <w:rFonts w:hint="eastAsia"/>
          <w:color w:val="auto"/>
        </w:rPr>
      </w:pPr>
      <w:r>
        <w:rPr>
          <w:rFonts w:hint="eastAsia"/>
          <w:color w:val="auto"/>
        </w:rPr>
        <w:t>投标人应根据建设内容，分阶段制定合理的时间进度，并且应根据招标方要求进行调整和细化。</w:t>
      </w:r>
    </w:p>
    <w:p w14:paraId="751E80D6">
      <w:pPr>
        <w:rPr>
          <w:rFonts w:hint="default" w:eastAsia="宋体"/>
          <w:color w:val="auto"/>
          <w:lang w:val="en-US" w:eastAsia="zh-CN"/>
        </w:rPr>
      </w:pPr>
      <w:r>
        <w:rPr>
          <w:rFonts w:hint="eastAsia"/>
          <w:color w:val="auto"/>
        </w:rPr>
        <w:t>本项目建设周期分为</w:t>
      </w:r>
      <w:r>
        <w:rPr>
          <w:rFonts w:hint="eastAsia"/>
          <w:color w:val="auto"/>
          <w:lang w:val="en-US" w:eastAsia="zh-CN"/>
        </w:rPr>
        <w:t>四个阶段。</w:t>
      </w:r>
    </w:p>
    <w:p w14:paraId="2080E37A">
      <w:pPr>
        <w:rPr>
          <w:rFonts w:hint="eastAsia"/>
          <w:color w:val="auto"/>
          <w:lang w:eastAsia="zh-CN"/>
        </w:rPr>
      </w:pPr>
      <w:r>
        <w:rPr>
          <w:rFonts w:hint="eastAsia"/>
          <w:color w:val="auto"/>
          <w:lang w:val="en-US" w:eastAsia="zh-CN"/>
        </w:rPr>
        <w:t>第一</w:t>
      </w:r>
      <w:r>
        <w:rPr>
          <w:rFonts w:hint="eastAsia"/>
          <w:color w:val="auto"/>
        </w:rPr>
        <w:t>阶段</w:t>
      </w:r>
      <w:r>
        <w:rPr>
          <w:rFonts w:hint="eastAsia"/>
          <w:color w:val="auto"/>
          <w:lang w:val="en-US" w:eastAsia="zh-CN"/>
        </w:rPr>
        <w:t>3个月，完成</w:t>
      </w:r>
      <w:r>
        <w:rPr>
          <w:rFonts w:hint="eastAsia"/>
          <w:color w:val="auto"/>
        </w:rPr>
        <w:t>规划设计</w:t>
      </w:r>
      <w:r>
        <w:rPr>
          <w:rFonts w:hint="eastAsia"/>
          <w:color w:val="auto"/>
          <w:lang w:eastAsia="zh-CN"/>
        </w:rPr>
        <w:t>；</w:t>
      </w:r>
    </w:p>
    <w:p w14:paraId="2A1E76DE">
      <w:pPr>
        <w:rPr>
          <w:rFonts w:hint="eastAsia"/>
          <w:color w:val="auto"/>
          <w:lang w:eastAsia="zh-CN"/>
        </w:rPr>
      </w:pPr>
      <w:r>
        <w:rPr>
          <w:rFonts w:hint="eastAsia"/>
          <w:color w:val="auto"/>
          <w:lang w:val="en-US" w:eastAsia="zh-CN"/>
        </w:rPr>
        <w:t>第二阶段12个月，完成</w:t>
      </w:r>
      <w:r>
        <w:rPr>
          <w:rFonts w:hint="eastAsia"/>
          <w:color w:val="auto"/>
        </w:rPr>
        <w:t>开发测试</w:t>
      </w:r>
      <w:r>
        <w:rPr>
          <w:rFonts w:hint="eastAsia"/>
          <w:color w:val="auto"/>
          <w:lang w:eastAsia="zh-CN"/>
        </w:rPr>
        <w:t>；</w:t>
      </w:r>
    </w:p>
    <w:p w14:paraId="30C3D252">
      <w:pPr>
        <w:rPr>
          <w:rFonts w:hint="eastAsia" w:eastAsia="宋体"/>
          <w:color w:val="auto"/>
          <w:lang w:eastAsia="zh-CN"/>
        </w:rPr>
      </w:pPr>
      <w:r>
        <w:rPr>
          <w:rFonts w:hint="eastAsia"/>
          <w:color w:val="auto"/>
          <w:lang w:val="en-US" w:eastAsia="zh-CN"/>
        </w:rPr>
        <w:t>第三阶段3个月，完成</w:t>
      </w:r>
      <w:r>
        <w:rPr>
          <w:rFonts w:hint="eastAsia"/>
          <w:color w:val="auto"/>
        </w:rPr>
        <w:t>试运行和迭代开发</w:t>
      </w:r>
      <w:r>
        <w:rPr>
          <w:rFonts w:hint="eastAsia"/>
          <w:color w:val="auto"/>
          <w:lang w:eastAsia="zh-CN"/>
        </w:rPr>
        <w:t>；</w:t>
      </w:r>
    </w:p>
    <w:p w14:paraId="3EE45B5B">
      <w:pPr>
        <w:rPr>
          <w:rFonts w:hint="eastAsia"/>
          <w:color w:val="auto"/>
          <w:lang w:eastAsia="zh-CN"/>
        </w:rPr>
      </w:pPr>
      <w:r>
        <w:rPr>
          <w:rFonts w:hint="eastAsia"/>
          <w:color w:val="auto"/>
          <w:lang w:val="en-US" w:eastAsia="zh-CN"/>
        </w:rPr>
        <w:t>第四阶段至2026年12月31日前，完成最终</w:t>
      </w:r>
      <w:r>
        <w:rPr>
          <w:rFonts w:hint="eastAsia"/>
          <w:color w:val="auto"/>
        </w:rPr>
        <w:t>验收</w:t>
      </w:r>
      <w:r>
        <w:rPr>
          <w:rFonts w:hint="eastAsia"/>
          <w:color w:val="auto"/>
          <w:lang w:eastAsia="zh-CN"/>
        </w:rPr>
        <w:t>。</w:t>
      </w:r>
    </w:p>
    <w:p w14:paraId="52BC265E">
      <w:pPr>
        <w:rPr>
          <w:rFonts w:hint="eastAsia"/>
          <w:color w:val="auto"/>
          <w:highlight w:val="yellow"/>
        </w:rPr>
      </w:pPr>
      <w:r>
        <w:rPr>
          <w:rFonts w:hint="eastAsia"/>
          <w:color w:val="auto"/>
        </w:rPr>
        <w:t>在试运行阶段，供应商需协助采购人对系统进行全面测试和优化，确保系统满足业务需求。</w:t>
      </w:r>
    </w:p>
    <w:p w14:paraId="75103147">
      <w:pPr>
        <w:pStyle w:val="3"/>
        <w:rPr>
          <w:color w:val="auto"/>
          <w:highlight w:val="none"/>
        </w:rPr>
      </w:pPr>
      <w:bookmarkStart w:id="61" w:name="_Toc63785510"/>
      <w:r>
        <w:rPr>
          <w:rFonts w:hint="eastAsia"/>
          <w:color w:val="auto"/>
          <w:highlight w:val="none"/>
        </w:rPr>
        <w:t>项目团队及驻场人员要求</w:t>
      </w:r>
      <w:bookmarkEnd w:id="61"/>
    </w:p>
    <w:p w14:paraId="5142493B">
      <w:pPr>
        <w:rPr>
          <w:rFonts w:hint="eastAsia"/>
          <w:color w:val="auto"/>
        </w:rPr>
      </w:pPr>
      <w:r>
        <w:rPr>
          <w:rFonts w:hint="eastAsia"/>
          <w:color w:val="auto"/>
        </w:rPr>
        <w:t>项目团队需配备项目经理1名，负责项目整体规划、协调和推进；系统架构师1名，负责系统架构设计和优化；</w:t>
      </w:r>
      <w:r>
        <w:rPr>
          <w:rFonts w:hint="eastAsia"/>
          <w:color w:val="auto"/>
          <w:lang w:val="en-US" w:eastAsia="zh-CN"/>
        </w:rPr>
        <w:t>研发工程师技术团队应针对本项目提供不少于38人的项目开发团队（包括</w:t>
      </w:r>
      <w:r>
        <w:rPr>
          <w:rFonts w:hint="eastAsia" w:ascii="宋体" w:hAnsi="宋体" w:eastAsia="宋体"/>
          <w:color w:val="auto"/>
          <w:sz w:val="24"/>
          <w:szCs w:val="24"/>
          <w:lang w:val="en-US" w:eastAsia="zh-CN"/>
        </w:rPr>
        <w:t>系统分析师、软件设计师</w:t>
      </w:r>
      <w:r>
        <w:rPr>
          <w:rFonts w:hint="eastAsia" w:ascii="宋体" w:hAnsi="宋体" w:eastAsia="宋体"/>
          <w:color w:val="auto"/>
          <w:lang w:val="en-US" w:eastAsia="zh-CN"/>
        </w:rPr>
        <w:t>、研发、测</w:t>
      </w:r>
      <w:r>
        <w:rPr>
          <w:rFonts w:hint="eastAsia"/>
          <w:color w:val="auto"/>
          <w:lang w:val="en-US" w:eastAsia="zh-CN"/>
        </w:rPr>
        <w:t>试等）</w:t>
      </w:r>
      <w:r>
        <w:rPr>
          <w:rFonts w:hint="eastAsia"/>
          <w:color w:val="auto"/>
        </w:rPr>
        <w:t>负责系统功能开发和调试。所有人员</w:t>
      </w:r>
      <w:r>
        <w:rPr>
          <w:rFonts w:hint="eastAsia"/>
          <w:color w:val="auto"/>
          <w:lang w:eastAsia="zh-CN"/>
        </w:rPr>
        <w:t>需具备</w:t>
      </w:r>
      <w:r>
        <w:rPr>
          <w:rFonts w:hint="eastAsia"/>
          <w:color w:val="auto"/>
        </w:rPr>
        <w:t>相关专业背景和丰富的项目经验，其中项目经理和系统架构师</w:t>
      </w:r>
      <w:r>
        <w:rPr>
          <w:rFonts w:hint="eastAsia"/>
          <w:color w:val="auto"/>
          <w:lang w:eastAsia="zh-CN"/>
        </w:rPr>
        <w:t>需具备</w:t>
      </w:r>
      <w:r>
        <w:rPr>
          <w:rFonts w:hint="eastAsia"/>
          <w:color w:val="auto"/>
        </w:rPr>
        <w:t>5年以上类似项目经验，其他人员</w:t>
      </w:r>
      <w:r>
        <w:rPr>
          <w:rFonts w:hint="eastAsia"/>
          <w:color w:val="auto"/>
          <w:lang w:eastAsia="zh-CN"/>
        </w:rPr>
        <w:t>需具备</w:t>
      </w:r>
      <w:r>
        <w:rPr>
          <w:rFonts w:hint="eastAsia"/>
          <w:color w:val="auto"/>
        </w:rPr>
        <w:t>3年以上相关工作经验。本项目有驻场需求，驻场人员</w:t>
      </w:r>
      <w:r>
        <w:rPr>
          <w:rFonts w:hint="eastAsia"/>
          <w:color w:val="auto"/>
          <w:lang w:eastAsia="zh-CN"/>
        </w:rPr>
        <w:t>需具备</w:t>
      </w:r>
      <w:r>
        <w:rPr>
          <w:rFonts w:hint="eastAsia"/>
          <w:color w:val="auto"/>
        </w:rPr>
        <w:t>良好的沟通能力和问题解决能力，能够及时响应采购人的需求，驻场时间不少于6个月。</w:t>
      </w:r>
    </w:p>
    <w:p w14:paraId="5C5CFA55">
      <w:pPr>
        <w:numPr>
          <w:ilvl w:val="0"/>
          <w:numId w:val="30"/>
        </w:numPr>
        <w:rPr>
          <w:rFonts w:hint="eastAsia"/>
          <w:color w:val="auto"/>
        </w:rPr>
      </w:pPr>
      <w:r>
        <w:rPr>
          <w:color w:val="auto"/>
        </w:rPr>
        <w:t>投标人</w:t>
      </w:r>
      <w:r>
        <w:rPr>
          <w:rFonts w:hint="eastAsia"/>
          <w:color w:val="auto"/>
          <w:lang w:eastAsia="zh-CN"/>
        </w:rPr>
        <w:t>需</w:t>
      </w:r>
      <w:r>
        <w:rPr>
          <w:color w:val="auto"/>
        </w:rPr>
        <w:t>具有稳定的在职技术保障力量，能够提供及时的技术支援或服务，应针对本项目提供不少于</w:t>
      </w:r>
      <w:r>
        <w:rPr>
          <w:rFonts w:hint="eastAsia"/>
          <w:color w:val="auto"/>
          <w:lang w:val="en-US" w:eastAsia="zh-CN"/>
        </w:rPr>
        <w:t>40</w:t>
      </w:r>
      <w:r>
        <w:rPr>
          <w:color w:val="auto"/>
        </w:rPr>
        <w:t>人的项目服务团队（包括项目经理、产品经理、</w:t>
      </w:r>
      <w:r>
        <w:rPr>
          <w:rFonts w:hint="eastAsia"/>
          <w:color w:val="auto"/>
        </w:rPr>
        <w:t>架构师</w:t>
      </w:r>
      <w:r>
        <w:rPr>
          <w:color w:val="auto"/>
        </w:rPr>
        <w:t>、研发等），投标单位的相关服务人员</w:t>
      </w:r>
      <w:r>
        <w:rPr>
          <w:rFonts w:hint="eastAsia"/>
          <w:color w:val="auto"/>
          <w:lang w:eastAsia="zh-CN"/>
        </w:rPr>
        <w:t>需具备</w:t>
      </w:r>
      <w:r>
        <w:rPr>
          <w:color w:val="auto"/>
        </w:rPr>
        <w:t>相应的服务能力，需提供相关证明。</w:t>
      </w:r>
    </w:p>
    <w:tbl>
      <w:tblPr>
        <w:tblStyle w:val="36"/>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286"/>
        <w:gridCol w:w="2292"/>
        <w:gridCol w:w="993"/>
        <w:gridCol w:w="2977"/>
        <w:gridCol w:w="1109"/>
      </w:tblGrid>
      <w:tr w14:paraId="0258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5" w:hRule="atLeast"/>
          <w:jc w:val="center"/>
        </w:trPr>
        <w:tc>
          <w:tcPr>
            <w:tcW w:w="1286" w:type="dxa"/>
            <w:vAlign w:val="center"/>
          </w:tcPr>
          <w:p w14:paraId="3EFBAA29">
            <w:pPr>
              <w:widowControl/>
              <w:spacing w:line="240" w:lineRule="auto"/>
              <w:ind w:firstLine="0" w:firstLineChars="0"/>
              <w:jc w:val="center"/>
              <w:rPr>
                <w:rFonts w:hint="eastAsia"/>
                <w:b/>
                <w:color w:val="auto"/>
                <w:sz w:val="21"/>
                <w:szCs w:val="21"/>
              </w:rPr>
            </w:pPr>
            <w:r>
              <w:rPr>
                <w:rFonts w:hint="eastAsia"/>
                <w:b/>
                <w:color w:val="auto"/>
                <w:sz w:val="21"/>
                <w:szCs w:val="21"/>
              </w:rPr>
              <w:t>角色</w:t>
            </w:r>
          </w:p>
        </w:tc>
        <w:tc>
          <w:tcPr>
            <w:tcW w:w="2292" w:type="dxa"/>
            <w:vAlign w:val="center"/>
          </w:tcPr>
          <w:p w14:paraId="6D02AB23">
            <w:pPr>
              <w:widowControl/>
              <w:spacing w:line="240" w:lineRule="auto"/>
              <w:ind w:firstLine="0" w:firstLineChars="0"/>
              <w:jc w:val="center"/>
              <w:rPr>
                <w:rFonts w:hint="eastAsia"/>
                <w:b/>
                <w:color w:val="auto"/>
                <w:sz w:val="21"/>
                <w:szCs w:val="21"/>
              </w:rPr>
            </w:pPr>
            <w:r>
              <w:rPr>
                <w:rFonts w:hint="eastAsia"/>
                <w:b/>
                <w:color w:val="auto"/>
                <w:sz w:val="21"/>
                <w:szCs w:val="21"/>
              </w:rPr>
              <w:t>主要职责</w:t>
            </w:r>
          </w:p>
        </w:tc>
        <w:tc>
          <w:tcPr>
            <w:tcW w:w="993" w:type="dxa"/>
            <w:vAlign w:val="center"/>
          </w:tcPr>
          <w:p w14:paraId="3DC564D6">
            <w:pPr>
              <w:widowControl/>
              <w:spacing w:line="240" w:lineRule="auto"/>
              <w:ind w:firstLine="0" w:firstLineChars="0"/>
              <w:jc w:val="center"/>
              <w:rPr>
                <w:rFonts w:hint="eastAsia"/>
                <w:b/>
                <w:color w:val="auto"/>
                <w:sz w:val="21"/>
                <w:szCs w:val="21"/>
              </w:rPr>
            </w:pPr>
            <w:r>
              <w:rPr>
                <w:rFonts w:hint="eastAsia"/>
                <w:b/>
                <w:color w:val="auto"/>
                <w:sz w:val="21"/>
                <w:szCs w:val="21"/>
              </w:rPr>
              <w:t>人员数量</w:t>
            </w:r>
          </w:p>
        </w:tc>
        <w:tc>
          <w:tcPr>
            <w:tcW w:w="2977" w:type="dxa"/>
            <w:vAlign w:val="center"/>
          </w:tcPr>
          <w:p w14:paraId="5613C2DC">
            <w:pPr>
              <w:widowControl/>
              <w:spacing w:line="240" w:lineRule="auto"/>
              <w:ind w:firstLine="0" w:firstLineChars="0"/>
              <w:jc w:val="center"/>
              <w:rPr>
                <w:rFonts w:hint="eastAsia"/>
                <w:b/>
                <w:color w:val="auto"/>
                <w:sz w:val="21"/>
                <w:szCs w:val="21"/>
              </w:rPr>
            </w:pPr>
            <w:r>
              <w:rPr>
                <w:rFonts w:hint="eastAsia"/>
                <w:b/>
                <w:color w:val="auto"/>
                <w:sz w:val="21"/>
                <w:szCs w:val="21"/>
              </w:rPr>
              <w:t>人员要求</w:t>
            </w:r>
          </w:p>
        </w:tc>
        <w:tc>
          <w:tcPr>
            <w:tcW w:w="1109" w:type="dxa"/>
            <w:vAlign w:val="center"/>
          </w:tcPr>
          <w:p w14:paraId="65F37574">
            <w:pPr>
              <w:widowControl/>
              <w:spacing w:line="240" w:lineRule="auto"/>
              <w:ind w:firstLine="0" w:firstLineChars="0"/>
              <w:jc w:val="center"/>
              <w:rPr>
                <w:rFonts w:hint="eastAsia"/>
                <w:b/>
                <w:color w:val="auto"/>
                <w:sz w:val="21"/>
                <w:szCs w:val="21"/>
              </w:rPr>
            </w:pPr>
            <w:r>
              <w:rPr>
                <w:rFonts w:hint="eastAsia"/>
                <w:b/>
                <w:color w:val="auto"/>
                <w:sz w:val="21"/>
                <w:szCs w:val="21"/>
              </w:rPr>
              <w:t>驻场要求</w:t>
            </w:r>
          </w:p>
        </w:tc>
      </w:tr>
      <w:tr w14:paraId="792F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9" w:hRule="atLeast"/>
          <w:jc w:val="center"/>
        </w:trPr>
        <w:tc>
          <w:tcPr>
            <w:tcW w:w="1286" w:type="dxa"/>
            <w:vAlign w:val="center"/>
          </w:tcPr>
          <w:p w14:paraId="74B29254">
            <w:pPr>
              <w:widowControl/>
              <w:spacing w:line="240" w:lineRule="auto"/>
              <w:ind w:firstLine="0" w:firstLineChars="0"/>
              <w:jc w:val="center"/>
              <w:rPr>
                <w:rFonts w:hint="eastAsia"/>
                <w:color w:val="auto"/>
                <w:sz w:val="21"/>
                <w:szCs w:val="21"/>
              </w:rPr>
            </w:pPr>
            <w:r>
              <w:rPr>
                <w:rFonts w:hint="eastAsia"/>
                <w:color w:val="auto"/>
                <w:sz w:val="21"/>
                <w:szCs w:val="21"/>
              </w:rPr>
              <w:t>项目经理</w:t>
            </w:r>
          </w:p>
        </w:tc>
        <w:tc>
          <w:tcPr>
            <w:tcW w:w="2292" w:type="dxa"/>
            <w:vAlign w:val="center"/>
          </w:tcPr>
          <w:p w14:paraId="202A3C0E">
            <w:pPr>
              <w:widowControl/>
              <w:spacing w:line="240" w:lineRule="auto"/>
              <w:ind w:firstLine="0" w:firstLineChars="0"/>
              <w:jc w:val="center"/>
              <w:rPr>
                <w:rFonts w:hint="eastAsia"/>
                <w:color w:val="auto"/>
                <w:sz w:val="21"/>
                <w:szCs w:val="21"/>
              </w:rPr>
            </w:pPr>
            <w:r>
              <w:rPr>
                <w:rFonts w:hint="eastAsia"/>
                <w:color w:val="auto"/>
                <w:sz w:val="21"/>
                <w:szCs w:val="21"/>
              </w:rPr>
              <w:t>负责项目质量和进度控制</w:t>
            </w:r>
          </w:p>
        </w:tc>
        <w:tc>
          <w:tcPr>
            <w:tcW w:w="993" w:type="dxa"/>
            <w:vAlign w:val="center"/>
          </w:tcPr>
          <w:p w14:paraId="5215D877">
            <w:pPr>
              <w:widowControl/>
              <w:spacing w:line="240" w:lineRule="auto"/>
              <w:ind w:firstLine="0" w:firstLineChars="0"/>
              <w:jc w:val="center"/>
              <w:rPr>
                <w:rFonts w:hint="eastAsia"/>
                <w:color w:val="auto"/>
                <w:sz w:val="21"/>
                <w:szCs w:val="21"/>
              </w:rPr>
            </w:pPr>
            <w:r>
              <w:rPr>
                <w:rFonts w:hint="eastAsia"/>
                <w:color w:val="auto"/>
                <w:sz w:val="21"/>
                <w:szCs w:val="21"/>
              </w:rPr>
              <w:t>1人</w:t>
            </w:r>
          </w:p>
        </w:tc>
        <w:tc>
          <w:tcPr>
            <w:tcW w:w="2977" w:type="dxa"/>
            <w:vAlign w:val="center"/>
          </w:tcPr>
          <w:p w14:paraId="71C16BD4">
            <w:pPr>
              <w:widowControl/>
              <w:spacing w:line="240" w:lineRule="auto"/>
              <w:ind w:firstLine="0" w:firstLineChars="0"/>
              <w:jc w:val="left"/>
              <w:rPr>
                <w:rFonts w:hint="eastAsia" w:eastAsia="宋体"/>
                <w:color w:val="auto"/>
                <w:sz w:val="21"/>
                <w:szCs w:val="21"/>
                <w:lang w:eastAsia="zh-CN"/>
              </w:rPr>
            </w:pPr>
            <w:r>
              <w:rPr>
                <w:rFonts w:hint="eastAsia"/>
                <w:color w:val="auto"/>
                <w:sz w:val="21"/>
                <w:szCs w:val="21"/>
              </w:rPr>
              <w:t>本科及以上学历，具备信息系统项目管理师（高级）证书</w:t>
            </w:r>
            <w:r>
              <w:rPr>
                <w:rFonts w:hint="eastAsia"/>
                <w:color w:val="auto"/>
                <w:sz w:val="21"/>
                <w:szCs w:val="21"/>
                <w:lang w:eastAsia="zh-CN"/>
              </w:rPr>
              <w:t>、</w:t>
            </w:r>
            <w:r>
              <w:rPr>
                <w:rFonts w:hint="eastAsia" w:ascii="宋体" w:hAnsi="宋体" w:eastAsia="宋体" w:cs="宋体"/>
                <w:i w:val="0"/>
                <w:iCs w:val="0"/>
                <w:color w:val="auto"/>
                <w:kern w:val="0"/>
                <w:sz w:val="21"/>
                <w:szCs w:val="21"/>
                <w:highlight w:val="none"/>
                <w:u w:val="none"/>
                <w:lang w:val="en-US" w:eastAsia="zh-CN"/>
              </w:rPr>
              <w:t>系统架构师（高级）证书</w:t>
            </w:r>
            <w:r>
              <w:rPr>
                <w:rFonts w:hint="eastAsia"/>
                <w:color w:val="auto"/>
                <w:sz w:val="21"/>
                <w:szCs w:val="21"/>
                <w:lang w:eastAsia="zh-CN"/>
              </w:rPr>
              <w:t>，</w:t>
            </w:r>
            <w:r>
              <w:rPr>
                <w:rFonts w:hint="eastAsia"/>
                <w:color w:val="auto"/>
                <w:sz w:val="21"/>
                <w:szCs w:val="21"/>
                <w:lang w:val="en-US" w:eastAsia="zh-CN"/>
              </w:rPr>
              <w:t>5</w:t>
            </w:r>
            <w:r>
              <w:rPr>
                <w:rFonts w:hint="eastAsia"/>
                <w:color w:val="auto"/>
                <w:sz w:val="21"/>
                <w:szCs w:val="21"/>
              </w:rPr>
              <w:t>年以上同类项目经验</w:t>
            </w:r>
          </w:p>
        </w:tc>
        <w:tc>
          <w:tcPr>
            <w:tcW w:w="1109" w:type="dxa"/>
            <w:vAlign w:val="center"/>
          </w:tcPr>
          <w:p w14:paraId="067CB754">
            <w:pPr>
              <w:widowControl/>
              <w:spacing w:line="240" w:lineRule="auto"/>
              <w:ind w:firstLine="0" w:firstLineChars="0"/>
              <w:jc w:val="both"/>
              <w:rPr>
                <w:rFonts w:hint="eastAsia"/>
                <w:color w:val="auto"/>
                <w:sz w:val="21"/>
                <w:szCs w:val="21"/>
              </w:rPr>
            </w:pPr>
            <w:r>
              <w:rPr>
                <w:rFonts w:hint="eastAsia"/>
                <w:color w:val="auto"/>
                <w:sz w:val="21"/>
                <w:szCs w:val="21"/>
              </w:rPr>
              <w:t>驻场</w:t>
            </w:r>
          </w:p>
        </w:tc>
      </w:tr>
      <w:tr w14:paraId="2CDD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9" w:hRule="atLeast"/>
          <w:jc w:val="center"/>
        </w:trPr>
        <w:tc>
          <w:tcPr>
            <w:tcW w:w="1286" w:type="dxa"/>
            <w:vAlign w:val="center"/>
          </w:tcPr>
          <w:p w14:paraId="57B67E07">
            <w:pPr>
              <w:widowControl/>
              <w:spacing w:line="240" w:lineRule="auto"/>
              <w:ind w:firstLine="0" w:firstLineChars="0"/>
              <w:jc w:val="center"/>
              <w:rPr>
                <w:rFonts w:hint="eastAsia"/>
                <w:color w:val="auto"/>
                <w:sz w:val="21"/>
                <w:szCs w:val="21"/>
              </w:rPr>
            </w:pPr>
            <w:r>
              <w:rPr>
                <w:rFonts w:hint="eastAsia"/>
                <w:color w:val="auto"/>
                <w:sz w:val="21"/>
                <w:szCs w:val="21"/>
              </w:rPr>
              <w:t>系统架构师</w:t>
            </w:r>
          </w:p>
        </w:tc>
        <w:tc>
          <w:tcPr>
            <w:tcW w:w="2292" w:type="dxa"/>
            <w:vAlign w:val="center"/>
          </w:tcPr>
          <w:p w14:paraId="25037799">
            <w:pPr>
              <w:widowControl/>
              <w:spacing w:line="240" w:lineRule="auto"/>
              <w:ind w:firstLine="0" w:firstLineChars="0"/>
              <w:jc w:val="center"/>
              <w:rPr>
                <w:rFonts w:hint="eastAsia"/>
                <w:color w:val="auto"/>
                <w:sz w:val="21"/>
                <w:szCs w:val="21"/>
              </w:rPr>
            </w:pPr>
            <w:r>
              <w:rPr>
                <w:rFonts w:hint="eastAsia"/>
                <w:color w:val="auto"/>
                <w:sz w:val="21"/>
                <w:szCs w:val="21"/>
              </w:rPr>
              <w:t>负责系统架构设计和优化</w:t>
            </w:r>
          </w:p>
        </w:tc>
        <w:tc>
          <w:tcPr>
            <w:tcW w:w="993" w:type="dxa"/>
            <w:vAlign w:val="center"/>
          </w:tcPr>
          <w:p w14:paraId="4575CFA0">
            <w:pPr>
              <w:widowControl/>
              <w:spacing w:line="240" w:lineRule="auto"/>
              <w:ind w:firstLine="0" w:firstLineChars="0"/>
              <w:jc w:val="center"/>
              <w:rPr>
                <w:rFonts w:hint="eastAsia"/>
                <w:color w:val="auto"/>
                <w:sz w:val="21"/>
                <w:szCs w:val="21"/>
              </w:rPr>
            </w:pPr>
            <w:r>
              <w:rPr>
                <w:rFonts w:hint="eastAsia"/>
                <w:color w:val="auto"/>
                <w:sz w:val="21"/>
                <w:szCs w:val="21"/>
              </w:rPr>
              <w:t>1人</w:t>
            </w:r>
          </w:p>
        </w:tc>
        <w:tc>
          <w:tcPr>
            <w:tcW w:w="2977" w:type="dxa"/>
            <w:vAlign w:val="center"/>
          </w:tcPr>
          <w:p w14:paraId="30EF3FD7">
            <w:pPr>
              <w:widowControl/>
              <w:spacing w:line="240" w:lineRule="auto"/>
              <w:ind w:firstLine="0" w:firstLineChars="0"/>
              <w:jc w:val="left"/>
              <w:rPr>
                <w:rFonts w:hint="eastAsia"/>
                <w:color w:val="auto"/>
                <w:sz w:val="21"/>
                <w:szCs w:val="21"/>
              </w:rPr>
            </w:pPr>
            <w:r>
              <w:rPr>
                <w:rFonts w:hint="eastAsia"/>
                <w:color w:val="auto"/>
                <w:sz w:val="21"/>
                <w:szCs w:val="21"/>
              </w:rPr>
              <w:t>本科及以上学历，</w:t>
            </w:r>
            <w:r>
              <w:rPr>
                <w:rFonts w:hint="eastAsia"/>
                <w:color w:val="auto"/>
                <w:sz w:val="21"/>
                <w:szCs w:val="21"/>
                <w:lang w:val="en-US" w:eastAsia="zh-CN"/>
              </w:rPr>
              <w:t>具备</w:t>
            </w:r>
            <w:r>
              <w:rPr>
                <w:rFonts w:hint="eastAsia" w:ascii="宋体" w:hAnsi="宋体" w:eastAsia="宋体" w:cs="宋体"/>
                <w:i w:val="0"/>
                <w:iCs w:val="0"/>
                <w:color w:val="auto"/>
                <w:kern w:val="0"/>
                <w:sz w:val="21"/>
                <w:szCs w:val="21"/>
                <w:u w:val="none"/>
                <w:lang w:val="en-US" w:eastAsia="zh-CN"/>
              </w:rPr>
              <w:t>系统架构师（高级）证书，</w:t>
            </w:r>
            <w:r>
              <w:rPr>
                <w:rFonts w:hint="eastAsia"/>
                <w:color w:val="auto"/>
                <w:sz w:val="21"/>
                <w:szCs w:val="21"/>
                <w:lang w:val="en-US" w:eastAsia="zh-CN"/>
              </w:rPr>
              <w:t>5</w:t>
            </w:r>
            <w:r>
              <w:rPr>
                <w:rFonts w:hint="eastAsia"/>
                <w:color w:val="auto"/>
                <w:sz w:val="21"/>
                <w:szCs w:val="21"/>
              </w:rPr>
              <w:t>年以上同类项目经验</w:t>
            </w:r>
          </w:p>
        </w:tc>
        <w:tc>
          <w:tcPr>
            <w:tcW w:w="1109" w:type="dxa"/>
            <w:vAlign w:val="top"/>
          </w:tcPr>
          <w:p w14:paraId="4FBAF722">
            <w:pPr>
              <w:ind w:firstLine="0" w:firstLineChars="0"/>
              <w:rPr>
                <w:rFonts w:hint="eastAsia"/>
                <w:color w:val="auto"/>
                <w:sz w:val="21"/>
                <w:szCs w:val="21"/>
              </w:rPr>
            </w:pPr>
            <w:r>
              <w:rPr>
                <w:rFonts w:hint="eastAsia"/>
                <w:color w:val="auto"/>
                <w:sz w:val="21"/>
                <w:szCs w:val="21"/>
                <w:lang w:val="en-US" w:eastAsia="zh-CN"/>
              </w:rPr>
              <w:t>非</w:t>
            </w:r>
            <w:r>
              <w:rPr>
                <w:rFonts w:hint="eastAsia"/>
                <w:color w:val="auto"/>
                <w:sz w:val="21"/>
                <w:szCs w:val="21"/>
              </w:rPr>
              <w:t>驻场</w:t>
            </w:r>
          </w:p>
        </w:tc>
      </w:tr>
      <w:tr w14:paraId="3CF2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9" w:hRule="atLeast"/>
          <w:jc w:val="center"/>
        </w:trPr>
        <w:tc>
          <w:tcPr>
            <w:tcW w:w="1286" w:type="dxa"/>
            <w:vAlign w:val="center"/>
          </w:tcPr>
          <w:p w14:paraId="50CA897A">
            <w:pPr>
              <w:widowControl/>
              <w:spacing w:line="240" w:lineRule="auto"/>
              <w:ind w:firstLine="0" w:firstLineChars="0"/>
              <w:jc w:val="center"/>
              <w:rPr>
                <w:rFonts w:hint="eastAsia"/>
                <w:color w:val="auto"/>
                <w:sz w:val="21"/>
                <w:szCs w:val="21"/>
              </w:rPr>
            </w:pPr>
            <w:r>
              <w:rPr>
                <w:rFonts w:hint="eastAsia"/>
                <w:color w:val="auto"/>
                <w:sz w:val="21"/>
                <w:szCs w:val="21"/>
              </w:rPr>
              <w:t>开发工程师</w:t>
            </w:r>
          </w:p>
        </w:tc>
        <w:tc>
          <w:tcPr>
            <w:tcW w:w="2292" w:type="dxa"/>
            <w:vAlign w:val="center"/>
          </w:tcPr>
          <w:p w14:paraId="5D7F09B4">
            <w:pPr>
              <w:widowControl/>
              <w:spacing w:line="240" w:lineRule="auto"/>
              <w:ind w:firstLine="0" w:firstLineChars="0"/>
              <w:jc w:val="center"/>
              <w:rPr>
                <w:rFonts w:hint="eastAsia"/>
                <w:color w:val="auto"/>
                <w:sz w:val="21"/>
                <w:szCs w:val="21"/>
              </w:rPr>
            </w:pPr>
            <w:r>
              <w:rPr>
                <w:rFonts w:hint="eastAsia"/>
                <w:color w:val="auto"/>
                <w:sz w:val="21"/>
                <w:szCs w:val="21"/>
              </w:rPr>
              <w:t>负责系统功能开发和调试</w:t>
            </w:r>
          </w:p>
        </w:tc>
        <w:tc>
          <w:tcPr>
            <w:tcW w:w="993" w:type="dxa"/>
            <w:vAlign w:val="center"/>
          </w:tcPr>
          <w:p w14:paraId="0AF670D1">
            <w:pPr>
              <w:widowControl/>
              <w:spacing w:line="240" w:lineRule="auto"/>
              <w:ind w:firstLine="0" w:firstLineChars="0"/>
              <w:jc w:val="center"/>
              <w:rPr>
                <w:rFonts w:hint="eastAsia"/>
                <w:color w:val="auto"/>
                <w:sz w:val="21"/>
                <w:szCs w:val="21"/>
              </w:rPr>
            </w:pPr>
            <w:r>
              <w:rPr>
                <w:rFonts w:hint="eastAsia"/>
                <w:color w:val="auto"/>
                <w:sz w:val="21"/>
                <w:szCs w:val="21"/>
                <w:lang w:val="en-US" w:eastAsia="zh-CN"/>
              </w:rPr>
              <w:t>38</w:t>
            </w:r>
            <w:r>
              <w:rPr>
                <w:rFonts w:hint="eastAsia"/>
                <w:color w:val="auto"/>
                <w:sz w:val="21"/>
                <w:szCs w:val="21"/>
              </w:rPr>
              <w:t>人</w:t>
            </w:r>
          </w:p>
        </w:tc>
        <w:tc>
          <w:tcPr>
            <w:tcW w:w="2977" w:type="dxa"/>
            <w:vAlign w:val="center"/>
          </w:tcPr>
          <w:p w14:paraId="09ED781E">
            <w:pPr>
              <w:widowControl/>
              <w:spacing w:line="240" w:lineRule="auto"/>
              <w:ind w:firstLine="0" w:firstLineChars="0"/>
              <w:jc w:val="left"/>
              <w:rPr>
                <w:rFonts w:hint="eastAsia"/>
                <w:color w:val="auto"/>
                <w:sz w:val="21"/>
                <w:szCs w:val="21"/>
              </w:rPr>
            </w:pPr>
            <w:r>
              <w:rPr>
                <w:rFonts w:hint="eastAsia"/>
                <w:color w:val="auto"/>
                <w:sz w:val="21"/>
                <w:szCs w:val="21"/>
              </w:rPr>
              <w:t>本科及以上学历，具备3年以上同类项目经验</w:t>
            </w:r>
          </w:p>
        </w:tc>
        <w:tc>
          <w:tcPr>
            <w:tcW w:w="1109" w:type="dxa"/>
            <w:vAlign w:val="top"/>
          </w:tcPr>
          <w:p w14:paraId="085C691A">
            <w:pPr>
              <w:ind w:firstLine="0" w:firstLineChars="0"/>
              <w:rPr>
                <w:rFonts w:hint="eastAsia"/>
                <w:color w:val="auto"/>
                <w:sz w:val="21"/>
                <w:szCs w:val="21"/>
              </w:rPr>
            </w:pPr>
            <w:r>
              <w:rPr>
                <w:rFonts w:hint="eastAsia"/>
                <w:color w:val="auto"/>
                <w:sz w:val="21"/>
                <w:szCs w:val="21"/>
                <w:lang w:val="en-US" w:eastAsia="zh-CN"/>
              </w:rPr>
              <w:t>15人</w:t>
            </w:r>
            <w:r>
              <w:rPr>
                <w:rFonts w:hint="eastAsia"/>
                <w:color w:val="auto"/>
                <w:sz w:val="21"/>
                <w:szCs w:val="21"/>
              </w:rPr>
              <w:t>驻场</w:t>
            </w:r>
          </w:p>
        </w:tc>
      </w:tr>
    </w:tbl>
    <w:p w14:paraId="0F71634A">
      <w:pPr>
        <w:ind w:firstLine="0" w:firstLineChars="0"/>
        <w:rPr>
          <w:rFonts w:hint="eastAsia"/>
          <w:color w:val="auto"/>
        </w:rPr>
      </w:pPr>
    </w:p>
    <w:p w14:paraId="6485CB66">
      <w:pPr>
        <w:rPr>
          <w:rFonts w:hint="eastAsia"/>
          <w:color w:val="auto"/>
        </w:rPr>
      </w:pPr>
      <w:r>
        <w:rPr>
          <w:color w:val="auto"/>
        </w:rPr>
        <w:t>2）投标人应针对本项目提供不少于</w:t>
      </w:r>
      <w:r>
        <w:rPr>
          <w:rFonts w:hint="eastAsia"/>
          <w:color w:val="auto"/>
          <w:lang w:val="en-US" w:eastAsia="zh-CN"/>
        </w:rPr>
        <w:t>5</w:t>
      </w:r>
      <w:r>
        <w:rPr>
          <w:color w:val="auto"/>
        </w:rPr>
        <w:t>人的质保期间支撑团队（其中技术经理</w:t>
      </w:r>
      <w:r>
        <w:rPr>
          <w:rFonts w:hint="eastAsia"/>
          <w:color w:val="auto"/>
        </w:rPr>
        <w:t>1</w:t>
      </w:r>
      <w:r>
        <w:rPr>
          <w:color w:val="auto"/>
        </w:rPr>
        <w:t>人，技术工程师不少于</w:t>
      </w:r>
      <w:r>
        <w:rPr>
          <w:rFonts w:hint="eastAsia"/>
          <w:color w:val="auto"/>
          <w:lang w:val="en-US" w:eastAsia="zh-CN"/>
        </w:rPr>
        <w:t>4</w:t>
      </w:r>
      <w:r>
        <w:rPr>
          <w:color w:val="auto"/>
        </w:rPr>
        <w:t>人）；投标人的相关服务人员</w:t>
      </w:r>
      <w:r>
        <w:rPr>
          <w:rFonts w:hint="eastAsia"/>
          <w:color w:val="auto"/>
          <w:lang w:eastAsia="zh-CN"/>
        </w:rPr>
        <w:t>需具备</w:t>
      </w:r>
      <w:r>
        <w:rPr>
          <w:color w:val="auto"/>
        </w:rPr>
        <w:t>相应的服务能力，需提供相关证明（最近一个季度依法缴纳社保费的证明）。</w:t>
      </w:r>
    </w:p>
    <w:tbl>
      <w:tblPr>
        <w:tblStyle w:val="3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167"/>
        <w:gridCol w:w="1057"/>
        <w:gridCol w:w="2981"/>
        <w:gridCol w:w="1057"/>
      </w:tblGrid>
      <w:tr w14:paraId="6573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vAlign w:val="center"/>
          </w:tcPr>
          <w:p w14:paraId="28FE24F9">
            <w:pPr>
              <w:widowControl/>
              <w:spacing w:line="240" w:lineRule="auto"/>
              <w:ind w:firstLine="0" w:firstLineChars="0"/>
              <w:jc w:val="center"/>
              <w:rPr>
                <w:rFonts w:hint="eastAsia"/>
                <w:b/>
                <w:color w:val="auto"/>
                <w:sz w:val="21"/>
                <w:szCs w:val="21"/>
              </w:rPr>
            </w:pPr>
            <w:r>
              <w:rPr>
                <w:rFonts w:hint="eastAsia"/>
                <w:b/>
                <w:color w:val="auto"/>
                <w:sz w:val="21"/>
                <w:szCs w:val="21"/>
              </w:rPr>
              <w:t>角色</w:t>
            </w:r>
          </w:p>
        </w:tc>
        <w:tc>
          <w:tcPr>
            <w:tcW w:w="2167" w:type="dxa"/>
            <w:vAlign w:val="center"/>
          </w:tcPr>
          <w:p w14:paraId="557468CC">
            <w:pPr>
              <w:widowControl/>
              <w:spacing w:line="240" w:lineRule="auto"/>
              <w:ind w:firstLine="0" w:firstLineChars="0"/>
              <w:jc w:val="center"/>
              <w:rPr>
                <w:rFonts w:hint="eastAsia"/>
                <w:b/>
                <w:color w:val="auto"/>
                <w:sz w:val="21"/>
                <w:szCs w:val="21"/>
              </w:rPr>
            </w:pPr>
            <w:r>
              <w:rPr>
                <w:rFonts w:hint="eastAsia"/>
                <w:b/>
                <w:color w:val="auto"/>
                <w:sz w:val="21"/>
                <w:szCs w:val="21"/>
              </w:rPr>
              <w:t>主要职责</w:t>
            </w:r>
          </w:p>
        </w:tc>
        <w:tc>
          <w:tcPr>
            <w:tcW w:w="1057" w:type="dxa"/>
            <w:vAlign w:val="center"/>
          </w:tcPr>
          <w:p w14:paraId="4CB0F873">
            <w:pPr>
              <w:widowControl/>
              <w:spacing w:line="240" w:lineRule="auto"/>
              <w:ind w:firstLine="0" w:firstLineChars="0"/>
              <w:jc w:val="center"/>
              <w:rPr>
                <w:rFonts w:hint="eastAsia"/>
                <w:b/>
                <w:color w:val="auto"/>
                <w:sz w:val="21"/>
                <w:szCs w:val="21"/>
              </w:rPr>
            </w:pPr>
            <w:r>
              <w:rPr>
                <w:rFonts w:hint="eastAsia"/>
                <w:b/>
                <w:color w:val="auto"/>
                <w:sz w:val="21"/>
                <w:szCs w:val="21"/>
              </w:rPr>
              <w:t>人员数量</w:t>
            </w:r>
          </w:p>
        </w:tc>
        <w:tc>
          <w:tcPr>
            <w:tcW w:w="2981" w:type="dxa"/>
            <w:vAlign w:val="center"/>
          </w:tcPr>
          <w:p w14:paraId="6E1B0055">
            <w:pPr>
              <w:widowControl/>
              <w:spacing w:line="240" w:lineRule="auto"/>
              <w:ind w:firstLine="0" w:firstLineChars="0"/>
              <w:jc w:val="center"/>
              <w:rPr>
                <w:rFonts w:hint="eastAsia"/>
                <w:b/>
                <w:color w:val="auto"/>
                <w:sz w:val="21"/>
                <w:szCs w:val="21"/>
              </w:rPr>
            </w:pPr>
            <w:r>
              <w:rPr>
                <w:rFonts w:hint="eastAsia"/>
                <w:b/>
                <w:color w:val="auto"/>
                <w:sz w:val="21"/>
                <w:szCs w:val="21"/>
              </w:rPr>
              <w:t>人员要求</w:t>
            </w:r>
          </w:p>
        </w:tc>
        <w:tc>
          <w:tcPr>
            <w:tcW w:w="1057" w:type="dxa"/>
            <w:vAlign w:val="center"/>
          </w:tcPr>
          <w:p w14:paraId="2D8A7744">
            <w:pPr>
              <w:widowControl/>
              <w:spacing w:line="240" w:lineRule="auto"/>
              <w:ind w:firstLine="0" w:firstLineChars="0"/>
              <w:jc w:val="center"/>
              <w:rPr>
                <w:rFonts w:hint="eastAsia"/>
                <w:b/>
                <w:color w:val="auto"/>
                <w:sz w:val="21"/>
                <w:szCs w:val="21"/>
              </w:rPr>
            </w:pPr>
            <w:r>
              <w:rPr>
                <w:rFonts w:hint="eastAsia"/>
                <w:b/>
                <w:color w:val="auto"/>
                <w:sz w:val="21"/>
                <w:szCs w:val="21"/>
              </w:rPr>
              <w:t>驻场要求</w:t>
            </w:r>
          </w:p>
        </w:tc>
      </w:tr>
      <w:tr w14:paraId="6591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vAlign w:val="center"/>
          </w:tcPr>
          <w:p w14:paraId="5435AC0C">
            <w:pPr>
              <w:widowControl/>
              <w:spacing w:line="240" w:lineRule="auto"/>
              <w:ind w:firstLine="0" w:firstLineChars="0"/>
              <w:jc w:val="center"/>
              <w:rPr>
                <w:rFonts w:hint="eastAsia"/>
                <w:color w:val="auto"/>
                <w:sz w:val="21"/>
                <w:szCs w:val="21"/>
              </w:rPr>
            </w:pPr>
            <w:r>
              <w:rPr>
                <w:rFonts w:hint="eastAsia"/>
                <w:color w:val="auto"/>
                <w:sz w:val="21"/>
                <w:szCs w:val="21"/>
                <w:lang w:val="en-US" w:eastAsia="zh-CN"/>
              </w:rPr>
              <w:t>技术</w:t>
            </w:r>
            <w:r>
              <w:rPr>
                <w:rFonts w:hint="eastAsia"/>
                <w:color w:val="auto"/>
                <w:sz w:val="21"/>
                <w:szCs w:val="21"/>
              </w:rPr>
              <w:t>经理</w:t>
            </w:r>
          </w:p>
        </w:tc>
        <w:tc>
          <w:tcPr>
            <w:tcW w:w="2167" w:type="dxa"/>
            <w:vAlign w:val="center"/>
          </w:tcPr>
          <w:p w14:paraId="08C4328E">
            <w:pPr>
              <w:widowControl/>
              <w:spacing w:line="240" w:lineRule="auto"/>
              <w:ind w:firstLine="0" w:firstLineChars="0"/>
              <w:jc w:val="center"/>
              <w:rPr>
                <w:rFonts w:hint="eastAsia"/>
                <w:color w:val="auto"/>
                <w:sz w:val="21"/>
                <w:szCs w:val="21"/>
              </w:rPr>
            </w:pPr>
            <w:r>
              <w:rPr>
                <w:rFonts w:hint="eastAsia"/>
                <w:color w:val="auto"/>
                <w:sz w:val="21"/>
                <w:szCs w:val="21"/>
              </w:rPr>
              <w:t>负责项目质量和进度控制</w:t>
            </w:r>
          </w:p>
        </w:tc>
        <w:tc>
          <w:tcPr>
            <w:tcW w:w="1057" w:type="dxa"/>
            <w:vAlign w:val="center"/>
          </w:tcPr>
          <w:p w14:paraId="52C5E8FA">
            <w:pPr>
              <w:widowControl/>
              <w:spacing w:line="240" w:lineRule="auto"/>
              <w:ind w:firstLine="0" w:firstLineChars="0"/>
              <w:jc w:val="center"/>
              <w:rPr>
                <w:rFonts w:hint="eastAsia"/>
                <w:color w:val="auto"/>
                <w:sz w:val="21"/>
                <w:szCs w:val="21"/>
              </w:rPr>
            </w:pPr>
            <w:r>
              <w:rPr>
                <w:rFonts w:hint="eastAsia"/>
                <w:color w:val="auto"/>
                <w:sz w:val="21"/>
                <w:szCs w:val="21"/>
              </w:rPr>
              <w:t>1人</w:t>
            </w:r>
          </w:p>
        </w:tc>
        <w:tc>
          <w:tcPr>
            <w:tcW w:w="2981" w:type="dxa"/>
            <w:vAlign w:val="center"/>
          </w:tcPr>
          <w:p w14:paraId="466705BD">
            <w:pPr>
              <w:widowControl/>
              <w:spacing w:line="240" w:lineRule="auto"/>
              <w:ind w:firstLine="0" w:firstLineChars="0"/>
              <w:jc w:val="center"/>
              <w:rPr>
                <w:rFonts w:hint="eastAsia"/>
                <w:color w:val="auto"/>
                <w:sz w:val="21"/>
                <w:szCs w:val="21"/>
              </w:rPr>
            </w:pPr>
            <w:r>
              <w:rPr>
                <w:rFonts w:hint="eastAsia"/>
                <w:color w:val="auto"/>
                <w:sz w:val="21"/>
                <w:szCs w:val="21"/>
              </w:rPr>
              <w:t>本科及以上学历，具备信息系统项目管理师（高级）证书</w:t>
            </w:r>
            <w:r>
              <w:rPr>
                <w:rFonts w:hint="eastAsia"/>
                <w:color w:val="auto"/>
                <w:sz w:val="21"/>
                <w:szCs w:val="21"/>
                <w:lang w:eastAsia="zh-CN"/>
              </w:rPr>
              <w:t>，</w:t>
            </w:r>
            <w:r>
              <w:rPr>
                <w:rFonts w:hint="eastAsia"/>
                <w:color w:val="auto"/>
                <w:sz w:val="21"/>
                <w:szCs w:val="21"/>
                <w:lang w:val="en-US" w:eastAsia="zh-CN"/>
              </w:rPr>
              <w:t>5</w:t>
            </w:r>
            <w:r>
              <w:rPr>
                <w:rFonts w:hint="eastAsia"/>
                <w:color w:val="auto"/>
                <w:sz w:val="21"/>
                <w:szCs w:val="21"/>
              </w:rPr>
              <w:t>年以上同类项目经验</w:t>
            </w:r>
          </w:p>
        </w:tc>
        <w:tc>
          <w:tcPr>
            <w:tcW w:w="1057" w:type="dxa"/>
            <w:vAlign w:val="center"/>
          </w:tcPr>
          <w:p w14:paraId="7C247F1D">
            <w:pPr>
              <w:widowControl/>
              <w:spacing w:line="240" w:lineRule="auto"/>
              <w:ind w:firstLine="0" w:firstLineChars="0"/>
              <w:jc w:val="center"/>
              <w:rPr>
                <w:rFonts w:hint="eastAsia"/>
                <w:color w:val="auto"/>
                <w:sz w:val="21"/>
                <w:szCs w:val="21"/>
              </w:rPr>
            </w:pPr>
            <w:r>
              <w:rPr>
                <w:rFonts w:hint="eastAsia"/>
                <w:color w:val="auto"/>
                <w:sz w:val="21"/>
                <w:szCs w:val="21"/>
                <w:lang w:val="en-US" w:eastAsia="zh-CN"/>
              </w:rPr>
              <w:t>按需</w:t>
            </w:r>
            <w:r>
              <w:rPr>
                <w:rFonts w:hint="eastAsia"/>
                <w:color w:val="auto"/>
                <w:sz w:val="21"/>
                <w:szCs w:val="21"/>
              </w:rPr>
              <w:t>驻场</w:t>
            </w:r>
          </w:p>
        </w:tc>
      </w:tr>
      <w:tr w14:paraId="5740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vAlign w:val="center"/>
          </w:tcPr>
          <w:p w14:paraId="41E36657">
            <w:pPr>
              <w:widowControl/>
              <w:spacing w:line="240" w:lineRule="auto"/>
              <w:ind w:firstLine="0" w:firstLineChars="0"/>
              <w:jc w:val="center"/>
              <w:rPr>
                <w:rFonts w:hint="eastAsia"/>
                <w:color w:val="auto"/>
                <w:sz w:val="21"/>
                <w:szCs w:val="21"/>
              </w:rPr>
            </w:pPr>
            <w:r>
              <w:rPr>
                <w:rFonts w:hint="eastAsia"/>
                <w:color w:val="auto"/>
                <w:sz w:val="21"/>
                <w:szCs w:val="21"/>
              </w:rPr>
              <w:t>技术工程师</w:t>
            </w:r>
          </w:p>
        </w:tc>
        <w:tc>
          <w:tcPr>
            <w:tcW w:w="2167" w:type="dxa"/>
            <w:vAlign w:val="center"/>
          </w:tcPr>
          <w:p w14:paraId="74B887F7">
            <w:pPr>
              <w:widowControl/>
              <w:spacing w:line="240" w:lineRule="auto"/>
              <w:ind w:firstLine="0" w:firstLineChars="0"/>
              <w:jc w:val="center"/>
              <w:rPr>
                <w:rFonts w:hint="eastAsia"/>
                <w:color w:val="auto"/>
                <w:sz w:val="21"/>
                <w:szCs w:val="21"/>
              </w:rPr>
            </w:pPr>
            <w:r>
              <w:rPr>
                <w:rFonts w:hint="eastAsia"/>
                <w:color w:val="auto"/>
                <w:sz w:val="21"/>
                <w:szCs w:val="21"/>
              </w:rPr>
              <w:t>负责项目运行维护</w:t>
            </w:r>
          </w:p>
        </w:tc>
        <w:tc>
          <w:tcPr>
            <w:tcW w:w="1057" w:type="dxa"/>
            <w:vAlign w:val="center"/>
          </w:tcPr>
          <w:p w14:paraId="46115C24">
            <w:pPr>
              <w:widowControl/>
              <w:spacing w:line="240" w:lineRule="auto"/>
              <w:ind w:firstLine="0" w:firstLineChars="0"/>
              <w:jc w:val="center"/>
              <w:rPr>
                <w:rFonts w:hint="eastAsia"/>
                <w:color w:val="auto"/>
                <w:sz w:val="21"/>
                <w:szCs w:val="21"/>
              </w:rPr>
            </w:pPr>
            <w:r>
              <w:rPr>
                <w:rFonts w:hint="eastAsia"/>
                <w:color w:val="auto"/>
                <w:sz w:val="21"/>
                <w:szCs w:val="21"/>
                <w:lang w:val="en-US" w:eastAsia="zh-CN"/>
              </w:rPr>
              <w:t>4</w:t>
            </w:r>
            <w:r>
              <w:rPr>
                <w:rFonts w:hint="eastAsia"/>
                <w:color w:val="auto"/>
                <w:sz w:val="21"/>
                <w:szCs w:val="21"/>
              </w:rPr>
              <w:t>人</w:t>
            </w:r>
          </w:p>
        </w:tc>
        <w:tc>
          <w:tcPr>
            <w:tcW w:w="2981" w:type="dxa"/>
            <w:vAlign w:val="center"/>
          </w:tcPr>
          <w:p w14:paraId="7CE8445F">
            <w:pPr>
              <w:widowControl/>
              <w:spacing w:line="240" w:lineRule="auto"/>
              <w:ind w:firstLine="0" w:firstLineChars="0"/>
              <w:jc w:val="center"/>
              <w:rPr>
                <w:rFonts w:hint="eastAsia"/>
                <w:color w:val="auto"/>
                <w:sz w:val="21"/>
                <w:szCs w:val="21"/>
              </w:rPr>
            </w:pPr>
            <w:r>
              <w:rPr>
                <w:rFonts w:hint="eastAsia"/>
                <w:color w:val="auto"/>
                <w:sz w:val="21"/>
                <w:szCs w:val="21"/>
              </w:rPr>
              <w:t>本科及以上学历，具备3年以上同类项目经验</w:t>
            </w:r>
          </w:p>
        </w:tc>
        <w:tc>
          <w:tcPr>
            <w:tcW w:w="1057" w:type="dxa"/>
            <w:vAlign w:val="center"/>
          </w:tcPr>
          <w:p w14:paraId="273817C3">
            <w:pPr>
              <w:widowControl/>
              <w:spacing w:line="240" w:lineRule="auto"/>
              <w:ind w:firstLine="0" w:firstLineChars="0"/>
              <w:jc w:val="center"/>
              <w:rPr>
                <w:rFonts w:hint="eastAsia"/>
                <w:color w:val="auto"/>
                <w:sz w:val="21"/>
                <w:szCs w:val="21"/>
              </w:rPr>
            </w:pPr>
            <w:r>
              <w:rPr>
                <w:rFonts w:hint="eastAsia"/>
                <w:color w:val="auto"/>
                <w:sz w:val="21"/>
                <w:szCs w:val="21"/>
              </w:rPr>
              <w:t>驻场</w:t>
            </w:r>
          </w:p>
        </w:tc>
      </w:tr>
    </w:tbl>
    <w:p w14:paraId="6F9EA87B">
      <w:pPr>
        <w:rPr>
          <w:color w:val="auto"/>
        </w:rPr>
      </w:pPr>
    </w:p>
    <w:p w14:paraId="5A53D6E3">
      <w:pPr>
        <w:pStyle w:val="3"/>
        <w:rPr>
          <w:color w:val="auto"/>
        </w:rPr>
      </w:pPr>
      <w:bookmarkStart w:id="62" w:name="_Toc63785511"/>
      <w:r>
        <w:rPr>
          <w:color w:val="auto"/>
        </w:rPr>
        <w:t>等级保护要求</w:t>
      </w:r>
      <w:bookmarkEnd w:id="62"/>
    </w:p>
    <w:p w14:paraId="46410052">
      <w:pPr>
        <w:rPr>
          <w:rFonts w:ascii="仿宋_GB2312" w:eastAsia="仿宋_GB2312" w:cs="仿宋_GB2312"/>
          <w:color w:val="auto"/>
          <w:kern w:val="0"/>
          <w:sz w:val="28"/>
          <w:szCs w:val="28"/>
        </w:rPr>
      </w:pPr>
      <w:r>
        <w:rPr>
          <w:color w:val="auto"/>
        </w:rPr>
        <w:t>本项目等级保护要求：</w:t>
      </w:r>
      <w:r>
        <w:rPr>
          <w:rFonts w:hint="default"/>
          <w:color w:val="auto"/>
          <w:lang w:val="en-US" w:eastAsia="zh-CN"/>
        </w:rPr>
        <w:t>三</w:t>
      </w:r>
      <w:r>
        <w:rPr>
          <w:rFonts w:hint="default" w:ascii="宋体" w:hAnsi="宋体" w:eastAsia="宋体" w:cs="Times New Roman"/>
          <w:b w:val="0"/>
          <w:bCs w:val="0"/>
          <w:color w:val="auto"/>
          <w:lang w:val="en-US" w:eastAsia="zh-CN"/>
        </w:rPr>
        <w:t>级</w:t>
      </w:r>
      <w:r>
        <w:rPr>
          <w:rFonts w:hint="default" w:ascii="宋体" w:hAnsi="宋体" w:eastAsia="宋体" w:cs="Times New Roman"/>
          <w:color w:val="auto"/>
        </w:rPr>
        <w:t>。</w:t>
      </w:r>
    </w:p>
    <w:p w14:paraId="4A0E2AEF">
      <w:pPr>
        <w:pStyle w:val="3"/>
        <w:rPr>
          <w:color w:val="auto"/>
        </w:rPr>
      </w:pPr>
      <w:r>
        <w:rPr>
          <w:rFonts w:hint="eastAsia"/>
          <w:color w:val="auto"/>
        </w:rPr>
        <w:t>商业密码应用需求</w:t>
      </w:r>
    </w:p>
    <w:p w14:paraId="062A4A6B">
      <w:pPr>
        <w:pStyle w:val="6"/>
        <w:widowControl/>
        <w:spacing w:line="360" w:lineRule="auto"/>
        <w:ind w:firstLine="480"/>
        <w:rPr>
          <w:rFonts w:ascii="宋体" w:hAnsi="宋体" w:eastAsia="宋体" w:cs="宋体"/>
          <w:color w:val="auto"/>
          <w:sz w:val="24"/>
          <w:szCs w:val="24"/>
          <w:highlight w:val="none"/>
        </w:rPr>
      </w:pPr>
      <w:bookmarkStart w:id="63" w:name="_Toc63785512"/>
      <w:r>
        <w:rPr>
          <w:rFonts w:hint="eastAsia" w:ascii="宋体" w:hAnsi="宋体" w:eastAsia="宋体" w:cs="宋体"/>
          <w:color w:val="auto"/>
          <w:sz w:val="24"/>
          <w:szCs w:val="24"/>
        </w:rPr>
        <w:t>围绕《国家政务信息化项目建设管理办法》中关于政务信息系统在系统规划阶段的密码应用要求，综合考虑物理和环境、网络和通信、设备和计算、应用和数据、安全管理等层面的密码应用需求，设计合规、正确、有效的系统密码应用方案，满足GB/T 39786—2021《信息安全技术信息系统密码应用基本要求》中</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级指标要求，并为通过密码应用安全性评估奠定基础。</w:t>
      </w:r>
      <w:r>
        <w:rPr>
          <w:rFonts w:hint="eastAsia" w:ascii="宋体" w:hAnsi="宋体" w:eastAsia="宋体" w:cs="宋体"/>
          <w:color w:val="auto"/>
          <w:sz w:val="24"/>
          <w:szCs w:val="24"/>
          <w:highlight w:val="none"/>
        </w:rPr>
        <w:t xml:space="preserve"> </w:t>
      </w:r>
    </w:p>
    <w:p w14:paraId="4B59B3A6">
      <w:pPr>
        <w:pStyle w:val="3"/>
        <w:rPr>
          <w:color w:val="auto"/>
        </w:rPr>
      </w:pPr>
      <w:r>
        <w:rPr>
          <w:rFonts w:hint="eastAsia"/>
          <w:color w:val="auto"/>
        </w:rPr>
        <w:t>技术文件要求</w:t>
      </w:r>
    </w:p>
    <w:p w14:paraId="5F08C4D4">
      <w:pPr>
        <w:rPr>
          <w:color w:val="auto"/>
        </w:rPr>
      </w:pPr>
      <w:r>
        <w:rPr>
          <w:rFonts w:hint="eastAsia"/>
          <w:color w:val="auto"/>
        </w:rPr>
        <w:t>投标人提供的书面技术资料应能确保系统正常运行所需的管理、运营及维护有关的全套文件。技术文件应该全面、完整、详细</w:t>
      </w:r>
      <w:r>
        <w:rPr>
          <w:rFonts w:hint="eastAsia"/>
          <w:color w:val="auto"/>
          <w:lang w:eastAsia="zh-CN"/>
        </w:rPr>
        <w:t>，</w:t>
      </w:r>
      <w:r>
        <w:rPr>
          <w:rFonts w:hint="eastAsia"/>
          <w:color w:val="auto"/>
          <w:lang w:val="en-US" w:eastAsia="zh-CN"/>
        </w:rPr>
        <w:t>满足大数据中心对项目文件要求</w:t>
      </w:r>
      <w:r>
        <w:rPr>
          <w:rFonts w:hint="eastAsia"/>
          <w:color w:val="auto"/>
        </w:rPr>
        <w:t>。投标人提供的技术文件至少应包括：</w:t>
      </w:r>
    </w:p>
    <w:p w14:paraId="04CAFD83">
      <w:pPr>
        <w:rPr>
          <w:color w:val="auto"/>
        </w:rPr>
      </w:pPr>
      <w:r>
        <w:rPr>
          <w:rFonts w:hint="eastAsia"/>
          <w:color w:val="auto"/>
        </w:rPr>
        <w:t>－</w:t>
      </w:r>
      <w:r>
        <w:rPr>
          <w:color w:val="auto"/>
        </w:rPr>
        <w:t xml:space="preserve"> 系统说明文件； </w:t>
      </w:r>
    </w:p>
    <w:p w14:paraId="43C0949B">
      <w:pPr>
        <w:rPr>
          <w:color w:val="auto"/>
        </w:rPr>
      </w:pPr>
      <w:r>
        <w:rPr>
          <w:rFonts w:hint="eastAsia"/>
          <w:color w:val="auto"/>
        </w:rPr>
        <w:t>－</w:t>
      </w:r>
      <w:r>
        <w:rPr>
          <w:color w:val="auto"/>
        </w:rPr>
        <w:t xml:space="preserve"> 技术手册</w:t>
      </w:r>
      <w:r>
        <w:rPr>
          <w:rFonts w:hint="eastAsia"/>
          <w:color w:val="auto"/>
          <w:lang w:eastAsia="zh-CN"/>
        </w:rPr>
        <w:t>（</w:t>
      </w:r>
      <w:r>
        <w:rPr>
          <w:color w:val="auto"/>
        </w:rPr>
        <w:t>安装、测试、操作、维护、故障排除等</w:t>
      </w:r>
      <w:r>
        <w:rPr>
          <w:rFonts w:hint="eastAsia"/>
          <w:color w:val="auto"/>
          <w:lang w:eastAsia="zh-CN"/>
        </w:rPr>
        <w:t>）</w:t>
      </w:r>
      <w:r>
        <w:rPr>
          <w:color w:val="auto"/>
        </w:rPr>
        <w:t xml:space="preserve">； </w:t>
      </w:r>
    </w:p>
    <w:p w14:paraId="3F34431B">
      <w:pPr>
        <w:rPr>
          <w:color w:val="auto"/>
        </w:rPr>
      </w:pPr>
      <w:r>
        <w:rPr>
          <w:rFonts w:hint="eastAsia"/>
          <w:color w:val="auto"/>
        </w:rPr>
        <w:t>－</w:t>
      </w:r>
      <w:r>
        <w:rPr>
          <w:color w:val="auto"/>
        </w:rPr>
        <w:t xml:space="preserve"> 项目文档，应该包括：</w:t>
      </w:r>
    </w:p>
    <w:p w14:paraId="077AD041">
      <w:pPr>
        <w:numPr>
          <w:ilvl w:val="0"/>
          <w:numId w:val="31"/>
        </w:numPr>
        <w:ind w:left="360"/>
        <w:rPr>
          <w:color w:val="auto"/>
        </w:rPr>
      </w:pPr>
      <w:r>
        <w:rPr>
          <w:color w:val="auto"/>
        </w:rPr>
        <w:t>软件需求说明书</w:t>
      </w:r>
    </w:p>
    <w:p w14:paraId="3666EFDA">
      <w:pPr>
        <w:ind w:left="360"/>
        <w:rPr>
          <w:color w:val="auto"/>
        </w:rPr>
      </w:pPr>
      <w:r>
        <w:rPr>
          <w:color w:val="auto"/>
        </w:rPr>
        <w:t>(2)</w:t>
      </w:r>
      <w:r>
        <w:rPr>
          <w:color w:val="auto"/>
        </w:rPr>
        <w:tab/>
      </w:r>
      <w:r>
        <w:rPr>
          <w:color w:val="auto"/>
        </w:rPr>
        <w:t>系统总体设计说明书</w:t>
      </w:r>
    </w:p>
    <w:p w14:paraId="1D531E32">
      <w:pPr>
        <w:ind w:left="360"/>
        <w:rPr>
          <w:color w:val="auto"/>
        </w:rPr>
      </w:pPr>
      <w:r>
        <w:rPr>
          <w:color w:val="auto"/>
        </w:rPr>
        <w:t>(3)</w:t>
      </w:r>
      <w:r>
        <w:rPr>
          <w:color w:val="auto"/>
        </w:rPr>
        <w:tab/>
      </w:r>
      <w:r>
        <w:rPr>
          <w:color w:val="auto"/>
        </w:rPr>
        <w:t>应用软件功能清单</w:t>
      </w:r>
    </w:p>
    <w:p w14:paraId="2CF05189">
      <w:pPr>
        <w:ind w:left="360"/>
        <w:rPr>
          <w:rFonts w:hint="eastAsia"/>
          <w:color w:val="auto"/>
        </w:rPr>
      </w:pPr>
      <w:r>
        <w:rPr>
          <w:color w:val="auto"/>
        </w:rPr>
        <w:t>(</w:t>
      </w:r>
      <w:r>
        <w:rPr>
          <w:rFonts w:hint="eastAsia"/>
          <w:color w:val="auto"/>
          <w:lang w:val="en-US" w:eastAsia="zh-CN"/>
        </w:rPr>
        <w:t>4</w:t>
      </w:r>
      <w:r>
        <w:rPr>
          <w:color w:val="auto"/>
        </w:rPr>
        <w:t>)</w:t>
      </w:r>
      <w:r>
        <w:rPr>
          <w:rFonts w:hint="eastAsia"/>
          <w:color w:val="auto"/>
          <w:lang w:val="en-US" w:eastAsia="zh-CN"/>
        </w:rPr>
        <w:t xml:space="preserve"> </w:t>
      </w:r>
      <w:r>
        <w:rPr>
          <w:rFonts w:hint="eastAsia"/>
          <w:color w:val="auto"/>
        </w:rPr>
        <w:t>数据库设计说明书</w:t>
      </w:r>
    </w:p>
    <w:p w14:paraId="4FD8AF20">
      <w:pPr>
        <w:ind w:left="360"/>
        <w:rPr>
          <w:rFonts w:hint="eastAsia"/>
          <w:color w:val="auto"/>
        </w:rPr>
      </w:pPr>
      <w:r>
        <w:rPr>
          <w:color w:val="auto"/>
        </w:rPr>
        <w:t>(</w:t>
      </w:r>
      <w:r>
        <w:rPr>
          <w:rFonts w:hint="eastAsia"/>
          <w:color w:val="auto"/>
          <w:lang w:val="en-US" w:eastAsia="zh-CN"/>
        </w:rPr>
        <w:t>5</w:t>
      </w:r>
      <w:r>
        <w:rPr>
          <w:color w:val="auto"/>
        </w:rPr>
        <w:t>)</w:t>
      </w:r>
      <w:r>
        <w:rPr>
          <w:color w:val="auto"/>
        </w:rPr>
        <w:tab/>
      </w:r>
      <w:r>
        <w:rPr>
          <w:rFonts w:hint="eastAsia"/>
          <w:color w:val="auto"/>
        </w:rPr>
        <w:t>接口设计说明书</w:t>
      </w:r>
    </w:p>
    <w:p w14:paraId="7767C799">
      <w:pPr>
        <w:ind w:left="360"/>
        <w:rPr>
          <w:rFonts w:hint="eastAsia" w:eastAsia="宋体"/>
          <w:color w:val="auto"/>
          <w:lang w:val="en-US" w:eastAsia="zh-CN"/>
        </w:rPr>
      </w:pPr>
      <w:r>
        <w:rPr>
          <w:color w:val="auto"/>
        </w:rPr>
        <w:t>(</w:t>
      </w:r>
      <w:r>
        <w:rPr>
          <w:rFonts w:hint="eastAsia"/>
          <w:color w:val="auto"/>
          <w:lang w:val="en-US" w:eastAsia="zh-CN"/>
        </w:rPr>
        <w:t>6</w:t>
      </w:r>
      <w:r>
        <w:rPr>
          <w:color w:val="auto"/>
        </w:rPr>
        <w:t>)</w:t>
      </w:r>
      <w:r>
        <w:rPr>
          <w:color w:val="auto"/>
        </w:rPr>
        <w:tab/>
      </w:r>
      <w:r>
        <w:rPr>
          <w:rFonts w:hint="eastAsia"/>
          <w:color w:val="auto"/>
        </w:rPr>
        <w:t>接口设计说明书</w:t>
      </w:r>
      <w:r>
        <w:rPr>
          <w:rFonts w:hint="eastAsia"/>
          <w:color w:val="auto"/>
          <w:lang w:val="en-US" w:eastAsia="zh-CN"/>
        </w:rPr>
        <w:t>等</w:t>
      </w:r>
    </w:p>
    <w:p w14:paraId="46C30FC4">
      <w:pPr>
        <w:rPr>
          <w:color w:val="auto"/>
        </w:rPr>
      </w:pPr>
      <w:r>
        <w:rPr>
          <w:rFonts w:hint="eastAsia"/>
          <w:color w:val="auto"/>
        </w:rPr>
        <w:t>提供全套技术文件纸介质</w:t>
      </w:r>
      <w:r>
        <w:rPr>
          <w:color w:val="auto"/>
        </w:rPr>
        <w:t>3套以及电子文件1套。</w:t>
      </w:r>
    </w:p>
    <w:p w14:paraId="085629B9">
      <w:pPr>
        <w:ind w:left="0" w:leftChars="0" w:firstLine="0" w:firstLineChars="0"/>
        <w:rPr>
          <w:color w:val="auto"/>
        </w:rPr>
      </w:pPr>
    </w:p>
    <w:p w14:paraId="45EA6DBD">
      <w:pPr>
        <w:pStyle w:val="2"/>
        <w:rPr>
          <w:color w:val="auto"/>
        </w:rPr>
      </w:pPr>
      <w:r>
        <w:rPr>
          <w:rFonts w:hint="eastAsia"/>
          <w:color w:val="auto"/>
        </w:rPr>
        <w:t>供应商管理要求</w:t>
      </w:r>
      <w:bookmarkEnd w:id="63"/>
    </w:p>
    <w:p w14:paraId="7026D323">
      <w:pPr>
        <w:rPr>
          <w:color w:val="auto"/>
        </w:rPr>
      </w:pPr>
      <w:r>
        <w:rPr>
          <w:rFonts w:hint="eastAsia"/>
          <w:color w:val="auto"/>
        </w:rPr>
        <w:t>1、在项目实施期间，中标人应严格执行国家、地方、行业有关本项目业务管理和安全作业的法律、法规和制度并按规定承担相应的费用。中标人因违反规定等原因造成的一切损失和责任由中标人自行承担。</w:t>
      </w:r>
    </w:p>
    <w:p w14:paraId="7DF3176B">
      <w:pPr>
        <w:rPr>
          <w:color w:val="auto"/>
        </w:rPr>
      </w:pPr>
      <w:r>
        <w:rPr>
          <w:rFonts w:hint="eastAsia"/>
          <w:color w:val="auto"/>
        </w:rPr>
        <w:t>2、中标人在投标书中承诺并经招标人认定的项目负责人及专业技术人员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w:t>
      </w:r>
      <w:r>
        <w:rPr>
          <w:rFonts w:hint="eastAsia"/>
          <w:color w:val="auto"/>
          <w:lang w:eastAsia="zh-CN"/>
        </w:rPr>
        <w:t>做出</w:t>
      </w:r>
      <w:r>
        <w:rPr>
          <w:rFonts w:hint="eastAsia"/>
          <w:color w:val="auto"/>
        </w:rPr>
        <w:t>更好的调整。</w:t>
      </w:r>
    </w:p>
    <w:p w14:paraId="081F04B0">
      <w:pPr>
        <w:rPr>
          <w:color w:val="auto"/>
        </w:rPr>
      </w:pPr>
      <w:r>
        <w:rPr>
          <w:rFonts w:hint="eastAsia"/>
          <w:color w:val="auto"/>
        </w:rPr>
        <w:t>3、中标人在项目实施期间，应按项目实际进度与环节落实所对应项目整体及各环节管理工作，按照规范做好项目实施期间相关管理与实施记录。</w:t>
      </w:r>
    </w:p>
    <w:p w14:paraId="7EEDF9F7">
      <w:pPr>
        <w:rPr>
          <w:color w:val="auto"/>
        </w:rPr>
      </w:pPr>
      <w:r>
        <w:rPr>
          <w:rFonts w:hint="eastAsia"/>
          <w:color w:val="auto"/>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w:t>
      </w:r>
      <w:r>
        <w:rPr>
          <w:rFonts w:hint="eastAsia"/>
          <w:color w:val="auto"/>
          <w:lang w:eastAsia="zh-CN"/>
        </w:rPr>
        <w:t>需</w:t>
      </w:r>
      <w:r>
        <w:rPr>
          <w:rFonts w:hint="eastAsia"/>
          <w:color w:val="auto"/>
        </w:rPr>
        <w:t>得到采购人项目联系人确认。</w:t>
      </w:r>
    </w:p>
    <w:p w14:paraId="7D1F56EA">
      <w:pPr>
        <w:rPr>
          <w:color w:val="auto"/>
        </w:rPr>
      </w:pPr>
      <w:r>
        <w:rPr>
          <w:rFonts w:hint="eastAsia"/>
          <w:color w:val="auto"/>
        </w:rPr>
        <w:t>5、中标人在项目实施期间</w:t>
      </w:r>
      <w:r>
        <w:rPr>
          <w:rFonts w:hint="eastAsia"/>
          <w:color w:val="auto"/>
          <w:lang w:eastAsia="zh-CN"/>
        </w:rPr>
        <w:t>需</w:t>
      </w:r>
      <w:r>
        <w:rPr>
          <w:rFonts w:hint="eastAsia"/>
          <w:color w:val="auto"/>
        </w:rPr>
        <w:t>遵守采购人的规章制度并提供实施人员名单。</w:t>
      </w:r>
    </w:p>
    <w:p w14:paraId="34724F7D">
      <w:pPr>
        <w:rPr>
          <w:color w:val="auto"/>
        </w:rPr>
      </w:pPr>
      <w:r>
        <w:rPr>
          <w:rFonts w:hint="eastAsia"/>
          <w:color w:val="auto"/>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0F5A69CC">
      <w:pPr>
        <w:rPr>
          <w:color w:val="auto"/>
        </w:rPr>
      </w:pPr>
      <w:r>
        <w:rPr>
          <w:rFonts w:hint="eastAsia"/>
          <w:color w:val="auto"/>
        </w:rPr>
        <w:t>7、本项目软件开发及调试将纳入采购人的管理范围，中标人在此过程中</w:t>
      </w:r>
      <w:r>
        <w:rPr>
          <w:rFonts w:hint="eastAsia"/>
          <w:color w:val="auto"/>
          <w:lang w:eastAsia="zh-CN"/>
        </w:rPr>
        <w:t>需</w:t>
      </w:r>
      <w:r>
        <w:rPr>
          <w:rFonts w:hint="eastAsia"/>
          <w:color w:val="auto"/>
        </w:rPr>
        <w:t>服从上述单位的管理协调。</w:t>
      </w:r>
      <w:bookmarkStart w:id="68" w:name="_GoBack"/>
      <w:bookmarkEnd w:id="68"/>
    </w:p>
    <w:p w14:paraId="10C65E4F">
      <w:pPr>
        <w:pStyle w:val="49"/>
        <w:ind w:firstLine="420"/>
        <w:rPr>
          <w:color w:val="auto"/>
        </w:rPr>
      </w:pPr>
    </w:p>
    <w:p w14:paraId="7AF60C02">
      <w:pPr>
        <w:pStyle w:val="49"/>
        <w:ind w:firstLine="420"/>
        <w:rPr>
          <w:rFonts w:hint="eastAsia" w:eastAsia="宋体"/>
          <w:color w:val="auto"/>
          <w:lang w:eastAsia="zh-CN"/>
        </w:rPr>
      </w:pPr>
      <w:r>
        <w:rPr>
          <w:rFonts w:hint="eastAsia"/>
          <w:color w:val="auto"/>
          <w:lang w:eastAsia="zh-CN"/>
        </w:rPr>
        <w:t>供应商</w:t>
      </w:r>
      <w:r>
        <w:rPr>
          <w:rFonts w:hint="eastAsia"/>
          <w:color w:val="auto"/>
        </w:rPr>
        <w:t>具有ISO27001信息安全体系管理认证、ISO20000信息技术服务管理体系认证、ISO9001质量管理体系认证证书的</w:t>
      </w:r>
      <w:r>
        <w:rPr>
          <w:rFonts w:hint="eastAsia"/>
          <w:color w:val="auto"/>
          <w:lang w:eastAsia="zh-CN"/>
        </w:rPr>
        <w:t>优先考虑。</w:t>
      </w:r>
    </w:p>
    <w:p w14:paraId="36D768D5">
      <w:pPr>
        <w:pStyle w:val="49"/>
        <w:ind w:firstLine="420"/>
        <w:rPr>
          <w:color w:val="auto"/>
        </w:rPr>
      </w:pPr>
    </w:p>
    <w:p w14:paraId="0A6D0B4B">
      <w:pPr>
        <w:pStyle w:val="2"/>
        <w:rPr>
          <w:color w:val="auto"/>
          <w:highlight w:val="none"/>
        </w:rPr>
      </w:pPr>
      <w:bookmarkStart w:id="64" w:name="_Toc63785513"/>
      <w:r>
        <w:rPr>
          <w:rFonts w:hint="eastAsia"/>
          <w:color w:val="auto"/>
          <w:highlight w:val="none"/>
        </w:rPr>
        <w:t>关于转让和分包的规定</w:t>
      </w:r>
    </w:p>
    <w:p w14:paraId="5546C31C">
      <w:pPr>
        <w:rPr>
          <w:color w:val="auto"/>
        </w:rPr>
      </w:pPr>
      <w:r>
        <w:rPr>
          <w:rFonts w:hint="eastAsia"/>
          <w:color w:val="auto"/>
          <w:lang w:val="en-US" w:eastAsia="zh-CN"/>
        </w:rPr>
        <w:t>本</w:t>
      </w:r>
      <w:r>
        <w:rPr>
          <w:rFonts w:hint="eastAsia"/>
          <w:color w:val="auto"/>
        </w:rPr>
        <w:t>项目不得转让、不得分包。</w:t>
      </w:r>
    </w:p>
    <w:p w14:paraId="2ED1AE6C">
      <w:pPr>
        <w:pStyle w:val="2"/>
        <w:rPr>
          <w:color w:val="auto"/>
        </w:rPr>
      </w:pPr>
      <w:r>
        <w:rPr>
          <w:rFonts w:hint="eastAsia"/>
          <w:color w:val="auto"/>
        </w:rPr>
        <w:t>知识产权及保密要求</w:t>
      </w:r>
      <w:bookmarkEnd w:id="64"/>
    </w:p>
    <w:p w14:paraId="43D0E84E">
      <w:pPr>
        <w:ind w:firstLine="482"/>
        <w:rPr>
          <w:b/>
          <w:color w:val="auto"/>
        </w:rPr>
      </w:pPr>
      <w:r>
        <w:rPr>
          <w:b/>
          <w:color w:val="auto"/>
        </w:rPr>
        <w:t>1、中标人数据、文件、资料知识产权</w:t>
      </w:r>
    </w:p>
    <w:p w14:paraId="75D5AC88">
      <w:pPr>
        <w:rPr>
          <w:color w:val="auto"/>
        </w:rPr>
      </w:pPr>
      <w:r>
        <w:rPr>
          <w:rFonts w:hint="eastAsia"/>
          <w:color w:val="auto"/>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2EFC5481">
      <w:pPr>
        <w:rPr>
          <w:color w:val="auto"/>
        </w:rPr>
      </w:pPr>
      <w:r>
        <w:rPr>
          <w:rFonts w:hint="eastAsia"/>
          <w:color w:val="auto"/>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73F6AC3E">
      <w:pPr>
        <w:rPr>
          <w:color w:val="auto"/>
        </w:rPr>
      </w:pPr>
      <w:r>
        <w:rPr>
          <w:rFonts w:hint="eastAsia"/>
          <w:color w:val="auto"/>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6555D5AB">
      <w:pPr>
        <w:ind w:firstLine="482"/>
        <w:rPr>
          <w:b/>
          <w:color w:val="auto"/>
        </w:rPr>
      </w:pPr>
      <w:r>
        <w:rPr>
          <w:b/>
          <w:color w:val="auto"/>
        </w:rPr>
        <w:t>2、项目保密要求</w:t>
      </w:r>
    </w:p>
    <w:p w14:paraId="6E7807F4">
      <w:pPr>
        <w:rPr>
          <w:color w:val="auto"/>
        </w:rPr>
      </w:pPr>
      <w:r>
        <w:rPr>
          <w:rFonts w:hint="eastAsia"/>
          <w:color w:val="auto"/>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4208791D">
      <w:pPr>
        <w:rPr>
          <w:color w:val="auto"/>
        </w:rPr>
      </w:pPr>
      <w:r>
        <w:rPr>
          <w:rFonts w:hint="eastAsia"/>
          <w:color w:val="auto"/>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34F5882F">
      <w:pPr>
        <w:rPr>
          <w:color w:val="auto"/>
        </w:rPr>
      </w:pPr>
      <w:r>
        <w:rPr>
          <w:rFonts w:hint="eastAsia"/>
          <w:color w:val="auto"/>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639BFEEF">
      <w:pPr>
        <w:rPr>
          <w:color w:val="auto"/>
        </w:rPr>
      </w:pPr>
      <w:r>
        <w:rPr>
          <w:rFonts w:hint="eastAsia"/>
          <w:color w:val="auto"/>
        </w:rPr>
        <w:t>以上内容的保密期限自中标人知悉保密信息起始至保密信息被合法公开之日止。</w:t>
      </w:r>
    </w:p>
    <w:p w14:paraId="68B4204D">
      <w:pPr>
        <w:ind w:firstLine="482"/>
        <w:rPr>
          <w:b/>
          <w:color w:val="auto"/>
        </w:rPr>
      </w:pPr>
      <w:r>
        <w:rPr>
          <w:b/>
          <w:color w:val="auto"/>
        </w:rPr>
        <w:t>3、临时账号等使用要求</w:t>
      </w:r>
    </w:p>
    <w:p w14:paraId="0CA0BEE8">
      <w:pPr>
        <w:rPr>
          <w:color w:val="auto"/>
        </w:rPr>
      </w:pPr>
      <w:r>
        <w:rPr>
          <w:rFonts w:hint="eastAsia"/>
          <w:color w:val="auto"/>
        </w:rPr>
        <w:t>中标人对采购人</w:t>
      </w:r>
      <w:r>
        <w:rPr>
          <w:rFonts w:hint="eastAsia"/>
          <w:color w:val="auto"/>
          <w:lang w:eastAsia="zh-CN"/>
        </w:rPr>
        <w:t>提供</w:t>
      </w:r>
      <w:r>
        <w:rPr>
          <w:rFonts w:hint="eastAsia"/>
          <w:color w:val="auto"/>
        </w:rPr>
        <w:t>的临时使用账号要保密，不得公开，对组件开发的账号密码需进行加密，避免信息安全的泄露。未经采购人的同意不得利用采购人的网络及平台进行短信、彩信、微信发送</w:t>
      </w:r>
      <w:r>
        <w:rPr>
          <w:rFonts w:hint="eastAsia"/>
          <w:color w:val="auto"/>
          <w:lang w:eastAsia="zh-CN"/>
        </w:rPr>
        <w:t>，</w:t>
      </w:r>
      <w:r>
        <w:rPr>
          <w:color w:val="auto"/>
        </w:rPr>
        <w:t>造成的一切后果由中标人负责。</w:t>
      </w:r>
    </w:p>
    <w:p w14:paraId="3F26F988">
      <w:pPr>
        <w:pStyle w:val="2"/>
        <w:rPr>
          <w:color w:val="auto"/>
        </w:rPr>
      </w:pPr>
      <w:bookmarkStart w:id="65" w:name="_Toc65170093"/>
      <w:r>
        <w:rPr>
          <w:color w:val="auto"/>
        </w:rPr>
        <w:t>项目的变更、解除和终止</w:t>
      </w:r>
    </w:p>
    <w:p w14:paraId="05265B4A">
      <w:pPr>
        <w:rPr>
          <w:color w:val="auto"/>
        </w:rPr>
      </w:pPr>
      <w:r>
        <w:rPr>
          <w:rFonts w:hint="eastAsia"/>
          <w:color w:val="auto"/>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61915947">
      <w:pPr>
        <w:rPr>
          <w:color w:val="auto"/>
        </w:rPr>
      </w:pPr>
      <w:r>
        <w:rPr>
          <w:rFonts w:hint="eastAsia"/>
          <w:color w:val="auto"/>
        </w:rPr>
        <w:t>如遇国家、行业管理部门等机构的有关标准和规定调整的，导致本项目内容</w:t>
      </w:r>
      <w:r>
        <w:rPr>
          <w:rFonts w:hint="eastAsia"/>
          <w:color w:val="auto"/>
          <w:lang w:eastAsia="zh-CN"/>
        </w:rPr>
        <w:t>需</w:t>
      </w:r>
      <w:r>
        <w:rPr>
          <w:rFonts w:hint="eastAsia"/>
          <w:color w:val="auto"/>
        </w:rPr>
        <w:t>做相应调整时，双方应按照公平、合理的原则共同协商修改本项目对应的合同的相关条款。</w:t>
      </w:r>
    </w:p>
    <w:p w14:paraId="6860AE49">
      <w:pPr>
        <w:pStyle w:val="2"/>
        <w:rPr>
          <w:color w:val="auto"/>
        </w:rPr>
      </w:pPr>
      <w:r>
        <w:rPr>
          <w:rFonts w:hint="eastAsia"/>
          <w:color w:val="auto"/>
        </w:rPr>
        <w:t>违约责任</w:t>
      </w:r>
      <w:bookmarkEnd w:id="65"/>
    </w:p>
    <w:p w14:paraId="7AFED8E3">
      <w:pPr>
        <w:rPr>
          <w:color w:val="auto"/>
        </w:rPr>
      </w:pPr>
      <w:r>
        <w:rPr>
          <w:color w:val="auto"/>
        </w:rP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14:paraId="78A485A5">
      <w:pPr>
        <w:rPr>
          <w:color w:val="auto"/>
        </w:rPr>
      </w:pPr>
      <w:r>
        <w:rPr>
          <w:color w:val="auto"/>
        </w:rP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14:paraId="10CF7388">
      <w:pPr>
        <w:rPr>
          <w:color w:val="auto"/>
        </w:rPr>
      </w:pPr>
      <w:r>
        <w:rPr>
          <w:color w:val="auto"/>
        </w:rPr>
        <w:t>3、中标人有其他违反本项目合同约定的行为，中标人应当支付本项目总价款金额的20%作为违约金，违约金不足以弥补采购人损失的，采购人有权要求中标人赔偿超过部分。</w:t>
      </w:r>
    </w:p>
    <w:p w14:paraId="68D672DD">
      <w:pPr>
        <w:rPr>
          <w:color w:val="auto"/>
        </w:rPr>
      </w:pPr>
      <w:r>
        <w:rPr>
          <w:color w:val="auto"/>
        </w:rPr>
        <w:t>4、中标人有下列情形之一，采购人有权解除合同：</w:t>
      </w:r>
    </w:p>
    <w:p w14:paraId="2E277991">
      <w:pPr>
        <w:rPr>
          <w:color w:val="auto"/>
        </w:rPr>
      </w:pPr>
      <w:r>
        <w:rPr>
          <w:rFonts w:hint="eastAsia"/>
          <w:color w:val="auto"/>
        </w:rPr>
        <w:t>（1</w:t>
      </w:r>
      <w:r>
        <w:rPr>
          <w:color w:val="auto"/>
        </w:rPr>
        <w:t>）因中标人服务质量问题导致采购人无法实现目的；</w:t>
      </w:r>
    </w:p>
    <w:p w14:paraId="13CCB31C">
      <w:pPr>
        <w:rPr>
          <w:color w:val="auto"/>
        </w:rPr>
      </w:pPr>
      <w:r>
        <w:rPr>
          <w:rFonts w:hint="eastAsia"/>
          <w:color w:val="auto"/>
        </w:rPr>
        <w:t>（2</w:t>
      </w:r>
      <w:r>
        <w:rPr>
          <w:color w:val="auto"/>
        </w:rPr>
        <w:t>）擅自转让或者分包其应履行的义务的；</w:t>
      </w:r>
    </w:p>
    <w:p w14:paraId="246B0FE3">
      <w:pPr>
        <w:rPr>
          <w:color w:val="auto"/>
        </w:rPr>
      </w:pPr>
      <w:r>
        <w:rPr>
          <w:rFonts w:hint="eastAsia"/>
          <w:color w:val="auto"/>
        </w:rPr>
        <w:t>（3</w:t>
      </w:r>
      <w:r>
        <w:rPr>
          <w:color w:val="auto"/>
        </w:rPr>
        <w:t>）违反或者未履行本项目合同约定的其他相关义务，且在采购人要求的合理时间内未能纠正的。</w:t>
      </w:r>
    </w:p>
    <w:p w14:paraId="696600A5">
      <w:pPr>
        <w:pStyle w:val="2"/>
        <w:rPr>
          <w:color w:val="auto"/>
          <w:szCs w:val="21"/>
        </w:rPr>
      </w:pPr>
      <w:bookmarkStart w:id="66" w:name="_Toc63785514"/>
      <w:r>
        <w:rPr>
          <w:rFonts w:hint="eastAsia"/>
          <w:color w:val="auto"/>
        </w:rPr>
        <w:t>付款</w:t>
      </w:r>
      <w:bookmarkEnd w:id="66"/>
      <w:r>
        <w:rPr>
          <w:rFonts w:hint="eastAsia"/>
          <w:color w:val="auto"/>
        </w:rPr>
        <w:t>方式</w:t>
      </w:r>
    </w:p>
    <w:p w14:paraId="4458F993">
      <w:pPr>
        <w:ind w:firstLine="720" w:firstLineChars="300"/>
        <w:rPr>
          <w:color w:val="auto"/>
        </w:rPr>
      </w:pPr>
      <w:r>
        <w:rPr>
          <w:color w:val="auto"/>
        </w:rPr>
        <w:t>采用以下方式付款：</w:t>
      </w:r>
    </w:p>
    <w:p w14:paraId="6BB9DFCF">
      <w:pPr>
        <w:ind w:firstLine="720" w:firstLineChars="300"/>
        <w:rPr>
          <w:rFonts w:hint="eastAsia"/>
          <w:color w:val="auto"/>
        </w:rPr>
      </w:pPr>
      <w:r>
        <w:rPr>
          <w:rFonts w:hint="eastAsia"/>
          <w:color w:val="auto"/>
        </w:rPr>
        <w:t>三期分期付款</w:t>
      </w:r>
    </w:p>
    <w:p w14:paraId="6AFCE5E9">
      <w:pPr>
        <w:numPr>
          <w:ilvl w:val="0"/>
          <w:numId w:val="32"/>
        </w:numPr>
        <w:ind w:left="600" w:firstLine="0" w:firstLineChars="0"/>
        <w:rPr>
          <w:rFonts w:hint="eastAsia"/>
          <w:color w:val="auto"/>
        </w:rPr>
      </w:pPr>
      <w:r>
        <w:rPr>
          <w:rFonts w:hint="eastAsia"/>
          <w:color w:val="auto"/>
        </w:rPr>
        <w:t>合同签订生效后且甲方收到乙方开具的等额发票后的</w:t>
      </w:r>
      <w:r>
        <w:rPr>
          <w:rFonts w:hint="eastAsia"/>
          <w:color w:val="auto"/>
          <w:u w:val="single"/>
        </w:rPr>
        <w:t>10个工作</w:t>
      </w:r>
      <w:r>
        <w:rPr>
          <w:rFonts w:hint="eastAsia"/>
          <w:color w:val="auto"/>
        </w:rPr>
        <w:t>日内，支付合同总价款的</w:t>
      </w:r>
      <w:r>
        <w:rPr>
          <w:rFonts w:hint="eastAsia"/>
          <w:color w:val="auto"/>
          <w:u w:val="single"/>
        </w:rPr>
        <w:t>50</w:t>
      </w:r>
      <w:r>
        <w:rPr>
          <w:rFonts w:hint="eastAsia"/>
          <w:color w:val="auto"/>
        </w:rPr>
        <w:t>%;</w:t>
      </w:r>
    </w:p>
    <w:p w14:paraId="666460DD">
      <w:pPr>
        <w:numPr>
          <w:ilvl w:val="0"/>
          <w:numId w:val="32"/>
        </w:numPr>
        <w:ind w:left="600" w:firstLine="0" w:firstLineChars="0"/>
        <w:rPr>
          <w:rFonts w:hint="eastAsia"/>
          <w:color w:val="auto"/>
        </w:rPr>
      </w:pPr>
      <w:r>
        <w:rPr>
          <w:rFonts w:hint="eastAsia"/>
          <w:color w:val="auto"/>
        </w:rPr>
        <w:t>本项目中期验收通过</w:t>
      </w:r>
      <w:r>
        <w:rPr>
          <w:rFonts w:hint="eastAsia"/>
          <w:color w:val="auto"/>
          <w:lang w:val="en-US" w:eastAsia="zh-CN"/>
        </w:rPr>
        <w:t>且</w:t>
      </w:r>
      <w:r>
        <w:rPr>
          <w:rFonts w:hint="eastAsia"/>
          <w:color w:val="auto"/>
        </w:rPr>
        <w:t>甲方收到约定的项目工作成果、乙方开具的等额发票后的</w:t>
      </w:r>
      <w:r>
        <w:rPr>
          <w:rFonts w:hint="eastAsia"/>
          <w:color w:val="auto"/>
          <w:u w:val="single"/>
        </w:rPr>
        <w:t>10个工作</w:t>
      </w:r>
      <w:r>
        <w:rPr>
          <w:rFonts w:hint="eastAsia"/>
          <w:color w:val="auto"/>
        </w:rPr>
        <w:t>日内</w:t>
      </w:r>
      <w:r>
        <w:rPr>
          <w:rFonts w:hint="eastAsia"/>
          <w:color w:val="auto"/>
          <w:lang w:eastAsia="zh-CN"/>
        </w:rPr>
        <w:t>，</w:t>
      </w:r>
      <w:r>
        <w:rPr>
          <w:rFonts w:hint="eastAsia"/>
          <w:color w:val="auto"/>
        </w:rPr>
        <w:t>支付本项目当年已批复预算11510000</w:t>
      </w:r>
      <w:r>
        <w:rPr>
          <w:rFonts w:hint="eastAsia"/>
          <w:color w:val="auto"/>
          <w:lang w:val="en-US" w:eastAsia="zh-CN"/>
        </w:rPr>
        <w:t>元</w:t>
      </w:r>
      <w:r>
        <w:rPr>
          <w:rFonts w:hint="eastAsia"/>
          <w:color w:val="auto"/>
        </w:rPr>
        <w:t>扣除第一笔支付金额的剩余金额</w:t>
      </w:r>
      <w:r>
        <w:rPr>
          <w:rFonts w:hint="eastAsia"/>
          <w:color w:val="auto"/>
          <w:lang w:eastAsia="zh-CN"/>
        </w:rPr>
        <w:t>；</w:t>
      </w:r>
    </w:p>
    <w:p w14:paraId="36829BED">
      <w:pPr>
        <w:numPr>
          <w:ilvl w:val="0"/>
          <w:numId w:val="32"/>
        </w:numPr>
        <w:ind w:left="600" w:firstLine="0" w:firstLineChars="0"/>
        <w:rPr>
          <w:rFonts w:hint="eastAsia"/>
          <w:color w:val="auto"/>
        </w:rPr>
      </w:pPr>
      <w:r>
        <w:rPr>
          <w:rFonts w:hint="eastAsia"/>
          <w:color w:val="auto"/>
        </w:rPr>
        <w:t>本项目通过最终验收且甲方收到约定的项目工作成果、乙方开具的等额发票后的</w:t>
      </w:r>
      <w:r>
        <w:rPr>
          <w:rFonts w:hint="eastAsia"/>
          <w:color w:val="auto"/>
          <w:u w:val="single"/>
        </w:rPr>
        <w:t>10个工作</w:t>
      </w:r>
      <w:r>
        <w:rPr>
          <w:rFonts w:hint="eastAsia"/>
          <w:color w:val="auto"/>
        </w:rPr>
        <w:t>日内</w:t>
      </w:r>
      <w:r>
        <w:rPr>
          <w:rFonts w:hint="eastAsia"/>
          <w:color w:val="auto"/>
          <w:lang w:eastAsia="zh-CN"/>
        </w:rPr>
        <w:t>，</w:t>
      </w:r>
      <w:r>
        <w:rPr>
          <w:rFonts w:hint="eastAsia"/>
          <w:color w:val="auto"/>
        </w:rPr>
        <w:t>支付合</w:t>
      </w:r>
      <w:r>
        <w:rPr>
          <w:rFonts w:hint="eastAsia"/>
          <w:color w:val="auto"/>
          <w:lang w:val="en-US" w:eastAsia="zh-CN"/>
        </w:rPr>
        <w:t>同尾款。</w:t>
      </w:r>
    </w:p>
    <w:p w14:paraId="3AB452AA">
      <w:pPr>
        <w:rPr>
          <w:color w:val="auto"/>
        </w:rPr>
      </w:pPr>
      <w:r>
        <w:rPr>
          <w:rFonts w:hint="eastAsia"/>
          <w:color w:val="auto"/>
        </w:rPr>
        <w:t>乙方应当及时向甲方开具与付款金额等额的合法有效的</w:t>
      </w:r>
      <w:r>
        <w:rPr>
          <w:rFonts w:hint="eastAsia"/>
          <w:color w:val="auto"/>
          <w:u w:val="single"/>
        </w:rPr>
        <w:t>增值税普通</w:t>
      </w:r>
      <w:r>
        <w:rPr>
          <w:rFonts w:hint="eastAsia"/>
          <w:color w:val="auto"/>
        </w:rPr>
        <w:t>发票。因乙方未及时开具发票导致甲方延迟付款的，甲方不承担违约责任。</w:t>
      </w:r>
    </w:p>
    <w:p w14:paraId="6DE3251B">
      <w:pPr>
        <w:rPr>
          <w:color w:val="auto"/>
        </w:rPr>
      </w:pPr>
    </w:p>
    <w:p w14:paraId="13A702D8">
      <w:pPr>
        <w:rPr>
          <w:color w:val="auto"/>
        </w:rPr>
      </w:pPr>
    </w:p>
    <w:p w14:paraId="0CF87044">
      <w:pPr>
        <w:pStyle w:val="2"/>
        <w:rPr>
          <w:color w:val="auto"/>
        </w:rPr>
      </w:pPr>
      <w:bookmarkStart w:id="67" w:name="_Toc68798863"/>
      <w:r>
        <w:rPr>
          <w:rFonts w:hint="eastAsia"/>
          <w:color w:val="auto"/>
        </w:rPr>
        <w:t>附录</w:t>
      </w:r>
      <w:bookmarkEnd w:id="67"/>
    </w:p>
    <w:p w14:paraId="4CE4DF8E">
      <w:pPr>
        <w:ind w:firstLine="0" w:firstLineChars="0"/>
        <w:rPr>
          <w:color w:val="auto"/>
        </w:rPr>
      </w:pPr>
      <w:r>
        <w:rPr>
          <w:rFonts w:hint="eastAsia"/>
          <w:color w:val="auto"/>
        </w:rPr>
        <w:t>1、</w:t>
      </w:r>
      <w:r>
        <w:rPr>
          <w:color w:val="auto"/>
        </w:rPr>
        <w:t>《政务网络安全监测平台总体技术要求》</w:t>
      </w:r>
    </w:p>
    <w:p w14:paraId="68CC579C">
      <w:pPr>
        <w:ind w:firstLine="0" w:firstLineChars="0"/>
        <w:rPr>
          <w:color w:val="auto"/>
        </w:rPr>
      </w:pPr>
      <w:r>
        <w:rPr>
          <w:rFonts w:ascii="宋体" w:hAnsi="宋体" w:eastAsia="宋体" w:cs="Times New Roman"/>
          <w:color w:val="auto"/>
          <w:kern w:val="2"/>
          <w:sz w:val="24"/>
          <w:szCs w:val="24"/>
          <w:lang w:val="en-US" w:eastAsia="zh-CN" w:bidi="ar-SA"/>
        </w:rPr>
        <w:object>
          <v:shape id="_x0000_i1025" o:spt="75" type="#_x0000_t75" style="height:55pt;width:76.5pt;" o:ole="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o:OLEObject Type="Embed" ProgID="Package" ShapeID="_x0000_i1025" DrawAspect="Icon" ObjectID="_1468075725" r:id="rId13">
            <o:LockedField>false</o:LockedField>
          </o:OLEObject>
        </w:object>
      </w:r>
    </w:p>
    <w:p w14:paraId="1C6F9701">
      <w:pPr>
        <w:ind w:firstLine="0" w:firstLineChars="0"/>
        <w:rPr>
          <w:color w:val="auto"/>
        </w:rPr>
      </w:pPr>
    </w:p>
    <w:p w14:paraId="02C54341">
      <w:pPr>
        <w:ind w:firstLine="0" w:firstLineChars="0"/>
        <w:jc w:val="left"/>
        <w:rPr>
          <w:color w:val="auto"/>
        </w:rPr>
      </w:pPr>
      <w:r>
        <w:rPr>
          <w:rFonts w:hint="eastAsia"/>
          <w:color w:val="auto"/>
        </w:rPr>
        <w:t>2、《上海市电子政务外网建设和运行管理指南（试行）》</w:t>
      </w:r>
    </w:p>
    <w:p w14:paraId="68EC9C7A">
      <w:pPr>
        <w:ind w:firstLine="0" w:firstLineChars="0"/>
        <w:jc w:val="left"/>
        <w:rPr>
          <w:color w:val="auto"/>
        </w:rPr>
      </w:pPr>
      <w:r>
        <w:rPr>
          <w:rFonts w:ascii="宋体" w:hAnsi="宋体" w:eastAsia="宋体" w:cs="Times New Roman"/>
          <w:color w:val="auto"/>
          <w:kern w:val="2"/>
          <w:sz w:val="24"/>
          <w:szCs w:val="24"/>
          <w:lang w:val="en-US" w:eastAsia="zh-CN" w:bidi="ar-SA"/>
        </w:rPr>
        <w:object>
          <v:shape id="_x0000_i1026" o:spt="75" type="#_x0000_t75" style="height:55pt;width:76.5pt;" o:ole="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o:OLEObject Type="Embed" ProgID="Package" ShapeID="_x0000_i1026" DrawAspect="Icon" ObjectID="_1468075726" r:id="rId15">
            <o:LockedField>false</o:LockedField>
          </o:OLEObject>
        </w:object>
      </w:r>
    </w:p>
    <w:p w14:paraId="62AD5771">
      <w:pPr>
        <w:ind w:firstLine="0" w:firstLineChars="0"/>
        <w:jc w:val="left"/>
        <w:rPr>
          <w:b/>
          <w:bCs/>
          <w:color w:val="auto"/>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auto"/>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仿宋_GB2312"/>
    <w:panose1 w:val="02010609060101010101"/>
    <w:charset w:val="86"/>
    <w:family w:val="auto"/>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Calibri Light">
    <w:altName w:val="DejaVu Sans"/>
    <w:panose1 w:val="020F0302020204030204"/>
    <w:charset w:val="00"/>
    <w:family w:val="auto"/>
    <w:pitch w:val="default"/>
    <w:sig w:usb0="00000000" w:usb1="00000000" w:usb2="00000000" w:usb3="00000000" w:csb0="2000019F" w:csb1="00000000"/>
  </w:font>
  <w:font w:name="Arial Unicode MS">
    <w:altName w:val="DejaVu Sans"/>
    <w:panose1 w:val="020B0604020202020204"/>
    <w:charset w:val="86"/>
    <w:family w:val="auto"/>
    <w:pitch w:val="default"/>
    <w:sig w:usb0="00000000" w:usb1="00000000" w:usb2="0000003F" w:usb3="00000000" w:csb0="603F01FF" w:csb1="FFFF0000"/>
  </w:font>
  <w:font w:name="time">
    <w:altName w:val="思源宋体"/>
    <w:panose1 w:val="00000000000000000000"/>
    <w:charset w:val="00"/>
    <w:family w:val="auto"/>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Sans Serif">
    <w:altName w:val="Liberation Sans"/>
    <w:panose1 w:val="020B0604020202020204"/>
    <w:charset w:val="00"/>
    <w:family w:val="auto"/>
    <w:pitch w:val="default"/>
    <w:sig w:usb0="00000000" w:usb1="00000000" w:usb2="00000008"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auto"/>
    <w:pitch w:val="default"/>
    <w:sig w:usb0="00000001" w:usb1="080E0000" w:usb2="00000000" w:usb3="00000000" w:csb0="00040000" w:csb1="00000000"/>
  </w:font>
  <w:font w:name="PingFang SC">
    <w:altName w:val="思源黑体"/>
    <w:panose1 w:val="020B0400000000000000"/>
    <w:charset w:val="86"/>
    <w:family w:val="auto"/>
    <w:pitch w:val="default"/>
    <w:sig w:usb0="00000000" w:usb1="00000000" w:usb2="00000017" w:usb3="00000000" w:csb0="00040001" w:csb1="00000000"/>
  </w:font>
  <w:font w:name="思源黑体">
    <w:panose1 w:val="020B0500000000000000"/>
    <w:charset w:val="86"/>
    <w:family w:val="auto"/>
    <w:pitch w:val="default"/>
    <w:sig w:usb0="30000083" w:usb1="2BDF3C10" w:usb2="00000016" w:usb3="00000000" w:csb0="602E0107"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Microsoft YaHei UI">
    <w:altName w:val="文泉驿微米黑"/>
    <w:panose1 w:val="020B0503020204020204"/>
    <w:charset w:val="86"/>
    <w:family w:val="auto"/>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Helvetica Neue">
    <w:altName w:val="DejaVu Math TeX Gyre"/>
    <w:panose1 w:val="02000503000000020004"/>
    <w:charset w:val="00"/>
    <w:family w:val="auto"/>
    <w:pitch w:val="default"/>
    <w:sig w:usb0="00000000" w:usb1="00000000" w:usb2="00000010" w:usb3="00000000" w:csb0="00000000" w:csb1="00000000"/>
  </w:font>
  <w:font w:name="DejaVu Math TeX Gyre">
    <w:panose1 w:val="02000503000000000000"/>
    <w:charset w:val="00"/>
    <w:family w:val="auto"/>
    <w:pitch w:val="default"/>
    <w:sig w:usb0="A10000EF" w:usb1="4201F9EE" w:usb2="02000000" w:usb3="00000000" w:csb0="60000193" w:csb1="0DD4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5080D">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14:paraId="194B42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71C6B"/>
  <w:p w14:paraId="3413CD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302F5">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C4A4A">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0E439D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CE187">
    <w:pPr>
      <w:pStyle w:val="2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A6CCE"/>
  <w:p w14:paraId="09FEA5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8AD7E">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8B7B66A3"/>
    <w:multiLevelType w:val="multilevel"/>
    <w:tmpl w:val="8B7B66A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9DCEE649"/>
    <w:multiLevelType w:val="singleLevel"/>
    <w:tmpl w:val="9DCEE649"/>
    <w:lvl w:ilvl="0" w:tentative="0">
      <w:start w:val="1"/>
      <w:numFmt w:val="decimal"/>
      <w:lvlText w:val="%1."/>
      <w:lvlJc w:val="left"/>
      <w:pPr>
        <w:ind w:left="425" w:hanging="425"/>
      </w:pPr>
      <w:rPr>
        <w:rFonts w:hint="default"/>
      </w:rPr>
    </w:lvl>
  </w:abstractNum>
  <w:abstractNum w:abstractNumId="3">
    <w:nsid w:val="9FDA9CBA"/>
    <w:multiLevelType w:val="singleLevel"/>
    <w:tmpl w:val="9FDA9CBA"/>
    <w:lvl w:ilvl="0" w:tentative="0">
      <w:start w:val="1"/>
      <w:numFmt w:val="decimal"/>
      <w:lvlText w:val="%1."/>
      <w:lvlJc w:val="left"/>
      <w:pPr>
        <w:ind w:left="425" w:hanging="425"/>
      </w:pPr>
      <w:rPr>
        <w:rFonts w:hint="default"/>
      </w:rPr>
    </w:lvl>
  </w:abstractNum>
  <w:abstractNum w:abstractNumId="4">
    <w:nsid w:val="ADCD6CC2"/>
    <w:multiLevelType w:val="singleLevel"/>
    <w:tmpl w:val="ADCD6CC2"/>
    <w:lvl w:ilvl="0" w:tentative="0">
      <w:start w:val="1"/>
      <w:numFmt w:val="decimal"/>
      <w:lvlText w:val="%1."/>
      <w:lvlJc w:val="left"/>
      <w:pPr>
        <w:ind w:left="425" w:hanging="425"/>
      </w:pPr>
      <w:rPr>
        <w:rFonts w:hint="default"/>
      </w:rPr>
    </w:lvl>
  </w:abstractNum>
  <w:abstractNum w:abstractNumId="5">
    <w:nsid w:val="BD698F6E"/>
    <w:multiLevelType w:val="singleLevel"/>
    <w:tmpl w:val="BD698F6E"/>
    <w:lvl w:ilvl="0" w:tentative="0">
      <w:start w:val="1"/>
      <w:numFmt w:val="decimal"/>
      <w:lvlText w:val="%1."/>
      <w:lvlJc w:val="left"/>
      <w:pPr>
        <w:ind w:left="425" w:hanging="425"/>
      </w:pPr>
      <w:rPr>
        <w:rFonts w:hint="default"/>
      </w:rPr>
    </w:lvl>
  </w:abstractNum>
  <w:abstractNum w:abstractNumId="6">
    <w:nsid w:val="BE7BEFF0"/>
    <w:multiLevelType w:val="singleLevel"/>
    <w:tmpl w:val="BE7BEFF0"/>
    <w:lvl w:ilvl="0" w:tentative="0">
      <w:start w:val="1"/>
      <w:numFmt w:val="decimal"/>
      <w:suff w:val="space"/>
      <w:lvlText w:val="(%1)"/>
      <w:lvlJc w:val="left"/>
    </w:lvl>
  </w:abstractNum>
  <w:abstractNum w:abstractNumId="7">
    <w:nsid w:val="BFDE6E1E"/>
    <w:multiLevelType w:val="singleLevel"/>
    <w:tmpl w:val="BFDE6E1E"/>
    <w:lvl w:ilvl="0" w:tentative="0">
      <w:start w:val="1"/>
      <w:numFmt w:val="decimal"/>
      <w:lvlText w:val="%1."/>
      <w:lvlJc w:val="left"/>
      <w:pPr>
        <w:ind w:left="425" w:hanging="425"/>
      </w:pPr>
      <w:rPr>
        <w:rFonts w:hint="default"/>
      </w:rPr>
    </w:lvl>
  </w:abstractNum>
  <w:abstractNum w:abstractNumId="8">
    <w:nsid w:val="C572A03C"/>
    <w:multiLevelType w:val="singleLevel"/>
    <w:tmpl w:val="C572A03C"/>
    <w:lvl w:ilvl="0" w:tentative="0">
      <w:start w:val="1"/>
      <w:numFmt w:val="decimal"/>
      <w:lvlText w:val="%1."/>
      <w:lvlJc w:val="left"/>
      <w:pPr>
        <w:ind w:left="425" w:hanging="425"/>
      </w:pPr>
      <w:rPr>
        <w:rFonts w:hint="default"/>
      </w:rPr>
    </w:lvl>
  </w:abstractNum>
  <w:abstractNum w:abstractNumId="9">
    <w:nsid w:val="DBFC2E0F"/>
    <w:multiLevelType w:val="singleLevel"/>
    <w:tmpl w:val="DBFC2E0F"/>
    <w:lvl w:ilvl="0" w:tentative="0">
      <w:start w:val="1"/>
      <w:numFmt w:val="decimal"/>
      <w:lvlText w:val="(%1)"/>
      <w:lvlJc w:val="left"/>
      <w:pPr>
        <w:ind w:left="425" w:hanging="425"/>
      </w:pPr>
      <w:rPr>
        <w:rFonts w:hint="default"/>
      </w:rPr>
    </w:lvl>
  </w:abstractNum>
  <w:abstractNum w:abstractNumId="10">
    <w:nsid w:val="DFBAA461"/>
    <w:multiLevelType w:val="singleLevel"/>
    <w:tmpl w:val="DFBAA461"/>
    <w:lvl w:ilvl="0" w:tentative="0">
      <w:start w:val="1"/>
      <w:numFmt w:val="decimal"/>
      <w:lvlText w:val="(%1)"/>
      <w:lvlJc w:val="left"/>
      <w:pPr>
        <w:ind w:left="425" w:hanging="425"/>
      </w:pPr>
      <w:rPr>
        <w:rFonts w:hint="default"/>
      </w:rPr>
    </w:lvl>
  </w:abstractNum>
  <w:abstractNum w:abstractNumId="11">
    <w:nsid w:val="F64F8AA2"/>
    <w:multiLevelType w:val="singleLevel"/>
    <w:tmpl w:val="F64F8AA2"/>
    <w:lvl w:ilvl="0" w:tentative="0">
      <w:start w:val="1"/>
      <w:numFmt w:val="decimal"/>
      <w:lvlText w:val="%1."/>
      <w:lvlJc w:val="left"/>
      <w:pPr>
        <w:ind w:left="425" w:hanging="425"/>
      </w:pPr>
      <w:rPr>
        <w:rFonts w:hint="default"/>
      </w:rPr>
    </w:lvl>
  </w:abstractNum>
  <w:abstractNum w:abstractNumId="12">
    <w:nsid w:val="FAFEFD57"/>
    <w:multiLevelType w:val="singleLevel"/>
    <w:tmpl w:val="FAFEFD57"/>
    <w:lvl w:ilvl="0" w:tentative="0">
      <w:start w:val="1"/>
      <w:numFmt w:val="decimal"/>
      <w:lvlText w:val="%1."/>
      <w:lvlJc w:val="left"/>
      <w:pPr>
        <w:ind w:left="425" w:hanging="425"/>
      </w:pPr>
      <w:rPr>
        <w:rFonts w:hint="default"/>
      </w:rPr>
    </w:lvl>
  </w:abstractNum>
  <w:abstractNum w:abstractNumId="13">
    <w:nsid w:val="FAFF1F7E"/>
    <w:multiLevelType w:val="singleLevel"/>
    <w:tmpl w:val="FAFF1F7E"/>
    <w:lvl w:ilvl="0" w:tentative="0">
      <w:start w:val="1"/>
      <w:numFmt w:val="decimal"/>
      <w:lvlText w:val="(%1)"/>
      <w:lvlJc w:val="left"/>
      <w:pPr>
        <w:ind w:left="425" w:hanging="425"/>
      </w:pPr>
      <w:rPr>
        <w:rFonts w:hint="default"/>
      </w:rPr>
    </w:lvl>
  </w:abstractNum>
  <w:abstractNum w:abstractNumId="14">
    <w:nsid w:val="FBBFC09A"/>
    <w:multiLevelType w:val="singleLevel"/>
    <w:tmpl w:val="FBBFC09A"/>
    <w:lvl w:ilvl="0" w:tentative="0">
      <w:start w:val="1"/>
      <w:numFmt w:val="decimal"/>
      <w:lvlText w:val="%1)"/>
      <w:lvlJc w:val="left"/>
      <w:pPr>
        <w:ind w:left="425" w:hanging="425"/>
      </w:pPr>
      <w:rPr>
        <w:rFonts w:hint="default"/>
      </w:rPr>
    </w:lvl>
  </w:abstractNum>
  <w:abstractNum w:abstractNumId="15">
    <w:nsid w:val="FDFD47F7"/>
    <w:multiLevelType w:val="singleLevel"/>
    <w:tmpl w:val="FDFD47F7"/>
    <w:lvl w:ilvl="0" w:tentative="0">
      <w:start w:val="1"/>
      <w:numFmt w:val="decimal"/>
      <w:lvlText w:val="(%1)"/>
      <w:lvlJc w:val="left"/>
      <w:pPr>
        <w:ind w:left="425" w:hanging="425"/>
      </w:pPr>
      <w:rPr>
        <w:rFonts w:hint="default"/>
      </w:rPr>
    </w:lvl>
  </w:abstractNum>
  <w:abstractNum w:abstractNumId="16">
    <w:nsid w:val="FE7CD620"/>
    <w:multiLevelType w:val="singleLevel"/>
    <w:tmpl w:val="FE7CD620"/>
    <w:lvl w:ilvl="0" w:tentative="0">
      <w:start w:val="1"/>
      <w:numFmt w:val="decimal"/>
      <w:suff w:val="nothing"/>
      <w:lvlText w:val="%1）"/>
      <w:lvlJc w:val="left"/>
    </w:lvl>
  </w:abstractNum>
  <w:abstractNum w:abstractNumId="17">
    <w:nsid w:val="FEEEA44F"/>
    <w:multiLevelType w:val="singleLevel"/>
    <w:tmpl w:val="FEEEA44F"/>
    <w:lvl w:ilvl="0" w:tentative="0">
      <w:start w:val="1"/>
      <w:numFmt w:val="decimal"/>
      <w:suff w:val="nothing"/>
      <w:lvlText w:val="（%1）"/>
      <w:lvlJc w:val="left"/>
    </w:lvl>
  </w:abstractNum>
  <w:abstractNum w:abstractNumId="18">
    <w:nsid w:val="FFCA0360"/>
    <w:multiLevelType w:val="singleLevel"/>
    <w:tmpl w:val="FFCA0360"/>
    <w:lvl w:ilvl="0" w:tentative="0">
      <w:start w:val="1"/>
      <w:numFmt w:val="chineseCounting"/>
      <w:suff w:val="nothing"/>
      <w:lvlText w:val="%1、"/>
      <w:lvlJc w:val="left"/>
      <w:pPr>
        <w:ind w:left="0" w:firstLine="420"/>
      </w:pPr>
      <w:rPr>
        <w:rFonts w:hint="eastAsia"/>
      </w:rPr>
    </w:lvl>
  </w:abstractNum>
  <w:abstractNum w:abstractNumId="19">
    <w:nsid w:val="1EDF8756"/>
    <w:multiLevelType w:val="singleLevel"/>
    <w:tmpl w:val="1EDF8756"/>
    <w:lvl w:ilvl="0" w:tentative="0">
      <w:start w:val="1"/>
      <w:numFmt w:val="decimal"/>
      <w:lvlText w:val="%1."/>
      <w:lvlJc w:val="left"/>
      <w:pPr>
        <w:ind w:left="425" w:hanging="425"/>
      </w:pPr>
      <w:rPr>
        <w:rFonts w:hint="default"/>
      </w:rPr>
    </w:lvl>
  </w:abstractNum>
  <w:abstractNum w:abstractNumId="20">
    <w:nsid w:val="27FC15C3"/>
    <w:multiLevelType w:val="singleLevel"/>
    <w:tmpl w:val="27FC15C3"/>
    <w:lvl w:ilvl="0" w:tentative="0">
      <w:start w:val="1"/>
      <w:numFmt w:val="decimal"/>
      <w:lvlText w:val="%1."/>
      <w:lvlJc w:val="left"/>
      <w:pPr>
        <w:ind w:left="425" w:hanging="425"/>
      </w:pPr>
      <w:rPr>
        <w:rFonts w:hint="default"/>
      </w:rPr>
    </w:lvl>
  </w:abstractNum>
  <w:abstractNum w:abstractNumId="21">
    <w:nsid w:val="3FBED1DE"/>
    <w:multiLevelType w:val="singleLevel"/>
    <w:tmpl w:val="3FBED1DE"/>
    <w:lvl w:ilvl="0" w:tentative="0">
      <w:start w:val="1"/>
      <w:numFmt w:val="chineseCounting"/>
      <w:suff w:val="nothing"/>
      <w:lvlText w:val="（%1）"/>
      <w:lvlJc w:val="left"/>
      <w:pPr>
        <w:ind w:left="0" w:firstLine="420"/>
      </w:pPr>
      <w:rPr>
        <w:rFonts w:hint="eastAsia"/>
      </w:rPr>
    </w:lvl>
  </w:abstractNum>
  <w:abstractNum w:abstractNumId="22">
    <w:nsid w:val="5F624BE9"/>
    <w:multiLevelType w:val="singleLevel"/>
    <w:tmpl w:val="5F624BE9"/>
    <w:lvl w:ilvl="0" w:tentative="0">
      <w:start w:val="1"/>
      <w:numFmt w:val="decimal"/>
      <w:lvlText w:val="%1."/>
      <w:lvlJc w:val="left"/>
      <w:pPr>
        <w:ind w:left="425" w:hanging="425"/>
      </w:pPr>
      <w:rPr>
        <w:rFonts w:hint="default"/>
      </w:rPr>
    </w:lvl>
  </w:abstractNum>
  <w:abstractNum w:abstractNumId="23">
    <w:nsid w:val="5FFD90F8"/>
    <w:multiLevelType w:val="singleLevel"/>
    <w:tmpl w:val="5FFD90F8"/>
    <w:lvl w:ilvl="0" w:tentative="0">
      <w:start w:val="1"/>
      <w:numFmt w:val="decimal"/>
      <w:lvlText w:val="(%1)"/>
      <w:lvlJc w:val="left"/>
      <w:pPr>
        <w:ind w:left="425" w:hanging="425"/>
      </w:pPr>
      <w:rPr>
        <w:rFonts w:hint="default"/>
      </w:rPr>
    </w:lvl>
  </w:abstractNum>
  <w:abstractNum w:abstractNumId="24">
    <w:nsid w:val="6350366A"/>
    <w:multiLevelType w:val="multilevel"/>
    <w:tmpl w:val="6350366A"/>
    <w:lvl w:ilvl="0" w:tentative="0">
      <w:start w:val="1"/>
      <w:numFmt w:val="none"/>
      <w:pStyle w:val="61"/>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7"/>
      <w:isLgl/>
      <w:suff w:val="nothing"/>
      <w:lvlText w:val="%1.%2.%3.%4.%5、"/>
      <w:lvlJc w:val="left"/>
      <w:pPr>
        <w:ind w:left="3544"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6">
    <w:nsid w:val="75FD03AD"/>
    <w:multiLevelType w:val="singleLevel"/>
    <w:tmpl w:val="75FD03AD"/>
    <w:lvl w:ilvl="0" w:tentative="0">
      <w:start w:val="1"/>
      <w:numFmt w:val="decimal"/>
      <w:lvlText w:val="%1)"/>
      <w:lvlJc w:val="left"/>
      <w:pPr>
        <w:ind w:left="425" w:hanging="425"/>
      </w:pPr>
      <w:rPr>
        <w:rFonts w:hint="default"/>
      </w:rPr>
    </w:lvl>
  </w:abstractNum>
  <w:abstractNum w:abstractNumId="27">
    <w:nsid w:val="76F68D36"/>
    <w:multiLevelType w:val="singleLevel"/>
    <w:tmpl w:val="76F68D36"/>
    <w:lvl w:ilvl="0" w:tentative="0">
      <w:start w:val="1"/>
      <w:numFmt w:val="lowerLetter"/>
      <w:lvlText w:val="%1."/>
      <w:lvlJc w:val="left"/>
      <w:pPr>
        <w:tabs>
          <w:tab w:val="left" w:pos="312"/>
        </w:tabs>
        <w:ind w:left="600" w:leftChars="0" w:firstLine="0" w:firstLineChars="0"/>
      </w:pPr>
    </w:lvl>
  </w:abstractNum>
  <w:abstractNum w:abstractNumId="28">
    <w:nsid w:val="7DF5A8BC"/>
    <w:multiLevelType w:val="singleLevel"/>
    <w:tmpl w:val="7DF5A8BC"/>
    <w:lvl w:ilvl="0" w:tentative="0">
      <w:start w:val="1"/>
      <w:numFmt w:val="decimal"/>
      <w:lvlText w:val="(%1)"/>
      <w:lvlJc w:val="left"/>
      <w:pPr>
        <w:ind w:left="425" w:hanging="425"/>
      </w:pPr>
      <w:rPr>
        <w:rFonts w:hint="default"/>
      </w:rPr>
    </w:lvl>
  </w:abstractNum>
  <w:abstractNum w:abstractNumId="29">
    <w:nsid w:val="7DFEC058"/>
    <w:multiLevelType w:val="singleLevel"/>
    <w:tmpl w:val="7DFEC058"/>
    <w:lvl w:ilvl="0" w:tentative="0">
      <w:start w:val="1"/>
      <w:numFmt w:val="decimal"/>
      <w:lvlText w:val="(%1)"/>
      <w:lvlJc w:val="left"/>
      <w:pPr>
        <w:ind w:left="425" w:hanging="425"/>
      </w:pPr>
      <w:rPr>
        <w:rFonts w:hint="default"/>
      </w:rPr>
    </w:lvl>
  </w:abstractNum>
  <w:abstractNum w:abstractNumId="30">
    <w:nsid w:val="7EE5FB4B"/>
    <w:multiLevelType w:val="singleLevel"/>
    <w:tmpl w:val="7EE5FB4B"/>
    <w:lvl w:ilvl="0" w:tentative="0">
      <w:start w:val="1"/>
      <w:numFmt w:val="decimal"/>
      <w:lvlText w:val="(%1)"/>
      <w:lvlJc w:val="left"/>
      <w:pPr>
        <w:ind w:left="425" w:hanging="425"/>
      </w:pPr>
      <w:rPr>
        <w:rFonts w:hint="default"/>
      </w:rPr>
    </w:lvl>
  </w:abstractNum>
  <w:abstractNum w:abstractNumId="31">
    <w:nsid w:val="7FBE7730"/>
    <w:multiLevelType w:val="singleLevel"/>
    <w:tmpl w:val="7FBE7730"/>
    <w:lvl w:ilvl="0" w:tentative="0">
      <w:start w:val="1"/>
      <w:numFmt w:val="chineseCounting"/>
      <w:suff w:val="nothing"/>
      <w:lvlText w:val="%1、"/>
      <w:lvlJc w:val="left"/>
      <w:rPr>
        <w:rFonts w:hint="eastAsia"/>
      </w:rPr>
    </w:lvl>
  </w:abstractNum>
  <w:num w:numId="1">
    <w:abstractNumId w:val="25"/>
  </w:num>
  <w:num w:numId="2">
    <w:abstractNumId w:val="24"/>
  </w:num>
  <w:num w:numId="3">
    <w:abstractNumId w:val="13"/>
  </w:num>
  <w:num w:numId="4">
    <w:abstractNumId w:val="1"/>
  </w:num>
  <w:num w:numId="5">
    <w:abstractNumId w:val="31"/>
  </w:num>
  <w:num w:numId="6">
    <w:abstractNumId w:val="12"/>
  </w:num>
  <w:num w:numId="7">
    <w:abstractNumId w:val="7"/>
  </w:num>
  <w:num w:numId="8">
    <w:abstractNumId w:val="21"/>
  </w:num>
  <w:num w:numId="9">
    <w:abstractNumId w:val="11"/>
  </w:num>
  <w:num w:numId="10">
    <w:abstractNumId w:val="29"/>
  </w:num>
  <w:num w:numId="11">
    <w:abstractNumId w:val="20"/>
  </w:num>
  <w:num w:numId="12">
    <w:abstractNumId w:val="15"/>
  </w:num>
  <w:num w:numId="13">
    <w:abstractNumId w:val="2"/>
  </w:num>
  <w:num w:numId="14">
    <w:abstractNumId w:val="10"/>
  </w:num>
  <w:num w:numId="15">
    <w:abstractNumId w:val="22"/>
  </w:num>
  <w:num w:numId="16">
    <w:abstractNumId w:val="28"/>
  </w:num>
  <w:num w:numId="17">
    <w:abstractNumId w:val="26"/>
  </w:num>
  <w:num w:numId="18">
    <w:abstractNumId w:val="14"/>
  </w:num>
  <w:num w:numId="19">
    <w:abstractNumId w:val="5"/>
  </w:num>
  <w:num w:numId="20">
    <w:abstractNumId w:val="30"/>
  </w:num>
  <w:num w:numId="21">
    <w:abstractNumId w:val="19"/>
  </w:num>
  <w:num w:numId="22">
    <w:abstractNumId w:val="9"/>
  </w:num>
  <w:num w:numId="23">
    <w:abstractNumId w:val="8"/>
  </w:num>
  <w:num w:numId="24">
    <w:abstractNumId w:val="23"/>
  </w:num>
  <w:num w:numId="25">
    <w:abstractNumId w:val="3"/>
  </w:num>
  <w:num w:numId="26">
    <w:abstractNumId w:val="4"/>
  </w:num>
  <w:num w:numId="27">
    <w:abstractNumId w:val="18"/>
  </w:num>
  <w:num w:numId="28">
    <w:abstractNumId w:val="0"/>
  </w:num>
  <w:num w:numId="29">
    <w:abstractNumId w:val="17"/>
  </w:num>
  <w:num w:numId="30">
    <w:abstractNumId w:val="16"/>
  </w:num>
  <w:num w:numId="31">
    <w:abstractNumId w:val="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hYmEzMTNhMjdkYThkNDYyOTNhN2M4MTNhMDJiODc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44D3"/>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430854"/>
    <w:rsid w:val="039F5FA6"/>
    <w:rsid w:val="09305ADA"/>
    <w:rsid w:val="0D9A76F7"/>
    <w:rsid w:val="0E8013B7"/>
    <w:rsid w:val="100D1D80"/>
    <w:rsid w:val="10D604C6"/>
    <w:rsid w:val="11B515E0"/>
    <w:rsid w:val="13A53267"/>
    <w:rsid w:val="13F970D2"/>
    <w:rsid w:val="14AA4136"/>
    <w:rsid w:val="163A420B"/>
    <w:rsid w:val="19413B26"/>
    <w:rsid w:val="1C6D3688"/>
    <w:rsid w:val="1CC63D0A"/>
    <w:rsid w:val="1DBBD1E5"/>
    <w:rsid w:val="1DC2081A"/>
    <w:rsid w:val="1DD94266"/>
    <w:rsid w:val="1F725394"/>
    <w:rsid w:val="1F9D0947"/>
    <w:rsid w:val="1FEB4DCD"/>
    <w:rsid w:val="1FFB29C6"/>
    <w:rsid w:val="22AF3620"/>
    <w:rsid w:val="22E70AD4"/>
    <w:rsid w:val="24F1508D"/>
    <w:rsid w:val="266F634F"/>
    <w:rsid w:val="291059EA"/>
    <w:rsid w:val="29EF3E6C"/>
    <w:rsid w:val="2BBF12EC"/>
    <w:rsid w:val="2BC649D9"/>
    <w:rsid w:val="315BC022"/>
    <w:rsid w:val="31D4716A"/>
    <w:rsid w:val="33FDA7B4"/>
    <w:rsid w:val="3515160D"/>
    <w:rsid w:val="37BBFADA"/>
    <w:rsid w:val="3AC7D93C"/>
    <w:rsid w:val="3C7D00D8"/>
    <w:rsid w:val="3CA06C0C"/>
    <w:rsid w:val="3DDC3643"/>
    <w:rsid w:val="3E675770"/>
    <w:rsid w:val="3EA25851"/>
    <w:rsid w:val="3EC71F6F"/>
    <w:rsid w:val="3F6C3757"/>
    <w:rsid w:val="3FBF4399"/>
    <w:rsid w:val="3FDF8F90"/>
    <w:rsid w:val="3FFF64C4"/>
    <w:rsid w:val="405D6A10"/>
    <w:rsid w:val="410345FA"/>
    <w:rsid w:val="41DA6594"/>
    <w:rsid w:val="42993236"/>
    <w:rsid w:val="444C1A75"/>
    <w:rsid w:val="44A3526F"/>
    <w:rsid w:val="44B032F4"/>
    <w:rsid w:val="457D25F7"/>
    <w:rsid w:val="468341CD"/>
    <w:rsid w:val="472C2589"/>
    <w:rsid w:val="4A760AEB"/>
    <w:rsid w:val="4F3162CA"/>
    <w:rsid w:val="50D95873"/>
    <w:rsid w:val="526102AF"/>
    <w:rsid w:val="528444DA"/>
    <w:rsid w:val="537745D5"/>
    <w:rsid w:val="552306F6"/>
    <w:rsid w:val="567AB00C"/>
    <w:rsid w:val="56E352D5"/>
    <w:rsid w:val="57E435FE"/>
    <w:rsid w:val="582D0655"/>
    <w:rsid w:val="5951205C"/>
    <w:rsid w:val="59A773F3"/>
    <w:rsid w:val="59D079E8"/>
    <w:rsid w:val="59D40847"/>
    <w:rsid w:val="5AE37F25"/>
    <w:rsid w:val="5CB23D47"/>
    <w:rsid w:val="5DB7BF60"/>
    <w:rsid w:val="5DFB293F"/>
    <w:rsid w:val="5EFEBC4B"/>
    <w:rsid w:val="5FAF09C4"/>
    <w:rsid w:val="5FEA1789"/>
    <w:rsid w:val="608C4642"/>
    <w:rsid w:val="62440380"/>
    <w:rsid w:val="62795572"/>
    <w:rsid w:val="64DD6417"/>
    <w:rsid w:val="66004745"/>
    <w:rsid w:val="67DEDEFB"/>
    <w:rsid w:val="6A567F20"/>
    <w:rsid w:val="6CD97953"/>
    <w:rsid w:val="6E9BB257"/>
    <w:rsid w:val="6ED30FD7"/>
    <w:rsid w:val="6F4FDB8E"/>
    <w:rsid w:val="6F7DBB24"/>
    <w:rsid w:val="6FD5947A"/>
    <w:rsid w:val="6FFF5E61"/>
    <w:rsid w:val="6FFF84F3"/>
    <w:rsid w:val="727D78FD"/>
    <w:rsid w:val="73CC655F"/>
    <w:rsid w:val="75957445"/>
    <w:rsid w:val="759E5958"/>
    <w:rsid w:val="75D01AE1"/>
    <w:rsid w:val="77524363"/>
    <w:rsid w:val="77B917B5"/>
    <w:rsid w:val="78703975"/>
    <w:rsid w:val="7A3B0796"/>
    <w:rsid w:val="7B355890"/>
    <w:rsid w:val="7BBFDFDC"/>
    <w:rsid w:val="7BE420FD"/>
    <w:rsid w:val="7BFE2313"/>
    <w:rsid w:val="7D0D296B"/>
    <w:rsid w:val="7D4E0B54"/>
    <w:rsid w:val="7D503E78"/>
    <w:rsid w:val="7DBFD8E8"/>
    <w:rsid w:val="7DF32201"/>
    <w:rsid w:val="7DFF2FA2"/>
    <w:rsid w:val="7E0160D4"/>
    <w:rsid w:val="7F5D9DAB"/>
    <w:rsid w:val="7FDD1CA9"/>
    <w:rsid w:val="7FF78826"/>
    <w:rsid w:val="7FFECB12"/>
    <w:rsid w:val="7FFF232B"/>
    <w:rsid w:val="7FFFCAF9"/>
    <w:rsid w:val="97F76D44"/>
    <w:rsid w:val="9E9CFDFF"/>
    <w:rsid w:val="A3FC5543"/>
    <w:rsid w:val="A4D3335F"/>
    <w:rsid w:val="A73B1894"/>
    <w:rsid w:val="B7F13950"/>
    <w:rsid w:val="BD7FF0C5"/>
    <w:rsid w:val="BF572282"/>
    <w:rsid w:val="BF7F9BD8"/>
    <w:rsid w:val="BFDFB166"/>
    <w:rsid w:val="D3F47766"/>
    <w:rsid w:val="D76DBA27"/>
    <w:rsid w:val="DB11198E"/>
    <w:rsid w:val="DB5C6E61"/>
    <w:rsid w:val="DE7FF89C"/>
    <w:rsid w:val="DFFC49AD"/>
    <w:rsid w:val="DFFFB317"/>
    <w:rsid w:val="E3FEDB0B"/>
    <w:rsid w:val="E77E4873"/>
    <w:rsid w:val="EBEE96F9"/>
    <w:rsid w:val="ED3B0EE9"/>
    <w:rsid w:val="EDEFF2AB"/>
    <w:rsid w:val="EFDB240B"/>
    <w:rsid w:val="EFDDD106"/>
    <w:rsid w:val="F2E86657"/>
    <w:rsid w:val="F4FF1A10"/>
    <w:rsid w:val="F577D894"/>
    <w:rsid w:val="F77FEB98"/>
    <w:rsid w:val="F8FAFE94"/>
    <w:rsid w:val="FA5F9CAA"/>
    <w:rsid w:val="FAFBE33D"/>
    <w:rsid w:val="FDBA6089"/>
    <w:rsid w:val="FDFD87F5"/>
    <w:rsid w:val="FEFC4799"/>
    <w:rsid w:val="FF736EBB"/>
    <w:rsid w:val="FFEDFE13"/>
    <w:rsid w:val="FFFE4F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109"/>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2"/>
    <w:next w:val="1"/>
    <w:link w:val="121"/>
    <w:qFormat/>
    <w:uiPriority w:val="9"/>
    <w:pPr>
      <w:keepNext/>
      <w:keepLines/>
      <w:numPr>
        <w:ilvl w:val="1"/>
        <w:numId w:val="1"/>
      </w:numPr>
      <w:spacing w:before="120" w:after="120"/>
      <w:ind w:firstLine="0" w:firstLineChars="0"/>
      <w:outlineLvl w:val="1"/>
    </w:pPr>
    <w:rPr>
      <w:sz w:val="30"/>
      <w:szCs w:val="32"/>
    </w:rPr>
  </w:style>
  <w:style w:type="paragraph" w:styleId="4">
    <w:name w:val="heading 3"/>
    <w:basedOn w:val="1"/>
    <w:next w:val="1"/>
    <w:link w:val="114"/>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6"/>
    <w:link w:val="96"/>
    <w:qFormat/>
    <w:uiPriority w:val="0"/>
    <w:pPr>
      <w:keepNext/>
      <w:keepLines/>
      <w:numPr>
        <w:ilvl w:val="3"/>
        <w:numId w:val="1"/>
      </w:numPr>
      <w:spacing w:before="120" w:after="120"/>
      <w:ind w:left="851" w:firstLine="0" w:firstLineChars="0"/>
      <w:outlineLvl w:val="3"/>
    </w:pPr>
    <w:rPr>
      <w:b/>
      <w:bCs/>
      <w:sz w:val="30"/>
      <w:szCs w:val="30"/>
    </w:rPr>
  </w:style>
  <w:style w:type="paragraph" w:styleId="7">
    <w:name w:val="heading 5"/>
    <w:basedOn w:val="1"/>
    <w:next w:val="1"/>
    <w:link w:val="119"/>
    <w:qFormat/>
    <w:uiPriority w:val="0"/>
    <w:pPr>
      <w:keepNext/>
      <w:keepLines/>
      <w:numPr>
        <w:ilvl w:val="4"/>
        <w:numId w:val="1"/>
      </w:numPr>
      <w:spacing w:before="120" w:after="120"/>
      <w:ind w:left="0" w:firstLine="0" w:firstLineChars="0"/>
      <w:outlineLvl w:val="4"/>
    </w:pPr>
    <w:rPr>
      <w:b/>
      <w:bCs/>
      <w:szCs w:val="28"/>
    </w:rPr>
  </w:style>
  <w:style w:type="paragraph" w:styleId="8">
    <w:name w:val="heading 6"/>
    <w:basedOn w:val="1"/>
    <w:next w:val="1"/>
    <w:link w:val="131"/>
    <w:qFormat/>
    <w:uiPriority w:val="0"/>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106"/>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130"/>
    <w:qFormat/>
    <w:uiPriority w:val="9"/>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86"/>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unhideWhenUsed/>
    <w:qFormat/>
    <w:uiPriority w:val="1"/>
  </w:style>
  <w:style w:type="table" w:default="1" w:styleId="36">
    <w:name w:val="Normal Table"/>
    <w:unhideWhenUsed/>
    <w:qFormat/>
    <w:uiPriority w:val="99"/>
    <w:tblPr>
      <w:tblCellMar>
        <w:top w:w="0" w:type="dxa"/>
        <w:left w:w="108" w:type="dxa"/>
        <w:bottom w:w="0" w:type="dxa"/>
        <w:right w:w="108" w:type="dxa"/>
      </w:tblCellMar>
    </w:tblPr>
  </w:style>
  <w:style w:type="paragraph" w:customStyle="1" w:styleId="6">
    <w:name w:val="可研正文"/>
    <w:basedOn w:val="1"/>
    <w:qFormat/>
    <w:uiPriority w:val="0"/>
    <w:pPr>
      <w:spacing w:line="360" w:lineRule="auto"/>
      <w:ind w:firstLine="200" w:firstLineChars="200"/>
    </w:pPr>
    <w:rPr>
      <w:rFonts w:ascii="仿宋" w:hAnsi="仿宋" w:eastAsia="仿宋"/>
      <w:sz w:val="28"/>
      <w:szCs w:val="28"/>
    </w:rPr>
  </w:style>
  <w:style w:type="paragraph" w:styleId="12">
    <w:name w:val="toc 7"/>
    <w:basedOn w:val="1"/>
    <w:next w:val="1"/>
    <w:unhideWhenUsed/>
    <w:qFormat/>
    <w:uiPriority w:val="39"/>
    <w:pPr>
      <w:ind w:left="2520" w:leftChars="1200"/>
    </w:pPr>
    <w:rPr>
      <w:rFonts w:ascii="等线" w:hAnsi="等线" w:eastAsia="等线"/>
      <w:szCs w:val="22"/>
    </w:rPr>
  </w:style>
  <w:style w:type="paragraph" w:styleId="13">
    <w:name w:val="Normal Indent"/>
    <w:basedOn w:val="1"/>
    <w:unhideWhenUsed/>
    <w:qFormat/>
    <w:uiPriority w:val="99"/>
    <w:pPr>
      <w:spacing w:line="240" w:lineRule="auto"/>
      <w:ind w:firstLine="420"/>
    </w:pPr>
    <w:rPr>
      <w:rFonts w:ascii="Calibri" w:hAnsi="Calibri"/>
      <w:sz w:val="21"/>
    </w:rPr>
  </w:style>
  <w:style w:type="paragraph" w:styleId="14">
    <w:name w:val="caption"/>
    <w:basedOn w:val="1"/>
    <w:next w:val="1"/>
    <w:link w:val="92"/>
    <w:qFormat/>
    <w:uiPriority w:val="0"/>
    <w:pPr>
      <w:spacing w:afterLines="50"/>
      <w:ind w:firstLine="200"/>
    </w:pPr>
    <w:rPr>
      <w:rFonts w:ascii="Arial" w:hAnsi="Arial" w:eastAsia="黑体"/>
      <w:sz w:val="20"/>
      <w:szCs w:val="20"/>
    </w:rPr>
  </w:style>
  <w:style w:type="paragraph" w:styleId="15">
    <w:name w:val="Document Map"/>
    <w:basedOn w:val="1"/>
    <w:link w:val="124"/>
    <w:qFormat/>
    <w:uiPriority w:val="0"/>
    <w:rPr>
      <w:rFonts w:hAnsi="Times New Roman"/>
      <w:sz w:val="18"/>
      <w:szCs w:val="18"/>
    </w:rPr>
  </w:style>
  <w:style w:type="paragraph" w:styleId="16">
    <w:name w:val="annotation text"/>
    <w:basedOn w:val="1"/>
    <w:link w:val="83"/>
    <w:qFormat/>
    <w:uiPriority w:val="99"/>
    <w:pPr>
      <w:jc w:val="left"/>
    </w:pPr>
    <w:rPr>
      <w:rFonts w:ascii="Times New Roman" w:hAnsi="Times New Roman" w:eastAsia="仿宋"/>
      <w:sz w:val="28"/>
    </w:rPr>
  </w:style>
  <w:style w:type="paragraph" w:styleId="17">
    <w:name w:val="Body Text"/>
    <w:basedOn w:val="1"/>
    <w:link w:val="97"/>
    <w:unhideWhenUsed/>
    <w:qFormat/>
    <w:uiPriority w:val="0"/>
    <w:pPr>
      <w:spacing w:after="120" w:line="240" w:lineRule="auto"/>
      <w:ind w:firstLine="0" w:firstLineChars="0"/>
    </w:pPr>
    <w:rPr>
      <w:rFonts w:ascii="Times New Roman" w:hAnsi="Times New Roman"/>
      <w:sz w:val="21"/>
    </w:rPr>
  </w:style>
  <w:style w:type="paragraph" w:styleId="18">
    <w:name w:val="Body Text Indent"/>
    <w:basedOn w:val="1"/>
    <w:link w:val="118"/>
    <w:qFormat/>
    <w:uiPriority w:val="0"/>
    <w:pPr>
      <w:spacing w:after="120"/>
      <w:ind w:firstLine="200"/>
    </w:pPr>
    <w:rPr>
      <w:rFonts w:ascii="Times New Roman" w:hAnsi="Times New Roman"/>
      <w:sz w:val="21"/>
      <w:szCs w:val="20"/>
    </w:rPr>
  </w:style>
  <w:style w:type="paragraph" w:styleId="19">
    <w:name w:val="toc 5"/>
    <w:basedOn w:val="1"/>
    <w:next w:val="1"/>
    <w:unhideWhenUsed/>
    <w:qFormat/>
    <w:uiPriority w:val="39"/>
    <w:pPr>
      <w:ind w:left="1680" w:leftChars="800"/>
    </w:pPr>
    <w:rPr>
      <w:rFonts w:ascii="等线" w:hAnsi="等线" w:eastAsia="等线"/>
      <w:szCs w:val="22"/>
    </w:rPr>
  </w:style>
  <w:style w:type="paragraph" w:styleId="20">
    <w:name w:val="toc 3"/>
    <w:basedOn w:val="1"/>
    <w:next w:val="1"/>
    <w:qFormat/>
    <w:uiPriority w:val="39"/>
    <w:pPr>
      <w:tabs>
        <w:tab w:val="right" w:leader="dot" w:pos="8302"/>
      </w:tabs>
      <w:ind w:left="840" w:leftChars="400"/>
    </w:pPr>
  </w:style>
  <w:style w:type="paragraph" w:styleId="21">
    <w:name w:val="Plain Text"/>
    <w:basedOn w:val="1"/>
    <w:link w:val="102"/>
    <w:qFormat/>
    <w:uiPriority w:val="0"/>
    <w:pPr>
      <w:spacing w:line="240" w:lineRule="auto"/>
      <w:ind w:firstLine="0" w:firstLineChars="0"/>
    </w:pPr>
    <w:rPr>
      <w:rFonts w:hAnsi="Courier New"/>
      <w:sz w:val="21"/>
      <w:szCs w:val="20"/>
    </w:rPr>
  </w:style>
  <w:style w:type="paragraph" w:styleId="22">
    <w:name w:val="toc 8"/>
    <w:basedOn w:val="1"/>
    <w:next w:val="1"/>
    <w:unhideWhenUsed/>
    <w:qFormat/>
    <w:uiPriority w:val="39"/>
    <w:pPr>
      <w:ind w:left="2940" w:leftChars="1400"/>
    </w:pPr>
    <w:rPr>
      <w:rFonts w:ascii="等线" w:hAnsi="等线" w:eastAsia="等线"/>
      <w:szCs w:val="22"/>
    </w:rPr>
  </w:style>
  <w:style w:type="paragraph" w:styleId="23">
    <w:name w:val="Date"/>
    <w:basedOn w:val="1"/>
    <w:next w:val="1"/>
    <w:link w:val="85"/>
    <w:qFormat/>
    <w:uiPriority w:val="0"/>
    <w:pPr>
      <w:ind w:left="100" w:leftChars="2500"/>
    </w:pPr>
    <w:rPr>
      <w:rFonts w:ascii="Times New Roman" w:hAnsi="Times New Roman"/>
      <w:sz w:val="21"/>
    </w:rPr>
  </w:style>
  <w:style w:type="paragraph" w:styleId="24">
    <w:name w:val="Balloon Text"/>
    <w:basedOn w:val="1"/>
    <w:link w:val="128"/>
    <w:qFormat/>
    <w:uiPriority w:val="0"/>
    <w:rPr>
      <w:rFonts w:ascii="Times New Roman" w:hAnsi="Times New Roman"/>
      <w:sz w:val="18"/>
      <w:szCs w:val="18"/>
    </w:rPr>
  </w:style>
  <w:style w:type="paragraph" w:styleId="25">
    <w:name w:val="footer"/>
    <w:basedOn w:val="1"/>
    <w:link w:val="122"/>
    <w:qFormat/>
    <w:uiPriority w:val="99"/>
    <w:pPr>
      <w:tabs>
        <w:tab w:val="center" w:pos="4153"/>
        <w:tab w:val="right" w:pos="8306"/>
      </w:tabs>
      <w:snapToGrid w:val="0"/>
      <w:jc w:val="center"/>
    </w:pPr>
    <w:rPr>
      <w:rFonts w:ascii="Times New Roman" w:hAnsi="Times New Roman"/>
      <w:sz w:val="18"/>
      <w:szCs w:val="18"/>
    </w:rPr>
  </w:style>
  <w:style w:type="paragraph" w:styleId="26">
    <w:name w:val="header"/>
    <w:basedOn w:val="1"/>
    <w:link w:val="129"/>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7">
    <w:name w:val="toc 1"/>
    <w:basedOn w:val="1"/>
    <w:next w:val="1"/>
    <w:qFormat/>
    <w:uiPriority w:val="39"/>
  </w:style>
  <w:style w:type="paragraph" w:styleId="28">
    <w:name w:val="toc 4"/>
    <w:basedOn w:val="1"/>
    <w:next w:val="1"/>
    <w:unhideWhenUsed/>
    <w:qFormat/>
    <w:uiPriority w:val="39"/>
    <w:pPr>
      <w:ind w:left="1260" w:leftChars="600"/>
    </w:pPr>
    <w:rPr>
      <w:rFonts w:ascii="等线" w:hAnsi="等线" w:eastAsia="等线"/>
      <w:szCs w:val="22"/>
    </w:rPr>
  </w:style>
  <w:style w:type="paragraph" w:styleId="29">
    <w:name w:val="Subtitle"/>
    <w:basedOn w:val="1"/>
    <w:next w:val="1"/>
    <w:link w:val="120"/>
    <w:qFormat/>
    <w:uiPriority w:val="0"/>
    <w:pPr>
      <w:spacing w:before="240" w:after="60" w:line="312" w:lineRule="auto"/>
      <w:jc w:val="center"/>
      <w:outlineLvl w:val="1"/>
    </w:pPr>
    <w:rPr>
      <w:rFonts w:ascii="Calibri Light" w:hAnsi="Calibri Light"/>
      <w:b/>
      <w:bCs/>
      <w:kern w:val="28"/>
      <w:sz w:val="32"/>
      <w:szCs w:val="32"/>
    </w:rPr>
  </w:style>
  <w:style w:type="paragraph" w:styleId="30">
    <w:name w:val="toc 6"/>
    <w:basedOn w:val="1"/>
    <w:next w:val="1"/>
    <w:unhideWhenUsed/>
    <w:qFormat/>
    <w:uiPriority w:val="39"/>
    <w:pPr>
      <w:ind w:left="2100" w:leftChars="1000"/>
    </w:pPr>
    <w:rPr>
      <w:rFonts w:ascii="等线" w:hAnsi="等线" w:eastAsia="等线"/>
      <w:szCs w:val="22"/>
    </w:rPr>
  </w:style>
  <w:style w:type="paragraph" w:styleId="31">
    <w:name w:val="toc 2"/>
    <w:basedOn w:val="1"/>
    <w:next w:val="1"/>
    <w:qFormat/>
    <w:uiPriority w:val="39"/>
    <w:pPr>
      <w:tabs>
        <w:tab w:val="right" w:leader="dot" w:pos="8302"/>
      </w:tabs>
      <w:ind w:left="420" w:leftChars="200"/>
    </w:pPr>
  </w:style>
  <w:style w:type="paragraph" w:styleId="32">
    <w:name w:val="toc 9"/>
    <w:basedOn w:val="1"/>
    <w:next w:val="1"/>
    <w:unhideWhenUsed/>
    <w:qFormat/>
    <w:uiPriority w:val="39"/>
    <w:pPr>
      <w:ind w:left="3360" w:leftChars="1600"/>
    </w:pPr>
    <w:rPr>
      <w:rFonts w:ascii="等线" w:hAnsi="等线" w:eastAsia="等线"/>
      <w:szCs w:val="22"/>
    </w:rPr>
  </w:style>
  <w:style w:type="paragraph" w:styleId="33">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4">
    <w:name w:val="Title"/>
    <w:basedOn w:val="1"/>
    <w:next w:val="1"/>
    <w:link w:val="127"/>
    <w:qFormat/>
    <w:uiPriority w:val="0"/>
    <w:pPr>
      <w:spacing w:before="240" w:after="60" w:line="960" w:lineRule="auto"/>
      <w:jc w:val="center"/>
    </w:pPr>
    <w:rPr>
      <w:rFonts w:ascii="Cambria" w:hAnsi="Cambria" w:eastAsia="黑体"/>
      <w:b/>
      <w:bCs/>
      <w:sz w:val="52"/>
      <w:szCs w:val="32"/>
    </w:rPr>
  </w:style>
  <w:style w:type="paragraph" w:styleId="35">
    <w:name w:val="annotation subject"/>
    <w:basedOn w:val="16"/>
    <w:next w:val="16"/>
    <w:link w:val="116"/>
    <w:qFormat/>
    <w:uiPriority w:val="0"/>
    <w:rPr>
      <w:b/>
      <w:bCs/>
      <w:sz w:val="21"/>
    </w:r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0"/>
    <w:rPr>
      <w:b/>
    </w:rPr>
  </w:style>
  <w:style w:type="character" w:styleId="40">
    <w:name w:val="page number"/>
    <w:basedOn w:val="38"/>
    <w:qFormat/>
    <w:uiPriority w:val="0"/>
  </w:style>
  <w:style w:type="character" w:styleId="41">
    <w:name w:val="FollowedHyperlink"/>
    <w:unhideWhenUsed/>
    <w:qFormat/>
    <w:uiPriority w:val="99"/>
    <w:rPr>
      <w:color w:val="954F72"/>
      <w:u w:val="single"/>
    </w:rPr>
  </w:style>
  <w:style w:type="character" w:styleId="42">
    <w:name w:val="Hyperlink"/>
    <w:qFormat/>
    <w:uiPriority w:val="99"/>
    <w:rPr>
      <w:color w:val="0000FF"/>
      <w:u w:val="single"/>
    </w:rPr>
  </w:style>
  <w:style w:type="character" w:styleId="43">
    <w:name w:val="annotation reference"/>
    <w:qFormat/>
    <w:uiPriority w:val="99"/>
    <w:rPr>
      <w:sz w:val="21"/>
      <w:szCs w:val="21"/>
    </w:rPr>
  </w:style>
  <w:style w:type="paragraph" w:customStyle="1" w:styleId="44">
    <w:name w:val="首行缩进正文"/>
    <w:basedOn w:val="1"/>
    <w:link w:val="82"/>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paragraph" w:customStyle="1" w:styleId="45">
    <w:name w:val="List Paragraph"/>
    <w:basedOn w:val="1"/>
    <w:link w:val="98"/>
    <w:qFormat/>
    <w:uiPriority w:val="34"/>
    <w:pPr>
      <w:ind w:firstLine="420"/>
    </w:pPr>
    <w:rPr>
      <w:rFonts w:ascii="Times New Roman" w:hAnsi="Times New Roman"/>
      <w:sz w:val="21"/>
    </w:rPr>
  </w:style>
  <w:style w:type="paragraph" w:customStyle="1" w:styleId="46">
    <w:name w:val="*正文"/>
    <w:basedOn w:val="1"/>
    <w:link w:val="100"/>
    <w:qFormat/>
    <w:uiPriority w:val="0"/>
    <w:pPr>
      <w:widowControl/>
      <w:ind w:firstLine="200"/>
      <w:contextualSpacing/>
    </w:pPr>
    <w:rPr>
      <w:rFonts w:ascii="time" w:hAnsi="time"/>
      <w:kern w:val="0"/>
      <w:lang w:bidi="en-US"/>
    </w:rPr>
  </w:style>
  <w:style w:type="paragraph" w:customStyle="1" w:styleId="47">
    <w:name w:val="my正文"/>
    <w:basedOn w:val="1"/>
    <w:link w:val="103"/>
    <w:qFormat/>
    <w:uiPriority w:val="0"/>
    <w:pPr>
      <w:spacing w:line="240" w:lineRule="auto"/>
      <w:ind w:firstLine="0" w:firstLineChars="0"/>
    </w:pPr>
    <w:rPr>
      <w:rFonts w:ascii="Times New Roman" w:hAnsi="Times New Roman"/>
      <w:sz w:val="21"/>
    </w:rPr>
  </w:style>
  <w:style w:type="paragraph" w:customStyle="1" w:styleId="48">
    <w:name w:val="正文2"/>
    <w:basedOn w:val="1"/>
    <w:link w:val="104"/>
    <w:qFormat/>
    <w:uiPriority w:val="0"/>
    <w:pPr>
      <w:ind w:firstLine="420"/>
    </w:pPr>
    <w:rPr>
      <w:rFonts w:ascii="Times New Roman" w:hAnsi="Times New Roman"/>
      <w:sz w:val="21"/>
    </w:rPr>
  </w:style>
  <w:style w:type="paragraph" w:customStyle="1" w:styleId="49">
    <w:name w:val="正文正文2"/>
    <w:basedOn w:val="1"/>
    <w:link w:val="113"/>
    <w:qFormat/>
    <w:uiPriority w:val="0"/>
    <w:pPr>
      <w:ind w:firstLine="460"/>
    </w:pPr>
    <w:rPr>
      <w:sz w:val="21"/>
      <w:szCs w:val="21"/>
    </w:rPr>
  </w:style>
  <w:style w:type="paragraph" w:customStyle="1" w:styleId="50">
    <w:name w:val="标准正文"/>
    <w:basedOn w:val="18"/>
    <w:link w:val="126"/>
    <w:qFormat/>
    <w:uiPriority w:val="0"/>
    <w:pPr>
      <w:spacing w:before="60" w:after="60"/>
      <w:ind w:firstLine="482" w:firstLineChars="0"/>
    </w:pPr>
    <w:rPr>
      <w:rFonts w:ascii="Arial" w:hAnsi="Arial"/>
      <w:sz w:val="24"/>
    </w:rPr>
  </w:style>
  <w:style w:type="paragraph" w:customStyle="1" w:styleId="51">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52">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53">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54">
    <w:name w:val="_Style 2"/>
    <w:basedOn w:val="2"/>
    <w:next w:val="1"/>
    <w:qFormat/>
    <w:uiPriority w:val="39"/>
    <w:pPr>
      <w:widowControl/>
      <w:numPr>
        <w:ilvl w:val="0"/>
        <w:numId w:val="0"/>
      </w:numPr>
      <w:spacing w:before="480" w:after="0" w:line="276" w:lineRule="auto"/>
      <w:jc w:val="left"/>
      <w:outlineLvl w:val="9"/>
    </w:pPr>
    <w:rPr>
      <w:rFonts w:ascii="Cambria" w:hAnsi="Cambria" w:eastAsia="宋体"/>
      <w:color w:val="365F91"/>
      <w:kern w:val="0"/>
      <w:sz w:val="28"/>
    </w:rPr>
  </w:style>
  <w:style w:type="paragraph" w:customStyle="1" w:styleId="55">
    <w:name w:val="正文缩进1"/>
    <w:basedOn w:val="1"/>
    <w:qFormat/>
    <w:uiPriority w:val="0"/>
    <w:pPr>
      <w:spacing w:line="240" w:lineRule="auto"/>
      <w:ind w:firstLine="420"/>
    </w:pPr>
    <w:rPr>
      <w:rFonts w:ascii="Times New Roman" w:hAnsi="Times New Roman"/>
      <w:sz w:val="21"/>
      <w:szCs w:val="20"/>
    </w:rPr>
  </w:style>
  <w:style w:type="paragraph" w:customStyle="1" w:styleId="56">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57">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58">
    <w:name w:val="Indent Normal"/>
    <w:basedOn w:val="1"/>
    <w:qFormat/>
    <w:uiPriority w:val="0"/>
    <w:pPr>
      <w:ind w:firstLine="150" w:firstLineChars="150"/>
    </w:pPr>
  </w:style>
  <w:style w:type="paragraph" w:customStyle="1" w:styleId="59">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60">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61">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62">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63">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64">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6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66">
    <w:name w:val="Char Char Char Char Char Char1 Char"/>
    <w:basedOn w:val="1"/>
    <w:qFormat/>
    <w:uiPriority w:val="0"/>
    <w:pPr>
      <w:widowControl/>
      <w:spacing w:after="160" w:line="240" w:lineRule="exact"/>
      <w:jc w:val="left"/>
    </w:pPr>
  </w:style>
  <w:style w:type="paragraph" w:customStyle="1" w:styleId="67">
    <w:name w:val="PM_Body"/>
    <w:basedOn w:val="1"/>
    <w:qFormat/>
    <w:locked/>
    <w:uiPriority w:val="0"/>
    <w:rPr>
      <w:szCs w:val="21"/>
    </w:rPr>
  </w:style>
  <w:style w:type="paragraph" w:customStyle="1" w:styleId="68">
    <w:name w:val="Char Char1"/>
    <w:basedOn w:val="1"/>
    <w:qFormat/>
    <w:uiPriority w:val="0"/>
    <w:pPr>
      <w:widowControl/>
      <w:spacing w:before="120" w:after="120"/>
    </w:pPr>
    <w:rPr>
      <w:rFonts w:ascii="Times New Roman" w:hAnsi="Times New Roman" w:cs="宋体"/>
    </w:rPr>
  </w:style>
  <w:style w:type="paragraph" w:customStyle="1" w:styleId="69">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70">
    <w:name w:val="Revision"/>
    <w:unhideWhenUsed/>
    <w:qFormat/>
    <w:uiPriority w:val="99"/>
    <w:rPr>
      <w:rFonts w:ascii="宋体" w:hAnsi="宋体" w:eastAsia="宋体" w:cs="Times New Roman"/>
      <w:kern w:val="2"/>
      <w:sz w:val="24"/>
      <w:szCs w:val="24"/>
      <w:lang w:val="en-US" w:eastAsia="zh-CN" w:bidi="ar-SA"/>
    </w:rPr>
  </w:style>
  <w:style w:type="paragraph" w:customStyle="1" w:styleId="71">
    <w:name w:val="列出段落2"/>
    <w:basedOn w:val="1"/>
    <w:qFormat/>
    <w:uiPriority w:val="0"/>
    <w:pPr>
      <w:spacing w:line="240" w:lineRule="auto"/>
      <w:ind w:firstLine="420"/>
    </w:pPr>
    <w:rPr>
      <w:rFonts w:ascii="等线" w:hAnsi="等线" w:eastAsia="等线" w:cs="等线"/>
      <w:sz w:val="21"/>
      <w:szCs w:val="21"/>
    </w:rPr>
  </w:style>
  <w:style w:type="paragraph" w:customStyle="1" w:styleId="72">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74">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75">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76">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77">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78">
    <w:name w:val="TOC Heading"/>
    <w:basedOn w:val="2"/>
    <w:next w:val="1"/>
    <w:qFormat/>
    <w:uiPriority w:val="39"/>
    <w:pPr>
      <w:widowControl/>
      <w:numPr>
        <w:ilvl w:val="0"/>
        <w:numId w:val="0"/>
      </w:numPr>
      <w:spacing w:before="480" w:after="0" w:line="276" w:lineRule="auto"/>
      <w:jc w:val="left"/>
      <w:outlineLvl w:val="9"/>
    </w:pPr>
    <w:rPr>
      <w:rFonts w:ascii="Cambria" w:hAnsi="Cambria" w:eastAsia="宋体"/>
      <w:color w:val="365F91"/>
      <w:kern w:val="0"/>
      <w:sz w:val="28"/>
    </w:rPr>
  </w:style>
  <w:style w:type="paragraph" w:customStyle="1" w:styleId="79">
    <w:name w:val="B-表正文"/>
    <w:qFormat/>
    <w:uiPriority w:val="0"/>
    <w:rPr>
      <w:rFonts w:ascii="Times New Roman" w:hAnsi="Times New Roman" w:eastAsia="仿宋" w:cs="黑体"/>
      <w:kern w:val="2"/>
      <w:sz w:val="21"/>
      <w:szCs w:val="24"/>
      <w:lang w:val="en-US" w:eastAsia="zh-CN" w:bidi="ar-SA"/>
    </w:rPr>
  </w:style>
  <w:style w:type="paragraph" w:customStyle="1" w:styleId="80">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8"/>
      <w:szCs w:val="28"/>
      <w:lang w:val="en-US" w:eastAsia="zh-CN"/>
    </w:rPr>
  </w:style>
  <w:style w:type="character" w:customStyle="1" w:styleId="81">
    <w:name w:val="标题 3 字符1"/>
    <w:qFormat/>
    <w:uiPriority w:val="0"/>
    <w:rPr>
      <w:rFonts w:ascii="宋体" w:hAnsi="宋体"/>
      <w:b/>
      <w:bCs/>
      <w:kern w:val="2"/>
      <w:sz w:val="28"/>
      <w:szCs w:val="28"/>
    </w:rPr>
  </w:style>
  <w:style w:type="character" w:customStyle="1" w:styleId="82">
    <w:name w:val="首行缩进正文 Char"/>
    <w:link w:val="44"/>
    <w:qFormat/>
    <w:uiPriority w:val="0"/>
    <w:rPr>
      <w:kern w:val="2"/>
      <w:sz w:val="24"/>
    </w:rPr>
  </w:style>
  <w:style w:type="character" w:customStyle="1" w:styleId="83">
    <w:name w:val="批注文字 Char"/>
    <w:link w:val="16"/>
    <w:qFormat/>
    <w:uiPriority w:val="99"/>
    <w:rPr>
      <w:rFonts w:eastAsia="仿宋"/>
      <w:kern w:val="2"/>
      <w:sz w:val="28"/>
      <w:szCs w:val="24"/>
    </w:rPr>
  </w:style>
  <w:style w:type="character" w:customStyle="1" w:styleId="84">
    <w:name w:val="日期 字符"/>
    <w:semiHidden/>
    <w:qFormat/>
    <w:uiPriority w:val="99"/>
    <w:rPr>
      <w:rFonts w:ascii="宋体" w:hAnsi="宋体"/>
      <w:kern w:val="2"/>
      <w:sz w:val="24"/>
      <w:szCs w:val="24"/>
    </w:rPr>
  </w:style>
  <w:style w:type="character" w:customStyle="1" w:styleId="85">
    <w:name w:val="日期 Char"/>
    <w:link w:val="23"/>
    <w:qFormat/>
    <w:uiPriority w:val="0"/>
    <w:rPr>
      <w:kern w:val="2"/>
      <w:sz w:val="21"/>
      <w:szCs w:val="24"/>
    </w:rPr>
  </w:style>
  <w:style w:type="character" w:customStyle="1" w:styleId="86">
    <w:name w:val="标题 9 Char"/>
    <w:link w:val="11"/>
    <w:qFormat/>
    <w:uiPriority w:val="9"/>
    <w:rPr>
      <w:rFonts w:ascii="Cambria" w:hAnsi="Cambria"/>
      <w:kern w:val="2"/>
      <w:sz w:val="21"/>
      <w:szCs w:val="21"/>
    </w:rPr>
  </w:style>
  <w:style w:type="character" w:customStyle="1" w:styleId="87">
    <w:name w:val="未处理的提及1"/>
    <w:unhideWhenUsed/>
    <w:qFormat/>
    <w:uiPriority w:val="99"/>
    <w:rPr>
      <w:color w:val="605E5C"/>
      <w:shd w:val="clear" w:color="auto" w:fill="E1DFDD"/>
    </w:rPr>
  </w:style>
  <w:style w:type="character" w:customStyle="1" w:styleId="88">
    <w:name w:val="标题 1 字符"/>
    <w:qFormat/>
    <w:uiPriority w:val="9"/>
    <w:rPr>
      <w:rFonts w:ascii="宋体" w:hAnsi="宋体"/>
      <w:b/>
      <w:bCs/>
      <w:kern w:val="44"/>
      <w:sz w:val="44"/>
      <w:szCs w:val="44"/>
    </w:rPr>
  </w:style>
  <w:style w:type="character" w:customStyle="1" w:styleId="89">
    <w:name w:val="标题 3 字符"/>
    <w:semiHidden/>
    <w:qFormat/>
    <w:uiPriority w:val="9"/>
    <w:rPr>
      <w:rFonts w:ascii="宋体" w:hAnsi="宋体"/>
      <w:b/>
      <w:bCs/>
      <w:kern w:val="2"/>
      <w:sz w:val="32"/>
      <w:szCs w:val="32"/>
    </w:rPr>
  </w:style>
  <w:style w:type="character" w:customStyle="1" w:styleId="90">
    <w:name w:val="页脚 字符"/>
    <w:qFormat/>
    <w:uiPriority w:val="99"/>
  </w:style>
  <w:style w:type="character" w:customStyle="1" w:styleId="91">
    <w:name w:val="标题 5 字符"/>
    <w:semiHidden/>
    <w:qFormat/>
    <w:uiPriority w:val="9"/>
    <w:rPr>
      <w:rFonts w:ascii="宋体" w:hAnsi="宋体"/>
      <w:b/>
      <w:bCs/>
      <w:kern w:val="2"/>
      <w:sz w:val="28"/>
      <w:szCs w:val="28"/>
    </w:rPr>
  </w:style>
  <w:style w:type="character" w:customStyle="1" w:styleId="92">
    <w:name w:val="题注 Char"/>
    <w:link w:val="14"/>
    <w:qFormat/>
    <w:locked/>
    <w:uiPriority w:val="0"/>
    <w:rPr>
      <w:rFonts w:ascii="Arial" w:hAnsi="Arial" w:eastAsia="黑体"/>
      <w:kern w:val="2"/>
    </w:rPr>
  </w:style>
  <w:style w:type="character" w:customStyle="1" w:styleId="93">
    <w:name w:val="标题 2 字符"/>
    <w:semiHidden/>
    <w:qFormat/>
    <w:uiPriority w:val="9"/>
    <w:rPr>
      <w:rFonts w:ascii="等线 Light" w:hAnsi="等线 Light" w:eastAsia="等线 Light" w:cs="Times New Roman"/>
      <w:b/>
      <w:bCs/>
      <w:kern w:val="2"/>
      <w:sz w:val="32"/>
      <w:szCs w:val="32"/>
    </w:rPr>
  </w:style>
  <w:style w:type="character" w:customStyle="1" w:styleId="94">
    <w:name w:val="纯文本 字符"/>
    <w:qFormat/>
    <w:uiPriority w:val="0"/>
    <w:rPr>
      <w:rFonts w:ascii="宋体" w:hAnsi="Courier New" w:cs="Courier New"/>
      <w:kern w:val="2"/>
      <w:sz w:val="21"/>
      <w:szCs w:val="21"/>
    </w:rPr>
  </w:style>
  <w:style w:type="character" w:customStyle="1" w:styleId="95">
    <w:name w:val="列表段落 字符"/>
    <w:qFormat/>
    <w:uiPriority w:val="34"/>
    <w:rPr>
      <w:kern w:val="2"/>
      <w:sz w:val="21"/>
      <w:szCs w:val="22"/>
    </w:rPr>
  </w:style>
  <w:style w:type="character" w:customStyle="1" w:styleId="96">
    <w:name w:val="标题 4 Char"/>
    <w:link w:val="5"/>
    <w:qFormat/>
    <w:uiPriority w:val="0"/>
    <w:rPr>
      <w:rFonts w:ascii="宋体" w:hAnsi="宋体"/>
      <w:b/>
      <w:bCs/>
      <w:kern w:val="2"/>
      <w:sz w:val="30"/>
      <w:szCs w:val="30"/>
    </w:rPr>
  </w:style>
  <w:style w:type="character" w:customStyle="1" w:styleId="97">
    <w:name w:val="正文文本 Char"/>
    <w:link w:val="17"/>
    <w:qFormat/>
    <w:uiPriority w:val="0"/>
    <w:rPr>
      <w:kern w:val="2"/>
      <w:sz w:val="21"/>
      <w:szCs w:val="24"/>
    </w:rPr>
  </w:style>
  <w:style w:type="character" w:customStyle="1" w:styleId="98">
    <w:name w:val="列出段落 Char"/>
    <w:link w:val="45"/>
    <w:qFormat/>
    <w:uiPriority w:val="34"/>
    <w:rPr>
      <w:kern w:val="2"/>
      <w:sz w:val="21"/>
      <w:szCs w:val="24"/>
    </w:rPr>
  </w:style>
  <w:style w:type="character" w:customStyle="1" w:styleId="99">
    <w:name w:val="font21"/>
    <w:qFormat/>
    <w:uiPriority w:val="0"/>
    <w:rPr>
      <w:rFonts w:ascii="Calibri" w:hAnsi="Calibri" w:cs="Calibri"/>
      <w:color w:val="000000"/>
      <w:sz w:val="21"/>
      <w:szCs w:val="21"/>
      <w:u w:val="none"/>
    </w:rPr>
  </w:style>
  <w:style w:type="character" w:customStyle="1" w:styleId="100">
    <w:name w:val="*正文 Char"/>
    <w:link w:val="46"/>
    <w:qFormat/>
    <w:uiPriority w:val="0"/>
    <w:rPr>
      <w:rFonts w:ascii="time" w:hAnsi="time"/>
      <w:sz w:val="24"/>
      <w:szCs w:val="24"/>
      <w:lang w:bidi="en-US"/>
    </w:rPr>
  </w:style>
  <w:style w:type="character" w:customStyle="1" w:styleId="101">
    <w:name w:val="正文文本缩进 字符"/>
    <w:semiHidden/>
    <w:qFormat/>
    <w:uiPriority w:val="99"/>
    <w:rPr>
      <w:rFonts w:ascii="宋体" w:hAnsi="宋体"/>
      <w:kern w:val="2"/>
      <w:sz w:val="24"/>
      <w:szCs w:val="24"/>
    </w:rPr>
  </w:style>
  <w:style w:type="character" w:customStyle="1" w:styleId="102">
    <w:name w:val="纯文本 Char"/>
    <w:link w:val="21"/>
    <w:qFormat/>
    <w:locked/>
    <w:uiPriority w:val="0"/>
    <w:rPr>
      <w:rFonts w:ascii="宋体" w:hAnsi="Courier New"/>
      <w:kern w:val="2"/>
      <w:sz w:val="21"/>
    </w:rPr>
  </w:style>
  <w:style w:type="character" w:customStyle="1" w:styleId="103">
    <w:name w:val="my正文 Char"/>
    <w:link w:val="47"/>
    <w:qFormat/>
    <w:uiPriority w:val="0"/>
    <w:rPr>
      <w:kern w:val="2"/>
      <w:sz w:val="21"/>
      <w:szCs w:val="24"/>
    </w:rPr>
  </w:style>
  <w:style w:type="character" w:customStyle="1" w:styleId="104">
    <w:name w:val="正文2 字符"/>
    <w:link w:val="48"/>
    <w:qFormat/>
    <w:uiPriority w:val="0"/>
    <w:rPr>
      <w:kern w:val="2"/>
      <w:sz w:val="21"/>
      <w:szCs w:val="24"/>
    </w:rPr>
  </w:style>
  <w:style w:type="character" w:customStyle="1" w:styleId="105">
    <w:name w:val="font41"/>
    <w:qFormat/>
    <w:uiPriority w:val="0"/>
    <w:rPr>
      <w:rFonts w:hint="eastAsia" w:ascii="宋体" w:hAnsi="宋体" w:eastAsia="宋体" w:cs="宋体"/>
      <w:color w:val="000000"/>
      <w:sz w:val="21"/>
      <w:szCs w:val="21"/>
      <w:u w:val="none"/>
    </w:rPr>
  </w:style>
  <w:style w:type="character" w:customStyle="1" w:styleId="106">
    <w:name w:val="标题 7 Char"/>
    <w:link w:val="9"/>
    <w:qFormat/>
    <w:uiPriority w:val="9"/>
    <w:rPr>
      <w:b/>
      <w:bCs/>
      <w:kern w:val="2"/>
      <w:sz w:val="21"/>
      <w:szCs w:val="24"/>
    </w:rPr>
  </w:style>
  <w:style w:type="character" w:customStyle="1" w:styleId="107">
    <w:name w:val="批注框文本 字符"/>
    <w:semiHidden/>
    <w:qFormat/>
    <w:uiPriority w:val="99"/>
    <w:rPr>
      <w:rFonts w:ascii="宋体" w:hAnsi="宋体"/>
      <w:kern w:val="2"/>
      <w:sz w:val="18"/>
      <w:szCs w:val="18"/>
    </w:rPr>
  </w:style>
  <w:style w:type="character" w:customStyle="1" w:styleId="108">
    <w:name w:val="副标题 Char1"/>
    <w:qFormat/>
    <w:uiPriority w:val="0"/>
    <w:rPr>
      <w:rFonts w:ascii="Calibri Light" w:hAnsi="Calibri Light" w:cs="Times New Roman"/>
      <w:b/>
      <w:bCs/>
      <w:kern w:val="28"/>
      <w:sz w:val="32"/>
      <w:szCs w:val="32"/>
    </w:rPr>
  </w:style>
  <w:style w:type="character" w:customStyle="1" w:styleId="109">
    <w:name w:val="标题 1 Char1"/>
    <w:link w:val="2"/>
    <w:qFormat/>
    <w:uiPriority w:val="0"/>
    <w:rPr>
      <w:rFonts w:ascii="宋体" w:hAnsi="宋体" w:eastAsia="黑体"/>
      <w:b/>
      <w:bCs/>
      <w:kern w:val="44"/>
      <w:sz w:val="32"/>
      <w:szCs w:val="28"/>
    </w:rPr>
  </w:style>
  <w:style w:type="character" w:customStyle="1" w:styleId="110">
    <w:name w:val="批注文字 字符"/>
    <w:qFormat/>
    <w:uiPriority w:val="99"/>
    <w:rPr>
      <w:rFonts w:ascii="宋体" w:hAnsi="宋体"/>
      <w:kern w:val="2"/>
      <w:sz w:val="24"/>
      <w:szCs w:val="24"/>
    </w:rPr>
  </w:style>
  <w:style w:type="character" w:customStyle="1" w:styleId="111">
    <w:name w:val="文档结构图 字符"/>
    <w:semiHidden/>
    <w:qFormat/>
    <w:uiPriority w:val="99"/>
    <w:rPr>
      <w:rFonts w:ascii="Microsoft YaHei UI" w:hAnsi="宋体" w:eastAsia="Microsoft YaHei UI"/>
      <w:kern w:val="2"/>
      <w:sz w:val="18"/>
      <w:szCs w:val="18"/>
    </w:rPr>
  </w:style>
  <w:style w:type="character" w:customStyle="1" w:styleId="112">
    <w:name w:val="标题 6 字符"/>
    <w:semiHidden/>
    <w:qFormat/>
    <w:uiPriority w:val="9"/>
    <w:rPr>
      <w:rFonts w:ascii="等线 Light" w:hAnsi="等线 Light" w:eastAsia="等线 Light" w:cs="Times New Roman"/>
      <w:b/>
      <w:bCs/>
      <w:kern w:val="2"/>
      <w:sz w:val="24"/>
      <w:szCs w:val="24"/>
    </w:rPr>
  </w:style>
  <w:style w:type="character" w:customStyle="1" w:styleId="113">
    <w:name w:val="正文正文2 Char"/>
    <w:link w:val="49"/>
    <w:qFormat/>
    <w:uiPriority w:val="0"/>
    <w:rPr>
      <w:rFonts w:ascii="宋体" w:hAnsi="宋体"/>
      <w:kern w:val="2"/>
      <w:sz w:val="21"/>
      <w:szCs w:val="21"/>
    </w:rPr>
  </w:style>
  <w:style w:type="character" w:customStyle="1" w:styleId="114">
    <w:name w:val="标题 3 Char"/>
    <w:link w:val="4"/>
    <w:qFormat/>
    <w:uiPriority w:val="0"/>
    <w:rPr>
      <w:rFonts w:ascii="宋体" w:hAnsi="宋体"/>
      <w:b/>
      <w:bCs/>
      <w:kern w:val="2"/>
      <w:sz w:val="28"/>
      <w:szCs w:val="28"/>
    </w:rPr>
  </w:style>
  <w:style w:type="character" w:customStyle="1" w:styleId="115">
    <w:name w:val="标题 4 字符"/>
    <w:semiHidden/>
    <w:qFormat/>
    <w:uiPriority w:val="9"/>
    <w:rPr>
      <w:rFonts w:ascii="等线 Light" w:hAnsi="等线 Light" w:eastAsia="等线 Light" w:cs="Times New Roman"/>
      <w:b/>
      <w:bCs/>
      <w:kern w:val="2"/>
      <w:sz w:val="28"/>
      <w:szCs w:val="28"/>
    </w:rPr>
  </w:style>
  <w:style w:type="character" w:customStyle="1" w:styleId="116">
    <w:name w:val="批注主题 Char"/>
    <w:link w:val="35"/>
    <w:qFormat/>
    <w:uiPriority w:val="0"/>
    <w:rPr>
      <w:rFonts w:eastAsia="仿宋"/>
      <w:b/>
      <w:bCs/>
      <w:kern w:val="2"/>
      <w:sz w:val="21"/>
      <w:szCs w:val="24"/>
    </w:rPr>
  </w:style>
  <w:style w:type="character" w:customStyle="1" w:styleId="117">
    <w:name w:val="页眉 字符"/>
    <w:semiHidden/>
    <w:qFormat/>
    <w:uiPriority w:val="99"/>
    <w:rPr>
      <w:rFonts w:ascii="宋体" w:hAnsi="宋体"/>
      <w:kern w:val="2"/>
      <w:sz w:val="18"/>
      <w:szCs w:val="18"/>
    </w:rPr>
  </w:style>
  <w:style w:type="character" w:customStyle="1" w:styleId="118">
    <w:name w:val="正文文本缩进 Char"/>
    <w:link w:val="18"/>
    <w:qFormat/>
    <w:uiPriority w:val="0"/>
    <w:rPr>
      <w:kern w:val="2"/>
      <w:sz w:val="21"/>
    </w:rPr>
  </w:style>
  <w:style w:type="character" w:customStyle="1" w:styleId="119">
    <w:name w:val="标题 5 Char"/>
    <w:link w:val="7"/>
    <w:qFormat/>
    <w:uiPriority w:val="0"/>
    <w:rPr>
      <w:rFonts w:ascii="宋体" w:hAnsi="宋体"/>
      <w:b/>
      <w:bCs/>
      <w:kern w:val="2"/>
      <w:sz w:val="24"/>
      <w:szCs w:val="28"/>
    </w:rPr>
  </w:style>
  <w:style w:type="character" w:customStyle="1" w:styleId="120">
    <w:name w:val="副标题 Char"/>
    <w:link w:val="29"/>
    <w:qFormat/>
    <w:uiPriority w:val="0"/>
    <w:rPr>
      <w:rFonts w:ascii="Calibri Light" w:hAnsi="Calibri Light"/>
      <w:b/>
      <w:bCs/>
      <w:kern w:val="28"/>
      <w:sz w:val="32"/>
      <w:szCs w:val="32"/>
    </w:rPr>
  </w:style>
  <w:style w:type="character" w:customStyle="1" w:styleId="121">
    <w:name w:val="标题 2 Char"/>
    <w:link w:val="3"/>
    <w:qFormat/>
    <w:uiPriority w:val="9"/>
    <w:rPr>
      <w:rFonts w:ascii="宋体" w:hAnsi="宋体"/>
      <w:b/>
      <w:bCs/>
      <w:kern w:val="2"/>
      <w:sz w:val="30"/>
      <w:szCs w:val="32"/>
    </w:rPr>
  </w:style>
  <w:style w:type="character" w:customStyle="1" w:styleId="122">
    <w:name w:val="页脚 Char"/>
    <w:link w:val="25"/>
    <w:qFormat/>
    <w:uiPriority w:val="99"/>
    <w:rPr>
      <w:kern w:val="2"/>
      <w:sz w:val="18"/>
      <w:szCs w:val="18"/>
    </w:rPr>
  </w:style>
  <w:style w:type="character" w:customStyle="1" w:styleId="123">
    <w:name w:val="批注主题 字符"/>
    <w:semiHidden/>
    <w:qFormat/>
    <w:uiPriority w:val="99"/>
    <w:rPr>
      <w:rFonts w:ascii="宋体" w:hAnsi="宋体"/>
      <w:b/>
      <w:bCs/>
      <w:kern w:val="2"/>
      <w:sz w:val="24"/>
      <w:szCs w:val="24"/>
    </w:rPr>
  </w:style>
  <w:style w:type="character" w:customStyle="1" w:styleId="124">
    <w:name w:val="文档结构图 Char"/>
    <w:link w:val="15"/>
    <w:qFormat/>
    <w:uiPriority w:val="0"/>
    <w:rPr>
      <w:rFonts w:ascii="宋体"/>
      <w:kern w:val="2"/>
      <w:sz w:val="18"/>
      <w:szCs w:val="18"/>
    </w:rPr>
  </w:style>
  <w:style w:type="character" w:customStyle="1" w:styleId="125">
    <w:name w:val="font31"/>
    <w:qFormat/>
    <w:uiPriority w:val="0"/>
    <w:rPr>
      <w:rFonts w:hint="eastAsia" w:ascii="宋体" w:hAnsi="宋体" w:eastAsia="宋体" w:cs="宋体"/>
      <w:color w:val="000000"/>
      <w:sz w:val="21"/>
      <w:szCs w:val="21"/>
      <w:u w:val="none"/>
    </w:rPr>
  </w:style>
  <w:style w:type="character" w:customStyle="1" w:styleId="126">
    <w:name w:val="标准正文 Char"/>
    <w:link w:val="50"/>
    <w:qFormat/>
    <w:uiPriority w:val="0"/>
    <w:rPr>
      <w:rFonts w:ascii="Arial" w:hAnsi="Arial"/>
      <w:kern w:val="2"/>
      <w:sz w:val="24"/>
    </w:rPr>
  </w:style>
  <w:style w:type="character" w:customStyle="1" w:styleId="127">
    <w:name w:val="标题 Char"/>
    <w:link w:val="34"/>
    <w:qFormat/>
    <w:uiPriority w:val="0"/>
    <w:rPr>
      <w:rFonts w:ascii="Cambria" w:hAnsi="Cambria" w:eastAsia="黑体"/>
      <w:b/>
      <w:bCs/>
      <w:kern w:val="2"/>
      <w:sz w:val="52"/>
      <w:szCs w:val="32"/>
    </w:rPr>
  </w:style>
  <w:style w:type="character" w:customStyle="1" w:styleId="128">
    <w:name w:val="批注框文本 Char"/>
    <w:link w:val="24"/>
    <w:qFormat/>
    <w:uiPriority w:val="0"/>
    <w:rPr>
      <w:kern w:val="2"/>
      <w:sz w:val="18"/>
      <w:szCs w:val="18"/>
    </w:rPr>
  </w:style>
  <w:style w:type="character" w:customStyle="1" w:styleId="129">
    <w:name w:val="页眉 Char"/>
    <w:link w:val="26"/>
    <w:qFormat/>
    <w:uiPriority w:val="99"/>
    <w:rPr>
      <w:kern w:val="2"/>
      <w:sz w:val="18"/>
      <w:szCs w:val="18"/>
    </w:rPr>
  </w:style>
  <w:style w:type="character" w:customStyle="1" w:styleId="130">
    <w:name w:val="标题 8 Char"/>
    <w:link w:val="10"/>
    <w:qFormat/>
    <w:uiPriority w:val="9"/>
    <w:rPr>
      <w:rFonts w:ascii="Cambria" w:hAnsi="Cambria"/>
      <w:kern w:val="2"/>
      <w:sz w:val="21"/>
      <w:szCs w:val="24"/>
    </w:rPr>
  </w:style>
  <w:style w:type="character" w:customStyle="1" w:styleId="131">
    <w:name w:val="标题 6 Char"/>
    <w:link w:val="8"/>
    <w:qFormat/>
    <w:uiPriority w:val="0"/>
    <w:rPr>
      <w:rFonts w:ascii="Cambria" w:hAnsi="Cambria"/>
      <w:b/>
      <w:bCs/>
      <w:kern w:val="2"/>
      <w:sz w:val="24"/>
      <w:szCs w:val="24"/>
    </w:rPr>
  </w:style>
  <w:style w:type="character" w:customStyle="1" w:styleId="132">
    <w:name w:val="标题 字符"/>
    <w:qFormat/>
    <w:uiPriority w:val="10"/>
    <w:rPr>
      <w:rFonts w:ascii="等线 Light" w:hAnsi="等线 Light" w:eastAsia="等线 Light" w:cs="Times New Roman"/>
      <w:b/>
      <w:bCs/>
      <w:kern w:val="2"/>
      <w:sz w:val="32"/>
      <w:szCs w:val="32"/>
    </w:rPr>
  </w:style>
  <w:style w:type="character" w:customStyle="1" w:styleId="133">
    <w:name w:val="副标题 字符"/>
    <w:qFormat/>
    <w:uiPriority w:val="11"/>
    <w:rPr>
      <w:rFonts w:ascii="等线" w:hAnsi="等线" w:eastAsia="等线" w:cs="Times New Roman"/>
      <w:b/>
      <w:bCs/>
      <w:kern w:val="28"/>
      <w:sz w:val="32"/>
      <w:szCs w:val="32"/>
    </w:rPr>
  </w:style>
  <w:style w:type="character" w:customStyle="1" w:styleId="134">
    <w:name w:val="标题 1 Char"/>
    <w:qFormat/>
    <w:uiPriority w:val="0"/>
    <w:rPr>
      <w:rFonts w:ascii="宋体" w:hAnsi="宋体" w:eastAsia="黑体"/>
      <w:b/>
      <w:bCs/>
      <w:kern w:val="44"/>
      <w:sz w:val="32"/>
      <w:szCs w:val="28"/>
    </w:rPr>
  </w:style>
  <w:style w:type="character" w:customStyle="1" w:styleId="135">
    <w:name w:val="纯文本 Char2"/>
    <w:qFormat/>
    <w:uiPriority w:val="0"/>
    <w:rPr>
      <w:rFonts w:ascii="宋体" w:hAnsi="宋体" w:eastAsia="宋体" w:cs="Times New Roman"/>
      <w:color w:val="000000"/>
      <w:kern w:val="0"/>
      <w:sz w:val="24"/>
      <w:szCs w:val="24"/>
    </w:rPr>
  </w:style>
  <w:style w:type="character" w:customStyle="1" w:styleId="136">
    <w:name w:val="s1"/>
    <w:basedOn w:val="38"/>
    <w:qFormat/>
    <w:uiPriority w:val="0"/>
    <w:rPr>
      <w:rFonts w:ascii="Helvetica Neue" w:hAnsi="Helvetica Neue" w:eastAsia="Helvetica Neue" w:cs="Helvetica Neue"/>
      <w:sz w:val="28"/>
      <w:szCs w:val="28"/>
    </w:rPr>
  </w:style>
  <w:style w:type="character" w:customStyle="1" w:styleId="137">
    <w:name w:val="font11"/>
    <w:basedOn w:val="38"/>
    <w:qFormat/>
    <w:uiPriority w:val="0"/>
    <w:rPr>
      <w:rFonts w:hint="eastAsia" w:ascii="宋体" w:hAnsi="宋体" w:eastAsia="宋体" w:cs="宋体"/>
      <w:color w:val="000000"/>
      <w:sz w:val="21"/>
      <w:szCs w:val="21"/>
      <w:u w:val="none"/>
    </w:rPr>
  </w:style>
  <w:style w:type="table" w:customStyle="1" w:styleId="138">
    <w:name w:val="!我的表格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
    <w:name w:val="网格型1"/>
    <w:basedOn w:val="36"/>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69</Pages>
  <Words>1491</Words>
  <Characters>1521</Characters>
  <Lines>64</Lines>
  <Paragraphs>18</Paragraphs>
  <TotalTime>1651</TotalTime>
  <ScaleCrop>false</ScaleCrop>
  <LinksUpToDate>false</LinksUpToDate>
  <CharactersWithSpaces>1521</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2023-01-02T12:54:00Z</dcterms:created>
  <dc:creator>gtig_tzb</dc:creator>
  <cp:lastModifiedBy>user</cp:lastModifiedBy>
  <cp:lastPrinted>2020-08-16T23:08:00Z</cp:lastPrinted>
  <dcterms:modified xsi:type="dcterms:W3CDTF">2025-04-17T14:09:22Z</dcterms:modified>
  <dc:title>上海数字化智能审计工程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B6528AFDEBD910BC8C9A0068B5C15D82_43</vt:lpwstr>
  </property>
  <property fmtid="{D5CDD505-2E9C-101B-9397-08002B2CF9AE}" pid="4" name="KSOTemplateDocerSaveRecord">
    <vt:lpwstr>eyJoZGlkIjoiOWMwNzc0OWIyYWU1MmEyMGRiZjBjMGRiZWE0MDY3YzAiLCJ1c2VySWQiOiIxMDg0MDQwMzE1In0=</vt:lpwstr>
  </property>
</Properties>
</file>