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bCs/>
          <w:sz w:val="32"/>
          <w:szCs w:val="32"/>
        </w:rPr>
      </w:pPr>
      <w:r>
        <w:rPr>
          <w:rFonts w:hint="eastAsia" w:ascii="黑体" w:hAnsi="黑体" w:eastAsia="黑体"/>
          <w:b/>
          <w:kern w:val="0"/>
          <w:sz w:val="32"/>
          <w:szCs w:val="32"/>
        </w:rPr>
        <w:t>匠心辉映P</w:t>
      </w:r>
      <w:r>
        <w:rPr>
          <w:rFonts w:ascii="黑体" w:hAnsi="黑体" w:eastAsia="黑体"/>
          <w:b/>
          <w:kern w:val="0"/>
          <w:sz w:val="32"/>
          <w:szCs w:val="32"/>
        </w:rPr>
        <w:t>OLA</w:t>
      </w:r>
      <w:r>
        <w:rPr>
          <w:rFonts w:hint="eastAsia" w:ascii="黑体" w:hAnsi="黑体" w:eastAsia="黑体"/>
          <w:b/>
          <w:kern w:val="0"/>
          <w:sz w:val="32"/>
          <w:szCs w:val="32"/>
        </w:rPr>
        <w:t>美术馆藏印象派与现代主义艺术展（暂定名）展陈一体化服务项目采购</w:t>
      </w:r>
      <w:r>
        <w:rPr>
          <w:rFonts w:hint="eastAsia" w:ascii="黑体" w:hAnsi="黑体" w:eastAsia="黑体" w:cs="幼圆"/>
          <w:b/>
          <w:bCs/>
          <w:sz w:val="32"/>
          <w:szCs w:val="32"/>
        </w:rPr>
        <w:t>需求</w:t>
      </w:r>
    </w:p>
    <w:p>
      <w:pPr>
        <w:pStyle w:val="13"/>
        <w:numPr>
          <w:ilvl w:val="0"/>
          <w:numId w:val="1"/>
        </w:numPr>
        <w:spacing w:before="100" w:beforeAutospacing="1" w:after="100" w:afterAutospacing="1" w:line="360" w:lineRule="auto"/>
        <w:ind w:firstLineChars="0"/>
        <w:rPr>
          <w:rFonts w:ascii="Times New Roman" w:hAnsi="Times New Roman" w:eastAsia="宋体"/>
          <w:b/>
          <w:sz w:val="24"/>
        </w:rPr>
      </w:pPr>
      <w:r>
        <w:rPr>
          <w:rFonts w:hint="eastAsia"/>
          <w:b/>
          <w:sz w:val="24"/>
        </w:rPr>
        <w:t>第一部分</w:t>
      </w:r>
      <w:r>
        <w:rPr>
          <w:b/>
          <w:sz w:val="24"/>
        </w:rPr>
        <w:t xml:space="preserve"> </w:t>
      </w:r>
      <w:r>
        <w:rPr>
          <w:rFonts w:hint="eastAsia"/>
          <w:b/>
          <w:sz w:val="24"/>
        </w:rPr>
        <w:t>项目基本情况</w:t>
      </w:r>
    </w:p>
    <w:p>
      <w:pPr>
        <w:numPr>
          <w:ilvl w:val="0"/>
          <w:numId w:val="2"/>
        </w:numPr>
        <w:tabs>
          <w:tab w:val="left" w:pos="567"/>
        </w:tabs>
        <w:spacing w:line="360" w:lineRule="auto"/>
        <w:ind w:left="448" w:hanging="448"/>
        <w:rPr>
          <w:b/>
          <w:szCs w:val="21"/>
        </w:rPr>
      </w:pPr>
      <w:r>
        <w:rPr>
          <w:rFonts w:hint="eastAsia" w:hAnsi="宋体"/>
          <w:b/>
          <w:szCs w:val="21"/>
        </w:rPr>
        <w:t>项目概况</w:t>
      </w:r>
    </w:p>
    <w:p>
      <w:pPr>
        <w:spacing w:line="360" w:lineRule="auto"/>
        <w:ind w:firstLine="422" w:firstLineChars="200"/>
        <w:rPr>
          <w:rFonts w:ascii="宋体" w:hAnsi="宋体"/>
          <w:b/>
          <w:szCs w:val="21"/>
        </w:rPr>
      </w:pPr>
      <w:r>
        <w:rPr>
          <w:rFonts w:hAnsi="宋体"/>
          <w:b/>
          <w:szCs w:val="21"/>
        </w:rPr>
        <w:t>项目名称：</w:t>
      </w:r>
      <w:r>
        <w:rPr>
          <w:rFonts w:hint="eastAsia" w:ascii="宋体" w:hAnsi="宋体"/>
          <w:szCs w:val="21"/>
        </w:rPr>
        <w:t>匠心辉映P</w:t>
      </w:r>
      <w:r>
        <w:rPr>
          <w:rFonts w:ascii="宋体" w:hAnsi="宋体"/>
          <w:szCs w:val="21"/>
        </w:rPr>
        <w:t>OLA</w:t>
      </w:r>
      <w:r>
        <w:rPr>
          <w:rFonts w:hint="eastAsia" w:ascii="宋体" w:hAnsi="宋体"/>
          <w:szCs w:val="21"/>
        </w:rPr>
        <w:t>美术馆藏印象派与现代主义艺术展（暂定名）展陈一体化服务项目</w:t>
      </w:r>
    </w:p>
    <w:p>
      <w:pPr>
        <w:spacing w:line="360" w:lineRule="auto"/>
        <w:ind w:firstLine="422" w:firstLineChars="200"/>
        <w:rPr>
          <w:rFonts w:ascii="宋体" w:hAnsi="宋体"/>
          <w:b/>
          <w:szCs w:val="21"/>
        </w:rPr>
      </w:pPr>
      <w:r>
        <w:rPr>
          <w:rFonts w:ascii="宋体" w:hAnsi="宋体"/>
          <w:b/>
          <w:szCs w:val="21"/>
        </w:rPr>
        <w:t>项目预算：</w:t>
      </w:r>
      <w:r>
        <w:rPr>
          <w:rFonts w:ascii="宋体" w:hAnsi="宋体"/>
          <w:szCs w:val="21"/>
        </w:rPr>
        <w:t>1542812.40</w:t>
      </w:r>
      <w:r>
        <w:rPr>
          <w:rFonts w:hint="eastAsia" w:ascii="宋体" w:hAnsi="宋体"/>
          <w:szCs w:val="21"/>
        </w:rPr>
        <w:t>元</w:t>
      </w:r>
    </w:p>
    <w:p>
      <w:pPr>
        <w:spacing w:line="360" w:lineRule="auto"/>
        <w:ind w:firstLine="422" w:firstLineChars="200"/>
        <w:rPr>
          <w:rFonts w:ascii="宋体" w:hAnsi="宋体"/>
          <w:szCs w:val="21"/>
        </w:rPr>
      </w:pPr>
      <w:r>
        <w:rPr>
          <w:rFonts w:hint="eastAsia" w:ascii="宋体" w:hAnsi="宋体"/>
          <w:b/>
          <w:szCs w:val="21"/>
        </w:rPr>
        <w:t>服务地点：</w:t>
      </w:r>
      <w:r>
        <w:rPr>
          <w:rFonts w:hint="eastAsia" w:ascii="宋体" w:hAnsi="宋体"/>
          <w:szCs w:val="21"/>
        </w:rPr>
        <w:t>上海市浦东新区世纪大道</w:t>
      </w:r>
      <w:r>
        <w:rPr>
          <w:rFonts w:ascii="宋体" w:hAnsi="宋体"/>
          <w:szCs w:val="21"/>
        </w:rPr>
        <w:t>1952</w:t>
      </w:r>
      <w:r>
        <w:rPr>
          <w:rFonts w:hint="eastAsia" w:ascii="宋体" w:hAnsi="宋体"/>
          <w:szCs w:val="21"/>
        </w:rPr>
        <w:t>号，</w:t>
      </w:r>
      <w:r>
        <w:rPr>
          <w:rFonts w:ascii="宋体" w:hAnsi="宋体"/>
          <w:szCs w:val="21"/>
        </w:rPr>
        <w:t>上海博物馆</w:t>
      </w:r>
      <w:r>
        <w:rPr>
          <w:rFonts w:hint="eastAsia" w:ascii="宋体" w:hAnsi="宋体"/>
          <w:szCs w:val="21"/>
        </w:rPr>
        <w:t>（东馆）</w:t>
      </w:r>
    </w:p>
    <w:p>
      <w:pPr>
        <w:spacing w:line="360" w:lineRule="auto"/>
        <w:ind w:firstLine="422" w:firstLineChars="200"/>
        <w:rPr>
          <w:szCs w:val="21"/>
        </w:rPr>
      </w:pPr>
      <w:r>
        <w:rPr>
          <w:rFonts w:hint="eastAsia" w:ascii="宋体" w:hAnsi="宋体"/>
          <w:b/>
          <w:szCs w:val="21"/>
        </w:rPr>
        <w:t>服务日期：</w:t>
      </w:r>
      <w:r>
        <w:rPr>
          <w:rFonts w:hint="eastAsia" w:ascii="宋体" w:hAnsi="宋体"/>
          <w:bCs/>
          <w:szCs w:val="21"/>
        </w:rPr>
        <w:t>自合同签订之日</w:t>
      </w:r>
      <w:r>
        <w:rPr>
          <w:rStyle w:val="14"/>
          <w:rFonts w:hint="eastAsia" w:ascii="宋体" w:hAnsi="宋体"/>
          <w:szCs w:val="21"/>
        </w:rPr>
        <w:t>起至</w:t>
      </w:r>
      <w:r>
        <w:rPr>
          <w:rStyle w:val="14"/>
          <w:rFonts w:ascii="宋体" w:hAnsi="宋体"/>
          <w:szCs w:val="21"/>
        </w:rPr>
        <w:t>2025</w:t>
      </w:r>
      <w:r>
        <w:rPr>
          <w:rStyle w:val="14"/>
          <w:rFonts w:hint="eastAsia" w:ascii="宋体" w:hAnsi="宋体"/>
          <w:szCs w:val="21"/>
        </w:rPr>
        <w:t>年</w:t>
      </w:r>
      <w:r>
        <w:rPr>
          <w:rStyle w:val="14"/>
          <w:rFonts w:ascii="宋体" w:hAnsi="宋体"/>
          <w:szCs w:val="21"/>
        </w:rPr>
        <w:t>4</w:t>
      </w:r>
      <w:r>
        <w:rPr>
          <w:rStyle w:val="14"/>
          <w:rFonts w:hint="eastAsia" w:ascii="宋体" w:hAnsi="宋体"/>
          <w:szCs w:val="21"/>
        </w:rPr>
        <w:t>月27日</w:t>
      </w:r>
      <w:r>
        <w:rPr>
          <w:rFonts w:hint="eastAsia" w:ascii="宋体" w:hAnsi="宋体"/>
          <w:bCs/>
          <w:szCs w:val="21"/>
        </w:rPr>
        <w:t>撤展完毕</w:t>
      </w:r>
    </w:p>
    <w:p>
      <w:pPr>
        <w:numPr>
          <w:ilvl w:val="0"/>
          <w:numId w:val="2"/>
        </w:numPr>
        <w:tabs>
          <w:tab w:val="left" w:pos="567"/>
        </w:tabs>
        <w:spacing w:before="100" w:beforeAutospacing="1" w:line="360" w:lineRule="auto"/>
        <w:ind w:left="448" w:hanging="448"/>
        <w:rPr>
          <w:b/>
          <w:bCs/>
          <w:szCs w:val="21"/>
        </w:rPr>
      </w:pPr>
      <w:r>
        <w:rPr>
          <w:rFonts w:hint="eastAsia" w:hAnsi="宋体"/>
          <w:b/>
          <w:szCs w:val="21"/>
        </w:rPr>
        <w:t>项目</w:t>
      </w:r>
      <w:r>
        <w:rPr>
          <w:rFonts w:hint="eastAsia" w:hAnsi="宋体"/>
          <w:b/>
          <w:szCs w:val="21"/>
          <w:lang w:eastAsia="zh-CN"/>
        </w:rPr>
        <w:t>进度要求</w:t>
      </w:r>
    </w:p>
    <w:p>
      <w:pPr>
        <w:pStyle w:val="13"/>
        <w:spacing w:line="360" w:lineRule="auto"/>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本项目主要工期节点：（暂定）</w:t>
      </w:r>
    </w:p>
    <w:p>
      <w:pPr>
        <w:spacing w:line="360" w:lineRule="auto"/>
        <w:ind w:firstLine="420" w:firstLineChars="20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1、自合同签订之日起至2025年1月12日：展陈施工完成；</w:t>
      </w:r>
    </w:p>
    <w:p>
      <w:pPr>
        <w:spacing w:line="360" w:lineRule="auto"/>
        <w:ind w:firstLine="420" w:firstLineChars="20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2、2025年1月13日至2025年1月16日：文物布展；</w:t>
      </w:r>
    </w:p>
    <w:p>
      <w:pPr>
        <w:spacing w:line="360" w:lineRule="auto"/>
        <w:ind w:firstLine="420" w:firstLineChars="20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3、2025年1月22日至2025年4月20日：展览周期；</w:t>
      </w:r>
    </w:p>
    <w:p>
      <w:pPr>
        <w:spacing w:line="360" w:lineRule="auto"/>
        <w:ind w:firstLine="420" w:firstLineChars="20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4、2025年4月20日至2025年4月27日：展览撤展。</w:t>
      </w:r>
    </w:p>
    <w:p>
      <w:pPr>
        <w:numPr>
          <w:ilvl w:val="0"/>
          <w:numId w:val="2"/>
        </w:numPr>
        <w:tabs>
          <w:tab w:val="left" w:pos="567"/>
        </w:tabs>
        <w:spacing w:before="100" w:beforeAutospacing="1" w:line="360" w:lineRule="auto"/>
        <w:ind w:left="448" w:hanging="448"/>
        <w:rPr>
          <w:rFonts w:hAnsi="宋体"/>
          <w:b/>
          <w:szCs w:val="21"/>
        </w:rPr>
      </w:pPr>
      <w:r>
        <w:rPr>
          <w:rFonts w:hint="eastAsia" w:hAnsi="宋体"/>
          <w:b/>
          <w:szCs w:val="21"/>
        </w:rPr>
        <w:t>附件资料</w:t>
      </w:r>
    </w:p>
    <w:p>
      <w:pPr>
        <w:spacing w:line="360" w:lineRule="auto"/>
        <w:ind w:firstLine="420" w:firstLineChars="200"/>
        <w:rPr>
          <w:rFonts w:hAnsi="宋体"/>
          <w:bCs/>
          <w:szCs w:val="21"/>
        </w:rPr>
      </w:pPr>
      <w:r>
        <w:rPr>
          <w:rFonts w:hint="eastAsia" w:hAnsi="宋体"/>
          <w:bCs/>
          <w:szCs w:val="21"/>
        </w:rPr>
        <w:t>附件</w:t>
      </w:r>
      <w:r>
        <w:rPr>
          <w:rFonts w:hAnsi="宋体"/>
          <w:bCs/>
          <w:szCs w:val="21"/>
        </w:rPr>
        <w:t>1</w:t>
      </w:r>
      <w:r>
        <w:rPr>
          <w:rFonts w:hint="eastAsia" w:hAnsi="宋体"/>
          <w:bCs/>
          <w:szCs w:val="21"/>
        </w:rPr>
        <w:t>：</w:t>
      </w:r>
      <w:r>
        <w:rPr>
          <w:rFonts w:hAnsi="宋体"/>
          <w:bCs/>
          <w:szCs w:val="21"/>
        </w:rPr>
        <w:t xml:space="preserve"> </w:t>
      </w:r>
      <w:r>
        <w:rPr>
          <w:rFonts w:hint="eastAsia" w:hAnsi="宋体"/>
          <w:bCs/>
          <w:szCs w:val="21"/>
        </w:rPr>
        <w:t>展览陈列大纲；</w:t>
      </w:r>
    </w:p>
    <w:p>
      <w:pPr>
        <w:spacing w:line="360" w:lineRule="auto"/>
        <w:ind w:firstLine="420" w:firstLineChars="200"/>
        <w:rPr>
          <w:rFonts w:hAnsi="宋体"/>
          <w:bCs/>
          <w:szCs w:val="21"/>
        </w:rPr>
      </w:pPr>
      <w:r>
        <w:rPr>
          <w:rFonts w:hint="eastAsia" w:hAnsi="宋体"/>
          <w:bCs/>
          <w:szCs w:val="21"/>
        </w:rPr>
        <w:t>附件</w:t>
      </w:r>
      <w:r>
        <w:rPr>
          <w:rFonts w:hAnsi="宋体"/>
          <w:bCs/>
          <w:szCs w:val="21"/>
        </w:rPr>
        <w:t>2</w:t>
      </w:r>
      <w:r>
        <w:rPr>
          <w:rFonts w:hint="eastAsia" w:hAnsi="宋体"/>
          <w:bCs/>
          <w:szCs w:val="21"/>
        </w:rPr>
        <w:t>：</w:t>
      </w:r>
      <w:r>
        <w:rPr>
          <w:rFonts w:hAnsi="宋体"/>
          <w:bCs/>
          <w:szCs w:val="21"/>
        </w:rPr>
        <w:t xml:space="preserve"> </w:t>
      </w:r>
      <w:r>
        <w:rPr>
          <w:rFonts w:hint="eastAsia" w:hAnsi="宋体"/>
          <w:bCs/>
          <w:szCs w:val="21"/>
        </w:rPr>
        <w:t>展厅平面图。</w:t>
      </w:r>
    </w:p>
    <w:p>
      <w:pPr>
        <w:pStyle w:val="13"/>
        <w:numPr>
          <w:ilvl w:val="0"/>
          <w:numId w:val="1"/>
        </w:numPr>
        <w:spacing w:before="100" w:beforeAutospacing="1" w:after="100" w:afterAutospacing="1" w:line="360" w:lineRule="auto"/>
        <w:ind w:firstLineChars="0"/>
        <w:rPr>
          <w:rFonts w:hAnsi="Times New Roman"/>
          <w:b/>
          <w:sz w:val="24"/>
        </w:rPr>
      </w:pPr>
      <w:r>
        <w:rPr>
          <w:rFonts w:hint="eastAsia"/>
          <w:b/>
          <w:sz w:val="24"/>
        </w:rPr>
        <w:t>第二部分</w:t>
      </w:r>
      <w:r>
        <w:rPr>
          <w:rFonts w:hint="eastAsia"/>
          <w:b/>
          <w:sz w:val="24"/>
          <w:lang w:val="en-US" w:eastAsia="zh-CN"/>
        </w:rPr>
        <w:t xml:space="preserve"> </w:t>
      </w:r>
      <w:r>
        <w:rPr>
          <w:rFonts w:hint="eastAsia"/>
          <w:b/>
          <w:sz w:val="24"/>
        </w:rPr>
        <w:t>项目采购需求</w:t>
      </w:r>
    </w:p>
    <w:p>
      <w:pPr>
        <w:numPr>
          <w:ilvl w:val="0"/>
          <w:numId w:val="3"/>
        </w:numPr>
        <w:tabs>
          <w:tab w:val="left" w:pos="567"/>
        </w:tabs>
        <w:spacing w:before="100" w:beforeAutospacing="1" w:line="360" w:lineRule="auto"/>
        <w:rPr>
          <w:b/>
          <w:szCs w:val="21"/>
        </w:rPr>
      </w:pPr>
      <w:r>
        <w:rPr>
          <w:rFonts w:hint="eastAsia" w:hAnsi="宋体"/>
          <w:b/>
          <w:szCs w:val="21"/>
        </w:rPr>
        <w:t>项目概述</w:t>
      </w:r>
    </w:p>
    <w:p>
      <w:pPr>
        <w:pStyle w:val="10"/>
        <w:spacing w:line="360" w:lineRule="auto"/>
        <w:ind w:firstLine="449" w:firstLineChars="214"/>
        <w:rPr>
          <w:szCs w:val="21"/>
        </w:rPr>
      </w:pPr>
      <w:r>
        <w:rPr>
          <w:rFonts w:hint="eastAsia" w:ascii="宋体" w:hAnsi="宋体"/>
          <w:szCs w:val="21"/>
        </w:rPr>
        <w:t>本</w:t>
      </w:r>
      <w:r>
        <w:rPr>
          <w:rFonts w:hint="eastAsia"/>
          <w:szCs w:val="21"/>
        </w:rPr>
        <w:t>次展览位于上海博物馆东馆二楼中型特展厅（布展面积约为837平方米）和第三特展厅（布展面积4</w:t>
      </w:r>
      <w:r>
        <w:rPr>
          <w:szCs w:val="21"/>
        </w:rPr>
        <w:t>57</w:t>
      </w:r>
      <w:r>
        <w:rPr>
          <w:rFonts w:hint="eastAsia"/>
          <w:szCs w:val="21"/>
        </w:rPr>
        <w:t>平方米）。</w:t>
      </w:r>
    </w:p>
    <w:p>
      <w:pPr>
        <w:spacing w:line="360" w:lineRule="auto"/>
        <w:ind w:firstLine="420" w:firstLineChars="200"/>
        <w:rPr>
          <w:szCs w:val="21"/>
        </w:rPr>
      </w:pPr>
      <w:r>
        <w:rPr>
          <w:rFonts w:hint="eastAsia"/>
          <w:szCs w:val="21"/>
        </w:rPr>
        <w:t>本次展览以“阳光”为主题，第二展厅将展示5</w:t>
      </w:r>
      <w:r>
        <w:rPr>
          <w:szCs w:val="21"/>
        </w:rPr>
        <w:t>0</w:t>
      </w:r>
      <w:r>
        <w:rPr>
          <w:rFonts w:hint="eastAsia"/>
          <w:szCs w:val="21"/>
        </w:rPr>
        <w:t>余件作品，观众从展览中可以了解到印象派到现代作家是如何通过对“阳光”的描写在不同的时代背景下不约而同地开创了画坛的先河，用卓越的创造力与想象力谱写了艺术史上各个时代的新篇，他们光芒四射，照耀着艺术的舞台。</w:t>
      </w:r>
    </w:p>
    <w:p>
      <w:pPr>
        <w:spacing w:line="360" w:lineRule="auto"/>
        <w:ind w:firstLine="420" w:firstLineChars="200"/>
        <w:rPr>
          <w:szCs w:val="21"/>
        </w:rPr>
      </w:pPr>
      <w:r>
        <w:rPr>
          <w:rFonts w:hint="eastAsia"/>
          <w:szCs w:val="21"/>
        </w:rPr>
        <w:t>第三展厅将展示 POLA美术馆收藏的现代艺术装置和摄影作品。这些著名的当代艺术家的作品被世界各国的博物馆与美术馆收藏，而在亚洲POLA是唯一收藏几位欧美艺术家作品的美术馆，并且POLA美术馆希望在上海博物馆首次公开他们的这些藏品，通过与观众的互动，让大家观感受到POLA与时俱进、不断创新的宗旨。</w:t>
      </w:r>
    </w:p>
    <w:p>
      <w:pPr>
        <w:spacing w:line="360" w:lineRule="auto"/>
        <w:ind w:firstLine="420" w:firstLineChars="200"/>
        <w:rPr>
          <w:szCs w:val="21"/>
        </w:rPr>
      </w:pPr>
    </w:p>
    <w:p>
      <w:pPr>
        <w:spacing w:line="360" w:lineRule="auto"/>
        <w:ind w:firstLine="420" w:firstLineChars="200"/>
        <w:rPr>
          <w:rFonts w:ascii="宋体" w:hAnsi="宋体"/>
          <w:szCs w:val="21"/>
        </w:rPr>
      </w:pPr>
      <w:r>
        <w:rPr>
          <w:rFonts w:hint="eastAsia" w:ascii="宋体" w:hAnsi="宋体"/>
          <w:szCs w:val="21"/>
        </w:rPr>
        <w:t>序章：自然印象</w:t>
      </w:r>
    </w:p>
    <w:p>
      <w:pPr>
        <w:spacing w:line="360" w:lineRule="auto"/>
        <w:ind w:firstLine="420" w:firstLineChars="200"/>
        <w:rPr>
          <w:rFonts w:ascii="宋体" w:hAnsi="宋体"/>
          <w:szCs w:val="21"/>
        </w:rPr>
      </w:pPr>
      <w:r>
        <w:rPr>
          <w:rFonts w:hint="eastAsia" w:ascii="宋体" w:hAnsi="宋体"/>
          <w:szCs w:val="21"/>
        </w:rPr>
        <w:t xml:space="preserve">第一章：大地之光 </w:t>
      </w:r>
      <w:r>
        <w:rPr>
          <w:rFonts w:ascii="宋体" w:hAnsi="宋体"/>
          <w:szCs w:val="21"/>
        </w:rPr>
        <w:t xml:space="preserve"> </w:t>
      </w:r>
      <w:r>
        <w:rPr>
          <w:rFonts w:hint="eastAsia" w:ascii="宋体" w:hAnsi="宋体"/>
          <w:szCs w:val="21"/>
        </w:rPr>
        <w:t>莫奈、毕沙罗、西斯莱等都是著名的印象派风景画家，他们居住在巴黎郊外，用明快的色彩，大胆的笔触描绘塞纳河畔的风景，拉开了印象主义绘画艺术的序幕。</w:t>
      </w:r>
    </w:p>
    <w:p>
      <w:pPr>
        <w:spacing w:line="360" w:lineRule="auto"/>
        <w:ind w:firstLine="420" w:firstLineChars="200"/>
        <w:rPr>
          <w:rFonts w:ascii="宋体" w:hAnsi="宋体"/>
          <w:szCs w:val="21"/>
        </w:rPr>
      </w:pPr>
      <w:r>
        <w:rPr>
          <w:rFonts w:hint="eastAsia" w:ascii="宋体" w:hAnsi="宋体"/>
          <w:szCs w:val="21"/>
        </w:rPr>
        <w:t>第二章：华彩辉映 19世纪的奥斯曼巴黎大改造计划让巴士底到协和广场的街道焕然一新，巴黎歌剧院的重建越发激起了巴黎市民阶层对歌舞戏剧的兴趣。</w:t>
      </w:r>
    </w:p>
    <w:p>
      <w:pPr>
        <w:spacing w:line="360" w:lineRule="auto"/>
        <w:ind w:firstLine="420" w:firstLineChars="200"/>
        <w:rPr>
          <w:rFonts w:ascii="宋体" w:hAnsi="宋体"/>
          <w:szCs w:val="21"/>
        </w:rPr>
      </w:pPr>
      <w:r>
        <w:rPr>
          <w:rFonts w:hint="eastAsia" w:ascii="宋体" w:hAnsi="宋体"/>
          <w:szCs w:val="21"/>
        </w:rPr>
        <w:t>第三章：都市狂想 19世纪末到20世纪初的巴黎画坛发生了前所未有的变革，他们的发展与成长既诠释了20世纪初期所谓“前卫艺术”的定义，更彰显了19世纪中叶印象派画家们在巴黎画坛掀起的改革浪潮是近代绘画史上一次不可磨灭的壮举。</w:t>
      </w:r>
    </w:p>
    <w:p>
      <w:pPr>
        <w:spacing w:line="360" w:lineRule="auto"/>
        <w:ind w:firstLine="420" w:firstLineChars="200"/>
        <w:rPr>
          <w:rFonts w:ascii="宋体" w:hAnsi="宋体"/>
          <w:szCs w:val="21"/>
        </w:rPr>
      </w:pPr>
      <w:r>
        <w:rPr>
          <w:rFonts w:hint="eastAsia" w:ascii="宋体" w:hAnsi="宋体"/>
          <w:szCs w:val="21"/>
        </w:rPr>
        <w:t>第四章：东方之音 本展特设一角让观众近距离体会上世纪初法国印象主义绘画在亚洲的传播</w:t>
      </w:r>
    </w:p>
    <w:p>
      <w:pPr>
        <w:spacing w:line="360" w:lineRule="auto"/>
        <w:ind w:firstLine="420" w:firstLineChars="200"/>
        <w:rPr>
          <w:rFonts w:ascii="宋体" w:hAnsi="宋体"/>
          <w:szCs w:val="21"/>
        </w:rPr>
      </w:pPr>
      <w:r>
        <w:rPr>
          <w:rFonts w:hint="eastAsia" w:ascii="宋体" w:hAnsi="宋体"/>
          <w:szCs w:val="21"/>
        </w:rPr>
        <w:t xml:space="preserve">第三展厅：与时俱进 </w:t>
      </w:r>
    </w:p>
    <w:p>
      <w:pPr>
        <w:spacing w:line="360" w:lineRule="auto"/>
        <w:ind w:firstLine="420" w:firstLineChars="200"/>
        <w:rPr>
          <w:rFonts w:ascii="宋体" w:hAnsi="宋体"/>
          <w:szCs w:val="21"/>
        </w:rPr>
      </w:pPr>
    </w:p>
    <w:p>
      <w:pPr>
        <w:numPr>
          <w:ilvl w:val="0"/>
          <w:numId w:val="3"/>
        </w:numPr>
        <w:tabs>
          <w:tab w:val="left" w:pos="567"/>
        </w:tabs>
        <w:spacing w:before="100" w:beforeAutospacing="1" w:line="360" w:lineRule="auto"/>
        <w:rPr>
          <w:rFonts w:hAnsi="宋体"/>
          <w:b/>
          <w:szCs w:val="21"/>
        </w:rPr>
      </w:pPr>
      <w:r>
        <w:rPr>
          <w:rFonts w:hint="eastAsia" w:hAnsi="宋体"/>
          <w:b/>
          <w:szCs w:val="21"/>
        </w:rPr>
        <w:t>项目需求和技术要求</w:t>
      </w:r>
    </w:p>
    <w:p>
      <w:pPr>
        <w:spacing w:line="360" w:lineRule="auto"/>
        <w:ind w:firstLine="420" w:firstLineChars="200"/>
        <w:rPr>
          <w:rFonts w:hAnsi="宋体"/>
          <w:szCs w:val="21"/>
        </w:rPr>
      </w:pPr>
      <w:r>
        <w:rPr>
          <w:rFonts w:hint="eastAsia" w:hAnsi="宋体"/>
          <w:szCs w:val="21"/>
        </w:rPr>
        <w:t>本采购项目主要包括该临时展览的深化设计、展陈施工及拆除、展览运维、布展与撤展配合</w:t>
      </w:r>
      <w:r>
        <w:rPr>
          <w:rFonts w:hint="eastAsia"/>
          <w:szCs w:val="21"/>
        </w:rPr>
        <w:t>、图文制作、多媒体、灯光设计</w:t>
      </w:r>
      <w:r>
        <w:rPr>
          <w:rFonts w:hint="eastAsia" w:hAnsi="宋体"/>
          <w:szCs w:val="21"/>
        </w:rPr>
        <w:t>等一体化服务。要求在采购人提出的展览初步设计方案基础上，采用切合展览主题、宗旨、周期和文物保护要求的展陈手段和设施，在满足展览要求和有关规范基础上，保质、保量、按期完成本采购项目并经采购人验收通过。</w:t>
      </w:r>
    </w:p>
    <w:p>
      <w:pPr>
        <w:pStyle w:val="13"/>
        <w:numPr>
          <w:ilvl w:val="0"/>
          <w:numId w:val="4"/>
        </w:numPr>
        <w:spacing w:before="100" w:beforeAutospacing="1" w:line="360" w:lineRule="auto"/>
        <w:ind w:firstLineChars="0"/>
        <w:rPr>
          <w:rFonts w:hAnsi="Times New Roman"/>
          <w:b/>
          <w:bCs/>
          <w:color w:val="000000"/>
          <w:szCs w:val="21"/>
        </w:rPr>
      </w:pPr>
      <w:r>
        <w:rPr>
          <w:rFonts w:hint="eastAsia" w:hAnsi="宋体"/>
          <w:b/>
          <w:bCs/>
          <w:color w:val="000000"/>
          <w:szCs w:val="21"/>
        </w:rPr>
        <w:t>展览深化设计</w:t>
      </w:r>
    </w:p>
    <w:p>
      <w:pPr>
        <w:pStyle w:val="13"/>
        <w:numPr>
          <w:ilvl w:val="0"/>
          <w:numId w:val="5"/>
        </w:numPr>
        <w:tabs>
          <w:tab w:val="left" w:pos="567"/>
        </w:tabs>
        <w:spacing w:line="360" w:lineRule="auto"/>
        <w:ind w:left="0" w:firstLine="0" w:firstLineChars="0"/>
        <w:rPr>
          <w:rFonts w:ascii="宋体" w:hAnsi="宋体" w:eastAsia="宋体" w:cs="Times New Roman"/>
          <w:bCs/>
          <w:color w:val="000000"/>
          <w:szCs w:val="21"/>
          <w:lang w:val="en-US" w:eastAsia="zh-CN"/>
        </w:rPr>
      </w:pPr>
      <w:r>
        <w:rPr>
          <w:rFonts w:hint="eastAsia" w:ascii="宋体" w:hAnsi="宋体" w:eastAsia="宋体" w:cs="Times New Roman"/>
          <w:bCs/>
          <w:color w:val="000000"/>
          <w:szCs w:val="21"/>
          <w:lang w:val="en-US" w:eastAsia="zh-CN"/>
        </w:rPr>
        <w:t>供应商应根据陈列大纲、初步设计方案及其技术要求，提出一整套展览深化设计方案，包括具体图文设计、布展设计、照明设计、文物保护设计等全部深化设计内容，附详细的总体说明和各部分说明。同时，应提交足以表达设计思想和施工细节的成套深化设计施工图。设计的深度应满足陈列内容要求，可按图进行施工。</w:t>
      </w:r>
      <w:r>
        <w:rPr>
          <w:rFonts w:ascii="宋体" w:hAnsi="宋体" w:eastAsia="宋体" w:cs="Times New Roman"/>
          <w:bCs/>
          <w:color w:val="000000"/>
          <w:szCs w:val="21"/>
          <w:lang w:val="en-US" w:eastAsia="zh-CN"/>
        </w:rPr>
        <w:t>.</w:t>
      </w:r>
    </w:p>
    <w:p>
      <w:pPr>
        <w:pStyle w:val="13"/>
        <w:tabs>
          <w:tab w:val="left" w:pos="567"/>
        </w:tabs>
        <w:spacing w:line="360" w:lineRule="auto"/>
        <w:ind w:firstLine="0" w:firstLineChars="0"/>
        <w:rPr>
          <w:rFonts w:ascii="宋体" w:hAnsi="宋体" w:eastAsia="宋体" w:cs="Times New Roman"/>
          <w:bCs/>
          <w:color w:val="000000"/>
          <w:szCs w:val="21"/>
          <w:lang w:val="en-US" w:eastAsia="zh-CN"/>
        </w:rPr>
      </w:pPr>
    </w:p>
    <w:p>
      <w:pPr>
        <w:pStyle w:val="13"/>
        <w:numPr>
          <w:ilvl w:val="0"/>
          <w:numId w:val="5"/>
        </w:numPr>
        <w:tabs>
          <w:tab w:val="left" w:pos="567"/>
        </w:tabs>
        <w:spacing w:line="360" w:lineRule="auto"/>
        <w:ind w:left="0" w:firstLine="0" w:firstLineChars="0"/>
        <w:rPr>
          <w:rFonts w:ascii="宋体" w:hAnsi="宋体" w:eastAsia="宋体" w:cs="Times New Roman"/>
          <w:bCs/>
          <w:color w:val="000000"/>
          <w:szCs w:val="21"/>
          <w:lang w:val="en-US" w:eastAsia="zh-CN"/>
        </w:rPr>
      </w:pPr>
      <w:r>
        <w:rPr>
          <w:rFonts w:hint="eastAsia" w:ascii="宋体" w:hAnsi="宋体" w:eastAsia="宋体" w:cs="Times New Roman"/>
          <w:bCs/>
          <w:color w:val="000000"/>
          <w:szCs w:val="21"/>
          <w:lang w:val="en-US" w:eastAsia="zh-CN"/>
        </w:rPr>
        <w:t>布展设计方面：应充分考虑展览内容、展示效果、展出场地、短期临展、文物保护、消防安全等方面的特征和要求，深化设计方案，具体展览形式、布局、结构、材料、设备、工艺、施工、管理、布展、运维和合同预算。设计内容包括但不限于以下内容：</w:t>
      </w:r>
    </w:p>
    <w:p>
      <w:pPr>
        <w:spacing w:line="360" w:lineRule="auto"/>
        <w:ind w:firstLine="420" w:firstLineChars="200"/>
        <w:rPr>
          <w:rFonts w:ascii="宋体" w:hAnsi="宋体"/>
          <w:bCs/>
          <w:color w:val="000000"/>
          <w:szCs w:val="21"/>
        </w:rPr>
      </w:pPr>
      <w:r>
        <w:rPr>
          <w:rFonts w:hint="eastAsia" w:ascii="宋体" w:hAnsi="宋体"/>
          <w:bCs/>
          <w:color w:val="000000"/>
          <w:szCs w:val="21"/>
        </w:rPr>
        <w:t>（</w:t>
      </w:r>
      <w:r>
        <w:rPr>
          <w:rFonts w:ascii="宋体" w:hAnsi="宋体"/>
          <w:bCs/>
          <w:color w:val="000000"/>
          <w:szCs w:val="21"/>
        </w:rPr>
        <w:t>1</w:t>
      </w:r>
      <w:r>
        <w:rPr>
          <w:rFonts w:hint="eastAsia" w:ascii="宋体" w:hAnsi="宋体"/>
          <w:bCs/>
          <w:color w:val="000000"/>
          <w:szCs w:val="21"/>
        </w:rPr>
        <w:t>）设计应包括展览布局和展示效果、拟搭建的展墙和成品展柜的布置、应配置的展板和展具支架、照明系统、文物保护措施、多媒体应用、配套图文和说明牌及吊旗的制作及公共和疏散标识、综合布线、安全、消防等，做到结构牢固、安全可靠、节能环保、工艺先进、质量上乘、操作简便、容易维护、价格合理。</w:t>
      </w:r>
    </w:p>
    <w:p>
      <w:pPr>
        <w:spacing w:line="360" w:lineRule="auto"/>
        <w:ind w:firstLine="420" w:firstLineChars="200"/>
        <w:rPr>
          <w:rFonts w:ascii="宋体" w:hAnsi="宋体"/>
          <w:bCs/>
          <w:color w:val="000000"/>
          <w:szCs w:val="21"/>
        </w:rPr>
      </w:pPr>
      <w:r>
        <w:rPr>
          <w:rFonts w:hint="eastAsia" w:ascii="宋体" w:hAnsi="宋体"/>
          <w:bCs/>
          <w:color w:val="000000"/>
          <w:szCs w:val="21"/>
        </w:rPr>
        <w:t>（</w:t>
      </w:r>
      <w:r>
        <w:rPr>
          <w:rFonts w:ascii="宋体" w:hAnsi="宋体"/>
          <w:bCs/>
          <w:color w:val="000000"/>
          <w:szCs w:val="21"/>
        </w:rPr>
        <w:t>2</w:t>
      </w:r>
      <w:r>
        <w:rPr>
          <w:rFonts w:hint="eastAsia" w:ascii="宋体" w:hAnsi="宋体"/>
          <w:bCs/>
          <w:color w:val="000000"/>
          <w:szCs w:val="21"/>
        </w:rPr>
        <w:t>）设计应包含展示项目及展区环境所涉及的所有专业的施工设计图，并附必要的说明。其中包括设计说明、技术经济指标、必需的设备和材料表，同时须说明各种设备和材料等的厂家（制造商）、品牌、规格、功能等。</w:t>
      </w:r>
    </w:p>
    <w:p>
      <w:pPr>
        <w:spacing w:line="360" w:lineRule="auto"/>
        <w:ind w:firstLine="420" w:firstLineChars="200"/>
        <w:rPr>
          <w:rFonts w:ascii="宋体" w:hAnsi="宋体"/>
          <w:bCs/>
          <w:color w:val="000000"/>
          <w:szCs w:val="21"/>
        </w:rPr>
      </w:pPr>
      <w:r>
        <w:rPr>
          <w:rFonts w:hint="eastAsia" w:ascii="宋体" w:hAnsi="宋体"/>
          <w:bCs/>
          <w:color w:val="000000"/>
          <w:szCs w:val="21"/>
        </w:rPr>
        <w:t>（</w:t>
      </w:r>
      <w:r>
        <w:rPr>
          <w:rFonts w:ascii="宋体" w:hAnsi="宋体"/>
          <w:bCs/>
          <w:color w:val="000000"/>
          <w:szCs w:val="21"/>
        </w:rPr>
        <w:t>3</w:t>
      </w:r>
      <w:r>
        <w:rPr>
          <w:rFonts w:hint="eastAsia" w:ascii="宋体" w:hAnsi="宋体"/>
          <w:bCs/>
          <w:color w:val="000000"/>
          <w:szCs w:val="21"/>
        </w:rPr>
        <w:t>）设计应包括展区及展示项目的平面、立面、剖面、结构、节点图纸、分解图，以及用料规格、性能、技术标准、制作程序、详细的材料及其报价分析表和其它要求的各项技术参数。</w:t>
      </w:r>
    </w:p>
    <w:p>
      <w:pPr>
        <w:spacing w:line="360" w:lineRule="auto"/>
        <w:ind w:firstLine="420" w:firstLineChars="200"/>
        <w:rPr>
          <w:rFonts w:ascii="宋体" w:hAnsi="宋体"/>
          <w:szCs w:val="21"/>
        </w:rPr>
      </w:pPr>
      <w:r>
        <w:rPr>
          <w:rFonts w:hint="eastAsia" w:ascii="宋体" w:hAnsi="宋体"/>
          <w:bCs/>
          <w:color w:val="000000"/>
          <w:szCs w:val="21"/>
        </w:rPr>
        <w:t>（</w:t>
      </w:r>
      <w:r>
        <w:rPr>
          <w:rFonts w:ascii="宋体" w:hAnsi="宋体"/>
          <w:bCs/>
          <w:color w:val="000000"/>
          <w:szCs w:val="21"/>
        </w:rPr>
        <w:t>4</w:t>
      </w:r>
      <w:r>
        <w:rPr>
          <w:rFonts w:hint="eastAsia" w:ascii="宋体" w:hAnsi="宋体"/>
          <w:bCs/>
          <w:color w:val="000000"/>
          <w:szCs w:val="21"/>
        </w:rPr>
        <w:t>）</w:t>
      </w:r>
      <w:r>
        <w:rPr>
          <w:rFonts w:hint="eastAsia" w:ascii="宋体" w:hAnsi="宋体"/>
          <w:szCs w:val="21"/>
        </w:rPr>
        <w:t>设计应包括展示项目及展区环境所涉及的所有专业的图文深化设计图，包括但不限于海报、吊旗、主题墙、会标、展墙装饰、展板说明、宣传照片册、电子版文件等。以及用料规格、性能、技术标准、制作程序、详细的材料及其报价分析表和其它要求的各项技术参数。</w:t>
      </w:r>
    </w:p>
    <w:p>
      <w:pPr>
        <w:spacing w:line="360" w:lineRule="auto"/>
        <w:ind w:firstLine="420" w:firstLineChars="200"/>
        <w:rPr>
          <w:rFonts w:ascii="宋体" w:hAnsi="宋体"/>
          <w:bCs/>
          <w:color w:val="000000"/>
          <w:szCs w:val="21"/>
        </w:rPr>
      </w:pPr>
      <w:r>
        <w:rPr>
          <w:rFonts w:hint="eastAsia" w:ascii="宋体" w:hAnsi="宋体"/>
          <w:bCs/>
          <w:color w:val="000000"/>
          <w:szCs w:val="21"/>
        </w:rPr>
        <w:t>（</w:t>
      </w:r>
      <w:r>
        <w:rPr>
          <w:rFonts w:ascii="宋体" w:hAnsi="宋体"/>
          <w:bCs/>
          <w:color w:val="000000"/>
          <w:szCs w:val="21"/>
        </w:rPr>
        <w:t>5</w:t>
      </w:r>
      <w:r>
        <w:rPr>
          <w:rFonts w:hint="eastAsia" w:ascii="宋体" w:hAnsi="宋体"/>
          <w:bCs/>
          <w:color w:val="000000"/>
          <w:szCs w:val="21"/>
        </w:rPr>
        <w:t>）设计应包含展示项目的尺寸、形状、结构、材质、色彩、技术、工艺、功能等。</w:t>
      </w:r>
    </w:p>
    <w:p>
      <w:pPr>
        <w:spacing w:line="360" w:lineRule="auto"/>
        <w:ind w:firstLine="420" w:firstLineChars="200"/>
        <w:rPr>
          <w:rFonts w:ascii="宋体" w:hAnsi="宋体"/>
          <w:bCs/>
          <w:color w:val="000000"/>
          <w:szCs w:val="21"/>
        </w:rPr>
      </w:pPr>
    </w:p>
    <w:p>
      <w:pPr>
        <w:pStyle w:val="13"/>
        <w:numPr>
          <w:ilvl w:val="0"/>
          <w:numId w:val="5"/>
        </w:numPr>
        <w:tabs>
          <w:tab w:val="left" w:pos="567"/>
        </w:tabs>
        <w:spacing w:line="360" w:lineRule="auto"/>
        <w:ind w:left="0" w:firstLine="0" w:firstLineChars="0"/>
        <w:rPr>
          <w:rFonts w:ascii="宋体" w:hAnsi="宋体" w:eastAsia="宋体" w:cs="Times New Roman"/>
          <w:bCs/>
          <w:color w:val="000000"/>
          <w:szCs w:val="21"/>
          <w:lang w:val="en-US" w:eastAsia="zh-CN"/>
        </w:rPr>
      </w:pPr>
      <w:r>
        <w:rPr>
          <w:rFonts w:hint="eastAsia" w:ascii="宋体" w:hAnsi="宋体" w:eastAsia="宋体" w:cs="Times New Roman"/>
          <w:bCs/>
          <w:color w:val="000000"/>
          <w:szCs w:val="21"/>
          <w:lang w:val="en-US" w:eastAsia="zh-CN"/>
        </w:rPr>
        <w:t>照明设计方面：应以</w:t>
      </w:r>
      <w:r>
        <w:rPr>
          <w:rFonts w:ascii="宋体" w:hAnsi="宋体" w:eastAsia="宋体" w:cs="Times New Roman"/>
          <w:bCs/>
          <w:color w:val="000000"/>
          <w:szCs w:val="21"/>
          <w:lang w:val="en-US" w:eastAsia="zh-CN"/>
        </w:rPr>
        <w:t>“</w:t>
      </w:r>
      <w:r>
        <w:rPr>
          <w:rFonts w:hint="eastAsia" w:ascii="宋体" w:hAnsi="宋体" w:eastAsia="宋体" w:cs="Times New Roman"/>
          <w:bCs/>
          <w:color w:val="000000"/>
          <w:szCs w:val="21"/>
          <w:lang w:val="en-US" w:eastAsia="zh-CN"/>
        </w:rPr>
        <w:t>保护、还原、舒适</w:t>
      </w:r>
      <w:r>
        <w:rPr>
          <w:rFonts w:ascii="宋体" w:hAnsi="宋体" w:eastAsia="宋体" w:cs="Times New Roman"/>
          <w:bCs/>
          <w:color w:val="000000"/>
          <w:szCs w:val="21"/>
          <w:lang w:val="en-US" w:eastAsia="zh-CN"/>
        </w:rPr>
        <w:t>”</w:t>
      </w:r>
      <w:r>
        <w:rPr>
          <w:rFonts w:hint="eastAsia" w:ascii="宋体" w:hAnsi="宋体" w:eastAsia="宋体" w:cs="Times New Roman"/>
          <w:bCs/>
          <w:color w:val="000000"/>
          <w:szCs w:val="21"/>
          <w:lang w:val="en-US" w:eastAsia="zh-CN"/>
        </w:rPr>
        <w:t>为原则，综合考虑展览照明系统。</w:t>
      </w:r>
    </w:p>
    <w:p>
      <w:pPr>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）照明灯具以采购人提供的专业照明灯具为准，并以这些照明灯具的技术参数进行设计。</w:t>
      </w:r>
    </w:p>
    <w:p>
      <w:pPr>
        <w:spacing w:line="360" w:lineRule="auto"/>
        <w:ind w:firstLine="420" w:firstLineChars="200"/>
        <w:rPr>
          <w:rFonts w:ascii="宋体" w:hAnsi="宋体"/>
          <w:color w:val="000000"/>
          <w:szCs w:val="21"/>
        </w:rPr>
      </w:pPr>
      <w:r>
        <w:rPr>
          <w:rFonts w:hint="eastAsia" w:ascii="宋体" w:hAnsi="宋体"/>
          <w:bCs/>
          <w:color w:val="000000"/>
          <w:szCs w:val="21"/>
        </w:rPr>
        <w:t>（</w:t>
      </w:r>
      <w:r>
        <w:rPr>
          <w:rFonts w:ascii="宋体" w:hAnsi="宋体"/>
          <w:bCs/>
          <w:color w:val="000000"/>
          <w:szCs w:val="21"/>
        </w:rPr>
        <w:t>2</w:t>
      </w:r>
      <w:r>
        <w:rPr>
          <w:rFonts w:hint="eastAsia" w:ascii="宋体" w:hAnsi="宋体"/>
          <w:bCs/>
          <w:color w:val="000000"/>
          <w:szCs w:val="21"/>
        </w:rPr>
        <w:t>）文物的照度保护要求，具体见附件</w:t>
      </w:r>
      <w:r>
        <w:rPr>
          <w:rFonts w:ascii="宋体" w:hAnsi="宋体"/>
          <w:bCs/>
          <w:color w:val="000000"/>
          <w:szCs w:val="21"/>
        </w:rPr>
        <w:t>2</w:t>
      </w:r>
      <w:r>
        <w:rPr>
          <w:rFonts w:hint="eastAsia" w:ascii="宋体" w:hAnsi="宋体"/>
          <w:bCs/>
          <w:color w:val="000000"/>
          <w:szCs w:val="21"/>
        </w:rPr>
        <w:t>初步设计方案的“展览照明设计要求”部分。根据展品不同，制定符合陈列大纲中列出文物保护要求的方案。</w:t>
      </w:r>
    </w:p>
    <w:p>
      <w:pPr>
        <w:spacing w:line="360" w:lineRule="auto"/>
        <w:ind w:firstLine="420" w:firstLineChars="200"/>
        <w:rPr>
          <w:rFonts w:ascii="宋体" w:hAns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）灯具布置设计，应能良好还原文物的艺术效果，又能考虑到观众参观的舒适性，防止眩光对观众的影响。</w:t>
      </w:r>
    </w:p>
    <w:p>
      <w:pPr>
        <w:spacing w:line="360" w:lineRule="auto"/>
        <w:ind w:firstLine="420" w:firstLineChars="200"/>
        <w:rPr>
          <w:rFonts w:ascii="宋体" w:hAnsi="宋体"/>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）照明设计必需提供照明场景分析，应对典型陈列方式进行照明场景分析。</w:t>
      </w:r>
    </w:p>
    <w:p>
      <w:pPr>
        <w:spacing w:line="360" w:lineRule="auto"/>
        <w:ind w:firstLine="420" w:firstLineChars="200"/>
        <w:rPr>
          <w:rFonts w:ascii="宋体" w:hAnsi="宋体"/>
          <w:szCs w:val="21"/>
        </w:rPr>
      </w:pPr>
    </w:p>
    <w:p>
      <w:pPr>
        <w:pStyle w:val="13"/>
        <w:numPr>
          <w:ilvl w:val="0"/>
          <w:numId w:val="5"/>
        </w:numPr>
        <w:tabs>
          <w:tab w:val="left" w:pos="567"/>
        </w:tabs>
        <w:spacing w:line="360" w:lineRule="auto"/>
        <w:ind w:left="0" w:firstLine="0" w:firstLineChars="0"/>
        <w:rPr>
          <w:rFonts w:ascii="宋体" w:hAnsi="宋体" w:eastAsia="宋体" w:cs="Times New Roman"/>
          <w:bCs/>
          <w:color w:val="000000"/>
          <w:szCs w:val="21"/>
          <w:lang w:val="en-US" w:eastAsia="zh-CN"/>
        </w:rPr>
      </w:pPr>
      <w:r>
        <w:rPr>
          <w:rFonts w:hint="eastAsia" w:ascii="宋体" w:hAnsi="宋体" w:eastAsia="宋体" w:cs="Times New Roman"/>
          <w:bCs/>
          <w:color w:val="000000"/>
          <w:szCs w:val="21"/>
          <w:lang w:val="en-US" w:eastAsia="zh-CN"/>
        </w:rPr>
        <w:t>文物保护设计方面：应根据不同地区和质地文物保存环境控制的要求，对展柜内文物保存微环境的湿度进行严格调控，同时对各展柜内的温湿度进行实时监测。</w:t>
      </w:r>
    </w:p>
    <w:p>
      <w:pPr>
        <w:pStyle w:val="13"/>
        <w:numPr>
          <w:ilvl w:val="0"/>
          <w:numId w:val="5"/>
        </w:numPr>
        <w:tabs>
          <w:tab w:val="left" w:pos="567"/>
        </w:tabs>
        <w:spacing w:line="360" w:lineRule="auto"/>
        <w:ind w:left="0" w:firstLine="0" w:firstLineChars="0"/>
        <w:rPr>
          <w:rFonts w:ascii="宋体" w:hAnsi="宋体" w:eastAsia="宋体" w:cs="Times New Roman"/>
          <w:bCs/>
          <w:color w:val="000000"/>
          <w:szCs w:val="21"/>
          <w:lang w:val="en-US" w:eastAsia="zh-CN"/>
        </w:rPr>
      </w:pPr>
      <w:r>
        <w:rPr>
          <w:rFonts w:hint="eastAsia" w:ascii="宋体" w:hAnsi="宋体" w:eastAsia="宋体" w:cs="Times New Roman"/>
          <w:bCs/>
          <w:color w:val="000000"/>
          <w:szCs w:val="21"/>
          <w:lang w:val="en-US" w:eastAsia="zh-CN"/>
        </w:rPr>
        <w:t>（</w:t>
      </w:r>
      <w:r>
        <w:rPr>
          <w:rFonts w:ascii="宋体" w:hAnsi="宋体" w:eastAsia="宋体" w:cs="Times New Roman"/>
          <w:bCs/>
          <w:color w:val="000000"/>
          <w:szCs w:val="21"/>
          <w:lang w:val="en-US" w:eastAsia="zh-CN"/>
        </w:rPr>
        <w:t>1</w:t>
      </w:r>
      <w:r>
        <w:rPr>
          <w:rFonts w:hint="eastAsia" w:ascii="宋体" w:hAnsi="宋体" w:eastAsia="宋体" w:cs="Times New Roman"/>
          <w:bCs/>
          <w:color w:val="000000"/>
          <w:szCs w:val="21"/>
          <w:lang w:val="en-US" w:eastAsia="zh-CN"/>
        </w:rPr>
        <w:t>）</w:t>
      </w:r>
      <w:r>
        <w:rPr>
          <w:rFonts w:ascii="宋体" w:hAnsi="宋体" w:eastAsia="宋体" w:cs="Times New Roman"/>
          <w:bCs/>
          <w:color w:val="000000"/>
          <w:szCs w:val="21"/>
          <w:lang w:val="en-US" w:eastAsia="zh-CN"/>
        </w:rPr>
        <w:t xml:space="preserve"> </w:t>
      </w:r>
      <w:r>
        <w:rPr>
          <w:rFonts w:hint="eastAsia" w:ascii="宋体" w:hAnsi="宋体" w:eastAsia="宋体" w:cs="Times New Roman"/>
          <w:bCs/>
          <w:color w:val="000000"/>
          <w:szCs w:val="21"/>
          <w:lang w:val="en-US" w:eastAsia="zh-CN"/>
        </w:rPr>
        <w:t>采购人确定可以提供展厅</w:t>
      </w:r>
      <w:r>
        <w:rPr>
          <w:rFonts w:ascii="宋体" w:hAnsi="宋体" w:eastAsia="宋体" w:cs="Times New Roman"/>
          <w:bCs/>
          <w:color w:val="000000"/>
          <w:szCs w:val="21"/>
          <w:lang w:val="en-US" w:eastAsia="zh-CN"/>
        </w:rPr>
        <w:t>24</w:t>
      </w:r>
      <w:r>
        <w:rPr>
          <w:rFonts w:hint="eastAsia" w:ascii="宋体" w:hAnsi="宋体" w:eastAsia="宋体" w:cs="Times New Roman"/>
          <w:bCs/>
          <w:color w:val="000000"/>
          <w:szCs w:val="21"/>
          <w:lang w:val="en-US" w:eastAsia="zh-CN"/>
        </w:rPr>
        <w:t>小时运行恒温恒湿空调系统控制条件，调控温度为</w:t>
      </w:r>
      <w:r>
        <w:rPr>
          <w:rFonts w:ascii="宋体" w:hAnsi="宋体" w:eastAsia="宋体" w:cs="Times New Roman"/>
          <w:bCs/>
          <w:color w:val="000000"/>
          <w:szCs w:val="21"/>
          <w:lang w:val="en-US" w:eastAsia="zh-CN"/>
        </w:rPr>
        <w:t>2</w:t>
      </w:r>
      <w:r>
        <w:rPr>
          <w:rFonts w:hint="eastAsia" w:ascii="宋体" w:hAnsi="宋体" w:eastAsia="宋体" w:cs="Times New Roman"/>
          <w:bCs/>
          <w:color w:val="000000"/>
          <w:szCs w:val="21"/>
          <w:lang w:val="en-US" w:eastAsia="zh-CN"/>
        </w:rPr>
        <w:t>3</w:t>
      </w:r>
      <w:r>
        <w:rPr>
          <w:rFonts w:ascii="宋体" w:hAnsi="宋体" w:eastAsia="宋体" w:cs="Times New Roman"/>
          <w:bCs/>
          <w:color w:val="000000"/>
          <w:szCs w:val="21"/>
          <w:lang w:val="en-US" w:eastAsia="zh-CN"/>
        </w:rPr>
        <w:t>°C±2°C</w:t>
      </w:r>
      <w:r>
        <w:rPr>
          <w:rFonts w:hint="eastAsia" w:ascii="宋体" w:hAnsi="宋体" w:eastAsia="宋体" w:cs="Times New Roman"/>
          <w:bCs/>
          <w:color w:val="000000"/>
          <w:szCs w:val="21"/>
          <w:lang w:val="en-US" w:eastAsia="zh-CN"/>
        </w:rPr>
        <w:t>，相对湿度为50-55％。</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w:t>
      </w:r>
      <w:r>
        <w:rPr>
          <w:rFonts w:ascii="宋体" w:hAnsi="宋体"/>
          <w:color w:val="000000" w:themeColor="text1"/>
          <w:szCs w:val="21"/>
        </w:rPr>
        <w:t>2</w:t>
      </w:r>
      <w:r>
        <w:rPr>
          <w:rFonts w:hint="eastAsia" w:ascii="宋体" w:hAnsi="宋体"/>
          <w:color w:val="000000" w:themeColor="text1"/>
          <w:szCs w:val="21"/>
        </w:rPr>
        <w:t>）针对油画：温度：</w:t>
      </w:r>
      <w:r>
        <w:rPr>
          <w:rFonts w:ascii="宋体" w:hAnsi="宋体"/>
          <w:color w:val="000000" w:themeColor="text1"/>
          <w:szCs w:val="21"/>
        </w:rPr>
        <w:t>2</w:t>
      </w:r>
      <w:r>
        <w:rPr>
          <w:rFonts w:hint="eastAsia" w:ascii="宋体" w:hAnsi="宋体"/>
          <w:color w:val="000000" w:themeColor="text1"/>
          <w:szCs w:val="21"/>
        </w:rPr>
        <w:t>3℃（</w:t>
      </w:r>
      <w:r>
        <w:rPr>
          <w:rFonts w:ascii="宋体" w:hAnsi="宋体"/>
          <w:color w:val="000000" w:themeColor="text1"/>
          <w:szCs w:val="21"/>
        </w:rPr>
        <w:t>+/-2</w:t>
      </w:r>
      <w:r>
        <w:rPr>
          <w:rFonts w:hint="eastAsia" w:ascii="宋体" w:hAnsi="宋体"/>
          <w:color w:val="000000" w:themeColor="text1"/>
          <w:szCs w:val="21"/>
        </w:rPr>
        <w:t>℃）；相对湿度：50-55％</w:t>
      </w:r>
      <w:r>
        <w:rPr>
          <w:rFonts w:ascii="宋体" w:hAnsi="宋体"/>
          <w:color w:val="000000" w:themeColor="text1"/>
          <w:szCs w:val="21"/>
        </w:rPr>
        <w:t>RH</w:t>
      </w:r>
      <w:r>
        <w:rPr>
          <w:rFonts w:hint="eastAsia" w:ascii="宋体" w:hAnsi="宋体"/>
          <w:color w:val="000000" w:themeColor="text1"/>
          <w:szCs w:val="21"/>
        </w:rPr>
        <w:t>；照明</w:t>
      </w:r>
      <w:r>
        <w:rPr>
          <w:rFonts w:ascii="宋体" w:hAnsi="宋体"/>
          <w:color w:val="000000" w:themeColor="text1"/>
          <w:szCs w:val="21"/>
        </w:rPr>
        <w:t xml:space="preserve">: </w:t>
      </w:r>
      <w:r>
        <w:rPr>
          <w:rFonts w:hint="eastAsia" w:ascii="宋体" w:hAnsi="宋体"/>
          <w:color w:val="000000" w:themeColor="text1"/>
          <w:szCs w:val="21"/>
        </w:rPr>
        <w:t>50~180</w:t>
      </w:r>
      <w:r>
        <w:rPr>
          <w:rFonts w:ascii="宋体" w:hAnsi="宋体"/>
          <w:color w:val="000000" w:themeColor="text1"/>
          <w:szCs w:val="21"/>
        </w:rPr>
        <w:t xml:space="preserve"> l</w:t>
      </w:r>
      <w:r>
        <w:rPr>
          <w:rFonts w:hint="eastAsia" w:ascii="宋体" w:hAnsi="宋体"/>
          <w:color w:val="000000" w:themeColor="text1"/>
          <w:szCs w:val="21"/>
        </w:rPr>
        <w:t>ux以下，紫外线含量小于</w:t>
      </w:r>
      <w:r>
        <w:rPr>
          <w:rFonts w:ascii="宋体" w:hAnsi="宋体"/>
          <w:color w:val="000000" w:themeColor="text1"/>
          <w:szCs w:val="21"/>
        </w:rPr>
        <w:t>10</w:t>
      </w:r>
      <w:r>
        <w:rPr>
          <w:rFonts w:hint="eastAsia" w:ascii="宋体" w:hAnsi="宋体"/>
          <w:color w:val="000000" w:themeColor="text1"/>
          <w:szCs w:val="21"/>
        </w:rPr>
        <w:t>μ</w:t>
      </w:r>
      <w:r>
        <w:rPr>
          <w:rFonts w:ascii="宋体" w:hAnsi="宋体"/>
          <w:color w:val="000000" w:themeColor="text1"/>
          <w:szCs w:val="21"/>
        </w:rPr>
        <w:t>W/lm</w:t>
      </w:r>
      <w:r>
        <w:rPr>
          <w:rFonts w:hint="eastAsia" w:ascii="宋体" w:hAnsi="宋体"/>
          <w:color w:val="000000" w:themeColor="text1"/>
          <w:szCs w:val="21"/>
        </w:rPr>
        <w:t>；</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w:t>
      </w:r>
      <w:r>
        <w:rPr>
          <w:rFonts w:ascii="宋体" w:hAnsi="宋体"/>
          <w:color w:val="000000" w:themeColor="text1"/>
          <w:szCs w:val="21"/>
        </w:rPr>
        <w:t>3</w:t>
      </w:r>
      <w:r>
        <w:rPr>
          <w:rFonts w:hint="eastAsia" w:ascii="宋体" w:hAnsi="宋体"/>
          <w:color w:val="000000" w:themeColor="text1"/>
          <w:szCs w:val="21"/>
        </w:rPr>
        <w:t>）针对摄影作品：温度：</w:t>
      </w:r>
      <w:r>
        <w:rPr>
          <w:rFonts w:ascii="宋体" w:hAnsi="宋体"/>
          <w:color w:val="000000" w:themeColor="text1"/>
          <w:szCs w:val="21"/>
        </w:rPr>
        <w:t>2</w:t>
      </w:r>
      <w:r>
        <w:rPr>
          <w:rFonts w:hint="eastAsia" w:ascii="宋体" w:hAnsi="宋体"/>
          <w:color w:val="000000" w:themeColor="text1"/>
          <w:szCs w:val="21"/>
        </w:rPr>
        <w:t>3℃（</w:t>
      </w:r>
      <w:r>
        <w:rPr>
          <w:rFonts w:ascii="宋体" w:hAnsi="宋体"/>
          <w:color w:val="000000" w:themeColor="text1"/>
          <w:szCs w:val="21"/>
        </w:rPr>
        <w:t>+/-2</w:t>
      </w:r>
      <w:r>
        <w:rPr>
          <w:rFonts w:hint="eastAsia" w:ascii="宋体" w:hAnsi="宋体"/>
          <w:color w:val="000000" w:themeColor="text1"/>
          <w:szCs w:val="21"/>
        </w:rPr>
        <w:t>℃）；相对湿度：50-55％</w:t>
      </w:r>
      <w:r>
        <w:rPr>
          <w:rFonts w:ascii="宋体" w:hAnsi="宋体"/>
          <w:color w:val="000000" w:themeColor="text1"/>
          <w:szCs w:val="21"/>
        </w:rPr>
        <w:t>RH</w:t>
      </w:r>
      <w:r>
        <w:rPr>
          <w:rFonts w:hint="eastAsia" w:ascii="宋体" w:hAnsi="宋体"/>
          <w:color w:val="000000" w:themeColor="text1"/>
          <w:szCs w:val="21"/>
        </w:rPr>
        <w:t>；照明</w:t>
      </w:r>
      <w:r>
        <w:rPr>
          <w:rFonts w:ascii="宋体" w:hAnsi="宋体"/>
          <w:color w:val="000000" w:themeColor="text1"/>
          <w:szCs w:val="21"/>
        </w:rPr>
        <w:t xml:space="preserve">: </w:t>
      </w:r>
      <w:r>
        <w:rPr>
          <w:rFonts w:hint="eastAsia" w:ascii="宋体" w:hAnsi="宋体"/>
          <w:color w:val="000000" w:themeColor="text1"/>
          <w:szCs w:val="21"/>
        </w:rPr>
        <w:t>≤</w:t>
      </w:r>
      <w:r>
        <w:rPr>
          <w:rFonts w:ascii="宋体" w:hAnsi="宋体"/>
          <w:color w:val="000000" w:themeColor="text1"/>
          <w:szCs w:val="21"/>
        </w:rPr>
        <w:t>50lx</w:t>
      </w:r>
      <w:r>
        <w:rPr>
          <w:rFonts w:hint="eastAsia" w:ascii="宋体" w:hAnsi="宋体"/>
          <w:color w:val="000000" w:themeColor="text1"/>
          <w:szCs w:val="21"/>
        </w:rPr>
        <w:t>，紫外线含量小于</w:t>
      </w:r>
      <w:r>
        <w:rPr>
          <w:rFonts w:ascii="宋体" w:hAnsi="宋体"/>
          <w:color w:val="000000" w:themeColor="text1"/>
          <w:szCs w:val="21"/>
        </w:rPr>
        <w:t>10</w:t>
      </w:r>
      <w:r>
        <w:rPr>
          <w:rFonts w:hint="eastAsia" w:ascii="宋体" w:hAnsi="宋体"/>
          <w:color w:val="000000" w:themeColor="text1"/>
          <w:szCs w:val="21"/>
        </w:rPr>
        <w:t>μ</w:t>
      </w:r>
      <w:r>
        <w:rPr>
          <w:rFonts w:ascii="宋体" w:hAnsi="宋体"/>
          <w:color w:val="000000" w:themeColor="text1"/>
          <w:szCs w:val="21"/>
        </w:rPr>
        <w:t>W/lm</w:t>
      </w:r>
      <w:r>
        <w:rPr>
          <w:rFonts w:hint="eastAsia" w:ascii="宋体" w:hAnsi="宋体"/>
          <w:color w:val="000000" w:themeColor="text1"/>
          <w:szCs w:val="21"/>
        </w:rPr>
        <w:t>；</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4）展柜内与展品接触部分的表面不得有涂料，展柜内部与展品接触的部位须铺垫天然织物（绢、棉、麻）或纸张。如果织物或纸张在铺垫时需要用到粘合剂，那么必须通风干燥4周以上才可使用。否则铺垫时便不可使用粘合剂。</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（5）内部装修材料不能使用会产生有害气体对展品产生危害的材料，更不能将其残留在展柜和展厅内。</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（6）展品必须适应环境24小时。</w:t>
      </w:r>
    </w:p>
    <w:p>
      <w:pPr>
        <w:pStyle w:val="13"/>
        <w:tabs>
          <w:tab w:val="left" w:pos="567"/>
        </w:tabs>
        <w:spacing w:line="360" w:lineRule="auto"/>
        <w:ind w:firstLine="0" w:firstLineChars="0"/>
        <w:rPr>
          <w:rFonts w:ascii="宋体" w:hAnsi="宋体" w:eastAsia="宋体"/>
          <w:bCs/>
          <w:color w:val="000000"/>
          <w:szCs w:val="21"/>
        </w:rPr>
      </w:pPr>
    </w:p>
    <w:p>
      <w:pPr>
        <w:pStyle w:val="13"/>
        <w:numPr>
          <w:ilvl w:val="0"/>
          <w:numId w:val="5"/>
        </w:numPr>
        <w:tabs>
          <w:tab w:val="left" w:pos="567"/>
        </w:tabs>
        <w:spacing w:line="360" w:lineRule="auto"/>
        <w:ind w:left="0" w:firstLine="0" w:firstLineChars="0"/>
        <w:rPr>
          <w:rFonts w:ascii="宋体" w:hAnsi="宋体" w:eastAsia="宋体" w:cs="Times New Roman"/>
          <w:color w:val="000000" w:themeColor="text1"/>
          <w:szCs w:val="21"/>
          <w:lang w:val="en-US" w:eastAsia="zh-CN"/>
        </w:rPr>
      </w:pPr>
      <w:r>
        <w:rPr>
          <w:rFonts w:hint="eastAsia" w:ascii="宋体" w:hAnsi="宋体" w:eastAsia="宋体" w:cs="Times New Roman"/>
          <w:color w:val="000000" w:themeColor="text1"/>
          <w:szCs w:val="21"/>
          <w:lang w:val="en-US" w:eastAsia="zh-CN"/>
        </w:rPr>
        <w:t>安防和消防方面：供应商需</w:t>
      </w:r>
      <w:bookmarkStart w:id="0" w:name="_GoBack"/>
      <w:bookmarkEnd w:id="0"/>
      <w:r>
        <w:rPr>
          <w:rFonts w:hint="eastAsia" w:ascii="宋体" w:hAnsi="宋体" w:eastAsia="宋体" w:cs="Times New Roman"/>
          <w:color w:val="000000" w:themeColor="text1"/>
          <w:szCs w:val="21"/>
          <w:lang w:val="en-US" w:eastAsia="zh-CN"/>
        </w:rPr>
        <w:t>配合采购人完成相应的备案与验收，提供设计蓝图和电子文档。</w:t>
      </w:r>
    </w:p>
    <w:p>
      <w:pPr>
        <w:pStyle w:val="13"/>
        <w:tabs>
          <w:tab w:val="left" w:pos="567"/>
        </w:tabs>
        <w:spacing w:line="360" w:lineRule="auto"/>
        <w:ind w:firstLine="0" w:firstLineChars="0"/>
        <w:rPr>
          <w:rFonts w:ascii="宋体" w:hAnsi="宋体" w:eastAsia="宋体" w:cs="Times New Roman"/>
          <w:color w:val="000000" w:themeColor="text1"/>
          <w:szCs w:val="21"/>
          <w:lang w:val="en-US" w:eastAsia="zh-CN"/>
        </w:rPr>
      </w:pPr>
    </w:p>
    <w:p>
      <w:pPr>
        <w:pStyle w:val="13"/>
        <w:numPr>
          <w:ilvl w:val="0"/>
          <w:numId w:val="5"/>
        </w:numPr>
        <w:tabs>
          <w:tab w:val="left" w:pos="567"/>
        </w:tabs>
        <w:spacing w:line="360" w:lineRule="auto"/>
        <w:ind w:left="0" w:firstLine="0" w:firstLineChars="0"/>
        <w:rPr>
          <w:rFonts w:ascii="宋体" w:hAnsi="宋体" w:eastAsia="宋体" w:cs="Times New Roman"/>
          <w:color w:val="000000" w:themeColor="text1"/>
          <w:szCs w:val="21"/>
          <w:lang w:val="en-US" w:eastAsia="zh-CN"/>
        </w:rPr>
      </w:pPr>
      <w:r>
        <w:rPr>
          <w:rFonts w:hint="eastAsia" w:ascii="宋体" w:hAnsi="宋体" w:eastAsia="宋体" w:cs="Times New Roman"/>
          <w:color w:val="000000" w:themeColor="text1"/>
          <w:szCs w:val="21"/>
          <w:lang w:val="en-US" w:eastAsia="zh-CN"/>
        </w:rPr>
        <w:t>多媒体方面：配合安装由采购人提供的高清广告显示屏或电视机用以循环播放展览有关视频；屏幕尺寸根据展墙深化设计而定，并完善施工，除此之外需现场配合多媒体展项的搭建和调试，安装等环节。多媒体数量如需增加，由供应商统计并完成增补。</w:t>
      </w:r>
    </w:p>
    <w:p>
      <w:pPr>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）安装可靠，无信号传输不良问题。</w:t>
      </w:r>
    </w:p>
    <w:p>
      <w:pPr>
        <w:spacing w:line="360" w:lineRule="auto"/>
        <w:ind w:firstLine="420" w:firstLineChars="200"/>
        <w:rPr>
          <w:rFonts w:ascii="宋体" w:hAnsi="宋体"/>
        </w:rPr>
      </w:pPr>
      <w:r>
        <w:rPr>
          <w:rFonts w:hint="eastAsia" w:ascii="宋体" w:hAnsi="宋体"/>
        </w:rPr>
        <w:t>（</w:t>
      </w:r>
      <w:r>
        <w:rPr>
          <w:rFonts w:ascii="宋体" w:hAnsi="宋体"/>
        </w:rPr>
        <w:t>2</w:t>
      </w:r>
      <w:r>
        <w:rPr>
          <w:rFonts w:hint="eastAsia" w:ascii="宋体" w:hAnsi="宋体"/>
        </w:rPr>
        <w:t>）运行稳定，连续开启</w:t>
      </w:r>
      <w:r>
        <w:rPr>
          <w:rFonts w:ascii="宋体" w:hAnsi="宋体"/>
        </w:rPr>
        <w:t>100</w:t>
      </w:r>
      <w:r>
        <w:rPr>
          <w:rFonts w:hint="eastAsia" w:ascii="宋体" w:hAnsi="宋体"/>
        </w:rPr>
        <w:t>小时不出任何故障。</w:t>
      </w:r>
    </w:p>
    <w:p>
      <w:pPr>
        <w:spacing w:line="360" w:lineRule="auto"/>
        <w:rPr>
          <w:rFonts w:ascii="宋体" w:hAnsi="宋体"/>
        </w:rPr>
      </w:pPr>
    </w:p>
    <w:p>
      <w:pPr>
        <w:pStyle w:val="13"/>
        <w:numPr>
          <w:ilvl w:val="0"/>
          <w:numId w:val="5"/>
        </w:numPr>
        <w:tabs>
          <w:tab w:val="left" w:pos="567"/>
        </w:tabs>
        <w:spacing w:line="360" w:lineRule="auto"/>
        <w:ind w:left="0" w:firstLine="0" w:firstLineChars="0"/>
        <w:rPr>
          <w:rFonts w:ascii="宋体" w:hAnsi="宋体" w:eastAsia="宋体" w:cs="Times New Roman"/>
          <w:color w:val="000000" w:themeColor="text1"/>
          <w:szCs w:val="21"/>
          <w:lang w:val="en-US" w:eastAsia="zh-CN"/>
        </w:rPr>
      </w:pPr>
      <w:r>
        <w:rPr>
          <w:rFonts w:hint="eastAsia" w:ascii="宋体" w:hAnsi="宋体" w:eastAsia="宋体" w:cs="Times New Roman"/>
          <w:color w:val="000000" w:themeColor="text1"/>
          <w:szCs w:val="21"/>
          <w:lang w:val="en-US" w:eastAsia="zh-CN"/>
        </w:rPr>
        <w:t>供应商在深化设计过程中，必须在采购人的指导，不断完善和细化设计以符合该展览的主题与展示目标，设计图经采购人确认后方能投入施工。</w:t>
      </w:r>
    </w:p>
    <w:p>
      <w:pPr>
        <w:pStyle w:val="13"/>
        <w:tabs>
          <w:tab w:val="left" w:pos="567"/>
        </w:tabs>
        <w:spacing w:line="360" w:lineRule="auto"/>
        <w:ind w:firstLine="0" w:firstLineChars="0"/>
        <w:rPr>
          <w:rFonts w:ascii="宋体" w:hAnsi="宋体" w:eastAsia="宋体" w:cs="Times New Roman"/>
          <w:color w:val="000000" w:themeColor="text1"/>
          <w:szCs w:val="21"/>
          <w:lang w:val="en-US" w:eastAsia="zh-CN"/>
        </w:rPr>
      </w:pPr>
    </w:p>
    <w:p>
      <w:pPr>
        <w:pStyle w:val="13"/>
        <w:numPr>
          <w:ilvl w:val="0"/>
          <w:numId w:val="5"/>
        </w:numPr>
        <w:tabs>
          <w:tab w:val="left" w:pos="567"/>
        </w:tabs>
        <w:spacing w:line="360" w:lineRule="auto"/>
        <w:ind w:left="0" w:firstLine="0" w:firstLineChars="0"/>
        <w:rPr>
          <w:rFonts w:ascii="宋体" w:hAnsi="宋体" w:eastAsia="宋体" w:cs="Times New Roman"/>
          <w:color w:val="000000" w:themeColor="text1"/>
          <w:szCs w:val="21"/>
          <w:lang w:val="en-US" w:eastAsia="zh-CN"/>
        </w:rPr>
      </w:pPr>
      <w:r>
        <w:rPr>
          <w:rFonts w:hint="eastAsia" w:ascii="宋体" w:hAnsi="宋体" w:eastAsia="宋体" w:cs="Times New Roman"/>
          <w:color w:val="000000" w:themeColor="text1"/>
          <w:szCs w:val="21"/>
          <w:lang w:val="en-US" w:eastAsia="zh-CN"/>
        </w:rPr>
        <w:t>深化设计方案和设计图纸的计量单位均采用国际标准计量单位。长度用毫米（</w:t>
      </w:r>
      <w:r>
        <w:rPr>
          <w:rFonts w:ascii="宋体" w:hAnsi="宋体" w:eastAsia="宋体" w:cs="Times New Roman"/>
          <w:color w:val="000000" w:themeColor="text1"/>
          <w:szCs w:val="21"/>
          <w:lang w:val="en-US" w:eastAsia="zh-CN"/>
        </w:rPr>
        <w:t>mm</w:t>
      </w:r>
      <w:r>
        <w:rPr>
          <w:rFonts w:hint="eastAsia" w:ascii="宋体" w:hAnsi="宋体" w:eastAsia="宋体" w:cs="Times New Roman"/>
          <w:color w:val="000000" w:themeColor="text1"/>
          <w:szCs w:val="21"/>
          <w:lang w:val="en-US" w:eastAsia="zh-CN"/>
        </w:rPr>
        <w:t>），面积用平方米（</w:t>
      </w:r>
      <w:r>
        <w:rPr>
          <w:rFonts w:ascii="宋体" w:hAnsi="宋体" w:eastAsia="宋体" w:cs="Times New Roman"/>
          <w:color w:val="000000" w:themeColor="text1"/>
          <w:szCs w:val="21"/>
          <w:lang w:val="en-US" w:eastAsia="zh-CN"/>
        </w:rPr>
        <w:t>m2</w:t>
      </w:r>
      <w:r>
        <w:rPr>
          <w:rFonts w:hint="eastAsia" w:ascii="宋体" w:hAnsi="宋体" w:eastAsia="宋体" w:cs="Times New Roman"/>
          <w:color w:val="000000" w:themeColor="text1"/>
          <w:szCs w:val="21"/>
          <w:lang w:val="en-US" w:eastAsia="zh-CN"/>
        </w:rPr>
        <w:t>）；容积用立方米（</w:t>
      </w:r>
      <w:r>
        <w:rPr>
          <w:rFonts w:ascii="宋体" w:hAnsi="宋体" w:eastAsia="宋体" w:cs="Times New Roman"/>
          <w:color w:val="000000" w:themeColor="text1"/>
          <w:szCs w:val="21"/>
          <w:lang w:val="en-US" w:eastAsia="zh-CN"/>
        </w:rPr>
        <w:t>m3</w:t>
      </w:r>
      <w:r>
        <w:rPr>
          <w:rFonts w:hint="eastAsia" w:ascii="宋体" w:hAnsi="宋体" w:eastAsia="宋体" w:cs="Times New Roman"/>
          <w:color w:val="000000" w:themeColor="text1"/>
          <w:szCs w:val="21"/>
          <w:lang w:val="en-US" w:eastAsia="zh-CN"/>
        </w:rPr>
        <w:t>）；重量用克（</w:t>
      </w:r>
      <w:r>
        <w:rPr>
          <w:rFonts w:ascii="宋体" w:hAnsi="宋体" w:eastAsia="宋体" w:cs="Times New Roman"/>
          <w:color w:val="000000" w:themeColor="text1"/>
          <w:szCs w:val="21"/>
          <w:lang w:val="en-US" w:eastAsia="zh-CN"/>
        </w:rPr>
        <w:t>g</w:t>
      </w:r>
      <w:r>
        <w:rPr>
          <w:rFonts w:hint="eastAsia" w:ascii="宋体" w:hAnsi="宋体" w:eastAsia="宋体" w:cs="Times New Roman"/>
          <w:color w:val="000000" w:themeColor="text1"/>
          <w:szCs w:val="21"/>
          <w:lang w:val="en-US" w:eastAsia="zh-CN"/>
        </w:rPr>
        <w:t>）或公斤（</w:t>
      </w:r>
      <w:r>
        <w:rPr>
          <w:rFonts w:ascii="宋体" w:hAnsi="宋体" w:eastAsia="宋体" w:cs="Times New Roman"/>
          <w:color w:val="000000" w:themeColor="text1"/>
          <w:szCs w:val="21"/>
          <w:lang w:val="en-US" w:eastAsia="zh-CN"/>
        </w:rPr>
        <w:t>Kg</w:t>
      </w:r>
      <w:r>
        <w:rPr>
          <w:rFonts w:hint="eastAsia" w:ascii="宋体" w:hAnsi="宋体" w:eastAsia="宋体" w:cs="Times New Roman"/>
          <w:color w:val="000000" w:themeColor="text1"/>
          <w:szCs w:val="21"/>
          <w:lang w:val="en-US" w:eastAsia="zh-CN"/>
        </w:rPr>
        <w:t>）。</w:t>
      </w:r>
    </w:p>
    <w:p>
      <w:pPr>
        <w:pStyle w:val="13"/>
        <w:tabs>
          <w:tab w:val="left" w:pos="567"/>
        </w:tabs>
        <w:spacing w:line="360" w:lineRule="auto"/>
        <w:ind w:firstLine="0" w:firstLineChars="0"/>
        <w:rPr>
          <w:rFonts w:ascii="宋体" w:hAnsi="宋体" w:eastAsia="宋体" w:cs="Times New Roman"/>
          <w:color w:val="000000" w:themeColor="text1"/>
          <w:szCs w:val="21"/>
          <w:lang w:val="en-US" w:eastAsia="zh-CN"/>
        </w:rPr>
      </w:pPr>
    </w:p>
    <w:p>
      <w:pPr>
        <w:pStyle w:val="13"/>
        <w:numPr>
          <w:ilvl w:val="0"/>
          <w:numId w:val="5"/>
        </w:numPr>
        <w:tabs>
          <w:tab w:val="left" w:pos="567"/>
        </w:tabs>
        <w:spacing w:line="360" w:lineRule="auto"/>
        <w:ind w:left="0" w:firstLine="0" w:firstLineChars="0"/>
        <w:rPr>
          <w:rFonts w:ascii="宋体" w:hAnsi="宋体" w:eastAsia="宋体" w:cs="Times New Roman"/>
          <w:color w:val="000000" w:themeColor="text1"/>
          <w:szCs w:val="21"/>
          <w:lang w:val="en-US" w:eastAsia="zh-CN"/>
        </w:rPr>
      </w:pPr>
      <w:r>
        <w:rPr>
          <w:rFonts w:hint="eastAsia" w:ascii="宋体" w:hAnsi="宋体" w:eastAsia="宋体" w:cs="Times New Roman"/>
          <w:color w:val="000000" w:themeColor="text1"/>
          <w:szCs w:val="21"/>
          <w:lang w:val="en-US" w:eastAsia="zh-CN"/>
        </w:rPr>
        <w:t>电子文档：供应商除了提交纸质资料和图纸之外，还应向采购人提交一套电子文件、图片、</w:t>
      </w:r>
      <w:r>
        <w:rPr>
          <w:rFonts w:ascii="宋体" w:hAnsi="宋体" w:eastAsia="宋体" w:cs="Times New Roman"/>
          <w:color w:val="000000" w:themeColor="text1"/>
          <w:szCs w:val="21"/>
          <w:lang w:val="en-US" w:eastAsia="zh-CN"/>
        </w:rPr>
        <w:t>AutoCAD</w:t>
      </w:r>
      <w:r>
        <w:rPr>
          <w:rFonts w:hint="eastAsia" w:ascii="宋体" w:hAnsi="宋体" w:eastAsia="宋体" w:cs="Times New Roman"/>
          <w:color w:val="000000" w:themeColor="text1"/>
          <w:szCs w:val="21"/>
          <w:lang w:val="en-US" w:eastAsia="zh-CN"/>
        </w:rPr>
        <w:t>电子图纸等电子文档，刻录入光盘。</w:t>
      </w:r>
    </w:p>
    <w:p>
      <w:pPr>
        <w:pStyle w:val="10"/>
        <w:spacing w:line="360" w:lineRule="auto"/>
        <w:rPr>
          <w:rFonts w:ascii="宋体" w:hAnsi="宋体"/>
          <w:color w:val="000000" w:themeColor="text1"/>
          <w:szCs w:val="21"/>
        </w:rPr>
      </w:pPr>
    </w:p>
    <w:p>
      <w:pPr>
        <w:pStyle w:val="13"/>
        <w:numPr>
          <w:ilvl w:val="0"/>
          <w:numId w:val="5"/>
        </w:numPr>
        <w:tabs>
          <w:tab w:val="left" w:pos="567"/>
        </w:tabs>
        <w:spacing w:line="360" w:lineRule="auto"/>
        <w:ind w:left="0" w:firstLine="0" w:firstLineChars="0"/>
        <w:rPr>
          <w:rFonts w:ascii="宋体" w:hAnsi="宋体" w:eastAsia="宋体" w:cs="Times New Roman"/>
          <w:color w:val="000000" w:themeColor="text1"/>
          <w:szCs w:val="21"/>
          <w:lang w:val="en-US" w:eastAsia="zh-CN"/>
        </w:rPr>
      </w:pPr>
      <w:r>
        <w:rPr>
          <w:rFonts w:hint="eastAsia" w:ascii="宋体" w:hAnsi="宋体" w:eastAsia="宋体" w:cs="Times New Roman"/>
          <w:color w:val="000000" w:themeColor="text1"/>
          <w:szCs w:val="21"/>
          <w:lang w:val="en-US" w:eastAsia="zh-CN"/>
        </w:rPr>
        <w:t>画册：供应商需按采购人要求制作提交包含展厅场景、海报与吊旗的摄影画册。</w:t>
      </w:r>
    </w:p>
    <w:p>
      <w:pPr>
        <w:pStyle w:val="13"/>
        <w:tabs>
          <w:tab w:val="left" w:pos="567"/>
        </w:tabs>
        <w:spacing w:line="360" w:lineRule="auto"/>
        <w:ind w:firstLine="0" w:firstLineChars="0"/>
        <w:rPr>
          <w:bCs/>
          <w:color w:val="000000"/>
          <w:kern w:val="0"/>
          <w:sz w:val="20"/>
          <w:szCs w:val="21"/>
        </w:rPr>
      </w:pPr>
    </w:p>
    <w:p>
      <w:pPr>
        <w:pStyle w:val="13"/>
        <w:numPr>
          <w:ilvl w:val="0"/>
          <w:numId w:val="4"/>
        </w:numPr>
        <w:spacing w:before="100" w:beforeAutospacing="1" w:line="360" w:lineRule="auto"/>
        <w:ind w:firstLineChars="0"/>
        <w:rPr>
          <w:rFonts w:hAnsi="宋体"/>
          <w:b/>
          <w:bCs/>
          <w:color w:val="000000"/>
          <w:szCs w:val="21"/>
        </w:rPr>
      </w:pPr>
      <w:r>
        <w:rPr>
          <w:rFonts w:hint="eastAsia" w:hAnsi="宋体"/>
          <w:b/>
          <w:bCs/>
          <w:color w:val="000000"/>
          <w:szCs w:val="21"/>
        </w:rPr>
        <w:t>展陈施工、布展与撤展配合以及展期运维</w:t>
      </w: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r>
        <w:rPr>
          <w:rFonts w:ascii="宋体" w:hAnsi="宋体" w:eastAsia="宋体" w:cs="Times New Roman"/>
          <w:color w:val="000000" w:themeColor="text1"/>
          <w:szCs w:val="21"/>
          <w:lang w:val="en-US" w:eastAsia="zh-CN"/>
        </w:rPr>
        <w:t>2.2.1</w:t>
      </w:r>
      <w:r>
        <w:rPr>
          <w:rFonts w:hint="eastAsia" w:ascii="宋体" w:hAnsi="宋体" w:eastAsia="宋体" w:cs="Times New Roman"/>
          <w:color w:val="000000" w:themeColor="text1"/>
          <w:szCs w:val="21"/>
          <w:lang w:val="en-US" w:eastAsia="zh-CN"/>
        </w:rPr>
        <w:t>展陈施工应完成深化设计图纸中的全部工作内容。包括但不限于墙面和展陈设施（展墙、部分展柜、部分壁龛、部分展台等）现场制作、配合成品展柜的调整、展板和展具（图文版、展架、底座等）制作、图文制作（墙面图文、说明牌、吊旗等）、灯光设计、照明系统安装、地面和天花装修、多媒体应用等；搭建中需要完善的消防、电气安装等；以及安防、微环境调控设施安装的配合等。</w:t>
      </w: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r>
        <w:rPr>
          <w:rFonts w:ascii="宋体" w:hAnsi="宋体" w:eastAsia="宋体" w:cs="Times New Roman"/>
          <w:color w:val="000000" w:themeColor="text1"/>
          <w:szCs w:val="21"/>
          <w:lang w:val="en-US" w:eastAsia="zh-CN"/>
        </w:rPr>
        <w:t>2.2.2</w:t>
      </w:r>
      <w:r>
        <w:rPr>
          <w:rFonts w:hint="eastAsia" w:ascii="宋体" w:hAnsi="宋体" w:eastAsia="宋体" w:cs="Times New Roman"/>
          <w:color w:val="000000" w:themeColor="text1"/>
          <w:szCs w:val="21"/>
          <w:lang w:val="en-US" w:eastAsia="zh-CN"/>
        </w:rPr>
        <w:t>协助采购人进行文物布展和撤展工作，包括但不限于展柜玻璃的安装与拆卸，因现场文物陈列需要所进行的道具和版面的临时修改、灯具增减以及一切与文物陈列相关的调整变更工作。在展览结束时，配合采购人完成撤展工作，包括但不限于展柜玻璃的开启、成品展柜的恢复及搬运、灯具、微环境调控设备的撤离等与撤展有关的工作。</w:t>
      </w:r>
    </w:p>
    <w:p>
      <w:pPr>
        <w:pStyle w:val="13"/>
        <w:tabs>
          <w:tab w:val="left" w:pos="0"/>
          <w:tab w:val="left" w:pos="567"/>
        </w:tabs>
        <w:spacing w:line="360" w:lineRule="auto"/>
        <w:ind w:firstLine="0" w:firstLineChars="0"/>
        <w:rPr>
          <w:rFonts w:ascii="宋体" w:hAnsi="宋体" w:eastAsia="宋体"/>
          <w:szCs w:val="21"/>
          <w:lang w:val="en-US" w:eastAsia="zh-CN"/>
        </w:rPr>
      </w:pP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r>
        <w:rPr>
          <w:rFonts w:ascii="宋体" w:hAnsi="宋体" w:eastAsia="宋体" w:cs="Times New Roman"/>
          <w:color w:val="000000" w:themeColor="text1"/>
          <w:szCs w:val="21"/>
          <w:lang w:val="en-US" w:eastAsia="zh-CN"/>
        </w:rPr>
        <w:t>2.2.3</w:t>
      </w:r>
      <w:r>
        <w:rPr>
          <w:rFonts w:hint="eastAsia" w:ascii="宋体" w:hAnsi="宋体" w:eastAsia="宋体" w:cs="Times New Roman"/>
          <w:color w:val="000000" w:themeColor="text1"/>
          <w:szCs w:val="21"/>
          <w:lang w:val="en-US" w:eastAsia="zh-CN"/>
        </w:rPr>
        <w:t>展览开展期间的运维工作，包括但不限于配合文物调整、壁橱开启以及设备维修维护、文物橱柜的数据测试、采集等。</w:t>
      </w: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r>
        <w:rPr>
          <w:rFonts w:ascii="宋体" w:hAnsi="宋体" w:eastAsia="宋体" w:cs="Times New Roman"/>
          <w:color w:val="000000" w:themeColor="text1"/>
          <w:szCs w:val="21"/>
          <w:lang w:val="en-US" w:eastAsia="zh-CN"/>
        </w:rPr>
        <w:t>2.2.4</w:t>
      </w:r>
      <w:r>
        <w:rPr>
          <w:rFonts w:hint="eastAsia" w:ascii="宋体" w:hAnsi="宋体" w:eastAsia="宋体" w:cs="Times New Roman"/>
          <w:color w:val="000000" w:themeColor="text1"/>
          <w:szCs w:val="21"/>
          <w:lang w:val="en-US" w:eastAsia="zh-CN"/>
        </w:rPr>
        <w:t>完成的布展效果必需达到或高于投标文件中所作的展示效果的承诺，如不能达到，在采购人允许的一定时间内进行修改、完善，使其达到对展示效果的承诺，所涉及的费用由供应商承担。</w:t>
      </w:r>
    </w:p>
    <w:p>
      <w:pPr>
        <w:pStyle w:val="13"/>
        <w:tabs>
          <w:tab w:val="left" w:pos="0"/>
          <w:tab w:val="left" w:pos="567"/>
        </w:tabs>
        <w:spacing w:line="360" w:lineRule="auto"/>
        <w:ind w:firstLine="0" w:firstLineChars="0"/>
        <w:rPr>
          <w:rFonts w:ascii="宋体" w:hAnsi="宋体" w:eastAsia="宋体"/>
          <w:szCs w:val="21"/>
          <w:lang w:val="en-US" w:eastAsia="zh-CN"/>
        </w:rPr>
      </w:pP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r>
        <w:rPr>
          <w:rFonts w:ascii="宋体" w:hAnsi="宋体" w:eastAsia="宋体" w:cs="Times New Roman"/>
          <w:color w:val="000000" w:themeColor="text1"/>
          <w:szCs w:val="21"/>
          <w:lang w:val="en-US" w:eastAsia="zh-CN"/>
        </w:rPr>
        <w:t>2.2.5</w:t>
      </w:r>
      <w:r>
        <w:rPr>
          <w:rFonts w:hint="eastAsia" w:ascii="宋体" w:hAnsi="宋体" w:eastAsia="宋体" w:cs="Times New Roman"/>
          <w:color w:val="000000" w:themeColor="text1"/>
          <w:szCs w:val="21"/>
          <w:lang w:val="en-US" w:eastAsia="zh-CN"/>
        </w:rPr>
        <w:t>布展制作和施工必需符合国家有关装修、安装、消防、安防、环保、文物保护等规范标准。</w:t>
      </w: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r>
        <w:rPr>
          <w:rFonts w:ascii="宋体" w:hAnsi="宋体" w:eastAsia="宋体" w:cs="Times New Roman"/>
          <w:color w:val="000000" w:themeColor="text1"/>
          <w:szCs w:val="21"/>
          <w:lang w:val="en-US" w:eastAsia="zh-CN"/>
        </w:rPr>
        <w:t>2.2.6</w:t>
      </w:r>
      <w:r>
        <w:rPr>
          <w:rFonts w:hint="eastAsia" w:ascii="宋体" w:hAnsi="宋体" w:eastAsia="宋体" w:cs="Times New Roman"/>
          <w:color w:val="000000" w:themeColor="text1"/>
          <w:szCs w:val="21"/>
          <w:lang w:val="en-US" w:eastAsia="zh-CN"/>
        </w:rPr>
        <w:t>施工场地为博物馆陈列开放区域，边开放边施工，故施工应不能影响采购人常设陈列的正常开放，以及配合重要接待任务时临时暂停施工。硬配备必要的环境保护措施，防尘、防噪音。现场施工规范、有序，人员、机械配备科学合理；严格按照进度分时段施工，保证按期按质完工。</w:t>
      </w: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r>
        <w:rPr>
          <w:rFonts w:ascii="宋体" w:hAnsi="宋体" w:eastAsia="宋体" w:cs="Times New Roman"/>
          <w:color w:val="000000" w:themeColor="text1"/>
          <w:szCs w:val="21"/>
          <w:lang w:val="en-US" w:eastAsia="zh-CN"/>
        </w:rPr>
        <w:t>2.2.7</w:t>
      </w:r>
      <w:r>
        <w:rPr>
          <w:rFonts w:hint="eastAsia" w:ascii="宋体" w:hAnsi="宋体" w:eastAsia="宋体" w:cs="Times New Roman"/>
          <w:color w:val="000000" w:themeColor="text1"/>
          <w:szCs w:val="21"/>
          <w:lang w:val="en-US" w:eastAsia="zh-CN"/>
        </w:rPr>
        <w:t>应采取一切必要手段，确保文物及展品安全。</w:t>
      </w: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r>
        <w:rPr>
          <w:rFonts w:ascii="宋体" w:hAnsi="宋体" w:eastAsia="宋体" w:cs="Times New Roman"/>
          <w:color w:val="000000" w:themeColor="text1"/>
          <w:szCs w:val="21"/>
          <w:lang w:val="en-US" w:eastAsia="zh-CN"/>
        </w:rPr>
        <w:t>2.2.8</w:t>
      </w:r>
      <w:r>
        <w:rPr>
          <w:rFonts w:hint="eastAsia" w:ascii="宋体" w:hAnsi="宋体" w:eastAsia="宋体" w:cs="Times New Roman"/>
          <w:color w:val="000000" w:themeColor="text1"/>
          <w:szCs w:val="21"/>
          <w:lang w:val="en-US" w:eastAsia="zh-CN"/>
        </w:rPr>
        <w:t>本项目在展览设计实施前需做一段一比一的实样用于设计修改与施工的样板，供应商应按照实际施工审价结果结算。</w:t>
      </w: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p>
    <w:p>
      <w:pPr>
        <w:pStyle w:val="13"/>
        <w:tabs>
          <w:tab w:val="left" w:pos="0"/>
          <w:tab w:val="left" w:pos="567"/>
        </w:tabs>
        <w:spacing w:line="360" w:lineRule="auto"/>
        <w:ind w:firstLine="0" w:firstLineChars="0"/>
        <w:rPr>
          <w:rFonts w:ascii="宋体" w:hAnsi="宋体" w:eastAsia="宋体" w:cs="Times New Roman"/>
          <w:color w:val="000000" w:themeColor="text1"/>
          <w:szCs w:val="21"/>
          <w:lang w:val="en-US" w:eastAsia="zh-CN"/>
        </w:rPr>
      </w:pPr>
      <w:r>
        <w:rPr>
          <w:rFonts w:ascii="宋体" w:hAnsi="宋体" w:eastAsia="宋体" w:cs="Times New Roman"/>
          <w:color w:val="000000" w:themeColor="text1"/>
          <w:szCs w:val="21"/>
          <w:lang w:val="en-US" w:eastAsia="zh-CN"/>
        </w:rPr>
        <w:t>2.2.9</w:t>
      </w:r>
      <w:r>
        <w:rPr>
          <w:rFonts w:hint="eastAsia" w:ascii="宋体" w:hAnsi="宋体" w:eastAsia="宋体" w:cs="Times New Roman"/>
          <w:color w:val="000000" w:themeColor="text1"/>
          <w:szCs w:val="21"/>
          <w:lang w:val="en-US" w:eastAsia="zh-CN"/>
        </w:rPr>
        <w:t>本项目所产生的施工建筑垃圾由供应商负责清运。</w:t>
      </w:r>
    </w:p>
    <w:p>
      <w:pPr>
        <w:pStyle w:val="13"/>
        <w:tabs>
          <w:tab w:val="left" w:pos="0"/>
          <w:tab w:val="left" w:pos="567"/>
        </w:tabs>
        <w:spacing w:line="360" w:lineRule="auto"/>
        <w:ind w:firstLine="0" w:firstLineChars="0"/>
        <w:rPr>
          <w:rFonts w:hAnsi="宋体"/>
          <w:bCs/>
          <w:color w:val="000000"/>
          <w:kern w:val="0"/>
          <w:sz w:val="20"/>
          <w:szCs w:val="21"/>
        </w:rPr>
      </w:pPr>
    </w:p>
    <w:p>
      <w:pPr>
        <w:pStyle w:val="13"/>
        <w:numPr>
          <w:ilvl w:val="0"/>
          <w:numId w:val="4"/>
        </w:numPr>
        <w:spacing w:before="100" w:beforeAutospacing="1" w:line="360" w:lineRule="auto"/>
        <w:ind w:firstLineChars="0"/>
        <w:rPr>
          <w:rFonts w:hAnsi="宋体"/>
          <w:b/>
          <w:bCs/>
          <w:color w:val="000000"/>
          <w:szCs w:val="21"/>
        </w:rPr>
      </w:pPr>
      <w:r>
        <w:rPr>
          <w:rFonts w:hint="eastAsia" w:hAnsi="宋体"/>
          <w:b/>
          <w:bCs/>
          <w:color w:val="000000"/>
          <w:szCs w:val="21"/>
        </w:rPr>
        <w:t>布展物资供应</w:t>
      </w:r>
    </w:p>
    <w:p>
      <w:pPr>
        <w:pStyle w:val="13"/>
        <w:numPr>
          <w:ilvl w:val="0"/>
          <w:numId w:val="6"/>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本次采购范围内的布展材料和装备，除明确指定甲供的以外，均由供应商根据本采购文件、深化设计方案和国家有关规定的具体要求进行采购、运输、检验、保管。所有布展物资和施工材料、施工设备须有产品合格证、质量保证书或检验报告，符合节能、环保、消防要求和国家规定的技术标准，并且须经采购人委托的监理单位或具有相应资质的检测机构检测合格后才能使用。</w:t>
      </w:r>
    </w:p>
    <w:p>
      <w:pPr>
        <w:pStyle w:val="13"/>
        <w:tabs>
          <w:tab w:val="left" w:pos="0"/>
          <w:tab w:val="left" w:pos="284"/>
          <w:tab w:val="left" w:pos="567"/>
        </w:tabs>
        <w:spacing w:line="360" w:lineRule="auto"/>
        <w:ind w:firstLine="0" w:firstLineChars="0"/>
        <w:rPr>
          <w:rFonts w:ascii="宋体" w:hAnsi="宋体" w:eastAsia="宋体"/>
          <w:szCs w:val="21"/>
          <w:lang w:val="en-US" w:eastAsia="zh-CN"/>
        </w:rPr>
      </w:pPr>
    </w:p>
    <w:p>
      <w:pPr>
        <w:pStyle w:val="13"/>
        <w:numPr>
          <w:ilvl w:val="0"/>
          <w:numId w:val="6"/>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本次采购项目的主要展陈及布展材料，供应商应在采购前向采购人送样或经采购人签证确认，未经签证采购人将不予支付。</w:t>
      </w:r>
    </w:p>
    <w:p>
      <w:pPr>
        <w:pStyle w:val="13"/>
        <w:tabs>
          <w:tab w:val="left" w:pos="0"/>
          <w:tab w:val="left" w:pos="284"/>
          <w:tab w:val="left" w:pos="567"/>
        </w:tabs>
        <w:spacing w:line="360" w:lineRule="auto"/>
        <w:ind w:firstLine="0" w:firstLineChars="0"/>
        <w:rPr>
          <w:rFonts w:ascii="宋体" w:hAnsi="宋体" w:eastAsia="宋体"/>
          <w:szCs w:val="21"/>
          <w:lang w:val="en-US" w:eastAsia="zh-CN"/>
        </w:rPr>
      </w:pPr>
    </w:p>
    <w:p>
      <w:pPr>
        <w:pStyle w:val="13"/>
        <w:numPr>
          <w:ilvl w:val="0"/>
          <w:numId w:val="6"/>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由供应商采购的主要展陈及布展材料，当供应商选定的产品质量达不到设计要求（或效果要求）和预期质量目标时，采购人保留更换的权利，费用不增加。</w:t>
      </w:r>
    </w:p>
    <w:p>
      <w:pPr>
        <w:pStyle w:val="13"/>
        <w:tabs>
          <w:tab w:val="left" w:pos="0"/>
          <w:tab w:val="left" w:pos="284"/>
          <w:tab w:val="left" w:pos="567"/>
        </w:tabs>
        <w:spacing w:line="360" w:lineRule="auto"/>
        <w:ind w:firstLine="0" w:firstLineChars="0"/>
        <w:rPr>
          <w:rFonts w:ascii="宋体" w:hAnsi="宋体" w:eastAsia="宋体"/>
          <w:szCs w:val="21"/>
          <w:lang w:val="en-US" w:eastAsia="zh-CN"/>
        </w:rPr>
      </w:pPr>
    </w:p>
    <w:p>
      <w:pPr>
        <w:pStyle w:val="13"/>
        <w:numPr>
          <w:ilvl w:val="0"/>
          <w:numId w:val="6"/>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本次采购项目的照明灯具等市售设备应满足采购人的需求。为方便采购人的管理和使用，供应商应在购买前向采购人送样或提供详细的技术资料，经采购人确认后再组织采购，未经确认采购人将不予认可。</w:t>
      </w:r>
    </w:p>
    <w:p>
      <w:pPr>
        <w:pStyle w:val="13"/>
        <w:tabs>
          <w:tab w:val="left" w:pos="0"/>
          <w:tab w:val="left" w:pos="284"/>
          <w:tab w:val="left" w:pos="567"/>
        </w:tabs>
        <w:spacing w:line="360" w:lineRule="auto"/>
        <w:ind w:firstLine="0" w:firstLineChars="0"/>
        <w:rPr>
          <w:rFonts w:ascii="宋体" w:hAnsi="宋体" w:eastAsia="宋体"/>
          <w:szCs w:val="21"/>
          <w:lang w:val="en-US" w:eastAsia="zh-CN"/>
        </w:rPr>
      </w:pPr>
    </w:p>
    <w:p>
      <w:pPr>
        <w:pStyle w:val="13"/>
        <w:numPr>
          <w:ilvl w:val="0"/>
          <w:numId w:val="6"/>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本次采购项目的展柜微环境调控设备、材料等应满足展陈微环境调控的需求。供应商应在采购前提供他内容制作方案向采购人确认，未经确认业主将不予支付。</w:t>
      </w:r>
    </w:p>
    <w:p>
      <w:pPr>
        <w:pStyle w:val="13"/>
        <w:numPr>
          <w:ilvl w:val="0"/>
          <w:numId w:val="6"/>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如下布展物资明确由采购人提供或制作，由供应商承担安装：</w:t>
      </w:r>
    </w:p>
    <w:p>
      <w:pPr>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）专业照明灯具</w:t>
      </w:r>
      <w:r>
        <w:rPr>
          <w:rFonts w:ascii="宋体" w:hAnsi="宋体"/>
          <w:szCs w:val="21"/>
        </w:rPr>
        <w:t>(</w:t>
      </w:r>
      <w:r>
        <w:rPr>
          <w:rFonts w:hint="eastAsia" w:ascii="宋体" w:hAnsi="宋体"/>
          <w:szCs w:val="21"/>
        </w:rPr>
        <w:t>灯具数量如需增加，由</w:t>
      </w:r>
      <w:r>
        <w:rPr>
          <w:rFonts w:hint="eastAsia" w:ascii="宋体" w:hAnsi="宋体"/>
          <w:szCs w:val="21"/>
          <w:lang w:eastAsia="zh-CN"/>
        </w:rPr>
        <w:t>供应商</w:t>
      </w:r>
      <w:r>
        <w:rPr>
          <w:rFonts w:hint="eastAsia" w:ascii="宋体" w:hAnsi="宋体"/>
          <w:szCs w:val="21"/>
        </w:rPr>
        <w:t>进行统计增补（租赁），若展览期间灯具损坏，由</w:t>
      </w:r>
      <w:r>
        <w:rPr>
          <w:rFonts w:hint="eastAsia" w:ascii="宋体" w:hAnsi="宋体"/>
          <w:szCs w:val="21"/>
          <w:lang w:eastAsia="zh-CN"/>
        </w:rPr>
        <w:t>供应商</w:t>
      </w:r>
      <w:r>
        <w:rPr>
          <w:rFonts w:hint="eastAsia" w:ascii="宋体" w:hAnsi="宋体"/>
          <w:szCs w:val="21"/>
        </w:rPr>
        <w:t>配合维修；若由于</w:t>
      </w:r>
      <w:r>
        <w:rPr>
          <w:rFonts w:hint="eastAsia" w:ascii="宋体" w:hAnsi="宋体"/>
          <w:szCs w:val="21"/>
          <w:lang w:eastAsia="zh-CN"/>
        </w:rPr>
        <w:t>供应商</w:t>
      </w:r>
      <w:r>
        <w:rPr>
          <w:rFonts w:hint="eastAsia" w:ascii="宋体" w:hAnsi="宋体"/>
          <w:szCs w:val="21"/>
        </w:rPr>
        <w:t>安装、使用不当造成的甲供灯具损坏，需</w:t>
      </w:r>
      <w:r>
        <w:rPr>
          <w:rFonts w:hint="eastAsia" w:ascii="宋体" w:hAnsi="宋体"/>
          <w:szCs w:val="21"/>
          <w:lang w:eastAsia="zh-CN"/>
        </w:rPr>
        <w:t>供应商</w:t>
      </w:r>
      <w:r>
        <w:rPr>
          <w:rFonts w:hint="eastAsia" w:ascii="宋体" w:hAnsi="宋体"/>
          <w:szCs w:val="21"/>
        </w:rPr>
        <w:t>赔偿同款灯具</w:t>
      </w:r>
      <w:r>
        <w:rPr>
          <w:rFonts w:ascii="宋体" w:hAnsi="宋体"/>
          <w:szCs w:val="21"/>
        </w:rPr>
        <w:t>)</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）修补铝合金吊顶（</w:t>
      </w:r>
      <w:r>
        <w:rPr>
          <w:rFonts w:ascii="宋体" w:hAnsi="宋体"/>
          <w:szCs w:val="21"/>
        </w:rPr>
        <w:t>(</w:t>
      </w:r>
      <w:r>
        <w:rPr>
          <w:rFonts w:hint="eastAsia" w:ascii="宋体" w:hAnsi="宋体"/>
          <w:szCs w:val="21"/>
        </w:rPr>
        <w:t>吊顶铝合金数量如需增加，由</w:t>
      </w:r>
      <w:r>
        <w:rPr>
          <w:rFonts w:hint="eastAsia" w:ascii="宋体" w:hAnsi="宋体"/>
          <w:szCs w:val="21"/>
          <w:lang w:eastAsia="zh-CN"/>
        </w:rPr>
        <w:t>供应商</w:t>
      </w:r>
      <w:r>
        <w:rPr>
          <w:rFonts w:hint="eastAsia" w:ascii="宋体" w:hAnsi="宋体"/>
          <w:szCs w:val="21"/>
        </w:rPr>
        <w:t>进行统计增补）；</w:t>
      </w:r>
    </w:p>
    <w:p>
      <w:pPr>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）成品展柜；</w:t>
      </w:r>
    </w:p>
    <w:p>
      <w:pPr>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）馆藏文物保存环境监测终端等设备。</w:t>
      </w:r>
    </w:p>
    <w:p>
      <w:pPr>
        <w:pStyle w:val="10"/>
        <w:numPr>
          <w:ilvl w:val="0"/>
          <w:numId w:val="6"/>
        </w:numPr>
        <w:tabs>
          <w:tab w:val="left" w:pos="0"/>
          <w:tab w:val="left" w:pos="284"/>
          <w:tab w:val="left" w:pos="567"/>
        </w:tabs>
        <w:spacing w:beforeLines="100" w:line="360" w:lineRule="auto"/>
        <w:ind w:left="0" w:firstLine="0" w:firstLineChars="0"/>
        <w:rPr>
          <w:rFonts w:ascii="宋体" w:hAnsi="宋体"/>
          <w:szCs w:val="21"/>
        </w:rPr>
      </w:pPr>
      <w:r>
        <w:rPr>
          <w:rFonts w:hint="eastAsia" w:ascii="宋体" w:hAnsi="宋体"/>
          <w:szCs w:val="21"/>
        </w:rPr>
        <w:t>本次采购展柜内的布料织物，</w:t>
      </w:r>
      <w:r>
        <w:rPr>
          <w:rFonts w:hint="eastAsia" w:ascii="宋体" w:hAnsi="宋体"/>
          <w:szCs w:val="21"/>
          <w:lang w:eastAsia="zh-CN"/>
        </w:rPr>
        <w:t>供应商</w:t>
      </w:r>
      <w:r>
        <w:rPr>
          <w:rFonts w:hint="eastAsia" w:ascii="宋体" w:hAnsi="宋体"/>
          <w:szCs w:val="21"/>
        </w:rPr>
        <w:t>应在采购前向采购人送样并经采购人确认，未经确认采购人将不予支付。</w:t>
      </w:r>
    </w:p>
    <w:p>
      <w:pPr>
        <w:pStyle w:val="10"/>
        <w:numPr>
          <w:ilvl w:val="0"/>
          <w:numId w:val="6"/>
        </w:numPr>
        <w:tabs>
          <w:tab w:val="left" w:pos="0"/>
          <w:tab w:val="left" w:pos="284"/>
          <w:tab w:val="left" w:pos="567"/>
        </w:tabs>
        <w:spacing w:beforeLines="100" w:line="360" w:lineRule="auto"/>
        <w:ind w:left="0" w:firstLine="0" w:firstLineChars="0"/>
        <w:rPr>
          <w:rFonts w:ascii="宋体" w:hAnsi="宋体"/>
          <w:szCs w:val="21"/>
        </w:rPr>
      </w:pPr>
      <w:r>
        <w:rPr>
          <w:rFonts w:hint="eastAsia" w:ascii="宋体" w:hAnsi="宋体"/>
          <w:szCs w:val="21"/>
        </w:rPr>
        <w:t>本次采购需</w:t>
      </w:r>
      <w:r>
        <w:rPr>
          <w:rFonts w:hint="eastAsia" w:ascii="宋体" w:hAnsi="宋体"/>
          <w:szCs w:val="21"/>
          <w:lang w:eastAsia="zh-CN"/>
        </w:rPr>
        <w:t>供应商</w:t>
      </w:r>
      <w:r>
        <w:rPr>
          <w:rFonts w:hint="eastAsia" w:ascii="宋体" w:hAnsi="宋体"/>
          <w:szCs w:val="21"/>
        </w:rPr>
        <w:t>配合采购人提供的亚克力进行二次加工（或磨砂处理），并按照需求增补亚克力的制作及安装；提供文物展陈的深化设计及金属支架的定制，完成安装及调试，配合采购人完成文物的布展和撤展。</w:t>
      </w:r>
    </w:p>
    <w:p>
      <w:pPr>
        <w:pStyle w:val="10"/>
        <w:numPr>
          <w:ilvl w:val="0"/>
          <w:numId w:val="6"/>
        </w:numPr>
        <w:tabs>
          <w:tab w:val="left" w:pos="0"/>
          <w:tab w:val="left" w:pos="284"/>
          <w:tab w:val="left" w:pos="567"/>
        </w:tabs>
        <w:spacing w:beforeLines="100" w:line="360" w:lineRule="auto"/>
        <w:ind w:left="0" w:firstLine="0" w:firstLineChars="0"/>
        <w:rPr>
          <w:rFonts w:ascii="宋体" w:hAnsi="宋体"/>
          <w:szCs w:val="21"/>
        </w:rPr>
      </w:pPr>
      <w:r>
        <w:rPr>
          <w:rFonts w:ascii="宋体" w:hAnsi="宋体"/>
          <w:szCs w:val="21"/>
        </w:rPr>
        <w:t xml:space="preserve"> </w:t>
      </w:r>
      <w:r>
        <w:rPr>
          <w:rFonts w:hint="eastAsia" w:ascii="宋体" w:hAnsi="宋体"/>
          <w:szCs w:val="21"/>
        </w:rPr>
        <w:t>本次采购包含展厅吊顶修补，局部艺术装饰吊顶，休息座椅等装置的制作安装，展柜的订制（展柜制作若涉及油漆工艺，采购人不提供施工场地，需</w:t>
      </w:r>
      <w:r>
        <w:rPr>
          <w:rFonts w:hint="eastAsia" w:ascii="宋体" w:hAnsi="宋体"/>
          <w:szCs w:val="21"/>
          <w:lang w:eastAsia="zh-CN"/>
        </w:rPr>
        <w:t>供应商</w:t>
      </w:r>
      <w:r>
        <w:rPr>
          <w:rFonts w:hint="eastAsia" w:ascii="宋体" w:hAnsi="宋体"/>
          <w:szCs w:val="21"/>
        </w:rPr>
        <w:t>自行解决，制作完成后现场搭建）。</w:t>
      </w:r>
    </w:p>
    <w:p>
      <w:pPr>
        <w:pStyle w:val="13"/>
        <w:numPr>
          <w:ilvl w:val="0"/>
          <w:numId w:val="4"/>
        </w:numPr>
        <w:spacing w:before="100" w:beforeAutospacing="1" w:line="360" w:lineRule="auto"/>
        <w:ind w:firstLineChars="0"/>
        <w:rPr>
          <w:rFonts w:hAnsi="宋体"/>
          <w:b/>
          <w:bCs/>
          <w:color w:val="000000"/>
          <w:szCs w:val="21"/>
        </w:rPr>
      </w:pPr>
      <w:r>
        <w:rPr>
          <w:rFonts w:hint="eastAsia" w:hAnsi="宋体"/>
          <w:b/>
          <w:bCs/>
          <w:color w:val="000000"/>
          <w:szCs w:val="21"/>
        </w:rPr>
        <w:t>展柜制作要求</w:t>
      </w:r>
    </w:p>
    <w:p>
      <w:pPr>
        <w:pStyle w:val="13"/>
        <w:numPr>
          <w:ilvl w:val="0"/>
          <w:numId w:val="7"/>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供应商应根据采购人提供的成品壁橱展柜、成品中心玻璃柜的尺寸来进行深化设计和制作，包括灯光设施、湿度调控设施以及密封性能的要求等。</w:t>
      </w:r>
    </w:p>
    <w:p>
      <w:pPr>
        <w:numPr>
          <w:ilvl w:val="0"/>
          <w:numId w:val="3"/>
        </w:numPr>
        <w:tabs>
          <w:tab w:val="left" w:pos="567"/>
        </w:tabs>
        <w:spacing w:before="100" w:beforeAutospacing="1" w:line="360" w:lineRule="auto"/>
        <w:ind w:left="448" w:hanging="448"/>
        <w:rPr>
          <w:rFonts w:hAnsi="宋体"/>
          <w:b/>
          <w:szCs w:val="21"/>
        </w:rPr>
      </w:pPr>
      <w:r>
        <w:rPr>
          <w:rFonts w:hint="eastAsia" w:hAnsi="宋体"/>
          <w:b/>
          <w:szCs w:val="21"/>
        </w:rPr>
        <w:t>项目承包方式及管理要求</w:t>
      </w:r>
    </w:p>
    <w:p>
      <w:pPr>
        <w:pStyle w:val="13"/>
        <w:numPr>
          <w:ilvl w:val="0"/>
          <w:numId w:val="8"/>
        </w:numPr>
        <w:spacing w:line="360" w:lineRule="auto"/>
        <w:ind w:left="0" w:firstLine="0" w:firstLineChars="0"/>
        <w:rPr>
          <w:rFonts w:hAnsi="Times New Roman"/>
          <w:b/>
          <w:color w:val="000000"/>
          <w:szCs w:val="21"/>
        </w:rPr>
      </w:pPr>
      <w:r>
        <w:rPr>
          <w:rFonts w:hint="eastAsia" w:hAnsi="宋体"/>
          <w:b/>
          <w:color w:val="000000"/>
          <w:szCs w:val="21"/>
        </w:rPr>
        <w:t>项目承包方式：</w:t>
      </w:r>
    </w:p>
    <w:p>
      <w:pPr>
        <w:pStyle w:val="13"/>
        <w:numPr>
          <w:ilvl w:val="0"/>
          <w:numId w:val="9"/>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依据本项目的采购范围和内容，供应商以包展陈施工（包括相关设备、材料和人工）、包质量、包安全的方式实施设计、图文设计制作、施工、配合和展期运维等一体化服务任务，并确保本项目最终验收的顺利通过。</w:t>
      </w:r>
    </w:p>
    <w:p>
      <w:pPr>
        <w:pStyle w:val="13"/>
        <w:numPr>
          <w:ilvl w:val="0"/>
          <w:numId w:val="9"/>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本项目布展、设备材料供货及安装调试将纳入监理单位、采购人的管理范围，供应商在此过程中须服从上述单位的管理协调。</w:t>
      </w:r>
    </w:p>
    <w:p>
      <w:pPr>
        <w:pStyle w:val="13"/>
        <w:numPr>
          <w:ilvl w:val="0"/>
          <w:numId w:val="9"/>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本项目合同不得转让、不得分包。</w:t>
      </w:r>
    </w:p>
    <w:p>
      <w:pPr>
        <w:pStyle w:val="13"/>
        <w:tabs>
          <w:tab w:val="left" w:pos="0"/>
          <w:tab w:val="left" w:pos="284"/>
          <w:tab w:val="left" w:pos="567"/>
        </w:tabs>
        <w:spacing w:line="360" w:lineRule="auto"/>
        <w:ind w:firstLine="0" w:firstLineChars="0"/>
        <w:rPr>
          <w:rFonts w:hAnsi="宋体"/>
          <w:color w:val="000000"/>
          <w:kern w:val="0"/>
          <w:sz w:val="20"/>
          <w:szCs w:val="21"/>
        </w:rPr>
      </w:pPr>
    </w:p>
    <w:p>
      <w:pPr>
        <w:pStyle w:val="13"/>
        <w:numPr>
          <w:ilvl w:val="0"/>
          <w:numId w:val="8"/>
        </w:numPr>
        <w:spacing w:line="360" w:lineRule="auto"/>
        <w:ind w:left="0" w:firstLine="0" w:firstLineChars="0"/>
        <w:rPr>
          <w:rFonts w:hAnsi="Times New Roman"/>
          <w:b/>
          <w:color w:val="000000"/>
          <w:szCs w:val="21"/>
        </w:rPr>
      </w:pPr>
      <w:r>
        <w:rPr>
          <w:rFonts w:hint="eastAsia" w:hAnsi="宋体"/>
          <w:b/>
          <w:color w:val="000000"/>
          <w:szCs w:val="21"/>
        </w:rPr>
        <w:t>项目管理要求：</w:t>
      </w:r>
    </w:p>
    <w:p>
      <w:pPr>
        <w:pStyle w:val="13"/>
        <w:numPr>
          <w:ilvl w:val="0"/>
          <w:numId w:val="10"/>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投标人需承诺：项目经理是本单位职工（在本单位缴纳社会保险等），且无在建项目。项目经理及专业技术管理人员是该项目施工现场的实际操作者，且应常驻项目现场。</w:t>
      </w:r>
    </w:p>
    <w:p>
      <w:pPr>
        <w:pStyle w:val="13"/>
        <w:numPr>
          <w:ilvl w:val="0"/>
          <w:numId w:val="10"/>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项目经理应持有相应专业的技术职称并应具备展览、展示项目的工作经验，有类似项目的展览、展示项目管理经验。</w:t>
      </w:r>
    </w:p>
    <w:p>
      <w:pPr>
        <w:pStyle w:val="13"/>
        <w:numPr>
          <w:ilvl w:val="0"/>
          <w:numId w:val="10"/>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其他管理人员应有五年以上展览、展示项目的工作经历和经验。布展施工工人应具有四年以上专业布展施工经验。</w:t>
      </w:r>
    </w:p>
    <w:p>
      <w:pPr>
        <w:pStyle w:val="13"/>
        <w:numPr>
          <w:ilvl w:val="0"/>
          <w:numId w:val="10"/>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项目人员应具有良好的职业道德和严谨的工作作风并应按照委托时限的要求按期到位开展工作。项目组人员经采购人确认后，未经采购人同意，供应商不得调换或撤离上述人员。如采购人认为有必要，可要求供应商对上述人员中的部分人员做出更好的调整。</w:t>
      </w:r>
    </w:p>
    <w:p>
      <w:pPr>
        <w:pStyle w:val="13"/>
        <w:numPr>
          <w:ilvl w:val="0"/>
          <w:numId w:val="10"/>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项目负责人如有不尽其职或虚名挂靠，采购人有权要求撤换，直至要求终止合同，由此造成的责任由供应商负责。</w:t>
      </w:r>
    </w:p>
    <w:p>
      <w:pPr>
        <w:pStyle w:val="13"/>
        <w:numPr>
          <w:ilvl w:val="0"/>
          <w:numId w:val="8"/>
        </w:numPr>
        <w:spacing w:before="100" w:beforeAutospacing="1" w:line="360" w:lineRule="auto"/>
        <w:ind w:left="0" w:firstLine="0" w:firstLineChars="0"/>
        <w:rPr>
          <w:rFonts w:ascii="宋体" w:hAnsi="宋体" w:eastAsia="宋体"/>
          <w:b/>
          <w:bCs/>
          <w:szCs w:val="21"/>
          <w:lang w:val="en-US" w:eastAsia="zh-CN"/>
        </w:rPr>
      </w:pPr>
      <w:r>
        <w:rPr>
          <w:rFonts w:hint="eastAsia" w:ascii="宋体" w:hAnsi="宋体" w:eastAsia="宋体"/>
          <w:b/>
          <w:bCs/>
          <w:szCs w:val="21"/>
          <w:lang w:val="en-US" w:eastAsia="zh-CN"/>
        </w:rPr>
        <w:t>安全生产、文明布展、施工与环境保护要求</w:t>
      </w:r>
    </w:p>
    <w:p>
      <w:pPr>
        <w:pStyle w:val="13"/>
        <w:numPr>
          <w:ilvl w:val="0"/>
          <w:numId w:val="11"/>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在项目实施期间为确保展陈作业区域周围环境的整洁和不影响其他活动正常进行，供应商应严格执行建设部《建筑安全生产监督管理规定》和上海市人民政府第</w:t>
      </w:r>
      <w:r>
        <w:rPr>
          <w:rFonts w:ascii="宋体" w:hAnsi="宋体" w:eastAsia="宋体"/>
          <w:szCs w:val="21"/>
          <w:lang w:val="en-US" w:eastAsia="zh-CN"/>
        </w:rPr>
        <w:t>18</w:t>
      </w:r>
      <w:r>
        <w:rPr>
          <w:rFonts w:hint="eastAsia" w:ascii="宋体" w:hAnsi="宋体" w:eastAsia="宋体"/>
          <w:szCs w:val="21"/>
          <w:lang w:val="en-US" w:eastAsia="zh-CN"/>
        </w:rPr>
        <w:t>号令《上海市建设工程文明施工管理规定》的要求及其他国家与上海市有关建设工程安全文明施工管理的法律、法规和政策，积极主动落实安全文明及环境保护施工的管理和考核等有关工作，加强和做好安全、文明布展与施工的管理工作，并按规定承担相应的费用。</w:t>
      </w:r>
    </w:p>
    <w:p>
      <w:pPr>
        <w:pStyle w:val="13"/>
        <w:numPr>
          <w:ilvl w:val="0"/>
          <w:numId w:val="11"/>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供应商应根据有关规范标准，严密组织，精心布展与施工，做到：</w:t>
      </w:r>
      <w:r>
        <w:rPr>
          <w:rFonts w:ascii="宋体" w:hAnsi="宋体" w:eastAsia="宋体"/>
          <w:szCs w:val="21"/>
          <w:lang w:val="en-US" w:eastAsia="zh-CN"/>
        </w:rPr>
        <w:t>1</w:t>
      </w:r>
      <w:r>
        <w:rPr>
          <w:rFonts w:hint="eastAsia" w:ascii="宋体" w:hAnsi="宋体" w:eastAsia="宋体"/>
          <w:szCs w:val="21"/>
          <w:lang w:val="en-US" w:eastAsia="zh-CN"/>
        </w:rPr>
        <w:t>）布展期间不干扰采购人其他活动正常进行，不影响自身和周边交通的需要；</w:t>
      </w:r>
      <w:r>
        <w:rPr>
          <w:rFonts w:ascii="宋体" w:hAnsi="宋体" w:eastAsia="宋体"/>
          <w:szCs w:val="21"/>
          <w:lang w:val="en-US" w:eastAsia="zh-CN"/>
        </w:rPr>
        <w:t>2</w:t>
      </w:r>
      <w:r>
        <w:rPr>
          <w:rFonts w:hint="eastAsia" w:ascii="宋体" w:hAnsi="宋体" w:eastAsia="宋体"/>
          <w:szCs w:val="21"/>
          <w:lang w:val="en-US" w:eastAsia="zh-CN"/>
        </w:rPr>
        <w:t>）无管线事故、无伤亡事故；</w:t>
      </w:r>
      <w:r>
        <w:rPr>
          <w:rFonts w:ascii="宋体" w:hAnsi="宋体" w:eastAsia="宋体"/>
          <w:szCs w:val="21"/>
          <w:lang w:val="en-US" w:eastAsia="zh-CN"/>
        </w:rPr>
        <w:t>3</w:t>
      </w:r>
      <w:r>
        <w:rPr>
          <w:rFonts w:hint="eastAsia" w:ascii="宋体" w:hAnsi="宋体" w:eastAsia="宋体"/>
          <w:szCs w:val="21"/>
          <w:lang w:val="en-US" w:eastAsia="zh-CN"/>
        </w:rPr>
        <w:t>）环境影响要最小化；</w:t>
      </w:r>
      <w:r>
        <w:rPr>
          <w:rFonts w:ascii="宋体" w:hAnsi="宋体" w:eastAsia="宋体"/>
          <w:szCs w:val="21"/>
          <w:lang w:val="en-US" w:eastAsia="zh-CN"/>
        </w:rPr>
        <w:t>4</w:t>
      </w:r>
      <w:r>
        <w:rPr>
          <w:rFonts w:hint="eastAsia" w:ascii="宋体" w:hAnsi="宋体" w:eastAsia="宋体"/>
          <w:szCs w:val="21"/>
          <w:lang w:val="en-US" w:eastAsia="zh-CN"/>
        </w:rPr>
        <w:t>）现场材料堆放整齐，生活设施清洁，周边环境文明；</w:t>
      </w:r>
      <w:r>
        <w:rPr>
          <w:rFonts w:ascii="宋体" w:hAnsi="宋体" w:eastAsia="宋体"/>
          <w:szCs w:val="21"/>
          <w:lang w:val="en-US" w:eastAsia="zh-CN"/>
        </w:rPr>
        <w:t>5</w:t>
      </w:r>
      <w:r>
        <w:rPr>
          <w:rFonts w:hint="eastAsia" w:ascii="宋体" w:hAnsi="宋体" w:eastAsia="宋体"/>
          <w:szCs w:val="21"/>
          <w:lang w:val="en-US" w:eastAsia="zh-CN"/>
        </w:rPr>
        <w:t>）清洁运输；</w:t>
      </w:r>
      <w:r>
        <w:rPr>
          <w:rFonts w:ascii="宋体" w:hAnsi="宋体" w:eastAsia="宋体"/>
          <w:szCs w:val="21"/>
          <w:lang w:val="en-US" w:eastAsia="zh-CN"/>
        </w:rPr>
        <w:t>6</w:t>
      </w:r>
      <w:r>
        <w:rPr>
          <w:rFonts w:hint="eastAsia" w:ascii="宋体" w:hAnsi="宋体" w:eastAsia="宋体"/>
          <w:szCs w:val="21"/>
          <w:lang w:val="en-US" w:eastAsia="zh-CN"/>
        </w:rPr>
        <w:t>）满足市文明工地要求，服从采购人单位的统一协调，做到文明布展、安全管理。</w:t>
      </w:r>
    </w:p>
    <w:p>
      <w:pPr>
        <w:pStyle w:val="13"/>
        <w:numPr>
          <w:ilvl w:val="0"/>
          <w:numId w:val="11"/>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供应商必需严格履行采购人关于现场临设及施工区域企业标识要求，布展区域与非布展区域必需分隔，布展现场必需开展以创建文明工地为主要内容的宣传、教育工作。</w:t>
      </w:r>
    </w:p>
    <w:p>
      <w:pPr>
        <w:pStyle w:val="13"/>
        <w:numPr>
          <w:ilvl w:val="0"/>
          <w:numId w:val="11"/>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供应商在项目实施期间，必需配备专职安全员，配备一定数量的消防灭火器材。</w:t>
      </w:r>
    </w:p>
    <w:p>
      <w:pPr>
        <w:pStyle w:val="13"/>
        <w:numPr>
          <w:ilvl w:val="0"/>
          <w:numId w:val="11"/>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供应商在项目实施期间，必需建立安全用电制度，确保施工用电设备的完好，并设置好漏电保护装置等，杜绝施工用电事故的发生。</w:t>
      </w:r>
    </w:p>
    <w:p>
      <w:pPr>
        <w:pStyle w:val="13"/>
        <w:numPr>
          <w:ilvl w:val="0"/>
          <w:numId w:val="11"/>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供应商在项目实施期间必需保护好施工区域内的环境和原有装饰与设施，保证环境和原有装饰与设施完好。</w:t>
      </w:r>
    </w:p>
    <w:p>
      <w:pPr>
        <w:pStyle w:val="13"/>
        <w:numPr>
          <w:ilvl w:val="0"/>
          <w:numId w:val="11"/>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供应商在组织项目实施时必需遵守采购人的规章制度并提供布展人员名单。供应商必需按施工计划协调好现场布展工作。</w:t>
      </w:r>
    </w:p>
    <w:p>
      <w:pPr>
        <w:pStyle w:val="13"/>
        <w:numPr>
          <w:ilvl w:val="0"/>
          <w:numId w:val="11"/>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进入项目维护、协助布展前，供应商应根据实际情况设置足够的措施，确保已完项目的完好。</w:t>
      </w:r>
    </w:p>
    <w:p>
      <w:pPr>
        <w:pStyle w:val="13"/>
        <w:numPr>
          <w:ilvl w:val="0"/>
          <w:numId w:val="11"/>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供应商若违反规定野蛮布展施工、违章作业等，采购人有权限令停工整改，一切损失由供应商承担，同时采购人有权对供应商的违约责任给予适当的经济处罚。</w:t>
      </w:r>
    </w:p>
    <w:p>
      <w:pPr>
        <w:pStyle w:val="13"/>
        <w:numPr>
          <w:ilvl w:val="0"/>
          <w:numId w:val="11"/>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各供应商在投标文件中要结合本项目的特点和采购人上述的具体要求制定相应的文明布展和安全生产管理措施，同时应适当考虑购买自己员工和第三方责任保险，并在措施费中列支必需的费用清单。</w:t>
      </w:r>
    </w:p>
    <w:p>
      <w:pPr>
        <w:pStyle w:val="13"/>
        <w:tabs>
          <w:tab w:val="left" w:pos="0"/>
          <w:tab w:val="left" w:pos="284"/>
          <w:tab w:val="left" w:pos="567"/>
        </w:tabs>
        <w:spacing w:line="360" w:lineRule="auto"/>
        <w:ind w:firstLine="0" w:firstLineChars="0"/>
        <w:rPr>
          <w:szCs w:val="21"/>
          <w:lang w:val="en-US" w:eastAsia="zh-CN"/>
        </w:rPr>
      </w:pPr>
    </w:p>
    <w:p>
      <w:pPr>
        <w:numPr>
          <w:ilvl w:val="0"/>
          <w:numId w:val="3"/>
        </w:numPr>
        <w:tabs>
          <w:tab w:val="left" w:pos="567"/>
        </w:tabs>
        <w:spacing w:before="100" w:beforeAutospacing="1" w:line="360" w:lineRule="auto"/>
        <w:ind w:left="448" w:hanging="448"/>
        <w:rPr>
          <w:rFonts w:hAnsi="宋体"/>
          <w:b/>
          <w:szCs w:val="21"/>
        </w:rPr>
      </w:pPr>
      <w:r>
        <w:rPr>
          <w:rFonts w:hint="eastAsia" w:hAnsi="宋体"/>
          <w:b/>
          <w:szCs w:val="21"/>
        </w:rPr>
        <w:t>实施进度要求</w:t>
      </w:r>
    </w:p>
    <w:p>
      <w:pPr>
        <w:pStyle w:val="13"/>
        <w:spacing w:line="360" w:lineRule="auto"/>
        <w:ind w:firstLine="0" w:firstLineChars="0"/>
        <w:rPr>
          <w:rFonts w:ascii="宋体" w:hAnsi="宋体" w:eastAsia="宋体"/>
          <w:szCs w:val="21"/>
          <w:lang w:val="en-US" w:eastAsia="zh-CN"/>
        </w:rPr>
      </w:pPr>
      <w:r>
        <w:rPr>
          <w:rFonts w:hint="eastAsia" w:ascii="宋体" w:hAnsi="宋体" w:eastAsia="宋体"/>
          <w:szCs w:val="21"/>
          <w:lang w:val="en-US" w:eastAsia="zh-CN"/>
        </w:rPr>
        <w:t>本展陈项目应按照采购人采购需求中所要求的时间、进度计划完成布展的设计深化（含提交采购人组织评议审查；并根据评议审查结果，对成果进行修改完善时间）及布展的全部工作并达到运行要求。</w:t>
      </w:r>
    </w:p>
    <w:p>
      <w:pPr>
        <w:pStyle w:val="13"/>
        <w:tabs>
          <w:tab w:val="left" w:pos="0"/>
          <w:tab w:val="left" w:pos="284"/>
          <w:tab w:val="left" w:pos="567"/>
        </w:tabs>
        <w:spacing w:line="360" w:lineRule="auto"/>
        <w:ind w:firstLine="0" w:firstLineChars="0"/>
        <w:rPr>
          <w:rFonts w:hAnsi="宋体"/>
          <w:color w:val="000000"/>
          <w:kern w:val="0"/>
          <w:sz w:val="20"/>
          <w:szCs w:val="21"/>
        </w:rPr>
      </w:pPr>
    </w:p>
    <w:p>
      <w:pPr>
        <w:pStyle w:val="13"/>
        <w:numPr>
          <w:ilvl w:val="0"/>
          <w:numId w:val="12"/>
        </w:numPr>
        <w:spacing w:before="100" w:beforeAutospacing="1" w:line="360" w:lineRule="auto"/>
        <w:ind w:left="0" w:firstLine="0" w:firstLineChars="0"/>
        <w:rPr>
          <w:rFonts w:hAnsi="宋体"/>
          <w:b/>
          <w:color w:val="000000"/>
          <w:szCs w:val="21"/>
        </w:rPr>
      </w:pPr>
      <w:r>
        <w:rPr>
          <w:rFonts w:hint="eastAsia" w:hAnsi="宋体"/>
          <w:b/>
          <w:color w:val="000000"/>
          <w:szCs w:val="21"/>
        </w:rPr>
        <w:t>工期变更：</w:t>
      </w:r>
    </w:p>
    <w:p>
      <w:pPr>
        <w:pStyle w:val="13"/>
        <w:spacing w:before="100" w:beforeAutospacing="1" w:line="360" w:lineRule="auto"/>
        <w:ind w:firstLine="0" w:firstLineChars="0"/>
        <w:rPr>
          <w:rFonts w:ascii="宋体" w:hAnsi="宋体" w:eastAsia="宋体"/>
          <w:szCs w:val="21"/>
          <w:lang w:val="en-US" w:eastAsia="zh-CN"/>
        </w:rPr>
      </w:pPr>
      <w:r>
        <w:rPr>
          <w:rFonts w:ascii="宋体" w:hAnsi="宋体" w:eastAsia="宋体"/>
          <w:color w:val="000000"/>
          <w:szCs w:val="21"/>
          <w:lang w:eastAsia="zh-CN"/>
        </w:rPr>
        <w:t>4.1.1</w:t>
      </w:r>
      <w:r>
        <w:rPr>
          <w:rFonts w:hint="eastAsia" w:ascii="宋体" w:hAnsi="宋体" w:eastAsia="宋体"/>
          <w:szCs w:val="21"/>
          <w:lang w:val="en-US" w:eastAsia="zh-CN"/>
        </w:rPr>
        <w:t>如果由于以下原因造成服务期推迟延误，经采购人代表确认后，供应商有理由延期完成交付，采购人应同实施方协商决定延长实施时间的期限。</w:t>
      </w:r>
    </w:p>
    <w:p>
      <w:pPr>
        <w:pStyle w:val="11"/>
        <w:spacing w:line="360" w:lineRule="auto"/>
        <w:ind w:firstLine="420" w:firstLineChars="200"/>
        <w:rPr>
          <w:rFonts w:ascii="宋体" w:hAnsi="宋体"/>
          <w:sz w:val="21"/>
          <w:szCs w:val="21"/>
        </w:rPr>
      </w:pPr>
      <w:r>
        <w:rPr>
          <w:rFonts w:hint="eastAsia" w:ascii="宋体" w:hAnsi="宋体"/>
          <w:sz w:val="21"/>
          <w:szCs w:val="21"/>
        </w:rPr>
        <w:t>（</w:t>
      </w:r>
      <w:r>
        <w:rPr>
          <w:rFonts w:ascii="宋体" w:hAnsi="宋体"/>
          <w:sz w:val="21"/>
          <w:szCs w:val="21"/>
        </w:rPr>
        <w:t>1</w:t>
      </w:r>
      <w:r>
        <w:rPr>
          <w:rFonts w:hint="eastAsia" w:ascii="宋体" w:hAnsi="宋体"/>
          <w:sz w:val="21"/>
          <w:szCs w:val="21"/>
        </w:rPr>
        <w:t>）由采购人原因造成的延误、障碍、阻止。</w:t>
      </w:r>
    </w:p>
    <w:p>
      <w:pPr>
        <w:pStyle w:val="11"/>
        <w:numPr>
          <w:ilvl w:val="0"/>
          <w:numId w:val="13"/>
        </w:numPr>
        <w:spacing w:line="360" w:lineRule="auto"/>
        <w:rPr>
          <w:rFonts w:ascii="宋体" w:hAnsi="宋体"/>
          <w:sz w:val="21"/>
          <w:szCs w:val="21"/>
        </w:rPr>
      </w:pPr>
      <w:r>
        <w:rPr>
          <w:rFonts w:hint="eastAsia" w:ascii="宋体" w:hAnsi="宋体"/>
          <w:sz w:val="21"/>
          <w:szCs w:val="21"/>
        </w:rPr>
        <w:t>不可抗力。</w:t>
      </w:r>
    </w:p>
    <w:p>
      <w:pPr>
        <w:pStyle w:val="11"/>
        <w:spacing w:line="360" w:lineRule="auto"/>
        <w:ind w:firstLine="420" w:firstLineChars="200"/>
        <w:rPr>
          <w:rFonts w:ascii="宋体" w:hAnsi="宋体"/>
          <w:sz w:val="21"/>
          <w:szCs w:val="21"/>
        </w:rPr>
      </w:pPr>
      <w:r>
        <w:rPr>
          <w:rFonts w:hint="eastAsia" w:ascii="宋体" w:hAnsi="宋体"/>
          <w:sz w:val="21"/>
          <w:szCs w:val="21"/>
        </w:rPr>
        <w:t>（</w:t>
      </w:r>
      <w:r>
        <w:rPr>
          <w:rFonts w:ascii="宋体" w:hAnsi="宋体"/>
          <w:sz w:val="21"/>
          <w:szCs w:val="21"/>
        </w:rPr>
        <w:t>3</w:t>
      </w:r>
      <w:r>
        <w:rPr>
          <w:rFonts w:hint="eastAsia" w:ascii="宋体" w:hAnsi="宋体"/>
          <w:sz w:val="21"/>
          <w:szCs w:val="21"/>
        </w:rPr>
        <w:t>）可能会出现的，不属于</w:t>
      </w:r>
      <w:r>
        <w:rPr>
          <w:rFonts w:hint="eastAsia" w:ascii="宋体" w:hAnsi="宋体"/>
          <w:sz w:val="21"/>
          <w:szCs w:val="21"/>
          <w:lang w:eastAsia="zh-CN"/>
        </w:rPr>
        <w:t>供应商</w:t>
      </w:r>
      <w:r>
        <w:rPr>
          <w:rFonts w:hint="eastAsia" w:ascii="宋体" w:hAnsi="宋体"/>
          <w:sz w:val="21"/>
          <w:szCs w:val="21"/>
        </w:rPr>
        <w:t>的过失或违约造成的。</w:t>
      </w:r>
    </w:p>
    <w:p>
      <w:pPr>
        <w:pStyle w:val="13"/>
        <w:tabs>
          <w:tab w:val="left" w:pos="0"/>
          <w:tab w:val="left" w:pos="284"/>
          <w:tab w:val="left" w:pos="567"/>
        </w:tabs>
        <w:spacing w:line="360" w:lineRule="auto"/>
        <w:ind w:firstLine="0" w:firstLineChars="0"/>
        <w:rPr>
          <w:rFonts w:ascii="宋体" w:hAnsi="宋体" w:eastAsia="宋体"/>
          <w:szCs w:val="21"/>
          <w:lang w:val="en-US" w:eastAsia="zh-CN"/>
        </w:rPr>
      </w:pPr>
      <w:r>
        <w:rPr>
          <w:rFonts w:ascii="宋体" w:hAnsi="宋体" w:eastAsia="宋体"/>
          <w:szCs w:val="21"/>
          <w:lang w:val="en-US" w:eastAsia="zh-CN"/>
        </w:rPr>
        <w:t>4.1.2</w:t>
      </w:r>
      <w:r>
        <w:rPr>
          <w:rFonts w:hint="eastAsia" w:ascii="宋体" w:hAnsi="宋体" w:eastAsia="宋体"/>
          <w:szCs w:val="21"/>
          <w:lang w:val="en-US" w:eastAsia="zh-CN"/>
        </w:rPr>
        <w:t>非上述原因，供应商不能按合同工期完成，应承担违约责任，采购人有权向供应商索取误期损失赔偿费。误期损失赔偿费采购人可从支付给供应商的费用中扣回。此费用的支付并不能解除供应商完成项目实施的责任或合同规定的其它责任。</w:t>
      </w:r>
    </w:p>
    <w:p>
      <w:pPr>
        <w:numPr>
          <w:ilvl w:val="0"/>
          <w:numId w:val="3"/>
        </w:numPr>
        <w:tabs>
          <w:tab w:val="left" w:pos="567"/>
        </w:tabs>
        <w:spacing w:before="100" w:beforeAutospacing="1" w:line="360" w:lineRule="auto"/>
        <w:ind w:left="448" w:hanging="448"/>
        <w:rPr>
          <w:rFonts w:hAnsi="宋体"/>
          <w:b/>
          <w:szCs w:val="21"/>
        </w:rPr>
      </w:pPr>
      <w:r>
        <w:rPr>
          <w:rFonts w:hint="eastAsia" w:hAnsi="宋体"/>
          <w:b/>
          <w:szCs w:val="21"/>
        </w:rPr>
        <w:t>陈列布展质量及验收要求</w:t>
      </w:r>
    </w:p>
    <w:p>
      <w:pPr>
        <w:pStyle w:val="13"/>
        <w:numPr>
          <w:ilvl w:val="0"/>
          <w:numId w:val="14"/>
        </w:numPr>
        <w:spacing w:before="100" w:beforeAutospacing="1" w:line="360" w:lineRule="auto"/>
        <w:ind w:firstLineChars="0"/>
        <w:rPr>
          <w:rFonts w:hAnsi="宋体"/>
          <w:b/>
          <w:color w:val="000000"/>
          <w:szCs w:val="21"/>
        </w:rPr>
      </w:pPr>
      <w:r>
        <w:rPr>
          <w:rFonts w:hint="eastAsia" w:hAnsi="宋体"/>
          <w:b/>
          <w:color w:val="000000"/>
          <w:szCs w:val="21"/>
        </w:rPr>
        <w:t>适用规范和标准</w:t>
      </w:r>
    </w:p>
    <w:p>
      <w:pPr>
        <w:pStyle w:val="13"/>
        <w:numPr>
          <w:ilvl w:val="0"/>
          <w:numId w:val="15"/>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本项目的质量核验监督工作参照国务院（</w:t>
      </w:r>
      <w:r>
        <w:rPr>
          <w:rFonts w:ascii="宋体" w:hAnsi="宋体" w:eastAsia="宋体"/>
          <w:szCs w:val="21"/>
          <w:lang w:val="en-US" w:eastAsia="zh-CN"/>
        </w:rPr>
        <w:t>2000</w:t>
      </w:r>
      <w:r>
        <w:rPr>
          <w:rFonts w:hint="eastAsia" w:ascii="宋体" w:hAnsi="宋体" w:eastAsia="宋体"/>
          <w:szCs w:val="21"/>
          <w:lang w:val="en-US" w:eastAsia="zh-CN"/>
        </w:rPr>
        <w:t>）第</w:t>
      </w:r>
      <w:r>
        <w:rPr>
          <w:rFonts w:ascii="宋体" w:hAnsi="宋体" w:eastAsia="宋体"/>
          <w:szCs w:val="21"/>
          <w:lang w:val="en-US" w:eastAsia="zh-CN"/>
        </w:rPr>
        <w:t>279</w:t>
      </w:r>
      <w:r>
        <w:rPr>
          <w:rFonts w:hint="eastAsia" w:ascii="宋体" w:hAnsi="宋体" w:eastAsia="宋体"/>
          <w:szCs w:val="21"/>
          <w:lang w:val="en-US" w:eastAsia="zh-CN"/>
        </w:rPr>
        <w:t>号令《建设工程质量管理条例》规定、《上海市建设工程质量和安全管理条列》等有关规定执行。本项目实施质量、验收标准、竣工备案等参照国家、地方现行的标准、规范、标准等执行。</w:t>
      </w:r>
    </w:p>
    <w:p>
      <w:pPr>
        <w:tabs>
          <w:tab w:val="left" w:pos="0"/>
          <w:tab w:val="left" w:pos="284"/>
          <w:tab w:val="left" w:pos="567"/>
        </w:tabs>
        <w:spacing w:line="360" w:lineRule="auto"/>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）工程技术规范包括但不限于：</w:t>
      </w:r>
    </w:p>
    <w:p>
      <w:pPr>
        <w:spacing w:line="360" w:lineRule="auto"/>
        <w:ind w:firstLine="420" w:firstLineChars="200"/>
        <w:rPr>
          <w:rFonts w:ascii="宋体" w:hAnsi="宋体"/>
          <w:szCs w:val="21"/>
        </w:rPr>
      </w:pPr>
      <w:r>
        <w:rPr>
          <w:rFonts w:hint="eastAsia" w:ascii="宋体" w:hAnsi="宋体"/>
          <w:szCs w:val="21"/>
        </w:rPr>
        <w:t>《建筑装饰装修工程质量验收规范》（</w:t>
      </w:r>
      <w:r>
        <w:rPr>
          <w:rFonts w:ascii="宋体" w:hAnsi="宋体"/>
          <w:szCs w:val="21"/>
        </w:rPr>
        <w:t>GB50303</w:t>
      </w:r>
      <w:r>
        <w:rPr>
          <w:rFonts w:hint="eastAsia" w:ascii="宋体" w:hAnsi="宋体"/>
          <w:szCs w:val="21"/>
        </w:rPr>
        <w:t>－</w:t>
      </w:r>
      <w:r>
        <w:rPr>
          <w:rFonts w:ascii="宋体" w:hAnsi="宋体"/>
          <w:szCs w:val="21"/>
        </w:rPr>
        <w:t>2002</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《建筑电气安装工程施工质量验收规范》；</w:t>
      </w:r>
    </w:p>
    <w:p>
      <w:pPr>
        <w:spacing w:line="360" w:lineRule="auto"/>
        <w:ind w:firstLine="420" w:firstLineChars="200"/>
        <w:rPr>
          <w:rFonts w:ascii="宋体" w:hAnsi="宋体"/>
          <w:szCs w:val="21"/>
        </w:rPr>
      </w:pPr>
      <w:r>
        <w:rPr>
          <w:rFonts w:hint="eastAsia" w:ascii="宋体" w:hAnsi="宋体"/>
          <w:szCs w:val="21"/>
        </w:rPr>
        <w:t>《博物馆照明设计规范》（</w:t>
      </w:r>
      <w:r>
        <w:rPr>
          <w:rFonts w:ascii="宋体" w:hAnsi="宋体"/>
          <w:szCs w:val="21"/>
        </w:rPr>
        <w:t>GB /T 23863-2009</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《建设工程施工现场消防安全技术规范》（</w:t>
      </w:r>
      <w:r>
        <w:rPr>
          <w:rFonts w:ascii="宋体" w:hAnsi="宋体"/>
          <w:szCs w:val="21"/>
        </w:rPr>
        <w:t>GB50720—2011</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《民用建筑工程室内环境污染控制规范》（</w:t>
      </w:r>
      <w:r>
        <w:rPr>
          <w:rFonts w:ascii="宋体" w:hAnsi="宋体"/>
          <w:szCs w:val="21"/>
        </w:rPr>
        <w:t>GB50325—2001</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《建筑内部装修设计防火规范》（</w:t>
      </w:r>
      <w:r>
        <w:rPr>
          <w:rFonts w:ascii="宋体" w:hAnsi="宋体"/>
          <w:szCs w:val="21"/>
        </w:rPr>
        <w:t>GB 50222-2001</w:t>
      </w:r>
      <w:r>
        <w:rPr>
          <w:rFonts w:hint="eastAsia" w:ascii="宋体" w:hAnsi="宋体"/>
          <w:szCs w:val="21"/>
        </w:rPr>
        <w:t>）；</w:t>
      </w:r>
    </w:p>
    <w:p>
      <w:pPr>
        <w:spacing w:line="360" w:lineRule="auto"/>
        <w:ind w:firstLine="420" w:firstLineChars="200"/>
        <w:rPr>
          <w:szCs w:val="21"/>
        </w:rPr>
      </w:pPr>
      <w:r>
        <w:rPr>
          <w:rFonts w:hint="eastAsia"/>
          <w:szCs w:val="21"/>
        </w:rPr>
        <w:t>《文物展柜基本技术要求及检测》（</w:t>
      </w:r>
      <w:r>
        <w:rPr>
          <w:szCs w:val="21"/>
        </w:rPr>
        <w:t>GB/T 36111-2018</w:t>
      </w:r>
      <w:r>
        <w:rPr>
          <w:rFonts w:hint="eastAsia"/>
          <w:szCs w:val="21"/>
        </w:rPr>
        <w:t>）；</w:t>
      </w:r>
    </w:p>
    <w:p>
      <w:pPr>
        <w:spacing w:line="360" w:lineRule="auto"/>
        <w:ind w:firstLine="420" w:firstLineChars="200"/>
        <w:rPr>
          <w:szCs w:val="21"/>
        </w:rPr>
      </w:pPr>
      <w:r>
        <w:rPr>
          <w:rFonts w:hint="eastAsia"/>
          <w:szCs w:val="21"/>
        </w:rPr>
        <w:t>《中华人民共和国文物保护法》实施细则</w:t>
      </w:r>
    </w:p>
    <w:p>
      <w:pPr>
        <w:spacing w:line="360" w:lineRule="auto"/>
        <w:ind w:firstLine="420" w:firstLineChars="200"/>
        <w:rPr>
          <w:szCs w:val="21"/>
        </w:rPr>
      </w:pPr>
      <w:r>
        <w:rPr>
          <w:rFonts w:hint="eastAsia"/>
          <w:szCs w:val="21"/>
        </w:rPr>
        <w:t>《馆藏文物保存环境质量检测技术规范》（</w:t>
      </w:r>
      <w:r>
        <w:rPr>
          <w:szCs w:val="21"/>
        </w:rPr>
        <w:t>WW/T 0016-2008</w:t>
      </w:r>
      <w:r>
        <w:rPr>
          <w:rFonts w:hint="eastAsia"/>
          <w:szCs w:val="21"/>
        </w:rPr>
        <w:t>）等有关规定执行。</w:t>
      </w:r>
    </w:p>
    <w:p>
      <w:pPr>
        <w:spacing w:line="360" w:lineRule="auto"/>
        <w:ind w:firstLine="420" w:firstLineChars="200"/>
        <w:rPr>
          <w:szCs w:val="21"/>
        </w:rPr>
      </w:pPr>
      <w:r>
        <w:rPr>
          <w:rFonts w:hint="eastAsia"/>
          <w:szCs w:val="21"/>
        </w:rPr>
        <w:t>（</w:t>
      </w:r>
      <w:r>
        <w:rPr>
          <w:szCs w:val="21"/>
        </w:rPr>
        <w:t>2</w:t>
      </w:r>
      <w:r>
        <w:rPr>
          <w:rFonts w:hint="eastAsia"/>
          <w:szCs w:val="21"/>
        </w:rPr>
        <w:t>）其中材料质量：应符合附件</w:t>
      </w:r>
      <w:r>
        <w:rPr>
          <w:szCs w:val="21"/>
        </w:rPr>
        <w:t>2</w:t>
      </w:r>
      <w:r>
        <w:rPr>
          <w:rFonts w:hint="eastAsia"/>
          <w:szCs w:val="21"/>
        </w:rPr>
        <w:t>初步设计方案所附的《文物展柜基本技术要求及检测》国家标准报批稿的有关要求和现行有效的中华人民共和国国家标准。</w:t>
      </w:r>
    </w:p>
    <w:p>
      <w:pPr>
        <w:pStyle w:val="13"/>
        <w:numPr>
          <w:ilvl w:val="0"/>
          <w:numId w:val="15"/>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供应商应充分注意，凡涉及本项目适用的现行国家、行业和地方规范、标准和规程、条例、规定等，无论其是否在本采购文件中已列明或未列明，供应商均应无条件执行。构成合同文件的任何内容与适用的规范、标准和规程、条例、规定等之间出现矛盾，除采购人有特别指示外，承包人应按照其中要求最严格的标准执行。</w:t>
      </w:r>
    </w:p>
    <w:p>
      <w:pPr>
        <w:pStyle w:val="13"/>
        <w:numPr>
          <w:ilvl w:val="0"/>
          <w:numId w:val="15"/>
        </w:numPr>
        <w:tabs>
          <w:tab w:val="left" w:pos="0"/>
          <w:tab w:val="left" w:pos="284"/>
          <w:tab w:val="left" w:pos="567"/>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涉及本项目的材料、施工工艺等标准、规范等都应依照本技术标准和要求及适用的现行规范、标准和规程的最新版本执行。</w:t>
      </w:r>
    </w:p>
    <w:p>
      <w:pPr>
        <w:pStyle w:val="13"/>
        <w:numPr>
          <w:ilvl w:val="0"/>
          <w:numId w:val="14"/>
        </w:numPr>
        <w:spacing w:before="100" w:beforeAutospacing="1" w:line="360" w:lineRule="auto"/>
        <w:ind w:firstLineChars="0"/>
        <w:rPr>
          <w:rFonts w:ascii="宋体" w:hAnsi="宋体" w:eastAsia="宋体"/>
          <w:szCs w:val="21"/>
          <w:lang w:val="en-US" w:eastAsia="zh-CN"/>
        </w:rPr>
      </w:pPr>
      <w:r>
        <w:rPr>
          <w:rFonts w:hint="eastAsia" w:ascii="宋体" w:hAnsi="宋体" w:eastAsia="宋体"/>
          <w:szCs w:val="21"/>
          <w:lang w:val="en-US" w:eastAsia="zh-CN"/>
        </w:rPr>
        <w:t>项目实施质量要求：</w:t>
      </w:r>
    </w:p>
    <w:p>
      <w:pPr>
        <w:pStyle w:val="10"/>
        <w:numPr>
          <w:ilvl w:val="0"/>
          <w:numId w:val="16"/>
        </w:numPr>
        <w:spacing w:line="360" w:lineRule="auto"/>
        <w:ind w:left="567" w:hanging="567" w:firstLineChars="0"/>
        <w:rPr>
          <w:rFonts w:ascii="宋体" w:hAnsi="宋体"/>
          <w:szCs w:val="21"/>
        </w:rPr>
      </w:pPr>
      <w:r>
        <w:rPr>
          <w:rFonts w:hint="eastAsia" w:ascii="宋体" w:hAnsi="宋体"/>
          <w:szCs w:val="21"/>
        </w:rPr>
        <w:t>本工程要求严格按照项目的设计规范、标准和规程、条例、规定等施工。</w:t>
      </w:r>
    </w:p>
    <w:p>
      <w:pPr>
        <w:pStyle w:val="10"/>
        <w:numPr>
          <w:ilvl w:val="0"/>
          <w:numId w:val="16"/>
        </w:numPr>
        <w:tabs>
          <w:tab w:val="left" w:pos="567"/>
        </w:tabs>
        <w:spacing w:line="360" w:lineRule="auto"/>
        <w:ind w:left="0" w:firstLine="0" w:firstLineChars="0"/>
        <w:rPr>
          <w:szCs w:val="21"/>
        </w:rPr>
      </w:pPr>
      <w:r>
        <w:rPr>
          <w:rFonts w:hint="eastAsia" w:ascii="宋体" w:hAnsi="宋体"/>
          <w:szCs w:val="21"/>
        </w:rPr>
        <w:t>采购人委托授权社会专业监理公司进行项目全过程监理</w:t>
      </w:r>
      <w:r>
        <w:rPr>
          <w:rFonts w:ascii="宋体" w:hAnsi="宋体"/>
          <w:szCs w:val="21"/>
        </w:rPr>
        <w:t xml:space="preserve">, </w:t>
      </w:r>
      <w:r>
        <w:rPr>
          <w:rFonts w:hint="eastAsia" w:ascii="宋体" w:hAnsi="宋体"/>
          <w:szCs w:val="21"/>
          <w:lang w:eastAsia="zh-CN"/>
        </w:rPr>
        <w:t>供应商</w:t>
      </w:r>
      <w:r>
        <w:rPr>
          <w:rFonts w:hint="eastAsia" w:ascii="宋体" w:hAnsi="宋体"/>
          <w:szCs w:val="21"/>
        </w:rPr>
        <w:t>应接受监理工程</w:t>
      </w:r>
      <w:r>
        <w:rPr>
          <w:rFonts w:hint="eastAsia"/>
          <w:szCs w:val="21"/>
        </w:rPr>
        <w:t>师的全面监理，及时向监理工程师提供工序及材料合格证等证书和各类项目施工信息。</w:t>
      </w:r>
    </w:p>
    <w:p>
      <w:pPr>
        <w:numPr>
          <w:ilvl w:val="0"/>
          <w:numId w:val="3"/>
        </w:numPr>
        <w:tabs>
          <w:tab w:val="left" w:pos="567"/>
        </w:tabs>
        <w:spacing w:before="100" w:beforeAutospacing="1" w:line="360" w:lineRule="auto"/>
        <w:ind w:left="448" w:hanging="448"/>
        <w:rPr>
          <w:rFonts w:hAnsi="宋体"/>
          <w:b/>
          <w:color w:val="000000"/>
          <w:szCs w:val="21"/>
        </w:rPr>
      </w:pPr>
      <w:r>
        <w:rPr>
          <w:rFonts w:hint="eastAsia" w:hAnsi="宋体"/>
          <w:b/>
          <w:color w:val="000000"/>
          <w:szCs w:val="21"/>
        </w:rPr>
        <w:t>项目验收：</w:t>
      </w:r>
    </w:p>
    <w:p>
      <w:pPr>
        <w:pStyle w:val="13"/>
        <w:numPr>
          <w:ilvl w:val="0"/>
          <w:numId w:val="17"/>
        </w:numPr>
        <w:tabs>
          <w:tab w:val="left" w:pos="0"/>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陈列布展成果验收：通过专家评审，并一次性通过相关管理部门验收合格等级。达不到一次合格等级标准，供应商应自费进行返工，工期不予顺延。</w:t>
      </w:r>
    </w:p>
    <w:p>
      <w:pPr>
        <w:pStyle w:val="13"/>
        <w:numPr>
          <w:ilvl w:val="0"/>
          <w:numId w:val="17"/>
        </w:numPr>
        <w:tabs>
          <w:tab w:val="left" w:pos="0"/>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项目竣工后应由供应商会同监理单位按照展陈设计方案、相关国家地方标准进行自检。通知包括验收的内容、验收时间和地点。供应商准备验收记录，验收合格，工程师在验收记录上签字后，供应商可进行项目移交。验收不合格，供应商在采购人限定的时间内修改后重新验收。</w:t>
      </w:r>
    </w:p>
    <w:p>
      <w:pPr>
        <w:pStyle w:val="13"/>
        <w:numPr>
          <w:ilvl w:val="0"/>
          <w:numId w:val="17"/>
        </w:numPr>
        <w:tabs>
          <w:tab w:val="left" w:pos="0"/>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项目涉及装饰、水电、设备安装的竣工验收工作按照国家和上海市有关建设项目（工程）验收办法及国家和上海市有关部门与本工程相关的标准、施工验收规范或规定（以最新颁布的或较为严格者为准）执行。因供应商原因质量达不到自报工程质量等级标准者，供应商承担违约责任。</w:t>
      </w:r>
    </w:p>
    <w:p>
      <w:pPr>
        <w:pStyle w:val="13"/>
        <w:numPr>
          <w:ilvl w:val="0"/>
          <w:numId w:val="17"/>
        </w:numPr>
        <w:tabs>
          <w:tab w:val="left" w:pos="0"/>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项目涉及美工展陈布置质量的竣工验收工作由采购人按照设计图纸、响应方案组织专家进行验收。因供应商原因展陈项目达不到展陈设计预定方案的，供应商承担违约责任。</w:t>
      </w:r>
    </w:p>
    <w:p>
      <w:pPr>
        <w:pStyle w:val="13"/>
        <w:numPr>
          <w:ilvl w:val="0"/>
          <w:numId w:val="17"/>
        </w:numPr>
        <w:tabs>
          <w:tab w:val="left" w:pos="0"/>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供应商也可在投标文件中自报质量违约的处罚标准，以资竞争。质量违约金在工程结算时由采购人直接在供应商应得的工程款中扣除。</w:t>
      </w:r>
    </w:p>
    <w:p>
      <w:pPr>
        <w:pStyle w:val="13"/>
        <w:numPr>
          <w:ilvl w:val="0"/>
          <w:numId w:val="17"/>
        </w:numPr>
        <w:tabs>
          <w:tab w:val="left" w:pos="0"/>
        </w:tabs>
        <w:spacing w:line="360" w:lineRule="auto"/>
        <w:ind w:left="0" w:firstLine="0" w:firstLineChars="0"/>
        <w:rPr>
          <w:rFonts w:ascii="宋体" w:hAnsi="宋体" w:eastAsia="宋体"/>
          <w:szCs w:val="21"/>
          <w:lang w:val="en-US" w:eastAsia="zh-CN"/>
        </w:rPr>
      </w:pPr>
      <w:r>
        <w:rPr>
          <w:rFonts w:hint="eastAsia" w:ascii="宋体" w:hAnsi="宋体" w:eastAsia="宋体"/>
          <w:szCs w:val="21"/>
          <w:lang w:val="en-US" w:eastAsia="zh-CN"/>
        </w:rPr>
        <w:t>工程竣工时，供应商应按规定向采购人提交工程竣工报告、竣工图及全部竣工资料共贰套。工程竣工档案和竣工图的编制分别按上海市现行有关法规、文件的规定执行。</w:t>
      </w:r>
    </w:p>
    <w:p>
      <w:pPr>
        <w:pStyle w:val="13"/>
        <w:numPr>
          <w:ilvl w:val="0"/>
          <w:numId w:val="17"/>
        </w:numPr>
        <w:tabs>
          <w:tab w:val="left" w:pos="0"/>
        </w:tabs>
        <w:spacing w:line="360" w:lineRule="auto"/>
        <w:ind w:left="0" w:firstLine="0" w:firstLineChars="0"/>
        <w:rPr>
          <w:rFonts w:ascii="宋体" w:hAnsi="宋体" w:eastAsia="宋体"/>
          <w:color w:val="000000"/>
          <w:kern w:val="0"/>
          <w:sz w:val="20"/>
          <w:szCs w:val="21"/>
        </w:rPr>
      </w:pPr>
      <w:r>
        <w:rPr>
          <w:rFonts w:hint="eastAsia" w:ascii="宋体" w:hAnsi="宋体" w:eastAsia="宋体"/>
          <w:szCs w:val="21"/>
          <w:lang w:val="en-US" w:eastAsia="zh-CN"/>
        </w:rPr>
        <w:t>保修期不低于展期，自展成装修竣工日期起算，范围为本项目涉及的区域，移交验收的不合格部分由供应商无偿返工并再次验收。其他内容保修期按采购需求要求执行。</w:t>
      </w:r>
    </w:p>
    <w:p>
      <w:pPr>
        <w:pStyle w:val="13"/>
        <w:tabs>
          <w:tab w:val="left" w:pos="0"/>
        </w:tabs>
        <w:spacing w:line="360" w:lineRule="auto"/>
        <w:ind w:firstLine="0" w:firstLineChars="0"/>
        <w:rPr>
          <w:rFonts w:ascii="宋体" w:hAnsi="宋体" w:eastAsia="宋体"/>
          <w:szCs w:val="21"/>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仿宋_GB2312"/>
    <w:panose1 w:val="00000000000000000000"/>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幼圆">
    <w:altName w:val="仿宋_GB2312"/>
    <w:panose1 w:val="0201050906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4E536E"/>
    <w:multiLevelType w:val="multilevel"/>
    <w:tmpl w:val="044E536E"/>
    <w:lvl w:ilvl="0" w:tentative="0">
      <w:start w:val="1"/>
      <w:numFmt w:val="decimal"/>
      <w:lvlText w:val="2.1.%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64E0E28"/>
    <w:multiLevelType w:val="multilevel"/>
    <w:tmpl w:val="064E0E28"/>
    <w:lvl w:ilvl="0" w:tentative="0">
      <w:start w:val="1"/>
      <w:numFmt w:val="japaneseCounting"/>
      <w:lvlText w:val="%1、"/>
      <w:lvlJc w:val="left"/>
      <w:pPr>
        <w:ind w:left="450" w:hanging="450"/>
      </w:pPr>
      <w:rPr>
        <w:rFonts w:hAnsi="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A8F3CFB"/>
    <w:multiLevelType w:val="multilevel"/>
    <w:tmpl w:val="0A8F3CFB"/>
    <w:lvl w:ilvl="0" w:tentative="0">
      <w:start w:val="1"/>
      <w:numFmt w:val="decimal"/>
      <w:lvlText w:val="3.2.%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D057E95"/>
    <w:multiLevelType w:val="multilevel"/>
    <w:tmpl w:val="1D057E95"/>
    <w:lvl w:ilvl="0" w:tentative="0">
      <w:start w:val="1"/>
      <w:numFmt w:val="decimal"/>
      <w:lvlText w:val="6.%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5C3754F"/>
    <w:multiLevelType w:val="multilevel"/>
    <w:tmpl w:val="25C3754F"/>
    <w:lvl w:ilvl="0" w:tentative="0">
      <w:start w:val="1"/>
      <w:numFmt w:val="decimal"/>
      <w:lvlText w:val="3.3.%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6A40E59"/>
    <w:multiLevelType w:val="multilevel"/>
    <w:tmpl w:val="26A40E59"/>
    <w:lvl w:ilvl="0" w:tentative="0">
      <w:start w:val="1"/>
      <w:numFmt w:val="decimal"/>
      <w:lvlText w:val="2.4.%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3E11A9"/>
    <w:multiLevelType w:val="multilevel"/>
    <w:tmpl w:val="2B3E11A9"/>
    <w:lvl w:ilvl="0" w:tentative="0">
      <w:start w:val="1"/>
      <w:numFmt w:val="decimal"/>
      <w:lvlText w:val="2.%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5C46B74"/>
    <w:multiLevelType w:val="multilevel"/>
    <w:tmpl w:val="35C46B74"/>
    <w:lvl w:ilvl="0" w:tentative="0">
      <w:start w:val="1"/>
      <w:numFmt w:val="decimal"/>
      <w:lvlText w:val="5.2.%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20C7950"/>
    <w:multiLevelType w:val="multilevel"/>
    <w:tmpl w:val="420C7950"/>
    <w:lvl w:ilvl="0" w:tentative="0">
      <w:start w:val="1"/>
      <w:numFmt w:val="decimal"/>
      <w:lvlText w:val="5.1.%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2C4666E"/>
    <w:multiLevelType w:val="multilevel"/>
    <w:tmpl w:val="52C4666E"/>
    <w:lvl w:ilvl="0" w:tentative="0">
      <w:start w:val="1"/>
      <w:numFmt w:val="japaneseCounting"/>
      <w:lvlText w:val="%1、"/>
      <w:lvlJc w:val="left"/>
      <w:pPr>
        <w:ind w:left="450" w:hanging="450"/>
      </w:pPr>
      <w:rPr>
        <w:rFonts w:hAnsi="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581F7028"/>
    <w:multiLevelType w:val="multilevel"/>
    <w:tmpl w:val="581F7028"/>
    <w:lvl w:ilvl="0" w:tentative="0">
      <w:start w:val="1"/>
      <w:numFmt w:val="decimal"/>
      <w:lvlText w:val="3.%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E8E4647"/>
    <w:multiLevelType w:val="multilevel"/>
    <w:tmpl w:val="5E8E4647"/>
    <w:lvl w:ilvl="0" w:tentative="0">
      <w:start w:val="2"/>
      <w:numFmt w:val="decimal"/>
      <w:lvlText w:val="（%1）"/>
      <w:lvlJc w:val="left"/>
      <w:pPr>
        <w:ind w:left="1140" w:hanging="7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602D6D17"/>
    <w:multiLevelType w:val="multilevel"/>
    <w:tmpl w:val="602D6D17"/>
    <w:lvl w:ilvl="0" w:tentative="0">
      <w:start w:val="1"/>
      <w:numFmt w:val="decimal"/>
      <w:lvlText w:val="5.%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84F70C5"/>
    <w:multiLevelType w:val="multilevel"/>
    <w:tmpl w:val="684F70C5"/>
    <w:lvl w:ilvl="0" w:tentative="0">
      <w:start w:val="1"/>
      <w:numFmt w:val="decimal"/>
      <w:lvlText w:val="2.3.%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A24226B"/>
    <w:multiLevelType w:val="multilevel"/>
    <w:tmpl w:val="6A24226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5">
    <w:nsid w:val="7A3758EE"/>
    <w:multiLevelType w:val="multilevel"/>
    <w:tmpl w:val="7A3758EE"/>
    <w:lvl w:ilvl="0" w:tentative="0">
      <w:start w:val="1"/>
      <w:numFmt w:val="decimal"/>
      <w:lvlText w:val="3.1.%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A4579E3"/>
    <w:multiLevelType w:val="multilevel"/>
    <w:tmpl w:val="7A4579E3"/>
    <w:lvl w:ilvl="0" w:tentative="0">
      <w:start w:val="1"/>
      <w:numFmt w:val="decimal"/>
      <w:lvlText w:val="4.%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0925"/>
    <w:rsid w:val="00017BC4"/>
    <w:rsid w:val="000C376E"/>
    <w:rsid w:val="002B7FF3"/>
    <w:rsid w:val="002D5A65"/>
    <w:rsid w:val="002F27C4"/>
    <w:rsid w:val="00310719"/>
    <w:rsid w:val="003B1D7E"/>
    <w:rsid w:val="003C3DDB"/>
    <w:rsid w:val="00405653"/>
    <w:rsid w:val="004C6D20"/>
    <w:rsid w:val="004E757C"/>
    <w:rsid w:val="00524062"/>
    <w:rsid w:val="006A379C"/>
    <w:rsid w:val="006D7C8B"/>
    <w:rsid w:val="007521BA"/>
    <w:rsid w:val="00761B0F"/>
    <w:rsid w:val="00785C02"/>
    <w:rsid w:val="00857106"/>
    <w:rsid w:val="009605EF"/>
    <w:rsid w:val="009D1CBD"/>
    <w:rsid w:val="00A51018"/>
    <w:rsid w:val="00A5125F"/>
    <w:rsid w:val="00A712D9"/>
    <w:rsid w:val="00A7210F"/>
    <w:rsid w:val="00A905B4"/>
    <w:rsid w:val="00AA6F0E"/>
    <w:rsid w:val="00AD5B82"/>
    <w:rsid w:val="00B27476"/>
    <w:rsid w:val="00CB7EC4"/>
    <w:rsid w:val="00CF6F5A"/>
    <w:rsid w:val="00D10925"/>
    <w:rsid w:val="00E435C8"/>
    <w:rsid w:val="00E76279"/>
    <w:rsid w:val="00EE2BC3"/>
    <w:rsid w:val="00FA1103"/>
    <w:rsid w:val="00FC6044"/>
    <w:rsid w:val="1FFD1A80"/>
    <w:rsid w:val="5EDD3002"/>
    <w:rsid w:val="7E7EFE49"/>
    <w:rsid w:val="7F5F5DB2"/>
    <w:rsid w:val="EFAFB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qFormat/>
    <w:uiPriority w:val="99"/>
    <w:rPr>
      <w:sz w:val="21"/>
      <w:szCs w:val="21"/>
    </w:rPr>
  </w:style>
  <w:style w:type="character" w:customStyle="1" w:styleId="9">
    <w:name w:val="批注文字 字符"/>
    <w:basedOn w:val="7"/>
    <w:semiHidden/>
    <w:qFormat/>
    <w:uiPriority w:val="99"/>
    <w:rPr>
      <w:rFonts w:ascii="Times New Roman" w:hAnsi="Times New Roman" w:eastAsia="宋体" w:cs="Times New Roman"/>
      <w:szCs w:val="24"/>
    </w:rPr>
  </w:style>
  <w:style w:type="paragraph" w:styleId="10">
    <w:name w:val="List Paragraph"/>
    <w:basedOn w:val="1"/>
    <w:qFormat/>
    <w:uiPriority w:val="0"/>
    <w:pPr>
      <w:ind w:firstLine="420" w:firstLineChars="200"/>
    </w:pPr>
  </w:style>
  <w:style w:type="paragraph" w:customStyle="1" w:styleId="11">
    <w:name w:val="无间隔1"/>
    <w:qFormat/>
    <w:uiPriority w:val="1"/>
    <w:pPr>
      <w:widowControl w:val="0"/>
      <w:jc w:val="both"/>
    </w:pPr>
    <w:rPr>
      <w:rFonts w:ascii="Calibri" w:hAnsi="Calibri" w:eastAsia="宋体" w:cs="Times New Roman"/>
      <w:kern w:val="2"/>
      <w:sz w:val="30"/>
      <w:szCs w:val="22"/>
      <w:lang w:val="en-US" w:eastAsia="zh-CN" w:bidi="ar-SA"/>
    </w:rPr>
  </w:style>
  <w:style w:type="character" w:customStyle="1" w:styleId="12">
    <w:name w:val="列出段落 Char"/>
    <w:link w:val="13"/>
    <w:qFormat/>
    <w:locked/>
    <w:uiPriority w:val="0"/>
    <w:rPr>
      <w:szCs w:val="24"/>
    </w:rPr>
  </w:style>
  <w:style w:type="paragraph" w:customStyle="1" w:styleId="13">
    <w:name w:val="列出段落1"/>
    <w:basedOn w:val="1"/>
    <w:link w:val="12"/>
    <w:qFormat/>
    <w:uiPriority w:val="0"/>
    <w:pPr>
      <w:ind w:firstLine="420" w:firstLineChars="200"/>
    </w:pPr>
    <w:rPr>
      <w:rFonts w:asciiTheme="minorHAnsi" w:hAnsiTheme="minorHAnsi" w:eastAsiaTheme="minorEastAsia" w:cstheme="minorBidi"/>
    </w:rPr>
  </w:style>
  <w:style w:type="character" w:customStyle="1" w:styleId="14">
    <w:name w:val="msoins"/>
    <w:basedOn w:val="7"/>
    <w:qFormat/>
    <w:uiPriority w:val="0"/>
  </w:style>
  <w:style w:type="character" w:customStyle="1" w:styleId="15">
    <w:name w:val="批注文字 Char"/>
    <w:basedOn w:val="7"/>
    <w:link w:val="2"/>
    <w:semiHidden/>
    <w:qFormat/>
    <w:locked/>
    <w:uiPriority w:val="99"/>
    <w:rPr>
      <w:rFonts w:ascii="Times New Roman" w:hAnsi="Times New Roman" w:eastAsia="宋体" w:cs="Times New Roman"/>
      <w:szCs w:val="24"/>
    </w:rPr>
  </w:style>
  <w:style w:type="character" w:customStyle="1" w:styleId="16">
    <w:name w:val="批注框文本 Char"/>
    <w:basedOn w:val="7"/>
    <w:link w:val="3"/>
    <w:semiHidden/>
    <w:qFormat/>
    <w:uiPriority w:val="99"/>
    <w:rPr>
      <w:rFonts w:ascii="Times New Roman" w:hAnsi="Times New Roman" w:eastAsia="宋体" w:cs="Times New Roman"/>
      <w:sz w:val="18"/>
      <w:szCs w:val="18"/>
    </w:rPr>
  </w:style>
  <w:style w:type="character" w:customStyle="1" w:styleId="17">
    <w:name w:val="页眉 Char"/>
    <w:basedOn w:val="7"/>
    <w:link w:val="5"/>
    <w:qFormat/>
    <w:uiPriority w:val="99"/>
    <w:rPr>
      <w:rFonts w:ascii="Times New Roman" w:hAnsi="Times New Roman" w:eastAsia="宋体" w:cs="Times New Roman"/>
      <w:sz w:val="18"/>
      <w:szCs w:val="18"/>
    </w:rPr>
  </w:style>
  <w:style w:type="character" w:customStyle="1" w:styleId="18">
    <w:name w:val="页脚 Char"/>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jhstudio</Company>
  <Pages>11</Pages>
  <Words>1229</Words>
  <Characters>7008</Characters>
  <Lines>58</Lines>
  <Paragraphs>16</Paragraphs>
  <TotalTime>36</TotalTime>
  <ScaleCrop>false</ScaleCrop>
  <LinksUpToDate>false</LinksUpToDate>
  <CharactersWithSpaces>8221</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2024-11-07T09:15:00Z</dcterms:created>
  <dc:creator>jhuser</dc:creator>
  <cp:lastModifiedBy>user</cp:lastModifiedBy>
  <dcterms:modified xsi:type="dcterms:W3CDTF">2024-11-26T10:39:31Z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C5D97BDE0615964BD17340670B397CBF_42</vt:lpwstr>
  </property>
</Properties>
</file>