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25" w:hanging="425"/>
        <w:jc w:val="center"/>
        <w:rPr>
          <w:rFonts w:hint="eastAsia"/>
          <w:sz w:val="28"/>
          <w:szCs w:val="24"/>
          <w:highlight w:val="none"/>
        </w:rPr>
      </w:pPr>
      <w:bookmarkStart w:id="0" w:name="_Toc63785461"/>
      <w:r>
        <w:rPr>
          <w:rFonts w:hint="eastAsia"/>
          <w:sz w:val="28"/>
          <w:szCs w:val="24"/>
          <w:highlight w:val="none"/>
        </w:rPr>
        <w:t>上海市道路照明管理信息平台改造项目</w:t>
      </w:r>
    </w:p>
    <w:p>
      <w:pPr>
        <w:pStyle w:val="2"/>
        <w:numPr>
          <w:ilvl w:val="0"/>
          <w:numId w:val="0"/>
        </w:numPr>
        <w:ind w:left="425" w:hanging="425"/>
        <w:jc w:val="center"/>
        <w:rPr>
          <w:rFonts w:hint="eastAsia"/>
          <w:sz w:val="28"/>
          <w:szCs w:val="24"/>
          <w:highlight w:val="none"/>
        </w:rPr>
      </w:pPr>
      <w:r>
        <w:rPr>
          <w:rFonts w:hint="eastAsia"/>
          <w:sz w:val="28"/>
          <w:szCs w:val="24"/>
          <w:highlight w:val="none"/>
        </w:rPr>
        <w:t>（2025年升级改造）采购需求</w:t>
      </w:r>
    </w:p>
    <w:p>
      <w:pPr>
        <w:jc w:val="center"/>
        <w:rPr>
          <w:rFonts w:hint="eastAsia"/>
          <w:highlight w:val="none"/>
        </w:rPr>
      </w:pPr>
    </w:p>
    <w:p>
      <w:pPr>
        <w:pStyle w:val="2"/>
        <w:ind w:left="0" w:firstLine="0"/>
        <w:rPr>
          <w:rFonts w:hint="eastAsia"/>
          <w:highlight w:val="none"/>
        </w:rPr>
      </w:pPr>
      <w:r>
        <w:rPr>
          <w:rFonts w:hint="eastAsia"/>
          <w:highlight w:val="none"/>
        </w:rPr>
        <w:t>项目概况</w:t>
      </w:r>
      <w:bookmarkEnd w:id="0"/>
    </w:p>
    <w:p>
      <w:pPr>
        <w:pStyle w:val="3"/>
        <w:ind w:left="0" w:firstLine="0"/>
        <w:rPr>
          <w:rFonts w:hint="eastAsia"/>
          <w:highlight w:val="none"/>
        </w:rPr>
      </w:pPr>
      <w:r>
        <w:rPr>
          <w:rFonts w:hint="eastAsia"/>
          <w:highlight w:val="none"/>
        </w:rPr>
        <w:t>建设背景</w:t>
      </w:r>
    </w:p>
    <w:p>
      <w:pPr>
        <w:widowControl w:val="0"/>
        <w:spacing w:line="360" w:lineRule="auto"/>
        <w:ind w:firstLine="480" w:firstLineChars="200"/>
        <w:jc w:val="both"/>
        <w:rPr>
          <w:rFonts w:hint="eastAsia"/>
          <w:highlight w:val="none"/>
        </w:rPr>
      </w:pPr>
      <w:r>
        <w:rPr>
          <w:rFonts w:hint="eastAsia"/>
          <w:highlight w:val="none"/>
        </w:rPr>
        <w:t>在当前全球科技竞争格局日益激烈的背景下，信息技术的自主可控和国产化已成为国家安全与经济发展的重要基石。近年来，我国积极响应“创新”这一时代主题，将创新驱动发展战略作为推动国家长期发展的核心动力。特别是在信息技术领域，科技创新不仅是提升社会生产力和综合国力的关键，更是保障国家信息安全、促进产业升级和经济转型的重要支撑。</w:t>
      </w:r>
    </w:p>
    <w:p>
      <w:pPr>
        <w:widowControl w:val="0"/>
        <w:spacing w:line="360" w:lineRule="auto"/>
        <w:ind w:firstLine="480" w:firstLineChars="200"/>
        <w:jc w:val="both"/>
        <w:rPr>
          <w:rFonts w:hint="eastAsia"/>
          <w:highlight w:val="none"/>
        </w:rPr>
      </w:pPr>
      <w:r>
        <w:rPr>
          <w:rFonts w:hint="eastAsia"/>
          <w:highlight w:val="none"/>
        </w:rPr>
        <w:t>随着全球信息技术日新月异的发展，我国信息技术产业在取得显著进步的同时，也面临着日益严峻的挑战。一方面，国外信息技术产品和服务的广泛应用，使得我国在关键技术上存在一定的依赖性，这在一定程度上影响了国家网络空间的安全和稳定。另一方面，随着国内信息技术产业的快速发展，国内产品和技术水平不断提高，为我国实现信息技术国产化替代提供了有力支撑。</w:t>
      </w:r>
    </w:p>
    <w:p>
      <w:pPr>
        <w:widowControl w:val="0"/>
        <w:spacing w:line="360" w:lineRule="auto"/>
        <w:ind w:firstLine="480" w:firstLineChars="200"/>
        <w:jc w:val="both"/>
        <w:rPr>
          <w:rFonts w:hint="eastAsia"/>
          <w:highlight w:val="none"/>
        </w:rPr>
      </w:pPr>
      <w:r>
        <w:rPr>
          <w:rFonts w:hint="eastAsia"/>
          <w:highlight w:val="none"/>
        </w:rPr>
        <w:t>在这样的背景下，实施软件系统项目的国产化适配性改造显得尤为重要。通过国产化适配性改造，不仅可以减少对外国技术的依赖，提升我国信息技术的自主可控能力，还可以促进国内信息技术产业的发展，提高我国在全球信息技术领域的竞争力和影响力。同时，国产化适配性改造也是响应国家创新驱动发展战略的具体举措。通过研究和采用新的信息技术本地化替代路径，采取针对性举措，可以培育壮大信息技术产业，提高信息化水平，为经济社会发展提供有力支撑。</w:t>
      </w:r>
    </w:p>
    <w:p>
      <w:pPr>
        <w:widowControl w:val="0"/>
        <w:spacing w:line="360" w:lineRule="auto"/>
        <w:ind w:firstLine="480" w:firstLineChars="200"/>
        <w:jc w:val="both"/>
        <w:rPr>
          <w:rFonts w:hint="eastAsia"/>
          <w:highlight w:val="none"/>
        </w:rPr>
      </w:pPr>
      <w:r>
        <w:rPr>
          <w:rFonts w:hint="eastAsia"/>
          <w:highlight w:val="none"/>
        </w:rPr>
        <w:t>软件系统项目的国产化适配性改造项目，是在国家创新驱动发展战略的指引下，为确保国家网络空间安全、促进信息技术产业发展和提高信息化水平而实施的重要工程。</w:t>
      </w:r>
    </w:p>
    <w:p>
      <w:pPr>
        <w:pStyle w:val="3"/>
        <w:ind w:left="0" w:firstLine="0"/>
        <w:rPr>
          <w:rFonts w:hint="eastAsia"/>
          <w:highlight w:val="none"/>
        </w:rPr>
      </w:pPr>
      <w:bookmarkStart w:id="1" w:name="_Toc181364328"/>
      <w:r>
        <w:rPr>
          <w:rFonts w:hint="eastAsia"/>
          <w:highlight w:val="none"/>
        </w:rPr>
        <w:t>现有应用系统的情况</w:t>
      </w:r>
      <w:bookmarkEnd w:id="1"/>
    </w:p>
    <w:p>
      <w:pPr>
        <w:widowControl w:val="0"/>
        <w:spacing w:line="360" w:lineRule="auto"/>
        <w:ind w:firstLine="480" w:firstLineChars="200"/>
        <w:jc w:val="both"/>
        <w:rPr>
          <w:rFonts w:hint="eastAsia"/>
          <w:highlight w:val="none"/>
        </w:rPr>
      </w:pPr>
      <w:r>
        <w:rPr>
          <w:rFonts w:hint="eastAsia"/>
          <w:highlight w:val="none"/>
        </w:rPr>
        <w:t>2</w:t>
      </w:r>
      <w:r>
        <w:rPr>
          <w:highlight w:val="none"/>
        </w:rPr>
        <w:t>017</w:t>
      </w:r>
      <w:r>
        <w:rPr>
          <w:rFonts w:hint="eastAsia"/>
          <w:highlight w:val="none"/>
        </w:rPr>
        <w:t>年，上海市城市综合管理事务中心（以下简称市综管中心）以“政企分开、市区分工、建管分离、管养分开”为四大目标，</w:t>
      </w:r>
      <w:bookmarkStart w:id="2" w:name="_Hlk69285797"/>
      <w:r>
        <w:rPr>
          <w:rFonts w:hint="eastAsia"/>
          <w:highlight w:val="none"/>
        </w:rPr>
        <w:t>按照“业务范围全面覆盖、业务内容全面掌控、业务流程全面监管”这一指导思想</w:t>
      </w:r>
      <w:bookmarkEnd w:id="2"/>
      <w:r>
        <w:rPr>
          <w:rFonts w:hint="eastAsia"/>
          <w:highlight w:val="none"/>
        </w:rPr>
        <w:t>，建设上海市道路照明管理信息平台（以下简称照明管理平台）。依托各类先进技术，</w:t>
      </w:r>
      <w:bookmarkStart w:id="3" w:name="_Hlk69285812"/>
      <w:r>
        <w:rPr>
          <w:rFonts w:hint="eastAsia"/>
          <w:highlight w:val="none"/>
        </w:rPr>
        <w:t>建成一个基本覆盖全市范围、具备“自动监测、远程控制、主动告警、智能分析”的智慧照明管理系统，基本实现对道路照明设施“智能化、标准化、精细化、数字化、科学化、长效化”的管理目标</w:t>
      </w:r>
      <w:bookmarkEnd w:id="3"/>
      <w:r>
        <w:rPr>
          <w:rFonts w:hint="eastAsia"/>
          <w:highlight w:val="none"/>
        </w:rPr>
        <w:t>，具体包括：</w:t>
      </w:r>
    </w:p>
    <w:p>
      <w:pPr>
        <w:widowControl w:val="0"/>
        <w:spacing w:line="360" w:lineRule="auto"/>
        <w:ind w:firstLine="480" w:firstLineChars="200"/>
        <w:jc w:val="both"/>
        <w:rPr>
          <w:rFonts w:hint="eastAsia"/>
          <w:highlight w:val="none"/>
        </w:rPr>
      </w:pPr>
      <w:r>
        <w:rPr>
          <w:highlight w:val="none"/>
        </w:rPr>
        <w:t>1）道路和公共区域照明管理基础数据库建设</w:t>
      </w:r>
    </w:p>
    <w:p>
      <w:pPr>
        <w:widowControl w:val="0"/>
        <w:spacing w:line="360" w:lineRule="auto"/>
        <w:ind w:firstLine="480" w:firstLineChars="200"/>
        <w:jc w:val="both"/>
        <w:rPr>
          <w:rFonts w:hint="eastAsia"/>
          <w:highlight w:val="none"/>
        </w:rPr>
      </w:pPr>
      <w:r>
        <w:rPr>
          <w:rFonts w:hint="eastAsia"/>
          <w:highlight w:val="none"/>
        </w:rPr>
        <w:t>主要包括道路照明设施地理信息数据库、照明管理业务数据库、系统运行维护数据库等，为管理信息平台提供基础数据支撑。</w:t>
      </w:r>
    </w:p>
    <w:p>
      <w:pPr>
        <w:widowControl w:val="0"/>
        <w:spacing w:line="360" w:lineRule="auto"/>
        <w:ind w:firstLine="480" w:firstLineChars="200"/>
        <w:jc w:val="both"/>
        <w:rPr>
          <w:rFonts w:hint="eastAsia"/>
          <w:highlight w:val="none"/>
        </w:rPr>
      </w:pPr>
      <w:r>
        <w:rPr>
          <w:highlight w:val="none"/>
        </w:rPr>
        <w:t>2）运行环境建设</w:t>
      </w:r>
    </w:p>
    <w:p>
      <w:pPr>
        <w:widowControl w:val="0"/>
        <w:spacing w:line="360" w:lineRule="auto"/>
        <w:ind w:firstLine="480" w:firstLineChars="200"/>
        <w:jc w:val="both"/>
        <w:rPr>
          <w:rFonts w:hint="eastAsia"/>
          <w:highlight w:val="none"/>
        </w:rPr>
      </w:pPr>
      <w:r>
        <w:rPr>
          <w:rFonts w:hint="eastAsia"/>
          <w:highlight w:val="none"/>
        </w:rPr>
        <w:t>进行监控中心机房建设和相关部门的网络建设，采购安装服务器、网络等软硬件设备，搭建系统运行环境。</w:t>
      </w:r>
    </w:p>
    <w:p>
      <w:pPr>
        <w:widowControl w:val="0"/>
        <w:spacing w:line="360" w:lineRule="auto"/>
        <w:ind w:firstLine="480" w:firstLineChars="200"/>
        <w:jc w:val="both"/>
        <w:rPr>
          <w:rFonts w:hint="eastAsia"/>
          <w:highlight w:val="none"/>
        </w:rPr>
      </w:pPr>
      <w:r>
        <w:rPr>
          <w:highlight w:val="none"/>
        </w:rPr>
        <w:t>3）城市照明管理资源共享体系建设</w:t>
      </w:r>
    </w:p>
    <w:p>
      <w:pPr>
        <w:widowControl w:val="0"/>
        <w:spacing w:line="360" w:lineRule="auto"/>
        <w:ind w:firstLine="480" w:firstLineChars="200"/>
        <w:jc w:val="both"/>
        <w:rPr>
          <w:rFonts w:hint="eastAsia"/>
          <w:highlight w:val="none"/>
        </w:rPr>
      </w:pPr>
      <w:r>
        <w:rPr>
          <w:rFonts w:hint="eastAsia"/>
          <w:highlight w:val="none"/>
        </w:rPr>
        <w:t>整合现有信息资源，构建城市照明管理资源共享体系，实现信息化平台与相关成员单位系统之间的数据共享及交换。</w:t>
      </w:r>
    </w:p>
    <w:p>
      <w:pPr>
        <w:widowControl w:val="0"/>
        <w:spacing w:line="360" w:lineRule="auto"/>
        <w:ind w:firstLine="480" w:firstLineChars="200"/>
        <w:jc w:val="both"/>
        <w:rPr>
          <w:rFonts w:hint="eastAsia"/>
          <w:highlight w:val="none"/>
        </w:rPr>
      </w:pPr>
      <w:r>
        <w:rPr>
          <w:highlight w:val="none"/>
        </w:rPr>
        <w:t>4）应用子系统建设</w:t>
      </w:r>
    </w:p>
    <w:p>
      <w:pPr>
        <w:widowControl w:val="0"/>
        <w:spacing w:line="360" w:lineRule="auto"/>
        <w:ind w:firstLine="480" w:firstLineChars="200"/>
        <w:jc w:val="both"/>
        <w:rPr>
          <w:rFonts w:hint="eastAsia"/>
          <w:highlight w:val="none"/>
        </w:rPr>
      </w:pPr>
      <w:r>
        <w:rPr>
          <w:rFonts w:hint="eastAsia"/>
          <w:highlight w:val="none"/>
        </w:rPr>
        <w:t>建设资产管理、建设管理、市场管理、运行维护、应急指挥、能耗管理、考核管理、决策支持和社会监督等子系统。</w:t>
      </w:r>
    </w:p>
    <w:p>
      <w:pPr>
        <w:widowControl w:val="0"/>
        <w:spacing w:line="360" w:lineRule="auto"/>
        <w:ind w:firstLine="480" w:firstLineChars="200"/>
        <w:jc w:val="both"/>
        <w:rPr>
          <w:rFonts w:hint="eastAsia"/>
          <w:highlight w:val="none"/>
        </w:rPr>
      </w:pPr>
    </w:p>
    <w:p>
      <w:pPr>
        <w:widowControl w:val="0"/>
        <w:spacing w:line="360" w:lineRule="auto"/>
        <w:ind w:firstLine="480" w:firstLineChars="200"/>
        <w:jc w:val="both"/>
        <w:rPr>
          <w:rFonts w:hint="eastAsia"/>
          <w:highlight w:val="none"/>
        </w:rPr>
      </w:pPr>
      <w:r>
        <w:rPr>
          <w:rFonts w:hint="eastAsia"/>
          <w:highlight w:val="none"/>
        </w:rPr>
        <w:t>2022年，结合市综管中心综合杆设施管理的业务发展需求，继承上海市道路照明管理信息平台的建设成果，对原有系统进行升级改造，建立覆盖面更广、智能化更高的综合杆设施信息管理系统，实现综合杆设施全生命周期、全过程的精细化管理，提高综合杆设施安全性、有效性、共享性。</w:t>
      </w:r>
    </w:p>
    <w:p>
      <w:pPr>
        <w:widowControl w:val="0"/>
        <w:spacing w:line="360" w:lineRule="auto"/>
        <w:ind w:firstLine="480" w:firstLineChars="200"/>
        <w:jc w:val="both"/>
        <w:rPr>
          <w:rFonts w:hint="eastAsia"/>
          <w:highlight w:val="none"/>
        </w:rPr>
      </w:pPr>
      <w:r>
        <w:rPr>
          <w:rFonts w:hint="eastAsia"/>
          <w:highlight w:val="none"/>
        </w:rPr>
        <w:t>覆盖面更广——管理的设施对象从照明设施拓展至综合杆设施，业务管理范围从设施的建设、运行、养护进一步扩展到用户服务，全面覆盖上海市城市综合管理事务中心照明管理及综合杆设施管理的业务。</w:t>
      </w:r>
    </w:p>
    <w:p>
      <w:pPr>
        <w:widowControl w:val="0"/>
        <w:spacing w:line="360" w:lineRule="auto"/>
        <w:ind w:firstLine="480" w:firstLineChars="200"/>
        <w:jc w:val="both"/>
        <w:rPr>
          <w:rFonts w:hint="eastAsia"/>
          <w:highlight w:val="none"/>
          <w:lang w:val="en-US" w:eastAsia="zh-CN"/>
        </w:rPr>
      </w:pPr>
      <w:r>
        <w:rPr>
          <w:rFonts w:hint="eastAsia"/>
          <w:highlight w:val="none"/>
        </w:rPr>
        <w:t>智能化更高——通过建立完整的综合杆设施信息化档案、实时在线监测综合杆设施运行工况、养护过程的在线互动，实现综合杆设施管理决策智能分析、业务操作智能作业，深化数据分析利用能力，提高管理决策支撑能力。</w:t>
      </w:r>
    </w:p>
    <w:p>
      <w:pPr>
        <w:widowControl w:val="0"/>
        <w:spacing w:line="360" w:lineRule="auto"/>
        <w:ind w:firstLine="480" w:firstLineChars="200"/>
        <w:jc w:val="both"/>
        <w:rPr>
          <w:rFonts w:hint="eastAsia"/>
          <w:highlight w:val="none"/>
        </w:rPr>
      </w:pPr>
      <w:r>
        <w:rPr>
          <w:rFonts w:hint="eastAsia"/>
          <w:highlight w:val="none"/>
          <w:lang w:val="en-US" w:eastAsia="zh-CN"/>
        </w:rPr>
        <w:t>2022年的</w:t>
      </w:r>
      <w:r>
        <w:rPr>
          <w:rFonts w:hint="eastAsia"/>
          <w:highlight w:val="none"/>
        </w:rPr>
        <w:t>建设内容包括：</w:t>
      </w:r>
    </w:p>
    <w:p>
      <w:pPr>
        <w:widowControl w:val="0"/>
        <w:spacing w:line="360" w:lineRule="auto"/>
        <w:ind w:firstLine="480" w:firstLineChars="200"/>
        <w:jc w:val="both"/>
        <w:rPr>
          <w:rFonts w:hint="eastAsia"/>
          <w:highlight w:val="none"/>
        </w:rPr>
      </w:pPr>
      <w:r>
        <w:rPr>
          <w:rFonts w:hint="eastAsia"/>
          <w:highlight w:val="none"/>
        </w:rPr>
        <w:t>1）建设一体化数据采集及监控子系统，实现照明监控设备及综合杆设施运行工况在线监控。</w:t>
      </w:r>
    </w:p>
    <w:p>
      <w:pPr>
        <w:widowControl w:val="0"/>
        <w:spacing w:line="360" w:lineRule="auto"/>
        <w:ind w:firstLine="480" w:firstLineChars="200"/>
        <w:jc w:val="both"/>
        <w:rPr>
          <w:rFonts w:hint="eastAsia"/>
          <w:highlight w:val="none"/>
        </w:rPr>
      </w:pPr>
      <w:r>
        <w:rPr>
          <w:rFonts w:hint="eastAsia"/>
          <w:highlight w:val="none"/>
        </w:rPr>
        <w:t>2）建设综合杆建设管理子系统，实现合杆工程建设全过程管理。</w:t>
      </w:r>
    </w:p>
    <w:p>
      <w:pPr>
        <w:widowControl w:val="0"/>
        <w:spacing w:line="360" w:lineRule="auto"/>
        <w:ind w:firstLine="480" w:firstLineChars="200"/>
        <w:jc w:val="both"/>
        <w:rPr>
          <w:rFonts w:hint="eastAsia"/>
          <w:highlight w:val="none"/>
        </w:rPr>
      </w:pPr>
      <w:r>
        <w:rPr>
          <w:rFonts w:hint="eastAsia"/>
          <w:highlight w:val="none"/>
        </w:rPr>
        <w:t>3）建设综合杆设施管理子系统，规范综合杆设施基础信息及电子锁授权管理相关服务信息，完善综合杆设施资源库。</w:t>
      </w:r>
    </w:p>
    <w:p>
      <w:pPr>
        <w:widowControl w:val="0"/>
        <w:spacing w:line="360" w:lineRule="auto"/>
        <w:ind w:firstLine="480" w:firstLineChars="200"/>
        <w:jc w:val="both"/>
        <w:rPr>
          <w:rFonts w:hint="eastAsia"/>
          <w:highlight w:val="none"/>
        </w:rPr>
      </w:pPr>
      <w:r>
        <w:rPr>
          <w:rFonts w:hint="eastAsia"/>
          <w:highlight w:val="none"/>
        </w:rPr>
        <w:t>4）建设综合杆用户服务子系统，为综合杆用户单位提供设施搭载管理及协同养护等服务。</w:t>
      </w:r>
    </w:p>
    <w:p>
      <w:pPr>
        <w:widowControl w:val="0"/>
        <w:spacing w:line="360" w:lineRule="auto"/>
        <w:ind w:firstLine="480" w:firstLineChars="200"/>
        <w:jc w:val="both"/>
        <w:rPr>
          <w:rFonts w:hint="eastAsia"/>
          <w:highlight w:val="none"/>
        </w:rPr>
      </w:pPr>
      <w:r>
        <w:rPr>
          <w:rFonts w:hint="eastAsia"/>
          <w:highlight w:val="none"/>
        </w:rPr>
        <w:t>5）建设综合杆能耗管理子系统，对综合电源箱、综合设备箱及各舱位能耗进行管理。</w:t>
      </w:r>
    </w:p>
    <w:p>
      <w:pPr>
        <w:widowControl w:val="0"/>
        <w:spacing w:line="360" w:lineRule="auto"/>
        <w:ind w:firstLine="480" w:firstLineChars="200"/>
        <w:jc w:val="both"/>
        <w:rPr>
          <w:rFonts w:hint="eastAsia"/>
          <w:highlight w:val="none"/>
        </w:rPr>
      </w:pPr>
      <w:r>
        <w:rPr>
          <w:rFonts w:hint="eastAsia"/>
          <w:highlight w:val="none"/>
        </w:rPr>
        <w:t>6）建设综合杆运维养护子系统，对综合杆设施日常养护、故障报修进行调度管理，对综合杆养护、维修过程进行记录。</w:t>
      </w:r>
    </w:p>
    <w:p>
      <w:pPr>
        <w:widowControl w:val="0"/>
        <w:spacing w:line="360" w:lineRule="auto"/>
        <w:ind w:firstLine="480" w:firstLineChars="200"/>
        <w:jc w:val="both"/>
        <w:rPr>
          <w:rFonts w:hint="eastAsia"/>
          <w:highlight w:val="none"/>
        </w:rPr>
      </w:pPr>
      <w:r>
        <w:rPr>
          <w:rFonts w:hint="eastAsia"/>
          <w:highlight w:val="none"/>
        </w:rPr>
        <w:t>7）建设综合杆考核管理子系统，建立评价模型，对参与综合杆建设单位、养护单位、用户服务等进行考核。</w:t>
      </w:r>
    </w:p>
    <w:p>
      <w:pPr>
        <w:widowControl w:val="0"/>
        <w:spacing w:line="360" w:lineRule="auto"/>
        <w:ind w:firstLine="480" w:firstLineChars="200"/>
        <w:jc w:val="both"/>
        <w:rPr>
          <w:rFonts w:hint="eastAsia"/>
          <w:highlight w:val="none"/>
        </w:rPr>
      </w:pPr>
      <w:r>
        <w:rPr>
          <w:rFonts w:hint="eastAsia"/>
          <w:highlight w:val="none"/>
        </w:rPr>
        <w:t>8）建设决策支持子系统，对综合杆设施状态评估、运行情况分析和搭载能力分析。</w:t>
      </w:r>
    </w:p>
    <w:p>
      <w:pPr>
        <w:widowControl w:val="0"/>
        <w:spacing w:line="360" w:lineRule="auto"/>
        <w:ind w:firstLine="480" w:firstLineChars="200"/>
        <w:jc w:val="both"/>
        <w:rPr>
          <w:rFonts w:hint="eastAsia"/>
          <w:highlight w:val="none"/>
        </w:rPr>
      </w:pPr>
    </w:p>
    <w:p>
      <w:pPr>
        <w:widowControl w:val="0"/>
        <w:spacing w:line="360" w:lineRule="auto"/>
        <w:ind w:firstLine="480" w:firstLineChars="200"/>
        <w:jc w:val="both"/>
        <w:rPr>
          <w:rFonts w:hint="eastAsia"/>
          <w:highlight w:val="none"/>
        </w:rPr>
      </w:pPr>
      <w:r>
        <w:rPr>
          <w:rFonts w:hint="eastAsia"/>
          <w:highlight w:val="none"/>
        </w:rPr>
        <w:t>道路照明管理信息平台建成以来，系统运行稳定，已完成道路和公共区域照明管理基础数据库建设，入库设施涉及市、区、行业与路政管理的控制箱、灯杆、灯具以及配套灯盏、线路、窨井等信息。已完成城市照明管理资源共享体系建设，整合现有信息资源，构建城市照明管理资源共享体系，实现信息化平台与相关成员单位系统之间的数据共享及交换。完成《市区二级接口设计规范》标准文档编制及市区二级数据接口。</w:t>
      </w:r>
    </w:p>
    <w:p>
      <w:pPr>
        <w:widowControl w:val="0"/>
        <w:spacing w:line="360" w:lineRule="auto"/>
        <w:ind w:firstLine="480" w:firstLineChars="200"/>
        <w:jc w:val="both"/>
        <w:rPr>
          <w:rFonts w:hint="eastAsia"/>
          <w:highlight w:val="none"/>
        </w:rPr>
      </w:pPr>
      <w:r>
        <w:rPr>
          <w:rFonts w:hint="eastAsia"/>
          <w:highlight w:val="none"/>
        </w:rPr>
        <w:t>实现针对全市所有道路照明建设过程进行登记，管理范围包含新建、改建、扩建工程，以及运行维护和改造工程。实现项目信息登记、合同备案、方案归档、项目验收信息备案、验收接管环节的信息管理。</w:t>
      </w:r>
    </w:p>
    <w:p>
      <w:pPr>
        <w:widowControl w:val="0"/>
        <w:spacing w:line="360" w:lineRule="auto"/>
        <w:ind w:firstLine="480" w:firstLineChars="200"/>
        <w:jc w:val="both"/>
        <w:rPr>
          <w:rFonts w:hint="eastAsia"/>
          <w:highlight w:val="none"/>
        </w:rPr>
      </w:pPr>
      <w:r>
        <w:rPr>
          <w:rFonts w:hint="eastAsia"/>
          <w:highlight w:val="none"/>
        </w:rPr>
        <w:t>实现道路照明建设市场准入资格、企业信用信息以及使用的监督管理。根据市建委制定的行业准入标准和诚信评价体系，对参与照明建设的工程类、材料类和服务类企业基本信息进行管理。</w:t>
      </w:r>
    </w:p>
    <w:p>
      <w:pPr>
        <w:widowControl w:val="0"/>
        <w:spacing w:line="360" w:lineRule="auto"/>
        <w:ind w:firstLine="480" w:firstLineChars="200"/>
        <w:jc w:val="both"/>
        <w:rPr>
          <w:rFonts w:hint="eastAsia"/>
          <w:highlight w:val="none"/>
        </w:rPr>
      </w:pPr>
      <w:r>
        <w:rPr>
          <w:rFonts w:hint="eastAsia"/>
          <w:highlight w:val="none"/>
        </w:rPr>
        <w:t>实现路灯照明设备运行维护管理业务全覆盖，并对照明监控设备等路灯资源和设备维护情况台帐进行统一展示，构建全面涵盖设备运行业务的一体化、全领域、多层次生产业务监管的运行维护模块。目前，系统每月派发工单</w:t>
      </w:r>
      <w:r>
        <w:rPr>
          <w:highlight w:val="none"/>
        </w:rPr>
        <w:t>1000</w:t>
      </w:r>
      <w:r>
        <w:rPr>
          <w:rFonts w:hint="eastAsia"/>
          <w:highlight w:val="none"/>
        </w:rPr>
        <w:t>余件，管理单位可通过系统实时查看工单执行情况及相关统计信息。</w:t>
      </w:r>
    </w:p>
    <w:p>
      <w:pPr>
        <w:widowControl w:val="0"/>
        <w:spacing w:line="360" w:lineRule="auto"/>
        <w:ind w:firstLine="480" w:firstLineChars="200"/>
        <w:jc w:val="both"/>
        <w:rPr>
          <w:rFonts w:hint="eastAsia"/>
          <w:highlight w:val="none"/>
        </w:rPr>
      </w:pPr>
      <w:r>
        <w:rPr>
          <w:rFonts w:hint="eastAsia"/>
          <w:highlight w:val="none"/>
        </w:rPr>
        <w:t>实现考核评价体系，对照明管理的各个责任主体进行考核评价，监督照明管理中发生的具体问题，以及问题处理的质量。</w:t>
      </w:r>
    </w:p>
    <w:p>
      <w:pPr>
        <w:widowControl w:val="0"/>
        <w:spacing w:line="360" w:lineRule="auto"/>
        <w:ind w:firstLine="480" w:firstLineChars="200"/>
        <w:jc w:val="both"/>
        <w:rPr>
          <w:rFonts w:hint="eastAsia"/>
          <w:highlight w:val="none"/>
        </w:rPr>
      </w:pPr>
      <w:r>
        <w:rPr>
          <w:rFonts w:hint="eastAsia"/>
          <w:highlight w:val="none"/>
        </w:rPr>
        <w:t>根据道路照明实时运行状况数据和电表数据，分析照明线路网络结构的现状、能耗分布现状，为节能改造提供决策支持。</w:t>
      </w:r>
    </w:p>
    <w:p>
      <w:pPr>
        <w:widowControl w:val="0"/>
        <w:spacing w:line="360" w:lineRule="auto"/>
        <w:ind w:firstLine="480" w:firstLineChars="200"/>
        <w:jc w:val="both"/>
        <w:rPr>
          <w:rFonts w:hint="eastAsia"/>
          <w:highlight w:val="none"/>
        </w:rPr>
      </w:pPr>
      <w:r>
        <w:rPr>
          <w:rFonts w:hint="eastAsia"/>
          <w:highlight w:val="none"/>
        </w:rPr>
        <w:t>实现依据设施信息、建设管理、市场管理、运行管理、应急指挥、能耗管理、考核管理等数据，为运行维护、更新改造等方面的决策提供建议。</w:t>
      </w:r>
    </w:p>
    <w:p>
      <w:pPr>
        <w:pStyle w:val="7"/>
        <w:ind w:firstLine="400"/>
        <w:rPr>
          <w:highlight w:val="none"/>
        </w:rPr>
      </w:pPr>
    </w:p>
    <w:p>
      <w:pPr>
        <w:pStyle w:val="3"/>
        <w:ind w:left="0" w:firstLine="0"/>
        <w:rPr>
          <w:rFonts w:hint="eastAsia"/>
          <w:highlight w:val="none"/>
        </w:rPr>
      </w:pPr>
      <w:bookmarkStart w:id="4" w:name="_Toc181364329"/>
      <w:r>
        <w:rPr>
          <w:rFonts w:hint="eastAsia"/>
          <w:highlight w:val="none"/>
        </w:rPr>
        <w:t>拟建项目与已有系统的关系</w:t>
      </w:r>
      <w:bookmarkEnd w:id="4"/>
    </w:p>
    <w:p>
      <w:pPr>
        <w:widowControl w:val="0"/>
        <w:spacing w:line="360" w:lineRule="auto"/>
        <w:ind w:firstLine="480" w:firstLineChars="200"/>
        <w:jc w:val="both"/>
        <w:rPr>
          <w:rFonts w:hint="eastAsia"/>
          <w:highlight w:val="none"/>
        </w:rPr>
      </w:pPr>
      <w:r>
        <w:rPr>
          <w:rFonts w:hint="eastAsia"/>
          <w:highlight w:val="none"/>
        </w:rPr>
        <w:t>拟建项目是对已有道路照明管理信息系统的国产化适配性改造。本次国产适配性改造仅涉及建设时间为2017年的平台改造项目（2022年升级改造项目已要求完成相应内容），在不改变系统整体架构和业务逻辑的前提下，对系统进行适配性调整，确保系统能够在国产化环境中正常运行。改造过程中，将充分考虑现有系统的业务需求和功能特点，确保改造后的系统能够满足业务需求。</w:t>
      </w:r>
    </w:p>
    <w:p>
      <w:pPr>
        <w:rPr>
          <w:rFonts w:hint="eastAsia"/>
          <w:highlight w:val="none"/>
        </w:rPr>
      </w:pPr>
    </w:p>
    <w:p>
      <w:pPr>
        <w:pStyle w:val="2"/>
        <w:ind w:left="0" w:firstLine="0"/>
        <w:rPr>
          <w:rFonts w:hint="eastAsia"/>
          <w:highlight w:val="none"/>
        </w:rPr>
      </w:pPr>
      <w:bookmarkStart w:id="5" w:name="_Toc47533256"/>
      <w:bookmarkEnd w:id="5"/>
      <w:bookmarkStart w:id="6" w:name="_Toc47532255"/>
      <w:bookmarkEnd w:id="6"/>
      <w:bookmarkStart w:id="7" w:name="_Toc47536644"/>
      <w:bookmarkEnd w:id="7"/>
      <w:bookmarkStart w:id="8" w:name="_Toc47531634"/>
      <w:bookmarkEnd w:id="8"/>
      <w:bookmarkStart w:id="9" w:name="_Toc47539070"/>
      <w:bookmarkEnd w:id="9"/>
      <w:bookmarkStart w:id="10" w:name="_Toc47537134"/>
      <w:bookmarkEnd w:id="10"/>
      <w:bookmarkStart w:id="11" w:name="_Toc47532891"/>
      <w:bookmarkEnd w:id="11"/>
      <w:bookmarkStart w:id="12" w:name="_Toc47536272"/>
      <w:bookmarkEnd w:id="12"/>
      <w:bookmarkStart w:id="13" w:name="_Toc48223882"/>
      <w:bookmarkStart w:id="14" w:name="_Toc63785463"/>
      <w:r>
        <w:rPr>
          <w:rFonts w:hint="eastAsia"/>
          <w:highlight w:val="none"/>
        </w:rPr>
        <w:t>建设目标</w:t>
      </w:r>
      <w:bookmarkEnd w:id="13"/>
      <w:bookmarkEnd w:id="14"/>
    </w:p>
    <w:p>
      <w:pPr>
        <w:widowControl w:val="0"/>
        <w:spacing w:line="360" w:lineRule="auto"/>
        <w:ind w:firstLine="480" w:firstLineChars="200"/>
        <w:jc w:val="both"/>
        <w:rPr>
          <w:rFonts w:hint="eastAsia"/>
          <w:highlight w:val="none"/>
        </w:rPr>
      </w:pPr>
      <w:r>
        <w:rPr>
          <w:rFonts w:hint="eastAsia"/>
          <w:highlight w:val="none"/>
        </w:rPr>
        <w:t>本项目旨在通过对现有道路照明管理信息平台进行全面升级及国产化适配性改造，以满足国家信息技术创新战略的要求，并符合电子政务云的相关标准规范。项目完成后，系统将具备高度的国产化适配性，确保在国产化环境下稳定、高效、安全地运行。</w:t>
      </w:r>
    </w:p>
    <w:p>
      <w:pPr>
        <w:pStyle w:val="2"/>
        <w:ind w:left="0" w:firstLine="0"/>
        <w:rPr>
          <w:rFonts w:hint="eastAsia"/>
          <w:highlight w:val="none"/>
        </w:rPr>
      </w:pPr>
      <w:bookmarkStart w:id="15" w:name="_Toc47532923"/>
      <w:bookmarkEnd w:id="15"/>
      <w:bookmarkStart w:id="16" w:name="_Toc47533288"/>
      <w:bookmarkEnd w:id="16"/>
      <w:bookmarkStart w:id="17" w:name="_Toc47537166"/>
      <w:bookmarkEnd w:id="17"/>
      <w:bookmarkStart w:id="18" w:name="_Toc47536304"/>
      <w:bookmarkEnd w:id="18"/>
      <w:bookmarkStart w:id="19" w:name="_Toc47536676"/>
      <w:bookmarkEnd w:id="19"/>
      <w:bookmarkStart w:id="20" w:name="_Toc47539102"/>
      <w:bookmarkEnd w:id="20"/>
      <w:r>
        <w:rPr>
          <w:rFonts w:hint="eastAsia"/>
          <w:highlight w:val="none"/>
        </w:rPr>
        <w:t>项目建设内容</w:t>
      </w:r>
    </w:p>
    <w:p>
      <w:pPr>
        <w:widowControl w:val="0"/>
        <w:spacing w:line="360" w:lineRule="auto"/>
        <w:ind w:firstLine="420"/>
        <w:jc w:val="both"/>
        <w:rPr>
          <w:rFonts w:hint="eastAsia"/>
          <w:highlight w:val="none"/>
        </w:rPr>
      </w:pPr>
      <w:r>
        <w:rPr>
          <w:rFonts w:hint="eastAsia"/>
          <w:highlight w:val="none"/>
        </w:rPr>
        <w:t>本项目主要建设内容如下：</w:t>
      </w:r>
    </w:p>
    <w:p>
      <w:pPr>
        <w:widowControl w:val="0"/>
        <w:spacing w:line="360" w:lineRule="auto"/>
        <w:ind w:firstLine="480"/>
        <w:jc w:val="both"/>
        <w:rPr>
          <w:rFonts w:hint="eastAsia"/>
          <w:highlight w:val="none"/>
        </w:rPr>
      </w:pPr>
      <w:r>
        <w:rPr>
          <w:rFonts w:hint="eastAsia"/>
          <w:highlight w:val="none"/>
        </w:rPr>
        <w:t>1. 对现有上海市道路照明管理信息平台进行国产化适配性改造和国产密码应用适配性改造。</w:t>
      </w:r>
    </w:p>
    <w:p>
      <w:pPr>
        <w:widowControl w:val="0"/>
        <w:spacing w:line="360" w:lineRule="auto"/>
        <w:ind w:firstLine="480" w:firstLineChars="200"/>
        <w:jc w:val="both"/>
        <w:rPr>
          <w:rFonts w:hint="eastAsia"/>
          <w:highlight w:val="none"/>
        </w:rPr>
      </w:pPr>
      <w:bookmarkStart w:id="21" w:name="_Toc195537442"/>
      <w:bookmarkEnd w:id="21"/>
      <w:bookmarkStart w:id="22" w:name="_Toc195537173"/>
      <w:bookmarkEnd w:id="22"/>
      <w:bookmarkStart w:id="23" w:name="_Toc199686969"/>
      <w:bookmarkEnd w:id="23"/>
      <w:bookmarkStart w:id="24" w:name="_Toc195537167"/>
      <w:bookmarkEnd w:id="24"/>
      <w:bookmarkStart w:id="25" w:name="_Toc199689698"/>
      <w:bookmarkEnd w:id="25"/>
      <w:bookmarkStart w:id="26" w:name="_Toc195537435"/>
      <w:bookmarkEnd w:id="26"/>
      <w:bookmarkStart w:id="27" w:name="_Toc199689705"/>
      <w:bookmarkEnd w:id="27"/>
      <w:bookmarkStart w:id="28" w:name="_Toc195537215"/>
      <w:bookmarkEnd w:id="28"/>
      <w:bookmarkStart w:id="29" w:name="_Toc199736677"/>
      <w:bookmarkEnd w:id="29"/>
      <w:bookmarkStart w:id="30" w:name="_Toc195537221"/>
      <w:bookmarkEnd w:id="30"/>
      <w:bookmarkStart w:id="31" w:name="_Toc199736670"/>
      <w:bookmarkEnd w:id="31"/>
      <w:bookmarkStart w:id="32" w:name="_Toc199686962"/>
      <w:bookmarkEnd w:id="32"/>
      <w:r>
        <w:rPr>
          <w:rFonts w:hint="eastAsia"/>
          <w:highlight w:val="none"/>
        </w:rPr>
        <w:t>2. 将现有上海市道路照明管理信息平台迁移至政务云平台，同步完成历史数据迁移，确保各子系统正常运行。</w:t>
      </w:r>
    </w:p>
    <w:p>
      <w:pPr>
        <w:rPr>
          <w:rFonts w:hint="eastAsia"/>
          <w:highlight w:val="none"/>
        </w:rPr>
      </w:pPr>
    </w:p>
    <w:p>
      <w:pPr>
        <w:snapToGrid w:val="0"/>
        <w:spacing w:line="440" w:lineRule="exact"/>
        <w:ind w:firstLine="480" w:firstLineChars="200"/>
        <w:rPr>
          <w:b/>
          <w:highlight w:val="none"/>
        </w:rPr>
      </w:pPr>
      <w:r>
        <w:rPr>
          <w:rFonts w:hint="eastAsia"/>
          <w:b/>
          <w:highlight w:val="none"/>
        </w:rPr>
        <w:t>软件开发清单：</w:t>
      </w:r>
    </w:p>
    <w:tbl>
      <w:tblPr>
        <w:tblStyle w:val="11"/>
        <w:tblW w:w="8500" w:type="dxa"/>
        <w:tblInd w:w="0" w:type="dxa"/>
        <w:tblLayout w:type="autofit"/>
        <w:tblCellMar>
          <w:top w:w="0" w:type="dxa"/>
          <w:left w:w="108" w:type="dxa"/>
          <w:bottom w:w="0" w:type="dxa"/>
          <w:right w:w="108" w:type="dxa"/>
        </w:tblCellMar>
      </w:tblPr>
      <w:tblGrid>
        <w:gridCol w:w="704"/>
        <w:gridCol w:w="1276"/>
        <w:gridCol w:w="1276"/>
        <w:gridCol w:w="5244"/>
      </w:tblGrid>
      <w:tr>
        <w:tblPrEx>
          <w:tblCellMar>
            <w:top w:w="0" w:type="dxa"/>
            <w:left w:w="108" w:type="dxa"/>
            <w:bottom w:w="0" w:type="dxa"/>
            <w:right w:w="108" w:type="dxa"/>
          </w:tblCellMar>
        </w:tblPrEx>
        <w:trPr>
          <w:trHeight w:val="420" w:hRule="atLeast"/>
        </w:trPr>
        <w:tc>
          <w:tcPr>
            <w:tcW w:w="704" w:type="dxa"/>
            <w:tcBorders>
              <w:top w:val="single" w:color="auto" w:sz="4" w:space="0"/>
              <w:left w:val="single" w:color="auto" w:sz="4" w:space="0"/>
              <w:bottom w:val="single" w:color="auto" w:sz="4" w:space="0"/>
              <w:right w:val="single" w:color="auto" w:sz="4" w:space="0"/>
            </w:tcBorders>
            <w:shd w:val="clear" w:color="000000" w:fill="F3F8FC"/>
            <w:noWrap/>
            <w:vAlign w:val="center"/>
          </w:tcPr>
          <w:p>
            <w:pPr>
              <w:jc w:val="center"/>
              <w:rPr>
                <w:rFonts w:cs="宋体"/>
                <w:b/>
                <w:bCs/>
                <w:color w:val="000000"/>
                <w:kern w:val="0"/>
                <w:sz w:val="22"/>
                <w:szCs w:val="22"/>
                <w:highlight w:val="none"/>
              </w:rPr>
            </w:pPr>
            <w:r>
              <w:rPr>
                <w:rFonts w:hint="eastAsia" w:cs="宋体"/>
                <w:b/>
                <w:bCs/>
                <w:color w:val="000000"/>
                <w:kern w:val="0"/>
                <w:sz w:val="22"/>
                <w:szCs w:val="22"/>
                <w:highlight w:val="none"/>
              </w:rPr>
              <w:t>序号</w:t>
            </w:r>
          </w:p>
        </w:tc>
        <w:tc>
          <w:tcPr>
            <w:tcW w:w="1276" w:type="dxa"/>
            <w:tcBorders>
              <w:top w:val="single" w:color="auto" w:sz="4" w:space="0"/>
              <w:left w:val="nil"/>
              <w:bottom w:val="single" w:color="auto" w:sz="4" w:space="0"/>
              <w:right w:val="single" w:color="auto" w:sz="4" w:space="0"/>
            </w:tcBorders>
            <w:shd w:val="clear" w:color="000000" w:fill="F3F8FC"/>
            <w:noWrap/>
            <w:vAlign w:val="center"/>
          </w:tcPr>
          <w:p>
            <w:pPr>
              <w:jc w:val="center"/>
              <w:rPr>
                <w:rFonts w:hint="eastAsia" w:cs="宋体"/>
                <w:b/>
                <w:bCs/>
                <w:color w:val="000000"/>
                <w:kern w:val="0"/>
                <w:sz w:val="22"/>
                <w:szCs w:val="22"/>
                <w:highlight w:val="none"/>
              </w:rPr>
            </w:pPr>
            <w:r>
              <w:rPr>
                <w:rFonts w:hint="eastAsia" w:cs="宋体"/>
                <w:b/>
                <w:bCs/>
                <w:color w:val="000000"/>
                <w:kern w:val="0"/>
                <w:sz w:val="22"/>
                <w:szCs w:val="22"/>
                <w:highlight w:val="none"/>
              </w:rPr>
              <w:t>应用系统名称</w:t>
            </w:r>
          </w:p>
        </w:tc>
        <w:tc>
          <w:tcPr>
            <w:tcW w:w="1276" w:type="dxa"/>
            <w:tcBorders>
              <w:top w:val="single" w:color="auto" w:sz="4" w:space="0"/>
              <w:left w:val="nil"/>
              <w:bottom w:val="single" w:color="auto" w:sz="4" w:space="0"/>
              <w:right w:val="single" w:color="auto" w:sz="4" w:space="0"/>
            </w:tcBorders>
            <w:shd w:val="clear" w:color="000000" w:fill="F3F8FC"/>
            <w:noWrap/>
            <w:vAlign w:val="center"/>
          </w:tcPr>
          <w:p>
            <w:pPr>
              <w:jc w:val="center"/>
              <w:rPr>
                <w:rFonts w:hint="eastAsia" w:cs="宋体"/>
                <w:b/>
                <w:bCs/>
                <w:color w:val="000000"/>
                <w:kern w:val="0"/>
                <w:sz w:val="22"/>
                <w:szCs w:val="22"/>
                <w:highlight w:val="none"/>
              </w:rPr>
            </w:pPr>
            <w:r>
              <w:rPr>
                <w:rFonts w:hint="eastAsia" w:cs="宋体"/>
                <w:b/>
                <w:bCs/>
                <w:color w:val="000000"/>
                <w:kern w:val="0"/>
                <w:sz w:val="22"/>
                <w:szCs w:val="22"/>
                <w:highlight w:val="none"/>
              </w:rPr>
              <w:t>模块名称</w:t>
            </w:r>
          </w:p>
        </w:tc>
        <w:tc>
          <w:tcPr>
            <w:tcW w:w="5244" w:type="dxa"/>
            <w:tcBorders>
              <w:top w:val="single" w:color="auto" w:sz="4" w:space="0"/>
              <w:left w:val="nil"/>
              <w:bottom w:val="single" w:color="auto" w:sz="4" w:space="0"/>
              <w:right w:val="single" w:color="auto" w:sz="4" w:space="0"/>
            </w:tcBorders>
            <w:shd w:val="clear" w:color="000000" w:fill="F3F8FC"/>
            <w:vAlign w:val="center"/>
          </w:tcPr>
          <w:p>
            <w:pPr>
              <w:jc w:val="center"/>
              <w:rPr>
                <w:rFonts w:hint="eastAsia" w:cs="宋体"/>
                <w:b/>
                <w:bCs/>
                <w:color w:val="000000"/>
                <w:kern w:val="0"/>
                <w:sz w:val="22"/>
                <w:szCs w:val="22"/>
                <w:highlight w:val="none"/>
              </w:rPr>
            </w:pPr>
            <w:r>
              <w:rPr>
                <w:rFonts w:hint="eastAsia" w:cs="宋体"/>
                <w:b/>
                <w:bCs/>
                <w:color w:val="000000"/>
                <w:kern w:val="0"/>
                <w:sz w:val="22"/>
                <w:szCs w:val="22"/>
                <w:highlight w:val="none"/>
              </w:rPr>
              <w:t>模块描述</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项目信息登记</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对于道路照明新建、改/扩建、专项改造工程，由报建单位在网上填写建设工程登记表，由事务中心进行确认反馈。</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合同备案</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针对已登记的项目进行合同备案工作。合同备案分二个阶段，即设计合同备案，设计方案确认后，进入施工合同备案，允许总承包商进行设计、施工、监理合同同期备案。</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方案归档</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事务中心针对施工方案进行质量监督，并从建管方面对方案提出意见，可要求建设方进行深化设计，同时通过网上平台查询处理进度情况或通过电子邮件的方式反馈给建设单位联系人，并由事务中心确认归档。</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4</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项目验收</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中间验收阶段，主要参与隐蔽工程验收，如基础、电缆等。竣工验收阶段，建设单位在提交验收申请后，事务中心人员将根据实际情况通过平台或电子邮件方式告知接管时间。竣工验收后，由审核人员填写验收意见。</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5</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移交接管</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实现道路照明建设工程自准备阶段开始至工程竣工验收结束全过程各相关文件、各类记录整体归档入库，并完成道路照明建设工程设施部件更新到资产信息数据库中。</w:t>
            </w:r>
          </w:p>
        </w:tc>
      </w:tr>
      <w:tr>
        <w:tblPrEx>
          <w:tblCellMar>
            <w:top w:w="0" w:type="dxa"/>
            <w:left w:w="108" w:type="dxa"/>
            <w:bottom w:w="0" w:type="dxa"/>
            <w:right w:w="108" w:type="dxa"/>
          </w:tblCellMar>
        </w:tblPrEx>
        <w:trPr>
          <w:trHeight w:val="84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6</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道路照明设施入库</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建设项目相关的道路照明设施部件交由事务中心人员经自检、互检、专业审核及监理审核合格的部件信息逐一核实后输入到资产信息共享数据库中。实际录入包括：图形输入与修改、属性录入和检核三部分工作，最后进行数据库入库。</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7</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建设管理子系统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项目信息统计分析</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实现建设项目数据的汇总、查询、分析的功能。提供按照项目分类、建设单位分类、地点分类等项目信息查询功能，提供统计分析功能，并以相应的图表进行表示。</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8</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市场管理子系统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企业申请登记</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对于工程类、材料类、服务类企业，系统提供申请登记功能，企业提交相关信息进行登记。</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9</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市场管理子系统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三类企业信息确认</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企业在本系统中完成申请登记后，事务中心对申请的企业及详细事项进行确认。对于信息和材料不完备的企业，通过系统的退回功能，事务中心可以将材料和反馈意见退回给申请方。</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10</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资产管理子系统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设施台帐</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对所有的设备（箱、杆、灯）基础数据和业务数据进行管理。主要包括设备的静态台帐（设备编码、名称、规格型号、厂家、图纸信息、负责部门及技术参数等）、动态运维台帐、可视化台帐显示等功能。</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11</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资产管理子系统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设施地图</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可在GIS地图上查看各行政区的照明设施数量、设施点位、设施信息等；可根据道路名、设施编号等在地图上精确查询相应设施；可在地图上关联查看各类设施的拓扑关系、供电关系的等；可在地图上统计各类设施数量。</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12</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资产管理子系统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设施变更</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通过相关流程实现设施割接管理、设施修正管理，记录设施变更信息；对设施报废进行登记。</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资产管理子系统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设施统计</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实现设施量统计、设施增减量统计、设施档案变更统计、设施总览等相关统计分析功能。</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照明监控基础管理</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提供照明监控设备台帐管理、设备分组管理；提供新增、修改、删除采集策略的功能</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15</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照明监控通信管理</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提供对命令的执行采用优先级排列，依优先级执行监控类命令、后台召测命令、自动采集命令；提供和远程终端建立和维持TCP/IP通道，并在通道上进行数据通信的功能；提供监测远程终端的心跳信息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16</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照明监控运行管理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提供监控管理，提供对照明监控终端运行状态的监测功能，查看远程终端的在线情况、实时召测、事件告警等。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17</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照明监控数据管理</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提供对采集数据的自动分析和处理，分析异常数据信息、设备异常状态信息等；提供通信数据在客户端与前置应用间的交互与转换。</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18</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照明监控统计分析</w:t>
            </w:r>
          </w:p>
        </w:tc>
        <w:tc>
          <w:tcPr>
            <w:tcW w:w="5244" w:type="dxa"/>
            <w:tcBorders>
              <w:top w:val="nil"/>
              <w:left w:val="nil"/>
              <w:bottom w:val="single" w:color="auto" w:sz="4" w:space="0"/>
              <w:right w:val="single" w:color="auto" w:sz="4" w:space="0"/>
            </w:tcBorders>
            <w:shd w:val="clear" w:color="000000" w:fill="FFFFFF"/>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提供对用电趋势的分析，分析路灯的运行状态；提供查询、导出和打印的功能；提供亮灯率统计功能，根据系统自动采集的数据完成亮灯率统计；提供查询、导出和打印功能；提供电压、电流越限报表</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19</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基础信息管理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对故障类型、缺陷类型等基础信息进行管理；对养护队伍进行管理，绑定各养护队伍的运维管理范围。</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20</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工单管理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对运维的工作任务单实施管理。根据社会监督报修、运行监控告警等信息生成工作任务单，并对工单派发、处理、归档进行管理。工单处理在小程序端，需填写故障、缺陷信息及使用物料等。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21</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巡检管理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运维单位在巡检时通过小程序端进行打卡及巡检登记；管理单位在PC端对巡检任务进行管理，可查看各运维单位巡检情况、打卡情况及巡检设备异常情况。</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22</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巡修管理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运维单位在巡修时通过小程序端进行巡修登记；管理单位在PC端对巡修任务进行管理，可查看各运维单位巡修情况及巡修异常日志。</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运维报表统计</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各类工单统计、工单执行情况统计、养护队伍处理情况统计等。</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社会监督子系统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问题收集及案卷处理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收集各类社会监督问题，分类创建案卷，并对案卷进行跟踪处理，最后归档。</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25</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社会监督子系统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案卷统计分析</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可以对所有案卷信息的处理状态（未处理、处理中、处理完成、反馈中等）进行查询，并根据不同的分类、不同的区域等相关条件进行统计分析。</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26</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应急指挥子系统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应急预案管理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制定道路照明管理相关各类应急管理预案，实现应急管理预案新增、编辑、查询、删除等功能。</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27</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应急指挥子系统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应急事件管理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对各类道路照明设施应急事件进行管理，实现从应急事件触发、应急指挥启动、应急资源调度、处理过程指挥、处理结果反馈等全过程管理。</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28</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能耗数据采集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通过excel导入方式按月导入道路照明各电表的能耗数据，并进行校验。</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29</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用电统计分析</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可按行政区、路段、道路性质等统计的年、月、日的电量、电费数据，并可进行同比环比分析。</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30</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能耗追踪</w:t>
            </w:r>
          </w:p>
        </w:tc>
        <w:tc>
          <w:tcPr>
            <w:tcW w:w="5244" w:type="dxa"/>
            <w:tcBorders>
              <w:top w:val="nil"/>
              <w:left w:val="nil"/>
              <w:bottom w:val="single" w:color="auto" w:sz="4" w:space="0"/>
              <w:right w:val="single" w:color="auto" w:sz="4" w:space="0"/>
            </w:tcBorders>
            <w:shd w:val="clear" w:color="auto" w:fill="auto"/>
            <w:noWrap/>
            <w:vAlign w:val="center"/>
          </w:tcPr>
          <w:p>
            <w:pPr>
              <w:rPr>
                <w:rFonts w:hint="eastAsia" w:cs="宋体"/>
                <w:color w:val="000000"/>
                <w:kern w:val="0"/>
                <w:sz w:val="22"/>
                <w:szCs w:val="22"/>
                <w:highlight w:val="none"/>
              </w:rPr>
            </w:pPr>
            <w:r>
              <w:rPr>
                <w:rFonts w:hint="eastAsia" w:cs="宋体"/>
                <w:color w:val="000000"/>
                <w:kern w:val="0"/>
                <w:sz w:val="22"/>
                <w:szCs w:val="22"/>
                <w:highlight w:val="none"/>
              </w:rPr>
              <w:t>对各时段各区域用电情况进行追踪，以热力图方式在地图上分色显示</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31</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能耗预测</w:t>
            </w:r>
          </w:p>
        </w:tc>
        <w:tc>
          <w:tcPr>
            <w:tcW w:w="5244" w:type="dxa"/>
            <w:tcBorders>
              <w:top w:val="nil"/>
              <w:left w:val="nil"/>
              <w:bottom w:val="single" w:color="auto" w:sz="4" w:space="0"/>
              <w:right w:val="single" w:color="auto" w:sz="4" w:space="0"/>
            </w:tcBorders>
            <w:shd w:val="clear" w:color="auto" w:fill="auto"/>
            <w:noWrap/>
            <w:vAlign w:val="center"/>
          </w:tcPr>
          <w:p>
            <w:pPr>
              <w:rPr>
                <w:rFonts w:hint="eastAsia" w:cs="宋体"/>
                <w:color w:val="000000"/>
                <w:kern w:val="0"/>
                <w:sz w:val="22"/>
                <w:szCs w:val="22"/>
                <w:highlight w:val="none"/>
              </w:rPr>
            </w:pPr>
            <w:r>
              <w:rPr>
                <w:rFonts w:hint="eastAsia" w:cs="宋体"/>
                <w:color w:val="000000"/>
                <w:kern w:val="0"/>
                <w:sz w:val="22"/>
                <w:szCs w:val="22"/>
                <w:highlight w:val="none"/>
              </w:rPr>
              <w:t>建立数学模型，对用电进行预测</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32</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考核规则设置</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考核规则是指对各类考核单位进行考核的具体细则，系统通过考核规则表记录每条规则的具体信息，其中包括规则编号、规则名称、规则类型、规则的实现方式等。</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33</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考核对象管理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系统提供考核对象设置面板，管理单位能够新增、删除、更改不同类型的考核主体对象。</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考核评分</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对各类考核对象，根据考核规则进行考核评分。</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35</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考核管理子系统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考核结果分析</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提供对考核结果进行分类统计</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36</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决策支持子系统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监控异常告警</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建立故障报警分析模型，判断虚警实警；设置设备运行状况的标准值、上下限、阀值等数据，对城市道路照明运行数据进行聚类分析，对实时监测过程中的动态数据进行异常告警。</w:t>
            </w:r>
          </w:p>
        </w:tc>
      </w:tr>
      <w:tr>
        <w:tblPrEx>
          <w:tblCellMar>
            <w:top w:w="0" w:type="dxa"/>
            <w:left w:w="108" w:type="dxa"/>
            <w:bottom w:w="0" w:type="dxa"/>
            <w:right w:w="108" w:type="dxa"/>
          </w:tblCellMar>
        </w:tblPrEx>
        <w:trPr>
          <w:trHeight w:val="28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37</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决策支持子系统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运行工况评估</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对道路照明监控设施的运行数据，包括电压、电流、有功功率、功率因数等信息，进行设备运行工况评估。</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38</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决策支持子系统</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cs="宋体"/>
                <w:color w:val="000000"/>
                <w:kern w:val="0"/>
                <w:sz w:val="22"/>
                <w:szCs w:val="22"/>
                <w:highlight w:val="none"/>
              </w:rPr>
            </w:pPr>
            <w:r>
              <w:rPr>
                <w:rFonts w:hint="eastAsia" w:cs="宋体"/>
                <w:color w:val="000000"/>
                <w:kern w:val="0"/>
                <w:sz w:val="22"/>
                <w:szCs w:val="22"/>
                <w:highlight w:val="none"/>
              </w:rPr>
              <w:t>设施寿命提醒</w:t>
            </w:r>
          </w:p>
        </w:tc>
        <w:tc>
          <w:tcPr>
            <w:tcW w:w="5244" w:type="dxa"/>
            <w:tcBorders>
              <w:top w:val="nil"/>
              <w:left w:val="nil"/>
              <w:bottom w:val="single" w:color="auto" w:sz="4" w:space="0"/>
              <w:right w:val="single" w:color="auto" w:sz="4" w:space="0"/>
            </w:tcBorders>
            <w:shd w:val="clear" w:color="auto" w:fill="auto"/>
            <w:vAlign w:val="center"/>
          </w:tcPr>
          <w:p>
            <w:pPr>
              <w:rPr>
                <w:rFonts w:hint="eastAsia" w:cs="宋体"/>
                <w:color w:val="000000"/>
                <w:kern w:val="0"/>
                <w:sz w:val="22"/>
                <w:szCs w:val="22"/>
                <w:highlight w:val="none"/>
              </w:rPr>
            </w:pPr>
            <w:r>
              <w:rPr>
                <w:rFonts w:hint="eastAsia" w:cs="宋体"/>
                <w:color w:val="000000"/>
                <w:kern w:val="0"/>
                <w:sz w:val="22"/>
                <w:szCs w:val="22"/>
                <w:highlight w:val="none"/>
              </w:rPr>
              <w:t>对道路照明设施，包括控制箱、灯杆、灯具、控制终端等设置使用寿命跟踪，提前预警，便于管理维护部门日常维护。</w:t>
            </w:r>
          </w:p>
        </w:tc>
      </w:tr>
    </w:tbl>
    <w:p>
      <w:pPr>
        <w:snapToGrid w:val="0"/>
        <w:spacing w:line="440" w:lineRule="exact"/>
        <w:ind w:firstLine="480" w:firstLineChars="200"/>
        <w:rPr>
          <w:b/>
          <w:highlight w:val="none"/>
        </w:rPr>
      </w:pPr>
    </w:p>
    <w:p>
      <w:pPr>
        <w:rPr>
          <w:rFonts w:hint="eastAsia"/>
          <w:highlight w:val="none"/>
        </w:rPr>
      </w:pPr>
    </w:p>
    <w:p>
      <w:pPr>
        <w:pStyle w:val="2"/>
        <w:ind w:left="0" w:firstLine="0"/>
        <w:rPr>
          <w:rFonts w:hint="eastAsia"/>
          <w:highlight w:val="none"/>
        </w:rPr>
      </w:pPr>
      <w:bookmarkStart w:id="33" w:name="_Toc63785502"/>
      <w:r>
        <w:rPr>
          <w:rFonts w:hint="eastAsia"/>
          <w:highlight w:val="none"/>
        </w:rPr>
        <w:t>电子政务云资源需求</w:t>
      </w:r>
      <w:bookmarkEnd w:id="33"/>
      <w:r>
        <w:rPr>
          <w:rFonts w:hint="eastAsia"/>
          <w:highlight w:val="none"/>
        </w:rPr>
        <w:t>（仅针对上云项目）</w:t>
      </w:r>
    </w:p>
    <w:p>
      <w:pPr>
        <w:widowControl w:val="0"/>
        <w:spacing w:line="360" w:lineRule="auto"/>
        <w:ind w:firstLine="480" w:firstLineChars="200"/>
        <w:jc w:val="both"/>
        <w:rPr>
          <w:rFonts w:hint="eastAsia"/>
          <w:highlight w:val="none"/>
        </w:rPr>
      </w:pPr>
      <w:r>
        <w:rPr>
          <w:rFonts w:hint="eastAsia"/>
          <w:highlight w:val="none"/>
        </w:rPr>
        <w:t>根据项目前期资源现状，本次建设根据估算拟向电子政务云申请34台服务器资源CPU120核 、内存256G、存储14200G，其中虚拟机34台，物理机0台。</w:t>
      </w:r>
    </w:p>
    <w:p>
      <w:pPr>
        <w:widowControl w:val="0"/>
        <w:spacing w:line="360" w:lineRule="auto"/>
        <w:ind w:firstLine="480" w:firstLineChars="200"/>
        <w:jc w:val="both"/>
        <w:rPr>
          <w:rFonts w:hint="eastAsia"/>
          <w:highlight w:val="none"/>
        </w:rPr>
      </w:pPr>
    </w:p>
    <w:p>
      <w:pPr>
        <w:pStyle w:val="2"/>
        <w:ind w:left="0" w:firstLine="0"/>
        <w:rPr>
          <w:rFonts w:hint="eastAsia"/>
          <w:highlight w:val="none"/>
        </w:rPr>
      </w:pPr>
      <w:bookmarkStart w:id="34" w:name="_Toc63785503"/>
      <w:r>
        <w:rPr>
          <w:rFonts w:hint="eastAsia"/>
          <w:highlight w:val="none"/>
        </w:rPr>
        <w:t>其他工作要求</w:t>
      </w:r>
      <w:bookmarkEnd w:id="34"/>
    </w:p>
    <w:p>
      <w:pPr>
        <w:pStyle w:val="3"/>
        <w:ind w:left="0" w:firstLine="0"/>
        <w:rPr>
          <w:rFonts w:hint="eastAsia"/>
          <w:highlight w:val="none"/>
        </w:rPr>
      </w:pPr>
      <w:bookmarkStart w:id="35" w:name="_Toc61968111"/>
      <w:bookmarkEnd w:id="35"/>
      <w:bookmarkStart w:id="36" w:name="_Toc63785504"/>
      <w:bookmarkEnd w:id="36"/>
      <w:bookmarkStart w:id="37" w:name="_Toc63785439"/>
      <w:bookmarkEnd w:id="37"/>
      <w:bookmarkStart w:id="38" w:name="_Toc62209488"/>
      <w:bookmarkEnd w:id="38"/>
      <w:bookmarkStart w:id="39" w:name="_Toc63585480"/>
      <w:bookmarkEnd w:id="39"/>
      <w:bookmarkStart w:id="40" w:name="_Toc63151871"/>
      <w:bookmarkEnd w:id="40"/>
      <w:bookmarkStart w:id="41" w:name="_Toc62219358"/>
      <w:bookmarkEnd w:id="41"/>
      <w:bookmarkStart w:id="42" w:name="_Toc63762370"/>
      <w:bookmarkEnd w:id="42"/>
      <w:bookmarkStart w:id="43" w:name="_Toc63785505"/>
      <w:r>
        <w:rPr>
          <w:rFonts w:hint="eastAsia"/>
          <w:highlight w:val="none"/>
        </w:rPr>
        <w:t>售后服务要求</w:t>
      </w:r>
      <w:bookmarkEnd w:id="43"/>
    </w:p>
    <w:p>
      <w:pPr>
        <w:widowControl w:val="0"/>
        <w:spacing w:line="360" w:lineRule="auto"/>
        <w:ind w:firstLine="482"/>
        <w:jc w:val="both"/>
        <w:rPr>
          <w:rFonts w:hint="eastAsia"/>
          <w:highlight w:val="none"/>
        </w:rPr>
      </w:pPr>
      <w:r>
        <w:rPr>
          <w:rFonts w:hint="eastAsia"/>
          <w:highlight w:val="none"/>
        </w:rPr>
        <w:t>系统质保期：系统质保期为系统通过整体验收后1年。</w:t>
      </w:r>
    </w:p>
    <w:p>
      <w:pPr>
        <w:widowControl w:val="0"/>
        <w:spacing w:line="360" w:lineRule="auto"/>
        <w:ind w:firstLine="482"/>
        <w:jc w:val="both"/>
        <w:rPr>
          <w:rFonts w:hint="eastAsia"/>
          <w:highlight w:val="none"/>
        </w:rPr>
      </w:pPr>
      <w:r>
        <w:rPr>
          <w:rFonts w:hint="eastAsia"/>
          <w:highlight w:val="none"/>
        </w:rPr>
        <w:t>在质量保证期内，供应商必须提供</w:t>
      </w:r>
      <w:r>
        <w:rPr>
          <w:highlight w:val="none"/>
        </w:rPr>
        <w:t>7*24小时免费技术支持</w:t>
      </w:r>
      <w:r>
        <w:rPr>
          <w:rFonts w:hint="eastAsia"/>
          <w:highlight w:val="none"/>
        </w:rPr>
        <w:t>和售后服务，负责信息系统的运行维护工作，确保信息系统安全、稳定、可靠地运行。</w:t>
      </w:r>
    </w:p>
    <w:p>
      <w:pPr>
        <w:widowControl w:val="0"/>
        <w:spacing w:line="360" w:lineRule="auto"/>
        <w:ind w:firstLine="482"/>
        <w:jc w:val="both"/>
        <w:rPr>
          <w:rFonts w:hint="eastAsia"/>
          <w:highlight w:val="none"/>
        </w:rPr>
      </w:pPr>
      <w:r>
        <w:rPr>
          <w:rFonts w:hint="eastAsia"/>
          <w:highlight w:val="none"/>
        </w:rPr>
        <w:t>本项目涉及的运行维护工作范围为：上海市道路照明管理信息平台所有功能模块。</w:t>
      </w:r>
    </w:p>
    <w:p>
      <w:pPr>
        <w:pStyle w:val="13"/>
        <w:ind w:firstLine="422"/>
        <w:rPr>
          <w:highlight w:val="none"/>
        </w:rPr>
      </w:pPr>
    </w:p>
    <w:p>
      <w:pPr>
        <w:pStyle w:val="3"/>
        <w:ind w:left="0" w:firstLine="0"/>
        <w:rPr>
          <w:rFonts w:hint="eastAsia"/>
          <w:highlight w:val="none"/>
        </w:rPr>
      </w:pPr>
      <w:bookmarkStart w:id="44" w:name="_Toc63785506"/>
      <w:r>
        <w:rPr>
          <w:rFonts w:hint="eastAsia"/>
          <w:highlight w:val="none"/>
        </w:rPr>
        <w:t>应急响应要求</w:t>
      </w:r>
      <w:bookmarkEnd w:id="44"/>
    </w:p>
    <w:p>
      <w:pPr>
        <w:widowControl w:val="0"/>
        <w:spacing w:line="360" w:lineRule="auto"/>
        <w:ind w:firstLine="482"/>
        <w:jc w:val="both"/>
        <w:rPr>
          <w:rFonts w:hint="eastAsia"/>
          <w:highlight w:val="none"/>
        </w:rPr>
      </w:pPr>
      <w:r>
        <w:rPr>
          <w:rFonts w:hint="eastAsia"/>
          <w:highlight w:val="none"/>
        </w:rPr>
        <w:t>供应商对系统故障应能够实时响应，若系统发生故障，接到通知后</w:t>
      </w:r>
      <w:r>
        <w:rPr>
          <w:highlight w:val="none"/>
        </w:rPr>
        <w:t>30分钟之内响应，</w:t>
      </w:r>
      <w:r>
        <w:rPr>
          <w:rFonts w:hint="eastAsia"/>
          <w:highlight w:val="none"/>
        </w:rPr>
        <w:t>并按故障级别及对应的响应要求处理。特殊故障与客户沟通协商后，按照协商的方式制定解决方案并进行处理。</w:t>
      </w:r>
    </w:p>
    <w:p>
      <w:pPr>
        <w:widowControl w:val="0"/>
        <w:spacing w:line="360" w:lineRule="auto"/>
        <w:ind w:firstLine="482"/>
        <w:jc w:val="both"/>
        <w:rPr>
          <w:rFonts w:hint="eastAsia"/>
          <w:highlight w:val="none"/>
        </w:rPr>
      </w:pPr>
      <w:r>
        <w:rPr>
          <w:rFonts w:hint="eastAsia"/>
          <w:highlight w:val="none"/>
        </w:rPr>
        <w:t>具体故障级别及对应的应急响应要求如下：</w:t>
      </w:r>
    </w:p>
    <w:p>
      <w:pPr>
        <w:widowControl w:val="0"/>
        <w:spacing w:line="360" w:lineRule="auto"/>
        <w:ind w:firstLine="482"/>
        <w:jc w:val="both"/>
        <w:rPr>
          <w:rFonts w:hint="eastAsia"/>
          <w:highlight w:val="none"/>
        </w:rPr>
      </w:pPr>
    </w:p>
    <w:p>
      <w:pPr>
        <w:widowControl w:val="0"/>
        <w:spacing w:line="360" w:lineRule="auto"/>
        <w:ind w:firstLine="482"/>
        <w:jc w:val="both"/>
        <w:rPr>
          <w:rFonts w:hint="eastAsia"/>
          <w:highlight w:val="none"/>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271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840" w:type="dxa"/>
          </w:tcPr>
          <w:p>
            <w:pPr>
              <w:spacing w:line="360" w:lineRule="auto"/>
              <w:jc w:val="center"/>
              <w:rPr>
                <w:rFonts w:hint="eastAsia"/>
                <w:b/>
                <w:highlight w:val="none"/>
              </w:rPr>
            </w:pPr>
            <w:r>
              <w:rPr>
                <w:rFonts w:hint="eastAsia"/>
                <w:b/>
                <w:highlight w:val="none"/>
              </w:rPr>
              <w:t>故障级别</w:t>
            </w:r>
          </w:p>
        </w:tc>
        <w:tc>
          <w:tcPr>
            <w:tcW w:w="2710" w:type="dxa"/>
          </w:tcPr>
          <w:p>
            <w:pPr>
              <w:spacing w:line="360" w:lineRule="auto"/>
              <w:jc w:val="center"/>
              <w:rPr>
                <w:rFonts w:hint="eastAsia"/>
                <w:b/>
                <w:highlight w:val="none"/>
              </w:rPr>
            </w:pPr>
            <w:r>
              <w:rPr>
                <w:rFonts w:hint="eastAsia"/>
                <w:b/>
                <w:highlight w:val="none"/>
              </w:rPr>
              <w:t>到达现场时间</w:t>
            </w:r>
          </w:p>
        </w:tc>
        <w:tc>
          <w:tcPr>
            <w:tcW w:w="1814" w:type="dxa"/>
          </w:tcPr>
          <w:p>
            <w:pPr>
              <w:spacing w:line="360" w:lineRule="auto"/>
              <w:jc w:val="center"/>
              <w:rPr>
                <w:rFonts w:hint="eastAsia"/>
                <w:b/>
                <w:highlight w:val="none"/>
              </w:rPr>
            </w:pPr>
            <w:r>
              <w:rPr>
                <w:rFonts w:hint="eastAsia"/>
                <w:b/>
                <w:highlight w:val="none"/>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40" w:type="dxa"/>
          </w:tcPr>
          <w:p>
            <w:pPr>
              <w:spacing w:line="360" w:lineRule="auto"/>
              <w:rPr>
                <w:rFonts w:hint="eastAsia"/>
                <w:highlight w:val="none"/>
              </w:rPr>
            </w:pPr>
            <w:r>
              <w:rPr>
                <w:rFonts w:hint="eastAsia"/>
                <w:highlight w:val="none"/>
              </w:rPr>
              <w:t>一级故障：系统崩溃或系统性能严重下降，业务系统无法正常运行</w:t>
            </w:r>
          </w:p>
        </w:tc>
        <w:tc>
          <w:tcPr>
            <w:tcW w:w="2710" w:type="dxa"/>
          </w:tcPr>
          <w:p>
            <w:pPr>
              <w:spacing w:line="360" w:lineRule="auto"/>
              <w:rPr>
                <w:rFonts w:hint="eastAsia"/>
                <w:highlight w:val="none"/>
              </w:rPr>
            </w:pPr>
            <w:r>
              <w:rPr>
                <w:rFonts w:hint="eastAsia"/>
                <w:highlight w:val="none"/>
              </w:rPr>
              <w:t>30分钟内提供电话支持， 2小时内到达现场</w:t>
            </w:r>
          </w:p>
        </w:tc>
        <w:tc>
          <w:tcPr>
            <w:tcW w:w="1814" w:type="dxa"/>
          </w:tcPr>
          <w:p>
            <w:pPr>
              <w:spacing w:line="360" w:lineRule="auto"/>
              <w:rPr>
                <w:rFonts w:hint="eastAsia"/>
                <w:highlight w:val="none"/>
              </w:rPr>
            </w:pPr>
            <w:r>
              <w:rPr>
                <w:rFonts w:hint="eastAsia"/>
                <w:highlight w:val="none"/>
              </w:rPr>
              <w:t>到达现场后的4小时内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spacing w:line="360" w:lineRule="auto"/>
              <w:rPr>
                <w:rFonts w:hint="eastAsia"/>
                <w:highlight w:val="none"/>
              </w:rPr>
            </w:pPr>
            <w:r>
              <w:rPr>
                <w:rFonts w:hint="eastAsia"/>
                <w:highlight w:val="none"/>
              </w:rPr>
              <w:t>二级故障：系统性能有一定下降，业务系统受到干扰</w:t>
            </w:r>
          </w:p>
        </w:tc>
        <w:tc>
          <w:tcPr>
            <w:tcW w:w="2710" w:type="dxa"/>
          </w:tcPr>
          <w:p>
            <w:pPr>
              <w:spacing w:line="360" w:lineRule="auto"/>
              <w:rPr>
                <w:rFonts w:hint="eastAsia"/>
                <w:highlight w:val="none"/>
              </w:rPr>
            </w:pPr>
            <w:r>
              <w:rPr>
                <w:rFonts w:hint="eastAsia"/>
                <w:highlight w:val="none"/>
              </w:rPr>
              <w:t>30分钟内提供电话支持，4小时内到达现场</w:t>
            </w:r>
          </w:p>
        </w:tc>
        <w:tc>
          <w:tcPr>
            <w:tcW w:w="1814" w:type="dxa"/>
          </w:tcPr>
          <w:p>
            <w:pPr>
              <w:spacing w:line="360" w:lineRule="auto"/>
              <w:rPr>
                <w:rFonts w:hint="eastAsia"/>
                <w:highlight w:val="none"/>
              </w:rPr>
            </w:pPr>
            <w:r>
              <w:rPr>
                <w:rFonts w:hint="eastAsia"/>
                <w:highlight w:val="none"/>
              </w:rPr>
              <w:t>到达现场后的8小时内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spacing w:line="360" w:lineRule="auto"/>
              <w:rPr>
                <w:rFonts w:hint="eastAsia"/>
                <w:highlight w:val="none"/>
              </w:rPr>
            </w:pPr>
            <w:r>
              <w:rPr>
                <w:rFonts w:hint="eastAsia"/>
                <w:highlight w:val="none"/>
              </w:rPr>
              <w:t>三级故障：系统可以运行，但系统有不明原因的报错</w:t>
            </w:r>
          </w:p>
        </w:tc>
        <w:tc>
          <w:tcPr>
            <w:tcW w:w="2710" w:type="dxa"/>
          </w:tcPr>
          <w:p>
            <w:pPr>
              <w:spacing w:line="360" w:lineRule="auto"/>
              <w:rPr>
                <w:rFonts w:hint="eastAsia"/>
                <w:highlight w:val="none"/>
              </w:rPr>
            </w:pPr>
            <w:r>
              <w:rPr>
                <w:rFonts w:hint="eastAsia"/>
                <w:highlight w:val="none"/>
              </w:rPr>
              <w:t>30分钟内提供电话支持，8小时内到达现场</w:t>
            </w:r>
          </w:p>
        </w:tc>
        <w:tc>
          <w:tcPr>
            <w:tcW w:w="1814" w:type="dxa"/>
          </w:tcPr>
          <w:p>
            <w:pPr>
              <w:spacing w:line="360" w:lineRule="auto"/>
              <w:rPr>
                <w:rFonts w:hint="eastAsia"/>
                <w:highlight w:val="none"/>
              </w:rPr>
            </w:pPr>
            <w:r>
              <w:rPr>
                <w:rFonts w:hint="eastAsia"/>
                <w:highlight w:val="none"/>
              </w:rPr>
              <w:t>到达现场后的24小时内</w:t>
            </w:r>
          </w:p>
        </w:tc>
      </w:tr>
    </w:tbl>
    <w:p>
      <w:pPr>
        <w:widowControl w:val="0"/>
        <w:spacing w:line="360" w:lineRule="auto"/>
        <w:ind w:firstLine="482"/>
        <w:jc w:val="both"/>
        <w:rPr>
          <w:rFonts w:hint="eastAsia"/>
          <w:highlight w:val="none"/>
        </w:rPr>
      </w:pPr>
    </w:p>
    <w:p>
      <w:pPr>
        <w:pStyle w:val="3"/>
        <w:ind w:left="0" w:firstLine="0"/>
        <w:rPr>
          <w:rFonts w:hint="eastAsia"/>
          <w:highlight w:val="none"/>
        </w:rPr>
      </w:pPr>
      <w:bookmarkStart w:id="45" w:name="_Toc63785507"/>
      <w:r>
        <w:rPr>
          <w:rFonts w:hint="eastAsia"/>
          <w:highlight w:val="none"/>
        </w:rPr>
        <w:t>培训要求</w:t>
      </w:r>
      <w:bookmarkEnd w:id="45"/>
    </w:p>
    <w:p>
      <w:pPr>
        <w:widowControl w:val="0"/>
        <w:spacing w:line="360" w:lineRule="auto"/>
        <w:ind w:firstLine="482"/>
        <w:jc w:val="both"/>
        <w:rPr>
          <w:rFonts w:hint="eastAsia"/>
          <w:highlight w:val="none"/>
        </w:rPr>
      </w:pPr>
      <w:r>
        <w:rPr>
          <w:rFonts w:hint="eastAsia"/>
          <w:highlight w:val="none"/>
        </w:rPr>
        <w:t>鉴于本次升级改造项目是对原有系统的国产化适配性改造，并未对现有功能及使用流程进行更新，培训内容主要应包括：针对技术管理和维护人员层面的培训，使相关人员熟练掌握系统配置与维护、故障处理等技能，确保整个系统的正常运行。</w:t>
      </w:r>
    </w:p>
    <w:p>
      <w:pPr>
        <w:widowControl w:val="0"/>
        <w:spacing w:line="360" w:lineRule="auto"/>
        <w:ind w:firstLine="482"/>
        <w:jc w:val="both"/>
        <w:rPr>
          <w:rFonts w:hint="eastAsia"/>
          <w:highlight w:val="none"/>
        </w:rPr>
      </w:pPr>
      <w:r>
        <w:rPr>
          <w:rFonts w:hint="eastAsia"/>
          <w:highlight w:val="none"/>
        </w:rPr>
        <w:t>投标人应提供详细培训方案及培训资料，培训资料以电子文档和纸质文档两种通用格式为主，结合多媒体介绍和演示进行。</w:t>
      </w:r>
    </w:p>
    <w:p>
      <w:pPr>
        <w:widowControl w:val="0"/>
        <w:spacing w:line="360" w:lineRule="auto"/>
        <w:ind w:firstLine="482"/>
        <w:jc w:val="both"/>
        <w:rPr>
          <w:rFonts w:hint="eastAsia"/>
          <w:highlight w:val="none"/>
        </w:rPr>
      </w:pPr>
    </w:p>
    <w:p>
      <w:pPr>
        <w:pStyle w:val="3"/>
        <w:ind w:left="0" w:firstLine="0"/>
        <w:rPr>
          <w:rFonts w:hint="eastAsia"/>
          <w:highlight w:val="none"/>
        </w:rPr>
      </w:pPr>
      <w:bookmarkStart w:id="46" w:name="_Toc63785509"/>
      <w:r>
        <w:rPr>
          <w:rFonts w:hint="eastAsia"/>
          <w:highlight w:val="none"/>
        </w:rPr>
        <w:t>进度要求</w:t>
      </w:r>
      <w:bookmarkEnd w:id="46"/>
    </w:p>
    <w:p>
      <w:pPr>
        <w:widowControl w:val="0"/>
        <w:spacing w:line="360" w:lineRule="auto"/>
        <w:ind w:firstLine="482"/>
        <w:jc w:val="both"/>
        <w:rPr>
          <w:rFonts w:hint="eastAsia"/>
          <w:highlight w:val="none"/>
        </w:rPr>
      </w:pPr>
      <w:r>
        <w:rPr>
          <w:rFonts w:hint="eastAsia"/>
          <w:highlight w:val="none"/>
        </w:rPr>
        <w:t>投标人应根据建设内容，分阶段制定合理的时间进度，并且应根据招标方要求进行调整和细化。</w:t>
      </w:r>
    </w:p>
    <w:p>
      <w:pPr>
        <w:widowControl w:val="0"/>
        <w:spacing w:line="360" w:lineRule="auto"/>
        <w:ind w:firstLine="482"/>
        <w:jc w:val="both"/>
        <w:rPr>
          <w:rFonts w:hint="eastAsia"/>
          <w:highlight w:val="none"/>
        </w:rPr>
      </w:pPr>
      <w:r>
        <w:rPr>
          <w:rFonts w:hint="eastAsia"/>
          <w:highlight w:val="none"/>
        </w:rPr>
        <w:t>总建设周期为12个月，分为4个阶段。</w:t>
      </w:r>
    </w:p>
    <w:p>
      <w:pPr>
        <w:widowControl w:val="0"/>
        <w:spacing w:line="360" w:lineRule="auto"/>
        <w:ind w:firstLine="482"/>
        <w:jc w:val="both"/>
        <w:rPr>
          <w:rFonts w:hint="eastAsia"/>
          <w:highlight w:val="none"/>
        </w:rPr>
      </w:pPr>
      <w:r>
        <w:rPr>
          <w:rFonts w:hint="eastAsia"/>
          <w:highlight w:val="none"/>
        </w:rPr>
        <w:t>第一阶段为设计阶段，1个月，完成方案深化设计，包括国产化适配性改造方案、平台迁移方案等。</w:t>
      </w:r>
    </w:p>
    <w:p>
      <w:pPr>
        <w:widowControl w:val="0"/>
        <w:spacing w:line="360" w:lineRule="auto"/>
        <w:ind w:firstLine="482"/>
        <w:jc w:val="both"/>
        <w:rPr>
          <w:rFonts w:hint="eastAsia"/>
          <w:highlight w:val="none"/>
        </w:rPr>
      </w:pPr>
      <w:r>
        <w:rPr>
          <w:rFonts w:hint="eastAsia"/>
          <w:highlight w:val="none"/>
        </w:rPr>
        <w:t>第二阶段为实施阶段，6个月，完成信息系统国产化改造、平台迁移。</w:t>
      </w:r>
    </w:p>
    <w:p>
      <w:pPr>
        <w:widowControl w:val="0"/>
        <w:spacing w:line="360" w:lineRule="auto"/>
        <w:ind w:firstLine="482"/>
        <w:jc w:val="both"/>
        <w:rPr>
          <w:rFonts w:hint="eastAsia"/>
          <w:highlight w:val="none"/>
        </w:rPr>
      </w:pPr>
      <w:r>
        <w:rPr>
          <w:rFonts w:hint="eastAsia"/>
          <w:highlight w:val="none"/>
        </w:rPr>
        <w:t>第三阶段为试运行阶段，3个月，完成系统试运行及相关培训。</w:t>
      </w:r>
    </w:p>
    <w:p>
      <w:pPr>
        <w:widowControl w:val="0"/>
        <w:spacing w:line="360" w:lineRule="auto"/>
        <w:ind w:firstLine="482"/>
        <w:jc w:val="both"/>
        <w:rPr>
          <w:rFonts w:hint="eastAsia"/>
          <w:highlight w:val="none"/>
        </w:rPr>
      </w:pPr>
      <w:r>
        <w:rPr>
          <w:rFonts w:hint="eastAsia"/>
          <w:highlight w:val="none"/>
        </w:rPr>
        <w:t>第四阶段为验收阶段，2个月，配合建设单位进行第三方测试，完成项目验收。</w:t>
      </w:r>
    </w:p>
    <w:p>
      <w:pPr>
        <w:rPr>
          <w:rFonts w:hint="eastAsia"/>
          <w:highlight w:val="none"/>
        </w:rPr>
      </w:pPr>
    </w:p>
    <w:p>
      <w:pPr>
        <w:pStyle w:val="3"/>
        <w:ind w:left="0" w:firstLine="0"/>
        <w:rPr>
          <w:rFonts w:hint="eastAsia"/>
          <w:highlight w:val="none"/>
        </w:rPr>
      </w:pPr>
      <w:bookmarkStart w:id="47" w:name="_Toc63785510"/>
      <w:r>
        <w:rPr>
          <w:rFonts w:hint="eastAsia"/>
          <w:highlight w:val="none"/>
        </w:rPr>
        <w:t>项目团队及驻场人员要求</w:t>
      </w:r>
      <w:bookmarkEnd w:id="47"/>
    </w:p>
    <w:p>
      <w:pPr>
        <w:widowControl w:val="0"/>
        <w:spacing w:line="360" w:lineRule="auto"/>
        <w:ind w:firstLine="482"/>
        <w:jc w:val="both"/>
        <w:rPr>
          <w:rFonts w:hint="eastAsia"/>
          <w:highlight w:val="none"/>
        </w:rPr>
      </w:pPr>
      <w:r>
        <w:rPr>
          <w:highlight w:val="none"/>
        </w:rPr>
        <w:t>1）投标人须具有稳定的在职技术保障力量，能够提供及时的技术支援或服务，应针对本项目提供不少于</w:t>
      </w:r>
      <w:r>
        <w:rPr>
          <w:rFonts w:hint="eastAsia"/>
          <w:highlight w:val="none"/>
        </w:rPr>
        <w:t>10</w:t>
      </w:r>
      <w:r>
        <w:rPr>
          <w:highlight w:val="none"/>
        </w:rPr>
        <w:t>人的项目服务团队（包括项目经理、产品经理、技术负责人、研发</w:t>
      </w:r>
      <w:r>
        <w:rPr>
          <w:rFonts w:hint="eastAsia"/>
          <w:highlight w:val="none"/>
        </w:rPr>
        <w:t>人员</w:t>
      </w:r>
      <w:r>
        <w:rPr>
          <w:highlight w:val="none"/>
        </w:rPr>
        <w:t>等），投标单位的相关服务人员需具备相应的服务能力，需提供相关证明（</w:t>
      </w:r>
      <w:r>
        <w:rPr>
          <w:rFonts w:hint="eastAsia"/>
          <w:highlight w:val="none"/>
        </w:rPr>
        <w:t>资质证书及</w:t>
      </w:r>
      <w:r>
        <w:rPr>
          <w:highlight w:val="none"/>
        </w:rPr>
        <w:t>最近一个季度依法缴纳社保费的证明</w:t>
      </w:r>
      <w:r>
        <w:rPr>
          <w:rFonts w:hint="eastAsia"/>
          <w:highlight w:val="none"/>
        </w:rPr>
        <w:t>等</w:t>
      </w:r>
      <w:r>
        <w:rPr>
          <w:highlight w:val="none"/>
        </w:rPr>
        <w:t>）。</w:t>
      </w:r>
      <w:r>
        <w:rPr>
          <w:rFonts w:hint="eastAsia"/>
          <w:highlight w:val="none"/>
        </w:rPr>
        <w:t>必要时项目工作人员</w:t>
      </w:r>
      <w:r>
        <w:rPr>
          <w:rFonts w:hint="eastAsia"/>
          <w:highlight w:val="none"/>
          <w:lang w:eastAsia="zh-CN"/>
        </w:rPr>
        <w:t>需</w:t>
      </w:r>
      <w:r>
        <w:rPr>
          <w:rFonts w:hint="eastAsia"/>
          <w:highlight w:val="none"/>
        </w:rPr>
        <w:t>驻用户现场工作，以确保系统建设工作的顺利进行。</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3132"/>
        <w:gridCol w:w="1176"/>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jc w:val="center"/>
              <w:rPr>
                <w:rFonts w:hint="eastAsia"/>
                <w:highlight w:val="none"/>
              </w:rPr>
            </w:pPr>
            <w:r>
              <w:rPr>
                <w:rFonts w:hint="eastAsia"/>
                <w:highlight w:val="none"/>
              </w:rPr>
              <w:t>角色</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主要职责</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人员数量</w:t>
            </w:r>
          </w:p>
        </w:tc>
        <w:tc>
          <w:tcPr>
            <w:tcW w:w="0" w:type="auto"/>
            <w:vAlign w:val="center"/>
          </w:tcPr>
          <w:p>
            <w:pPr>
              <w:spacing w:line="360" w:lineRule="auto"/>
              <w:jc w:val="center"/>
              <w:rPr>
                <w:rFonts w:hint="eastAsia"/>
                <w:highlight w:val="none"/>
              </w:rPr>
            </w:pPr>
            <w:r>
              <w:rPr>
                <w:rFonts w:hint="eastAsia"/>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项目经理</w:t>
            </w:r>
          </w:p>
        </w:tc>
        <w:tc>
          <w:tcPr>
            <w:tcW w:w="0" w:type="auto"/>
            <w:shd w:val="clear" w:color="auto" w:fill="auto"/>
            <w:vAlign w:val="center"/>
          </w:tcPr>
          <w:p>
            <w:pPr>
              <w:spacing w:line="360" w:lineRule="auto"/>
              <w:rPr>
                <w:rFonts w:hint="eastAsia"/>
                <w:highlight w:val="none"/>
              </w:rPr>
            </w:pPr>
            <w:r>
              <w:rPr>
                <w:rFonts w:hint="eastAsia"/>
                <w:highlight w:val="none"/>
              </w:rPr>
              <w:t>负责项目质量和进度控制</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1人</w:t>
            </w:r>
          </w:p>
        </w:tc>
        <w:tc>
          <w:tcPr>
            <w:tcW w:w="0" w:type="auto"/>
            <w:vAlign w:val="center"/>
          </w:tcPr>
          <w:p>
            <w:pPr>
              <w:spacing w:line="360" w:lineRule="auto"/>
              <w:rPr>
                <w:rFonts w:hint="eastAsia"/>
                <w:highlight w:val="none"/>
              </w:rPr>
            </w:pPr>
            <w:r>
              <w:rPr>
                <w:rFonts w:hint="eastAsia"/>
                <w:highlight w:val="none"/>
              </w:rPr>
              <w:t>具备信息系统项目管理师（高级）资质证书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产品经理</w:t>
            </w:r>
          </w:p>
        </w:tc>
        <w:tc>
          <w:tcPr>
            <w:tcW w:w="0" w:type="auto"/>
            <w:shd w:val="clear" w:color="auto" w:fill="auto"/>
            <w:vAlign w:val="center"/>
          </w:tcPr>
          <w:p>
            <w:pPr>
              <w:spacing w:line="360" w:lineRule="auto"/>
              <w:rPr>
                <w:rFonts w:hint="eastAsia"/>
                <w:highlight w:val="none"/>
              </w:rPr>
            </w:pPr>
            <w:r>
              <w:rPr>
                <w:rFonts w:hint="eastAsia"/>
                <w:highlight w:val="none"/>
              </w:rPr>
              <w:t>负责项目需求评估与产品设计</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1人</w:t>
            </w:r>
          </w:p>
        </w:tc>
        <w:tc>
          <w:tcPr>
            <w:tcW w:w="0" w:type="auto"/>
            <w:vAlign w:val="center"/>
          </w:tcPr>
          <w:p>
            <w:pPr>
              <w:spacing w:line="360" w:lineRule="auto"/>
              <w:rPr>
                <w:rFonts w:hint="eastAsia" w:eastAsia="宋体"/>
                <w:highlight w:val="none"/>
                <w:lang w:eastAsia="zh-CN"/>
              </w:rPr>
            </w:pPr>
            <w:r>
              <w:rPr>
                <w:rFonts w:hint="eastAsia"/>
                <w:highlight w:val="none"/>
              </w:rPr>
              <w:t>具备工程师</w:t>
            </w:r>
            <w:r>
              <w:rPr>
                <w:rFonts w:hint="eastAsia"/>
                <w:highlight w:val="none"/>
                <w:lang w:eastAsia="zh-CN"/>
              </w:rPr>
              <w:t>职称</w:t>
            </w:r>
            <w:r>
              <w:rPr>
                <w:rFonts w:hint="eastAsia"/>
                <w:highlight w:val="none"/>
              </w:rPr>
              <w:t>证书</w:t>
            </w:r>
            <w:r>
              <w:rPr>
                <w:rFonts w:hint="eastAsia"/>
                <w:highlight w:val="none"/>
                <w:lang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研发人员</w:t>
            </w:r>
          </w:p>
        </w:tc>
        <w:tc>
          <w:tcPr>
            <w:tcW w:w="0" w:type="auto"/>
            <w:shd w:val="clear" w:color="auto" w:fill="auto"/>
            <w:noWrap/>
            <w:vAlign w:val="center"/>
          </w:tcPr>
          <w:p>
            <w:pPr>
              <w:spacing w:line="360" w:lineRule="auto"/>
              <w:rPr>
                <w:rFonts w:hint="eastAsia"/>
                <w:highlight w:val="none"/>
              </w:rPr>
            </w:pPr>
            <w:r>
              <w:rPr>
                <w:rFonts w:hint="eastAsia"/>
                <w:highlight w:val="none"/>
              </w:rPr>
              <w:t>负责项目具体开发与实施</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8人</w:t>
            </w:r>
          </w:p>
        </w:tc>
        <w:tc>
          <w:tcPr>
            <w:tcW w:w="0" w:type="auto"/>
            <w:vAlign w:val="center"/>
          </w:tcPr>
          <w:p>
            <w:pPr>
              <w:spacing w:line="360" w:lineRule="auto"/>
              <w:rPr>
                <w:rFonts w:hint="eastAsia" w:eastAsia="宋体"/>
                <w:highlight w:val="none"/>
                <w:lang w:eastAsia="zh-CN"/>
              </w:rPr>
            </w:pPr>
            <w:r>
              <w:rPr>
                <w:rFonts w:hint="eastAsia"/>
                <w:highlight w:val="none"/>
              </w:rPr>
              <w:t>具备工程师</w:t>
            </w:r>
            <w:r>
              <w:rPr>
                <w:rFonts w:hint="eastAsia"/>
                <w:highlight w:val="none"/>
                <w:lang w:eastAsia="zh-CN"/>
              </w:rPr>
              <w:t>职称</w:t>
            </w:r>
            <w:r>
              <w:rPr>
                <w:rFonts w:hint="eastAsia"/>
                <w:highlight w:val="none"/>
              </w:rPr>
              <w:t>证书</w:t>
            </w:r>
            <w:r>
              <w:rPr>
                <w:rFonts w:hint="eastAsia"/>
                <w:highlight w:val="none"/>
                <w:lang w:eastAsia="zh-CN"/>
              </w:rPr>
              <w:t>及以上</w:t>
            </w:r>
          </w:p>
        </w:tc>
      </w:tr>
    </w:tbl>
    <w:p>
      <w:pPr>
        <w:widowControl w:val="0"/>
        <w:spacing w:line="360" w:lineRule="auto"/>
        <w:ind w:firstLine="482"/>
        <w:jc w:val="both"/>
        <w:rPr>
          <w:rFonts w:hint="eastAsia"/>
          <w:highlight w:val="none"/>
        </w:rPr>
      </w:pPr>
    </w:p>
    <w:p>
      <w:pPr>
        <w:widowControl w:val="0"/>
        <w:spacing w:line="360" w:lineRule="auto"/>
        <w:ind w:firstLine="482"/>
        <w:jc w:val="both"/>
        <w:rPr>
          <w:rFonts w:hint="eastAsia"/>
          <w:highlight w:val="none"/>
        </w:rPr>
      </w:pPr>
      <w:r>
        <w:rPr>
          <w:highlight w:val="none"/>
        </w:rPr>
        <w:t>2）投标人应针对本项目提供不少于</w:t>
      </w:r>
      <w:r>
        <w:rPr>
          <w:rFonts w:hint="eastAsia"/>
          <w:highlight w:val="none"/>
        </w:rPr>
        <w:t>4</w:t>
      </w:r>
      <w:r>
        <w:rPr>
          <w:highlight w:val="none"/>
        </w:rPr>
        <w:t>人的质保期间支撑团队（其中技术经理</w:t>
      </w:r>
      <w:r>
        <w:rPr>
          <w:rFonts w:hint="eastAsia"/>
          <w:highlight w:val="none"/>
        </w:rPr>
        <w:t>1</w:t>
      </w:r>
      <w:r>
        <w:rPr>
          <w:highlight w:val="none"/>
        </w:rPr>
        <w:t>人，产品经理</w:t>
      </w:r>
      <w:r>
        <w:rPr>
          <w:rFonts w:hint="eastAsia"/>
          <w:highlight w:val="none"/>
        </w:rPr>
        <w:t>1</w:t>
      </w:r>
      <w:r>
        <w:rPr>
          <w:highlight w:val="none"/>
        </w:rPr>
        <w:t>人，技术工程师不少于</w:t>
      </w:r>
      <w:r>
        <w:rPr>
          <w:rFonts w:hint="eastAsia"/>
          <w:highlight w:val="none"/>
        </w:rPr>
        <w:t>2</w:t>
      </w:r>
      <w:r>
        <w:rPr>
          <w:highlight w:val="none"/>
        </w:rPr>
        <w:t>人）；投标人的相关服务人员需具备相应的服务能力，需提供相关证明（</w:t>
      </w:r>
      <w:r>
        <w:rPr>
          <w:rFonts w:hint="eastAsia"/>
          <w:highlight w:val="none"/>
        </w:rPr>
        <w:t>资质证书及</w:t>
      </w:r>
      <w:r>
        <w:rPr>
          <w:highlight w:val="none"/>
        </w:rPr>
        <w:t>最近一个季度依法缴纳社保费的证明</w:t>
      </w:r>
      <w:r>
        <w:rPr>
          <w:rFonts w:hint="eastAsia"/>
          <w:highlight w:val="none"/>
        </w:rPr>
        <w:t>等</w:t>
      </w:r>
      <w:r>
        <w:rPr>
          <w:highlight w:val="none"/>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3181"/>
        <w:gridCol w:w="117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jc w:val="center"/>
              <w:rPr>
                <w:rFonts w:hint="eastAsia"/>
                <w:highlight w:val="none"/>
              </w:rPr>
            </w:pPr>
            <w:r>
              <w:rPr>
                <w:rFonts w:hint="eastAsia"/>
                <w:highlight w:val="none"/>
              </w:rPr>
              <w:t>角色</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主要职责</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人员数量</w:t>
            </w:r>
          </w:p>
        </w:tc>
        <w:tc>
          <w:tcPr>
            <w:tcW w:w="0" w:type="auto"/>
            <w:vAlign w:val="center"/>
          </w:tcPr>
          <w:p>
            <w:pPr>
              <w:spacing w:line="360" w:lineRule="auto"/>
              <w:jc w:val="center"/>
              <w:rPr>
                <w:rFonts w:hint="eastAsia"/>
                <w:highlight w:val="none"/>
              </w:rPr>
            </w:pPr>
            <w:r>
              <w:rPr>
                <w:rFonts w:hint="eastAsia"/>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技术经理</w:t>
            </w:r>
          </w:p>
        </w:tc>
        <w:tc>
          <w:tcPr>
            <w:tcW w:w="0" w:type="auto"/>
            <w:shd w:val="clear" w:color="auto" w:fill="auto"/>
            <w:vAlign w:val="center"/>
          </w:tcPr>
          <w:p>
            <w:pPr>
              <w:spacing w:line="360" w:lineRule="auto"/>
              <w:rPr>
                <w:rFonts w:hint="eastAsia"/>
                <w:highlight w:val="none"/>
              </w:rPr>
            </w:pPr>
            <w:r>
              <w:rPr>
                <w:rFonts w:hint="eastAsia"/>
                <w:highlight w:val="none"/>
              </w:rPr>
              <w:t>负责项目技术支持</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1人</w:t>
            </w:r>
          </w:p>
        </w:tc>
        <w:tc>
          <w:tcPr>
            <w:tcW w:w="0" w:type="auto"/>
            <w:vAlign w:val="center"/>
          </w:tcPr>
          <w:p>
            <w:pPr>
              <w:spacing w:line="360" w:lineRule="auto"/>
              <w:rPr>
                <w:rFonts w:hint="eastAsia" w:eastAsia="宋体"/>
                <w:highlight w:val="none"/>
                <w:lang w:eastAsia="zh-CN"/>
              </w:rPr>
            </w:pPr>
            <w:r>
              <w:rPr>
                <w:rFonts w:hint="eastAsia"/>
                <w:highlight w:val="none"/>
              </w:rPr>
              <w:t>具备工程师</w:t>
            </w:r>
            <w:r>
              <w:rPr>
                <w:rFonts w:hint="eastAsia"/>
                <w:highlight w:val="none"/>
                <w:lang w:eastAsia="zh-CN"/>
              </w:rPr>
              <w:t>职称</w:t>
            </w:r>
            <w:r>
              <w:rPr>
                <w:rFonts w:hint="eastAsia"/>
                <w:highlight w:val="none"/>
              </w:rPr>
              <w:t>证书</w:t>
            </w:r>
            <w:r>
              <w:rPr>
                <w:rFonts w:hint="eastAsia"/>
                <w:highlight w:val="none"/>
                <w:lang w:eastAsia="zh-CN"/>
              </w:rPr>
              <w:t>及以上</w:t>
            </w:r>
            <w:bookmarkStart w:id="51" w:name="_GoBack"/>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产品经理</w:t>
            </w:r>
          </w:p>
        </w:tc>
        <w:tc>
          <w:tcPr>
            <w:tcW w:w="0" w:type="auto"/>
            <w:shd w:val="clear" w:color="auto" w:fill="auto"/>
            <w:vAlign w:val="center"/>
          </w:tcPr>
          <w:p>
            <w:pPr>
              <w:spacing w:line="360" w:lineRule="auto"/>
              <w:rPr>
                <w:rFonts w:hint="eastAsia"/>
                <w:highlight w:val="none"/>
              </w:rPr>
            </w:pPr>
            <w:r>
              <w:rPr>
                <w:rFonts w:hint="eastAsia"/>
                <w:highlight w:val="none"/>
              </w:rPr>
              <w:t>负责项目需求评估与产品设计</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1人</w:t>
            </w:r>
          </w:p>
        </w:tc>
        <w:tc>
          <w:tcPr>
            <w:tcW w:w="0" w:type="auto"/>
            <w:vAlign w:val="center"/>
          </w:tcPr>
          <w:p>
            <w:pPr>
              <w:spacing w:line="360" w:lineRule="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60" w:lineRule="auto"/>
              <w:rPr>
                <w:rFonts w:hint="eastAsia"/>
                <w:highlight w:val="none"/>
              </w:rPr>
            </w:pPr>
            <w:r>
              <w:rPr>
                <w:rFonts w:hint="eastAsia"/>
                <w:highlight w:val="none"/>
              </w:rPr>
              <w:t>技术工程师</w:t>
            </w:r>
          </w:p>
        </w:tc>
        <w:tc>
          <w:tcPr>
            <w:tcW w:w="0" w:type="auto"/>
            <w:shd w:val="clear" w:color="auto" w:fill="auto"/>
            <w:noWrap/>
            <w:vAlign w:val="center"/>
          </w:tcPr>
          <w:p>
            <w:pPr>
              <w:spacing w:line="360" w:lineRule="auto"/>
              <w:rPr>
                <w:rFonts w:hint="eastAsia"/>
                <w:highlight w:val="none"/>
              </w:rPr>
            </w:pPr>
            <w:r>
              <w:rPr>
                <w:rFonts w:hint="eastAsia"/>
                <w:highlight w:val="none"/>
              </w:rPr>
              <w:t>负责项目运行维护</w:t>
            </w:r>
          </w:p>
        </w:tc>
        <w:tc>
          <w:tcPr>
            <w:tcW w:w="0" w:type="auto"/>
            <w:shd w:val="clear" w:color="auto" w:fill="auto"/>
            <w:noWrap/>
            <w:vAlign w:val="center"/>
          </w:tcPr>
          <w:p>
            <w:pPr>
              <w:spacing w:line="360" w:lineRule="auto"/>
              <w:jc w:val="center"/>
              <w:rPr>
                <w:rFonts w:hint="eastAsia"/>
                <w:highlight w:val="none"/>
              </w:rPr>
            </w:pPr>
            <w:r>
              <w:rPr>
                <w:rFonts w:hint="eastAsia"/>
                <w:highlight w:val="none"/>
              </w:rPr>
              <w:t>2人</w:t>
            </w:r>
          </w:p>
        </w:tc>
        <w:tc>
          <w:tcPr>
            <w:tcW w:w="0" w:type="auto"/>
            <w:vAlign w:val="center"/>
          </w:tcPr>
          <w:p>
            <w:pPr>
              <w:spacing w:line="360" w:lineRule="auto"/>
              <w:rPr>
                <w:rFonts w:hint="eastAsia"/>
                <w:highlight w:val="none"/>
              </w:rPr>
            </w:pPr>
          </w:p>
        </w:tc>
      </w:tr>
    </w:tbl>
    <w:p>
      <w:pPr>
        <w:rPr>
          <w:rFonts w:hint="eastAsia"/>
          <w:highlight w:val="none"/>
        </w:rPr>
      </w:pPr>
      <w:bookmarkStart w:id="48" w:name="_Toc63785511"/>
    </w:p>
    <w:p>
      <w:pPr>
        <w:pStyle w:val="3"/>
        <w:ind w:left="0" w:firstLine="0"/>
        <w:rPr>
          <w:rFonts w:hint="eastAsia"/>
          <w:highlight w:val="none"/>
        </w:rPr>
      </w:pPr>
      <w:r>
        <w:rPr>
          <w:highlight w:val="none"/>
        </w:rPr>
        <w:t>等级保护要求</w:t>
      </w:r>
      <w:bookmarkEnd w:id="48"/>
    </w:p>
    <w:p>
      <w:pPr>
        <w:widowControl w:val="0"/>
        <w:spacing w:line="360" w:lineRule="auto"/>
        <w:ind w:firstLine="480" w:firstLineChars="200"/>
        <w:jc w:val="both"/>
        <w:rPr>
          <w:rFonts w:hint="eastAsia"/>
          <w:highlight w:val="none"/>
        </w:rPr>
      </w:pPr>
      <w:r>
        <w:rPr>
          <w:highlight w:val="none"/>
        </w:rPr>
        <w:t>本项目等级保护要求：</w:t>
      </w:r>
    </w:p>
    <w:p>
      <w:pPr>
        <w:widowControl w:val="0"/>
        <w:spacing w:line="360" w:lineRule="auto"/>
        <w:ind w:firstLine="480" w:firstLineChars="200"/>
        <w:jc w:val="both"/>
        <w:rPr>
          <w:rFonts w:hint="eastAsia"/>
          <w:highlight w:val="none"/>
        </w:rPr>
      </w:pPr>
      <w:r>
        <w:rPr>
          <w:rFonts w:hint="eastAsia"/>
          <w:highlight w:val="none"/>
        </w:rPr>
        <w:t>满足《信息安全等级保护管理办法》第二级。</w:t>
      </w:r>
    </w:p>
    <w:p>
      <w:pPr>
        <w:widowControl w:val="0"/>
        <w:spacing w:line="360" w:lineRule="auto"/>
        <w:ind w:firstLine="480" w:firstLineChars="200"/>
        <w:jc w:val="both"/>
        <w:rPr>
          <w:rFonts w:hint="eastAsia"/>
          <w:highlight w:val="none"/>
        </w:rPr>
      </w:pPr>
    </w:p>
    <w:p>
      <w:pPr>
        <w:pStyle w:val="3"/>
        <w:ind w:left="0" w:firstLine="0"/>
        <w:rPr>
          <w:rFonts w:hint="eastAsia"/>
          <w:highlight w:val="none"/>
        </w:rPr>
      </w:pPr>
      <w:r>
        <w:rPr>
          <w:rFonts w:hint="eastAsia"/>
          <w:highlight w:val="none"/>
        </w:rPr>
        <w:t>商业密码应用需求</w:t>
      </w:r>
    </w:p>
    <w:p>
      <w:pPr>
        <w:widowControl w:val="0"/>
        <w:spacing w:line="360" w:lineRule="auto"/>
        <w:ind w:firstLine="482"/>
        <w:jc w:val="both"/>
        <w:rPr>
          <w:rFonts w:hint="eastAsia"/>
          <w:highlight w:val="none"/>
        </w:rPr>
      </w:pPr>
      <w:r>
        <w:rPr>
          <w:rFonts w:hint="eastAsia"/>
          <w:highlight w:val="none"/>
        </w:rPr>
        <w:t>综合考虑本系统在物理和环境、网络和通信、设备和计算、应用和数据等层面的密码应用需求，设计合规、正确、有效的密码应用技术方案，以达到GB/T 39786-2021《信息安全技术 信息系统密码应用基本要求》中二级指标要求，并为后续密码保障体系建设、密码应用测评和密码应用安全性评估奠定坚实基础。</w:t>
      </w:r>
    </w:p>
    <w:p>
      <w:pPr>
        <w:rPr>
          <w:rFonts w:hint="eastAsia"/>
          <w:highlight w:val="none"/>
        </w:rPr>
      </w:pPr>
    </w:p>
    <w:p>
      <w:pPr>
        <w:pStyle w:val="3"/>
        <w:ind w:left="0" w:firstLine="0"/>
        <w:rPr>
          <w:rFonts w:hint="eastAsia"/>
          <w:highlight w:val="none"/>
        </w:rPr>
      </w:pPr>
      <w:bookmarkStart w:id="49" w:name="_Toc63785512"/>
      <w:r>
        <w:rPr>
          <w:rFonts w:hint="eastAsia"/>
          <w:highlight w:val="none"/>
        </w:rPr>
        <w:t>技术文件要求</w:t>
      </w:r>
    </w:p>
    <w:p>
      <w:pPr>
        <w:widowControl w:val="0"/>
        <w:spacing w:line="360" w:lineRule="auto"/>
        <w:ind w:firstLine="482"/>
        <w:jc w:val="both"/>
        <w:rPr>
          <w:rFonts w:hint="eastAsia"/>
          <w:highlight w:val="none"/>
        </w:rPr>
      </w:pPr>
      <w:r>
        <w:rPr>
          <w:rFonts w:hint="eastAsia"/>
          <w:highlight w:val="none"/>
        </w:rPr>
        <w:t>投标人提供的书面技术资料应能确保系统正常运行所需的管理、运营及维护有关的全套文件。技术文件应该全面、完整、详细。投标人提供的技术文件至少应包括：</w:t>
      </w:r>
    </w:p>
    <w:p>
      <w:pPr>
        <w:widowControl w:val="0"/>
        <w:spacing w:line="360" w:lineRule="auto"/>
        <w:ind w:firstLine="482"/>
        <w:jc w:val="both"/>
        <w:rPr>
          <w:rFonts w:hint="eastAsia"/>
          <w:highlight w:val="none"/>
        </w:rPr>
      </w:pPr>
      <w:r>
        <w:rPr>
          <w:rFonts w:hint="eastAsia"/>
          <w:highlight w:val="none"/>
        </w:rPr>
        <w:t>－</w:t>
      </w:r>
      <w:r>
        <w:rPr>
          <w:highlight w:val="none"/>
        </w:rPr>
        <w:t xml:space="preserve"> 技术手册 (安装</w:t>
      </w:r>
      <w:r>
        <w:rPr>
          <w:rFonts w:hint="eastAsia"/>
          <w:highlight w:val="none"/>
        </w:rPr>
        <w:t>配置手册、运行维护手册</w:t>
      </w:r>
      <w:r>
        <w:rPr>
          <w:highlight w:val="none"/>
        </w:rPr>
        <w:t xml:space="preserve">等)； </w:t>
      </w:r>
    </w:p>
    <w:p>
      <w:pPr>
        <w:widowControl w:val="0"/>
        <w:spacing w:line="360" w:lineRule="auto"/>
        <w:ind w:firstLine="482"/>
        <w:jc w:val="both"/>
        <w:rPr>
          <w:rFonts w:hint="eastAsia"/>
          <w:highlight w:val="none"/>
        </w:rPr>
      </w:pPr>
      <w:r>
        <w:rPr>
          <w:rFonts w:hint="eastAsia"/>
          <w:highlight w:val="none"/>
        </w:rPr>
        <w:t>－</w:t>
      </w:r>
      <w:r>
        <w:rPr>
          <w:highlight w:val="none"/>
        </w:rPr>
        <w:t xml:space="preserve"> 项目文档，应该包括：</w:t>
      </w:r>
    </w:p>
    <w:p>
      <w:pPr>
        <w:widowControl w:val="0"/>
        <w:spacing w:line="360" w:lineRule="auto"/>
        <w:ind w:firstLine="482"/>
        <w:jc w:val="both"/>
        <w:rPr>
          <w:rFonts w:hint="eastAsia"/>
          <w:highlight w:val="none"/>
        </w:rPr>
      </w:pPr>
      <w:r>
        <w:rPr>
          <w:highlight w:val="none"/>
        </w:rPr>
        <w:t>(1)</w:t>
      </w:r>
      <w:r>
        <w:rPr>
          <w:rFonts w:hint="eastAsia"/>
          <w:highlight w:val="none"/>
        </w:rPr>
        <w:t xml:space="preserve"> 项目实施计划、项目进度季报；</w:t>
      </w:r>
    </w:p>
    <w:p>
      <w:pPr>
        <w:widowControl w:val="0"/>
        <w:spacing w:line="360" w:lineRule="auto"/>
        <w:ind w:firstLine="482"/>
        <w:jc w:val="both"/>
        <w:rPr>
          <w:rFonts w:hint="eastAsia"/>
          <w:highlight w:val="none"/>
        </w:rPr>
      </w:pPr>
      <w:r>
        <w:rPr>
          <w:highlight w:val="none"/>
        </w:rPr>
        <w:t>(2)</w:t>
      </w:r>
      <w:r>
        <w:rPr>
          <w:rFonts w:hint="eastAsia"/>
          <w:highlight w:val="none"/>
        </w:rPr>
        <w:t xml:space="preserve"> 国产化适配性改造方案、平台迁移方案；</w:t>
      </w:r>
    </w:p>
    <w:p>
      <w:pPr>
        <w:widowControl w:val="0"/>
        <w:spacing w:line="360" w:lineRule="auto"/>
        <w:ind w:firstLine="482"/>
        <w:jc w:val="both"/>
        <w:rPr>
          <w:rFonts w:hint="eastAsia"/>
          <w:highlight w:val="none"/>
        </w:rPr>
      </w:pPr>
      <w:r>
        <w:rPr>
          <w:highlight w:val="none"/>
        </w:rPr>
        <w:t>(3)</w:t>
      </w:r>
      <w:r>
        <w:rPr>
          <w:rFonts w:hint="eastAsia"/>
          <w:highlight w:val="none"/>
        </w:rPr>
        <w:t xml:space="preserve"> 测试方案及测试报告（自测）、试运行方案、试运行报告；</w:t>
      </w:r>
    </w:p>
    <w:p>
      <w:pPr>
        <w:widowControl w:val="0"/>
        <w:spacing w:line="360" w:lineRule="auto"/>
        <w:ind w:firstLine="482"/>
        <w:jc w:val="both"/>
        <w:rPr>
          <w:rFonts w:hint="eastAsia"/>
          <w:highlight w:val="none"/>
        </w:rPr>
      </w:pPr>
      <w:r>
        <w:rPr>
          <w:highlight w:val="none"/>
        </w:rPr>
        <w:t>(</w:t>
      </w:r>
      <w:r>
        <w:rPr>
          <w:rFonts w:hint="eastAsia"/>
          <w:highlight w:val="none"/>
        </w:rPr>
        <w:t>4</w:t>
      </w:r>
      <w:r>
        <w:rPr>
          <w:highlight w:val="none"/>
        </w:rPr>
        <w:t>)</w:t>
      </w:r>
      <w:r>
        <w:rPr>
          <w:rFonts w:hint="eastAsia"/>
          <w:highlight w:val="none"/>
        </w:rPr>
        <w:t xml:space="preserve"> 培训方案、培训记录；</w:t>
      </w:r>
    </w:p>
    <w:p>
      <w:pPr>
        <w:widowControl w:val="0"/>
        <w:spacing w:line="360" w:lineRule="auto"/>
        <w:ind w:firstLine="482"/>
        <w:jc w:val="both"/>
        <w:rPr>
          <w:rFonts w:hint="eastAsia"/>
          <w:highlight w:val="none"/>
        </w:rPr>
      </w:pPr>
      <w:r>
        <w:rPr>
          <w:highlight w:val="none"/>
        </w:rPr>
        <w:t>(</w:t>
      </w:r>
      <w:r>
        <w:rPr>
          <w:rFonts w:hint="eastAsia"/>
          <w:highlight w:val="none"/>
        </w:rPr>
        <w:t>5</w:t>
      </w:r>
      <w:r>
        <w:rPr>
          <w:highlight w:val="none"/>
        </w:rPr>
        <w:t>)</w:t>
      </w:r>
      <w:r>
        <w:rPr>
          <w:rFonts w:hint="eastAsia"/>
          <w:highlight w:val="none"/>
        </w:rPr>
        <w:t xml:space="preserve"> 项目总结报告。</w:t>
      </w:r>
    </w:p>
    <w:p>
      <w:pPr>
        <w:widowControl w:val="0"/>
        <w:spacing w:line="360" w:lineRule="auto"/>
        <w:ind w:firstLine="482"/>
        <w:jc w:val="both"/>
        <w:rPr>
          <w:rFonts w:hint="eastAsia"/>
          <w:highlight w:val="none"/>
        </w:rPr>
      </w:pPr>
      <w:r>
        <w:rPr>
          <w:rFonts w:hint="eastAsia"/>
          <w:highlight w:val="none"/>
        </w:rPr>
        <w:t>提供全套技术文件纸介质1</w:t>
      </w:r>
      <w:r>
        <w:rPr>
          <w:highlight w:val="none"/>
        </w:rPr>
        <w:t>套以及电子文件1套。</w:t>
      </w:r>
      <w:bookmarkEnd w:id="49"/>
    </w:p>
    <w:p>
      <w:pPr>
        <w:pStyle w:val="14"/>
        <w:ind w:firstLine="422"/>
        <w:rPr>
          <w:rFonts w:hint="eastAsia"/>
          <w:highlight w:val="none"/>
        </w:rPr>
      </w:pPr>
    </w:p>
    <w:p>
      <w:pPr>
        <w:pStyle w:val="2"/>
        <w:ind w:left="0" w:firstLine="0"/>
        <w:rPr>
          <w:rFonts w:hint="eastAsia"/>
          <w:highlight w:val="none"/>
        </w:rPr>
      </w:pPr>
      <w:bookmarkStart w:id="50" w:name="_Toc68798863"/>
      <w:r>
        <w:rPr>
          <w:rFonts w:hint="eastAsia"/>
          <w:highlight w:val="none"/>
        </w:rPr>
        <w:t>附录</w:t>
      </w:r>
      <w:bookmarkEnd w:id="50"/>
    </w:p>
    <w:p>
      <w:pPr>
        <w:widowControl w:val="0"/>
        <w:spacing w:line="360" w:lineRule="auto"/>
        <w:ind w:firstLine="420"/>
        <w:jc w:val="both"/>
        <w:rPr>
          <w:rFonts w:hint="eastAsia"/>
          <w:highlight w:val="none"/>
        </w:rPr>
      </w:pPr>
      <w:r>
        <w:rPr>
          <w:rFonts w:hint="eastAsia"/>
          <w:highlight w:val="none"/>
        </w:rPr>
        <w:t>无</w:t>
      </w:r>
    </w:p>
    <w:sectPr>
      <w:headerReference r:id="rId4" w:type="first"/>
      <w:footerReference r:id="rId7" w:type="first"/>
      <w:footerReference r:id="rId5" w:type="default"/>
      <w:headerReference r:id="rId3" w:type="even"/>
      <w:footerReference r:id="rId6" w:type="even"/>
      <w:pgSz w:w="11906" w:h="16838"/>
      <w:pgMar w:top="1276" w:right="1797" w:bottom="1560" w:left="1797" w:header="340" w:footer="934" w:gutter="0"/>
      <w:pgNumType w:start="1"/>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rPr>
        <w:rFonts w:hint="eastAsia"/>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1"/>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zh-CN"/>
      </w:rPr>
    </w:pPr>
    <w:r>
      <w:rPr>
        <w:rFonts w:hint="eastAsia"/>
        <w:lang w:val="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1"/>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1"/>
    </w:pPr>
  </w:p>
  <w:p>
    <w:pPr>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AE64AA"/>
    <w:rsid w:val="000112C5"/>
    <w:rsid w:val="00050B1F"/>
    <w:rsid w:val="00076A41"/>
    <w:rsid w:val="0009499A"/>
    <w:rsid w:val="000A0AC0"/>
    <w:rsid w:val="000B3A00"/>
    <w:rsid w:val="000C003E"/>
    <w:rsid w:val="00104F6D"/>
    <w:rsid w:val="0013378B"/>
    <w:rsid w:val="001B198D"/>
    <w:rsid w:val="001C1FEB"/>
    <w:rsid w:val="00212A0B"/>
    <w:rsid w:val="002564E9"/>
    <w:rsid w:val="00261A59"/>
    <w:rsid w:val="0026609C"/>
    <w:rsid w:val="0026637E"/>
    <w:rsid w:val="00286D04"/>
    <w:rsid w:val="00290688"/>
    <w:rsid w:val="00334E86"/>
    <w:rsid w:val="003F3F02"/>
    <w:rsid w:val="003F6616"/>
    <w:rsid w:val="00444B58"/>
    <w:rsid w:val="00467D94"/>
    <w:rsid w:val="00501A56"/>
    <w:rsid w:val="00504CF7"/>
    <w:rsid w:val="00517C45"/>
    <w:rsid w:val="00557ADC"/>
    <w:rsid w:val="005873ED"/>
    <w:rsid w:val="00602162"/>
    <w:rsid w:val="006222B1"/>
    <w:rsid w:val="00630E97"/>
    <w:rsid w:val="006D50B4"/>
    <w:rsid w:val="006E0567"/>
    <w:rsid w:val="00705094"/>
    <w:rsid w:val="007950F6"/>
    <w:rsid w:val="007A2873"/>
    <w:rsid w:val="007F171D"/>
    <w:rsid w:val="00805227"/>
    <w:rsid w:val="008070B0"/>
    <w:rsid w:val="008A21E6"/>
    <w:rsid w:val="008B0D76"/>
    <w:rsid w:val="00910A64"/>
    <w:rsid w:val="009542B6"/>
    <w:rsid w:val="00977ECA"/>
    <w:rsid w:val="009D50B9"/>
    <w:rsid w:val="009D5DE6"/>
    <w:rsid w:val="00A67C6F"/>
    <w:rsid w:val="00A95850"/>
    <w:rsid w:val="00AC5B60"/>
    <w:rsid w:val="00AE64AA"/>
    <w:rsid w:val="00B30ACF"/>
    <w:rsid w:val="00B66FC1"/>
    <w:rsid w:val="00BD45DB"/>
    <w:rsid w:val="00C61E34"/>
    <w:rsid w:val="00C76A2C"/>
    <w:rsid w:val="00D04CEF"/>
    <w:rsid w:val="00D12B4F"/>
    <w:rsid w:val="00D315E0"/>
    <w:rsid w:val="00D61629"/>
    <w:rsid w:val="00D860E1"/>
    <w:rsid w:val="00DC5472"/>
    <w:rsid w:val="00E44EF6"/>
    <w:rsid w:val="00E47626"/>
    <w:rsid w:val="00E65F85"/>
    <w:rsid w:val="00E863FA"/>
    <w:rsid w:val="00EF31FA"/>
    <w:rsid w:val="00F001E7"/>
    <w:rsid w:val="00F03C61"/>
    <w:rsid w:val="00F72095"/>
    <w:rsid w:val="00FD1A5A"/>
    <w:rsid w:val="5FE82772"/>
    <w:rsid w:val="645D785C"/>
    <w:rsid w:val="7ADFB183"/>
    <w:rsid w:val="7F4E1253"/>
    <w:rsid w:val="96DB4B8C"/>
    <w:rsid w:val="DEF358B7"/>
    <w:rsid w:val="EA7FBE03"/>
    <w:rsid w:val="EF7A0E36"/>
    <w:rsid w:val="EFC75A86"/>
    <w:rsid w:val="F9FF0B46"/>
    <w:rsid w:val="FFAD9A29"/>
    <w:rsid w:val="FFFE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120" w:after="120"/>
      <w:outlineLvl w:val="1"/>
    </w:pPr>
    <w:rPr>
      <w:b/>
      <w:bCs/>
      <w:sz w:val="30"/>
      <w:szCs w:val="32"/>
    </w:rPr>
  </w:style>
  <w:style w:type="paragraph" w:styleId="4">
    <w:name w:val="heading 3"/>
    <w:basedOn w:val="1"/>
    <w:next w:val="1"/>
    <w:link w:val="1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0"/>
    <w:pPr>
      <w:keepNext/>
      <w:keepLines/>
      <w:spacing w:line="500" w:lineRule="exact"/>
      <w:outlineLvl w:val="3"/>
    </w:pPr>
    <w:rPr>
      <w:rFonts w:ascii="Times New Roman" w:hAnsi="Times New Roman" w:eastAsia="仿宋_GB2312" w:cstheme="majorBidi"/>
      <w:bCs/>
      <w:sz w:val="28"/>
      <w:szCs w:val="28"/>
    </w:rPr>
  </w:style>
  <w:style w:type="paragraph" w:styleId="6">
    <w:name w:val="heading 5"/>
    <w:next w:val="1"/>
    <w:link w:val="18"/>
    <w:unhideWhenUsed/>
    <w:qFormat/>
    <w:uiPriority w:val="0"/>
    <w:pPr>
      <w:keepNext/>
      <w:keepLines/>
      <w:spacing w:line="500" w:lineRule="exact"/>
      <w:ind w:left="907" w:hanging="737"/>
      <w:outlineLvl w:val="4"/>
    </w:pPr>
    <w:rPr>
      <w:rFonts w:ascii="Times New Roman" w:hAnsi="Times New Roman" w:eastAsia="仿宋_GB2312" w:cs="Times New Roman"/>
      <w:bCs/>
      <w:kern w:val="2"/>
      <w:sz w:val="28"/>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spacing w:line="500" w:lineRule="exact"/>
      <w:ind w:firstLine="420"/>
    </w:pPr>
    <w:rPr>
      <w:rFonts w:ascii="Times New Roman" w:hAnsi="Times New Roman" w:eastAsia="仿宋_GB2312"/>
      <w:kern w:val="0"/>
      <w:sz w:val="20"/>
      <w:szCs w:val="20"/>
    </w:rPr>
  </w:style>
  <w:style w:type="paragraph" w:styleId="8">
    <w:name w:val="annotation text"/>
    <w:basedOn w:val="1"/>
    <w:qFormat/>
    <w:uiPriority w:val="0"/>
    <w:pPr>
      <w:jc w:val="left"/>
    </w:pPr>
  </w:style>
  <w:style w:type="paragraph" w:styleId="9">
    <w:name w:val="footer"/>
    <w:basedOn w:val="1"/>
    <w:link w:val="15"/>
    <w:qFormat/>
    <w:uiPriority w:val="99"/>
    <w:pPr>
      <w:tabs>
        <w:tab w:val="center" w:pos="4153"/>
        <w:tab w:val="right" w:pos="8306"/>
      </w:tabs>
      <w:snapToGrid w:val="0"/>
    </w:pPr>
    <w:rPr>
      <w:sz w:val="18"/>
      <w:szCs w:val="18"/>
    </w:rPr>
  </w:style>
  <w:style w:type="paragraph" w:styleId="10">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customStyle="1" w:styleId="13">
    <w:name w:val="正文缩进1"/>
    <w:basedOn w:val="1"/>
    <w:autoRedefine/>
    <w:qFormat/>
    <w:uiPriority w:val="0"/>
    <w:pPr>
      <w:ind w:firstLine="420"/>
    </w:pPr>
    <w:rPr>
      <w:rFonts w:ascii="Times New Roman" w:hAnsi="Times New Roman"/>
      <w:sz w:val="21"/>
      <w:szCs w:val="20"/>
    </w:rPr>
  </w:style>
  <w:style w:type="paragraph" w:customStyle="1" w:styleId="14">
    <w:name w:val="正文正文2"/>
    <w:basedOn w:val="1"/>
    <w:autoRedefine/>
    <w:qFormat/>
    <w:uiPriority w:val="0"/>
    <w:pPr>
      <w:ind w:firstLine="460"/>
    </w:pPr>
    <w:rPr>
      <w:sz w:val="21"/>
      <w:szCs w:val="21"/>
    </w:rPr>
  </w:style>
  <w:style w:type="character" w:customStyle="1" w:styleId="15">
    <w:name w:val="页脚 字符"/>
    <w:basedOn w:val="12"/>
    <w:link w:val="9"/>
    <w:qFormat/>
    <w:uiPriority w:val="99"/>
    <w:rPr>
      <w:rFonts w:ascii="宋体" w:hAnsi="宋体" w:eastAsia="宋体" w:cs="Times New Roman"/>
      <w:kern w:val="2"/>
      <w:sz w:val="18"/>
      <w:szCs w:val="18"/>
    </w:rPr>
  </w:style>
  <w:style w:type="character" w:customStyle="1" w:styleId="16">
    <w:name w:val="标题 3 字符"/>
    <w:basedOn w:val="12"/>
    <w:link w:val="4"/>
    <w:semiHidden/>
    <w:qFormat/>
    <w:uiPriority w:val="0"/>
    <w:rPr>
      <w:rFonts w:ascii="宋体" w:hAnsi="宋体" w:eastAsia="宋体" w:cs="Times New Roman"/>
      <w:b/>
      <w:bCs/>
      <w:kern w:val="2"/>
      <w:sz w:val="32"/>
      <w:szCs w:val="32"/>
    </w:rPr>
  </w:style>
  <w:style w:type="character" w:customStyle="1" w:styleId="17">
    <w:name w:val="标题 4 字符"/>
    <w:basedOn w:val="12"/>
    <w:link w:val="5"/>
    <w:qFormat/>
    <w:uiPriority w:val="0"/>
    <w:rPr>
      <w:rFonts w:ascii="Times New Roman" w:hAnsi="Times New Roman" w:eastAsia="仿宋_GB2312" w:cstheme="majorBidi"/>
      <w:bCs/>
      <w:kern w:val="2"/>
      <w:sz w:val="28"/>
      <w:szCs w:val="28"/>
    </w:rPr>
  </w:style>
  <w:style w:type="character" w:customStyle="1" w:styleId="18">
    <w:name w:val="标题 5 字符"/>
    <w:basedOn w:val="12"/>
    <w:link w:val="6"/>
    <w:qFormat/>
    <w:uiPriority w:val="0"/>
    <w:rPr>
      <w:rFonts w:ascii="Times New Roman" w:hAnsi="Times New Roman" w:eastAsia="仿宋_GB2312" w:cs="Times New Roman"/>
      <w:bCs/>
      <w:kern w:val="2"/>
      <w:sz w:val="28"/>
      <w:szCs w:val="28"/>
    </w:rPr>
  </w:style>
  <w:style w:type="paragraph" w:styleId="19">
    <w:name w:val="List Paragraph"/>
    <w:basedOn w:val="1"/>
    <w:link w:val="20"/>
    <w:unhideWhenUsed/>
    <w:qFormat/>
    <w:uiPriority w:val="34"/>
    <w:pPr>
      <w:spacing w:line="500" w:lineRule="exact"/>
      <w:ind w:firstLine="420"/>
    </w:pPr>
    <w:rPr>
      <w:rFonts w:ascii="Times New Roman" w:hAnsi="Times New Roman" w:eastAsia="仿宋_GB2312"/>
      <w:sz w:val="28"/>
      <w:szCs w:val="22"/>
    </w:rPr>
  </w:style>
  <w:style w:type="character" w:customStyle="1" w:styleId="20">
    <w:name w:val="列表段落 字符"/>
    <w:link w:val="19"/>
    <w:qFormat/>
    <w:uiPriority w:val="34"/>
    <w:rPr>
      <w:rFonts w:ascii="Times New Roman" w:hAnsi="Times New Roman" w:eastAsia="仿宋_GB2312" w:cs="Times New Roman"/>
      <w:kern w:val="2"/>
      <w:sz w:val="28"/>
      <w:szCs w:val="22"/>
    </w:rPr>
  </w:style>
  <w:style w:type="paragraph" w:customStyle="1" w:styleId="21">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1164</Words>
  <Characters>6636</Characters>
  <Lines>55</Lines>
  <Paragraphs>15</Paragraphs>
  <TotalTime>451</TotalTime>
  <ScaleCrop>false</ScaleCrop>
  <LinksUpToDate>false</LinksUpToDate>
  <CharactersWithSpaces>7785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2025-05-14T06:15:00Z</dcterms:created>
  <dc:creator>user</dc:creator>
  <cp:lastModifiedBy>顾文林</cp:lastModifiedBy>
  <dcterms:modified xsi:type="dcterms:W3CDTF">2025-06-23T18:05:00Z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7438FB00CC4B720F0B265968293B8696_43</vt:lpwstr>
  </property>
</Properties>
</file>