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777B47">
      <w:pPr>
        <w:pStyle w:val="3"/>
        <w:numPr>
          <w:ilvl w:val="0"/>
          <w:numId w:val="0"/>
        </w:numPr>
        <w:ind w:left="425"/>
        <w:jc w:val="center"/>
        <w:rPr>
          <w:color w:val="auto"/>
        </w:rPr>
      </w:pPr>
      <w:bookmarkStart w:id="0" w:name="_Toc63785461"/>
      <w:r>
        <w:rPr>
          <w:rFonts w:hint="eastAsia"/>
          <w:color w:val="auto"/>
        </w:rPr>
        <w:t>采购需求</w:t>
      </w:r>
    </w:p>
    <w:p w14:paraId="757E6FAE">
      <w:pPr>
        <w:pStyle w:val="3"/>
        <w:rPr>
          <w:color w:val="auto"/>
        </w:rPr>
      </w:pPr>
      <w:r>
        <w:rPr>
          <w:rFonts w:hint="eastAsia"/>
          <w:color w:val="auto"/>
        </w:rPr>
        <w:t>项目概况</w:t>
      </w:r>
      <w:bookmarkEnd w:id="0"/>
    </w:p>
    <w:p w14:paraId="0E8F5509">
      <w:pPr>
        <w:spacing w:line="560" w:lineRule="exact"/>
        <w:rPr>
          <w:color w:val="auto"/>
        </w:rPr>
      </w:pPr>
      <w:r>
        <w:rPr>
          <w:rFonts w:hint="eastAsia"/>
          <w:color w:val="auto"/>
        </w:rPr>
        <w:t>项目背景及现状：</w:t>
      </w:r>
    </w:p>
    <w:p w14:paraId="2BBDE042">
      <w:pPr>
        <w:pStyle w:val="5"/>
        <w:ind w:firstLine="480"/>
        <w:rPr>
          <w:color w:val="auto"/>
        </w:rPr>
      </w:pPr>
      <w:r>
        <w:rPr>
          <w:rFonts w:hint="eastAsia"/>
          <w:color w:val="auto"/>
        </w:rPr>
        <w:t>上海音乐学院作为国家首批“双一流”建设高校，应当把握历史契机，通过建设教职工管理与服务一体化子系统，利用信息化技术作为人力资源系统性变革的内生变量，把新的人事管理理念和发展理念贯穿在师资队伍规划、引进、培育、发展全过程，发挥人力资源管理在人才引、用、育、留等方面的专业价值，为学校人才强校战略提供决策性信息支持，辅助科学决策。</w:t>
      </w:r>
    </w:p>
    <w:p w14:paraId="702E5418">
      <w:pPr>
        <w:pStyle w:val="5"/>
        <w:ind w:firstLine="480"/>
        <w:rPr>
          <w:color w:val="auto"/>
        </w:rPr>
      </w:pPr>
      <w:r>
        <w:rPr>
          <w:rFonts w:hint="eastAsia"/>
          <w:color w:val="auto"/>
        </w:rPr>
        <w:t>上海音乐学院教职工管理与服务一体化子系统，是对人事综合管理系统建设的全面升级，是集人事、组干、党务、统战、教师发展等业务为一体，从“业务、服务、数据”三个层面，提升人力资源管理与服务能力的一体化子系统，既要满足教职工日常业务协同处理，更要发挥数据对业务的支撑作用，提升效率的同时，不断提高人事处的专业能力，发挥人事处对其他业务部门的专业支持作用。</w:t>
      </w:r>
    </w:p>
    <w:p w14:paraId="3C5D08EA">
      <w:pPr>
        <w:rPr>
          <w:color w:val="auto"/>
        </w:rPr>
      </w:pPr>
      <w:r>
        <w:rPr>
          <w:color w:val="auto"/>
        </w:rPr>
        <w:t>是否按信创要求建设：是</w:t>
      </w:r>
    </w:p>
    <w:p w14:paraId="7C947401">
      <w:pPr>
        <w:pStyle w:val="5"/>
        <w:ind w:firstLine="480"/>
        <w:rPr>
          <w:rFonts w:hint="eastAsia"/>
          <w:color w:val="auto"/>
        </w:rPr>
      </w:pPr>
      <w:r>
        <w:rPr>
          <w:rFonts w:hint="eastAsia"/>
          <w:color w:val="auto"/>
          <w:lang w:val="en-US" w:eastAsia="zh-CN"/>
        </w:rPr>
        <w:t>最高限价</w:t>
      </w:r>
      <w:r>
        <w:rPr>
          <w:rFonts w:hint="eastAsia"/>
          <w:color w:val="auto"/>
        </w:rPr>
        <w:t>：1</w:t>
      </w:r>
      <w:r>
        <w:rPr>
          <w:color w:val="auto"/>
        </w:rPr>
        <w:t>,150</w:t>
      </w:r>
      <w:r>
        <w:rPr>
          <w:rFonts w:hint="eastAsia"/>
          <w:color w:val="auto"/>
        </w:rPr>
        <w:t>,</w:t>
      </w:r>
      <w:r>
        <w:rPr>
          <w:color w:val="auto"/>
        </w:rPr>
        <w:t>100</w:t>
      </w:r>
      <w:r>
        <w:rPr>
          <w:rFonts w:hint="eastAsia"/>
          <w:color w:val="auto"/>
        </w:rPr>
        <w:t>元</w:t>
      </w:r>
    </w:p>
    <w:p w14:paraId="153EAD4D">
      <w:pPr>
        <w:pStyle w:val="5"/>
        <w:rPr>
          <w:rFonts w:hint="eastAsia" w:eastAsia="宋体"/>
          <w:color w:val="auto"/>
          <w:lang w:val="en-US" w:eastAsia="zh-CN"/>
        </w:rPr>
      </w:pPr>
    </w:p>
    <w:p w14:paraId="582BDDEF">
      <w:pPr>
        <w:pStyle w:val="3"/>
        <w:rPr>
          <w:color w:val="auto"/>
        </w:rPr>
      </w:pPr>
      <w:bookmarkStart w:id="1" w:name="_Toc47536644"/>
      <w:bookmarkEnd w:id="1"/>
      <w:bookmarkStart w:id="2" w:name="_Toc47533256"/>
      <w:bookmarkEnd w:id="2"/>
      <w:bookmarkStart w:id="3" w:name="_Toc47539070"/>
      <w:bookmarkEnd w:id="3"/>
      <w:bookmarkStart w:id="4" w:name="_Toc47531634"/>
      <w:bookmarkEnd w:id="4"/>
      <w:bookmarkStart w:id="5" w:name="_Toc47537134"/>
      <w:bookmarkEnd w:id="5"/>
      <w:bookmarkStart w:id="6" w:name="_Toc47532255"/>
      <w:bookmarkEnd w:id="6"/>
      <w:bookmarkStart w:id="7" w:name="_Toc47532891"/>
      <w:bookmarkEnd w:id="7"/>
      <w:bookmarkStart w:id="8" w:name="_Toc47536272"/>
      <w:bookmarkEnd w:id="8"/>
      <w:bookmarkStart w:id="9" w:name="_Toc63785463"/>
      <w:bookmarkStart w:id="10" w:name="_Toc48223882"/>
      <w:r>
        <w:rPr>
          <w:rFonts w:hint="eastAsia"/>
          <w:color w:val="auto"/>
        </w:rPr>
        <w:t>建设目标</w:t>
      </w:r>
      <w:bookmarkEnd w:id="9"/>
      <w:bookmarkEnd w:id="10"/>
    </w:p>
    <w:p w14:paraId="25EE0D5E">
      <w:pPr>
        <w:rPr>
          <w:bCs/>
          <w:color w:val="auto"/>
        </w:rPr>
      </w:pPr>
      <w:r>
        <w:rPr>
          <w:rFonts w:hint="eastAsia"/>
          <w:bCs/>
          <w:color w:val="auto"/>
        </w:rPr>
        <w:t>上海音乐学院教职工管理与服务一体化子系统是对缺失人事综合管理系统建设的新建，是集人事、组干、党务、统战、教师发展等业务为一体，从“业务、服务、数据”三个层面，提升人力资源管理与服务能力的一体化平台，既要满足教职工日常业务协同处理，更要发挥数据对业务的支撑作用，提升效率的同时，不断提高人事处的专业能力，发挥人事处对其他业务部门的专业支持作用。</w:t>
      </w:r>
    </w:p>
    <w:p w14:paraId="38838612">
      <w:pPr>
        <w:pStyle w:val="3"/>
        <w:rPr>
          <w:color w:val="auto"/>
        </w:rPr>
      </w:pPr>
      <w:bookmarkStart w:id="11" w:name="_Toc47532923"/>
      <w:bookmarkEnd w:id="11"/>
      <w:bookmarkStart w:id="12" w:name="_Toc47533288"/>
      <w:bookmarkEnd w:id="12"/>
      <w:bookmarkStart w:id="13" w:name="_Toc47537166"/>
      <w:bookmarkEnd w:id="13"/>
      <w:bookmarkStart w:id="14" w:name="_Toc47539102"/>
      <w:bookmarkEnd w:id="14"/>
      <w:bookmarkStart w:id="15" w:name="_Toc47536676"/>
      <w:bookmarkEnd w:id="15"/>
      <w:bookmarkStart w:id="16" w:name="_Toc47536304"/>
      <w:bookmarkEnd w:id="16"/>
      <w:r>
        <w:rPr>
          <w:rFonts w:hint="eastAsia"/>
          <w:color w:val="auto"/>
        </w:rPr>
        <w:t>项目建设内容</w:t>
      </w:r>
    </w:p>
    <w:p w14:paraId="28BB3FD9">
      <w:pPr>
        <w:pStyle w:val="4"/>
        <w:ind w:left="0" w:firstLine="423" w:firstLineChars="141"/>
        <w:rPr>
          <w:color w:val="auto"/>
        </w:rPr>
      </w:pPr>
      <w:r>
        <w:rPr>
          <w:rFonts w:hint="eastAsia"/>
          <w:color w:val="auto"/>
        </w:rPr>
        <w:t>技术要求</w:t>
      </w:r>
    </w:p>
    <w:p w14:paraId="328D4378">
      <w:pPr>
        <w:rPr>
          <w:color w:val="auto"/>
          <w:lang w:val="zh-CN"/>
        </w:rPr>
      </w:pPr>
      <w:r>
        <w:rPr>
          <w:color w:val="auto"/>
          <w:lang w:val="zh-CN"/>
        </w:rPr>
        <w:t>投标方提供的平台和系统均要求采用</w:t>
      </w:r>
      <w:r>
        <w:rPr>
          <w:color w:val="auto"/>
        </w:rPr>
        <w:t>B/S</w:t>
      </w:r>
      <w:r>
        <w:rPr>
          <w:color w:val="auto"/>
          <w:lang w:val="zh-CN"/>
        </w:rPr>
        <w:t>结构</w:t>
      </w:r>
      <w:r>
        <w:rPr>
          <w:color w:val="auto"/>
        </w:rPr>
        <w:t>，</w:t>
      </w:r>
      <w:r>
        <w:rPr>
          <w:color w:val="auto"/>
          <w:lang w:val="zh-CN"/>
        </w:rPr>
        <w:t>可运行于</w:t>
      </w:r>
      <w:r>
        <w:rPr>
          <w:color w:val="auto"/>
        </w:rPr>
        <w:t>Unix</w:t>
      </w:r>
      <w:r>
        <w:rPr>
          <w:color w:val="auto"/>
          <w:lang w:val="zh-CN"/>
        </w:rPr>
        <w:t>、</w:t>
      </w:r>
      <w:r>
        <w:rPr>
          <w:color w:val="auto"/>
        </w:rPr>
        <w:t>Linux</w:t>
      </w:r>
      <w:r>
        <w:rPr>
          <w:color w:val="auto"/>
          <w:lang w:val="zh-CN"/>
        </w:rPr>
        <w:t>、</w:t>
      </w:r>
      <w:r>
        <w:rPr>
          <w:color w:val="auto"/>
        </w:rPr>
        <w:t>windows</w:t>
      </w:r>
      <w:r>
        <w:rPr>
          <w:rFonts w:hint="eastAsia"/>
          <w:color w:val="auto"/>
        </w:rPr>
        <w:t>及</w:t>
      </w:r>
      <w:r>
        <w:rPr>
          <w:rFonts w:hint="eastAsia"/>
          <w:b/>
          <w:bCs/>
          <w:color w:val="auto"/>
        </w:rPr>
        <w:t>国产操作系统</w:t>
      </w:r>
      <w:r>
        <w:rPr>
          <w:color w:val="auto"/>
          <w:lang w:val="zh-CN"/>
        </w:rPr>
        <w:t>等高安全性操作系统。开发技术应采用J2EE标准、组件技术及在数据交换上对XML的支持，使系统功能最优化，同时将整体系统内部在技术上的相互依赖性减至最低。具体要求如下：</w:t>
      </w:r>
    </w:p>
    <w:p w14:paraId="7062320D">
      <w:pPr>
        <w:numPr>
          <w:ilvl w:val="0"/>
          <w:numId w:val="2"/>
        </w:numPr>
        <w:ind w:firstLine="480"/>
        <w:rPr>
          <w:color w:val="auto"/>
          <w:lang w:val="zh-CN"/>
        </w:rPr>
      </w:pPr>
      <w:r>
        <w:rPr>
          <w:color w:val="auto"/>
          <w:lang w:val="zh-CN"/>
        </w:rPr>
        <w:t>平台及应用系统软件必须遵循J2EE的技术路线，采用Java编程语言和服务器端Java技术进行开发。</w:t>
      </w:r>
    </w:p>
    <w:p w14:paraId="0227064D">
      <w:pPr>
        <w:numPr>
          <w:ilvl w:val="0"/>
          <w:numId w:val="2"/>
        </w:numPr>
        <w:ind w:firstLine="480"/>
        <w:rPr>
          <w:color w:val="auto"/>
          <w:lang w:val="zh-CN"/>
        </w:rPr>
      </w:pPr>
      <w:r>
        <w:rPr>
          <w:rFonts w:hint="eastAsia"/>
          <w:color w:val="auto"/>
          <w:lang w:val="zh-CN"/>
        </w:rPr>
        <w:t>采</w:t>
      </w:r>
      <w:r>
        <w:rPr>
          <w:color w:val="auto"/>
          <w:lang w:val="zh-CN"/>
        </w:rPr>
        <w:t>用面向对象的组件技术，着重于开发构成应用程序“业务对象”的可重复使用的组件，利用这些组件顺利地建立分布式应用程序。并通过业务组件库实现行业知识的积累。组件采有面向对象的思想构建，组件之间可以继承，组件之间从物理和逻辑上都是隔离的。</w:t>
      </w:r>
    </w:p>
    <w:p w14:paraId="2E2968E7">
      <w:pPr>
        <w:numPr>
          <w:ilvl w:val="0"/>
          <w:numId w:val="2"/>
        </w:numPr>
        <w:ind w:firstLine="480"/>
        <w:rPr>
          <w:color w:val="auto"/>
          <w:lang w:val="zh-CN"/>
        </w:rPr>
      </w:pPr>
      <w:r>
        <w:rPr>
          <w:color w:val="auto"/>
          <w:lang w:val="zh-CN"/>
        </w:rPr>
        <w:t>应用程序开发与运行结构要基于统一的技术开发平台的三层架构，即Web服务器、应用支撑服务器和数据库服务器。</w:t>
      </w:r>
    </w:p>
    <w:p w14:paraId="05AA30DA">
      <w:pPr>
        <w:numPr>
          <w:ilvl w:val="0"/>
          <w:numId w:val="2"/>
        </w:numPr>
        <w:ind w:firstLine="480"/>
        <w:rPr>
          <w:color w:val="auto"/>
          <w:lang w:val="zh-CN"/>
        </w:rPr>
      </w:pPr>
      <w:r>
        <w:rPr>
          <w:color w:val="auto"/>
          <w:lang w:val="zh-CN"/>
        </w:rPr>
        <w:t>能完成跨业务部门的业务流程和相对应的细颗粒度的分级授权体系。</w:t>
      </w:r>
    </w:p>
    <w:p w14:paraId="6D20D7E3">
      <w:pPr>
        <w:numPr>
          <w:ilvl w:val="0"/>
          <w:numId w:val="2"/>
        </w:numPr>
        <w:ind w:firstLine="480"/>
        <w:rPr>
          <w:color w:val="auto"/>
        </w:rPr>
      </w:pPr>
      <w:bookmarkStart w:id="17" w:name="_Toc113272654"/>
      <w:bookmarkStart w:id="18" w:name="_Toc113272542"/>
      <w:r>
        <w:rPr>
          <w:color w:val="auto"/>
          <w:lang w:val="zh-CN"/>
        </w:rPr>
        <w:t>各应用系统要充分利用现有先进技术手段，采用相同的体系结构和运行平台，基于多层架构和组件技术，进行构建，整体架构基于Spring的MVC结构，分为显示层、控制层、服务层、持久化层。组件的执行是以模型进行驱动，每层都有相应的模型配置，引擎解析这些模型，自动实现各层的功能做到系统结构层次清晰。所有应用逻辑、流程、数据等都应当能够根据实际业务要求的颗粒度进行封装。</w:t>
      </w:r>
      <w:bookmarkEnd w:id="17"/>
      <w:bookmarkEnd w:id="18"/>
    </w:p>
    <w:p w14:paraId="2006FE40">
      <w:pPr>
        <w:pStyle w:val="4"/>
        <w:ind w:left="0" w:firstLine="423" w:firstLineChars="141"/>
        <w:rPr>
          <w:color w:val="auto"/>
        </w:rPr>
      </w:pPr>
      <w:r>
        <w:rPr>
          <w:rFonts w:hint="eastAsia"/>
          <w:color w:val="auto"/>
        </w:rPr>
        <w:t>安全要求</w:t>
      </w:r>
    </w:p>
    <w:p w14:paraId="4754AE8C">
      <w:pPr>
        <w:numPr>
          <w:ilvl w:val="0"/>
          <w:numId w:val="3"/>
        </w:numPr>
        <w:ind w:firstLine="480"/>
        <w:rPr>
          <w:color w:val="auto"/>
          <w:lang w:val="zh-CN"/>
        </w:rPr>
      </w:pPr>
      <w:r>
        <w:rPr>
          <w:rFonts w:hint="eastAsia"/>
          <w:color w:val="auto"/>
          <w:lang w:val="zh-CN"/>
        </w:rPr>
        <w:t>身份鉴别：对登录的用户进行身份标识和鉴别，身份标识具有唯一性,身份鉴别信息具有复杂度要求,具有登录失败处理功能，同时配置并启用结束会话、限制非法登录次数和当登录连接超时自动退出等相关措施。</w:t>
      </w:r>
    </w:p>
    <w:p w14:paraId="16B90DC6">
      <w:pPr>
        <w:numPr>
          <w:ilvl w:val="0"/>
          <w:numId w:val="3"/>
        </w:numPr>
        <w:ind w:firstLine="480"/>
        <w:rPr>
          <w:color w:val="auto"/>
          <w:lang w:val="zh-CN"/>
        </w:rPr>
      </w:pPr>
      <w:r>
        <w:rPr>
          <w:rFonts w:hint="eastAsia"/>
          <w:color w:val="auto"/>
          <w:lang w:val="zh-CN"/>
        </w:rPr>
        <w:t>访问控制：能对登录的用户分配账户和权限，能授予管理用户所需的最小权限，同时系统能实现管理用户的权限分离，能由授权主体配置访问控制策略，访问控制策略规定主体对客体的访问规则。</w:t>
      </w:r>
    </w:p>
    <w:p w14:paraId="54522165">
      <w:pPr>
        <w:numPr>
          <w:ilvl w:val="0"/>
          <w:numId w:val="3"/>
        </w:numPr>
        <w:ind w:firstLine="480"/>
        <w:rPr>
          <w:color w:val="auto"/>
          <w:lang w:val="zh-CN"/>
        </w:rPr>
      </w:pPr>
      <w:r>
        <w:rPr>
          <w:rFonts w:hint="eastAsia"/>
          <w:color w:val="auto"/>
          <w:lang w:val="zh-CN"/>
        </w:rPr>
        <w:t>入侵防范：提供数据有效性检验功能，保证通过人机接口输入或通过通信接口输入的内容符合系统设定要求，可通过限制网络地址范围等方式对行管理的终端进行限制；</w:t>
      </w:r>
    </w:p>
    <w:p w14:paraId="6DD80FEE">
      <w:pPr>
        <w:numPr>
          <w:ilvl w:val="0"/>
          <w:numId w:val="3"/>
        </w:numPr>
        <w:ind w:firstLine="480"/>
        <w:rPr>
          <w:color w:val="auto"/>
          <w:lang w:val="zh-CN"/>
        </w:rPr>
      </w:pPr>
      <w:r>
        <w:rPr>
          <w:rFonts w:hint="eastAsia"/>
          <w:color w:val="auto"/>
          <w:lang w:val="zh-CN"/>
        </w:rPr>
        <w:t xml:space="preserve">安全审计： 启用安全审计功能，审计覆盖到每个用户，对重要的用户行为和重要安全事件进行审计；能对审计记录进行保护，定期备份，避免受到未预期的删除、修改或覆盖等 ； </w:t>
      </w:r>
    </w:p>
    <w:p w14:paraId="14E8216A">
      <w:pPr>
        <w:numPr>
          <w:ilvl w:val="0"/>
          <w:numId w:val="3"/>
        </w:numPr>
        <w:ind w:firstLine="480"/>
        <w:rPr>
          <w:color w:val="auto"/>
          <w:lang w:val="zh-CN"/>
        </w:rPr>
      </w:pPr>
      <w:r>
        <w:rPr>
          <w:rFonts w:hint="eastAsia"/>
          <w:color w:val="auto"/>
          <w:lang w:val="zh-CN"/>
        </w:rPr>
        <w:t>数据安全层面要求如下：</w:t>
      </w:r>
    </w:p>
    <w:p w14:paraId="28568E0A">
      <w:pPr>
        <w:numPr>
          <w:ilvl w:val="0"/>
          <w:numId w:val="4"/>
        </w:numPr>
        <w:ind w:left="420" w:hanging="420" w:firstLineChars="0"/>
        <w:rPr>
          <w:color w:val="auto"/>
          <w:lang w:val="zh-CN"/>
        </w:rPr>
      </w:pPr>
      <w:r>
        <w:rPr>
          <w:rFonts w:hint="eastAsia"/>
          <w:color w:val="auto"/>
          <w:lang w:val="zh-CN"/>
        </w:rPr>
        <w:t>安全存储：对授权收集到的敏感信息，采取去标识化、关键字段加密安全存储措施；</w:t>
      </w:r>
    </w:p>
    <w:p w14:paraId="1B93E7C2">
      <w:pPr>
        <w:numPr>
          <w:ilvl w:val="0"/>
          <w:numId w:val="4"/>
        </w:numPr>
        <w:ind w:left="420" w:hanging="420" w:firstLineChars="0"/>
        <w:rPr>
          <w:color w:val="auto"/>
          <w:lang w:val="zh-CN"/>
        </w:rPr>
      </w:pPr>
      <w:r>
        <w:rPr>
          <w:rFonts w:hint="eastAsia"/>
          <w:color w:val="auto"/>
          <w:lang w:val="zh-CN"/>
        </w:rPr>
        <w:t>加密传输：在跨安全域或通过互联网传输敏感信息时，采用加密传输措施；</w:t>
      </w:r>
    </w:p>
    <w:p w14:paraId="142EB3F4">
      <w:pPr>
        <w:numPr>
          <w:ilvl w:val="0"/>
          <w:numId w:val="4"/>
        </w:numPr>
        <w:ind w:left="420" w:hanging="420" w:firstLineChars="0"/>
        <w:rPr>
          <w:color w:val="auto"/>
          <w:lang w:val="zh-CN"/>
        </w:rPr>
      </w:pPr>
      <w:r>
        <w:rPr>
          <w:rFonts w:hint="eastAsia"/>
          <w:color w:val="auto"/>
          <w:lang w:val="zh-CN"/>
        </w:rPr>
        <w:t>敏感信息处理：在用户端显示敏感信息时，采取脱敏等技术手段防止未授权人员获取敏感信息，各类数据处理场景中数据脱敏不存在伪脱敏和弱脱敏等脱敏失效等情况。</w:t>
      </w:r>
    </w:p>
    <w:p w14:paraId="3E4F9722">
      <w:pPr>
        <w:numPr>
          <w:ilvl w:val="0"/>
          <w:numId w:val="3"/>
        </w:numPr>
        <w:ind w:firstLine="480"/>
        <w:rPr>
          <w:color w:val="auto"/>
          <w:lang w:val="zh-CN"/>
        </w:rPr>
      </w:pPr>
      <w:r>
        <w:rPr>
          <w:rFonts w:hint="eastAsia"/>
          <w:color w:val="auto"/>
          <w:lang w:val="zh-CN"/>
        </w:rPr>
        <w:t>等保和密码要求：投标方需严格落实网络和数据安全防护能力、密码应用、信创应用等要求，配合开展系统等级保护定级、密码应用安全性评估等工作。</w:t>
      </w:r>
    </w:p>
    <w:p w14:paraId="5EBA4D23">
      <w:pPr>
        <w:pStyle w:val="4"/>
        <w:ind w:left="0" w:firstLine="423" w:firstLineChars="141"/>
        <w:rPr>
          <w:color w:val="auto"/>
          <w:lang w:val="zh-CN"/>
        </w:rPr>
      </w:pPr>
      <w:r>
        <w:rPr>
          <w:rFonts w:hint="eastAsia"/>
          <w:color w:val="auto"/>
          <w:lang w:val="zh-CN"/>
        </w:rPr>
        <w:t>项目建设清单、技术指标</w:t>
      </w:r>
    </w:p>
    <w:p w14:paraId="2C2E2C14">
      <w:pPr>
        <w:numPr>
          <w:ilvl w:val="0"/>
          <w:numId w:val="5"/>
        </w:numPr>
        <w:ind w:left="0" w:firstLine="482"/>
        <w:rPr>
          <w:b/>
          <w:color w:val="auto"/>
        </w:rPr>
      </w:pPr>
      <w:r>
        <w:rPr>
          <w:rFonts w:hint="eastAsia"/>
          <w:b/>
          <w:color w:val="auto"/>
        </w:rPr>
        <w:t>软件开发清单</w:t>
      </w:r>
    </w:p>
    <w:tbl>
      <w:tblPr>
        <w:tblStyle w:val="12"/>
        <w:tblW w:w="8982" w:type="dxa"/>
        <w:tblInd w:w="98" w:type="dxa"/>
        <w:tblLayout w:type="fixed"/>
        <w:tblCellMar>
          <w:top w:w="0" w:type="dxa"/>
          <w:left w:w="108" w:type="dxa"/>
          <w:bottom w:w="0" w:type="dxa"/>
          <w:right w:w="108" w:type="dxa"/>
        </w:tblCellMar>
      </w:tblPr>
      <w:tblGrid>
        <w:gridCol w:w="762"/>
        <w:gridCol w:w="1550"/>
        <w:gridCol w:w="1333"/>
        <w:gridCol w:w="5337"/>
      </w:tblGrid>
      <w:tr w14:paraId="36457AA5">
        <w:tblPrEx>
          <w:tblCellMar>
            <w:top w:w="0" w:type="dxa"/>
            <w:left w:w="108" w:type="dxa"/>
            <w:bottom w:w="0" w:type="dxa"/>
            <w:right w:w="108" w:type="dxa"/>
          </w:tblCellMar>
        </w:tblPrEx>
        <w:trPr>
          <w:trHeight w:val="285" w:hRule="atLeast"/>
        </w:trPr>
        <w:tc>
          <w:tcPr>
            <w:tcW w:w="762" w:type="dxa"/>
            <w:tcBorders>
              <w:top w:val="single" w:color="auto" w:sz="4" w:space="0"/>
              <w:left w:val="single" w:color="auto" w:sz="4" w:space="0"/>
              <w:bottom w:val="single" w:color="auto" w:sz="4" w:space="0"/>
              <w:right w:val="single" w:color="auto" w:sz="4" w:space="0"/>
            </w:tcBorders>
            <w:shd w:val="clear" w:color="auto" w:fill="auto"/>
            <w:vAlign w:val="center"/>
          </w:tcPr>
          <w:p w14:paraId="025DD87B">
            <w:pPr>
              <w:widowControl/>
              <w:spacing w:line="240" w:lineRule="auto"/>
              <w:ind w:firstLine="0" w:firstLineChars="0"/>
              <w:jc w:val="center"/>
              <w:rPr>
                <w:rFonts w:cs="宋体"/>
                <w:b/>
                <w:color w:val="auto"/>
                <w:kern w:val="0"/>
                <w:sz w:val="22"/>
                <w:szCs w:val="22"/>
              </w:rPr>
            </w:pPr>
            <w:r>
              <w:rPr>
                <w:rFonts w:hint="eastAsia" w:cs="宋体"/>
                <w:b/>
                <w:color w:val="auto"/>
                <w:kern w:val="0"/>
                <w:sz w:val="22"/>
                <w:szCs w:val="22"/>
              </w:rPr>
              <w:t>序号</w:t>
            </w:r>
          </w:p>
        </w:tc>
        <w:tc>
          <w:tcPr>
            <w:tcW w:w="1550" w:type="dxa"/>
            <w:tcBorders>
              <w:top w:val="single" w:color="auto" w:sz="4" w:space="0"/>
              <w:left w:val="single" w:color="auto" w:sz="4" w:space="0"/>
              <w:bottom w:val="single" w:color="auto" w:sz="4" w:space="0"/>
              <w:right w:val="single" w:color="auto" w:sz="4" w:space="0"/>
            </w:tcBorders>
            <w:shd w:val="clear" w:color="auto" w:fill="auto"/>
            <w:vAlign w:val="center"/>
          </w:tcPr>
          <w:p w14:paraId="654698A9">
            <w:pPr>
              <w:widowControl/>
              <w:spacing w:line="240" w:lineRule="auto"/>
              <w:ind w:firstLine="0" w:firstLineChars="0"/>
              <w:jc w:val="center"/>
              <w:rPr>
                <w:rFonts w:cs="宋体"/>
                <w:b/>
                <w:color w:val="auto"/>
                <w:kern w:val="0"/>
                <w:sz w:val="22"/>
                <w:szCs w:val="22"/>
              </w:rPr>
            </w:pPr>
            <w:r>
              <w:rPr>
                <w:rFonts w:hint="eastAsia" w:cs="宋体"/>
                <w:b/>
                <w:color w:val="auto"/>
                <w:kern w:val="0"/>
                <w:sz w:val="22"/>
                <w:szCs w:val="22"/>
              </w:rPr>
              <w:t>应用系统名称</w:t>
            </w: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14:paraId="605B6B27">
            <w:pPr>
              <w:widowControl/>
              <w:spacing w:line="240" w:lineRule="auto"/>
              <w:ind w:firstLine="0" w:firstLineChars="0"/>
              <w:jc w:val="center"/>
              <w:rPr>
                <w:rFonts w:cs="宋体"/>
                <w:b/>
                <w:color w:val="auto"/>
                <w:kern w:val="0"/>
                <w:sz w:val="22"/>
                <w:szCs w:val="22"/>
              </w:rPr>
            </w:pPr>
            <w:r>
              <w:rPr>
                <w:rFonts w:hint="eastAsia" w:cs="宋体"/>
                <w:b/>
                <w:color w:val="auto"/>
                <w:kern w:val="0"/>
                <w:sz w:val="22"/>
                <w:szCs w:val="22"/>
              </w:rPr>
              <w:t>模块名称</w:t>
            </w:r>
          </w:p>
        </w:tc>
        <w:tc>
          <w:tcPr>
            <w:tcW w:w="5337" w:type="dxa"/>
            <w:tcBorders>
              <w:top w:val="single" w:color="auto" w:sz="4" w:space="0"/>
              <w:left w:val="single" w:color="auto" w:sz="4" w:space="0"/>
              <w:bottom w:val="single" w:color="auto" w:sz="4" w:space="0"/>
              <w:right w:val="single" w:color="auto" w:sz="4" w:space="0"/>
            </w:tcBorders>
            <w:shd w:val="clear" w:color="auto" w:fill="auto"/>
          </w:tcPr>
          <w:p w14:paraId="2E2AAD42">
            <w:pPr>
              <w:widowControl/>
              <w:spacing w:line="240" w:lineRule="auto"/>
              <w:ind w:firstLine="0" w:firstLineChars="0"/>
              <w:jc w:val="center"/>
              <w:rPr>
                <w:rFonts w:cs="宋体"/>
                <w:b/>
                <w:color w:val="auto"/>
                <w:kern w:val="0"/>
                <w:sz w:val="22"/>
                <w:szCs w:val="22"/>
              </w:rPr>
            </w:pPr>
            <w:r>
              <w:rPr>
                <w:rFonts w:hint="eastAsia" w:cs="宋体"/>
                <w:b/>
                <w:color w:val="auto"/>
                <w:kern w:val="0"/>
                <w:sz w:val="22"/>
                <w:szCs w:val="22"/>
              </w:rPr>
              <w:t>模块描述</w:t>
            </w:r>
          </w:p>
        </w:tc>
      </w:tr>
      <w:tr w14:paraId="7365CBAB">
        <w:tblPrEx>
          <w:tblCellMar>
            <w:top w:w="0" w:type="dxa"/>
            <w:left w:w="108" w:type="dxa"/>
            <w:bottom w:w="0" w:type="dxa"/>
            <w:right w:w="108" w:type="dxa"/>
          </w:tblCellMar>
        </w:tblPrEx>
        <w:trPr>
          <w:trHeight w:val="555" w:hRule="atLeast"/>
        </w:trPr>
        <w:tc>
          <w:tcPr>
            <w:tcW w:w="762" w:type="dxa"/>
            <w:tcBorders>
              <w:top w:val="single" w:color="auto" w:sz="4" w:space="0"/>
              <w:left w:val="single" w:color="auto" w:sz="4" w:space="0"/>
              <w:bottom w:val="single" w:color="auto" w:sz="4" w:space="0"/>
              <w:right w:val="single" w:color="auto" w:sz="4" w:space="0"/>
            </w:tcBorders>
            <w:shd w:val="clear" w:color="auto" w:fill="auto"/>
            <w:vAlign w:val="center"/>
          </w:tcPr>
          <w:p w14:paraId="227ED23A">
            <w:pPr>
              <w:widowControl/>
              <w:ind w:firstLine="0" w:firstLineChars="0"/>
              <w:jc w:val="center"/>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1</w:t>
            </w:r>
          </w:p>
        </w:tc>
        <w:tc>
          <w:tcPr>
            <w:tcW w:w="1550" w:type="dxa"/>
            <w:tcBorders>
              <w:top w:val="single" w:color="auto" w:sz="4" w:space="0"/>
              <w:left w:val="single" w:color="auto" w:sz="4" w:space="0"/>
              <w:bottom w:val="single" w:color="auto" w:sz="4" w:space="0"/>
              <w:right w:val="single" w:color="auto" w:sz="4" w:space="0"/>
            </w:tcBorders>
            <w:shd w:val="clear" w:color="auto" w:fill="auto"/>
            <w:vAlign w:val="center"/>
          </w:tcPr>
          <w:p w14:paraId="7653BD14">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教职工基本信息管理</w:t>
            </w: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14:paraId="0589A972">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教职工基本信息管理</w:t>
            </w:r>
          </w:p>
        </w:tc>
        <w:tc>
          <w:tcPr>
            <w:tcW w:w="5337" w:type="dxa"/>
            <w:tcBorders>
              <w:top w:val="single" w:color="auto" w:sz="4" w:space="0"/>
              <w:left w:val="single" w:color="auto" w:sz="4" w:space="0"/>
              <w:bottom w:val="single" w:color="auto" w:sz="4" w:space="0"/>
              <w:right w:val="single" w:color="auto" w:sz="4" w:space="0"/>
            </w:tcBorders>
            <w:shd w:val="clear" w:color="auto" w:fill="auto"/>
            <w:vAlign w:val="center"/>
          </w:tcPr>
          <w:p w14:paraId="0D363396">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全校教职工数据以及分散在各个业务系统的数据，实现教职工数据的可知、可存、可取、可用和可管，让人的基本信息（机构-岗位-人）成为学校各业务系统授权体系的基础。</w:t>
            </w:r>
          </w:p>
        </w:tc>
      </w:tr>
      <w:tr w14:paraId="10501F75">
        <w:tblPrEx>
          <w:tblCellMar>
            <w:top w:w="0" w:type="dxa"/>
            <w:left w:w="108" w:type="dxa"/>
            <w:bottom w:w="0" w:type="dxa"/>
            <w:right w:w="108" w:type="dxa"/>
          </w:tblCellMar>
        </w:tblPrEx>
        <w:trPr>
          <w:trHeight w:val="310" w:hRule="atLeast"/>
        </w:trPr>
        <w:tc>
          <w:tcPr>
            <w:tcW w:w="762" w:type="dxa"/>
            <w:tcBorders>
              <w:top w:val="single" w:color="auto" w:sz="4" w:space="0"/>
              <w:left w:val="single" w:color="auto" w:sz="4" w:space="0"/>
              <w:bottom w:val="single" w:color="auto" w:sz="4" w:space="0"/>
              <w:right w:val="single" w:color="auto" w:sz="4" w:space="0"/>
            </w:tcBorders>
            <w:shd w:val="clear" w:color="auto" w:fill="auto"/>
            <w:vAlign w:val="center"/>
          </w:tcPr>
          <w:p w14:paraId="23435895">
            <w:pPr>
              <w:widowControl/>
              <w:ind w:firstLine="0" w:firstLineChars="0"/>
              <w:jc w:val="center"/>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2</w:t>
            </w:r>
          </w:p>
        </w:tc>
        <w:tc>
          <w:tcPr>
            <w:tcW w:w="15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9AA1089">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统计分析与决策</w:t>
            </w: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14:paraId="3C4951C1">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统计分析</w:t>
            </w:r>
          </w:p>
        </w:tc>
        <w:tc>
          <w:tcPr>
            <w:tcW w:w="5337" w:type="dxa"/>
            <w:tcBorders>
              <w:top w:val="single" w:color="auto" w:sz="4" w:space="0"/>
              <w:left w:val="single" w:color="auto" w:sz="4" w:space="0"/>
              <w:bottom w:val="single" w:color="auto" w:sz="4" w:space="0"/>
              <w:right w:val="single" w:color="auto" w:sz="4" w:space="0"/>
            </w:tcBorders>
            <w:shd w:val="clear" w:color="auto" w:fill="auto"/>
            <w:vAlign w:val="center"/>
          </w:tcPr>
          <w:p w14:paraId="63D227DC">
            <w:pPr>
              <w:widowControl/>
              <w:ind w:firstLine="0" w:firstLineChars="0"/>
              <w:jc w:val="left"/>
              <w:textAlignment w:val="center"/>
              <w:rPr>
                <w:rFonts w:asciiTheme="minorEastAsia" w:hAnsiTheme="minorEastAsia" w:eastAsiaTheme="minorEastAsia" w:cstheme="minorEastAsia"/>
                <w:color w:val="auto"/>
                <w:kern w:val="0"/>
                <w:sz w:val="22"/>
                <w:szCs w:val="22"/>
                <w:lang w:eastAsia="zh-Hans" w:bidi="ar"/>
              </w:rPr>
            </w:pPr>
            <w:r>
              <w:rPr>
                <w:rFonts w:hint="eastAsia" w:asciiTheme="minorEastAsia" w:hAnsiTheme="minorEastAsia" w:eastAsiaTheme="minorEastAsia" w:cstheme="minorEastAsia"/>
                <w:color w:val="auto"/>
                <w:kern w:val="0"/>
                <w:sz w:val="22"/>
                <w:szCs w:val="22"/>
                <w:lang w:bidi="ar"/>
              </w:rPr>
              <w:t>系统支持自定义统计报表，且可定义多个分析主题，人事处灵活的配置统计方案，并将统计方案授权给校内其他用户使用；统计方案可基于教职工基本信息、工作简历、学习简历、职称信息等基础信息进行统计，并展现统计明细</w:t>
            </w:r>
          </w:p>
        </w:tc>
      </w:tr>
      <w:tr w14:paraId="75852B36">
        <w:tblPrEx>
          <w:tblCellMar>
            <w:top w:w="0" w:type="dxa"/>
            <w:left w:w="108" w:type="dxa"/>
            <w:bottom w:w="0" w:type="dxa"/>
            <w:right w:w="108" w:type="dxa"/>
          </w:tblCellMar>
        </w:tblPrEx>
        <w:trPr>
          <w:trHeight w:val="295" w:hRule="atLeast"/>
        </w:trPr>
        <w:tc>
          <w:tcPr>
            <w:tcW w:w="762" w:type="dxa"/>
            <w:tcBorders>
              <w:top w:val="single" w:color="auto" w:sz="4" w:space="0"/>
              <w:left w:val="single" w:color="auto" w:sz="4" w:space="0"/>
              <w:bottom w:val="single" w:color="auto" w:sz="4" w:space="0"/>
              <w:right w:val="single" w:color="auto" w:sz="4" w:space="0"/>
            </w:tcBorders>
            <w:shd w:val="clear" w:color="auto" w:fill="auto"/>
            <w:vAlign w:val="center"/>
          </w:tcPr>
          <w:p w14:paraId="6CD37AA2">
            <w:pPr>
              <w:widowControl/>
              <w:ind w:firstLine="0" w:firstLineChars="0"/>
              <w:jc w:val="center"/>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3</w:t>
            </w:r>
          </w:p>
        </w:tc>
        <w:tc>
          <w:tcPr>
            <w:tcW w:w="15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8147C5C">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14:paraId="14F3914B">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制式报表</w:t>
            </w:r>
          </w:p>
        </w:tc>
        <w:tc>
          <w:tcPr>
            <w:tcW w:w="5337" w:type="dxa"/>
            <w:tcBorders>
              <w:top w:val="single" w:color="auto" w:sz="4" w:space="0"/>
              <w:left w:val="single" w:color="auto" w:sz="4" w:space="0"/>
              <w:bottom w:val="single" w:color="auto" w:sz="4" w:space="0"/>
              <w:right w:val="single" w:color="auto" w:sz="4" w:space="0"/>
            </w:tcBorders>
            <w:shd w:val="clear" w:color="auto" w:fill="auto"/>
            <w:vAlign w:val="center"/>
          </w:tcPr>
          <w:p w14:paraId="5F19A2BE">
            <w:pPr>
              <w:widowControl/>
              <w:ind w:firstLine="0" w:firstLineChars="0"/>
              <w:jc w:val="left"/>
              <w:textAlignment w:val="center"/>
              <w:rPr>
                <w:rFonts w:asciiTheme="minorEastAsia" w:hAnsiTheme="minorEastAsia" w:eastAsiaTheme="minorEastAsia" w:cstheme="minorEastAsia"/>
                <w:color w:val="auto"/>
                <w:kern w:val="0"/>
                <w:sz w:val="22"/>
                <w:szCs w:val="22"/>
                <w:lang w:eastAsia="zh-Hans" w:bidi="ar"/>
              </w:rPr>
            </w:pPr>
            <w:r>
              <w:rPr>
                <w:rFonts w:hint="eastAsia" w:asciiTheme="minorEastAsia" w:hAnsiTheme="minorEastAsia" w:eastAsiaTheme="minorEastAsia" w:cstheme="minorEastAsia"/>
                <w:color w:val="auto"/>
                <w:kern w:val="0"/>
                <w:sz w:val="22"/>
                <w:szCs w:val="22"/>
                <w:lang w:bidi="ar"/>
              </w:rPr>
              <w:t>系统支持各种统计上报表，高基报表一套，人社部PS表和高等教育质量监测国家数据平台人事数据表一套，满足教育部、人社厅等主管部门的上报要求。</w:t>
            </w:r>
          </w:p>
        </w:tc>
      </w:tr>
      <w:tr w14:paraId="590509A9">
        <w:tblPrEx>
          <w:tblCellMar>
            <w:top w:w="0" w:type="dxa"/>
            <w:left w:w="108" w:type="dxa"/>
            <w:bottom w:w="0" w:type="dxa"/>
            <w:right w:w="108" w:type="dxa"/>
          </w:tblCellMar>
        </w:tblPrEx>
        <w:trPr>
          <w:trHeight w:val="540" w:hRule="atLeast"/>
        </w:trPr>
        <w:tc>
          <w:tcPr>
            <w:tcW w:w="762" w:type="dxa"/>
            <w:tcBorders>
              <w:top w:val="single" w:color="auto" w:sz="4" w:space="0"/>
              <w:left w:val="single" w:color="auto" w:sz="4" w:space="0"/>
              <w:bottom w:val="single" w:color="auto" w:sz="4" w:space="0"/>
              <w:right w:val="single" w:color="auto" w:sz="4" w:space="0"/>
            </w:tcBorders>
            <w:shd w:val="clear" w:color="auto" w:fill="auto"/>
            <w:vAlign w:val="center"/>
          </w:tcPr>
          <w:p w14:paraId="10D7AECE">
            <w:pPr>
              <w:widowControl/>
              <w:ind w:firstLine="0" w:firstLineChars="0"/>
              <w:jc w:val="center"/>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4</w:t>
            </w:r>
          </w:p>
        </w:tc>
        <w:tc>
          <w:tcPr>
            <w:tcW w:w="15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D59D5CD">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14:paraId="3A6BDF75">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全国教师管理信息系统上报</w:t>
            </w:r>
          </w:p>
        </w:tc>
        <w:tc>
          <w:tcPr>
            <w:tcW w:w="5337" w:type="dxa"/>
            <w:tcBorders>
              <w:top w:val="single" w:color="auto" w:sz="4" w:space="0"/>
              <w:left w:val="single" w:color="auto" w:sz="4" w:space="0"/>
              <w:bottom w:val="single" w:color="auto" w:sz="4" w:space="0"/>
              <w:right w:val="single" w:color="auto" w:sz="4" w:space="0"/>
            </w:tcBorders>
            <w:shd w:val="clear" w:color="auto" w:fill="auto"/>
            <w:vAlign w:val="center"/>
          </w:tcPr>
          <w:p w14:paraId="57685801">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根据2022年全国教师信息数据标准，实现教师上报数据的实时同步获取机制或采集机制，包括上报数据格式配置、本地数据导入检测、教师系统现有数据导入对比、生成可上报教师数据，生成可上报的新增和变更数据</w:t>
            </w:r>
          </w:p>
        </w:tc>
      </w:tr>
      <w:tr w14:paraId="39A9B24B">
        <w:tblPrEx>
          <w:tblCellMar>
            <w:top w:w="0" w:type="dxa"/>
            <w:left w:w="108" w:type="dxa"/>
            <w:bottom w:w="0" w:type="dxa"/>
            <w:right w:w="108" w:type="dxa"/>
          </w:tblCellMar>
        </w:tblPrEx>
        <w:trPr>
          <w:trHeight w:val="540" w:hRule="atLeast"/>
        </w:trPr>
        <w:tc>
          <w:tcPr>
            <w:tcW w:w="762" w:type="dxa"/>
            <w:tcBorders>
              <w:top w:val="single" w:color="auto" w:sz="4" w:space="0"/>
              <w:left w:val="single" w:color="auto" w:sz="4" w:space="0"/>
              <w:bottom w:val="single" w:color="auto" w:sz="4" w:space="0"/>
              <w:right w:val="single" w:color="auto" w:sz="4" w:space="0"/>
            </w:tcBorders>
            <w:shd w:val="clear" w:color="auto" w:fill="auto"/>
            <w:vAlign w:val="center"/>
          </w:tcPr>
          <w:p w14:paraId="3150766E">
            <w:pPr>
              <w:widowControl/>
              <w:ind w:firstLine="0" w:firstLineChars="0"/>
              <w:jc w:val="center"/>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5</w:t>
            </w:r>
          </w:p>
        </w:tc>
        <w:tc>
          <w:tcPr>
            <w:tcW w:w="1550" w:type="dxa"/>
            <w:tcBorders>
              <w:top w:val="single" w:color="auto" w:sz="4" w:space="0"/>
              <w:left w:val="single" w:color="auto" w:sz="4" w:space="0"/>
              <w:bottom w:val="single" w:color="auto" w:sz="4" w:space="0"/>
              <w:right w:val="single" w:color="auto" w:sz="4" w:space="0"/>
            </w:tcBorders>
            <w:shd w:val="clear" w:color="auto" w:fill="auto"/>
            <w:vAlign w:val="center"/>
          </w:tcPr>
          <w:p w14:paraId="76DC3239">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劳动力智能分析</w:t>
            </w: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14:paraId="787FB3DB">
            <w:pPr>
              <w:widowControl/>
              <w:ind w:firstLine="0" w:firstLineChars="0"/>
              <w:jc w:val="left"/>
              <w:textAlignment w:val="center"/>
              <w:rPr>
                <w:rFonts w:asciiTheme="minorEastAsia" w:hAnsiTheme="minorEastAsia" w:eastAsiaTheme="minorEastAsia" w:cstheme="minorEastAsia"/>
                <w:color w:val="auto"/>
                <w:kern w:val="0"/>
                <w:sz w:val="22"/>
                <w:szCs w:val="22"/>
                <w:lang w:eastAsia="zh-Hans" w:bidi="ar"/>
              </w:rPr>
            </w:pPr>
            <w:r>
              <w:rPr>
                <w:rFonts w:hint="eastAsia" w:asciiTheme="minorEastAsia" w:hAnsiTheme="minorEastAsia" w:eastAsiaTheme="minorEastAsia" w:cstheme="minorEastAsia"/>
                <w:color w:val="auto"/>
                <w:kern w:val="0"/>
                <w:sz w:val="22"/>
                <w:szCs w:val="22"/>
                <w:lang w:eastAsia="zh-Hans" w:bidi="ar"/>
              </w:rPr>
              <w:t>学校业绩分析</w:t>
            </w:r>
          </w:p>
        </w:tc>
        <w:tc>
          <w:tcPr>
            <w:tcW w:w="5337" w:type="dxa"/>
            <w:tcBorders>
              <w:top w:val="single" w:color="auto" w:sz="4" w:space="0"/>
              <w:left w:val="single" w:color="auto" w:sz="4" w:space="0"/>
              <w:bottom w:val="single" w:color="auto" w:sz="4" w:space="0"/>
              <w:right w:val="single" w:color="auto" w:sz="4" w:space="0"/>
            </w:tcBorders>
            <w:shd w:val="clear" w:color="auto" w:fill="auto"/>
            <w:vAlign w:val="center"/>
          </w:tcPr>
          <w:p w14:paraId="5623E233">
            <w:pPr>
              <w:widowControl/>
              <w:ind w:firstLine="0" w:firstLineChars="0"/>
              <w:jc w:val="left"/>
              <w:textAlignment w:val="center"/>
              <w:rPr>
                <w:rFonts w:asciiTheme="minorEastAsia" w:hAnsiTheme="minorEastAsia" w:eastAsiaTheme="minorEastAsia" w:cstheme="minorEastAsia"/>
                <w:color w:val="auto"/>
                <w:kern w:val="0"/>
                <w:sz w:val="22"/>
                <w:szCs w:val="22"/>
                <w:lang w:eastAsia="zh-Hans" w:bidi="ar"/>
              </w:rPr>
            </w:pPr>
            <w:r>
              <w:rPr>
                <w:rFonts w:hint="eastAsia" w:asciiTheme="minorEastAsia" w:hAnsiTheme="minorEastAsia" w:eastAsiaTheme="minorEastAsia" w:cstheme="minorEastAsia"/>
                <w:color w:val="auto"/>
                <w:kern w:val="0"/>
                <w:sz w:val="22"/>
                <w:szCs w:val="22"/>
                <w:lang w:bidi="ar"/>
              </w:rPr>
              <w:t>利用学校的数据治理成效、业绩管理系统的数据积累，围绕校教职工个人日常关注的统计维度，通过一体化的页面展现形式，全方位辅助教职工的个人数据管理和个人发展轨迹，有利于推动教职工个人的职业规划。</w:t>
            </w:r>
          </w:p>
        </w:tc>
      </w:tr>
      <w:tr w14:paraId="135D79A9">
        <w:tblPrEx>
          <w:tblCellMar>
            <w:top w:w="0" w:type="dxa"/>
            <w:left w:w="108" w:type="dxa"/>
            <w:bottom w:w="0" w:type="dxa"/>
            <w:right w:w="108" w:type="dxa"/>
          </w:tblCellMar>
        </w:tblPrEx>
        <w:trPr>
          <w:trHeight w:val="310" w:hRule="atLeast"/>
        </w:trPr>
        <w:tc>
          <w:tcPr>
            <w:tcW w:w="762" w:type="dxa"/>
            <w:tcBorders>
              <w:top w:val="single" w:color="auto" w:sz="4" w:space="0"/>
              <w:left w:val="single" w:color="auto" w:sz="4" w:space="0"/>
              <w:bottom w:val="single" w:color="auto" w:sz="4" w:space="0"/>
              <w:right w:val="single" w:color="auto" w:sz="4" w:space="0"/>
            </w:tcBorders>
            <w:shd w:val="clear" w:color="auto" w:fill="auto"/>
            <w:vAlign w:val="center"/>
          </w:tcPr>
          <w:p w14:paraId="3E29B313">
            <w:pPr>
              <w:widowControl/>
              <w:ind w:firstLine="0" w:firstLineChars="0"/>
              <w:jc w:val="center"/>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6</w:t>
            </w:r>
          </w:p>
        </w:tc>
        <w:tc>
          <w:tcPr>
            <w:tcW w:w="15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0C7B2D9">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基础人事管理系统</w:t>
            </w: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14:paraId="68250B97">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报到入职</w:t>
            </w:r>
          </w:p>
        </w:tc>
        <w:tc>
          <w:tcPr>
            <w:tcW w:w="5337" w:type="dxa"/>
            <w:tcBorders>
              <w:top w:val="single" w:color="auto" w:sz="4" w:space="0"/>
              <w:left w:val="single" w:color="auto" w:sz="4" w:space="0"/>
              <w:bottom w:val="single" w:color="auto" w:sz="4" w:space="0"/>
              <w:right w:val="single" w:color="auto" w:sz="4" w:space="0"/>
            </w:tcBorders>
            <w:shd w:val="clear" w:color="auto" w:fill="auto"/>
            <w:vAlign w:val="center"/>
          </w:tcPr>
          <w:p w14:paraId="703A9B1C">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面向新进教职工的报到注册功能需采用直观的展现方式将完整的报到流程进行展现，新进教职工能够便捷的了解到校报到注册的所有环节和整体流程的办理进度及每个环节的办理状态。</w:t>
            </w:r>
          </w:p>
        </w:tc>
      </w:tr>
      <w:tr w14:paraId="240A4F85">
        <w:tblPrEx>
          <w:tblCellMar>
            <w:top w:w="0" w:type="dxa"/>
            <w:left w:w="108" w:type="dxa"/>
            <w:bottom w:w="0" w:type="dxa"/>
            <w:right w:w="108" w:type="dxa"/>
          </w:tblCellMar>
        </w:tblPrEx>
        <w:trPr>
          <w:trHeight w:val="295" w:hRule="atLeast"/>
        </w:trPr>
        <w:tc>
          <w:tcPr>
            <w:tcW w:w="762" w:type="dxa"/>
            <w:tcBorders>
              <w:top w:val="single" w:color="auto" w:sz="4" w:space="0"/>
              <w:left w:val="single" w:color="auto" w:sz="4" w:space="0"/>
              <w:bottom w:val="single" w:color="auto" w:sz="4" w:space="0"/>
              <w:right w:val="single" w:color="auto" w:sz="4" w:space="0"/>
            </w:tcBorders>
            <w:shd w:val="clear" w:color="auto" w:fill="auto"/>
            <w:vAlign w:val="center"/>
          </w:tcPr>
          <w:p w14:paraId="0410FEDF">
            <w:pPr>
              <w:widowControl/>
              <w:ind w:firstLine="0" w:firstLineChars="0"/>
              <w:jc w:val="center"/>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7</w:t>
            </w:r>
          </w:p>
        </w:tc>
        <w:tc>
          <w:tcPr>
            <w:tcW w:w="15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B0E6683">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14:paraId="127F7D98">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转正定级</w:t>
            </w:r>
          </w:p>
        </w:tc>
        <w:tc>
          <w:tcPr>
            <w:tcW w:w="5337" w:type="dxa"/>
            <w:tcBorders>
              <w:top w:val="single" w:color="auto" w:sz="4" w:space="0"/>
              <w:left w:val="single" w:color="auto" w:sz="4" w:space="0"/>
              <w:bottom w:val="single" w:color="auto" w:sz="4" w:space="0"/>
              <w:right w:val="single" w:color="auto" w:sz="4" w:space="0"/>
            </w:tcBorders>
            <w:shd w:val="clear" w:color="auto" w:fill="auto"/>
            <w:vAlign w:val="center"/>
          </w:tcPr>
          <w:p w14:paraId="4001E711">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对试用期过后且符合条件的人员进行转正定级业务办理，根据新入职教职工的个人情况进行拟定职称、岗位等信息，提供相关服务，包括个人转正定级申请、转正审核（部门）、转正审核（学校）、打印审批表等。</w:t>
            </w:r>
          </w:p>
        </w:tc>
      </w:tr>
      <w:tr w14:paraId="3B22AB94">
        <w:tblPrEx>
          <w:tblCellMar>
            <w:top w:w="0" w:type="dxa"/>
            <w:left w:w="108" w:type="dxa"/>
            <w:bottom w:w="0" w:type="dxa"/>
            <w:right w:w="108" w:type="dxa"/>
          </w:tblCellMar>
        </w:tblPrEx>
        <w:trPr>
          <w:trHeight w:val="540" w:hRule="atLeast"/>
        </w:trPr>
        <w:tc>
          <w:tcPr>
            <w:tcW w:w="762" w:type="dxa"/>
            <w:tcBorders>
              <w:top w:val="single" w:color="auto" w:sz="4" w:space="0"/>
              <w:left w:val="single" w:color="auto" w:sz="4" w:space="0"/>
              <w:bottom w:val="single" w:color="auto" w:sz="4" w:space="0"/>
              <w:right w:val="single" w:color="auto" w:sz="4" w:space="0"/>
            </w:tcBorders>
            <w:shd w:val="clear" w:color="auto" w:fill="auto"/>
            <w:vAlign w:val="center"/>
          </w:tcPr>
          <w:p w14:paraId="3A995AB6">
            <w:pPr>
              <w:widowControl/>
              <w:ind w:firstLine="0" w:firstLineChars="0"/>
              <w:jc w:val="center"/>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8</w:t>
            </w:r>
          </w:p>
        </w:tc>
        <w:tc>
          <w:tcPr>
            <w:tcW w:w="15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839D734">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14:paraId="4E01AC9F">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岗位/职务管理</w:t>
            </w:r>
          </w:p>
        </w:tc>
        <w:tc>
          <w:tcPr>
            <w:tcW w:w="5337" w:type="dxa"/>
            <w:tcBorders>
              <w:top w:val="single" w:color="auto" w:sz="4" w:space="0"/>
              <w:left w:val="single" w:color="auto" w:sz="4" w:space="0"/>
              <w:bottom w:val="single" w:color="auto" w:sz="4" w:space="0"/>
              <w:right w:val="single" w:color="auto" w:sz="4" w:space="0"/>
            </w:tcBorders>
            <w:shd w:val="clear" w:color="auto" w:fill="auto"/>
            <w:vAlign w:val="center"/>
          </w:tcPr>
          <w:p w14:paraId="31483B96">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实现岗位和职务的分类分级管理，形成规范的岗位/职务管理体系，能够针对岗位/职务进行查询和统计。包括岗位/职务设置、人员岗位与职务查看、调整等。</w:t>
            </w:r>
          </w:p>
        </w:tc>
      </w:tr>
      <w:tr w14:paraId="56225D5A">
        <w:tblPrEx>
          <w:tblCellMar>
            <w:top w:w="0" w:type="dxa"/>
            <w:left w:w="108" w:type="dxa"/>
            <w:bottom w:w="0" w:type="dxa"/>
            <w:right w:w="108" w:type="dxa"/>
          </w:tblCellMar>
        </w:tblPrEx>
        <w:trPr>
          <w:trHeight w:val="295" w:hRule="atLeast"/>
        </w:trPr>
        <w:tc>
          <w:tcPr>
            <w:tcW w:w="762" w:type="dxa"/>
            <w:tcBorders>
              <w:top w:val="single" w:color="auto" w:sz="4" w:space="0"/>
              <w:left w:val="single" w:color="auto" w:sz="4" w:space="0"/>
              <w:bottom w:val="single" w:color="auto" w:sz="4" w:space="0"/>
              <w:right w:val="single" w:color="auto" w:sz="4" w:space="0"/>
            </w:tcBorders>
            <w:shd w:val="clear" w:color="auto" w:fill="auto"/>
            <w:vAlign w:val="center"/>
          </w:tcPr>
          <w:p w14:paraId="3C1D2E8C">
            <w:pPr>
              <w:widowControl/>
              <w:ind w:firstLine="0" w:firstLineChars="0"/>
              <w:jc w:val="center"/>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9</w:t>
            </w:r>
          </w:p>
        </w:tc>
        <w:tc>
          <w:tcPr>
            <w:tcW w:w="15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68F8C46">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14:paraId="0C0523FD">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校内调动</w:t>
            </w:r>
          </w:p>
        </w:tc>
        <w:tc>
          <w:tcPr>
            <w:tcW w:w="5337" w:type="dxa"/>
            <w:tcBorders>
              <w:top w:val="single" w:color="auto" w:sz="4" w:space="0"/>
              <w:left w:val="single" w:color="auto" w:sz="4" w:space="0"/>
              <w:bottom w:val="single" w:color="auto" w:sz="4" w:space="0"/>
              <w:right w:val="single" w:color="auto" w:sz="4" w:space="0"/>
            </w:tcBorders>
            <w:shd w:val="clear" w:color="auto" w:fill="auto"/>
            <w:vAlign w:val="center"/>
          </w:tcPr>
          <w:p w14:paraId="3C424A1F">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支持校内调动信息的批量处理、个别新增和修改等；支持以流程化方式完成校内调动的业务办理及过程管理，调动时提供自动转部门和自动转岗校内调动完成，发起调薪通知。</w:t>
            </w:r>
          </w:p>
        </w:tc>
      </w:tr>
      <w:tr w14:paraId="3E784ACB">
        <w:tblPrEx>
          <w:tblCellMar>
            <w:top w:w="0" w:type="dxa"/>
            <w:left w:w="108" w:type="dxa"/>
            <w:bottom w:w="0" w:type="dxa"/>
            <w:right w:w="108" w:type="dxa"/>
          </w:tblCellMar>
        </w:tblPrEx>
        <w:trPr>
          <w:trHeight w:val="295" w:hRule="atLeast"/>
        </w:trPr>
        <w:tc>
          <w:tcPr>
            <w:tcW w:w="762" w:type="dxa"/>
            <w:tcBorders>
              <w:top w:val="single" w:color="auto" w:sz="4" w:space="0"/>
              <w:left w:val="single" w:color="auto" w:sz="4" w:space="0"/>
              <w:bottom w:val="single" w:color="auto" w:sz="4" w:space="0"/>
              <w:right w:val="single" w:color="auto" w:sz="4" w:space="0"/>
            </w:tcBorders>
            <w:shd w:val="clear" w:color="auto" w:fill="auto"/>
            <w:vAlign w:val="center"/>
          </w:tcPr>
          <w:p w14:paraId="7F643A94">
            <w:pPr>
              <w:widowControl/>
              <w:ind w:firstLine="0" w:firstLineChars="0"/>
              <w:jc w:val="center"/>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10</w:t>
            </w:r>
          </w:p>
        </w:tc>
        <w:tc>
          <w:tcPr>
            <w:tcW w:w="15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3284DC1">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14:paraId="7C3BC70B">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离退休管理</w:t>
            </w:r>
          </w:p>
        </w:tc>
        <w:tc>
          <w:tcPr>
            <w:tcW w:w="5337" w:type="dxa"/>
            <w:tcBorders>
              <w:top w:val="single" w:color="auto" w:sz="4" w:space="0"/>
              <w:left w:val="single" w:color="auto" w:sz="4" w:space="0"/>
              <w:bottom w:val="single" w:color="auto" w:sz="4" w:space="0"/>
              <w:right w:val="single" w:color="auto" w:sz="4" w:space="0"/>
            </w:tcBorders>
            <w:shd w:val="clear" w:color="auto" w:fill="auto"/>
            <w:vAlign w:val="center"/>
          </w:tcPr>
          <w:p w14:paraId="1C4FDA59">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系统支持灵活设置离退休方案，自动筛选离退人员名单，并提醒近期退休人员；可批量进行离退休登记，并自动推送离退休工资调整，对离退休后人员基本信息、互动信息的查询，报表打印等功能。</w:t>
            </w:r>
          </w:p>
        </w:tc>
      </w:tr>
      <w:tr w14:paraId="442D9CEE">
        <w:tblPrEx>
          <w:tblCellMar>
            <w:top w:w="0" w:type="dxa"/>
            <w:left w:w="108" w:type="dxa"/>
            <w:bottom w:w="0" w:type="dxa"/>
            <w:right w:w="108" w:type="dxa"/>
          </w:tblCellMar>
        </w:tblPrEx>
        <w:trPr>
          <w:trHeight w:val="295" w:hRule="atLeast"/>
        </w:trPr>
        <w:tc>
          <w:tcPr>
            <w:tcW w:w="762" w:type="dxa"/>
            <w:tcBorders>
              <w:top w:val="single" w:color="auto" w:sz="4" w:space="0"/>
              <w:left w:val="single" w:color="auto" w:sz="4" w:space="0"/>
              <w:bottom w:val="single" w:color="auto" w:sz="4" w:space="0"/>
              <w:right w:val="single" w:color="auto" w:sz="4" w:space="0"/>
            </w:tcBorders>
            <w:shd w:val="clear" w:color="auto" w:fill="auto"/>
            <w:vAlign w:val="center"/>
          </w:tcPr>
          <w:p w14:paraId="27DA2C02">
            <w:pPr>
              <w:widowControl/>
              <w:ind w:firstLine="0" w:firstLineChars="0"/>
              <w:jc w:val="center"/>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11</w:t>
            </w:r>
          </w:p>
        </w:tc>
        <w:tc>
          <w:tcPr>
            <w:tcW w:w="15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7D70F88">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14:paraId="107BC733">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离校管理</w:t>
            </w:r>
          </w:p>
        </w:tc>
        <w:tc>
          <w:tcPr>
            <w:tcW w:w="5337" w:type="dxa"/>
            <w:tcBorders>
              <w:top w:val="single" w:color="auto" w:sz="4" w:space="0"/>
              <w:left w:val="single" w:color="auto" w:sz="4" w:space="0"/>
              <w:bottom w:val="single" w:color="auto" w:sz="4" w:space="0"/>
              <w:right w:val="single" w:color="auto" w:sz="4" w:space="0"/>
            </w:tcBorders>
            <w:shd w:val="clear" w:color="auto" w:fill="auto"/>
            <w:vAlign w:val="center"/>
          </w:tcPr>
          <w:p w14:paraId="7795AD7D">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通过系统进行离校人员登记，记录离校时间、离校途径、离校去向、离校原因等信息。离校登记后，教职工信息自动从在职人员库转入离校人员库，对人员状态、账号状态等进行相关调整。离校人员信息库，可查询、导入导出等</w:t>
            </w:r>
          </w:p>
        </w:tc>
      </w:tr>
      <w:tr w14:paraId="460087B5">
        <w:tblPrEx>
          <w:tblCellMar>
            <w:top w:w="0" w:type="dxa"/>
            <w:left w:w="108" w:type="dxa"/>
            <w:bottom w:w="0" w:type="dxa"/>
            <w:right w:w="108" w:type="dxa"/>
          </w:tblCellMar>
        </w:tblPrEx>
        <w:trPr>
          <w:trHeight w:val="295" w:hRule="atLeast"/>
        </w:trPr>
        <w:tc>
          <w:tcPr>
            <w:tcW w:w="762" w:type="dxa"/>
            <w:tcBorders>
              <w:top w:val="single" w:color="auto" w:sz="4" w:space="0"/>
              <w:left w:val="single" w:color="auto" w:sz="4" w:space="0"/>
              <w:bottom w:val="single" w:color="auto" w:sz="4" w:space="0"/>
              <w:right w:val="single" w:color="auto" w:sz="4" w:space="0"/>
            </w:tcBorders>
            <w:shd w:val="clear" w:color="auto" w:fill="auto"/>
            <w:vAlign w:val="center"/>
          </w:tcPr>
          <w:p w14:paraId="24EA2E81">
            <w:pPr>
              <w:widowControl/>
              <w:ind w:firstLine="0" w:firstLineChars="0"/>
              <w:jc w:val="center"/>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12</w:t>
            </w:r>
          </w:p>
        </w:tc>
        <w:tc>
          <w:tcPr>
            <w:tcW w:w="15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706CEC0">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14:paraId="6B3664F4">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离世管理</w:t>
            </w:r>
          </w:p>
        </w:tc>
        <w:tc>
          <w:tcPr>
            <w:tcW w:w="5337" w:type="dxa"/>
            <w:tcBorders>
              <w:top w:val="single" w:color="auto" w:sz="4" w:space="0"/>
              <w:left w:val="single" w:color="auto" w:sz="4" w:space="0"/>
              <w:bottom w:val="single" w:color="auto" w:sz="4" w:space="0"/>
              <w:right w:val="single" w:color="auto" w:sz="4" w:space="0"/>
            </w:tcBorders>
            <w:shd w:val="clear" w:color="auto" w:fill="auto"/>
            <w:vAlign w:val="center"/>
          </w:tcPr>
          <w:p w14:paraId="20CBD03D">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系统支持离世信息和状态登记以及抚血金发放登记等业务</w:t>
            </w:r>
          </w:p>
        </w:tc>
      </w:tr>
      <w:tr w14:paraId="569976DD">
        <w:tblPrEx>
          <w:tblCellMar>
            <w:top w:w="0" w:type="dxa"/>
            <w:left w:w="108" w:type="dxa"/>
            <w:bottom w:w="0" w:type="dxa"/>
            <w:right w:w="108" w:type="dxa"/>
          </w:tblCellMar>
        </w:tblPrEx>
        <w:trPr>
          <w:trHeight w:val="295" w:hRule="atLeast"/>
        </w:trPr>
        <w:tc>
          <w:tcPr>
            <w:tcW w:w="762" w:type="dxa"/>
            <w:tcBorders>
              <w:top w:val="single" w:color="auto" w:sz="4" w:space="0"/>
              <w:left w:val="single" w:color="auto" w:sz="4" w:space="0"/>
              <w:bottom w:val="single" w:color="auto" w:sz="4" w:space="0"/>
              <w:right w:val="single" w:color="auto" w:sz="4" w:space="0"/>
            </w:tcBorders>
            <w:shd w:val="clear" w:color="auto" w:fill="auto"/>
            <w:vAlign w:val="center"/>
          </w:tcPr>
          <w:p w14:paraId="1D62F28A">
            <w:pPr>
              <w:widowControl/>
              <w:ind w:firstLine="0" w:firstLineChars="0"/>
              <w:jc w:val="center"/>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13</w:t>
            </w:r>
          </w:p>
        </w:tc>
        <w:tc>
          <w:tcPr>
            <w:tcW w:w="15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7FF4C0E">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14:paraId="1815B092">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合同管理</w:t>
            </w:r>
          </w:p>
        </w:tc>
        <w:tc>
          <w:tcPr>
            <w:tcW w:w="5337" w:type="dxa"/>
            <w:tcBorders>
              <w:top w:val="single" w:color="auto" w:sz="4" w:space="0"/>
              <w:left w:val="single" w:color="auto" w:sz="4" w:space="0"/>
              <w:bottom w:val="single" w:color="auto" w:sz="4" w:space="0"/>
              <w:right w:val="single" w:color="auto" w:sz="4" w:space="0"/>
            </w:tcBorders>
            <w:shd w:val="clear" w:color="auto" w:fill="auto"/>
            <w:vAlign w:val="center"/>
          </w:tcPr>
          <w:p w14:paraId="132391B5">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合同管理支持合同信息的登记和管理；合同业务的办理，包括合同新签、续签、重签和终止；合同即将到期或延期，由系统自动发送消息提醒有关人员。可根据合同类型定义不同的合同打印模板，支持合同文本在线打印。</w:t>
            </w:r>
          </w:p>
        </w:tc>
      </w:tr>
      <w:tr w14:paraId="0CCE5453">
        <w:tblPrEx>
          <w:tblCellMar>
            <w:top w:w="0" w:type="dxa"/>
            <w:left w:w="108" w:type="dxa"/>
            <w:bottom w:w="0" w:type="dxa"/>
            <w:right w:w="108" w:type="dxa"/>
          </w:tblCellMar>
        </w:tblPrEx>
        <w:trPr>
          <w:trHeight w:val="295" w:hRule="atLeast"/>
        </w:trPr>
        <w:tc>
          <w:tcPr>
            <w:tcW w:w="762" w:type="dxa"/>
            <w:tcBorders>
              <w:top w:val="single" w:color="auto" w:sz="4" w:space="0"/>
              <w:left w:val="single" w:color="auto" w:sz="4" w:space="0"/>
              <w:bottom w:val="single" w:color="auto" w:sz="4" w:space="0"/>
              <w:right w:val="single" w:color="auto" w:sz="4" w:space="0"/>
            </w:tcBorders>
            <w:shd w:val="clear" w:color="auto" w:fill="auto"/>
            <w:vAlign w:val="center"/>
          </w:tcPr>
          <w:p w14:paraId="5871D945">
            <w:pPr>
              <w:widowControl/>
              <w:ind w:firstLine="0" w:firstLineChars="0"/>
              <w:jc w:val="center"/>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14</w:t>
            </w:r>
          </w:p>
        </w:tc>
        <w:tc>
          <w:tcPr>
            <w:tcW w:w="15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2A915DE">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14:paraId="4BB8AB68">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请假管理</w:t>
            </w:r>
          </w:p>
        </w:tc>
        <w:tc>
          <w:tcPr>
            <w:tcW w:w="5337" w:type="dxa"/>
            <w:tcBorders>
              <w:top w:val="single" w:color="auto" w:sz="4" w:space="0"/>
              <w:left w:val="single" w:color="auto" w:sz="4" w:space="0"/>
              <w:bottom w:val="single" w:color="auto" w:sz="4" w:space="0"/>
              <w:right w:val="single" w:color="auto" w:sz="4" w:space="0"/>
            </w:tcBorders>
            <w:shd w:val="clear" w:color="auto" w:fill="auto"/>
            <w:vAlign w:val="center"/>
          </w:tcPr>
          <w:p w14:paraId="069492BF">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系统支持各类请假业务的办理</w:t>
            </w:r>
          </w:p>
        </w:tc>
      </w:tr>
      <w:tr w14:paraId="42466E45">
        <w:tblPrEx>
          <w:tblCellMar>
            <w:top w:w="0" w:type="dxa"/>
            <w:left w:w="108" w:type="dxa"/>
            <w:bottom w:w="0" w:type="dxa"/>
            <w:right w:w="108" w:type="dxa"/>
          </w:tblCellMar>
        </w:tblPrEx>
        <w:trPr>
          <w:trHeight w:val="295" w:hRule="atLeast"/>
        </w:trPr>
        <w:tc>
          <w:tcPr>
            <w:tcW w:w="762" w:type="dxa"/>
            <w:tcBorders>
              <w:top w:val="single" w:color="auto" w:sz="4" w:space="0"/>
              <w:left w:val="single" w:color="auto" w:sz="4" w:space="0"/>
              <w:bottom w:val="single" w:color="auto" w:sz="4" w:space="0"/>
              <w:right w:val="single" w:color="auto" w:sz="4" w:space="0"/>
            </w:tcBorders>
            <w:shd w:val="clear" w:color="auto" w:fill="auto"/>
            <w:vAlign w:val="center"/>
          </w:tcPr>
          <w:p w14:paraId="6285AAB3">
            <w:pPr>
              <w:widowControl/>
              <w:ind w:firstLine="0" w:firstLineChars="0"/>
              <w:jc w:val="center"/>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15</w:t>
            </w:r>
          </w:p>
        </w:tc>
        <w:tc>
          <w:tcPr>
            <w:tcW w:w="15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CF277DC">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14:paraId="3CECFCCD">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考勤管理</w:t>
            </w:r>
          </w:p>
        </w:tc>
        <w:tc>
          <w:tcPr>
            <w:tcW w:w="5337" w:type="dxa"/>
            <w:tcBorders>
              <w:top w:val="single" w:color="auto" w:sz="4" w:space="0"/>
              <w:left w:val="single" w:color="auto" w:sz="4" w:space="0"/>
              <w:bottom w:val="single" w:color="auto" w:sz="4" w:space="0"/>
              <w:right w:val="single" w:color="auto" w:sz="4" w:space="0"/>
            </w:tcBorders>
            <w:shd w:val="clear" w:color="auto" w:fill="auto"/>
            <w:vAlign w:val="center"/>
          </w:tcPr>
          <w:p w14:paraId="6AAB220E">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考勤管理支持考勤上报和请假申请。系统支持考勤方案设置、考勤信息上报、考勤审核、考勤申诉审核、考勤信息查询、考勤打卡查询，为各院系的人事秘书提供上报本单位每个月度的考勤数据的服务，上报后人事处进行审核</w:t>
            </w:r>
          </w:p>
        </w:tc>
      </w:tr>
      <w:tr w14:paraId="28CA65A7">
        <w:tblPrEx>
          <w:tblCellMar>
            <w:top w:w="0" w:type="dxa"/>
            <w:left w:w="108" w:type="dxa"/>
            <w:bottom w:w="0" w:type="dxa"/>
            <w:right w:w="108" w:type="dxa"/>
          </w:tblCellMar>
        </w:tblPrEx>
        <w:trPr>
          <w:trHeight w:val="295" w:hRule="atLeast"/>
        </w:trPr>
        <w:tc>
          <w:tcPr>
            <w:tcW w:w="762" w:type="dxa"/>
            <w:tcBorders>
              <w:top w:val="single" w:color="auto" w:sz="4" w:space="0"/>
              <w:left w:val="single" w:color="auto" w:sz="4" w:space="0"/>
              <w:bottom w:val="single" w:color="auto" w:sz="4" w:space="0"/>
              <w:right w:val="single" w:color="auto" w:sz="4" w:space="0"/>
            </w:tcBorders>
            <w:shd w:val="clear" w:color="auto" w:fill="auto"/>
            <w:vAlign w:val="center"/>
          </w:tcPr>
          <w:p w14:paraId="23011839">
            <w:pPr>
              <w:widowControl/>
              <w:ind w:firstLine="0" w:firstLineChars="0"/>
              <w:jc w:val="center"/>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16</w:t>
            </w:r>
          </w:p>
        </w:tc>
        <w:tc>
          <w:tcPr>
            <w:tcW w:w="15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C0AFD4C">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14:paraId="4CA44E76">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返聘管理</w:t>
            </w:r>
          </w:p>
        </w:tc>
        <w:tc>
          <w:tcPr>
            <w:tcW w:w="5337" w:type="dxa"/>
            <w:tcBorders>
              <w:top w:val="single" w:color="auto" w:sz="4" w:space="0"/>
              <w:left w:val="single" w:color="auto" w:sz="4" w:space="0"/>
              <w:bottom w:val="single" w:color="auto" w:sz="4" w:space="0"/>
              <w:right w:val="single" w:color="auto" w:sz="4" w:space="0"/>
            </w:tcBorders>
            <w:shd w:val="clear" w:color="auto" w:fill="auto"/>
            <w:vAlign w:val="center"/>
          </w:tcPr>
          <w:p w14:paraId="5662D677">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实现离退休人员的返聘业务管理，支持流程化的业务办理。</w:t>
            </w:r>
          </w:p>
        </w:tc>
      </w:tr>
      <w:tr w14:paraId="5A191AB6">
        <w:tblPrEx>
          <w:tblCellMar>
            <w:top w:w="0" w:type="dxa"/>
            <w:left w:w="108" w:type="dxa"/>
            <w:bottom w:w="0" w:type="dxa"/>
            <w:right w:w="108" w:type="dxa"/>
          </w:tblCellMar>
        </w:tblPrEx>
        <w:trPr>
          <w:trHeight w:val="295" w:hRule="atLeast"/>
        </w:trPr>
        <w:tc>
          <w:tcPr>
            <w:tcW w:w="762" w:type="dxa"/>
            <w:tcBorders>
              <w:top w:val="single" w:color="auto" w:sz="4" w:space="0"/>
              <w:left w:val="single" w:color="auto" w:sz="4" w:space="0"/>
              <w:bottom w:val="single" w:color="auto" w:sz="4" w:space="0"/>
              <w:right w:val="single" w:color="auto" w:sz="4" w:space="0"/>
            </w:tcBorders>
            <w:shd w:val="clear" w:color="auto" w:fill="auto"/>
            <w:vAlign w:val="center"/>
          </w:tcPr>
          <w:p w14:paraId="77AA8A03">
            <w:pPr>
              <w:widowControl/>
              <w:ind w:firstLine="0" w:firstLineChars="0"/>
              <w:jc w:val="center"/>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17</w:t>
            </w:r>
          </w:p>
        </w:tc>
        <w:tc>
          <w:tcPr>
            <w:tcW w:w="15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47D86D4">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14:paraId="3EAA6907">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外聘兼职管理</w:t>
            </w:r>
          </w:p>
        </w:tc>
        <w:tc>
          <w:tcPr>
            <w:tcW w:w="5337" w:type="dxa"/>
            <w:tcBorders>
              <w:top w:val="single" w:color="auto" w:sz="4" w:space="0"/>
              <w:left w:val="single" w:color="auto" w:sz="4" w:space="0"/>
              <w:bottom w:val="single" w:color="auto" w:sz="4" w:space="0"/>
              <w:right w:val="single" w:color="auto" w:sz="4" w:space="0"/>
            </w:tcBorders>
            <w:shd w:val="clear" w:color="auto" w:fill="auto"/>
            <w:vAlign w:val="center"/>
          </w:tcPr>
          <w:p w14:paraId="2A8C0E9B">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实现对外聘兼职人员信息的管理，可以增、删、改人员信息，可以批量导入导出人员信息，外聘兼职人员信息进入临聘人员信息库；支持外聘兼职人员相关业务的流程化办理。</w:t>
            </w:r>
          </w:p>
        </w:tc>
      </w:tr>
      <w:tr w14:paraId="4B260B75">
        <w:tblPrEx>
          <w:tblCellMar>
            <w:top w:w="0" w:type="dxa"/>
            <w:left w:w="108" w:type="dxa"/>
            <w:bottom w:w="0" w:type="dxa"/>
            <w:right w:w="108" w:type="dxa"/>
          </w:tblCellMar>
        </w:tblPrEx>
        <w:trPr>
          <w:trHeight w:val="295" w:hRule="atLeast"/>
        </w:trPr>
        <w:tc>
          <w:tcPr>
            <w:tcW w:w="762" w:type="dxa"/>
            <w:tcBorders>
              <w:top w:val="single" w:color="auto" w:sz="4" w:space="0"/>
              <w:left w:val="single" w:color="auto" w:sz="4" w:space="0"/>
              <w:bottom w:val="single" w:color="auto" w:sz="4" w:space="0"/>
              <w:right w:val="single" w:color="auto" w:sz="4" w:space="0"/>
            </w:tcBorders>
            <w:shd w:val="clear" w:color="auto" w:fill="auto"/>
            <w:vAlign w:val="center"/>
          </w:tcPr>
          <w:p w14:paraId="1022A01F">
            <w:pPr>
              <w:widowControl/>
              <w:ind w:firstLine="0" w:firstLineChars="0"/>
              <w:jc w:val="center"/>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18</w:t>
            </w:r>
          </w:p>
        </w:tc>
        <w:tc>
          <w:tcPr>
            <w:tcW w:w="15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B657D3C">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14:paraId="1F823493">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临时人员管理</w:t>
            </w:r>
          </w:p>
        </w:tc>
        <w:tc>
          <w:tcPr>
            <w:tcW w:w="5337" w:type="dxa"/>
            <w:tcBorders>
              <w:top w:val="single" w:color="auto" w:sz="4" w:space="0"/>
              <w:left w:val="single" w:color="auto" w:sz="4" w:space="0"/>
              <w:bottom w:val="single" w:color="auto" w:sz="4" w:space="0"/>
              <w:right w:val="single" w:color="auto" w:sz="4" w:space="0"/>
            </w:tcBorders>
            <w:shd w:val="clear" w:color="auto" w:fill="auto"/>
            <w:vAlign w:val="center"/>
          </w:tcPr>
          <w:p w14:paraId="6127B3B5">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实现对临时人员的信息管理，包括校办企业人员，后勤保障服务人员等，支持临时人员入职、合同、离校的业务信息登记。</w:t>
            </w:r>
          </w:p>
        </w:tc>
      </w:tr>
      <w:tr w14:paraId="59360728">
        <w:tblPrEx>
          <w:tblCellMar>
            <w:top w:w="0" w:type="dxa"/>
            <w:left w:w="108" w:type="dxa"/>
            <w:bottom w:w="0" w:type="dxa"/>
            <w:right w:w="108" w:type="dxa"/>
          </w:tblCellMar>
        </w:tblPrEx>
        <w:trPr>
          <w:trHeight w:val="312" w:hRule="atLeast"/>
        </w:trPr>
        <w:tc>
          <w:tcPr>
            <w:tcW w:w="762" w:type="dxa"/>
            <w:tcBorders>
              <w:top w:val="single" w:color="auto" w:sz="4" w:space="0"/>
              <w:left w:val="single" w:color="auto" w:sz="4" w:space="0"/>
              <w:bottom w:val="single" w:color="auto" w:sz="4" w:space="0"/>
              <w:right w:val="single" w:color="auto" w:sz="4" w:space="0"/>
            </w:tcBorders>
            <w:shd w:val="clear" w:color="auto" w:fill="auto"/>
            <w:vAlign w:val="center"/>
          </w:tcPr>
          <w:p w14:paraId="0D926624">
            <w:pPr>
              <w:widowControl/>
              <w:ind w:firstLine="0" w:firstLineChars="0"/>
              <w:jc w:val="center"/>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19</w:t>
            </w:r>
          </w:p>
        </w:tc>
        <w:tc>
          <w:tcPr>
            <w:tcW w:w="15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465365D">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绩效管理系统</w:t>
            </w: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14:paraId="79E36BF8">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年度考核</w:t>
            </w:r>
          </w:p>
        </w:tc>
        <w:tc>
          <w:tcPr>
            <w:tcW w:w="5337" w:type="dxa"/>
            <w:tcBorders>
              <w:top w:val="single" w:color="auto" w:sz="4" w:space="0"/>
              <w:left w:val="single" w:color="auto" w:sz="4" w:space="0"/>
              <w:bottom w:val="single" w:color="auto" w:sz="4" w:space="0"/>
              <w:right w:val="single" w:color="auto" w:sz="4" w:space="0"/>
            </w:tcBorders>
            <w:shd w:val="clear" w:color="auto" w:fill="auto"/>
            <w:vAlign w:val="center"/>
          </w:tcPr>
          <w:p w14:paraId="24B1EF4C">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工资项目库根据学校不同的人员类别、用人方式或者状态建立不同人员的薪酬管理体系，包括薪资信息、工资信息、薪酬标准和薪资账套。</w:t>
            </w:r>
          </w:p>
        </w:tc>
      </w:tr>
      <w:tr w14:paraId="781F3B11">
        <w:tblPrEx>
          <w:tblCellMar>
            <w:top w:w="0" w:type="dxa"/>
            <w:left w:w="108" w:type="dxa"/>
            <w:bottom w:w="0" w:type="dxa"/>
            <w:right w:w="108" w:type="dxa"/>
          </w:tblCellMar>
        </w:tblPrEx>
        <w:trPr>
          <w:trHeight w:val="295" w:hRule="atLeast"/>
        </w:trPr>
        <w:tc>
          <w:tcPr>
            <w:tcW w:w="762" w:type="dxa"/>
            <w:tcBorders>
              <w:top w:val="single" w:color="auto" w:sz="4" w:space="0"/>
              <w:left w:val="single" w:color="auto" w:sz="4" w:space="0"/>
              <w:bottom w:val="single" w:color="auto" w:sz="4" w:space="0"/>
              <w:right w:val="single" w:color="auto" w:sz="4" w:space="0"/>
            </w:tcBorders>
            <w:shd w:val="clear" w:color="auto" w:fill="auto"/>
            <w:vAlign w:val="center"/>
          </w:tcPr>
          <w:p w14:paraId="08BD6D7D">
            <w:pPr>
              <w:widowControl/>
              <w:ind w:firstLine="0" w:firstLineChars="0"/>
              <w:jc w:val="center"/>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20</w:t>
            </w:r>
          </w:p>
        </w:tc>
        <w:tc>
          <w:tcPr>
            <w:tcW w:w="15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61E13B9">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14:paraId="2AE78CB4">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聘期考核</w:t>
            </w:r>
          </w:p>
        </w:tc>
        <w:tc>
          <w:tcPr>
            <w:tcW w:w="5337" w:type="dxa"/>
            <w:tcBorders>
              <w:top w:val="single" w:color="auto" w:sz="4" w:space="0"/>
              <w:left w:val="single" w:color="auto" w:sz="4" w:space="0"/>
              <w:bottom w:val="single" w:color="auto" w:sz="4" w:space="0"/>
              <w:right w:val="single" w:color="auto" w:sz="4" w:space="0"/>
            </w:tcBorders>
            <w:shd w:val="clear" w:color="auto" w:fill="auto"/>
            <w:vAlign w:val="center"/>
          </w:tcPr>
          <w:p w14:paraId="100DAFD5">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基本工资管理根据学校教职工信息的变化自动提醒各管理员办理起薪、停薪、复薪、离退休业务；支持获取考勤模块缺勤信息，自动计算扣款金额；支持获取年度考核结果，自动判断晋升薪级和补发金额；按月生成工资发放数据</w:t>
            </w:r>
          </w:p>
        </w:tc>
      </w:tr>
      <w:tr w14:paraId="45226685">
        <w:tblPrEx>
          <w:tblCellMar>
            <w:top w:w="0" w:type="dxa"/>
            <w:left w:w="108" w:type="dxa"/>
            <w:bottom w:w="0" w:type="dxa"/>
            <w:right w:w="108" w:type="dxa"/>
          </w:tblCellMar>
        </w:tblPrEx>
        <w:trPr>
          <w:trHeight w:val="90" w:hRule="atLeast"/>
        </w:trPr>
        <w:tc>
          <w:tcPr>
            <w:tcW w:w="762" w:type="dxa"/>
            <w:tcBorders>
              <w:top w:val="single" w:color="auto" w:sz="4" w:space="0"/>
              <w:left w:val="single" w:color="auto" w:sz="4" w:space="0"/>
              <w:bottom w:val="single" w:color="auto" w:sz="4" w:space="0"/>
              <w:right w:val="single" w:color="auto" w:sz="4" w:space="0"/>
            </w:tcBorders>
            <w:shd w:val="clear" w:color="auto" w:fill="auto"/>
            <w:vAlign w:val="center"/>
          </w:tcPr>
          <w:p w14:paraId="612A0052">
            <w:pPr>
              <w:widowControl/>
              <w:ind w:firstLine="0" w:firstLineChars="0"/>
              <w:jc w:val="center"/>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21</w:t>
            </w:r>
          </w:p>
        </w:tc>
        <w:tc>
          <w:tcPr>
            <w:tcW w:w="15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35B4174">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薪酬管理系统</w:t>
            </w: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14:paraId="7EEAB5AF">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工资项目库</w:t>
            </w:r>
          </w:p>
        </w:tc>
        <w:tc>
          <w:tcPr>
            <w:tcW w:w="5337" w:type="dxa"/>
            <w:tcBorders>
              <w:top w:val="single" w:color="auto" w:sz="4" w:space="0"/>
              <w:left w:val="single" w:color="auto" w:sz="4" w:space="0"/>
              <w:bottom w:val="single" w:color="auto" w:sz="4" w:space="0"/>
              <w:right w:val="single" w:color="auto" w:sz="4" w:space="0"/>
            </w:tcBorders>
            <w:shd w:val="clear" w:color="auto" w:fill="auto"/>
            <w:vAlign w:val="center"/>
          </w:tcPr>
          <w:p w14:paraId="0D4903C5">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绩效工资管理即由二级单位上报发放的绩效工资，系统支持建设学校账户、二级单位账户，每年绩效工资额度由薪酬科统一进行划拨后，二级单位按月上报，最终提交至薪酬科审核后执行。</w:t>
            </w:r>
          </w:p>
        </w:tc>
      </w:tr>
      <w:tr w14:paraId="1B388B1F">
        <w:tblPrEx>
          <w:tblCellMar>
            <w:top w:w="0" w:type="dxa"/>
            <w:left w:w="108" w:type="dxa"/>
            <w:bottom w:w="0" w:type="dxa"/>
            <w:right w:w="108" w:type="dxa"/>
          </w:tblCellMar>
        </w:tblPrEx>
        <w:trPr>
          <w:trHeight w:val="295" w:hRule="atLeast"/>
        </w:trPr>
        <w:tc>
          <w:tcPr>
            <w:tcW w:w="762" w:type="dxa"/>
            <w:tcBorders>
              <w:top w:val="single" w:color="auto" w:sz="4" w:space="0"/>
              <w:left w:val="single" w:color="auto" w:sz="4" w:space="0"/>
              <w:bottom w:val="single" w:color="auto" w:sz="4" w:space="0"/>
              <w:right w:val="single" w:color="auto" w:sz="4" w:space="0"/>
            </w:tcBorders>
            <w:shd w:val="clear" w:color="auto" w:fill="auto"/>
            <w:vAlign w:val="center"/>
          </w:tcPr>
          <w:p w14:paraId="53C3E0DF">
            <w:pPr>
              <w:widowControl/>
              <w:ind w:firstLine="0" w:firstLineChars="0"/>
              <w:jc w:val="center"/>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22</w:t>
            </w:r>
          </w:p>
        </w:tc>
        <w:tc>
          <w:tcPr>
            <w:tcW w:w="15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C969BB6">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14:paraId="58E060A5">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基本工资管理</w:t>
            </w:r>
          </w:p>
        </w:tc>
        <w:tc>
          <w:tcPr>
            <w:tcW w:w="5337" w:type="dxa"/>
            <w:tcBorders>
              <w:top w:val="single" w:color="auto" w:sz="4" w:space="0"/>
              <w:left w:val="single" w:color="auto" w:sz="4" w:space="0"/>
              <w:bottom w:val="single" w:color="auto" w:sz="4" w:space="0"/>
              <w:right w:val="single" w:color="auto" w:sz="4" w:space="0"/>
            </w:tcBorders>
            <w:shd w:val="clear" w:color="auto" w:fill="auto"/>
            <w:vAlign w:val="center"/>
          </w:tcPr>
          <w:p w14:paraId="32E87761">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基本工资、绩效工资、社保、公积金、后勤扣款等薪酬福利，可以按年度、月份，进行合并发放，并生成扣除个税后的发放数据，支持合并发放数据导出。</w:t>
            </w:r>
          </w:p>
        </w:tc>
      </w:tr>
      <w:tr w14:paraId="1D64DE31">
        <w:tblPrEx>
          <w:tblCellMar>
            <w:top w:w="0" w:type="dxa"/>
            <w:left w:w="108" w:type="dxa"/>
            <w:bottom w:w="0" w:type="dxa"/>
            <w:right w:w="108" w:type="dxa"/>
          </w:tblCellMar>
        </w:tblPrEx>
        <w:trPr>
          <w:trHeight w:val="90" w:hRule="atLeast"/>
        </w:trPr>
        <w:tc>
          <w:tcPr>
            <w:tcW w:w="762" w:type="dxa"/>
            <w:tcBorders>
              <w:top w:val="single" w:color="auto" w:sz="4" w:space="0"/>
              <w:left w:val="single" w:color="auto" w:sz="4" w:space="0"/>
              <w:bottom w:val="single" w:color="auto" w:sz="4" w:space="0"/>
              <w:right w:val="single" w:color="auto" w:sz="4" w:space="0"/>
            </w:tcBorders>
            <w:shd w:val="clear" w:color="auto" w:fill="auto"/>
            <w:vAlign w:val="center"/>
          </w:tcPr>
          <w:p w14:paraId="633DF7A8">
            <w:pPr>
              <w:widowControl/>
              <w:ind w:firstLine="0" w:firstLineChars="0"/>
              <w:jc w:val="center"/>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23</w:t>
            </w:r>
          </w:p>
        </w:tc>
        <w:tc>
          <w:tcPr>
            <w:tcW w:w="15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B52C83D">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14:paraId="11D8AEB2">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绩效工资管理</w:t>
            </w:r>
          </w:p>
        </w:tc>
        <w:tc>
          <w:tcPr>
            <w:tcW w:w="5337" w:type="dxa"/>
            <w:tcBorders>
              <w:top w:val="single" w:color="auto" w:sz="4" w:space="0"/>
              <w:left w:val="single" w:color="auto" w:sz="4" w:space="0"/>
              <w:bottom w:val="single" w:color="auto" w:sz="4" w:space="0"/>
              <w:right w:val="single" w:color="auto" w:sz="4" w:space="0"/>
            </w:tcBorders>
            <w:shd w:val="clear" w:color="auto" w:fill="auto"/>
            <w:vAlign w:val="center"/>
          </w:tcPr>
          <w:p w14:paraId="40B290AC">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系统支持教职工年度考核的全过程管理，包括考核批次设置，个人填报考核表，二级单位审核和设置考核结果，人事处汇总考核结果。</w:t>
            </w:r>
          </w:p>
        </w:tc>
      </w:tr>
      <w:tr w14:paraId="2F0A267D">
        <w:trPr>
          <w:trHeight w:val="295" w:hRule="atLeast"/>
        </w:trPr>
        <w:tc>
          <w:tcPr>
            <w:tcW w:w="762" w:type="dxa"/>
            <w:tcBorders>
              <w:top w:val="single" w:color="auto" w:sz="4" w:space="0"/>
              <w:left w:val="single" w:color="auto" w:sz="4" w:space="0"/>
              <w:bottom w:val="single" w:color="auto" w:sz="4" w:space="0"/>
              <w:right w:val="single" w:color="auto" w:sz="4" w:space="0"/>
            </w:tcBorders>
            <w:shd w:val="clear" w:color="auto" w:fill="auto"/>
            <w:vAlign w:val="center"/>
          </w:tcPr>
          <w:p w14:paraId="41ACD11F">
            <w:pPr>
              <w:widowControl/>
              <w:ind w:firstLine="0" w:firstLineChars="0"/>
              <w:jc w:val="center"/>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24</w:t>
            </w:r>
          </w:p>
        </w:tc>
        <w:tc>
          <w:tcPr>
            <w:tcW w:w="15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DDF6B81">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14:paraId="1F2BF427">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工资合并发放</w:t>
            </w:r>
          </w:p>
        </w:tc>
        <w:tc>
          <w:tcPr>
            <w:tcW w:w="5337" w:type="dxa"/>
            <w:tcBorders>
              <w:top w:val="single" w:color="auto" w:sz="4" w:space="0"/>
              <w:left w:val="single" w:color="auto" w:sz="4" w:space="0"/>
              <w:bottom w:val="single" w:color="auto" w:sz="4" w:space="0"/>
              <w:right w:val="single" w:color="auto" w:sz="4" w:space="0"/>
            </w:tcBorders>
            <w:shd w:val="clear" w:color="auto" w:fill="auto"/>
            <w:vAlign w:val="center"/>
          </w:tcPr>
          <w:p w14:paraId="74425029">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聘期考核以聘用合同规定的岗位职责任务为依据，侧重考核聘期任务目标完成情况。</w:t>
            </w:r>
          </w:p>
        </w:tc>
      </w:tr>
      <w:tr w14:paraId="32E68265">
        <w:tblPrEx>
          <w:tblCellMar>
            <w:top w:w="0" w:type="dxa"/>
            <w:left w:w="108" w:type="dxa"/>
            <w:bottom w:w="0" w:type="dxa"/>
            <w:right w:w="108" w:type="dxa"/>
          </w:tblCellMar>
        </w:tblPrEx>
        <w:trPr>
          <w:trHeight w:val="310" w:hRule="atLeast"/>
        </w:trPr>
        <w:tc>
          <w:tcPr>
            <w:tcW w:w="762" w:type="dxa"/>
            <w:tcBorders>
              <w:top w:val="single" w:color="auto" w:sz="4" w:space="0"/>
              <w:left w:val="single" w:color="auto" w:sz="4" w:space="0"/>
              <w:bottom w:val="single" w:color="auto" w:sz="4" w:space="0"/>
              <w:right w:val="single" w:color="auto" w:sz="4" w:space="0"/>
            </w:tcBorders>
            <w:shd w:val="clear" w:color="auto" w:fill="auto"/>
            <w:vAlign w:val="center"/>
          </w:tcPr>
          <w:p w14:paraId="33734AF9">
            <w:pPr>
              <w:widowControl/>
              <w:ind w:firstLine="0" w:firstLineChars="0"/>
              <w:jc w:val="center"/>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25</w:t>
            </w:r>
          </w:p>
        </w:tc>
        <w:tc>
          <w:tcPr>
            <w:tcW w:w="15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91009D2">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评聘管理系统</w:t>
            </w: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14:paraId="2755B58D">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岗位聘任</w:t>
            </w:r>
          </w:p>
        </w:tc>
        <w:tc>
          <w:tcPr>
            <w:tcW w:w="5337" w:type="dxa"/>
            <w:tcBorders>
              <w:top w:val="single" w:color="auto" w:sz="4" w:space="0"/>
              <w:left w:val="single" w:color="auto" w:sz="4" w:space="0"/>
              <w:bottom w:val="single" w:color="auto" w:sz="4" w:space="0"/>
              <w:right w:val="single" w:color="auto" w:sz="4" w:space="0"/>
            </w:tcBorders>
            <w:shd w:val="clear" w:color="auto" w:fill="auto"/>
            <w:vAlign w:val="center"/>
          </w:tcPr>
          <w:p w14:paraId="1E22AA28">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岗位聘任是对岗位分级、职员晋升等业务的综合管理。通过系统可对岗位聘任的全过程进行流程化管理，包括方案设置、个人申报、资格审查、材料审核、公示等环节。</w:t>
            </w:r>
          </w:p>
        </w:tc>
      </w:tr>
      <w:tr w14:paraId="61F500E4">
        <w:tblPrEx>
          <w:tblCellMar>
            <w:top w:w="0" w:type="dxa"/>
            <w:left w:w="108" w:type="dxa"/>
            <w:bottom w:w="0" w:type="dxa"/>
            <w:right w:w="108" w:type="dxa"/>
          </w:tblCellMar>
        </w:tblPrEx>
        <w:trPr>
          <w:trHeight w:val="295" w:hRule="atLeast"/>
        </w:trPr>
        <w:tc>
          <w:tcPr>
            <w:tcW w:w="762" w:type="dxa"/>
            <w:tcBorders>
              <w:top w:val="single" w:color="auto" w:sz="4" w:space="0"/>
              <w:left w:val="single" w:color="auto" w:sz="4" w:space="0"/>
              <w:bottom w:val="single" w:color="auto" w:sz="4" w:space="0"/>
              <w:right w:val="single" w:color="auto" w:sz="4" w:space="0"/>
            </w:tcBorders>
            <w:shd w:val="clear" w:color="auto" w:fill="auto"/>
            <w:vAlign w:val="center"/>
          </w:tcPr>
          <w:p w14:paraId="50252991">
            <w:pPr>
              <w:widowControl/>
              <w:ind w:firstLine="0" w:firstLineChars="0"/>
              <w:jc w:val="center"/>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26</w:t>
            </w:r>
          </w:p>
        </w:tc>
        <w:tc>
          <w:tcPr>
            <w:tcW w:w="15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CB88774">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14:paraId="0E313693">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职称评审</w:t>
            </w:r>
          </w:p>
        </w:tc>
        <w:tc>
          <w:tcPr>
            <w:tcW w:w="5337" w:type="dxa"/>
            <w:tcBorders>
              <w:top w:val="single" w:color="auto" w:sz="4" w:space="0"/>
              <w:left w:val="single" w:color="auto" w:sz="4" w:space="0"/>
              <w:bottom w:val="single" w:color="auto" w:sz="4" w:space="0"/>
              <w:right w:val="single" w:color="auto" w:sz="4" w:space="0"/>
            </w:tcBorders>
            <w:shd w:val="clear" w:color="auto" w:fill="auto"/>
            <w:vAlign w:val="center"/>
          </w:tcPr>
          <w:p w14:paraId="1107592E">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职称评审应用为高校每年教职工的职称评审工作提供相应的服务。职称评审包括职称的申报环节和评聘环节。支持职称评审方案的制定，教职工个人填报，职称申报表的审核，监控职称评审进展情况。</w:t>
            </w:r>
          </w:p>
        </w:tc>
      </w:tr>
      <w:tr w14:paraId="32F986D6">
        <w:tblPrEx>
          <w:tblCellMar>
            <w:top w:w="0" w:type="dxa"/>
            <w:left w:w="108" w:type="dxa"/>
            <w:bottom w:w="0" w:type="dxa"/>
            <w:right w:w="108" w:type="dxa"/>
          </w:tblCellMar>
        </w:tblPrEx>
        <w:trPr>
          <w:trHeight w:val="339" w:hRule="atLeast"/>
        </w:trPr>
        <w:tc>
          <w:tcPr>
            <w:tcW w:w="762" w:type="dxa"/>
            <w:tcBorders>
              <w:top w:val="single" w:color="auto" w:sz="4" w:space="0"/>
              <w:left w:val="single" w:color="auto" w:sz="4" w:space="0"/>
              <w:bottom w:val="single" w:color="auto" w:sz="4" w:space="0"/>
              <w:right w:val="single" w:color="auto" w:sz="4" w:space="0"/>
            </w:tcBorders>
            <w:shd w:val="clear" w:color="auto" w:fill="auto"/>
            <w:vAlign w:val="center"/>
          </w:tcPr>
          <w:p w14:paraId="0F301A1A">
            <w:pPr>
              <w:widowControl/>
              <w:ind w:firstLine="0" w:firstLineChars="0"/>
              <w:jc w:val="center"/>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27</w:t>
            </w:r>
          </w:p>
        </w:tc>
        <w:tc>
          <w:tcPr>
            <w:tcW w:w="15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36600CE">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14:paraId="3B39C2DE">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同行专家评议</w:t>
            </w:r>
          </w:p>
        </w:tc>
        <w:tc>
          <w:tcPr>
            <w:tcW w:w="5337" w:type="dxa"/>
            <w:tcBorders>
              <w:top w:val="single" w:color="auto" w:sz="4" w:space="0"/>
              <w:left w:val="single" w:color="auto" w:sz="4" w:space="0"/>
              <w:bottom w:val="single" w:color="auto" w:sz="4" w:space="0"/>
              <w:right w:val="single" w:color="auto" w:sz="4" w:space="0"/>
            </w:tcBorders>
            <w:shd w:val="clear" w:color="auto" w:fill="auto"/>
            <w:vAlign w:val="center"/>
          </w:tcPr>
          <w:p w14:paraId="31F584EF">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同行评议平台是为高校职称评审、岗位聘任、人才引进等业务提供一站式的专家评审支持服务，支持委托专家/协审单位三种送审模式，支持专家评审在线电子签名，支持PC端、移动端等多终端注册登录方式。</w:t>
            </w:r>
          </w:p>
        </w:tc>
      </w:tr>
      <w:tr w14:paraId="717D9436">
        <w:tblPrEx>
          <w:tblCellMar>
            <w:top w:w="0" w:type="dxa"/>
            <w:left w:w="108" w:type="dxa"/>
            <w:bottom w:w="0" w:type="dxa"/>
            <w:right w:w="108" w:type="dxa"/>
          </w:tblCellMar>
        </w:tblPrEx>
        <w:trPr>
          <w:trHeight w:val="295" w:hRule="atLeast"/>
        </w:trPr>
        <w:tc>
          <w:tcPr>
            <w:tcW w:w="762" w:type="dxa"/>
            <w:tcBorders>
              <w:top w:val="single" w:color="auto" w:sz="4" w:space="0"/>
              <w:left w:val="single" w:color="auto" w:sz="4" w:space="0"/>
              <w:bottom w:val="single" w:color="auto" w:sz="4" w:space="0"/>
              <w:right w:val="single" w:color="auto" w:sz="4" w:space="0"/>
            </w:tcBorders>
            <w:shd w:val="clear" w:color="auto" w:fill="auto"/>
            <w:vAlign w:val="center"/>
          </w:tcPr>
          <w:p w14:paraId="29B69A8F">
            <w:pPr>
              <w:widowControl/>
              <w:ind w:firstLine="0" w:firstLineChars="0"/>
              <w:jc w:val="center"/>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28</w:t>
            </w:r>
          </w:p>
        </w:tc>
        <w:tc>
          <w:tcPr>
            <w:tcW w:w="15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D54191E">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14:paraId="7E548470">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投票管理</w:t>
            </w:r>
          </w:p>
        </w:tc>
        <w:tc>
          <w:tcPr>
            <w:tcW w:w="5337" w:type="dxa"/>
            <w:tcBorders>
              <w:top w:val="single" w:color="auto" w:sz="4" w:space="0"/>
              <w:left w:val="single" w:color="auto" w:sz="4" w:space="0"/>
              <w:bottom w:val="single" w:color="auto" w:sz="4" w:space="0"/>
              <w:right w:val="single" w:color="auto" w:sz="4" w:space="0"/>
            </w:tcBorders>
            <w:shd w:val="clear" w:color="auto" w:fill="auto"/>
            <w:vAlign w:val="center"/>
          </w:tcPr>
          <w:p w14:paraId="0B69B626">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岗位聘任或职称评审过程中，需要组织专家进行会议评审，并现场进行投票表决。通过投票系统可实现无纸化投票。</w:t>
            </w:r>
          </w:p>
        </w:tc>
      </w:tr>
      <w:tr w14:paraId="7674D967">
        <w:tblPrEx>
          <w:tblCellMar>
            <w:top w:w="0" w:type="dxa"/>
            <w:left w:w="108" w:type="dxa"/>
            <w:bottom w:w="0" w:type="dxa"/>
            <w:right w:w="108" w:type="dxa"/>
          </w:tblCellMar>
        </w:tblPrEx>
        <w:trPr>
          <w:trHeight w:val="310" w:hRule="atLeast"/>
        </w:trPr>
        <w:tc>
          <w:tcPr>
            <w:tcW w:w="762" w:type="dxa"/>
            <w:tcBorders>
              <w:top w:val="single" w:color="auto" w:sz="4" w:space="0"/>
              <w:left w:val="single" w:color="auto" w:sz="4" w:space="0"/>
              <w:right w:val="single" w:color="auto" w:sz="4" w:space="0"/>
            </w:tcBorders>
            <w:shd w:val="clear" w:color="auto" w:fill="auto"/>
            <w:vAlign w:val="center"/>
          </w:tcPr>
          <w:p w14:paraId="79ABD599">
            <w:pPr>
              <w:widowControl/>
              <w:ind w:firstLine="0" w:firstLineChars="0"/>
              <w:jc w:val="center"/>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29</w:t>
            </w:r>
          </w:p>
        </w:tc>
        <w:tc>
          <w:tcPr>
            <w:tcW w:w="1550" w:type="dxa"/>
            <w:vMerge w:val="restart"/>
            <w:tcBorders>
              <w:top w:val="single" w:color="auto" w:sz="4" w:space="0"/>
              <w:left w:val="single" w:color="auto" w:sz="4" w:space="0"/>
              <w:right w:val="single" w:color="auto" w:sz="4" w:space="0"/>
            </w:tcBorders>
            <w:shd w:val="clear" w:color="auto" w:fill="auto"/>
            <w:vAlign w:val="center"/>
          </w:tcPr>
          <w:p w14:paraId="502E43B2">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人才发展系统</w:t>
            </w: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14:paraId="19E7D9E9">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教师培训</w:t>
            </w:r>
          </w:p>
        </w:tc>
        <w:tc>
          <w:tcPr>
            <w:tcW w:w="5337" w:type="dxa"/>
            <w:tcBorders>
              <w:top w:val="single" w:color="auto" w:sz="4" w:space="0"/>
              <w:left w:val="single" w:color="auto" w:sz="4" w:space="0"/>
              <w:bottom w:val="single" w:color="auto" w:sz="4" w:space="0"/>
              <w:right w:val="single" w:color="auto" w:sz="4" w:space="0"/>
            </w:tcBorders>
            <w:shd w:val="clear" w:color="auto" w:fill="auto"/>
            <w:vAlign w:val="center"/>
          </w:tcPr>
          <w:p w14:paraId="6E9F75BE">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实现教师参加培训记录的登记和查询，可登记教师培训时间、获得学时等信息。可实现教师培训申请与审核流程管理。</w:t>
            </w:r>
          </w:p>
        </w:tc>
      </w:tr>
      <w:tr w14:paraId="56134D24">
        <w:tblPrEx>
          <w:tblCellMar>
            <w:top w:w="0" w:type="dxa"/>
            <w:left w:w="108" w:type="dxa"/>
            <w:bottom w:w="0" w:type="dxa"/>
            <w:right w:w="108" w:type="dxa"/>
          </w:tblCellMar>
        </w:tblPrEx>
        <w:trPr>
          <w:trHeight w:val="295" w:hRule="atLeast"/>
        </w:trPr>
        <w:tc>
          <w:tcPr>
            <w:tcW w:w="762" w:type="dxa"/>
            <w:tcBorders>
              <w:left w:val="single" w:color="auto" w:sz="4" w:space="0"/>
              <w:right w:val="single" w:color="auto" w:sz="4" w:space="0"/>
            </w:tcBorders>
            <w:shd w:val="clear" w:color="auto" w:fill="auto"/>
            <w:vAlign w:val="center"/>
          </w:tcPr>
          <w:p w14:paraId="7BC54D75">
            <w:pPr>
              <w:widowControl/>
              <w:ind w:firstLine="0" w:firstLineChars="0"/>
              <w:jc w:val="center"/>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30</w:t>
            </w:r>
          </w:p>
        </w:tc>
        <w:tc>
          <w:tcPr>
            <w:tcW w:w="1550" w:type="dxa"/>
            <w:vMerge w:val="continue"/>
            <w:tcBorders>
              <w:left w:val="single" w:color="auto" w:sz="4" w:space="0"/>
              <w:right w:val="single" w:color="auto" w:sz="4" w:space="0"/>
            </w:tcBorders>
            <w:shd w:val="clear" w:color="auto" w:fill="auto"/>
            <w:vAlign w:val="center"/>
          </w:tcPr>
          <w:p w14:paraId="5B398A3F">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14:paraId="49797FC2">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在职学历进修</w:t>
            </w:r>
          </w:p>
        </w:tc>
        <w:tc>
          <w:tcPr>
            <w:tcW w:w="5337" w:type="dxa"/>
            <w:tcBorders>
              <w:top w:val="single" w:color="auto" w:sz="4" w:space="0"/>
              <w:left w:val="single" w:color="auto" w:sz="4" w:space="0"/>
              <w:bottom w:val="single" w:color="auto" w:sz="4" w:space="0"/>
              <w:right w:val="single" w:color="auto" w:sz="4" w:space="0"/>
            </w:tcBorders>
            <w:shd w:val="clear" w:color="auto" w:fill="auto"/>
            <w:vAlign w:val="center"/>
          </w:tcPr>
          <w:p w14:paraId="55270C64">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支持对教职工在职学历进修业务线上登记维护和管理教职工的攻读硕博情况功能，包括攻读硕博管理、攻读硕博反馈管理、攻读硕博申请、攻读硕博审核、攻读硕博反馈服务和攻读硕博反馈审核。</w:t>
            </w:r>
          </w:p>
        </w:tc>
      </w:tr>
      <w:tr w14:paraId="7A011121">
        <w:tblPrEx>
          <w:tblCellMar>
            <w:top w:w="0" w:type="dxa"/>
            <w:left w:w="108" w:type="dxa"/>
            <w:bottom w:w="0" w:type="dxa"/>
            <w:right w:w="108" w:type="dxa"/>
          </w:tblCellMar>
        </w:tblPrEx>
        <w:trPr>
          <w:trHeight w:val="295" w:hRule="atLeast"/>
        </w:trPr>
        <w:tc>
          <w:tcPr>
            <w:tcW w:w="762" w:type="dxa"/>
            <w:tcBorders>
              <w:left w:val="single" w:color="auto" w:sz="4" w:space="0"/>
              <w:right w:val="single" w:color="auto" w:sz="4" w:space="0"/>
            </w:tcBorders>
            <w:shd w:val="clear" w:color="auto" w:fill="auto"/>
            <w:vAlign w:val="center"/>
          </w:tcPr>
          <w:p w14:paraId="3D833EBC">
            <w:pPr>
              <w:widowControl/>
              <w:ind w:firstLine="0" w:firstLineChars="0"/>
              <w:jc w:val="center"/>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31</w:t>
            </w:r>
          </w:p>
        </w:tc>
        <w:tc>
          <w:tcPr>
            <w:tcW w:w="1550" w:type="dxa"/>
            <w:vMerge w:val="continue"/>
            <w:tcBorders>
              <w:left w:val="single" w:color="auto" w:sz="4" w:space="0"/>
              <w:right w:val="single" w:color="auto" w:sz="4" w:space="0"/>
            </w:tcBorders>
            <w:shd w:val="clear" w:color="auto" w:fill="auto"/>
            <w:vAlign w:val="center"/>
          </w:tcPr>
          <w:p w14:paraId="6F0A9846">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14:paraId="04809771">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公派出国</w:t>
            </w:r>
          </w:p>
        </w:tc>
        <w:tc>
          <w:tcPr>
            <w:tcW w:w="5337" w:type="dxa"/>
            <w:tcBorders>
              <w:top w:val="single" w:color="auto" w:sz="4" w:space="0"/>
              <w:left w:val="single" w:color="auto" w:sz="4" w:space="0"/>
              <w:bottom w:val="single" w:color="auto" w:sz="4" w:space="0"/>
              <w:right w:val="single" w:color="auto" w:sz="4" w:space="0"/>
            </w:tcBorders>
            <w:shd w:val="clear" w:color="auto" w:fill="auto"/>
            <w:vAlign w:val="center"/>
          </w:tcPr>
          <w:p w14:paraId="543E6DA4">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为教职工出国提供公派出国的相关服务，包括出国管理、回国管理、出国申请服务、出国审核办理（院系）、出国审核办理（人事处）、回国报到服务、回国审核办理（院系）、回国审核办理（人事处）。</w:t>
            </w:r>
          </w:p>
        </w:tc>
      </w:tr>
      <w:tr w14:paraId="0D2B29E4">
        <w:tblPrEx>
          <w:tblCellMar>
            <w:top w:w="0" w:type="dxa"/>
            <w:left w:w="108" w:type="dxa"/>
            <w:bottom w:w="0" w:type="dxa"/>
            <w:right w:w="108" w:type="dxa"/>
          </w:tblCellMar>
        </w:tblPrEx>
        <w:trPr>
          <w:trHeight w:val="295" w:hRule="atLeast"/>
        </w:trPr>
        <w:tc>
          <w:tcPr>
            <w:tcW w:w="762" w:type="dxa"/>
            <w:tcBorders>
              <w:left w:val="single" w:color="auto" w:sz="4" w:space="0"/>
              <w:right w:val="single" w:color="auto" w:sz="4" w:space="0"/>
            </w:tcBorders>
            <w:shd w:val="clear" w:color="auto" w:fill="auto"/>
            <w:vAlign w:val="center"/>
          </w:tcPr>
          <w:p w14:paraId="15FB160D">
            <w:pPr>
              <w:widowControl/>
              <w:ind w:firstLine="0" w:firstLineChars="0"/>
              <w:jc w:val="center"/>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32</w:t>
            </w:r>
          </w:p>
        </w:tc>
        <w:tc>
          <w:tcPr>
            <w:tcW w:w="1550" w:type="dxa"/>
            <w:vMerge w:val="continue"/>
            <w:tcBorders>
              <w:left w:val="single" w:color="auto" w:sz="4" w:space="0"/>
              <w:right w:val="single" w:color="auto" w:sz="4" w:space="0"/>
            </w:tcBorders>
            <w:shd w:val="clear" w:color="auto" w:fill="auto"/>
            <w:vAlign w:val="center"/>
          </w:tcPr>
          <w:p w14:paraId="5C89BC53">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14:paraId="2B0AA08F">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因私出国</w:t>
            </w:r>
          </w:p>
        </w:tc>
        <w:tc>
          <w:tcPr>
            <w:tcW w:w="5337" w:type="dxa"/>
            <w:tcBorders>
              <w:top w:val="single" w:color="auto" w:sz="4" w:space="0"/>
              <w:left w:val="single" w:color="auto" w:sz="4" w:space="0"/>
              <w:bottom w:val="single" w:color="auto" w:sz="4" w:space="0"/>
              <w:right w:val="single" w:color="auto" w:sz="4" w:space="0"/>
            </w:tcBorders>
            <w:shd w:val="clear" w:color="auto" w:fill="auto"/>
            <w:vAlign w:val="center"/>
          </w:tcPr>
          <w:p w14:paraId="51BE50B6">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为教职工出国提供因私出国的相关服务，包括出国管理、回国管理、出国申请服务、出国审核办理（院系）、出国审核办理（人事处）、回国报到服务、回国审核办理（院系）、回国审核办理（人事处）。</w:t>
            </w:r>
          </w:p>
        </w:tc>
      </w:tr>
      <w:tr w14:paraId="2ABA1B67">
        <w:tblPrEx>
          <w:tblCellMar>
            <w:top w:w="0" w:type="dxa"/>
            <w:left w:w="108" w:type="dxa"/>
            <w:bottom w:w="0" w:type="dxa"/>
            <w:right w:w="108" w:type="dxa"/>
          </w:tblCellMar>
        </w:tblPrEx>
        <w:trPr>
          <w:trHeight w:val="295" w:hRule="atLeast"/>
        </w:trPr>
        <w:tc>
          <w:tcPr>
            <w:tcW w:w="762" w:type="dxa"/>
            <w:tcBorders>
              <w:left w:val="single" w:color="auto" w:sz="4" w:space="0"/>
              <w:right w:val="single" w:color="auto" w:sz="4" w:space="0"/>
            </w:tcBorders>
            <w:shd w:val="clear" w:color="auto" w:fill="auto"/>
            <w:vAlign w:val="center"/>
          </w:tcPr>
          <w:p w14:paraId="4BF2C627">
            <w:pPr>
              <w:widowControl/>
              <w:ind w:firstLine="0" w:firstLineChars="0"/>
              <w:jc w:val="center"/>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33</w:t>
            </w:r>
          </w:p>
        </w:tc>
        <w:tc>
          <w:tcPr>
            <w:tcW w:w="1550" w:type="dxa"/>
            <w:vMerge w:val="continue"/>
            <w:tcBorders>
              <w:left w:val="single" w:color="auto" w:sz="4" w:space="0"/>
              <w:right w:val="single" w:color="auto" w:sz="4" w:space="0"/>
            </w:tcBorders>
            <w:shd w:val="clear" w:color="auto" w:fill="auto"/>
            <w:vAlign w:val="center"/>
          </w:tcPr>
          <w:p w14:paraId="3BA89418">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14:paraId="4D4632F6">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荣誉称号</w:t>
            </w:r>
          </w:p>
        </w:tc>
        <w:tc>
          <w:tcPr>
            <w:tcW w:w="5337" w:type="dxa"/>
            <w:tcBorders>
              <w:top w:val="single" w:color="auto" w:sz="4" w:space="0"/>
              <w:left w:val="single" w:color="auto" w:sz="4" w:space="0"/>
              <w:bottom w:val="single" w:color="auto" w:sz="4" w:space="0"/>
              <w:right w:val="single" w:color="auto" w:sz="4" w:space="0"/>
            </w:tcBorders>
            <w:shd w:val="clear" w:color="auto" w:fill="auto"/>
            <w:vAlign w:val="center"/>
          </w:tcPr>
          <w:p w14:paraId="191DE3D5">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对教职工获得的各项荣誉称号在系统中进行登记和管理，支持批量导入、导出荣誉称号信息。</w:t>
            </w:r>
          </w:p>
        </w:tc>
      </w:tr>
      <w:tr w14:paraId="77185BD3">
        <w:tblPrEx>
          <w:tblCellMar>
            <w:top w:w="0" w:type="dxa"/>
            <w:left w:w="108" w:type="dxa"/>
            <w:bottom w:w="0" w:type="dxa"/>
            <w:right w:w="108" w:type="dxa"/>
          </w:tblCellMar>
        </w:tblPrEx>
        <w:trPr>
          <w:trHeight w:val="295" w:hRule="atLeast"/>
        </w:trPr>
        <w:tc>
          <w:tcPr>
            <w:tcW w:w="762" w:type="dxa"/>
            <w:tcBorders>
              <w:left w:val="single" w:color="auto" w:sz="4" w:space="0"/>
              <w:right w:val="single" w:color="auto" w:sz="4" w:space="0"/>
            </w:tcBorders>
            <w:shd w:val="clear" w:color="auto" w:fill="auto"/>
            <w:vAlign w:val="center"/>
          </w:tcPr>
          <w:p w14:paraId="40B9FAA9">
            <w:pPr>
              <w:widowControl/>
              <w:ind w:firstLine="0" w:firstLineChars="0"/>
              <w:jc w:val="center"/>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34</w:t>
            </w:r>
          </w:p>
        </w:tc>
        <w:tc>
          <w:tcPr>
            <w:tcW w:w="1550" w:type="dxa"/>
            <w:vMerge w:val="continue"/>
            <w:tcBorders>
              <w:left w:val="single" w:color="auto" w:sz="4" w:space="0"/>
              <w:right w:val="single" w:color="auto" w:sz="4" w:space="0"/>
            </w:tcBorders>
            <w:shd w:val="clear" w:color="auto" w:fill="auto"/>
            <w:vAlign w:val="center"/>
          </w:tcPr>
          <w:p w14:paraId="39D200BC">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14:paraId="4872EFE2">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学术兼职</w:t>
            </w:r>
          </w:p>
        </w:tc>
        <w:tc>
          <w:tcPr>
            <w:tcW w:w="5337" w:type="dxa"/>
            <w:tcBorders>
              <w:top w:val="single" w:color="auto" w:sz="4" w:space="0"/>
              <w:left w:val="single" w:color="auto" w:sz="4" w:space="0"/>
              <w:bottom w:val="single" w:color="auto" w:sz="4" w:space="0"/>
              <w:right w:val="single" w:color="auto" w:sz="4" w:space="0"/>
            </w:tcBorders>
            <w:shd w:val="clear" w:color="auto" w:fill="auto"/>
            <w:vAlign w:val="center"/>
          </w:tcPr>
          <w:p w14:paraId="7C6984CB">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系统支持对教职工学术和社会兼职情况的登记和管理，支持批量导入、导出学术兼职信息。</w:t>
            </w:r>
          </w:p>
        </w:tc>
      </w:tr>
      <w:tr w14:paraId="532A7727">
        <w:tblPrEx>
          <w:tblCellMar>
            <w:top w:w="0" w:type="dxa"/>
            <w:left w:w="108" w:type="dxa"/>
            <w:bottom w:w="0" w:type="dxa"/>
            <w:right w:w="108" w:type="dxa"/>
          </w:tblCellMar>
        </w:tblPrEx>
        <w:trPr>
          <w:trHeight w:val="295" w:hRule="atLeast"/>
        </w:trPr>
        <w:tc>
          <w:tcPr>
            <w:tcW w:w="762" w:type="dxa"/>
            <w:tcBorders>
              <w:left w:val="single" w:color="auto" w:sz="4" w:space="0"/>
              <w:bottom w:val="single" w:color="auto" w:sz="4" w:space="0"/>
              <w:right w:val="single" w:color="auto" w:sz="4" w:space="0"/>
            </w:tcBorders>
            <w:shd w:val="clear" w:color="auto" w:fill="auto"/>
            <w:vAlign w:val="center"/>
          </w:tcPr>
          <w:p w14:paraId="7C87A60F">
            <w:pPr>
              <w:widowControl/>
              <w:ind w:firstLine="0" w:firstLineChars="0"/>
              <w:jc w:val="center"/>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35</w:t>
            </w:r>
          </w:p>
        </w:tc>
        <w:tc>
          <w:tcPr>
            <w:tcW w:w="1550" w:type="dxa"/>
            <w:vMerge w:val="continue"/>
            <w:tcBorders>
              <w:left w:val="single" w:color="auto" w:sz="4" w:space="0"/>
              <w:bottom w:val="single" w:color="auto" w:sz="4" w:space="0"/>
              <w:right w:val="single" w:color="auto" w:sz="4" w:space="0"/>
            </w:tcBorders>
            <w:shd w:val="clear" w:color="auto" w:fill="auto"/>
            <w:vAlign w:val="center"/>
          </w:tcPr>
          <w:p w14:paraId="7AFA89C1">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14:paraId="78839823">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教师资格证</w:t>
            </w:r>
          </w:p>
        </w:tc>
        <w:tc>
          <w:tcPr>
            <w:tcW w:w="5337" w:type="dxa"/>
            <w:tcBorders>
              <w:top w:val="single" w:color="auto" w:sz="4" w:space="0"/>
              <w:left w:val="single" w:color="auto" w:sz="4" w:space="0"/>
              <w:bottom w:val="single" w:color="auto" w:sz="4" w:space="0"/>
              <w:right w:val="single" w:color="auto" w:sz="4" w:space="0"/>
            </w:tcBorders>
            <w:shd w:val="clear" w:color="auto" w:fill="auto"/>
            <w:vAlign w:val="center"/>
          </w:tcPr>
          <w:p w14:paraId="6B706DA0">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为业务管理员提供教职工教师资格信息的管理功能，包括教师资格证号码、任教学科、证书颁发日期等；支持证书附件上传、在线预览和下载，同时可批量导入和导出；可以由教职工本人直接补充完善资格证情况。</w:t>
            </w:r>
          </w:p>
        </w:tc>
      </w:tr>
      <w:tr w14:paraId="477E9C51">
        <w:tblPrEx>
          <w:tblCellMar>
            <w:top w:w="0" w:type="dxa"/>
            <w:left w:w="108" w:type="dxa"/>
            <w:bottom w:w="0" w:type="dxa"/>
            <w:right w:w="108" w:type="dxa"/>
          </w:tblCellMar>
        </w:tblPrEx>
        <w:trPr>
          <w:trHeight w:val="295" w:hRule="atLeast"/>
        </w:trPr>
        <w:tc>
          <w:tcPr>
            <w:tcW w:w="762" w:type="dxa"/>
            <w:tcBorders>
              <w:top w:val="single" w:color="auto" w:sz="4" w:space="0"/>
              <w:left w:val="single" w:color="auto" w:sz="4" w:space="0"/>
              <w:right w:val="single" w:color="auto" w:sz="4" w:space="0"/>
            </w:tcBorders>
            <w:shd w:val="clear" w:color="auto" w:fill="auto"/>
            <w:vAlign w:val="center"/>
          </w:tcPr>
          <w:p w14:paraId="1F29FFE4">
            <w:pPr>
              <w:widowControl/>
              <w:ind w:firstLine="0" w:firstLineChars="0"/>
              <w:jc w:val="center"/>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36</w:t>
            </w:r>
          </w:p>
        </w:tc>
        <w:tc>
          <w:tcPr>
            <w:tcW w:w="1550" w:type="dxa"/>
            <w:vMerge w:val="restart"/>
            <w:tcBorders>
              <w:top w:val="single" w:color="auto" w:sz="4" w:space="0"/>
              <w:left w:val="single" w:color="auto" w:sz="4" w:space="0"/>
              <w:right w:val="single" w:color="auto" w:sz="4" w:space="0"/>
            </w:tcBorders>
            <w:shd w:val="clear" w:color="auto" w:fill="auto"/>
            <w:vAlign w:val="center"/>
          </w:tcPr>
          <w:p w14:paraId="294A96CF">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干部管理系统</w:t>
            </w: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14:paraId="2D8859E5">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党员信息管理</w:t>
            </w:r>
          </w:p>
        </w:tc>
        <w:tc>
          <w:tcPr>
            <w:tcW w:w="5337" w:type="dxa"/>
            <w:tcBorders>
              <w:top w:val="single" w:color="auto" w:sz="4" w:space="0"/>
              <w:left w:val="single" w:color="auto" w:sz="4" w:space="0"/>
              <w:bottom w:val="single" w:color="auto" w:sz="4" w:space="0"/>
              <w:right w:val="single" w:color="auto" w:sz="4" w:space="0"/>
            </w:tcBorders>
            <w:shd w:val="clear" w:color="auto" w:fill="auto"/>
            <w:vAlign w:val="center"/>
          </w:tcPr>
          <w:p w14:paraId="62ED5FBC">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根据相关数据标准构建学校统一的党员信息库（包括教职工党员和学生党员），实现党员信息标准化、统一化管理；实现以信息子集方式（包括基本信息、发展信息、学习信息、考核信息、党费缴纳信息等）</w:t>
            </w:r>
          </w:p>
        </w:tc>
      </w:tr>
      <w:tr w14:paraId="79438674">
        <w:tblPrEx>
          <w:tblCellMar>
            <w:top w:w="0" w:type="dxa"/>
            <w:left w:w="108" w:type="dxa"/>
            <w:bottom w:w="0" w:type="dxa"/>
            <w:right w:w="108" w:type="dxa"/>
          </w:tblCellMar>
        </w:tblPrEx>
        <w:trPr>
          <w:trHeight w:val="295" w:hRule="atLeast"/>
        </w:trPr>
        <w:tc>
          <w:tcPr>
            <w:tcW w:w="762" w:type="dxa"/>
            <w:tcBorders>
              <w:left w:val="single" w:color="auto" w:sz="4" w:space="0"/>
              <w:right w:val="single" w:color="auto" w:sz="4" w:space="0"/>
            </w:tcBorders>
            <w:shd w:val="clear" w:color="auto" w:fill="auto"/>
            <w:vAlign w:val="center"/>
          </w:tcPr>
          <w:p w14:paraId="5F3FB447">
            <w:pPr>
              <w:widowControl/>
              <w:ind w:firstLine="0" w:firstLineChars="0"/>
              <w:jc w:val="center"/>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37</w:t>
            </w:r>
          </w:p>
        </w:tc>
        <w:tc>
          <w:tcPr>
            <w:tcW w:w="1550" w:type="dxa"/>
            <w:vMerge w:val="continue"/>
            <w:tcBorders>
              <w:left w:val="single" w:color="auto" w:sz="4" w:space="0"/>
              <w:right w:val="single" w:color="auto" w:sz="4" w:space="0"/>
            </w:tcBorders>
            <w:shd w:val="clear" w:color="auto" w:fill="auto"/>
            <w:vAlign w:val="center"/>
          </w:tcPr>
          <w:p w14:paraId="29F3F45E">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14:paraId="0EF27532">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干部信息管理</w:t>
            </w:r>
          </w:p>
        </w:tc>
        <w:tc>
          <w:tcPr>
            <w:tcW w:w="5337" w:type="dxa"/>
            <w:tcBorders>
              <w:top w:val="single" w:color="auto" w:sz="4" w:space="0"/>
              <w:left w:val="single" w:color="auto" w:sz="4" w:space="0"/>
              <w:bottom w:val="single" w:color="auto" w:sz="4" w:space="0"/>
              <w:right w:val="single" w:color="auto" w:sz="4" w:space="0"/>
            </w:tcBorders>
            <w:shd w:val="clear" w:color="auto" w:fill="auto"/>
            <w:vAlign w:val="center"/>
          </w:tcPr>
          <w:p w14:paraId="0686B7BD">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根据相关数据标准构建学校统一的干部信息库，实现干部信息标准化、统一化管理。</w:t>
            </w:r>
          </w:p>
        </w:tc>
      </w:tr>
      <w:tr w14:paraId="7423150A">
        <w:tblPrEx>
          <w:tblCellMar>
            <w:top w:w="0" w:type="dxa"/>
            <w:left w:w="108" w:type="dxa"/>
            <w:bottom w:w="0" w:type="dxa"/>
            <w:right w:w="108" w:type="dxa"/>
          </w:tblCellMar>
        </w:tblPrEx>
        <w:trPr>
          <w:trHeight w:val="295" w:hRule="atLeast"/>
        </w:trPr>
        <w:tc>
          <w:tcPr>
            <w:tcW w:w="762" w:type="dxa"/>
            <w:tcBorders>
              <w:left w:val="single" w:color="auto" w:sz="4" w:space="0"/>
              <w:right w:val="single" w:color="auto" w:sz="4" w:space="0"/>
            </w:tcBorders>
            <w:shd w:val="clear" w:color="auto" w:fill="auto"/>
            <w:vAlign w:val="center"/>
          </w:tcPr>
          <w:p w14:paraId="2E8A0435">
            <w:pPr>
              <w:widowControl/>
              <w:ind w:firstLine="0" w:firstLineChars="0"/>
              <w:jc w:val="center"/>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38</w:t>
            </w:r>
          </w:p>
        </w:tc>
        <w:tc>
          <w:tcPr>
            <w:tcW w:w="1550" w:type="dxa"/>
            <w:vMerge w:val="continue"/>
            <w:tcBorders>
              <w:left w:val="single" w:color="auto" w:sz="4" w:space="0"/>
              <w:right w:val="single" w:color="auto" w:sz="4" w:space="0"/>
            </w:tcBorders>
            <w:shd w:val="clear" w:color="auto" w:fill="auto"/>
            <w:vAlign w:val="center"/>
          </w:tcPr>
          <w:p w14:paraId="7FD026AA">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14:paraId="6F68378C">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干部和部门考核</w:t>
            </w:r>
          </w:p>
        </w:tc>
        <w:tc>
          <w:tcPr>
            <w:tcW w:w="5337" w:type="dxa"/>
            <w:tcBorders>
              <w:top w:val="single" w:color="auto" w:sz="4" w:space="0"/>
              <w:left w:val="single" w:color="auto" w:sz="4" w:space="0"/>
              <w:bottom w:val="single" w:color="auto" w:sz="4" w:space="0"/>
              <w:right w:val="single" w:color="auto" w:sz="4" w:space="0"/>
            </w:tcBorders>
            <w:shd w:val="clear" w:color="auto" w:fill="auto"/>
            <w:vAlign w:val="center"/>
          </w:tcPr>
          <w:p w14:paraId="0C27F65D">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匹配学校干部/部门考核方案，支持自定义测评指标、测评维度、测评权重、测评关系等信息，并提供干部考核填报、群众测评、正职互评、领导测评、测评结果计算、测评过程监控等功能，实现干部/部门考核全流程线上化。</w:t>
            </w:r>
          </w:p>
        </w:tc>
      </w:tr>
      <w:tr w14:paraId="2700BFF4">
        <w:tblPrEx>
          <w:tblCellMar>
            <w:top w:w="0" w:type="dxa"/>
            <w:left w:w="108" w:type="dxa"/>
            <w:bottom w:w="0" w:type="dxa"/>
            <w:right w:w="108" w:type="dxa"/>
          </w:tblCellMar>
        </w:tblPrEx>
        <w:trPr>
          <w:trHeight w:val="295" w:hRule="atLeast"/>
        </w:trPr>
        <w:tc>
          <w:tcPr>
            <w:tcW w:w="762" w:type="dxa"/>
            <w:tcBorders>
              <w:left w:val="single" w:color="auto" w:sz="4" w:space="0"/>
              <w:right w:val="single" w:color="auto" w:sz="4" w:space="0"/>
            </w:tcBorders>
            <w:shd w:val="clear" w:color="auto" w:fill="auto"/>
            <w:vAlign w:val="center"/>
          </w:tcPr>
          <w:p w14:paraId="00EB16E0">
            <w:pPr>
              <w:widowControl/>
              <w:ind w:firstLine="0" w:firstLineChars="0"/>
              <w:jc w:val="center"/>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39</w:t>
            </w:r>
          </w:p>
        </w:tc>
        <w:tc>
          <w:tcPr>
            <w:tcW w:w="1550" w:type="dxa"/>
            <w:vMerge w:val="continue"/>
            <w:tcBorders>
              <w:left w:val="single" w:color="auto" w:sz="4" w:space="0"/>
              <w:right w:val="single" w:color="auto" w:sz="4" w:space="0"/>
            </w:tcBorders>
            <w:shd w:val="clear" w:color="auto" w:fill="auto"/>
            <w:vAlign w:val="center"/>
          </w:tcPr>
          <w:p w14:paraId="55D934C3">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14:paraId="08CA0F2F">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干部培训学时统计</w:t>
            </w:r>
          </w:p>
        </w:tc>
        <w:tc>
          <w:tcPr>
            <w:tcW w:w="5337" w:type="dxa"/>
            <w:tcBorders>
              <w:top w:val="single" w:color="auto" w:sz="4" w:space="0"/>
              <w:left w:val="single" w:color="auto" w:sz="4" w:space="0"/>
              <w:bottom w:val="single" w:color="auto" w:sz="4" w:space="0"/>
              <w:right w:val="single" w:color="auto" w:sz="4" w:space="0"/>
            </w:tcBorders>
            <w:shd w:val="clear" w:color="auto" w:fill="auto"/>
            <w:vAlign w:val="center"/>
          </w:tcPr>
          <w:p w14:paraId="4AB5440F">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用于记录和管理干部参加各类培训的学习时长和学时统计，可以实时查看每位干部的培训学习情况，包括已完成学时、未完成学时和总学时等信息。支持导入培训数据、生成学时统计报表和汇总分析，为干部培训管理提供数据支持</w:t>
            </w:r>
          </w:p>
        </w:tc>
      </w:tr>
      <w:tr w14:paraId="0B1394E9">
        <w:tblPrEx>
          <w:tblCellMar>
            <w:top w:w="0" w:type="dxa"/>
            <w:left w:w="108" w:type="dxa"/>
            <w:bottom w:w="0" w:type="dxa"/>
            <w:right w:w="108" w:type="dxa"/>
          </w:tblCellMar>
        </w:tblPrEx>
        <w:trPr>
          <w:trHeight w:val="295" w:hRule="atLeast"/>
        </w:trPr>
        <w:tc>
          <w:tcPr>
            <w:tcW w:w="762" w:type="dxa"/>
            <w:tcBorders>
              <w:left w:val="single" w:color="auto" w:sz="4" w:space="0"/>
              <w:right w:val="single" w:color="auto" w:sz="4" w:space="0"/>
            </w:tcBorders>
            <w:shd w:val="clear" w:color="auto" w:fill="auto"/>
            <w:vAlign w:val="center"/>
          </w:tcPr>
          <w:p w14:paraId="62D0B893">
            <w:pPr>
              <w:widowControl/>
              <w:ind w:firstLine="0" w:firstLineChars="0"/>
              <w:jc w:val="center"/>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40</w:t>
            </w:r>
          </w:p>
        </w:tc>
        <w:tc>
          <w:tcPr>
            <w:tcW w:w="1550" w:type="dxa"/>
            <w:vMerge w:val="continue"/>
            <w:tcBorders>
              <w:left w:val="single" w:color="auto" w:sz="4" w:space="0"/>
              <w:right w:val="single" w:color="auto" w:sz="4" w:space="0"/>
            </w:tcBorders>
            <w:shd w:val="clear" w:color="auto" w:fill="auto"/>
            <w:vAlign w:val="center"/>
          </w:tcPr>
          <w:p w14:paraId="7C45BD6F">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14:paraId="1A8149F5">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干部请假</w:t>
            </w:r>
          </w:p>
        </w:tc>
        <w:tc>
          <w:tcPr>
            <w:tcW w:w="5337" w:type="dxa"/>
            <w:tcBorders>
              <w:top w:val="single" w:color="auto" w:sz="4" w:space="0"/>
              <w:left w:val="single" w:color="auto" w:sz="4" w:space="0"/>
              <w:bottom w:val="single" w:color="auto" w:sz="4" w:space="0"/>
              <w:right w:val="single" w:color="auto" w:sz="4" w:space="0"/>
            </w:tcBorders>
            <w:shd w:val="clear" w:color="auto" w:fill="auto"/>
            <w:vAlign w:val="center"/>
          </w:tcPr>
          <w:p w14:paraId="6CFEEE94">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用于干部请假申请和审批流程的管理。，部可以通过系统提交请假申请，填写请假事由、请假时间和联系方式等信息。领导或管理员可以在系统中审批请假申请，包括批准、驳回或修改请假记录等操作。</w:t>
            </w:r>
          </w:p>
        </w:tc>
      </w:tr>
      <w:tr w14:paraId="2A7C0825">
        <w:tblPrEx>
          <w:tblCellMar>
            <w:top w:w="0" w:type="dxa"/>
            <w:left w:w="108" w:type="dxa"/>
            <w:bottom w:w="0" w:type="dxa"/>
            <w:right w:w="108" w:type="dxa"/>
          </w:tblCellMar>
        </w:tblPrEx>
        <w:trPr>
          <w:trHeight w:val="295" w:hRule="atLeast"/>
        </w:trPr>
        <w:tc>
          <w:tcPr>
            <w:tcW w:w="762" w:type="dxa"/>
            <w:tcBorders>
              <w:left w:val="single" w:color="auto" w:sz="4" w:space="0"/>
              <w:right w:val="single" w:color="auto" w:sz="4" w:space="0"/>
            </w:tcBorders>
            <w:shd w:val="clear" w:color="auto" w:fill="auto"/>
            <w:vAlign w:val="center"/>
          </w:tcPr>
          <w:p w14:paraId="09446CEA">
            <w:pPr>
              <w:widowControl/>
              <w:ind w:firstLine="0" w:firstLineChars="0"/>
              <w:jc w:val="center"/>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41</w:t>
            </w:r>
          </w:p>
        </w:tc>
        <w:tc>
          <w:tcPr>
            <w:tcW w:w="1550" w:type="dxa"/>
            <w:vMerge w:val="continue"/>
            <w:tcBorders>
              <w:left w:val="single" w:color="auto" w:sz="4" w:space="0"/>
              <w:right w:val="single" w:color="auto" w:sz="4" w:space="0"/>
            </w:tcBorders>
            <w:shd w:val="clear" w:color="auto" w:fill="auto"/>
            <w:vAlign w:val="center"/>
          </w:tcPr>
          <w:p w14:paraId="2112FE50">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14:paraId="70B30A77">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干部请示报告</w:t>
            </w:r>
          </w:p>
        </w:tc>
        <w:tc>
          <w:tcPr>
            <w:tcW w:w="5337" w:type="dxa"/>
            <w:tcBorders>
              <w:top w:val="single" w:color="auto" w:sz="4" w:space="0"/>
              <w:left w:val="single" w:color="auto" w:sz="4" w:space="0"/>
              <w:bottom w:val="single" w:color="auto" w:sz="4" w:space="0"/>
              <w:right w:val="single" w:color="auto" w:sz="4" w:space="0"/>
            </w:tcBorders>
            <w:shd w:val="clear" w:color="auto" w:fill="auto"/>
            <w:vAlign w:val="center"/>
          </w:tcPr>
          <w:p w14:paraId="1FA57B68">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用于干部提交请示或报告相关事项的流程管理，干部可以通过系统提交请示报告，包括报告内容、目的、计划和预期效果等信息。领导或相关责任人可以在系统中查阅、审阅和回复请示报告，保障干部工作顺畅开展。</w:t>
            </w:r>
          </w:p>
        </w:tc>
      </w:tr>
      <w:tr w14:paraId="1E43142A">
        <w:tblPrEx>
          <w:tblCellMar>
            <w:top w:w="0" w:type="dxa"/>
            <w:left w:w="108" w:type="dxa"/>
            <w:bottom w:w="0" w:type="dxa"/>
            <w:right w:w="108" w:type="dxa"/>
          </w:tblCellMar>
        </w:tblPrEx>
        <w:trPr>
          <w:trHeight w:val="311" w:hRule="atLeast"/>
        </w:trPr>
        <w:tc>
          <w:tcPr>
            <w:tcW w:w="762" w:type="dxa"/>
            <w:tcBorders>
              <w:left w:val="single" w:color="auto" w:sz="4" w:space="0"/>
              <w:bottom w:val="single" w:color="auto" w:sz="4" w:space="0"/>
              <w:right w:val="single" w:color="auto" w:sz="4" w:space="0"/>
            </w:tcBorders>
            <w:shd w:val="clear" w:color="auto" w:fill="auto"/>
            <w:vAlign w:val="center"/>
          </w:tcPr>
          <w:p w14:paraId="7351323A">
            <w:pPr>
              <w:widowControl/>
              <w:ind w:firstLine="0" w:firstLineChars="0"/>
              <w:jc w:val="center"/>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42</w:t>
            </w:r>
          </w:p>
        </w:tc>
        <w:tc>
          <w:tcPr>
            <w:tcW w:w="1550" w:type="dxa"/>
            <w:vMerge w:val="continue"/>
            <w:tcBorders>
              <w:left w:val="single" w:color="auto" w:sz="4" w:space="0"/>
              <w:bottom w:val="single" w:color="auto" w:sz="4" w:space="0"/>
              <w:right w:val="single" w:color="auto" w:sz="4" w:space="0"/>
            </w:tcBorders>
            <w:shd w:val="clear" w:color="auto" w:fill="auto"/>
            <w:vAlign w:val="center"/>
          </w:tcPr>
          <w:p w14:paraId="0D00E385">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14:paraId="76250FF3">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干部会议签到</w:t>
            </w:r>
          </w:p>
        </w:tc>
        <w:tc>
          <w:tcPr>
            <w:tcW w:w="5337" w:type="dxa"/>
            <w:tcBorders>
              <w:top w:val="single" w:color="auto" w:sz="4" w:space="0"/>
              <w:left w:val="single" w:color="auto" w:sz="4" w:space="0"/>
              <w:bottom w:val="single" w:color="auto" w:sz="4" w:space="0"/>
              <w:right w:val="single" w:color="auto" w:sz="4" w:space="0"/>
            </w:tcBorders>
            <w:shd w:val="clear" w:color="auto" w:fill="auto"/>
            <w:vAlign w:val="center"/>
          </w:tcPr>
          <w:p w14:paraId="06E1C4AF">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实现干部参加会议时的签到管理和记录，干部可以通过系统进行会议签到，记录参会人员、到场时间和会议主题等信息。系统能够生成会议签到表和统计签到情况，为会议组织和管理提供参考和便利。</w:t>
            </w:r>
          </w:p>
        </w:tc>
      </w:tr>
      <w:tr w14:paraId="4CE82622">
        <w:tblPrEx>
          <w:tblCellMar>
            <w:top w:w="0" w:type="dxa"/>
            <w:left w:w="108" w:type="dxa"/>
            <w:bottom w:w="0" w:type="dxa"/>
            <w:right w:w="108" w:type="dxa"/>
          </w:tblCellMar>
        </w:tblPrEx>
        <w:trPr>
          <w:trHeight w:val="388" w:hRule="atLeast"/>
        </w:trPr>
        <w:tc>
          <w:tcPr>
            <w:tcW w:w="762" w:type="dxa"/>
            <w:tcBorders>
              <w:top w:val="single" w:color="auto" w:sz="4" w:space="0"/>
              <w:left w:val="single" w:color="auto" w:sz="4" w:space="0"/>
              <w:bottom w:val="single" w:color="auto" w:sz="4" w:space="0"/>
              <w:right w:val="single" w:color="auto" w:sz="4" w:space="0"/>
            </w:tcBorders>
            <w:shd w:val="clear" w:color="auto" w:fill="auto"/>
            <w:vAlign w:val="center"/>
          </w:tcPr>
          <w:p w14:paraId="0E6957A4">
            <w:pPr>
              <w:widowControl/>
              <w:ind w:firstLine="0" w:firstLineChars="0"/>
              <w:jc w:val="center"/>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43</w:t>
            </w:r>
          </w:p>
        </w:tc>
        <w:tc>
          <w:tcPr>
            <w:tcW w:w="15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A53F3E2">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统战管理系统</w:t>
            </w: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14:paraId="01C025FB">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统战组织管理</w:t>
            </w:r>
          </w:p>
        </w:tc>
        <w:tc>
          <w:tcPr>
            <w:tcW w:w="5337" w:type="dxa"/>
            <w:tcBorders>
              <w:top w:val="single" w:color="auto" w:sz="4" w:space="0"/>
              <w:left w:val="single" w:color="auto" w:sz="4" w:space="0"/>
              <w:bottom w:val="single" w:color="auto" w:sz="4" w:space="0"/>
              <w:right w:val="single" w:color="auto" w:sz="4" w:space="0"/>
            </w:tcBorders>
            <w:shd w:val="clear" w:color="auto" w:fill="auto"/>
            <w:vAlign w:val="center"/>
          </w:tcPr>
          <w:p w14:paraId="437DD1D8">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可以对统战组织进行管理，包括各级统战子机构的新增、撤销、合并、改名等，形成学校完整的统战组织结构图；可以对组织信息进行维护。</w:t>
            </w:r>
          </w:p>
        </w:tc>
      </w:tr>
      <w:tr w14:paraId="075D759C">
        <w:tblPrEx>
          <w:tblCellMar>
            <w:top w:w="0" w:type="dxa"/>
            <w:left w:w="108" w:type="dxa"/>
            <w:bottom w:w="0" w:type="dxa"/>
            <w:right w:w="108" w:type="dxa"/>
          </w:tblCellMar>
        </w:tblPrEx>
        <w:trPr>
          <w:trHeight w:val="339" w:hRule="atLeast"/>
        </w:trPr>
        <w:tc>
          <w:tcPr>
            <w:tcW w:w="762" w:type="dxa"/>
            <w:tcBorders>
              <w:top w:val="single" w:color="auto" w:sz="4" w:space="0"/>
              <w:left w:val="single" w:color="auto" w:sz="4" w:space="0"/>
              <w:bottom w:val="single" w:color="auto" w:sz="4" w:space="0"/>
              <w:right w:val="single" w:color="auto" w:sz="4" w:space="0"/>
            </w:tcBorders>
            <w:shd w:val="clear" w:color="auto" w:fill="auto"/>
            <w:vAlign w:val="center"/>
          </w:tcPr>
          <w:p w14:paraId="010BCEF5">
            <w:pPr>
              <w:widowControl/>
              <w:ind w:firstLine="0" w:firstLineChars="0"/>
              <w:jc w:val="center"/>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44</w:t>
            </w:r>
          </w:p>
        </w:tc>
        <w:tc>
          <w:tcPr>
            <w:tcW w:w="15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D0F2FFF">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14:paraId="0AB11CD0">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统战人员信息管理</w:t>
            </w:r>
          </w:p>
        </w:tc>
        <w:tc>
          <w:tcPr>
            <w:tcW w:w="5337" w:type="dxa"/>
            <w:tcBorders>
              <w:top w:val="single" w:color="auto" w:sz="4" w:space="0"/>
              <w:left w:val="single" w:color="auto" w:sz="4" w:space="0"/>
              <w:bottom w:val="single" w:color="auto" w:sz="4" w:space="0"/>
              <w:right w:val="single" w:color="auto" w:sz="4" w:space="0"/>
            </w:tcBorders>
            <w:shd w:val="clear" w:color="auto" w:fill="auto"/>
            <w:vAlign w:val="center"/>
          </w:tcPr>
          <w:p w14:paraId="47AB07F7">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建立学校统一的统战人士信息库，包括民主党派成员，无党派人士，党外知识分子，少数民族人士，宗教界人士，非公有制经济人士，新的社会阶层人士，出国和归国留学人员，香港同胞、澳门同胞，台湾同胞等</w:t>
            </w:r>
          </w:p>
        </w:tc>
      </w:tr>
      <w:tr w14:paraId="225E75E4">
        <w:tblPrEx>
          <w:tblCellMar>
            <w:top w:w="0" w:type="dxa"/>
            <w:left w:w="108" w:type="dxa"/>
            <w:bottom w:w="0" w:type="dxa"/>
            <w:right w:w="108" w:type="dxa"/>
          </w:tblCellMar>
        </w:tblPrEx>
        <w:trPr>
          <w:trHeight w:val="295" w:hRule="atLeast"/>
        </w:trPr>
        <w:tc>
          <w:tcPr>
            <w:tcW w:w="762" w:type="dxa"/>
            <w:tcBorders>
              <w:top w:val="single" w:color="auto" w:sz="4" w:space="0"/>
              <w:left w:val="single" w:color="auto" w:sz="4" w:space="0"/>
              <w:bottom w:val="single" w:color="auto" w:sz="4" w:space="0"/>
              <w:right w:val="single" w:color="auto" w:sz="4" w:space="0"/>
            </w:tcBorders>
            <w:shd w:val="clear" w:color="auto" w:fill="auto"/>
            <w:vAlign w:val="center"/>
          </w:tcPr>
          <w:p w14:paraId="2775A436">
            <w:pPr>
              <w:widowControl/>
              <w:ind w:firstLine="0" w:firstLineChars="0"/>
              <w:jc w:val="center"/>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45</w:t>
            </w:r>
          </w:p>
        </w:tc>
        <w:tc>
          <w:tcPr>
            <w:tcW w:w="15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7296A7B">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14:paraId="3AE6D9BC">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统计查询</w:t>
            </w:r>
          </w:p>
        </w:tc>
        <w:tc>
          <w:tcPr>
            <w:tcW w:w="5337" w:type="dxa"/>
            <w:tcBorders>
              <w:top w:val="single" w:color="auto" w:sz="4" w:space="0"/>
              <w:left w:val="single" w:color="auto" w:sz="4" w:space="0"/>
              <w:bottom w:val="single" w:color="auto" w:sz="4" w:space="0"/>
              <w:right w:val="single" w:color="auto" w:sz="4" w:space="0"/>
            </w:tcBorders>
            <w:shd w:val="clear" w:color="auto" w:fill="auto"/>
            <w:vAlign w:val="center"/>
          </w:tcPr>
          <w:p w14:paraId="453BCE19">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统战对象数据库全方位采集录入了12类工作对象和统战干部队伍的基本情况和基础信息,实现了动态最新管理,建成统一战线标准化大数据库。通过对统战对象数据库的数据进行大数据分析，为领导提供辅助决策支持功能等</w:t>
            </w:r>
          </w:p>
        </w:tc>
      </w:tr>
      <w:tr w14:paraId="25CF23BC">
        <w:tblPrEx>
          <w:tblCellMar>
            <w:top w:w="0" w:type="dxa"/>
            <w:left w:w="108" w:type="dxa"/>
            <w:bottom w:w="0" w:type="dxa"/>
            <w:right w:w="108" w:type="dxa"/>
          </w:tblCellMar>
        </w:tblPrEx>
        <w:trPr>
          <w:trHeight w:val="369" w:hRule="atLeast"/>
        </w:trPr>
        <w:tc>
          <w:tcPr>
            <w:tcW w:w="762" w:type="dxa"/>
            <w:tcBorders>
              <w:top w:val="single" w:color="auto" w:sz="4" w:space="0"/>
              <w:left w:val="single" w:color="auto" w:sz="4" w:space="0"/>
              <w:bottom w:val="single" w:color="auto" w:sz="4" w:space="0"/>
              <w:right w:val="single" w:color="auto" w:sz="4" w:space="0"/>
            </w:tcBorders>
            <w:shd w:val="clear" w:color="auto" w:fill="auto"/>
            <w:vAlign w:val="center"/>
          </w:tcPr>
          <w:p w14:paraId="1CDD7962">
            <w:pPr>
              <w:widowControl/>
              <w:ind w:firstLine="0" w:firstLineChars="0"/>
              <w:jc w:val="center"/>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46</w:t>
            </w:r>
          </w:p>
        </w:tc>
        <w:tc>
          <w:tcPr>
            <w:tcW w:w="15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7865800">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移动服务</w:t>
            </w: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14:paraId="77EAE910">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人事移动服务</w:t>
            </w:r>
          </w:p>
        </w:tc>
        <w:tc>
          <w:tcPr>
            <w:tcW w:w="5337" w:type="dxa"/>
            <w:tcBorders>
              <w:top w:val="single" w:color="auto" w:sz="4" w:space="0"/>
              <w:left w:val="single" w:color="auto" w:sz="4" w:space="0"/>
              <w:bottom w:val="single" w:color="auto" w:sz="4" w:space="0"/>
              <w:right w:val="single" w:color="auto" w:sz="4" w:space="0"/>
            </w:tcBorders>
            <w:shd w:val="clear" w:color="auto" w:fill="auto"/>
            <w:vAlign w:val="center"/>
          </w:tcPr>
          <w:p w14:paraId="09FC0EC4">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教职工对自己各维度数据进行查询，可对人事、科研、教学、资产等数据进行查询。</w:t>
            </w:r>
          </w:p>
        </w:tc>
      </w:tr>
      <w:tr w14:paraId="29EB2644">
        <w:tblPrEx>
          <w:tblCellMar>
            <w:top w:w="0" w:type="dxa"/>
            <w:left w:w="108" w:type="dxa"/>
            <w:bottom w:w="0" w:type="dxa"/>
            <w:right w:w="108" w:type="dxa"/>
          </w:tblCellMar>
        </w:tblPrEx>
        <w:trPr>
          <w:trHeight w:val="295" w:hRule="atLeast"/>
        </w:trPr>
        <w:tc>
          <w:tcPr>
            <w:tcW w:w="762" w:type="dxa"/>
            <w:tcBorders>
              <w:top w:val="single" w:color="auto" w:sz="4" w:space="0"/>
              <w:left w:val="single" w:color="auto" w:sz="4" w:space="0"/>
              <w:bottom w:val="single" w:color="auto" w:sz="4" w:space="0"/>
              <w:right w:val="single" w:color="auto" w:sz="4" w:space="0"/>
            </w:tcBorders>
            <w:shd w:val="clear" w:color="auto" w:fill="auto"/>
            <w:vAlign w:val="center"/>
          </w:tcPr>
          <w:p w14:paraId="169AB56C">
            <w:pPr>
              <w:widowControl/>
              <w:ind w:firstLine="0" w:firstLineChars="0"/>
              <w:jc w:val="center"/>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47</w:t>
            </w:r>
          </w:p>
        </w:tc>
        <w:tc>
          <w:tcPr>
            <w:tcW w:w="15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82EA6B5">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14:paraId="40BE499E">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移动招聘</w:t>
            </w:r>
          </w:p>
        </w:tc>
        <w:tc>
          <w:tcPr>
            <w:tcW w:w="5337" w:type="dxa"/>
            <w:tcBorders>
              <w:top w:val="single" w:color="auto" w:sz="4" w:space="0"/>
              <w:left w:val="single" w:color="auto" w:sz="4" w:space="0"/>
              <w:bottom w:val="single" w:color="auto" w:sz="4" w:space="0"/>
              <w:right w:val="single" w:color="auto" w:sz="4" w:space="0"/>
            </w:tcBorders>
            <w:shd w:val="clear" w:color="auto" w:fill="auto"/>
            <w:vAlign w:val="center"/>
          </w:tcPr>
          <w:p w14:paraId="5F1B0066">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提供教职工关键业务申报、数据自动填报和数据审核服务。</w:t>
            </w:r>
          </w:p>
        </w:tc>
      </w:tr>
      <w:tr w14:paraId="704B31CC">
        <w:tblPrEx>
          <w:tblCellMar>
            <w:top w:w="0" w:type="dxa"/>
            <w:left w:w="108" w:type="dxa"/>
            <w:bottom w:w="0" w:type="dxa"/>
            <w:right w:w="108" w:type="dxa"/>
          </w:tblCellMar>
        </w:tblPrEx>
        <w:trPr>
          <w:trHeight w:val="369" w:hRule="atLeast"/>
        </w:trPr>
        <w:tc>
          <w:tcPr>
            <w:tcW w:w="762" w:type="dxa"/>
            <w:tcBorders>
              <w:top w:val="single" w:color="auto" w:sz="4" w:space="0"/>
              <w:left w:val="single" w:color="auto" w:sz="4" w:space="0"/>
              <w:bottom w:val="single" w:color="auto" w:sz="4" w:space="0"/>
              <w:right w:val="single" w:color="auto" w:sz="4" w:space="0"/>
            </w:tcBorders>
            <w:shd w:val="clear" w:color="auto" w:fill="auto"/>
            <w:vAlign w:val="center"/>
          </w:tcPr>
          <w:p w14:paraId="3D27D70B">
            <w:pPr>
              <w:widowControl/>
              <w:ind w:firstLine="0" w:firstLineChars="0"/>
              <w:jc w:val="center"/>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48</w:t>
            </w:r>
          </w:p>
        </w:tc>
        <w:tc>
          <w:tcPr>
            <w:tcW w:w="15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C71A0C1">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教职工服务与应用</w:t>
            </w: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14:paraId="6E30EB32">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信息查询服务</w:t>
            </w:r>
          </w:p>
        </w:tc>
        <w:tc>
          <w:tcPr>
            <w:tcW w:w="5337" w:type="dxa"/>
            <w:tcBorders>
              <w:top w:val="single" w:color="auto" w:sz="4" w:space="0"/>
              <w:left w:val="single" w:color="auto" w:sz="4" w:space="0"/>
              <w:bottom w:val="single" w:color="auto" w:sz="4" w:space="0"/>
              <w:right w:val="single" w:color="auto" w:sz="4" w:space="0"/>
            </w:tcBorders>
            <w:shd w:val="clear" w:color="auto" w:fill="auto"/>
            <w:vAlign w:val="center"/>
          </w:tcPr>
          <w:p w14:paraId="65BBCA42">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满足教职工办理贷款、购房、子女入学、出国签证等多种证明打印申请流程需求。为教职工提供出国证明、在校证明、收入证明等模板下载，以及打印申请功能，管理部门可及时收到打印申请审批并打印。</w:t>
            </w:r>
          </w:p>
        </w:tc>
      </w:tr>
      <w:tr w14:paraId="15CB3F72">
        <w:tblPrEx>
          <w:tblCellMar>
            <w:top w:w="0" w:type="dxa"/>
            <w:left w:w="108" w:type="dxa"/>
            <w:bottom w:w="0" w:type="dxa"/>
            <w:right w:w="108" w:type="dxa"/>
          </w:tblCellMar>
        </w:tblPrEx>
        <w:trPr>
          <w:trHeight w:val="295" w:hRule="atLeast"/>
        </w:trPr>
        <w:tc>
          <w:tcPr>
            <w:tcW w:w="762" w:type="dxa"/>
            <w:tcBorders>
              <w:top w:val="single" w:color="auto" w:sz="4" w:space="0"/>
              <w:left w:val="single" w:color="auto" w:sz="4" w:space="0"/>
              <w:bottom w:val="single" w:color="auto" w:sz="4" w:space="0"/>
              <w:right w:val="single" w:color="auto" w:sz="4" w:space="0"/>
            </w:tcBorders>
            <w:shd w:val="clear" w:color="auto" w:fill="auto"/>
            <w:vAlign w:val="center"/>
          </w:tcPr>
          <w:p w14:paraId="0FC24790">
            <w:pPr>
              <w:widowControl/>
              <w:ind w:firstLine="0" w:firstLineChars="0"/>
              <w:jc w:val="center"/>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49</w:t>
            </w:r>
          </w:p>
        </w:tc>
        <w:tc>
          <w:tcPr>
            <w:tcW w:w="15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B401AE2">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14:paraId="55541316">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业务申报服务</w:t>
            </w:r>
          </w:p>
        </w:tc>
        <w:tc>
          <w:tcPr>
            <w:tcW w:w="5337" w:type="dxa"/>
            <w:tcBorders>
              <w:top w:val="single" w:color="auto" w:sz="4" w:space="0"/>
              <w:left w:val="single" w:color="auto" w:sz="4" w:space="0"/>
              <w:bottom w:val="single" w:color="auto" w:sz="4" w:space="0"/>
              <w:right w:val="single" w:color="auto" w:sz="4" w:space="0"/>
            </w:tcBorders>
            <w:shd w:val="clear" w:color="auto" w:fill="auto"/>
            <w:vAlign w:val="center"/>
          </w:tcPr>
          <w:p w14:paraId="156D1BAC">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系统支持将与教职工相关的日常化的服务与功能细粒度化后，通过H5界面集成到学校统一的微信服务平台（企业号、服务号等）或手机APP，实现移动化服务，不同角色有着不同的移动桌面和权限。</w:t>
            </w:r>
          </w:p>
        </w:tc>
      </w:tr>
      <w:tr w14:paraId="769BF7A0">
        <w:tblPrEx>
          <w:tblCellMar>
            <w:top w:w="0" w:type="dxa"/>
            <w:left w:w="108" w:type="dxa"/>
            <w:bottom w:w="0" w:type="dxa"/>
            <w:right w:w="108" w:type="dxa"/>
          </w:tblCellMar>
        </w:tblPrEx>
        <w:trPr>
          <w:trHeight w:val="295" w:hRule="atLeast"/>
        </w:trPr>
        <w:tc>
          <w:tcPr>
            <w:tcW w:w="762" w:type="dxa"/>
            <w:tcBorders>
              <w:top w:val="single" w:color="auto" w:sz="4" w:space="0"/>
              <w:left w:val="single" w:color="auto" w:sz="4" w:space="0"/>
              <w:bottom w:val="single" w:color="auto" w:sz="4" w:space="0"/>
              <w:right w:val="single" w:color="auto" w:sz="4" w:space="0"/>
            </w:tcBorders>
            <w:shd w:val="clear" w:color="auto" w:fill="auto"/>
            <w:vAlign w:val="center"/>
          </w:tcPr>
          <w:p w14:paraId="314DC777">
            <w:pPr>
              <w:widowControl/>
              <w:ind w:firstLine="0" w:firstLineChars="0"/>
              <w:jc w:val="center"/>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50</w:t>
            </w:r>
          </w:p>
        </w:tc>
        <w:tc>
          <w:tcPr>
            <w:tcW w:w="15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FE9EBE9">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14:paraId="1C0C0EA8">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证明打印</w:t>
            </w:r>
          </w:p>
        </w:tc>
        <w:tc>
          <w:tcPr>
            <w:tcW w:w="5337" w:type="dxa"/>
            <w:tcBorders>
              <w:top w:val="single" w:color="auto" w:sz="4" w:space="0"/>
              <w:left w:val="single" w:color="auto" w:sz="4" w:space="0"/>
              <w:bottom w:val="single" w:color="auto" w:sz="4" w:space="0"/>
              <w:right w:val="single" w:color="auto" w:sz="4" w:space="0"/>
            </w:tcBorders>
            <w:shd w:val="clear" w:color="auto" w:fill="auto"/>
            <w:vAlign w:val="center"/>
          </w:tcPr>
          <w:p w14:paraId="159B01AD">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系统支持移动招聘，通过H5界面集成到学校统一的微信平台或手机APP。</w:t>
            </w:r>
          </w:p>
        </w:tc>
      </w:tr>
      <w:tr w14:paraId="0375325D">
        <w:tblPrEx>
          <w:tblCellMar>
            <w:top w:w="0" w:type="dxa"/>
            <w:left w:w="108" w:type="dxa"/>
            <w:bottom w:w="0" w:type="dxa"/>
            <w:right w:w="108" w:type="dxa"/>
          </w:tblCellMar>
        </w:tblPrEx>
        <w:trPr>
          <w:trHeight w:val="350" w:hRule="atLeast"/>
        </w:trPr>
        <w:tc>
          <w:tcPr>
            <w:tcW w:w="762" w:type="dxa"/>
            <w:tcBorders>
              <w:top w:val="single" w:color="auto" w:sz="4" w:space="0"/>
              <w:left w:val="single" w:color="auto" w:sz="4" w:space="0"/>
              <w:bottom w:val="single" w:color="auto" w:sz="4" w:space="0"/>
              <w:right w:val="single" w:color="auto" w:sz="4" w:space="0"/>
            </w:tcBorders>
            <w:shd w:val="clear" w:color="auto" w:fill="auto"/>
            <w:vAlign w:val="center"/>
          </w:tcPr>
          <w:p w14:paraId="5877B4A7">
            <w:pPr>
              <w:widowControl/>
              <w:ind w:firstLine="0" w:firstLineChars="0"/>
              <w:jc w:val="center"/>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51</w:t>
            </w:r>
          </w:p>
        </w:tc>
        <w:tc>
          <w:tcPr>
            <w:tcW w:w="15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35A4A81">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系统集成</w:t>
            </w: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14:paraId="39E8F68E">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统一身份认证</w:t>
            </w:r>
          </w:p>
        </w:tc>
        <w:tc>
          <w:tcPr>
            <w:tcW w:w="5337" w:type="dxa"/>
            <w:tcBorders>
              <w:top w:val="single" w:color="auto" w:sz="4" w:space="0"/>
              <w:left w:val="single" w:color="auto" w:sz="4" w:space="0"/>
              <w:bottom w:val="single" w:color="auto" w:sz="4" w:space="0"/>
              <w:right w:val="single" w:color="auto" w:sz="4" w:space="0"/>
            </w:tcBorders>
            <w:shd w:val="clear" w:color="auto" w:fill="auto"/>
            <w:vAlign w:val="center"/>
          </w:tcPr>
          <w:p w14:paraId="39476833">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实现系统与学校统一身份认证的集成，实现单点登录。</w:t>
            </w:r>
          </w:p>
        </w:tc>
      </w:tr>
      <w:tr w14:paraId="5FDA39F4">
        <w:tblPrEx>
          <w:tblCellMar>
            <w:top w:w="0" w:type="dxa"/>
            <w:left w:w="108" w:type="dxa"/>
            <w:bottom w:w="0" w:type="dxa"/>
            <w:right w:w="108" w:type="dxa"/>
          </w:tblCellMar>
        </w:tblPrEx>
        <w:trPr>
          <w:trHeight w:val="295" w:hRule="atLeast"/>
        </w:trPr>
        <w:tc>
          <w:tcPr>
            <w:tcW w:w="762" w:type="dxa"/>
            <w:tcBorders>
              <w:top w:val="single" w:color="auto" w:sz="4" w:space="0"/>
              <w:left w:val="single" w:color="auto" w:sz="4" w:space="0"/>
              <w:bottom w:val="single" w:color="auto" w:sz="4" w:space="0"/>
              <w:right w:val="single" w:color="auto" w:sz="4" w:space="0"/>
            </w:tcBorders>
            <w:shd w:val="clear" w:color="auto" w:fill="auto"/>
            <w:vAlign w:val="center"/>
          </w:tcPr>
          <w:p w14:paraId="4219D85A">
            <w:pPr>
              <w:widowControl/>
              <w:ind w:firstLine="0" w:firstLineChars="0"/>
              <w:jc w:val="center"/>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52</w:t>
            </w:r>
          </w:p>
        </w:tc>
        <w:tc>
          <w:tcPr>
            <w:tcW w:w="15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48DC1DE">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14:paraId="7D53654B">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融合一体化服务平台集成</w:t>
            </w:r>
          </w:p>
        </w:tc>
        <w:tc>
          <w:tcPr>
            <w:tcW w:w="5337" w:type="dxa"/>
            <w:tcBorders>
              <w:top w:val="single" w:color="auto" w:sz="4" w:space="0"/>
              <w:left w:val="single" w:color="auto" w:sz="4" w:space="0"/>
              <w:bottom w:val="single" w:color="auto" w:sz="4" w:space="0"/>
              <w:right w:val="single" w:color="auto" w:sz="4" w:space="0"/>
            </w:tcBorders>
            <w:shd w:val="clear" w:color="auto" w:fill="auto"/>
            <w:vAlign w:val="center"/>
          </w:tcPr>
          <w:p w14:paraId="0361F3FF">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将人事服务以URL访问地址的方式，集成到学校统一服务大厅，实现一站式服务管理。实现人事系统的待办事项提醒与融合一体化服务平台待办中心集成，实现人事系统的消息提醒与融合一体化服务平台消息中心集成。</w:t>
            </w:r>
          </w:p>
        </w:tc>
      </w:tr>
      <w:tr w14:paraId="74458FCF">
        <w:tblPrEx>
          <w:tblCellMar>
            <w:top w:w="0" w:type="dxa"/>
            <w:left w:w="108" w:type="dxa"/>
            <w:bottom w:w="0" w:type="dxa"/>
            <w:right w:w="108" w:type="dxa"/>
          </w:tblCellMar>
        </w:tblPrEx>
        <w:trPr>
          <w:trHeight w:val="295" w:hRule="atLeast"/>
        </w:trPr>
        <w:tc>
          <w:tcPr>
            <w:tcW w:w="762" w:type="dxa"/>
            <w:tcBorders>
              <w:top w:val="single" w:color="auto" w:sz="4" w:space="0"/>
              <w:left w:val="single" w:color="auto" w:sz="4" w:space="0"/>
              <w:bottom w:val="single" w:color="auto" w:sz="4" w:space="0"/>
              <w:right w:val="single" w:color="auto" w:sz="4" w:space="0"/>
            </w:tcBorders>
            <w:shd w:val="clear" w:color="auto" w:fill="auto"/>
            <w:vAlign w:val="center"/>
          </w:tcPr>
          <w:p w14:paraId="51EE27F2">
            <w:pPr>
              <w:widowControl/>
              <w:ind w:firstLine="0" w:firstLineChars="0"/>
              <w:jc w:val="center"/>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53</w:t>
            </w:r>
          </w:p>
        </w:tc>
        <w:tc>
          <w:tcPr>
            <w:tcW w:w="15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87F54BE">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14:paraId="07E2D119">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数据集成</w:t>
            </w:r>
          </w:p>
        </w:tc>
        <w:tc>
          <w:tcPr>
            <w:tcW w:w="5337" w:type="dxa"/>
            <w:tcBorders>
              <w:top w:val="single" w:color="auto" w:sz="4" w:space="0"/>
              <w:left w:val="single" w:color="auto" w:sz="4" w:space="0"/>
              <w:bottom w:val="single" w:color="auto" w:sz="4" w:space="0"/>
              <w:right w:val="single" w:color="auto" w:sz="4" w:space="0"/>
            </w:tcBorders>
            <w:shd w:val="clear" w:color="auto" w:fill="auto"/>
            <w:vAlign w:val="center"/>
          </w:tcPr>
          <w:p w14:paraId="237C57EB">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实现系统与学校统一基础数据中心或科研、教务等业务系统的集成，实现数据的相互对接和交换，实现信息共享。</w:t>
            </w:r>
          </w:p>
        </w:tc>
      </w:tr>
      <w:tr w14:paraId="42EF4DA9">
        <w:tblPrEx>
          <w:tblCellMar>
            <w:top w:w="0" w:type="dxa"/>
            <w:left w:w="108" w:type="dxa"/>
            <w:bottom w:w="0" w:type="dxa"/>
            <w:right w:w="108" w:type="dxa"/>
          </w:tblCellMar>
        </w:tblPrEx>
        <w:trPr>
          <w:trHeight w:val="295" w:hRule="atLeast"/>
        </w:trPr>
        <w:tc>
          <w:tcPr>
            <w:tcW w:w="762" w:type="dxa"/>
            <w:tcBorders>
              <w:top w:val="single" w:color="auto" w:sz="4" w:space="0"/>
              <w:left w:val="single" w:color="auto" w:sz="4" w:space="0"/>
              <w:bottom w:val="single" w:color="auto" w:sz="4" w:space="0"/>
              <w:right w:val="single" w:color="auto" w:sz="4" w:space="0"/>
            </w:tcBorders>
            <w:shd w:val="clear" w:color="auto" w:fill="auto"/>
            <w:vAlign w:val="center"/>
          </w:tcPr>
          <w:p w14:paraId="2BAAF64E">
            <w:pPr>
              <w:widowControl/>
              <w:ind w:firstLine="0" w:firstLineChars="0"/>
              <w:jc w:val="center"/>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54</w:t>
            </w:r>
          </w:p>
        </w:tc>
        <w:tc>
          <w:tcPr>
            <w:tcW w:w="15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8B7DCC9">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14:paraId="209DEBAE">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通信平台集成</w:t>
            </w:r>
          </w:p>
        </w:tc>
        <w:tc>
          <w:tcPr>
            <w:tcW w:w="5337" w:type="dxa"/>
            <w:tcBorders>
              <w:top w:val="single" w:color="auto" w:sz="4" w:space="0"/>
              <w:left w:val="single" w:color="auto" w:sz="4" w:space="0"/>
              <w:bottom w:val="single" w:color="auto" w:sz="4" w:space="0"/>
              <w:right w:val="single" w:color="auto" w:sz="4" w:space="0"/>
            </w:tcBorders>
            <w:shd w:val="clear" w:color="auto" w:fill="auto"/>
            <w:vAlign w:val="center"/>
          </w:tcPr>
          <w:p w14:paraId="656731D3">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实现与短信、邮件等学校统一通信平台的集成，让教职工通过短信或邮件方式及时获取信息。</w:t>
            </w:r>
          </w:p>
        </w:tc>
      </w:tr>
      <w:tr w14:paraId="75A3233C">
        <w:tblPrEx>
          <w:tblCellMar>
            <w:top w:w="0" w:type="dxa"/>
            <w:left w:w="108" w:type="dxa"/>
            <w:bottom w:w="0" w:type="dxa"/>
            <w:right w:w="108" w:type="dxa"/>
          </w:tblCellMar>
        </w:tblPrEx>
        <w:trPr>
          <w:trHeight w:val="295" w:hRule="atLeast"/>
        </w:trPr>
        <w:tc>
          <w:tcPr>
            <w:tcW w:w="762" w:type="dxa"/>
            <w:tcBorders>
              <w:top w:val="single" w:color="auto" w:sz="4" w:space="0"/>
              <w:left w:val="single" w:color="auto" w:sz="4" w:space="0"/>
              <w:bottom w:val="single" w:color="auto" w:sz="4" w:space="0"/>
              <w:right w:val="single" w:color="auto" w:sz="4" w:space="0"/>
            </w:tcBorders>
            <w:shd w:val="clear" w:color="auto" w:fill="auto"/>
            <w:vAlign w:val="center"/>
          </w:tcPr>
          <w:p w14:paraId="71831659">
            <w:pPr>
              <w:widowControl/>
              <w:ind w:firstLine="0" w:firstLineChars="0"/>
              <w:jc w:val="center"/>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55</w:t>
            </w:r>
          </w:p>
        </w:tc>
        <w:tc>
          <w:tcPr>
            <w:tcW w:w="15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CFD38E3">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14:paraId="297C2D50">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移动应用集成</w:t>
            </w:r>
          </w:p>
        </w:tc>
        <w:tc>
          <w:tcPr>
            <w:tcW w:w="5337" w:type="dxa"/>
            <w:tcBorders>
              <w:top w:val="single" w:color="auto" w:sz="4" w:space="0"/>
              <w:left w:val="single" w:color="auto" w:sz="4" w:space="0"/>
              <w:bottom w:val="single" w:color="auto" w:sz="4" w:space="0"/>
              <w:right w:val="single" w:color="auto" w:sz="4" w:space="0"/>
            </w:tcBorders>
            <w:shd w:val="clear" w:color="auto" w:fill="auto"/>
            <w:vAlign w:val="center"/>
          </w:tcPr>
          <w:p w14:paraId="1BE32F88">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实现系统与学校官方微信平台的应用集成，实现移动化服务。</w:t>
            </w:r>
          </w:p>
        </w:tc>
      </w:tr>
      <w:tr w14:paraId="0B89A509">
        <w:tblPrEx>
          <w:tblCellMar>
            <w:top w:w="0" w:type="dxa"/>
            <w:left w:w="108" w:type="dxa"/>
            <w:bottom w:w="0" w:type="dxa"/>
            <w:right w:w="108" w:type="dxa"/>
          </w:tblCellMar>
        </w:tblPrEx>
        <w:trPr>
          <w:trHeight w:val="295" w:hRule="atLeast"/>
        </w:trPr>
        <w:tc>
          <w:tcPr>
            <w:tcW w:w="762" w:type="dxa"/>
            <w:tcBorders>
              <w:top w:val="single" w:color="auto" w:sz="4" w:space="0"/>
              <w:left w:val="single" w:color="auto" w:sz="4" w:space="0"/>
              <w:bottom w:val="single" w:color="auto" w:sz="4" w:space="0"/>
              <w:right w:val="single" w:color="auto" w:sz="4" w:space="0"/>
            </w:tcBorders>
            <w:shd w:val="clear" w:color="auto" w:fill="auto"/>
            <w:vAlign w:val="center"/>
          </w:tcPr>
          <w:p w14:paraId="0E8BA2CC">
            <w:pPr>
              <w:widowControl/>
              <w:ind w:firstLine="0" w:firstLineChars="0"/>
              <w:jc w:val="center"/>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56</w:t>
            </w:r>
          </w:p>
        </w:tc>
        <w:tc>
          <w:tcPr>
            <w:tcW w:w="1550" w:type="dxa"/>
            <w:tcBorders>
              <w:top w:val="single" w:color="auto" w:sz="4" w:space="0"/>
              <w:left w:val="single" w:color="auto" w:sz="4" w:space="0"/>
              <w:bottom w:val="single" w:color="auto" w:sz="4" w:space="0"/>
              <w:right w:val="single" w:color="auto" w:sz="4" w:space="0"/>
            </w:tcBorders>
            <w:shd w:val="clear" w:color="auto" w:fill="auto"/>
            <w:vAlign w:val="center"/>
          </w:tcPr>
          <w:p w14:paraId="1DF1121A">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密码应用功能模块开发</w:t>
            </w: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14:paraId="44502671">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密码应用功能模块开发</w:t>
            </w:r>
          </w:p>
        </w:tc>
        <w:tc>
          <w:tcPr>
            <w:tcW w:w="5337" w:type="dxa"/>
            <w:tcBorders>
              <w:top w:val="single" w:color="auto" w:sz="4" w:space="0"/>
              <w:left w:val="single" w:color="auto" w:sz="4" w:space="0"/>
              <w:bottom w:val="single" w:color="auto" w:sz="4" w:space="0"/>
              <w:right w:val="single" w:color="auto" w:sz="4" w:space="0"/>
            </w:tcBorders>
            <w:shd w:val="clear" w:color="auto" w:fill="auto"/>
            <w:vAlign w:val="center"/>
          </w:tcPr>
          <w:p w14:paraId="51DFA354">
            <w:pPr>
              <w:widowControl/>
              <w:ind w:firstLine="0" w:firstLineChars="0"/>
              <w:jc w:val="left"/>
              <w:textAlignment w:val="center"/>
              <w:rPr>
                <w:rFonts w:asciiTheme="minorEastAsia" w:hAnsiTheme="minorEastAsia" w:eastAsiaTheme="minorEastAsia" w:cstheme="minorEastAsia"/>
                <w:color w:val="auto"/>
                <w:kern w:val="0"/>
                <w:sz w:val="22"/>
                <w:szCs w:val="22"/>
                <w:lang w:bidi="ar"/>
              </w:rPr>
            </w:pPr>
            <w:r>
              <w:rPr>
                <w:rFonts w:hint="eastAsia" w:asciiTheme="minorEastAsia" w:hAnsiTheme="minorEastAsia" w:eastAsiaTheme="minorEastAsia" w:cstheme="minorEastAsia"/>
                <w:color w:val="auto"/>
                <w:kern w:val="0"/>
                <w:sz w:val="22"/>
                <w:szCs w:val="22"/>
                <w:lang w:bidi="ar"/>
              </w:rPr>
              <w:t>密码应用功能模块开发</w:t>
            </w:r>
          </w:p>
        </w:tc>
      </w:tr>
    </w:tbl>
    <w:p w14:paraId="4ED54FB6">
      <w:pPr>
        <w:numPr>
          <w:ilvl w:val="0"/>
          <w:numId w:val="5"/>
        </w:numPr>
        <w:ind w:left="0" w:firstLine="482"/>
        <w:rPr>
          <w:b/>
          <w:color w:val="auto"/>
        </w:rPr>
      </w:pPr>
      <w:r>
        <w:rPr>
          <w:rFonts w:hint="eastAsia"/>
          <w:b/>
          <w:color w:val="auto"/>
        </w:rPr>
        <w:t>硬件购置清单：</w:t>
      </w:r>
      <w:r>
        <w:rPr>
          <w:rFonts w:hint="eastAsia"/>
          <w:color w:val="auto"/>
        </w:rPr>
        <w:t>无</w:t>
      </w:r>
    </w:p>
    <w:p w14:paraId="685FE217">
      <w:pPr>
        <w:numPr>
          <w:ilvl w:val="0"/>
          <w:numId w:val="5"/>
        </w:numPr>
        <w:ind w:left="0" w:firstLine="482"/>
        <w:rPr>
          <w:b/>
          <w:color w:val="auto"/>
        </w:rPr>
      </w:pPr>
      <w:r>
        <w:rPr>
          <w:rFonts w:hint="eastAsia"/>
          <w:b/>
          <w:color w:val="auto"/>
        </w:rPr>
        <w:t>产品软件购置清单：</w:t>
      </w:r>
      <w:r>
        <w:rPr>
          <w:rFonts w:hint="eastAsia"/>
          <w:color w:val="auto"/>
        </w:rPr>
        <w:t>无</w:t>
      </w:r>
    </w:p>
    <w:p w14:paraId="4171788D">
      <w:pPr>
        <w:numPr>
          <w:ilvl w:val="0"/>
          <w:numId w:val="5"/>
        </w:numPr>
        <w:ind w:left="0" w:firstLine="482"/>
        <w:rPr>
          <w:b/>
          <w:color w:val="auto"/>
        </w:rPr>
      </w:pPr>
      <w:r>
        <w:rPr>
          <w:rFonts w:hint="eastAsia"/>
          <w:b/>
          <w:color w:val="auto"/>
        </w:rPr>
        <w:t>安全产品购置清单：</w:t>
      </w:r>
      <w:r>
        <w:rPr>
          <w:rFonts w:hint="eastAsia"/>
          <w:color w:val="auto"/>
        </w:rPr>
        <w:t>无</w:t>
      </w:r>
    </w:p>
    <w:p w14:paraId="392A9E27">
      <w:pPr>
        <w:pStyle w:val="3"/>
        <w:rPr>
          <w:color w:val="auto"/>
        </w:rPr>
      </w:pPr>
      <w:bookmarkStart w:id="19" w:name="_Toc63785502"/>
      <w:r>
        <w:rPr>
          <w:rFonts w:hint="eastAsia"/>
          <w:color w:val="auto"/>
        </w:rPr>
        <w:t>电子政务云资源需求</w:t>
      </w:r>
      <w:bookmarkEnd w:id="19"/>
      <w:r>
        <w:rPr>
          <w:rFonts w:hint="eastAsia"/>
          <w:color w:val="auto"/>
        </w:rPr>
        <w:t>（</w:t>
      </w:r>
      <w:r>
        <w:rPr>
          <w:rFonts w:hint="eastAsia"/>
          <w:color w:val="auto"/>
          <w:lang w:val="en-US" w:eastAsia="zh-CN"/>
        </w:rPr>
        <w:t>无需供应商报价</w:t>
      </w:r>
      <w:r>
        <w:rPr>
          <w:rFonts w:hint="eastAsia"/>
          <w:color w:val="auto"/>
        </w:rPr>
        <w:t>）</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8"/>
        <w:gridCol w:w="1283"/>
        <w:gridCol w:w="1888"/>
        <w:gridCol w:w="1745"/>
        <w:gridCol w:w="1692"/>
        <w:gridCol w:w="1190"/>
      </w:tblGrid>
      <w:tr w14:paraId="08D27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6" w:type="dxa"/>
            <w:gridSpan w:val="6"/>
          </w:tcPr>
          <w:p w14:paraId="1F82D4CB">
            <w:pPr>
              <w:pStyle w:val="10"/>
              <w:widowControl/>
              <w:ind w:firstLine="0" w:firstLineChars="0"/>
              <w:rPr>
                <w:color w:val="auto"/>
              </w:rPr>
            </w:pPr>
            <w:r>
              <w:rPr>
                <w:rFonts w:hint="eastAsia"/>
                <w:color w:val="auto"/>
              </w:rPr>
              <w:t>主机资源</w:t>
            </w:r>
          </w:p>
        </w:tc>
      </w:tr>
      <w:tr w14:paraId="6A122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dxa"/>
          </w:tcPr>
          <w:p w14:paraId="4D79D5D5">
            <w:pPr>
              <w:pStyle w:val="10"/>
              <w:widowControl/>
              <w:ind w:firstLine="0" w:firstLineChars="0"/>
              <w:jc w:val="center"/>
              <w:rPr>
                <w:color w:val="auto"/>
              </w:rPr>
            </w:pPr>
            <w:r>
              <w:rPr>
                <w:rFonts w:hint="eastAsia"/>
                <w:color w:val="auto"/>
              </w:rPr>
              <w:t>序号</w:t>
            </w:r>
          </w:p>
        </w:tc>
        <w:tc>
          <w:tcPr>
            <w:tcW w:w="1283" w:type="dxa"/>
          </w:tcPr>
          <w:p w14:paraId="6FC96533">
            <w:pPr>
              <w:pStyle w:val="10"/>
              <w:widowControl/>
              <w:ind w:firstLine="0" w:firstLineChars="0"/>
              <w:jc w:val="center"/>
              <w:rPr>
                <w:color w:val="auto"/>
              </w:rPr>
            </w:pPr>
            <w:r>
              <w:rPr>
                <w:rFonts w:hint="eastAsia"/>
                <w:color w:val="auto"/>
              </w:rPr>
              <w:t>资源类型</w:t>
            </w:r>
          </w:p>
        </w:tc>
        <w:tc>
          <w:tcPr>
            <w:tcW w:w="1888" w:type="dxa"/>
          </w:tcPr>
          <w:p w14:paraId="7C8F3FF2">
            <w:pPr>
              <w:pStyle w:val="10"/>
              <w:widowControl/>
              <w:ind w:firstLine="0" w:firstLineChars="0"/>
              <w:jc w:val="center"/>
              <w:rPr>
                <w:color w:val="auto"/>
              </w:rPr>
            </w:pPr>
            <w:r>
              <w:rPr>
                <w:rFonts w:hint="eastAsia"/>
                <w:color w:val="auto"/>
              </w:rPr>
              <w:t>资源核心（核）</w:t>
            </w:r>
          </w:p>
        </w:tc>
        <w:tc>
          <w:tcPr>
            <w:tcW w:w="1745" w:type="dxa"/>
          </w:tcPr>
          <w:p w14:paraId="750C5E86">
            <w:pPr>
              <w:pStyle w:val="10"/>
              <w:widowControl/>
              <w:ind w:firstLine="0" w:firstLineChars="0"/>
              <w:jc w:val="center"/>
              <w:rPr>
                <w:color w:val="auto"/>
              </w:rPr>
            </w:pPr>
            <w:r>
              <w:rPr>
                <w:rFonts w:hint="eastAsia"/>
                <w:color w:val="auto"/>
              </w:rPr>
              <w:t>资源内存（GB）</w:t>
            </w:r>
          </w:p>
        </w:tc>
        <w:tc>
          <w:tcPr>
            <w:tcW w:w="1692" w:type="dxa"/>
          </w:tcPr>
          <w:p w14:paraId="78149F80">
            <w:pPr>
              <w:pStyle w:val="10"/>
              <w:widowControl/>
              <w:ind w:firstLine="0" w:firstLineChars="0"/>
              <w:jc w:val="center"/>
              <w:rPr>
                <w:color w:val="auto"/>
              </w:rPr>
            </w:pPr>
            <w:r>
              <w:rPr>
                <w:rFonts w:hint="eastAsia"/>
                <w:color w:val="auto"/>
              </w:rPr>
              <w:t>存储数量（GB)</w:t>
            </w:r>
          </w:p>
        </w:tc>
        <w:tc>
          <w:tcPr>
            <w:tcW w:w="1190" w:type="dxa"/>
          </w:tcPr>
          <w:p w14:paraId="2C6BD43C">
            <w:pPr>
              <w:pStyle w:val="10"/>
              <w:widowControl/>
              <w:ind w:firstLine="0" w:firstLineChars="0"/>
              <w:jc w:val="center"/>
              <w:rPr>
                <w:color w:val="auto"/>
              </w:rPr>
            </w:pPr>
            <w:r>
              <w:rPr>
                <w:rFonts w:hint="eastAsia"/>
                <w:color w:val="auto"/>
              </w:rPr>
              <w:t>数量（台）</w:t>
            </w:r>
          </w:p>
        </w:tc>
      </w:tr>
      <w:tr w14:paraId="5F226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dxa"/>
          </w:tcPr>
          <w:p w14:paraId="49E89BB8">
            <w:pPr>
              <w:pStyle w:val="10"/>
              <w:widowControl/>
              <w:ind w:firstLine="0" w:firstLineChars="0"/>
              <w:jc w:val="center"/>
              <w:rPr>
                <w:color w:val="auto"/>
              </w:rPr>
            </w:pPr>
            <w:r>
              <w:rPr>
                <w:rFonts w:hint="eastAsia"/>
                <w:color w:val="auto"/>
              </w:rPr>
              <w:t>1</w:t>
            </w:r>
          </w:p>
        </w:tc>
        <w:tc>
          <w:tcPr>
            <w:tcW w:w="1283" w:type="dxa"/>
          </w:tcPr>
          <w:p w14:paraId="4D3840FD">
            <w:pPr>
              <w:pStyle w:val="10"/>
              <w:widowControl/>
              <w:ind w:firstLine="0" w:firstLineChars="0"/>
              <w:jc w:val="center"/>
              <w:rPr>
                <w:color w:val="auto"/>
              </w:rPr>
            </w:pPr>
            <w:r>
              <w:rPr>
                <w:rFonts w:hint="eastAsia"/>
                <w:color w:val="auto"/>
              </w:rPr>
              <w:t>虚拟机</w:t>
            </w:r>
          </w:p>
        </w:tc>
        <w:tc>
          <w:tcPr>
            <w:tcW w:w="1888" w:type="dxa"/>
          </w:tcPr>
          <w:p w14:paraId="33211C09">
            <w:pPr>
              <w:pStyle w:val="10"/>
              <w:widowControl/>
              <w:ind w:firstLine="0" w:firstLineChars="0"/>
              <w:jc w:val="center"/>
              <w:rPr>
                <w:color w:val="auto"/>
              </w:rPr>
            </w:pPr>
            <w:r>
              <w:rPr>
                <w:rFonts w:hint="eastAsia"/>
                <w:color w:val="auto"/>
              </w:rPr>
              <w:t>8</w:t>
            </w:r>
          </w:p>
        </w:tc>
        <w:tc>
          <w:tcPr>
            <w:tcW w:w="1745" w:type="dxa"/>
          </w:tcPr>
          <w:p w14:paraId="43E428B6">
            <w:pPr>
              <w:pStyle w:val="10"/>
              <w:widowControl/>
              <w:ind w:firstLine="0" w:firstLineChars="0"/>
              <w:jc w:val="center"/>
              <w:rPr>
                <w:color w:val="auto"/>
              </w:rPr>
            </w:pPr>
            <w:r>
              <w:rPr>
                <w:rFonts w:hint="eastAsia"/>
                <w:color w:val="auto"/>
              </w:rPr>
              <w:t>32</w:t>
            </w:r>
          </w:p>
        </w:tc>
        <w:tc>
          <w:tcPr>
            <w:tcW w:w="1692" w:type="dxa"/>
          </w:tcPr>
          <w:p w14:paraId="18A6E401">
            <w:pPr>
              <w:pStyle w:val="10"/>
              <w:widowControl/>
              <w:ind w:firstLine="0" w:firstLineChars="0"/>
              <w:jc w:val="center"/>
              <w:rPr>
                <w:color w:val="auto"/>
              </w:rPr>
            </w:pPr>
            <w:r>
              <w:rPr>
                <w:rFonts w:hint="eastAsia"/>
                <w:color w:val="auto"/>
              </w:rPr>
              <w:t>500</w:t>
            </w:r>
          </w:p>
        </w:tc>
        <w:tc>
          <w:tcPr>
            <w:tcW w:w="1190" w:type="dxa"/>
          </w:tcPr>
          <w:p w14:paraId="6DD0C1CB">
            <w:pPr>
              <w:pStyle w:val="10"/>
              <w:widowControl/>
              <w:ind w:firstLine="0" w:firstLineChars="0"/>
              <w:jc w:val="center"/>
              <w:rPr>
                <w:color w:val="auto"/>
              </w:rPr>
            </w:pPr>
            <w:r>
              <w:rPr>
                <w:rFonts w:hint="eastAsia"/>
                <w:color w:val="auto"/>
              </w:rPr>
              <w:t>2</w:t>
            </w:r>
          </w:p>
        </w:tc>
      </w:tr>
      <w:tr w14:paraId="13E3A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dxa"/>
          </w:tcPr>
          <w:p w14:paraId="2531AFCC">
            <w:pPr>
              <w:pStyle w:val="10"/>
              <w:widowControl/>
              <w:ind w:firstLine="0" w:firstLineChars="0"/>
              <w:jc w:val="center"/>
              <w:rPr>
                <w:color w:val="auto"/>
              </w:rPr>
            </w:pPr>
            <w:r>
              <w:rPr>
                <w:rFonts w:hint="eastAsia"/>
                <w:color w:val="auto"/>
              </w:rPr>
              <w:t>2</w:t>
            </w:r>
          </w:p>
        </w:tc>
        <w:tc>
          <w:tcPr>
            <w:tcW w:w="1283" w:type="dxa"/>
          </w:tcPr>
          <w:p w14:paraId="35FD23A2">
            <w:pPr>
              <w:pStyle w:val="10"/>
              <w:widowControl/>
              <w:ind w:firstLine="0" w:firstLineChars="0"/>
              <w:jc w:val="center"/>
              <w:rPr>
                <w:color w:val="auto"/>
              </w:rPr>
            </w:pPr>
            <w:r>
              <w:rPr>
                <w:rFonts w:hint="eastAsia"/>
                <w:color w:val="auto"/>
              </w:rPr>
              <w:t>虚拟机</w:t>
            </w:r>
          </w:p>
        </w:tc>
        <w:tc>
          <w:tcPr>
            <w:tcW w:w="1888" w:type="dxa"/>
          </w:tcPr>
          <w:p w14:paraId="3C22E116">
            <w:pPr>
              <w:pStyle w:val="10"/>
              <w:widowControl/>
              <w:ind w:firstLine="0" w:firstLineChars="0"/>
              <w:jc w:val="center"/>
              <w:rPr>
                <w:color w:val="auto"/>
              </w:rPr>
            </w:pPr>
            <w:r>
              <w:rPr>
                <w:rFonts w:hint="eastAsia"/>
                <w:color w:val="auto"/>
              </w:rPr>
              <w:t>12</w:t>
            </w:r>
          </w:p>
        </w:tc>
        <w:tc>
          <w:tcPr>
            <w:tcW w:w="1745" w:type="dxa"/>
          </w:tcPr>
          <w:p w14:paraId="19DA1049">
            <w:pPr>
              <w:pStyle w:val="10"/>
              <w:widowControl/>
              <w:ind w:firstLine="0" w:firstLineChars="0"/>
              <w:jc w:val="center"/>
              <w:rPr>
                <w:color w:val="auto"/>
              </w:rPr>
            </w:pPr>
            <w:r>
              <w:rPr>
                <w:rFonts w:hint="eastAsia"/>
                <w:color w:val="auto"/>
              </w:rPr>
              <w:t>32</w:t>
            </w:r>
          </w:p>
        </w:tc>
        <w:tc>
          <w:tcPr>
            <w:tcW w:w="1692" w:type="dxa"/>
          </w:tcPr>
          <w:p w14:paraId="12B2C04C">
            <w:pPr>
              <w:pStyle w:val="10"/>
              <w:widowControl/>
              <w:ind w:firstLine="0" w:firstLineChars="0"/>
              <w:jc w:val="center"/>
              <w:rPr>
                <w:color w:val="auto"/>
              </w:rPr>
            </w:pPr>
            <w:r>
              <w:rPr>
                <w:rFonts w:hint="eastAsia"/>
                <w:color w:val="auto"/>
              </w:rPr>
              <w:t>500</w:t>
            </w:r>
          </w:p>
        </w:tc>
        <w:tc>
          <w:tcPr>
            <w:tcW w:w="1190" w:type="dxa"/>
          </w:tcPr>
          <w:p w14:paraId="49AA09A9">
            <w:pPr>
              <w:pStyle w:val="10"/>
              <w:widowControl/>
              <w:ind w:firstLine="0" w:firstLineChars="0"/>
              <w:jc w:val="center"/>
              <w:rPr>
                <w:color w:val="auto"/>
              </w:rPr>
            </w:pPr>
            <w:r>
              <w:rPr>
                <w:rFonts w:hint="eastAsia"/>
                <w:color w:val="auto"/>
              </w:rPr>
              <w:t>1</w:t>
            </w:r>
          </w:p>
        </w:tc>
      </w:tr>
      <w:tr w14:paraId="67837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6" w:type="dxa"/>
            <w:gridSpan w:val="6"/>
          </w:tcPr>
          <w:p w14:paraId="5A5B2FFB">
            <w:pPr>
              <w:pStyle w:val="10"/>
              <w:widowControl/>
              <w:ind w:firstLine="0" w:firstLineChars="0"/>
              <w:rPr>
                <w:color w:val="auto"/>
              </w:rPr>
            </w:pPr>
            <w:r>
              <w:rPr>
                <w:rFonts w:hint="eastAsia"/>
                <w:color w:val="auto"/>
              </w:rPr>
              <w:t>PaaS服务资源</w:t>
            </w:r>
          </w:p>
        </w:tc>
      </w:tr>
      <w:tr w14:paraId="1CAFC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dxa"/>
          </w:tcPr>
          <w:p w14:paraId="4A6F5C76">
            <w:pPr>
              <w:pStyle w:val="10"/>
              <w:widowControl/>
              <w:ind w:firstLine="0" w:firstLineChars="0"/>
              <w:jc w:val="center"/>
              <w:rPr>
                <w:color w:val="auto"/>
              </w:rPr>
            </w:pPr>
            <w:r>
              <w:rPr>
                <w:rFonts w:hint="eastAsia"/>
                <w:color w:val="auto"/>
              </w:rPr>
              <w:t>序号</w:t>
            </w:r>
          </w:p>
        </w:tc>
        <w:tc>
          <w:tcPr>
            <w:tcW w:w="4916" w:type="dxa"/>
            <w:gridSpan w:val="3"/>
          </w:tcPr>
          <w:p w14:paraId="3B8E54A1">
            <w:pPr>
              <w:pStyle w:val="10"/>
              <w:widowControl/>
              <w:ind w:firstLine="0" w:firstLineChars="0"/>
              <w:jc w:val="center"/>
              <w:rPr>
                <w:color w:val="auto"/>
              </w:rPr>
            </w:pPr>
            <w:r>
              <w:rPr>
                <w:rFonts w:hint="eastAsia"/>
                <w:color w:val="auto"/>
              </w:rPr>
              <w:t>资源名称</w:t>
            </w:r>
          </w:p>
        </w:tc>
        <w:tc>
          <w:tcPr>
            <w:tcW w:w="1692" w:type="dxa"/>
          </w:tcPr>
          <w:p w14:paraId="7DCE118C">
            <w:pPr>
              <w:pStyle w:val="10"/>
              <w:widowControl/>
              <w:ind w:firstLine="0" w:firstLineChars="0"/>
              <w:jc w:val="center"/>
              <w:rPr>
                <w:color w:val="auto"/>
              </w:rPr>
            </w:pPr>
            <w:r>
              <w:rPr>
                <w:rFonts w:hint="eastAsia"/>
                <w:color w:val="auto"/>
              </w:rPr>
              <w:t>数量</w:t>
            </w:r>
          </w:p>
        </w:tc>
        <w:tc>
          <w:tcPr>
            <w:tcW w:w="1190" w:type="dxa"/>
          </w:tcPr>
          <w:p w14:paraId="420D3488">
            <w:pPr>
              <w:pStyle w:val="10"/>
              <w:widowControl/>
              <w:ind w:firstLine="0" w:firstLineChars="0"/>
              <w:jc w:val="center"/>
              <w:rPr>
                <w:color w:val="auto"/>
              </w:rPr>
            </w:pPr>
            <w:r>
              <w:rPr>
                <w:rFonts w:hint="eastAsia"/>
                <w:color w:val="auto"/>
              </w:rPr>
              <w:t>单位</w:t>
            </w:r>
          </w:p>
        </w:tc>
      </w:tr>
      <w:tr w14:paraId="2C8C9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dxa"/>
          </w:tcPr>
          <w:p w14:paraId="2488BEA4">
            <w:pPr>
              <w:pStyle w:val="10"/>
              <w:widowControl/>
              <w:ind w:firstLine="0" w:firstLineChars="0"/>
              <w:jc w:val="center"/>
              <w:rPr>
                <w:color w:val="auto"/>
              </w:rPr>
            </w:pPr>
            <w:r>
              <w:rPr>
                <w:rFonts w:hint="eastAsia"/>
                <w:color w:val="auto"/>
              </w:rPr>
              <w:t>1</w:t>
            </w:r>
          </w:p>
        </w:tc>
        <w:tc>
          <w:tcPr>
            <w:tcW w:w="4916" w:type="dxa"/>
            <w:gridSpan w:val="3"/>
            <w:vAlign w:val="center"/>
          </w:tcPr>
          <w:p w14:paraId="4D1F6EC3">
            <w:pPr>
              <w:pStyle w:val="10"/>
              <w:widowControl/>
              <w:ind w:firstLine="0" w:firstLineChars="0"/>
              <w:jc w:val="center"/>
              <w:rPr>
                <w:color w:val="auto"/>
              </w:rPr>
            </w:pPr>
            <w:r>
              <w:rPr>
                <w:rFonts w:hint="eastAsia"/>
                <w:color w:val="auto"/>
              </w:rPr>
              <w:t>安全防病毒(服务器端)</w:t>
            </w:r>
          </w:p>
        </w:tc>
        <w:tc>
          <w:tcPr>
            <w:tcW w:w="1692" w:type="dxa"/>
            <w:vAlign w:val="center"/>
          </w:tcPr>
          <w:p w14:paraId="2006F5C5">
            <w:pPr>
              <w:widowControl/>
              <w:ind w:firstLine="0" w:firstLineChars="0"/>
              <w:jc w:val="center"/>
              <w:textAlignment w:val="center"/>
              <w:rPr>
                <w:color w:val="auto"/>
                <w:kern w:val="0"/>
              </w:rPr>
            </w:pPr>
            <w:r>
              <w:rPr>
                <w:rFonts w:hint="eastAsia"/>
                <w:color w:val="auto"/>
                <w:kern w:val="0"/>
              </w:rPr>
              <w:t>1</w:t>
            </w:r>
          </w:p>
        </w:tc>
        <w:tc>
          <w:tcPr>
            <w:tcW w:w="1190" w:type="dxa"/>
            <w:vAlign w:val="center"/>
          </w:tcPr>
          <w:p w14:paraId="6A6A6F2A">
            <w:pPr>
              <w:widowControl/>
              <w:ind w:firstLine="0" w:firstLineChars="0"/>
              <w:jc w:val="center"/>
              <w:textAlignment w:val="center"/>
              <w:rPr>
                <w:color w:val="auto"/>
                <w:kern w:val="0"/>
              </w:rPr>
            </w:pPr>
            <w:r>
              <w:rPr>
                <w:rFonts w:hint="eastAsia"/>
                <w:color w:val="auto"/>
                <w:kern w:val="0"/>
              </w:rPr>
              <w:t>套*年</w:t>
            </w:r>
          </w:p>
        </w:tc>
      </w:tr>
      <w:tr w14:paraId="5FED8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dxa"/>
          </w:tcPr>
          <w:p w14:paraId="4E64E365">
            <w:pPr>
              <w:pStyle w:val="10"/>
              <w:widowControl/>
              <w:ind w:firstLine="0" w:firstLineChars="0"/>
              <w:jc w:val="center"/>
              <w:rPr>
                <w:color w:val="auto"/>
              </w:rPr>
            </w:pPr>
            <w:r>
              <w:rPr>
                <w:rFonts w:hint="eastAsia"/>
                <w:color w:val="auto"/>
              </w:rPr>
              <w:t>2</w:t>
            </w:r>
          </w:p>
        </w:tc>
        <w:tc>
          <w:tcPr>
            <w:tcW w:w="4916" w:type="dxa"/>
            <w:gridSpan w:val="3"/>
            <w:vAlign w:val="center"/>
          </w:tcPr>
          <w:p w14:paraId="33B0D582">
            <w:pPr>
              <w:pStyle w:val="10"/>
              <w:widowControl/>
              <w:ind w:firstLine="0" w:firstLineChars="0"/>
              <w:jc w:val="center"/>
              <w:rPr>
                <w:color w:val="auto"/>
              </w:rPr>
            </w:pPr>
            <w:r>
              <w:rPr>
                <w:rFonts w:hint="eastAsia"/>
                <w:color w:val="auto"/>
              </w:rPr>
              <w:t>安全认证网关服务</w:t>
            </w:r>
          </w:p>
        </w:tc>
        <w:tc>
          <w:tcPr>
            <w:tcW w:w="1692" w:type="dxa"/>
            <w:vAlign w:val="center"/>
          </w:tcPr>
          <w:p w14:paraId="7898E19A">
            <w:pPr>
              <w:widowControl/>
              <w:ind w:firstLine="0" w:firstLineChars="0"/>
              <w:jc w:val="center"/>
              <w:textAlignment w:val="center"/>
              <w:rPr>
                <w:color w:val="auto"/>
                <w:kern w:val="0"/>
              </w:rPr>
            </w:pPr>
            <w:r>
              <w:rPr>
                <w:rFonts w:hint="eastAsia"/>
                <w:color w:val="auto"/>
                <w:kern w:val="0"/>
              </w:rPr>
              <w:t>1</w:t>
            </w:r>
          </w:p>
        </w:tc>
        <w:tc>
          <w:tcPr>
            <w:tcW w:w="1190" w:type="dxa"/>
            <w:vAlign w:val="center"/>
          </w:tcPr>
          <w:p w14:paraId="16345949">
            <w:pPr>
              <w:widowControl/>
              <w:ind w:firstLine="0" w:firstLineChars="0"/>
              <w:jc w:val="center"/>
              <w:textAlignment w:val="center"/>
              <w:rPr>
                <w:color w:val="auto"/>
                <w:kern w:val="0"/>
              </w:rPr>
            </w:pPr>
            <w:r>
              <w:rPr>
                <w:rFonts w:hint="eastAsia"/>
                <w:color w:val="auto"/>
                <w:kern w:val="0"/>
              </w:rPr>
              <w:t>套*年</w:t>
            </w:r>
          </w:p>
        </w:tc>
      </w:tr>
      <w:tr w14:paraId="59922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dxa"/>
          </w:tcPr>
          <w:p w14:paraId="138F9D51">
            <w:pPr>
              <w:pStyle w:val="10"/>
              <w:widowControl/>
              <w:ind w:firstLine="0" w:firstLineChars="0"/>
              <w:jc w:val="center"/>
              <w:rPr>
                <w:color w:val="auto"/>
              </w:rPr>
            </w:pPr>
            <w:r>
              <w:rPr>
                <w:rFonts w:hint="eastAsia"/>
                <w:color w:val="auto"/>
              </w:rPr>
              <w:t>3</w:t>
            </w:r>
          </w:p>
        </w:tc>
        <w:tc>
          <w:tcPr>
            <w:tcW w:w="4916" w:type="dxa"/>
            <w:gridSpan w:val="3"/>
            <w:vAlign w:val="center"/>
          </w:tcPr>
          <w:p w14:paraId="036983B2">
            <w:pPr>
              <w:pStyle w:val="10"/>
              <w:widowControl/>
              <w:ind w:firstLine="0" w:firstLineChars="0"/>
              <w:jc w:val="center"/>
              <w:rPr>
                <w:color w:val="auto"/>
              </w:rPr>
            </w:pPr>
            <w:r>
              <w:rPr>
                <w:rFonts w:hint="eastAsia"/>
                <w:color w:val="auto"/>
              </w:rPr>
              <w:t>时间戳服务</w:t>
            </w:r>
          </w:p>
        </w:tc>
        <w:tc>
          <w:tcPr>
            <w:tcW w:w="1692" w:type="dxa"/>
            <w:vAlign w:val="center"/>
          </w:tcPr>
          <w:p w14:paraId="510A4796">
            <w:pPr>
              <w:widowControl/>
              <w:ind w:firstLine="0" w:firstLineChars="0"/>
              <w:jc w:val="center"/>
              <w:textAlignment w:val="center"/>
              <w:rPr>
                <w:color w:val="auto"/>
                <w:kern w:val="0"/>
              </w:rPr>
            </w:pPr>
            <w:r>
              <w:rPr>
                <w:rFonts w:hint="eastAsia"/>
                <w:color w:val="auto"/>
                <w:kern w:val="0"/>
              </w:rPr>
              <w:t>1</w:t>
            </w:r>
          </w:p>
        </w:tc>
        <w:tc>
          <w:tcPr>
            <w:tcW w:w="1190" w:type="dxa"/>
            <w:vAlign w:val="center"/>
          </w:tcPr>
          <w:p w14:paraId="683B6017">
            <w:pPr>
              <w:widowControl/>
              <w:ind w:firstLine="0" w:firstLineChars="0"/>
              <w:jc w:val="center"/>
              <w:textAlignment w:val="center"/>
              <w:rPr>
                <w:color w:val="auto"/>
                <w:kern w:val="0"/>
              </w:rPr>
            </w:pPr>
            <w:r>
              <w:rPr>
                <w:rFonts w:hint="eastAsia"/>
                <w:color w:val="auto"/>
                <w:kern w:val="0"/>
              </w:rPr>
              <w:t>套*年</w:t>
            </w:r>
          </w:p>
        </w:tc>
      </w:tr>
      <w:tr w14:paraId="0B122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dxa"/>
          </w:tcPr>
          <w:p w14:paraId="45340186">
            <w:pPr>
              <w:pStyle w:val="10"/>
              <w:widowControl/>
              <w:ind w:firstLine="0" w:firstLineChars="0"/>
              <w:jc w:val="center"/>
              <w:rPr>
                <w:color w:val="auto"/>
              </w:rPr>
            </w:pPr>
            <w:r>
              <w:rPr>
                <w:rFonts w:hint="eastAsia"/>
                <w:color w:val="auto"/>
              </w:rPr>
              <w:t>4</w:t>
            </w:r>
          </w:p>
        </w:tc>
        <w:tc>
          <w:tcPr>
            <w:tcW w:w="4916" w:type="dxa"/>
            <w:gridSpan w:val="3"/>
            <w:vAlign w:val="center"/>
          </w:tcPr>
          <w:p w14:paraId="7C50B159">
            <w:pPr>
              <w:pStyle w:val="10"/>
              <w:widowControl/>
              <w:ind w:firstLine="0" w:firstLineChars="0"/>
              <w:jc w:val="center"/>
              <w:rPr>
                <w:color w:val="auto"/>
              </w:rPr>
            </w:pPr>
            <w:r>
              <w:rPr>
                <w:rFonts w:hint="eastAsia"/>
                <w:color w:val="auto"/>
              </w:rPr>
              <w:t>签名验签服务</w:t>
            </w:r>
          </w:p>
        </w:tc>
        <w:tc>
          <w:tcPr>
            <w:tcW w:w="1692" w:type="dxa"/>
            <w:vAlign w:val="center"/>
          </w:tcPr>
          <w:p w14:paraId="49CC5C89">
            <w:pPr>
              <w:widowControl/>
              <w:ind w:firstLine="0" w:firstLineChars="0"/>
              <w:jc w:val="center"/>
              <w:textAlignment w:val="center"/>
              <w:rPr>
                <w:color w:val="auto"/>
                <w:kern w:val="0"/>
              </w:rPr>
            </w:pPr>
            <w:r>
              <w:rPr>
                <w:rFonts w:hint="eastAsia"/>
                <w:color w:val="auto"/>
                <w:kern w:val="0"/>
              </w:rPr>
              <w:t>1</w:t>
            </w:r>
          </w:p>
        </w:tc>
        <w:tc>
          <w:tcPr>
            <w:tcW w:w="1190" w:type="dxa"/>
            <w:vAlign w:val="center"/>
          </w:tcPr>
          <w:p w14:paraId="363FD5E1">
            <w:pPr>
              <w:widowControl/>
              <w:ind w:firstLine="0" w:firstLineChars="0"/>
              <w:jc w:val="center"/>
              <w:textAlignment w:val="center"/>
              <w:rPr>
                <w:color w:val="auto"/>
                <w:kern w:val="0"/>
              </w:rPr>
            </w:pPr>
            <w:r>
              <w:rPr>
                <w:rFonts w:hint="eastAsia"/>
                <w:color w:val="auto"/>
                <w:kern w:val="0"/>
              </w:rPr>
              <w:t>套*年</w:t>
            </w:r>
          </w:p>
        </w:tc>
      </w:tr>
      <w:tr w14:paraId="57D07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dxa"/>
          </w:tcPr>
          <w:p w14:paraId="00A8172B">
            <w:pPr>
              <w:pStyle w:val="10"/>
              <w:widowControl/>
              <w:ind w:firstLine="0" w:firstLineChars="0"/>
              <w:jc w:val="center"/>
              <w:rPr>
                <w:color w:val="auto"/>
              </w:rPr>
            </w:pPr>
            <w:r>
              <w:rPr>
                <w:rFonts w:hint="eastAsia"/>
                <w:color w:val="auto"/>
              </w:rPr>
              <w:t>5</w:t>
            </w:r>
          </w:p>
        </w:tc>
        <w:tc>
          <w:tcPr>
            <w:tcW w:w="4916" w:type="dxa"/>
            <w:gridSpan w:val="3"/>
            <w:vAlign w:val="center"/>
          </w:tcPr>
          <w:p w14:paraId="7CE4AF2F">
            <w:pPr>
              <w:pStyle w:val="10"/>
              <w:widowControl/>
              <w:ind w:firstLine="0" w:firstLineChars="0"/>
              <w:jc w:val="center"/>
              <w:rPr>
                <w:color w:val="auto"/>
              </w:rPr>
            </w:pPr>
            <w:r>
              <w:rPr>
                <w:rFonts w:hint="eastAsia"/>
                <w:color w:val="auto"/>
              </w:rPr>
              <w:t>可信密码服务</w:t>
            </w:r>
          </w:p>
        </w:tc>
        <w:tc>
          <w:tcPr>
            <w:tcW w:w="1692" w:type="dxa"/>
            <w:vAlign w:val="center"/>
          </w:tcPr>
          <w:p w14:paraId="112BF63C">
            <w:pPr>
              <w:widowControl/>
              <w:ind w:firstLine="0" w:firstLineChars="0"/>
              <w:jc w:val="center"/>
              <w:textAlignment w:val="center"/>
              <w:rPr>
                <w:color w:val="auto"/>
                <w:kern w:val="0"/>
              </w:rPr>
            </w:pPr>
            <w:r>
              <w:rPr>
                <w:rFonts w:hint="eastAsia"/>
                <w:color w:val="auto"/>
                <w:kern w:val="0"/>
              </w:rPr>
              <w:t>1</w:t>
            </w:r>
          </w:p>
        </w:tc>
        <w:tc>
          <w:tcPr>
            <w:tcW w:w="1190" w:type="dxa"/>
            <w:vAlign w:val="center"/>
          </w:tcPr>
          <w:p w14:paraId="06710913">
            <w:pPr>
              <w:widowControl/>
              <w:ind w:firstLine="0" w:firstLineChars="0"/>
              <w:jc w:val="center"/>
              <w:textAlignment w:val="center"/>
              <w:rPr>
                <w:color w:val="auto"/>
                <w:kern w:val="0"/>
              </w:rPr>
            </w:pPr>
            <w:r>
              <w:rPr>
                <w:rFonts w:hint="eastAsia"/>
                <w:color w:val="auto"/>
                <w:kern w:val="0"/>
              </w:rPr>
              <w:t>应用*年</w:t>
            </w:r>
          </w:p>
        </w:tc>
      </w:tr>
      <w:tr w14:paraId="4AF99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dxa"/>
          </w:tcPr>
          <w:p w14:paraId="27252221">
            <w:pPr>
              <w:pStyle w:val="10"/>
              <w:widowControl/>
              <w:ind w:firstLine="0" w:firstLineChars="0"/>
              <w:jc w:val="center"/>
              <w:rPr>
                <w:color w:val="auto"/>
              </w:rPr>
            </w:pPr>
            <w:r>
              <w:rPr>
                <w:rFonts w:hint="eastAsia"/>
                <w:color w:val="auto"/>
              </w:rPr>
              <w:t>6</w:t>
            </w:r>
          </w:p>
        </w:tc>
        <w:tc>
          <w:tcPr>
            <w:tcW w:w="4916" w:type="dxa"/>
            <w:gridSpan w:val="3"/>
            <w:vAlign w:val="center"/>
          </w:tcPr>
          <w:p w14:paraId="6E88D6F0">
            <w:pPr>
              <w:pStyle w:val="10"/>
              <w:widowControl/>
              <w:ind w:firstLine="0" w:firstLineChars="0"/>
              <w:jc w:val="center"/>
              <w:rPr>
                <w:color w:val="auto"/>
              </w:rPr>
            </w:pPr>
            <w:r>
              <w:rPr>
                <w:rFonts w:hint="eastAsia"/>
                <w:color w:val="auto"/>
              </w:rPr>
              <w:t>操作系统服务-统信UOS、麒麟</w:t>
            </w:r>
          </w:p>
        </w:tc>
        <w:tc>
          <w:tcPr>
            <w:tcW w:w="1692" w:type="dxa"/>
            <w:vAlign w:val="center"/>
          </w:tcPr>
          <w:p w14:paraId="6C24113C">
            <w:pPr>
              <w:widowControl/>
              <w:ind w:firstLine="0" w:firstLineChars="0"/>
              <w:jc w:val="center"/>
              <w:textAlignment w:val="center"/>
              <w:rPr>
                <w:color w:val="auto"/>
                <w:kern w:val="0"/>
              </w:rPr>
            </w:pPr>
            <w:r>
              <w:rPr>
                <w:rFonts w:hint="eastAsia"/>
                <w:color w:val="auto"/>
                <w:kern w:val="0"/>
              </w:rPr>
              <w:t>3</w:t>
            </w:r>
          </w:p>
        </w:tc>
        <w:tc>
          <w:tcPr>
            <w:tcW w:w="1190" w:type="dxa"/>
            <w:vAlign w:val="center"/>
          </w:tcPr>
          <w:p w14:paraId="61F3736E">
            <w:pPr>
              <w:widowControl/>
              <w:ind w:firstLine="0" w:firstLineChars="0"/>
              <w:jc w:val="center"/>
              <w:textAlignment w:val="center"/>
              <w:rPr>
                <w:color w:val="auto"/>
                <w:kern w:val="0"/>
              </w:rPr>
            </w:pPr>
            <w:r>
              <w:rPr>
                <w:rFonts w:hint="eastAsia"/>
                <w:color w:val="auto"/>
                <w:kern w:val="0"/>
              </w:rPr>
              <w:t>套*年</w:t>
            </w:r>
          </w:p>
        </w:tc>
      </w:tr>
      <w:tr w14:paraId="235DF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dxa"/>
          </w:tcPr>
          <w:p w14:paraId="064A9723">
            <w:pPr>
              <w:pStyle w:val="10"/>
              <w:widowControl/>
              <w:ind w:firstLine="0" w:firstLineChars="0"/>
              <w:jc w:val="center"/>
              <w:rPr>
                <w:color w:val="auto"/>
              </w:rPr>
            </w:pPr>
            <w:r>
              <w:rPr>
                <w:rFonts w:hint="eastAsia"/>
                <w:color w:val="auto"/>
              </w:rPr>
              <w:t>7</w:t>
            </w:r>
          </w:p>
        </w:tc>
        <w:tc>
          <w:tcPr>
            <w:tcW w:w="4916" w:type="dxa"/>
            <w:gridSpan w:val="3"/>
            <w:vAlign w:val="center"/>
          </w:tcPr>
          <w:p w14:paraId="6265062E">
            <w:pPr>
              <w:pStyle w:val="10"/>
              <w:widowControl/>
              <w:ind w:firstLine="0" w:firstLineChars="0"/>
              <w:jc w:val="center"/>
              <w:rPr>
                <w:color w:val="auto"/>
              </w:rPr>
            </w:pPr>
            <w:r>
              <w:rPr>
                <w:rFonts w:hint="eastAsia"/>
                <w:color w:val="auto"/>
              </w:rPr>
              <w:t>数据库服务-达梦、人大金仓</w:t>
            </w:r>
          </w:p>
        </w:tc>
        <w:tc>
          <w:tcPr>
            <w:tcW w:w="1692" w:type="dxa"/>
            <w:vAlign w:val="center"/>
          </w:tcPr>
          <w:p w14:paraId="05E8BF33">
            <w:pPr>
              <w:widowControl/>
              <w:ind w:firstLine="0" w:firstLineChars="0"/>
              <w:jc w:val="center"/>
              <w:textAlignment w:val="center"/>
              <w:rPr>
                <w:color w:val="auto"/>
                <w:kern w:val="0"/>
              </w:rPr>
            </w:pPr>
            <w:r>
              <w:rPr>
                <w:rFonts w:hint="eastAsia"/>
                <w:color w:val="auto"/>
                <w:kern w:val="0"/>
              </w:rPr>
              <w:t>1</w:t>
            </w:r>
          </w:p>
        </w:tc>
        <w:tc>
          <w:tcPr>
            <w:tcW w:w="1190" w:type="dxa"/>
            <w:vAlign w:val="center"/>
          </w:tcPr>
          <w:p w14:paraId="18ACACA3">
            <w:pPr>
              <w:widowControl/>
              <w:ind w:firstLine="0" w:firstLineChars="0"/>
              <w:jc w:val="center"/>
              <w:textAlignment w:val="center"/>
              <w:rPr>
                <w:color w:val="auto"/>
                <w:kern w:val="0"/>
              </w:rPr>
            </w:pPr>
            <w:r>
              <w:rPr>
                <w:rFonts w:hint="eastAsia"/>
                <w:color w:val="auto"/>
                <w:kern w:val="0"/>
              </w:rPr>
              <w:t>套*年</w:t>
            </w:r>
          </w:p>
        </w:tc>
      </w:tr>
      <w:tr w14:paraId="435BC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dxa"/>
          </w:tcPr>
          <w:p w14:paraId="50D21196">
            <w:pPr>
              <w:pStyle w:val="10"/>
              <w:widowControl/>
              <w:ind w:firstLine="0" w:firstLineChars="0"/>
              <w:jc w:val="center"/>
              <w:rPr>
                <w:color w:val="auto"/>
              </w:rPr>
            </w:pPr>
            <w:r>
              <w:rPr>
                <w:rFonts w:hint="eastAsia"/>
                <w:color w:val="auto"/>
              </w:rPr>
              <w:t>8</w:t>
            </w:r>
          </w:p>
        </w:tc>
        <w:tc>
          <w:tcPr>
            <w:tcW w:w="4916" w:type="dxa"/>
            <w:gridSpan w:val="3"/>
            <w:vAlign w:val="center"/>
          </w:tcPr>
          <w:p w14:paraId="6A6C9720">
            <w:pPr>
              <w:pStyle w:val="10"/>
              <w:widowControl/>
              <w:ind w:firstLine="0" w:firstLineChars="0"/>
              <w:jc w:val="center"/>
              <w:rPr>
                <w:color w:val="auto"/>
              </w:rPr>
            </w:pPr>
            <w:r>
              <w:rPr>
                <w:rFonts w:hint="eastAsia"/>
                <w:color w:val="auto"/>
              </w:rPr>
              <w:t>身份认证服务 - 个人多源认证</w:t>
            </w:r>
          </w:p>
        </w:tc>
        <w:tc>
          <w:tcPr>
            <w:tcW w:w="1692" w:type="dxa"/>
            <w:vAlign w:val="center"/>
          </w:tcPr>
          <w:p w14:paraId="2B15127E">
            <w:pPr>
              <w:widowControl/>
              <w:ind w:firstLine="0" w:firstLineChars="0"/>
              <w:jc w:val="center"/>
              <w:textAlignment w:val="center"/>
              <w:rPr>
                <w:color w:val="auto"/>
                <w:kern w:val="0"/>
              </w:rPr>
            </w:pPr>
            <w:r>
              <w:rPr>
                <w:rFonts w:hint="eastAsia"/>
                <w:color w:val="auto"/>
                <w:kern w:val="0"/>
              </w:rPr>
              <w:t>1</w:t>
            </w:r>
          </w:p>
        </w:tc>
        <w:tc>
          <w:tcPr>
            <w:tcW w:w="1190" w:type="dxa"/>
            <w:vAlign w:val="center"/>
          </w:tcPr>
          <w:p w14:paraId="30D6E26B">
            <w:pPr>
              <w:widowControl/>
              <w:ind w:firstLine="0" w:firstLineChars="0"/>
              <w:jc w:val="center"/>
              <w:textAlignment w:val="center"/>
              <w:rPr>
                <w:color w:val="auto"/>
                <w:kern w:val="0"/>
              </w:rPr>
            </w:pPr>
            <w:r>
              <w:rPr>
                <w:rFonts w:hint="eastAsia"/>
                <w:color w:val="auto"/>
                <w:kern w:val="0"/>
              </w:rPr>
              <w:t>次</w:t>
            </w:r>
          </w:p>
        </w:tc>
      </w:tr>
      <w:tr w14:paraId="21273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dxa"/>
          </w:tcPr>
          <w:p w14:paraId="433F5788">
            <w:pPr>
              <w:pStyle w:val="10"/>
              <w:widowControl/>
              <w:ind w:firstLine="0" w:firstLineChars="0"/>
              <w:jc w:val="center"/>
              <w:rPr>
                <w:color w:val="auto"/>
              </w:rPr>
            </w:pPr>
            <w:r>
              <w:rPr>
                <w:rFonts w:hint="eastAsia"/>
                <w:color w:val="auto"/>
              </w:rPr>
              <w:t>9</w:t>
            </w:r>
          </w:p>
        </w:tc>
        <w:tc>
          <w:tcPr>
            <w:tcW w:w="4916" w:type="dxa"/>
            <w:gridSpan w:val="3"/>
            <w:vAlign w:val="center"/>
          </w:tcPr>
          <w:p w14:paraId="6FF75177">
            <w:pPr>
              <w:pStyle w:val="10"/>
              <w:widowControl/>
              <w:ind w:firstLine="0" w:firstLineChars="0"/>
              <w:jc w:val="center"/>
              <w:rPr>
                <w:color w:val="auto"/>
              </w:rPr>
            </w:pPr>
            <w:r>
              <w:rPr>
                <w:rFonts w:hint="eastAsia"/>
                <w:color w:val="auto"/>
              </w:rPr>
              <w:t>数字证书服务 - SSL证书-通配符</w:t>
            </w:r>
          </w:p>
        </w:tc>
        <w:tc>
          <w:tcPr>
            <w:tcW w:w="1692" w:type="dxa"/>
            <w:vAlign w:val="center"/>
          </w:tcPr>
          <w:p w14:paraId="4B7927EB">
            <w:pPr>
              <w:widowControl/>
              <w:ind w:firstLine="0" w:firstLineChars="0"/>
              <w:jc w:val="center"/>
              <w:textAlignment w:val="center"/>
              <w:rPr>
                <w:color w:val="auto"/>
                <w:kern w:val="0"/>
              </w:rPr>
            </w:pPr>
            <w:r>
              <w:rPr>
                <w:rFonts w:hint="eastAsia"/>
                <w:color w:val="auto"/>
                <w:kern w:val="0"/>
              </w:rPr>
              <w:t>1</w:t>
            </w:r>
          </w:p>
        </w:tc>
        <w:tc>
          <w:tcPr>
            <w:tcW w:w="1190" w:type="dxa"/>
            <w:vAlign w:val="center"/>
          </w:tcPr>
          <w:p w14:paraId="5422357F">
            <w:pPr>
              <w:widowControl/>
              <w:ind w:firstLine="0" w:firstLineChars="0"/>
              <w:jc w:val="center"/>
              <w:textAlignment w:val="center"/>
              <w:rPr>
                <w:color w:val="auto"/>
                <w:kern w:val="0"/>
              </w:rPr>
            </w:pPr>
            <w:r>
              <w:rPr>
                <w:rFonts w:hint="eastAsia"/>
                <w:color w:val="auto"/>
                <w:kern w:val="0"/>
              </w:rPr>
              <w:t>张*年</w:t>
            </w:r>
          </w:p>
        </w:tc>
      </w:tr>
      <w:tr w14:paraId="006EE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dxa"/>
          </w:tcPr>
          <w:p w14:paraId="00BE86F0">
            <w:pPr>
              <w:pStyle w:val="10"/>
              <w:widowControl/>
              <w:ind w:firstLine="0" w:firstLineChars="0"/>
              <w:jc w:val="center"/>
              <w:rPr>
                <w:color w:val="auto"/>
              </w:rPr>
            </w:pPr>
            <w:r>
              <w:rPr>
                <w:rFonts w:hint="eastAsia"/>
                <w:color w:val="auto"/>
              </w:rPr>
              <w:t>10</w:t>
            </w:r>
          </w:p>
        </w:tc>
        <w:tc>
          <w:tcPr>
            <w:tcW w:w="4916" w:type="dxa"/>
            <w:gridSpan w:val="3"/>
            <w:vAlign w:val="center"/>
          </w:tcPr>
          <w:p w14:paraId="6C883601">
            <w:pPr>
              <w:pStyle w:val="10"/>
              <w:widowControl/>
              <w:ind w:firstLine="0" w:firstLineChars="0"/>
              <w:jc w:val="center"/>
              <w:rPr>
                <w:color w:val="auto"/>
              </w:rPr>
            </w:pPr>
            <w:r>
              <w:rPr>
                <w:rFonts w:hint="eastAsia"/>
                <w:color w:val="auto"/>
              </w:rPr>
              <w:t>数字证书服务 - 证书介质（key）</w:t>
            </w:r>
          </w:p>
        </w:tc>
        <w:tc>
          <w:tcPr>
            <w:tcW w:w="1692" w:type="dxa"/>
            <w:vAlign w:val="center"/>
          </w:tcPr>
          <w:p w14:paraId="50366764">
            <w:pPr>
              <w:widowControl/>
              <w:ind w:firstLine="0" w:firstLineChars="0"/>
              <w:jc w:val="center"/>
              <w:textAlignment w:val="center"/>
              <w:rPr>
                <w:color w:val="auto"/>
                <w:kern w:val="0"/>
              </w:rPr>
            </w:pPr>
            <w:r>
              <w:rPr>
                <w:rFonts w:hint="eastAsia"/>
                <w:color w:val="auto"/>
                <w:kern w:val="0"/>
              </w:rPr>
              <w:t>3</w:t>
            </w:r>
          </w:p>
        </w:tc>
        <w:tc>
          <w:tcPr>
            <w:tcW w:w="1190" w:type="dxa"/>
            <w:vAlign w:val="center"/>
          </w:tcPr>
          <w:p w14:paraId="139FA46A">
            <w:pPr>
              <w:widowControl/>
              <w:ind w:firstLine="0" w:firstLineChars="0"/>
              <w:jc w:val="center"/>
              <w:textAlignment w:val="center"/>
              <w:rPr>
                <w:color w:val="auto"/>
                <w:kern w:val="0"/>
              </w:rPr>
            </w:pPr>
            <w:r>
              <w:rPr>
                <w:rFonts w:hint="eastAsia"/>
                <w:color w:val="auto"/>
                <w:kern w:val="0"/>
              </w:rPr>
              <w:t>个</w:t>
            </w:r>
          </w:p>
        </w:tc>
      </w:tr>
    </w:tbl>
    <w:p w14:paraId="2C3E5160">
      <w:pPr>
        <w:ind w:firstLine="0" w:firstLineChars="0"/>
        <w:rPr>
          <w:color w:val="auto"/>
        </w:rPr>
      </w:pPr>
    </w:p>
    <w:p w14:paraId="6DC488F8">
      <w:pPr>
        <w:pStyle w:val="3"/>
        <w:rPr>
          <w:color w:val="auto"/>
        </w:rPr>
      </w:pPr>
      <w:bookmarkStart w:id="20" w:name="_Toc63785503"/>
      <w:r>
        <w:rPr>
          <w:rFonts w:hint="eastAsia"/>
          <w:color w:val="auto"/>
        </w:rPr>
        <w:t>其他工作要求</w:t>
      </w:r>
      <w:bookmarkEnd w:id="20"/>
    </w:p>
    <w:p w14:paraId="27C77BAB">
      <w:pPr>
        <w:pStyle w:val="4"/>
        <w:ind w:left="0" w:firstLine="423" w:firstLineChars="141"/>
        <w:rPr>
          <w:color w:val="auto"/>
        </w:rPr>
      </w:pPr>
      <w:bookmarkStart w:id="21" w:name="_Toc63785505"/>
      <w:r>
        <w:rPr>
          <w:rFonts w:hint="eastAsia"/>
          <w:color w:val="auto"/>
        </w:rPr>
        <w:t>售后服务要求</w:t>
      </w:r>
      <w:bookmarkEnd w:id="21"/>
    </w:p>
    <w:p w14:paraId="2AE0266A">
      <w:pPr>
        <w:pStyle w:val="16"/>
        <w:snapToGrid w:val="0"/>
        <w:spacing w:line="360" w:lineRule="auto"/>
        <w:ind w:firstLine="480"/>
        <w:rPr>
          <w:rFonts w:ascii="宋体" w:hAnsi="宋体"/>
          <w:color w:val="auto"/>
          <w:sz w:val="24"/>
          <w:szCs w:val="24"/>
        </w:rPr>
      </w:pPr>
      <w:r>
        <w:rPr>
          <w:rFonts w:hint="eastAsia" w:ascii="宋体" w:hAnsi="宋体"/>
          <w:color w:val="auto"/>
          <w:sz w:val="24"/>
          <w:szCs w:val="24"/>
        </w:rPr>
        <w:t>本项目从系统验收通过之日起1年内提供</w:t>
      </w:r>
      <w:r>
        <w:rPr>
          <w:rFonts w:ascii="宋体" w:hAnsi="宋体"/>
          <w:color w:val="auto"/>
          <w:sz w:val="24"/>
          <w:szCs w:val="24"/>
        </w:rPr>
        <w:t>7*24小时免费技术支持</w:t>
      </w:r>
      <w:r>
        <w:rPr>
          <w:rFonts w:hint="eastAsia" w:ascii="宋体" w:hAnsi="宋体"/>
          <w:color w:val="auto"/>
          <w:sz w:val="24"/>
          <w:szCs w:val="24"/>
        </w:rPr>
        <w:t>和售后服务，1年后进入有偿维护期。</w:t>
      </w:r>
    </w:p>
    <w:p w14:paraId="742E7B6F">
      <w:pPr>
        <w:pStyle w:val="16"/>
        <w:snapToGrid w:val="0"/>
        <w:spacing w:line="360" w:lineRule="auto"/>
        <w:ind w:firstLine="480"/>
        <w:rPr>
          <w:rFonts w:ascii="宋体" w:hAnsi="宋体"/>
          <w:color w:val="auto"/>
          <w:sz w:val="24"/>
          <w:szCs w:val="24"/>
        </w:rPr>
      </w:pPr>
      <w:r>
        <w:rPr>
          <w:rFonts w:hint="eastAsia" w:ascii="宋体" w:hAnsi="宋体"/>
          <w:color w:val="auto"/>
          <w:sz w:val="24"/>
          <w:szCs w:val="24"/>
        </w:rPr>
        <w:t>在质量保证期内，供应商将按照售后服务的承诺提供保修和运行维护服务，如果厂商对信息系统中软、硬件设备等产品中的部分保修期超过上述期限的，则按照厂商的规定进行免费保修。</w:t>
      </w:r>
    </w:p>
    <w:p w14:paraId="272D9196">
      <w:pPr>
        <w:pStyle w:val="16"/>
        <w:snapToGrid w:val="0"/>
        <w:spacing w:line="360" w:lineRule="auto"/>
        <w:ind w:firstLine="480"/>
        <w:rPr>
          <w:rFonts w:ascii="宋体" w:hAnsi="宋体"/>
          <w:color w:val="auto"/>
          <w:sz w:val="24"/>
          <w:szCs w:val="24"/>
        </w:rPr>
      </w:pPr>
      <w:r>
        <w:rPr>
          <w:rFonts w:hint="eastAsia" w:ascii="宋体" w:hAnsi="宋体"/>
          <w:color w:val="auto"/>
          <w:sz w:val="24"/>
          <w:szCs w:val="24"/>
        </w:rPr>
        <w:t>在质量保证期内，供应商负责信息系统的运行维护工作，确保信息系统安全、稳定、可靠地运行。基于本项目为学校信息化建设的重点支撑，供应商的售后服务是项目成败的关键，因此需要供应商提供或开发针对项目的售后服务管理工具软件或系统，对项目售后服务情况进行跟踪及反馈，对售后过程中出现的问题及其处理过程进行完整记录，并可对于项目售后服务过程中团队响应和解决及计划完成有效监控，使项目售后过程面向校方全程开放。应至少包含以下内容：</w:t>
      </w:r>
    </w:p>
    <w:p w14:paraId="1A36FEDC">
      <w:pPr>
        <w:pStyle w:val="16"/>
        <w:snapToGrid w:val="0"/>
        <w:spacing w:line="360" w:lineRule="auto"/>
        <w:ind w:firstLine="480"/>
        <w:rPr>
          <w:rFonts w:ascii="宋体" w:hAnsi="宋体"/>
          <w:color w:val="auto"/>
          <w:sz w:val="24"/>
          <w:szCs w:val="24"/>
        </w:rPr>
      </w:pPr>
      <w:r>
        <w:rPr>
          <w:rFonts w:hint="eastAsia" w:ascii="宋体" w:hAnsi="宋体"/>
          <w:color w:val="auto"/>
          <w:sz w:val="24"/>
          <w:szCs w:val="24"/>
        </w:rPr>
        <w:t>应提供以学校领导为视角的项目综合看板，可查看本学校内所有项目的当前状态、校内所有项目问题及投诉的实时处理进展、以及每一项目的建设周期、干系人、进度任务、问题、投诉、配置库等信息；</w:t>
      </w:r>
    </w:p>
    <w:p w14:paraId="4ADC0FD1">
      <w:pPr>
        <w:pStyle w:val="16"/>
        <w:snapToGrid w:val="0"/>
        <w:spacing w:line="360" w:lineRule="auto"/>
        <w:ind w:firstLine="480"/>
        <w:rPr>
          <w:rFonts w:ascii="宋体" w:hAnsi="宋体"/>
          <w:color w:val="auto"/>
          <w:sz w:val="24"/>
          <w:szCs w:val="24"/>
        </w:rPr>
      </w:pPr>
      <w:r>
        <w:rPr>
          <w:rFonts w:hint="eastAsia" w:ascii="宋体" w:hAnsi="宋体"/>
          <w:color w:val="auto"/>
          <w:sz w:val="24"/>
          <w:szCs w:val="24"/>
        </w:rPr>
        <w:t>应提供以业务老师为视角的项目信息管理，可查看个人负责和参与的所有项目，以及每一项目的建设周期、干系人、进度任务、问题、投诉、配置库等信息；</w:t>
      </w:r>
    </w:p>
    <w:p w14:paraId="7757B338">
      <w:pPr>
        <w:pStyle w:val="16"/>
        <w:snapToGrid w:val="0"/>
        <w:spacing w:line="360" w:lineRule="auto"/>
        <w:ind w:firstLine="480"/>
        <w:rPr>
          <w:rFonts w:ascii="宋体" w:hAnsi="宋体"/>
          <w:color w:val="auto"/>
          <w:sz w:val="24"/>
          <w:szCs w:val="24"/>
        </w:rPr>
      </w:pPr>
      <w:r>
        <w:rPr>
          <w:rFonts w:hint="eastAsia" w:ascii="宋体" w:hAnsi="宋体"/>
          <w:color w:val="auto"/>
          <w:sz w:val="24"/>
          <w:szCs w:val="24"/>
        </w:rPr>
        <w:t>支持对售后进度及售后任务执行情况追踪，可以新建任务、添加任务执行过程、完成任务已经任务完成确认等，可集中管理该项目下所有产品的实施进度任务，包含里程碑任务、工程任务、客户任务以及个人任务等；</w:t>
      </w:r>
    </w:p>
    <w:p w14:paraId="7A835391">
      <w:pPr>
        <w:pStyle w:val="16"/>
        <w:snapToGrid w:val="0"/>
        <w:spacing w:line="360" w:lineRule="auto"/>
        <w:ind w:firstLine="480"/>
        <w:rPr>
          <w:rFonts w:ascii="宋体" w:hAnsi="宋体"/>
          <w:color w:val="auto"/>
          <w:sz w:val="24"/>
          <w:szCs w:val="24"/>
        </w:rPr>
      </w:pPr>
      <w:r>
        <w:rPr>
          <w:rFonts w:hint="eastAsia" w:ascii="宋体" w:hAnsi="宋体"/>
          <w:color w:val="auto"/>
          <w:sz w:val="24"/>
          <w:szCs w:val="24"/>
        </w:rPr>
        <w:t>应支持记录项目实施中的日报、周报等工作过程，在实施人员填写完成后，用户可以直接查看，还可对工作记录进行批注，提高信息透明度；</w:t>
      </w:r>
    </w:p>
    <w:p w14:paraId="2EDCDCBB">
      <w:pPr>
        <w:pStyle w:val="16"/>
        <w:snapToGrid w:val="0"/>
        <w:spacing w:line="360" w:lineRule="auto"/>
        <w:ind w:firstLine="480"/>
        <w:rPr>
          <w:rFonts w:ascii="宋体" w:hAnsi="宋体"/>
          <w:color w:val="auto"/>
          <w:sz w:val="24"/>
          <w:szCs w:val="24"/>
        </w:rPr>
      </w:pPr>
      <w:r>
        <w:rPr>
          <w:rFonts w:hint="eastAsia" w:ascii="宋体" w:hAnsi="宋体"/>
          <w:color w:val="auto"/>
          <w:sz w:val="24"/>
          <w:szCs w:val="24"/>
        </w:rPr>
        <w:t>对于项目中出现的重大问题，用户可以直接通过平台进行投诉，提交投诉后，投标方公司的专业运营团队进行跟踪处理，受理投诉内容，并及时反馈解决进度及解决方案直至校方满意并主动关闭投诉为止。</w:t>
      </w:r>
    </w:p>
    <w:p w14:paraId="6A0CBE35">
      <w:pPr>
        <w:pStyle w:val="4"/>
        <w:ind w:left="0" w:firstLine="423" w:firstLineChars="141"/>
        <w:rPr>
          <w:color w:val="auto"/>
        </w:rPr>
      </w:pPr>
      <w:bookmarkStart w:id="22" w:name="_Toc63785506"/>
      <w:r>
        <w:rPr>
          <w:rFonts w:hint="eastAsia"/>
          <w:color w:val="auto"/>
        </w:rPr>
        <w:t>应急响应要求</w:t>
      </w:r>
      <w:bookmarkEnd w:id="22"/>
    </w:p>
    <w:p w14:paraId="173798F6">
      <w:pPr>
        <w:pStyle w:val="16"/>
        <w:snapToGrid w:val="0"/>
        <w:spacing w:line="360" w:lineRule="auto"/>
        <w:ind w:firstLine="480"/>
        <w:rPr>
          <w:rFonts w:hint="eastAsia" w:ascii="宋体" w:hAnsi="宋体"/>
          <w:color w:val="auto"/>
          <w:sz w:val="24"/>
          <w:szCs w:val="24"/>
        </w:rPr>
      </w:pPr>
      <w:r>
        <w:rPr>
          <w:rFonts w:hint="eastAsia" w:ascii="宋体" w:hAnsi="宋体"/>
          <w:color w:val="auto"/>
          <w:sz w:val="24"/>
          <w:szCs w:val="24"/>
        </w:rPr>
        <w:t>供应商对系统故障应能够实时响应，若系统发生故障，接到通知后</w:t>
      </w:r>
      <w:r>
        <w:rPr>
          <w:rFonts w:hint="eastAsia" w:ascii="宋体" w:hAnsi="宋体"/>
          <w:color w:val="auto"/>
          <w:sz w:val="24"/>
          <w:szCs w:val="24"/>
          <w:lang w:val="en-US" w:eastAsia="zh-CN"/>
        </w:rPr>
        <w:t>1</w:t>
      </w:r>
      <w:r>
        <w:rPr>
          <w:rFonts w:ascii="宋体" w:hAnsi="宋体"/>
          <w:color w:val="auto"/>
          <w:sz w:val="24"/>
          <w:szCs w:val="24"/>
        </w:rPr>
        <w:t>小时内</w:t>
      </w:r>
      <w:r>
        <w:rPr>
          <w:rFonts w:hint="eastAsia" w:ascii="宋体" w:hAnsi="宋体"/>
          <w:color w:val="auto"/>
          <w:sz w:val="24"/>
          <w:szCs w:val="24"/>
          <w:lang w:val="en-US" w:eastAsia="zh-CN"/>
        </w:rPr>
        <w:t>响应并</w:t>
      </w:r>
      <w:r>
        <w:rPr>
          <w:rFonts w:ascii="宋体" w:hAnsi="宋体"/>
          <w:color w:val="auto"/>
          <w:sz w:val="24"/>
          <w:szCs w:val="24"/>
        </w:rPr>
        <w:t>到达现场</w:t>
      </w:r>
      <w:r>
        <w:rPr>
          <w:rFonts w:hint="eastAsia" w:ascii="宋体" w:hAnsi="宋体"/>
          <w:color w:val="auto"/>
          <w:sz w:val="24"/>
          <w:szCs w:val="24"/>
        </w:rPr>
        <w:t>。</w:t>
      </w:r>
    </w:p>
    <w:p w14:paraId="05E9F403">
      <w:pPr>
        <w:pStyle w:val="16"/>
        <w:snapToGrid w:val="0"/>
        <w:spacing w:line="360" w:lineRule="auto"/>
        <w:ind w:firstLine="480"/>
        <w:rPr>
          <w:rFonts w:ascii="宋体" w:hAnsi="宋体"/>
          <w:color w:val="auto"/>
          <w:sz w:val="24"/>
          <w:szCs w:val="24"/>
        </w:rPr>
      </w:pPr>
      <w:r>
        <w:rPr>
          <w:rFonts w:hint="eastAsia" w:ascii="宋体" w:hAnsi="宋体"/>
          <w:color w:val="auto"/>
          <w:sz w:val="24"/>
          <w:szCs w:val="24"/>
        </w:rPr>
        <w:t>特殊故障与客户沟通协商后，按照协商的方式制定解决方案并进行处理。</w:t>
      </w:r>
    </w:p>
    <w:p w14:paraId="7B42DB1F">
      <w:pPr>
        <w:pStyle w:val="16"/>
        <w:snapToGrid w:val="0"/>
        <w:spacing w:line="360" w:lineRule="auto"/>
        <w:ind w:firstLine="480"/>
        <w:rPr>
          <w:rFonts w:ascii="宋体" w:hAnsi="宋体"/>
          <w:color w:val="auto"/>
          <w:sz w:val="24"/>
          <w:szCs w:val="24"/>
        </w:rPr>
      </w:pPr>
      <w:r>
        <w:rPr>
          <w:rFonts w:hint="eastAsia" w:ascii="宋体" w:hAnsi="宋体"/>
          <w:color w:val="auto"/>
          <w:sz w:val="24"/>
          <w:szCs w:val="24"/>
        </w:rPr>
        <w:t>具体故障级别及对应的应急响应要求如下：</w:t>
      </w:r>
    </w:p>
    <w:p w14:paraId="4EDD31C4">
      <w:pPr>
        <w:pStyle w:val="16"/>
        <w:snapToGrid w:val="0"/>
        <w:spacing w:line="360" w:lineRule="auto"/>
        <w:ind w:firstLine="480"/>
        <w:rPr>
          <w:rFonts w:ascii="宋体" w:hAnsi="宋体"/>
          <w:color w:val="auto"/>
          <w:sz w:val="24"/>
          <w:szCs w:val="24"/>
        </w:rPr>
      </w:pPr>
      <w:r>
        <w:rPr>
          <w:rFonts w:hint="eastAsia" w:ascii="宋体" w:hAnsi="宋体"/>
          <w:color w:val="auto"/>
          <w:sz w:val="24"/>
          <w:szCs w:val="24"/>
        </w:rPr>
        <w:t>一级故障：在</w:t>
      </w:r>
      <w:r>
        <w:rPr>
          <w:rFonts w:ascii="宋体" w:hAnsi="宋体"/>
          <w:color w:val="auto"/>
          <w:sz w:val="24"/>
          <w:szCs w:val="24"/>
        </w:rPr>
        <w:t>1小时内确诊，总故障解决时间不超过4小时。</w:t>
      </w:r>
    </w:p>
    <w:p w14:paraId="16CB0FA3">
      <w:pPr>
        <w:pStyle w:val="16"/>
        <w:snapToGrid w:val="0"/>
        <w:spacing w:line="360" w:lineRule="auto"/>
        <w:ind w:firstLine="480"/>
        <w:rPr>
          <w:rFonts w:ascii="宋体" w:hAnsi="宋体"/>
          <w:color w:val="auto"/>
          <w:sz w:val="24"/>
          <w:szCs w:val="24"/>
        </w:rPr>
      </w:pPr>
      <w:r>
        <w:rPr>
          <w:rFonts w:hint="eastAsia" w:ascii="宋体" w:hAnsi="宋体"/>
          <w:color w:val="auto"/>
          <w:sz w:val="24"/>
          <w:szCs w:val="24"/>
        </w:rPr>
        <w:t>二级故障：在</w:t>
      </w:r>
      <w:r>
        <w:rPr>
          <w:rFonts w:ascii="宋体" w:hAnsi="宋体"/>
          <w:color w:val="auto"/>
          <w:sz w:val="24"/>
          <w:szCs w:val="24"/>
        </w:rPr>
        <w:t>2小时内确诊，并在4小时内由专家到达现场确诊并解决，总故障解决时间不超过8小时；</w:t>
      </w:r>
    </w:p>
    <w:p w14:paraId="0723951E">
      <w:pPr>
        <w:pStyle w:val="16"/>
        <w:snapToGrid w:val="0"/>
        <w:spacing w:line="360" w:lineRule="auto"/>
        <w:ind w:firstLine="480"/>
        <w:rPr>
          <w:rFonts w:ascii="宋体" w:hAnsi="宋体"/>
          <w:color w:val="auto"/>
          <w:sz w:val="24"/>
          <w:szCs w:val="24"/>
        </w:rPr>
      </w:pPr>
      <w:r>
        <w:rPr>
          <w:rFonts w:hint="eastAsia" w:ascii="宋体" w:hAnsi="宋体"/>
          <w:color w:val="auto"/>
          <w:sz w:val="24"/>
          <w:szCs w:val="24"/>
        </w:rPr>
        <w:t>三、四级故障：在</w:t>
      </w:r>
      <w:r>
        <w:rPr>
          <w:rFonts w:ascii="宋体" w:hAnsi="宋体"/>
          <w:color w:val="auto"/>
          <w:sz w:val="24"/>
          <w:szCs w:val="24"/>
        </w:rPr>
        <w:t>4小时内确诊故障，总故障解决时间不超过16小时。</w:t>
      </w:r>
    </w:p>
    <w:p w14:paraId="7B1C5C83">
      <w:pPr>
        <w:pStyle w:val="4"/>
        <w:ind w:left="0" w:firstLine="423" w:firstLineChars="141"/>
        <w:rPr>
          <w:color w:val="auto"/>
        </w:rPr>
      </w:pPr>
      <w:bookmarkStart w:id="23" w:name="_Toc63785507"/>
      <w:r>
        <w:rPr>
          <w:rFonts w:hint="eastAsia"/>
          <w:color w:val="auto"/>
        </w:rPr>
        <w:t>培训要求</w:t>
      </w:r>
      <w:bookmarkEnd w:id="23"/>
    </w:p>
    <w:p w14:paraId="0A160BC6">
      <w:pPr>
        <w:rPr>
          <w:color w:val="auto"/>
        </w:rPr>
      </w:pPr>
      <w:r>
        <w:rPr>
          <w:rFonts w:hint="eastAsia"/>
          <w:color w:val="auto"/>
        </w:rPr>
        <w:t>对系统使用单位提供业务操作培训，应提供详细培训方案。</w:t>
      </w:r>
    </w:p>
    <w:p w14:paraId="0ACE59EA">
      <w:pPr>
        <w:rPr>
          <w:color w:val="auto"/>
        </w:rPr>
      </w:pPr>
      <w:r>
        <w:rPr>
          <w:rFonts w:hint="eastAsia"/>
          <w:color w:val="auto"/>
        </w:rPr>
        <w:t>(1)在12个月的质量保证期内，提供</w:t>
      </w:r>
      <w:r>
        <w:rPr>
          <w:color w:val="auto"/>
        </w:rPr>
        <w:t>4</w:t>
      </w:r>
      <w:r>
        <w:rPr>
          <w:rFonts w:hint="eastAsia"/>
          <w:color w:val="auto"/>
        </w:rPr>
        <w:t>次与项目相关的必要培训。</w:t>
      </w:r>
    </w:p>
    <w:p w14:paraId="295C1537">
      <w:pPr>
        <w:rPr>
          <w:color w:val="auto"/>
        </w:rPr>
      </w:pPr>
      <w:r>
        <w:rPr>
          <w:rFonts w:hint="eastAsia"/>
          <w:color w:val="auto"/>
        </w:rPr>
        <w:t>(2)供应商需要开展分层次的人员培训工作，每次培训后应对参加培训人员进行测试，评估培训成果。培训应具有培训教材、培训环境和高水平的培训讲师。</w:t>
      </w:r>
    </w:p>
    <w:p w14:paraId="4CA6A317">
      <w:pPr>
        <w:rPr>
          <w:strike/>
          <w:color w:val="auto"/>
          <w:szCs w:val="21"/>
        </w:rPr>
      </w:pPr>
      <w:r>
        <w:rPr>
          <w:rFonts w:hint="eastAsia"/>
          <w:color w:val="auto"/>
        </w:rPr>
        <w:t>(3)供应商应提供一般用户的基础操作培训和部门信息管理员的日常应用维护的培训，确保用户对象能够掌握对应的操作技能。</w:t>
      </w:r>
    </w:p>
    <w:p w14:paraId="2FCB8777">
      <w:pPr>
        <w:pStyle w:val="4"/>
        <w:ind w:left="0" w:firstLine="423" w:firstLineChars="141"/>
        <w:rPr>
          <w:color w:val="auto"/>
        </w:rPr>
      </w:pPr>
      <w:bookmarkStart w:id="24" w:name="_Toc63785509"/>
      <w:r>
        <w:rPr>
          <w:rFonts w:hint="eastAsia"/>
          <w:color w:val="auto"/>
        </w:rPr>
        <w:t>进度要求</w:t>
      </w:r>
      <w:bookmarkEnd w:id="24"/>
    </w:p>
    <w:p w14:paraId="2E18BF77">
      <w:pPr>
        <w:rPr>
          <w:color w:val="auto"/>
        </w:rPr>
      </w:pPr>
      <w:r>
        <w:rPr>
          <w:rFonts w:hint="eastAsia"/>
          <w:color w:val="auto"/>
        </w:rPr>
        <w:t>投标人应根据建设内容，分阶段制定合理的时间进度，并且应根据招标方要求进行调整和细化。</w:t>
      </w:r>
    </w:p>
    <w:p w14:paraId="06760CE7">
      <w:pPr>
        <w:rPr>
          <w:color w:val="auto"/>
        </w:rPr>
      </w:pPr>
      <w:r>
        <w:rPr>
          <w:rFonts w:hint="eastAsia"/>
          <w:color w:val="auto"/>
        </w:rPr>
        <w:t>总建设周期为6个月，分为2个阶段。</w:t>
      </w:r>
    </w:p>
    <w:p w14:paraId="79D9B722">
      <w:pPr>
        <w:rPr>
          <w:color w:val="auto"/>
        </w:rPr>
      </w:pPr>
      <w:r>
        <w:rPr>
          <w:rFonts w:hint="eastAsia"/>
          <w:color w:val="auto"/>
        </w:rPr>
        <w:t>第一阶段为5个月，完成系统的初始化、功能配置和个性化开发、集成工作，发布系统的试运行版。</w:t>
      </w:r>
    </w:p>
    <w:p w14:paraId="30537C8D">
      <w:pPr>
        <w:rPr>
          <w:color w:val="auto"/>
        </w:rPr>
      </w:pPr>
      <w:r>
        <w:rPr>
          <w:rFonts w:hint="eastAsia"/>
          <w:color w:val="auto"/>
        </w:rPr>
        <w:t>第二阶段为1个月，完成系统的优化、培训和验收工作，发布系统的正式版。</w:t>
      </w:r>
    </w:p>
    <w:p w14:paraId="0DDE07F7">
      <w:pPr>
        <w:pStyle w:val="4"/>
        <w:ind w:left="0" w:firstLine="423" w:firstLineChars="141"/>
        <w:rPr>
          <w:color w:val="auto"/>
        </w:rPr>
      </w:pPr>
      <w:bookmarkStart w:id="25" w:name="_Toc63785510"/>
      <w:r>
        <w:rPr>
          <w:rFonts w:hint="eastAsia"/>
          <w:color w:val="auto"/>
        </w:rPr>
        <w:t>项目团队及驻场人员要求</w:t>
      </w:r>
      <w:bookmarkEnd w:id="25"/>
    </w:p>
    <w:p w14:paraId="15B41BC0">
      <w:pPr>
        <w:rPr>
          <w:color w:val="auto"/>
        </w:rPr>
      </w:pPr>
      <w:r>
        <w:rPr>
          <w:color w:val="auto"/>
        </w:rPr>
        <w:t>1）投标人须具有稳定的在职技术保障力量，能够提供及时的技术支援或服务，应针对本项目提供不少于</w:t>
      </w:r>
      <w:r>
        <w:rPr>
          <w:rFonts w:hint="eastAsia"/>
          <w:color w:val="auto"/>
        </w:rPr>
        <w:t>5</w:t>
      </w:r>
      <w:r>
        <w:rPr>
          <w:color w:val="auto"/>
        </w:rPr>
        <w:t>人的项目服务团队（包括项目经理</w:t>
      </w:r>
      <w:r>
        <w:rPr>
          <w:rFonts w:hint="eastAsia"/>
          <w:color w:val="auto"/>
        </w:rPr>
        <w:t>、数据迁移（治理）负责人、开发工程师、实施工程师</w:t>
      </w:r>
      <w:r>
        <w:rPr>
          <w:color w:val="auto"/>
        </w:rPr>
        <w:t>等），投标单位的相关服务人员需具备相应的服务能力，需提供相关证明。</w:t>
      </w:r>
    </w:p>
    <w:tbl>
      <w:tblPr>
        <w:tblStyle w:val="12"/>
        <w:tblW w:w="89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5"/>
        <w:gridCol w:w="1466"/>
        <w:gridCol w:w="1582"/>
        <w:gridCol w:w="2580"/>
        <w:gridCol w:w="1647"/>
      </w:tblGrid>
      <w:tr w14:paraId="177A7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665" w:type="dxa"/>
            <w:shd w:val="clear" w:color="auto" w:fill="auto"/>
            <w:noWrap/>
            <w:vAlign w:val="center"/>
          </w:tcPr>
          <w:p w14:paraId="39994F1F">
            <w:pPr>
              <w:widowControl/>
              <w:spacing w:line="240" w:lineRule="auto"/>
              <w:ind w:firstLine="0" w:firstLineChars="0"/>
              <w:jc w:val="center"/>
              <w:rPr>
                <w:b/>
                <w:color w:val="auto"/>
              </w:rPr>
            </w:pPr>
            <w:r>
              <w:rPr>
                <w:rFonts w:hint="eastAsia"/>
                <w:b/>
                <w:color w:val="auto"/>
              </w:rPr>
              <w:t>角色</w:t>
            </w:r>
          </w:p>
        </w:tc>
        <w:tc>
          <w:tcPr>
            <w:tcW w:w="1466" w:type="dxa"/>
            <w:shd w:val="clear" w:color="auto" w:fill="auto"/>
            <w:noWrap/>
            <w:vAlign w:val="center"/>
          </w:tcPr>
          <w:p w14:paraId="497D1ED8">
            <w:pPr>
              <w:widowControl/>
              <w:spacing w:line="240" w:lineRule="auto"/>
              <w:ind w:firstLine="0" w:firstLineChars="0"/>
              <w:jc w:val="center"/>
              <w:rPr>
                <w:b/>
                <w:color w:val="auto"/>
              </w:rPr>
            </w:pPr>
            <w:r>
              <w:rPr>
                <w:rFonts w:hint="eastAsia"/>
                <w:b/>
                <w:color w:val="auto"/>
              </w:rPr>
              <w:t>主要职责</w:t>
            </w:r>
          </w:p>
        </w:tc>
        <w:tc>
          <w:tcPr>
            <w:tcW w:w="1582" w:type="dxa"/>
            <w:shd w:val="clear" w:color="auto" w:fill="auto"/>
            <w:noWrap/>
            <w:vAlign w:val="center"/>
          </w:tcPr>
          <w:p w14:paraId="6015225A">
            <w:pPr>
              <w:widowControl/>
              <w:spacing w:line="240" w:lineRule="auto"/>
              <w:ind w:firstLine="0" w:firstLineChars="0"/>
              <w:jc w:val="center"/>
              <w:rPr>
                <w:b/>
                <w:color w:val="auto"/>
              </w:rPr>
            </w:pPr>
            <w:r>
              <w:rPr>
                <w:rFonts w:hint="eastAsia"/>
                <w:b/>
                <w:color w:val="auto"/>
              </w:rPr>
              <w:t>人员数量</w:t>
            </w:r>
          </w:p>
        </w:tc>
        <w:tc>
          <w:tcPr>
            <w:tcW w:w="2580" w:type="dxa"/>
            <w:vAlign w:val="center"/>
          </w:tcPr>
          <w:p w14:paraId="25D3C764">
            <w:pPr>
              <w:widowControl/>
              <w:spacing w:line="240" w:lineRule="auto"/>
              <w:ind w:firstLine="0" w:firstLineChars="0"/>
              <w:jc w:val="center"/>
              <w:rPr>
                <w:b/>
                <w:color w:val="auto"/>
              </w:rPr>
            </w:pPr>
            <w:r>
              <w:rPr>
                <w:rFonts w:hint="eastAsia"/>
                <w:b/>
                <w:color w:val="auto"/>
              </w:rPr>
              <w:t>人员要求</w:t>
            </w:r>
          </w:p>
        </w:tc>
        <w:tc>
          <w:tcPr>
            <w:tcW w:w="1647" w:type="dxa"/>
            <w:shd w:val="clear" w:color="auto" w:fill="auto"/>
            <w:noWrap/>
            <w:vAlign w:val="center"/>
          </w:tcPr>
          <w:p w14:paraId="489501FF">
            <w:pPr>
              <w:widowControl/>
              <w:spacing w:line="240" w:lineRule="auto"/>
              <w:ind w:firstLine="0" w:firstLineChars="0"/>
              <w:jc w:val="center"/>
              <w:rPr>
                <w:b/>
                <w:color w:val="auto"/>
              </w:rPr>
            </w:pPr>
            <w:r>
              <w:rPr>
                <w:rFonts w:hint="eastAsia"/>
                <w:b/>
                <w:color w:val="auto"/>
              </w:rPr>
              <w:t>驻场要求</w:t>
            </w:r>
          </w:p>
        </w:tc>
      </w:tr>
      <w:tr w14:paraId="526F2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665" w:type="dxa"/>
            <w:shd w:val="clear" w:color="auto" w:fill="auto"/>
            <w:noWrap/>
            <w:vAlign w:val="center"/>
          </w:tcPr>
          <w:p w14:paraId="5011441E">
            <w:pPr>
              <w:widowControl/>
              <w:spacing w:line="240" w:lineRule="auto"/>
              <w:ind w:firstLine="0" w:firstLineChars="0"/>
              <w:jc w:val="center"/>
              <w:rPr>
                <w:color w:val="auto"/>
              </w:rPr>
            </w:pPr>
            <w:r>
              <w:rPr>
                <w:rFonts w:hint="eastAsia"/>
                <w:color w:val="auto"/>
              </w:rPr>
              <w:t>项目经理</w:t>
            </w:r>
          </w:p>
        </w:tc>
        <w:tc>
          <w:tcPr>
            <w:tcW w:w="1466" w:type="dxa"/>
            <w:shd w:val="clear" w:color="auto" w:fill="auto"/>
            <w:vAlign w:val="center"/>
          </w:tcPr>
          <w:p w14:paraId="416F2517">
            <w:pPr>
              <w:widowControl/>
              <w:spacing w:line="240" w:lineRule="auto"/>
              <w:ind w:firstLine="0" w:firstLineChars="0"/>
              <w:jc w:val="center"/>
              <w:rPr>
                <w:color w:val="auto"/>
              </w:rPr>
            </w:pPr>
            <w:r>
              <w:rPr>
                <w:rFonts w:hint="eastAsia"/>
                <w:color w:val="auto"/>
              </w:rPr>
              <w:t>负责项目质量和进度控制</w:t>
            </w:r>
          </w:p>
        </w:tc>
        <w:tc>
          <w:tcPr>
            <w:tcW w:w="1582" w:type="dxa"/>
            <w:shd w:val="clear" w:color="auto" w:fill="auto"/>
            <w:noWrap/>
            <w:vAlign w:val="center"/>
          </w:tcPr>
          <w:p w14:paraId="5FEEB64D">
            <w:pPr>
              <w:widowControl/>
              <w:spacing w:line="240" w:lineRule="auto"/>
              <w:ind w:firstLine="0" w:firstLineChars="0"/>
              <w:jc w:val="center"/>
              <w:rPr>
                <w:color w:val="auto"/>
              </w:rPr>
            </w:pPr>
            <w:r>
              <w:rPr>
                <w:rFonts w:hint="eastAsia"/>
                <w:color w:val="auto"/>
              </w:rPr>
              <w:t>1人</w:t>
            </w:r>
          </w:p>
        </w:tc>
        <w:tc>
          <w:tcPr>
            <w:tcW w:w="2580" w:type="dxa"/>
            <w:vAlign w:val="center"/>
          </w:tcPr>
          <w:p w14:paraId="63D484BB">
            <w:pPr>
              <w:widowControl/>
              <w:spacing w:line="240" w:lineRule="auto"/>
              <w:ind w:firstLine="0" w:firstLineChars="0"/>
              <w:rPr>
                <w:color w:val="auto"/>
              </w:rPr>
            </w:pPr>
            <w:r>
              <w:rPr>
                <w:rFonts w:hint="eastAsia"/>
                <w:color w:val="auto"/>
              </w:rPr>
              <w:t>具备信息系统高级项目管理师、</w:t>
            </w:r>
            <w:r>
              <w:rPr>
                <w:rFonts w:hint="eastAsia"/>
                <w:color w:val="auto"/>
                <w:kern w:val="0"/>
                <w:lang w:bidi="ar"/>
              </w:rPr>
              <w:t>信息系统业务安全服务工程师、高级网络规划设计师、国家信息技术服务标准应用经理培训合格证书、信息安全保障人员认证证书（应急服务）</w:t>
            </w:r>
          </w:p>
        </w:tc>
        <w:tc>
          <w:tcPr>
            <w:tcW w:w="1647" w:type="dxa"/>
            <w:shd w:val="clear" w:color="auto" w:fill="auto"/>
            <w:noWrap/>
            <w:vAlign w:val="center"/>
          </w:tcPr>
          <w:p w14:paraId="6AF4F530">
            <w:pPr>
              <w:widowControl/>
              <w:spacing w:line="240" w:lineRule="auto"/>
              <w:ind w:firstLine="0" w:firstLineChars="0"/>
              <w:jc w:val="center"/>
              <w:rPr>
                <w:color w:val="auto"/>
              </w:rPr>
            </w:pPr>
            <w:r>
              <w:rPr>
                <w:color w:val="auto"/>
              </w:rPr>
              <w:t>日常不驻场，根据项目进度需要与甲方协商一致后驻场支持。</w:t>
            </w:r>
          </w:p>
        </w:tc>
      </w:tr>
      <w:tr w14:paraId="0BAEE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665" w:type="dxa"/>
            <w:shd w:val="clear" w:color="auto" w:fill="auto"/>
            <w:noWrap/>
            <w:vAlign w:val="center"/>
          </w:tcPr>
          <w:p w14:paraId="0DCE7C93">
            <w:pPr>
              <w:widowControl/>
              <w:spacing w:line="240" w:lineRule="auto"/>
              <w:ind w:firstLine="0" w:firstLineChars="0"/>
              <w:jc w:val="center"/>
              <w:rPr>
                <w:color w:val="auto"/>
              </w:rPr>
            </w:pPr>
            <w:r>
              <w:rPr>
                <w:rFonts w:hint="eastAsia"/>
                <w:color w:val="auto"/>
              </w:rPr>
              <w:t>数据迁移（治理）负责人</w:t>
            </w:r>
          </w:p>
        </w:tc>
        <w:tc>
          <w:tcPr>
            <w:tcW w:w="1466" w:type="dxa"/>
            <w:shd w:val="clear" w:color="auto" w:fill="auto"/>
            <w:vAlign w:val="center"/>
          </w:tcPr>
          <w:p w14:paraId="458DC8E7">
            <w:pPr>
              <w:widowControl/>
              <w:spacing w:line="240" w:lineRule="auto"/>
              <w:ind w:firstLine="0" w:firstLineChars="0"/>
              <w:jc w:val="center"/>
              <w:rPr>
                <w:color w:val="auto"/>
              </w:rPr>
            </w:pPr>
            <w:r>
              <w:rPr>
                <w:rFonts w:hint="eastAsia"/>
                <w:color w:val="auto"/>
              </w:rPr>
              <w:t>负责管理本项目数据安全工作</w:t>
            </w:r>
          </w:p>
        </w:tc>
        <w:tc>
          <w:tcPr>
            <w:tcW w:w="1582" w:type="dxa"/>
            <w:shd w:val="clear" w:color="auto" w:fill="auto"/>
            <w:noWrap/>
            <w:vAlign w:val="center"/>
          </w:tcPr>
          <w:p w14:paraId="6B6113EA">
            <w:pPr>
              <w:widowControl/>
              <w:spacing w:line="240" w:lineRule="auto"/>
              <w:ind w:firstLine="0" w:firstLineChars="0"/>
              <w:jc w:val="center"/>
              <w:rPr>
                <w:color w:val="auto"/>
              </w:rPr>
            </w:pPr>
            <w:r>
              <w:rPr>
                <w:rFonts w:hint="eastAsia"/>
                <w:color w:val="auto"/>
              </w:rPr>
              <w:t>1人</w:t>
            </w:r>
          </w:p>
        </w:tc>
        <w:tc>
          <w:tcPr>
            <w:tcW w:w="2580" w:type="dxa"/>
            <w:vAlign w:val="center"/>
          </w:tcPr>
          <w:p w14:paraId="0645FB96">
            <w:pPr>
              <w:widowControl/>
              <w:spacing w:line="240" w:lineRule="auto"/>
              <w:ind w:firstLine="0" w:firstLineChars="0"/>
              <w:jc w:val="center"/>
              <w:rPr>
                <w:color w:val="auto"/>
              </w:rPr>
            </w:pPr>
            <w:r>
              <w:rPr>
                <w:rFonts w:hint="eastAsia"/>
                <w:color w:val="auto"/>
              </w:rPr>
              <w:t>具备信息安全保障人员（软件安全）证书</w:t>
            </w:r>
          </w:p>
        </w:tc>
        <w:tc>
          <w:tcPr>
            <w:tcW w:w="1647" w:type="dxa"/>
            <w:shd w:val="clear" w:color="auto" w:fill="auto"/>
            <w:noWrap/>
            <w:vAlign w:val="center"/>
          </w:tcPr>
          <w:p w14:paraId="45D15B78">
            <w:pPr>
              <w:widowControl/>
              <w:spacing w:line="240" w:lineRule="auto"/>
              <w:ind w:firstLine="0" w:firstLineChars="0"/>
              <w:rPr>
                <w:color w:val="auto"/>
              </w:rPr>
            </w:pPr>
            <w:r>
              <w:rPr>
                <w:color w:val="auto"/>
              </w:rPr>
              <w:t>日常不驻场，根据项目进度需要与甲方协商一致后驻场支持。</w:t>
            </w:r>
          </w:p>
        </w:tc>
      </w:tr>
      <w:tr w14:paraId="0693D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665" w:type="dxa"/>
            <w:shd w:val="clear" w:color="auto" w:fill="auto"/>
            <w:noWrap/>
            <w:vAlign w:val="center"/>
          </w:tcPr>
          <w:p w14:paraId="50615DC7">
            <w:pPr>
              <w:widowControl/>
              <w:spacing w:line="240" w:lineRule="auto"/>
              <w:ind w:firstLine="0" w:firstLineChars="0"/>
              <w:jc w:val="center"/>
              <w:rPr>
                <w:color w:val="auto"/>
              </w:rPr>
            </w:pPr>
            <w:r>
              <w:rPr>
                <w:rFonts w:hint="eastAsia"/>
                <w:color w:val="auto"/>
              </w:rPr>
              <w:t>开发工程师</w:t>
            </w:r>
          </w:p>
        </w:tc>
        <w:tc>
          <w:tcPr>
            <w:tcW w:w="1466" w:type="dxa"/>
            <w:shd w:val="clear" w:color="auto" w:fill="auto"/>
            <w:vAlign w:val="center"/>
          </w:tcPr>
          <w:p w14:paraId="42578864">
            <w:pPr>
              <w:widowControl/>
              <w:spacing w:line="240" w:lineRule="auto"/>
              <w:ind w:firstLine="0" w:firstLineChars="0"/>
              <w:jc w:val="center"/>
              <w:rPr>
                <w:color w:val="auto"/>
              </w:rPr>
            </w:pPr>
            <w:r>
              <w:rPr>
                <w:rFonts w:hint="eastAsia"/>
                <w:color w:val="auto"/>
              </w:rPr>
              <w:t>负责项目定制开发工作</w:t>
            </w:r>
          </w:p>
        </w:tc>
        <w:tc>
          <w:tcPr>
            <w:tcW w:w="1582" w:type="dxa"/>
            <w:shd w:val="clear" w:color="auto" w:fill="auto"/>
            <w:noWrap/>
            <w:vAlign w:val="center"/>
          </w:tcPr>
          <w:p w14:paraId="331829CA">
            <w:pPr>
              <w:widowControl/>
              <w:spacing w:line="240" w:lineRule="auto"/>
              <w:ind w:firstLine="0" w:firstLineChars="0"/>
              <w:jc w:val="center"/>
              <w:rPr>
                <w:color w:val="auto"/>
              </w:rPr>
            </w:pPr>
            <w:r>
              <w:rPr>
                <w:rFonts w:hint="eastAsia"/>
                <w:color w:val="auto"/>
              </w:rPr>
              <w:t>2人</w:t>
            </w:r>
          </w:p>
        </w:tc>
        <w:tc>
          <w:tcPr>
            <w:tcW w:w="2580" w:type="dxa"/>
            <w:vAlign w:val="center"/>
          </w:tcPr>
          <w:p w14:paraId="4107EC78">
            <w:pPr>
              <w:widowControl/>
              <w:spacing w:line="240" w:lineRule="auto"/>
              <w:ind w:firstLine="0" w:firstLineChars="0"/>
              <w:jc w:val="center"/>
              <w:rPr>
                <w:color w:val="auto"/>
              </w:rPr>
            </w:pPr>
            <w:r>
              <w:rPr>
                <w:rFonts w:hint="eastAsia"/>
                <w:color w:val="auto"/>
              </w:rPr>
              <w:t>每人具备软件设计师证书</w:t>
            </w:r>
          </w:p>
        </w:tc>
        <w:tc>
          <w:tcPr>
            <w:tcW w:w="1647" w:type="dxa"/>
            <w:shd w:val="clear" w:color="auto" w:fill="auto"/>
            <w:noWrap/>
            <w:vAlign w:val="center"/>
          </w:tcPr>
          <w:p w14:paraId="68079960">
            <w:pPr>
              <w:widowControl/>
              <w:spacing w:line="240" w:lineRule="auto"/>
              <w:ind w:firstLine="0" w:firstLineChars="0"/>
              <w:jc w:val="left"/>
              <w:rPr>
                <w:color w:val="auto"/>
              </w:rPr>
            </w:pPr>
            <w:r>
              <w:rPr>
                <w:rFonts w:hint="eastAsia"/>
                <w:color w:val="auto"/>
              </w:rPr>
              <w:t>不驻场</w:t>
            </w:r>
          </w:p>
        </w:tc>
      </w:tr>
      <w:tr w14:paraId="52069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665" w:type="dxa"/>
            <w:shd w:val="clear" w:color="auto" w:fill="auto"/>
            <w:noWrap/>
            <w:vAlign w:val="center"/>
          </w:tcPr>
          <w:p w14:paraId="701D886F">
            <w:pPr>
              <w:widowControl/>
              <w:spacing w:line="240" w:lineRule="auto"/>
              <w:ind w:firstLine="0" w:firstLineChars="0"/>
              <w:jc w:val="center"/>
              <w:rPr>
                <w:color w:val="auto"/>
              </w:rPr>
            </w:pPr>
            <w:r>
              <w:rPr>
                <w:rFonts w:hint="eastAsia"/>
                <w:color w:val="auto"/>
              </w:rPr>
              <w:t>实施工程师</w:t>
            </w:r>
          </w:p>
        </w:tc>
        <w:tc>
          <w:tcPr>
            <w:tcW w:w="1466" w:type="dxa"/>
            <w:shd w:val="clear" w:color="auto" w:fill="auto"/>
            <w:vAlign w:val="center"/>
          </w:tcPr>
          <w:p w14:paraId="38080043">
            <w:pPr>
              <w:widowControl/>
              <w:spacing w:line="240" w:lineRule="auto"/>
              <w:ind w:firstLine="0" w:firstLineChars="0"/>
              <w:jc w:val="center"/>
              <w:rPr>
                <w:color w:val="auto"/>
              </w:rPr>
            </w:pPr>
            <w:r>
              <w:rPr>
                <w:rFonts w:hint="eastAsia"/>
                <w:color w:val="auto"/>
              </w:rPr>
              <w:t>负责项目实施工作</w:t>
            </w:r>
          </w:p>
        </w:tc>
        <w:tc>
          <w:tcPr>
            <w:tcW w:w="1582" w:type="dxa"/>
            <w:shd w:val="clear" w:color="auto" w:fill="auto"/>
            <w:noWrap/>
            <w:vAlign w:val="center"/>
          </w:tcPr>
          <w:p w14:paraId="25FEE096">
            <w:pPr>
              <w:widowControl/>
              <w:spacing w:line="240" w:lineRule="auto"/>
              <w:ind w:firstLine="0" w:firstLineChars="0"/>
              <w:jc w:val="center"/>
              <w:rPr>
                <w:color w:val="auto"/>
              </w:rPr>
            </w:pPr>
            <w:r>
              <w:rPr>
                <w:rFonts w:hint="eastAsia"/>
                <w:color w:val="auto"/>
              </w:rPr>
              <w:t>1人</w:t>
            </w:r>
          </w:p>
        </w:tc>
        <w:tc>
          <w:tcPr>
            <w:tcW w:w="2580" w:type="dxa"/>
            <w:vAlign w:val="center"/>
          </w:tcPr>
          <w:p w14:paraId="3DFA9097">
            <w:pPr>
              <w:widowControl/>
              <w:spacing w:line="240" w:lineRule="auto"/>
              <w:ind w:firstLine="0" w:firstLineChars="0"/>
              <w:jc w:val="center"/>
              <w:rPr>
                <w:color w:val="auto"/>
              </w:rPr>
            </w:pPr>
            <w:r>
              <w:rPr>
                <w:rFonts w:hint="eastAsia"/>
                <w:color w:val="auto"/>
              </w:rPr>
              <w:t>具备信息系统项目管理师或系统分析师证书或软件设计师证书</w:t>
            </w:r>
          </w:p>
        </w:tc>
        <w:tc>
          <w:tcPr>
            <w:tcW w:w="1647" w:type="dxa"/>
            <w:shd w:val="clear" w:color="auto" w:fill="auto"/>
            <w:noWrap/>
            <w:vAlign w:val="center"/>
          </w:tcPr>
          <w:p w14:paraId="5089D03D">
            <w:pPr>
              <w:widowControl/>
              <w:spacing w:line="240" w:lineRule="auto"/>
              <w:ind w:firstLine="0" w:firstLineChars="0"/>
              <w:jc w:val="left"/>
              <w:rPr>
                <w:color w:val="auto"/>
              </w:rPr>
            </w:pPr>
            <w:r>
              <w:rPr>
                <w:color w:val="auto"/>
              </w:rPr>
              <w:t>日常不驻场，根据项目进度需要与甲方协商一致后驻场支持。</w:t>
            </w:r>
          </w:p>
        </w:tc>
      </w:tr>
    </w:tbl>
    <w:p w14:paraId="6AB6846C">
      <w:pPr>
        <w:rPr>
          <w:color w:val="auto"/>
        </w:rPr>
      </w:pPr>
      <w:r>
        <w:rPr>
          <w:color w:val="auto"/>
        </w:rPr>
        <w:t>2）投标人应针对本项目提供不少于</w:t>
      </w:r>
      <w:r>
        <w:rPr>
          <w:rFonts w:hint="eastAsia"/>
          <w:color w:val="auto"/>
        </w:rPr>
        <w:t>5</w:t>
      </w:r>
      <w:r>
        <w:rPr>
          <w:color w:val="auto"/>
        </w:rPr>
        <w:t>人的质保期间支撑团队（其中</w:t>
      </w:r>
      <w:r>
        <w:rPr>
          <w:rFonts w:hint="eastAsia"/>
          <w:color w:val="auto"/>
        </w:rPr>
        <w:t>IT服务经理1人</w:t>
      </w:r>
      <w:r>
        <w:rPr>
          <w:color w:val="auto"/>
        </w:rPr>
        <w:t>，</w:t>
      </w:r>
      <w:r>
        <w:rPr>
          <w:rFonts w:hint="eastAsia"/>
          <w:color w:val="auto"/>
        </w:rPr>
        <w:t>服务工程师2</w:t>
      </w:r>
      <w:r>
        <w:rPr>
          <w:color w:val="auto"/>
        </w:rPr>
        <w:t>人，</w:t>
      </w:r>
      <w:r>
        <w:rPr>
          <w:rFonts w:hint="eastAsia"/>
          <w:color w:val="auto"/>
        </w:rPr>
        <w:t>系统管理工程师2</w:t>
      </w:r>
      <w:r>
        <w:rPr>
          <w:color w:val="auto"/>
        </w:rPr>
        <w:t>人）；投标人的相关服务人员需具备相应的服务能力，需提供相关证明（最近一个季度依法缴纳社保费的证明）。</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96"/>
        <w:gridCol w:w="2741"/>
        <w:gridCol w:w="1180"/>
        <w:gridCol w:w="1531"/>
        <w:gridCol w:w="1180"/>
      </w:tblGrid>
      <w:tr w14:paraId="7AFFB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shd w:val="clear" w:color="auto" w:fill="auto"/>
            <w:noWrap/>
            <w:vAlign w:val="center"/>
          </w:tcPr>
          <w:p w14:paraId="7703095C">
            <w:pPr>
              <w:widowControl/>
              <w:spacing w:line="240" w:lineRule="auto"/>
              <w:ind w:firstLine="0" w:firstLineChars="0"/>
              <w:jc w:val="center"/>
              <w:rPr>
                <w:b/>
                <w:color w:val="auto"/>
              </w:rPr>
            </w:pPr>
            <w:r>
              <w:rPr>
                <w:rFonts w:hint="eastAsia"/>
                <w:b/>
                <w:color w:val="auto"/>
              </w:rPr>
              <w:t>角色</w:t>
            </w:r>
          </w:p>
        </w:tc>
        <w:tc>
          <w:tcPr>
            <w:tcW w:w="0" w:type="auto"/>
            <w:shd w:val="clear" w:color="auto" w:fill="auto"/>
            <w:noWrap/>
            <w:vAlign w:val="center"/>
          </w:tcPr>
          <w:p w14:paraId="4A8AFE5D">
            <w:pPr>
              <w:widowControl/>
              <w:spacing w:line="240" w:lineRule="auto"/>
              <w:ind w:firstLine="0" w:firstLineChars="0"/>
              <w:jc w:val="center"/>
              <w:rPr>
                <w:b/>
                <w:color w:val="auto"/>
              </w:rPr>
            </w:pPr>
            <w:r>
              <w:rPr>
                <w:rFonts w:hint="eastAsia"/>
                <w:b/>
                <w:color w:val="auto"/>
              </w:rPr>
              <w:t>主要职责</w:t>
            </w:r>
          </w:p>
        </w:tc>
        <w:tc>
          <w:tcPr>
            <w:tcW w:w="0" w:type="auto"/>
            <w:shd w:val="clear" w:color="auto" w:fill="auto"/>
            <w:noWrap/>
            <w:vAlign w:val="center"/>
          </w:tcPr>
          <w:p w14:paraId="514D1E02">
            <w:pPr>
              <w:widowControl/>
              <w:spacing w:line="240" w:lineRule="auto"/>
              <w:ind w:firstLine="0" w:firstLineChars="0"/>
              <w:jc w:val="center"/>
              <w:rPr>
                <w:b/>
                <w:color w:val="auto"/>
              </w:rPr>
            </w:pPr>
            <w:r>
              <w:rPr>
                <w:rFonts w:hint="eastAsia"/>
                <w:b/>
                <w:color w:val="auto"/>
              </w:rPr>
              <w:t>人员数量</w:t>
            </w:r>
          </w:p>
        </w:tc>
        <w:tc>
          <w:tcPr>
            <w:tcW w:w="0" w:type="auto"/>
            <w:vAlign w:val="center"/>
          </w:tcPr>
          <w:p w14:paraId="168525F8">
            <w:pPr>
              <w:widowControl/>
              <w:spacing w:line="240" w:lineRule="auto"/>
              <w:ind w:firstLine="0" w:firstLineChars="0"/>
              <w:jc w:val="center"/>
              <w:rPr>
                <w:b/>
                <w:color w:val="auto"/>
              </w:rPr>
            </w:pPr>
            <w:r>
              <w:rPr>
                <w:rFonts w:hint="eastAsia"/>
                <w:b/>
                <w:color w:val="auto"/>
              </w:rPr>
              <w:t>人员要求</w:t>
            </w:r>
          </w:p>
        </w:tc>
        <w:tc>
          <w:tcPr>
            <w:tcW w:w="0" w:type="auto"/>
            <w:shd w:val="clear" w:color="auto" w:fill="auto"/>
            <w:noWrap/>
            <w:vAlign w:val="center"/>
          </w:tcPr>
          <w:p w14:paraId="0D0E5C82">
            <w:pPr>
              <w:widowControl/>
              <w:spacing w:line="240" w:lineRule="auto"/>
              <w:ind w:firstLine="0" w:firstLineChars="0"/>
              <w:jc w:val="center"/>
              <w:rPr>
                <w:b/>
                <w:color w:val="auto"/>
              </w:rPr>
            </w:pPr>
            <w:r>
              <w:rPr>
                <w:rFonts w:hint="eastAsia"/>
                <w:b/>
                <w:color w:val="auto"/>
              </w:rPr>
              <w:t>驻场要求</w:t>
            </w:r>
          </w:p>
        </w:tc>
      </w:tr>
      <w:tr w14:paraId="11602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shd w:val="clear" w:color="auto" w:fill="auto"/>
            <w:noWrap/>
            <w:vAlign w:val="center"/>
          </w:tcPr>
          <w:p w14:paraId="3E28F72C">
            <w:pPr>
              <w:widowControl/>
              <w:spacing w:line="240" w:lineRule="auto"/>
              <w:ind w:firstLine="0" w:firstLineChars="0"/>
              <w:jc w:val="center"/>
              <w:rPr>
                <w:color w:val="auto"/>
              </w:rPr>
            </w:pPr>
            <w:r>
              <w:rPr>
                <w:rFonts w:hint="eastAsia"/>
                <w:color w:val="auto"/>
              </w:rPr>
              <w:t>IT服务经理</w:t>
            </w:r>
          </w:p>
        </w:tc>
        <w:tc>
          <w:tcPr>
            <w:tcW w:w="0" w:type="auto"/>
            <w:shd w:val="clear" w:color="auto" w:fill="auto"/>
            <w:vAlign w:val="center"/>
          </w:tcPr>
          <w:p w14:paraId="449F1A3E">
            <w:pPr>
              <w:widowControl/>
              <w:spacing w:line="240" w:lineRule="auto"/>
              <w:ind w:firstLine="0" w:firstLineChars="0"/>
              <w:jc w:val="center"/>
              <w:rPr>
                <w:color w:val="auto"/>
              </w:rPr>
            </w:pPr>
            <w:r>
              <w:rPr>
                <w:rFonts w:hint="eastAsia"/>
                <w:color w:val="auto"/>
              </w:rPr>
              <w:t>负责项目质保服务管理对接工</w:t>
            </w:r>
          </w:p>
        </w:tc>
        <w:tc>
          <w:tcPr>
            <w:tcW w:w="0" w:type="auto"/>
            <w:shd w:val="clear" w:color="auto" w:fill="auto"/>
            <w:noWrap/>
            <w:vAlign w:val="center"/>
          </w:tcPr>
          <w:p w14:paraId="26BE8C66">
            <w:pPr>
              <w:widowControl/>
              <w:spacing w:line="240" w:lineRule="auto"/>
              <w:ind w:firstLine="0" w:firstLineChars="0"/>
              <w:jc w:val="center"/>
              <w:rPr>
                <w:color w:val="auto"/>
              </w:rPr>
            </w:pPr>
            <w:r>
              <w:rPr>
                <w:rFonts w:hint="eastAsia"/>
                <w:color w:val="auto"/>
              </w:rPr>
              <w:t>1人</w:t>
            </w:r>
          </w:p>
        </w:tc>
        <w:tc>
          <w:tcPr>
            <w:tcW w:w="0" w:type="auto"/>
            <w:vAlign w:val="center"/>
          </w:tcPr>
          <w:p w14:paraId="771CF0A8">
            <w:pPr>
              <w:widowControl/>
              <w:spacing w:line="240" w:lineRule="auto"/>
              <w:ind w:firstLine="0" w:firstLineChars="0"/>
              <w:jc w:val="center"/>
              <w:rPr>
                <w:color w:val="auto"/>
              </w:rPr>
            </w:pPr>
            <w:r>
              <w:rPr>
                <w:rFonts w:hint="eastAsia"/>
                <w:color w:val="auto"/>
              </w:rPr>
              <w:t>具备IT服务项目经理证书</w:t>
            </w:r>
          </w:p>
        </w:tc>
        <w:tc>
          <w:tcPr>
            <w:tcW w:w="0" w:type="auto"/>
            <w:shd w:val="clear" w:color="auto" w:fill="auto"/>
            <w:noWrap/>
            <w:vAlign w:val="center"/>
          </w:tcPr>
          <w:p w14:paraId="2C494170">
            <w:pPr>
              <w:widowControl/>
              <w:spacing w:line="240" w:lineRule="auto"/>
              <w:ind w:firstLine="0" w:firstLineChars="0"/>
              <w:rPr>
                <w:color w:val="auto"/>
              </w:rPr>
            </w:pPr>
            <w:r>
              <w:rPr>
                <w:rFonts w:hint="eastAsia"/>
                <w:color w:val="auto"/>
              </w:rPr>
              <w:t>不驻场</w:t>
            </w:r>
          </w:p>
        </w:tc>
      </w:tr>
      <w:tr w14:paraId="1202B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shd w:val="clear" w:color="auto" w:fill="auto"/>
            <w:noWrap/>
            <w:vAlign w:val="center"/>
          </w:tcPr>
          <w:p w14:paraId="30FC978C">
            <w:pPr>
              <w:widowControl/>
              <w:spacing w:line="240" w:lineRule="auto"/>
              <w:ind w:firstLine="0" w:firstLineChars="0"/>
              <w:jc w:val="center"/>
              <w:rPr>
                <w:color w:val="auto"/>
              </w:rPr>
            </w:pPr>
            <w:r>
              <w:rPr>
                <w:rFonts w:hint="eastAsia"/>
                <w:color w:val="auto"/>
              </w:rPr>
              <w:t>服务工程师</w:t>
            </w:r>
          </w:p>
        </w:tc>
        <w:tc>
          <w:tcPr>
            <w:tcW w:w="0" w:type="auto"/>
            <w:shd w:val="clear" w:color="auto" w:fill="auto"/>
            <w:vAlign w:val="center"/>
          </w:tcPr>
          <w:p w14:paraId="654EB28B">
            <w:pPr>
              <w:widowControl/>
              <w:spacing w:line="240" w:lineRule="auto"/>
              <w:ind w:firstLine="0" w:firstLineChars="0"/>
              <w:jc w:val="center"/>
              <w:rPr>
                <w:color w:val="auto"/>
              </w:rPr>
            </w:pPr>
            <w:r>
              <w:rPr>
                <w:rFonts w:hint="eastAsia"/>
                <w:color w:val="auto"/>
              </w:rPr>
              <w:t>负责项目需求评估与产品设计</w:t>
            </w:r>
          </w:p>
        </w:tc>
        <w:tc>
          <w:tcPr>
            <w:tcW w:w="0" w:type="auto"/>
            <w:shd w:val="clear" w:color="auto" w:fill="auto"/>
            <w:noWrap/>
            <w:vAlign w:val="center"/>
          </w:tcPr>
          <w:p w14:paraId="172472CA">
            <w:pPr>
              <w:widowControl/>
              <w:spacing w:line="240" w:lineRule="auto"/>
              <w:ind w:firstLine="0" w:firstLineChars="0"/>
              <w:jc w:val="center"/>
              <w:rPr>
                <w:color w:val="auto"/>
              </w:rPr>
            </w:pPr>
            <w:r>
              <w:rPr>
                <w:rFonts w:hint="eastAsia"/>
                <w:color w:val="auto"/>
              </w:rPr>
              <w:t>2人</w:t>
            </w:r>
          </w:p>
        </w:tc>
        <w:tc>
          <w:tcPr>
            <w:tcW w:w="0" w:type="auto"/>
            <w:vAlign w:val="center"/>
          </w:tcPr>
          <w:p w14:paraId="6C545F42">
            <w:pPr>
              <w:widowControl/>
              <w:spacing w:line="240" w:lineRule="auto"/>
              <w:ind w:firstLine="0" w:firstLineChars="0"/>
              <w:jc w:val="center"/>
              <w:rPr>
                <w:color w:val="auto"/>
              </w:rPr>
            </w:pPr>
            <w:r>
              <w:rPr>
                <w:rFonts w:hint="eastAsia"/>
                <w:color w:val="auto"/>
              </w:rPr>
              <w:t>具备信息安全保障人员（安全运维）证书</w:t>
            </w:r>
          </w:p>
        </w:tc>
        <w:tc>
          <w:tcPr>
            <w:tcW w:w="0" w:type="auto"/>
            <w:shd w:val="clear" w:color="auto" w:fill="auto"/>
            <w:noWrap/>
            <w:vAlign w:val="center"/>
          </w:tcPr>
          <w:p w14:paraId="7BD769CC">
            <w:pPr>
              <w:widowControl/>
              <w:spacing w:line="240" w:lineRule="auto"/>
              <w:ind w:firstLine="0" w:firstLineChars="0"/>
              <w:rPr>
                <w:color w:val="auto"/>
              </w:rPr>
            </w:pPr>
            <w:r>
              <w:rPr>
                <w:rFonts w:hint="eastAsia"/>
                <w:color w:val="auto"/>
              </w:rPr>
              <w:t>不驻场</w:t>
            </w:r>
          </w:p>
        </w:tc>
      </w:tr>
      <w:tr w14:paraId="72273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shd w:val="clear" w:color="auto" w:fill="auto"/>
            <w:noWrap/>
            <w:vAlign w:val="center"/>
          </w:tcPr>
          <w:p w14:paraId="0E19BFFC">
            <w:pPr>
              <w:widowControl/>
              <w:spacing w:line="240" w:lineRule="auto"/>
              <w:ind w:firstLine="0" w:firstLineChars="0"/>
              <w:jc w:val="center"/>
              <w:rPr>
                <w:color w:val="auto"/>
              </w:rPr>
            </w:pPr>
            <w:r>
              <w:rPr>
                <w:rFonts w:hint="eastAsia"/>
                <w:color w:val="auto"/>
              </w:rPr>
              <w:t>系统管理工程师</w:t>
            </w:r>
          </w:p>
        </w:tc>
        <w:tc>
          <w:tcPr>
            <w:tcW w:w="0" w:type="auto"/>
            <w:shd w:val="clear" w:color="auto" w:fill="auto"/>
            <w:noWrap/>
            <w:vAlign w:val="center"/>
          </w:tcPr>
          <w:p w14:paraId="0CE6DA40">
            <w:pPr>
              <w:widowControl/>
              <w:spacing w:line="240" w:lineRule="auto"/>
              <w:ind w:firstLine="0" w:firstLineChars="0"/>
              <w:jc w:val="center"/>
              <w:rPr>
                <w:color w:val="auto"/>
              </w:rPr>
            </w:pPr>
            <w:r>
              <w:rPr>
                <w:rFonts w:hint="eastAsia"/>
                <w:color w:val="auto"/>
              </w:rPr>
              <w:t>负责项目系统管理工作</w:t>
            </w:r>
          </w:p>
        </w:tc>
        <w:tc>
          <w:tcPr>
            <w:tcW w:w="0" w:type="auto"/>
            <w:shd w:val="clear" w:color="auto" w:fill="auto"/>
            <w:noWrap/>
            <w:vAlign w:val="center"/>
          </w:tcPr>
          <w:p w14:paraId="0F4F8978">
            <w:pPr>
              <w:widowControl/>
              <w:spacing w:line="240" w:lineRule="auto"/>
              <w:ind w:firstLine="0" w:firstLineChars="0"/>
              <w:jc w:val="center"/>
              <w:rPr>
                <w:color w:val="auto"/>
              </w:rPr>
            </w:pPr>
            <w:r>
              <w:rPr>
                <w:rFonts w:hint="eastAsia"/>
                <w:color w:val="auto"/>
              </w:rPr>
              <w:t>2人</w:t>
            </w:r>
          </w:p>
        </w:tc>
        <w:tc>
          <w:tcPr>
            <w:tcW w:w="0" w:type="auto"/>
            <w:vAlign w:val="center"/>
          </w:tcPr>
          <w:p w14:paraId="79596741">
            <w:pPr>
              <w:widowControl/>
              <w:spacing w:line="240" w:lineRule="auto"/>
              <w:ind w:firstLine="0" w:firstLineChars="0"/>
              <w:jc w:val="center"/>
              <w:rPr>
                <w:color w:val="auto"/>
              </w:rPr>
            </w:pPr>
            <w:r>
              <w:rPr>
                <w:rFonts w:hint="eastAsia"/>
                <w:color w:val="auto"/>
              </w:rPr>
              <w:t>具备国家信息技术服务标准应用经理培训合格证书</w:t>
            </w:r>
          </w:p>
        </w:tc>
        <w:tc>
          <w:tcPr>
            <w:tcW w:w="0" w:type="auto"/>
            <w:shd w:val="clear" w:color="auto" w:fill="auto"/>
            <w:noWrap/>
            <w:vAlign w:val="center"/>
          </w:tcPr>
          <w:p w14:paraId="75DB1E53">
            <w:pPr>
              <w:widowControl/>
              <w:spacing w:line="240" w:lineRule="auto"/>
              <w:ind w:firstLine="0" w:firstLineChars="0"/>
              <w:rPr>
                <w:color w:val="auto"/>
              </w:rPr>
            </w:pPr>
            <w:r>
              <w:rPr>
                <w:rFonts w:hint="eastAsia"/>
                <w:color w:val="auto"/>
              </w:rPr>
              <w:t>不驻场</w:t>
            </w:r>
          </w:p>
        </w:tc>
      </w:tr>
    </w:tbl>
    <w:p w14:paraId="6679DD39">
      <w:pPr>
        <w:pStyle w:val="4"/>
        <w:ind w:left="0" w:firstLine="423" w:firstLineChars="141"/>
        <w:rPr>
          <w:color w:val="auto"/>
        </w:rPr>
      </w:pPr>
      <w:bookmarkStart w:id="26" w:name="_Toc63785511"/>
      <w:r>
        <w:rPr>
          <w:color w:val="auto"/>
        </w:rPr>
        <w:t>等级保护要求</w:t>
      </w:r>
      <w:bookmarkEnd w:id="26"/>
    </w:p>
    <w:p w14:paraId="6C28BD21">
      <w:pPr>
        <w:rPr>
          <w:rFonts w:ascii="仿宋_GB2312" w:eastAsia="仿宋_GB2312" w:cs="仿宋_GB2312"/>
          <w:color w:val="auto"/>
          <w:kern w:val="0"/>
          <w:sz w:val="28"/>
          <w:szCs w:val="28"/>
        </w:rPr>
      </w:pPr>
      <w:r>
        <w:rPr>
          <w:color w:val="auto"/>
        </w:rPr>
        <w:t>本项目等级保护要求：</w:t>
      </w:r>
      <w:r>
        <w:rPr>
          <w:rFonts w:hint="eastAsia"/>
          <w:color w:val="auto"/>
        </w:rPr>
        <w:t>要满足信息安全等保二级</w:t>
      </w:r>
      <w:r>
        <w:rPr>
          <w:rFonts w:hint="eastAsia"/>
          <w:color w:val="auto"/>
          <w:lang w:eastAsia="zh-Hans"/>
        </w:rPr>
        <w:t>及以上</w:t>
      </w:r>
      <w:r>
        <w:rPr>
          <w:rFonts w:hint="eastAsia"/>
          <w:color w:val="auto"/>
        </w:rPr>
        <w:t>的要求，建设完成后要进行安全测试。</w:t>
      </w:r>
    </w:p>
    <w:p w14:paraId="71EC8AA1">
      <w:pPr>
        <w:pStyle w:val="4"/>
        <w:ind w:left="0" w:firstLine="423" w:firstLineChars="141"/>
        <w:rPr>
          <w:color w:val="auto"/>
        </w:rPr>
      </w:pPr>
      <w:r>
        <w:rPr>
          <w:rFonts w:hint="eastAsia"/>
          <w:color w:val="auto"/>
        </w:rPr>
        <w:t>商业密码应用需求</w:t>
      </w:r>
    </w:p>
    <w:p w14:paraId="1A8F3535">
      <w:pPr>
        <w:rPr>
          <w:color w:val="auto"/>
        </w:rPr>
      </w:pPr>
      <w:r>
        <w:rPr>
          <w:rFonts w:hint="eastAsia"/>
          <w:color w:val="auto"/>
        </w:rPr>
        <w:t>投标人应配合完成商用密码应用安全性评估，并在验收前取得评估报告，评估报告中相关指标应符合市大数据</w:t>
      </w:r>
      <w:bookmarkStart w:id="29" w:name="_GoBack"/>
      <w:bookmarkEnd w:id="29"/>
      <w:r>
        <w:rPr>
          <w:rFonts w:hint="eastAsia"/>
          <w:color w:val="auto"/>
        </w:rPr>
        <w:t>中心验收要求</w:t>
      </w:r>
      <w:r>
        <w:rPr>
          <w:rFonts w:hint="eastAsia"/>
          <w:color w:val="auto"/>
          <w:lang w:eastAsia="zh-CN"/>
        </w:rPr>
        <w:t>，</w:t>
      </w:r>
      <w:r>
        <w:rPr>
          <w:rFonts w:hint="eastAsia"/>
          <w:color w:val="auto"/>
          <w:lang w:val="en-US" w:eastAsia="zh-CN"/>
        </w:rPr>
        <w:t>且满足GB/T39786-2021《信息安全技术信息系统密码应用基本要求》中指标要求</w:t>
      </w:r>
      <w:r>
        <w:rPr>
          <w:rFonts w:hint="eastAsia"/>
          <w:color w:val="auto"/>
        </w:rPr>
        <w:t>。</w:t>
      </w:r>
    </w:p>
    <w:p w14:paraId="02F8E955">
      <w:pPr>
        <w:pStyle w:val="4"/>
        <w:ind w:left="0" w:firstLine="423" w:firstLineChars="141"/>
        <w:rPr>
          <w:color w:val="auto"/>
        </w:rPr>
      </w:pPr>
      <w:bookmarkStart w:id="27" w:name="_Toc63785512"/>
      <w:r>
        <w:rPr>
          <w:rFonts w:hint="eastAsia"/>
          <w:color w:val="auto"/>
        </w:rPr>
        <w:t>技术文件要求</w:t>
      </w:r>
    </w:p>
    <w:p w14:paraId="221C0266">
      <w:pPr>
        <w:rPr>
          <w:color w:val="auto"/>
        </w:rPr>
      </w:pPr>
      <w:r>
        <w:rPr>
          <w:rFonts w:hint="eastAsia"/>
          <w:color w:val="auto"/>
        </w:rPr>
        <w:t>投标人提供的书面技术资料应能确保系统正常运行所需的管理、运营及维护有关的全套文件。技术文件应该全面、完整、详细。投标人提供的技术文件至少应包括：</w:t>
      </w:r>
    </w:p>
    <w:p w14:paraId="2794D674">
      <w:pPr>
        <w:rPr>
          <w:color w:val="auto"/>
        </w:rPr>
      </w:pPr>
      <w:r>
        <w:rPr>
          <w:rFonts w:hint="eastAsia"/>
          <w:color w:val="auto"/>
        </w:rPr>
        <w:t xml:space="preserve">－ 系统说明文件； </w:t>
      </w:r>
    </w:p>
    <w:p w14:paraId="1070F361">
      <w:pPr>
        <w:rPr>
          <w:color w:val="auto"/>
        </w:rPr>
      </w:pPr>
      <w:r>
        <w:rPr>
          <w:rFonts w:hint="eastAsia"/>
          <w:color w:val="auto"/>
        </w:rPr>
        <w:t>－ 项目文档，应该包括：</w:t>
      </w:r>
    </w:p>
    <w:p w14:paraId="58357F11">
      <w:pPr>
        <w:rPr>
          <w:color w:val="auto"/>
        </w:rPr>
      </w:pPr>
      <w:r>
        <w:rPr>
          <w:rFonts w:hint="eastAsia"/>
          <w:color w:val="auto"/>
        </w:rPr>
        <w:t>(1)软件需求说明书</w:t>
      </w:r>
    </w:p>
    <w:p w14:paraId="17589D2C">
      <w:pPr>
        <w:rPr>
          <w:color w:val="auto"/>
        </w:rPr>
      </w:pPr>
      <w:r>
        <w:rPr>
          <w:rFonts w:hint="eastAsia"/>
          <w:color w:val="auto"/>
        </w:rPr>
        <w:t>(2)系统总体设计说明书</w:t>
      </w:r>
    </w:p>
    <w:p w14:paraId="3D926D56">
      <w:pPr>
        <w:rPr>
          <w:color w:val="auto"/>
        </w:rPr>
      </w:pPr>
      <w:r>
        <w:rPr>
          <w:rFonts w:hint="eastAsia"/>
          <w:color w:val="auto"/>
        </w:rPr>
        <w:t>(3)应用软件功能清单</w:t>
      </w:r>
    </w:p>
    <w:p w14:paraId="0B6F4F3A">
      <w:pPr>
        <w:rPr>
          <w:color w:val="auto"/>
        </w:rPr>
      </w:pPr>
      <w:r>
        <w:rPr>
          <w:rFonts w:hint="eastAsia"/>
          <w:color w:val="auto"/>
        </w:rPr>
        <w:t>提供全套技术文件纸介质3套以及电子文件1套。</w:t>
      </w:r>
      <w:bookmarkEnd w:id="27"/>
    </w:p>
    <w:p w14:paraId="19C5FFBA">
      <w:pPr>
        <w:pStyle w:val="17"/>
        <w:ind w:firstLine="420"/>
        <w:rPr>
          <w:color w:val="auto"/>
        </w:rPr>
      </w:pPr>
    </w:p>
    <w:p w14:paraId="483F1539">
      <w:pPr>
        <w:pStyle w:val="3"/>
        <w:rPr>
          <w:color w:val="auto"/>
        </w:rPr>
      </w:pPr>
      <w:bookmarkStart w:id="28" w:name="_Toc68798863"/>
      <w:r>
        <w:rPr>
          <w:rFonts w:hint="eastAsia"/>
          <w:color w:val="auto"/>
        </w:rPr>
        <w:t>附录</w:t>
      </w:r>
      <w:bookmarkEnd w:id="28"/>
    </w:p>
    <w:p w14:paraId="371E0B8B">
      <w:pPr>
        <w:ind w:firstLine="482"/>
        <w:rPr>
          <w:b/>
          <w:color w:val="auto"/>
        </w:rPr>
      </w:pPr>
      <w:r>
        <w:rPr>
          <w:rFonts w:hint="eastAsia"/>
          <w:b/>
          <w:color w:val="auto"/>
        </w:rPr>
        <w:t>若项目建设过程中需符合相关技术标准或规范文件的要求，请将相关文件作为附件列出。</w:t>
      </w:r>
    </w:p>
    <w:p w14:paraId="16AD9330">
      <w:pPr>
        <w:ind w:firstLine="482"/>
        <w:rPr>
          <w:color w:val="auto"/>
        </w:rPr>
      </w:pPr>
      <w:r>
        <w:rPr>
          <w:rFonts w:hint="eastAsia"/>
          <w:b/>
          <w:color w:val="auto"/>
        </w:rPr>
        <w:t>参考如下：</w:t>
      </w:r>
    </w:p>
    <w:p w14:paraId="1BF45B0D">
      <w:pPr>
        <w:ind w:firstLine="0" w:firstLineChars="0"/>
        <w:rPr>
          <w:color w:val="auto"/>
        </w:rPr>
      </w:pPr>
      <w:r>
        <w:rPr>
          <w:rFonts w:hint="eastAsia"/>
          <w:color w:val="auto"/>
        </w:rPr>
        <w:t>1、</w:t>
      </w:r>
      <w:r>
        <w:rPr>
          <w:color w:val="auto"/>
        </w:rPr>
        <w:t>《政务网络安全监测平台总体技术要求》</w:t>
      </w:r>
    </w:p>
    <w:p w14:paraId="0855C78F">
      <w:pPr>
        <w:ind w:firstLine="0" w:firstLineChars="0"/>
        <w:rPr>
          <w:color w:val="auto"/>
        </w:rPr>
      </w:pPr>
      <w:r>
        <w:rPr>
          <w:color w:val="auto"/>
        </w:rPr>
        <w:object>
          <v:shape id="_x0000_i1025" o:spt="75" type="#_x0000_t75" style="height:56.95pt;width:77.85pt;" o:ole="t" filled="f" o:preferrelative="t" stroked="f" coordsize="21600,21600">
            <v:path/>
            <v:fill on="f" focussize="0,0"/>
            <v:stroke on="f" joinstyle="miter"/>
            <v:imagedata r:id="rId13" o:title=""/>
            <o:lock v:ext="edit" aspectratio="t"/>
            <w10:wrap type="none"/>
            <w10:anchorlock/>
          </v:shape>
          <o:OLEObject Type="Embed" ProgID="Package" ShapeID="_x0000_i1025" DrawAspect="Icon" ObjectID="_1468075725" r:id="rId12">
            <o:LockedField>false</o:LockedField>
          </o:OLEObject>
        </w:object>
      </w:r>
    </w:p>
    <w:p w14:paraId="5DD57783">
      <w:pPr>
        <w:ind w:firstLine="0" w:firstLineChars="0"/>
        <w:rPr>
          <w:color w:val="auto"/>
        </w:rPr>
      </w:pPr>
    </w:p>
    <w:p w14:paraId="6156D021">
      <w:pPr>
        <w:ind w:firstLine="0" w:firstLineChars="0"/>
        <w:jc w:val="left"/>
        <w:rPr>
          <w:color w:val="auto"/>
        </w:rPr>
      </w:pPr>
      <w:r>
        <w:rPr>
          <w:rFonts w:hint="eastAsia"/>
          <w:color w:val="auto"/>
        </w:rPr>
        <w:t>2、《上海市电子政务外网建设和运行管理指南（试行）》</w:t>
      </w:r>
    </w:p>
    <w:p w14:paraId="5A7B5F46">
      <w:pPr>
        <w:ind w:firstLine="0" w:firstLineChars="0"/>
        <w:jc w:val="left"/>
        <w:rPr>
          <w:color w:val="auto"/>
        </w:rPr>
      </w:pPr>
      <w:r>
        <w:rPr>
          <w:color w:val="auto"/>
        </w:rPr>
        <w:object>
          <v:shape id="_x0000_i1026" o:spt="75" type="#_x0000_t75" style="height:55.25pt;width:76.2pt;" o:ole="t" filled="f" o:preferrelative="t" stroked="f" coordsize="21600,21600">
            <v:path/>
            <v:fill on="f" focussize="0,0"/>
            <v:stroke on="f" joinstyle="miter"/>
            <v:imagedata r:id="rId15" o:title=""/>
            <o:lock v:ext="edit" aspectratio="t"/>
            <w10:wrap type="none"/>
            <w10:anchorlock/>
          </v:shape>
          <o:OLEObject Type="Embed" ProgID="Package" ShapeID="_x0000_i1026" DrawAspect="Icon" ObjectID="_1468075726" r:id="rId14">
            <o:LockedField>false</o:LockedField>
          </o:OLEObject>
        </w:object>
      </w:r>
    </w:p>
    <w:p w14:paraId="4A02DFBD">
      <w:pPr>
        <w:ind w:firstLine="0" w:firstLineChars="0"/>
        <w:jc w:val="left"/>
        <w:rPr>
          <w:b/>
          <w:bCs/>
          <w:color w:val="auto"/>
        </w:rPr>
      </w:pPr>
      <w:r>
        <w:rPr>
          <w:rFonts w:hint="eastAsia"/>
          <w:color w:val="auto"/>
        </w:rPr>
        <w:t>3、其他标准</w:t>
      </w:r>
    </w:p>
    <w:p w14:paraId="54F65EA0">
      <w:pPr>
        <w:ind w:left="0" w:leftChars="0" w:firstLine="0" w:firstLineChars="0"/>
        <w:rPr>
          <w:color w:val="auto"/>
        </w:rPr>
      </w:pPr>
    </w:p>
    <w:sectPr>
      <w:headerReference r:id="rId7" w:type="first"/>
      <w:footerReference r:id="rId10" w:type="first"/>
      <w:headerReference r:id="rId5" w:type="default"/>
      <w:footerReference r:id="rId8" w:type="default"/>
      <w:headerReference r:id="rId6" w:type="even"/>
      <w:footerReference r:id="rId9" w:type="even"/>
      <w:pgSz w:w="11906" w:h="16838"/>
      <w:pgMar w:top="1134" w:right="1797" w:bottom="1135" w:left="1797" w:header="340" w:footer="7" w:gutter="0"/>
      <w:pgNumType w:start="1"/>
      <w:cols w:space="720" w:num="1"/>
      <w:titlePg/>
      <w:docGrid w:type="linesAndChar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46A764">
    <w:pPr>
      <w:pStyle w:val="8"/>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9C4788">
    <w:pPr>
      <w:pStyle w:val="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9B290">
    <w:pPr>
      <w:ind w:firstLine="0" w:firstLineChars="0"/>
      <w:jc w:val="center"/>
      <w:rPr>
        <w:lang w:val="zh-CN"/>
      </w:rPr>
    </w:pPr>
    <w:r>
      <w:rPr>
        <w:lang w:val="zh-CN"/>
      </w:rPr>
      <w:fldChar w:fldCharType="begin"/>
    </w:r>
    <w:r>
      <w:rPr>
        <w:lang w:val="zh-CN"/>
      </w:rPr>
      <w:instrText xml:space="preserve">PAGE   \* MERGEFORMAT</w:instrText>
    </w:r>
    <w:r>
      <w:rPr>
        <w:lang w:val="zh-CN"/>
      </w:rPr>
      <w:fldChar w:fldCharType="separate"/>
    </w:r>
    <w:r>
      <w:rPr>
        <w:lang w:val="zh-CN"/>
      </w:rPr>
      <w:t>1</w:t>
    </w:r>
    <w:r>
      <w:rPr>
        <w:lang w:val="zh-CN"/>
      </w:rPr>
      <w:fldChar w:fldCharType="end"/>
    </w:r>
  </w:p>
  <w:p w14:paraId="031400C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EE742B">
    <w:pPr>
      <w:pStyle w:val="9"/>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A46BE8">
    <w:pPr>
      <w:pStyle w:val="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CBBCEE">
    <w:pPr>
      <w:pStyle w:val="9"/>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4E6A70"/>
    <w:multiLevelType w:val="singleLevel"/>
    <w:tmpl w:val="AA4E6A70"/>
    <w:lvl w:ilvl="0" w:tentative="0">
      <w:start w:val="1"/>
      <w:numFmt w:val="decimal"/>
      <w:lvlText w:val="%1."/>
      <w:lvlJc w:val="left"/>
      <w:pPr>
        <w:ind w:left="425" w:hanging="425"/>
      </w:pPr>
      <w:rPr>
        <w:rFonts w:hint="default"/>
      </w:rPr>
    </w:lvl>
  </w:abstractNum>
  <w:abstractNum w:abstractNumId="1">
    <w:nsid w:val="E3A3F140"/>
    <w:multiLevelType w:val="singleLevel"/>
    <w:tmpl w:val="E3A3F140"/>
    <w:lvl w:ilvl="0" w:tentative="0">
      <w:start w:val="1"/>
      <w:numFmt w:val="decimal"/>
      <w:suff w:val="nothing"/>
      <w:lvlText w:val="（%1）"/>
      <w:lvlJc w:val="left"/>
      <w:pPr>
        <w:ind w:left="0" w:firstLine="403"/>
      </w:pPr>
      <w:rPr>
        <w:rFonts w:hint="default"/>
      </w:rPr>
    </w:lvl>
  </w:abstractNum>
  <w:abstractNum w:abstractNumId="2">
    <w:nsid w:val="FB27ACBC"/>
    <w:multiLevelType w:val="singleLevel"/>
    <w:tmpl w:val="FB27ACBC"/>
    <w:lvl w:ilvl="0" w:tentative="0">
      <w:start w:val="1"/>
      <w:numFmt w:val="decimal"/>
      <w:suff w:val="nothing"/>
      <w:lvlText w:val="（%1）"/>
      <w:lvlJc w:val="left"/>
      <w:pPr>
        <w:ind w:left="0" w:firstLine="403"/>
      </w:pPr>
      <w:rPr>
        <w:rFonts w:hint="default"/>
      </w:rPr>
    </w:lvl>
  </w:abstractNum>
  <w:abstractNum w:abstractNumId="3">
    <w:nsid w:val="6A2F4AB3"/>
    <w:multiLevelType w:val="multilevel"/>
    <w:tmpl w:val="6A2F4AB3"/>
    <w:lvl w:ilvl="0" w:tentative="0">
      <w:start w:val="1"/>
      <w:numFmt w:val="chineseCountingThousand"/>
      <w:pStyle w:val="3"/>
      <w:suff w:val="nothing"/>
      <w:lvlText w:val="%1、"/>
      <w:lvlJc w:val="left"/>
      <w:pPr>
        <w:ind w:left="425" w:hanging="425"/>
      </w:pPr>
      <w:rPr>
        <w:rFonts w:hint="eastAsia"/>
        <w:sz w:val="32"/>
        <w:szCs w:val="32"/>
      </w:rPr>
    </w:lvl>
    <w:lvl w:ilvl="1" w:tentative="0">
      <w:start w:val="1"/>
      <w:numFmt w:val="decimal"/>
      <w:pStyle w:val="4"/>
      <w:isLgl/>
      <w:suff w:val="nothing"/>
      <w:lvlText w:val="%1.%2、"/>
      <w:lvlJc w:val="left"/>
      <w:pPr>
        <w:ind w:left="4537" w:hanging="567"/>
      </w:pPr>
    </w:lvl>
    <w:lvl w:ilvl="2" w:tentative="0">
      <w:start w:val="1"/>
      <w:numFmt w:val="decimal"/>
      <w:isLgl/>
      <w:suff w:val="nothing"/>
      <w:lvlText w:val="%1.%2.%3、"/>
      <w:lvlJc w:val="left"/>
      <w:pPr>
        <w:ind w:left="1069" w:hanging="1069"/>
      </w:pPr>
      <w:rPr>
        <w:rFonts w:hint="default" w:ascii="宋体" w:hAnsi="宋体" w:eastAsia="宋体" w:cs="Arial"/>
      </w:rPr>
    </w:lvl>
    <w:lvl w:ilvl="3" w:tentative="0">
      <w:start w:val="1"/>
      <w:numFmt w:val="decimal"/>
      <w:isLgl/>
      <w:suff w:val="nothing"/>
      <w:lvlText w:val="%1.%2.%3.%4、"/>
      <w:lvlJc w:val="left"/>
      <w:pPr>
        <w:ind w:left="3403" w:hanging="851"/>
      </w:pPr>
    </w:lvl>
    <w:lvl w:ilvl="4" w:tentative="0">
      <w:start w:val="1"/>
      <w:numFmt w:val="decimal"/>
      <w:isLgl/>
      <w:suff w:val="nothing"/>
      <w:lvlText w:val="%1.%2.%3.%4.%5、"/>
      <w:lvlJc w:val="left"/>
      <w:pPr>
        <w:ind w:left="3544" w:hanging="992"/>
      </w:pPr>
      <w:rPr>
        <w:rFonts w:hint="eastAsia"/>
      </w:rPr>
    </w:lvl>
    <w:lvl w:ilvl="5" w:tentative="0">
      <w:start w:val="1"/>
      <w:numFmt w:val="decimal"/>
      <w:isLgl/>
      <w:suff w:val="nothing"/>
      <w:lvlText w:val="%1.%2.%3.%4.%5.%6、"/>
      <w:lvlJc w:val="left"/>
      <w:pPr>
        <w:ind w:left="1134" w:hanging="1134"/>
      </w:pPr>
      <w:rPr>
        <w:rFonts w:hint="eastAsia"/>
      </w:rPr>
    </w:lvl>
    <w:lvl w:ilvl="6" w:tentative="0">
      <w:start w:val="1"/>
      <w:numFmt w:val="decimal"/>
      <w:isLgl/>
      <w:lvlText w:val="%1.%2.%3.%4.%5.%6.%7"/>
      <w:lvlJc w:val="left"/>
      <w:pPr>
        <w:tabs>
          <w:tab w:val="left" w:pos="1800"/>
        </w:tabs>
        <w:ind w:left="1276" w:hanging="1276"/>
      </w:pPr>
      <w:rPr>
        <w:rFonts w:hint="eastAsia"/>
      </w:rPr>
    </w:lvl>
    <w:lvl w:ilvl="7" w:tentative="0">
      <w:start w:val="1"/>
      <w:numFmt w:val="decimal"/>
      <w:isLgl/>
      <w:lvlText w:val="%1.%2.%3.%4.%5.%6.%7.%8"/>
      <w:lvlJc w:val="left"/>
      <w:pPr>
        <w:tabs>
          <w:tab w:val="left" w:pos="1800"/>
        </w:tabs>
        <w:ind w:left="1418" w:hanging="1418"/>
      </w:pPr>
      <w:rPr>
        <w:rFonts w:hint="eastAsia"/>
      </w:rPr>
    </w:lvl>
    <w:lvl w:ilvl="8" w:tentative="0">
      <w:start w:val="1"/>
      <w:numFmt w:val="decimal"/>
      <w:isLgl/>
      <w:lvlText w:val="%1.%2.%3.%4.%5.%6.%7.%8.%9"/>
      <w:lvlJc w:val="left"/>
      <w:pPr>
        <w:tabs>
          <w:tab w:val="left" w:pos="2160"/>
        </w:tabs>
        <w:ind w:left="1559" w:hanging="1559"/>
      </w:pPr>
      <w:rPr>
        <w:rFonts w:hint="eastAsia"/>
      </w:rPr>
    </w:lvl>
  </w:abstractNum>
  <w:abstractNum w:abstractNumId="4">
    <w:nsid w:val="6FBB526F"/>
    <w:multiLevelType w:val="singleLevel"/>
    <w:tmpl w:val="6FBB526F"/>
    <w:lvl w:ilvl="0" w:tentative="0">
      <w:start w:val="1"/>
      <w:numFmt w:val="decimalEnclosedCircleChinese"/>
      <w:suff w:val="nothing"/>
      <w:lvlText w:val="%1　"/>
      <w:lvlJc w:val="left"/>
      <w:pPr>
        <w:ind w:left="0" w:firstLine="400"/>
      </w:pPr>
      <w:rPr>
        <w:rFonts w:hint="eastAsia"/>
      </w:r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M1OTMyYmVkNDBiZGZjOTJjNzg0ZTljMGM2NGM1NWEifQ=="/>
  </w:docVars>
  <w:rsids>
    <w:rsidRoot w:val="00E85267"/>
    <w:rsid w:val="000617CB"/>
    <w:rsid w:val="00065982"/>
    <w:rsid w:val="001B63FF"/>
    <w:rsid w:val="00285F80"/>
    <w:rsid w:val="0028754C"/>
    <w:rsid w:val="002B3F20"/>
    <w:rsid w:val="00342E67"/>
    <w:rsid w:val="00367102"/>
    <w:rsid w:val="003D560B"/>
    <w:rsid w:val="006016A5"/>
    <w:rsid w:val="00A27F40"/>
    <w:rsid w:val="00A50F4C"/>
    <w:rsid w:val="00B4449B"/>
    <w:rsid w:val="00CB77BE"/>
    <w:rsid w:val="00D57F6F"/>
    <w:rsid w:val="00D6288C"/>
    <w:rsid w:val="00D95CC9"/>
    <w:rsid w:val="00DB0810"/>
    <w:rsid w:val="00DC604D"/>
    <w:rsid w:val="00E162DB"/>
    <w:rsid w:val="00E5294E"/>
    <w:rsid w:val="00E653BD"/>
    <w:rsid w:val="00E85267"/>
    <w:rsid w:val="00EC4BE1"/>
    <w:rsid w:val="00EE57DD"/>
    <w:rsid w:val="00F10E4F"/>
    <w:rsid w:val="01730582"/>
    <w:rsid w:val="018C33F1"/>
    <w:rsid w:val="02FA438B"/>
    <w:rsid w:val="032B6C3A"/>
    <w:rsid w:val="046B5540"/>
    <w:rsid w:val="060F2843"/>
    <w:rsid w:val="063C4326"/>
    <w:rsid w:val="06420522"/>
    <w:rsid w:val="075C73C2"/>
    <w:rsid w:val="09C217D5"/>
    <w:rsid w:val="0CF14A50"/>
    <w:rsid w:val="0D9F26FE"/>
    <w:rsid w:val="0E59465B"/>
    <w:rsid w:val="0F182768"/>
    <w:rsid w:val="10321608"/>
    <w:rsid w:val="11887240"/>
    <w:rsid w:val="124F64A1"/>
    <w:rsid w:val="12BC78AF"/>
    <w:rsid w:val="12C86FBE"/>
    <w:rsid w:val="133B6A25"/>
    <w:rsid w:val="1376180B"/>
    <w:rsid w:val="15BB209F"/>
    <w:rsid w:val="1763586C"/>
    <w:rsid w:val="17AA4179"/>
    <w:rsid w:val="18602A8A"/>
    <w:rsid w:val="18E5190D"/>
    <w:rsid w:val="19C332D1"/>
    <w:rsid w:val="19C37774"/>
    <w:rsid w:val="1A1F0E4F"/>
    <w:rsid w:val="1B9238A2"/>
    <w:rsid w:val="1C393D1E"/>
    <w:rsid w:val="1C511068"/>
    <w:rsid w:val="20126D60"/>
    <w:rsid w:val="227710FC"/>
    <w:rsid w:val="240B5FA0"/>
    <w:rsid w:val="24A7216D"/>
    <w:rsid w:val="25214DF2"/>
    <w:rsid w:val="25513E86"/>
    <w:rsid w:val="25EC3BAF"/>
    <w:rsid w:val="266A16A4"/>
    <w:rsid w:val="26EC72EE"/>
    <w:rsid w:val="27985D9D"/>
    <w:rsid w:val="28444AB8"/>
    <w:rsid w:val="29385A89"/>
    <w:rsid w:val="2DD83397"/>
    <w:rsid w:val="309537C1"/>
    <w:rsid w:val="311C7A3E"/>
    <w:rsid w:val="3163741B"/>
    <w:rsid w:val="3216448E"/>
    <w:rsid w:val="32C43EEA"/>
    <w:rsid w:val="34F13659"/>
    <w:rsid w:val="35F03248"/>
    <w:rsid w:val="372A4537"/>
    <w:rsid w:val="37D050DF"/>
    <w:rsid w:val="38EA21D0"/>
    <w:rsid w:val="39DA26EF"/>
    <w:rsid w:val="3B2220F5"/>
    <w:rsid w:val="3BE06932"/>
    <w:rsid w:val="3D840E45"/>
    <w:rsid w:val="3DA037A5"/>
    <w:rsid w:val="3E2D3E2A"/>
    <w:rsid w:val="3E5A3954"/>
    <w:rsid w:val="3F8A2017"/>
    <w:rsid w:val="40644F5E"/>
    <w:rsid w:val="40FB3C11"/>
    <w:rsid w:val="411E510D"/>
    <w:rsid w:val="41E2613A"/>
    <w:rsid w:val="421F738E"/>
    <w:rsid w:val="42EF6D61"/>
    <w:rsid w:val="42F0124D"/>
    <w:rsid w:val="48141018"/>
    <w:rsid w:val="493354CD"/>
    <w:rsid w:val="49747FC0"/>
    <w:rsid w:val="497D499A"/>
    <w:rsid w:val="49F41101"/>
    <w:rsid w:val="4A7A5E4C"/>
    <w:rsid w:val="4BE233FC"/>
    <w:rsid w:val="4FD712A8"/>
    <w:rsid w:val="50285660"/>
    <w:rsid w:val="503F0BFC"/>
    <w:rsid w:val="507765E7"/>
    <w:rsid w:val="51A90A23"/>
    <w:rsid w:val="51C13FBE"/>
    <w:rsid w:val="51D04201"/>
    <w:rsid w:val="51F31C9E"/>
    <w:rsid w:val="53000B16"/>
    <w:rsid w:val="53620E89"/>
    <w:rsid w:val="5386726D"/>
    <w:rsid w:val="53EC109A"/>
    <w:rsid w:val="542425E2"/>
    <w:rsid w:val="547370C6"/>
    <w:rsid w:val="54843081"/>
    <w:rsid w:val="54BB2F47"/>
    <w:rsid w:val="54C31DFB"/>
    <w:rsid w:val="552C79A0"/>
    <w:rsid w:val="556F5ADF"/>
    <w:rsid w:val="56010E2D"/>
    <w:rsid w:val="58C93758"/>
    <w:rsid w:val="591A2206"/>
    <w:rsid w:val="59305585"/>
    <w:rsid w:val="59684D1F"/>
    <w:rsid w:val="5A5A0B0C"/>
    <w:rsid w:val="5A7D0C9E"/>
    <w:rsid w:val="5A7F4A16"/>
    <w:rsid w:val="5AD52312"/>
    <w:rsid w:val="5BB16E51"/>
    <w:rsid w:val="5D222271"/>
    <w:rsid w:val="5E960581"/>
    <w:rsid w:val="5F047E87"/>
    <w:rsid w:val="601B0D3D"/>
    <w:rsid w:val="6022031E"/>
    <w:rsid w:val="639A466F"/>
    <w:rsid w:val="64030466"/>
    <w:rsid w:val="64542A70"/>
    <w:rsid w:val="645D785C"/>
    <w:rsid w:val="64FD4EB5"/>
    <w:rsid w:val="65D025CA"/>
    <w:rsid w:val="66546D57"/>
    <w:rsid w:val="67C712C0"/>
    <w:rsid w:val="6804655B"/>
    <w:rsid w:val="6A072332"/>
    <w:rsid w:val="6A70612A"/>
    <w:rsid w:val="6AD246EE"/>
    <w:rsid w:val="6B8C0D41"/>
    <w:rsid w:val="6E46167B"/>
    <w:rsid w:val="6EF56BFD"/>
    <w:rsid w:val="703B4AE4"/>
    <w:rsid w:val="71872D7A"/>
    <w:rsid w:val="726F6CC7"/>
    <w:rsid w:val="72914E8F"/>
    <w:rsid w:val="72CE7E91"/>
    <w:rsid w:val="73552361"/>
    <w:rsid w:val="7363682B"/>
    <w:rsid w:val="74DA57D1"/>
    <w:rsid w:val="75084155"/>
    <w:rsid w:val="766034F6"/>
    <w:rsid w:val="76C515AB"/>
    <w:rsid w:val="790E0770"/>
    <w:rsid w:val="79B22EC9"/>
    <w:rsid w:val="79F44681"/>
    <w:rsid w:val="7AC5601E"/>
    <w:rsid w:val="7B007056"/>
    <w:rsid w:val="7C1C7EBF"/>
    <w:rsid w:val="7C9867B4"/>
    <w:rsid w:val="7CA73C2D"/>
    <w:rsid w:val="7CD9190C"/>
    <w:rsid w:val="7E094473"/>
    <w:rsid w:val="7E1E7F1F"/>
    <w:rsid w:val="7E870653"/>
    <w:rsid w:val="7EBB57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1"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360" w:lineRule="auto"/>
      <w:ind w:firstLine="480" w:firstLineChars="200"/>
      <w:jc w:val="both"/>
    </w:pPr>
    <w:rPr>
      <w:rFonts w:ascii="宋体" w:hAnsi="宋体" w:eastAsia="宋体" w:cs="Times New Roman"/>
      <w:kern w:val="2"/>
      <w:sz w:val="24"/>
      <w:szCs w:val="24"/>
      <w:lang w:val="en-US" w:eastAsia="zh-CN" w:bidi="ar-SA"/>
    </w:rPr>
  </w:style>
  <w:style w:type="paragraph" w:styleId="3">
    <w:name w:val="heading 1"/>
    <w:basedOn w:val="1"/>
    <w:next w:val="1"/>
    <w:qFormat/>
    <w:uiPriority w:val="0"/>
    <w:pPr>
      <w:keepNext/>
      <w:keepLines/>
      <w:numPr>
        <w:ilvl w:val="0"/>
        <w:numId w:val="1"/>
      </w:numPr>
      <w:spacing w:before="120" w:after="120"/>
      <w:ind w:firstLine="0" w:firstLineChars="0"/>
      <w:outlineLvl w:val="0"/>
    </w:pPr>
    <w:rPr>
      <w:rFonts w:eastAsia="黑体"/>
      <w:b/>
      <w:bCs/>
      <w:kern w:val="44"/>
      <w:sz w:val="32"/>
      <w:szCs w:val="28"/>
    </w:rPr>
  </w:style>
  <w:style w:type="paragraph" w:styleId="4">
    <w:name w:val="heading 2"/>
    <w:basedOn w:val="1"/>
    <w:next w:val="1"/>
    <w:qFormat/>
    <w:uiPriority w:val="9"/>
    <w:pPr>
      <w:keepNext/>
      <w:keepLines/>
      <w:numPr>
        <w:ilvl w:val="1"/>
        <w:numId w:val="1"/>
      </w:numPr>
      <w:spacing w:before="120" w:after="120"/>
      <w:ind w:firstLine="0" w:firstLineChars="0"/>
      <w:outlineLvl w:val="1"/>
    </w:pPr>
    <w:rPr>
      <w:b/>
      <w:bCs/>
      <w:sz w:val="30"/>
      <w:szCs w:val="32"/>
    </w:rPr>
  </w:style>
  <w:style w:type="character" w:default="1" w:styleId="14">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customStyle="1" w:styleId="2">
    <w:name w:val="文档正文"/>
    <w:qFormat/>
    <w:uiPriority w:val="0"/>
    <w:pPr>
      <w:widowControl w:val="0"/>
      <w:adjustRightInd w:val="0"/>
      <w:spacing w:line="480" w:lineRule="atLeast"/>
      <w:jc w:val="both"/>
      <w:textAlignment w:val="baseline"/>
    </w:pPr>
    <w:rPr>
      <w:rFonts w:ascii="宋体" w:hAnsi="Arial" w:eastAsia="宋体" w:cs="Times New Roman"/>
      <w:sz w:val="21"/>
      <w:szCs w:val="24"/>
      <w:lang w:val="en-US" w:eastAsia="zh-CN" w:bidi="ar-SA"/>
    </w:rPr>
  </w:style>
  <w:style w:type="paragraph" w:styleId="5">
    <w:name w:val="Normal Indent"/>
    <w:basedOn w:val="1"/>
    <w:unhideWhenUsed/>
    <w:qFormat/>
    <w:uiPriority w:val="1"/>
    <w:pPr>
      <w:ind w:firstLine="200"/>
    </w:pPr>
  </w:style>
  <w:style w:type="paragraph" w:styleId="6">
    <w:name w:val="annotation text"/>
    <w:basedOn w:val="1"/>
    <w:link w:val="21"/>
    <w:qFormat/>
    <w:uiPriority w:val="0"/>
    <w:pPr>
      <w:jc w:val="left"/>
    </w:pPr>
  </w:style>
  <w:style w:type="paragraph" w:styleId="7">
    <w:name w:val="Balloon Text"/>
    <w:basedOn w:val="1"/>
    <w:link w:val="23"/>
    <w:uiPriority w:val="0"/>
    <w:pPr>
      <w:spacing w:line="240" w:lineRule="auto"/>
    </w:pPr>
    <w:rPr>
      <w:sz w:val="18"/>
      <w:szCs w:val="18"/>
    </w:rPr>
  </w:style>
  <w:style w:type="paragraph" w:styleId="8">
    <w:name w:val="footer"/>
    <w:basedOn w:val="1"/>
    <w:link w:val="25"/>
    <w:qFormat/>
    <w:uiPriority w:val="0"/>
    <w:pPr>
      <w:tabs>
        <w:tab w:val="center" w:pos="4153"/>
        <w:tab w:val="right" w:pos="8306"/>
      </w:tabs>
      <w:snapToGrid w:val="0"/>
      <w:spacing w:line="240" w:lineRule="auto"/>
      <w:jc w:val="left"/>
    </w:pPr>
    <w:rPr>
      <w:sz w:val="18"/>
      <w:szCs w:val="18"/>
    </w:rPr>
  </w:style>
  <w:style w:type="paragraph" w:styleId="9">
    <w:name w:val="header"/>
    <w:basedOn w:val="1"/>
    <w:qFormat/>
    <w:uiPriority w:val="99"/>
    <w:pPr>
      <w:pBdr>
        <w:bottom w:val="single" w:color="auto" w:sz="4" w:space="0"/>
      </w:pBdr>
      <w:tabs>
        <w:tab w:val="center" w:pos="4153"/>
        <w:tab w:val="right" w:pos="8306"/>
      </w:tabs>
      <w:snapToGrid w:val="0"/>
      <w:jc w:val="center"/>
    </w:pPr>
    <w:rPr>
      <w:rFonts w:ascii="Times New Roman" w:hAnsi="Times New Roman"/>
      <w:sz w:val="18"/>
      <w:szCs w:val="18"/>
    </w:rPr>
  </w:style>
  <w:style w:type="paragraph" w:styleId="10">
    <w:name w:val="Normal (Web)"/>
    <w:basedOn w:val="1"/>
    <w:qFormat/>
    <w:uiPriority w:val="0"/>
    <w:pPr>
      <w:spacing w:beforeAutospacing="1" w:afterAutospacing="1"/>
      <w:jc w:val="left"/>
    </w:pPr>
    <w:rPr>
      <w:kern w:val="0"/>
    </w:rPr>
  </w:style>
  <w:style w:type="paragraph" w:styleId="11">
    <w:name w:val="annotation subject"/>
    <w:basedOn w:val="6"/>
    <w:next w:val="6"/>
    <w:link w:val="22"/>
    <w:qFormat/>
    <w:uiPriority w:val="0"/>
    <w:rPr>
      <w:b/>
      <w:bCs/>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annotation reference"/>
    <w:basedOn w:val="14"/>
    <w:qFormat/>
    <w:uiPriority w:val="0"/>
    <w:rPr>
      <w:sz w:val="21"/>
      <w:szCs w:val="21"/>
    </w:rPr>
  </w:style>
  <w:style w:type="paragraph" w:customStyle="1" w:styleId="16">
    <w:name w:val="正文缩进1"/>
    <w:basedOn w:val="1"/>
    <w:autoRedefine/>
    <w:qFormat/>
    <w:uiPriority w:val="0"/>
    <w:pPr>
      <w:spacing w:line="240" w:lineRule="auto"/>
      <w:ind w:firstLine="420"/>
    </w:pPr>
    <w:rPr>
      <w:rFonts w:ascii="Times New Roman" w:hAnsi="Times New Roman"/>
      <w:sz w:val="21"/>
      <w:szCs w:val="20"/>
    </w:rPr>
  </w:style>
  <w:style w:type="paragraph" w:customStyle="1" w:styleId="17">
    <w:name w:val="正文正文2"/>
    <w:basedOn w:val="1"/>
    <w:autoRedefine/>
    <w:qFormat/>
    <w:uiPriority w:val="0"/>
    <w:pPr>
      <w:ind w:firstLine="460"/>
    </w:pPr>
    <w:rPr>
      <w:sz w:val="21"/>
      <w:szCs w:val="21"/>
    </w:rPr>
  </w:style>
  <w:style w:type="paragraph" w:customStyle="1" w:styleId="18">
    <w:name w:val="样式2"/>
    <w:basedOn w:val="1"/>
    <w:autoRedefine/>
    <w:qFormat/>
    <w:uiPriority w:val="0"/>
    <w:pPr>
      <w:widowControl/>
      <w:adjustRightInd w:val="0"/>
    </w:pPr>
    <w:rPr>
      <w:kern w:val="0"/>
      <w:lang w:eastAsia="en-US"/>
    </w:rPr>
  </w:style>
  <w:style w:type="paragraph" w:customStyle="1" w:styleId="19">
    <w:name w:val="Table Text"/>
    <w:basedOn w:val="1"/>
    <w:semiHidden/>
    <w:qFormat/>
    <w:uiPriority w:val="0"/>
    <w:rPr>
      <w:rFonts w:ascii="仿宋" w:hAnsi="仿宋" w:eastAsia="仿宋" w:cs="仿宋"/>
    </w:rPr>
  </w:style>
  <w:style w:type="table" w:customStyle="1" w:styleId="20">
    <w:name w:val="Table Normal"/>
    <w:semiHidden/>
    <w:unhideWhenUsed/>
    <w:qFormat/>
    <w:uiPriority w:val="0"/>
    <w:tblPr>
      <w:tblCellMar>
        <w:top w:w="0" w:type="dxa"/>
        <w:left w:w="0" w:type="dxa"/>
        <w:bottom w:w="0" w:type="dxa"/>
        <w:right w:w="0" w:type="dxa"/>
      </w:tblCellMar>
    </w:tblPr>
  </w:style>
  <w:style w:type="character" w:customStyle="1" w:styleId="21">
    <w:name w:val="批注文字 字符"/>
    <w:basedOn w:val="14"/>
    <w:link w:val="6"/>
    <w:qFormat/>
    <w:uiPriority w:val="0"/>
    <w:rPr>
      <w:rFonts w:ascii="宋体" w:hAnsi="宋体"/>
      <w:kern w:val="2"/>
      <w:sz w:val="24"/>
      <w:szCs w:val="24"/>
    </w:rPr>
  </w:style>
  <w:style w:type="character" w:customStyle="1" w:styleId="22">
    <w:name w:val="批注主题 字符"/>
    <w:basedOn w:val="21"/>
    <w:link w:val="11"/>
    <w:qFormat/>
    <w:uiPriority w:val="0"/>
    <w:rPr>
      <w:rFonts w:ascii="宋体" w:hAnsi="宋体"/>
      <w:b/>
      <w:bCs/>
      <w:kern w:val="2"/>
      <w:sz w:val="24"/>
      <w:szCs w:val="24"/>
    </w:rPr>
  </w:style>
  <w:style w:type="character" w:customStyle="1" w:styleId="23">
    <w:name w:val="批注框文本 字符"/>
    <w:basedOn w:val="14"/>
    <w:link w:val="7"/>
    <w:qFormat/>
    <w:uiPriority w:val="0"/>
    <w:rPr>
      <w:rFonts w:ascii="宋体" w:hAnsi="宋体"/>
      <w:kern w:val="2"/>
      <w:sz w:val="18"/>
      <w:szCs w:val="18"/>
    </w:rPr>
  </w:style>
  <w:style w:type="paragraph" w:customStyle="1" w:styleId="2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5">
    <w:name w:val="页脚 字符"/>
    <w:basedOn w:val="14"/>
    <w:link w:val="8"/>
    <w:qFormat/>
    <w:uiPriority w:val="0"/>
    <w:rPr>
      <w:rFonts w:ascii="宋体" w:hAnsi="宋体"/>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image" Target="media/image2.emf"/><Relationship Id="rId14" Type="http://schemas.openxmlformats.org/officeDocument/2006/relationships/oleObject" Target="embeddings/oleObject2.bin"/><Relationship Id="rId13" Type="http://schemas.openxmlformats.org/officeDocument/2006/relationships/image" Target="media/image1.emf"/><Relationship Id="rId12" Type="http://schemas.openxmlformats.org/officeDocument/2006/relationships/oleObject" Target="embeddings/oleObject1.bin"/><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8614</Words>
  <Characters>8762</Characters>
  <Lines>75</Lines>
  <Paragraphs>21</Paragraphs>
  <TotalTime>90</TotalTime>
  <ScaleCrop>false</ScaleCrop>
  <LinksUpToDate>false</LinksUpToDate>
  <CharactersWithSpaces>8774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2025-04-24T01:32:00Z</dcterms:created>
  <dc:creator>user</dc:creator>
  <cp:lastModifiedBy>晋一民</cp:lastModifiedBy>
  <dcterms:modified xsi:type="dcterms:W3CDTF">2025-05-29T02:22:39Z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C0333D9C9EDC434881011F08177B8D11_12</vt:lpwstr>
  </property>
  <property fmtid="{D5CDD505-2E9C-101B-9397-08002B2CF9AE}" pid="4" name="KSOTemplateDocerSaveRecord">
    <vt:lpwstr>eyJoZGlkIjoiNGM3MmY0OTNjM2FiYjM2YjE2NGRhZTljZmIyMTQyNWMiLCJ1c2VySWQiOiIxNjQzMTc3ODEwIn0=</vt:lpwstr>
  </property>
</Properties>
</file>