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22078">
      <w:pPr>
        <w:ind w:firstLine="0" w:firstLineChars="0"/>
        <w:jc w:val="center"/>
        <w:rPr>
          <w:rFonts w:ascii="黑体" w:hAnsi="黑体" w:eastAsia="黑体"/>
          <w:sz w:val="48"/>
          <w:szCs w:val="48"/>
        </w:rPr>
      </w:pPr>
    </w:p>
    <w:p w14:paraId="0106EA56">
      <w:pPr>
        <w:ind w:firstLine="0" w:firstLineChars="0"/>
        <w:jc w:val="center"/>
        <w:rPr>
          <w:rFonts w:ascii="黑体" w:hAnsi="黑体" w:eastAsia="黑体"/>
          <w:sz w:val="48"/>
          <w:szCs w:val="48"/>
        </w:rPr>
      </w:pPr>
    </w:p>
    <w:p w14:paraId="48300D14">
      <w:pPr>
        <w:pStyle w:val="139"/>
        <w:spacing w:after="240"/>
        <w:outlineLvl w:val="9"/>
        <w:rPr>
          <w:rFonts w:ascii="黑体" w:hAnsi="黑体" w:eastAsia="黑体"/>
          <w:bCs w:val="0"/>
        </w:rPr>
      </w:pPr>
      <w:bookmarkStart w:id="0" w:name="_Toc13676"/>
      <w:r>
        <w:rPr>
          <w:rFonts w:hint="eastAsia" w:ascii="黑体" w:hAnsi="黑体" w:eastAsia="黑体"/>
          <w:bCs w:val="0"/>
        </w:rPr>
        <w:t>基于国际展会服务的</w:t>
      </w:r>
    </w:p>
    <w:p w14:paraId="26AB57C3">
      <w:pPr>
        <w:pStyle w:val="139"/>
        <w:spacing w:after="240"/>
        <w:outlineLvl w:val="9"/>
        <w:rPr>
          <w:rFonts w:ascii="黑体" w:hAnsi="黑体" w:eastAsia="黑体"/>
          <w:bCs w:val="0"/>
        </w:rPr>
      </w:pPr>
      <w:r>
        <w:rPr>
          <w:rFonts w:hint="eastAsia" w:ascii="黑体" w:hAnsi="黑体" w:eastAsia="黑体"/>
          <w:bCs w:val="0"/>
        </w:rPr>
        <w:t>空间计算底座平台</w:t>
      </w:r>
    </w:p>
    <w:bookmarkEnd w:id="0"/>
    <w:p w14:paraId="1D01D081">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46B85C81">
      <w:pPr>
        <w:ind w:firstLine="0" w:firstLineChars="0"/>
        <w:jc w:val="center"/>
        <w:rPr>
          <w:rFonts w:ascii="黑体" w:hAnsi="黑体" w:eastAsia="黑体"/>
          <w:sz w:val="52"/>
          <w:szCs w:val="52"/>
        </w:rPr>
      </w:pPr>
    </w:p>
    <w:p w14:paraId="76231CF3">
      <w:pPr>
        <w:ind w:firstLine="0" w:firstLineChars="0"/>
        <w:jc w:val="center"/>
        <w:rPr>
          <w:rFonts w:ascii="黑体" w:hAnsi="黑体" w:eastAsia="黑体"/>
          <w:sz w:val="52"/>
          <w:szCs w:val="52"/>
        </w:rPr>
      </w:pPr>
    </w:p>
    <w:p w14:paraId="070F1C20">
      <w:pPr>
        <w:ind w:firstLine="0" w:firstLineChars="0"/>
        <w:jc w:val="center"/>
        <w:rPr>
          <w:rFonts w:ascii="黑体" w:hAnsi="黑体" w:eastAsia="黑体"/>
          <w:sz w:val="52"/>
          <w:szCs w:val="52"/>
        </w:rPr>
      </w:pPr>
    </w:p>
    <w:p w14:paraId="049218F2">
      <w:pPr>
        <w:ind w:firstLine="0" w:firstLineChars="0"/>
        <w:jc w:val="center"/>
        <w:rPr>
          <w:rFonts w:ascii="黑体" w:hAnsi="黑体" w:eastAsia="黑体"/>
          <w:sz w:val="52"/>
          <w:szCs w:val="52"/>
        </w:rPr>
      </w:pPr>
    </w:p>
    <w:p w14:paraId="27DF7863">
      <w:pPr>
        <w:ind w:firstLine="0" w:firstLineChars="0"/>
        <w:jc w:val="center"/>
        <w:rPr>
          <w:rFonts w:ascii="黑体" w:hAnsi="黑体" w:eastAsia="黑体"/>
          <w:sz w:val="52"/>
          <w:szCs w:val="52"/>
        </w:rPr>
      </w:pPr>
    </w:p>
    <w:p w14:paraId="531802B4">
      <w:pPr>
        <w:ind w:firstLine="0" w:firstLineChars="0"/>
        <w:jc w:val="center"/>
        <w:rPr>
          <w:rFonts w:ascii="黑体" w:hAnsi="黑体" w:eastAsia="黑体"/>
          <w:sz w:val="72"/>
          <w:szCs w:val="72"/>
        </w:rPr>
      </w:pPr>
      <w:bookmarkStart w:id="48" w:name="_GoBack"/>
      <w:bookmarkEnd w:id="48"/>
    </w:p>
    <w:p w14:paraId="260127D0">
      <w:pPr>
        <w:ind w:firstLine="0" w:firstLineChars="0"/>
        <w:jc w:val="center"/>
        <w:rPr>
          <w:rFonts w:ascii="黑体" w:hAnsi="黑体" w:eastAsia="黑体"/>
          <w:sz w:val="48"/>
          <w:szCs w:val="48"/>
        </w:rPr>
      </w:pPr>
    </w:p>
    <w:p w14:paraId="280BE081">
      <w:pPr>
        <w:ind w:firstLine="0" w:firstLineChars="0"/>
        <w:jc w:val="center"/>
        <w:rPr>
          <w:rFonts w:ascii="黑体" w:hAnsi="黑体" w:eastAsia="黑体"/>
          <w:sz w:val="52"/>
          <w:szCs w:val="52"/>
        </w:rPr>
      </w:pPr>
    </w:p>
    <w:p w14:paraId="75AA2066">
      <w:pPr>
        <w:pStyle w:val="2"/>
      </w:pPr>
      <w:bookmarkStart w:id="1" w:name="_Toc63785461"/>
      <w:r>
        <w:rPr>
          <w:rFonts w:hint="eastAsia"/>
        </w:rPr>
        <w:t>项目概况</w:t>
      </w:r>
      <w:bookmarkEnd w:id="1"/>
    </w:p>
    <w:p w14:paraId="7B4B2FED">
      <w:pPr>
        <w:spacing w:line="560" w:lineRule="exact"/>
        <w:ind w:firstLine="482"/>
        <w:rPr>
          <w:b/>
          <w:bCs/>
        </w:rPr>
      </w:pPr>
      <w:r>
        <w:rPr>
          <w:rFonts w:hint="eastAsia"/>
          <w:b/>
          <w:bCs/>
        </w:rPr>
        <w:t>项目背景和现状：</w:t>
      </w:r>
    </w:p>
    <w:p w14:paraId="736E7BB2">
      <w:r>
        <w:rPr>
          <w:rFonts w:hint="eastAsia"/>
        </w:rPr>
        <w:t>中国国际进口博览会由习近平主席亲自谋划、亲自部署、亲自推动，是党中央推动新时代高水平对外开放的重大决策，是推动国际治理的一个重大制度创新，是外部世界评估中国机遇、把握中国方向的一个重要窗口。至今，进博会已连续多年写入政府工作报告，将为中国形成更高水平对外开放新格局、引领更高质量发展提供更加积极有利的新环境、新支撑和新动力。</w:t>
      </w:r>
    </w:p>
    <w:p w14:paraId="0EBCB33A">
      <w:r>
        <w:rPr>
          <w:rFonts w:hint="eastAsia"/>
        </w:rPr>
        <w:t>为进一步贯彻落实习近平总书记关于进博会要“办出水平、办出成效、越办越好”的重要指示精神，持续发挥进博会溢出带动效应，拟开展</w:t>
      </w:r>
      <w:r>
        <w:rPr>
          <w:rFonts w:hint="eastAsia"/>
          <w:b/>
          <w:bCs/>
        </w:rPr>
        <w:t>基于国际展会服务的空间计算底座平台</w:t>
      </w:r>
      <w:r>
        <w:rPr>
          <w:rFonts w:hint="eastAsia"/>
        </w:rPr>
        <w:t>建设，进一步提升数字赋能能级，综合空间计算、数字孪生、</w:t>
      </w:r>
      <w:r>
        <w:t>大数据、物联网</w:t>
      </w:r>
      <w:r>
        <w:rPr>
          <w:rFonts w:hint="eastAsia"/>
        </w:rPr>
        <w:t>、</w:t>
      </w:r>
      <w:r>
        <w:t>5G通讯等新技术，探索数字化前沿技术与进博会关键数据的深度融合，保障进博会期间客流平稳有序，为进博会招商提供企业建议，打造进博会空间计算应用场景，构建进博会元宇宙场景，对溢出效应效果进行分析展示，构建分析研判支撑的指挥大屏，树立城市数字化转型典范标杆，发挥好进博会在商品服务展示交易、投</w:t>
      </w:r>
      <w:r>
        <w:rPr>
          <w:rFonts w:hint="eastAsia"/>
        </w:rPr>
        <w:t>资贸易洽谈、技术解决方案推广等方面的积极作用，确保今后每届进博会等相关国际展会的圆满成功！</w:t>
      </w:r>
    </w:p>
    <w:p w14:paraId="73711527">
      <w:pPr>
        <w:ind w:firstLine="482"/>
      </w:pPr>
      <w:r>
        <w:rPr>
          <w:rFonts w:hint="eastAsia"/>
          <w:b/>
          <w:bCs/>
        </w:rPr>
        <w:t>建设期限：</w:t>
      </w:r>
      <w:r>
        <w:rPr>
          <w:rFonts w:hint="eastAsia"/>
        </w:rPr>
        <w:t>自合同签订后</w:t>
      </w:r>
      <w:r>
        <w:rPr>
          <w:b/>
          <w:bCs/>
        </w:rPr>
        <w:t>9</w:t>
      </w:r>
      <w:r>
        <w:rPr>
          <w:rFonts w:hint="eastAsia"/>
          <w:b/>
          <w:bCs/>
        </w:rPr>
        <w:t>个月内</w:t>
      </w:r>
      <w:r>
        <w:rPr>
          <w:rFonts w:hint="eastAsia"/>
        </w:rPr>
        <w:t>完成本项目的内容建设并通过专项验收，其中包括为期</w:t>
      </w:r>
      <w:r>
        <w:rPr>
          <w:rFonts w:hint="eastAsia"/>
          <w:b/>
          <w:bCs/>
        </w:rPr>
        <w:t>30天</w:t>
      </w:r>
      <w:r>
        <w:rPr>
          <w:rFonts w:hint="eastAsia"/>
        </w:rPr>
        <w:t>的试运行。</w:t>
      </w:r>
    </w:p>
    <w:p w14:paraId="0FB687A6">
      <w:pPr>
        <w:ind w:firstLine="482"/>
        <w:rPr>
          <w:b/>
          <w:bCs/>
        </w:rPr>
      </w:pPr>
      <w:r>
        <w:rPr>
          <w:rFonts w:hint="eastAsia"/>
          <w:b/>
          <w:bCs/>
        </w:rPr>
        <w:t>建设地点：</w:t>
      </w:r>
      <w:r>
        <w:rPr>
          <w:rFonts w:hint="eastAsia" w:cs="宋体"/>
        </w:rPr>
        <w:t>上海市静安区寿阳路99弄15号</w:t>
      </w:r>
    </w:p>
    <w:p w14:paraId="179A0265">
      <w:pPr>
        <w:ind w:firstLine="482"/>
        <w:rPr>
          <w:bCs/>
        </w:rPr>
      </w:pPr>
      <w:r>
        <w:rPr>
          <w:rFonts w:hint="eastAsia"/>
          <w:b/>
          <w:bCs/>
        </w:rPr>
        <w:t>预算金额：</w:t>
      </w:r>
      <w:r>
        <w:rPr>
          <w:bCs/>
        </w:rPr>
        <w:t>66524300</w:t>
      </w:r>
      <w:r>
        <w:rPr>
          <w:rFonts w:hint="eastAsia"/>
          <w:bCs/>
        </w:rPr>
        <w:t>元</w:t>
      </w:r>
    </w:p>
    <w:p w14:paraId="1B434A56">
      <w:pPr>
        <w:ind w:firstLine="482"/>
        <w:rPr>
          <w:b/>
          <w:bCs/>
        </w:rPr>
      </w:pPr>
      <w:r>
        <w:rPr>
          <w:rFonts w:hint="eastAsia"/>
          <w:b/>
          <w:bCs/>
        </w:rPr>
        <w:t>采购金额（最高限价）：</w:t>
      </w:r>
      <w:r>
        <w:rPr>
          <w:bCs/>
        </w:rPr>
        <w:t>66524300</w:t>
      </w:r>
      <w:r>
        <w:rPr>
          <w:rFonts w:hint="eastAsia"/>
          <w:bCs/>
        </w:rPr>
        <w:t>元</w:t>
      </w:r>
    </w:p>
    <w:p w14:paraId="496F5260">
      <w:pPr>
        <w:ind w:firstLine="482"/>
      </w:pPr>
      <w:r>
        <w:rPr>
          <w:rFonts w:hint="eastAsia"/>
          <w:b/>
          <w:bCs/>
        </w:rPr>
        <w:t>组织形式：</w:t>
      </w:r>
      <w:r>
        <w:rPr>
          <w:rFonts w:hint="eastAsia"/>
        </w:rPr>
        <w:t>集中采购</w:t>
      </w:r>
    </w:p>
    <w:p w14:paraId="330F2542">
      <w:pPr>
        <w:ind w:firstLine="482"/>
      </w:pPr>
      <w:r>
        <w:rPr>
          <w:rFonts w:hint="eastAsia"/>
          <w:b/>
          <w:bCs/>
        </w:rPr>
        <w:t>采购形式：</w:t>
      </w:r>
      <w:r>
        <w:rPr>
          <w:rFonts w:hint="eastAsia"/>
        </w:rPr>
        <w:t>公开招标</w:t>
      </w:r>
    </w:p>
    <w:p w14:paraId="72F574B3">
      <w:pPr>
        <w:ind w:firstLine="482"/>
      </w:pPr>
      <w:r>
        <w:rPr>
          <w:rFonts w:hint="eastAsia"/>
          <w:b/>
          <w:bCs/>
        </w:rPr>
        <w:t>是否接受联合体投标：</w:t>
      </w:r>
      <w:r>
        <w:rPr>
          <w:rFonts w:hint="eastAsia"/>
        </w:rPr>
        <w:t>否</w:t>
      </w:r>
    </w:p>
    <w:p w14:paraId="15018DD3">
      <w:pPr>
        <w:ind w:firstLine="482"/>
      </w:pPr>
      <w:r>
        <w:rPr>
          <w:b/>
          <w:bCs/>
        </w:rPr>
        <w:t>是否按信创要求建设：</w:t>
      </w:r>
      <w:r>
        <w:t>是</w:t>
      </w:r>
    </w:p>
    <w:p w14:paraId="2CA387FF">
      <w:pPr>
        <w:ind w:firstLine="482"/>
      </w:pPr>
      <w:r>
        <w:rPr>
          <w:rFonts w:hint="eastAsia"/>
          <w:b/>
          <w:bCs/>
        </w:rPr>
        <w:t>运维后所属大系统：</w:t>
      </w:r>
      <w:r>
        <w:rPr>
          <w:rFonts w:hint="eastAsia"/>
        </w:rPr>
        <w:t>进博会数字赋能服务保障一体化平台</w:t>
      </w:r>
    </w:p>
    <w:p w14:paraId="3F8E00EF"/>
    <w:p w14:paraId="5C3B5FD7">
      <w:pPr>
        <w:pStyle w:val="2"/>
      </w:pPr>
      <w:bookmarkStart w:id="2" w:name="_Toc47533256"/>
      <w:bookmarkEnd w:id="2"/>
      <w:bookmarkStart w:id="3" w:name="_Toc47532891"/>
      <w:bookmarkEnd w:id="3"/>
      <w:bookmarkStart w:id="4" w:name="_Toc47536272"/>
      <w:bookmarkEnd w:id="4"/>
      <w:bookmarkStart w:id="5" w:name="_Toc47536644"/>
      <w:bookmarkEnd w:id="5"/>
      <w:bookmarkStart w:id="6" w:name="_Toc47539070"/>
      <w:bookmarkEnd w:id="6"/>
      <w:bookmarkStart w:id="7" w:name="_Toc47532255"/>
      <w:bookmarkEnd w:id="7"/>
      <w:bookmarkStart w:id="8" w:name="_Toc47537134"/>
      <w:bookmarkEnd w:id="8"/>
      <w:bookmarkStart w:id="9" w:name="_Toc47531634"/>
      <w:bookmarkEnd w:id="9"/>
      <w:bookmarkStart w:id="10" w:name="_Toc48223882"/>
      <w:bookmarkStart w:id="11" w:name="_Toc63785463"/>
      <w:r>
        <w:rPr>
          <w:rFonts w:hint="eastAsia"/>
        </w:rPr>
        <w:t>建设目标</w:t>
      </w:r>
      <w:bookmarkEnd w:id="10"/>
      <w:bookmarkEnd w:id="11"/>
    </w:p>
    <w:p w14:paraId="5D6CFDE6">
      <w:pPr>
        <w:pStyle w:val="3"/>
        <w:ind w:left="566" w:hanging="564" w:hangingChars="188"/>
      </w:pPr>
      <w:r>
        <w:rPr>
          <w:rFonts w:hint="eastAsia"/>
        </w:rPr>
        <w:t>总体目标</w:t>
      </w:r>
    </w:p>
    <w:p w14:paraId="169A6829">
      <w:r>
        <w:rPr>
          <w:rFonts w:hint="eastAsia"/>
        </w:rPr>
        <w:t>按照习近平总书记“中国国际进口博览会不仅要年年办下去，而且要办出水平、办出成效、越办越好”的指示精神，李强总理“以数字化手段更好赋能进博会城市服务保障”的工作要求，陈吉宁书记“发挥好进博会在商品服务展示交易、投资贸易洽谈、技术解决方案推广等方面的积极作用，加快推进人工智能等技术的全场景应用”的重要讲话和“学习借鉴香港贸促会（局）的平台运行经验、学习达沃斯的组织和信息共享方式提高各类参展人员之间的互动”的批示要求，聚焦“规模更大、质量更优、创新更强、层次更高、成效更好”，以“加快数字化发展，建设数字中国”为契机，以空间计算支撑平台为底座、大客流监测、大数据分析、元宇宙展示、数字化场景联动为抓手，综合空间计算、数字孪生、</w:t>
      </w:r>
      <w:r>
        <w:t>5G通讯、大</w:t>
      </w:r>
      <w:r>
        <w:rPr>
          <w:rFonts w:hint="eastAsia"/>
        </w:rPr>
        <w:t>数据、物联网等新技术，围绕“管理通”“产业通”“数据基座”三项任务，聚焦行政效能提升，以数据共享打造“管理通”；聚焦产业精准招商，以数据融通打造“产业通”；聚焦能力共性支撑，以数字科技打造“数据基座”。</w:t>
      </w:r>
    </w:p>
    <w:p w14:paraId="36ECB01A">
      <w:pPr>
        <w:pStyle w:val="3"/>
        <w:ind w:left="0" w:firstLine="0" w:firstLineChars="0"/>
      </w:pPr>
      <w:r>
        <w:rPr>
          <w:rFonts w:hint="eastAsia"/>
        </w:rPr>
        <w:t>绩效目标</w:t>
      </w:r>
    </w:p>
    <w:p w14:paraId="6FB7DE99">
      <w:r>
        <w:rPr>
          <w:rFonts w:hint="eastAsia"/>
        </w:rPr>
        <w:t>本项目需实现以下绩效目标：</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914"/>
        <w:gridCol w:w="4057"/>
        <w:gridCol w:w="1584"/>
      </w:tblGrid>
      <w:tr w14:paraId="7C9E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698" w:type="pct"/>
            <w:noWrap/>
            <w:vAlign w:val="center"/>
          </w:tcPr>
          <w:p w14:paraId="5F6AED2F">
            <w:pPr>
              <w:widowControl/>
              <w:spacing w:line="240" w:lineRule="auto"/>
              <w:ind w:firstLine="0" w:firstLineChars="0"/>
              <w:jc w:val="center"/>
              <w:rPr>
                <w:rFonts w:cs="宋体"/>
                <w:b/>
                <w:kern w:val="0"/>
              </w:rPr>
            </w:pPr>
            <w:r>
              <w:rPr>
                <w:rFonts w:hint="eastAsia" w:cs="宋体"/>
                <w:b/>
                <w:kern w:val="0"/>
              </w:rPr>
              <w:t>一级指标</w:t>
            </w:r>
          </w:p>
        </w:tc>
        <w:tc>
          <w:tcPr>
            <w:tcW w:w="956" w:type="pct"/>
            <w:noWrap/>
            <w:vAlign w:val="center"/>
          </w:tcPr>
          <w:p w14:paraId="2B17D9A9">
            <w:pPr>
              <w:widowControl/>
              <w:spacing w:line="240" w:lineRule="auto"/>
              <w:ind w:firstLine="0" w:firstLineChars="0"/>
              <w:jc w:val="center"/>
              <w:rPr>
                <w:rFonts w:cs="宋体"/>
                <w:b/>
                <w:kern w:val="0"/>
              </w:rPr>
            </w:pPr>
            <w:r>
              <w:rPr>
                <w:rFonts w:hint="eastAsia" w:cs="宋体"/>
                <w:b/>
                <w:kern w:val="0"/>
              </w:rPr>
              <w:t>二级指标</w:t>
            </w:r>
          </w:p>
        </w:tc>
        <w:tc>
          <w:tcPr>
            <w:tcW w:w="2373" w:type="pct"/>
            <w:noWrap/>
            <w:vAlign w:val="center"/>
          </w:tcPr>
          <w:p w14:paraId="340FDFC5">
            <w:pPr>
              <w:widowControl/>
              <w:spacing w:line="240" w:lineRule="auto"/>
              <w:ind w:firstLine="0" w:firstLineChars="0"/>
              <w:jc w:val="center"/>
              <w:rPr>
                <w:rFonts w:cs="宋体"/>
                <w:b/>
                <w:kern w:val="0"/>
              </w:rPr>
            </w:pPr>
            <w:r>
              <w:rPr>
                <w:rFonts w:hint="eastAsia" w:cs="宋体"/>
                <w:b/>
                <w:kern w:val="0"/>
              </w:rPr>
              <w:t>三级指标</w:t>
            </w:r>
          </w:p>
        </w:tc>
        <w:tc>
          <w:tcPr>
            <w:tcW w:w="971" w:type="pct"/>
            <w:noWrap/>
            <w:vAlign w:val="center"/>
          </w:tcPr>
          <w:p w14:paraId="327B168B">
            <w:pPr>
              <w:widowControl/>
              <w:spacing w:line="240" w:lineRule="auto"/>
              <w:ind w:firstLine="0" w:firstLineChars="0"/>
              <w:jc w:val="center"/>
              <w:rPr>
                <w:rFonts w:cs="宋体"/>
                <w:b/>
                <w:kern w:val="0"/>
              </w:rPr>
            </w:pPr>
            <w:r>
              <w:rPr>
                <w:rFonts w:hint="eastAsia" w:cs="宋体"/>
                <w:b/>
                <w:kern w:val="0"/>
              </w:rPr>
              <w:t>目标值</w:t>
            </w:r>
          </w:p>
        </w:tc>
      </w:tr>
      <w:tr w14:paraId="468D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restart"/>
            <w:noWrap/>
            <w:vAlign w:val="center"/>
          </w:tcPr>
          <w:p w14:paraId="394531D9">
            <w:pPr>
              <w:widowControl/>
              <w:spacing w:line="240" w:lineRule="auto"/>
              <w:ind w:firstLine="0" w:firstLineChars="0"/>
              <w:jc w:val="center"/>
              <w:rPr>
                <w:rFonts w:cs="宋体"/>
                <w:kern w:val="0"/>
              </w:rPr>
            </w:pPr>
            <w:r>
              <w:rPr>
                <w:rFonts w:hint="eastAsia" w:cs="宋体"/>
                <w:kern w:val="0"/>
              </w:rPr>
              <w:t>通用指标</w:t>
            </w:r>
          </w:p>
        </w:tc>
        <w:tc>
          <w:tcPr>
            <w:tcW w:w="956" w:type="pct"/>
            <w:noWrap/>
            <w:vAlign w:val="center"/>
          </w:tcPr>
          <w:p w14:paraId="35167DCF">
            <w:pPr>
              <w:widowControl/>
              <w:spacing w:line="240" w:lineRule="auto"/>
              <w:ind w:firstLine="0" w:firstLineChars="0"/>
              <w:jc w:val="center"/>
              <w:rPr>
                <w:rFonts w:cs="宋体"/>
                <w:kern w:val="0"/>
              </w:rPr>
            </w:pPr>
            <w:r>
              <w:rPr>
                <w:rFonts w:hint="eastAsia" w:cs="宋体"/>
                <w:kern w:val="0"/>
              </w:rPr>
              <w:t>产出数量</w:t>
            </w:r>
          </w:p>
        </w:tc>
        <w:tc>
          <w:tcPr>
            <w:tcW w:w="2373" w:type="pct"/>
            <w:noWrap/>
            <w:vAlign w:val="center"/>
          </w:tcPr>
          <w:p w14:paraId="20FF5C8B">
            <w:pPr>
              <w:widowControl/>
              <w:spacing w:line="240" w:lineRule="auto"/>
              <w:ind w:firstLine="0" w:firstLineChars="0"/>
              <w:jc w:val="left"/>
              <w:rPr>
                <w:rFonts w:cs="宋体"/>
                <w:kern w:val="0"/>
              </w:rPr>
            </w:pPr>
            <w:r>
              <w:rPr>
                <w:rFonts w:hint="eastAsia" w:cs="宋体"/>
                <w:kern w:val="0"/>
              </w:rPr>
              <w:t>软件开发完成率</w:t>
            </w:r>
          </w:p>
        </w:tc>
        <w:tc>
          <w:tcPr>
            <w:tcW w:w="971" w:type="pct"/>
            <w:noWrap/>
            <w:vAlign w:val="center"/>
          </w:tcPr>
          <w:p w14:paraId="53E22EE1">
            <w:pPr>
              <w:widowControl/>
              <w:spacing w:line="240" w:lineRule="auto"/>
              <w:ind w:firstLine="0" w:firstLineChars="0"/>
              <w:jc w:val="center"/>
              <w:rPr>
                <w:rFonts w:cs="宋体"/>
                <w:kern w:val="0"/>
              </w:rPr>
            </w:pPr>
            <w:r>
              <w:rPr>
                <w:rFonts w:hint="eastAsia" w:cs="宋体"/>
                <w:kern w:val="0"/>
              </w:rPr>
              <w:t>100%</w:t>
            </w:r>
          </w:p>
        </w:tc>
      </w:tr>
      <w:tr w14:paraId="12A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AFA102F">
            <w:pPr>
              <w:widowControl/>
              <w:spacing w:line="240" w:lineRule="auto"/>
              <w:ind w:firstLine="0" w:firstLineChars="0"/>
              <w:jc w:val="left"/>
              <w:rPr>
                <w:rFonts w:cs="宋体"/>
                <w:kern w:val="0"/>
              </w:rPr>
            </w:pPr>
          </w:p>
        </w:tc>
        <w:tc>
          <w:tcPr>
            <w:tcW w:w="956" w:type="pct"/>
            <w:vMerge w:val="restart"/>
            <w:noWrap/>
            <w:vAlign w:val="center"/>
          </w:tcPr>
          <w:p w14:paraId="4B4CD066">
            <w:pPr>
              <w:widowControl/>
              <w:spacing w:line="240" w:lineRule="auto"/>
              <w:ind w:firstLine="0" w:firstLineChars="0"/>
              <w:jc w:val="center"/>
              <w:rPr>
                <w:rFonts w:cs="宋体"/>
                <w:kern w:val="0"/>
              </w:rPr>
            </w:pPr>
            <w:r>
              <w:rPr>
                <w:rFonts w:hint="eastAsia" w:cs="宋体"/>
                <w:kern w:val="0"/>
              </w:rPr>
              <w:t>产出质量</w:t>
            </w:r>
          </w:p>
        </w:tc>
        <w:tc>
          <w:tcPr>
            <w:tcW w:w="2373" w:type="pct"/>
            <w:noWrap/>
            <w:vAlign w:val="center"/>
          </w:tcPr>
          <w:p w14:paraId="1F30013F">
            <w:pPr>
              <w:widowControl/>
              <w:spacing w:line="240" w:lineRule="auto"/>
              <w:ind w:firstLine="0" w:firstLineChars="0"/>
              <w:jc w:val="left"/>
              <w:rPr>
                <w:rFonts w:cs="宋体"/>
                <w:kern w:val="0"/>
              </w:rPr>
            </w:pPr>
            <w:r>
              <w:rPr>
                <w:rFonts w:hint="eastAsia" w:cs="宋体"/>
                <w:kern w:val="0"/>
              </w:rPr>
              <w:t>一次性验收合格率</w:t>
            </w:r>
          </w:p>
        </w:tc>
        <w:tc>
          <w:tcPr>
            <w:tcW w:w="971" w:type="pct"/>
            <w:noWrap/>
            <w:vAlign w:val="center"/>
          </w:tcPr>
          <w:p w14:paraId="0719E941">
            <w:pPr>
              <w:widowControl/>
              <w:spacing w:line="240" w:lineRule="auto"/>
              <w:ind w:firstLine="0" w:firstLineChars="0"/>
              <w:jc w:val="center"/>
              <w:rPr>
                <w:rFonts w:cs="宋体"/>
                <w:kern w:val="0"/>
              </w:rPr>
            </w:pPr>
            <w:r>
              <w:rPr>
                <w:rFonts w:hint="eastAsia" w:cs="宋体"/>
                <w:kern w:val="0"/>
              </w:rPr>
              <w:t>100%</w:t>
            </w:r>
          </w:p>
        </w:tc>
      </w:tr>
      <w:tr w14:paraId="0233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4EC01EE">
            <w:pPr>
              <w:widowControl/>
              <w:spacing w:line="240" w:lineRule="auto"/>
              <w:ind w:firstLine="0" w:firstLineChars="0"/>
              <w:jc w:val="left"/>
              <w:rPr>
                <w:rFonts w:cs="宋体"/>
                <w:kern w:val="0"/>
              </w:rPr>
            </w:pPr>
          </w:p>
        </w:tc>
        <w:tc>
          <w:tcPr>
            <w:tcW w:w="956" w:type="pct"/>
            <w:vMerge w:val="continue"/>
            <w:noWrap/>
            <w:vAlign w:val="center"/>
          </w:tcPr>
          <w:p w14:paraId="58E87D3B">
            <w:pPr>
              <w:widowControl/>
              <w:spacing w:line="240" w:lineRule="auto"/>
              <w:ind w:firstLine="0" w:firstLineChars="0"/>
              <w:jc w:val="left"/>
              <w:rPr>
                <w:rFonts w:cs="宋体"/>
                <w:kern w:val="0"/>
              </w:rPr>
            </w:pPr>
          </w:p>
        </w:tc>
        <w:tc>
          <w:tcPr>
            <w:tcW w:w="2373" w:type="pct"/>
            <w:noWrap/>
            <w:vAlign w:val="center"/>
          </w:tcPr>
          <w:p w14:paraId="6C28B71B">
            <w:pPr>
              <w:widowControl/>
              <w:spacing w:line="240" w:lineRule="auto"/>
              <w:ind w:firstLine="0" w:firstLineChars="0"/>
              <w:jc w:val="left"/>
              <w:rPr>
                <w:rFonts w:cs="宋体"/>
                <w:kern w:val="0"/>
              </w:rPr>
            </w:pPr>
            <w:r>
              <w:rPr>
                <w:rFonts w:hint="eastAsia" w:cs="宋体"/>
                <w:kern w:val="0"/>
              </w:rPr>
              <w:t>系统稳定性</w:t>
            </w:r>
          </w:p>
        </w:tc>
        <w:tc>
          <w:tcPr>
            <w:tcW w:w="971" w:type="pct"/>
            <w:noWrap/>
            <w:vAlign w:val="center"/>
          </w:tcPr>
          <w:p w14:paraId="1AF7EBF6">
            <w:pPr>
              <w:widowControl/>
              <w:spacing w:line="240" w:lineRule="auto"/>
              <w:ind w:firstLine="0" w:firstLineChars="0"/>
              <w:jc w:val="center"/>
              <w:rPr>
                <w:rFonts w:cs="宋体"/>
                <w:kern w:val="0"/>
              </w:rPr>
            </w:pPr>
            <w:r>
              <w:rPr>
                <w:rFonts w:hint="eastAsia" w:cs="宋体"/>
                <w:kern w:val="0"/>
              </w:rPr>
              <w:t>99.9%</w:t>
            </w:r>
          </w:p>
        </w:tc>
      </w:tr>
      <w:tr w14:paraId="4F59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3C69EAC">
            <w:pPr>
              <w:widowControl/>
              <w:spacing w:line="240" w:lineRule="auto"/>
              <w:ind w:firstLine="0" w:firstLineChars="0"/>
              <w:jc w:val="left"/>
              <w:rPr>
                <w:rFonts w:cs="宋体"/>
                <w:kern w:val="0"/>
              </w:rPr>
            </w:pPr>
          </w:p>
        </w:tc>
        <w:tc>
          <w:tcPr>
            <w:tcW w:w="956" w:type="pct"/>
            <w:vMerge w:val="continue"/>
            <w:noWrap/>
            <w:vAlign w:val="center"/>
          </w:tcPr>
          <w:p w14:paraId="5AB51FB0">
            <w:pPr>
              <w:widowControl/>
              <w:spacing w:line="240" w:lineRule="auto"/>
              <w:ind w:firstLine="0" w:firstLineChars="0"/>
              <w:jc w:val="left"/>
              <w:rPr>
                <w:rFonts w:cs="宋体"/>
                <w:kern w:val="0"/>
              </w:rPr>
            </w:pPr>
          </w:p>
        </w:tc>
        <w:tc>
          <w:tcPr>
            <w:tcW w:w="2373" w:type="pct"/>
            <w:noWrap/>
            <w:vAlign w:val="center"/>
          </w:tcPr>
          <w:p w14:paraId="40576030">
            <w:pPr>
              <w:widowControl/>
              <w:spacing w:line="240" w:lineRule="auto"/>
              <w:ind w:firstLine="0" w:firstLineChars="0"/>
              <w:jc w:val="left"/>
              <w:rPr>
                <w:rFonts w:cs="宋体"/>
                <w:kern w:val="0"/>
              </w:rPr>
            </w:pPr>
            <w:r>
              <w:rPr>
                <w:rFonts w:hint="eastAsia" w:cs="宋体"/>
                <w:kern w:val="0"/>
              </w:rPr>
              <w:t>软件测试</w:t>
            </w:r>
          </w:p>
        </w:tc>
        <w:tc>
          <w:tcPr>
            <w:tcW w:w="971" w:type="pct"/>
            <w:noWrap/>
            <w:vAlign w:val="center"/>
          </w:tcPr>
          <w:p w14:paraId="2F7737E9">
            <w:pPr>
              <w:widowControl/>
              <w:spacing w:line="240" w:lineRule="auto"/>
              <w:ind w:firstLine="0" w:firstLineChars="0"/>
              <w:jc w:val="center"/>
              <w:rPr>
                <w:rFonts w:cs="宋体"/>
                <w:kern w:val="0"/>
              </w:rPr>
            </w:pPr>
            <w:r>
              <w:rPr>
                <w:rFonts w:hint="eastAsia" w:cs="宋体"/>
                <w:kern w:val="0"/>
              </w:rPr>
              <w:t>通过</w:t>
            </w:r>
          </w:p>
        </w:tc>
      </w:tr>
      <w:tr w14:paraId="27A2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6A68FCA6">
            <w:pPr>
              <w:widowControl/>
              <w:spacing w:line="240" w:lineRule="auto"/>
              <w:ind w:firstLine="0" w:firstLineChars="0"/>
              <w:jc w:val="left"/>
              <w:rPr>
                <w:rFonts w:cs="宋体"/>
                <w:kern w:val="0"/>
              </w:rPr>
            </w:pPr>
          </w:p>
        </w:tc>
        <w:tc>
          <w:tcPr>
            <w:tcW w:w="956" w:type="pct"/>
            <w:vMerge w:val="continue"/>
            <w:noWrap/>
            <w:vAlign w:val="center"/>
          </w:tcPr>
          <w:p w14:paraId="0CD44210">
            <w:pPr>
              <w:widowControl/>
              <w:spacing w:line="240" w:lineRule="auto"/>
              <w:ind w:firstLine="0" w:firstLineChars="0"/>
              <w:jc w:val="left"/>
              <w:rPr>
                <w:rFonts w:cs="宋体"/>
                <w:kern w:val="0"/>
              </w:rPr>
            </w:pPr>
          </w:p>
        </w:tc>
        <w:tc>
          <w:tcPr>
            <w:tcW w:w="2373" w:type="pct"/>
            <w:noWrap/>
            <w:vAlign w:val="center"/>
          </w:tcPr>
          <w:p w14:paraId="59FB99E1">
            <w:pPr>
              <w:widowControl/>
              <w:spacing w:line="240" w:lineRule="auto"/>
              <w:ind w:firstLine="0" w:firstLineChars="0"/>
              <w:jc w:val="left"/>
              <w:rPr>
                <w:rFonts w:cs="宋体"/>
                <w:kern w:val="0"/>
              </w:rPr>
            </w:pPr>
            <w:r>
              <w:rPr>
                <w:rFonts w:hint="eastAsia" w:cs="宋体"/>
                <w:kern w:val="0"/>
              </w:rPr>
              <w:t>密码测评</w:t>
            </w:r>
          </w:p>
        </w:tc>
        <w:tc>
          <w:tcPr>
            <w:tcW w:w="971" w:type="pct"/>
            <w:noWrap/>
            <w:vAlign w:val="center"/>
          </w:tcPr>
          <w:p w14:paraId="52E148F2">
            <w:pPr>
              <w:widowControl/>
              <w:spacing w:line="240" w:lineRule="auto"/>
              <w:ind w:firstLine="0" w:firstLineChars="0"/>
              <w:jc w:val="center"/>
              <w:rPr>
                <w:rFonts w:cs="宋体"/>
                <w:kern w:val="0"/>
              </w:rPr>
            </w:pPr>
            <w:r>
              <w:rPr>
                <w:rFonts w:hint="eastAsia" w:cs="宋体"/>
                <w:kern w:val="0"/>
              </w:rPr>
              <w:t>通过</w:t>
            </w:r>
          </w:p>
        </w:tc>
      </w:tr>
      <w:tr w14:paraId="3C4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55B9AD7">
            <w:pPr>
              <w:widowControl/>
              <w:spacing w:line="240" w:lineRule="auto"/>
              <w:ind w:firstLine="0" w:firstLineChars="0"/>
              <w:jc w:val="left"/>
              <w:rPr>
                <w:rFonts w:cs="宋体"/>
                <w:kern w:val="0"/>
              </w:rPr>
            </w:pPr>
          </w:p>
        </w:tc>
        <w:tc>
          <w:tcPr>
            <w:tcW w:w="956" w:type="pct"/>
            <w:vMerge w:val="continue"/>
            <w:noWrap/>
            <w:vAlign w:val="center"/>
          </w:tcPr>
          <w:p w14:paraId="48EDA1FF">
            <w:pPr>
              <w:widowControl/>
              <w:spacing w:line="240" w:lineRule="auto"/>
              <w:ind w:firstLine="0" w:firstLineChars="0"/>
              <w:jc w:val="left"/>
              <w:rPr>
                <w:rFonts w:cs="宋体"/>
                <w:kern w:val="0"/>
              </w:rPr>
            </w:pPr>
          </w:p>
        </w:tc>
        <w:tc>
          <w:tcPr>
            <w:tcW w:w="2373" w:type="pct"/>
            <w:noWrap/>
            <w:vAlign w:val="center"/>
          </w:tcPr>
          <w:p w14:paraId="5B2FD6A0">
            <w:pPr>
              <w:widowControl/>
              <w:spacing w:line="240" w:lineRule="auto"/>
              <w:ind w:firstLine="0" w:firstLineChars="0"/>
              <w:jc w:val="left"/>
              <w:rPr>
                <w:rFonts w:cs="宋体"/>
                <w:kern w:val="0"/>
              </w:rPr>
            </w:pPr>
            <w:r>
              <w:rPr>
                <w:rFonts w:hint="eastAsia" w:cs="宋体"/>
                <w:kern w:val="0"/>
              </w:rPr>
              <w:t>网络安全等级保护</w:t>
            </w:r>
          </w:p>
        </w:tc>
        <w:tc>
          <w:tcPr>
            <w:tcW w:w="971" w:type="pct"/>
            <w:noWrap/>
            <w:vAlign w:val="center"/>
          </w:tcPr>
          <w:p w14:paraId="0E920D4A">
            <w:pPr>
              <w:widowControl/>
              <w:spacing w:line="240" w:lineRule="auto"/>
              <w:ind w:firstLine="0" w:firstLineChars="0"/>
              <w:jc w:val="center"/>
              <w:rPr>
                <w:rFonts w:cs="宋体"/>
                <w:kern w:val="0"/>
              </w:rPr>
            </w:pPr>
            <w:r>
              <w:rPr>
                <w:rFonts w:hint="eastAsia" w:cs="宋体"/>
                <w:kern w:val="0"/>
              </w:rPr>
              <w:t>等保三级</w:t>
            </w:r>
          </w:p>
        </w:tc>
      </w:tr>
      <w:tr w14:paraId="2A6A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03892C2">
            <w:pPr>
              <w:widowControl/>
              <w:spacing w:line="240" w:lineRule="auto"/>
              <w:ind w:firstLine="0" w:firstLineChars="0"/>
              <w:jc w:val="left"/>
              <w:rPr>
                <w:rFonts w:cs="宋体"/>
                <w:kern w:val="0"/>
              </w:rPr>
            </w:pPr>
          </w:p>
        </w:tc>
        <w:tc>
          <w:tcPr>
            <w:tcW w:w="956" w:type="pct"/>
            <w:vMerge w:val="continue"/>
            <w:noWrap/>
            <w:vAlign w:val="center"/>
          </w:tcPr>
          <w:p w14:paraId="525DC305">
            <w:pPr>
              <w:widowControl/>
              <w:spacing w:line="240" w:lineRule="auto"/>
              <w:ind w:firstLine="0" w:firstLineChars="0"/>
              <w:jc w:val="left"/>
              <w:rPr>
                <w:rFonts w:cs="宋体"/>
                <w:kern w:val="0"/>
              </w:rPr>
            </w:pPr>
          </w:p>
        </w:tc>
        <w:tc>
          <w:tcPr>
            <w:tcW w:w="2373" w:type="pct"/>
            <w:noWrap/>
            <w:vAlign w:val="center"/>
          </w:tcPr>
          <w:p w14:paraId="10DB2F8A">
            <w:pPr>
              <w:widowControl/>
              <w:spacing w:line="240" w:lineRule="auto"/>
              <w:ind w:firstLine="0" w:firstLineChars="0"/>
              <w:jc w:val="left"/>
              <w:rPr>
                <w:rFonts w:cs="宋体"/>
                <w:kern w:val="0"/>
              </w:rPr>
            </w:pPr>
            <w:r>
              <w:rPr>
                <w:rFonts w:hint="eastAsia" w:cs="宋体"/>
                <w:kern w:val="0"/>
              </w:rPr>
              <w:t>安全测评</w:t>
            </w:r>
          </w:p>
        </w:tc>
        <w:tc>
          <w:tcPr>
            <w:tcW w:w="971" w:type="pct"/>
            <w:noWrap/>
            <w:vAlign w:val="center"/>
          </w:tcPr>
          <w:p w14:paraId="146461E2">
            <w:pPr>
              <w:widowControl/>
              <w:spacing w:line="240" w:lineRule="auto"/>
              <w:ind w:firstLine="0" w:firstLineChars="0"/>
              <w:jc w:val="center"/>
              <w:rPr>
                <w:rFonts w:cs="宋体"/>
                <w:kern w:val="0"/>
              </w:rPr>
            </w:pPr>
            <w:r>
              <w:rPr>
                <w:rFonts w:hint="eastAsia" w:cs="宋体"/>
                <w:kern w:val="0"/>
              </w:rPr>
              <w:t>通过</w:t>
            </w:r>
          </w:p>
        </w:tc>
      </w:tr>
      <w:tr w14:paraId="5E52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C738E74">
            <w:pPr>
              <w:widowControl/>
              <w:spacing w:line="240" w:lineRule="auto"/>
              <w:ind w:firstLine="0" w:firstLineChars="0"/>
              <w:jc w:val="left"/>
              <w:rPr>
                <w:rFonts w:cs="宋体"/>
                <w:kern w:val="0"/>
              </w:rPr>
            </w:pPr>
          </w:p>
        </w:tc>
        <w:tc>
          <w:tcPr>
            <w:tcW w:w="956" w:type="pct"/>
            <w:noWrap/>
            <w:vAlign w:val="center"/>
          </w:tcPr>
          <w:p w14:paraId="090DB074">
            <w:pPr>
              <w:widowControl/>
              <w:spacing w:line="240" w:lineRule="auto"/>
              <w:ind w:firstLine="0" w:firstLineChars="0"/>
              <w:jc w:val="center"/>
              <w:rPr>
                <w:rFonts w:cs="宋体"/>
                <w:kern w:val="0"/>
              </w:rPr>
            </w:pPr>
            <w:r>
              <w:rPr>
                <w:rFonts w:hint="eastAsia" w:cs="宋体"/>
                <w:kern w:val="0"/>
              </w:rPr>
              <w:t>安全事件</w:t>
            </w:r>
          </w:p>
        </w:tc>
        <w:tc>
          <w:tcPr>
            <w:tcW w:w="2373" w:type="pct"/>
            <w:noWrap/>
            <w:vAlign w:val="center"/>
          </w:tcPr>
          <w:p w14:paraId="7F1656FA">
            <w:pPr>
              <w:widowControl/>
              <w:spacing w:line="240" w:lineRule="auto"/>
              <w:ind w:firstLine="0" w:firstLineChars="0"/>
              <w:jc w:val="left"/>
              <w:rPr>
                <w:rFonts w:cs="宋体"/>
                <w:kern w:val="0"/>
              </w:rPr>
            </w:pPr>
            <w:r>
              <w:rPr>
                <w:rFonts w:hint="eastAsia" w:cs="宋体"/>
                <w:kern w:val="0"/>
              </w:rPr>
              <w:t>数据安全事件发生次数</w:t>
            </w:r>
          </w:p>
        </w:tc>
        <w:tc>
          <w:tcPr>
            <w:tcW w:w="971" w:type="pct"/>
            <w:noWrap/>
            <w:vAlign w:val="center"/>
          </w:tcPr>
          <w:p w14:paraId="5F11CCA3">
            <w:pPr>
              <w:widowControl/>
              <w:spacing w:line="240" w:lineRule="auto"/>
              <w:ind w:firstLine="0" w:firstLineChars="0"/>
              <w:jc w:val="center"/>
              <w:rPr>
                <w:rFonts w:cs="宋体"/>
                <w:kern w:val="0"/>
              </w:rPr>
            </w:pPr>
            <w:r>
              <w:rPr>
                <w:rFonts w:hint="eastAsia" w:cs="宋体"/>
                <w:kern w:val="0"/>
              </w:rPr>
              <w:t>0次</w:t>
            </w:r>
          </w:p>
        </w:tc>
      </w:tr>
      <w:tr w14:paraId="3CCF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pct"/>
            <w:vMerge w:val="continue"/>
            <w:noWrap/>
            <w:vAlign w:val="center"/>
          </w:tcPr>
          <w:p w14:paraId="3BAC3A3E">
            <w:pPr>
              <w:widowControl/>
              <w:spacing w:line="240" w:lineRule="auto"/>
              <w:ind w:firstLine="0" w:firstLineChars="0"/>
              <w:jc w:val="left"/>
              <w:rPr>
                <w:rFonts w:cs="宋体"/>
                <w:kern w:val="0"/>
              </w:rPr>
            </w:pPr>
          </w:p>
        </w:tc>
        <w:tc>
          <w:tcPr>
            <w:tcW w:w="956" w:type="pct"/>
            <w:noWrap/>
            <w:vAlign w:val="center"/>
          </w:tcPr>
          <w:p w14:paraId="3D9870A0">
            <w:pPr>
              <w:widowControl/>
              <w:spacing w:line="240" w:lineRule="auto"/>
              <w:ind w:firstLine="0" w:firstLineChars="0"/>
              <w:jc w:val="center"/>
              <w:rPr>
                <w:rFonts w:cs="宋体"/>
                <w:kern w:val="0"/>
              </w:rPr>
            </w:pPr>
            <w:r>
              <w:rPr>
                <w:rFonts w:hint="eastAsia" w:cs="宋体"/>
                <w:kern w:val="0"/>
              </w:rPr>
              <w:t>产出时效</w:t>
            </w:r>
          </w:p>
        </w:tc>
        <w:tc>
          <w:tcPr>
            <w:tcW w:w="2373" w:type="pct"/>
            <w:noWrap/>
            <w:vAlign w:val="center"/>
          </w:tcPr>
          <w:p w14:paraId="74362EF4">
            <w:pPr>
              <w:widowControl/>
              <w:spacing w:line="240" w:lineRule="auto"/>
              <w:ind w:firstLine="0" w:firstLineChars="0"/>
              <w:jc w:val="left"/>
              <w:rPr>
                <w:rFonts w:cs="宋体"/>
                <w:kern w:val="0"/>
              </w:rPr>
            </w:pPr>
            <w:r>
              <w:rPr>
                <w:rFonts w:hint="eastAsia" w:cs="宋体"/>
                <w:kern w:val="0"/>
              </w:rPr>
              <w:t>项目实施进度</w:t>
            </w:r>
          </w:p>
        </w:tc>
        <w:tc>
          <w:tcPr>
            <w:tcW w:w="971" w:type="pct"/>
            <w:noWrap/>
            <w:vAlign w:val="center"/>
          </w:tcPr>
          <w:p w14:paraId="516DBA7D">
            <w:pPr>
              <w:widowControl/>
              <w:spacing w:line="240" w:lineRule="auto"/>
              <w:ind w:firstLine="0" w:firstLineChars="0"/>
              <w:jc w:val="center"/>
              <w:rPr>
                <w:rFonts w:cs="宋体"/>
                <w:kern w:val="0"/>
              </w:rPr>
            </w:pPr>
            <w:r>
              <w:rPr>
                <w:rFonts w:hint="eastAsia" w:cs="宋体"/>
                <w:kern w:val="0"/>
              </w:rPr>
              <w:t>9个月</w:t>
            </w:r>
          </w:p>
        </w:tc>
      </w:tr>
      <w:tr w14:paraId="2BD6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47315508">
            <w:pPr>
              <w:widowControl/>
              <w:spacing w:line="240" w:lineRule="auto"/>
              <w:ind w:firstLine="0" w:firstLineChars="0"/>
              <w:jc w:val="left"/>
              <w:rPr>
                <w:rFonts w:cs="宋体"/>
                <w:kern w:val="0"/>
              </w:rPr>
            </w:pPr>
          </w:p>
        </w:tc>
        <w:tc>
          <w:tcPr>
            <w:tcW w:w="956" w:type="pct"/>
            <w:vMerge w:val="restart"/>
            <w:noWrap/>
            <w:vAlign w:val="center"/>
          </w:tcPr>
          <w:p w14:paraId="33F541E2">
            <w:pPr>
              <w:widowControl/>
              <w:spacing w:line="240" w:lineRule="auto"/>
              <w:ind w:firstLine="0" w:firstLineChars="0"/>
              <w:jc w:val="center"/>
              <w:rPr>
                <w:rFonts w:cs="宋体"/>
                <w:kern w:val="0"/>
              </w:rPr>
            </w:pPr>
            <w:r>
              <w:rPr>
                <w:rFonts w:hint="eastAsia" w:cs="宋体"/>
                <w:kern w:val="0"/>
              </w:rPr>
              <w:t>共性平台</w:t>
            </w:r>
          </w:p>
        </w:tc>
        <w:tc>
          <w:tcPr>
            <w:tcW w:w="2373" w:type="pct"/>
            <w:noWrap/>
            <w:vAlign w:val="center"/>
          </w:tcPr>
          <w:p w14:paraId="072D3A6C">
            <w:pPr>
              <w:widowControl/>
              <w:spacing w:line="240" w:lineRule="auto"/>
              <w:ind w:firstLine="0" w:firstLineChars="0"/>
              <w:jc w:val="left"/>
              <w:rPr>
                <w:rFonts w:cs="宋体"/>
                <w:kern w:val="0"/>
              </w:rPr>
            </w:pPr>
            <w:r>
              <w:rPr>
                <w:rFonts w:hint="eastAsia" w:cs="宋体"/>
                <w:kern w:val="0"/>
              </w:rPr>
              <w:t>跨部门（场馆）数据共享程度</w:t>
            </w:r>
          </w:p>
        </w:tc>
        <w:tc>
          <w:tcPr>
            <w:tcW w:w="971" w:type="pct"/>
            <w:noWrap/>
            <w:vAlign w:val="center"/>
          </w:tcPr>
          <w:p w14:paraId="698AE9A2">
            <w:pPr>
              <w:widowControl/>
              <w:spacing w:line="240" w:lineRule="auto"/>
              <w:ind w:firstLine="0" w:firstLineChars="0"/>
              <w:jc w:val="center"/>
              <w:rPr>
                <w:rFonts w:cs="宋体"/>
                <w:kern w:val="0"/>
              </w:rPr>
            </w:pPr>
            <w:r>
              <w:rPr>
                <w:rFonts w:hint="eastAsia" w:cs="宋体"/>
                <w:kern w:val="0"/>
              </w:rPr>
              <w:t>≥90%</w:t>
            </w:r>
          </w:p>
        </w:tc>
      </w:tr>
      <w:tr w14:paraId="5718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6DE169B5">
            <w:pPr>
              <w:widowControl/>
              <w:spacing w:line="240" w:lineRule="auto"/>
              <w:ind w:firstLine="0" w:firstLineChars="0"/>
              <w:jc w:val="left"/>
              <w:rPr>
                <w:rFonts w:cs="宋体"/>
                <w:kern w:val="0"/>
              </w:rPr>
            </w:pPr>
          </w:p>
        </w:tc>
        <w:tc>
          <w:tcPr>
            <w:tcW w:w="956" w:type="pct"/>
            <w:vMerge w:val="continue"/>
            <w:noWrap/>
            <w:vAlign w:val="center"/>
          </w:tcPr>
          <w:p w14:paraId="548DC565">
            <w:pPr>
              <w:widowControl/>
              <w:spacing w:line="240" w:lineRule="auto"/>
              <w:ind w:firstLine="0" w:firstLineChars="0"/>
              <w:jc w:val="left"/>
              <w:rPr>
                <w:rFonts w:cs="宋体"/>
                <w:kern w:val="0"/>
              </w:rPr>
            </w:pPr>
          </w:p>
        </w:tc>
        <w:tc>
          <w:tcPr>
            <w:tcW w:w="2373" w:type="pct"/>
            <w:noWrap/>
            <w:vAlign w:val="center"/>
          </w:tcPr>
          <w:p w14:paraId="0F1A1040">
            <w:pPr>
              <w:widowControl/>
              <w:spacing w:line="240" w:lineRule="auto"/>
              <w:ind w:firstLine="0" w:firstLineChars="0"/>
              <w:jc w:val="left"/>
              <w:rPr>
                <w:rFonts w:cs="宋体"/>
                <w:kern w:val="0"/>
              </w:rPr>
            </w:pPr>
            <w:r>
              <w:rPr>
                <w:rFonts w:hint="eastAsia" w:cs="宋体"/>
                <w:kern w:val="0"/>
              </w:rPr>
              <w:t>核心数据缺失率</w:t>
            </w:r>
          </w:p>
        </w:tc>
        <w:tc>
          <w:tcPr>
            <w:tcW w:w="971" w:type="pct"/>
            <w:noWrap/>
            <w:vAlign w:val="center"/>
          </w:tcPr>
          <w:p w14:paraId="345535DA">
            <w:pPr>
              <w:widowControl/>
              <w:spacing w:line="240" w:lineRule="auto"/>
              <w:ind w:firstLine="0" w:firstLineChars="0"/>
              <w:jc w:val="center"/>
              <w:rPr>
                <w:rFonts w:cs="宋体"/>
                <w:kern w:val="0"/>
              </w:rPr>
            </w:pPr>
            <w:r>
              <w:rPr>
                <w:rFonts w:hint="eastAsia" w:cs="宋体"/>
                <w:kern w:val="0"/>
              </w:rPr>
              <w:t>≤5%</w:t>
            </w:r>
          </w:p>
        </w:tc>
      </w:tr>
      <w:tr w14:paraId="7C06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10D48BF9">
            <w:pPr>
              <w:widowControl/>
              <w:spacing w:line="240" w:lineRule="auto"/>
              <w:ind w:firstLine="0" w:firstLineChars="0"/>
              <w:jc w:val="left"/>
              <w:rPr>
                <w:rFonts w:cs="宋体"/>
                <w:kern w:val="0"/>
              </w:rPr>
            </w:pPr>
          </w:p>
        </w:tc>
        <w:tc>
          <w:tcPr>
            <w:tcW w:w="956" w:type="pct"/>
            <w:vMerge w:val="continue"/>
            <w:noWrap/>
            <w:vAlign w:val="center"/>
          </w:tcPr>
          <w:p w14:paraId="442BCCB5">
            <w:pPr>
              <w:widowControl/>
              <w:spacing w:line="240" w:lineRule="auto"/>
              <w:ind w:firstLine="0" w:firstLineChars="0"/>
              <w:jc w:val="left"/>
              <w:rPr>
                <w:rFonts w:cs="宋体"/>
                <w:kern w:val="0"/>
              </w:rPr>
            </w:pPr>
          </w:p>
        </w:tc>
        <w:tc>
          <w:tcPr>
            <w:tcW w:w="2373" w:type="pct"/>
            <w:noWrap/>
            <w:vAlign w:val="center"/>
          </w:tcPr>
          <w:p w14:paraId="6EAAD15C">
            <w:pPr>
              <w:widowControl/>
              <w:spacing w:line="240" w:lineRule="auto"/>
              <w:ind w:firstLine="0" w:firstLineChars="0"/>
              <w:jc w:val="left"/>
              <w:rPr>
                <w:rFonts w:cs="宋体"/>
                <w:kern w:val="0"/>
              </w:rPr>
            </w:pPr>
            <w:r>
              <w:rPr>
                <w:rFonts w:hint="eastAsia" w:cs="宋体"/>
                <w:kern w:val="0"/>
              </w:rPr>
              <w:t>覆盖部门（场馆）数量</w:t>
            </w:r>
          </w:p>
        </w:tc>
        <w:tc>
          <w:tcPr>
            <w:tcW w:w="971" w:type="pct"/>
            <w:noWrap/>
            <w:vAlign w:val="center"/>
          </w:tcPr>
          <w:p w14:paraId="2EB30C91">
            <w:pPr>
              <w:widowControl/>
              <w:spacing w:line="240" w:lineRule="auto"/>
              <w:ind w:firstLine="0" w:firstLineChars="0"/>
              <w:jc w:val="center"/>
              <w:rPr>
                <w:rFonts w:cs="宋体"/>
                <w:kern w:val="0"/>
              </w:rPr>
            </w:pPr>
            <w:r>
              <w:rPr>
                <w:rFonts w:hint="eastAsia" w:cs="宋体"/>
                <w:kern w:val="0"/>
              </w:rPr>
              <w:t>≥10个</w:t>
            </w:r>
          </w:p>
        </w:tc>
      </w:tr>
      <w:tr w14:paraId="2D7F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5EF13E29">
            <w:pPr>
              <w:widowControl/>
              <w:spacing w:line="240" w:lineRule="auto"/>
              <w:ind w:firstLine="0" w:firstLineChars="0"/>
              <w:jc w:val="left"/>
              <w:rPr>
                <w:rFonts w:cs="宋体"/>
                <w:kern w:val="0"/>
              </w:rPr>
            </w:pPr>
          </w:p>
        </w:tc>
        <w:tc>
          <w:tcPr>
            <w:tcW w:w="956" w:type="pct"/>
            <w:vMerge w:val="continue"/>
            <w:noWrap/>
            <w:vAlign w:val="center"/>
          </w:tcPr>
          <w:p w14:paraId="0C3D2723">
            <w:pPr>
              <w:widowControl/>
              <w:spacing w:line="240" w:lineRule="auto"/>
              <w:ind w:firstLine="0" w:firstLineChars="0"/>
              <w:jc w:val="left"/>
              <w:rPr>
                <w:rFonts w:cs="宋体"/>
                <w:kern w:val="0"/>
              </w:rPr>
            </w:pPr>
          </w:p>
        </w:tc>
        <w:tc>
          <w:tcPr>
            <w:tcW w:w="2373" w:type="pct"/>
            <w:noWrap/>
            <w:vAlign w:val="center"/>
          </w:tcPr>
          <w:p w14:paraId="5887BD06">
            <w:pPr>
              <w:widowControl/>
              <w:spacing w:line="240" w:lineRule="auto"/>
              <w:ind w:firstLine="0" w:firstLineChars="0"/>
              <w:jc w:val="left"/>
              <w:rPr>
                <w:rFonts w:cs="宋体"/>
                <w:kern w:val="0"/>
              </w:rPr>
            </w:pPr>
            <w:r>
              <w:rPr>
                <w:rFonts w:hint="eastAsia" w:cs="宋体"/>
                <w:kern w:val="0"/>
              </w:rPr>
              <w:t>整合对接系统数量</w:t>
            </w:r>
          </w:p>
        </w:tc>
        <w:tc>
          <w:tcPr>
            <w:tcW w:w="971" w:type="pct"/>
            <w:noWrap/>
            <w:vAlign w:val="center"/>
          </w:tcPr>
          <w:p w14:paraId="7D857222">
            <w:pPr>
              <w:widowControl/>
              <w:spacing w:line="240" w:lineRule="auto"/>
              <w:ind w:firstLine="0" w:firstLineChars="0"/>
              <w:jc w:val="center"/>
              <w:rPr>
                <w:rFonts w:cs="宋体"/>
                <w:kern w:val="0"/>
              </w:rPr>
            </w:pPr>
            <w:r>
              <w:rPr>
                <w:rFonts w:hint="eastAsia" w:cs="宋体"/>
                <w:kern w:val="0"/>
              </w:rPr>
              <w:t>≥2个</w:t>
            </w:r>
          </w:p>
        </w:tc>
      </w:tr>
      <w:tr w14:paraId="06FB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1B110411">
            <w:pPr>
              <w:widowControl/>
              <w:spacing w:line="240" w:lineRule="auto"/>
              <w:ind w:firstLine="0" w:firstLineChars="0"/>
              <w:jc w:val="left"/>
              <w:rPr>
                <w:rFonts w:cs="宋体"/>
                <w:kern w:val="0"/>
              </w:rPr>
            </w:pPr>
          </w:p>
        </w:tc>
        <w:tc>
          <w:tcPr>
            <w:tcW w:w="956" w:type="pct"/>
            <w:noWrap/>
            <w:vAlign w:val="center"/>
          </w:tcPr>
          <w:p w14:paraId="45DA5A68">
            <w:pPr>
              <w:widowControl/>
              <w:spacing w:line="240" w:lineRule="auto"/>
              <w:ind w:firstLine="0" w:firstLineChars="0"/>
              <w:jc w:val="center"/>
              <w:rPr>
                <w:rFonts w:cs="宋体"/>
                <w:kern w:val="0"/>
              </w:rPr>
            </w:pPr>
            <w:r>
              <w:rPr>
                <w:rFonts w:hint="eastAsia" w:cs="宋体"/>
                <w:kern w:val="0"/>
              </w:rPr>
              <w:t>区块链技术利用水平</w:t>
            </w:r>
          </w:p>
        </w:tc>
        <w:tc>
          <w:tcPr>
            <w:tcW w:w="2373" w:type="pct"/>
            <w:noWrap/>
            <w:vAlign w:val="center"/>
          </w:tcPr>
          <w:p w14:paraId="0C29AA2A">
            <w:pPr>
              <w:widowControl/>
              <w:spacing w:line="240" w:lineRule="auto"/>
              <w:ind w:firstLine="0" w:firstLineChars="0"/>
              <w:jc w:val="left"/>
              <w:rPr>
                <w:rFonts w:cs="宋体"/>
                <w:kern w:val="0"/>
              </w:rPr>
            </w:pPr>
            <w:r>
              <w:rPr>
                <w:rFonts w:hint="eastAsia" w:cs="宋体"/>
                <w:kern w:val="0"/>
              </w:rPr>
              <w:t>数据上链率</w:t>
            </w:r>
          </w:p>
        </w:tc>
        <w:tc>
          <w:tcPr>
            <w:tcW w:w="971" w:type="pct"/>
            <w:noWrap/>
            <w:vAlign w:val="center"/>
          </w:tcPr>
          <w:p w14:paraId="79DCA444">
            <w:pPr>
              <w:widowControl/>
              <w:spacing w:line="240" w:lineRule="auto"/>
              <w:ind w:firstLine="0" w:firstLineChars="0"/>
              <w:jc w:val="center"/>
              <w:rPr>
                <w:rFonts w:cs="宋体"/>
                <w:kern w:val="0"/>
              </w:rPr>
            </w:pPr>
            <w:r>
              <w:rPr>
                <w:rFonts w:hint="eastAsia" w:cs="宋体"/>
                <w:kern w:val="0"/>
              </w:rPr>
              <w:t>≥90%</w:t>
            </w:r>
          </w:p>
        </w:tc>
      </w:tr>
      <w:tr w14:paraId="1351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E80BD29">
            <w:pPr>
              <w:widowControl/>
              <w:spacing w:line="240" w:lineRule="auto"/>
              <w:ind w:firstLine="0" w:firstLineChars="0"/>
              <w:jc w:val="left"/>
              <w:rPr>
                <w:rFonts w:cs="宋体"/>
                <w:kern w:val="0"/>
              </w:rPr>
            </w:pPr>
          </w:p>
        </w:tc>
        <w:tc>
          <w:tcPr>
            <w:tcW w:w="956" w:type="pct"/>
            <w:vMerge w:val="restart"/>
            <w:noWrap/>
            <w:vAlign w:val="center"/>
          </w:tcPr>
          <w:p w14:paraId="58A0EF36">
            <w:pPr>
              <w:widowControl/>
              <w:spacing w:line="240" w:lineRule="auto"/>
              <w:ind w:firstLine="0" w:firstLineChars="0"/>
              <w:jc w:val="center"/>
              <w:rPr>
                <w:rFonts w:cs="宋体"/>
                <w:kern w:val="0"/>
              </w:rPr>
            </w:pPr>
            <w:r>
              <w:rPr>
                <w:rFonts w:hint="eastAsia" w:cs="宋体"/>
                <w:kern w:val="0"/>
              </w:rPr>
              <w:t>物联网技术利用水平</w:t>
            </w:r>
          </w:p>
        </w:tc>
        <w:tc>
          <w:tcPr>
            <w:tcW w:w="2373" w:type="pct"/>
            <w:noWrap/>
            <w:vAlign w:val="center"/>
          </w:tcPr>
          <w:p w14:paraId="740A9912">
            <w:pPr>
              <w:widowControl/>
              <w:spacing w:line="240" w:lineRule="auto"/>
              <w:ind w:firstLine="0" w:firstLineChars="0"/>
              <w:jc w:val="left"/>
              <w:rPr>
                <w:rFonts w:cs="宋体"/>
                <w:kern w:val="0"/>
              </w:rPr>
            </w:pPr>
            <w:r>
              <w:rPr>
                <w:rFonts w:hint="eastAsia" w:cs="宋体"/>
                <w:kern w:val="0"/>
              </w:rPr>
              <w:t>物联设备覆盖率</w:t>
            </w:r>
          </w:p>
        </w:tc>
        <w:tc>
          <w:tcPr>
            <w:tcW w:w="971" w:type="pct"/>
            <w:noWrap/>
            <w:vAlign w:val="center"/>
          </w:tcPr>
          <w:p w14:paraId="11522CA5">
            <w:pPr>
              <w:widowControl/>
              <w:spacing w:line="240" w:lineRule="auto"/>
              <w:ind w:firstLine="0" w:firstLineChars="0"/>
              <w:jc w:val="center"/>
              <w:rPr>
                <w:rFonts w:cs="宋体"/>
                <w:kern w:val="0"/>
              </w:rPr>
            </w:pPr>
            <w:r>
              <w:rPr>
                <w:rFonts w:hint="eastAsia" w:cs="宋体"/>
                <w:kern w:val="0"/>
              </w:rPr>
              <w:t>≥95%</w:t>
            </w:r>
          </w:p>
        </w:tc>
      </w:tr>
      <w:tr w14:paraId="5C37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18607F1A">
            <w:pPr>
              <w:widowControl/>
              <w:spacing w:line="240" w:lineRule="auto"/>
              <w:ind w:firstLine="0" w:firstLineChars="0"/>
              <w:jc w:val="left"/>
              <w:rPr>
                <w:rFonts w:cs="宋体"/>
                <w:kern w:val="0"/>
              </w:rPr>
            </w:pPr>
          </w:p>
        </w:tc>
        <w:tc>
          <w:tcPr>
            <w:tcW w:w="956" w:type="pct"/>
            <w:vMerge w:val="continue"/>
            <w:noWrap/>
            <w:vAlign w:val="center"/>
          </w:tcPr>
          <w:p w14:paraId="35E25525">
            <w:pPr>
              <w:widowControl/>
              <w:spacing w:line="240" w:lineRule="auto"/>
              <w:ind w:firstLine="0" w:firstLineChars="0"/>
              <w:jc w:val="left"/>
              <w:rPr>
                <w:rFonts w:cs="宋体"/>
                <w:kern w:val="0"/>
              </w:rPr>
            </w:pPr>
          </w:p>
        </w:tc>
        <w:tc>
          <w:tcPr>
            <w:tcW w:w="2373" w:type="pct"/>
            <w:noWrap/>
            <w:vAlign w:val="center"/>
          </w:tcPr>
          <w:p w14:paraId="1F9E2DDF">
            <w:pPr>
              <w:widowControl/>
              <w:spacing w:line="240" w:lineRule="auto"/>
              <w:ind w:firstLine="0" w:firstLineChars="0"/>
              <w:jc w:val="left"/>
              <w:rPr>
                <w:rFonts w:cs="宋体"/>
                <w:kern w:val="0"/>
              </w:rPr>
            </w:pPr>
            <w:r>
              <w:rPr>
                <w:rFonts w:hint="eastAsia" w:cs="宋体"/>
                <w:kern w:val="0"/>
              </w:rPr>
              <w:t>物联数据有效性</w:t>
            </w:r>
          </w:p>
        </w:tc>
        <w:tc>
          <w:tcPr>
            <w:tcW w:w="971" w:type="pct"/>
            <w:noWrap/>
            <w:vAlign w:val="center"/>
          </w:tcPr>
          <w:p w14:paraId="12838FA3">
            <w:pPr>
              <w:widowControl/>
              <w:spacing w:line="240" w:lineRule="auto"/>
              <w:ind w:firstLine="0" w:firstLineChars="0"/>
              <w:jc w:val="center"/>
              <w:rPr>
                <w:rFonts w:cs="宋体"/>
                <w:kern w:val="0"/>
              </w:rPr>
            </w:pPr>
            <w:r>
              <w:rPr>
                <w:rFonts w:hint="eastAsia" w:cs="宋体"/>
                <w:kern w:val="0"/>
              </w:rPr>
              <w:t>≥95%</w:t>
            </w:r>
          </w:p>
        </w:tc>
      </w:tr>
      <w:tr w14:paraId="239C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32D75701">
            <w:pPr>
              <w:widowControl/>
              <w:spacing w:line="240" w:lineRule="auto"/>
              <w:ind w:firstLine="0" w:firstLineChars="0"/>
              <w:jc w:val="left"/>
              <w:rPr>
                <w:rFonts w:cs="宋体"/>
                <w:kern w:val="0"/>
              </w:rPr>
            </w:pPr>
          </w:p>
        </w:tc>
        <w:tc>
          <w:tcPr>
            <w:tcW w:w="956" w:type="pct"/>
            <w:vMerge w:val="continue"/>
            <w:noWrap/>
            <w:vAlign w:val="center"/>
          </w:tcPr>
          <w:p w14:paraId="75216C2D">
            <w:pPr>
              <w:widowControl/>
              <w:spacing w:line="240" w:lineRule="auto"/>
              <w:ind w:firstLine="0" w:firstLineChars="0"/>
              <w:jc w:val="left"/>
              <w:rPr>
                <w:rFonts w:cs="宋体"/>
                <w:kern w:val="0"/>
              </w:rPr>
            </w:pPr>
          </w:p>
        </w:tc>
        <w:tc>
          <w:tcPr>
            <w:tcW w:w="2373" w:type="pct"/>
            <w:noWrap/>
            <w:vAlign w:val="center"/>
          </w:tcPr>
          <w:p w14:paraId="0FE5F2A3">
            <w:pPr>
              <w:widowControl/>
              <w:spacing w:line="240" w:lineRule="auto"/>
              <w:ind w:firstLine="0" w:firstLineChars="0"/>
              <w:jc w:val="left"/>
              <w:rPr>
                <w:rFonts w:cs="宋体"/>
                <w:kern w:val="0"/>
              </w:rPr>
            </w:pPr>
            <w:r>
              <w:rPr>
                <w:rFonts w:hint="eastAsia" w:cs="宋体"/>
                <w:kern w:val="0"/>
              </w:rPr>
              <w:t>物联数据利用率</w:t>
            </w:r>
          </w:p>
        </w:tc>
        <w:tc>
          <w:tcPr>
            <w:tcW w:w="971" w:type="pct"/>
            <w:noWrap/>
            <w:vAlign w:val="center"/>
          </w:tcPr>
          <w:p w14:paraId="7D99DC4B">
            <w:pPr>
              <w:widowControl/>
              <w:spacing w:line="240" w:lineRule="auto"/>
              <w:ind w:firstLine="0" w:firstLineChars="0"/>
              <w:jc w:val="center"/>
              <w:rPr>
                <w:rFonts w:cs="宋体"/>
                <w:kern w:val="0"/>
              </w:rPr>
            </w:pPr>
            <w:r>
              <w:rPr>
                <w:rFonts w:hint="eastAsia" w:cs="宋体"/>
                <w:kern w:val="0"/>
              </w:rPr>
              <w:t>≥95%</w:t>
            </w:r>
          </w:p>
        </w:tc>
      </w:tr>
      <w:tr w14:paraId="7C89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restart"/>
            <w:noWrap/>
            <w:vAlign w:val="center"/>
          </w:tcPr>
          <w:p w14:paraId="28D3E198">
            <w:pPr>
              <w:widowControl/>
              <w:spacing w:line="240" w:lineRule="auto"/>
              <w:ind w:firstLine="0" w:firstLineChars="0"/>
              <w:jc w:val="center"/>
              <w:rPr>
                <w:rFonts w:cs="宋体"/>
                <w:kern w:val="0"/>
              </w:rPr>
            </w:pPr>
            <w:r>
              <w:rPr>
                <w:rFonts w:hint="eastAsia" w:cs="宋体"/>
                <w:kern w:val="0"/>
              </w:rPr>
              <w:t>业务指标</w:t>
            </w:r>
          </w:p>
        </w:tc>
        <w:tc>
          <w:tcPr>
            <w:tcW w:w="956" w:type="pct"/>
            <w:vMerge w:val="restart"/>
            <w:noWrap/>
            <w:vAlign w:val="center"/>
          </w:tcPr>
          <w:p w14:paraId="757FDD8F">
            <w:pPr>
              <w:widowControl/>
              <w:ind w:firstLine="0" w:firstLineChars="0"/>
              <w:jc w:val="center"/>
              <w:textAlignment w:val="center"/>
              <w:rPr>
                <w:rFonts w:cs="宋体"/>
                <w:kern w:val="0"/>
              </w:rPr>
            </w:pPr>
            <w:r>
              <w:rPr>
                <w:rFonts w:hint="eastAsia" w:cs="宋体"/>
                <w:kern w:val="0"/>
              </w:rPr>
              <w:t>产出数量</w:t>
            </w:r>
          </w:p>
        </w:tc>
        <w:tc>
          <w:tcPr>
            <w:tcW w:w="2373" w:type="pct"/>
            <w:noWrap/>
            <w:vAlign w:val="center"/>
          </w:tcPr>
          <w:p w14:paraId="698D20A3">
            <w:pPr>
              <w:widowControl/>
              <w:ind w:firstLine="0" w:firstLineChars="0"/>
              <w:jc w:val="left"/>
              <w:textAlignment w:val="center"/>
              <w:rPr>
                <w:rFonts w:cs="宋体"/>
                <w:kern w:val="0"/>
              </w:rPr>
            </w:pPr>
            <w:r>
              <w:rPr>
                <w:rFonts w:hint="eastAsia" w:cs="宋体"/>
                <w:kern w:val="0"/>
              </w:rPr>
              <w:t>空间计算世界模型专用边缘计算设备采购数量</w:t>
            </w:r>
          </w:p>
        </w:tc>
        <w:tc>
          <w:tcPr>
            <w:tcW w:w="971" w:type="pct"/>
            <w:noWrap/>
            <w:vAlign w:val="center"/>
          </w:tcPr>
          <w:p w14:paraId="13623A51">
            <w:pPr>
              <w:widowControl/>
              <w:ind w:firstLine="0" w:firstLineChars="0"/>
              <w:jc w:val="center"/>
              <w:textAlignment w:val="center"/>
              <w:rPr>
                <w:rFonts w:cs="宋体"/>
                <w:kern w:val="0"/>
              </w:rPr>
            </w:pPr>
            <w:r>
              <w:rPr>
                <w:rFonts w:hint="eastAsia" w:cs="宋体"/>
                <w:kern w:val="0"/>
              </w:rPr>
              <w:t>1700套</w:t>
            </w:r>
          </w:p>
        </w:tc>
      </w:tr>
      <w:tr w14:paraId="17F6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50315C6F">
            <w:pPr>
              <w:widowControl/>
              <w:spacing w:line="240" w:lineRule="auto"/>
              <w:ind w:firstLine="0" w:firstLineChars="0"/>
              <w:jc w:val="center"/>
              <w:rPr>
                <w:rFonts w:cs="宋体"/>
                <w:kern w:val="0"/>
              </w:rPr>
            </w:pPr>
          </w:p>
        </w:tc>
        <w:tc>
          <w:tcPr>
            <w:tcW w:w="956" w:type="pct"/>
            <w:vMerge w:val="continue"/>
            <w:noWrap/>
            <w:vAlign w:val="center"/>
          </w:tcPr>
          <w:p w14:paraId="476E87E3">
            <w:pPr>
              <w:widowControl/>
              <w:ind w:firstLine="0" w:firstLineChars="0"/>
              <w:jc w:val="center"/>
              <w:rPr>
                <w:rFonts w:cs="宋体"/>
                <w:kern w:val="0"/>
              </w:rPr>
            </w:pPr>
          </w:p>
        </w:tc>
        <w:tc>
          <w:tcPr>
            <w:tcW w:w="2373" w:type="pct"/>
            <w:noWrap/>
            <w:vAlign w:val="center"/>
          </w:tcPr>
          <w:p w14:paraId="2C07A6F9">
            <w:pPr>
              <w:widowControl/>
              <w:ind w:firstLine="0" w:firstLineChars="0"/>
              <w:jc w:val="left"/>
              <w:textAlignment w:val="center"/>
              <w:rPr>
                <w:rFonts w:cs="宋体"/>
                <w:kern w:val="0"/>
              </w:rPr>
            </w:pPr>
            <w:r>
              <w:rPr>
                <w:rFonts w:hint="eastAsia" w:cs="宋体"/>
                <w:kern w:val="0"/>
              </w:rPr>
              <w:t>POE分离器采购数量</w:t>
            </w:r>
          </w:p>
        </w:tc>
        <w:tc>
          <w:tcPr>
            <w:tcW w:w="971" w:type="pct"/>
            <w:noWrap/>
            <w:vAlign w:val="center"/>
          </w:tcPr>
          <w:p w14:paraId="7956AB07">
            <w:pPr>
              <w:widowControl/>
              <w:ind w:firstLine="0" w:firstLineChars="0"/>
              <w:jc w:val="center"/>
              <w:textAlignment w:val="center"/>
              <w:rPr>
                <w:rFonts w:cs="宋体"/>
                <w:kern w:val="0"/>
              </w:rPr>
            </w:pPr>
            <w:r>
              <w:rPr>
                <w:rFonts w:hint="eastAsia" w:cs="宋体"/>
                <w:kern w:val="0"/>
              </w:rPr>
              <w:t>1700套</w:t>
            </w:r>
          </w:p>
        </w:tc>
      </w:tr>
      <w:tr w14:paraId="7A3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43DE482">
            <w:pPr>
              <w:widowControl/>
              <w:spacing w:line="240" w:lineRule="auto"/>
              <w:ind w:firstLine="0" w:firstLineChars="0"/>
              <w:jc w:val="center"/>
              <w:rPr>
                <w:rFonts w:cs="宋体"/>
                <w:kern w:val="0"/>
              </w:rPr>
            </w:pPr>
          </w:p>
        </w:tc>
        <w:tc>
          <w:tcPr>
            <w:tcW w:w="956" w:type="pct"/>
            <w:vMerge w:val="continue"/>
            <w:noWrap/>
            <w:vAlign w:val="center"/>
          </w:tcPr>
          <w:p w14:paraId="03D082F4">
            <w:pPr>
              <w:widowControl/>
              <w:ind w:firstLine="0" w:firstLineChars="0"/>
              <w:jc w:val="center"/>
              <w:rPr>
                <w:rFonts w:cs="宋体"/>
                <w:kern w:val="0"/>
              </w:rPr>
            </w:pPr>
          </w:p>
        </w:tc>
        <w:tc>
          <w:tcPr>
            <w:tcW w:w="2373" w:type="pct"/>
            <w:noWrap/>
            <w:vAlign w:val="center"/>
          </w:tcPr>
          <w:p w14:paraId="487C0B75">
            <w:pPr>
              <w:widowControl/>
              <w:ind w:firstLine="0" w:firstLineChars="0"/>
              <w:jc w:val="left"/>
              <w:textAlignment w:val="center"/>
              <w:rPr>
                <w:rFonts w:cs="宋体"/>
                <w:kern w:val="0"/>
              </w:rPr>
            </w:pPr>
            <w:r>
              <w:rPr>
                <w:rFonts w:hint="eastAsia" w:cs="宋体"/>
                <w:kern w:val="0"/>
              </w:rPr>
              <w:t>BLE蓝牙模块采购数量</w:t>
            </w:r>
          </w:p>
        </w:tc>
        <w:tc>
          <w:tcPr>
            <w:tcW w:w="971" w:type="pct"/>
            <w:noWrap/>
            <w:vAlign w:val="center"/>
          </w:tcPr>
          <w:p w14:paraId="20CBAA52">
            <w:pPr>
              <w:widowControl/>
              <w:ind w:firstLine="0" w:firstLineChars="0"/>
              <w:jc w:val="center"/>
              <w:textAlignment w:val="center"/>
              <w:rPr>
                <w:rFonts w:cs="宋体"/>
                <w:kern w:val="0"/>
              </w:rPr>
            </w:pPr>
            <w:r>
              <w:rPr>
                <w:rFonts w:hint="eastAsia" w:cs="宋体"/>
                <w:kern w:val="0"/>
              </w:rPr>
              <w:t>1700套</w:t>
            </w:r>
          </w:p>
        </w:tc>
      </w:tr>
      <w:tr w14:paraId="6AD9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3F6F266F">
            <w:pPr>
              <w:widowControl/>
              <w:spacing w:line="240" w:lineRule="auto"/>
              <w:ind w:firstLine="0" w:firstLineChars="0"/>
              <w:jc w:val="center"/>
              <w:rPr>
                <w:rFonts w:cs="宋体"/>
                <w:kern w:val="0"/>
              </w:rPr>
            </w:pPr>
          </w:p>
        </w:tc>
        <w:tc>
          <w:tcPr>
            <w:tcW w:w="956" w:type="pct"/>
            <w:vMerge w:val="continue"/>
            <w:noWrap/>
            <w:vAlign w:val="center"/>
          </w:tcPr>
          <w:p w14:paraId="7044E0B5">
            <w:pPr>
              <w:widowControl/>
              <w:ind w:firstLine="0" w:firstLineChars="0"/>
              <w:jc w:val="center"/>
              <w:rPr>
                <w:rFonts w:cs="宋体"/>
                <w:kern w:val="0"/>
              </w:rPr>
            </w:pPr>
          </w:p>
        </w:tc>
        <w:tc>
          <w:tcPr>
            <w:tcW w:w="2373" w:type="pct"/>
            <w:noWrap/>
            <w:vAlign w:val="center"/>
          </w:tcPr>
          <w:p w14:paraId="2BAFEB32">
            <w:pPr>
              <w:widowControl/>
              <w:ind w:firstLine="0" w:firstLineChars="0"/>
              <w:jc w:val="left"/>
              <w:textAlignment w:val="center"/>
              <w:rPr>
                <w:rFonts w:cs="宋体"/>
                <w:kern w:val="0"/>
              </w:rPr>
            </w:pPr>
            <w:r>
              <w:rPr>
                <w:rFonts w:hint="eastAsia" w:cs="宋体"/>
                <w:kern w:val="0"/>
              </w:rPr>
              <w:t>设备安装完成率</w:t>
            </w:r>
          </w:p>
        </w:tc>
        <w:tc>
          <w:tcPr>
            <w:tcW w:w="971" w:type="pct"/>
            <w:noWrap/>
            <w:vAlign w:val="center"/>
          </w:tcPr>
          <w:p w14:paraId="0C85536F">
            <w:pPr>
              <w:widowControl/>
              <w:ind w:firstLine="0" w:firstLineChars="0"/>
              <w:jc w:val="center"/>
              <w:textAlignment w:val="center"/>
              <w:rPr>
                <w:rFonts w:cs="宋体"/>
                <w:kern w:val="0"/>
              </w:rPr>
            </w:pPr>
            <w:r>
              <w:rPr>
                <w:rFonts w:hint="eastAsia" w:cs="宋体"/>
                <w:kern w:val="0"/>
              </w:rPr>
              <w:t>100%</w:t>
            </w:r>
          </w:p>
        </w:tc>
      </w:tr>
      <w:tr w14:paraId="0E7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2FB6A9B1">
            <w:pPr>
              <w:widowControl/>
              <w:spacing w:line="240" w:lineRule="auto"/>
              <w:ind w:firstLine="0" w:firstLineChars="0"/>
              <w:jc w:val="center"/>
              <w:rPr>
                <w:rFonts w:cs="宋体"/>
                <w:kern w:val="0"/>
              </w:rPr>
            </w:pPr>
          </w:p>
        </w:tc>
        <w:tc>
          <w:tcPr>
            <w:tcW w:w="956" w:type="pct"/>
            <w:vMerge w:val="continue"/>
            <w:noWrap/>
            <w:vAlign w:val="center"/>
          </w:tcPr>
          <w:p w14:paraId="2F7869EE">
            <w:pPr>
              <w:widowControl/>
              <w:ind w:firstLine="0" w:firstLineChars="0"/>
              <w:jc w:val="center"/>
              <w:rPr>
                <w:rFonts w:cs="宋体"/>
                <w:kern w:val="0"/>
              </w:rPr>
            </w:pPr>
          </w:p>
        </w:tc>
        <w:tc>
          <w:tcPr>
            <w:tcW w:w="2373" w:type="pct"/>
            <w:noWrap/>
            <w:vAlign w:val="center"/>
          </w:tcPr>
          <w:p w14:paraId="28DE91A3">
            <w:pPr>
              <w:widowControl/>
              <w:ind w:firstLine="0" w:firstLineChars="0"/>
              <w:jc w:val="left"/>
              <w:textAlignment w:val="center"/>
              <w:rPr>
                <w:rFonts w:cs="宋体"/>
                <w:kern w:val="0"/>
              </w:rPr>
            </w:pPr>
            <w:r>
              <w:rPr>
                <w:rFonts w:hint="eastAsia" w:cs="宋体"/>
                <w:kern w:val="0"/>
              </w:rPr>
              <w:t>场馆感知数据服务采购数量</w:t>
            </w:r>
          </w:p>
        </w:tc>
        <w:tc>
          <w:tcPr>
            <w:tcW w:w="971" w:type="pct"/>
            <w:noWrap/>
            <w:vAlign w:val="center"/>
          </w:tcPr>
          <w:p w14:paraId="3B6CB4F1">
            <w:pPr>
              <w:widowControl/>
              <w:ind w:firstLine="0" w:firstLineChars="0"/>
              <w:jc w:val="center"/>
              <w:textAlignment w:val="center"/>
              <w:rPr>
                <w:rFonts w:cs="宋体"/>
                <w:kern w:val="0"/>
              </w:rPr>
            </w:pPr>
            <w:r>
              <w:rPr>
                <w:rFonts w:hint="eastAsia" w:cs="宋体"/>
                <w:kern w:val="0"/>
              </w:rPr>
              <w:t>1700个感知点</w:t>
            </w:r>
          </w:p>
        </w:tc>
      </w:tr>
      <w:tr w14:paraId="7E5B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D8363CF">
            <w:pPr>
              <w:widowControl/>
              <w:spacing w:line="240" w:lineRule="auto"/>
              <w:ind w:firstLine="0" w:firstLineChars="0"/>
              <w:jc w:val="center"/>
              <w:rPr>
                <w:rFonts w:cs="宋体"/>
                <w:kern w:val="0"/>
              </w:rPr>
            </w:pPr>
          </w:p>
        </w:tc>
        <w:tc>
          <w:tcPr>
            <w:tcW w:w="956" w:type="pct"/>
            <w:vMerge w:val="restart"/>
            <w:noWrap/>
            <w:vAlign w:val="center"/>
          </w:tcPr>
          <w:p w14:paraId="7384F0B8">
            <w:pPr>
              <w:widowControl/>
              <w:ind w:firstLine="0" w:firstLineChars="0"/>
              <w:jc w:val="center"/>
              <w:textAlignment w:val="center"/>
              <w:rPr>
                <w:rFonts w:cs="宋体"/>
                <w:kern w:val="0"/>
              </w:rPr>
            </w:pPr>
            <w:r>
              <w:rPr>
                <w:rFonts w:hint="eastAsia" w:cs="宋体"/>
                <w:kern w:val="0"/>
              </w:rPr>
              <w:t>产出质量</w:t>
            </w:r>
          </w:p>
        </w:tc>
        <w:tc>
          <w:tcPr>
            <w:tcW w:w="2373" w:type="pct"/>
            <w:noWrap/>
            <w:vAlign w:val="center"/>
          </w:tcPr>
          <w:p w14:paraId="66135303">
            <w:pPr>
              <w:widowControl/>
              <w:ind w:firstLine="0" w:firstLineChars="0"/>
              <w:jc w:val="left"/>
              <w:textAlignment w:val="center"/>
              <w:rPr>
                <w:rFonts w:cs="宋体"/>
                <w:kern w:val="0"/>
              </w:rPr>
            </w:pPr>
            <w:r>
              <w:rPr>
                <w:rFonts w:hint="eastAsia" w:cs="宋体"/>
                <w:kern w:val="0"/>
              </w:rPr>
              <w:t>支持同时在线人数</w:t>
            </w:r>
          </w:p>
        </w:tc>
        <w:tc>
          <w:tcPr>
            <w:tcW w:w="971" w:type="pct"/>
            <w:noWrap/>
            <w:vAlign w:val="center"/>
          </w:tcPr>
          <w:p w14:paraId="06167737">
            <w:pPr>
              <w:widowControl/>
              <w:ind w:firstLine="0" w:firstLineChars="0"/>
              <w:jc w:val="center"/>
              <w:textAlignment w:val="center"/>
              <w:rPr>
                <w:rFonts w:cs="宋体"/>
                <w:kern w:val="0"/>
              </w:rPr>
            </w:pPr>
            <w:r>
              <w:rPr>
                <w:rFonts w:hint="eastAsia" w:cs="宋体"/>
                <w:kern w:val="0"/>
              </w:rPr>
              <w:t>≥1000人</w:t>
            </w:r>
          </w:p>
        </w:tc>
      </w:tr>
      <w:tr w14:paraId="5B76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449FE118">
            <w:pPr>
              <w:widowControl/>
              <w:spacing w:line="240" w:lineRule="auto"/>
              <w:ind w:firstLine="0" w:firstLineChars="0"/>
              <w:jc w:val="center"/>
              <w:rPr>
                <w:rFonts w:cs="宋体"/>
                <w:kern w:val="0"/>
              </w:rPr>
            </w:pPr>
          </w:p>
        </w:tc>
        <w:tc>
          <w:tcPr>
            <w:tcW w:w="956" w:type="pct"/>
            <w:vMerge w:val="continue"/>
            <w:noWrap/>
            <w:vAlign w:val="center"/>
          </w:tcPr>
          <w:p w14:paraId="253B50B7">
            <w:pPr>
              <w:widowControl/>
              <w:ind w:firstLine="0" w:firstLineChars="0"/>
              <w:jc w:val="center"/>
              <w:rPr>
                <w:rFonts w:cs="宋体"/>
                <w:kern w:val="0"/>
              </w:rPr>
            </w:pPr>
          </w:p>
        </w:tc>
        <w:tc>
          <w:tcPr>
            <w:tcW w:w="2373" w:type="pct"/>
            <w:noWrap/>
            <w:vAlign w:val="center"/>
          </w:tcPr>
          <w:p w14:paraId="1B447798">
            <w:pPr>
              <w:widowControl/>
              <w:ind w:firstLine="0" w:firstLineChars="0"/>
              <w:jc w:val="left"/>
              <w:textAlignment w:val="center"/>
              <w:rPr>
                <w:rFonts w:cs="宋体"/>
                <w:kern w:val="0"/>
              </w:rPr>
            </w:pPr>
            <w:r>
              <w:rPr>
                <w:rFonts w:hint="eastAsia" w:cs="宋体"/>
                <w:kern w:val="0"/>
              </w:rPr>
              <w:t>支持并发用户数</w:t>
            </w:r>
          </w:p>
        </w:tc>
        <w:tc>
          <w:tcPr>
            <w:tcW w:w="971" w:type="pct"/>
            <w:noWrap/>
            <w:vAlign w:val="center"/>
          </w:tcPr>
          <w:p w14:paraId="48DA1153">
            <w:pPr>
              <w:widowControl/>
              <w:ind w:firstLine="0" w:firstLineChars="0"/>
              <w:jc w:val="center"/>
              <w:textAlignment w:val="center"/>
              <w:rPr>
                <w:rFonts w:cs="宋体"/>
                <w:kern w:val="0"/>
              </w:rPr>
            </w:pPr>
            <w:r>
              <w:rPr>
                <w:rFonts w:hint="eastAsia" w:cs="宋体"/>
                <w:kern w:val="0"/>
              </w:rPr>
              <w:t>≥500人</w:t>
            </w:r>
          </w:p>
        </w:tc>
      </w:tr>
      <w:tr w14:paraId="36CC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0D0D13F">
            <w:pPr>
              <w:widowControl/>
              <w:spacing w:line="240" w:lineRule="auto"/>
              <w:ind w:firstLine="0" w:firstLineChars="0"/>
              <w:jc w:val="center"/>
              <w:rPr>
                <w:rFonts w:cs="宋体"/>
                <w:kern w:val="0"/>
              </w:rPr>
            </w:pPr>
          </w:p>
        </w:tc>
        <w:tc>
          <w:tcPr>
            <w:tcW w:w="956" w:type="pct"/>
            <w:vMerge w:val="continue"/>
            <w:noWrap/>
            <w:vAlign w:val="center"/>
          </w:tcPr>
          <w:p w14:paraId="48B22391">
            <w:pPr>
              <w:widowControl/>
              <w:ind w:firstLine="0" w:firstLineChars="0"/>
              <w:jc w:val="center"/>
              <w:rPr>
                <w:rFonts w:cs="宋体"/>
                <w:kern w:val="0"/>
              </w:rPr>
            </w:pPr>
          </w:p>
        </w:tc>
        <w:tc>
          <w:tcPr>
            <w:tcW w:w="2373" w:type="pct"/>
            <w:noWrap/>
            <w:vAlign w:val="center"/>
          </w:tcPr>
          <w:p w14:paraId="20C16615">
            <w:pPr>
              <w:widowControl/>
              <w:ind w:firstLine="0" w:firstLineChars="0"/>
              <w:jc w:val="left"/>
              <w:textAlignment w:val="center"/>
              <w:rPr>
                <w:rFonts w:cs="宋体"/>
                <w:kern w:val="0"/>
              </w:rPr>
            </w:pPr>
            <w:r>
              <w:rPr>
                <w:rFonts w:hint="eastAsia" w:cs="宋体"/>
                <w:kern w:val="0"/>
              </w:rPr>
              <w:t>系统登录时间</w:t>
            </w:r>
          </w:p>
        </w:tc>
        <w:tc>
          <w:tcPr>
            <w:tcW w:w="971" w:type="pct"/>
            <w:noWrap/>
            <w:vAlign w:val="center"/>
          </w:tcPr>
          <w:p w14:paraId="73BEA2D0">
            <w:pPr>
              <w:widowControl/>
              <w:ind w:firstLine="0" w:firstLineChars="0"/>
              <w:jc w:val="center"/>
              <w:textAlignment w:val="center"/>
              <w:rPr>
                <w:rFonts w:cs="宋体"/>
                <w:kern w:val="0"/>
              </w:rPr>
            </w:pPr>
            <w:r>
              <w:rPr>
                <w:rFonts w:hint="eastAsia" w:cs="宋体"/>
                <w:kern w:val="0"/>
              </w:rPr>
              <w:t>≤5秒</w:t>
            </w:r>
          </w:p>
        </w:tc>
      </w:tr>
      <w:tr w14:paraId="0F52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0ED3DF1">
            <w:pPr>
              <w:widowControl/>
              <w:spacing w:line="240" w:lineRule="auto"/>
              <w:ind w:firstLine="0" w:firstLineChars="0"/>
              <w:jc w:val="center"/>
              <w:rPr>
                <w:rFonts w:cs="宋体"/>
                <w:kern w:val="0"/>
              </w:rPr>
            </w:pPr>
          </w:p>
        </w:tc>
        <w:tc>
          <w:tcPr>
            <w:tcW w:w="956" w:type="pct"/>
            <w:vMerge w:val="continue"/>
            <w:noWrap/>
            <w:vAlign w:val="center"/>
          </w:tcPr>
          <w:p w14:paraId="16BFA2FD">
            <w:pPr>
              <w:widowControl/>
              <w:ind w:firstLine="0" w:firstLineChars="0"/>
              <w:jc w:val="center"/>
              <w:rPr>
                <w:rFonts w:cs="宋体"/>
                <w:kern w:val="0"/>
              </w:rPr>
            </w:pPr>
          </w:p>
        </w:tc>
        <w:tc>
          <w:tcPr>
            <w:tcW w:w="2373" w:type="pct"/>
            <w:noWrap/>
            <w:vAlign w:val="center"/>
          </w:tcPr>
          <w:p w14:paraId="068FB4C6">
            <w:pPr>
              <w:widowControl/>
              <w:ind w:firstLine="0" w:firstLineChars="0"/>
              <w:jc w:val="left"/>
              <w:textAlignment w:val="center"/>
              <w:rPr>
                <w:rFonts w:cs="宋体"/>
                <w:kern w:val="0"/>
              </w:rPr>
            </w:pPr>
            <w:r>
              <w:rPr>
                <w:rFonts w:hint="eastAsia" w:cs="宋体"/>
                <w:kern w:val="0"/>
              </w:rPr>
              <w:t>一般查询响应时间</w:t>
            </w:r>
          </w:p>
        </w:tc>
        <w:tc>
          <w:tcPr>
            <w:tcW w:w="971" w:type="pct"/>
            <w:noWrap/>
            <w:vAlign w:val="center"/>
          </w:tcPr>
          <w:p w14:paraId="5E720257">
            <w:pPr>
              <w:widowControl/>
              <w:ind w:firstLine="0" w:firstLineChars="0"/>
              <w:jc w:val="center"/>
              <w:textAlignment w:val="center"/>
              <w:rPr>
                <w:rFonts w:cs="宋体"/>
                <w:kern w:val="0"/>
              </w:rPr>
            </w:pPr>
            <w:r>
              <w:rPr>
                <w:rFonts w:hint="eastAsia" w:cs="宋体"/>
                <w:kern w:val="0"/>
              </w:rPr>
              <w:t>≤5秒</w:t>
            </w:r>
          </w:p>
        </w:tc>
      </w:tr>
      <w:tr w14:paraId="7DA5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4928D9A">
            <w:pPr>
              <w:widowControl/>
              <w:spacing w:line="240" w:lineRule="auto"/>
              <w:ind w:firstLine="0" w:firstLineChars="0"/>
              <w:jc w:val="center"/>
              <w:rPr>
                <w:rFonts w:cs="宋体"/>
                <w:kern w:val="0"/>
              </w:rPr>
            </w:pPr>
          </w:p>
        </w:tc>
        <w:tc>
          <w:tcPr>
            <w:tcW w:w="956" w:type="pct"/>
            <w:vMerge w:val="continue"/>
            <w:noWrap/>
            <w:vAlign w:val="center"/>
          </w:tcPr>
          <w:p w14:paraId="75221B1D">
            <w:pPr>
              <w:widowControl/>
              <w:ind w:firstLine="0" w:firstLineChars="0"/>
              <w:jc w:val="center"/>
              <w:rPr>
                <w:rFonts w:cs="宋体"/>
                <w:kern w:val="0"/>
              </w:rPr>
            </w:pPr>
          </w:p>
        </w:tc>
        <w:tc>
          <w:tcPr>
            <w:tcW w:w="2373" w:type="pct"/>
            <w:noWrap/>
            <w:vAlign w:val="center"/>
          </w:tcPr>
          <w:p w14:paraId="631B806C">
            <w:pPr>
              <w:widowControl/>
              <w:ind w:firstLine="0" w:firstLineChars="0"/>
              <w:jc w:val="left"/>
              <w:textAlignment w:val="center"/>
              <w:rPr>
                <w:rFonts w:cs="宋体"/>
                <w:kern w:val="0"/>
              </w:rPr>
            </w:pPr>
            <w:r>
              <w:rPr>
                <w:rFonts w:hint="eastAsia" w:cs="宋体"/>
                <w:kern w:val="0"/>
              </w:rPr>
              <w:t>WEB查询、访问、统计分析等服务可恢复时间</w:t>
            </w:r>
          </w:p>
        </w:tc>
        <w:tc>
          <w:tcPr>
            <w:tcW w:w="971" w:type="pct"/>
            <w:noWrap/>
            <w:vAlign w:val="center"/>
          </w:tcPr>
          <w:p w14:paraId="15ED6515">
            <w:pPr>
              <w:widowControl/>
              <w:ind w:firstLine="0" w:firstLineChars="0"/>
              <w:jc w:val="center"/>
              <w:textAlignment w:val="center"/>
              <w:rPr>
                <w:rFonts w:cs="宋体"/>
                <w:kern w:val="0"/>
              </w:rPr>
            </w:pPr>
            <w:r>
              <w:rPr>
                <w:rFonts w:hint="eastAsia" w:cs="宋体"/>
                <w:kern w:val="0"/>
              </w:rPr>
              <w:t>≤4小时</w:t>
            </w:r>
          </w:p>
        </w:tc>
      </w:tr>
      <w:tr w14:paraId="23EA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274786F">
            <w:pPr>
              <w:widowControl/>
              <w:spacing w:line="240" w:lineRule="auto"/>
              <w:ind w:firstLine="0" w:firstLineChars="0"/>
              <w:jc w:val="center"/>
              <w:rPr>
                <w:rFonts w:cs="宋体"/>
                <w:kern w:val="0"/>
              </w:rPr>
            </w:pPr>
          </w:p>
        </w:tc>
        <w:tc>
          <w:tcPr>
            <w:tcW w:w="956" w:type="pct"/>
            <w:vMerge w:val="continue"/>
            <w:noWrap/>
            <w:vAlign w:val="center"/>
          </w:tcPr>
          <w:p w14:paraId="1ADF1189">
            <w:pPr>
              <w:widowControl/>
              <w:ind w:firstLine="0" w:firstLineChars="0"/>
              <w:jc w:val="center"/>
              <w:rPr>
                <w:rFonts w:cs="宋体"/>
                <w:kern w:val="0"/>
              </w:rPr>
            </w:pPr>
          </w:p>
        </w:tc>
        <w:tc>
          <w:tcPr>
            <w:tcW w:w="2373" w:type="pct"/>
            <w:noWrap/>
            <w:vAlign w:val="center"/>
          </w:tcPr>
          <w:p w14:paraId="12CF924C">
            <w:pPr>
              <w:widowControl/>
              <w:ind w:firstLine="0" w:firstLineChars="0"/>
              <w:jc w:val="left"/>
              <w:textAlignment w:val="center"/>
              <w:rPr>
                <w:rFonts w:cs="宋体"/>
                <w:kern w:val="0"/>
              </w:rPr>
            </w:pPr>
            <w:r>
              <w:rPr>
                <w:rFonts w:hint="eastAsia" w:cs="宋体"/>
                <w:kern w:val="0"/>
              </w:rPr>
              <w:t>数据库可恢复时间</w:t>
            </w:r>
          </w:p>
        </w:tc>
        <w:tc>
          <w:tcPr>
            <w:tcW w:w="971" w:type="pct"/>
            <w:noWrap/>
            <w:vAlign w:val="center"/>
          </w:tcPr>
          <w:p w14:paraId="4651C357">
            <w:pPr>
              <w:widowControl/>
              <w:ind w:firstLine="0" w:firstLineChars="0"/>
              <w:jc w:val="center"/>
              <w:textAlignment w:val="center"/>
              <w:rPr>
                <w:rFonts w:cs="宋体"/>
                <w:kern w:val="0"/>
              </w:rPr>
            </w:pPr>
            <w:r>
              <w:rPr>
                <w:rFonts w:hint="eastAsia" w:cs="宋体"/>
                <w:kern w:val="0"/>
              </w:rPr>
              <w:t>≤24小时</w:t>
            </w:r>
          </w:p>
        </w:tc>
      </w:tr>
      <w:tr w14:paraId="0976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252D2170">
            <w:pPr>
              <w:widowControl/>
              <w:spacing w:line="240" w:lineRule="auto"/>
              <w:ind w:firstLine="0" w:firstLineChars="0"/>
              <w:jc w:val="center"/>
              <w:rPr>
                <w:rFonts w:cs="宋体"/>
                <w:kern w:val="0"/>
              </w:rPr>
            </w:pPr>
          </w:p>
        </w:tc>
        <w:tc>
          <w:tcPr>
            <w:tcW w:w="956" w:type="pct"/>
            <w:vMerge w:val="continue"/>
            <w:noWrap/>
            <w:vAlign w:val="center"/>
          </w:tcPr>
          <w:p w14:paraId="254585C7">
            <w:pPr>
              <w:widowControl/>
              <w:ind w:firstLine="0" w:firstLineChars="0"/>
              <w:jc w:val="center"/>
              <w:rPr>
                <w:rFonts w:cs="宋体"/>
                <w:kern w:val="0"/>
              </w:rPr>
            </w:pPr>
          </w:p>
        </w:tc>
        <w:tc>
          <w:tcPr>
            <w:tcW w:w="2373" w:type="pct"/>
            <w:noWrap/>
            <w:vAlign w:val="center"/>
          </w:tcPr>
          <w:p w14:paraId="1B0F3769">
            <w:pPr>
              <w:widowControl/>
              <w:ind w:firstLine="0" w:firstLineChars="0"/>
              <w:jc w:val="left"/>
              <w:textAlignment w:val="center"/>
              <w:rPr>
                <w:rFonts w:cs="宋体"/>
                <w:kern w:val="0"/>
              </w:rPr>
            </w:pPr>
            <w:r>
              <w:rPr>
                <w:rFonts w:hint="eastAsia" w:cs="宋体"/>
                <w:kern w:val="0"/>
              </w:rPr>
              <w:t>交互响应时间</w:t>
            </w:r>
          </w:p>
        </w:tc>
        <w:tc>
          <w:tcPr>
            <w:tcW w:w="971" w:type="pct"/>
            <w:noWrap/>
            <w:vAlign w:val="center"/>
          </w:tcPr>
          <w:p w14:paraId="78F79B03">
            <w:pPr>
              <w:widowControl/>
              <w:ind w:firstLine="0" w:firstLineChars="0"/>
              <w:jc w:val="center"/>
              <w:textAlignment w:val="center"/>
              <w:rPr>
                <w:rFonts w:cs="宋体"/>
                <w:kern w:val="0"/>
              </w:rPr>
            </w:pPr>
            <w:r>
              <w:rPr>
                <w:rFonts w:hint="eastAsia" w:cs="宋体"/>
                <w:kern w:val="0"/>
              </w:rPr>
              <w:t>≤3秒</w:t>
            </w:r>
          </w:p>
        </w:tc>
      </w:tr>
      <w:tr w14:paraId="6A20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32F27355">
            <w:pPr>
              <w:widowControl/>
              <w:spacing w:line="240" w:lineRule="auto"/>
              <w:ind w:firstLine="0" w:firstLineChars="0"/>
              <w:jc w:val="center"/>
              <w:rPr>
                <w:rFonts w:cs="宋体"/>
                <w:kern w:val="0"/>
              </w:rPr>
            </w:pPr>
          </w:p>
        </w:tc>
        <w:tc>
          <w:tcPr>
            <w:tcW w:w="956" w:type="pct"/>
            <w:vMerge w:val="continue"/>
            <w:noWrap/>
            <w:vAlign w:val="center"/>
          </w:tcPr>
          <w:p w14:paraId="3E55DE9A">
            <w:pPr>
              <w:widowControl/>
              <w:ind w:firstLine="0" w:firstLineChars="0"/>
              <w:jc w:val="center"/>
              <w:rPr>
                <w:rFonts w:cs="宋体"/>
                <w:kern w:val="0"/>
              </w:rPr>
            </w:pPr>
          </w:p>
        </w:tc>
        <w:tc>
          <w:tcPr>
            <w:tcW w:w="2373" w:type="pct"/>
            <w:noWrap/>
            <w:vAlign w:val="center"/>
          </w:tcPr>
          <w:p w14:paraId="32FC1252">
            <w:pPr>
              <w:widowControl/>
              <w:ind w:firstLine="0" w:firstLineChars="0"/>
              <w:jc w:val="left"/>
              <w:textAlignment w:val="center"/>
              <w:rPr>
                <w:rFonts w:cs="宋体"/>
                <w:kern w:val="0"/>
              </w:rPr>
            </w:pPr>
            <w:r>
              <w:rPr>
                <w:rFonts w:hint="eastAsia" w:cs="宋体"/>
                <w:kern w:val="0"/>
              </w:rPr>
              <w:t>元宇宙模型精度达标率</w:t>
            </w:r>
          </w:p>
        </w:tc>
        <w:tc>
          <w:tcPr>
            <w:tcW w:w="971" w:type="pct"/>
            <w:noWrap/>
            <w:vAlign w:val="center"/>
          </w:tcPr>
          <w:p w14:paraId="229643D5">
            <w:pPr>
              <w:widowControl/>
              <w:ind w:firstLine="0" w:firstLineChars="0"/>
              <w:jc w:val="center"/>
              <w:textAlignment w:val="center"/>
              <w:rPr>
                <w:rFonts w:cs="宋体"/>
                <w:kern w:val="0"/>
              </w:rPr>
            </w:pPr>
            <w:r>
              <w:rPr>
                <w:rFonts w:hint="eastAsia" w:cs="宋体"/>
                <w:kern w:val="0"/>
              </w:rPr>
              <w:t>≥95%</w:t>
            </w:r>
          </w:p>
        </w:tc>
      </w:tr>
      <w:tr w14:paraId="4C4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27444AA3">
            <w:pPr>
              <w:widowControl/>
              <w:spacing w:line="240" w:lineRule="auto"/>
              <w:ind w:firstLine="0" w:firstLineChars="0"/>
              <w:jc w:val="center"/>
              <w:rPr>
                <w:rFonts w:cs="宋体"/>
                <w:kern w:val="0"/>
              </w:rPr>
            </w:pPr>
          </w:p>
        </w:tc>
        <w:tc>
          <w:tcPr>
            <w:tcW w:w="956" w:type="pct"/>
            <w:vMerge w:val="restart"/>
            <w:noWrap/>
            <w:vAlign w:val="center"/>
          </w:tcPr>
          <w:p w14:paraId="5558C122">
            <w:pPr>
              <w:widowControl/>
              <w:spacing w:line="240" w:lineRule="auto"/>
              <w:ind w:firstLine="0" w:firstLineChars="0"/>
              <w:jc w:val="center"/>
              <w:rPr>
                <w:rFonts w:cs="宋体"/>
                <w:kern w:val="0"/>
              </w:rPr>
            </w:pPr>
            <w:r>
              <w:rPr>
                <w:rFonts w:hint="eastAsia" w:cs="宋体"/>
                <w:kern w:val="0"/>
              </w:rPr>
              <w:t>社会效益</w:t>
            </w:r>
          </w:p>
        </w:tc>
        <w:tc>
          <w:tcPr>
            <w:tcW w:w="2373" w:type="pct"/>
            <w:noWrap/>
            <w:vAlign w:val="center"/>
          </w:tcPr>
          <w:p w14:paraId="655B85DE">
            <w:pPr>
              <w:widowControl/>
              <w:ind w:firstLine="0" w:firstLineChars="0"/>
              <w:jc w:val="left"/>
              <w:textAlignment w:val="center"/>
              <w:rPr>
                <w:rFonts w:cs="宋体"/>
                <w:kern w:val="0"/>
              </w:rPr>
            </w:pPr>
            <w:r>
              <w:rPr>
                <w:rFonts w:hint="eastAsia" w:cs="宋体"/>
                <w:kern w:val="0"/>
              </w:rPr>
              <w:t>系统用户量</w:t>
            </w:r>
          </w:p>
        </w:tc>
        <w:tc>
          <w:tcPr>
            <w:tcW w:w="971" w:type="pct"/>
            <w:noWrap/>
            <w:vAlign w:val="center"/>
          </w:tcPr>
          <w:p w14:paraId="14A6FF1D">
            <w:pPr>
              <w:widowControl/>
              <w:ind w:firstLine="0" w:firstLineChars="0"/>
              <w:jc w:val="center"/>
              <w:textAlignment w:val="center"/>
              <w:rPr>
                <w:rFonts w:cs="宋体"/>
                <w:kern w:val="0"/>
              </w:rPr>
            </w:pPr>
            <w:r>
              <w:rPr>
                <w:rFonts w:hint="eastAsia" w:cs="宋体"/>
                <w:kern w:val="0"/>
              </w:rPr>
              <w:t>&gt;100人</w:t>
            </w:r>
          </w:p>
        </w:tc>
      </w:tr>
      <w:tr w14:paraId="1CCB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73BE5279">
            <w:pPr>
              <w:widowControl/>
              <w:spacing w:line="240" w:lineRule="auto"/>
              <w:ind w:firstLine="0" w:firstLineChars="0"/>
              <w:jc w:val="center"/>
              <w:rPr>
                <w:rFonts w:cs="宋体"/>
                <w:kern w:val="0"/>
              </w:rPr>
            </w:pPr>
          </w:p>
        </w:tc>
        <w:tc>
          <w:tcPr>
            <w:tcW w:w="956" w:type="pct"/>
            <w:vMerge w:val="continue"/>
            <w:noWrap/>
            <w:vAlign w:val="center"/>
          </w:tcPr>
          <w:p w14:paraId="1CB61138">
            <w:pPr>
              <w:widowControl/>
              <w:spacing w:line="240" w:lineRule="auto"/>
              <w:ind w:firstLine="0" w:firstLineChars="0"/>
              <w:jc w:val="center"/>
              <w:rPr>
                <w:rFonts w:cs="宋体"/>
                <w:kern w:val="0"/>
              </w:rPr>
            </w:pPr>
          </w:p>
        </w:tc>
        <w:tc>
          <w:tcPr>
            <w:tcW w:w="2373" w:type="pct"/>
            <w:noWrap/>
            <w:vAlign w:val="center"/>
          </w:tcPr>
          <w:p w14:paraId="4E73469E">
            <w:pPr>
              <w:widowControl/>
              <w:ind w:firstLine="0" w:firstLineChars="0"/>
              <w:jc w:val="left"/>
              <w:textAlignment w:val="center"/>
              <w:rPr>
                <w:rFonts w:cs="宋体"/>
                <w:kern w:val="0"/>
              </w:rPr>
            </w:pPr>
            <w:r>
              <w:rPr>
                <w:rFonts w:hint="eastAsia" w:cs="宋体"/>
                <w:kern w:val="0"/>
              </w:rPr>
              <w:t>进博会期间系统日活用户数</w:t>
            </w:r>
          </w:p>
        </w:tc>
        <w:tc>
          <w:tcPr>
            <w:tcW w:w="971" w:type="pct"/>
            <w:noWrap/>
            <w:vAlign w:val="center"/>
          </w:tcPr>
          <w:p w14:paraId="1C3F3D92">
            <w:pPr>
              <w:widowControl/>
              <w:ind w:firstLine="0" w:firstLineChars="0"/>
              <w:jc w:val="center"/>
              <w:textAlignment w:val="center"/>
              <w:rPr>
                <w:rFonts w:cs="宋体"/>
                <w:kern w:val="0"/>
              </w:rPr>
            </w:pPr>
            <w:r>
              <w:rPr>
                <w:rFonts w:hint="eastAsia" w:cs="宋体"/>
                <w:kern w:val="0"/>
              </w:rPr>
              <w:t>&gt;2000人次/天</w:t>
            </w:r>
          </w:p>
        </w:tc>
      </w:tr>
      <w:tr w14:paraId="3D27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4D6483DF">
            <w:pPr>
              <w:widowControl/>
              <w:spacing w:line="240" w:lineRule="auto"/>
              <w:ind w:firstLine="0" w:firstLineChars="0"/>
              <w:jc w:val="center"/>
              <w:rPr>
                <w:rFonts w:cs="宋体"/>
                <w:kern w:val="0"/>
              </w:rPr>
            </w:pPr>
          </w:p>
        </w:tc>
        <w:tc>
          <w:tcPr>
            <w:tcW w:w="956" w:type="pct"/>
            <w:vMerge w:val="continue"/>
            <w:noWrap/>
            <w:vAlign w:val="center"/>
          </w:tcPr>
          <w:p w14:paraId="65B061BE">
            <w:pPr>
              <w:widowControl/>
              <w:spacing w:line="240" w:lineRule="auto"/>
              <w:ind w:firstLine="0" w:firstLineChars="0"/>
              <w:jc w:val="center"/>
              <w:rPr>
                <w:rFonts w:cs="宋体"/>
                <w:kern w:val="0"/>
              </w:rPr>
            </w:pPr>
          </w:p>
        </w:tc>
        <w:tc>
          <w:tcPr>
            <w:tcW w:w="2373" w:type="pct"/>
            <w:noWrap/>
            <w:vAlign w:val="center"/>
          </w:tcPr>
          <w:p w14:paraId="7E4B3645">
            <w:pPr>
              <w:widowControl/>
              <w:spacing w:line="240" w:lineRule="auto"/>
              <w:ind w:firstLine="0" w:firstLineChars="0"/>
              <w:jc w:val="left"/>
              <w:rPr>
                <w:rFonts w:cs="宋体"/>
                <w:kern w:val="0"/>
              </w:rPr>
            </w:pPr>
            <w:r>
              <w:rPr>
                <w:rFonts w:hint="eastAsia" w:cs="宋体"/>
                <w:kern w:val="0"/>
              </w:rPr>
              <w:t>“进博一张图”综合管理平台集成数据种类</w:t>
            </w:r>
          </w:p>
        </w:tc>
        <w:tc>
          <w:tcPr>
            <w:tcW w:w="971" w:type="pct"/>
            <w:noWrap/>
            <w:vAlign w:val="center"/>
          </w:tcPr>
          <w:p w14:paraId="624626DA">
            <w:pPr>
              <w:widowControl/>
              <w:spacing w:line="240" w:lineRule="auto"/>
              <w:ind w:firstLine="0" w:firstLineChars="0"/>
              <w:jc w:val="center"/>
              <w:rPr>
                <w:rFonts w:cs="宋体"/>
                <w:kern w:val="0"/>
              </w:rPr>
            </w:pPr>
            <w:r>
              <w:rPr>
                <w:rFonts w:hint="eastAsia" w:cs="宋体"/>
                <w:kern w:val="0"/>
              </w:rPr>
              <w:t>&gt;20种</w:t>
            </w:r>
          </w:p>
        </w:tc>
      </w:tr>
      <w:tr w14:paraId="57CE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0F709C8A">
            <w:pPr>
              <w:widowControl/>
              <w:spacing w:line="240" w:lineRule="auto"/>
              <w:ind w:firstLine="0" w:firstLineChars="0"/>
              <w:jc w:val="left"/>
              <w:rPr>
                <w:rFonts w:cs="宋体"/>
                <w:kern w:val="0"/>
              </w:rPr>
            </w:pPr>
          </w:p>
        </w:tc>
        <w:tc>
          <w:tcPr>
            <w:tcW w:w="956" w:type="pct"/>
            <w:vMerge w:val="continue"/>
            <w:noWrap/>
            <w:vAlign w:val="center"/>
          </w:tcPr>
          <w:p w14:paraId="5F9D35FA">
            <w:pPr>
              <w:widowControl/>
              <w:spacing w:line="240" w:lineRule="auto"/>
              <w:ind w:firstLine="0" w:firstLineChars="0"/>
              <w:jc w:val="left"/>
              <w:rPr>
                <w:rFonts w:cs="宋体"/>
                <w:kern w:val="0"/>
              </w:rPr>
            </w:pPr>
          </w:p>
        </w:tc>
        <w:tc>
          <w:tcPr>
            <w:tcW w:w="2373" w:type="pct"/>
            <w:noWrap/>
            <w:vAlign w:val="center"/>
          </w:tcPr>
          <w:p w14:paraId="12A8EEC6">
            <w:pPr>
              <w:widowControl/>
              <w:ind w:firstLine="0" w:firstLineChars="0"/>
              <w:jc w:val="left"/>
              <w:textAlignment w:val="center"/>
              <w:rPr>
                <w:rFonts w:cs="宋体"/>
                <w:kern w:val="0"/>
              </w:rPr>
            </w:pPr>
            <w:r>
              <w:rPr>
                <w:rFonts w:hint="eastAsia" w:cs="宋体"/>
                <w:kern w:val="0"/>
              </w:rPr>
              <w:t>进博会客流精细化监管平台覆盖面积</w:t>
            </w:r>
          </w:p>
        </w:tc>
        <w:tc>
          <w:tcPr>
            <w:tcW w:w="971" w:type="pct"/>
            <w:noWrap/>
            <w:vAlign w:val="center"/>
          </w:tcPr>
          <w:p w14:paraId="35900DB3">
            <w:pPr>
              <w:widowControl/>
              <w:ind w:firstLine="0" w:firstLineChars="0"/>
              <w:jc w:val="center"/>
              <w:textAlignment w:val="center"/>
              <w:rPr>
                <w:rFonts w:cs="宋体"/>
                <w:kern w:val="0"/>
              </w:rPr>
            </w:pPr>
            <w:r>
              <w:rPr>
                <w:rFonts w:hint="eastAsia" w:cs="宋体"/>
                <w:kern w:val="0"/>
              </w:rPr>
              <w:t>≥400000平方米</w:t>
            </w:r>
          </w:p>
        </w:tc>
      </w:tr>
      <w:tr w14:paraId="3602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2C402A5D">
            <w:pPr>
              <w:widowControl/>
              <w:spacing w:line="240" w:lineRule="auto"/>
              <w:ind w:firstLine="0" w:firstLineChars="0"/>
              <w:jc w:val="left"/>
              <w:rPr>
                <w:rFonts w:cs="宋体"/>
                <w:kern w:val="0"/>
              </w:rPr>
            </w:pPr>
          </w:p>
        </w:tc>
        <w:tc>
          <w:tcPr>
            <w:tcW w:w="956" w:type="pct"/>
            <w:vMerge w:val="continue"/>
            <w:noWrap/>
            <w:vAlign w:val="center"/>
          </w:tcPr>
          <w:p w14:paraId="272F9EC8">
            <w:pPr>
              <w:widowControl/>
              <w:spacing w:line="240" w:lineRule="auto"/>
              <w:ind w:firstLine="0" w:firstLineChars="0"/>
              <w:jc w:val="left"/>
              <w:rPr>
                <w:rFonts w:cs="宋体"/>
                <w:kern w:val="0"/>
              </w:rPr>
            </w:pPr>
          </w:p>
        </w:tc>
        <w:tc>
          <w:tcPr>
            <w:tcW w:w="2373" w:type="pct"/>
            <w:noWrap/>
            <w:vAlign w:val="center"/>
          </w:tcPr>
          <w:p w14:paraId="62ABA950">
            <w:pPr>
              <w:widowControl/>
              <w:spacing w:line="240" w:lineRule="auto"/>
              <w:ind w:firstLine="0" w:firstLineChars="0"/>
              <w:jc w:val="left"/>
              <w:rPr>
                <w:rFonts w:cs="宋体"/>
                <w:kern w:val="0"/>
              </w:rPr>
            </w:pPr>
            <w:r>
              <w:rPr>
                <w:rFonts w:hint="eastAsia" w:cs="宋体"/>
                <w:kern w:val="0"/>
              </w:rPr>
              <w:t>进博会精准招商平台覆盖产业链数量</w:t>
            </w:r>
          </w:p>
        </w:tc>
        <w:tc>
          <w:tcPr>
            <w:tcW w:w="971" w:type="pct"/>
            <w:noWrap/>
            <w:vAlign w:val="center"/>
          </w:tcPr>
          <w:p w14:paraId="67FE6B6E">
            <w:pPr>
              <w:widowControl/>
              <w:spacing w:line="240" w:lineRule="auto"/>
              <w:ind w:firstLine="0" w:firstLineChars="0"/>
              <w:jc w:val="center"/>
              <w:rPr>
                <w:rFonts w:cs="宋体"/>
                <w:kern w:val="0"/>
              </w:rPr>
            </w:pPr>
            <w:r>
              <w:rPr>
                <w:rFonts w:hint="eastAsia" w:cs="宋体"/>
                <w:kern w:val="0"/>
              </w:rPr>
              <w:t>&gt;8个</w:t>
            </w:r>
          </w:p>
        </w:tc>
      </w:tr>
      <w:tr w14:paraId="2AE6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1A7EF14C">
            <w:pPr>
              <w:widowControl/>
              <w:spacing w:line="240" w:lineRule="auto"/>
              <w:ind w:firstLine="0" w:firstLineChars="0"/>
              <w:jc w:val="left"/>
              <w:rPr>
                <w:rFonts w:cs="宋体"/>
                <w:kern w:val="0"/>
              </w:rPr>
            </w:pPr>
          </w:p>
        </w:tc>
        <w:tc>
          <w:tcPr>
            <w:tcW w:w="956" w:type="pct"/>
            <w:vMerge w:val="continue"/>
            <w:noWrap/>
            <w:vAlign w:val="center"/>
          </w:tcPr>
          <w:p w14:paraId="4370CE70">
            <w:pPr>
              <w:widowControl/>
              <w:spacing w:line="240" w:lineRule="auto"/>
              <w:ind w:firstLine="0" w:firstLineChars="0"/>
              <w:jc w:val="left"/>
              <w:rPr>
                <w:rFonts w:cs="宋体"/>
                <w:kern w:val="0"/>
              </w:rPr>
            </w:pPr>
          </w:p>
        </w:tc>
        <w:tc>
          <w:tcPr>
            <w:tcW w:w="2373" w:type="pct"/>
            <w:noWrap/>
            <w:vAlign w:val="center"/>
          </w:tcPr>
          <w:p w14:paraId="11E99E5A">
            <w:pPr>
              <w:widowControl/>
              <w:spacing w:line="240" w:lineRule="auto"/>
              <w:ind w:firstLine="0" w:firstLineChars="0"/>
              <w:jc w:val="left"/>
              <w:rPr>
                <w:rFonts w:cs="宋体"/>
                <w:kern w:val="0"/>
              </w:rPr>
            </w:pPr>
            <w:r>
              <w:rPr>
                <w:rFonts w:hint="eastAsia" w:cs="宋体"/>
                <w:kern w:val="0"/>
              </w:rPr>
              <w:t>进博会区块链电子证件服务人次</w:t>
            </w:r>
          </w:p>
        </w:tc>
        <w:tc>
          <w:tcPr>
            <w:tcW w:w="971" w:type="pct"/>
            <w:noWrap/>
            <w:vAlign w:val="center"/>
          </w:tcPr>
          <w:p w14:paraId="71AE589B">
            <w:pPr>
              <w:widowControl/>
              <w:spacing w:line="240" w:lineRule="auto"/>
              <w:ind w:firstLine="0" w:firstLineChars="0"/>
              <w:jc w:val="center"/>
              <w:rPr>
                <w:rFonts w:cs="宋体"/>
                <w:kern w:val="0"/>
              </w:rPr>
            </w:pPr>
            <w:r>
              <w:rPr>
                <w:rFonts w:hint="eastAsia" w:cs="宋体"/>
                <w:kern w:val="0"/>
              </w:rPr>
              <w:t>&gt;2000人次/天</w:t>
            </w:r>
          </w:p>
        </w:tc>
      </w:tr>
      <w:tr w14:paraId="1E1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55D81838">
            <w:pPr>
              <w:widowControl/>
              <w:spacing w:line="240" w:lineRule="auto"/>
              <w:ind w:firstLine="0" w:firstLineChars="0"/>
              <w:jc w:val="left"/>
              <w:rPr>
                <w:rFonts w:cs="宋体"/>
                <w:kern w:val="0"/>
              </w:rPr>
            </w:pPr>
          </w:p>
        </w:tc>
        <w:tc>
          <w:tcPr>
            <w:tcW w:w="956" w:type="pct"/>
            <w:vMerge w:val="continue"/>
            <w:noWrap/>
            <w:vAlign w:val="center"/>
          </w:tcPr>
          <w:p w14:paraId="0DB7AD97">
            <w:pPr>
              <w:widowControl/>
              <w:spacing w:line="240" w:lineRule="auto"/>
              <w:ind w:firstLine="0" w:firstLineChars="0"/>
              <w:jc w:val="left"/>
              <w:rPr>
                <w:rFonts w:cs="宋体"/>
                <w:kern w:val="0"/>
              </w:rPr>
            </w:pPr>
          </w:p>
        </w:tc>
        <w:tc>
          <w:tcPr>
            <w:tcW w:w="2373" w:type="pct"/>
            <w:noWrap/>
            <w:vAlign w:val="center"/>
          </w:tcPr>
          <w:p w14:paraId="4DB796FC">
            <w:pPr>
              <w:widowControl/>
              <w:spacing w:line="240" w:lineRule="auto"/>
              <w:ind w:firstLine="0" w:firstLineChars="0"/>
              <w:jc w:val="left"/>
              <w:rPr>
                <w:rFonts w:cs="宋体"/>
                <w:kern w:val="0"/>
              </w:rPr>
            </w:pPr>
            <w:r>
              <w:rPr>
                <w:rFonts w:hint="eastAsia" w:cs="宋体"/>
                <w:kern w:val="0"/>
              </w:rPr>
              <w:t>元宇宙场景模型数量</w:t>
            </w:r>
          </w:p>
        </w:tc>
        <w:tc>
          <w:tcPr>
            <w:tcW w:w="971" w:type="pct"/>
            <w:noWrap/>
            <w:vAlign w:val="center"/>
          </w:tcPr>
          <w:p w14:paraId="1C8A5A2F">
            <w:pPr>
              <w:widowControl/>
              <w:spacing w:line="240" w:lineRule="auto"/>
              <w:ind w:firstLine="0" w:firstLineChars="0"/>
              <w:jc w:val="center"/>
              <w:rPr>
                <w:rFonts w:cs="宋体"/>
                <w:kern w:val="0"/>
              </w:rPr>
            </w:pPr>
            <w:r>
              <w:rPr>
                <w:rFonts w:hint="eastAsia" w:cs="宋体"/>
                <w:kern w:val="0"/>
              </w:rPr>
              <w:t>&gt;20个</w:t>
            </w:r>
          </w:p>
        </w:tc>
      </w:tr>
      <w:tr w14:paraId="1E67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322C69CD">
            <w:pPr>
              <w:widowControl/>
              <w:spacing w:line="240" w:lineRule="auto"/>
              <w:ind w:firstLine="0" w:firstLineChars="0"/>
              <w:jc w:val="left"/>
              <w:rPr>
                <w:rFonts w:cs="宋体"/>
                <w:kern w:val="0"/>
              </w:rPr>
            </w:pPr>
          </w:p>
        </w:tc>
        <w:tc>
          <w:tcPr>
            <w:tcW w:w="956" w:type="pct"/>
            <w:vMerge w:val="continue"/>
            <w:noWrap/>
            <w:vAlign w:val="center"/>
          </w:tcPr>
          <w:p w14:paraId="71357834">
            <w:pPr>
              <w:widowControl/>
              <w:spacing w:line="240" w:lineRule="auto"/>
              <w:ind w:firstLine="0" w:firstLineChars="0"/>
              <w:jc w:val="center"/>
              <w:rPr>
                <w:rFonts w:cs="宋体"/>
                <w:kern w:val="0"/>
              </w:rPr>
            </w:pPr>
          </w:p>
        </w:tc>
        <w:tc>
          <w:tcPr>
            <w:tcW w:w="2373" w:type="pct"/>
            <w:noWrap/>
            <w:vAlign w:val="center"/>
          </w:tcPr>
          <w:p w14:paraId="459459E3">
            <w:pPr>
              <w:widowControl/>
              <w:spacing w:line="240" w:lineRule="auto"/>
              <w:ind w:firstLine="0" w:firstLineChars="0"/>
              <w:jc w:val="left"/>
              <w:rPr>
                <w:rFonts w:cs="宋体"/>
                <w:kern w:val="0"/>
              </w:rPr>
            </w:pPr>
            <w:r>
              <w:rPr>
                <w:rFonts w:hint="eastAsia" w:cs="宋体"/>
                <w:kern w:val="0"/>
              </w:rPr>
              <w:t>元宇宙场景模型覆盖率</w:t>
            </w:r>
          </w:p>
        </w:tc>
        <w:tc>
          <w:tcPr>
            <w:tcW w:w="971" w:type="pct"/>
            <w:noWrap/>
            <w:vAlign w:val="center"/>
          </w:tcPr>
          <w:p w14:paraId="7BAD4A0D">
            <w:pPr>
              <w:widowControl/>
              <w:spacing w:line="240" w:lineRule="auto"/>
              <w:ind w:firstLine="0" w:firstLineChars="0"/>
              <w:jc w:val="center"/>
              <w:rPr>
                <w:rFonts w:cs="宋体"/>
                <w:kern w:val="0"/>
              </w:rPr>
            </w:pPr>
            <w:r>
              <w:rPr>
                <w:rFonts w:hint="eastAsia" w:cs="宋体"/>
                <w:kern w:val="0"/>
              </w:rPr>
              <w:t>≥95%</w:t>
            </w:r>
          </w:p>
        </w:tc>
      </w:tr>
      <w:tr w14:paraId="2306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pct"/>
            <w:vMerge w:val="continue"/>
            <w:noWrap/>
            <w:vAlign w:val="center"/>
          </w:tcPr>
          <w:p w14:paraId="6188356C">
            <w:pPr>
              <w:widowControl/>
              <w:spacing w:line="240" w:lineRule="auto"/>
              <w:ind w:firstLine="0" w:firstLineChars="0"/>
              <w:jc w:val="left"/>
              <w:rPr>
                <w:rFonts w:cs="宋体"/>
                <w:kern w:val="0"/>
              </w:rPr>
            </w:pPr>
          </w:p>
        </w:tc>
        <w:tc>
          <w:tcPr>
            <w:tcW w:w="956" w:type="pct"/>
            <w:vMerge w:val="continue"/>
            <w:noWrap/>
            <w:vAlign w:val="center"/>
          </w:tcPr>
          <w:p w14:paraId="4AE27C97">
            <w:pPr>
              <w:widowControl/>
              <w:spacing w:line="240" w:lineRule="auto"/>
              <w:ind w:firstLine="0" w:firstLineChars="0"/>
              <w:jc w:val="center"/>
              <w:rPr>
                <w:rFonts w:cs="宋体"/>
                <w:kern w:val="0"/>
              </w:rPr>
            </w:pPr>
          </w:p>
        </w:tc>
        <w:tc>
          <w:tcPr>
            <w:tcW w:w="2373" w:type="pct"/>
            <w:noWrap/>
            <w:vAlign w:val="center"/>
          </w:tcPr>
          <w:p w14:paraId="4DA73BFD">
            <w:pPr>
              <w:widowControl/>
              <w:ind w:firstLine="0" w:firstLineChars="0"/>
              <w:jc w:val="left"/>
              <w:textAlignment w:val="center"/>
              <w:rPr>
                <w:rFonts w:cs="宋体"/>
                <w:kern w:val="0"/>
              </w:rPr>
            </w:pPr>
            <w:r>
              <w:rPr>
                <w:rFonts w:hint="eastAsia" w:cs="宋体"/>
                <w:kern w:val="0"/>
              </w:rPr>
              <w:t>进博周边三维仿真覆盖面积</w:t>
            </w:r>
          </w:p>
        </w:tc>
        <w:tc>
          <w:tcPr>
            <w:tcW w:w="971" w:type="pct"/>
            <w:noWrap/>
            <w:vAlign w:val="center"/>
          </w:tcPr>
          <w:p w14:paraId="437FE435">
            <w:pPr>
              <w:widowControl/>
              <w:ind w:firstLine="0" w:firstLineChars="0"/>
              <w:jc w:val="center"/>
              <w:textAlignment w:val="center"/>
              <w:rPr>
                <w:rFonts w:cs="宋体"/>
                <w:kern w:val="0"/>
              </w:rPr>
            </w:pPr>
            <w:r>
              <w:rPr>
                <w:rFonts w:hint="eastAsia" w:cs="宋体"/>
                <w:kern w:val="0"/>
              </w:rPr>
              <w:t>≥400000平方米</w:t>
            </w:r>
          </w:p>
        </w:tc>
      </w:tr>
    </w:tbl>
    <w:p w14:paraId="1193BB45"/>
    <w:p w14:paraId="007D1479">
      <w:pPr>
        <w:pStyle w:val="2"/>
      </w:pPr>
      <w:bookmarkStart w:id="12" w:name="_Toc47532923"/>
      <w:bookmarkEnd w:id="12"/>
      <w:bookmarkStart w:id="13" w:name="_Toc47536304"/>
      <w:bookmarkEnd w:id="13"/>
      <w:bookmarkStart w:id="14" w:name="_Toc47536676"/>
      <w:bookmarkEnd w:id="14"/>
      <w:bookmarkStart w:id="15" w:name="_Toc47539102"/>
      <w:bookmarkEnd w:id="15"/>
      <w:bookmarkStart w:id="16" w:name="_Toc47533288"/>
      <w:bookmarkEnd w:id="16"/>
      <w:bookmarkStart w:id="17" w:name="_Toc47537166"/>
      <w:bookmarkEnd w:id="17"/>
      <w:r>
        <w:rPr>
          <w:rFonts w:hint="eastAsia"/>
        </w:rPr>
        <w:t>项目建设内容</w:t>
      </w:r>
    </w:p>
    <w:p w14:paraId="421CCDE5">
      <w:pPr>
        <w:pStyle w:val="3"/>
        <w:ind w:left="0" w:firstLine="0" w:firstLineChars="0"/>
      </w:pPr>
      <w:r>
        <w:rPr>
          <w:rFonts w:hint="eastAsia"/>
        </w:rPr>
        <w:t>技术路线要求</w:t>
      </w:r>
    </w:p>
    <w:p w14:paraId="603741A5">
      <w:pPr>
        <w:numPr>
          <w:ilvl w:val="0"/>
          <w:numId w:val="3"/>
        </w:numPr>
        <w:ind w:firstLineChars="0"/>
      </w:pPr>
      <w:r>
        <w:t>本项目要求基于信创环境进行建设，投标人需</w:t>
      </w:r>
      <w:r>
        <w:rPr>
          <w:rFonts w:hint="eastAsia"/>
        </w:rPr>
        <w:t>具有自主知识产权的</w:t>
      </w:r>
      <w:r>
        <w:rPr>
          <w:rFonts w:hint="eastAsia"/>
          <w:lang w:val="en-US" w:eastAsia="zh-CN"/>
        </w:rPr>
        <w:t>国</w:t>
      </w:r>
      <w:r>
        <w:rPr>
          <w:rFonts w:hint="eastAsia"/>
          <w:color w:val="FF0000"/>
          <w:lang w:val="en-US" w:eastAsia="zh-CN"/>
        </w:rPr>
        <w:t>产化业务元数据管理类、国产化数据采集类、国产化微服务支撑管理类、</w:t>
      </w:r>
      <w:r>
        <w:rPr>
          <w:rFonts w:hint="eastAsia"/>
          <w:color w:val="FF0000"/>
          <w:vertAlign w:val="baseline"/>
          <w:lang w:eastAsia="zh-CN"/>
        </w:rPr>
        <w:t>国产化智能搜索类、国产化数据处理类、智能决策分析类</w:t>
      </w:r>
      <w:r>
        <w:rPr>
          <w:rFonts w:hint="eastAsia"/>
          <w:color w:val="FF0000"/>
          <w:lang w:val="en-US" w:eastAsia="zh-CN"/>
        </w:rPr>
        <w:t>、业务建模软件类</w:t>
      </w:r>
      <w:r>
        <w:rPr>
          <w:rFonts w:hint="eastAsia"/>
          <w:color w:val="FF0000"/>
          <w:vertAlign w:val="baseline"/>
          <w:lang w:eastAsia="zh-CN"/>
        </w:rPr>
        <w:t>、大数据平台类</w:t>
      </w:r>
      <w:r>
        <w:rPr>
          <w:rFonts w:hint="eastAsia" w:cs="宋体"/>
          <w:lang w:val="en-US" w:eastAsia="zh-CN"/>
        </w:rPr>
        <w:t>软件</w:t>
      </w:r>
      <w:r>
        <w:rPr>
          <w:rFonts w:hint="eastAsia" w:cs="宋体"/>
        </w:rPr>
        <w:t>的</w:t>
      </w:r>
      <w:r>
        <w:rPr>
          <w:rFonts w:hint="eastAsia"/>
        </w:rPr>
        <w:t>开发经验；需提供相关的证明材料。</w:t>
      </w:r>
    </w:p>
    <w:p w14:paraId="6D60F4B5">
      <w:pPr>
        <w:numPr>
          <w:ilvl w:val="0"/>
          <w:numId w:val="3"/>
        </w:numPr>
        <w:ind w:firstLineChars="0"/>
      </w:pPr>
      <w:r>
        <w:rPr>
          <w:rFonts w:hint="eastAsia"/>
        </w:rPr>
        <w:t>数据分析软件建设标准：选择的数据分析挖掘软件符合TPC-D规范，建设过程采用数据分析挖掘软件建设过程专用的CLDS规范；</w:t>
      </w:r>
    </w:p>
    <w:p w14:paraId="77B06872">
      <w:pPr>
        <w:numPr>
          <w:ilvl w:val="0"/>
          <w:numId w:val="3"/>
        </w:numPr>
        <w:ind w:firstLineChars="0"/>
      </w:pPr>
      <w:r>
        <w:rPr>
          <w:rFonts w:hint="eastAsia"/>
        </w:rPr>
        <w:t>Web服务标准应采用UDDI、WSDL和SOAP；</w:t>
      </w:r>
    </w:p>
    <w:p w14:paraId="45345351">
      <w:pPr>
        <w:numPr>
          <w:ilvl w:val="0"/>
          <w:numId w:val="3"/>
        </w:numPr>
        <w:ind w:firstLineChars="0"/>
      </w:pPr>
      <w:r>
        <w:rPr>
          <w:rFonts w:hint="eastAsia"/>
        </w:rPr>
        <w:t>XML技术标准：应采用XML技术标准；</w:t>
      </w:r>
    </w:p>
    <w:p w14:paraId="12BD62E5">
      <w:pPr>
        <w:numPr>
          <w:ilvl w:val="0"/>
          <w:numId w:val="3"/>
        </w:numPr>
        <w:ind w:firstLineChars="0"/>
      </w:pPr>
      <w:r>
        <w:rPr>
          <w:rFonts w:hint="eastAsia"/>
        </w:rPr>
        <w:t>在工作流平台中，应采用WFMC（工作流管理组织）的规范，实现流程定义与其他流程管理平台的接口；</w:t>
      </w:r>
    </w:p>
    <w:p w14:paraId="40842E2D">
      <w:pPr>
        <w:pStyle w:val="3"/>
        <w:ind w:left="0" w:firstLine="0" w:firstLineChars="0"/>
      </w:pPr>
      <w:bookmarkStart w:id="18" w:name="_Hlk89699924"/>
      <w:r>
        <w:rPr>
          <w:rFonts w:hint="eastAsia"/>
        </w:rPr>
        <w:t>部署环境要求</w:t>
      </w:r>
    </w:p>
    <w:p w14:paraId="5C4CCC37">
      <w:r>
        <w:rPr>
          <w:rFonts w:hint="eastAsia"/>
        </w:rPr>
        <w:t>本项目依托上海市电子政务云进行开发部署，投标人需提供相关资源的需求分析及依据。</w:t>
      </w:r>
    </w:p>
    <w:p w14:paraId="613886AD">
      <w:pPr>
        <w:pStyle w:val="3"/>
        <w:ind w:left="0" w:firstLine="0" w:firstLineChars="0"/>
      </w:pPr>
      <w:r>
        <w:rPr>
          <w:rFonts w:hint="eastAsia"/>
        </w:rPr>
        <w:t>系统性能要求</w:t>
      </w:r>
    </w:p>
    <w:p w14:paraId="0CAEEFF4">
      <w:bookmarkStart w:id="19" w:name="OLE_LINK82"/>
      <w:bookmarkStart w:id="20" w:name="OLE_LINK81"/>
      <w:r>
        <w:rPr>
          <w:rFonts w:hint="eastAsia"/>
        </w:rPr>
        <w:t>本项目系统性能需求如下：</w:t>
      </w:r>
    </w:p>
    <w:p w14:paraId="3D265FA8">
      <w:pPr>
        <w:numPr>
          <w:ilvl w:val="0"/>
          <w:numId w:val="4"/>
        </w:numPr>
        <w:ind w:firstLineChars="0"/>
      </w:pPr>
      <w:r>
        <w:rPr>
          <w:rFonts w:hint="eastAsia"/>
        </w:rPr>
        <w:t>同时在线用户数≥1000；</w:t>
      </w:r>
    </w:p>
    <w:p w14:paraId="11CCBF7F">
      <w:pPr>
        <w:numPr>
          <w:ilvl w:val="0"/>
          <w:numId w:val="4"/>
        </w:numPr>
        <w:ind w:firstLineChars="0"/>
      </w:pPr>
      <w:r>
        <w:rPr>
          <w:rFonts w:hint="eastAsia"/>
        </w:rPr>
        <w:t>并发用户数≥</w:t>
      </w:r>
      <w:r>
        <w:t>50</w:t>
      </w:r>
      <w:r>
        <w:rPr>
          <w:rFonts w:hint="eastAsia"/>
        </w:rPr>
        <w:t>0；</w:t>
      </w:r>
    </w:p>
    <w:p w14:paraId="3F5A42E1">
      <w:pPr>
        <w:numPr>
          <w:ilvl w:val="0"/>
          <w:numId w:val="4"/>
        </w:numPr>
        <w:ind w:firstLineChars="0"/>
      </w:pPr>
      <w:r>
        <w:rPr>
          <w:rFonts w:hint="eastAsia"/>
        </w:rPr>
        <w:t>系统登录时间≤</w:t>
      </w:r>
      <w:r>
        <w:t>5</w:t>
      </w:r>
      <w:r>
        <w:rPr>
          <w:rFonts w:hint="eastAsia"/>
        </w:rPr>
        <w:t>秒；</w:t>
      </w:r>
    </w:p>
    <w:p w14:paraId="44D83B53">
      <w:pPr>
        <w:numPr>
          <w:ilvl w:val="0"/>
          <w:numId w:val="4"/>
        </w:numPr>
        <w:ind w:firstLineChars="0"/>
      </w:pPr>
      <w:r>
        <w:rPr>
          <w:rFonts w:hint="eastAsia"/>
        </w:rPr>
        <w:t>一般查询和写入操作响应时间（</w:t>
      </w:r>
      <w:r>
        <w:t>90%</w:t>
      </w:r>
      <w:r>
        <w:rPr>
          <w:rFonts w:hint="eastAsia"/>
        </w:rPr>
        <w:t>的操作页面）≤</w:t>
      </w:r>
      <w:r>
        <w:t>5</w:t>
      </w:r>
      <w:r>
        <w:rPr>
          <w:rFonts w:hint="eastAsia"/>
        </w:rPr>
        <w:t>秒；</w:t>
      </w:r>
    </w:p>
    <w:p w14:paraId="26F6A220">
      <w:pPr>
        <w:numPr>
          <w:ilvl w:val="0"/>
          <w:numId w:val="4"/>
        </w:numPr>
        <w:ind w:firstLineChars="0"/>
      </w:pPr>
      <w:r>
        <w:rPr>
          <w:rFonts w:hint="eastAsia"/>
        </w:rPr>
        <w:t>搜索类操作响应时间≤</w:t>
      </w:r>
      <w:r>
        <w:t>10</w:t>
      </w:r>
      <w:r>
        <w:rPr>
          <w:rFonts w:hint="eastAsia"/>
        </w:rPr>
        <w:t>秒；</w:t>
      </w:r>
    </w:p>
    <w:p w14:paraId="22B75AFD">
      <w:pPr>
        <w:numPr>
          <w:ilvl w:val="0"/>
          <w:numId w:val="4"/>
        </w:numPr>
        <w:ind w:firstLineChars="0"/>
      </w:pPr>
      <w:r>
        <w:rPr>
          <w:rFonts w:hint="eastAsia"/>
        </w:rPr>
        <w:t>报表统计类操作响应时间≤</w:t>
      </w:r>
      <w:r>
        <w:t>15</w:t>
      </w:r>
      <w:r>
        <w:rPr>
          <w:rFonts w:hint="eastAsia"/>
        </w:rPr>
        <w:t>秒；</w:t>
      </w:r>
    </w:p>
    <w:p w14:paraId="25C0CE81">
      <w:pPr>
        <w:numPr>
          <w:ilvl w:val="0"/>
          <w:numId w:val="4"/>
        </w:numPr>
        <w:ind w:firstLineChars="0"/>
      </w:pPr>
      <w:r>
        <w:rPr>
          <w:rFonts w:hint="eastAsia"/>
          <w:lang w:eastAsia="zh-CN"/>
        </w:rPr>
        <w:t>定位感知能力</w:t>
      </w:r>
      <w:r>
        <w:rPr>
          <w:rFonts w:hint="eastAsia"/>
        </w:rPr>
        <w:t>≥</w:t>
      </w:r>
      <w:r>
        <w:rPr>
          <w:rFonts w:hint="eastAsia"/>
          <w:lang w:val="en-US" w:eastAsia="zh-CN"/>
        </w:rPr>
        <w:t>30000人</w:t>
      </w:r>
    </w:p>
    <w:p w14:paraId="5F2E81F6">
      <w:pPr>
        <w:numPr>
          <w:ilvl w:val="0"/>
          <w:numId w:val="4"/>
        </w:numPr>
        <w:ind w:firstLineChars="0"/>
      </w:pPr>
      <w:r>
        <w:rPr>
          <w:rFonts w:hint="eastAsia"/>
          <w:lang w:val="en-US" w:eastAsia="zh-CN"/>
        </w:rPr>
        <w:t>定位频率刷新率</w:t>
      </w:r>
      <w:r>
        <w:rPr>
          <w:rFonts w:hint="eastAsia"/>
        </w:rPr>
        <w:t>≥</w:t>
      </w:r>
      <w:r>
        <w:rPr>
          <w:rFonts w:hint="eastAsia"/>
          <w:lang w:val="en-US" w:eastAsia="zh-CN"/>
        </w:rPr>
        <w:t>1Hz</w:t>
      </w:r>
    </w:p>
    <w:p w14:paraId="5EF9224F">
      <w:pPr>
        <w:numPr>
          <w:ilvl w:val="-1"/>
          <w:numId w:val="0"/>
        </w:numPr>
        <w:ind w:left="0" w:firstLine="0" w:firstLineChars="0"/>
      </w:pPr>
    </w:p>
    <w:bookmarkEnd w:id="19"/>
    <w:bookmarkEnd w:id="20"/>
    <w:p w14:paraId="170A0FE9">
      <w:pPr>
        <w:pStyle w:val="3"/>
        <w:ind w:left="0" w:firstLine="0" w:firstLineChars="0"/>
      </w:pPr>
      <w:bookmarkStart w:id="21" w:name="_Hlk113953730"/>
      <w:r>
        <w:rPr>
          <w:rFonts w:hint="eastAsia"/>
        </w:rPr>
        <w:t>功能建设要求</w:t>
      </w:r>
    </w:p>
    <w:p w14:paraId="025CA32F">
      <w:r>
        <w:rPr>
          <w:rFonts w:hint="eastAsia"/>
        </w:rPr>
        <w:t>整体项目包括：进博会客流数据可视化计算及服务、“进博一张图”综合管理平台和指挥大屏系统、进博会精准招商平台、进博会区块链应用场景和进博会信息安全保障及相关数据对接等。具体需求如下：</w:t>
      </w:r>
    </w:p>
    <w:p w14:paraId="542C6FF8">
      <w:pPr>
        <w:ind w:firstLine="482"/>
        <w:rPr>
          <w:b/>
        </w:rPr>
      </w:pPr>
      <w:r>
        <w:rPr>
          <w:rFonts w:hint="eastAsia"/>
          <w:b/>
        </w:rPr>
        <w:t>1、进博会客流数据可视化计算及服务</w:t>
      </w:r>
    </w:p>
    <w:p w14:paraId="632CF883">
      <w:r>
        <w:rPr>
          <w:rFonts w:hint="eastAsia"/>
        </w:rPr>
        <w:t>通过开发进博会客流数据可视化计算及服务，为展客商提供客流服务，为管理方提供客流精细化管理支撑。一是部署空间计算产品，结合国家会展中心现有摄像头等感知设备，构建进博会高精度空间数据洞察能力，覆盖进博会“</w:t>
      </w:r>
      <w:r>
        <w:t>1.1、2.1、4.1、5.1、6.1、7.1、8.1”7个场馆</w:t>
      </w:r>
      <w:r>
        <w:rPr>
          <w:rFonts w:hint="eastAsia"/>
        </w:rPr>
        <w:t>、通道及中央商业区等</w:t>
      </w:r>
      <w:r>
        <w:t>共</w:t>
      </w:r>
      <w:r>
        <w:rPr>
          <w:rFonts w:hint="eastAsia"/>
        </w:rPr>
        <w:t>26</w:t>
      </w:r>
      <w:r>
        <w:t>万平方米；</w:t>
      </w:r>
      <w:r>
        <w:rPr>
          <w:rFonts w:hint="eastAsia"/>
        </w:rPr>
        <w:t>二是搭建展会世界模型，结合大模型系统性推进物理环境智能化，深度理解现实世界的一系列知识，提供规划推理和通用智能的支撑</w:t>
      </w:r>
      <w:r>
        <w:t>；</w:t>
      </w:r>
      <w:r>
        <w:rPr>
          <w:rFonts w:hint="eastAsia"/>
        </w:rPr>
        <w:t>三是部署一系列智能体，</w:t>
      </w:r>
      <w:r>
        <w:t>7*24小时不间断观察，深度洞察场景细节，支持拥挤和堵塞等风险判断与预测、展会及展位的展览表现分析、服务设施使用情况分析、观众参观偏好分析等应用；四是提供客流</w:t>
      </w:r>
      <w:r>
        <w:rPr>
          <w:rFonts w:hint="eastAsia"/>
        </w:rPr>
        <w:t>数据可视化监测，基于手机信令数据，融合空间计算，输出客流数据及分析结果，展示客流图谱，支撑场内外客流监测预警、洞察分析、疏导调度、应急处置等应用；五是构建进博会元宇宙场景，实现沉浸直观、多样互动的用户体验。</w:t>
      </w:r>
    </w:p>
    <w:p w14:paraId="54693B83">
      <w:pPr>
        <w:ind w:firstLine="482"/>
        <w:rPr>
          <w:b/>
        </w:rPr>
      </w:pPr>
      <w:r>
        <w:rPr>
          <w:rFonts w:hint="eastAsia"/>
          <w:b/>
        </w:rPr>
        <w:t>2、“进博一张图”综合管理平台和指挥大屏系统</w:t>
      </w:r>
    </w:p>
    <w:p w14:paraId="50A82696">
      <w:r>
        <w:rPr>
          <w:rFonts w:hint="eastAsia"/>
        </w:rPr>
        <w:t>通过升级改造</w:t>
      </w:r>
      <w:r>
        <w:t>“</w:t>
      </w:r>
      <w:r>
        <w:rPr>
          <w:rFonts w:hint="eastAsia"/>
        </w:rPr>
        <w:t>进博一张图</w:t>
      </w:r>
      <w:r>
        <w:t>”</w:t>
      </w:r>
      <w:r>
        <w:rPr>
          <w:rFonts w:hint="eastAsia"/>
        </w:rPr>
        <w:t>系统，为管理方提供进博会管理决策和指挥调度的有力支撑。一是丰富完善</w:t>
      </w:r>
      <w:r>
        <w:t>“</w:t>
      </w:r>
      <w:r>
        <w:rPr>
          <w:rFonts w:hint="eastAsia"/>
        </w:rPr>
        <w:t>进博一张图</w:t>
      </w:r>
      <w:r>
        <w:t>”</w:t>
      </w:r>
      <w:r>
        <w:rPr>
          <w:rFonts w:hint="eastAsia"/>
        </w:rPr>
        <w:t>数据资源，通过接入场馆内外多源数据，包括公共交通、市政管线、城市给排水、交通控制箱、信息交接箱、路灯、桥梁、人行天桥、综合井盖、展馆、国展中心出入口、停车泊位、客流、气象、餐饮、应急管控等城市部件和各条线实用信息，为管理方提供更为多元的决策数据依据；二是完善一张图页面建设，升级开发城市运行保障一张图、生态环境一张图、应急安全保障一张图、参展服务保障一张图；三是开发随申办物码使用场景，通过扫描展馆场所、设施的物码，辅助跨部门联动处置事件、管理服务设施，提升进博会协同运营能力；四是建设进博会指挥大屏，汇聚整合各类业务管理信息，实现应急预警指挥、溢出效应展示，进一步提升进博会管理能级。</w:t>
      </w:r>
    </w:p>
    <w:p w14:paraId="7CFA6CFE">
      <w:pPr>
        <w:ind w:firstLine="482"/>
        <w:rPr>
          <w:b/>
        </w:rPr>
      </w:pPr>
      <w:r>
        <w:rPr>
          <w:rFonts w:hint="eastAsia"/>
          <w:b/>
        </w:rPr>
        <w:t>3、进博会精准招商平台</w:t>
      </w:r>
    </w:p>
    <w:p w14:paraId="6DF22D44">
      <w:r>
        <w:rPr>
          <w:rFonts w:hint="eastAsia"/>
        </w:rPr>
        <w:t>通过开发进博会精准招商平台，实现招商招展便利化、科学化、精准化，助力持续放大进博会溢出效应。一是构建招展招商数据库，集成往届进博会招商数据和参展商交易数据、市场化产业链数据、消费者需求数据等；二是开发招商招展辅助功能，实现进博会招商辅助、产业链企业邀展参展辅助、企业查询、企业评价、企业触达、政策查询等招商功能；三是开发招商招展模型，构建企业投资意愿模型、招引概率模型、企业价值评估模型、企业触达路径模型、政策智能匹配模型；四是进博产业链分析功能，实现包括四链融合宏观分析、产业发展研判、区域对标、产业运行报告、产业动态、产业政策等，支撑招商决策科学化、精准化；五是开发溢出效应分析模型，通过构建投资溢出、产业溢出、创新溢出、消费溢出、区域溢出、政策溢出六大进博领域模型，树立重点产业、重点地区、重点片区、重点企业四大进博标杆维度，定量化分析、可视化呈现进博会溢出成果。</w:t>
      </w:r>
    </w:p>
    <w:p w14:paraId="5467E6BE">
      <w:pPr>
        <w:ind w:firstLine="482"/>
        <w:rPr>
          <w:b/>
        </w:rPr>
      </w:pPr>
      <w:r>
        <w:rPr>
          <w:rFonts w:hint="eastAsia"/>
          <w:b/>
        </w:rPr>
        <w:t>4、进博会区块链应用场景</w:t>
      </w:r>
    </w:p>
    <w:p w14:paraId="3DDE963B">
      <w:r>
        <w:rPr>
          <w:rFonts w:hint="eastAsia"/>
        </w:rPr>
        <w:t>通过实施区块链应用场景专项行动，持续推进重要数据上链，保障数据可信、防篡改、可追溯。一是进博会重要数据上链，展客商数据、交易数据、证件数据、展销产品数据、展会运营数据、合约数据等重要数据实现上链，支撑基于链上数据的共享及分析应用；二是建设</w:t>
      </w:r>
      <w:r>
        <w:t>“</w:t>
      </w:r>
      <w:r>
        <w:rPr>
          <w:rFonts w:hint="eastAsia"/>
        </w:rPr>
        <w:t>区块链</w:t>
      </w:r>
      <w:r>
        <w:t>+</w:t>
      </w:r>
      <w:r>
        <w:rPr>
          <w:rFonts w:hint="eastAsia"/>
        </w:rPr>
        <w:t>电子证件</w:t>
      </w:r>
      <w:r>
        <w:t>”</w:t>
      </w:r>
      <w:r>
        <w:rPr>
          <w:rFonts w:hint="eastAsia"/>
        </w:rPr>
        <w:t>应用场景，链上电子证件支持亮证；三是建设</w:t>
      </w:r>
      <w:r>
        <w:t>“</w:t>
      </w:r>
      <w:r>
        <w:rPr>
          <w:rFonts w:hint="eastAsia"/>
        </w:rPr>
        <w:t>区块链</w:t>
      </w:r>
      <w:r>
        <w:t>+</w:t>
      </w:r>
      <w:r>
        <w:rPr>
          <w:rFonts w:hint="eastAsia"/>
        </w:rPr>
        <w:t>数字藏品</w:t>
      </w:r>
      <w:r>
        <w:t>”</w:t>
      </w:r>
      <w:r>
        <w:rPr>
          <w:rFonts w:hint="eastAsia"/>
        </w:rPr>
        <w:t>应用场景，提供主题藏品设计、数字藏品上链、展示和收藏等服务。</w:t>
      </w:r>
    </w:p>
    <w:p w14:paraId="67C1E2A4">
      <w:pPr>
        <w:ind w:firstLine="482"/>
        <w:rPr>
          <w:b/>
        </w:rPr>
      </w:pPr>
      <w:r>
        <w:rPr>
          <w:rFonts w:hint="eastAsia"/>
          <w:b/>
        </w:rPr>
        <w:t>5、进博会信息安全保障</w:t>
      </w:r>
    </w:p>
    <w:p w14:paraId="6491656C">
      <w:r>
        <w:rPr>
          <w:rFonts w:hint="eastAsia"/>
        </w:rPr>
        <w:t>通过信息安全专项行动，做好进博会数据内容、数据载体、链路保障，牢守进博安全底线。一是实施进博会移动端内容安全、多重核验检测，采用人工审核与技术审核相结合的方式，对发布内容进行自动检测和过滤，确保展客商发布互动信息内容符合标准；二是开展密码应用安全</w:t>
      </w:r>
      <w:r>
        <w:t>建设</w:t>
      </w:r>
      <w:r>
        <w:rPr>
          <w:rFonts w:hint="eastAsia"/>
        </w:rPr>
        <w:t>，维护网络和信息系统密码安全。</w:t>
      </w:r>
    </w:p>
    <w:p w14:paraId="315EED2D">
      <w:pPr>
        <w:ind w:firstLine="0" w:firstLineChars="0"/>
        <w:rPr>
          <w:b/>
        </w:rPr>
      </w:pPr>
      <w:r>
        <w:rPr>
          <w:rFonts w:hint="eastAsia"/>
          <w:b/>
        </w:rPr>
        <w:t>软件开发清单：</w:t>
      </w:r>
    </w:p>
    <w:p w14:paraId="066B0FA6">
      <w:pPr>
        <w:ind w:firstLine="0" w:firstLineChars="0"/>
        <w:rPr>
          <w:b/>
        </w:rPr>
      </w:pPr>
    </w:p>
    <w:tbl>
      <w:tblPr>
        <w:tblStyle w:val="35"/>
        <w:tblW w:w="0" w:type="auto"/>
        <w:tblInd w:w="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94"/>
        <w:gridCol w:w="915"/>
        <w:gridCol w:w="1584"/>
        <w:gridCol w:w="4737"/>
      </w:tblGrid>
      <w:tr w14:paraId="6AD24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tcBorders>
              <w:tl2br w:val="nil"/>
              <w:tr2bl w:val="nil"/>
            </w:tcBorders>
            <w:shd w:val="clear" w:color="auto" w:fill="auto"/>
            <w:vAlign w:val="center"/>
          </w:tcPr>
          <w:p w14:paraId="68B322D7">
            <w:pPr>
              <w:widowControl/>
              <w:ind w:firstLine="0" w:firstLineChars="0"/>
              <w:jc w:val="center"/>
              <w:textAlignment w:val="center"/>
              <w:rPr>
                <w:rFonts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系统</w:t>
            </w:r>
          </w:p>
          <w:p w14:paraId="0E40C5CF">
            <w:pPr>
              <w:widowControl/>
              <w:ind w:firstLine="0" w:firstLineChars="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名称</w:t>
            </w:r>
          </w:p>
        </w:tc>
        <w:tc>
          <w:tcPr>
            <w:tcW w:w="0" w:type="auto"/>
            <w:tcBorders>
              <w:tl2br w:val="nil"/>
              <w:tr2bl w:val="nil"/>
            </w:tcBorders>
            <w:shd w:val="clear" w:color="auto" w:fill="auto"/>
            <w:vAlign w:val="center"/>
          </w:tcPr>
          <w:p w14:paraId="68CC5E83">
            <w:pPr>
              <w:widowControl/>
              <w:ind w:firstLine="0" w:firstLineChars="0"/>
              <w:jc w:val="center"/>
              <w:textAlignment w:val="center"/>
              <w:rPr>
                <w:rFonts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子系统</w:t>
            </w:r>
          </w:p>
          <w:p w14:paraId="7967C01E">
            <w:pPr>
              <w:widowControl/>
              <w:ind w:firstLine="0" w:firstLineChars="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名称</w:t>
            </w:r>
          </w:p>
        </w:tc>
        <w:tc>
          <w:tcPr>
            <w:tcW w:w="1584" w:type="dxa"/>
            <w:tcBorders>
              <w:tl2br w:val="nil"/>
              <w:tr2bl w:val="nil"/>
            </w:tcBorders>
            <w:shd w:val="clear" w:color="auto" w:fill="auto"/>
            <w:vAlign w:val="center"/>
          </w:tcPr>
          <w:p w14:paraId="005F64DC">
            <w:pPr>
              <w:widowControl/>
              <w:ind w:firstLine="0" w:firstLineChars="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功能名称</w:t>
            </w:r>
          </w:p>
        </w:tc>
        <w:tc>
          <w:tcPr>
            <w:tcW w:w="4737" w:type="dxa"/>
            <w:tcBorders>
              <w:tl2br w:val="nil"/>
              <w:tr2bl w:val="nil"/>
            </w:tcBorders>
            <w:shd w:val="clear" w:color="auto" w:fill="auto"/>
            <w:vAlign w:val="center"/>
          </w:tcPr>
          <w:p w14:paraId="112ABE77">
            <w:pPr>
              <w:widowControl/>
              <w:ind w:firstLine="0" w:firstLineChars="0"/>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rPr>
              <w:t>功能描述</w:t>
            </w:r>
          </w:p>
        </w:tc>
      </w:tr>
      <w:tr w14:paraId="35AAF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restart"/>
            <w:tcBorders>
              <w:tl2br w:val="nil"/>
              <w:tr2bl w:val="nil"/>
            </w:tcBorders>
            <w:shd w:val="clear" w:color="auto" w:fill="auto"/>
            <w:vAlign w:val="center"/>
          </w:tcPr>
          <w:p w14:paraId="0018E7E3">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进博会客流数据可视化计算及服务</w:t>
            </w:r>
          </w:p>
        </w:tc>
        <w:tc>
          <w:tcPr>
            <w:tcW w:w="0" w:type="auto"/>
            <w:vMerge w:val="restart"/>
            <w:tcBorders>
              <w:tl2br w:val="nil"/>
              <w:tr2bl w:val="nil"/>
            </w:tcBorders>
            <w:shd w:val="clear" w:color="auto" w:fill="auto"/>
            <w:vAlign w:val="center"/>
          </w:tcPr>
          <w:p w14:paraId="04CA5793">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空间计算应用场景</w:t>
            </w:r>
          </w:p>
        </w:tc>
        <w:tc>
          <w:tcPr>
            <w:tcW w:w="1584" w:type="dxa"/>
            <w:tcBorders>
              <w:tl2br w:val="nil"/>
              <w:tr2bl w:val="nil"/>
            </w:tcBorders>
            <w:shd w:val="clear" w:color="auto" w:fill="auto"/>
            <w:vAlign w:val="center"/>
          </w:tcPr>
          <w:p w14:paraId="465D6BF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进博场馆信息综合展示</w:t>
            </w:r>
          </w:p>
        </w:tc>
        <w:tc>
          <w:tcPr>
            <w:tcW w:w="4737" w:type="dxa"/>
            <w:tcBorders>
              <w:tl2br w:val="nil"/>
              <w:tr2bl w:val="nil"/>
            </w:tcBorders>
            <w:shd w:val="clear" w:color="auto" w:fill="auto"/>
            <w:vAlign w:val="center"/>
          </w:tcPr>
          <w:p w14:paraId="5502587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提供三维展馆、展位信息、图层显示控制、实时人群热力、预警提示、网关设备显示、巡场人员定位、摄像头信息。</w:t>
            </w:r>
          </w:p>
        </w:tc>
      </w:tr>
      <w:tr w14:paraId="6923D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0D10B36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18F221F">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58B946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安全管理应用</w:t>
            </w:r>
          </w:p>
        </w:tc>
        <w:tc>
          <w:tcPr>
            <w:tcW w:w="4737" w:type="dxa"/>
            <w:tcBorders>
              <w:tl2br w:val="nil"/>
              <w:tr2bl w:val="nil"/>
            </w:tcBorders>
            <w:shd w:val="clear" w:color="auto" w:fill="auto"/>
            <w:vAlign w:val="center"/>
          </w:tcPr>
          <w:p w14:paraId="2EE115F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提供安全管理智能体、安全处置流程、人群密集计算与提示、人群密集情况查询、人群密集阈值设置、滞留计算与提示、滞留情况查询、滞留检测时间设置。</w:t>
            </w:r>
          </w:p>
        </w:tc>
      </w:tr>
      <w:tr w14:paraId="54C5B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33FC282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6AF3D65">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390984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展出效果应用</w:t>
            </w:r>
          </w:p>
        </w:tc>
        <w:tc>
          <w:tcPr>
            <w:tcW w:w="4737" w:type="dxa"/>
            <w:tcBorders>
              <w:tl2br w:val="nil"/>
              <w:tr2bl w:val="nil"/>
            </w:tcBorders>
            <w:shd w:val="clear" w:color="auto" w:fill="auto"/>
            <w:vAlign w:val="center"/>
          </w:tcPr>
          <w:p w14:paraId="64B41A3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提供全局人流趋势、主要数据指标计算与展示、观众兴趣分析、展位热度、展位吸引力、展位人流趋势。</w:t>
            </w:r>
          </w:p>
        </w:tc>
      </w:tr>
      <w:tr w14:paraId="6A8F4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3C1A6F3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994B437">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DA47EC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全局客流应用</w:t>
            </w:r>
          </w:p>
        </w:tc>
        <w:tc>
          <w:tcPr>
            <w:tcW w:w="4737" w:type="dxa"/>
            <w:tcBorders>
              <w:tl2br w:val="nil"/>
              <w:tr2bl w:val="nil"/>
            </w:tcBorders>
            <w:shd w:val="clear" w:color="auto" w:fill="auto"/>
            <w:vAlign w:val="center"/>
          </w:tcPr>
          <w:p w14:paraId="69C5CDE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提供全局客流智能体、全局客流处置流程、拥堵计算与提示、拥堵情况查询、拥堵阈值设置、压力点计算与提示、压力点情况查询。</w:t>
            </w:r>
          </w:p>
        </w:tc>
      </w:tr>
      <w:tr w14:paraId="7E978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52AD69C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97B4C61">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E62CA4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展位观察应用</w:t>
            </w:r>
          </w:p>
        </w:tc>
        <w:tc>
          <w:tcPr>
            <w:tcW w:w="4737" w:type="dxa"/>
            <w:tcBorders>
              <w:tl2br w:val="nil"/>
              <w:tr2bl w:val="nil"/>
            </w:tcBorders>
            <w:shd w:val="clear" w:color="auto" w:fill="auto"/>
            <w:vAlign w:val="center"/>
          </w:tcPr>
          <w:p w14:paraId="505AD4D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提供展位观察智能体、热点计算与提示、关键时刻记录流程、活动录入工具、展位实时人数与趋势、客流经停转化与趋势、停留时长与分布、展出区域热度、展出区域上下游分析、观众动线统计、观众轨迹回放。</w:t>
            </w:r>
          </w:p>
        </w:tc>
      </w:tr>
      <w:tr w14:paraId="4FB5A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2AD9151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80C3A20">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B2E2BC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展会世界模型助手</w:t>
            </w:r>
          </w:p>
        </w:tc>
        <w:tc>
          <w:tcPr>
            <w:tcW w:w="4737" w:type="dxa"/>
            <w:tcBorders>
              <w:tl2br w:val="nil"/>
              <w:tr2bl w:val="nil"/>
            </w:tcBorders>
            <w:shd w:val="clear" w:color="auto" w:fill="auto"/>
            <w:vAlign w:val="center"/>
          </w:tcPr>
          <w:p w14:paraId="228B88A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提供自然语言查询、报告生成。</w:t>
            </w:r>
          </w:p>
        </w:tc>
      </w:tr>
      <w:tr w14:paraId="12ABE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1D8DD2D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78A5B26">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CAA35B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智能体管理器</w:t>
            </w:r>
          </w:p>
        </w:tc>
        <w:tc>
          <w:tcPr>
            <w:tcW w:w="4737" w:type="dxa"/>
            <w:tcBorders>
              <w:tl2br w:val="nil"/>
              <w:tr2bl w:val="nil"/>
            </w:tcBorders>
            <w:shd w:val="clear" w:color="auto" w:fill="auto"/>
            <w:vAlign w:val="center"/>
          </w:tcPr>
          <w:p w14:paraId="47EE001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提供智能体概况、智能体列表和配置、智能体详情和编辑。</w:t>
            </w:r>
          </w:p>
        </w:tc>
      </w:tr>
      <w:tr w14:paraId="5D625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trPr>
        <w:tc>
          <w:tcPr>
            <w:tcW w:w="0" w:type="auto"/>
            <w:vMerge w:val="continue"/>
            <w:tcBorders>
              <w:tl2br w:val="nil"/>
              <w:tr2bl w:val="nil"/>
            </w:tcBorders>
            <w:shd w:val="clear" w:color="auto" w:fill="auto"/>
            <w:vAlign w:val="center"/>
          </w:tcPr>
          <w:p w14:paraId="4CC8B97A">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2AD03A7">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0A53717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空间管理器</w:t>
            </w:r>
          </w:p>
        </w:tc>
        <w:tc>
          <w:tcPr>
            <w:tcW w:w="4737" w:type="dxa"/>
            <w:tcBorders>
              <w:tl2br w:val="nil"/>
              <w:tr2bl w:val="nil"/>
            </w:tcBorders>
            <w:shd w:val="clear" w:color="auto" w:fill="auto"/>
            <w:vAlign w:val="center"/>
          </w:tcPr>
          <w:p w14:paraId="08D7C02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提供空间管理界面、空间创建与编辑、空间层级结构、区域属性、参考图纸上传、参考图层属性、比例校正工具、工具条工具、视口操作、生成基础线框模型、数据即时保存。</w:t>
            </w:r>
          </w:p>
        </w:tc>
      </w:tr>
      <w:tr w14:paraId="48FF5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4685B831">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2F1CBAD1">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进博客流数据可视化监测</w:t>
            </w:r>
          </w:p>
        </w:tc>
        <w:tc>
          <w:tcPr>
            <w:tcW w:w="1584" w:type="dxa"/>
            <w:tcBorders>
              <w:tl2br w:val="nil"/>
              <w:tr2bl w:val="nil"/>
            </w:tcBorders>
            <w:shd w:val="clear" w:color="auto" w:fill="auto"/>
            <w:vAlign w:val="center"/>
          </w:tcPr>
          <w:p w14:paraId="13A2283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全景数字展馆客流动态</w:t>
            </w:r>
          </w:p>
        </w:tc>
        <w:tc>
          <w:tcPr>
            <w:tcW w:w="4737" w:type="dxa"/>
            <w:tcBorders>
              <w:tl2br w:val="nil"/>
              <w:tr2bl w:val="nil"/>
            </w:tcBorders>
            <w:shd w:val="clear" w:color="auto" w:fill="auto"/>
            <w:vAlign w:val="center"/>
          </w:tcPr>
          <w:p w14:paraId="4E8681C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提供客流热力图、多维客流监测预警、数字场馆全息交互、客流密度图谱。</w:t>
            </w:r>
          </w:p>
        </w:tc>
      </w:tr>
      <w:tr w14:paraId="4E4C3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5" w:hRule="atLeast"/>
        </w:trPr>
        <w:tc>
          <w:tcPr>
            <w:tcW w:w="0" w:type="auto"/>
            <w:vMerge w:val="continue"/>
            <w:tcBorders>
              <w:tl2br w:val="nil"/>
              <w:tr2bl w:val="nil"/>
            </w:tcBorders>
            <w:shd w:val="clear" w:color="auto" w:fill="auto"/>
            <w:vAlign w:val="center"/>
          </w:tcPr>
          <w:p w14:paraId="6466D1C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E2E251B">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890F01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区域客流智能监测</w:t>
            </w:r>
          </w:p>
        </w:tc>
        <w:tc>
          <w:tcPr>
            <w:tcW w:w="4737" w:type="dxa"/>
            <w:tcBorders>
              <w:tl2br w:val="nil"/>
              <w:tr2bl w:val="nil"/>
            </w:tcBorders>
            <w:shd w:val="clear" w:color="auto" w:fill="auto"/>
            <w:vAlign w:val="center"/>
          </w:tcPr>
          <w:p w14:paraId="05368DF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全域实时客流指数、馆内实时客流指数、馆外实时客流预测、当日累计客流指数、昨日同期累计客流指数、昨日总客流追踪分析、实时事件预警、日度分时段客流变化趋势、境内客流来源地图、境外客流来源地图、客流动向地图、客流人群画像、客流驻留时长洞察。</w:t>
            </w:r>
          </w:p>
        </w:tc>
      </w:tr>
      <w:tr w14:paraId="44E74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77317691">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F4BC5AA">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EA3C94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历史客流洞察分析</w:t>
            </w:r>
          </w:p>
        </w:tc>
        <w:tc>
          <w:tcPr>
            <w:tcW w:w="4737" w:type="dxa"/>
            <w:tcBorders>
              <w:tl2br w:val="nil"/>
              <w:tr2bl w:val="nil"/>
            </w:tcBorders>
            <w:shd w:val="clear" w:color="auto" w:fill="auto"/>
            <w:vAlign w:val="center"/>
          </w:tcPr>
          <w:p w14:paraId="1734DB3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累计客流统计及变化趋势、客流驻留特征分析、客流人群全景画像、客流市内来源洞察、客流市外来源和动向洞察、客流到达时间变化趋势、客流离开时间变化趋势、客流出行方式分布、客流出行距离分析、客流出行时长分析。</w:t>
            </w:r>
          </w:p>
        </w:tc>
      </w:tr>
      <w:tr w14:paraId="4BCE2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0A699A3F">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0E3BF93">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485324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基础功能</w:t>
            </w:r>
          </w:p>
        </w:tc>
        <w:tc>
          <w:tcPr>
            <w:tcW w:w="4737" w:type="dxa"/>
            <w:tcBorders>
              <w:tl2br w:val="nil"/>
              <w:tr2bl w:val="nil"/>
            </w:tcBorders>
            <w:shd w:val="clear" w:color="auto" w:fill="auto"/>
            <w:vAlign w:val="center"/>
          </w:tcPr>
          <w:p w14:paraId="717417F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提供模型图层渲染、实景仿真建模。</w:t>
            </w:r>
          </w:p>
        </w:tc>
      </w:tr>
      <w:tr w14:paraId="0A362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09" w:hRule="atLeast"/>
        </w:trPr>
        <w:tc>
          <w:tcPr>
            <w:tcW w:w="0" w:type="auto"/>
            <w:vMerge w:val="continue"/>
            <w:tcBorders>
              <w:tl2br w:val="nil"/>
              <w:tr2bl w:val="nil"/>
            </w:tcBorders>
            <w:shd w:val="clear" w:color="auto" w:fill="auto"/>
            <w:vAlign w:val="center"/>
          </w:tcPr>
          <w:p w14:paraId="0E4A713F">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66BCF2B3">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元宇宙场景建模展示分析</w:t>
            </w:r>
          </w:p>
        </w:tc>
        <w:tc>
          <w:tcPr>
            <w:tcW w:w="1584" w:type="dxa"/>
            <w:tcBorders>
              <w:tl2br w:val="nil"/>
              <w:tr2bl w:val="nil"/>
            </w:tcBorders>
            <w:shd w:val="clear" w:color="auto" w:fill="auto"/>
            <w:vAlign w:val="center"/>
          </w:tcPr>
          <w:p w14:paraId="31AE99E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数据层</w:t>
            </w:r>
          </w:p>
        </w:tc>
        <w:tc>
          <w:tcPr>
            <w:tcW w:w="4737" w:type="dxa"/>
            <w:tcBorders>
              <w:tl2br w:val="nil"/>
              <w:tr2bl w:val="nil"/>
            </w:tcBorders>
            <w:shd w:val="clear" w:color="auto" w:fill="auto"/>
            <w:vAlign w:val="center"/>
          </w:tcPr>
          <w:p w14:paraId="0B7F7BB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超高精度L5级别的进博展馆建模，包括技术装备展区环境建模、各类展台创意设计及制作（含大型工业机械臂动态展台、电子科技动态展台、仿真工业机器人动态展台、流体力学动态展台、宇宙魔方动态展台、现代工业建筑动态展台、起重设备动态展台、生物工程动态展台、视觉系统动态展台、全息设备动态展台；中型光影打印展台；小型静态展台）、风格化创意装饰品建模以及沉浸式特效创意设计与制作。</w:t>
            </w:r>
          </w:p>
        </w:tc>
      </w:tr>
      <w:tr w14:paraId="34F59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5" w:hRule="atLeast"/>
        </w:trPr>
        <w:tc>
          <w:tcPr>
            <w:tcW w:w="0" w:type="auto"/>
            <w:vMerge w:val="continue"/>
            <w:tcBorders>
              <w:tl2br w:val="nil"/>
              <w:tr2bl w:val="nil"/>
            </w:tcBorders>
            <w:shd w:val="clear" w:color="auto" w:fill="auto"/>
            <w:vAlign w:val="center"/>
          </w:tcPr>
          <w:p w14:paraId="36484E7A">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32A8122">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D8BBE8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服务层</w:t>
            </w:r>
          </w:p>
        </w:tc>
        <w:tc>
          <w:tcPr>
            <w:tcW w:w="4737" w:type="dxa"/>
            <w:tcBorders>
              <w:tl2br w:val="nil"/>
              <w:tr2bl w:val="nil"/>
            </w:tcBorders>
            <w:shd w:val="clear" w:color="auto" w:fill="auto"/>
            <w:vAlign w:val="center"/>
          </w:tcPr>
          <w:p w14:paraId="4D23C69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热力数据采集处理模块、交互数据处理模块、蓝图数据接入模块、实时参数调节模块、视觉特效处理模块、虚拟网格体处理模块、热力数据动态服务模块、粒子矩阵处理模块、动态全局光照模块、展商信息处理模块、服务端通讯模块。</w:t>
            </w:r>
          </w:p>
        </w:tc>
      </w:tr>
      <w:tr w14:paraId="1B245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32AA7051">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8A604A0">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160149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应用层</w:t>
            </w:r>
          </w:p>
        </w:tc>
        <w:tc>
          <w:tcPr>
            <w:tcW w:w="4737" w:type="dxa"/>
            <w:tcBorders>
              <w:tl2br w:val="nil"/>
              <w:tr2bl w:val="nil"/>
            </w:tcBorders>
            <w:shd w:val="clear" w:color="auto" w:fill="auto"/>
            <w:vAlign w:val="center"/>
          </w:tcPr>
          <w:p w14:paraId="210FD45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控制台主操控界面、鸟瞰视角下镜头机位切换、手势操控镜头视角、昼夜交替控制、热力数据三维可视化展示、展商分布三维可视化展示、展商信息三维可视化展示、展商国家信息图表可视化展示、控制台通讯模块。</w:t>
            </w:r>
          </w:p>
        </w:tc>
      </w:tr>
      <w:tr w14:paraId="59ECB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restart"/>
            <w:tcBorders>
              <w:tl2br w:val="nil"/>
              <w:tr2bl w:val="nil"/>
            </w:tcBorders>
            <w:shd w:val="clear" w:color="auto" w:fill="auto"/>
            <w:vAlign w:val="center"/>
          </w:tcPr>
          <w:p w14:paraId="3DF9113C">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“进博一张图”综合管理平台和指挥大屏系统</w:t>
            </w:r>
          </w:p>
        </w:tc>
        <w:tc>
          <w:tcPr>
            <w:tcW w:w="0" w:type="auto"/>
            <w:vMerge w:val="restart"/>
            <w:tcBorders>
              <w:tl2br w:val="nil"/>
              <w:tr2bl w:val="nil"/>
            </w:tcBorders>
            <w:shd w:val="clear" w:color="auto" w:fill="auto"/>
            <w:vAlign w:val="center"/>
          </w:tcPr>
          <w:p w14:paraId="3271081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“进博一张图”</w:t>
            </w:r>
          </w:p>
        </w:tc>
        <w:tc>
          <w:tcPr>
            <w:tcW w:w="1584" w:type="dxa"/>
            <w:tcBorders>
              <w:tl2br w:val="nil"/>
              <w:tr2bl w:val="nil"/>
            </w:tcBorders>
            <w:shd w:val="clear" w:color="auto" w:fill="auto"/>
            <w:vAlign w:val="center"/>
          </w:tcPr>
          <w:p w14:paraId="7E5E3B0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城市运行保障</w:t>
            </w:r>
          </w:p>
        </w:tc>
        <w:tc>
          <w:tcPr>
            <w:tcW w:w="4737" w:type="dxa"/>
            <w:tcBorders>
              <w:tl2br w:val="nil"/>
              <w:tr2bl w:val="nil"/>
            </w:tcBorders>
            <w:shd w:val="clear" w:color="auto" w:fill="auto"/>
            <w:vAlign w:val="bottom"/>
          </w:tcPr>
          <w:p w14:paraId="51567A12">
            <w:pPr>
              <w:widowControl/>
              <w:ind w:firstLine="0" w:firstLineChars="0"/>
              <w:jc w:val="left"/>
              <w:textAlignment w:val="bottom"/>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提供轨道交通运行管理、公交运行管理、市政管线管理、城市给排水管理、城市部件管理。</w:t>
            </w:r>
          </w:p>
        </w:tc>
      </w:tr>
      <w:tr w14:paraId="19AB9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0D8CA9CB">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B424840">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065980A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生态环境保障</w:t>
            </w:r>
          </w:p>
        </w:tc>
        <w:tc>
          <w:tcPr>
            <w:tcW w:w="4737" w:type="dxa"/>
            <w:tcBorders>
              <w:tl2br w:val="nil"/>
              <w:tr2bl w:val="nil"/>
            </w:tcBorders>
            <w:shd w:val="clear" w:color="auto" w:fill="auto"/>
            <w:vAlign w:val="center"/>
          </w:tcPr>
          <w:p w14:paraId="29CC9EA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提供公园绿化管理、市容环境监管、景观灯光管理、工地扬尘防治。</w:t>
            </w:r>
          </w:p>
        </w:tc>
      </w:tr>
      <w:tr w14:paraId="7CE42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29E7D90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F9BAF2B">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068275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参展服务保障</w:t>
            </w:r>
          </w:p>
        </w:tc>
        <w:tc>
          <w:tcPr>
            <w:tcW w:w="4737" w:type="dxa"/>
            <w:tcBorders>
              <w:tl2br w:val="nil"/>
              <w:tr2bl w:val="nil"/>
            </w:tcBorders>
            <w:shd w:val="clear" w:color="auto" w:fill="auto"/>
            <w:vAlign w:val="center"/>
          </w:tcPr>
          <w:p w14:paraId="0D12AE3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提供实时客流智能分析、餐饮安全监管、便民设施辅助决策、交通路况服务、监管信息可视化。</w:t>
            </w:r>
          </w:p>
        </w:tc>
      </w:tr>
      <w:tr w14:paraId="28A06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542C963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553D94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4E9A69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应急安全保障</w:t>
            </w:r>
          </w:p>
        </w:tc>
        <w:tc>
          <w:tcPr>
            <w:tcW w:w="4737" w:type="dxa"/>
            <w:tcBorders>
              <w:tl2br w:val="nil"/>
              <w:tr2bl w:val="nil"/>
            </w:tcBorders>
            <w:shd w:val="clear" w:color="auto" w:fill="auto"/>
            <w:vAlign w:val="center"/>
          </w:tcPr>
          <w:p w14:paraId="06B34E9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提供应急监测资源管理、应急监测实时管控、综合信息分析。</w:t>
            </w:r>
          </w:p>
        </w:tc>
      </w:tr>
      <w:tr w14:paraId="1BC36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39A0930A">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711CEFB">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3A87DF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周边场景制作及优化</w:t>
            </w:r>
          </w:p>
        </w:tc>
        <w:tc>
          <w:tcPr>
            <w:tcW w:w="4737" w:type="dxa"/>
            <w:tcBorders>
              <w:tl2br w:val="nil"/>
              <w:tr2bl w:val="nil"/>
            </w:tcBorders>
            <w:shd w:val="clear" w:color="auto" w:fill="auto"/>
            <w:vAlign w:val="center"/>
          </w:tcPr>
          <w:p w14:paraId="16F38B7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提供三维管线模型处理、轨道交通线路三维模型、精细化三维场景共享服务、国展周边建筑设施场景优化。</w:t>
            </w:r>
          </w:p>
        </w:tc>
      </w:tr>
      <w:tr w14:paraId="0484D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786A618A">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9F433F0">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E1E3D4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三维模拟仿真</w:t>
            </w:r>
          </w:p>
        </w:tc>
        <w:tc>
          <w:tcPr>
            <w:tcW w:w="4737" w:type="dxa"/>
            <w:tcBorders>
              <w:tl2br w:val="nil"/>
              <w:tr2bl w:val="nil"/>
            </w:tcBorders>
            <w:shd w:val="clear" w:color="auto" w:fill="auto"/>
            <w:vAlign w:val="center"/>
          </w:tcPr>
          <w:p w14:paraId="60A500D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提供红绿灯三维仿真、交通信号灯数据接入、交通拥堵线模拟。</w:t>
            </w:r>
          </w:p>
        </w:tc>
      </w:tr>
      <w:tr w14:paraId="0B037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1FC081A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41FC4B2">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EACB2A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三维高亮设计</w:t>
            </w:r>
          </w:p>
        </w:tc>
        <w:tc>
          <w:tcPr>
            <w:tcW w:w="4737" w:type="dxa"/>
            <w:tcBorders>
              <w:tl2br w:val="nil"/>
              <w:tr2bl w:val="nil"/>
            </w:tcBorders>
            <w:shd w:val="clear" w:color="auto" w:fill="auto"/>
            <w:vAlign w:val="center"/>
          </w:tcPr>
          <w:p w14:paraId="7553528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提供轨交车辆动态效果、场馆分层功能、公交车路线的动效和公交车动态管理、建筑场馆单体化、人防信息数据管理。</w:t>
            </w:r>
          </w:p>
        </w:tc>
      </w:tr>
      <w:tr w14:paraId="0B1CA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75" w:hRule="atLeast"/>
        </w:trPr>
        <w:tc>
          <w:tcPr>
            <w:tcW w:w="0" w:type="auto"/>
            <w:vMerge w:val="continue"/>
            <w:tcBorders>
              <w:tl2br w:val="nil"/>
              <w:tr2bl w:val="nil"/>
            </w:tcBorders>
            <w:shd w:val="clear" w:color="auto" w:fill="auto"/>
            <w:vAlign w:val="center"/>
          </w:tcPr>
          <w:p w14:paraId="5F057A6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B0F2C2C">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0853923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综合保障应用</w:t>
            </w:r>
          </w:p>
        </w:tc>
        <w:tc>
          <w:tcPr>
            <w:tcW w:w="4737" w:type="dxa"/>
            <w:tcBorders>
              <w:tl2br w:val="nil"/>
              <w:tr2bl w:val="nil"/>
            </w:tcBorders>
            <w:shd w:val="clear" w:color="auto" w:fill="auto"/>
            <w:vAlign w:val="center"/>
          </w:tcPr>
          <w:p w14:paraId="329EF74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提供人员展示、场馆人流预警、场景目录（包括气象场景、交通场景、轨交场景、舆 情场景、民生热线、场馆安全、市场监管、消防管理、危化品管理共九个场景目录）、核心指标显示、预警信息显示及交互、联动指挥模块、空间场景分类控制、行政管理区域分类控制、时空数据分析、模块跳转功能。</w:t>
            </w:r>
          </w:p>
        </w:tc>
      </w:tr>
      <w:tr w14:paraId="7DE27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909E31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90AF5BA">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569E12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区域总览看板</w:t>
            </w:r>
          </w:p>
        </w:tc>
        <w:tc>
          <w:tcPr>
            <w:tcW w:w="4737" w:type="dxa"/>
            <w:tcBorders>
              <w:tl2br w:val="nil"/>
              <w:tr2bl w:val="nil"/>
            </w:tcBorders>
            <w:shd w:val="clear" w:color="auto" w:fill="auto"/>
            <w:vAlign w:val="center"/>
          </w:tcPr>
          <w:p w14:paraId="59261ED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支持区域信息显示管理、建筑信息显示管理、周边建筑显示管理。</w:t>
            </w:r>
          </w:p>
        </w:tc>
      </w:tr>
      <w:tr w14:paraId="7E570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41CC7222">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4E874BC">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7D7DC6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展商信息看板</w:t>
            </w:r>
          </w:p>
        </w:tc>
        <w:tc>
          <w:tcPr>
            <w:tcW w:w="4737" w:type="dxa"/>
            <w:tcBorders>
              <w:tl2br w:val="nil"/>
              <w:tr2bl w:val="nil"/>
            </w:tcBorders>
            <w:shd w:val="clear" w:color="auto" w:fill="auto"/>
            <w:vAlign w:val="center"/>
          </w:tcPr>
          <w:p w14:paraId="396ECAB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支持展商分布数字标识、展商展位信息查询定位服务、地面道路信息显示控制、公交信息显示控制、公交状态查询显示、路口信息显示控制、轨交人流客流监控、重要区域视频监控、虹桥枢纽显示控制。</w:t>
            </w:r>
          </w:p>
        </w:tc>
      </w:tr>
      <w:tr w14:paraId="20979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476EC9B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7E16150">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966592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空间视频融合</w:t>
            </w:r>
          </w:p>
        </w:tc>
        <w:tc>
          <w:tcPr>
            <w:tcW w:w="4737" w:type="dxa"/>
            <w:tcBorders>
              <w:tl2br w:val="nil"/>
              <w:tr2bl w:val="nil"/>
            </w:tcBorders>
            <w:shd w:val="clear" w:color="auto" w:fill="auto"/>
            <w:vAlign w:val="center"/>
          </w:tcPr>
          <w:p w14:paraId="1C62C93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提供路口视频融合、场馆视频融合。</w:t>
            </w:r>
          </w:p>
        </w:tc>
      </w:tr>
      <w:tr w14:paraId="2943A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81D8C6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DE06702">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651774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室内视频算法服务</w:t>
            </w:r>
          </w:p>
        </w:tc>
        <w:tc>
          <w:tcPr>
            <w:tcW w:w="4737" w:type="dxa"/>
            <w:tcBorders>
              <w:tl2br w:val="nil"/>
              <w:tr2bl w:val="nil"/>
            </w:tcBorders>
            <w:shd w:val="clear" w:color="auto" w:fill="auto"/>
            <w:vAlign w:val="center"/>
          </w:tcPr>
          <w:p w14:paraId="515D9A2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提供室内视频人员识别服务、室内人流模型映射服务。</w:t>
            </w:r>
          </w:p>
        </w:tc>
      </w:tr>
      <w:tr w14:paraId="7882A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5963E6EB">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DE194B8">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2540AF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设施部件管理</w:t>
            </w:r>
          </w:p>
        </w:tc>
        <w:tc>
          <w:tcPr>
            <w:tcW w:w="4737" w:type="dxa"/>
            <w:tcBorders>
              <w:tl2br w:val="nil"/>
              <w:tr2bl w:val="nil"/>
            </w:tcBorders>
            <w:shd w:val="clear" w:color="auto" w:fill="auto"/>
            <w:vAlign w:val="center"/>
          </w:tcPr>
          <w:p w14:paraId="0E6EFEB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提供管线信息查询服务、周边管线信息展示、二维部件查询、三维部件详细信息展示、应急设施控制管理。</w:t>
            </w:r>
          </w:p>
        </w:tc>
      </w:tr>
      <w:tr w14:paraId="15896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0FF2563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67E3E30">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CD3E09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视频资源管理</w:t>
            </w:r>
          </w:p>
        </w:tc>
        <w:tc>
          <w:tcPr>
            <w:tcW w:w="4737" w:type="dxa"/>
            <w:tcBorders>
              <w:tl2br w:val="nil"/>
              <w:tr2bl w:val="nil"/>
            </w:tcBorders>
            <w:shd w:val="clear" w:color="auto" w:fill="auto"/>
            <w:vAlign w:val="center"/>
          </w:tcPr>
          <w:p w14:paraId="34DA550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对进博周边重要视频监控进行汇集。</w:t>
            </w:r>
          </w:p>
        </w:tc>
      </w:tr>
      <w:tr w14:paraId="194F2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2ABDC04B">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DFA698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EF2016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三维渲染可视化观看客户端开发</w:t>
            </w:r>
          </w:p>
        </w:tc>
        <w:tc>
          <w:tcPr>
            <w:tcW w:w="4737" w:type="dxa"/>
            <w:tcBorders>
              <w:tl2br w:val="nil"/>
              <w:tr2bl w:val="nil"/>
            </w:tcBorders>
            <w:shd w:val="clear" w:color="auto" w:fill="auto"/>
            <w:vAlign w:val="center"/>
          </w:tcPr>
          <w:p w14:paraId="1FBB131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开发专用客户端满足市城运中心、城保办、公安前方指挥中心、市大数据中心的观看控制请求。</w:t>
            </w:r>
          </w:p>
        </w:tc>
      </w:tr>
      <w:tr w14:paraId="7F87E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1AC4685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587D70F">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EFC385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视频接入服务</w:t>
            </w:r>
          </w:p>
        </w:tc>
        <w:tc>
          <w:tcPr>
            <w:tcW w:w="4737" w:type="dxa"/>
            <w:tcBorders>
              <w:tl2br w:val="nil"/>
              <w:tr2bl w:val="nil"/>
            </w:tcBorders>
            <w:shd w:val="clear" w:color="auto" w:fill="auto"/>
            <w:vAlign w:val="center"/>
          </w:tcPr>
          <w:p w14:paraId="29DC72E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实现视频数据API接入开发。</w:t>
            </w:r>
          </w:p>
        </w:tc>
      </w:tr>
      <w:tr w14:paraId="49D16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584E5D5F">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25C0BDC">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E20F07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视频前端加载</w:t>
            </w:r>
          </w:p>
        </w:tc>
        <w:tc>
          <w:tcPr>
            <w:tcW w:w="4737" w:type="dxa"/>
            <w:tcBorders>
              <w:tl2br w:val="nil"/>
              <w:tr2bl w:val="nil"/>
            </w:tcBorders>
            <w:shd w:val="clear" w:color="auto" w:fill="auto"/>
            <w:vAlign w:val="center"/>
          </w:tcPr>
          <w:p w14:paraId="5BDDCD1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实现视频数据前端页面加载开发。</w:t>
            </w:r>
          </w:p>
        </w:tc>
      </w:tr>
      <w:tr w14:paraId="5B9D2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0BE44FC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020D63E">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5F38B8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接口开发与调试</w:t>
            </w:r>
          </w:p>
        </w:tc>
        <w:tc>
          <w:tcPr>
            <w:tcW w:w="4737" w:type="dxa"/>
            <w:tcBorders>
              <w:tl2br w:val="nil"/>
              <w:tr2bl w:val="nil"/>
            </w:tcBorders>
            <w:shd w:val="clear" w:color="auto" w:fill="auto"/>
            <w:vAlign w:val="center"/>
          </w:tcPr>
          <w:p w14:paraId="7999B11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实现人数统计接口，并实现与一张图的对接调试。</w:t>
            </w:r>
          </w:p>
        </w:tc>
      </w:tr>
      <w:tr w14:paraId="57C85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795A47C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C5CC8F5">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A7B824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监控设备的接入及维护</w:t>
            </w:r>
          </w:p>
        </w:tc>
        <w:tc>
          <w:tcPr>
            <w:tcW w:w="4737" w:type="dxa"/>
            <w:tcBorders>
              <w:tl2br w:val="nil"/>
              <w:tr2bl w:val="nil"/>
            </w:tcBorders>
            <w:shd w:val="clear" w:color="auto" w:fill="auto"/>
            <w:vAlign w:val="center"/>
          </w:tcPr>
          <w:p w14:paraId="31B4E16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实现餐饮店的监控设备的接入和维护。</w:t>
            </w:r>
          </w:p>
        </w:tc>
      </w:tr>
      <w:tr w14:paraId="07D7D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1322500D">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6B46E7B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进博会指挥大屏</w:t>
            </w:r>
          </w:p>
        </w:tc>
        <w:tc>
          <w:tcPr>
            <w:tcW w:w="1584" w:type="dxa"/>
            <w:tcBorders>
              <w:tl2br w:val="nil"/>
              <w:tr2bl w:val="nil"/>
            </w:tcBorders>
            <w:shd w:val="clear" w:color="auto" w:fill="auto"/>
            <w:vAlign w:val="center"/>
          </w:tcPr>
          <w:p w14:paraId="1E6ED35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会场人员流动可视化分析</w:t>
            </w:r>
          </w:p>
        </w:tc>
        <w:tc>
          <w:tcPr>
            <w:tcW w:w="4737" w:type="dxa"/>
            <w:tcBorders>
              <w:tl2br w:val="nil"/>
              <w:tr2bl w:val="nil"/>
            </w:tcBorders>
            <w:shd w:val="clear" w:color="auto" w:fill="auto"/>
            <w:vAlign w:val="center"/>
          </w:tcPr>
          <w:p w14:paraId="2C9EC9F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提供当日人员流动情况、同期当日人员流动情况、当日累计进馆人数、当日人员流动情况、本次展会累计进馆人数、各地、各组织交易团参会人员情况、参会申请人员情况、各场馆人员分布。</w:t>
            </w:r>
          </w:p>
        </w:tc>
      </w:tr>
      <w:tr w14:paraId="5E286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2BF799E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EDCC416">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D6F512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参展厂商可视化分析</w:t>
            </w:r>
          </w:p>
        </w:tc>
        <w:tc>
          <w:tcPr>
            <w:tcW w:w="4737" w:type="dxa"/>
            <w:tcBorders>
              <w:tl2br w:val="nil"/>
              <w:tr2bl w:val="nil"/>
            </w:tcBorders>
            <w:shd w:val="clear" w:color="auto" w:fill="auto"/>
            <w:vAlign w:val="center"/>
          </w:tcPr>
          <w:p w14:paraId="136A941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提供本次参展商情况、同期参展商情况、参展商欢迎度、参展商参展展品欢迎度、参展商申报展品、国内参展商报名情况、国际参展商报名情况、参展商所属产业链情况。</w:t>
            </w:r>
          </w:p>
        </w:tc>
      </w:tr>
      <w:tr w14:paraId="38B02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3E9ACA7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0FD6AE4">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215421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场馆地图可视化分析</w:t>
            </w:r>
          </w:p>
        </w:tc>
        <w:tc>
          <w:tcPr>
            <w:tcW w:w="4737" w:type="dxa"/>
            <w:tcBorders>
              <w:tl2br w:val="nil"/>
              <w:tr2bl w:val="nil"/>
            </w:tcBorders>
            <w:shd w:val="clear" w:color="auto" w:fill="auto"/>
            <w:vAlign w:val="center"/>
          </w:tcPr>
          <w:p w14:paraId="617CAB7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提供场馆漫游、二维展示、三维展示。</w:t>
            </w:r>
          </w:p>
        </w:tc>
      </w:tr>
      <w:tr w14:paraId="438A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7588BB02">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B8474E1">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D9537C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展会效益可视化分析</w:t>
            </w:r>
          </w:p>
        </w:tc>
        <w:tc>
          <w:tcPr>
            <w:tcW w:w="4737" w:type="dxa"/>
            <w:tcBorders>
              <w:tl2br w:val="nil"/>
              <w:tr2bl w:val="nil"/>
            </w:tcBorders>
            <w:shd w:val="clear" w:color="auto" w:fill="auto"/>
            <w:vAlign w:val="center"/>
          </w:tcPr>
          <w:p w14:paraId="59C290F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提供参会展商情况、参会贡献情况、创新情况、投资情况、消费情况。</w:t>
            </w:r>
          </w:p>
        </w:tc>
      </w:tr>
      <w:tr w14:paraId="64850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5973B42A">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0876064">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5FD988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进博实况展示</w:t>
            </w:r>
          </w:p>
        </w:tc>
        <w:tc>
          <w:tcPr>
            <w:tcW w:w="4737" w:type="dxa"/>
            <w:tcBorders>
              <w:tl2br w:val="nil"/>
              <w:tr2bl w:val="nil"/>
            </w:tcBorders>
            <w:shd w:val="clear" w:color="auto" w:fill="auto"/>
            <w:vAlign w:val="center"/>
          </w:tcPr>
          <w:p w14:paraId="24E8590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提供进博展馆外围实况、进博展馆馆内实况、进博展馆连接通道实况、进博展馆闸机实况、进博展馆商业环道实况、进博实况分屏展示。</w:t>
            </w:r>
          </w:p>
        </w:tc>
      </w:tr>
      <w:tr w14:paraId="1AF09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78554B0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283FD6E">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956858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应急预警指挥系统</w:t>
            </w:r>
          </w:p>
        </w:tc>
        <w:tc>
          <w:tcPr>
            <w:tcW w:w="4737" w:type="dxa"/>
            <w:tcBorders>
              <w:tl2br w:val="nil"/>
              <w:tr2bl w:val="nil"/>
            </w:tcBorders>
            <w:shd w:val="clear" w:color="auto" w:fill="auto"/>
            <w:vAlign w:val="center"/>
          </w:tcPr>
          <w:p w14:paraId="67AAFC7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提供预警分类、预警规则、预警等级、预警模式、预警方式、预警结果展示。</w:t>
            </w:r>
          </w:p>
        </w:tc>
      </w:tr>
      <w:tr w14:paraId="0676C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5" w:hRule="atLeast"/>
        </w:trPr>
        <w:tc>
          <w:tcPr>
            <w:tcW w:w="0" w:type="auto"/>
            <w:vMerge w:val="continue"/>
            <w:tcBorders>
              <w:tl2br w:val="nil"/>
              <w:tr2bl w:val="nil"/>
            </w:tcBorders>
            <w:shd w:val="clear" w:color="auto" w:fill="auto"/>
            <w:vAlign w:val="center"/>
          </w:tcPr>
          <w:p w14:paraId="61C5527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AB2CBB5">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00B7CBE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空间热力技术装备4.1号馆</w:t>
            </w:r>
          </w:p>
        </w:tc>
        <w:tc>
          <w:tcPr>
            <w:tcW w:w="4737" w:type="dxa"/>
            <w:tcBorders>
              <w:tl2br w:val="nil"/>
              <w:tr2bl w:val="nil"/>
            </w:tcBorders>
            <w:shd w:val="clear" w:color="auto" w:fill="auto"/>
            <w:vAlign w:val="center"/>
          </w:tcPr>
          <w:p w14:paraId="54C18BC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展厅基础信息展示、展厅全局人流情况（包括全局人流趋势、累计人流趋势）、展位聚集情况、观众兴趣展示、展馆人流热力展示、展馆实况展示、巡场管理人员位置展示、展位实时人流排名、展位展商信息展示、展馆设备展示。</w:t>
            </w:r>
          </w:p>
        </w:tc>
      </w:tr>
      <w:tr w14:paraId="78CDA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255F7F6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9B9354B">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6B39F9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进博全景</w:t>
            </w:r>
          </w:p>
        </w:tc>
        <w:tc>
          <w:tcPr>
            <w:tcW w:w="4737" w:type="dxa"/>
            <w:tcBorders>
              <w:tl2br w:val="nil"/>
              <w:tr2bl w:val="nil"/>
            </w:tcBorders>
            <w:shd w:val="clear" w:color="auto" w:fill="auto"/>
            <w:vAlign w:val="center"/>
          </w:tcPr>
          <w:p w14:paraId="14920C3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提供世界进博、中国进博、上海进博。</w:t>
            </w:r>
          </w:p>
        </w:tc>
      </w:tr>
      <w:tr w14:paraId="0933A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026A53B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CBDAEC9">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81CECA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进博交通</w:t>
            </w:r>
          </w:p>
        </w:tc>
        <w:tc>
          <w:tcPr>
            <w:tcW w:w="4737" w:type="dxa"/>
            <w:tcBorders>
              <w:tl2br w:val="nil"/>
              <w:tr2bl w:val="nil"/>
            </w:tcBorders>
            <w:shd w:val="clear" w:color="auto" w:fill="auto"/>
            <w:vAlign w:val="center"/>
          </w:tcPr>
          <w:p w14:paraId="3F87B86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提供公交客流量、轨交客流量、铁路客流量、长途客车客流量、本市交通拥堵走势、GIS地图。</w:t>
            </w:r>
          </w:p>
        </w:tc>
      </w:tr>
      <w:tr w14:paraId="1F09C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657ECEF2">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950324E">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37FC17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进博气象</w:t>
            </w:r>
          </w:p>
        </w:tc>
        <w:tc>
          <w:tcPr>
            <w:tcW w:w="4737" w:type="dxa"/>
            <w:tcBorders>
              <w:tl2br w:val="nil"/>
              <w:tr2bl w:val="nil"/>
            </w:tcBorders>
            <w:shd w:val="clear" w:color="auto" w:fill="auto"/>
            <w:vAlign w:val="center"/>
          </w:tcPr>
          <w:p w14:paraId="27047E9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提供温度、湿度、紫外线、风力、降水、能见度、气压、天气变化趋势、雷达云图。</w:t>
            </w:r>
          </w:p>
        </w:tc>
      </w:tr>
      <w:tr w14:paraId="426FB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00304F5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79C05D9">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4D38F0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进博会参展企业概览</w:t>
            </w:r>
          </w:p>
        </w:tc>
        <w:tc>
          <w:tcPr>
            <w:tcW w:w="4737" w:type="dxa"/>
            <w:tcBorders>
              <w:tl2br w:val="nil"/>
              <w:tr2bl w:val="nil"/>
            </w:tcBorders>
            <w:shd w:val="clear" w:color="auto" w:fill="auto"/>
            <w:vAlign w:val="center"/>
          </w:tcPr>
          <w:p w14:paraId="3EF5855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提供进博会参展企业名录信息展示、进博会参展企业信用信息查询、进博会参展企业关联分析及运算、进博会参展企业关联图谱、进博会参展企业关联企业查询与分析、进博会参展企业分布地图。</w:t>
            </w:r>
          </w:p>
        </w:tc>
      </w:tr>
      <w:tr w14:paraId="4905A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175" w:hRule="atLeast"/>
        </w:trPr>
        <w:tc>
          <w:tcPr>
            <w:tcW w:w="0" w:type="auto"/>
            <w:vMerge w:val="continue"/>
            <w:tcBorders>
              <w:tl2br w:val="nil"/>
              <w:tr2bl w:val="nil"/>
            </w:tcBorders>
            <w:shd w:val="clear" w:color="auto" w:fill="auto"/>
            <w:vAlign w:val="center"/>
          </w:tcPr>
          <w:p w14:paraId="6E03CB0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2F3ED6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94294F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进博会溢出效应大屏</w:t>
            </w:r>
          </w:p>
        </w:tc>
        <w:tc>
          <w:tcPr>
            <w:tcW w:w="4737" w:type="dxa"/>
            <w:tcBorders>
              <w:tl2br w:val="nil"/>
              <w:tr2bl w:val="nil"/>
            </w:tcBorders>
            <w:shd w:val="clear" w:color="auto" w:fill="auto"/>
            <w:vAlign w:val="center"/>
          </w:tcPr>
          <w:p w14:paraId="7F3E727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参展数据展示分析大屏、重大活动数据展示分析大屏、进博会溢出全景大屏、进博会区域及产业溢出大屏、进博会消费及投资溢出大屏、进博会创新及政策溢出大屏、进博会重点产业及企业溢出效应分析大屏、进博会对上海及重点片区溢出分析大屏、进博会溢出效应非标大屏。</w:t>
            </w:r>
          </w:p>
        </w:tc>
      </w:tr>
      <w:tr w14:paraId="7B92F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restart"/>
            <w:tcBorders>
              <w:tl2br w:val="nil"/>
              <w:tr2bl w:val="nil"/>
            </w:tcBorders>
            <w:shd w:val="clear" w:color="auto" w:fill="auto"/>
            <w:vAlign w:val="center"/>
          </w:tcPr>
          <w:p w14:paraId="79192434">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进博会精准招商平台</w:t>
            </w:r>
          </w:p>
        </w:tc>
        <w:tc>
          <w:tcPr>
            <w:tcW w:w="0" w:type="auto"/>
            <w:vMerge w:val="restart"/>
            <w:tcBorders>
              <w:tl2br w:val="nil"/>
              <w:tr2bl w:val="nil"/>
            </w:tcBorders>
            <w:shd w:val="clear" w:color="auto" w:fill="auto"/>
            <w:vAlign w:val="center"/>
          </w:tcPr>
          <w:p w14:paraId="30341904">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进博会精准招商</w:t>
            </w:r>
          </w:p>
        </w:tc>
        <w:tc>
          <w:tcPr>
            <w:tcW w:w="1584" w:type="dxa"/>
            <w:tcBorders>
              <w:tl2br w:val="nil"/>
              <w:tr2bl w:val="nil"/>
            </w:tcBorders>
            <w:shd w:val="clear" w:color="auto" w:fill="auto"/>
            <w:vAlign w:val="center"/>
          </w:tcPr>
          <w:p w14:paraId="18D50CF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招商方向推荐</w:t>
            </w:r>
          </w:p>
        </w:tc>
        <w:tc>
          <w:tcPr>
            <w:tcW w:w="4737" w:type="dxa"/>
            <w:tcBorders>
              <w:tl2br w:val="nil"/>
              <w:tr2bl w:val="nil"/>
            </w:tcBorders>
            <w:shd w:val="clear" w:color="auto" w:fill="auto"/>
            <w:vAlign w:val="center"/>
          </w:tcPr>
          <w:p w14:paraId="4FB7152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支持基于用户的预设偏好进行招商方向的推荐。</w:t>
            </w:r>
          </w:p>
        </w:tc>
      </w:tr>
      <w:tr w14:paraId="264D8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3370179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82FC07E">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2C7627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企业智推</w:t>
            </w:r>
          </w:p>
        </w:tc>
        <w:tc>
          <w:tcPr>
            <w:tcW w:w="4737" w:type="dxa"/>
            <w:tcBorders>
              <w:tl2br w:val="nil"/>
              <w:tr2bl w:val="nil"/>
            </w:tcBorders>
            <w:shd w:val="clear" w:color="auto" w:fill="auto"/>
            <w:vAlign w:val="center"/>
          </w:tcPr>
          <w:p w14:paraId="155779F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提供热门企业、热门产业。</w:t>
            </w:r>
          </w:p>
        </w:tc>
      </w:tr>
      <w:tr w14:paraId="79F1D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711769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6FF2E1B">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059B34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通用招商辅助</w:t>
            </w:r>
          </w:p>
        </w:tc>
        <w:tc>
          <w:tcPr>
            <w:tcW w:w="4737" w:type="dxa"/>
            <w:tcBorders>
              <w:tl2br w:val="nil"/>
              <w:tr2bl w:val="nil"/>
            </w:tcBorders>
            <w:shd w:val="clear" w:color="auto" w:fill="auto"/>
            <w:vAlign w:val="center"/>
          </w:tcPr>
          <w:p w14:paraId="156D967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提供企业筛选、产业链招商、供应链招商、技术链招商、地图招商。</w:t>
            </w:r>
          </w:p>
        </w:tc>
      </w:tr>
      <w:tr w14:paraId="69989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6675D62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B222B5E">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F59335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海外企业邀展招商辅助</w:t>
            </w:r>
          </w:p>
        </w:tc>
        <w:tc>
          <w:tcPr>
            <w:tcW w:w="4737" w:type="dxa"/>
            <w:tcBorders>
              <w:tl2br w:val="nil"/>
              <w:tr2bl w:val="nil"/>
            </w:tcBorders>
            <w:shd w:val="clear" w:color="auto" w:fill="auto"/>
            <w:vAlign w:val="center"/>
          </w:tcPr>
          <w:p w14:paraId="226AC7F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提供海外重点企业产业链图谱、海外重点企业供应链图谱、海外企业进博关系图谱、海外企业投资图谱。</w:t>
            </w:r>
          </w:p>
        </w:tc>
      </w:tr>
      <w:tr w14:paraId="0F75A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01A3ABA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7081618">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04584A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企业查询</w:t>
            </w:r>
          </w:p>
        </w:tc>
        <w:tc>
          <w:tcPr>
            <w:tcW w:w="4737" w:type="dxa"/>
            <w:tcBorders>
              <w:tl2br w:val="nil"/>
              <w:tr2bl w:val="nil"/>
            </w:tcBorders>
            <w:shd w:val="clear" w:color="auto" w:fill="auto"/>
            <w:vAlign w:val="center"/>
          </w:tcPr>
          <w:p w14:paraId="2F9D54B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提供企业列表、企业画像（包括投资意向分析、匹配度分析、价值评估、基本信息、企业发展、企业风险、知识产权、企业概要）、招商评估报告（包括企业基础报告、企业评估报告）。</w:t>
            </w:r>
          </w:p>
        </w:tc>
      </w:tr>
      <w:tr w14:paraId="13422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7BBDF82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DDF2D20">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41C225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企业触达</w:t>
            </w:r>
          </w:p>
        </w:tc>
        <w:tc>
          <w:tcPr>
            <w:tcW w:w="4737" w:type="dxa"/>
            <w:tcBorders>
              <w:tl2br w:val="nil"/>
              <w:tr2bl w:val="nil"/>
            </w:tcBorders>
            <w:shd w:val="clear" w:color="auto" w:fill="auto"/>
            <w:vAlign w:val="center"/>
          </w:tcPr>
          <w:p w14:paraId="7578046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提供企业联系人、关系链路、沟通策略。</w:t>
            </w:r>
          </w:p>
        </w:tc>
      </w:tr>
      <w:tr w14:paraId="3230C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1F1E23D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81C9382">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1B3E54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政策查询</w:t>
            </w:r>
          </w:p>
        </w:tc>
        <w:tc>
          <w:tcPr>
            <w:tcW w:w="4737" w:type="dxa"/>
            <w:tcBorders>
              <w:tl2br w:val="nil"/>
              <w:tr2bl w:val="nil"/>
            </w:tcBorders>
            <w:shd w:val="clear" w:color="auto" w:fill="auto"/>
            <w:vAlign w:val="center"/>
          </w:tcPr>
          <w:p w14:paraId="5E184AF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提供政策查询、政策智配。</w:t>
            </w:r>
          </w:p>
        </w:tc>
      </w:tr>
      <w:tr w14:paraId="01C86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1" w:hRule="atLeast"/>
        </w:trPr>
        <w:tc>
          <w:tcPr>
            <w:tcW w:w="0" w:type="auto"/>
            <w:vMerge w:val="continue"/>
            <w:tcBorders>
              <w:tl2br w:val="nil"/>
              <w:tr2bl w:val="nil"/>
            </w:tcBorders>
            <w:shd w:val="clear" w:color="auto" w:fill="auto"/>
            <w:vAlign w:val="center"/>
          </w:tcPr>
          <w:p w14:paraId="63C4299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C24A892">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11A9D1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四链融合</w:t>
            </w:r>
          </w:p>
        </w:tc>
        <w:tc>
          <w:tcPr>
            <w:tcW w:w="4737" w:type="dxa"/>
            <w:tcBorders>
              <w:tl2br w:val="nil"/>
              <w:tr2bl w:val="nil"/>
            </w:tcBorders>
            <w:shd w:val="clear" w:color="auto" w:fill="auto"/>
            <w:vAlign w:val="center"/>
          </w:tcPr>
          <w:p w14:paraId="6486E80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产业链图谱总览、产业链环节分解、产业链阶段分析、产业链分析详情、供应链市场分析、供应链分析详情、创新链总览、创新链专利分析、创新链文献分析、资本链总览、资本链投资地图、资本链投资偏好、资本链机构中心、资本链事件中心。</w:t>
            </w:r>
          </w:p>
        </w:tc>
      </w:tr>
      <w:tr w14:paraId="1F55C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0BE3280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D97B2C0">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5A8751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产业发展研判</w:t>
            </w:r>
          </w:p>
        </w:tc>
        <w:tc>
          <w:tcPr>
            <w:tcW w:w="4737" w:type="dxa"/>
            <w:tcBorders>
              <w:tl2br w:val="nil"/>
              <w:tr2bl w:val="nil"/>
            </w:tcBorders>
            <w:shd w:val="clear" w:color="auto" w:fill="auto"/>
            <w:vAlign w:val="center"/>
          </w:tcPr>
          <w:p w14:paraId="36B543D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提供产业发展总览、地区产业评价（包括经济效益、经营主体）、产业发展质量。</w:t>
            </w:r>
          </w:p>
        </w:tc>
      </w:tr>
      <w:tr w14:paraId="24FDF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3855C71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BA6E35A">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6541AC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区域对标</w:t>
            </w:r>
          </w:p>
        </w:tc>
        <w:tc>
          <w:tcPr>
            <w:tcW w:w="4737" w:type="dxa"/>
            <w:tcBorders>
              <w:tl2br w:val="nil"/>
              <w:tr2bl w:val="nil"/>
            </w:tcBorders>
            <w:shd w:val="clear" w:color="auto" w:fill="auto"/>
            <w:vAlign w:val="center"/>
          </w:tcPr>
          <w:p w14:paraId="76BD820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提供发展对标、产业对标、政策对标。</w:t>
            </w:r>
          </w:p>
        </w:tc>
      </w:tr>
      <w:tr w14:paraId="55628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5841975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F398D76">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03C6E5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产业运行报告</w:t>
            </w:r>
          </w:p>
        </w:tc>
        <w:tc>
          <w:tcPr>
            <w:tcW w:w="4737" w:type="dxa"/>
            <w:tcBorders>
              <w:tl2br w:val="nil"/>
              <w:tr2bl w:val="nil"/>
            </w:tcBorders>
            <w:shd w:val="clear" w:color="auto" w:fill="auto"/>
            <w:vAlign w:val="center"/>
          </w:tcPr>
          <w:p w14:paraId="35BB1D9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提供地区产业发展运行报告、细分产业发展运行报告、重点企业发展报告。</w:t>
            </w:r>
          </w:p>
        </w:tc>
      </w:tr>
      <w:tr w14:paraId="1EAD6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1589607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DCB7825">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6A3BFE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产业动态</w:t>
            </w:r>
          </w:p>
        </w:tc>
        <w:tc>
          <w:tcPr>
            <w:tcW w:w="4737" w:type="dxa"/>
            <w:tcBorders>
              <w:tl2br w:val="nil"/>
              <w:tr2bl w:val="nil"/>
            </w:tcBorders>
            <w:shd w:val="clear" w:color="auto" w:fill="auto"/>
            <w:vAlign w:val="center"/>
          </w:tcPr>
          <w:p w14:paraId="58B58AA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提供进博会产业动态、上海市重点发展产业动态。</w:t>
            </w:r>
          </w:p>
        </w:tc>
      </w:tr>
      <w:tr w14:paraId="57C6D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3595526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225EFA9">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88CDD3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产业政策</w:t>
            </w:r>
          </w:p>
        </w:tc>
        <w:tc>
          <w:tcPr>
            <w:tcW w:w="4737" w:type="dxa"/>
            <w:tcBorders>
              <w:tl2br w:val="nil"/>
              <w:tr2bl w:val="nil"/>
            </w:tcBorders>
            <w:shd w:val="clear" w:color="auto" w:fill="auto"/>
            <w:vAlign w:val="center"/>
          </w:tcPr>
          <w:p w14:paraId="7B9322C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提供政策预警（包括重点政策动态预警、重点政策影响预判）、政策链发展监测（包括区域切换、产业环节分布、政策分布排名）。</w:t>
            </w:r>
          </w:p>
        </w:tc>
      </w:tr>
      <w:tr w14:paraId="322F3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67875A4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0851807">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43A0E6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政策对标</w:t>
            </w:r>
          </w:p>
        </w:tc>
        <w:tc>
          <w:tcPr>
            <w:tcW w:w="4737" w:type="dxa"/>
            <w:tcBorders>
              <w:tl2br w:val="nil"/>
              <w:tr2bl w:val="nil"/>
            </w:tcBorders>
            <w:shd w:val="clear" w:color="auto" w:fill="auto"/>
            <w:vAlign w:val="center"/>
          </w:tcPr>
          <w:p w14:paraId="76C7152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支持针对不同区域的政策进行对比分析。</w:t>
            </w:r>
          </w:p>
        </w:tc>
      </w:tr>
      <w:tr w14:paraId="1046C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5" w:hRule="atLeast"/>
        </w:trPr>
        <w:tc>
          <w:tcPr>
            <w:tcW w:w="0" w:type="auto"/>
            <w:vMerge w:val="continue"/>
            <w:tcBorders>
              <w:tl2br w:val="nil"/>
              <w:tr2bl w:val="nil"/>
            </w:tcBorders>
            <w:shd w:val="clear" w:color="auto" w:fill="auto"/>
            <w:vAlign w:val="center"/>
          </w:tcPr>
          <w:p w14:paraId="71CFF215">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34B6BAB">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DA388C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关注企业</w:t>
            </w:r>
          </w:p>
        </w:tc>
        <w:tc>
          <w:tcPr>
            <w:tcW w:w="4737" w:type="dxa"/>
            <w:tcBorders>
              <w:tl2br w:val="nil"/>
              <w:tr2bl w:val="nil"/>
            </w:tcBorders>
            <w:shd w:val="clear" w:color="auto" w:fill="auto"/>
            <w:vAlign w:val="center"/>
          </w:tcPr>
          <w:p w14:paraId="33A8E11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支持用户对感兴趣的企业关注和监测。</w:t>
            </w:r>
          </w:p>
        </w:tc>
      </w:tr>
      <w:tr w14:paraId="73D50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4132856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E60E946">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961E75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产业标签管理</w:t>
            </w:r>
          </w:p>
        </w:tc>
        <w:tc>
          <w:tcPr>
            <w:tcW w:w="4737" w:type="dxa"/>
            <w:tcBorders>
              <w:tl2br w:val="nil"/>
              <w:tr2bl w:val="nil"/>
            </w:tcBorders>
            <w:shd w:val="clear" w:color="auto" w:fill="auto"/>
            <w:vAlign w:val="center"/>
          </w:tcPr>
          <w:p w14:paraId="438AF5B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提供标签列表、模型打标（包括标签规则、样本、黑白名单、标签审核、关联规则）、标签回收管理。</w:t>
            </w:r>
          </w:p>
        </w:tc>
      </w:tr>
      <w:tr w14:paraId="43AA3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185A6EF1">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7191D98">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C04DD1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产业分组管理</w:t>
            </w:r>
          </w:p>
        </w:tc>
        <w:tc>
          <w:tcPr>
            <w:tcW w:w="4737" w:type="dxa"/>
            <w:tcBorders>
              <w:tl2br w:val="nil"/>
              <w:tr2bl w:val="nil"/>
            </w:tcBorders>
            <w:shd w:val="clear" w:color="auto" w:fill="auto"/>
            <w:vAlign w:val="center"/>
          </w:tcPr>
          <w:p w14:paraId="6BDDFC3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支持对产业进行有效的分类和组织管理。</w:t>
            </w:r>
          </w:p>
        </w:tc>
      </w:tr>
      <w:tr w14:paraId="7F569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0FEE49A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BB42989">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F32464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应用数据库</w:t>
            </w:r>
          </w:p>
        </w:tc>
        <w:tc>
          <w:tcPr>
            <w:tcW w:w="4737" w:type="dxa"/>
            <w:tcBorders>
              <w:tl2br w:val="nil"/>
              <w:tr2bl w:val="nil"/>
            </w:tcBorders>
            <w:shd w:val="clear" w:color="auto" w:fill="auto"/>
            <w:vAlign w:val="center"/>
          </w:tcPr>
          <w:p w14:paraId="3AACC7D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提供企业信息库（包括企业基础信息、工商信息、产业信息、供应链信息、专利信息、资本与资产、许可/资质与荣誉、纳税/参保与缴费、生产经营、行政执法、司法信息及信用评价）、产业政策库、舆 情动态库。</w:t>
            </w:r>
          </w:p>
        </w:tc>
      </w:tr>
      <w:tr w14:paraId="40D32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5CC67F6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37599E8">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75AB90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标签数据库</w:t>
            </w:r>
          </w:p>
        </w:tc>
        <w:tc>
          <w:tcPr>
            <w:tcW w:w="4737" w:type="dxa"/>
            <w:tcBorders>
              <w:tl2br w:val="nil"/>
              <w:tr2bl w:val="nil"/>
            </w:tcBorders>
            <w:shd w:val="clear" w:color="auto" w:fill="auto"/>
            <w:vAlign w:val="center"/>
          </w:tcPr>
          <w:p w14:paraId="70220F3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提供产业标签库、企业标签库、政策标签库。</w:t>
            </w:r>
          </w:p>
        </w:tc>
      </w:tr>
      <w:tr w14:paraId="292FC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5BCCA4B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9C3C4A8">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2EE0D9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算法模型库</w:t>
            </w:r>
          </w:p>
        </w:tc>
        <w:tc>
          <w:tcPr>
            <w:tcW w:w="4737" w:type="dxa"/>
            <w:tcBorders>
              <w:tl2br w:val="nil"/>
              <w:tr2bl w:val="nil"/>
            </w:tcBorders>
            <w:shd w:val="clear" w:color="auto" w:fill="auto"/>
            <w:vAlign w:val="center"/>
          </w:tcPr>
          <w:p w14:paraId="2747FE5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提供企业投资意愿模型、区域招引概率模型、企业价值评估模型、企业触达路径模型、政策智能匹配模型。</w:t>
            </w:r>
          </w:p>
        </w:tc>
      </w:tr>
      <w:tr w14:paraId="4C540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7F47B902">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6F76199A">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进博会溢出效应分析</w:t>
            </w:r>
          </w:p>
        </w:tc>
        <w:tc>
          <w:tcPr>
            <w:tcW w:w="1584" w:type="dxa"/>
            <w:tcBorders>
              <w:tl2br w:val="nil"/>
              <w:tr2bl w:val="nil"/>
            </w:tcBorders>
            <w:shd w:val="clear" w:color="auto" w:fill="auto"/>
            <w:vAlign w:val="center"/>
          </w:tcPr>
          <w:p w14:paraId="654D3A8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历届进博会数据展示分析</w:t>
            </w:r>
          </w:p>
        </w:tc>
        <w:tc>
          <w:tcPr>
            <w:tcW w:w="4737" w:type="dxa"/>
            <w:tcBorders>
              <w:tl2br w:val="nil"/>
              <w:tr2bl w:val="nil"/>
            </w:tcBorders>
            <w:shd w:val="clear" w:color="auto" w:fill="auto"/>
            <w:vAlign w:val="center"/>
          </w:tcPr>
          <w:p w14:paraId="09E84ED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集成历届进博会展会的数据源，将各种数据融合汇总，通过清晰的数据展示和深入的分析，提供一站式的数据展示界面。</w:t>
            </w:r>
          </w:p>
        </w:tc>
      </w:tr>
      <w:tr w14:paraId="798E9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6E5A6A7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23F8A0F">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C8AA1A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进博会溢出全景数据分析</w:t>
            </w:r>
          </w:p>
        </w:tc>
        <w:tc>
          <w:tcPr>
            <w:tcW w:w="4737" w:type="dxa"/>
            <w:tcBorders>
              <w:tl2br w:val="nil"/>
              <w:tr2bl w:val="nil"/>
            </w:tcBorders>
            <w:shd w:val="clear" w:color="auto" w:fill="auto"/>
            <w:vAlign w:val="center"/>
          </w:tcPr>
          <w:p w14:paraId="2096F73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对历届进博会的参展企业数据进行归集、治理和结构化，提供对参展企业的全面分析洞察。</w:t>
            </w:r>
          </w:p>
        </w:tc>
      </w:tr>
      <w:tr w14:paraId="15BF2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85" w:hRule="atLeast"/>
        </w:trPr>
        <w:tc>
          <w:tcPr>
            <w:tcW w:w="0" w:type="auto"/>
            <w:vMerge w:val="continue"/>
            <w:tcBorders>
              <w:tl2br w:val="nil"/>
              <w:tr2bl w:val="nil"/>
            </w:tcBorders>
            <w:shd w:val="clear" w:color="auto" w:fill="auto"/>
            <w:vAlign w:val="center"/>
          </w:tcPr>
          <w:p w14:paraId="760169B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001028C3">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16E6A4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进博会溢出领域分析</w:t>
            </w:r>
          </w:p>
        </w:tc>
        <w:tc>
          <w:tcPr>
            <w:tcW w:w="4737" w:type="dxa"/>
            <w:tcBorders>
              <w:tl2br w:val="nil"/>
              <w:tr2bl w:val="nil"/>
            </w:tcBorders>
            <w:shd w:val="clear" w:color="auto" w:fill="auto"/>
            <w:vAlign w:val="center"/>
          </w:tcPr>
          <w:p w14:paraId="0876955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会区域溢出分析、进博会区域溢出分析数据统计模型、提供海外商品与交易分析、新消费品的产生分析、进博会消费溢出分析数据统计模型、提供新设投资情况分析、增资扩股情况分析、参股情况分析、进博会投资溢出分析数据统计模型、提供专利、软件著作权、科创型企业、进博会创新溢出分析数据统计模型、提供对外资招商的政策溢出、针对产业的政策溢出、针对创新的政策溢出、进博政策有效性分析模型。</w:t>
            </w:r>
          </w:p>
        </w:tc>
      </w:tr>
      <w:tr w14:paraId="02807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15" w:hRule="atLeast"/>
        </w:trPr>
        <w:tc>
          <w:tcPr>
            <w:tcW w:w="0" w:type="auto"/>
            <w:vMerge w:val="continue"/>
            <w:tcBorders>
              <w:tl2br w:val="nil"/>
              <w:tr2bl w:val="nil"/>
            </w:tcBorders>
            <w:shd w:val="clear" w:color="auto" w:fill="auto"/>
            <w:vAlign w:val="center"/>
          </w:tcPr>
          <w:p w14:paraId="40E3F6EB">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9CBDB36">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638B5C0">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进博会溢出重点分析</w:t>
            </w:r>
          </w:p>
        </w:tc>
        <w:tc>
          <w:tcPr>
            <w:tcW w:w="4737" w:type="dxa"/>
            <w:tcBorders>
              <w:tl2br w:val="nil"/>
              <w:tr2bl w:val="nil"/>
            </w:tcBorders>
            <w:shd w:val="clear" w:color="auto" w:fill="auto"/>
            <w:vAlign w:val="center"/>
          </w:tcPr>
          <w:p w14:paraId="1D4FA09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会三大先导产业溢出分析、进博会六大支柱产业溢出分析、进博会四大新赛道产业溢出分析、进博会五大未来产业溢出分析；提供进博会对上海市整体的溢出效应的分析；提供进博会对虹桥商务区、中国（上海）自由贸易试验区临港新片区、53个特色园区、张江片区的溢出效应分析；支持对进博会参展企业，开展重点标签统计分析，对参展及辐射企业进行分类和标记。</w:t>
            </w:r>
          </w:p>
        </w:tc>
      </w:tr>
      <w:tr w14:paraId="0A061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continue"/>
            <w:tcBorders>
              <w:tl2br w:val="nil"/>
              <w:tr2bl w:val="nil"/>
            </w:tcBorders>
            <w:shd w:val="clear" w:color="auto" w:fill="auto"/>
            <w:vAlign w:val="center"/>
          </w:tcPr>
          <w:p w14:paraId="5FCF8111">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F901430">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77992A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研究报告</w:t>
            </w:r>
          </w:p>
        </w:tc>
        <w:tc>
          <w:tcPr>
            <w:tcW w:w="4737" w:type="dxa"/>
            <w:tcBorders>
              <w:tl2br w:val="nil"/>
              <w:tr2bl w:val="nil"/>
            </w:tcBorders>
            <w:shd w:val="clear" w:color="auto" w:fill="auto"/>
            <w:vAlign w:val="center"/>
          </w:tcPr>
          <w:p w14:paraId="5319F40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会食品及农产品产业链研究报告、进博会汽车产业链研究报告、进博会技术装备产业链研究报告、进博会消费品产业链研究报告、进博会医疗器械及医药保健产业链研究报告、进博会服务贸易产业链研究报告。</w:t>
            </w:r>
          </w:p>
        </w:tc>
      </w:tr>
      <w:tr w14:paraId="38FB8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34C0F65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930C242">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8606D3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溢出数据入库</w:t>
            </w:r>
          </w:p>
        </w:tc>
        <w:tc>
          <w:tcPr>
            <w:tcW w:w="4737" w:type="dxa"/>
            <w:tcBorders>
              <w:tl2br w:val="nil"/>
              <w:tr2bl w:val="nil"/>
            </w:tcBorders>
            <w:shd w:val="clear" w:color="auto" w:fill="auto"/>
            <w:vAlign w:val="center"/>
          </w:tcPr>
          <w:p w14:paraId="088D0FE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提供溢出数据源管理、溢出数据批量入库、异构溢出数据入库、溢出数据链路告警规则管理、溢出数据链路监控总览、溢出数据链路实时监控、溢出数据链路监控日志、文件比对。</w:t>
            </w:r>
          </w:p>
        </w:tc>
      </w:tr>
      <w:tr w14:paraId="41D8B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2E34AA50">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870603A">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C9FA1D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溢出元数据管理</w:t>
            </w:r>
          </w:p>
        </w:tc>
        <w:tc>
          <w:tcPr>
            <w:tcW w:w="4737" w:type="dxa"/>
            <w:tcBorders>
              <w:tl2br w:val="nil"/>
              <w:tr2bl w:val="nil"/>
            </w:tcBorders>
            <w:shd w:val="clear" w:color="auto" w:fill="auto"/>
            <w:vAlign w:val="center"/>
          </w:tcPr>
          <w:p w14:paraId="63FA294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提供溢出元数据采集、溢出元数据资料库、溢出元数据核验、资产地图、溢出数据资源台账。</w:t>
            </w:r>
          </w:p>
        </w:tc>
      </w:tr>
      <w:tr w14:paraId="5843C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25" w:hRule="atLeast"/>
        </w:trPr>
        <w:tc>
          <w:tcPr>
            <w:tcW w:w="0" w:type="auto"/>
            <w:vMerge w:val="continue"/>
            <w:tcBorders>
              <w:tl2br w:val="nil"/>
              <w:tr2bl w:val="nil"/>
            </w:tcBorders>
            <w:shd w:val="clear" w:color="auto" w:fill="auto"/>
            <w:vAlign w:val="center"/>
          </w:tcPr>
          <w:p w14:paraId="5FADA1F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78A3C75">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A3F277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溢出数据标准管理</w:t>
            </w:r>
          </w:p>
        </w:tc>
        <w:tc>
          <w:tcPr>
            <w:tcW w:w="4737" w:type="dxa"/>
            <w:tcBorders>
              <w:tl2br w:val="nil"/>
              <w:tr2bl w:val="nil"/>
            </w:tcBorders>
            <w:shd w:val="clear" w:color="auto" w:fill="auto"/>
            <w:vAlign w:val="center"/>
          </w:tcPr>
          <w:p w14:paraId="46D2844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提供标准文件、术语标准管理、计量单位标准、代码标准管理、数据元（字段）标准、数据项（表）标准管理。</w:t>
            </w:r>
          </w:p>
        </w:tc>
      </w:tr>
      <w:tr w14:paraId="33DCA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1482B72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6D2D041">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74923D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溢出数据调度管理</w:t>
            </w:r>
          </w:p>
        </w:tc>
        <w:tc>
          <w:tcPr>
            <w:tcW w:w="4737" w:type="dxa"/>
            <w:tcBorders>
              <w:tl2br w:val="nil"/>
              <w:tr2bl w:val="nil"/>
            </w:tcBorders>
            <w:shd w:val="clear" w:color="auto" w:fill="auto"/>
            <w:vAlign w:val="center"/>
          </w:tcPr>
          <w:p w14:paraId="4AACBE3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提供溢出数据调度工作流、运行监控、调度日志。</w:t>
            </w:r>
          </w:p>
        </w:tc>
      </w:tr>
      <w:tr w14:paraId="0314A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7EB37FF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409989A3">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637B4B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溢出数据资源管理</w:t>
            </w:r>
          </w:p>
        </w:tc>
        <w:tc>
          <w:tcPr>
            <w:tcW w:w="4737" w:type="dxa"/>
            <w:tcBorders>
              <w:tl2br w:val="nil"/>
              <w:tr2bl w:val="nil"/>
            </w:tcBorders>
            <w:shd w:val="clear" w:color="auto" w:fill="auto"/>
            <w:vAlign w:val="center"/>
          </w:tcPr>
          <w:p w14:paraId="25AFE63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提供主题管理、模型管理、资源展示。</w:t>
            </w:r>
          </w:p>
        </w:tc>
      </w:tr>
      <w:tr w14:paraId="5A65C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1A95AE21">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2EFA74C">
            <w:pPr>
              <w:ind w:firstLine="420"/>
              <w:jc w:val="center"/>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2B0EA9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溢出数据质量管理</w:t>
            </w:r>
          </w:p>
        </w:tc>
        <w:tc>
          <w:tcPr>
            <w:tcW w:w="4737" w:type="dxa"/>
            <w:tcBorders>
              <w:tl2br w:val="nil"/>
              <w:tr2bl w:val="nil"/>
            </w:tcBorders>
            <w:shd w:val="clear" w:color="auto" w:fill="auto"/>
            <w:vAlign w:val="center"/>
          </w:tcPr>
          <w:p w14:paraId="1F74005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提供质量规则库、质量检测任务、质量检测告警规则、质量检测告警历史。</w:t>
            </w:r>
          </w:p>
        </w:tc>
      </w:tr>
      <w:tr w14:paraId="55A72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restart"/>
            <w:tcBorders>
              <w:tl2br w:val="nil"/>
              <w:tr2bl w:val="nil"/>
            </w:tcBorders>
            <w:shd w:val="clear" w:color="auto" w:fill="auto"/>
            <w:vAlign w:val="center"/>
          </w:tcPr>
          <w:p w14:paraId="68FDC9DA">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进博会区块链应用场景</w:t>
            </w:r>
          </w:p>
        </w:tc>
        <w:tc>
          <w:tcPr>
            <w:tcW w:w="0" w:type="auto"/>
            <w:vMerge w:val="restart"/>
            <w:tcBorders>
              <w:tl2br w:val="nil"/>
              <w:tr2bl w:val="nil"/>
            </w:tcBorders>
            <w:shd w:val="clear" w:color="auto" w:fill="auto"/>
            <w:vAlign w:val="center"/>
          </w:tcPr>
          <w:p w14:paraId="3DA6138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进博会重要数据上链</w:t>
            </w:r>
          </w:p>
        </w:tc>
        <w:tc>
          <w:tcPr>
            <w:tcW w:w="1584" w:type="dxa"/>
            <w:tcBorders>
              <w:tl2br w:val="nil"/>
              <w:tr2bl w:val="nil"/>
            </w:tcBorders>
            <w:shd w:val="clear" w:color="auto" w:fill="auto"/>
            <w:vAlign w:val="center"/>
          </w:tcPr>
          <w:p w14:paraId="47295F9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参展企业数据采集</w:t>
            </w:r>
          </w:p>
        </w:tc>
        <w:tc>
          <w:tcPr>
            <w:tcW w:w="4737" w:type="dxa"/>
            <w:tcBorders>
              <w:tl2br w:val="nil"/>
              <w:tr2bl w:val="nil"/>
            </w:tcBorders>
            <w:shd w:val="clear" w:color="auto" w:fill="auto"/>
            <w:vAlign w:val="center"/>
          </w:tcPr>
          <w:p w14:paraId="1FBFC49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提供历届参展企业数据采集。</w:t>
            </w:r>
          </w:p>
        </w:tc>
      </w:tr>
      <w:tr w14:paraId="49029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295A3A26">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11D3F74">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2C8E05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数据采集准备</w:t>
            </w:r>
          </w:p>
        </w:tc>
        <w:tc>
          <w:tcPr>
            <w:tcW w:w="4737" w:type="dxa"/>
            <w:tcBorders>
              <w:tl2br w:val="nil"/>
              <w:tr2bl w:val="nil"/>
            </w:tcBorders>
            <w:shd w:val="clear" w:color="auto" w:fill="auto"/>
            <w:vAlign w:val="center"/>
          </w:tcPr>
          <w:p w14:paraId="56C6590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提供参展企业数据清洗，参展企业与国内投资企业建立关联。</w:t>
            </w:r>
          </w:p>
        </w:tc>
      </w:tr>
      <w:tr w14:paraId="0D791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5" w:hRule="atLeast"/>
        </w:trPr>
        <w:tc>
          <w:tcPr>
            <w:tcW w:w="0" w:type="auto"/>
            <w:vMerge w:val="continue"/>
            <w:tcBorders>
              <w:tl2br w:val="nil"/>
              <w:tr2bl w:val="nil"/>
            </w:tcBorders>
            <w:shd w:val="clear" w:color="auto" w:fill="auto"/>
            <w:vAlign w:val="center"/>
          </w:tcPr>
          <w:p w14:paraId="2E25635E">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2037F8A">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7FB978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工商基础信息采集</w:t>
            </w:r>
          </w:p>
        </w:tc>
        <w:tc>
          <w:tcPr>
            <w:tcW w:w="4737" w:type="dxa"/>
            <w:tcBorders>
              <w:tl2br w:val="nil"/>
              <w:tr2bl w:val="nil"/>
            </w:tcBorders>
            <w:shd w:val="clear" w:color="auto" w:fill="auto"/>
            <w:vAlign w:val="center"/>
          </w:tcPr>
          <w:p w14:paraId="510B556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参展企业国内投资企业的基本信息、企业行业信息、企业股东信息、企业对外投资、企业主要人员、企业分支机构、企业地址、邮箱、电话、企业社保信息、企业年报、企业历史记录（迁移信息、名称、法人、注册资本）、企业最优简介数据。</w:t>
            </w:r>
          </w:p>
        </w:tc>
      </w:tr>
      <w:tr w14:paraId="4378B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445" w:hRule="atLeast"/>
        </w:trPr>
        <w:tc>
          <w:tcPr>
            <w:tcW w:w="0" w:type="auto"/>
            <w:vMerge w:val="continue"/>
            <w:tcBorders>
              <w:tl2br w:val="nil"/>
              <w:tr2bl w:val="nil"/>
            </w:tcBorders>
            <w:shd w:val="clear" w:color="auto" w:fill="auto"/>
            <w:vAlign w:val="center"/>
          </w:tcPr>
          <w:p w14:paraId="3A937442">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242C3EC">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F67CF8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工商经营信息采集</w:t>
            </w:r>
          </w:p>
        </w:tc>
        <w:tc>
          <w:tcPr>
            <w:tcW w:w="4737" w:type="dxa"/>
            <w:tcBorders>
              <w:tl2br w:val="nil"/>
              <w:tr2bl w:val="nil"/>
            </w:tcBorders>
            <w:shd w:val="clear" w:color="auto" w:fill="auto"/>
            <w:vAlign w:val="center"/>
          </w:tcPr>
          <w:p w14:paraId="4F8CCDD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参展企业国内投资企业的行政许可（工商公示）、行政处罚（多源）、环保处罚数据、经营异常（工商公示）、知识产权出质（工商公示）、动产抵押（工商公示）、股权出质（工商公示）、股权冻结（工商公示）、抽查检查、双随机抽查（工商公示）、严重违法（工商公示）、简易注销公告、注销备案公告（工商公示）。</w:t>
            </w:r>
          </w:p>
        </w:tc>
      </w:tr>
      <w:tr w14:paraId="27103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65" w:hRule="atLeast"/>
        </w:trPr>
        <w:tc>
          <w:tcPr>
            <w:tcW w:w="0" w:type="auto"/>
            <w:vMerge w:val="continue"/>
            <w:tcBorders>
              <w:tl2br w:val="nil"/>
              <w:tr2bl w:val="nil"/>
            </w:tcBorders>
            <w:shd w:val="clear" w:color="auto" w:fill="auto"/>
            <w:vAlign w:val="center"/>
          </w:tcPr>
          <w:p w14:paraId="1F8D43C4">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BF503F9">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86117F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企业司法诉讼采集</w:t>
            </w:r>
          </w:p>
        </w:tc>
        <w:tc>
          <w:tcPr>
            <w:tcW w:w="4737" w:type="dxa"/>
            <w:tcBorders>
              <w:tl2br w:val="nil"/>
              <w:tr2bl w:val="nil"/>
            </w:tcBorders>
            <w:shd w:val="clear" w:color="auto" w:fill="auto"/>
            <w:vAlign w:val="center"/>
          </w:tcPr>
          <w:p w14:paraId="4FF8244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提供裁判文书关系数据、开庭公告、法院公告、立案信息、司法拍卖、失信被执行企业、被执行企业、限制高消费、终本案件、破产案件、破产案件关联公告数据。</w:t>
            </w:r>
          </w:p>
        </w:tc>
      </w:tr>
      <w:tr w14:paraId="5BD63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6C33FE7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C5BE489">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668810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企业招投标采集</w:t>
            </w:r>
          </w:p>
        </w:tc>
        <w:tc>
          <w:tcPr>
            <w:tcW w:w="4737" w:type="dxa"/>
            <w:tcBorders>
              <w:tl2br w:val="nil"/>
              <w:tr2bl w:val="nil"/>
            </w:tcBorders>
            <w:shd w:val="clear" w:color="auto" w:fill="auto"/>
            <w:vAlign w:val="center"/>
          </w:tcPr>
          <w:p w14:paraId="5F9AB38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提供招投标信息、招投标正文、招投标关系。</w:t>
            </w:r>
          </w:p>
        </w:tc>
      </w:tr>
      <w:tr w14:paraId="1394E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24415A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70B50C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2021C6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企业税务信息采集</w:t>
            </w:r>
          </w:p>
        </w:tc>
        <w:tc>
          <w:tcPr>
            <w:tcW w:w="4737" w:type="dxa"/>
            <w:tcBorders>
              <w:tl2br w:val="nil"/>
              <w:tr2bl w:val="nil"/>
            </w:tcBorders>
            <w:shd w:val="clear" w:color="auto" w:fill="auto"/>
            <w:vAlign w:val="center"/>
          </w:tcPr>
          <w:p w14:paraId="1862565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提供非正常户、欠税信息、重大税收违法、一般纳税人、纳税A级。</w:t>
            </w:r>
          </w:p>
        </w:tc>
      </w:tr>
      <w:tr w14:paraId="52A81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382A34E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1A1699E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5DDF41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企业知识产权采集</w:t>
            </w:r>
          </w:p>
        </w:tc>
        <w:tc>
          <w:tcPr>
            <w:tcW w:w="4737" w:type="dxa"/>
            <w:tcBorders>
              <w:tl2br w:val="nil"/>
              <w:tr2bl w:val="nil"/>
            </w:tcBorders>
            <w:shd w:val="clear" w:color="auto" w:fill="auto"/>
            <w:vAlign w:val="center"/>
          </w:tcPr>
          <w:p w14:paraId="4CFD34F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提供专利信息、著作权/软件著作权、商标企业查询数据、商标公告数据、商标信息、流程数据、商标商品服务数据、域名信息、资质证书。</w:t>
            </w:r>
          </w:p>
        </w:tc>
      </w:tr>
      <w:tr w14:paraId="0907A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9" w:hRule="atLeast"/>
        </w:trPr>
        <w:tc>
          <w:tcPr>
            <w:tcW w:w="0" w:type="auto"/>
            <w:vMerge w:val="continue"/>
            <w:tcBorders>
              <w:tl2br w:val="nil"/>
              <w:tr2bl w:val="nil"/>
            </w:tcBorders>
            <w:shd w:val="clear" w:color="auto" w:fill="auto"/>
            <w:vAlign w:val="center"/>
          </w:tcPr>
          <w:p w14:paraId="25B41B6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6E46B56A">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95680E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企业创投信息采集</w:t>
            </w:r>
          </w:p>
        </w:tc>
        <w:tc>
          <w:tcPr>
            <w:tcW w:w="4737" w:type="dxa"/>
            <w:tcBorders>
              <w:tl2br w:val="nil"/>
              <w:tr2bl w:val="nil"/>
            </w:tcBorders>
            <w:shd w:val="clear" w:color="auto" w:fill="auto"/>
            <w:vAlign w:val="center"/>
          </w:tcPr>
          <w:p w14:paraId="671FEBD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提供公司项目基本数据、公司产品数据、公司竞争对手数据、公司融资信息数据、项目成员数据、投资机构基本信息数据、投资机构投资事件数据、项目标签数据。</w:t>
            </w:r>
          </w:p>
        </w:tc>
      </w:tr>
      <w:tr w14:paraId="7D31A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73A4F19C">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3A986F3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0BD435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企业经营信息采集</w:t>
            </w:r>
          </w:p>
        </w:tc>
        <w:tc>
          <w:tcPr>
            <w:tcW w:w="4737" w:type="dxa"/>
            <w:tcBorders>
              <w:tl2br w:val="nil"/>
              <w:tr2bl w:val="nil"/>
            </w:tcBorders>
            <w:shd w:val="clear" w:color="auto" w:fill="auto"/>
            <w:vAlign w:val="center"/>
          </w:tcPr>
          <w:p w14:paraId="7279F4C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提供招聘信息、购地数据、海关登记信息。</w:t>
            </w:r>
          </w:p>
        </w:tc>
      </w:tr>
      <w:tr w14:paraId="2EC1B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481C94B9">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73730DC1">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2E0749A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新闻舆 情采集</w:t>
            </w:r>
          </w:p>
        </w:tc>
        <w:tc>
          <w:tcPr>
            <w:tcW w:w="4737" w:type="dxa"/>
            <w:tcBorders>
              <w:tl2br w:val="nil"/>
              <w:tr2bl w:val="nil"/>
            </w:tcBorders>
            <w:shd w:val="clear" w:color="auto" w:fill="auto"/>
            <w:vAlign w:val="center"/>
          </w:tcPr>
          <w:p w14:paraId="1821A66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提供企业舆 情数据、舆 情信息挖掘数据、舆 情正文数据。</w:t>
            </w:r>
          </w:p>
        </w:tc>
      </w:tr>
      <w:tr w14:paraId="210FD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C4568F8">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FFF0714">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4CF5AD5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企业产业数据采集</w:t>
            </w:r>
          </w:p>
        </w:tc>
        <w:tc>
          <w:tcPr>
            <w:tcW w:w="4737" w:type="dxa"/>
            <w:tcBorders>
              <w:tl2br w:val="nil"/>
              <w:tr2bl w:val="nil"/>
            </w:tcBorders>
            <w:shd w:val="clear" w:color="auto" w:fill="auto"/>
            <w:vAlign w:val="center"/>
          </w:tcPr>
          <w:p w14:paraId="06421602">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提供产业链基本信息、产业链详细信息、企业供应链详情。</w:t>
            </w:r>
          </w:p>
        </w:tc>
      </w:tr>
      <w:tr w14:paraId="517DF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3FFB2B78">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C81A8BE">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1D2239CF">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参展企业数据查询</w:t>
            </w:r>
          </w:p>
        </w:tc>
        <w:tc>
          <w:tcPr>
            <w:tcW w:w="4737" w:type="dxa"/>
            <w:tcBorders>
              <w:tl2br w:val="nil"/>
              <w:tr2bl w:val="nil"/>
            </w:tcBorders>
            <w:shd w:val="clear" w:color="auto" w:fill="auto"/>
            <w:vAlign w:val="center"/>
          </w:tcPr>
          <w:p w14:paraId="2041409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提供进博参展企业搜索、进博参展企业列表、进博参展企业画像。</w:t>
            </w:r>
          </w:p>
        </w:tc>
      </w:tr>
      <w:tr w14:paraId="4EDC2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095" w:hRule="atLeast"/>
        </w:trPr>
        <w:tc>
          <w:tcPr>
            <w:tcW w:w="0" w:type="auto"/>
            <w:vMerge w:val="continue"/>
            <w:tcBorders>
              <w:tl2br w:val="nil"/>
              <w:tr2bl w:val="nil"/>
            </w:tcBorders>
            <w:shd w:val="clear" w:color="auto" w:fill="auto"/>
            <w:vAlign w:val="center"/>
          </w:tcPr>
          <w:p w14:paraId="02C8459C">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67CB6B0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进博会电子证件</w:t>
            </w:r>
          </w:p>
        </w:tc>
        <w:tc>
          <w:tcPr>
            <w:tcW w:w="1584" w:type="dxa"/>
            <w:tcBorders>
              <w:tl2br w:val="nil"/>
              <w:tr2bl w:val="nil"/>
            </w:tcBorders>
            <w:shd w:val="clear" w:color="auto" w:fill="auto"/>
            <w:vAlign w:val="center"/>
          </w:tcPr>
          <w:p w14:paraId="5D8FAD9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电子证件管理</w:t>
            </w:r>
          </w:p>
        </w:tc>
        <w:tc>
          <w:tcPr>
            <w:tcW w:w="4737" w:type="dxa"/>
            <w:tcBorders>
              <w:tl2br w:val="nil"/>
              <w:tr2bl w:val="nil"/>
            </w:tcBorders>
            <w:shd w:val="clear" w:color="auto" w:fill="auto"/>
            <w:vAlign w:val="center"/>
          </w:tcPr>
          <w:p w14:paraId="13DCA2E7">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提供电子证件申请、电子证件审批、电子证件数据上链、电子证件亮证、电子证件数据用链、电子证件预警提醒、电子证件数据核验（闸机）。</w:t>
            </w:r>
          </w:p>
        </w:tc>
      </w:tr>
      <w:tr w14:paraId="28EBF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41CBECA7">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53FDA02E">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6213A3C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电子证件上链</w:t>
            </w:r>
          </w:p>
        </w:tc>
        <w:tc>
          <w:tcPr>
            <w:tcW w:w="4737" w:type="dxa"/>
            <w:tcBorders>
              <w:tl2br w:val="nil"/>
              <w:tr2bl w:val="nil"/>
            </w:tcBorders>
            <w:shd w:val="clear" w:color="auto" w:fill="auto"/>
            <w:vAlign w:val="center"/>
          </w:tcPr>
          <w:p w14:paraId="357D1955">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提供一屏观链、智能合约、链数稽核SDK、数据上链、用链日志查询。</w:t>
            </w:r>
          </w:p>
        </w:tc>
      </w:tr>
      <w:tr w14:paraId="210D5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4998C07F">
            <w:pPr>
              <w:ind w:firstLine="420"/>
              <w:jc w:val="center"/>
              <w:rPr>
                <w:rFonts w:asciiTheme="minorEastAsia" w:hAnsiTheme="minorEastAsia" w:eastAsiaTheme="minorEastAsia" w:cstheme="minorEastAsia"/>
                <w:color w:val="000000"/>
                <w:sz w:val="21"/>
                <w:szCs w:val="21"/>
              </w:rPr>
            </w:pPr>
          </w:p>
        </w:tc>
        <w:tc>
          <w:tcPr>
            <w:tcW w:w="0" w:type="auto"/>
            <w:vMerge w:val="restart"/>
            <w:tcBorders>
              <w:tl2br w:val="nil"/>
              <w:tr2bl w:val="nil"/>
            </w:tcBorders>
            <w:shd w:val="clear" w:color="auto" w:fill="auto"/>
            <w:vAlign w:val="center"/>
          </w:tcPr>
          <w:p w14:paraId="6D6BC32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进博会数字藏品</w:t>
            </w:r>
          </w:p>
        </w:tc>
        <w:tc>
          <w:tcPr>
            <w:tcW w:w="1584" w:type="dxa"/>
            <w:tcBorders>
              <w:tl2br w:val="nil"/>
              <w:tr2bl w:val="nil"/>
            </w:tcBorders>
            <w:shd w:val="clear" w:color="auto" w:fill="auto"/>
            <w:vAlign w:val="center"/>
          </w:tcPr>
          <w:p w14:paraId="47975D63">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藏品设计</w:t>
            </w:r>
          </w:p>
        </w:tc>
        <w:tc>
          <w:tcPr>
            <w:tcW w:w="4737" w:type="dxa"/>
            <w:tcBorders>
              <w:tl2br w:val="nil"/>
              <w:tr2bl w:val="nil"/>
            </w:tcBorders>
            <w:shd w:val="clear" w:color="auto" w:fill="auto"/>
            <w:vAlign w:val="center"/>
          </w:tcPr>
          <w:p w14:paraId="529DF1D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提供进博证件、进博吉祥物、四叶草展馆、东方明珠数字藏品设计。</w:t>
            </w:r>
          </w:p>
        </w:tc>
      </w:tr>
      <w:tr w14:paraId="587E2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28DCD47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0D81177">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312FE896">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藏品上链</w:t>
            </w:r>
          </w:p>
        </w:tc>
        <w:tc>
          <w:tcPr>
            <w:tcW w:w="4737" w:type="dxa"/>
            <w:tcBorders>
              <w:tl2br w:val="nil"/>
              <w:tr2bl w:val="nil"/>
            </w:tcBorders>
            <w:shd w:val="clear" w:color="auto" w:fill="auto"/>
            <w:vAlign w:val="center"/>
          </w:tcPr>
          <w:p w14:paraId="37971DA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提供智能合约、链数稽核SDK、数字藏品上链、数据上链、用链日志查询。</w:t>
            </w:r>
          </w:p>
        </w:tc>
      </w:tr>
      <w:tr w14:paraId="20B2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5DD0C85D">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79CE4C8">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5C1332A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藏品服务</w:t>
            </w:r>
          </w:p>
        </w:tc>
        <w:tc>
          <w:tcPr>
            <w:tcW w:w="4737" w:type="dxa"/>
            <w:tcBorders>
              <w:tl2br w:val="nil"/>
              <w:tr2bl w:val="nil"/>
            </w:tcBorders>
            <w:shd w:val="clear" w:color="auto" w:fill="auto"/>
            <w:vAlign w:val="center"/>
          </w:tcPr>
          <w:p w14:paraId="2C412584">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提供首页、藏品列表、藏品详情、收藏、我的订单。</w:t>
            </w:r>
          </w:p>
        </w:tc>
      </w:tr>
      <w:tr w14:paraId="462969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620BED93">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5C9E4C5">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C11B8C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交互应用</w:t>
            </w:r>
          </w:p>
        </w:tc>
        <w:tc>
          <w:tcPr>
            <w:tcW w:w="4737" w:type="dxa"/>
            <w:tcBorders>
              <w:tl2br w:val="nil"/>
              <w:tr2bl w:val="nil"/>
            </w:tcBorders>
            <w:shd w:val="clear" w:color="auto" w:fill="auto"/>
            <w:vAlign w:val="center"/>
          </w:tcPr>
          <w:p w14:paraId="739929A9">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提供品牌签到、打卡寻宝、知识竞答。</w:t>
            </w:r>
          </w:p>
        </w:tc>
      </w:tr>
      <w:tr w14:paraId="443E0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635" w:hRule="atLeast"/>
        </w:trPr>
        <w:tc>
          <w:tcPr>
            <w:tcW w:w="0" w:type="auto"/>
            <w:vMerge w:val="restart"/>
            <w:tcBorders>
              <w:tl2br w:val="nil"/>
              <w:tr2bl w:val="nil"/>
            </w:tcBorders>
            <w:shd w:val="clear" w:color="auto" w:fill="auto"/>
            <w:vAlign w:val="center"/>
          </w:tcPr>
          <w:p w14:paraId="2F693F77">
            <w:pPr>
              <w:widowControl/>
              <w:ind w:firstLine="0" w:firstLineChars="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进博会信息安全保障</w:t>
            </w:r>
          </w:p>
        </w:tc>
        <w:tc>
          <w:tcPr>
            <w:tcW w:w="0" w:type="auto"/>
            <w:vMerge w:val="restart"/>
            <w:tcBorders>
              <w:tl2br w:val="nil"/>
              <w:tr2bl w:val="nil"/>
            </w:tcBorders>
            <w:shd w:val="clear" w:color="auto" w:fill="auto"/>
            <w:vAlign w:val="center"/>
          </w:tcPr>
          <w:p w14:paraId="0EBAF3F1">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进博会内容安全保障</w:t>
            </w:r>
          </w:p>
        </w:tc>
        <w:tc>
          <w:tcPr>
            <w:tcW w:w="1584" w:type="dxa"/>
            <w:tcBorders>
              <w:tl2br w:val="nil"/>
              <w:tr2bl w:val="nil"/>
            </w:tcBorders>
            <w:shd w:val="clear" w:color="auto" w:fill="auto"/>
            <w:vAlign w:val="center"/>
          </w:tcPr>
          <w:p w14:paraId="35BA970D">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违禁词检测服务系统TDS</w:t>
            </w:r>
          </w:p>
        </w:tc>
        <w:tc>
          <w:tcPr>
            <w:tcW w:w="4737" w:type="dxa"/>
            <w:tcBorders>
              <w:tl2br w:val="nil"/>
              <w:tr2bl w:val="nil"/>
            </w:tcBorders>
            <w:shd w:val="clear" w:color="auto" w:fill="auto"/>
            <w:vAlign w:val="center"/>
          </w:tcPr>
          <w:p w14:paraId="216E9DBB">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数据统一接口（包括数据对接模块、接口日志模块）、检测中心（包括自定义词库管理模块、基础算法模块、内容后置检测模块、内容前置检测模块）、审核中心（包括批量修正模块、审核记录模块、监测预警模块）。</w:t>
            </w:r>
          </w:p>
        </w:tc>
      </w:tr>
      <w:tr w14:paraId="63995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55" w:hRule="atLeast"/>
        </w:trPr>
        <w:tc>
          <w:tcPr>
            <w:tcW w:w="0" w:type="auto"/>
            <w:vMerge w:val="continue"/>
            <w:tcBorders>
              <w:tl2br w:val="nil"/>
              <w:tr2bl w:val="nil"/>
            </w:tcBorders>
            <w:shd w:val="clear" w:color="auto" w:fill="auto"/>
            <w:vAlign w:val="center"/>
          </w:tcPr>
          <w:p w14:paraId="5F741DCF">
            <w:pPr>
              <w:ind w:firstLine="420"/>
              <w:jc w:val="center"/>
              <w:rPr>
                <w:rFonts w:asciiTheme="minorEastAsia" w:hAnsiTheme="minorEastAsia" w:eastAsiaTheme="minorEastAsia" w:cstheme="minorEastAsia"/>
                <w:color w:val="000000"/>
                <w:sz w:val="21"/>
                <w:szCs w:val="21"/>
              </w:rPr>
            </w:pPr>
          </w:p>
        </w:tc>
        <w:tc>
          <w:tcPr>
            <w:tcW w:w="0" w:type="auto"/>
            <w:vMerge w:val="continue"/>
            <w:tcBorders>
              <w:tl2br w:val="nil"/>
              <w:tr2bl w:val="nil"/>
            </w:tcBorders>
            <w:shd w:val="clear" w:color="auto" w:fill="auto"/>
            <w:vAlign w:val="center"/>
          </w:tcPr>
          <w:p w14:paraId="2F2D3478">
            <w:pPr>
              <w:ind w:firstLine="420"/>
              <w:jc w:val="left"/>
              <w:rPr>
                <w:rFonts w:asciiTheme="minorEastAsia" w:hAnsiTheme="minorEastAsia" w:eastAsiaTheme="minorEastAsia" w:cstheme="minorEastAsia"/>
                <w:color w:val="000000"/>
                <w:sz w:val="21"/>
                <w:szCs w:val="21"/>
              </w:rPr>
            </w:pPr>
          </w:p>
        </w:tc>
        <w:tc>
          <w:tcPr>
            <w:tcW w:w="1584" w:type="dxa"/>
            <w:tcBorders>
              <w:tl2br w:val="nil"/>
              <w:tr2bl w:val="nil"/>
            </w:tcBorders>
            <w:shd w:val="clear" w:color="auto" w:fill="auto"/>
            <w:vAlign w:val="center"/>
          </w:tcPr>
          <w:p w14:paraId="7FBCC2A8">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专业审核服务</w:t>
            </w:r>
          </w:p>
        </w:tc>
        <w:tc>
          <w:tcPr>
            <w:tcW w:w="4737" w:type="dxa"/>
            <w:tcBorders>
              <w:tl2br w:val="nil"/>
              <w:tr2bl w:val="nil"/>
            </w:tcBorders>
            <w:shd w:val="clear" w:color="auto" w:fill="auto"/>
            <w:vAlign w:val="center"/>
          </w:tcPr>
          <w:p w14:paraId="6F328B0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提供人工审核、结果复审、监测报告服务。</w:t>
            </w:r>
          </w:p>
        </w:tc>
      </w:tr>
      <w:tr w14:paraId="51AE6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5" w:hRule="atLeast"/>
        </w:trPr>
        <w:tc>
          <w:tcPr>
            <w:tcW w:w="0" w:type="auto"/>
            <w:vMerge w:val="continue"/>
            <w:tcBorders>
              <w:tl2br w:val="nil"/>
              <w:tr2bl w:val="nil"/>
            </w:tcBorders>
            <w:shd w:val="clear" w:color="auto" w:fill="auto"/>
            <w:vAlign w:val="center"/>
          </w:tcPr>
          <w:p w14:paraId="5140491A">
            <w:pPr>
              <w:ind w:firstLine="420"/>
              <w:jc w:val="center"/>
              <w:rPr>
                <w:rFonts w:asciiTheme="minorEastAsia" w:hAnsiTheme="minorEastAsia" w:eastAsiaTheme="minorEastAsia" w:cstheme="minorEastAsia"/>
                <w:color w:val="000000"/>
                <w:sz w:val="21"/>
                <w:szCs w:val="21"/>
              </w:rPr>
            </w:pPr>
          </w:p>
        </w:tc>
        <w:tc>
          <w:tcPr>
            <w:tcW w:w="0" w:type="auto"/>
            <w:tcBorders>
              <w:tl2br w:val="nil"/>
              <w:tr2bl w:val="nil"/>
            </w:tcBorders>
            <w:shd w:val="clear" w:color="auto" w:fill="auto"/>
            <w:vAlign w:val="center"/>
          </w:tcPr>
          <w:p w14:paraId="0336B09A">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密码应用配套</w:t>
            </w:r>
          </w:p>
        </w:tc>
        <w:tc>
          <w:tcPr>
            <w:tcW w:w="1584" w:type="dxa"/>
            <w:tcBorders>
              <w:tl2br w:val="nil"/>
              <w:tr2bl w:val="nil"/>
            </w:tcBorders>
            <w:shd w:val="clear" w:color="auto" w:fill="auto"/>
            <w:vAlign w:val="center"/>
          </w:tcPr>
          <w:p w14:paraId="5669C4DE">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密码应用配套</w:t>
            </w:r>
          </w:p>
        </w:tc>
        <w:tc>
          <w:tcPr>
            <w:tcW w:w="4737" w:type="dxa"/>
            <w:tcBorders>
              <w:tl2br w:val="nil"/>
              <w:tr2bl w:val="nil"/>
            </w:tcBorders>
            <w:shd w:val="clear" w:color="auto" w:fill="auto"/>
            <w:vAlign w:val="center"/>
          </w:tcPr>
          <w:p w14:paraId="06B8377C">
            <w:pPr>
              <w:widowControl/>
              <w:ind w:firstLine="0" w:firstLineChars="0"/>
              <w:jc w:val="lef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实现密码应用接口建设。</w:t>
            </w:r>
          </w:p>
        </w:tc>
      </w:tr>
    </w:tbl>
    <w:p w14:paraId="772FDF2B">
      <w:pPr>
        <w:ind w:firstLine="0" w:firstLineChars="0"/>
        <w:rPr>
          <w:b/>
        </w:rPr>
      </w:pPr>
    </w:p>
    <w:p w14:paraId="7DC7E10E">
      <w:pPr>
        <w:pStyle w:val="3"/>
        <w:ind w:left="0" w:firstLine="0" w:firstLineChars="0"/>
      </w:pPr>
      <w:r>
        <w:rPr>
          <w:rFonts w:hint="eastAsia"/>
        </w:rPr>
        <w:t>服务要求</w:t>
      </w:r>
    </w:p>
    <w:p w14:paraId="35BD4FC5">
      <w:r>
        <w:rPr>
          <w:rFonts w:hint="eastAsia"/>
        </w:rPr>
        <w:t>为了更好地掌握进博会展馆实际人流等信息，需从专业单位采购高精度的人流等信息，为进博会的精细化管理提供全面高效的数据支撑。采购链路安全保障服务，对网络环境、机房、终端设备等进行安全检查和测试。</w:t>
      </w:r>
    </w:p>
    <w:p w14:paraId="33DA0BFC">
      <w:pPr>
        <w:ind w:firstLine="482"/>
        <w:rPr>
          <w:b/>
        </w:rPr>
      </w:pPr>
      <w:r>
        <w:rPr>
          <w:rFonts w:hint="eastAsia"/>
          <w:b/>
        </w:rPr>
        <w:t>服务清单：</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587"/>
        <w:gridCol w:w="5445"/>
      </w:tblGrid>
      <w:tr w14:paraId="1B49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523" w:type="pct"/>
            <w:noWrap/>
            <w:vAlign w:val="center"/>
          </w:tcPr>
          <w:p w14:paraId="34FDE03E">
            <w:pPr>
              <w:widowControl/>
              <w:spacing w:line="240" w:lineRule="auto"/>
              <w:ind w:firstLine="0" w:firstLineChars="0"/>
              <w:jc w:val="center"/>
              <w:rPr>
                <w:rFonts w:cs="宋体"/>
                <w:b/>
                <w:bCs/>
                <w:kern w:val="0"/>
                <w:sz w:val="21"/>
                <w:szCs w:val="21"/>
              </w:rPr>
            </w:pPr>
            <w:r>
              <w:rPr>
                <w:rFonts w:hint="eastAsia" w:cs="宋体"/>
                <w:b/>
                <w:bCs/>
                <w:kern w:val="0"/>
                <w:sz w:val="21"/>
                <w:szCs w:val="21"/>
              </w:rPr>
              <w:t>序号</w:t>
            </w:r>
          </w:p>
        </w:tc>
        <w:tc>
          <w:tcPr>
            <w:tcW w:w="1298" w:type="pct"/>
            <w:noWrap/>
            <w:vAlign w:val="center"/>
          </w:tcPr>
          <w:p w14:paraId="39F26AA7">
            <w:pPr>
              <w:widowControl/>
              <w:spacing w:line="240" w:lineRule="auto"/>
              <w:ind w:firstLine="0" w:firstLineChars="0"/>
              <w:jc w:val="center"/>
              <w:rPr>
                <w:rFonts w:cs="宋体"/>
                <w:b/>
                <w:bCs/>
                <w:kern w:val="0"/>
                <w:sz w:val="21"/>
                <w:szCs w:val="21"/>
              </w:rPr>
            </w:pPr>
            <w:r>
              <w:rPr>
                <w:rFonts w:hint="eastAsia" w:cs="宋体"/>
                <w:b/>
                <w:bCs/>
                <w:kern w:val="0"/>
                <w:sz w:val="21"/>
                <w:szCs w:val="21"/>
              </w:rPr>
              <w:t>服务名称</w:t>
            </w:r>
          </w:p>
        </w:tc>
        <w:tc>
          <w:tcPr>
            <w:tcW w:w="3179" w:type="pct"/>
            <w:noWrap/>
            <w:vAlign w:val="center"/>
          </w:tcPr>
          <w:p w14:paraId="2D8EA1A7">
            <w:pPr>
              <w:widowControl/>
              <w:spacing w:line="240" w:lineRule="auto"/>
              <w:ind w:firstLine="0" w:firstLineChars="0"/>
              <w:jc w:val="center"/>
              <w:rPr>
                <w:rFonts w:cs="宋体"/>
                <w:b/>
                <w:bCs/>
                <w:kern w:val="0"/>
                <w:sz w:val="21"/>
                <w:szCs w:val="21"/>
              </w:rPr>
            </w:pPr>
            <w:r>
              <w:rPr>
                <w:rFonts w:hint="eastAsia" w:cs="宋体"/>
                <w:b/>
                <w:bCs/>
                <w:kern w:val="0"/>
                <w:sz w:val="21"/>
                <w:szCs w:val="21"/>
              </w:rPr>
              <w:t>服务描述</w:t>
            </w:r>
          </w:p>
        </w:tc>
      </w:tr>
      <w:tr w14:paraId="26D9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4C9513AC">
            <w:pPr>
              <w:widowControl/>
              <w:spacing w:line="240" w:lineRule="auto"/>
              <w:ind w:firstLine="0" w:firstLineChars="0"/>
              <w:jc w:val="center"/>
              <w:rPr>
                <w:rFonts w:cs="宋体"/>
                <w:bCs/>
                <w:kern w:val="0"/>
                <w:sz w:val="21"/>
                <w:szCs w:val="21"/>
              </w:rPr>
            </w:pPr>
            <w:r>
              <w:rPr>
                <w:rFonts w:hint="eastAsia" w:cs="宋体"/>
                <w:bCs/>
                <w:kern w:val="0"/>
                <w:sz w:val="21"/>
                <w:szCs w:val="21"/>
              </w:rPr>
              <w:t>1</w:t>
            </w:r>
          </w:p>
        </w:tc>
        <w:tc>
          <w:tcPr>
            <w:tcW w:w="1298" w:type="pct"/>
            <w:noWrap/>
            <w:vAlign w:val="center"/>
          </w:tcPr>
          <w:p w14:paraId="46F074FA">
            <w:pPr>
              <w:widowControl/>
              <w:spacing w:line="240" w:lineRule="auto"/>
              <w:ind w:firstLine="0" w:firstLineChars="0"/>
              <w:jc w:val="left"/>
              <w:rPr>
                <w:rFonts w:cs="宋体"/>
                <w:bCs/>
                <w:kern w:val="0"/>
                <w:sz w:val="21"/>
                <w:szCs w:val="21"/>
              </w:rPr>
            </w:pPr>
            <w:r>
              <w:rPr>
                <w:rFonts w:hint="eastAsia" w:cs="宋体"/>
                <w:bCs/>
                <w:kern w:val="0"/>
                <w:sz w:val="21"/>
                <w:szCs w:val="21"/>
              </w:rPr>
              <w:t>机房网络终端设备及应用系统安全检查</w:t>
            </w:r>
          </w:p>
        </w:tc>
        <w:tc>
          <w:tcPr>
            <w:tcW w:w="3179" w:type="pct"/>
            <w:noWrap/>
            <w:vAlign w:val="center"/>
          </w:tcPr>
          <w:p w14:paraId="6AEC4987">
            <w:pPr>
              <w:widowControl/>
              <w:spacing w:line="240" w:lineRule="auto"/>
              <w:ind w:firstLine="0" w:firstLineChars="0"/>
              <w:jc w:val="left"/>
              <w:rPr>
                <w:rFonts w:cs="宋体"/>
                <w:bCs/>
                <w:kern w:val="0"/>
                <w:sz w:val="21"/>
                <w:szCs w:val="21"/>
              </w:rPr>
            </w:pPr>
            <w:r>
              <w:rPr>
                <w:rFonts w:hint="eastAsia" w:cs="宋体"/>
                <w:bCs/>
                <w:kern w:val="0"/>
                <w:sz w:val="21"/>
                <w:szCs w:val="21"/>
              </w:rPr>
              <w:t>对红线内的机房、红线内以及周边配套网络设备终端开展安全检查，需提供2</w:t>
            </w:r>
            <w:r>
              <w:rPr>
                <w:rFonts w:cs="宋体"/>
                <w:bCs/>
                <w:kern w:val="0"/>
                <w:sz w:val="21"/>
                <w:szCs w:val="21"/>
              </w:rPr>
              <w:t>0</w:t>
            </w:r>
            <w:r>
              <w:rPr>
                <w:rFonts w:hint="eastAsia" w:cs="宋体"/>
                <w:bCs/>
                <w:kern w:val="0"/>
                <w:sz w:val="21"/>
                <w:szCs w:val="21"/>
              </w:rPr>
              <w:t>次服务</w:t>
            </w:r>
          </w:p>
        </w:tc>
      </w:tr>
      <w:tr w14:paraId="3B19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71B9864F">
            <w:pPr>
              <w:widowControl/>
              <w:spacing w:line="240" w:lineRule="auto"/>
              <w:ind w:firstLine="0" w:firstLineChars="0"/>
              <w:jc w:val="center"/>
              <w:rPr>
                <w:rFonts w:cs="宋体"/>
                <w:bCs/>
                <w:kern w:val="0"/>
                <w:sz w:val="21"/>
                <w:szCs w:val="21"/>
              </w:rPr>
            </w:pPr>
            <w:r>
              <w:rPr>
                <w:rFonts w:hint="eastAsia" w:cs="宋体"/>
                <w:bCs/>
                <w:kern w:val="0"/>
                <w:sz w:val="21"/>
                <w:szCs w:val="21"/>
              </w:rPr>
              <w:t>2</w:t>
            </w:r>
          </w:p>
        </w:tc>
        <w:tc>
          <w:tcPr>
            <w:tcW w:w="1298" w:type="pct"/>
            <w:noWrap/>
            <w:vAlign w:val="center"/>
          </w:tcPr>
          <w:p w14:paraId="4377BE4E">
            <w:pPr>
              <w:widowControl/>
              <w:spacing w:line="240" w:lineRule="auto"/>
              <w:ind w:firstLine="0" w:firstLineChars="0"/>
              <w:jc w:val="left"/>
              <w:rPr>
                <w:rFonts w:cs="宋体"/>
                <w:bCs/>
                <w:kern w:val="0"/>
                <w:sz w:val="21"/>
                <w:szCs w:val="21"/>
              </w:rPr>
            </w:pPr>
            <w:r>
              <w:rPr>
                <w:rFonts w:hint="eastAsia" w:cs="宋体"/>
                <w:bCs/>
                <w:kern w:val="0"/>
                <w:sz w:val="21"/>
                <w:szCs w:val="21"/>
              </w:rPr>
              <w:t>红线内系统渗透测试</w:t>
            </w:r>
          </w:p>
        </w:tc>
        <w:tc>
          <w:tcPr>
            <w:tcW w:w="3179" w:type="pct"/>
            <w:noWrap/>
            <w:vAlign w:val="center"/>
          </w:tcPr>
          <w:p w14:paraId="35529598">
            <w:pPr>
              <w:widowControl/>
              <w:spacing w:line="240" w:lineRule="auto"/>
              <w:ind w:firstLine="0" w:firstLineChars="0"/>
              <w:jc w:val="left"/>
              <w:rPr>
                <w:rFonts w:cs="宋体"/>
                <w:bCs/>
                <w:kern w:val="0"/>
                <w:sz w:val="21"/>
                <w:szCs w:val="21"/>
              </w:rPr>
            </w:pPr>
            <w:r>
              <w:rPr>
                <w:rFonts w:hint="eastAsia" w:cs="宋体"/>
                <w:bCs/>
                <w:kern w:val="0"/>
                <w:sz w:val="21"/>
                <w:szCs w:val="21"/>
              </w:rPr>
              <w:t>针对红线内重要信息系统和应用，开展远程漏洞扫描和渗透注点探测。</w:t>
            </w:r>
          </w:p>
        </w:tc>
      </w:tr>
      <w:tr w14:paraId="2520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3C1403FD">
            <w:pPr>
              <w:widowControl/>
              <w:spacing w:line="240" w:lineRule="auto"/>
              <w:ind w:firstLine="0" w:firstLineChars="0"/>
              <w:jc w:val="center"/>
              <w:rPr>
                <w:rFonts w:cs="宋体"/>
                <w:bCs/>
                <w:kern w:val="0"/>
                <w:sz w:val="21"/>
                <w:szCs w:val="21"/>
              </w:rPr>
            </w:pPr>
            <w:r>
              <w:rPr>
                <w:rFonts w:hint="eastAsia" w:cs="宋体"/>
                <w:bCs/>
                <w:kern w:val="0"/>
                <w:sz w:val="21"/>
                <w:szCs w:val="21"/>
              </w:rPr>
              <w:t>3</w:t>
            </w:r>
          </w:p>
        </w:tc>
        <w:tc>
          <w:tcPr>
            <w:tcW w:w="1298" w:type="pct"/>
            <w:noWrap/>
            <w:vAlign w:val="center"/>
          </w:tcPr>
          <w:p w14:paraId="52BEF82E">
            <w:pPr>
              <w:widowControl/>
              <w:spacing w:line="240" w:lineRule="auto"/>
              <w:ind w:firstLine="0" w:firstLineChars="0"/>
              <w:jc w:val="left"/>
              <w:rPr>
                <w:rFonts w:cs="宋体"/>
                <w:bCs/>
                <w:kern w:val="0"/>
                <w:sz w:val="21"/>
                <w:szCs w:val="21"/>
              </w:rPr>
            </w:pPr>
            <w:r>
              <w:rPr>
                <w:rFonts w:hint="eastAsia" w:cs="宋体"/>
                <w:bCs/>
                <w:kern w:val="0"/>
                <w:sz w:val="21"/>
                <w:szCs w:val="21"/>
              </w:rPr>
              <w:t>红线内系统压力测试</w:t>
            </w:r>
          </w:p>
        </w:tc>
        <w:tc>
          <w:tcPr>
            <w:tcW w:w="3179" w:type="pct"/>
            <w:noWrap/>
            <w:vAlign w:val="center"/>
          </w:tcPr>
          <w:p w14:paraId="1EBFF804">
            <w:pPr>
              <w:widowControl/>
              <w:spacing w:line="240" w:lineRule="auto"/>
              <w:ind w:firstLine="0" w:firstLineChars="0"/>
              <w:jc w:val="left"/>
              <w:rPr>
                <w:rFonts w:cs="宋体"/>
                <w:bCs/>
                <w:kern w:val="0"/>
                <w:sz w:val="21"/>
                <w:szCs w:val="21"/>
              </w:rPr>
            </w:pPr>
            <w:r>
              <w:rPr>
                <w:rFonts w:hint="eastAsia" w:cs="宋体"/>
                <w:bCs/>
                <w:kern w:val="0"/>
                <w:sz w:val="21"/>
                <w:szCs w:val="21"/>
              </w:rPr>
              <w:t>对红线内核心网站和系统进行压力测试。</w:t>
            </w:r>
          </w:p>
        </w:tc>
      </w:tr>
      <w:tr w14:paraId="290C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26236F0F">
            <w:pPr>
              <w:widowControl/>
              <w:spacing w:line="240" w:lineRule="auto"/>
              <w:ind w:firstLine="0" w:firstLineChars="0"/>
              <w:jc w:val="center"/>
              <w:rPr>
                <w:rFonts w:cs="宋体"/>
                <w:bCs/>
                <w:kern w:val="0"/>
                <w:sz w:val="21"/>
                <w:szCs w:val="21"/>
              </w:rPr>
            </w:pPr>
            <w:r>
              <w:rPr>
                <w:rFonts w:hint="eastAsia" w:cs="宋体"/>
                <w:bCs/>
                <w:kern w:val="0"/>
                <w:sz w:val="21"/>
                <w:szCs w:val="21"/>
              </w:rPr>
              <w:t>4</w:t>
            </w:r>
          </w:p>
        </w:tc>
        <w:tc>
          <w:tcPr>
            <w:tcW w:w="1298" w:type="pct"/>
            <w:noWrap/>
            <w:vAlign w:val="center"/>
          </w:tcPr>
          <w:p w14:paraId="6C708A80">
            <w:pPr>
              <w:widowControl/>
              <w:spacing w:line="240" w:lineRule="auto"/>
              <w:ind w:firstLine="0" w:firstLineChars="0"/>
              <w:jc w:val="left"/>
              <w:rPr>
                <w:rFonts w:cs="宋体"/>
                <w:bCs/>
                <w:kern w:val="0"/>
                <w:sz w:val="21"/>
                <w:szCs w:val="21"/>
              </w:rPr>
            </w:pPr>
            <w:r>
              <w:rPr>
                <w:rFonts w:hint="eastAsia" w:cs="宋体"/>
                <w:bCs/>
                <w:kern w:val="0"/>
                <w:sz w:val="21"/>
                <w:szCs w:val="21"/>
              </w:rPr>
              <w:t>红线内核心系统网站实时监测</w:t>
            </w:r>
          </w:p>
        </w:tc>
        <w:tc>
          <w:tcPr>
            <w:tcW w:w="3179" w:type="pct"/>
            <w:noWrap/>
            <w:vAlign w:val="center"/>
          </w:tcPr>
          <w:p w14:paraId="3F75BD06">
            <w:pPr>
              <w:widowControl/>
              <w:spacing w:line="240" w:lineRule="auto"/>
              <w:ind w:firstLine="0" w:firstLineChars="0"/>
              <w:jc w:val="left"/>
              <w:rPr>
                <w:rFonts w:cs="宋体"/>
                <w:bCs/>
                <w:kern w:val="0"/>
                <w:sz w:val="21"/>
                <w:szCs w:val="21"/>
              </w:rPr>
            </w:pPr>
            <w:r>
              <w:rPr>
                <w:rFonts w:hint="eastAsia" w:cs="宋体"/>
                <w:bCs/>
                <w:kern w:val="0"/>
                <w:sz w:val="21"/>
                <w:szCs w:val="21"/>
              </w:rPr>
              <w:t>针对红线内核心系统网站持续进行</w:t>
            </w:r>
            <w:r>
              <w:rPr>
                <w:rFonts w:cs="宋体"/>
                <w:bCs/>
                <w:kern w:val="0"/>
                <w:sz w:val="21"/>
                <w:szCs w:val="21"/>
              </w:rPr>
              <w:t>7*24安全监测</w:t>
            </w:r>
            <w:r>
              <w:rPr>
                <w:rFonts w:hint="eastAsia" w:cs="宋体"/>
                <w:bCs/>
                <w:kern w:val="0"/>
                <w:sz w:val="21"/>
                <w:szCs w:val="21"/>
              </w:rPr>
              <w:t>。</w:t>
            </w:r>
          </w:p>
        </w:tc>
      </w:tr>
      <w:tr w14:paraId="348D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7D752505">
            <w:pPr>
              <w:widowControl/>
              <w:spacing w:line="240" w:lineRule="auto"/>
              <w:ind w:firstLine="0" w:firstLineChars="0"/>
              <w:jc w:val="center"/>
              <w:rPr>
                <w:rFonts w:cs="宋体"/>
                <w:bCs/>
                <w:kern w:val="0"/>
                <w:sz w:val="21"/>
                <w:szCs w:val="21"/>
              </w:rPr>
            </w:pPr>
            <w:r>
              <w:rPr>
                <w:rFonts w:hint="eastAsia" w:cs="宋体"/>
                <w:bCs/>
                <w:kern w:val="0"/>
                <w:sz w:val="21"/>
                <w:szCs w:val="21"/>
              </w:rPr>
              <w:t>5</w:t>
            </w:r>
          </w:p>
        </w:tc>
        <w:tc>
          <w:tcPr>
            <w:tcW w:w="1298" w:type="pct"/>
            <w:noWrap/>
            <w:vAlign w:val="center"/>
          </w:tcPr>
          <w:p w14:paraId="4C1C1FE7">
            <w:pPr>
              <w:widowControl/>
              <w:spacing w:line="240" w:lineRule="auto"/>
              <w:ind w:firstLine="0" w:firstLineChars="0"/>
              <w:jc w:val="left"/>
              <w:rPr>
                <w:rFonts w:cs="宋体"/>
                <w:bCs/>
                <w:kern w:val="0"/>
                <w:sz w:val="21"/>
                <w:szCs w:val="21"/>
              </w:rPr>
            </w:pPr>
            <w:r>
              <w:rPr>
                <w:rFonts w:hint="eastAsia" w:cs="宋体"/>
                <w:bCs/>
                <w:kern w:val="0"/>
                <w:sz w:val="21"/>
                <w:szCs w:val="21"/>
              </w:rPr>
              <w:t>红线内系统数据恢复专项演练</w:t>
            </w:r>
          </w:p>
        </w:tc>
        <w:tc>
          <w:tcPr>
            <w:tcW w:w="3179" w:type="pct"/>
            <w:noWrap/>
            <w:vAlign w:val="center"/>
          </w:tcPr>
          <w:p w14:paraId="2E8FEEB1">
            <w:pPr>
              <w:widowControl/>
              <w:spacing w:line="240" w:lineRule="auto"/>
              <w:ind w:firstLine="0" w:firstLineChars="0"/>
              <w:jc w:val="left"/>
              <w:rPr>
                <w:rFonts w:cs="宋体"/>
                <w:bCs/>
                <w:kern w:val="0"/>
                <w:sz w:val="21"/>
                <w:szCs w:val="21"/>
              </w:rPr>
            </w:pPr>
            <w:r>
              <w:rPr>
                <w:rFonts w:hint="eastAsia" w:cs="宋体"/>
                <w:bCs/>
                <w:kern w:val="0"/>
                <w:sz w:val="21"/>
                <w:szCs w:val="21"/>
              </w:rPr>
              <w:t>对红线内系统数据开展数据应急恢复演练工作。</w:t>
            </w:r>
          </w:p>
        </w:tc>
      </w:tr>
      <w:tr w14:paraId="228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1B96520E">
            <w:pPr>
              <w:widowControl/>
              <w:spacing w:line="240" w:lineRule="auto"/>
              <w:ind w:firstLine="0" w:firstLineChars="0"/>
              <w:jc w:val="center"/>
              <w:rPr>
                <w:rFonts w:cs="宋体"/>
                <w:bCs/>
                <w:kern w:val="0"/>
                <w:sz w:val="21"/>
                <w:szCs w:val="21"/>
              </w:rPr>
            </w:pPr>
            <w:r>
              <w:rPr>
                <w:rFonts w:hint="eastAsia" w:cs="宋体"/>
                <w:bCs/>
                <w:kern w:val="0"/>
                <w:sz w:val="21"/>
                <w:szCs w:val="21"/>
              </w:rPr>
              <w:t>6</w:t>
            </w:r>
          </w:p>
        </w:tc>
        <w:tc>
          <w:tcPr>
            <w:tcW w:w="1298" w:type="pct"/>
            <w:noWrap/>
            <w:vAlign w:val="center"/>
          </w:tcPr>
          <w:p w14:paraId="195C6786">
            <w:pPr>
              <w:widowControl/>
              <w:spacing w:line="240" w:lineRule="auto"/>
              <w:ind w:firstLine="0" w:firstLineChars="0"/>
              <w:jc w:val="left"/>
              <w:rPr>
                <w:rFonts w:cs="宋体"/>
                <w:bCs/>
                <w:kern w:val="0"/>
                <w:sz w:val="21"/>
                <w:szCs w:val="21"/>
              </w:rPr>
            </w:pPr>
            <w:r>
              <w:rPr>
                <w:rFonts w:hint="eastAsia" w:cs="宋体"/>
                <w:bCs/>
                <w:kern w:val="0"/>
                <w:sz w:val="21"/>
                <w:szCs w:val="21"/>
              </w:rPr>
              <w:t>重点场所现场检查</w:t>
            </w:r>
          </w:p>
        </w:tc>
        <w:tc>
          <w:tcPr>
            <w:tcW w:w="3179" w:type="pct"/>
            <w:noWrap/>
            <w:vAlign w:val="center"/>
          </w:tcPr>
          <w:p w14:paraId="523CA5E0">
            <w:pPr>
              <w:widowControl/>
              <w:spacing w:line="240" w:lineRule="auto"/>
              <w:ind w:firstLine="0" w:firstLineChars="0"/>
              <w:jc w:val="left"/>
              <w:rPr>
                <w:rFonts w:cs="宋体"/>
                <w:bCs/>
                <w:kern w:val="0"/>
                <w:sz w:val="21"/>
                <w:szCs w:val="21"/>
              </w:rPr>
            </w:pPr>
            <w:r>
              <w:rPr>
                <w:rFonts w:hint="eastAsia" w:cs="宋体"/>
                <w:bCs/>
                <w:kern w:val="0"/>
                <w:sz w:val="21"/>
                <w:szCs w:val="21"/>
              </w:rPr>
              <w:t>对进博会重点场所等开展现场安全检查，需提供2</w:t>
            </w:r>
            <w:r>
              <w:rPr>
                <w:rFonts w:cs="宋体"/>
                <w:bCs/>
                <w:kern w:val="0"/>
                <w:sz w:val="21"/>
                <w:szCs w:val="21"/>
              </w:rPr>
              <w:t>0</w:t>
            </w:r>
            <w:r>
              <w:rPr>
                <w:rFonts w:hint="eastAsia" w:cs="宋体"/>
                <w:bCs/>
                <w:kern w:val="0"/>
                <w:sz w:val="21"/>
                <w:szCs w:val="21"/>
              </w:rPr>
              <w:t>次服务</w:t>
            </w:r>
          </w:p>
        </w:tc>
      </w:tr>
      <w:tr w14:paraId="5FA6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23" w:type="pct"/>
            <w:noWrap/>
            <w:vAlign w:val="center"/>
          </w:tcPr>
          <w:p w14:paraId="72BB49F0">
            <w:pPr>
              <w:widowControl/>
              <w:spacing w:line="240" w:lineRule="auto"/>
              <w:ind w:firstLine="0" w:firstLineChars="0"/>
              <w:jc w:val="center"/>
              <w:rPr>
                <w:rFonts w:cs="宋体"/>
                <w:bCs/>
                <w:kern w:val="0"/>
                <w:sz w:val="21"/>
                <w:szCs w:val="21"/>
              </w:rPr>
            </w:pPr>
            <w:r>
              <w:rPr>
                <w:rFonts w:hint="eastAsia" w:cs="宋体"/>
                <w:bCs/>
                <w:kern w:val="0"/>
                <w:sz w:val="21"/>
                <w:szCs w:val="21"/>
              </w:rPr>
              <w:t>7</w:t>
            </w:r>
          </w:p>
        </w:tc>
        <w:tc>
          <w:tcPr>
            <w:tcW w:w="1298" w:type="pct"/>
            <w:noWrap/>
            <w:vAlign w:val="center"/>
          </w:tcPr>
          <w:p w14:paraId="2107B962">
            <w:pPr>
              <w:widowControl/>
              <w:spacing w:line="240" w:lineRule="auto"/>
              <w:ind w:firstLine="0" w:firstLineChars="0"/>
              <w:jc w:val="left"/>
              <w:rPr>
                <w:rFonts w:cs="宋体"/>
                <w:bCs/>
                <w:kern w:val="0"/>
                <w:sz w:val="21"/>
                <w:szCs w:val="21"/>
              </w:rPr>
            </w:pPr>
            <w:r>
              <w:rPr>
                <w:rFonts w:hint="eastAsia" w:cs="宋体"/>
                <w:bCs/>
                <w:kern w:val="0"/>
                <w:sz w:val="21"/>
                <w:szCs w:val="21"/>
              </w:rPr>
              <w:t>运营商客流数据服务</w:t>
            </w:r>
          </w:p>
        </w:tc>
        <w:tc>
          <w:tcPr>
            <w:tcW w:w="3179" w:type="pct"/>
            <w:noWrap/>
            <w:vAlign w:val="center"/>
          </w:tcPr>
          <w:p w14:paraId="77433147">
            <w:pPr>
              <w:widowControl/>
              <w:spacing w:line="240" w:lineRule="auto"/>
              <w:ind w:firstLine="0" w:firstLineChars="0"/>
              <w:jc w:val="left"/>
              <w:rPr>
                <w:rFonts w:cs="宋体"/>
                <w:bCs/>
                <w:kern w:val="0"/>
                <w:sz w:val="21"/>
                <w:szCs w:val="21"/>
              </w:rPr>
            </w:pPr>
            <w:r>
              <w:rPr>
                <w:rFonts w:hint="eastAsia" w:cs="宋体"/>
                <w:bCs/>
                <w:kern w:val="0"/>
                <w:sz w:val="21"/>
                <w:szCs w:val="21"/>
              </w:rPr>
              <w:t>提供区域客流动态统计数据和历史客流数据统计分析服务。</w:t>
            </w:r>
          </w:p>
        </w:tc>
      </w:tr>
    </w:tbl>
    <w:p w14:paraId="72FD95E5">
      <w:pPr>
        <w:pStyle w:val="3"/>
        <w:ind w:left="0" w:firstLine="0" w:firstLineChars="0"/>
      </w:pPr>
      <w:r>
        <w:rPr>
          <w:rFonts w:hint="eastAsia"/>
        </w:rPr>
        <w:t>硬件设备要求</w:t>
      </w:r>
    </w:p>
    <w:p w14:paraId="3B09348A">
      <w:r>
        <w:rPr>
          <w:rFonts w:hint="eastAsia"/>
        </w:rPr>
        <w:t>为实现进博场馆高精度感知需要，需要部署配套约</w:t>
      </w:r>
      <w:r>
        <w:rPr>
          <w:rFonts w:hint="eastAsia"/>
          <w:b/>
          <w:bCs/>
        </w:rPr>
        <w:t>1</w:t>
      </w:r>
      <w:r>
        <w:rPr>
          <w:b/>
          <w:bCs/>
        </w:rPr>
        <w:t>700</w:t>
      </w:r>
      <w:r>
        <w:rPr>
          <w:rFonts w:hint="eastAsia"/>
          <w:b/>
          <w:bCs/>
        </w:rPr>
        <w:t>套</w:t>
      </w:r>
      <w:r>
        <w:rPr>
          <w:rFonts w:hint="eastAsia"/>
        </w:rPr>
        <w:t>空间计算感知设备</w:t>
      </w:r>
      <w:r>
        <w:t>。</w:t>
      </w:r>
    </w:p>
    <w:p w14:paraId="10570AE7">
      <w:pPr>
        <w:ind w:firstLine="482"/>
        <w:rPr>
          <w:b/>
        </w:rPr>
      </w:pPr>
      <w:r>
        <w:rPr>
          <w:rFonts w:hint="eastAsia"/>
          <w:b/>
        </w:rPr>
        <w:t>硬件购置清单：</w:t>
      </w:r>
    </w:p>
    <w:tbl>
      <w:tblPr>
        <w:tblStyle w:val="35"/>
        <w:tblpPr w:leftFromText="180" w:rightFromText="180" w:vertAnchor="text" w:horzAnchor="page" w:tblpX="1539" w:tblpY="476"/>
        <w:tblOverlap w:val="never"/>
        <w:tblW w:w="52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59"/>
        <w:gridCol w:w="642"/>
        <w:gridCol w:w="878"/>
        <w:gridCol w:w="801"/>
        <w:gridCol w:w="2425"/>
        <w:gridCol w:w="1783"/>
        <w:gridCol w:w="727"/>
        <w:gridCol w:w="499"/>
      </w:tblGrid>
      <w:tr w14:paraId="199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0" w:type="pct"/>
            <w:noWrap/>
            <w:vAlign w:val="center"/>
          </w:tcPr>
          <w:p w14:paraId="4E650FAA">
            <w:pPr>
              <w:widowControl/>
              <w:spacing w:line="240" w:lineRule="auto"/>
              <w:ind w:firstLine="0" w:firstLineChars="0"/>
              <w:jc w:val="center"/>
              <w:rPr>
                <w:rFonts w:cs="宋体"/>
                <w:b/>
                <w:bCs/>
                <w:kern w:val="0"/>
                <w:sz w:val="21"/>
                <w:szCs w:val="21"/>
              </w:rPr>
            </w:pPr>
            <w:r>
              <w:rPr>
                <w:rFonts w:hint="eastAsia" w:cs="宋体"/>
                <w:b/>
                <w:bCs/>
                <w:kern w:val="0"/>
                <w:sz w:val="21"/>
                <w:szCs w:val="21"/>
              </w:rPr>
              <w:t>序号</w:t>
            </w:r>
          </w:p>
        </w:tc>
        <w:tc>
          <w:tcPr>
            <w:tcW w:w="367" w:type="pct"/>
            <w:noWrap/>
            <w:vAlign w:val="center"/>
          </w:tcPr>
          <w:p w14:paraId="30733D22">
            <w:pPr>
              <w:widowControl/>
              <w:spacing w:line="240" w:lineRule="auto"/>
              <w:ind w:firstLine="0" w:firstLineChars="0"/>
              <w:jc w:val="center"/>
              <w:rPr>
                <w:rFonts w:cs="宋体"/>
                <w:b/>
                <w:bCs/>
                <w:kern w:val="0"/>
                <w:sz w:val="21"/>
                <w:szCs w:val="21"/>
              </w:rPr>
            </w:pPr>
            <w:r>
              <w:rPr>
                <w:rFonts w:hint="eastAsia" w:cs="宋体"/>
                <w:b/>
                <w:bCs/>
                <w:kern w:val="0"/>
                <w:sz w:val="21"/>
                <w:szCs w:val="21"/>
              </w:rPr>
              <w:t>产品大类</w:t>
            </w:r>
          </w:p>
        </w:tc>
        <w:tc>
          <w:tcPr>
            <w:tcW w:w="357" w:type="pct"/>
            <w:noWrap/>
            <w:vAlign w:val="center"/>
          </w:tcPr>
          <w:p w14:paraId="25AAB8A6">
            <w:pPr>
              <w:widowControl/>
              <w:spacing w:line="240" w:lineRule="auto"/>
              <w:ind w:firstLine="0" w:firstLineChars="0"/>
              <w:jc w:val="center"/>
              <w:rPr>
                <w:rFonts w:cs="宋体"/>
                <w:b/>
                <w:bCs/>
                <w:kern w:val="0"/>
                <w:sz w:val="21"/>
                <w:szCs w:val="21"/>
              </w:rPr>
            </w:pPr>
            <w:r>
              <w:rPr>
                <w:rFonts w:hint="eastAsia" w:cs="宋体"/>
                <w:b/>
                <w:bCs/>
                <w:kern w:val="0"/>
                <w:sz w:val="21"/>
                <w:szCs w:val="21"/>
              </w:rPr>
              <w:t>产品小类</w:t>
            </w:r>
          </w:p>
        </w:tc>
        <w:tc>
          <w:tcPr>
            <w:tcW w:w="489" w:type="pct"/>
            <w:noWrap/>
            <w:vAlign w:val="center"/>
          </w:tcPr>
          <w:p w14:paraId="783BDCE1">
            <w:pPr>
              <w:widowControl/>
              <w:spacing w:line="240" w:lineRule="auto"/>
              <w:ind w:firstLine="0" w:firstLineChars="0"/>
              <w:jc w:val="center"/>
              <w:rPr>
                <w:rFonts w:cs="宋体"/>
                <w:b/>
                <w:bCs/>
                <w:kern w:val="0"/>
                <w:sz w:val="21"/>
                <w:szCs w:val="21"/>
              </w:rPr>
            </w:pPr>
            <w:r>
              <w:rPr>
                <w:rFonts w:hint="eastAsia" w:cs="宋体"/>
                <w:b/>
                <w:bCs/>
                <w:kern w:val="0"/>
                <w:sz w:val="21"/>
                <w:szCs w:val="21"/>
              </w:rPr>
              <w:t>产品</w:t>
            </w:r>
          </w:p>
          <w:p w14:paraId="5F71B718">
            <w:pPr>
              <w:widowControl/>
              <w:spacing w:line="240" w:lineRule="auto"/>
              <w:ind w:firstLine="0" w:firstLineChars="0"/>
              <w:jc w:val="center"/>
              <w:rPr>
                <w:rFonts w:cs="宋体"/>
                <w:b/>
                <w:bCs/>
                <w:kern w:val="0"/>
                <w:sz w:val="21"/>
                <w:szCs w:val="21"/>
              </w:rPr>
            </w:pPr>
            <w:r>
              <w:rPr>
                <w:rFonts w:hint="eastAsia" w:cs="宋体"/>
                <w:b/>
                <w:bCs/>
                <w:kern w:val="0"/>
                <w:sz w:val="21"/>
                <w:szCs w:val="21"/>
              </w:rPr>
              <w:t>名称</w:t>
            </w:r>
          </w:p>
        </w:tc>
        <w:tc>
          <w:tcPr>
            <w:tcW w:w="446" w:type="pct"/>
            <w:noWrap/>
            <w:vAlign w:val="center"/>
          </w:tcPr>
          <w:p w14:paraId="5F388A68">
            <w:pPr>
              <w:widowControl/>
              <w:spacing w:line="240" w:lineRule="auto"/>
              <w:ind w:firstLine="0" w:firstLineChars="0"/>
              <w:jc w:val="center"/>
              <w:rPr>
                <w:rFonts w:cs="宋体"/>
                <w:b/>
                <w:bCs/>
                <w:kern w:val="0"/>
                <w:sz w:val="21"/>
                <w:szCs w:val="21"/>
              </w:rPr>
            </w:pPr>
            <w:r>
              <w:rPr>
                <w:rFonts w:hint="eastAsia" w:cs="宋体"/>
                <w:b/>
                <w:bCs/>
                <w:kern w:val="0"/>
                <w:sz w:val="21"/>
                <w:szCs w:val="21"/>
              </w:rPr>
              <w:t>设备名称</w:t>
            </w:r>
          </w:p>
        </w:tc>
        <w:tc>
          <w:tcPr>
            <w:tcW w:w="1350" w:type="pct"/>
            <w:noWrap/>
            <w:vAlign w:val="center"/>
          </w:tcPr>
          <w:p w14:paraId="544CE2CE">
            <w:pPr>
              <w:widowControl/>
              <w:spacing w:line="240" w:lineRule="auto"/>
              <w:ind w:firstLine="0" w:firstLineChars="0"/>
              <w:jc w:val="center"/>
              <w:rPr>
                <w:rFonts w:cs="宋体"/>
                <w:b/>
                <w:bCs/>
                <w:kern w:val="0"/>
                <w:sz w:val="21"/>
                <w:szCs w:val="21"/>
              </w:rPr>
            </w:pPr>
            <w:r>
              <w:rPr>
                <w:rFonts w:hint="eastAsia" w:cs="宋体"/>
                <w:b/>
                <w:bCs/>
                <w:kern w:val="0"/>
                <w:sz w:val="21"/>
                <w:szCs w:val="21"/>
              </w:rPr>
              <w:t>配置要求</w:t>
            </w:r>
          </w:p>
        </w:tc>
        <w:tc>
          <w:tcPr>
            <w:tcW w:w="993" w:type="pct"/>
            <w:noWrap/>
            <w:vAlign w:val="center"/>
          </w:tcPr>
          <w:p w14:paraId="449FFC89">
            <w:pPr>
              <w:widowControl/>
              <w:spacing w:line="240" w:lineRule="auto"/>
              <w:ind w:firstLine="0" w:firstLineChars="0"/>
              <w:jc w:val="center"/>
              <w:rPr>
                <w:rFonts w:cs="宋体"/>
                <w:b/>
                <w:bCs/>
                <w:kern w:val="0"/>
                <w:sz w:val="21"/>
                <w:szCs w:val="21"/>
              </w:rPr>
            </w:pPr>
            <w:r>
              <w:rPr>
                <w:rFonts w:hint="eastAsia" w:cs="宋体"/>
                <w:b/>
                <w:bCs/>
                <w:kern w:val="0"/>
                <w:sz w:val="21"/>
                <w:szCs w:val="21"/>
              </w:rPr>
              <w:t>部署要求</w:t>
            </w:r>
          </w:p>
        </w:tc>
        <w:tc>
          <w:tcPr>
            <w:tcW w:w="405" w:type="pct"/>
            <w:noWrap/>
            <w:vAlign w:val="center"/>
          </w:tcPr>
          <w:p w14:paraId="6E46475E">
            <w:pPr>
              <w:widowControl/>
              <w:spacing w:line="240" w:lineRule="auto"/>
              <w:ind w:firstLine="0" w:firstLineChars="0"/>
              <w:jc w:val="center"/>
              <w:rPr>
                <w:rFonts w:cs="宋体"/>
                <w:b/>
                <w:bCs/>
                <w:kern w:val="0"/>
                <w:sz w:val="21"/>
                <w:szCs w:val="21"/>
              </w:rPr>
            </w:pPr>
            <w:r>
              <w:rPr>
                <w:rFonts w:hint="eastAsia" w:cs="宋体"/>
                <w:b/>
                <w:bCs/>
                <w:kern w:val="0"/>
                <w:sz w:val="21"/>
                <w:szCs w:val="21"/>
              </w:rPr>
              <w:t>数量</w:t>
            </w:r>
          </w:p>
        </w:tc>
        <w:tc>
          <w:tcPr>
            <w:tcW w:w="278" w:type="pct"/>
            <w:noWrap/>
            <w:vAlign w:val="center"/>
          </w:tcPr>
          <w:p w14:paraId="3EF8063C">
            <w:pPr>
              <w:widowControl/>
              <w:spacing w:line="240" w:lineRule="auto"/>
              <w:ind w:firstLine="0" w:firstLineChars="0"/>
              <w:jc w:val="center"/>
              <w:rPr>
                <w:rFonts w:cs="宋体"/>
                <w:b/>
                <w:bCs/>
                <w:kern w:val="0"/>
                <w:sz w:val="21"/>
                <w:szCs w:val="21"/>
              </w:rPr>
            </w:pPr>
            <w:r>
              <w:rPr>
                <w:rFonts w:hint="eastAsia" w:cs="宋体"/>
                <w:b/>
                <w:bCs/>
                <w:kern w:val="0"/>
                <w:sz w:val="21"/>
                <w:szCs w:val="21"/>
              </w:rPr>
              <w:t>单位</w:t>
            </w:r>
          </w:p>
        </w:tc>
      </w:tr>
      <w:tr w14:paraId="48B1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10" w:type="pct"/>
            <w:noWrap/>
            <w:vAlign w:val="center"/>
          </w:tcPr>
          <w:p w14:paraId="49C187D5">
            <w:pPr>
              <w:widowControl/>
              <w:spacing w:line="240" w:lineRule="auto"/>
              <w:ind w:firstLine="0" w:firstLineChars="0"/>
              <w:jc w:val="center"/>
              <w:rPr>
                <w:rFonts w:cs="宋体"/>
                <w:bCs/>
                <w:kern w:val="0"/>
                <w:sz w:val="21"/>
                <w:szCs w:val="21"/>
              </w:rPr>
            </w:pPr>
            <w:r>
              <w:rPr>
                <w:rFonts w:hint="eastAsia" w:cs="宋体"/>
                <w:bCs/>
                <w:kern w:val="0"/>
                <w:sz w:val="21"/>
                <w:szCs w:val="21"/>
              </w:rPr>
              <w:t>1</w:t>
            </w:r>
          </w:p>
        </w:tc>
        <w:tc>
          <w:tcPr>
            <w:tcW w:w="367" w:type="pct"/>
            <w:noWrap/>
            <w:vAlign w:val="center"/>
          </w:tcPr>
          <w:p w14:paraId="2EEDC93A">
            <w:pPr>
              <w:widowControl/>
              <w:spacing w:line="240" w:lineRule="auto"/>
              <w:ind w:firstLine="0" w:firstLineChars="0"/>
              <w:jc w:val="center"/>
              <w:rPr>
                <w:rFonts w:cs="宋体"/>
                <w:bCs/>
                <w:kern w:val="0"/>
                <w:sz w:val="21"/>
                <w:szCs w:val="21"/>
              </w:rPr>
            </w:pPr>
            <w:r>
              <w:rPr>
                <w:rFonts w:hint="eastAsia" w:cs="宋体"/>
                <w:bCs/>
                <w:kern w:val="0"/>
                <w:sz w:val="21"/>
                <w:szCs w:val="21"/>
              </w:rPr>
              <w:t>主机</w:t>
            </w:r>
          </w:p>
        </w:tc>
        <w:tc>
          <w:tcPr>
            <w:tcW w:w="357" w:type="pct"/>
            <w:noWrap/>
            <w:vAlign w:val="center"/>
          </w:tcPr>
          <w:p w14:paraId="7734215D">
            <w:pPr>
              <w:widowControl/>
              <w:spacing w:line="240" w:lineRule="auto"/>
              <w:ind w:firstLine="0" w:firstLineChars="0"/>
              <w:jc w:val="center"/>
              <w:rPr>
                <w:rFonts w:cs="宋体"/>
                <w:bCs/>
                <w:kern w:val="0"/>
                <w:sz w:val="21"/>
                <w:szCs w:val="21"/>
              </w:rPr>
            </w:pPr>
            <w:r>
              <w:rPr>
                <w:rFonts w:hint="eastAsia" w:cs="宋体"/>
                <w:bCs/>
                <w:kern w:val="0"/>
                <w:sz w:val="21"/>
                <w:szCs w:val="21"/>
              </w:rPr>
              <w:t>工控机</w:t>
            </w:r>
          </w:p>
        </w:tc>
        <w:tc>
          <w:tcPr>
            <w:tcW w:w="489" w:type="pct"/>
            <w:noWrap/>
            <w:vAlign w:val="center"/>
          </w:tcPr>
          <w:p w14:paraId="28AF45C0">
            <w:pPr>
              <w:widowControl/>
              <w:spacing w:line="240" w:lineRule="auto"/>
              <w:ind w:firstLine="0" w:firstLineChars="0"/>
              <w:jc w:val="center"/>
              <w:rPr>
                <w:rFonts w:cs="宋体"/>
                <w:bCs/>
                <w:kern w:val="0"/>
                <w:sz w:val="21"/>
                <w:szCs w:val="21"/>
              </w:rPr>
            </w:pPr>
            <w:r>
              <w:rPr>
                <w:rFonts w:hint="eastAsia" w:cs="宋体"/>
                <w:bCs/>
                <w:kern w:val="0"/>
                <w:sz w:val="21"/>
                <w:szCs w:val="21"/>
              </w:rPr>
              <w:t>空间计算感知设备</w:t>
            </w:r>
          </w:p>
        </w:tc>
        <w:tc>
          <w:tcPr>
            <w:tcW w:w="446" w:type="pct"/>
            <w:noWrap/>
            <w:vAlign w:val="center"/>
          </w:tcPr>
          <w:p w14:paraId="14B4716B">
            <w:pPr>
              <w:widowControl/>
              <w:spacing w:line="240" w:lineRule="auto"/>
              <w:ind w:firstLine="0" w:firstLineChars="0"/>
              <w:jc w:val="center"/>
              <w:rPr>
                <w:rFonts w:cs="宋体"/>
                <w:bCs/>
                <w:kern w:val="0"/>
                <w:sz w:val="21"/>
                <w:szCs w:val="21"/>
              </w:rPr>
            </w:pPr>
            <w:r>
              <w:rPr>
                <w:rFonts w:hint="eastAsia" w:cs="宋体"/>
                <w:bCs/>
                <w:kern w:val="0"/>
                <w:sz w:val="21"/>
                <w:szCs w:val="21"/>
              </w:rPr>
              <w:t>空间计算世界模型专用边缘计算设备</w:t>
            </w:r>
          </w:p>
        </w:tc>
        <w:tc>
          <w:tcPr>
            <w:tcW w:w="1350" w:type="pct"/>
            <w:noWrap/>
            <w:vAlign w:val="center"/>
          </w:tcPr>
          <w:p w14:paraId="19D42B8D">
            <w:pPr>
              <w:widowControl/>
              <w:spacing w:line="240" w:lineRule="auto"/>
              <w:ind w:firstLine="0" w:firstLineChars="0"/>
              <w:jc w:val="left"/>
              <w:rPr>
                <w:rFonts w:cs="宋体"/>
                <w:bCs/>
                <w:kern w:val="0"/>
                <w:sz w:val="21"/>
                <w:szCs w:val="21"/>
              </w:rPr>
            </w:pPr>
            <w:r>
              <w:rPr>
                <w:rFonts w:hint="eastAsia" w:cs="宋体"/>
                <w:bCs/>
                <w:kern w:val="0"/>
                <w:sz w:val="21"/>
                <w:szCs w:val="21"/>
              </w:rPr>
              <w:t>6核，64bit 主频2GHz;4G+32G，带4/5G通信能力；</w:t>
            </w:r>
            <w:r>
              <w:rPr>
                <w:rFonts w:hint="eastAsia" w:cs="宋体"/>
                <w:bCs/>
                <w:kern w:val="0"/>
                <w:sz w:val="21"/>
                <w:szCs w:val="21"/>
              </w:rPr>
              <w:br w:type="textWrapping"/>
            </w:r>
            <w:r>
              <w:rPr>
                <w:rFonts w:hint="eastAsia" w:cs="宋体"/>
                <w:bCs/>
                <w:kern w:val="0"/>
                <w:sz w:val="21"/>
                <w:szCs w:val="21"/>
              </w:rPr>
              <w:t>含配套空间计算支撑平台软件，包括：SpaceTop空间界面、SOM现实引擎、STG数据引擎、Event事件总线、RAG管线、展会世界模型、Agent智能体体系、Workflow工作流引擎、Enclosure空间应用管理、Simulate时空模拟器、空间人流算法、Security安全权限、IoT设备管理系统、WebOS前端运行时、空间应用模板库、用户身份鉴别和管理、Bricks组件渲染引擎、3D图形渲染引擎、GIS底图应用引擎、空间知识库、自然语言交互、资源管理器、低代码开发工具、应用集市等功能</w:t>
            </w:r>
          </w:p>
        </w:tc>
        <w:tc>
          <w:tcPr>
            <w:tcW w:w="993" w:type="pct"/>
            <w:vMerge w:val="restart"/>
            <w:noWrap/>
            <w:vAlign w:val="center"/>
          </w:tcPr>
          <w:p w14:paraId="11085D1F">
            <w:pPr>
              <w:widowControl/>
              <w:spacing w:line="240" w:lineRule="auto"/>
              <w:ind w:firstLine="0" w:firstLineChars="0"/>
              <w:rPr>
                <w:rFonts w:cs="宋体"/>
                <w:bCs/>
                <w:kern w:val="0"/>
                <w:sz w:val="21"/>
                <w:szCs w:val="21"/>
              </w:rPr>
            </w:pPr>
            <w:r>
              <w:rPr>
                <w:rFonts w:hint="eastAsia" w:cs="宋体"/>
                <w:bCs/>
                <w:kern w:val="0"/>
                <w:sz w:val="21"/>
                <w:szCs w:val="21"/>
              </w:rPr>
              <w:t>支架单体重量小于1000g；</w:t>
            </w:r>
          </w:p>
          <w:p w14:paraId="555B6672">
            <w:pPr>
              <w:widowControl/>
              <w:spacing w:line="240" w:lineRule="auto"/>
              <w:ind w:firstLine="0" w:firstLineChars="0"/>
              <w:rPr>
                <w:rFonts w:cs="宋体"/>
                <w:bCs/>
                <w:kern w:val="0"/>
                <w:sz w:val="21"/>
                <w:szCs w:val="21"/>
              </w:rPr>
            </w:pPr>
            <w:r>
              <w:rPr>
                <w:rFonts w:hint="eastAsia" w:cs="宋体"/>
                <w:bCs/>
                <w:kern w:val="0"/>
                <w:sz w:val="21"/>
                <w:szCs w:val="21"/>
              </w:rPr>
              <w:t>能够支持POE方式部署供电；</w:t>
            </w:r>
          </w:p>
          <w:p w14:paraId="3D89F049">
            <w:pPr>
              <w:widowControl/>
              <w:spacing w:line="240" w:lineRule="auto"/>
              <w:ind w:firstLine="0" w:firstLineChars="0"/>
              <w:rPr>
                <w:rFonts w:cs="宋体"/>
                <w:bCs/>
                <w:kern w:val="0"/>
                <w:sz w:val="21"/>
                <w:szCs w:val="21"/>
              </w:rPr>
            </w:pPr>
            <w:r>
              <w:rPr>
                <w:rFonts w:hint="eastAsia" w:cs="宋体"/>
                <w:bCs/>
                <w:kern w:val="0"/>
                <w:sz w:val="21"/>
                <w:szCs w:val="21"/>
              </w:rPr>
              <w:t>支持螺丝打孔固定/非打孔固定等多种安装方式；</w:t>
            </w:r>
          </w:p>
          <w:p w14:paraId="735FD04F">
            <w:pPr>
              <w:widowControl/>
              <w:spacing w:line="240" w:lineRule="auto"/>
              <w:ind w:firstLine="0" w:firstLineChars="0"/>
              <w:rPr>
                <w:rFonts w:cs="宋体"/>
                <w:bCs/>
                <w:kern w:val="0"/>
                <w:sz w:val="21"/>
                <w:szCs w:val="21"/>
              </w:rPr>
            </w:pPr>
            <w:r>
              <w:rPr>
                <w:rFonts w:hint="eastAsia" w:cs="宋体"/>
                <w:bCs/>
                <w:kern w:val="0"/>
                <w:sz w:val="21"/>
                <w:szCs w:val="21"/>
              </w:rPr>
              <w:t>支持朝上正装，垂直地面侧装，朝下倒装至少3种安装方式；</w:t>
            </w:r>
          </w:p>
          <w:p w14:paraId="0CD64BFA">
            <w:pPr>
              <w:widowControl/>
              <w:spacing w:line="240" w:lineRule="auto"/>
              <w:ind w:firstLine="0" w:firstLineChars="0"/>
              <w:rPr>
                <w:rFonts w:cs="宋体"/>
                <w:bCs/>
                <w:kern w:val="0"/>
                <w:sz w:val="21"/>
                <w:szCs w:val="21"/>
              </w:rPr>
            </w:pPr>
            <w:r>
              <w:rPr>
                <w:rFonts w:hint="eastAsia" w:cs="宋体"/>
                <w:bCs/>
                <w:kern w:val="0"/>
                <w:sz w:val="21"/>
                <w:szCs w:val="21"/>
              </w:rPr>
              <w:t>需要能够安装在距离地面0～12米范围内。</w:t>
            </w:r>
          </w:p>
        </w:tc>
        <w:tc>
          <w:tcPr>
            <w:tcW w:w="405" w:type="pct"/>
            <w:shd w:val="clear" w:color="auto" w:fill="auto"/>
            <w:noWrap/>
            <w:vAlign w:val="center"/>
          </w:tcPr>
          <w:p w14:paraId="715F4C7B">
            <w:pPr>
              <w:widowControl/>
              <w:spacing w:line="240" w:lineRule="auto"/>
              <w:ind w:firstLine="0" w:firstLineChars="0"/>
              <w:jc w:val="center"/>
              <w:rPr>
                <w:rFonts w:cs="宋体"/>
                <w:bCs/>
                <w:kern w:val="0"/>
                <w:sz w:val="21"/>
                <w:szCs w:val="21"/>
              </w:rPr>
            </w:pPr>
            <w:r>
              <w:rPr>
                <w:rFonts w:cs="宋体"/>
                <w:bCs/>
                <w:kern w:val="0"/>
                <w:sz w:val="21"/>
                <w:szCs w:val="21"/>
              </w:rPr>
              <w:t>1700</w:t>
            </w:r>
          </w:p>
        </w:tc>
        <w:tc>
          <w:tcPr>
            <w:tcW w:w="278" w:type="pct"/>
            <w:noWrap/>
            <w:vAlign w:val="center"/>
          </w:tcPr>
          <w:p w14:paraId="1CA5BF98">
            <w:pPr>
              <w:widowControl/>
              <w:spacing w:line="240" w:lineRule="auto"/>
              <w:ind w:firstLine="0" w:firstLineChars="0"/>
              <w:jc w:val="center"/>
              <w:rPr>
                <w:rFonts w:cs="宋体"/>
                <w:bCs/>
                <w:kern w:val="0"/>
                <w:sz w:val="21"/>
                <w:szCs w:val="21"/>
              </w:rPr>
            </w:pPr>
            <w:r>
              <w:rPr>
                <w:rFonts w:hint="eastAsia" w:cs="宋体"/>
                <w:bCs/>
                <w:kern w:val="0"/>
                <w:sz w:val="21"/>
                <w:szCs w:val="21"/>
              </w:rPr>
              <w:t>套</w:t>
            </w:r>
          </w:p>
        </w:tc>
      </w:tr>
      <w:tr w14:paraId="229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10" w:type="pct"/>
            <w:noWrap/>
            <w:vAlign w:val="center"/>
          </w:tcPr>
          <w:p w14:paraId="0ED06ED1">
            <w:pPr>
              <w:widowControl/>
              <w:spacing w:line="240" w:lineRule="auto"/>
              <w:ind w:firstLine="0" w:firstLineChars="0"/>
              <w:jc w:val="center"/>
              <w:rPr>
                <w:rFonts w:cs="宋体"/>
                <w:bCs/>
                <w:kern w:val="0"/>
                <w:sz w:val="21"/>
                <w:szCs w:val="21"/>
              </w:rPr>
            </w:pPr>
            <w:r>
              <w:rPr>
                <w:rFonts w:hint="eastAsia" w:cs="宋体"/>
                <w:bCs/>
                <w:kern w:val="0"/>
                <w:sz w:val="21"/>
                <w:szCs w:val="21"/>
              </w:rPr>
              <w:t>2</w:t>
            </w:r>
          </w:p>
        </w:tc>
        <w:tc>
          <w:tcPr>
            <w:tcW w:w="367" w:type="pct"/>
            <w:noWrap/>
            <w:vAlign w:val="center"/>
          </w:tcPr>
          <w:p w14:paraId="3900E234">
            <w:pPr>
              <w:widowControl/>
              <w:spacing w:line="240" w:lineRule="auto"/>
              <w:ind w:firstLine="0" w:firstLineChars="0"/>
              <w:jc w:val="center"/>
              <w:rPr>
                <w:rFonts w:cs="宋体"/>
                <w:bCs/>
                <w:kern w:val="0"/>
                <w:sz w:val="21"/>
                <w:szCs w:val="21"/>
              </w:rPr>
            </w:pPr>
            <w:r>
              <w:rPr>
                <w:rFonts w:hint="eastAsia" w:cs="宋体"/>
                <w:bCs/>
                <w:kern w:val="0"/>
                <w:sz w:val="21"/>
                <w:szCs w:val="21"/>
              </w:rPr>
              <w:t>RFID设备</w:t>
            </w:r>
          </w:p>
        </w:tc>
        <w:tc>
          <w:tcPr>
            <w:tcW w:w="357" w:type="pct"/>
            <w:noWrap/>
            <w:vAlign w:val="center"/>
          </w:tcPr>
          <w:p w14:paraId="1A37BD68">
            <w:pPr>
              <w:widowControl/>
              <w:spacing w:line="240" w:lineRule="auto"/>
              <w:ind w:firstLine="0" w:firstLineChars="0"/>
              <w:jc w:val="center"/>
              <w:rPr>
                <w:rFonts w:cs="宋体"/>
                <w:bCs/>
                <w:kern w:val="0"/>
                <w:sz w:val="21"/>
                <w:szCs w:val="21"/>
              </w:rPr>
            </w:pPr>
            <w:r>
              <w:rPr>
                <w:rFonts w:hint="eastAsia" w:cs="宋体"/>
                <w:bCs/>
                <w:kern w:val="0"/>
                <w:sz w:val="21"/>
                <w:szCs w:val="21"/>
              </w:rPr>
              <w:t>RFID配件</w:t>
            </w:r>
          </w:p>
        </w:tc>
        <w:tc>
          <w:tcPr>
            <w:tcW w:w="489" w:type="pct"/>
            <w:noWrap/>
            <w:vAlign w:val="center"/>
          </w:tcPr>
          <w:p w14:paraId="0485A719">
            <w:pPr>
              <w:widowControl/>
              <w:spacing w:line="240" w:lineRule="auto"/>
              <w:ind w:firstLine="0" w:firstLineChars="0"/>
              <w:jc w:val="center"/>
              <w:rPr>
                <w:rFonts w:cs="宋体"/>
                <w:bCs/>
                <w:kern w:val="0"/>
                <w:sz w:val="21"/>
                <w:szCs w:val="21"/>
              </w:rPr>
            </w:pPr>
            <w:r>
              <w:rPr>
                <w:rFonts w:hint="eastAsia" w:cs="宋体"/>
                <w:bCs/>
                <w:kern w:val="0"/>
                <w:sz w:val="21"/>
                <w:szCs w:val="21"/>
              </w:rPr>
              <w:t>空间计算感知设备</w:t>
            </w:r>
          </w:p>
        </w:tc>
        <w:tc>
          <w:tcPr>
            <w:tcW w:w="446" w:type="pct"/>
            <w:noWrap/>
            <w:vAlign w:val="center"/>
          </w:tcPr>
          <w:p w14:paraId="120A49B5">
            <w:pPr>
              <w:widowControl/>
              <w:spacing w:line="240" w:lineRule="auto"/>
              <w:ind w:firstLine="0" w:firstLineChars="0"/>
              <w:jc w:val="center"/>
              <w:rPr>
                <w:rFonts w:cs="宋体"/>
                <w:bCs/>
                <w:kern w:val="0"/>
                <w:sz w:val="21"/>
                <w:szCs w:val="21"/>
              </w:rPr>
            </w:pPr>
            <w:r>
              <w:rPr>
                <w:rFonts w:hint="eastAsia" w:cs="宋体"/>
                <w:bCs/>
                <w:kern w:val="0"/>
                <w:sz w:val="21"/>
                <w:szCs w:val="21"/>
              </w:rPr>
              <w:t>POE分离器</w:t>
            </w:r>
          </w:p>
        </w:tc>
        <w:tc>
          <w:tcPr>
            <w:tcW w:w="1350" w:type="pct"/>
            <w:noWrap/>
            <w:vAlign w:val="center"/>
          </w:tcPr>
          <w:p w14:paraId="710DFA14">
            <w:pPr>
              <w:widowControl/>
              <w:spacing w:line="240" w:lineRule="auto"/>
              <w:ind w:firstLine="0" w:firstLineChars="0"/>
              <w:jc w:val="left"/>
              <w:rPr>
                <w:rFonts w:cs="宋体"/>
                <w:bCs/>
                <w:kern w:val="0"/>
                <w:sz w:val="21"/>
                <w:szCs w:val="21"/>
              </w:rPr>
            </w:pPr>
            <w:r>
              <w:rPr>
                <w:rFonts w:hint="eastAsia" w:cs="宋体"/>
                <w:bCs/>
                <w:kern w:val="0"/>
                <w:sz w:val="21"/>
                <w:szCs w:val="21"/>
              </w:rPr>
              <w:t>工业级供电30W国标48V转12V2.5A大功率千兆；30W隔离式</w:t>
            </w:r>
          </w:p>
        </w:tc>
        <w:tc>
          <w:tcPr>
            <w:tcW w:w="993" w:type="pct"/>
            <w:vMerge w:val="continue"/>
            <w:noWrap/>
            <w:vAlign w:val="center"/>
          </w:tcPr>
          <w:p w14:paraId="4F7043F6">
            <w:pPr>
              <w:widowControl/>
              <w:spacing w:line="240" w:lineRule="auto"/>
              <w:ind w:firstLine="0" w:firstLineChars="0"/>
              <w:rPr>
                <w:rFonts w:cs="宋体"/>
                <w:bCs/>
                <w:kern w:val="0"/>
                <w:sz w:val="21"/>
                <w:szCs w:val="21"/>
              </w:rPr>
            </w:pPr>
          </w:p>
        </w:tc>
        <w:tc>
          <w:tcPr>
            <w:tcW w:w="405" w:type="pct"/>
            <w:shd w:val="clear" w:color="auto" w:fill="auto"/>
            <w:noWrap/>
            <w:vAlign w:val="center"/>
          </w:tcPr>
          <w:p w14:paraId="5437D749">
            <w:pPr>
              <w:widowControl/>
              <w:spacing w:line="240" w:lineRule="auto"/>
              <w:ind w:firstLine="0" w:firstLineChars="0"/>
              <w:jc w:val="center"/>
              <w:rPr>
                <w:rFonts w:cs="宋体"/>
                <w:bCs/>
                <w:kern w:val="0"/>
                <w:sz w:val="21"/>
                <w:szCs w:val="21"/>
              </w:rPr>
            </w:pPr>
            <w:r>
              <w:rPr>
                <w:rFonts w:cs="宋体"/>
                <w:bCs/>
                <w:kern w:val="0"/>
                <w:sz w:val="21"/>
                <w:szCs w:val="21"/>
              </w:rPr>
              <w:t>1700</w:t>
            </w:r>
          </w:p>
        </w:tc>
        <w:tc>
          <w:tcPr>
            <w:tcW w:w="278" w:type="pct"/>
            <w:noWrap/>
            <w:vAlign w:val="center"/>
          </w:tcPr>
          <w:p w14:paraId="009936F6">
            <w:pPr>
              <w:widowControl/>
              <w:spacing w:line="240" w:lineRule="auto"/>
              <w:ind w:firstLine="0" w:firstLineChars="0"/>
              <w:jc w:val="center"/>
              <w:rPr>
                <w:rFonts w:cs="宋体"/>
                <w:bCs/>
                <w:kern w:val="0"/>
                <w:sz w:val="21"/>
                <w:szCs w:val="21"/>
              </w:rPr>
            </w:pPr>
            <w:r>
              <w:rPr>
                <w:rFonts w:hint="eastAsia" w:cs="宋体"/>
                <w:bCs/>
                <w:kern w:val="0"/>
                <w:sz w:val="21"/>
                <w:szCs w:val="21"/>
              </w:rPr>
              <w:t>套</w:t>
            </w:r>
          </w:p>
        </w:tc>
      </w:tr>
      <w:tr w14:paraId="74B6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310" w:type="pct"/>
            <w:noWrap/>
            <w:vAlign w:val="center"/>
          </w:tcPr>
          <w:p w14:paraId="7D8522D0">
            <w:pPr>
              <w:widowControl/>
              <w:spacing w:line="240" w:lineRule="auto"/>
              <w:ind w:firstLine="0" w:firstLineChars="0"/>
              <w:jc w:val="center"/>
              <w:rPr>
                <w:rFonts w:cs="宋体"/>
                <w:bCs/>
                <w:kern w:val="0"/>
                <w:sz w:val="21"/>
                <w:szCs w:val="21"/>
              </w:rPr>
            </w:pPr>
            <w:r>
              <w:rPr>
                <w:rFonts w:hint="eastAsia" w:cs="宋体"/>
                <w:bCs/>
                <w:kern w:val="0"/>
                <w:sz w:val="21"/>
                <w:szCs w:val="21"/>
              </w:rPr>
              <w:t>3</w:t>
            </w:r>
          </w:p>
        </w:tc>
        <w:tc>
          <w:tcPr>
            <w:tcW w:w="367" w:type="pct"/>
            <w:noWrap/>
            <w:vAlign w:val="center"/>
          </w:tcPr>
          <w:p w14:paraId="12F91E25">
            <w:pPr>
              <w:widowControl/>
              <w:spacing w:line="240" w:lineRule="auto"/>
              <w:ind w:firstLine="0" w:firstLineChars="0"/>
              <w:jc w:val="center"/>
              <w:rPr>
                <w:rFonts w:cs="宋体"/>
                <w:bCs/>
                <w:kern w:val="0"/>
                <w:sz w:val="21"/>
                <w:szCs w:val="21"/>
              </w:rPr>
            </w:pPr>
            <w:r>
              <w:rPr>
                <w:rFonts w:hint="eastAsia" w:cs="宋体"/>
                <w:bCs/>
                <w:kern w:val="0"/>
                <w:sz w:val="21"/>
                <w:szCs w:val="21"/>
              </w:rPr>
              <w:t>RFID设备</w:t>
            </w:r>
          </w:p>
        </w:tc>
        <w:tc>
          <w:tcPr>
            <w:tcW w:w="357" w:type="pct"/>
            <w:noWrap/>
            <w:vAlign w:val="center"/>
          </w:tcPr>
          <w:p w14:paraId="65B81645">
            <w:pPr>
              <w:widowControl/>
              <w:spacing w:line="240" w:lineRule="auto"/>
              <w:ind w:firstLine="0" w:firstLineChars="0"/>
              <w:jc w:val="center"/>
              <w:rPr>
                <w:rFonts w:cs="宋体"/>
                <w:bCs/>
                <w:kern w:val="0"/>
                <w:sz w:val="21"/>
                <w:szCs w:val="21"/>
              </w:rPr>
            </w:pPr>
            <w:r>
              <w:rPr>
                <w:rFonts w:hint="eastAsia" w:cs="宋体"/>
                <w:bCs/>
                <w:kern w:val="0"/>
                <w:sz w:val="21"/>
                <w:szCs w:val="21"/>
              </w:rPr>
              <w:t>RFID配件</w:t>
            </w:r>
          </w:p>
        </w:tc>
        <w:tc>
          <w:tcPr>
            <w:tcW w:w="489" w:type="pct"/>
            <w:noWrap/>
            <w:vAlign w:val="center"/>
          </w:tcPr>
          <w:p w14:paraId="69639A33">
            <w:pPr>
              <w:widowControl/>
              <w:spacing w:line="240" w:lineRule="auto"/>
              <w:ind w:firstLine="0" w:firstLineChars="0"/>
              <w:jc w:val="center"/>
              <w:rPr>
                <w:rFonts w:cs="宋体"/>
                <w:bCs/>
                <w:kern w:val="0"/>
                <w:sz w:val="21"/>
                <w:szCs w:val="21"/>
              </w:rPr>
            </w:pPr>
            <w:r>
              <w:rPr>
                <w:rFonts w:hint="eastAsia" w:cs="宋体"/>
                <w:bCs/>
                <w:kern w:val="0"/>
                <w:sz w:val="21"/>
                <w:szCs w:val="21"/>
              </w:rPr>
              <w:t>空间计算感知设备</w:t>
            </w:r>
          </w:p>
        </w:tc>
        <w:tc>
          <w:tcPr>
            <w:tcW w:w="446" w:type="pct"/>
            <w:noWrap/>
            <w:vAlign w:val="center"/>
          </w:tcPr>
          <w:p w14:paraId="53C3BF3B">
            <w:pPr>
              <w:widowControl/>
              <w:spacing w:line="240" w:lineRule="auto"/>
              <w:ind w:firstLine="0" w:firstLineChars="0"/>
              <w:jc w:val="center"/>
              <w:rPr>
                <w:rFonts w:cs="宋体"/>
                <w:bCs/>
                <w:kern w:val="0"/>
                <w:sz w:val="21"/>
                <w:szCs w:val="21"/>
              </w:rPr>
            </w:pPr>
            <w:r>
              <w:rPr>
                <w:rFonts w:hint="eastAsia" w:cs="宋体"/>
                <w:bCs/>
                <w:kern w:val="0"/>
                <w:sz w:val="21"/>
                <w:szCs w:val="21"/>
              </w:rPr>
              <w:t>BLE蓝牙模块</w:t>
            </w:r>
          </w:p>
        </w:tc>
        <w:tc>
          <w:tcPr>
            <w:tcW w:w="1350" w:type="pct"/>
            <w:noWrap/>
            <w:vAlign w:val="center"/>
          </w:tcPr>
          <w:p w14:paraId="282F48E4">
            <w:pPr>
              <w:widowControl/>
              <w:spacing w:line="240" w:lineRule="auto"/>
              <w:ind w:firstLine="0" w:firstLineChars="0"/>
              <w:jc w:val="left"/>
              <w:rPr>
                <w:rFonts w:cs="宋体"/>
                <w:bCs/>
                <w:kern w:val="0"/>
                <w:sz w:val="21"/>
                <w:szCs w:val="21"/>
              </w:rPr>
            </w:pPr>
            <w:r>
              <w:rPr>
                <w:rFonts w:hint="eastAsia" w:cs="宋体"/>
                <w:bCs/>
                <w:kern w:val="0"/>
                <w:sz w:val="21"/>
                <w:szCs w:val="21"/>
              </w:rPr>
              <w:t>1. 支持&gt;400路的基于蓝牙5.1协议的实时连接和数据传输能力。</w:t>
            </w:r>
          </w:p>
          <w:p w14:paraId="43463FB3">
            <w:pPr>
              <w:widowControl/>
              <w:spacing w:line="240" w:lineRule="auto"/>
              <w:ind w:firstLine="0" w:firstLineChars="0"/>
              <w:jc w:val="left"/>
              <w:rPr>
                <w:rFonts w:cs="宋体"/>
                <w:bCs/>
                <w:kern w:val="0"/>
                <w:sz w:val="21"/>
                <w:szCs w:val="21"/>
              </w:rPr>
            </w:pPr>
            <w:r>
              <w:rPr>
                <w:rFonts w:hint="eastAsia" w:cs="宋体"/>
                <w:bCs/>
                <w:kern w:val="0"/>
                <w:sz w:val="21"/>
                <w:szCs w:val="21"/>
              </w:rPr>
              <w:t>2. 支持低功耗蓝牙5.1协议， 支持BR/EDR能力，兼容经典蓝牙的设备连接。</w:t>
            </w:r>
          </w:p>
          <w:p w14:paraId="7BD04A86">
            <w:pPr>
              <w:widowControl/>
              <w:spacing w:line="240" w:lineRule="auto"/>
              <w:ind w:firstLine="0" w:firstLineChars="0"/>
              <w:jc w:val="left"/>
              <w:rPr>
                <w:rFonts w:cs="宋体"/>
                <w:bCs/>
                <w:kern w:val="0"/>
                <w:sz w:val="21"/>
                <w:szCs w:val="21"/>
              </w:rPr>
            </w:pPr>
            <w:r>
              <w:rPr>
                <w:rFonts w:hint="eastAsia" w:cs="宋体"/>
                <w:bCs/>
                <w:kern w:val="0"/>
                <w:sz w:val="21"/>
                <w:szCs w:val="21"/>
              </w:rPr>
              <w:t>3. 支持同时接收和解析37，38，39通道蓝牙广播协议，接收和解析广播包的能力&gt;2000数据包/秒</w:t>
            </w:r>
          </w:p>
          <w:p w14:paraId="476D8EB3">
            <w:pPr>
              <w:widowControl/>
              <w:spacing w:line="240" w:lineRule="auto"/>
              <w:ind w:firstLine="0" w:firstLineChars="0"/>
              <w:jc w:val="left"/>
              <w:rPr>
                <w:rFonts w:cs="宋体"/>
                <w:bCs/>
                <w:kern w:val="0"/>
                <w:sz w:val="21"/>
                <w:szCs w:val="21"/>
              </w:rPr>
            </w:pPr>
            <w:r>
              <w:rPr>
                <w:rFonts w:hint="eastAsia" w:cs="宋体"/>
                <w:bCs/>
                <w:kern w:val="0"/>
                <w:sz w:val="21"/>
                <w:szCs w:val="21"/>
              </w:rPr>
              <w:t>4. 拥有超过20路的2.4G蓝牙天线（独立天线），用于同时分别处理不同频段的蓝牙数据。</w:t>
            </w:r>
          </w:p>
          <w:p w14:paraId="2CA90B6B">
            <w:pPr>
              <w:widowControl/>
              <w:spacing w:line="240" w:lineRule="auto"/>
              <w:ind w:firstLine="0" w:firstLineChars="0"/>
              <w:jc w:val="left"/>
              <w:rPr>
                <w:rFonts w:cs="宋体"/>
                <w:bCs/>
                <w:kern w:val="0"/>
                <w:sz w:val="21"/>
                <w:szCs w:val="21"/>
              </w:rPr>
            </w:pPr>
            <w:r>
              <w:rPr>
                <w:rFonts w:hint="eastAsia" w:cs="宋体"/>
                <w:bCs/>
                <w:kern w:val="0"/>
                <w:sz w:val="21"/>
                <w:szCs w:val="21"/>
              </w:rPr>
              <w:t>5. 支持以USB2.0协议的方式与外部其他硬件设备进行数据交互通信。</w:t>
            </w:r>
          </w:p>
        </w:tc>
        <w:tc>
          <w:tcPr>
            <w:tcW w:w="993" w:type="pct"/>
            <w:vMerge w:val="continue"/>
            <w:noWrap/>
            <w:vAlign w:val="center"/>
          </w:tcPr>
          <w:p w14:paraId="0659431C">
            <w:pPr>
              <w:widowControl/>
              <w:spacing w:line="240" w:lineRule="auto"/>
              <w:ind w:firstLine="0" w:firstLineChars="0"/>
              <w:rPr>
                <w:rFonts w:cs="宋体"/>
                <w:bCs/>
                <w:kern w:val="0"/>
                <w:sz w:val="21"/>
                <w:szCs w:val="21"/>
              </w:rPr>
            </w:pPr>
          </w:p>
        </w:tc>
        <w:tc>
          <w:tcPr>
            <w:tcW w:w="405" w:type="pct"/>
            <w:shd w:val="clear" w:color="auto" w:fill="auto"/>
            <w:noWrap/>
            <w:vAlign w:val="center"/>
          </w:tcPr>
          <w:p w14:paraId="38FABACC">
            <w:pPr>
              <w:widowControl/>
              <w:spacing w:line="240" w:lineRule="auto"/>
              <w:ind w:firstLine="0" w:firstLineChars="0"/>
              <w:jc w:val="center"/>
              <w:rPr>
                <w:rFonts w:cs="宋体"/>
                <w:bCs/>
                <w:kern w:val="0"/>
                <w:sz w:val="21"/>
                <w:szCs w:val="21"/>
              </w:rPr>
            </w:pPr>
            <w:r>
              <w:rPr>
                <w:rFonts w:cs="宋体"/>
                <w:bCs/>
                <w:kern w:val="0"/>
                <w:sz w:val="21"/>
                <w:szCs w:val="21"/>
              </w:rPr>
              <w:t>1700</w:t>
            </w:r>
          </w:p>
        </w:tc>
        <w:tc>
          <w:tcPr>
            <w:tcW w:w="278" w:type="pct"/>
            <w:noWrap/>
            <w:vAlign w:val="center"/>
          </w:tcPr>
          <w:p w14:paraId="1EA9C417">
            <w:pPr>
              <w:widowControl/>
              <w:spacing w:line="240" w:lineRule="auto"/>
              <w:ind w:firstLine="0" w:firstLineChars="0"/>
              <w:jc w:val="center"/>
              <w:rPr>
                <w:rFonts w:cs="宋体"/>
                <w:bCs/>
                <w:kern w:val="0"/>
                <w:sz w:val="21"/>
                <w:szCs w:val="21"/>
              </w:rPr>
            </w:pPr>
            <w:r>
              <w:rPr>
                <w:rFonts w:hint="eastAsia" w:cs="宋体"/>
                <w:bCs/>
                <w:kern w:val="0"/>
                <w:sz w:val="21"/>
                <w:szCs w:val="21"/>
              </w:rPr>
              <w:t>套</w:t>
            </w:r>
          </w:p>
        </w:tc>
      </w:tr>
      <w:bookmarkEnd w:id="18"/>
      <w:bookmarkEnd w:id="21"/>
    </w:tbl>
    <w:p w14:paraId="12841A90">
      <w:pPr>
        <w:pStyle w:val="2"/>
      </w:pPr>
      <w:bookmarkStart w:id="22" w:name="_Toc63785503"/>
      <w:r>
        <w:rPr>
          <w:rFonts w:hint="eastAsia"/>
        </w:rPr>
        <w:t>电子政务云资源说明</w:t>
      </w:r>
    </w:p>
    <w:p w14:paraId="71C2D5EE">
      <w:r>
        <w:rPr>
          <w:rFonts w:hint="eastAsia"/>
        </w:rPr>
        <w:t>根据项目前期资源现状，本次建设项目电子政务云将提供</w:t>
      </w:r>
      <w:r>
        <w:t>67</w:t>
      </w:r>
      <w:r>
        <w:rPr>
          <w:rFonts w:hint="eastAsia"/>
        </w:rPr>
        <w:t>台虚拟机服务器资源，包括CPU</w:t>
      </w:r>
      <w:r>
        <w:t xml:space="preserve"> 1560</w:t>
      </w:r>
      <w:r>
        <w:rPr>
          <w:rFonts w:hint="eastAsia"/>
        </w:rPr>
        <w:t>核、内存</w:t>
      </w:r>
      <w:r>
        <w:t>3216</w:t>
      </w:r>
      <w:r>
        <w:rPr>
          <w:rFonts w:hint="eastAsia"/>
        </w:rPr>
        <w:t>G、存储</w:t>
      </w:r>
      <w:r>
        <w:t>39300G</w:t>
      </w:r>
      <w:r>
        <w:rPr>
          <w:rFonts w:hint="eastAsia"/>
        </w:rPr>
        <w:t>。供应商应合理利用上述电子政务云资源进行系统的安装和部署。</w:t>
      </w:r>
    </w:p>
    <w:p w14:paraId="510102E0">
      <w:pPr>
        <w:pStyle w:val="2"/>
      </w:pPr>
      <w:r>
        <w:rPr>
          <w:rFonts w:hint="eastAsia"/>
        </w:rPr>
        <w:t>其他工作要求</w:t>
      </w:r>
      <w:bookmarkEnd w:id="22"/>
    </w:p>
    <w:p w14:paraId="31298101">
      <w:pPr>
        <w:pStyle w:val="3"/>
        <w:ind w:left="0" w:firstLine="0" w:firstLineChars="0"/>
      </w:pPr>
      <w:bookmarkStart w:id="23" w:name="_Toc61968111"/>
      <w:bookmarkEnd w:id="23"/>
      <w:bookmarkStart w:id="24" w:name="_Toc63762370"/>
      <w:bookmarkEnd w:id="24"/>
      <w:bookmarkStart w:id="25" w:name="_Toc63785504"/>
      <w:bookmarkEnd w:id="25"/>
      <w:bookmarkStart w:id="26" w:name="_Toc63585480"/>
      <w:bookmarkEnd w:id="26"/>
      <w:bookmarkStart w:id="27" w:name="_Toc62209488"/>
      <w:bookmarkEnd w:id="27"/>
      <w:bookmarkStart w:id="28" w:name="_Toc63151871"/>
      <w:bookmarkEnd w:id="28"/>
      <w:bookmarkStart w:id="29" w:name="_Toc63785439"/>
      <w:bookmarkEnd w:id="29"/>
      <w:bookmarkStart w:id="30" w:name="_Toc62219358"/>
      <w:bookmarkEnd w:id="30"/>
      <w:bookmarkStart w:id="31" w:name="_Toc63785505"/>
      <w:r>
        <w:rPr>
          <w:rFonts w:hint="eastAsia"/>
        </w:rPr>
        <w:t>售后服务要求</w:t>
      </w:r>
      <w:bookmarkEnd w:id="31"/>
    </w:p>
    <w:p w14:paraId="6FA19494">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本项目从系统验收通过之日起不少于12个月内提供</w:t>
      </w:r>
      <w:r>
        <w:rPr>
          <w:rFonts w:ascii="宋体" w:hAnsi="宋体"/>
          <w:sz w:val="24"/>
          <w:szCs w:val="24"/>
        </w:rPr>
        <w:t>7*24小时免费技术支持</w:t>
      </w:r>
      <w:r>
        <w:rPr>
          <w:rFonts w:hint="eastAsia" w:ascii="宋体" w:hAnsi="宋体"/>
          <w:sz w:val="24"/>
          <w:szCs w:val="24"/>
        </w:rPr>
        <w:t>和售后服务。</w:t>
      </w:r>
    </w:p>
    <w:p w14:paraId="3E53C428">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软件维护、系统功能完善、数据更新备份维护、数据库安全维护、系统硬件维护、系统巡检维护等。</w:t>
      </w:r>
    </w:p>
    <w:p w14:paraId="5F409EC1">
      <w:pPr>
        <w:pStyle w:val="3"/>
        <w:ind w:left="0" w:firstLine="0" w:firstLineChars="0"/>
      </w:pPr>
      <w:bookmarkStart w:id="32" w:name="_Toc63785506"/>
      <w:r>
        <w:rPr>
          <w:rFonts w:hint="eastAsia"/>
        </w:rPr>
        <w:t>应急响应要求</w:t>
      </w:r>
      <w:bookmarkEnd w:id="32"/>
    </w:p>
    <w:p w14:paraId="1307F088">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30分钟之内响应，专业工程师1小时内到达现场</w:t>
      </w:r>
      <w:r>
        <w:rPr>
          <w:rFonts w:hint="eastAsia" w:ascii="宋体" w:hAnsi="宋体"/>
          <w:sz w:val="24"/>
          <w:szCs w:val="24"/>
        </w:rPr>
        <w:t>并确诊，总故障解决时间不超过4小时。特殊故障与客户沟通协商后，按照协商的方式制定解决方案并进行处理。</w:t>
      </w:r>
    </w:p>
    <w:p w14:paraId="0FC092D0">
      <w:pPr>
        <w:pStyle w:val="3"/>
        <w:ind w:left="0" w:firstLine="0" w:firstLineChars="0"/>
      </w:pPr>
      <w:bookmarkStart w:id="33" w:name="_Toc63785507"/>
      <w:r>
        <w:rPr>
          <w:rFonts w:hint="eastAsia"/>
        </w:rPr>
        <w:t>培训要求</w:t>
      </w:r>
      <w:bookmarkEnd w:id="33"/>
    </w:p>
    <w:p w14:paraId="2786FC7D">
      <w:r>
        <w:rPr>
          <w:rFonts w:hint="eastAsia"/>
        </w:rPr>
        <w:t>对系统使用单位提供业务操作培训，应提供详细培训方案。</w:t>
      </w:r>
    </w:p>
    <w:p w14:paraId="71F939F2">
      <w:r>
        <w:rPr>
          <w:rFonts w:hint="eastAsia"/>
        </w:rPr>
        <w:t>(1)在质量保证期内，提供2次与项目相关的必要培训。</w:t>
      </w:r>
    </w:p>
    <w:p w14:paraId="1B05949D">
      <w:r>
        <w:rPr>
          <w:rFonts w:hint="eastAsia"/>
        </w:rPr>
        <w:t>(2)供应商需要开展分层次的人员培训工作，每次培训后应对参加培训人员进行测试，评估培训成果。培训应具有培训教材、培训环境和高水平的培训讲师。</w:t>
      </w:r>
    </w:p>
    <w:p w14:paraId="11C449F1">
      <w:r>
        <w:rPr>
          <w:rFonts w:hint="eastAsia"/>
        </w:rPr>
        <w:t>(3)供应商应提供一般用户的基础操作培训和部门信息管理员的日常应用维护的培训，确保用户对象能够掌握对应的操作技能。</w:t>
      </w:r>
    </w:p>
    <w:p w14:paraId="6834A9E9">
      <w:pPr>
        <w:pStyle w:val="3"/>
        <w:ind w:left="0" w:firstLine="0" w:firstLineChars="0"/>
      </w:pPr>
      <w:bookmarkStart w:id="34" w:name="_Toc63785508"/>
      <w:r>
        <w:rPr>
          <w:rFonts w:hint="eastAsia"/>
        </w:rPr>
        <w:t>验收要求</w:t>
      </w:r>
      <w:bookmarkEnd w:id="34"/>
    </w:p>
    <w:p w14:paraId="327F56AF">
      <w:pPr>
        <w:rPr>
          <w:szCs w:val="21"/>
        </w:rPr>
      </w:pPr>
      <w:r>
        <w:rPr>
          <w:rFonts w:hint="eastAsia"/>
          <w:szCs w:val="21"/>
        </w:rPr>
        <w:t>本项目按下述方式开展验收。</w:t>
      </w:r>
    </w:p>
    <w:p w14:paraId="6380DBA2">
      <w:pPr>
        <w:rPr>
          <w:szCs w:val="21"/>
        </w:rPr>
      </w:pPr>
      <w:r>
        <w:rPr>
          <w:rFonts w:hint="eastAsia"/>
          <w:szCs w:val="21"/>
        </w:rPr>
        <w:t>（</w:t>
      </w:r>
      <w:r>
        <w:rPr>
          <w:szCs w:val="21"/>
        </w:rPr>
        <w:t>1）验收分初验和终验。</w:t>
      </w:r>
    </w:p>
    <w:p w14:paraId="6D0119F1">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A398CE6">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21DB275B">
      <w:pPr>
        <w:rPr>
          <w:szCs w:val="21"/>
        </w:rPr>
      </w:pPr>
      <w:r>
        <w:rPr>
          <w:rFonts w:hint="eastAsia"/>
          <w:szCs w:val="21"/>
        </w:rPr>
        <w:t>（</w:t>
      </w:r>
      <w:r>
        <w:rPr>
          <w:szCs w:val="21"/>
        </w:rP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14:paraId="524B0E77">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1</w:t>
      </w:r>
      <w:r>
        <w:rPr>
          <w:szCs w:val="21"/>
        </w:rPr>
        <w:t>5个工作日内发起组织专家验收会。</w:t>
      </w:r>
    </w:p>
    <w:p w14:paraId="04795725">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766F74DC">
      <w:pPr>
        <w:rPr>
          <w:szCs w:val="21"/>
        </w:rPr>
      </w:pPr>
      <w:r>
        <w:rPr>
          <w:rFonts w:hint="eastAsia"/>
          <w:szCs w:val="21"/>
        </w:rPr>
        <w:t>（7</w:t>
      </w:r>
      <w:r>
        <w:rPr>
          <w:szCs w:val="21"/>
        </w:rPr>
        <w:t>）如果由于招标方原因导致本项目在终验通过前出现故障或问题，供应商应及时配合排除该方面的故障或问题。</w:t>
      </w:r>
    </w:p>
    <w:p w14:paraId="157ED6C4">
      <w:pPr>
        <w:rPr>
          <w:szCs w:val="21"/>
        </w:rPr>
      </w:pPr>
      <w:r>
        <w:rPr>
          <w:rFonts w:hint="eastAsia"/>
          <w:szCs w:val="21"/>
        </w:rPr>
        <w:t>（8</w:t>
      </w:r>
      <w:r>
        <w:rPr>
          <w:szCs w:val="21"/>
        </w:rPr>
        <w:t>）</w:t>
      </w:r>
      <w:r>
        <w:rPr>
          <w:rFonts w:hint="eastAsia"/>
          <w:szCs w:val="21"/>
        </w:rPr>
        <w:t>如本项目</w:t>
      </w:r>
      <w:r>
        <w:rPr>
          <w:szCs w:val="21"/>
        </w:rPr>
        <w:t>验收未通过（含初验未通过或终验未通过），招标方有权依照本项目约定的违约条款追究供应商的违约责任。</w:t>
      </w:r>
    </w:p>
    <w:p w14:paraId="61829735">
      <w:pPr>
        <w:pStyle w:val="3"/>
        <w:ind w:left="0" w:firstLine="0" w:firstLineChars="0"/>
      </w:pPr>
      <w:bookmarkStart w:id="35" w:name="_Toc63785509"/>
      <w:r>
        <w:rPr>
          <w:rFonts w:hint="eastAsia"/>
        </w:rPr>
        <w:t>进度要求</w:t>
      </w:r>
      <w:bookmarkEnd w:id="35"/>
    </w:p>
    <w:p w14:paraId="2DDC9377">
      <w:r>
        <w:rPr>
          <w:rFonts w:hint="eastAsia"/>
        </w:rPr>
        <w:t>投标人应根据建设内容，分阶段制定合理的时间进度，并且应根据招标方要求进行调整和细化。</w:t>
      </w:r>
    </w:p>
    <w:p w14:paraId="4520AFC8">
      <w:r>
        <w:rPr>
          <w:rFonts w:hint="eastAsia"/>
        </w:rPr>
        <w:t>总建设周期为</w:t>
      </w:r>
      <w:r>
        <w:t>9</w:t>
      </w:r>
      <w:r>
        <w:rPr>
          <w:rFonts w:hint="eastAsia"/>
        </w:rPr>
        <w:t>个月，分为</w:t>
      </w:r>
      <w:r>
        <w:t>4</w:t>
      </w:r>
      <w:r>
        <w:rPr>
          <w:rFonts w:hint="eastAsia"/>
        </w:rPr>
        <w:t>个阶段；</w:t>
      </w:r>
    </w:p>
    <w:p w14:paraId="53F40A8A">
      <w:r>
        <w:rPr>
          <w:rFonts w:hint="eastAsia"/>
        </w:rPr>
        <w:t>第一阶段为</w:t>
      </w:r>
      <w:r>
        <w:t>1</w:t>
      </w:r>
      <w:r>
        <w:rPr>
          <w:rFonts w:hint="eastAsia"/>
        </w:rPr>
        <w:t>个月，完成项目</w:t>
      </w:r>
      <w:r>
        <w:t>规划设计</w:t>
      </w:r>
      <w:r>
        <w:rPr>
          <w:rFonts w:hint="eastAsia"/>
        </w:rPr>
        <w:t>；</w:t>
      </w:r>
    </w:p>
    <w:p w14:paraId="7B0D0D37">
      <w:r>
        <w:rPr>
          <w:rFonts w:hint="eastAsia"/>
        </w:rPr>
        <w:t>第二阶段为</w:t>
      </w:r>
      <w:r>
        <w:t>5</w:t>
      </w:r>
      <w:r>
        <w:rPr>
          <w:rFonts w:hint="eastAsia"/>
        </w:rPr>
        <w:t>个月，完成项目</w:t>
      </w:r>
      <w:r>
        <w:t>开发测试</w:t>
      </w:r>
      <w:r>
        <w:rPr>
          <w:rFonts w:hint="eastAsia"/>
        </w:rPr>
        <w:t>以及空间计算感知设备硬件部署；</w:t>
      </w:r>
    </w:p>
    <w:p w14:paraId="1357B2E8">
      <w:r>
        <w:rPr>
          <w:rFonts w:hint="eastAsia"/>
        </w:rPr>
        <w:t>第三阶段为</w:t>
      </w:r>
      <w:r>
        <w:t>1</w:t>
      </w:r>
      <w:r>
        <w:rPr>
          <w:rFonts w:hint="eastAsia"/>
        </w:rPr>
        <w:t>个月，完成项目</w:t>
      </w:r>
      <w:r>
        <w:t>试运行和迭代开发</w:t>
      </w:r>
      <w:r>
        <w:rPr>
          <w:rFonts w:hint="eastAsia"/>
        </w:rPr>
        <w:t>；</w:t>
      </w:r>
    </w:p>
    <w:p w14:paraId="24E1A718">
      <w:r>
        <w:rPr>
          <w:rFonts w:hint="eastAsia"/>
        </w:rPr>
        <w:t>第四阶段为</w:t>
      </w:r>
      <w:r>
        <w:t>2</w:t>
      </w:r>
      <w:r>
        <w:rPr>
          <w:rFonts w:hint="eastAsia"/>
        </w:rPr>
        <w:t>个月，完成项目</w:t>
      </w:r>
      <w:r>
        <w:t>验收</w:t>
      </w:r>
      <w:r>
        <w:rPr>
          <w:rFonts w:hint="eastAsia"/>
        </w:rPr>
        <w:t>。</w:t>
      </w:r>
    </w:p>
    <w:p w14:paraId="6B5F72BA">
      <w:pPr>
        <w:pStyle w:val="3"/>
        <w:ind w:left="0" w:firstLine="0" w:firstLineChars="0"/>
      </w:pPr>
      <w:bookmarkStart w:id="36" w:name="_Toc63785510"/>
      <w:r>
        <w:rPr>
          <w:rFonts w:hint="eastAsia"/>
        </w:rPr>
        <w:t>项目团队及驻场人员要求</w:t>
      </w:r>
      <w:bookmarkEnd w:id="36"/>
    </w:p>
    <w:p w14:paraId="4F937ECE">
      <w:r>
        <w:t>投标人</w:t>
      </w:r>
      <w:r>
        <w:rPr>
          <w:rFonts w:hint="eastAsia"/>
        </w:rPr>
        <w:t>需</w:t>
      </w:r>
      <w:r>
        <w:t>具有稳定的在职技术保障力量，能够提供及时的技术支援或服务，应针对本项目提供</w:t>
      </w:r>
      <w:r>
        <w:rPr>
          <w:rFonts w:hint="eastAsia"/>
          <w:b/>
          <w:bCs/>
        </w:rPr>
        <w:t>至少140</w:t>
      </w:r>
      <w:r>
        <w:rPr>
          <w:b/>
          <w:bCs/>
        </w:rPr>
        <w:t>人</w:t>
      </w:r>
      <w:r>
        <w:t>的项目服务团队</w:t>
      </w:r>
      <w:r>
        <w:rPr>
          <w:rFonts w:hint="eastAsia"/>
        </w:rPr>
        <w:t>，</w:t>
      </w:r>
      <w:r>
        <w:rPr>
          <w:rFonts w:hint="eastAsia" w:ascii="Calibri" w:hAnsi="等线"/>
          <w:szCs w:val="22"/>
        </w:rPr>
        <w:t>并保证投标文件中所提供的项目团队人员名单，与后续项目执行中所投入的人员保持一致，如不一致，采购人有权终止项目合作</w:t>
      </w:r>
      <w:r>
        <w:t>。</w:t>
      </w:r>
    </w:p>
    <w:tbl>
      <w:tblPr>
        <w:tblStyle w:val="3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6"/>
        <w:gridCol w:w="1363"/>
        <w:gridCol w:w="1226"/>
        <w:gridCol w:w="2526"/>
        <w:gridCol w:w="2190"/>
        <w:gridCol w:w="1175"/>
      </w:tblGrid>
      <w:tr w14:paraId="7B05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1286" w:type="dxa"/>
            <w:noWrap/>
            <w:vAlign w:val="center"/>
          </w:tcPr>
          <w:p w14:paraId="2CC23C47">
            <w:pPr>
              <w:widowControl/>
              <w:spacing w:line="240" w:lineRule="auto"/>
              <w:ind w:firstLine="0" w:firstLineChars="0"/>
              <w:jc w:val="center"/>
              <w:rPr>
                <w:b/>
                <w:sz w:val="21"/>
                <w:szCs w:val="21"/>
              </w:rPr>
            </w:pPr>
            <w:r>
              <w:rPr>
                <w:rFonts w:hint="eastAsia"/>
                <w:b/>
                <w:sz w:val="21"/>
                <w:szCs w:val="21"/>
              </w:rPr>
              <w:t>角色</w:t>
            </w:r>
          </w:p>
        </w:tc>
        <w:tc>
          <w:tcPr>
            <w:tcW w:w="1363" w:type="dxa"/>
            <w:noWrap/>
            <w:vAlign w:val="center"/>
          </w:tcPr>
          <w:p w14:paraId="1EB23068">
            <w:pPr>
              <w:widowControl/>
              <w:spacing w:line="240" w:lineRule="auto"/>
              <w:ind w:firstLine="0" w:firstLineChars="0"/>
              <w:jc w:val="center"/>
              <w:rPr>
                <w:b/>
                <w:sz w:val="21"/>
                <w:szCs w:val="21"/>
              </w:rPr>
            </w:pPr>
            <w:r>
              <w:rPr>
                <w:rFonts w:hint="eastAsia"/>
                <w:b/>
                <w:sz w:val="21"/>
                <w:szCs w:val="21"/>
              </w:rPr>
              <w:t>主要职责</w:t>
            </w:r>
          </w:p>
        </w:tc>
        <w:tc>
          <w:tcPr>
            <w:tcW w:w="1226" w:type="dxa"/>
            <w:noWrap/>
            <w:vAlign w:val="center"/>
          </w:tcPr>
          <w:p w14:paraId="56B0FDFB">
            <w:pPr>
              <w:widowControl/>
              <w:spacing w:line="240" w:lineRule="auto"/>
              <w:ind w:firstLine="0" w:firstLineChars="0"/>
              <w:jc w:val="center"/>
              <w:rPr>
                <w:b/>
                <w:sz w:val="21"/>
                <w:szCs w:val="21"/>
              </w:rPr>
            </w:pPr>
            <w:r>
              <w:rPr>
                <w:rFonts w:hint="eastAsia"/>
                <w:b/>
                <w:sz w:val="21"/>
                <w:szCs w:val="21"/>
              </w:rPr>
              <w:t>人员数量</w:t>
            </w:r>
          </w:p>
        </w:tc>
        <w:tc>
          <w:tcPr>
            <w:tcW w:w="2526" w:type="dxa"/>
            <w:vAlign w:val="center"/>
          </w:tcPr>
          <w:p w14:paraId="536F9B7F">
            <w:pPr>
              <w:widowControl/>
              <w:spacing w:line="240" w:lineRule="auto"/>
              <w:ind w:firstLine="0" w:firstLineChars="0"/>
              <w:jc w:val="center"/>
              <w:rPr>
                <w:b/>
                <w:sz w:val="21"/>
                <w:szCs w:val="21"/>
              </w:rPr>
            </w:pPr>
            <w:r>
              <w:rPr>
                <w:rFonts w:hint="eastAsia"/>
                <w:b/>
                <w:sz w:val="21"/>
                <w:szCs w:val="21"/>
              </w:rPr>
              <w:t>人员资质要求</w:t>
            </w:r>
          </w:p>
        </w:tc>
        <w:tc>
          <w:tcPr>
            <w:tcW w:w="2190" w:type="dxa"/>
            <w:noWrap/>
            <w:vAlign w:val="center"/>
          </w:tcPr>
          <w:p w14:paraId="2489B452">
            <w:pPr>
              <w:widowControl/>
              <w:spacing w:line="240" w:lineRule="auto"/>
              <w:ind w:firstLine="0" w:firstLineChars="0"/>
              <w:jc w:val="center"/>
              <w:rPr>
                <w:b/>
                <w:sz w:val="21"/>
                <w:szCs w:val="21"/>
              </w:rPr>
            </w:pPr>
            <w:r>
              <w:rPr>
                <w:rFonts w:hint="eastAsia"/>
                <w:b/>
                <w:sz w:val="21"/>
                <w:szCs w:val="21"/>
              </w:rPr>
              <w:t>其他要求</w:t>
            </w:r>
          </w:p>
        </w:tc>
        <w:tc>
          <w:tcPr>
            <w:tcW w:w="1175" w:type="dxa"/>
            <w:noWrap/>
            <w:vAlign w:val="center"/>
          </w:tcPr>
          <w:p w14:paraId="0971C689">
            <w:pPr>
              <w:widowControl/>
              <w:spacing w:line="240" w:lineRule="auto"/>
              <w:ind w:firstLine="0" w:firstLineChars="0"/>
              <w:jc w:val="center"/>
              <w:rPr>
                <w:b/>
                <w:sz w:val="21"/>
                <w:szCs w:val="21"/>
              </w:rPr>
            </w:pPr>
            <w:r>
              <w:rPr>
                <w:rFonts w:hint="eastAsia"/>
                <w:b/>
                <w:sz w:val="21"/>
                <w:szCs w:val="21"/>
              </w:rPr>
              <w:t>驻场要求</w:t>
            </w:r>
          </w:p>
        </w:tc>
      </w:tr>
      <w:tr w14:paraId="3BF1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9" w:hRule="atLeast"/>
          <w:jc w:val="center"/>
        </w:trPr>
        <w:tc>
          <w:tcPr>
            <w:tcW w:w="1286" w:type="dxa"/>
            <w:noWrap/>
            <w:vAlign w:val="center"/>
          </w:tcPr>
          <w:p w14:paraId="4C7379EB">
            <w:pPr>
              <w:widowControl/>
              <w:spacing w:line="240" w:lineRule="auto"/>
              <w:ind w:firstLine="0" w:firstLineChars="0"/>
              <w:jc w:val="center"/>
              <w:rPr>
                <w:sz w:val="21"/>
                <w:szCs w:val="21"/>
              </w:rPr>
            </w:pPr>
            <w:r>
              <w:rPr>
                <w:rFonts w:hint="eastAsia"/>
                <w:sz w:val="21"/>
                <w:szCs w:val="21"/>
              </w:rPr>
              <w:t>项目经理</w:t>
            </w:r>
          </w:p>
        </w:tc>
        <w:tc>
          <w:tcPr>
            <w:tcW w:w="1363" w:type="dxa"/>
            <w:vAlign w:val="center"/>
          </w:tcPr>
          <w:p w14:paraId="69615865">
            <w:pPr>
              <w:widowControl/>
              <w:spacing w:line="240" w:lineRule="auto"/>
              <w:ind w:firstLine="0" w:firstLineChars="0"/>
              <w:jc w:val="center"/>
              <w:rPr>
                <w:sz w:val="21"/>
                <w:szCs w:val="21"/>
              </w:rPr>
            </w:pPr>
            <w:r>
              <w:rPr>
                <w:rFonts w:hint="eastAsia"/>
                <w:sz w:val="21"/>
                <w:szCs w:val="21"/>
              </w:rPr>
              <w:t>负责项目质量和进度控制</w:t>
            </w:r>
          </w:p>
        </w:tc>
        <w:tc>
          <w:tcPr>
            <w:tcW w:w="1226" w:type="dxa"/>
            <w:noWrap/>
            <w:vAlign w:val="center"/>
          </w:tcPr>
          <w:p w14:paraId="00BCA0CD">
            <w:pPr>
              <w:widowControl/>
              <w:spacing w:line="240" w:lineRule="auto"/>
              <w:ind w:firstLine="0" w:firstLineChars="0"/>
              <w:jc w:val="center"/>
              <w:rPr>
                <w:sz w:val="21"/>
                <w:szCs w:val="21"/>
              </w:rPr>
            </w:pPr>
            <w:r>
              <w:rPr>
                <w:rFonts w:hint="eastAsia"/>
                <w:sz w:val="21"/>
                <w:szCs w:val="21"/>
              </w:rPr>
              <w:t>2人</w:t>
            </w:r>
          </w:p>
        </w:tc>
        <w:tc>
          <w:tcPr>
            <w:tcW w:w="2526" w:type="dxa"/>
            <w:vAlign w:val="center"/>
          </w:tcPr>
          <w:p w14:paraId="5CFC3FA9">
            <w:pPr>
              <w:widowControl/>
              <w:spacing w:line="240" w:lineRule="auto"/>
              <w:ind w:firstLine="0" w:firstLineChars="0"/>
              <w:jc w:val="left"/>
              <w:rPr>
                <w:sz w:val="21"/>
                <w:szCs w:val="21"/>
              </w:rPr>
            </w:pPr>
            <w:r>
              <w:rPr>
                <w:rFonts w:hint="eastAsia"/>
                <w:sz w:val="21"/>
                <w:szCs w:val="21"/>
              </w:rPr>
              <w:t>本科及以上学历，具备信息系统项目管理师（高级）证书</w:t>
            </w:r>
          </w:p>
        </w:tc>
        <w:tc>
          <w:tcPr>
            <w:tcW w:w="2190" w:type="dxa"/>
            <w:noWrap/>
            <w:vAlign w:val="center"/>
          </w:tcPr>
          <w:p w14:paraId="41055031">
            <w:pPr>
              <w:widowControl/>
              <w:spacing w:line="240" w:lineRule="auto"/>
              <w:ind w:firstLine="0" w:firstLineChars="0"/>
              <w:jc w:val="left"/>
              <w:rPr>
                <w:sz w:val="21"/>
                <w:szCs w:val="21"/>
              </w:rPr>
            </w:pPr>
            <w:r>
              <w:rPr>
                <w:rFonts w:hint="eastAsia"/>
                <w:sz w:val="21"/>
                <w:szCs w:val="21"/>
              </w:rPr>
              <w:t>需提供相关人员投标前6个月内连续3个月有效缴纳社保的证明</w:t>
            </w:r>
          </w:p>
        </w:tc>
        <w:tc>
          <w:tcPr>
            <w:tcW w:w="1175" w:type="dxa"/>
            <w:noWrap/>
            <w:vAlign w:val="center"/>
          </w:tcPr>
          <w:p w14:paraId="0010CF12">
            <w:pPr>
              <w:widowControl/>
              <w:spacing w:line="240" w:lineRule="auto"/>
              <w:ind w:firstLine="0" w:firstLineChars="0"/>
              <w:jc w:val="center"/>
              <w:rPr>
                <w:sz w:val="21"/>
                <w:szCs w:val="21"/>
              </w:rPr>
            </w:pPr>
            <w:r>
              <w:rPr>
                <w:rFonts w:hint="eastAsia"/>
                <w:sz w:val="21"/>
                <w:szCs w:val="21"/>
              </w:rPr>
              <w:t>驻场</w:t>
            </w:r>
          </w:p>
        </w:tc>
      </w:tr>
      <w:tr w14:paraId="104C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jc w:val="center"/>
        </w:trPr>
        <w:tc>
          <w:tcPr>
            <w:tcW w:w="1286" w:type="dxa"/>
            <w:noWrap/>
            <w:vAlign w:val="center"/>
          </w:tcPr>
          <w:p w14:paraId="312B5F25">
            <w:pPr>
              <w:widowControl/>
              <w:spacing w:line="240" w:lineRule="auto"/>
              <w:ind w:firstLine="0" w:firstLineChars="0"/>
              <w:jc w:val="center"/>
              <w:rPr>
                <w:sz w:val="21"/>
                <w:szCs w:val="21"/>
              </w:rPr>
            </w:pPr>
            <w:r>
              <w:rPr>
                <w:rFonts w:hint="eastAsia"/>
                <w:sz w:val="21"/>
                <w:szCs w:val="21"/>
              </w:rPr>
              <w:t>系统架构师</w:t>
            </w:r>
          </w:p>
        </w:tc>
        <w:tc>
          <w:tcPr>
            <w:tcW w:w="1363" w:type="dxa"/>
            <w:vAlign w:val="center"/>
          </w:tcPr>
          <w:p w14:paraId="6BA2BE22">
            <w:pPr>
              <w:widowControl/>
              <w:spacing w:line="240" w:lineRule="auto"/>
              <w:ind w:firstLine="0" w:firstLineChars="0"/>
              <w:jc w:val="center"/>
              <w:rPr>
                <w:sz w:val="21"/>
                <w:szCs w:val="21"/>
              </w:rPr>
            </w:pPr>
            <w:r>
              <w:rPr>
                <w:rFonts w:hint="eastAsia"/>
                <w:sz w:val="21"/>
                <w:szCs w:val="21"/>
              </w:rPr>
              <w:t>架构设计</w:t>
            </w:r>
          </w:p>
        </w:tc>
        <w:tc>
          <w:tcPr>
            <w:tcW w:w="1226" w:type="dxa"/>
            <w:noWrap/>
            <w:vAlign w:val="center"/>
          </w:tcPr>
          <w:p w14:paraId="1E5D6DFA">
            <w:pPr>
              <w:widowControl/>
              <w:spacing w:line="240" w:lineRule="auto"/>
              <w:ind w:firstLine="0" w:firstLineChars="0"/>
              <w:jc w:val="center"/>
              <w:rPr>
                <w:sz w:val="21"/>
                <w:szCs w:val="21"/>
              </w:rPr>
            </w:pPr>
            <w:r>
              <w:rPr>
                <w:rFonts w:hint="eastAsia"/>
                <w:sz w:val="21"/>
                <w:szCs w:val="21"/>
              </w:rPr>
              <w:t>1人</w:t>
            </w:r>
          </w:p>
        </w:tc>
        <w:tc>
          <w:tcPr>
            <w:tcW w:w="2526" w:type="dxa"/>
            <w:vAlign w:val="center"/>
          </w:tcPr>
          <w:p w14:paraId="0CC80D71">
            <w:pPr>
              <w:widowControl/>
              <w:spacing w:line="240" w:lineRule="auto"/>
              <w:ind w:firstLine="0" w:firstLineChars="0"/>
              <w:jc w:val="left"/>
              <w:rPr>
                <w:sz w:val="21"/>
                <w:szCs w:val="21"/>
              </w:rPr>
            </w:pPr>
            <w:r>
              <w:rPr>
                <w:rFonts w:hint="eastAsia"/>
                <w:sz w:val="21"/>
                <w:szCs w:val="21"/>
              </w:rPr>
              <w:t>本科及以上学历，具备正高级工程师证书</w:t>
            </w:r>
          </w:p>
        </w:tc>
        <w:tc>
          <w:tcPr>
            <w:tcW w:w="2190" w:type="dxa"/>
            <w:noWrap/>
            <w:vAlign w:val="center"/>
          </w:tcPr>
          <w:p w14:paraId="663FB438">
            <w:pPr>
              <w:widowControl/>
              <w:spacing w:line="240" w:lineRule="auto"/>
              <w:ind w:firstLine="0" w:firstLineChars="0"/>
              <w:jc w:val="left"/>
              <w:rPr>
                <w:sz w:val="21"/>
                <w:szCs w:val="21"/>
              </w:rPr>
            </w:pPr>
            <w:r>
              <w:rPr>
                <w:rFonts w:hint="eastAsia"/>
                <w:sz w:val="21"/>
                <w:szCs w:val="21"/>
              </w:rPr>
              <w:t>需提供相关人员投标前6个月内连续3个月有效缴纳社保的证明</w:t>
            </w:r>
          </w:p>
        </w:tc>
        <w:tc>
          <w:tcPr>
            <w:tcW w:w="1175" w:type="dxa"/>
            <w:noWrap/>
            <w:vAlign w:val="center"/>
          </w:tcPr>
          <w:p w14:paraId="4A762C59">
            <w:pPr>
              <w:widowControl/>
              <w:spacing w:line="240" w:lineRule="auto"/>
              <w:ind w:firstLine="0" w:firstLineChars="0"/>
              <w:jc w:val="center"/>
              <w:rPr>
                <w:sz w:val="21"/>
                <w:szCs w:val="21"/>
              </w:rPr>
            </w:pPr>
            <w:r>
              <w:rPr>
                <w:rFonts w:hint="eastAsia"/>
                <w:sz w:val="21"/>
                <w:szCs w:val="21"/>
              </w:rPr>
              <w:t>驻场</w:t>
            </w:r>
          </w:p>
        </w:tc>
      </w:tr>
      <w:tr w14:paraId="2F1C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1286" w:type="dxa"/>
            <w:noWrap/>
            <w:vAlign w:val="center"/>
          </w:tcPr>
          <w:p w14:paraId="2215E0BC">
            <w:pPr>
              <w:widowControl/>
              <w:spacing w:line="240" w:lineRule="auto"/>
              <w:ind w:firstLine="0" w:firstLineChars="0"/>
              <w:jc w:val="center"/>
              <w:rPr>
                <w:sz w:val="21"/>
                <w:szCs w:val="21"/>
              </w:rPr>
            </w:pPr>
            <w:r>
              <w:rPr>
                <w:rFonts w:hint="eastAsia"/>
                <w:sz w:val="21"/>
                <w:szCs w:val="21"/>
              </w:rPr>
              <w:t>产品经理</w:t>
            </w:r>
          </w:p>
        </w:tc>
        <w:tc>
          <w:tcPr>
            <w:tcW w:w="1363" w:type="dxa"/>
            <w:vAlign w:val="center"/>
          </w:tcPr>
          <w:p w14:paraId="200C965C">
            <w:pPr>
              <w:widowControl/>
              <w:spacing w:line="240" w:lineRule="auto"/>
              <w:ind w:firstLine="0" w:firstLineChars="0"/>
              <w:jc w:val="center"/>
              <w:rPr>
                <w:sz w:val="21"/>
                <w:szCs w:val="21"/>
              </w:rPr>
            </w:pPr>
            <w:r>
              <w:rPr>
                <w:rFonts w:hint="eastAsia"/>
                <w:sz w:val="21"/>
                <w:szCs w:val="21"/>
              </w:rPr>
              <w:t>负责项目需求评估与产品设计</w:t>
            </w:r>
          </w:p>
        </w:tc>
        <w:tc>
          <w:tcPr>
            <w:tcW w:w="1226" w:type="dxa"/>
            <w:noWrap/>
            <w:vAlign w:val="center"/>
          </w:tcPr>
          <w:p w14:paraId="38AC3E1C">
            <w:pPr>
              <w:widowControl/>
              <w:spacing w:line="240" w:lineRule="auto"/>
              <w:ind w:firstLine="0" w:firstLineChars="0"/>
              <w:jc w:val="center"/>
              <w:rPr>
                <w:sz w:val="21"/>
                <w:szCs w:val="21"/>
              </w:rPr>
            </w:pPr>
            <w:r>
              <w:rPr>
                <w:rFonts w:hint="eastAsia"/>
                <w:sz w:val="21"/>
                <w:szCs w:val="21"/>
              </w:rPr>
              <w:t>2人</w:t>
            </w:r>
          </w:p>
        </w:tc>
        <w:tc>
          <w:tcPr>
            <w:tcW w:w="2526" w:type="dxa"/>
            <w:vAlign w:val="center"/>
          </w:tcPr>
          <w:p w14:paraId="19C8E621">
            <w:pPr>
              <w:widowControl/>
              <w:spacing w:line="240" w:lineRule="auto"/>
              <w:ind w:firstLine="0" w:firstLineChars="0"/>
              <w:jc w:val="left"/>
              <w:rPr>
                <w:sz w:val="21"/>
                <w:szCs w:val="21"/>
              </w:rPr>
            </w:pPr>
            <w:r>
              <w:rPr>
                <w:rFonts w:hint="eastAsia"/>
                <w:sz w:val="21"/>
                <w:szCs w:val="21"/>
              </w:rPr>
              <w:t>本科及以上学历，具备</w:t>
            </w:r>
            <w:r>
              <w:rPr>
                <w:rFonts w:hint="eastAsia" w:ascii="Calibri" w:hAnsi="等线"/>
                <w:sz w:val="21"/>
                <w:szCs w:val="21"/>
              </w:rPr>
              <w:t>系统分析师</w:t>
            </w:r>
            <w:r>
              <w:rPr>
                <w:rFonts w:hint="eastAsia"/>
                <w:sz w:val="21"/>
                <w:szCs w:val="21"/>
              </w:rPr>
              <w:t>证书</w:t>
            </w:r>
          </w:p>
        </w:tc>
        <w:tc>
          <w:tcPr>
            <w:tcW w:w="2190" w:type="dxa"/>
            <w:noWrap/>
            <w:vAlign w:val="center"/>
          </w:tcPr>
          <w:p w14:paraId="6C017700">
            <w:pPr>
              <w:widowControl/>
              <w:spacing w:line="240" w:lineRule="auto"/>
              <w:ind w:firstLine="0" w:firstLineChars="0"/>
              <w:jc w:val="left"/>
              <w:rPr>
                <w:sz w:val="21"/>
                <w:szCs w:val="21"/>
              </w:rPr>
            </w:pPr>
            <w:r>
              <w:rPr>
                <w:rFonts w:hint="eastAsia"/>
                <w:sz w:val="21"/>
                <w:szCs w:val="21"/>
              </w:rPr>
              <w:t>需提供相关人员投标前6个月内连续3个月有效缴纳社保的证明</w:t>
            </w:r>
          </w:p>
        </w:tc>
        <w:tc>
          <w:tcPr>
            <w:tcW w:w="1175" w:type="dxa"/>
            <w:noWrap/>
            <w:vAlign w:val="center"/>
          </w:tcPr>
          <w:p w14:paraId="1E0F170C">
            <w:pPr>
              <w:widowControl/>
              <w:spacing w:line="240" w:lineRule="auto"/>
              <w:ind w:firstLine="0" w:firstLineChars="0"/>
              <w:jc w:val="center"/>
              <w:rPr>
                <w:sz w:val="21"/>
                <w:szCs w:val="21"/>
              </w:rPr>
            </w:pPr>
            <w:r>
              <w:rPr>
                <w:rFonts w:hint="eastAsia"/>
                <w:sz w:val="21"/>
                <w:szCs w:val="21"/>
              </w:rPr>
              <w:t>驻场</w:t>
            </w:r>
          </w:p>
        </w:tc>
      </w:tr>
      <w:tr w14:paraId="2BE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1" w:hRule="atLeast"/>
          <w:jc w:val="center"/>
        </w:trPr>
        <w:tc>
          <w:tcPr>
            <w:tcW w:w="1286" w:type="dxa"/>
            <w:vMerge w:val="restart"/>
            <w:noWrap/>
            <w:vAlign w:val="center"/>
          </w:tcPr>
          <w:p w14:paraId="0A952ACF">
            <w:pPr>
              <w:widowControl/>
              <w:spacing w:line="240" w:lineRule="auto"/>
              <w:ind w:firstLine="0" w:firstLineChars="0"/>
              <w:jc w:val="center"/>
              <w:rPr>
                <w:sz w:val="21"/>
                <w:szCs w:val="21"/>
              </w:rPr>
            </w:pPr>
            <w:r>
              <w:rPr>
                <w:rFonts w:hint="eastAsia"/>
                <w:sz w:val="21"/>
                <w:szCs w:val="21"/>
              </w:rPr>
              <w:t>研发、实施和测试</w:t>
            </w:r>
          </w:p>
        </w:tc>
        <w:tc>
          <w:tcPr>
            <w:tcW w:w="1363" w:type="dxa"/>
            <w:vMerge w:val="restart"/>
            <w:noWrap/>
            <w:vAlign w:val="center"/>
          </w:tcPr>
          <w:p w14:paraId="0D5D3F61">
            <w:pPr>
              <w:widowControl/>
              <w:spacing w:line="240" w:lineRule="auto"/>
              <w:ind w:firstLine="0" w:firstLineChars="0"/>
              <w:jc w:val="center"/>
              <w:rPr>
                <w:sz w:val="21"/>
                <w:szCs w:val="21"/>
              </w:rPr>
            </w:pPr>
            <w:r>
              <w:rPr>
                <w:rFonts w:hint="eastAsia"/>
                <w:sz w:val="21"/>
                <w:szCs w:val="21"/>
              </w:rPr>
              <w:t>负责项目具体研发、实施和测试</w:t>
            </w:r>
          </w:p>
        </w:tc>
        <w:tc>
          <w:tcPr>
            <w:tcW w:w="1226" w:type="dxa"/>
            <w:vMerge w:val="restart"/>
            <w:noWrap/>
            <w:vAlign w:val="center"/>
          </w:tcPr>
          <w:p w14:paraId="0F8EBC24">
            <w:pPr>
              <w:widowControl/>
              <w:spacing w:line="240" w:lineRule="auto"/>
              <w:ind w:firstLine="0" w:firstLineChars="0"/>
              <w:jc w:val="center"/>
              <w:rPr>
                <w:sz w:val="21"/>
                <w:szCs w:val="21"/>
              </w:rPr>
            </w:pPr>
            <w:r>
              <w:rPr>
                <w:rFonts w:hint="eastAsia"/>
                <w:sz w:val="21"/>
                <w:szCs w:val="21"/>
              </w:rPr>
              <w:t>135人</w:t>
            </w:r>
          </w:p>
        </w:tc>
        <w:tc>
          <w:tcPr>
            <w:tcW w:w="2526" w:type="dxa"/>
            <w:vMerge w:val="restart"/>
            <w:vAlign w:val="center"/>
          </w:tcPr>
          <w:p w14:paraId="4D4A58D8">
            <w:pPr>
              <w:widowControl/>
              <w:spacing w:line="240" w:lineRule="auto"/>
              <w:ind w:firstLine="0" w:firstLineChars="0"/>
              <w:jc w:val="left"/>
              <w:rPr>
                <w:sz w:val="21"/>
                <w:szCs w:val="21"/>
              </w:rPr>
            </w:pPr>
            <w:r>
              <w:rPr>
                <w:rFonts w:hint="eastAsia"/>
                <w:sz w:val="21"/>
                <w:szCs w:val="21"/>
              </w:rPr>
              <w:t>项目团队中具备软件设计师、系统集成项目管理工程师、数据库系统工程师、信息系统管理</w:t>
            </w:r>
            <w:r>
              <w:rPr>
                <w:rFonts w:hint="eastAsia"/>
                <w:sz w:val="21"/>
                <w:szCs w:val="21"/>
                <w:lang w:eastAsia="zh-CN"/>
              </w:rPr>
              <w:t>师</w:t>
            </w:r>
            <w:r>
              <w:rPr>
                <w:rFonts w:hint="eastAsia"/>
                <w:sz w:val="21"/>
                <w:szCs w:val="21"/>
              </w:rPr>
              <w:t>、电子商务师认证证书</w:t>
            </w:r>
          </w:p>
        </w:tc>
        <w:tc>
          <w:tcPr>
            <w:tcW w:w="2190" w:type="dxa"/>
            <w:noWrap/>
            <w:vAlign w:val="center"/>
          </w:tcPr>
          <w:p w14:paraId="3D7D5F79">
            <w:pPr>
              <w:widowControl/>
              <w:spacing w:line="240" w:lineRule="auto"/>
              <w:ind w:firstLine="0" w:firstLineChars="0"/>
              <w:jc w:val="left"/>
              <w:rPr>
                <w:sz w:val="21"/>
                <w:szCs w:val="21"/>
              </w:rPr>
            </w:pPr>
            <w:r>
              <w:rPr>
                <w:rFonts w:hint="eastAsia"/>
                <w:sz w:val="21"/>
                <w:szCs w:val="21"/>
              </w:rPr>
              <w:t>具有5年及以上相关工作经验人员40名，需提供投标前6个月内连续3个月的有效缴纳社保的证明</w:t>
            </w:r>
          </w:p>
        </w:tc>
        <w:tc>
          <w:tcPr>
            <w:tcW w:w="1175" w:type="dxa"/>
            <w:noWrap/>
            <w:vAlign w:val="center"/>
          </w:tcPr>
          <w:p w14:paraId="0579D3E0">
            <w:pPr>
              <w:widowControl/>
              <w:spacing w:line="240" w:lineRule="auto"/>
              <w:ind w:firstLine="0" w:firstLineChars="0"/>
              <w:jc w:val="center"/>
              <w:rPr>
                <w:sz w:val="21"/>
                <w:szCs w:val="21"/>
              </w:rPr>
            </w:pPr>
            <w:r>
              <w:rPr>
                <w:rFonts w:hint="eastAsia"/>
                <w:sz w:val="21"/>
                <w:szCs w:val="21"/>
              </w:rPr>
              <w:t>驻场</w:t>
            </w:r>
          </w:p>
        </w:tc>
      </w:tr>
      <w:tr w14:paraId="40ED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0" w:hRule="atLeast"/>
          <w:jc w:val="center"/>
        </w:trPr>
        <w:tc>
          <w:tcPr>
            <w:tcW w:w="1286" w:type="dxa"/>
            <w:vMerge w:val="continue"/>
            <w:noWrap/>
            <w:vAlign w:val="center"/>
          </w:tcPr>
          <w:p w14:paraId="243150D2">
            <w:pPr>
              <w:widowControl/>
              <w:spacing w:line="240" w:lineRule="auto"/>
              <w:ind w:firstLine="0" w:firstLineChars="0"/>
              <w:jc w:val="center"/>
              <w:rPr>
                <w:sz w:val="21"/>
                <w:szCs w:val="21"/>
              </w:rPr>
            </w:pPr>
            <w:bookmarkStart w:id="37" w:name="_Toc63785511"/>
          </w:p>
        </w:tc>
        <w:tc>
          <w:tcPr>
            <w:tcW w:w="1363" w:type="dxa"/>
            <w:vMerge w:val="continue"/>
            <w:shd w:val="clear" w:color="auto" w:fill="auto"/>
            <w:noWrap/>
            <w:vAlign w:val="center"/>
          </w:tcPr>
          <w:p w14:paraId="7903A563">
            <w:pPr>
              <w:widowControl/>
              <w:spacing w:line="240" w:lineRule="auto"/>
              <w:ind w:firstLine="0" w:firstLineChars="0"/>
              <w:jc w:val="center"/>
              <w:rPr>
                <w:sz w:val="21"/>
                <w:szCs w:val="21"/>
              </w:rPr>
            </w:pPr>
          </w:p>
        </w:tc>
        <w:tc>
          <w:tcPr>
            <w:tcW w:w="1226" w:type="dxa"/>
            <w:vMerge w:val="continue"/>
            <w:noWrap/>
            <w:vAlign w:val="center"/>
          </w:tcPr>
          <w:p w14:paraId="69E4CAC5">
            <w:pPr>
              <w:widowControl/>
              <w:spacing w:line="240" w:lineRule="auto"/>
              <w:ind w:firstLine="0" w:firstLineChars="0"/>
              <w:jc w:val="center"/>
              <w:rPr>
                <w:sz w:val="21"/>
                <w:szCs w:val="21"/>
              </w:rPr>
            </w:pPr>
          </w:p>
        </w:tc>
        <w:tc>
          <w:tcPr>
            <w:tcW w:w="2526" w:type="dxa"/>
            <w:vMerge w:val="continue"/>
            <w:vAlign w:val="center"/>
          </w:tcPr>
          <w:p w14:paraId="09E9D866">
            <w:pPr>
              <w:widowControl/>
              <w:spacing w:line="240" w:lineRule="auto"/>
              <w:ind w:firstLine="0" w:firstLineChars="0"/>
              <w:jc w:val="left"/>
              <w:rPr>
                <w:sz w:val="21"/>
                <w:szCs w:val="21"/>
              </w:rPr>
            </w:pPr>
          </w:p>
        </w:tc>
        <w:tc>
          <w:tcPr>
            <w:tcW w:w="2190" w:type="dxa"/>
            <w:noWrap/>
            <w:vAlign w:val="center"/>
          </w:tcPr>
          <w:p w14:paraId="51111CED">
            <w:pPr>
              <w:widowControl/>
              <w:spacing w:line="240" w:lineRule="auto"/>
              <w:ind w:firstLine="0" w:firstLineChars="0"/>
              <w:jc w:val="left"/>
              <w:rPr>
                <w:sz w:val="21"/>
                <w:szCs w:val="21"/>
              </w:rPr>
            </w:pPr>
            <w:r>
              <w:rPr>
                <w:rFonts w:hint="eastAsia"/>
                <w:sz w:val="21"/>
                <w:szCs w:val="21"/>
              </w:rPr>
              <w:t>剩余人员需提供相关投标前3个月内任意1个月有效缴纳社保的证明</w:t>
            </w:r>
          </w:p>
        </w:tc>
        <w:tc>
          <w:tcPr>
            <w:tcW w:w="1175" w:type="dxa"/>
            <w:noWrap/>
            <w:vAlign w:val="center"/>
          </w:tcPr>
          <w:p w14:paraId="00660783">
            <w:pPr>
              <w:widowControl/>
              <w:spacing w:line="240" w:lineRule="auto"/>
              <w:ind w:firstLine="0" w:firstLineChars="0"/>
              <w:jc w:val="center"/>
              <w:rPr>
                <w:sz w:val="21"/>
                <w:szCs w:val="21"/>
              </w:rPr>
            </w:pPr>
            <w:r>
              <w:rPr>
                <w:rFonts w:hint="eastAsia"/>
                <w:sz w:val="21"/>
                <w:szCs w:val="21"/>
              </w:rPr>
              <w:t>不驻场</w:t>
            </w:r>
          </w:p>
        </w:tc>
      </w:tr>
    </w:tbl>
    <w:p w14:paraId="2AF9FEE3">
      <w:pPr>
        <w:pStyle w:val="3"/>
        <w:ind w:left="0" w:firstLine="0" w:firstLineChars="0"/>
      </w:pPr>
      <w:r>
        <w:rPr>
          <w:rFonts w:hint="eastAsia"/>
        </w:rPr>
        <w:t>等级保护要求</w:t>
      </w:r>
    </w:p>
    <w:p w14:paraId="63A5BCA2">
      <w:r>
        <w:rPr>
          <w:rFonts w:hint="eastAsia"/>
        </w:rPr>
        <w:t>本项目等级保护要求：</w:t>
      </w:r>
      <w:r>
        <w:rPr>
          <w:rFonts w:hint="eastAsia"/>
          <w:b/>
          <w:bCs/>
        </w:rPr>
        <w:t>三级</w:t>
      </w:r>
    </w:p>
    <w:p w14:paraId="65A18B2A">
      <w:pPr>
        <w:pStyle w:val="3"/>
        <w:ind w:left="0" w:firstLine="0" w:firstLineChars="0"/>
      </w:pPr>
      <w:r>
        <w:rPr>
          <w:rFonts w:hint="eastAsia"/>
        </w:rPr>
        <w:t>商业密码应用需求</w:t>
      </w:r>
    </w:p>
    <w:p w14:paraId="269DF4F4">
      <w:pPr>
        <w:pStyle w:val="133"/>
        <w:widowControl/>
        <w:ind w:firstLine="480"/>
        <w:rPr>
          <w:rFonts w:ascii="宋体" w:hAnsi="宋体" w:eastAsia="宋体" w:cs="宋体"/>
          <w:sz w:val="24"/>
          <w:szCs w:val="24"/>
        </w:rPr>
      </w:pPr>
      <w:r>
        <w:rPr>
          <w:rFonts w:hint="eastAsia" w:ascii="宋体" w:hAnsi="宋体" w:eastAsia="宋体" w:cs="宋体"/>
          <w:sz w:val="24"/>
          <w:szCs w:val="24"/>
        </w:rPr>
        <w:t xml:space="preserve">围绕《国家政务信息化项目建设管理办法》中关于政务信息系统在系统规划阶段的密码应用要求，综合考虑物理和环境、网络和通信、设备和计算、应用和数据、安全管理等层面的密码应用需求，设计合规、正确、有效的系统密码应用方案，满足GB/T 39786—2021《信息安全技术信息系统密码应用基本要求》中三级指标要求，并为通过密码应用安全性评估奠定基础。 </w:t>
      </w:r>
    </w:p>
    <w:p w14:paraId="19F5EF67">
      <w:pPr>
        <w:pStyle w:val="3"/>
        <w:ind w:left="0" w:firstLine="0" w:firstLineChars="0"/>
      </w:pPr>
      <w:r>
        <w:rPr>
          <w:rFonts w:hint="eastAsia"/>
        </w:rPr>
        <w:t>技术文件要求</w:t>
      </w:r>
    </w:p>
    <w:p w14:paraId="38BCBFFF">
      <w:r>
        <w:rPr>
          <w:rFonts w:hint="eastAsia"/>
        </w:rPr>
        <w:t>投标人提供的书面技术资料应能确保系统正常运行所需的管理、运营及维护有关的全套文件。技术文件应该全面、完整、详细。投标人提供的技术文件至少应包括：</w:t>
      </w:r>
    </w:p>
    <w:p w14:paraId="58272A9D">
      <w:r>
        <w:rPr>
          <w:rFonts w:hint="eastAsia"/>
        </w:rPr>
        <w:t>－</w:t>
      </w:r>
      <w:r>
        <w:t xml:space="preserve"> 系统说明文件； </w:t>
      </w:r>
    </w:p>
    <w:p w14:paraId="7BD49F86">
      <w:r>
        <w:rPr>
          <w:rFonts w:hint="eastAsia"/>
        </w:rPr>
        <w:t>－</w:t>
      </w:r>
      <w:r>
        <w:t xml:space="preserve"> 技术手册(安装、测试、操作、维护、故障排除等)； </w:t>
      </w:r>
    </w:p>
    <w:p w14:paraId="6C6982D7">
      <w:r>
        <w:rPr>
          <w:rFonts w:hint="eastAsia"/>
        </w:rPr>
        <w:t>－</w:t>
      </w:r>
      <w:r>
        <w:t xml:space="preserve"> 项目文档，应该包括：</w:t>
      </w:r>
    </w:p>
    <w:p w14:paraId="64428908">
      <w:pPr>
        <w:ind w:left="360"/>
      </w:pPr>
      <w:r>
        <w:t>(1)软件需求说明书</w:t>
      </w:r>
    </w:p>
    <w:p w14:paraId="7408A2D7">
      <w:pPr>
        <w:ind w:left="360"/>
      </w:pPr>
      <w:r>
        <w:t>(2)</w:t>
      </w:r>
      <w:r>
        <w:tab/>
      </w:r>
      <w:r>
        <w:t>系统总体设计说明书</w:t>
      </w:r>
    </w:p>
    <w:p w14:paraId="479604CC">
      <w:pPr>
        <w:ind w:left="360"/>
      </w:pPr>
      <w:r>
        <w:t>(3)</w:t>
      </w:r>
      <w:r>
        <w:tab/>
      </w:r>
      <w:r>
        <w:t>应用软件功能清单</w:t>
      </w:r>
    </w:p>
    <w:p w14:paraId="1D1892F6">
      <w:r>
        <w:rPr>
          <w:rFonts w:hint="eastAsia"/>
        </w:rPr>
        <w:t>提供全套技术文件纸介质</w:t>
      </w:r>
      <w:r>
        <w:t>3套以及电子文件1套。</w:t>
      </w:r>
    </w:p>
    <w:p w14:paraId="59534844">
      <w:pPr>
        <w:pStyle w:val="2"/>
      </w:pPr>
      <w:r>
        <w:rPr>
          <w:rFonts w:hint="eastAsia"/>
        </w:rPr>
        <w:t>供应商</w:t>
      </w:r>
      <w:r>
        <w:rPr>
          <w:rFonts w:hint="eastAsia"/>
          <w:lang w:val="en-US" w:eastAsia="zh-CN"/>
        </w:rPr>
        <w:t>实力</w:t>
      </w:r>
      <w:r>
        <w:rPr>
          <w:rFonts w:hint="eastAsia"/>
        </w:rPr>
        <w:t>要求</w:t>
      </w:r>
    </w:p>
    <w:p w14:paraId="6A6A8A81">
      <w:pPr>
        <w:numPr>
          <w:ilvl w:val="0"/>
          <w:numId w:val="5"/>
        </w:numPr>
        <w:rPr>
          <w:rFonts w:hint="eastAsia" w:ascii="宋体" w:hAnsi="宋体" w:eastAsia="宋体"/>
          <w:sz w:val="24"/>
          <w:szCs w:val="24"/>
          <w:lang w:val="en-US" w:eastAsia="zh-CN"/>
        </w:rPr>
      </w:pPr>
      <w:r>
        <w:rPr>
          <w:rFonts w:hint="eastAsia" w:ascii="宋体" w:hAnsi="宋体" w:eastAsia="宋体"/>
          <w:sz w:val="24"/>
          <w:szCs w:val="24"/>
          <w:lang w:val="en-US" w:eastAsia="zh-CN"/>
        </w:rPr>
        <w:t>具有</w:t>
      </w:r>
      <w:r>
        <w:rPr>
          <w:rFonts w:hint="eastAsia"/>
          <w:lang w:val="en-US" w:eastAsia="zh-CN"/>
        </w:rPr>
        <w:t>国</w:t>
      </w:r>
      <w:r>
        <w:rPr>
          <w:rFonts w:hint="eastAsia"/>
          <w:color w:val="FF0000"/>
          <w:lang w:val="en-US" w:eastAsia="zh-CN"/>
        </w:rPr>
        <w:t>产化业务元数据管理类、国产化数据采集类、国产化微服务支撑管理类、</w:t>
      </w:r>
      <w:r>
        <w:rPr>
          <w:rFonts w:hint="eastAsia"/>
          <w:color w:val="FF0000"/>
          <w:vertAlign w:val="baseline"/>
          <w:lang w:eastAsia="zh-CN"/>
        </w:rPr>
        <w:t>国产化智能搜索类、国产化数据处理类、智能决策分析类</w:t>
      </w:r>
      <w:r>
        <w:rPr>
          <w:rFonts w:hint="eastAsia"/>
          <w:color w:val="FF0000"/>
          <w:lang w:val="en-US" w:eastAsia="zh-CN"/>
        </w:rPr>
        <w:t>、业务建模软件类</w:t>
      </w:r>
      <w:r>
        <w:rPr>
          <w:rFonts w:hint="eastAsia"/>
          <w:color w:val="FF0000"/>
          <w:vertAlign w:val="baseline"/>
          <w:lang w:eastAsia="zh-CN"/>
        </w:rPr>
        <w:t>、大数据平台类</w:t>
      </w:r>
      <w:r>
        <w:rPr>
          <w:rFonts w:hint="eastAsia" w:cs="宋体"/>
          <w:lang w:val="en-US" w:eastAsia="zh-CN"/>
        </w:rPr>
        <w:t>软件类等</w:t>
      </w:r>
      <w:r>
        <w:rPr>
          <w:rFonts w:hint="eastAsia" w:ascii="宋体" w:hAnsi="宋体" w:eastAsia="宋体"/>
          <w:sz w:val="24"/>
          <w:szCs w:val="24"/>
          <w:lang w:val="en-US" w:eastAsia="zh-CN"/>
        </w:rPr>
        <w:t>与本项目相关的软件专利著作的优先考虑</w:t>
      </w:r>
      <w:r>
        <w:rPr>
          <w:rFonts w:hint="eastAsia"/>
          <w:sz w:val="24"/>
          <w:szCs w:val="24"/>
          <w:lang w:val="en-US" w:eastAsia="zh-CN"/>
        </w:rPr>
        <w:t>。</w:t>
      </w:r>
    </w:p>
    <w:p w14:paraId="59FE4B1F">
      <w:pPr>
        <w:numPr>
          <w:ilvl w:val="0"/>
          <w:numId w:val="5"/>
        </w:numPr>
        <w:rPr>
          <w:rFonts w:hint="eastAsia" w:ascii="宋体" w:hAnsi="宋体" w:eastAsia="宋体"/>
          <w:sz w:val="24"/>
          <w:szCs w:val="24"/>
          <w:lang w:val="en-US" w:eastAsia="zh-CN"/>
        </w:rPr>
      </w:pPr>
      <w:r>
        <w:rPr>
          <w:rFonts w:hint="eastAsia" w:ascii="宋体" w:hAnsi="宋体" w:eastAsia="宋体"/>
          <w:sz w:val="24"/>
          <w:szCs w:val="24"/>
          <w:lang w:val="en-US" w:eastAsia="zh-CN"/>
        </w:rPr>
        <w:t>供应商具有ITSS 信息技术服务运行维护标准符合性证书、ISO20000信息技术服务管理体系认证证书、ISO27001信息安全管理体系认证证书、信息系统建设和服务能力等级CS2证书等信息化相关服务实力证明证书的优先考虑。</w:t>
      </w:r>
    </w:p>
    <w:p w14:paraId="6D0ADB02">
      <w:pPr>
        <w:numPr>
          <w:ilvl w:val="0"/>
          <w:numId w:val="5"/>
        </w:numPr>
        <w:rPr>
          <w:rFonts w:hint="eastAsia" w:ascii="宋体" w:hAnsi="宋体" w:eastAsia="宋体"/>
          <w:sz w:val="24"/>
          <w:szCs w:val="24"/>
          <w:lang w:val="en-US" w:eastAsia="zh-CN"/>
        </w:rPr>
      </w:pPr>
      <w:r>
        <w:rPr>
          <w:rFonts w:hint="eastAsia" w:ascii="宋体" w:hAnsi="宋体" w:eastAsia="宋体"/>
          <w:sz w:val="24"/>
          <w:szCs w:val="24"/>
          <w:lang w:val="en-US" w:eastAsia="zh-CN"/>
        </w:rPr>
        <w:t>供应商有过与本项目类似的数字化展会的业绩的优先考虑。</w:t>
      </w:r>
    </w:p>
    <w:p w14:paraId="20AED95E">
      <w:pPr>
        <w:rPr>
          <w:rFonts w:hint="eastAsia" w:ascii="宋体" w:hAnsi="宋体" w:eastAsia="宋体"/>
          <w:sz w:val="21"/>
          <w:szCs w:val="21"/>
          <w:lang w:val="en-US" w:eastAsia="zh-CN"/>
        </w:rPr>
      </w:pPr>
    </w:p>
    <w:p w14:paraId="000E9CE1">
      <w:pPr>
        <w:rPr>
          <w:rFonts w:hint="eastAsia" w:ascii="宋体" w:hAnsi="宋体" w:eastAsia="宋体"/>
          <w:sz w:val="21"/>
          <w:szCs w:val="21"/>
          <w:lang w:val="en-US" w:eastAsia="zh-CN"/>
        </w:rPr>
      </w:pPr>
    </w:p>
    <w:p w14:paraId="74F2D245">
      <w:pPr>
        <w:rPr>
          <w:rFonts w:hint="eastAsia" w:ascii="宋体" w:hAnsi="宋体" w:eastAsia="宋体"/>
          <w:sz w:val="21"/>
          <w:szCs w:val="21"/>
          <w:lang w:val="en-US" w:eastAsia="zh-CN"/>
        </w:rPr>
      </w:pPr>
    </w:p>
    <w:bookmarkEnd w:id="37"/>
    <w:p w14:paraId="10D4853A">
      <w:pPr>
        <w:pStyle w:val="2"/>
      </w:pPr>
      <w:bookmarkStart w:id="38" w:name="_Toc63785512"/>
      <w:r>
        <w:rPr>
          <w:rFonts w:hint="eastAsia"/>
        </w:rPr>
        <w:t>供应商管理要求</w:t>
      </w:r>
      <w:bookmarkEnd w:id="38"/>
    </w:p>
    <w:p w14:paraId="05B0D5B8">
      <w:pPr>
        <w:pStyle w:val="93"/>
        <w:ind w:firstLine="480"/>
        <w:rPr>
          <w:sz w:val="24"/>
          <w:szCs w:val="24"/>
        </w:rPr>
      </w:pPr>
      <w:r>
        <w:rPr>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4A747A70">
      <w:pPr>
        <w:pStyle w:val="93"/>
        <w:ind w:firstLine="480"/>
        <w:rPr>
          <w:sz w:val="24"/>
          <w:szCs w:val="24"/>
        </w:rPr>
      </w:pPr>
      <w:r>
        <w:rPr>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w:t>
      </w:r>
      <w:r>
        <w:rPr>
          <w:rFonts w:hint="eastAsia"/>
          <w:sz w:val="24"/>
          <w:szCs w:val="24"/>
          <w:lang w:eastAsia="zh-CN"/>
        </w:rPr>
        <w:t>做出</w:t>
      </w:r>
      <w:r>
        <w:rPr>
          <w:sz w:val="24"/>
          <w:szCs w:val="24"/>
        </w:rPr>
        <w:t>更好的调整。</w:t>
      </w:r>
    </w:p>
    <w:p w14:paraId="016AC139">
      <w:pPr>
        <w:pStyle w:val="93"/>
        <w:ind w:firstLine="480"/>
        <w:rPr>
          <w:sz w:val="24"/>
          <w:szCs w:val="24"/>
        </w:rPr>
      </w:pPr>
      <w:r>
        <w:rPr>
          <w:sz w:val="24"/>
          <w:szCs w:val="24"/>
        </w:rPr>
        <w:t>3、中标人在项目实施期间，应按项目实际进度与环节落实所对应项目整体及各环节管理工作，按照规范做好项目实施期间相关管理与实施记录。</w:t>
      </w:r>
    </w:p>
    <w:p w14:paraId="02A6D183">
      <w:pPr>
        <w:pStyle w:val="93"/>
        <w:ind w:firstLine="480"/>
        <w:rPr>
          <w:sz w:val="24"/>
          <w:szCs w:val="24"/>
        </w:rPr>
      </w:pPr>
      <w:r>
        <w:rPr>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6B3A4FF7">
      <w:pPr>
        <w:pStyle w:val="93"/>
        <w:ind w:firstLine="480"/>
        <w:rPr>
          <w:sz w:val="24"/>
          <w:szCs w:val="24"/>
        </w:rPr>
      </w:pPr>
      <w:r>
        <w:rPr>
          <w:sz w:val="24"/>
          <w:szCs w:val="24"/>
        </w:rPr>
        <w:t>5、中标人在项目实施期间必须遵守采购人的规章制度并提供实施人员名单。</w:t>
      </w:r>
    </w:p>
    <w:p w14:paraId="2B4134AB">
      <w:pPr>
        <w:pStyle w:val="93"/>
        <w:ind w:firstLine="480"/>
        <w:rPr>
          <w:sz w:val="24"/>
          <w:szCs w:val="24"/>
        </w:rPr>
      </w:pPr>
      <w:r>
        <w:rPr>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373DDA03">
      <w:pPr>
        <w:pStyle w:val="93"/>
        <w:ind w:firstLine="480"/>
        <w:rPr>
          <w:sz w:val="24"/>
          <w:szCs w:val="24"/>
        </w:rPr>
      </w:pPr>
      <w:r>
        <w:rPr>
          <w:sz w:val="24"/>
          <w:szCs w:val="24"/>
        </w:rPr>
        <w:t>7、本项目软件开发及调试将纳入采购人的管理范围，中标人在此过程中须服从上述单位的管理协调</w:t>
      </w:r>
      <w:r>
        <w:rPr>
          <w:rFonts w:hint="eastAsia"/>
          <w:sz w:val="24"/>
          <w:szCs w:val="24"/>
        </w:rPr>
        <w:t>。</w:t>
      </w:r>
    </w:p>
    <w:p w14:paraId="7820A1F2">
      <w:pPr>
        <w:pStyle w:val="2"/>
      </w:pPr>
      <w:bookmarkStart w:id="39" w:name="_Toc63785513"/>
      <w:r>
        <w:rPr>
          <w:rFonts w:hint="eastAsia"/>
        </w:rPr>
        <w:t>关于转让和分包的规定</w:t>
      </w:r>
    </w:p>
    <w:p w14:paraId="24B4B616">
      <w:pPr>
        <w:pStyle w:val="93"/>
        <w:ind w:firstLine="480"/>
        <w:rPr>
          <w:sz w:val="24"/>
          <w:szCs w:val="24"/>
        </w:rPr>
      </w:pPr>
      <w:r>
        <w:rPr>
          <w:rFonts w:hint="eastAsia"/>
          <w:sz w:val="24"/>
          <w:szCs w:val="24"/>
          <w:lang w:val="en-US" w:eastAsia="zh-CN"/>
        </w:rPr>
        <w:t>本</w:t>
      </w:r>
      <w:r>
        <w:rPr>
          <w:rFonts w:hint="eastAsia"/>
          <w:sz w:val="24"/>
          <w:szCs w:val="24"/>
        </w:rPr>
        <w:t>项目不得转让、不得分包。</w:t>
      </w:r>
    </w:p>
    <w:p w14:paraId="49541575">
      <w:pPr>
        <w:pStyle w:val="2"/>
      </w:pPr>
      <w:r>
        <w:rPr>
          <w:rFonts w:hint="eastAsia"/>
        </w:rPr>
        <w:t>知识产权及保密要求</w:t>
      </w:r>
      <w:bookmarkEnd w:id="39"/>
    </w:p>
    <w:p w14:paraId="72D9E5F1">
      <w:pPr>
        <w:ind w:firstLine="482"/>
        <w:rPr>
          <w:b/>
        </w:rPr>
      </w:pPr>
      <w:bookmarkStart w:id="40" w:name="_Toc64623486"/>
      <w:bookmarkStart w:id="41" w:name="_Toc62932992"/>
      <w:bookmarkStart w:id="42" w:name="_Toc63098430"/>
      <w:bookmarkStart w:id="43" w:name="_Toc1952508964"/>
      <w:r>
        <w:rPr>
          <w:b/>
        </w:rPr>
        <w:t>1、中标人数据、文件、资料知识产权</w:t>
      </w:r>
    </w:p>
    <w:p w14:paraId="6DC55E39">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5CA66591">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49725E59">
      <w:r>
        <w:rPr>
          <w:rFonts w:hint="eastAsia"/>
        </w:rPr>
        <w:t>在不影响上述条款规定的由采购人取得所有成果的知识产权的前提下，双方因履行本项目而被授权接触或使用对方之知识产权（包括但不限于商标、专利、著作权等），和</w:t>
      </w:r>
      <w: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400F5F09">
      <w:pPr>
        <w:ind w:firstLine="482"/>
        <w:rPr>
          <w:b/>
        </w:rPr>
      </w:pPr>
      <w:r>
        <w:rPr>
          <w:b/>
        </w:rPr>
        <w:t>2、项目保密要求</w:t>
      </w:r>
    </w:p>
    <w:p w14:paraId="40D11DA9">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w:t>
      </w:r>
      <w:r>
        <w:t>/仲裁费、调查费、公证费等。</w:t>
      </w:r>
    </w:p>
    <w:p w14:paraId="221E0276">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0F280CB8">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CC6B401">
      <w:r>
        <w:rPr>
          <w:rFonts w:hint="eastAsia"/>
        </w:rPr>
        <w:t>以上内容的保密期限自中标人知悉保密信息起始至保密信息被合法公开之日止。</w:t>
      </w:r>
    </w:p>
    <w:p w14:paraId="28F702E7">
      <w:pPr>
        <w:ind w:firstLine="482"/>
        <w:rPr>
          <w:b/>
        </w:rPr>
      </w:pPr>
      <w:r>
        <w:rPr>
          <w:b/>
        </w:rPr>
        <w:t>3、临时账号等使用要求</w:t>
      </w:r>
    </w:p>
    <w:p w14:paraId="50CBD3F3">
      <w:r>
        <w:rPr>
          <w:rFonts w:hint="eastAsia"/>
        </w:rPr>
        <w:t>中标人对采购人提供的临时使用账号要保密，不得公开，对组件开发的账号密码需进行加密，避免信息安全的泄露。未经采购人的同意不得利用采购人的网络及平台进行短信、彩信、微信发送，</w:t>
      </w:r>
      <w:r>
        <w:t>造成的一切后果由中标人负责</w:t>
      </w:r>
      <w:r>
        <w:rPr>
          <w:rFonts w:hint="eastAsia"/>
        </w:rPr>
        <w:t>。</w:t>
      </w:r>
      <w:bookmarkEnd w:id="40"/>
      <w:bookmarkEnd w:id="41"/>
      <w:bookmarkEnd w:id="42"/>
      <w:bookmarkEnd w:id="43"/>
    </w:p>
    <w:p w14:paraId="7DC4728D">
      <w:pPr>
        <w:pStyle w:val="2"/>
      </w:pPr>
      <w:bookmarkStart w:id="44" w:name="_Toc65170093"/>
      <w:r>
        <w:t>项目的变更、解除和终止</w:t>
      </w:r>
    </w:p>
    <w:bookmarkEnd w:id="44"/>
    <w:p w14:paraId="3218DABF">
      <w:bookmarkStart w:id="45" w:name="PO_pf包1"/>
      <w:bookmarkEnd w:id="45"/>
      <w:bookmarkStart w:id="46" w:name="PO_pf包2"/>
      <w:bookmarkEnd w:id="46"/>
      <w:bookmarkStart w:id="47" w:name="PO_评分标准"/>
      <w:bookmarkEnd w:id="47"/>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693C0B22">
      <w:r>
        <w:rPr>
          <w:rFonts w:hint="eastAsia"/>
        </w:rPr>
        <w:t>如遇国家、行业管理部门等机构的有关标准和规定调整的，导致本项目内容须做相应调整时，双方应按照公平、合理的原则共同协商修改本项目对应的合同的相关条款。</w:t>
      </w:r>
    </w:p>
    <w:p w14:paraId="50E49CF6">
      <w:pPr>
        <w:ind w:firstLine="0" w:firstLineChars="0"/>
        <w:rPr>
          <w:rFonts w:hint="eastAsia" w:eastAsia="宋体"/>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FE8B">
    <w:pPr>
      <w:ind w:firstLine="0" w:firstLineChars="0"/>
      <w:jc w:val="cente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1FC5D1D">
                <w:pPr>
                  <w:ind w:firstLine="0" w:firstLineChars="0"/>
                  <w:jc w:val="center"/>
                  <w:rPr>
                    <w:sz w:val="22"/>
                    <w:szCs w:val="22"/>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17</w:t>
                </w:r>
                <w:r>
                  <w:rPr>
                    <w:sz w:val="21"/>
                    <w:szCs w:val="21"/>
                    <w:lang w:val="zh-CN"/>
                  </w:rPr>
                  <w:fldChar w:fldCharType="end"/>
                </w:r>
              </w:p>
            </w:txbxContent>
          </v:textbox>
        </v:shape>
      </w:pict>
    </w:r>
  </w:p>
  <w:p w14:paraId="5EFE9A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EB30">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52AD">
    <w:pPr>
      <w:ind w:firstLine="0" w:firstLineChars="0"/>
      <w:jc w:val="center"/>
      <w:rPr>
        <w:lang w:val="zh-CN"/>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7043C10B">
                <w:pPr>
                  <w:ind w:firstLine="0" w:firstLineChars="0"/>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txbxContent>
          </v:textbox>
        </v:shape>
      </w:pict>
    </w:r>
  </w:p>
  <w:p w14:paraId="14DCAF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BA59">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8290">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4FAE">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41B2A"/>
    <w:multiLevelType w:val="singleLevel"/>
    <w:tmpl w:val="9C241B2A"/>
    <w:lvl w:ilvl="0" w:tentative="0">
      <w:start w:val="1"/>
      <w:numFmt w:val="decimal"/>
      <w:lvlText w:val="(%1)"/>
      <w:lvlJc w:val="left"/>
      <w:pPr>
        <w:ind w:left="425" w:hanging="425"/>
      </w:pPr>
      <w:rPr>
        <w:rFonts w:hint="default"/>
      </w:rPr>
    </w:lvl>
  </w:abstractNum>
  <w:abstractNum w:abstractNumId="1">
    <w:nsid w:val="DBBE075A"/>
    <w:multiLevelType w:val="singleLevel"/>
    <w:tmpl w:val="DBBE075A"/>
    <w:lvl w:ilvl="0" w:tentative="0">
      <w:start w:val="1"/>
      <w:numFmt w:val="decimal"/>
      <w:lvlText w:val="%1."/>
      <w:lvlJc w:val="left"/>
      <w:pPr>
        <w:tabs>
          <w:tab w:val="left" w:pos="312"/>
        </w:tabs>
      </w:pPr>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5D57574"/>
    <w:multiLevelType w:val="multilevel"/>
    <w:tmpl w:val="65D5757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4677"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trackRevisions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YwZGRhZWEzYWEyMmQ4NmM1NzdjZTA5ZDY0NmFhY2MifQ=="/>
  </w:docVars>
  <w:rsids>
    <w:rsidRoot w:val="006910C0"/>
    <w:rsid w:val="0000005A"/>
    <w:rsid w:val="00000AED"/>
    <w:rsid w:val="00000D61"/>
    <w:rsid w:val="00003516"/>
    <w:rsid w:val="0000380E"/>
    <w:rsid w:val="00004403"/>
    <w:rsid w:val="00005AFD"/>
    <w:rsid w:val="00006563"/>
    <w:rsid w:val="00006E00"/>
    <w:rsid w:val="000074F1"/>
    <w:rsid w:val="00007A41"/>
    <w:rsid w:val="00007DA7"/>
    <w:rsid w:val="00010575"/>
    <w:rsid w:val="00012070"/>
    <w:rsid w:val="00012EF0"/>
    <w:rsid w:val="0001553A"/>
    <w:rsid w:val="000156DE"/>
    <w:rsid w:val="00015766"/>
    <w:rsid w:val="000165AD"/>
    <w:rsid w:val="000179E9"/>
    <w:rsid w:val="00017D99"/>
    <w:rsid w:val="00021EE6"/>
    <w:rsid w:val="0002280E"/>
    <w:rsid w:val="00022C74"/>
    <w:rsid w:val="00022EB6"/>
    <w:rsid w:val="00024530"/>
    <w:rsid w:val="00025122"/>
    <w:rsid w:val="000252D5"/>
    <w:rsid w:val="00026997"/>
    <w:rsid w:val="0002722C"/>
    <w:rsid w:val="00027A64"/>
    <w:rsid w:val="00031771"/>
    <w:rsid w:val="00032D27"/>
    <w:rsid w:val="00035325"/>
    <w:rsid w:val="00035A55"/>
    <w:rsid w:val="00035D5B"/>
    <w:rsid w:val="000378D0"/>
    <w:rsid w:val="00037F2C"/>
    <w:rsid w:val="00041266"/>
    <w:rsid w:val="00042C2A"/>
    <w:rsid w:val="000430EC"/>
    <w:rsid w:val="000447CB"/>
    <w:rsid w:val="00047915"/>
    <w:rsid w:val="00047D06"/>
    <w:rsid w:val="00050FBD"/>
    <w:rsid w:val="0005192C"/>
    <w:rsid w:val="00052929"/>
    <w:rsid w:val="00052963"/>
    <w:rsid w:val="0005299F"/>
    <w:rsid w:val="000541D7"/>
    <w:rsid w:val="000545C0"/>
    <w:rsid w:val="0005586D"/>
    <w:rsid w:val="00056C0E"/>
    <w:rsid w:val="000574A8"/>
    <w:rsid w:val="00057A49"/>
    <w:rsid w:val="0006231F"/>
    <w:rsid w:val="00062A05"/>
    <w:rsid w:val="00062EE6"/>
    <w:rsid w:val="0006344E"/>
    <w:rsid w:val="00065AE4"/>
    <w:rsid w:val="00065E0A"/>
    <w:rsid w:val="0006794B"/>
    <w:rsid w:val="00067DCA"/>
    <w:rsid w:val="00070063"/>
    <w:rsid w:val="000701C2"/>
    <w:rsid w:val="0007087A"/>
    <w:rsid w:val="000710EC"/>
    <w:rsid w:val="0007114A"/>
    <w:rsid w:val="00072237"/>
    <w:rsid w:val="00072ABE"/>
    <w:rsid w:val="00072AF5"/>
    <w:rsid w:val="00075F35"/>
    <w:rsid w:val="00080B39"/>
    <w:rsid w:val="0008235B"/>
    <w:rsid w:val="00083950"/>
    <w:rsid w:val="0008452F"/>
    <w:rsid w:val="00084E8E"/>
    <w:rsid w:val="00085A68"/>
    <w:rsid w:val="00086C42"/>
    <w:rsid w:val="00090625"/>
    <w:rsid w:val="00090948"/>
    <w:rsid w:val="00091CD1"/>
    <w:rsid w:val="000934DD"/>
    <w:rsid w:val="0009460E"/>
    <w:rsid w:val="000951D4"/>
    <w:rsid w:val="00097B93"/>
    <w:rsid w:val="000A0746"/>
    <w:rsid w:val="000A2146"/>
    <w:rsid w:val="000A2930"/>
    <w:rsid w:val="000A3276"/>
    <w:rsid w:val="000A3C35"/>
    <w:rsid w:val="000A3E30"/>
    <w:rsid w:val="000A53F5"/>
    <w:rsid w:val="000A5876"/>
    <w:rsid w:val="000A61D0"/>
    <w:rsid w:val="000A6C67"/>
    <w:rsid w:val="000A6DB8"/>
    <w:rsid w:val="000A7596"/>
    <w:rsid w:val="000B11A8"/>
    <w:rsid w:val="000B1959"/>
    <w:rsid w:val="000B219A"/>
    <w:rsid w:val="000B2E1C"/>
    <w:rsid w:val="000B4459"/>
    <w:rsid w:val="000B4B46"/>
    <w:rsid w:val="000B5363"/>
    <w:rsid w:val="000B53BA"/>
    <w:rsid w:val="000B6C99"/>
    <w:rsid w:val="000B6DD6"/>
    <w:rsid w:val="000C2675"/>
    <w:rsid w:val="000C2EAF"/>
    <w:rsid w:val="000C3228"/>
    <w:rsid w:val="000C4CC8"/>
    <w:rsid w:val="000C5A75"/>
    <w:rsid w:val="000C787A"/>
    <w:rsid w:val="000D08BF"/>
    <w:rsid w:val="000D0AB2"/>
    <w:rsid w:val="000D1C02"/>
    <w:rsid w:val="000D225C"/>
    <w:rsid w:val="000D36F2"/>
    <w:rsid w:val="000D4B26"/>
    <w:rsid w:val="000D74DB"/>
    <w:rsid w:val="000D792D"/>
    <w:rsid w:val="000D7BFB"/>
    <w:rsid w:val="000E1140"/>
    <w:rsid w:val="000E24D6"/>
    <w:rsid w:val="000E6072"/>
    <w:rsid w:val="000E6D61"/>
    <w:rsid w:val="000E7A23"/>
    <w:rsid w:val="000F1862"/>
    <w:rsid w:val="000F1C29"/>
    <w:rsid w:val="000F1E9E"/>
    <w:rsid w:val="000F26B9"/>
    <w:rsid w:val="000F2B10"/>
    <w:rsid w:val="000F2B23"/>
    <w:rsid w:val="000F3AC3"/>
    <w:rsid w:val="000F5C60"/>
    <w:rsid w:val="000F5E4C"/>
    <w:rsid w:val="001039BC"/>
    <w:rsid w:val="001055B2"/>
    <w:rsid w:val="00106207"/>
    <w:rsid w:val="001068F0"/>
    <w:rsid w:val="00106C9E"/>
    <w:rsid w:val="00106E16"/>
    <w:rsid w:val="0010768B"/>
    <w:rsid w:val="00111701"/>
    <w:rsid w:val="00112A29"/>
    <w:rsid w:val="001167F6"/>
    <w:rsid w:val="00116C86"/>
    <w:rsid w:val="00121ACF"/>
    <w:rsid w:val="00121D8F"/>
    <w:rsid w:val="00122037"/>
    <w:rsid w:val="001220FD"/>
    <w:rsid w:val="0012210C"/>
    <w:rsid w:val="00122A7F"/>
    <w:rsid w:val="00123106"/>
    <w:rsid w:val="00123F98"/>
    <w:rsid w:val="001242A5"/>
    <w:rsid w:val="00124531"/>
    <w:rsid w:val="00126EDF"/>
    <w:rsid w:val="00127BBE"/>
    <w:rsid w:val="00130DB1"/>
    <w:rsid w:val="00131D52"/>
    <w:rsid w:val="001328E4"/>
    <w:rsid w:val="001329C1"/>
    <w:rsid w:val="00132C16"/>
    <w:rsid w:val="00136320"/>
    <w:rsid w:val="00136FFA"/>
    <w:rsid w:val="00137AC6"/>
    <w:rsid w:val="00145512"/>
    <w:rsid w:val="00147B45"/>
    <w:rsid w:val="00150803"/>
    <w:rsid w:val="00151D83"/>
    <w:rsid w:val="001546C9"/>
    <w:rsid w:val="00154F37"/>
    <w:rsid w:val="00154FAE"/>
    <w:rsid w:val="00155E77"/>
    <w:rsid w:val="00160A61"/>
    <w:rsid w:val="00160FC0"/>
    <w:rsid w:val="00164525"/>
    <w:rsid w:val="00164C50"/>
    <w:rsid w:val="001652B9"/>
    <w:rsid w:val="00165CB2"/>
    <w:rsid w:val="00165E0A"/>
    <w:rsid w:val="00166767"/>
    <w:rsid w:val="0017036F"/>
    <w:rsid w:val="001707CB"/>
    <w:rsid w:val="00171477"/>
    <w:rsid w:val="00172A1A"/>
    <w:rsid w:val="00173251"/>
    <w:rsid w:val="00176BED"/>
    <w:rsid w:val="0017759D"/>
    <w:rsid w:val="001804A5"/>
    <w:rsid w:val="00181C37"/>
    <w:rsid w:val="00181C94"/>
    <w:rsid w:val="00182C84"/>
    <w:rsid w:val="00187031"/>
    <w:rsid w:val="00191EA4"/>
    <w:rsid w:val="00192B6C"/>
    <w:rsid w:val="0019381E"/>
    <w:rsid w:val="00193CAF"/>
    <w:rsid w:val="00194A73"/>
    <w:rsid w:val="0019503C"/>
    <w:rsid w:val="00195D94"/>
    <w:rsid w:val="00196F7B"/>
    <w:rsid w:val="001971CB"/>
    <w:rsid w:val="0019795C"/>
    <w:rsid w:val="001A22A2"/>
    <w:rsid w:val="001A2971"/>
    <w:rsid w:val="001A335D"/>
    <w:rsid w:val="001A3D52"/>
    <w:rsid w:val="001A460A"/>
    <w:rsid w:val="001A4A4C"/>
    <w:rsid w:val="001A5EAD"/>
    <w:rsid w:val="001B0230"/>
    <w:rsid w:val="001B13AB"/>
    <w:rsid w:val="001B229A"/>
    <w:rsid w:val="001B3907"/>
    <w:rsid w:val="001B3B49"/>
    <w:rsid w:val="001B4907"/>
    <w:rsid w:val="001B4DC5"/>
    <w:rsid w:val="001B5505"/>
    <w:rsid w:val="001B5613"/>
    <w:rsid w:val="001B5ED2"/>
    <w:rsid w:val="001C2180"/>
    <w:rsid w:val="001C29CC"/>
    <w:rsid w:val="001C3B98"/>
    <w:rsid w:val="001C6028"/>
    <w:rsid w:val="001C6365"/>
    <w:rsid w:val="001C761E"/>
    <w:rsid w:val="001D0ABB"/>
    <w:rsid w:val="001D0E79"/>
    <w:rsid w:val="001D431D"/>
    <w:rsid w:val="001D6049"/>
    <w:rsid w:val="001D7339"/>
    <w:rsid w:val="001D73B2"/>
    <w:rsid w:val="001E2750"/>
    <w:rsid w:val="001E4343"/>
    <w:rsid w:val="001E660A"/>
    <w:rsid w:val="001F05D6"/>
    <w:rsid w:val="001F1ADF"/>
    <w:rsid w:val="001F5B0A"/>
    <w:rsid w:val="001F640F"/>
    <w:rsid w:val="001F6794"/>
    <w:rsid w:val="001F6F65"/>
    <w:rsid w:val="002002DF"/>
    <w:rsid w:val="002030DE"/>
    <w:rsid w:val="00203A6F"/>
    <w:rsid w:val="0020411A"/>
    <w:rsid w:val="00205646"/>
    <w:rsid w:val="002063F7"/>
    <w:rsid w:val="002129E5"/>
    <w:rsid w:val="00212AA4"/>
    <w:rsid w:val="00212E13"/>
    <w:rsid w:val="002179FE"/>
    <w:rsid w:val="00220B76"/>
    <w:rsid w:val="00220CC0"/>
    <w:rsid w:val="00221A36"/>
    <w:rsid w:val="002240F7"/>
    <w:rsid w:val="0022486F"/>
    <w:rsid w:val="002248DC"/>
    <w:rsid w:val="00225314"/>
    <w:rsid w:val="00225DF4"/>
    <w:rsid w:val="00226C70"/>
    <w:rsid w:val="002313F9"/>
    <w:rsid w:val="00231A00"/>
    <w:rsid w:val="00231F98"/>
    <w:rsid w:val="002324F8"/>
    <w:rsid w:val="00232BF6"/>
    <w:rsid w:val="002348B0"/>
    <w:rsid w:val="00235CDC"/>
    <w:rsid w:val="00237E76"/>
    <w:rsid w:val="00240BBE"/>
    <w:rsid w:val="00240FAC"/>
    <w:rsid w:val="00240FC7"/>
    <w:rsid w:val="00241525"/>
    <w:rsid w:val="00241D87"/>
    <w:rsid w:val="00243C55"/>
    <w:rsid w:val="00243D5E"/>
    <w:rsid w:val="002451EC"/>
    <w:rsid w:val="00245CB9"/>
    <w:rsid w:val="00245ED4"/>
    <w:rsid w:val="00246B41"/>
    <w:rsid w:val="0025002B"/>
    <w:rsid w:val="002500DE"/>
    <w:rsid w:val="00251ADF"/>
    <w:rsid w:val="00252130"/>
    <w:rsid w:val="00252457"/>
    <w:rsid w:val="00252581"/>
    <w:rsid w:val="00252FB1"/>
    <w:rsid w:val="002535B5"/>
    <w:rsid w:val="002538CB"/>
    <w:rsid w:val="002542BD"/>
    <w:rsid w:val="0025774E"/>
    <w:rsid w:val="00257D64"/>
    <w:rsid w:val="0026340A"/>
    <w:rsid w:val="00263A8D"/>
    <w:rsid w:val="002654EA"/>
    <w:rsid w:val="002704EA"/>
    <w:rsid w:val="0027061A"/>
    <w:rsid w:val="002719CC"/>
    <w:rsid w:val="00272588"/>
    <w:rsid w:val="002730C5"/>
    <w:rsid w:val="0027337C"/>
    <w:rsid w:val="00273A15"/>
    <w:rsid w:val="0027602B"/>
    <w:rsid w:val="00277F5E"/>
    <w:rsid w:val="00280084"/>
    <w:rsid w:val="00280490"/>
    <w:rsid w:val="002860B8"/>
    <w:rsid w:val="0029206E"/>
    <w:rsid w:val="00292B7C"/>
    <w:rsid w:val="00293382"/>
    <w:rsid w:val="00294F51"/>
    <w:rsid w:val="002A080C"/>
    <w:rsid w:val="002A2342"/>
    <w:rsid w:val="002A279E"/>
    <w:rsid w:val="002A47C1"/>
    <w:rsid w:val="002A4FA3"/>
    <w:rsid w:val="002B18C2"/>
    <w:rsid w:val="002B1A7B"/>
    <w:rsid w:val="002B246F"/>
    <w:rsid w:val="002B3606"/>
    <w:rsid w:val="002B3D80"/>
    <w:rsid w:val="002B4402"/>
    <w:rsid w:val="002B4946"/>
    <w:rsid w:val="002B4C41"/>
    <w:rsid w:val="002B588D"/>
    <w:rsid w:val="002C0903"/>
    <w:rsid w:val="002C1839"/>
    <w:rsid w:val="002C214A"/>
    <w:rsid w:val="002C28E8"/>
    <w:rsid w:val="002C2C39"/>
    <w:rsid w:val="002C3027"/>
    <w:rsid w:val="002C57CF"/>
    <w:rsid w:val="002C674D"/>
    <w:rsid w:val="002C7648"/>
    <w:rsid w:val="002C7DC4"/>
    <w:rsid w:val="002D0821"/>
    <w:rsid w:val="002D1929"/>
    <w:rsid w:val="002D1B73"/>
    <w:rsid w:val="002D228D"/>
    <w:rsid w:val="002D4800"/>
    <w:rsid w:val="002D5B21"/>
    <w:rsid w:val="002D6F6D"/>
    <w:rsid w:val="002D765D"/>
    <w:rsid w:val="002E1FE6"/>
    <w:rsid w:val="002E2EA7"/>
    <w:rsid w:val="002E36D2"/>
    <w:rsid w:val="002E3CA8"/>
    <w:rsid w:val="002E7193"/>
    <w:rsid w:val="002E748B"/>
    <w:rsid w:val="002F2002"/>
    <w:rsid w:val="002F335D"/>
    <w:rsid w:val="002F4E32"/>
    <w:rsid w:val="002F503F"/>
    <w:rsid w:val="002F50F3"/>
    <w:rsid w:val="002F51DD"/>
    <w:rsid w:val="002F5D08"/>
    <w:rsid w:val="002F61E0"/>
    <w:rsid w:val="002F6895"/>
    <w:rsid w:val="002F6D13"/>
    <w:rsid w:val="003049C7"/>
    <w:rsid w:val="00305F0E"/>
    <w:rsid w:val="0030667A"/>
    <w:rsid w:val="0031063D"/>
    <w:rsid w:val="003106DE"/>
    <w:rsid w:val="00311530"/>
    <w:rsid w:val="00312D31"/>
    <w:rsid w:val="00315216"/>
    <w:rsid w:val="0031586E"/>
    <w:rsid w:val="0031691C"/>
    <w:rsid w:val="00316DCC"/>
    <w:rsid w:val="00317AEF"/>
    <w:rsid w:val="00317F49"/>
    <w:rsid w:val="0032089B"/>
    <w:rsid w:val="00323450"/>
    <w:rsid w:val="00323541"/>
    <w:rsid w:val="0032489B"/>
    <w:rsid w:val="0032525B"/>
    <w:rsid w:val="00326A7A"/>
    <w:rsid w:val="00326FEE"/>
    <w:rsid w:val="003315D7"/>
    <w:rsid w:val="0033252E"/>
    <w:rsid w:val="003335BC"/>
    <w:rsid w:val="00334DE6"/>
    <w:rsid w:val="0033536D"/>
    <w:rsid w:val="003353FF"/>
    <w:rsid w:val="003366D2"/>
    <w:rsid w:val="00337C79"/>
    <w:rsid w:val="00337FEF"/>
    <w:rsid w:val="0034084C"/>
    <w:rsid w:val="00340D5E"/>
    <w:rsid w:val="00341B9C"/>
    <w:rsid w:val="003420B5"/>
    <w:rsid w:val="00343646"/>
    <w:rsid w:val="00344CCB"/>
    <w:rsid w:val="00344E46"/>
    <w:rsid w:val="00345897"/>
    <w:rsid w:val="00346B05"/>
    <w:rsid w:val="00351BFC"/>
    <w:rsid w:val="0035575E"/>
    <w:rsid w:val="003565B4"/>
    <w:rsid w:val="00362E75"/>
    <w:rsid w:val="00362F4A"/>
    <w:rsid w:val="003631AA"/>
    <w:rsid w:val="003632D5"/>
    <w:rsid w:val="00363575"/>
    <w:rsid w:val="00364EF9"/>
    <w:rsid w:val="0036616C"/>
    <w:rsid w:val="00367579"/>
    <w:rsid w:val="0036795B"/>
    <w:rsid w:val="00370A29"/>
    <w:rsid w:val="003722F9"/>
    <w:rsid w:val="00372349"/>
    <w:rsid w:val="003726D7"/>
    <w:rsid w:val="003731B7"/>
    <w:rsid w:val="00374BDE"/>
    <w:rsid w:val="003768AF"/>
    <w:rsid w:val="00376B39"/>
    <w:rsid w:val="003772C0"/>
    <w:rsid w:val="00377422"/>
    <w:rsid w:val="00377BAC"/>
    <w:rsid w:val="00380142"/>
    <w:rsid w:val="00380558"/>
    <w:rsid w:val="00381D3C"/>
    <w:rsid w:val="0038223E"/>
    <w:rsid w:val="00382D92"/>
    <w:rsid w:val="00385AEF"/>
    <w:rsid w:val="003860EA"/>
    <w:rsid w:val="0038781A"/>
    <w:rsid w:val="003903E8"/>
    <w:rsid w:val="0039080B"/>
    <w:rsid w:val="0039326E"/>
    <w:rsid w:val="00394E22"/>
    <w:rsid w:val="003967A4"/>
    <w:rsid w:val="00397FA3"/>
    <w:rsid w:val="003A1596"/>
    <w:rsid w:val="003A317E"/>
    <w:rsid w:val="003A345B"/>
    <w:rsid w:val="003A378E"/>
    <w:rsid w:val="003A49EE"/>
    <w:rsid w:val="003A5D07"/>
    <w:rsid w:val="003A674D"/>
    <w:rsid w:val="003A7123"/>
    <w:rsid w:val="003B102E"/>
    <w:rsid w:val="003B2167"/>
    <w:rsid w:val="003B5486"/>
    <w:rsid w:val="003B5F5D"/>
    <w:rsid w:val="003B619D"/>
    <w:rsid w:val="003B778F"/>
    <w:rsid w:val="003C0C62"/>
    <w:rsid w:val="003C1229"/>
    <w:rsid w:val="003C12DC"/>
    <w:rsid w:val="003C1EE6"/>
    <w:rsid w:val="003C20AB"/>
    <w:rsid w:val="003C2CDA"/>
    <w:rsid w:val="003C6CF7"/>
    <w:rsid w:val="003D000A"/>
    <w:rsid w:val="003D0C24"/>
    <w:rsid w:val="003D31E9"/>
    <w:rsid w:val="003D544E"/>
    <w:rsid w:val="003D5980"/>
    <w:rsid w:val="003D75B0"/>
    <w:rsid w:val="003E0842"/>
    <w:rsid w:val="003E13B0"/>
    <w:rsid w:val="003E2580"/>
    <w:rsid w:val="003E3DEE"/>
    <w:rsid w:val="003E3EBB"/>
    <w:rsid w:val="003E4A4C"/>
    <w:rsid w:val="003E4CBA"/>
    <w:rsid w:val="003E4D2F"/>
    <w:rsid w:val="003E4EDC"/>
    <w:rsid w:val="003E599D"/>
    <w:rsid w:val="003E5C81"/>
    <w:rsid w:val="003F00E8"/>
    <w:rsid w:val="003F1936"/>
    <w:rsid w:val="003F1BDD"/>
    <w:rsid w:val="003F3BA3"/>
    <w:rsid w:val="003F3BD5"/>
    <w:rsid w:val="003F400E"/>
    <w:rsid w:val="003F5989"/>
    <w:rsid w:val="003F6F35"/>
    <w:rsid w:val="003F714A"/>
    <w:rsid w:val="003F7768"/>
    <w:rsid w:val="00400E8C"/>
    <w:rsid w:val="004017DC"/>
    <w:rsid w:val="00401B53"/>
    <w:rsid w:val="00402668"/>
    <w:rsid w:val="00402B27"/>
    <w:rsid w:val="004038E4"/>
    <w:rsid w:val="00404B3C"/>
    <w:rsid w:val="00404FEC"/>
    <w:rsid w:val="0040534D"/>
    <w:rsid w:val="00405FAD"/>
    <w:rsid w:val="004117AB"/>
    <w:rsid w:val="00412B2F"/>
    <w:rsid w:val="00412DD2"/>
    <w:rsid w:val="004135A3"/>
    <w:rsid w:val="00415281"/>
    <w:rsid w:val="00415716"/>
    <w:rsid w:val="0041604D"/>
    <w:rsid w:val="00417842"/>
    <w:rsid w:val="00417A6E"/>
    <w:rsid w:val="00430221"/>
    <w:rsid w:val="00430B13"/>
    <w:rsid w:val="00430CE5"/>
    <w:rsid w:val="0043153C"/>
    <w:rsid w:val="00431D0F"/>
    <w:rsid w:val="0043481C"/>
    <w:rsid w:val="0043525F"/>
    <w:rsid w:val="00441FF2"/>
    <w:rsid w:val="00444307"/>
    <w:rsid w:val="0044436F"/>
    <w:rsid w:val="004443EB"/>
    <w:rsid w:val="00444432"/>
    <w:rsid w:val="00444673"/>
    <w:rsid w:val="0044621E"/>
    <w:rsid w:val="00450BA4"/>
    <w:rsid w:val="004511FC"/>
    <w:rsid w:val="004550C3"/>
    <w:rsid w:val="00456457"/>
    <w:rsid w:val="00456784"/>
    <w:rsid w:val="00456DCA"/>
    <w:rsid w:val="004611DB"/>
    <w:rsid w:val="004658B0"/>
    <w:rsid w:val="0046614B"/>
    <w:rsid w:val="004676C0"/>
    <w:rsid w:val="004678E5"/>
    <w:rsid w:val="00467D3D"/>
    <w:rsid w:val="00467FD7"/>
    <w:rsid w:val="00470073"/>
    <w:rsid w:val="00471416"/>
    <w:rsid w:val="004725DB"/>
    <w:rsid w:val="004730F8"/>
    <w:rsid w:val="00474353"/>
    <w:rsid w:val="0047454F"/>
    <w:rsid w:val="00474555"/>
    <w:rsid w:val="004750F4"/>
    <w:rsid w:val="00476CB1"/>
    <w:rsid w:val="00480A48"/>
    <w:rsid w:val="00482501"/>
    <w:rsid w:val="00482E7D"/>
    <w:rsid w:val="00484395"/>
    <w:rsid w:val="0048544D"/>
    <w:rsid w:val="004865FB"/>
    <w:rsid w:val="00486C03"/>
    <w:rsid w:val="00491AB3"/>
    <w:rsid w:val="00494A21"/>
    <w:rsid w:val="00497A33"/>
    <w:rsid w:val="004A1112"/>
    <w:rsid w:val="004A1DA0"/>
    <w:rsid w:val="004A2393"/>
    <w:rsid w:val="004A27C0"/>
    <w:rsid w:val="004A3569"/>
    <w:rsid w:val="004A452A"/>
    <w:rsid w:val="004A5F2C"/>
    <w:rsid w:val="004A6E4F"/>
    <w:rsid w:val="004A720D"/>
    <w:rsid w:val="004B00D0"/>
    <w:rsid w:val="004B2848"/>
    <w:rsid w:val="004B6084"/>
    <w:rsid w:val="004B62F3"/>
    <w:rsid w:val="004B7AE0"/>
    <w:rsid w:val="004C260D"/>
    <w:rsid w:val="004C27B4"/>
    <w:rsid w:val="004C2D47"/>
    <w:rsid w:val="004C4357"/>
    <w:rsid w:val="004C4477"/>
    <w:rsid w:val="004C5730"/>
    <w:rsid w:val="004C6397"/>
    <w:rsid w:val="004C668F"/>
    <w:rsid w:val="004C682B"/>
    <w:rsid w:val="004D142C"/>
    <w:rsid w:val="004D29F7"/>
    <w:rsid w:val="004D36D8"/>
    <w:rsid w:val="004D37E0"/>
    <w:rsid w:val="004D4C5C"/>
    <w:rsid w:val="004D5AB0"/>
    <w:rsid w:val="004D5EAE"/>
    <w:rsid w:val="004D6C01"/>
    <w:rsid w:val="004D7A0E"/>
    <w:rsid w:val="004E06E7"/>
    <w:rsid w:val="004E0AE3"/>
    <w:rsid w:val="004E20D3"/>
    <w:rsid w:val="004E2C82"/>
    <w:rsid w:val="004E475B"/>
    <w:rsid w:val="004E4FAE"/>
    <w:rsid w:val="004E62C7"/>
    <w:rsid w:val="004E68FF"/>
    <w:rsid w:val="004E7A1B"/>
    <w:rsid w:val="004F0B7F"/>
    <w:rsid w:val="004F0D17"/>
    <w:rsid w:val="004F1193"/>
    <w:rsid w:val="004F11DC"/>
    <w:rsid w:val="004F271B"/>
    <w:rsid w:val="004F2C62"/>
    <w:rsid w:val="004F3A52"/>
    <w:rsid w:val="004F449F"/>
    <w:rsid w:val="004F4E7E"/>
    <w:rsid w:val="004F63AB"/>
    <w:rsid w:val="004F6B76"/>
    <w:rsid w:val="004F6C7C"/>
    <w:rsid w:val="004F7F1A"/>
    <w:rsid w:val="004F7FBB"/>
    <w:rsid w:val="00503D3F"/>
    <w:rsid w:val="005042B3"/>
    <w:rsid w:val="005044DF"/>
    <w:rsid w:val="005045AB"/>
    <w:rsid w:val="00504E48"/>
    <w:rsid w:val="00507D43"/>
    <w:rsid w:val="00510E2C"/>
    <w:rsid w:val="00510F10"/>
    <w:rsid w:val="00511FDC"/>
    <w:rsid w:val="00512254"/>
    <w:rsid w:val="005124C6"/>
    <w:rsid w:val="00513CFE"/>
    <w:rsid w:val="00513EBC"/>
    <w:rsid w:val="005145EE"/>
    <w:rsid w:val="00514CE1"/>
    <w:rsid w:val="0051599A"/>
    <w:rsid w:val="00516189"/>
    <w:rsid w:val="00517155"/>
    <w:rsid w:val="00517DB3"/>
    <w:rsid w:val="005200DC"/>
    <w:rsid w:val="005200F2"/>
    <w:rsid w:val="0052081D"/>
    <w:rsid w:val="005217AA"/>
    <w:rsid w:val="00521B4D"/>
    <w:rsid w:val="0052369D"/>
    <w:rsid w:val="00525289"/>
    <w:rsid w:val="005271DB"/>
    <w:rsid w:val="005272C3"/>
    <w:rsid w:val="00527EAF"/>
    <w:rsid w:val="00530D2F"/>
    <w:rsid w:val="0053487C"/>
    <w:rsid w:val="005356E1"/>
    <w:rsid w:val="00536A8B"/>
    <w:rsid w:val="00540324"/>
    <w:rsid w:val="00540418"/>
    <w:rsid w:val="00541A96"/>
    <w:rsid w:val="00541C6A"/>
    <w:rsid w:val="00542C54"/>
    <w:rsid w:val="00545BA0"/>
    <w:rsid w:val="00546A43"/>
    <w:rsid w:val="00546C70"/>
    <w:rsid w:val="00547258"/>
    <w:rsid w:val="00550CF0"/>
    <w:rsid w:val="005559FE"/>
    <w:rsid w:val="005560D6"/>
    <w:rsid w:val="00556D07"/>
    <w:rsid w:val="00556FBB"/>
    <w:rsid w:val="005611F2"/>
    <w:rsid w:val="00561734"/>
    <w:rsid w:val="00561952"/>
    <w:rsid w:val="00561ABC"/>
    <w:rsid w:val="00564B9A"/>
    <w:rsid w:val="00565694"/>
    <w:rsid w:val="00566DD6"/>
    <w:rsid w:val="005714EF"/>
    <w:rsid w:val="00571CEC"/>
    <w:rsid w:val="00572FCE"/>
    <w:rsid w:val="005750DB"/>
    <w:rsid w:val="005759FC"/>
    <w:rsid w:val="00575B85"/>
    <w:rsid w:val="00576686"/>
    <w:rsid w:val="00576DB9"/>
    <w:rsid w:val="0057738F"/>
    <w:rsid w:val="005805E4"/>
    <w:rsid w:val="0058168B"/>
    <w:rsid w:val="0058202F"/>
    <w:rsid w:val="00584221"/>
    <w:rsid w:val="00586B68"/>
    <w:rsid w:val="0058767F"/>
    <w:rsid w:val="0058774E"/>
    <w:rsid w:val="005878CF"/>
    <w:rsid w:val="0059026A"/>
    <w:rsid w:val="00590CA0"/>
    <w:rsid w:val="00595B01"/>
    <w:rsid w:val="00596D98"/>
    <w:rsid w:val="005979A5"/>
    <w:rsid w:val="005A0021"/>
    <w:rsid w:val="005A017B"/>
    <w:rsid w:val="005A2AEC"/>
    <w:rsid w:val="005A5212"/>
    <w:rsid w:val="005A67E2"/>
    <w:rsid w:val="005B002D"/>
    <w:rsid w:val="005B0FFF"/>
    <w:rsid w:val="005B19AF"/>
    <w:rsid w:val="005B258C"/>
    <w:rsid w:val="005B3552"/>
    <w:rsid w:val="005B61DD"/>
    <w:rsid w:val="005B6735"/>
    <w:rsid w:val="005B7831"/>
    <w:rsid w:val="005C0977"/>
    <w:rsid w:val="005C0CD6"/>
    <w:rsid w:val="005C12D9"/>
    <w:rsid w:val="005C2146"/>
    <w:rsid w:val="005C309D"/>
    <w:rsid w:val="005C38DE"/>
    <w:rsid w:val="005C544B"/>
    <w:rsid w:val="005C5916"/>
    <w:rsid w:val="005C5AEE"/>
    <w:rsid w:val="005C774A"/>
    <w:rsid w:val="005D0D59"/>
    <w:rsid w:val="005D2BE2"/>
    <w:rsid w:val="005D3734"/>
    <w:rsid w:val="005D4F16"/>
    <w:rsid w:val="005D5A53"/>
    <w:rsid w:val="005D5DA0"/>
    <w:rsid w:val="005D7610"/>
    <w:rsid w:val="005D7FBD"/>
    <w:rsid w:val="005E0DF2"/>
    <w:rsid w:val="005E19B4"/>
    <w:rsid w:val="005E1D6B"/>
    <w:rsid w:val="005E227A"/>
    <w:rsid w:val="005E3126"/>
    <w:rsid w:val="005E7075"/>
    <w:rsid w:val="005E75A7"/>
    <w:rsid w:val="005F2B08"/>
    <w:rsid w:val="005F38E2"/>
    <w:rsid w:val="005F3EE6"/>
    <w:rsid w:val="005F45BF"/>
    <w:rsid w:val="005F45E0"/>
    <w:rsid w:val="005F6736"/>
    <w:rsid w:val="006003D9"/>
    <w:rsid w:val="00602C10"/>
    <w:rsid w:val="00603737"/>
    <w:rsid w:val="00604CF2"/>
    <w:rsid w:val="0060525F"/>
    <w:rsid w:val="00605A37"/>
    <w:rsid w:val="00606DFF"/>
    <w:rsid w:val="00606FB7"/>
    <w:rsid w:val="006076D0"/>
    <w:rsid w:val="0061039F"/>
    <w:rsid w:val="00610533"/>
    <w:rsid w:val="006107A2"/>
    <w:rsid w:val="006110F6"/>
    <w:rsid w:val="00611FA1"/>
    <w:rsid w:val="00612522"/>
    <w:rsid w:val="00612DA6"/>
    <w:rsid w:val="0061365B"/>
    <w:rsid w:val="006138B6"/>
    <w:rsid w:val="006144C7"/>
    <w:rsid w:val="00614BC6"/>
    <w:rsid w:val="00614E33"/>
    <w:rsid w:val="006158B8"/>
    <w:rsid w:val="0061706D"/>
    <w:rsid w:val="006173DA"/>
    <w:rsid w:val="00617BAD"/>
    <w:rsid w:val="00617EF9"/>
    <w:rsid w:val="00620295"/>
    <w:rsid w:val="00622F8E"/>
    <w:rsid w:val="00626AC8"/>
    <w:rsid w:val="00627912"/>
    <w:rsid w:val="0063017A"/>
    <w:rsid w:val="0063195F"/>
    <w:rsid w:val="0063523C"/>
    <w:rsid w:val="00636C0A"/>
    <w:rsid w:val="00637EC6"/>
    <w:rsid w:val="00640255"/>
    <w:rsid w:val="0064240C"/>
    <w:rsid w:val="00642FF5"/>
    <w:rsid w:val="006430FB"/>
    <w:rsid w:val="00643992"/>
    <w:rsid w:val="00643D67"/>
    <w:rsid w:val="00644DBC"/>
    <w:rsid w:val="00644FEE"/>
    <w:rsid w:val="00646FE6"/>
    <w:rsid w:val="006474CD"/>
    <w:rsid w:val="00647744"/>
    <w:rsid w:val="006479A0"/>
    <w:rsid w:val="006500D9"/>
    <w:rsid w:val="006501E8"/>
    <w:rsid w:val="00652507"/>
    <w:rsid w:val="0065387D"/>
    <w:rsid w:val="00653B54"/>
    <w:rsid w:val="006541A3"/>
    <w:rsid w:val="00654FAD"/>
    <w:rsid w:val="00655C9F"/>
    <w:rsid w:val="006567BB"/>
    <w:rsid w:val="006567FF"/>
    <w:rsid w:val="00656867"/>
    <w:rsid w:val="00660F84"/>
    <w:rsid w:val="0066109F"/>
    <w:rsid w:val="0066453B"/>
    <w:rsid w:val="00664B26"/>
    <w:rsid w:val="0066596B"/>
    <w:rsid w:val="00670295"/>
    <w:rsid w:val="006704F5"/>
    <w:rsid w:val="00670F18"/>
    <w:rsid w:val="00672894"/>
    <w:rsid w:val="00674B47"/>
    <w:rsid w:val="0067609E"/>
    <w:rsid w:val="00677749"/>
    <w:rsid w:val="00680E07"/>
    <w:rsid w:val="00681BD4"/>
    <w:rsid w:val="00682B9D"/>
    <w:rsid w:val="00683806"/>
    <w:rsid w:val="00686AF9"/>
    <w:rsid w:val="006910C0"/>
    <w:rsid w:val="006911F9"/>
    <w:rsid w:val="00691954"/>
    <w:rsid w:val="0069320E"/>
    <w:rsid w:val="00693D13"/>
    <w:rsid w:val="00694F58"/>
    <w:rsid w:val="006955BC"/>
    <w:rsid w:val="006959E2"/>
    <w:rsid w:val="00696920"/>
    <w:rsid w:val="00697DB0"/>
    <w:rsid w:val="00697EB9"/>
    <w:rsid w:val="006A15CF"/>
    <w:rsid w:val="006A20D4"/>
    <w:rsid w:val="006A268D"/>
    <w:rsid w:val="006A2D9D"/>
    <w:rsid w:val="006A346D"/>
    <w:rsid w:val="006A350F"/>
    <w:rsid w:val="006A3957"/>
    <w:rsid w:val="006A39A4"/>
    <w:rsid w:val="006A41D6"/>
    <w:rsid w:val="006A51A8"/>
    <w:rsid w:val="006A5E22"/>
    <w:rsid w:val="006A669D"/>
    <w:rsid w:val="006A6E41"/>
    <w:rsid w:val="006B012F"/>
    <w:rsid w:val="006B27CF"/>
    <w:rsid w:val="006B2E3C"/>
    <w:rsid w:val="006B41BD"/>
    <w:rsid w:val="006B5678"/>
    <w:rsid w:val="006B62B2"/>
    <w:rsid w:val="006B6C89"/>
    <w:rsid w:val="006C1C57"/>
    <w:rsid w:val="006C3C1B"/>
    <w:rsid w:val="006C5760"/>
    <w:rsid w:val="006C6D6F"/>
    <w:rsid w:val="006D0D78"/>
    <w:rsid w:val="006D1128"/>
    <w:rsid w:val="006D2848"/>
    <w:rsid w:val="006D30E0"/>
    <w:rsid w:val="006D4CE3"/>
    <w:rsid w:val="006D5FE9"/>
    <w:rsid w:val="006D6CBB"/>
    <w:rsid w:val="006D76A9"/>
    <w:rsid w:val="006D77F4"/>
    <w:rsid w:val="006E0898"/>
    <w:rsid w:val="006E1594"/>
    <w:rsid w:val="006E41CD"/>
    <w:rsid w:val="006F14B7"/>
    <w:rsid w:val="006F3BEC"/>
    <w:rsid w:val="006F550E"/>
    <w:rsid w:val="007019D3"/>
    <w:rsid w:val="00703B71"/>
    <w:rsid w:val="00703C00"/>
    <w:rsid w:val="007057CC"/>
    <w:rsid w:val="00705CDC"/>
    <w:rsid w:val="007066F2"/>
    <w:rsid w:val="00706AE5"/>
    <w:rsid w:val="0070740A"/>
    <w:rsid w:val="00711F93"/>
    <w:rsid w:val="00712940"/>
    <w:rsid w:val="0071428C"/>
    <w:rsid w:val="00715A16"/>
    <w:rsid w:val="007164B0"/>
    <w:rsid w:val="007166FF"/>
    <w:rsid w:val="00721AFE"/>
    <w:rsid w:val="00725BBC"/>
    <w:rsid w:val="00726543"/>
    <w:rsid w:val="00731327"/>
    <w:rsid w:val="00732092"/>
    <w:rsid w:val="0073353E"/>
    <w:rsid w:val="00736476"/>
    <w:rsid w:val="00736633"/>
    <w:rsid w:val="00741415"/>
    <w:rsid w:val="00741EE7"/>
    <w:rsid w:val="00743817"/>
    <w:rsid w:val="00743A79"/>
    <w:rsid w:val="0074594D"/>
    <w:rsid w:val="007459F3"/>
    <w:rsid w:val="00746E35"/>
    <w:rsid w:val="007470E2"/>
    <w:rsid w:val="007503A9"/>
    <w:rsid w:val="0075232F"/>
    <w:rsid w:val="00754F1A"/>
    <w:rsid w:val="007550B3"/>
    <w:rsid w:val="007573E1"/>
    <w:rsid w:val="00757C55"/>
    <w:rsid w:val="00760451"/>
    <w:rsid w:val="00760EAB"/>
    <w:rsid w:val="0076681C"/>
    <w:rsid w:val="0077182A"/>
    <w:rsid w:val="00771913"/>
    <w:rsid w:val="00771F62"/>
    <w:rsid w:val="00772718"/>
    <w:rsid w:val="00775329"/>
    <w:rsid w:val="00775BCF"/>
    <w:rsid w:val="00777EE9"/>
    <w:rsid w:val="00783140"/>
    <w:rsid w:val="007838B6"/>
    <w:rsid w:val="00783E77"/>
    <w:rsid w:val="007906F1"/>
    <w:rsid w:val="0079243D"/>
    <w:rsid w:val="00794A9B"/>
    <w:rsid w:val="0079583B"/>
    <w:rsid w:val="00796602"/>
    <w:rsid w:val="00797185"/>
    <w:rsid w:val="007973C3"/>
    <w:rsid w:val="007976B7"/>
    <w:rsid w:val="00797A7E"/>
    <w:rsid w:val="00797D6F"/>
    <w:rsid w:val="007A5360"/>
    <w:rsid w:val="007A587A"/>
    <w:rsid w:val="007A77EF"/>
    <w:rsid w:val="007B014B"/>
    <w:rsid w:val="007B0D88"/>
    <w:rsid w:val="007B1CBB"/>
    <w:rsid w:val="007B306F"/>
    <w:rsid w:val="007B4714"/>
    <w:rsid w:val="007B4E82"/>
    <w:rsid w:val="007B54D2"/>
    <w:rsid w:val="007B5E6B"/>
    <w:rsid w:val="007C1996"/>
    <w:rsid w:val="007C3773"/>
    <w:rsid w:val="007C3D1E"/>
    <w:rsid w:val="007C3F1F"/>
    <w:rsid w:val="007C6639"/>
    <w:rsid w:val="007C6D9D"/>
    <w:rsid w:val="007D2905"/>
    <w:rsid w:val="007D2D0D"/>
    <w:rsid w:val="007D3325"/>
    <w:rsid w:val="007D3818"/>
    <w:rsid w:val="007D5A63"/>
    <w:rsid w:val="007D6DC5"/>
    <w:rsid w:val="007D7425"/>
    <w:rsid w:val="007E320E"/>
    <w:rsid w:val="007E3280"/>
    <w:rsid w:val="007E4A02"/>
    <w:rsid w:val="007E595C"/>
    <w:rsid w:val="007E59A5"/>
    <w:rsid w:val="007E6856"/>
    <w:rsid w:val="007F3B8C"/>
    <w:rsid w:val="007F41D0"/>
    <w:rsid w:val="007F4B8B"/>
    <w:rsid w:val="007F5957"/>
    <w:rsid w:val="007F70B6"/>
    <w:rsid w:val="007F74CA"/>
    <w:rsid w:val="00800F1E"/>
    <w:rsid w:val="0080195A"/>
    <w:rsid w:val="0080239C"/>
    <w:rsid w:val="00802841"/>
    <w:rsid w:val="008037D5"/>
    <w:rsid w:val="008053B2"/>
    <w:rsid w:val="00805447"/>
    <w:rsid w:val="008054FA"/>
    <w:rsid w:val="0080717A"/>
    <w:rsid w:val="00807DFA"/>
    <w:rsid w:val="0081009F"/>
    <w:rsid w:val="00810152"/>
    <w:rsid w:val="008115AB"/>
    <w:rsid w:val="008159F4"/>
    <w:rsid w:val="008167C1"/>
    <w:rsid w:val="008167C6"/>
    <w:rsid w:val="00816B8F"/>
    <w:rsid w:val="00817991"/>
    <w:rsid w:val="00820331"/>
    <w:rsid w:val="00820BF5"/>
    <w:rsid w:val="008212B1"/>
    <w:rsid w:val="0082155A"/>
    <w:rsid w:val="0082209F"/>
    <w:rsid w:val="008223C2"/>
    <w:rsid w:val="00824E82"/>
    <w:rsid w:val="008250A2"/>
    <w:rsid w:val="00825D64"/>
    <w:rsid w:val="0082650B"/>
    <w:rsid w:val="008301CE"/>
    <w:rsid w:val="008312E3"/>
    <w:rsid w:val="00831AEC"/>
    <w:rsid w:val="00831D5B"/>
    <w:rsid w:val="00832DD6"/>
    <w:rsid w:val="00832F0C"/>
    <w:rsid w:val="008336F2"/>
    <w:rsid w:val="008345D9"/>
    <w:rsid w:val="008347CB"/>
    <w:rsid w:val="00835647"/>
    <w:rsid w:val="00837A2E"/>
    <w:rsid w:val="00841558"/>
    <w:rsid w:val="0084193F"/>
    <w:rsid w:val="00842A68"/>
    <w:rsid w:val="008435BA"/>
    <w:rsid w:val="00844A9C"/>
    <w:rsid w:val="0084558B"/>
    <w:rsid w:val="0084654A"/>
    <w:rsid w:val="008469DB"/>
    <w:rsid w:val="00847654"/>
    <w:rsid w:val="00854499"/>
    <w:rsid w:val="00855543"/>
    <w:rsid w:val="008566B3"/>
    <w:rsid w:val="008576B7"/>
    <w:rsid w:val="00857F7B"/>
    <w:rsid w:val="00863DA1"/>
    <w:rsid w:val="008654A6"/>
    <w:rsid w:val="00865D86"/>
    <w:rsid w:val="008678D4"/>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8646B"/>
    <w:rsid w:val="008902BC"/>
    <w:rsid w:val="00890712"/>
    <w:rsid w:val="00890D81"/>
    <w:rsid w:val="008911D7"/>
    <w:rsid w:val="00892955"/>
    <w:rsid w:val="00893628"/>
    <w:rsid w:val="008941EB"/>
    <w:rsid w:val="0089545A"/>
    <w:rsid w:val="00895A02"/>
    <w:rsid w:val="008A01EE"/>
    <w:rsid w:val="008A1BAB"/>
    <w:rsid w:val="008A3B78"/>
    <w:rsid w:val="008A4166"/>
    <w:rsid w:val="008A7019"/>
    <w:rsid w:val="008A7DBF"/>
    <w:rsid w:val="008B1067"/>
    <w:rsid w:val="008B136C"/>
    <w:rsid w:val="008B55EF"/>
    <w:rsid w:val="008C0B5C"/>
    <w:rsid w:val="008C1343"/>
    <w:rsid w:val="008C3912"/>
    <w:rsid w:val="008C5598"/>
    <w:rsid w:val="008C69EA"/>
    <w:rsid w:val="008C6F8B"/>
    <w:rsid w:val="008C7AB7"/>
    <w:rsid w:val="008C7FB4"/>
    <w:rsid w:val="008D2C8C"/>
    <w:rsid w:val="008D3040"/>
    <w:rsid w:val="008D3ECD"/>
    <w:rsid w:val="008D4A9F"/>
    <w:rsid w:val="008D5890"/>
    <w:rsid w:val="008D5C03"/>
    <w:rsid w:val="008D7C35"/>
    <w:rsid w:val="008E5698"/>
    <w:rsid w:val="008E5733"/>
    <w:rsid w:val="008E77D2"/>
    <w:rsid w:val="008E78FD"/>
    <w:rsid w:val="008F199D"/>
    <w:rsid w:val="008F1C8C"/>
    <w:rsid w:val="008F38A0"/>
    <w:rsid w:val="008F39C9"/>
    <w:rsid w:val="008F5EB5"/>
    <w:rsid w:val="008F678C"/>
    <w:rsid w:val="008F75A7"/>
    <w:rsid w:val="008F7E5A"/>
    <w:rsid w:val="0090092B"/>
    <w:rsid w:val="009036EE"/>
    <w:rsid w:val="00905815"/>
    <w:rsid w:val="00905D1D"/>
    <w:rsid w:val="00906963"/>
    <w:rsid w:val="00907921"/>
    <w:rsid w:val="0091016D"/>
    <w:rsid w:val="0091183B"/>
    <w:rsid w:val="00911910"/>
    <w:rsid w:val="00912A58"/>
    <w:rsid w:val="00913908"/>
    <w:rsid w:val="00913D26"/>
    <w:rsid w:val="0091438B"/>
    <w:rsid w:val="009147E3"/>
    <w:rsid w:val="00920FD2"/>
    <w:rsid w:val="00923A43"/>
    <w:rsid w:val="0092439C"/>
    <w:rsid w:val="00924554"/>
    <w:rsid w:val="0092498E"/>
    <w:rsid w:val="00925B91"/>
    <w:rsid w:val="00932193"/>
    <w:rsid w:val="00934461"/>
    <w:rsid w:val="00934F7E"/>
    <w:rsid w:val="00936A1C"/>
    <w:rsid w:val="00943E35"/>
    <w:rsid w:val="00945278"/>
    <w:rsid w:val="0094658D"/>
    <w:rsid w:val="00947678"/>
    <w:rsid w:val="00947878"/>
    <w:rsid w:val="00947EB3"/>
    <w:rsid w:val="009504C2"/>
    <w:rsid w:val="0095254A"/>
    <w:rsid w:val="009559E1"/>
    <w:rsid w:val="009568D5"/>
    <w:rsid w:val="00957C5E"/>
    <w:rsid w:val="00957CD3"/>
    <w:rsid w:val="0096018F"/>
    <w:rsid w:val="0096269B"/>
    <w:rsid w:val="00962D12"/>
    <w:rsid w:val="00963FB0"/>
    <w:rsid w:val="00964A50"/>
    <w:rsid w:val="00964C86"/>
    <w:rsid w:val="00965E82"/>
    <w:rsid w:val="009664BB"/>
    <w:rsid w:val="009669F8"/>
    <w:rsid w:val="00966BB8"/>
    <w:rsid w:val="00966F89"/>
    <w:rsid w:val="0096784D"/>
    <w:rsid w:val="00973B5D"/>
    <w:rsid w:val="00974109"/>
    <w:rsid w:val="00974C9E"/>
    <w:rsid w:val="0097755E"/>
    <w:rsid w:val="00980B45"/>
    <w:rsid w:val="00981080"/>
    <w:rsid w:val="00981467"/>
    <w:rsid w:val="00981C24"/>
    <w:rsid w:val="009852F6"/>
    <w:rsid w:val="00985DE5"/>
    <w:rsid w:val="00986254"/>
    <w:rsid w:val="0098729E"/>
    <w:rsid w:val="00990067"/>
    <w:rsid w:val="00992977"/>
    <w:rsid w:val="009936E5"/>
    <w:rsid w:val="009937D4"/>
    <w:rsid w:val="00993A41"/>
    <w:rsid w:val="00993C78"/>
    <w:rsid w:val="009948C7"/>
    <w:rsid w:val="00995850"/>
    <w:rsid w:val="0099796C"/>
    <w:rsid w:val="009A1EA2"/>
    <w:rsid w:val="009A209E"/>
    <w:rsid w:val="009A3FD7"/>
    <w:rsid w:val="009A48B5"/>
    <w:rsid w:val="009A4A7D"/>
    <w:rsid w:val="009A6652"/>
    <w:rsid w:val="009A74FD"/>
    <w:rsid w:val="009A7779"/>
    <w:rsid w:val="009B1A6E"/>
    <w:rsid w:val="009B25D8"/>
    <w:rsid w:val="009B42E3"/>
    <w:rsid w:val="009B5372"/>
    <w:rsid w:val="009B5859"/>
    <w:rsid w:val="009B7D84"/>
    <w:rsid w:val="009C0428"/>
    <w:rsid w:val="009C6D07"/>
    <w:rsid w:val="009C7CEC"/>
    <w:rsid w:val="009D154D"/>
    <w:rsid w:val="009D18EF"/>
    <w:rsid w:val="009D3BE8"/>
    <w:rsid w:val="009D44E0"/>
    <w:rsid w:val="009D5684"/>
    <w:rsid w:val="009D573B"/>
    <w:rsid w:val="009D59A0"/>
    <w:rsid w:val="009D5B01"/>
    <w:rsid w:val="009D716A"/>
    <w:rsid w:val="009D7388"/>
    <w:rsid w:val="009E01CA"/>
    <w:rsid w:val="009E1AC4"/>
    <w:rsid w:val="009E20B8"/>
    <w:rsid w:val="009E2384"/>
    <w:rsid w:val="009E29A0"/>
    <w:rsid w:val="009E41B5"/>
    <w:rsid w:val="009E55D7"/>
    <w:rsid w:val="009E627C"/>
    <w:rsid w:val="009F1498"/>
    <w:rsid w:val="009F1E9F"/>
    <w:rsid w:val="009F3793"/>
    <w:rsid w:val="009F54F2"/>
    <w:rsid w:val="009F621C"/>
    <w:rsid w:val="00A0056B"/>
    <w:rsid w:val="00A0147B"/>
    <w:rsid w:val="00A01657"/>
    <w:rsid w:val="00A01C65"/>
    <w:rsid w:val="00A0213D"/>
    <w:rsid w:val="00A036B5"/>
    <w:rsid w:val="00A04C73"/>
    <w:rsid w:val="00A0679A"/>
    <w:rsid w:val="00A07A2B"/>
    <w:rsid w:val="00A12375"/>
    <w:rsid w:val="00A125B8"/>
    <w:rsid w:val="00A13124"/>
    <w:rsid w:val="00A131D1"/>
    <w:rsid w:val="00A15370"/>
    <w:rsid w:val="00A156AB"/>
    <w:rsid w:val="00A16B8D"/>
    <w:rsid w:val="00A21293"/>
    <w:rsid w:val="00A2134B"/>
    <w:rsid w:val="00A21623"/>
    <w:rsid w:val="00A220EB"/>
    <w:rsid w:val="00A22302"/>
    <w:rsid w:val="00A25F1B"/>
    <w:rsid w:val="00A270EC"/>
    <w:rsid w:val="00A325F3"/>
    <w:rsid w:val="00A32E2D"/>
    <w:rsid w:val="00A33103"/>
    <w:rsid w:val="00A33294"/>
    <w:rsid w:val="00A35DCB"/>
    <w:rsid w:val="00A36351"/>
    <w:rsid w:val="00A3690E"/>
    <w:rsid w:val="00A37751"/>
    <w:rsid w:val="00A406B1"/>
    <w:rsid w:val="00A4113E"/>
    <w:rsid w:val="00A4135B"/>
    <w:rsid w:val="00A426F3"/>
    <w:rsid w:val="00A438BA"/>
    <w:rsid w:val="00A446FD"/>
    <w:rsid w:val="00A447DF"/>
    <w:rsid w:val="00A44C40"/>
    <w:rsid w:val="00A46F46"/>
    <w:rsid w:val="00A476E3"/>
    <w:rsid w:val="00A52CB6"/>
    <w:rsid w:val="00A52F99"/>
    <w:rsid w:val="00A538BB"/>
    <w:rsid w:val="00A54164"/>
    <w:rsid w:val="00A56737"/>
    <w:rsid w:val="00A60002"/>
    <w:rsid w:val="00A603D8"/>
    <w:rsid w:val="00A6083C"/>
    <w:rsid w:val="00A60AE2"/>
    <w:rsid w:val="00A61834"/>
    <w:rsid w:val="00A618B0"/>
    <w:rsid w:val="00A62790"/>
    <w:rsid w:val="00A6291F"/>
    <w:rsid w:val="00A63F53"/>
    <w:rsid w:val="00A65A53"/>
    <w:rsid w:val="00A676D7"/>
    <w:rsid w:val="00A67D21"/>
    <w:rsid w:val="00A67D81"/>
    <w:rsid w:val="00A7232A"/>
    <w:rsid w:val="00A755B6"/>
    <w:rsid w:val="00A75B1A"/>
    <w:rsid w:val="00A76805"/>
    <w:rsid w:val="00A80ED4"/>
    <w:rsid w:val="00A816C4"/>
    <w:rsid w:val="00A82981"/>
    <w:rsid w:val="00A853BD"/>
    <w:rsid w:val="00A859B1"/>
    <w:rsid w:val="00A86F10"/>
    <w:rsid w:val="00A87AF2"/>
    <w:rsid w:val="00A90B23"/>
    <w:rsid w:val="00A916BF"/>
    <w:rsid w:val="00A93C2B"/>
    <w:rsid w:val="00A974CB"/>
    <w:rsid w:val="00A9789E"/>
    <w:rsid w:val="00AA1EAC"/>
    <w:rsid w:val="00AA45E2"/>
    <w:rsid w:val="00AA7AC1"/>
    <w:rsid w:val="00AB2FDF"/>
    <w:rsid w:val="00AB6327"/>
    <w:rsid w:val="00AB6B8F"/>
    <w:rsid w:val="00AC0C65"/>
    <w:rsid w:val="00AC0FB2"/>
    <w:rsid w:val="00AC100D"/>
    <w:rsid w:val="00AC13BE"/>
    <w:rsid w:val="00AC41C6"/>
    <w:rsid w:val="00AC6291"/>
    <w:rsid w:val="00AC70C7"/>
    <w:rsid w:val="00AC7370"/>
    <w:rsid w:val="00AC76B7"/>
    <w:rsid w:val="00AD123A"/>
    <w:rsid w:val="00AD15FF"/>
    <w:rsid w:val="00AD206C"/>
    <w:rsid w:val="00AD2920"/>
    <w:rsid w:val="00AD2CD5"/>
    <w:rsid w:val="00AD2DFC"/>
    <w:rsid w:val="00AD38C4"/>
    <w:rsid w:val="00AD522D"/>
    <w:rsid w:val="00AD5A4A"/>
    <w:rsid w:val="00AD60EE"/>
    <w:rsid w:val="00AD6A2B"/>
    <w:rsid w:val="00AD73D4"/>
    <w:rsid w:val="00AE1EA2"/>
    <w:rsid w:val="00AE2874"/>
    <w:rsid w:val="00AE2F98"/>
    <w:rsid w:val="00AE3602"/>
    <w:rsid w:val="00AE5342"/>
    <w:rsid w:val="00AE5987"/>
    <w:rsid w:val="00AE6472"/>
    <w:rsid w:val="00AF1345"/>
    <w:rsid w:val="00AF38A8"/>
    <w:rsid w:val="00AF518E"/>
    <w:rsid w:val="00AF63EB"/>
    <w:rsid w:val="00B016D2"/>
    <w:rsid w:val="00B01783"/>
    <w:rsid w:val="00B018EC"/>
    <w:rsid w:val="00B060C7"/>
    <w:rsid w:val="00B10210"/>
    <w:rsid w:val="00B110CC"/>
    <w:rsid w:val="00B11505"/>
    <w:rsid w:val="00B11AB7"/>
    <w:rsid w:val="00B12213"/>
    <w:rsid w:val="00B1284F"/>
    <w:rsid w:val="00B13710"/>
    <w:rsid w:val="00B21536"/>
    <w:rsid w:val="00B22881"/>
    <w:rsid w:val="00B23EFC"/>
    <w:rsid w:val="00B24B72"/>
    <w:rsid w:val="00B24EE3"/>
    <w:rsid w:val="00B25DB8"/>
    <w:rsid w:val="00B2656C"/>
    <w:rsid w:val="00B266E6"/>
    <w:rsid w:val="00B3094D"/>
    <w:rsid w:val="00B30B04"/>
    <w:rsid w:val="00B311BC"/>
    <w:rsid w:val="00B31C10"/>
    <w:rsid w:val="00B3238B"/>
    <w:rsid w:val="00B3446D"/>
    <w:rsid w:val="00B34639"/>
    <w:rsid w:val="00B34652"/>
    <w:rsid w:val="00B3468A"/>
    <w:rsid w:val="00B34F89"/>
    <w:rsid w:val="00B358C8"/>
    <w:rsid w:val="00B36185"/>
    <w:rsid w:val="00B3662F"/>
    <w:rsid w:val="00B373CD"/>
    <w:rsid w:val="00B377C8"/>
    <w:rsid w:val="00B400B8"/>
    <w:rsid w:val="00B404DE"/>
    <w:rsid w:val="00B40765"/>
    <w:rsid w:val="00B40CA3"/>
    <w:rsid w:val="00B4116B"/>
    <w:rsid w:val="00B4232D"/>
    <w:rsid w:val="00B42682"/>
    <w:rsid w:val="00B43065"/>
    <w:rsid w:val="00B4450B"/>
    <w:rsid w:val="00B44784"/>
    <w:rsid w:val="00B449D0"/>
    <w:rsid w:val="00B456AB"/>
    <w:rsid w:val="00B47E8B"/>
    <w:rsid w:val="00B51C67"/>
    <w:rsid w:val="00B521E2"/>
    <w:rsid w:val="00B53F86"/>
    <w:rsid w:val="00B53FDC"/>
    <w:rsid w:val="00B55431"/>
    <w:rsid w:val="00B55CAE"/>
    <w:rsid w:val="00B576C6"/>
    <w:rsid w:val="00B615F2"/>
    <w:rsid w:val="00B61A28"/>
    <w:rsid w:val="00B66B06"/>
    <w:rsid w:val="00B67862"/>
    <w:rsid w:val="00B67C1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38D5"/>
    <w:rsid w:val="00B93C62"/>
    <w:rsid w:val="00B96D3D"/>
    <w:rsid w:val="00BA0A14"/>
    <w:rsid w:val="00BA398D"/>
    <w:rsid w:val="00BA39D3"/>
    <w:rsid w:val="00BA523C"/>
    <w:rsid w:val="00BA5C56"/>
    <w:rsid w:val="00BA776F"/>
    <w:rsid w:val="00BA7CB2"/>
    <w:rsid w:val="00BB0C0D"/>
    <w:rsid w:val="00BB0C4C"/>
    <w:rsid w:val="00BB0D69"/>
    <w:rsid w:val="00BB366E"/>
    <w:rsid w:val="00BB3AF0"/>
    <w:rsid w:val="00BB3C3A"/>
    <w:rsid w:val="00BB4F70"/>
    <w:rsid w:val="00BB6166"/>
    <w:rsid w:val="00BB67FF"/>
    <w:rsid w:val="00BC11B9"/>
    <w:rsid w:val="00BC138C"/>
    <w:rsid w:val="00BC14CF"/>
    <w:rsid w:val="00BC1659"/>
    <w:rsid w:val="00BC1E86"/>
    <w:rsid w:val="00BC2C91"/>
    <w:rsid w:val="00BC3A9C"/>
    <w:rsid w:val="00BC5288"/>
    <w:rsid w:val="00BC6A71"/>
    <w:rsid w:val="00BC6B2F"/>
    <w:rsid w:val="00BC765D"/>
    <w:rsid w:val="00BD0637"/>
    <w:rsid w:val="00BD08A8"/>
    <w:rsid w:val="00BD0ED4"/>
    <w:rsid w:val="00BD1BAC"/>
    <w:rsid w:val="00BD1E26"/>
    <w:rsid w:val="00BD25A6"/>
    <w:rsid w:val="00BD4C95"/>
    <w:rsid w:val="00BD65C3"/>
    <w:rsid w:val="00BD65FC"/>
    <w:rsid w:val="00BD7660"/>
    <w:rsid w:val="00BE0666"/>
    <w:rsid w:val="00BE24B9"/>
    <w:rsid w:val="00BE2AE8"/>
    <w:rsid w:val="00BE2D55"/>
    <w:rsid w:val="00BE38DD"/>
    <w:rsid w:val="00BE4AB1"/>
    <w:rsid w:val="00BE6A53"/>
    <w:rsid w:val="00BF0966"/>
    <w:rsid w:val="00BF16C3"/>
    <w:rsid w:val="00BF1BBC"/>
    <w:rsid w:val="00BF38E0"/>
    <w:rsid w:val="00BF44FA"/>
    <w:rsid w:val="00BF57E1"/>
    <w:rsid w:val="00C00A5F"/>
    <w:rsid w:val="00C024CE"/>
    <w:rsid w:val="00C042E0"/>
    <w:rsid w:val="00C051D9"/>
    <w:rsid w:val="00C06333"/>
    <w:rsid w:val="00C06F68"/>
    <w:rsid w:val="00C075BA"/>
    <w:rsid w:val="00C10A3A"/>
    <w:rsid w:val="00C10A3D"/>
    <w:rsid w:val="00C11771"/>
    <w:rsid w:val="00C11E20"/>
    <w:rsid w:val="00C14434"/>
    <w:rsid w:val="00C15D16"/>
    <w:rsid w:val="00C20015"/>
    <w:rsid w:val="00C2280E"/>
    <w:rsid w:val="00C247DD"/>
    <w:rsid w:val="00C25B43"/>
    <w:rsid w:val="00C26A54"/>
    <w:rsid w:val="00C30FCB"/>
    <w:rsid w:val="00C3261C"/>
    <w:rsid w:val="00C3318B"/>
    <w:rsid w:val="00C33C20"/>
    <w:rsid w:val="00C35362"/>
    <w:rsid w:val="00C357EA"/>
    <w:rsid w:val="00C379F8"/>
    <w:rsid w:val="00C37A1C"/>
    <w:rsid w:val="00C37E73"/>
    <w:rsid w:val="00C40558"/>
    <w:rsid w:val="00C4316E"/>
    <w:rsid w:val="00C44727"/>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49BC"/>
    <w:rsid w:val="00C67473"/>
    <w:rsid w:val="00C67AA4"/>
    <w:rsid w:val="00C7148C"/>
    <w:rsid w:val="00C72192"/>
    <w:rsid w:val="00C72244"/>
    <w:rsid w:val="00C732E5"/>
    <w:rsid w:val="00C73D0B"/>
    <w:rsid w:val="00C74AC8"/>
    <w:rsid w:val="00C74E52"/>
    <w:rsid w:val="00C75017"/>
    <w:rsid w:val="00C765B4"/>
    <w:rsid w:val="00C7793E"/>
    <w:rsid w:val="00C77B22"/>
    <w:rsid w:val="00C813EA"/>
    <w:rsid w:val="00C81496"/>
    <w:rsid w:val="00C82CE6"/>
    <w:rsid w:val="00C82FF3"/>
    <w:rsid w:val="00C848BE"/>
    <w:rsid w:val="00C85144"/>
    <w:rsid w:val="00C86A27"/>
    <w:rsid w:val="00C87C05"/>
    <w:rsid w:val="00C906A1"/>
    <w:rsid w:val="00C91517"/>
    <w:rsid w:val="00C929BD"/>
    <w:rsid w:val="00C931A2"/>
    <w:rsid w:val="00C94C34"/>
    <w:rsid w:val="00C96D56"/>
    <w:rsid w:val="00CA02E1"/>
    <w:rsid w:val="00CA0749"/>
    <w:rsid w:val="00CA15DA"/>
    <w:rsid w:val="00CA21D6"/>
    <w:rsid w:val="00CA224E"/>
    <w:rsid w:val="00CA41C5"/>
    <w:rsid w:val="00CA4A53"/>
    <w:rsid w:val="00CA51F5"/>
    <w:rsid w:val="00CA5527"/>
    <w:rsid w:val="00CA7B7D"/>
    <w:rsid w:val="00CB12D5"/>
    <w:rsid w:val="00CB1968"/>
    <w:rsid w:val="00CB218A"/>
    <w:rsid w:val="00CB225A"/>
    <w:rsid w:val="00CB2EB7"/>
    <w:rsid w:val="00CB41F4"/>
    <w:rsid w:val="00CB58E2"/>
    <w:rsid w:val="00CB69E6"/>
    <w:rsid w:val="00CB761B"/>
    <w:rsid w:val="00CC13DF"/>
    <w:rsid w:val="00CC1EEE"/>
    <w:rsid w:val="00CC562B"/>
    <w:rsid w:val="00CC6C15"/>
    <w:rsid w:val="00CC7FCF"/>
    <w:rsid w:val="00CD2749"/>
    <w:rsid w:val="00CD2A60"/>
    <w:rsid w:val="00CD306F"/>
    <w:rsid w:val="00CD3971"/>
    <w:rsid w:val="00CD3DAB"/>
    <w:rsid w:val="00CE0DF1"/>
    <w:rsid w:val="00CE198C"/>
    <w:rsid w:val="00CE3786"/>
    <w:rsid w:val="00CE4027"/>
    <w:rsid w:val="00CE47CC"/>
    <w:rsid w:val="00CE68F6"/>
    <w:rsid w:val="00CE7E27"/>
    <w:rsid w:val="00CF22AC"/>
    <w:rsid w:val="00CF2C81"/>
    <w:rsid w:val="00CF2F0A"/>
    <w:rsid w:val="00CF3F9E"/>
    <w:rsid w:val="00CF79E8"/>
    <w:rsid w:val="00D015AA"/>
    <w:rsid w:val="00D03D90"/>
    <w:rsid w:val="00D04024"/>
    <w:rsid w:val="00D043EB"/>
    <w:rsid w:val="00D06705"/>
    <w:rsid w:val="00D06A9B"/>
    <w:rsid w:val="00D0750D"/>
    <w:rsid w:val="00D07DD8"/>
    <w:rsid w:val="00D07F43"/>
    <w:rsid w:val="00D1038F"/>
    <w:rsid w:val="00D10BF7"/>
    <w:rsid w:val="00D10FEB"/>
    <w:rsid w:val="00D140A0"/>
    <w:rsid w:val="00D14C2C"/>
    <w:rsid w:val="00D203D1"/>
    <w:rsid w:val="00D2057A"/>
    <w:rsid w:val="00D2317F"/>
    <w:rsid w:val="00D231A9"/>
    <w:rsid w:val="00D24391"/>
    <w:rsid w:val="00D2472B"/>
    <w:rsid w:val="00D253DD"/>
    <w:rsid w:val="00D26FFA"/>
    <w:rsid w:val="00D3105F"/>
    <w:rsid w:val="00D3215D"/>
    <w:rsid w:val="00D33352"/>
    <w:rsid w:val="00D347D9"/>
    <w:rsid w:val="00D35565"/>
    <w:rsid w:val="00D36A19"/>
    <w:rsid w:val="00D40DCF"/>
    <w:rsid w:val="00D41075"/>
    <w:rsid w:val="00D41C76"/>
    <w:rsid w:val="00D41DD8"/>
    <w:rsid w:val="00D4222C"/>
    <w:rsid w:val="00D425CE"/>
    <w:rsid w:val="00D42A8F"/>
    <w:rsid w:val="00D42F40"/>
    <w:rsid w:val="00D4396C"/>
    <w:rsid w:val="00D4446F"/>
    <w:rsid w:val="00D44B55"/>
    <w:rsid w:val="00D45490"/>
    <w:rsid w:val="00D457B8"/>
    <w:rsid w:val="00D457E1"/>
    <w:rsid w:val="00D47BEB"/>
    <w:rsid w:val="00D501C2"/>
    <w:rsid w:val="00D50487"/>
    <w:rsid w:val="00D50563"/>
    <w:rsid w:val="00D507DE"/>
    <w:rsid w:val="00D50F50"/>
    <w:rsid w:val="00D5235F"/>
    <w:rsid w:val="00D52F50"/>
    <w:rsid w:val="00D557EA"/>
    <w:rsid w:val="00D55A98"/>
    <w:rsid w:val="00D56B49"/>
    <w:rsid w:val="00D6053F"/>
    <w:rsid w:val="00D6073D"/>
    <w:rsid w:val="00D609E2"/>
    <w:rsid w:val="00D618D6"/>
    <w:rsid w:val="00D62426"/>
    <w:rsid w:val="00D62804"/>
    <w:rsid w:val="00D6599F"/>
    <w:rsid w:val="00D70F55"/>
    <w:rsid w:val="00D70FA5"/>
    <w:rsid w:val="00D712D8"/>
    <w:rsid w:val="00D74171"/>
    <w:rsid w:val="00D750DD"/>
    <w:rsid w:val="00D8032C"/>
    <w:rsid w:val="00D80CE2"/>
    <w:rsid w:val="00D80FD6"/>
    <w:rsid w:val="00D83080"/>
    <w:rsid w:val="00D84AA2"/>
    <w:rsid w:val="00D84D5F"/>
    <w:rsid w:val="00D851E2"/>
    <w:rsid w:val="00D86DB1"/>
    <w:rsid w:val="00D87FFA"/>
    <w:rsid w:val="00D91419"/>
    <w:rsid w:val="00D91DC5"/>
    <w:rsid w:val="00D92D2A"/>
    <w:rsid w:val="00D92EEC"/>
    <w:rsid w:val="00D933B2"/>
    <w:rsid w:val="00D93470"/>
    <w:rsid w:val="00D9395F"/>
    <w:rsid w:val="00D93D55"/>
    <w:rsid w:val="00D941FA"/>
    <w:rsid w:val="00D94B59"/>
    <w:rsid w:val="00D95315"/>
    <w:rsid w:val="00D95EAB"/>
    <w:rsid w:val="00D97655"/>
    <w:rsid w:val="00DA0B39"/>
    <w:rsid w:val="00DA1203"/>
    <w:rsid w:val="00DA2316"/>
    <w:rsid w:val="00DA25E0"/>
    <w:rsid w:val="00DA2700"/>
    <w:rsid w:val="00DA3C5D"/>
    <w:rsid w:val="00DA3EFF"/>
    <w:rsid w:val="00DA7769"/>
    <w:rsid w:val="00DB08C6"/>
    <w:rsid w:val="00DB1BC2"/>
    <w:rsid w:val="00DB1CBB"/>
    <w:rsid w:val="00DB31ED"/>
    <w:rsid w:val="00DB34AC"/>
    <w:rsid w:val="00DB4124"/>
    <w:rsid w:val="00DB4511"/>
    <w:rsid w:val="00DB4F0C"/>
    <w:rsid w:val="00DB7727"/>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33"/>
    <w:rsid w:val="00DD6072"/>
    <w:rsid w:val="00DD62BE"/>
    <w:rsid w:val="00DD77D9"/>
    <w:rsid w:val="00DD7CA4"/>
    <w:rsid w:val="00DE167C"/>
    <w:rsid w:val="00DE2D1F"/>
    <w:rsid w:val="00DE3B70"/>
    <w:rsid w:val="00DE5813"/>
    <w:rsid w:val="00DF1FDA"/>
    <w:rsid w:val="00DF36B8"/>
    <w:rsid w:val="00DF3DD0"/>
    <w:rsid w:val="00DF49AB"/>
    <w:rsid w:val="00DF4D50"/>
    <w:rsid w:val="00DF538C"/>
    <w:rsid w:val="00E021C2"/>
    <w:rsid w:val="00E024A3"/>
    <w:rsid w:val="00E0423D"/>
    <w:rsid w:val="00E054ED"/>
    <w:rsid w:val="00E057B5"/>
    <w:rsid w:val="00E0581E"/>
    <w:rsid w:val="00E06B7E"/>
    <w:rsid w:val="00E079C5"/>
    <w:rsid w:val="00E07CBD"/>
    <w:rsid w:val="00E07F56"/>
    <w:rsid w:val="00E1112F"/>
    <w:rsid w:val="00E11A78"/>
    <w:rsid w:val="00E1318F"/>
    <w:rsid w:val="00E13B3B"/>
    <w:rsid w:val="00E13E29"/>
    <w:rsid w:val="00E16857"/>
    <w:rsid w:val="00E20651"/>
    <w:rsid w:val="00E2107C"/>
    <w:rsid w:val="00E21E70"/>
    <w:rsid w:val="00E224DE"/>
    <w:rsid w:val="00E23B76"/>
    <w:rsid w:val="00E23DCE"/>
    <w:rsid w:val="00E26363"/>
    <w:rsid w:val="00E270C1"/>
    <w:rsid w:val="00E272A4"/>
    <w:rsid w:val="00E305F9"/>
    <w:rsid w:val="00E306AC"/>
    <w:rsid w:val="00E34446"/>
    <w:rsid w:val="00E3633B"/>
    <w:rsid w:val="00E36870"/>
    <w:rsid w:val="00E374E1"/>
    <w:rsid w:val="00E417AB"/>
    <w:rsid w:val="00E4191F"/>
    <w:rsid w:val="00E41ADB"/>
    <w:rsid w:val="00E43D48"/>
    <w:rsid w:val="00E43F1B"/>
    <w:rsid w:val="00E440D4"/>
    <w:rsid w:val="00E4542D"/>
    <w:rsid w:val="00E45BE0"/>
    <w:rsid w:val="00E46398"/>
    <w:rsid w:val="00E46704"/>
    <w:rsid w:val="00E46CAD"/>
    <w:rsid w:val="00E47521"/>
    <w:rsid w:val="00E4760C"/>
    <w:rsid w:val="00E507A6"/>
    <w:rsid w:val="00E561AD"/>
    <w:rsid w:val="00E57FAF"/>
    <w:rsid w:val="00E60BA9"/>
    <w:rsid w:val="00E63094"/>
    <w:rsid w:val="00E63510"/>
    <w:rsid w:val="00E635EA"/>
    <w:rsid w:val="00E64449"/>
    <w:rsid w:val="00E655E5"/>
    <w:rsid w:val="00E65F4E"/>
    <w:rsid w:val="00E662E0"/>
    <w:rsid w:val="00E71C7A"/>
    <w:rsid w:val="00E73119"/>
    <w:rsid w:val="00E73E1E"/>
    <w:rsid w:val="00E746FC"/>
    <w:rsid w:val="00E760A8"/>
    <w:rsid w:val="00E767FF"/>
    <w:rsid w:val="00E77EC3"/>
    <w:rsid w:val="00E84C91"/>
    <w:rsid w:val="00E8556E"/>
    <w:rsid w:val="00E86B2D"/>
    <w:rsid w:val="00E86F4D"/>
    <w:rsid w:val="00E87D08"/>
    <w:rsid w:val="00E90D0E"/>
    <w:rsid w:val="00E91B2D"/>
    <w:rsid w:val="00E92FCA"/>
    <w:rsid w:val="00E95CAA"/>
    <w:rsid w:val="00EA0A39"/>
    <w:rsid w:val="00EA0EB2"/>
    <w:rsid w:val="00EA236F"/>
    <w:rsid w:val="00EA3023"/>
    <w:rsid w:val="00EA3D27"/>
    <w:rsid w:val="00EA3E49"/>
    <w:rsid w:val="00EA3FC8"/>
    <w:rsid w:val="00EA5438"/>
    <w:rsid w:val="00EB0DC9"/>
    <w:rsid w:val="00EB0F31"/>
    <w:rsid w:val="00EB252D"/>
    <w:rsid w:val="00EB29FA"/>
    <w:rsid w:val="00EB2CCE"/>
    <w:rsid w:val="00EB33E6"/>
    <w:rsid w:val="00EB385F"/>
    <w:rsid w:val="00EB3E49"/>
    <w:rsid w:val="00EB5FC3"/>
    <w:rsid w:val="00EB6DA9"/>
    <w:rsid w:val="00EB776E"/>
    <w:rsid w:val="00EB7ED2"/>
    <w:rsid w:val="00EC1561"/>
    <w:rsid w:val="00EC462E"/>
    <w:rsid w:val="00EC6CD8"/>
    <w:rsid w:val="00EC786F"/>
    <w:rsid w:val="00ED1866"/>
    <w:rsid w:val="00ED3134"/>
    <w:rsid w:val="00ED38E2"/>
    <w:rsid w:val="00ED41A5"/>
    <w:rsid w:val="00ED5C44"/>
    <w:rsid w:val="00ED635B"/>
    <w:rsid w:val="00EE4B8E"/>
    <w:rsid w:val="00EE7422"/>
    <w:rsid w:val="00EF0A22"/>
    <w:rsid w:val="00EF122B"/>
    <w:rsid w:val="00EF1267"/>
    <w:rsid w:val="00EF180C"/>
    <w:rsid w:val="00EF3B6B"/>
    <w:rsid w:val="00EF4B43"/>
    <w:rsid w:val="00EF589C"/>
    <w:rsid w:val="00EF6750"/>
    <w:rsid w:val="00EF770B"/>
    <w:rsid w:val="00F0059F"/>
    <w:rsid w:val="00F02FB5"/>
    <w:rsid w:val="00F05C30"/>
    <w:rsid w:val="00F10F1B"/>
    <w:rsid w:val="00F11782"/>
    <w:rsid w:val="00F11FCE"/>
    <w:rsid w:val="00F14179"/>
    <w:rsid w:val="00F15786"/>
    <w:rsid w:val="00F15C0C"/>
    <w:rsid w:val="00F167C5"/>
    <w:rsid w:val="00F1681B"/>
    <w:rsid w:val="00F20B5A"/>
    <w:rsid w:val="00F214A5"/>
    <w:rsid w:val="00F21F0B"/>
    <w:rsid w:val="00F236AB"/>
    <w:rsid w:val="00F24EA4"/>
    <w:rsid w:val="00F25BBE"/>
    <w:rsid w:val="00F27087"/>
    <w:rsid w:val="00F2773C"/>
    <w:rsid w:val="00F300B3"/>
    <w:rsid w:val="00F3032F"/>
    <w:rsid w:val="00F30DB9"/>
    <w:rsid w:val="00F30FB8"/>
    <w:rsid w:val="00F31D68"/>
    <w:rsid w:val="00F33152"/>
    <w:rsid w:val="00F338F2"/>
    <w:rsid w:val="00F349D3"/>
    <w:rsid w:val="00F3533E"/>
    <w:rsid w:val="00F35B84"/>
    <w:rsid w:val="00F368BF"/>
    <w:rsid w:val="00F402B5"/>
    <w:rsid w:val="00F4072F"/>
    <w:rsid w:val="00F42839"/>
    <w:rsid w:val="00F44CC0"/>
    <w:rsid w:val="00F450BA"/>
    <w:rsid w:val="00F4684B"/>
    <w:rsid w:val="00F46BE9"/>
    <w:rsid w:val="00F47C3B"/>
    <w:rsid w:val="00F506CA"/>
    <w:rsid w:val="00F50D11"/>
    <w:rsid w:val="00F53A7A"/>
    <w:rsid w:val="00F54FCD"/>
    <w:rsid w:val="00F5785C"/>
    <w:rsid w:val="00F623AF"/>
    <w:rsid w:val="00F67076"/>
    <w:rsid w:val="00F6753B"/>
    <w:rsid w:val="00F677FA"/>
    <w:rsid w:val="00F70E24"/>
    <w:rsid w:val="00F7115A"/>
    <w:rsid w:val="00F71352"/>
    <w:rsid w:val="00F717AA"/>
    <w:rsid w:val="00F72714"/>
    <w:rsid w:val="00F73BC4"/>
    <w:rsid w:val="00F744C3"/>
    <w:rsid w:val="00F75139"/>
    <w:rsid w:val="00F75EE2"/>
    <w:rsid w:val="00F75F69"/>
    <w:rsid w:val="00F802D3"/>
    <w:rsid w:val="00F80F94"/>
    <w:rsid w:val="00F81BA2"/>
    <w:rsid w:val="00F8412F"/>
    <w:rsid w:val="00F84791"/>
    <w:rsid w:val="00F85995"/>
    <w:rsid w:val="00F85F9F"/>
    <w:rsid w:val="00F85FC5"/>
    <w:rsid w:val="00F86C22"/>
    <w:rsid w:val="00F90CB3"/>
    <w:rsid w:val="00F912A2"/>
    <w:rsid w:val="00F913A3"/>
    <w:rsid w:val="00F925C3"/>
    <w:rsid w:val="00F9510E"/>
    <w:rsid w:val="00FA0109"/>
    <w:rsid w:val="00FA334D"/>
    <w:rsid w:val="00FA458B"/>
    <w:rsid w:val="00FA492D"/>
    <w:rsid w:val="00FA5EC5"/>
    <w:rsid w:val="00FA6E6A"/>
    <w:rsid w:val="00FA7016"/>
    <w:rsid w:val="00FA793D"/>
    <w:rsid w:val="00FB020E"/>
    <w:rsid w:val="00FB0E2C"/>
    <w:rsid w:val="00FB4992"/>
    <w:rsid w:val="00FB4B9D"/>
    <w:rsid w:val="00FB50ED"/>
    <w:rsid w:val="00FB6696"/>
    <w:rsid w:val="00FB7F29"/>
    <w:rsid w:val="00FC144B"/>
    <w:rsid w:val="00FC174A"/>
    <w:rsid w:val="00FC2169"/>
    <w:rsid w:val="00FC253C"/>
    <w:rsid w:val="00FC28E2"/>
    <w:rsid w:val="00FC3BF6"/>
    <w:rsid w:val="00FC3D22"/>
    <w:rsid w:val="00FC5CB2"/>
    <w:rsid w:val="00FC6FE1"/>
    <w:rsid w:val="00FC7FC9"/>
    <w:rsid w:val="00FD18AB"/>
    <w:rsid w:val="00FD277F"/>
    <w:rsid w:val="00FD2F6B"/>
    <w:rsid w:val="00FD545C"/>
    <w:rsid w:val="00FE064A"/>
    <w:rsid w:val="00FE0B55"/>
    <w:rsid w:val="00FE16B4"/>
    <w:rsid w:val="00FE1E98"/>
    <w:rsid w:val="00FE2452"/>
    <w:rsid w:val="00FE5469"/>
    <w:rsid w:val="00FE66C2"/>
    <w:rsid w:val="00FE684A"/>
    <w:rsid w:val="00FE6F23"/>
    <w:rsid w:val="00FF062F"/>
    <w:rsid w:val="00FF0A88"/>
    <w:rsid w:val="00FF0F8C"/>
    <w:rsid w:val="00FF408B"/>
    <w:rsid w:val="00FF43E1"/>
    <w:rsid w:val="00FF4F35"/>
    <w:rsid w:val="02030736"/>
    <w:rsid w:val="02301FCF"/>
    <w:rsid w:val="02930952"/>
    <w:rsid w:val="03430854"/>
    <w:rsid w:val="039F5FA6"/>
    <w:rsid w:val="03DD7C37"/>
    <w:rsid w:val="042B3F64"/>
    <w:rsid w:val="04784E8A"/>
    <w:rsid w:val="050634BB"/>
    <w:rsid w:val="053D0EF8"/>
    <w:rsid w:val="05535068"/>
    <w:rsid w:val="056326BB"/>
    <w:rsid w:val="06572B71"/>
    <w:rsid w:val="06CC3D8C"/>
    <w:rsid w:val="06E4195D"/>
    <w:rsid w:val="07ED0962"/>
    <w:rsid w:val="086F7648"/>
    <w:rsid w:val="089A2898"/>
    <w:rsid w:val="09305ADA"/>
    <w:rsid w:val="09CD6E24"/>
    <w:rsid w:val="0A2E21C7"/>
    <w:rsid w:val="0ACF0995"/>
    <w:rsid w:val="0AD1BB85"/>
    <w:rsid w:val="0BA15CEB"/>
    <w:rsid w:val="0BCC3F75"/>
    <w:rsid w:val="0CE340E1"/>
    <w:rsid w:val="0DA53594"/>
    <w:rsid w:val="0E8013B7"/>
    <w:rsid w:val="0E8F4521"/>
    <w:rsid w:val="0ED65203"/>
    <w:rsid w:val="0F02752B"/>
    <w:rsid w:val="0F1113DA"/>
    <w:rsid w:val="0F505B45"/>
    <w:rsid w:val="0F862AFE"/>
    <w:rsid w:val="0FA674CF"/>
    <w:rsid w:val="0FAE6DC9"/>
    <w:rsid w:val="10D604C6"/>
    <w:rsid w:val="113A536B"/>
    <w:rsid w:val="11785740"/>
    <w:rsid w:val="11B515E0"/>
    <w:rsid w:val="11D16BFE"/>
    <w:rsid w:val="11D5049D"/>
    <w:rsid w:val="12384B3D"/>
    <w:rsid w:val="13A53267"/>
    <w:rsid w:val="13F970D2"/>
    <w:rsid w:val="14093DD0"/>
    <w:rsid w:val="144C7075"/>
    <w:rsid w:val="14AA4136"/>
    <w:rsid w:val="14F16930"/>
    <w:rsid w:val="15485429"/>
    <w:rsid w:val="163A420B"/>
    <w:rsid w:val="168E50BE"/>
    <w:rsid w:val="1792FC42"/>
    <w:rsid w:val="1816180F"/>
    <w:rsid w:val="184243B2"/>
    <w:rsid w:val="185F5E74"/>
    <w:rsid w:val="18626E31"/>
    <w:rsid w:val="188805F0"/>
    <w:rsid w:val="18B10430"/>
    <w:rsid w:val="19120228"/>
    <w:rsid w:val="19413B26"/>
    <w:rsid w:val="19CF1C75"/>
    <w:rsid w:val="1A2975D8"/>
    <w:rsid w:val="1B4C41AC"/>
    <w:rsid w:val="1B5A3713"/>
    <w:rsid w:val="1B650AE3"/>
    <w:rsid w:val="1B7829E5"/>
    <w:rsid w:val="1C204A0A"/>
    <w:rsid w:val="1C6D3688"/>
    <w:rsid w:val="1C7DAFFE"/>
    <w:rsid w:val="1CC63D0A"/>
    <w:rsid w:val="1D1F2F14"/>
    <w:rsid w:val="1D2C32A0"/>
    <w:rsid w:val="1D520E2A"/>
    <w:rsid w:val="1DB775F0"/>
    <w:rsid w:val="1DC2081A"/>
    <w:rsid w:val="1DD94266"/>
    <w:rsid w:val="1EAC4C7B"/>
    <w:rsid w:val="1F5F61F4"/>
    <w:rsid w:val="1F9D0947"/>
    <w:rsid w:val="1FB931AC"/>
    <w:rsid w:val="1FE87F35"/>
    <w:rsid w:val="1FFB29C6"/>
    <w:rsid w:val="206C021E"/>
    <w:rsid w:val="20724C23"/>
    <w:rsid w:val="207417C9"/>
    <w:rsid w:val="2078600D"/>
    <w:rsid w:val="21AA3420"/>
    <w:rsid w:val="21BB1B66"/>
    <w:rsid w:val="21ED1832"/>
    <w:rsid w:val="22A80D00"/>
    <w:rsid w:val="22AF3620"/>
    <w:rsid w:val="22D72D35"/>
    <w:rsid w:val="22E70AD4"/>
    <w:rsid w:val="23893A52"/>
    <w:rsid w:val="23A10B26"/>
    <w:rsid w:val="24F1508D"/>
    <w:rsid w:val="25691621"/>
    <w:rsid w:val="258D08C8"/>
    <w:rsid w:val="266F634F"/>
    <w:rsid w:val="26D20FF7"/>
    <w:rsid w:val="27ED433A"/>
    <w:rsid w:val="283F5887"/>
    <w:rsid w:val="286478B1"/>
    <w:rsid w:val="28F65AA9"/>
    <w:rsid w:val="290A0F1C"/>
    <w:rsid w:val="291059EA"/>
    <w:rsid w:val="2B0BA24B"/>
    <w:rsid w:val="2B636E4F"/>
    <w:rsid w:val="2B6F57A1"/>
    <w:rsid w:val="2BBF12EC"/>
    <w:rsid w:val="2BC649D9"/>
    <w:rsid w:val="2BD36F12"/>
    <w:rsid w:val="2CA9119B"/>
    <w:rsid w:val="2CC35400"/>
    <w:rsid w:val="2CEA52EC"/>
    <w:rsid w:val="2D458CD7"/>
    <w:rsid w:val="2D5C786C"/>
    <w:rsid w:val="2D621327"/>
    <w:rsid w:val="2D71156A"/>
    <w:rsid w:val="2DA10639"/>
    <w:rsid w:val="2E1145D1"/>
    <w:rsid w:val="2E3F51C4"/>
    <w:rsid w:val="2E3F6F72"/>
    <w:rsid w:val="2EA650AA"/>
    <w:rsid w:val="2EDE4FEF"/>
    <w:rsid w:val="2F560A17"/>
    <w:rsid w:val="2FBF20F2"/>
    <w:rsid w:val="2FD45DE0"/>
    <w:rsid w:val="2FEB23F2"/>
    <w:rsid w:val="2FFFD8D3"/>
    <w:rsid w:val="300A6CD7"/>
    <w:rsid w:val="30135FA2"/>
    <w:rsid w:val="314503F2"/>
    <w:rsid w:val="31CC4FC0"/>
    <w:rsid w:val="32750745"/>
    <w:rsid w:val="32FC0699"/>
    <w:rsid w:val="337BB9C2"/>
    <w:rsid w:val="33A53D1B"/>
    <w:rsid w:val="341669C7"/>
    <w:rsid w:val="3515160D"/>
    <w:rsid w:val="351940A5"/>
    <w:rsid w:val="35E65199"/>
    <w:rsid w:val="35F73632"/>
    <w:rsid w:val="36166319"/>
    <w:rsid w:val="369C23EC"/>
    <w:rsid w:val="36FA437E"/>
    <w:rsid w:val="377203B8"/>
    <w:rsid w:val="3785060F"/>
    <w:rsid w:val="3A176F56"/>
    <w:rsid w:val="3A7461F5"/>
    <w:rsid w:val="3ACF5B89"/>
    <w:rsid w:val="3B1721C0"/>
    <w:rsid w:val="3C7D00D8"/>
    <w:rsid w:val="3CA06C0C"/>
    <w:rsid w:val="3CC72F54"/>
    <w:rsid w:val="3D112A47"/>
    <w:rsid w:val="3E0D0E3B"/>
    <w:rsid w:val="3E79001F"/>
    <w:rsid w:val="3EA25851"/>
    <w:rsid w:val="3EA38F4F"/>
    <w:rsid w:val="3F1E55D1"/>
    <w:rsid w:val="3F6C3757"/>
    <w:rsid w:val="3F6D76B7"/>
    <w:rsid w:val="3F9966FE"/>
    <w:rsid w:val="3FB7C87B"/>
    <w:rsid w:val="3FFA3253"/>
    <w:rsid w:val="3FFF0ABB"/>
    <w:rsid w:val="400C6ED0"/>
    <w:rsid w:val="405368AD"/>
    <w:rsid w:val="405D6A10"/>
    <w:rsid w:val="40E165AE"/>
    <w:rsid w:val="4199088C"/>
    <w:rsid w:val="41DA6594"/>
    <w:rsid w:val="444C1A75"/>
    <w:rsid w:val="444D31C4"/>
    <w:rsid w:val="44A3526F"/>
    <w:rsid w:val="44A84DDD"/>
    <w:rsid w:val="44AD1764"/>
    <w:rsid w:val="44B032F4"/>
    <w:rsid w:val="457D25F7"/>
    <w:rsid w:val="45906413"/>
    <w:rsid w:val="46236D21"/>
    <w:rsid w:val="468341CD"/>
    <w:rsid w:val="46BE4DA7"/>
    <w:rsid w:val="472C2589"/>
    <w:rsid w:val="476D64A6"/>
    <w:rsid w:val="48254FD3"/>
    <w:rsid w:val="48C26B0F"/>
    <w:rsid w:val="491B3135"/>
    <w:rsid w:val="4A225C6E"/>
    <w:rsid w:val="4A3239D7"/>
    <w:rsid w:val="4A760AEB"/>
    <w:rsid w:val="4A871F75"/>
    <w:rsid w:val="4B75001F"/>
    <w:rsid w:val="4BE525C7"/>
    <w:rsid w:val="4C2757BD"/>
    <w:rsid w:val="4CF82CB6"/>
    <w:rsid w:val="4D73233C"/>
    <w:rsid w:val="4D844549"/>
    <w:rsid w:val="4DD10F20"/>
    <w:rsid w:val="4DE1374A"/>
    <w:rsid w:val="4E393586"/>
    <w:rsid w:val="4E77113C"/>
    <w:rsid w:val="4E7E8CC6"/>
    <w:rsid w:val="4EAF3848"/>
    <w:rsid w:val="4EC2498D"/>
    <w:rsid w:val="4F147B4F"/>
    <w:rsid w:val="4F3162CA"/>
    <w:rsid w:val="4FCC4105"/>
    <w:rsid w:val="4FDE03BE"/>
    <w:rsid w:val="507C3BFE"/>
    <w:rsid w:val="50850D04"/>
    <w:rsid w:val="50D95873"/>
    <w:rsid w:val="526102AF"/>
    <w:rsid w:val="528444DA"/>
    <w:rsid w:val="52BC756E"/>
    <w:rsid w:val="52E53CDC"/>
    <w:rsid w:val="537745D5"/>
    <w:rsid w:val="5377A25C"/>
    <w:rsid w:val="540846F9"/>
    <w:rsid w:val="5471502C"/>
    <w:rsid w:val="549A0AF6"/>
    <w:rsid w:val="54E74DF3"/>
    <w:rsid w:val="552306F6"/>
    <w:rsid w:val="554A1464"/>
    <w:rsid w:val="554A4A58"/>
    <w:rsid w:val="55AF05D2"/>
    <w:rsid w:val="55DD513F"/>
    <w:rsid w:val="56E352D5"/>
    <w:rsid w:val="57154464"/>
    <w:rsid w:val="575136EE"/>
    <w:rsid w:val="576D5F23"/>
    <w:rsid w:val="579BB179"/>
    <w:rsid w:val="57CF1604"/>
    <w:rsid w:val="57E435FE"/>
    <w:rsid w:val="582D0655"/>
    <w:rsid w:val="5951205C"/>
    <w:rsid w:val="59D079E8"/>
    <w:rsid w:val="59D40847"/>
    <w:rsid w:val="5A221372"/>
    <w:rsid w:val="5A5A6D5E"/>
    <w:rsid w:val="5AE37F25"/>
    <w:rsid w:val="5B104AB0"/>
    <w:rsid w:val="5B7B144A"/>
    <w:rsid w:val="5C7A36E7"/>
    <w:rsid w:val="5C9C18B0"/>
    <w:rsid w:val="5CB23D47"/>
    <w:rsid w:val="5D4E06D0"/>
    <w:rsid w:val="5D6D0B56"/>
    <w:rsid w:val="5DB91FED"/>
    <w:rsid w:val="5EFEDBBD"/>
    <w:rsid w:val="5EFF7ED4"/>
    <w:rsid w:val="5F7B3529"/>
    <w:rsid w:val="5F9E149B"/>
    <w:rsid w:val="5FAF09C4"/>
    <w:rsid w:val="5FBFD93C"/>
    <w:rsid w:val="5FE7280E"/>
    <w:rsid w:val="5FFD73CA"/>
    <w:rsid w:val="60017C7C"/>
    <w:rsid w:val="60196D73"/>
    <w:rsid w:val="602F6597"/>
    <w:rsid w:val="608C4642"/>
    <w:rsid w:val="60EF36C0"/>
    <w:rsid w:val="61660013"/>
    <w:rsid w:val="61FD7654"/>
    <w:rsid w:val="621B44EF"/>
    <w:rsid w:val="62795572"/>
    <w:rsid w:val="62A5660B"/>
    <w:rsid w:val="62B35B22"/>
    <w:rsid w:val="631F798E"/>
    <w:rsid w:val="6381535B"/>
    <w:rsid w:val="63E46486"/>
    <w:rsid w:val="649B41FB"/>
    <w:rsid w:val="64DD6417"/>
    <w:rsid w:val="655B1BDC"/>
    <w:rsid w:val="65FF7838"/>
    <w:rsid w:val="66004745"/>
    <w:rsid w:val="66492FA1"/>
    <w:rsid w:val="664E34EF"/>
    <w:rsid w:val="666F1DE3"/>
    <w:rsid w:val="66A82BFF"/>
    <w:rsid w:val="66B21CD0"/>
    <w:rsid w:val="66E14363"/>
    <w:rsid w:val="67535261"/>
    <w:rsid w:val="67E66A6F"/>
    <w:rsid w:val="67FB901B"/>
    <w:rsid w:val="696372B1"/>
    <w:rsid w:val="6A567F20"/>
    <w:rsid w:val="6A851B34"/>
    <w:rsid w:val="6AAB0F10"/>
    <w:rsid w:val="6AE73923"/>
    <w:rsid w:val="6B820BC9"/>
    <w:rsid w:val="6BDB3A77"/>
    <w:rsid w:val="6CD97953"/>
    <w:rsid w:val="6DA68935"/>
    <w:rsid w:val="6E617C68"/>
    <w:rsid w:val="6E734DEE"/>
    <w:rsid w:val="6EBF9C3A"/>
    <w:rsid w:val="6ED30FD7"/>
    <w:rsid w:val="6FBDCDEF"/>
    <w:rsid w:val="6FFE1377"/>
    <w:rsid w:val="701B6B38"/>
    <w:rsid w:val="7061072D"/>
    <w:rsid w:val="708C533F"/>
    <w:rsid w:val="70A64653"/>
    <w:rsid w:val="714EF62D"/>
    <w:rsid w:val="715D6A20"/>
    <w:rsid w:val="72227D09"/>
    <w:rsid w:val="727D78FD"/>
    <w:rsid w:val="73233B69"/>
    <w:rsid w:val="733A1083"/>
    <w:rsid w:val="73755499"/>
    <w:rsid w:val="73CC655F"/>
    <w:rsid w:val="73EC073B"/>
    <w:rsid w:val="743A732A"/>
    <w:rsid w:val="74D75FF7"/>
    <w:rsid w:val="75363ACC"/>
    <w:rsid w:val="7556F754"/>
    <w:rsid w:val="75957445"/>
    <w:rsid w:val="75D01AE1"/>
    <w:rsid w:val="76654669"/>
    <w:rsid w:val="76B807C3"/>
    <w:rsid w:val="77524363"/>
    <w:rsid w:val="779EAB6C"/>
    <w:rsid w:val="77B917B5"/>
    <w:rsid w:val="77DF78AB"/>
    <w:rsid w:val="77E4FE7D"/>
    <w:rsid w:val="78703975"/>
    <w:rsid w:val="7A6441F7"/>
    <w:rsid w:val="7ADCFB8A"/>
    <w:rsid w:val="7AE7C111"/>
    <w:rsid w:val="7B42382F"/>
    <w:rsid w:val="7B454A69"/>
    <w:rsid w:val="7B6770D5"/>
    <w:rsid w:val="7B841A35"/>
    <w:rsid w:val="7BB63411"/>
    <w:rsid w:val="7BC6204D"/>
    <w:rsid w:val="7BDFDD2F"/>
    <w:rsid w:val="7BE420FD"/>
    <w:rsid w:val="7BF94B54"/>
    <w:rsid w:val="7BFE32EE"/>
    <w:rsid w:val="7D0D296B"/>
    <w:rsid w:val="7D4E0B54"/>
    <w:rsid w:val="7D503E78"/>
    <w:rsid w:val="7DBD63AC"/>
    <w:rsid w:val="7DC425BD"/>
    <w:rsid w:val="7DF7E7C9"/>
    <w:rsid w:val="7DFD95F7"/>
    <w:rsid w:val="7DFE09F4"/>
    <w:rsid w:val="7E0160D4"/>
    <w:rsid w:val="7E3FBCE5"/>
    <w:rsid w:val="7EE5B010"/>
    <w:rsid w:val="7F0F35FE"/>
    <w:rsid w:val="7F1A3536"/>
    <w:rsid w:val="7F4FA9DE"/>
    <w:rsid w:val="7F6D0046"/>
    <w:rsid w:val="7FAED892"/>
    <w:rsid w:val="7FCF39B7"/>
    <w:rsid w:val="7FDBD9CE"/>
    <w:rsid w:val="7FF636DA"/>
    <w:rsid w:val="7FF80E6B"/>
    <w:rsid w:val="7FFFDB18"/>
    <w:rsid w:val="97F21417"/>
    <w:rsid w:val="9AADED32"/>
    <w:rsid w:val="9B9B935C"/>
    <w:rsid w:val="9C534FA4"/>
    <w:rsid w:val="9F763242"/>
    <w:rsid w:val="A2FECD16"/>
    <w:rsid w:val="A7FF3FBD"/>
    <w:rsid w:val="ACF8A4E8"/>
    <w:rsid w:val="ADEBA540"/>
    <w:rsid w:val="B5F70DAC"/>
    <w:rsid w:val="B67FC33B"/>
    <w:rsid w:val="B6DF7FBA"/>
    <w:rsid w:val="B73F31BA"/>
    <w:rsid w:val="B7F7F884"/>
    <w:rsid w:val="B7FBCDED"/>
    <w:rsid w:val="B7FE02F7"/>
    <w:rsid w:val="B93D65D5"/>
    <w:rsid w:val="BB7E0F11"/>
    <w:rsid w:val="BBF5E81F"/>
    <w:rsid w:val="BEFD2CD9"/>
    <w:rsid w:val="BF3B16F2"/>
    <w:rsid w:val="BFF56DF6"/>
    <w:rsid w:val="BFF7A0A2"/>
    <w:rsid w:val="C35F8480"/>
    <w:rsid w:val="CAD71F98"/>
    <w:rsid w:val="CEDF674D"/>
    <w:rsid w:val="CF77E276"/>
    <w:rsid w:val="CFD6C237"/>
    <w:rsid w:val="CFFDD3F0"/>
    <w:rsid w:val="D73F5006"/>
    <w:rsid w:val="D7F7197D"/>
    <w:rsid w:val="DE9ECC45"/>
    <w:rsid w:val="DF1F5CE3"/>
    <w:rsid w:val="DFDDF022"/>
    <w:rsid w:val="E3FE5BF3"/>
    <w:rsid w:val="E7BE4541"/>
    <w:rsid w:val="EBEFDA26"/>
    <w:rsid w:val="EEFADCEA"/>
    <w:rsid w:val="EF321036"/>
    <w:rsid w:val="EF4FDF95"/>
    <w:rsid w:val="EFF9399F"/>
    <w:rsid w:val="EFFFE984"/>
    <w:rsid w:val="F1D3E50D"/>
    <w:rsid w:val="F6FF939D"/>
    <w:rsid w:val="F76F2668"/>
    <w:rsid w:val="F95DCFA8"/>
    <w:rsid w:val="FAFFD9EA"/>
    <w:rsid w:val="FB4D29AB"/>
    <w:rsid w:val="FBBDB7D9"/>
    <w:rsid w:val="FBBF8D6A"/>
    <w:rsid w:val="FBDF4797"/>
    <w:rsid w:val="FBEB4A05"/>
    <w:rsid w:val="FBFFB1EA"/>
    <w:rsid w:val="FCAE4413"/>
    <w:rsid w:val="FD713401"/>
    <w:rsid w:val="FD7E8ADF"/>
    <w:rsid w:val="FDCDD77C"/>
    <w:rsid w:val="FDFF1D4E"/>
    <w:rsid w:val="FF9FBCEE"/>
    <w:rsid w:val="FFBF6BEB"/>
    <w:rsid w:val="FFFFABD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next w:val="1"/>
    <w:link w:val="42"/>
    <w:qFormat/>
    <w:uiPriority w:val="0"/>
    <w:pPr>
      <w:keepNext/>
      <w:keepLines/>
      <w:numPr>
        <w:ilvl w:val="0"/>
        <w:numId w:val="1"/>
      </w:numPr>
      <w:spacing w:before="120" w:after="120"/>
      <w:ind w:left="0" w:firstLine="0"/>
      <w:outlineLvl w:val="0"/>
    </w:pPr>
    <w:rPr>
      <w:rFonts w:ascii="宋体" w:hAnsi="宋体" w:eastAsia="黑体" w:cs="Times New Roman"/>
      <w:b/>
      <w:bCs/>
      <w:kern w:val="44"/>
      <w:sz w:val="32"/>
      <w:szCs w:val="28"/>
      <w:lang w:val="en-US" w:eastAsia="zh-CN" w:bidi="ar-SA"/>
    </w:rPr>
  </w:style>
  <w:style w:type="paragraph" w:styleId="3">
    <w:name w:val="heading 2"/>
    <w:basedOn w:val="1"/>
    <w:next w:val="1"/>
    <w:link w:val="43"/>
    <w:qFormat/>
    <w:uiPriority w:val="9"/>
    <w:pPr>
      <w:keepNext/>
      <w:keepLines/>
      <w:numPr>
        <w:ilvl w:val="1"/>
        <w:numId w:val="1"/>
      </w:numPr>
      <w:spacing w:before="120" w:after="120"/>
      <w:ind w:left="567"/>
      <w:outlineLvl w:val="1"/>
    </w:pPr>
    <w:rPr>
      <w:b/>
      <w:bCs/>
      <w:sz w:val="30"/>
      <w:szCs w:val="32"/>
    </w:rPr>
  </w:style>
  <w:style w:type="paragraph" w:styleId="4">
    <w:name w:val="heading 3"/>
    <w:basedOn w:val="1"/>
    <w:next w:val="1"/>
    <w:link w:val="44"/>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5"/>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47"/>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48"/>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4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1"/>
    <w:qFormat/>
    <w:uiPriority w:val="0"/>
    <w:pPr>
      <w:spacing w:afterLines="50"/>
      <w:ind w:firstLine="200"/>
    </w:pPr>
    <w:rPr>
      <w:rFonts w:ascii="Arial" w:hAnsi="Arial" w:eastAsia="黑体"/>
      <w:sz w:val="20"/>
      <w:szCs w:val="20"/>
    </w:rPr>
  </w:style>
  <w:style w:type="paragraph" w:styleId="14">
    <w:name w:val="Document Map"/>
    <w:basedOn w:val="1"/>
    <w:link w:val="52"/>
    <w:qFormat/>
    <w:uiPriority w:val="0"/>
    <w:rPr>
      <w:rFonts w:hAnsi="Times New Roman"/>
      <w:sz w:val="18"/>
      <w:szCs w:val="18"/>
    </w:rPr>
  </w:style>
  <w:style w:type="paragraph" w:styleId="15">
    <w:name w:val="annotation text"/>
    <w:basedOn w:val="1"/>
    <w:link w:val="53"/>
    <w:qFormat/>
    <w:uiPriority w:val="99"/>
    <w:pPr>
      <w:jc w:val="left"/>
    </w:pPr>
    <w:rPr>
      <w:rFonts w:ascii="Times New Roman" w:hAnsi="Times New Roman" w:eastAsia="仿宋"/>
      <w:sz w:val="28"/>
    </w:rPr>
  </w:style>
  <w:style w:type="paragraph" w:styleId="16">
    <w:name w:val="Body Text"/>
    <w:basedOn w:val="1"/>
    <w:link w:val="54"/>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5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5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7"/>
    <w:qFormat/>
    <w:uiPriority w:val="0"/>
    <w:pPr>
      <w:ind w:left="100" w:leftChars="2500"/>
    </w:pPr>
    <w:rPr>
      <w:rFonts w:ascii="Times New Roman" w:hAnsi="Times New Roman"/>
      <w:sz w:val="21"/>
    </w:rPr>
  </w:style>
  <w:style w:type="paragraph" w:styleId="23">
    <w:name w:val="Balloon Text"/>
    <w:basedOn w:val="1"/>
    <w:link w:val="58"/>
    <w:qFormat/>
    <w:uiPriority w:val="0"/>
    <w:rPr>
      <w:rFonts w:ascii="Times New Roman" w:hAnsi="Times New Roman"/>
      <w:sz w:val="18"/>
      <w:szCs w:val="18"/>
    </w:rPr>
  </w:style>
  <w:style w:type="paragraph" w:styleId="24">
    <w:name w:val="footer"/>
    <w:basedOn w:val="1"/>
    <w:link w:val="5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60"/>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61"/>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62"/>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6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Char1"/>
    <w:link w:val="2"/>
    <w:qFormat/>
    <w:uiPriority w:val="0"/>
    <w:rPr>
      <w:rFonts w:ascii="宋体" w:hAnsi="宋体" w:eastAsia="黑体"/>
      <w:b/>
      <w:bCs/>
      <w:kern w:val="44"/>
      <w:sz w:val="32"/>
      <w:szCs w:val="28"/>
      <w:lang w:bidi="ar-SA"/>
    </w:rPr>
  </w:style>
  <w:style w:type="character" w:customStyle="1" w:styleId="43">
    <w:name w:val="标题 2 Char"/>
    <w:link w:val="3"/>
    <w:qFormat/>
    <w:uiPriority w:val="9"/>
    <w:rPr>
      <w:rFonts w:ascii="宋体" w:hAnsi="宋体"/>
      <w:b/>
      <w:bCs/>
      <w:kern w:val="2"/>
      <w:sz w:val="30"/>
      <w:szCs w:val="32"/>
      <w:lang w:bidi="ar-SA"/>
    </w:rPr>
  </w:style>
  <w:style w:type="character" w:customStyle="1" w:styleId="44">
    <w:name w:val="标题 3 Char"/>
    <w:link w:val="4"/>
    <w:qFormat/>
    <w:uiPriority w:val="0"/>
    <w:rPr>
      <w:rFonts w:ascii="宋体" w:hAnsi="宋体"/>
      <w:b/>
      <w:bCs/>
      <w:kern w:val="2"/>
      <w:sz w:val="28"/>
      <w:szCs w:val="28"/>
    </w:rPr>
  </w:style>
  <w:style w:type="character" w:customStyle="1" w:styleId="45">
    <w:name w:val="标题 4 Char"/>
    <w:link w:val="5"/>
    <w:qFormat/>
    <w:uiPriority w:val="0"/>
    <w:rPr>
      <w:rFonts w:ascii="宋体" w:hAnsi="宋体"/>
      <w:b/>
      <w:bCs/>
      <w:kern w:val="2"/>
      <w:sz w:val="30"/>
      <w:szCs w:val="30"/>
    </w:rPr>
  </w:style>
  <w:style w:type="character" w:customStyle="1" w:styleId="46">
    <w:name w:val="标题 5 Char"/>
    <w:link w:val="6"/>
    <w:qFormat/>
    <w:uiPriority w:val="0"/>
    <w:rPr>
      <w:rFonts w:ascii="宋体" w:hAnsi="宋体"/>
      <w:b/>
      <w:bCs/>
      <w:kern w:val="2"/>
      <w:sz w:val="24"/>
      <w:szCs w:val="28"/>
    </w:rPr>
  </w:style>
  <w:style w:type="character" w:customStyle="1" w:styleId="47">
    <w:name w:val="标题 6 Char"/>
    <w:link w:val="7"/>
    <w:qFormat/>
    <w:uiPriority w:val="0"/>
    <w:rPr>
      <w:rFonts w:ascii="Cambria" w:hAnsi="Cambria"/>
      <w:b/>
      <w:bCs/>
      <w:kern w:val="2"/>
      <w:sz w:val="24"/>
      <w:szCs w:val="24"/>
    </w:rPr>
  </w:style>
  <w:style w:type="character" w:customStyle="1" w:styleId="48">
    <w:name w:val="标题 7 Char"/>
    <w:link w:val="8"/>
    <w:qFormat/>
    <w:uiPriority w:val="9"/>
    <w:rPr>
      <w:b/>
      <w:bCs/>
      <w:kern w:val="2"/>
      <w:sz w:val="21"/>
      <w:szCs w:val="24"/>
    </w:rPr>
  </w:style>
  <w:style w:type="character" w:customStyle="1" w:styleId="49">
    <w:name w:val="标题 8 Char"/>
    <w:link w:val="9"/>
    <w:qFormat/>
    <w:uiPriority w:val="9"/>
    <w:rPr>
      <w:rFonts w:ascii="Cambria" w:hAnsi="Cambria"/>
      <w:kern w:val="2"/>
      <w:sz w:val="21"/>
      <w:szCs w:val="24"/>
    </w:rPr>
  </w:style>
  <w:style w:type="character" w:customStyle="1" w:styleId="50">
    <w:name w:val="标题 9 Char"/>
    <w:link w:val="10"/>
    <w:qFormat/>
    <w:uiPriority w:val="9"/>
    <w:rPr>
      <w:rFonts w:ascii="Cambria" w:hAnsi="Cambria"/>
      <w:kern w:val="2"/>
      <w:sz w:val="21"/>
      <w:szCs w:val="21"/>
    </w:rPr>
  </w:style>
  <w:style w:type="character" w:customStyle="1" w:styleId="51">
    <w:name w:val="题注 Char"/>
    <w:link w:val="13"/>
    <w:qFormat/>
    <w:locked/>
    <w:uiPriority w:val="0"/>
    <w:rPr>
      <w:rFonts w:ascii="Arial" w:hAnsi="Arial" w:eastAsia="黑体"/>
      <w:kern w:val="2"/>
    </w:rPr>
  </w:style>
  <w:style w:type="character" w:customStyle="1" w:styleId="52">
    <w:name w:val="文档结构图 Char"/>
    <w:link w:val="14"/>
    <w:autoRedefine/>
    <w:qFormat/>
    <w:uiPriority w:val="0"/>
    <w:rPr>
      <w:rFonts w:ascii="宋体"/>
      <w:kern w:val="2"/>
      <w:sz w:val="18"/>
      <w:szCs w:val="18"/>
    </w:rPr>
  </w:style>
  <w:style w:type="character" w:customStyle="1" w:styleId="53">
    <w:name w:val="批注文字 Char"/>
    <w:link w:val="15"/>
    <w:autoRedefine/>
    <w:qFormat/>
    <w:uiPriority w:val="99"/>
    <w:rPr>
      <w:rFonts w:eastAsia="仿宋"/>
      <w:kern w:val="2"/>
      <w:sz w:val="28"/>
      <w:szCs w:val="24"/>
    </w:rPr>
  </w:style>
  <w:style w:type="character" w:customStyle="1" w:styleId="54">
    <w:name w:val="正文文本 Char"/>
    <w:link w:val="16"/>
    <w:autoRedefine/>
    <w:qFormat/>
    <w:uiPriority w:val="0"/>
    <w:rPr>
      <w:kern w:val="2"/>
      <w:sz w:val="21"/>
      <w:szCs w:val="24"/>
    </w:rPr>
  </w:style>
  <w:style w:type="character" w:customStyle="1" w:styleId="55">
    <w:name w:val="正文文本缩进 Char"/>
    <w:link w:val="17"/>
    <w:autoRedefine/>
    <w:qFormat/>
    <w:uiPriority w:val="0"/>
    <w:rPr>
      <w:kern w:val="2"/>
      <w:sz w:val="21"/>
    </w:rPr>
  </w:style>
  <w:style w:type="character" w:customStyle="1" w:styleId="56">
    <w:name w:val="纯文本 Char"/>
    <w:link w:val="20"/>
    <w:autoRedefine/>
    <w:qFormat/>
    <w:locked/>
    <w:uiPriority w:val="0"/>
    <w:rPr>
      <w:rFonts w:ascii="宋体" w:hAnsi="Courier New"/>
      <w:kern w:val="2"/>
      <w:sz w:val="21"/>
    </w:rPr>
  </w:style>
  <w:style w:type="character" w:customStyle="1" w:styleId="57">
    <w:name w:val="日期 Char"/>
    <w:link w:val="22"/>
    <w:autoRedefine/>
    <w:qFormat/>
    <w:uiPriority w:val="0"/>
    <w:rPr>
      <w:kern w:val="2"/>
      <w:sz w:val="21"/>
      <w:szCs w:val="24"/>
    </w:rPr>
  </w:style>
  <w:style w:type="character" w:customStyle="1" w:styleId="58">
    <w:name w:val="批注框文本 Char"/>
    <w:link w:val="23"/>
    <w:autoRedefine/>
    <w:qFormat/>
    <w:uiPriority w:val="0"/>
    <w:rPr>
      <w:kern w:val="2"/>
      <w:sz w:val="18"/>
      <w:szCs w:val="18"/>
    </w:rPr>
  </w:style>
  <w:style w:type="character" w:customStyle="1" w:styleId="59">
    <w:name w:val="页脚 Char"/>
    <w:link w:val="24"/>
    <w:autoRedefine/>
    <w:qFormat/>
    <w:uiPriority w:val="99"/>
    <w:rPr>
      <w:kern w:val="2"/>
      <w:sz w:val="18"/>
      <w:szCs w:val="18"/>
    </w:rPr>
  </w:style>
  <w:style w:type="character" w:customStyle="1" w:styleId="60">
    <w:name w:val="页眉 Char"/>
    <w:link w:val="25"/>
    <w:autoRedefine/>
    <w:qFormat/>
    <w:uiPriority w:val="99"/>
    <w:rPr>
      <w:kern w:val="2"/>
      <w:sz w:val="18"/>
      <w:szCs w:val="18"/>
    </w:rPr>
  </w:style>
  <w:style w:type="character" w:customStyle="1" w:styleId="61">
    <w:name w:val="副标题 Char"/>
    <w:link w:val="28"/>
    <w:autoRedefine/>
    <w:qFormat/>
    <w:uiPriority w:val="0"/>
    <w:rPr>
      <w:rFonts w:ascii="Calibri Light" w:hAnsi="Calibri Light"/>
      <w:b/>
      <w:bCs/>
      <w:kern w:val="28"/>
      <w:sz w:val="32"/>
      <w:szCs w:val="32"/>
    </w:rPr>
  </w:style>
  <w:style w:type="character" w:customStyle="1" w:styleId="62">
    <w:name w:val="标题 Char"/>
    <w:link w:val="33"/>
    <w:autoRedefine/>
    <w:qFormat/>
    <w:uiPriority w:val="0"/>
    <w:rPr>
      <w:rFonts w:ascii="Cambria" w:hAnsi="Cambria" w:eastAsia="黑体"/>
      <w:b/>
      <w:bCs/>
      <w:kern w:val="2"/>
      <w:sz w:val="52"/>
      <w:szCs w:val="32"/>
    </w:rPr>
  </w:style>
  <w:style w:type="character" w:customStyle="1" w:styleId="63">
    <w:name w:val="批注主题 Char"/>
    <w:link w:val="34"/>
    <w:autoRedefine/>
    <w:qFormat/>
    <w:uiPriority w:val="0"/>
    <w:rPr>
      <w:rFonts w:eastAsia="仿宋"/>
      <w:b/>
      <w:bCs/>
      <w:kern w:val="2"/>
      <w:sz w:val="21"/>
      <w:szCs w:val="24"/>
    </w:rPr>
  </w:style>
  <w:style w:type="character" w:customStyle="1" w:styleId="64">
    <w:name w:val="标题 3 字符"/>
    <w:autoRedefine/>
    <w:semiHidden/>
    <w:qFormat/>
    <w:uiPriority w:val="9"/>
    <w:rPr>
      <w:rFonts w:ascii="宋体" w:hAnsi="宋体"/>
      <w:b/>
      <w:bCs/>
      <w:kern w:val="2"/>
      <w:sz w:val="32"/>
      <w:szCs w:val="32"/>
    </w:rPr>
  </w:style>
  <w:style w:type="character" w:customStyle="1" w:styleId="65">
    <w:name w:val="标题 3 字符1"/>
    <w:autoRedefine/>
    <w:qFormat/>
    <w:uiPriority w:val="0"/>
    <w:rPr>
      <w:rFonts w:ascii="宋体" w:hAnsi="宋体"/>
      <w:b/>
      <w:bCs/>
      <w:kern w:val="2"/>
      <w:sz w:val="28"/>
      <w:szCs w:val="28"/>
    </w:rPr>
  </w:style>
  <w:style w:type="character" w:customStyle="1" w:styleId="66">
    <w:name w:val="首行缩进正文 Char"/>
    <w:link w:val="67"/>
    <w:autoRedefine/>
    <w:qFormat/>
    <w:uiPriority w:val="0"/>
    <w:rPr>
      <w:kern w:val="2"/>
      <w:sz w:val="24"/>
    </w:rPr>
  </w:style>
  <w:style w:type="paragraph" w:customStyle="1" w:styleId="67">
    <w:name w:val="首行缩进正文"/>
    <w:basedOn w:val="1"/>
    <w:link w:val="66"/>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68">
    <w:name w:val="日期 字符"/>
    <w:autoRedefine/>
    <w:semiHidden/>
    <w:qFormat/>
    <w:uiPriority w:val="99"/>
    <w:rPr>
      <w:rFonts w:ascii="宋体" w:hAnsi="宋体"/>
      <w:kern w:val="2"/>
      <w:sz w:val="24"/>
      <w:szCs w:val="24"/>
    </w:rPr>
  </w:style>
  <w:style w:type="character" w:customStyle="1" w:styleId="69">
    <w:name w:val="未处理的提及1"/>
    <w:autoRedefine/>
    <w:unhideWhenUsed/>
    <w:qFormat/>
    <w:uiPriority w:val="99"/>
    <w:rPr>
      <w:color w:val="605E5C"/>
      <w:shd w:val="clear" w:color="auto" w:fill="E1DFDD"/>
    </w:rPr>
  </w:style>
  <w:style w:type="character" w:customStyle="1" w:styleId="70">
    <w:name w:val="标题 1 字符"/>
    <w:autoRedefine/>
    <w:qFormat/>
    <w:uiPriority w:val="9"/>
    <w:rPr>
      <w:rFonts w:ascii="宋体" w:hAnsi="宋体"/>
      <w:b/>
      <w:bCs/>
      <w:kern w:val="44"/>
      <w:sz w:val="44"/>
      <w:szCs w:val="44"/>
    </w:rPr>
  </w:style>
  <w:style w:type="character" w:customStyle="1" w:styleId="71">
    <w:name w:val="页脚 字符"/>
    <w:autoRedefine/>
    <w:qFormat/>
    <w:uiPriority w:val="99"/>
  </w:style>
  <w:style w:type="character" w:customStyle="1" w:styleId="72">
    <w:name w:val="标题 5 字符"/>
    <w:autoRedefine/>
    <w:semiHidden/>
    <w:qFormat/>
    <w:uiPriority w:val="9"/>
    <w:rPr>
      <w:rFonts w:ascii="宋体" w:hAnsi="宋体"/>
      <w:b/>
      <w:bCs/>
      <w:kern w:val="2"/>
      <w:sz w:val="28"/>
      <w:szCs w:val="28"/>
    </w:rPr>
  </w:style>
  <w:style w:type="character" w:customStyle="1" w:styleId="73">
    <w:name w:val="标题 2 字符"/>
    <w:autoRedefine/>
    <w:semiHidden/>
    <w:qFormat/>
    <w:uiPriority w:val="9"/>
    <w:rPr>
      <w:rFonts w:ascii="等线 Light" w:hAnsi="等线 Light" w:eastAsia="等线 Light" w:cs="Times New Roman"/>
      <w:b/>
      <w:bCs/>
      <w:kern w:val="2"/>
      <w:sz w:val="32"/>
      <w:szCs w:val="32"/>
    </w:rPr>
  </w:style>
  <w:style w:type="character" w:customStyle="1" w:styleId="74">
    <w:name w:val="纯文本 字符"/>
    <w:autoRedefine/>
    <w:qFormat/>
    <w:uiPriority w:val="0"/>
    <w:rPr>
      <w:rFonts w:ascii="宋体" w:hAnsi="Courier New" w:cs="Courier New"/>
      <w:kern w:val="2"/>
      <w:sz w:val="21"/>
      <w:szCs w:val="21"/>
    </w:rPr>
  </w:style>
  <w:style w:type="character" w:customStyle="1" w:styleId="75">
    <w:name w:val="列表段落 字符"/>
    <w:autoRedefine/>
    <w:qFormat/>
    <w:uiPriority w:val="34"/>
    <w:rPr>
      <w:kern w:val="2"/>
      <w:sz w:val="21"/>
      <w:szCs w:val="22"/>
    </w:rPr>
  </w:style>
  <w:style w:type="character" w:customStyle="1" w:styleId="76">
    <w:name w:val="列出段落 Char"/>
    <w:link w:val="77"/>
    <w:autoRedefine/>
    <w:qFormat/>
    <w:uiPriority w:val="34"/>
    <w:rPr>
      <w:kern w:val="2"/>
      <w:sz w:val="21"/>
      <w:szCs w:val="24"/>
    </w:rPr>
  </w:style>
  <w:style w:type="paragraph" w:customStyle="1" w:styleId="77">
    <w:name w:val="列表段落1"/>
    <w:basedOn w:val="1"/>
    <w:link w:val="76"/>
    <w:autoRedefine/>
    <w:qFormat/>
    <w:uiPriority w:val="34"/>
    <w:pPr>
      <w:ind w:firstLine="420"/>
    </w:pPr>
    <w:rPr>
      <w:rFonts w:ascii="Times New Roman" w:hAnsi="Times New Roman"/>
      <w:sz w:val="21"/>
    </w:rPr>
  </w:style>
  <w:style w:type="character" w:customStyle="1" w:styleId="78">
    <w:name w:val="font21"/>
    <w:basedOn w:val="37"/>
    <w:autoRedefine/>
    <w:qFormat/>
    <w:uiPriority w:val="0"/>
    <w:rPr>
      <w:rFonts w:ascii="Calibri" w:hAnsi="Calibri" w:cs="Calibri"/>
      <w:color w:val="000000"/>
      <w:sz w:val="21"/>
      <w:szCs w:val="21"/>
      <w:u w:val="none"/>
    </w:rPr>
  </w:style>
  <w:style w:type="character" w:customStyle="1" w:styleId="79">
    <w:name w:val="*正文 Char"/>
    <w:link w:val="80"/>
    <w:autoRedefine/>
    <w:qFormat/>
    <w:uiPriority w:val="0"/>
    <w:rPr>
      <w:rFonts w:ascii="time" w:hAnsi="time"/>
      <w:sz w:val="24"/>
      <w:szCs w:val="24"/>
      <w:lang w:bidi="en-US"/>
    </w:rPr>
  </w:style>
  <w:style w:type="paragraph" w:customStyle="1" w:styleId="80">
    <w:name w:val="*正文"/>
    <w:basedOn w:val="1"/>
    <w:link w:val="79"/>
    <w:autoRedefine/>
    <w:qFormat/>
    <w:uiPriority w:val="0"/>
    <w:pPr>
      <w:widowControl/>
      <w:ind w:firstLine="200"/>
      <w:contextualSpacing/>
    </w:pPr>
    <w:rPr>
      <w:rFonts w:ascii="time" w:hAnsi="time"/>
      <w:kern w:val="0"/>
      <w:lang w:bidi="en-US"/>
    </w:rPr>
  </w:style>
  <w:style w:type="character" w:customStyle="1" w:styleId="81">
    <w:name w:val="正文文本缩进 字符"/>
    <w:autoRedefine/>
    <w:semiHidden/>
    <w:qFormat/>
    <w:uiPriority w:val="99"/>
    <w:rPr>
      <w:rFonts w:ascii="宋体" w:hAnsi="宋体"/>
      <w:kern w:val="2"/>
      <w:sz w:val="24"/>
      <w:szCs w:val="24"/>
    </w:rPr>
  </w:style>
  <w:style w:type="character" w:customStyle="1" w:styleId="82">
    <w:name w:val="my正文 Char"/>
    <w:link w:val="83"/>
    <w:autoRedefine/>
    <w:qFormat/>
    <w:uiPriority w:val="0"/>
    <w:rPr>
      <w:kern w:val="2"/>
      <w:sz w:val="21"/>
      <w:szCs w:val="24"/>
    </w:rPr>
  </w:style>
  <w:style w:type="paragraph" w:customStyle="1" w:styleId="83">
    <w:name w:val="my正文"/>
    <w:basedOn w:val="1"/>
    <w:link w:val="82"/>
    <w:autoRedefine/>
    <w:qFormat/>
    <w:uiPriority w:val="0"/>
    <w:pPr>
      <w:spacing w:line="240" w:lineRule="auto"/>
      <w:ind w:firstLine="0" w:firstLineChars="0"/>
    </w:pPr>
    <w:rPr>
      <w:rFonts w:ascii="Times New Roman" w:hAnsi="Times New Roman"/>
      <w:sz w:val="21"/>
    </w:rPr>
  </w:style>
  <w:style w:type="character" w:customStyle="1" w:styleId="84">
    <w:name w:val="正文2 字符"/>
    <w:link w:val="85"/>
    <w:autoRedefine/>
    <w:qFormat/>
    <w:uiPriority w:val="0"/>
    <w:rPr>
      <w:kern w:val="2"/>
      <w:sz w:val="21"/>
      <w:szCs w:val="24"/>
    </w:rPr>
  </w:style>
  <w:style w:type="paragraph" w:customStyle="1" w:styleId="85">
    <w:name w:val="正文2"/>
    <w:basedOn w:val="1"/>
    <w:link w:val="84"/>
    <w:autoRedefine/>
    <w:qFormat/>
    <w:uiPriority w:val="0"/>
    <w:pPr>
      <w:ind w:firstLine="420"/>
    </w:pPr>
    <w:rPr>
      <w:rFonts w:ascii="Times New Roman" w:hAnsi="Times New Roman"/>
      <w:sz w:val="21"/>
    </w:rPr>
  </w:style>
  <w:style w:type="character" w:customStyle="1" w:styleId="86">
    <w:name w:val="font41"/>
    <w:autoRedefine/>
    <w:qFormat/>
    <w:uiPriority w:val="0"/>
    <w:rPr>
      <w:rFonts w:hint="eastAsia" w:ascii="宋体" w:hAnsi="宋体" w:eastAsia="宋体" w:cs="宋体"/>
      <w:color w:val="000000"/>
      <w:sz w:val="21"/>
      <w:szCs w:val="21"/>
      <w:u w:val="none"/>
    </w:rPr>
  </w:style>
  <w:style w:type="character" w:customStyle="1" w:styleId="87">
    <w:name w:val="批注框文本 字符"/>
    <w:autoRedefine/>
    <w:semiHidden/>
    <w:qFormat/>
    <w:uiPriority w:val="99"/>
    <w:rPr>
      <w:rFonts w:ascii="宋体" w:hAnsi="宋体"/>
      <w:kern w:val="2"/>
      <w:sz w:val="18"/>
      <w:szCs w:val="18"/>
    </w:rPr>
  </w:style>
  <w:style w:type="character" w:customStyle="1" w:styleId="88">
    <w:name w:val="副标题 Char1"/>
    <w:autoRedefine/>
    <w:qFormat/>
    <w:uiPriority w:val="0"/>
    <w:rPr>
      <w:rFonts w:ascii="Calibri Light" w:hAnsi="Calibri Light" w:cs="Times New Roman"/>
      <w:b/>
      <w:bCs/>
      <w:kern w:val="28"/>
      <w:sz w:val="32"/>
      <w:szCs w:val="32"/>
    </w:rPr>
  </w:style>
  <w:style w:type="character" w:customStyle="1" w:styleId="89">
    <w:name w:val="批注文字 字符"/>
    <w:autoRedefine/>
    <w:semiHidden/>
    <w:qFormat/>
    <w:uiPriority w:val="99"/>
    <w:rPr>
      <w:rFonts w:ascii="宋体" w:hAnsi="宋体"/>
      <w:kern w:val="2"/>
      <w:sz w:val="24"/>
      <w:szCs w:val="24"/>
    </w:rPr>
  </w:style>
  <w:style w:type="character" w:customStyle="1" w:styleId="90">
    <w:name w:val="文档结构图 字符"/>
    <w:autoRedefine/>
    <w:semiHidden/>
    <w:qFormat/>
    <w:uiPriority w:val="99"/>
    <w:rPr>
      <w:rFonts w:ascii="Microsoft YaHei UI" w:hAnsi="宋体" w:eastAsia="Microsoft YaHei UI"/>
      <w:kern w:val="2"/>
      <w:sz w:val="18"/>
      <w:szCs w:val="18"/>
    </w:rPr>
  </w:style>
  <w:style w:type="character" w:customStyle="1" w:styleId="91">
    <w:name w:val="标题 6 字符"/>
    <w:autoRedefine/>
    <w:semiHidden/>
    <w:qFormat/>
    <w:uiPriority w:val="9"/>
    <w:rPr>
      <w:rFonts w:ascii="等线 Light" w:hAnsi="等线 Light" w:eastAsia="等线 Light" w:cs="Times New Roman"/>
      <w:b/>
      <w:bCs/>
      <w:kern w:val="2"/>
      <w:sz w:val="24"/>
      <w:szCs w:val="24"/>
    </w:rPr>
  </w:style>
  <w:style w:type="character" w:customStyle="1" w:styleId="92">
    <w:name w:val="正文正文2 Char"/>
    <w:link w:val="93"/>
    <w:autoRedefine/>
    <w:qFormat/>
    <w:uiPriority w:val="0"/>
    <w:rPr>
      <w:rFonts w:ascii="宋体" w:hAnsi="宋体"/>
      <w:kern w:val="2"/>
      <w:sz w:val="21"/>
      <w:szCs w:val="21"/>
    </w:rPr>
  </w:style>
  <w:style w:type="paragraph" w:customStyle="1" w:styleId="93">
    <w:name w:val="正文正文2"/>
    <w:basedOn w:val="1"/>
    <w:link w:val="92"/>
    <w:autoRedefine/>
    <w:qFormat/>
    <w:uiPriority w:val="0"/>
    <w:pPr>
      <w:ind w:firstLine="460"/>
    </w:pPr>
    <w:rPr>
      <w:sz w:val="21"/>
      <w:szCs w:val="21"/>
    </w:rPr>
  </w:style>
  <w:style w:type="character" w:customStyle="1" w:styleId="94">
    <w:name w:val="标题 4 字符"/>
    <w:autoRedefine/>
    <w:semiHidden/>
    <w:qFormat/>
    <w:uiPriority w:val="9"/>
    <w:rPr>
      <w:rFonts w:ascii="等线 Light" w:hAnsi="等线 Light" w:eastAsia="等线 Light" w:cs="Times New Roman"/>
      <w:b/>
      <w:bCs/>
      <w:kern w:val="2"/>
      <w:sz w:val="28"/>
      <w:szCs w:val="28"/>
    </w:rPr>
  </w:style>
  <w:style w:type="character" w:customStyle="1" w:styleId="95">
    <w:name w:val="页眉 字符"/>
    <w:autoRedefine/>
    <w:semiHidden/>
    <w:qFormat/>
    <w:uiPriority w:val="99"/>
    <w:rPr>
      <w:rFonts w:ascii="宋体" w:hAnsi="宋体"/>
      <w:kern w:val="2"/>
      <w:sz w:val="18"/>
      <w:szCs w:val="18"/>
    </w:rPr>
  </w:style>
  <w:style w:type="character" w:customStyle="1" w:styleId="96">
    <w:name w:val="批注主题 字符"/>
    <w:autoRedefine/>
    <w:semiHidden/>
    <w:qFormat/>
    <w:uiPriority w:val="99"/>
    <w:rPr>
      <w:rFonts w:ascii="宋体" w:hAnsi="宋体"/>
      <w:b/>
      <w:bCs/>
      <w:kern w:val="2"/>
      <w:sz w:val="24"/>
      <w:szCs w:val="24"/>
    </w:rPr>
  </w:style>
  <w:style w:type="character" w:customStyle="1" w:styleId="97">
    <w:name w:val="font31"/>
    <w:autoRedefine/>
    <w:qFormat/>
    <w:uiPriority w:val="0"/>
    <w:rPr>
      <w:rFonts w:hint="eastAsia" w:ascii="宋体" w:hAnsi="宋体" w:eastAsia="宋体" w:cs="宋体"/>
      <w:color w:val="000000"/>
      <w:sz w:val="21"/>
      <w:szCs w:val="21"/>
      <w:u w:val="none"/>
    </w:rPr>
  </w:style>
  <w:style w:type="character" w:customStyle="1" w:styleId="98">
    <w:name w:val="标准正文 Char"/>
    <w:link w:val="99"/>
    <w:autoRedefine/>
    <w:qFormat/>
    <w:uiPriority w:val="0"/>
    <w:rPr>
      <w:rFonts w:ascii="Arial" w:hAnsi="Arial"/>
      <w:kern w:val="2"/>
      <w:sz w:val="24"/>
    </w:rPr>
  </w:style>
  <w:style w:type="paragraph" w:customStyle="1" w:styleId="99">
    <w:name w:val="标准正文"/>
    <w:basedOn w:val="17"/>
    <w:link w:val="98"/>
    <w:autoRedefine/>
    <w:qFormat/>
    <w:uiPriority w:val="0"/>
    <w:pPr>
      <w:spacing w:before="60" w:after="60"/>
      <w:ind w:firstLine="482" w:firstLineChars="0"/>
    </w:pPr>
    <w:rPr>
      <w:rFonts w:ascii="Arial" w:hAnsi="Arial"/>
      <w:sz w:val="24"/>
    </w:rPr>
  </w:style>
  <w:style w:type="character" w:customStyle="1" w:styleId="100">
    <w:name w:val="标题 字符"/>
    <w:autoRedefine/>
    <w:qFormat/>
    <w:uiPriority w:val="10"/>
    <w:rPr>
      <w:rFonts w:ascii="等线 Light" w:hAnsi="等线 Light" w:eastAsia="等线 Light" w:cs="Times New Roman"/>
      <w:b/>
      <w:bCs/>
      <w:kern w:val="2"/>
      <w:sz w:val="32"/>
      <w:szCs w:val="32"/>
    </w:rPr>
  </w:style>
  <w:style w:type="character" w:customStyle="1" w:styleId="101">
    <w:name w:val="副标题 字符"/>
    <w:autoRedefine/>
    <w:qFormat/>
    <w:uiPriority w:val="11"/>
    <w:rPr>
      <w:rFonts w:ascii="等线" w:hAnsi="等线" w:eastAsia="等线" w:cs="Times New Roman"/>
      <w:b/>
      <w:bCs/>
      <w:kern w:val="28"/>
      <w:sz w:val="32"/>
      <w:szCs w:val="32"/>
    </w:rPr>
  </w:style>
  <w:style w:type="paragraph" w:customStyle="1" w:styleId="102">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paragraph" w:customStyle="1" w:styleId="10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7">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autoRedefine/>
    <w:qFormat/>
    <w:uiPriority w:val="0"/>
    <w:pPr>
      <w:ind w:firstLine="150" w:firstLineChars="150"/>
    </w:pPr>
  </w:style>
  <w:style w:type="paragraph" w:customStyle="1" w:styleId="110">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autoRedefine/>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autoRedefine/>
    <w:qFormat/>
    <w:uiPriority w:val="0"/>
    <w:pPr>
      <w:widowControl/>
      <w:spacing w:after="160" w:line="240" w:lineRule="exact"/>
      <w:jc w:val="left"/>
    </w:pPr>
  </w:style>
  <w:style w:type="paragraph" w:customStyle="1" w:styleId="118">
    <w:name w:val="PM_Body"/>
    <w:basedOn w:val="1"/>
    <w:autoRedefine/>
    <w:qFormat/>
    <w:locked/>
    <w:uiPriority w:val="0"/>
    <w:rPr>
      <w:szCs w:val="21"/>
    </w:rPr>
  </w:style>
  <w:style w:type="paragraph" w:customStyle="1" w:styleId="119">
    <w:name w:val="Char Char1"/>
    <w:basedOn w:val="1"/>
    <w:autoRedefine/>
    <w:qFormat/>
    <w:uiPriority w:val="0"/>
    <w:pPr>
      <w:widowControl/>
      <w:spacing w:before="120" w:after="120"/>
    </w:pPr>
    <w:rPr>
      <w:rFonts w:ascii="Times New Roman" w:hAnsi="Times New Roman" w:cs="宋体"/>
    </w:rPr>
  </w:style>
  <w:style w:type="paragraph" w:customStyle="1" w:styleId="120">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3">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6">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29">
    <w:name w:val="TOC 标题1"/>
    <w:basedOn w:val="2"/>
    <w:next w:val="1"/>
    <w:autoRedefine/>
    <w:qFormat/>
    <w:uiPriority w:val="39"/>
    <w:pPr>
      <w:numPr>
        <w:numId w:val="0"/>
      </w:numPr>
      <w:spacing w:before="480" w:after="0" w:line="276" w:lineRule="auto"/>
      <w:outlineLvl w:val="9"/>
    </w:pPr>
    <w:rPr>
      <w:rFonts w:ascii="Cambria" w:hAnsi="Cambria" w:eastAsia="宋体"/>
      <w:color w:val="365F91"/>
      <w:kern w:val="0"/>
      <w:sz w:val="28"/>
    </w:rPr>
  </w:style>
  <w:style w:type="table" w:customStyle="1" w:styleId="130">
    <w:name w:val="!我的表格1"/>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autoRedefine/>
    <w:qFormat/>
    <w:uiPriority w:val="0"/>
    <w:rPr>
      <w:rFonts w:ascii="宋体" w:hAnsi="宋体" w:eastAsia="黑体"/>
      <w:b/>
      <w:bCs/>
      <w:kern w:val="44"/>
      <w:sz w:val="32"/>
      <w:szCs w:val="28"/>
    </w:rPr>
  </w:style>
  <w:style w:type="paragraph" w:customStyle="1" w:styleId="133">
    <w:name w:val="可研正文"/>
    <w:basedOn w:val="1"/>
    <w:link w:val="134"/>
    <w:autoRedefine/>
    <w:qFormat/>
    <w:uiPriority w:val="0"/>
    <w:pPr>
      <w:ind w:firstLine="200"/>
    </w:pPr>
    <w:rPr>
      <w:rFonts w:ascii="仿宋" w:hAnsi="仿宋" w:eastAsia="仿宋"/>
      <w:sz w:val="28"/>
      <w:szCs w:val="28"/>
    </w:rPr>
  </w:style>
  <w:style w:type="character" w:customStyle="1" w:styleId="134">
    <w:name w:val="可研正文 Char"/>
    <w:link w:val="133"/>
    <w:qFormat/>
    <w:uiPriority w:val="0"/>
    <w:rPr>
      <w:rFonts w:ascii="仿宋" w:hAnsi="仿宋" w:eastAsia="仿宋"/>
      <w:kern w:val="2"/>
      <w:sz w:val="28"/>
      <w:szCs w:val="28"/>
    </w:rPr>
  </w:style>
  <w:style w:type="paragraph" w:customStyle="1" w:styleId="135">
    <w:name w:val="修订2"/>
    <w:autoRedefine/>
    <w:semiHidden/>
    <w:qFormat/>
    <w:uiPriority w:val="99"/>
    <w:rPr>
      <w:rFonts w:ascii="宋体" w:hAnsi="宋体" w:eastAsia="宋体" w:cs="Times New Roman"/>
      <w:kern w:val="2"/>
      <w:sz w:val="24"/>
      <w:szCs w:val="24"/>
      <w:lang w:val="en-US" w:eastAsia="zh-CN" w:bidi="ar-SA"/>
    </w:rPr>
  </w:style>
  <w:style w:type="paragraph" w:customStyle="1" w:styleId="136">
    <w:name w:val="列表段落2"/>
    <w:basedOn w:val="1"/>
    <w:autoRedefine/>
    <w:qFormat/>
    <w:uiPriority w:val="99"/>
    <w:pPr>
      <w:ind w:firstLine="420"/>
    </w:pPr>
  </w:style>
  <w:style w:type="character" w:customStyle="1" w:styleId="137">
    <w:name w:val="font01"/>
    <w:autoRedefine/>
    <w:qFormat/>
    <w:uiPriority w:val="0"/>
    <w:rPr>
      <w:rFonts w:hint="eastAsia" w:ascii="方正书宋_GBK" w:hAnsi="方正书宋_GBK" w:eastAsia="方正书宋_GBK" w:cs="方正书宋_GBK"/>
      <w:color w:val="000000"/>
      <w:sz w:val="18"/>
      <w:szCs w:val="18"/>
      <w:u w:val="none"/>
    </w:rPr>
  </w:style>
  <w:style w:type="paragraph" w:customStyle="1" w:styleId="138">
    <w:name w:val="修订3"/>
    <w:autoRedefine/>
    <w:semiHidden/>
    <w:qFormat/>
    <w:uiPriority w:val="99"/>
    <w:rPr>
      <w:rFonts w:ascii="宋体" w:hAnsi="宋体" w:eastAsia="宋体" w:cs="Times New Roman"/>
      <w:kern w:val="2"/>
      <w:sz w:val="24"/>
      <w:szCs w:val="24"/>
      <w:lang w:val="en-US" w:eastAsia="zh-CN" w:bidi="ar-SA"/>
    </w:rPr>
  </w:style>
  <w:style w:type="paragraph" w:customStyle="1" w:styleId="139">
    <w:name w:val="可研标题"/>
    <w:basedOn w:val="33"/>
    <w:link w:val="140"/>
    <w:autoRedefine/>
    <w:qFormat/>
    <w:uiPriority w:val="0"/>
    <w:pPr>
      <w:spacing w:line="360" w:lineRule="auto"/>
      <w:ind w:firstLine="0" w:firstLineChars="0"/>
      <w:outlineLvl w:val="0"/>
    </w:pPr>
    <w:rPr>
      <w:rFonts w:ascii="微软雅黑" w:hAnsi="微软雅黑" w:eastAsia="微软雅黑"/>
      <w:b w:val="0"/>
      <w:szCs w:val="52"/>
    </w:rPr>
  </w:style>
  <w:style w:type="character" w:customStyle="1" w:styleId="140">
    <w:name w:val="可研标题 Char"/>
    <w:link w:val="139"/>
    <w:autoRedefine/>
    <w:qFormat/>
    <w:uiPriority w:val="0"/>
    <w:rPr>
      <w:rFonts w:ascii="微软雅黑" w:hAnsi="微软雅黑" w:eastAsia="微软雅黑"/>
      <w:bCs/>
      <w:kern w:val="2"/>
      <w:sz w:val="52"/>
      <w:szCs w:val="52"/>
    </w:rPr>
  </w:style>
  <w:style w:type="paragraph" w:customStyle="1" w:styleId="141">
    <w:name w:val="font5"/>
    <w:basedOn w:val="1"/>
    <w:autoRedefine/>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42">
    <w:name w:val="xl64"/>
    <w:basedOn w:val="1"/>
    <w:autoRedefine/>
    <w:qFormat/>
    <w:uiPriority w:val="0"/>
    <w:pPr>
      <w:widowControl/>
      <w:shd w:val="clear" w:color="000000" w:fill="FFFFFF"/>
      <w:spacing w:before="100" w:beforeAutospacing="1" w:after="100" w:afterAutospacing="1" w:line="240" w:lineRule="auto"/>
      <w:ind w:firstLine="0" w:firstLineChars="0"/>
      <w:jc w:val="center"/>
      <w:textAlignment w:val="center"/>
    </w:pPr>
    <w:rPr>
      <w:rFonts w:cs="宋体"/>
      <w:kern w:val="0"/>
      <w:sz w:val="20"/>
      <w:szCs w:val="20"/>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20"/>
      <w:szCs w:val="20"/>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6">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8">
    <w:name w:val="xl79"/>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cs="宋体"/>
      <w:kern w:val="0"/>
      <w:sz w:val="18"/>
      <w:szCs w:val="18"/>
    </w:rPr>
  </w:style>
  <w:style w:type="paragraph" w:customStyle="1" w:styleId="150">
    <w:name w:val="_Style 149"/>
    <w:autoRedefine/>
    <w:unhideWhenUsed/>
    <w:qFormat/>
    <w:uiPriority w:val="99"/>
    <w:rPr>
      <w:rFonts w:ascii="宋体" w:hAnsi="宋体" w:eastAsia="宋体" w:cs="Times New Roman"/>
      <w:kern w:val="2"/>
      <w:sz w:val="24"/>
      <w:szCs w:val="24"/>
      <w:lang w:val="en-US" w:eastAsia="zh-CN" w:bidi="ar-SA"/>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cs="宋体"/>
      <w:kern w:val="0"/>
      <w:sz w:val="18"/>
      <w:szCs w:val="18"/>
    </w:rPr>
  </w:style>
  <w:style w:type="paragraph" w:customStyle="1" w:styleId="152">
    <w:name w:val="0正文"/>
    <w:basedOn w:val="1"/>
    <w:link w:val="153"/>
    <w:autoRedefine/>
    <w:qFormat/>
    <w:uiPriority w:val="0"/>
    <w:pPr>
      <w:ind w:firstLine="200"/>
    </w:pPr>
    <w:rPr>
      <w:rFonts w:ascii="仿宋" w:hAnsi="仿宋" w:eastAsia="仿宋"/>
      <w:sz w:val="28"/>
      <w:szCs w:val="28"/>
    </w:rPr>
  </w:style>
  <w:style w:type="character" w:customStyle="1" w:styleId="153">
    <w:name w:val="0正文 Char"/>
    <w:link w:val="152"/>
    <w:autoRedefine/>
    <w:qFormat/>
    <w:uiPriority w:val="0"/>
    <w:rPr>
      <w:rFonts w:ascii="仿宋" w:hAnsi="仿宋" w:eastAsia="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3793</Words>
  <Characters>3953</Characters>
  <Lines>139</Lines>
  <Paragraphs>39</Paragraphs>
  <TotalTime>17</TotalTime>
  <ScaleCrop>false</ScaleCrop>
  <LinksUpToDate>false</LinksUpToDate>
  <CharactersWithSpaces>3953</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2024-10-26T21:23:00Z</dcterms:created>
  <dc:creator>gtig_tzb</dc:creator>
  <cp:lastModifiedBy>郭田恬</cp:lastModifiedBy>
  <cp:lastPrinted>2020-08-14T12:08:00Z</cp:lastPrinted>
  <dcterms:modified xsi:type="dcterms:W3CDTF">2025-02-25T08:35:14Z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04DF63FA6C144BF1B2253BDA0A42E591_13</vt:lpwstr>
  </property>
  <property fmtid="{D5CDD505-2E9C-101B-9397-08002B2CF9AE}" pid="4" name="KSOTemplateDocerSaveRecord">
    <vt:lpwstr>eyJoZGlkIjoiYWVhNjlhODgzNTgzYmExMjYzZjM5NmRiNjgwNGZiZDAiLCJ1c2VySWQiOiI1MDQ3OTMyOTMifQ==</vt:lpwstr>
  </property>
</Properties>
</file>