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B7EFC">
      <w:pPr>
        <w:ind w:firstLine="0" w:firstLineChars="0"/>
        <w:jc w:val="center"/>
        <w:rPr>
          <w:rFonts w:hint="eastAsia" w:ascii="黑体" w:hAnsi="黑体" w:eastAsia="黑体"/>
          <w:sz w:val="48"/>
          <w:szCs w:val="48"/>
        </w:rPr>
      </w:pPr>
    </w:p>
    <w:p w14:paraId="3D833CB9">
      <w:pPr>
        <w:ind w:firstLine="0" w:firstLineChars="0"/>
        <w:jc w:val="center"/>
        <w:rPr>
          <w:rFonts w:hint="eastAsia" w:ascii="黑体" w:hAnsi="黑体" w:eastAsia="黑体"/>
          <w:sz w:val="48"/>
          <w:szCs w:val="48"/>
        </w:rPr>
      </w:pPr>
    </w:p>
    <w:p w14:paraId="6EBD615E">
      <w:pPr>
        <w:ind w:firstLine="0" w:firstLineChars="0"/>
        <w:jc w:val="center"/>
        <w:rPr>
          <w:rFonts w:hint="eastAsia" w:ascii="黑体" w:hAnsi="黑体" w:eastAsia="黑体"/>
          <w:sz w:val="52"/>
          <w:szCs w:val="52"/>
        </w:rPr>
      </w:pPr>
      <w:r>
        <w:rPr>
          <w:rFonts w:hint="eastAsia" w:ascii="黑体" w:hAnsi="黑体" w:eastAsia="黑体"/>
          <w:sz w:val="52"/>
          <w:szCs w:val="52"/>
        </w:rPr>
        <w:t>上海市省统筹传染病监测预警与应急指挥信息平台二期</w:t>
      </w:r>
    </w:p>
    <w:p w14:paraId="724D3D05">
      <w:pPr>
        <w:ind w:firstLine="0" w:firstLineChars="0"/>
        <w:jc w:val="center"/>
        <w:rPr>
          <w:rFonts w:hint="eastAsia" w:ascii="黑体" w:hAnsi="黑体" w:eastAsia="黑体"/>
          <w:sz w:val="52"/>
          <w:szCs w:val="52"/>
        </w:rPr>
      </w:pPr>
      <w:r>
        <w:rPr>
          <w:rFonts w:hint="eastAsia" w:ascii="黑体" w:hAnsi="黑体" w:eastAsia="黑体"/>
          <w:sz w:val="52"/>
          <w:szCs w:val="52"/>
        </w:rPr>
        <w:t>传染病监测预警功能升级项目</w:t>
      </w:r>
    </w:p>
    <w:p w14:paraId="182ADBFC">
      <w:pPr>
        <w:ind w:firstLine="0" w:firstLineChars="0"/>
        <w:jc w:val="center"/>
        <w:rPr>
          <w:rFonts w:hint="eastAsia" w:ascii="黑体" w:hAnsi="黑体" w:eastAsia="黑体"/>
          <w:sz w:val="52"/>
          <w:szCs w:val="52"/>
        </w:rPr>
      </w:pPr>
      <w:r>
        <w:rPr>
          <w:rFonts w:hint="eastAsia" w:ascii="黑体" w:hAnsi="黑体" w:eastAsia="黑体"/>
          <w:sz w:val="52"/>
          <w:szCs w:val="52"/>
        </w:rPr>
        <w:t>2025年度采购需求</w:t>
      </w:r>
    </w:p>
    <w:p w14:paraId="3F460D11">
      <w:pPr>
        <w:ind w:firstLine="0" w:firstLineChars="0"/>
        <w:jc w:val="center"/>
        <w:rPr>
          <w:rFonts w:hint="eastAsia" w:ascii="黑体" w:hAnsi="黑体" w:eastAsia="黑体"/>
          <w:sz w:val="72"/>
          <w:szCs w:val="72"/>
        </w:rPr>
      </w:pPr>
    </w:p>
    <w:p w14:paraId="7D7019B1">
      <w:pPr>
        <w:ind w:firstLine="0" w:firstLineChars="0"/>
        <w:jc w:val="center"/>
        <w:rPr>
          <w:rFonts w:hint="eastAsia" w:ascii="黑体" w:hAnsi="黑体" w:eastAsia="黑体"/>
          <w:sz w:val="48"/>
          <w:szCs w:val="48"/>
        </w:rPr>
      </w:pPr>
    </w:p>
    <w:p w14:paraId="5096974E">
      <w:pPr>
        <w:ind w:firstLine="0" w:firstLineChars="0"/>
        <w:jc w:val="center"/>
        <w:rPr>
          <w:rFonts w:hint="eastAsia" w:ascii="黑体" w:hAnsi="黑体" w:eastAsia="黑体"/>
          <w:sz w:val="52"/>
          <w:szCs w:val="52"/>
        </w:rPr>
      </w:pPr>
    </w:p>
    <w:p w14:paraId="3C377CDA">
      <w:pPr>
        <w:ind w:firstLine="1040"/>
        <w:rPr>
          <w:rFonts w:hint="eastAsia" w:ascii="黑体" w:hAnsi="黑体" w:eastAsia="黑体"/>
          <w:sz w:val="52"/>
          <w:szCs w:val="52"/>
        </w:rPr>
      </w:pPr>
    </w:p>
    <w:p w14:paraId="37BD9827">
      <w:pPr>
        <w:rPr>
          <w:rFonts w:hint="eastAsia"/>
        </w:rPr>
      </w:pPr>
    </w:p>
    <w:p w14:paraId="7F82EBA7">
      <w:pPr>
        <w:rPr>
          <w:rFonts w:hint="eastAsia"/>
        </w:rPr>
      </w:pPr>
    </w:p>
    <w:p w14:paraId="5C975D8D">
      <w:pPr>
        <w:rPr>
          <w:rFonts w:hint="eastAsia"/>
        </w:rPr>
      </w:pPr>
    </w:p>
    <w:p w14:paraId="35ECDC0A">
      <w:pPr>
        <w:rPr>
          <w:rFonts w:hint="eastAsia"/>
        </w:rPr>
      </w:pPr>
    </w:p>
    <w:p w14:paraId="5AC24219">
      <w:pPr>
        <w:rPr>
          <w:rFonts w:hint="eastAsia"/>
        </w:rPr>
      </w:pPr>
    </w:p>
    <w:p w14:paraId="558DD0CC">
      <w:pPr>
        <w:ind w:firstLine="0" w:firstLineChars="0"/>
        <w:jc w:val="center"/>
        <w:rPr>
          <w:rFonts w:hint="eastAsia" w:ascii="黑体" w:hAnsi="黑体" w:eastAsia="黑体"/>
          <w:sz w:val="32"/>
          <w:szCs w:val="32"/>
        </w:rPr>
      </w:pPr>
      <w:r>
        <w:rPr>
          <w:rFonts w:hint="eastAsia" w:ascii="黑体" w:hAnsi="黑体" w:eastAsia="黑体"/>
          <w:sz w:val="32"/>
          <w:szCs w:val="32"/>
        </w:rPr>
        <w:t>上海市疾病预防控制中心</w:t>
      </w:r>
    </w:p>
    <w:p w14:paraId="4A9D821A">
      <w:pPr>
        <w:ind w:firstLine="0" w:firstLineChars="0"/>
        <w:jc w:val="center"/>
        <w:rPr>
          <w:rFonts w:hint="eastAsia" w:ascii="黑体" w:hAnsi="黑体" w:eastAsia="黑体"/>
          <w:b/>
          <w:bCs/>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14:paraId="7C3CD9E0">
      <w:pPr>
        <w:pStyle w:val="2"/>
        <w:rPr>
          <w:rFonts w:hint="eastAsia"/>
        </w:rPr>
      </w:pPr>
      <w:bookmarkStart w:id="0" w:name="_Toc63785461"/>
      <w:r>
        <w:rPr>
          <w:rFonts w:hint="eastAsia"/>
        </w:rPr>
        <w:t>项目概况</w:t>
      </w:r>
      <w:bookmarkEnd w:id="0"/>
    </w:p>
    <w:p w14:paraId="457F5F3C">
      <w:pPr>
        <w:ind w:firstLine="482"/>
        <w:rPr>
          <w:rFonts w:hint="eastAsia"/>
        </w:rPr>
      </w:pPr>
      <w:r>
        <w:rPr>
          <w:rFonts w:hint="eastAsia"/>
          <w:b/>
          <w:bCs/>
        </w:rPr>
        <w:t>项目背景&amp;现状：</w:t>
      </w:r>
      <w:r>
        <w:rPr>
          <w:rFonts w:hint="eastAsia"/>
        </w:rPr>
        <w:t>本项目为升级改造项目。国家疾控局下发《国家疾控局综合司关于印发&lt;加快建设完善省统筹区域传染病监测预警与应急指挥信息平台实施方案&gt;的通知》（国疾控综规财函〔2023〕18号）、《国家疾控局综合司关于印发监测预警与应急指挥能力提升项目工作清单的函》（国疾控综规财函〔2023〕244号）、《国家疾控局综合司关于加快实施中央对地方转移支付传染病监测预警与应急指挥能力提升项目的函》等文件，要求各地建立全国一网统管、平台两级建设，数据统一采集、业务分级应用的一体化省统筹区域平台，纵向集成各级监测预警信息平台，实现上下统一；横向联通相关部门监测信息，实现全国统一；打通“医防研”信息壁垒，实现内部统一，有效提升区域监测预警与应急指挥能力。</w:t>
      </w:r>
    </w:p>
    <w:p w14:paraId="42755A30">
      <w:pPr>
        <w:rPr>
          <w:rFonts w:hint="eastAsia"/>
        </w:rPr>
      </w:pPr>
      <w:r>
        <w:rPr>
          <w:rFonts w:hint="eastAsia"/>
        </w:rPr>
        <w:t>上海市疾控局在接到文件后成立相关专班组，带领上海市疾控中心结合本市监测预警与应急指挥信息化建设现况，对标国家任务内容及考核指标，以秉承超前布局、20年不落后的理念为引导，制订印发《关于下发上海市监测预警与应急指挥能力提升项目工作任务清单的通知》（沪疾控局监测〔2024〕1号），并依托国家疾控局分三年下拨的中央转移地方支付专项经费，分别以主要实现2024年国家省统筹阶段建设要求、实现2025年国家省统筹阶段建设总体要求、实现和国家指标体系的完全对接（对标国家后续拟定建设文件要求），明确一期、二期、三期建设内容基调。</w:t>
      </w:r>
    </w:p>
    <w:p w14:paraId="2B11B1AA">
      <w:pPr>
        <w:rPr>
          <w:rFonts w:hint="eastAsia" w:ascii="仿宋" w:hAnsi="仿宋" w:eastAsia="仿宋"/>
          <w:color w:val="000000" w:themeColor="text1"/>
          <w:sz w:val="28"/>
          <w:szCs w:val="28"/>
          <w14:textFill>
            <w14:solidFill>
              <w14:schemeClr w14:val="tx1"/>
            </w14:solidFill>
          </w14:textFill>
        </w:rPr>
      </w:pPr>
      <w:r>
        <w:rPr>
          <w:rFonts w:hint="eastAsia"/>
        </w:rPr>
        <w:t>本项目在一期建设内容基础上，结合2024年度中央转移地方支付专项经费额度，对标国家和本市工作任务清单，升级传染病监测预警功能，通过相关信息化切实提升上海市传染病多渠道监测及智慧化预警等业务能力。</w:t>
      </w:r>
    </w:p>
    <w:p w14:paraId="60D99282">
      <w:pPr>
        <w:spacing w:line="560" w:lineRule="exact"/>
        <w:ind w:firstLine="482"/>
        <w:rPr>
          <w:rFonts w:hint="eastAsia" w:eastAsia="宋体"/>
          <w:lang w:eastAsia="zh-CN"/>
        </w:rPr>
      </w:pPr>
      <w:r>
        <w:rPr>
          <w:rFonts w:hint="eastAsia"/>
          <w:b/>
          <w:bCs/>
        </w:rPr>
        <w:t>建设期限</w:t>
      </w:r>
      <w:r>
        <w:rPr>
          <w:rFonts w:hint="eastAsia"/>
        </w:rPr>
        <w:t>：</w:t>
      </w:r>
      <w:r>
        <w:rPr>
          <w:rFonts w:hint="eastAsia"/>
          <w:lang w:val="en-US" w:eastAsia="zh-CN"/>
        </w:rPr>
        <w:t>2025年12月31日前</w:t>
      </w:r>
      <w:r>
        <w:rPr>
          <w:rFonts w:hint="eastAsia"/>
          <w:lang w:eastAsia="zh-CN"/>
        </w:rPr>
        <w:t>完成项目建设并通过验收</w:t>
      </w:r>
    </w:p>
    <w:p w14:paraId="15D67792">
      <w:pPr>
        <w:spacing w:line="560" w:lineRule="exact"/>
        <w:ind w:firstLine="482"/>
        <w:rPr>
          <w:rFonts w:hint="eastAsia"/>
        </w:rPr>
      </w:pPr>
      <w:r>
        <w:rPr>
          <w:rFonts w:hint="eastAsia"/>
          <w:b/>
          <w:bCs/>
        </w:rPr>
        <w:t>建设地点</w:t>
      </w:r>
      <w:r>
        <w:rPr>
          <w:rFonts w:hint="eastAsia"/>
        </w:rPr>
        <w:t>：</w:t>
      </w:r>
      <w:bookmarkStart w:id="1" w:name="_Hlk520089719"/>
      <w:r>
        <w:rPr>
          <w:rFonts w:hint="eastAsia"/>
        </w:rPr>
        <w:t>上海市疾病预防控制中心</w:t>
      </w:r>
      <w:bookmarkEnd w:id="1"/>
      <w:r>
        <w:rPr>
          <w:rFonts w:hint="eastAsia"/>
        </w:rPr>
        <w:t>传防所</w:t>
      </w:r>
    </w:p>
    <w:p w14:paraId="5FB5D68E">
      <w:pPr>
        <w:spacing w:line="560" w:lineRule="exact"/>
        <w:ind w:firstLine="482"/>
        <w:rPr>
          <w:rFonts w:hint="eastAsia"/>
        </w:rPr>
      </w:pPr>
      <w:r>
        <w:rPr>
          <w:rFonts w:hint="eastAsia"/>
          <w:b/>
          <w:bCs/>
        </w:rPr>
        <w:t>预算金额</w:t>
      </w:r>
      <w:r>
        <w:rPr>
          <w:rFonts w:hint="eastAsia"/>
        </w:rPr>
        <w:t>：4075000元</w:t>
      </w:r>
    </w:p>
    <w:p w14:paraId="5DF50078">
      <w:pPr>
        <w:spacing w:line="560" w:lineRule="exact"/>
        <w:ind w:firstLine="482"/>
        <w:rPr>
          <w:rFonts w:hint="eastAsia"/>
        </w:rPr>
      </w:pPr>
      <w:r>
        <w:rPr>
          <w:rFonts w:hint="eastAsia"/>
          <w:b/>
          <w:bCs/>
        </w:rPr>
        <w:t>采购金额（最高限价）</w:t>
      </w:r>
      <w:r>
        <w:rPr>
          <w:rFonts w:hint="eastAsia"/>
        </w:rPr>
        <w:t>：407.5（万元）</w:t>
      </w:r>
    </w:p>
    <w:p w14:paraId="1B1FD13D">
      <w:pPr>
        <w:ind w:firstLine="482"/>
        <w:rPr>
          <w:rFonts w:hint="eastAsia"/>
        </w:rPr>
      </w:pPr>
      <w:r>
        <w:rPr>
          <w:rFonts w:hint="eastAsia"/>
          <w:b/>
          <w:bCs/>
        </w:rPr>
        <w:t>组织形式</w:t>
      </w:r>
      <w:r>
        <w:rPr>
          <w:rFonts w:hint="eastAsia"/>
        </w:rPr>
        <w:t>：集中采购</w:t>
      </w:r>
    </w:p>
    <w:p w14:paraId="2EAADC3D">
      <w:pPr>
        <w:ind w:firstLine="482"/>
        <w:rPr>
          <w:rFonts w:hint="eastAsia"/>
        </w:rPr>
      </w:pPr>
      <w:r>
        <w:rPr>
          <w:rFonts w:hint="eastAsia"/>
          <w:b/>
          <w:bCs/>
        </w:rPr>
        <w:t>采购方式</w:t>
      </w:r>
      <w:r>
        <w:rPr>
          <w:rFonts w:hint="eastAsia"/>
        </w:rPr>
        <w:t>：公开招标</w:t>
      </w:r>
    </w:p>
    <w:p w14:paraId="6BCFEA26">
      <w:pPr>
        <w:ind w:firstLine="482"/>
        <w:rPr>
          <w:rFonts w:hint="eastAsia"/>
        </w:rPr>
      </w:pPr>
      <w:r>
        <w:rPr>
          <w:rFonts w:hint="eastAsia"/>
          <w:b/>
          <w:bCs/>
        </w:rPr>
        <w:t>是否接受联合体投标</w:t>
      </w:r>
      <w:r>
        <w:rPr>
          <w:rFonts w:hint="eastAsia"/>
        </w:rPr>
        <w:t>：否</w:t>
      </w:r>
    </w:p>
    <w:p w14:paraId="2256936A">
      <w:pPr>
        <w:ind w:firstLine="482"/>
        <w:rPr>
          <w:rFonts w:hint="eastAsia"/>
        </w:rPr>
      </w:pPr>
      <w:r>
        <w:rPr>
          <w:b/>
          <w:bCs/>
        </w:rPr>
        <w:t>是否按信创要求建设</w:t>
      </w:r>
      <w:r>
        <w:t>：</w:t>
      </w:r>
      <w:r>
        <w:rPr>
          <w:rFonts w:hint="eastAsia"/>
        </w:rPr>
        <w:t>是</w:t>
      </w:r>
    </w:p>
    <w:p w14:paraId="6E621AA7">
      <w:pPr>
        <w:ind w:firstLine="482"/>
        <w:rPr>
          <w:rFonts w:hint="eastAsia"/>
        </w:rPr>
      </w:pPr>
      <w:r>
        <w:rPr>
          <w:rFonts w:hint="eastAsia"/>
          <w:b/>
          <w:bCs/>
        </w:rPr>
        <w:t>运维后所属大系统</w:t>
      </w:r>
      <w:r>
        <w:rPr>
          <w:rFonts w:hint="eastAsia"/>
        </w:rPr>
        <w:t>：上海市省统筹传染病监测预警与应急指挥（二期）子系统建设项目</w:t>
      </w:r>
    </w:p>
    <w:p w14:paraId="44A56E01">
      <w:pPr>
        <w:pStyle w:val="2"/>
        <w:rPr>
          <w:rFonts w:hint="eastAsia"/>
        </w:rPr>
      </w:pPr>
      <w:bookmarkStart w:id="2" w:name="_Toc47531634"/>
      <w:bookmarkEnd w:id="2"/>
      <w:bookmarkStart w:id="3" w:name="_Toc47537134"/>
      <w:bookmarkEnd w:id="3"/>
      <w:bookmarkStart w:id="4" w:name="_Toc47536272"/>
      <w:bookmarkEnd w:id="4"/>
      <w:bookmarkStart w:id="5" w:name="_Toc47539070"/>
      <w:bookmarkEnd w:id="5"/>
      <w:bookmarkStart w:id="6" w:name="_Toc47532255"/>
      <w:bookmarkEnd w:id="6"/>
      <w:bookmarkStart w:id="7" w:name="_Toc47532891"/>
      <w:bookmarkEnd w:id="7"/>
      <w:bookmarkStart w:id="8" w:name="_Toc47536644"/>
      <w:bookmarkEnd w:id="8"/>
      <w:bookmarkStart w:id="9" w:name="_Toc47533256"/>
      <w:bookmarkEnd w:id="9"/>
      <w:bookmarkStart w:id="10" w:name="_Toc48223882"/>
      <w:bookmarkStart w:id="11" w:name="_Toc63785463"/>
      <w:r>
        <w:rPr>
          <w:rFonts w:hint="eastAsia"/>
        </w:rPr>
        <w:t>建设目标</w:t>
      </w:r>
      <w:bookmarkEnd w:id="10"/>
      <w:bookmarkEnd w:id="11"/>
    </w:p>
    <w:p w14:paraId="40F3EDAA">
      <w:pPr>
        <w:rPr>
          <w:rFonts w:hint="eastAsia"/>
          <w:bCs/>
          <w:color w:val="000000"/>
        </w:rPr>
      </w:pPr>
      <w:r>
        <w:rPr>
          <w:rFonts w:hint="eastAsia"/>
          <w:bCs/>
          <w:color w:val="000000"/>
        </w:rPr>
        <w:t>对标国家疾控局相关文件及上海市疾控局项目任务清单要求，在一期建设内容基础上，一是填平补齐，以全面覆盖国家和本市工作清单中的各项传染病监测预警功能指标要求，支撑全国防疫一盘棋；二是融入上海市业务发展特色指标，兼顾通用性与本地适配性，打造完善与社会主义现代化国际大都市功能定位相匹配的传染病监测预警体系；三是进一步发挥大数据、人工智能、元宇宙、隐私计算等技术的支撑能力，通过数字转型赋能持续推进构建协同综合、灵敏可靠的传染病监测预警能力。</w:t>
      </w:r>
    </w:p>
    <w:p w14:paraId="7981DC8E">
      <w:pPr>
        <w:pStyle w:val="2"/>
        <w:rPr>
          <w:rFonts w:hint="eastAsia"/>
        </w:rPr>
      </w:pPr>
      <w:bookmarkStart w:id="12" w:name="_Toc47536676"/>
      <w:bookmarkEnd w:id="12"/>
      <w:bookmarkStart w:id="13" w:name="_Toc47533288"/>
      <w:bookmarkEnd w:id="13"/>
      <w:bookmarkStart w:id="14" w:name="_Toc47537166"/>
      <w:bookmarkEnd w:id="14"/>
      <w:bookmarkStart w:id="15" w:name="_Toc47532923"/>
      <w:bookmarkEnd w:id="15"/>
      <w:bookmarkStart w:id="16" w:name="_Toc47536304"/>
      <w:bookmarkEnd w:id="16"/>
      <w:bookmarkStart w:id="17" w:name="_Toc47539102"/>
      <w:bookmarkEnd w:id="17"/>
      <w:r>
        <w:rPr>
          <w:rFonts w:hint="eastAsia"/>
        </w:rPr>
        <w:t>项目建设内容</w:t>
      </w:r>
    </w:p>
    <w:p w14:paraId="240DD793">
      <w:pPr>
        <w:rPr>
          <w:rFonts w:hint="eastAsia"/>
        </w:rPr>
      </w:pPr>
      <w:r>
        <w:rPr>
          <w:rFonts w:hint="eastAsia"/>
        </w:rPr>
        <w:t>本项目建设内容包括：</w:t>
      </w:r>
    </w:p>
    <w:p w14:paraId="775CAF3F">
      <w:pPr>
        <w:pStyle w:val="61"/>
        <w:numPr>
          <w:ilvl w:val="0"/>
          <w:numId w:val="4"/>
        </w:numPr>
        <w:ind w:firstLineChars="0"/>
        <w:rPr>
          <w:rFonts w:hint="eastAsia" w:asciiTheme="minorEastAsia" w:hAnsiTheme="minorEastAsia" w:eastAsiaTheme="minorEastAsia"/>
          <w:bCs/>
          <w:sz w:val="24"/>
          <w:szCs w:val="32"/>
        </w:rPr>
      </w:pPr>
      <w:r>
        <w:rPr>
          <w:rFonts w:hint="eastAsia" w:asciiTheme="minorEastAsia" w:hAnsiTheme="minorEastAsia" w:eastAsiaTheme="minorEastAsia"/>
          <w:bCs/>
          <w:sz w:val="24"/>
          <w:szCs w:val="32"/>
        </w:rPr>
        <w:t>充分利用上海市已有传染病监测和报告工作基础，结合上海市传染病报告“智能插件”技术，开展上海市基于电子病历（EMR）的传染病智能监测预警系统建设，实现辖区内各级各类医疗卫生机构源头数据统一采集、自动采集，实现国家、市、区三级传染病相关监测信息同步实时共享、动态更新和应用等；</w:t>
      </w:r>
    </w:p>
    <w:p w14:paraId="7A3297EA">
      <w:pPr>
        <w:pStyle w:val="61"/>
        <w:numPr>
          <w:ilvl w:val="0"/>
          <w:numId w:val="4"/>
        </w:numPr>
        <w:ind w:firstLineChars="0"/>
        <w:rPr>
          <w:rFonts w:hint="eastAsia" w:asciiTheme="minorEastAsia" w:hAnsiTheme="minorEastAsia" w:eastAsiaTheme="minorEastAsia"/>
          <w:bCs/>
          <w:sz w:val="24"/>
          <w:szCs w:val="32"/>
        </w:rPr>
      </w:pPr>
      <w:r>
        <w:rPr>
          <w:rFonts w:hint="eastAsia" w:asciiTheme="minorEastAsia" w:hAnsiTheme="minorEastAsia" w:eastAsiaTheme="minorEastAsia"/>
          <w:bCs/>
          <w:sz w:val="24"/>
          <w:szCs w:val="32"/>
        </w:rPr>
        <w:t>在现有症候群监测预警基础上，扩展严重症候群病例监测内容，满足国家相关核心指标统计分析要求；</w:t>
      </w:r>
    </w:p>
    <w:p w14:paraId="2B1D7936">
      <w:pPr>
        <w:pStyle w:val="61"/>
        <w:numPr>
          <w:ilvl w:val="0"/>
          <w:numId w:val="4"/>
        </w:numPr>
        <w:ind w:firstLineChars="0"/>
        <w:rPr>
          <w:rFonts w:hint="eastAsia" w:asciiTheme="minorEastAsia" w:hAnsiTheme="minorEastAsia" w:eastAsiaTheme="minorEastAsia"/>
          <w:bCs/>
          <w:sz w:val="24"/>
          <w:szCs w:val="32"/>
        </w:rPr>
      </w:pPr>
      <w:r>
        <w:rPr>
          <w:rFonts w:hint="eastAsia" w:asciiTheme="minorEastAsia" w:hAnsiTheme="minorEastAsia" w:eastAsiaTheme="minorEastAsia"/>
          <w:bCs/>
          <w:sz w:val="24"/>
          <w:szCs w:val="32"/>
        </w:rPr>
        <w:t>针对统一采集的EMR数据开展透视分析以及各类无感化报送；</w:t>
      </w:r>
    </w:p>
    <w:p w14:paraId="705ACF49">
      <w:pPr>
        <w:pStyle w:val="61"/>
        <w:numPr>
          <w:ilvl w:val="0"/>
          <w:numId w:val="4"/>
        </w:numPr>
        <w:ind w:firstLineChars="0"/>
        <w:rPr>
          <w:rFonts w:hint="eastAsia" w:asciiTheme="minorEastAsia" w:hAnsiTheme="minorEastAsia" w:eastAsiaTheme="minorEastAsia"/>
          <w:bCs/>
          <w:sz w:val="24"/>
          <w:szCs w:val="32"/>
        </w:rPr>
      </w:pPr>
      <w:r>
        <w:rPr>
          <w:rFonts w:hint="eastAsia" w:asciiTheme="minorEastAsia" w:hAnsiTheme="minorEastAsia" w:eastAsiaTheme="minorEastAsia"/>
          <w:bCs/>
          <w:sz w:val="24"/>
          <w:szCs w:val="32"/>
        </w:rPr>
        <w:t>整合消毒流程，开展基于疫点管理的现场作业管理、事件追踪、质量控制、消毒评价工作；</w:t>
      </w:r>
    </w:p>
    <w:p w14:paraId="3301E8E2">
      <w:pPr>
        <w:pStyle w:val="61"/>
        <w:numPr>
          <w:ilvl w:val="0"/>
          <w:numId w:val="4"/>
        </w:numPr>
        <w:ind w:firstLineChars="0"/>
        <w:rPr>
          <w:rFonts w:hint="eastAsia" w:asciiTheme="minorEastAsia" w:hAnsiTheme="minorEastAsia" w:eastAsiaTheme="minorEastAsia"/>
          <w:bCs/>
          <w:sz w:val="24"/>
          <w:szCs w:val="32"/>
        </w:rPr>
      </w:pPr>
      <w:r>
        <w:rPr>
          <w:rFonts w:hint="eastAsia" w:asciiTheme="minorEastAsia" w:hAnsiTheme="minorEastAsia" w:eastAsiaTheme="minorEastAsia"/>
          <w:bCs/>
          <w:sz w:val="24"/>
          <w:szCs w:val="32"/>
        </w:rPr>
        <w:t>完成传染病报告、病原监测信息、应急派单和病媒监测体系的对接并统一纳入省统筹平台；</w:t>
      </w:r>
    </w:p>
    <w:p w14:paraId="16B96A19">
      <w:pPr>
        <w:pStyle w:val="61"/>
        <w:numPr>
          <w:ilvl w:val="0"/>
          <w:numId w:val="4"/>
        </w:numPr>
        <w:ind w:firstLineChars="0"/>
        <w:rPr>
          <w:rFonts w:hint="eastAsia" w:asciiTheme="minorEastAsia" w:hAnsiTheme="minorEastAsia" w:eastAsiaTheme="minorEastAsia"/>
          <w:bCs/>
          <w:sz w:val="24"/>
          <w:szCs w:val="32"/>
        </w:rPr>
      </w:pPr>
      <w:r>
        <w:rPr>
          <w:rFonts w:hint="eastAsia" w:asciiTheme="minorEastAsia" w:hAnsiTheme="minorEastAsia" w:eastAsiaTheme="minorEastAsia"/>
          <w:bCs/>
          <w:sz w:val="24"/>
          <w:szCs w:val="32"/>
        </w:rPr>
        <w:t>结合元宇宙、隐私计算新技术，完善传染病防控服务管理体系，扩展基于隐私计算的传染病预警趋势场景、基于隐私计算的传染病流调场景、传染病元宇宙能力提升建设内容。</w:t>
      </w:r>
    </w:p>
    <w:p w14:paraId="011C8F6E">
      <w:pPr>
        <w:ind w:firstLine="0" w:firstLineChars="0"/>
        <w:rPr>
          <w:rFonts w:hint="eastAsia" w:asciiTheme="minorEastAsia" w:hAnsiTheme="minorEastAsia" w:eastAsiaTheme="minorEastAsia"/>
          <w:bCs/>
          <w:szCs w:val="32"/>
        </w:rPr>
      </w:pPr>
    </w:p>
    <w:p w14:paraId="482F362B">
      <w:pPr>
        <w:numPr>
          <w:ilvl w:val="0"/>
          <w:numId w:val="5"/>
        </w:numPr>
        <w:ind w:firstLine="482"/>
        <w:rPr>
          <w:rFonts w:hint="eastAsia"/>
          <w:b/>
        </w:rPr>
      </w:pPr>
      <w:r>
        <w:rPr>
          <w:rFonts w:hint="eastAsia"/>
          <w:b/>
        </w:rPr>
        <w:t>软件开发清单：</w:t>
      </w:r>
    </w:p>
    <w:p w14:paraId="563DEFFA">
      <w:pPr>
        <w:ind w:firstLine="0" w:firstLineChars="0"/>
        <w:rPr>
          <w:rFonts w:hint="eastAsia"/>
          <w:b/>
        </w:rPr>
      </w:pPr>
    </w:p>
    <w:tbl>
      <w:tblPr>
        <w:tblStyle w:val="35"/>
        <w:tblW w:w="5000" w:type="pct"/>
        <w:jc w:val="center"/>
        <w:tblLayout w:type="autofit"/>
        <w:tblCellMar>
          <w:top w:w="0" w:type="dxa"/>
          <w:left w:w="108" w:type="dxa"/>
          <w:bottom w:w="0" w:type="dxa"/>
          <w:right w:w="108" w:type="dxa"/>
        </w:tblCellMar>
      </w:tblPr>
      <w:tblGrid>
        <w:gridCol w:w="658"/>
        <w:gridCol w:w="1542"/>
        <w:gridCol w:w="2612"/>
        <w:gridCol w:w="3716"/>
      </w:tblGrid>
      <w:tr w14:paraId="6B147C41">
        <w:tblPrEx>
          <w:tblCellMar>
            <w:top w:w="0" w:type="dxa"/>
            <w:left w:w="108" w:type="dxa"/>
            <w:bottom w:w="0" w:type="dxa"/>
            <w:right w:w="108" w:type="dxa"/>
          </w:tblCellMar>
        </w:tblPrEx>
        <w:trPr>
          <w:trHeight w:val="270" w:hRule="atLeast"/>
          <w:jc w:val="center"/>
        </w:trPr>
        <w:tc>
          <w:tcPr>
            <w:tcW w:w="396" w:type="pct"/>
            <w:tcBorders>
              <w:top w:val="single" w:color="auto" w:sz="4" w:space="0"/>
              <w:left w:val="single" w:color="auto" w:sz="4" w:space="0"/>
              <w:bottom w:val="single" w:color="auto" w:sz="4" w:space="0"/>
              <w:right w:val="single" w:color="auto" w:sz="4" w:space="0"/>
            </w:tcBorders>
            <w:shd w:val="clear" w:color="000000" w:fill="F3F8FC"/>
            <w:noWrap/>
            <w:vAlign w:val="center"/>
          </w:tcPr>
          <w:p w14:paraId="212C3A4A">
            <w:pPr>
              <w:widowControl/>
              <w:spacing w:line="240" w:lineRule="auto"/>
              <w:ind w:firstLine="0" w:firstLineChars="0"/>
              <w:jc w:val="center"/>
              <w:rPr>
                <w:rFonts w:hint="eastAsia" w:cs="宋体"/>
                <w:b/>
                <w:color w:val="000000"/>
                <w:kern w:val="0"/>
                <w:sz w:val="22"/>
                <w:szCs w:val="22"/>
              </w:rPr>
            </w:pPr>
            <w:r>
              <w:rPr>
                <w:rFonts w:hint="eastAsia" w:cs="宋体"/>
                <w:b/>
                <w:color w:val="000000"/>
                <w:kern w:val="0"/>
                <w:sz w:val="22"/>
                <w:szCs w:val="22"/>
              </w:rPr>
              <w:t>序号</w:t>
            </w:r>
          </w:p>
        </w:tc>
        <w:tc>
          <w:tcPr>
            <w:tcW w:w="625" w:type="pct"/>
            <w:tcBorders>
              <w:top w:val="single" w:color="auto" w:sz="4" w:space="0"/>
              <w:left w:val="nil"/>
              <w:bottom w:val="single" w:color="auto" w:sz="4" w:space="0"/>
              <w:right w:val="single" w:color="auto" w:sz="4" w:space="0"/>
            </w:tcBorders>
            <w:shd w:val="clear" w:color="000000" w:fill="F3F8FC"/>
            <w:noWrap/>
            <w:vAlign w:val="center"/>
          </w:tcPr>
          <w:p w14:paraId="38C4F503">
            <w:pPr>
              <w:widowControl/>
              <w:spacing w:line="240" w:lineRule="auto"/>
              <w:ind w:firstLine="0" w:firstLineChars="0"/>
              <w:jc w:val="center"/>
              <w:rPr>
                <w:rFonts w:hint="eastAsia" w:cs="宋体"/>
                <w:b/>
                <w:color w:val="000000"/>
                <w:kern w:val="0"/>
                <w:sz w:val="22"/>
                <w:szCs w:val="22"/>
              </w:rPr>
            </w:pPr>
            <w:r>
              <w:rPr>
                <w:rFonts w:hint="eastAsia" w:cs="宋体"/>
                <w:b/>
                <w:color w:val="000000"/>
                <w:kern w:val="0"/>
                <w:sz w:val="22"/>
                <w:szCs w:val="22"/>
              </w:rPr>
              <w:t>应用系统名称</w:t>
            </w:r>
          </w:p>
        </w:tc>
        <w:tc>
          <w:tcPr>
            <w:tcW w:w="1707" w:type="pct"/>
            <w:tcBorders>
              <w:top w:val="single" w:color="auto" w:sz="4" w:space="0"/>
              <w:left w:val="nil"/>
              <w:bottom w:val="single" w:color="auto" w:sz="4" w:space="0"/>
              <w:right w:val="single" w:color="auto" w:sz="4" w:space="0"/>
            </w:tcBorders>
            <w:shd w:val="clear" w:color="000000" w:fill="F3F8FC"/>
            <w:noWrap/>
            <w:vAlign w:val="center"/>
          </w:tcPr>
          <w:p w14:paraId="76F83C8B">
            <w:pPr>
              <w:widowControl/>
              <w:spacing w:line="240" w:lineRule="auto"/>
              <w:ind w:firstLine="0" w:firstLineChars="0"/>
              <w:jc w:val="center"/>
              <w:rPr>
                <w:rFonts w:hint="eastAsia" w:cs="宋体"/>
                <w:b/>
                <w:color w:val="000000"/>
                <w:kern w:val="0"/>
                <w:sz w:val="22"/>
                <w:szCs w:val="22"/>
              </w:rPr>
            </w:pPr>
            <w:r>
              <w:rPr>
                <w:rFonts w:hint="eastAsia" w:cs="宋体"/>
                <w:b/>
                <w:color w:val="000000"/>
                <w:kern w:val="0"/>
                <w:sz w:val="22"/>
                <w:szCs w:val="22"/>
              </w:rPr>
              <w:t>模块名称</w:t>
            </w:r>
          </w:p>
        </w:tc>
        <w:tc>
          <w:tcPr>
            <w:tcW w:w="2271" w:type="pct"/>
            <w:tcBorders>
              <w:top w:val="single" w:color="auto" w:sz="4" w:space="0"/>
              <w:left w:val="nil"/>
              <w:bottom w:val="single" w:color="auto" w:sz="4" w:space="0"/>
              <w:right w:val="single" w:color="auto" w:sz="4" w:space="0"/>
            </w:tcBorders>
            <w:shd w:val="clear" w:color="000000" w:fill="F3F8FC"/>
          </w:tcPr>
          <w:p w14:paraId="2C379323">
            <w:pPr>
              <w:widowControl/>
              <w:spacing w:line="240" w:lineRule="auto"/>
              <w:ind w:firstLine="0" w:firstLineChars="0"/>
              <w:jc w:val="center"/>
              <w:rPr>
                <w:rFonts w:hint="eastAsia" w:cs="宋体"/>
                <w:b/>
                <w:color w:val="000000"/>
                <w:kern w:val="0"/>
                <w:sz w:val="22"/>
                <w:szCs w:val="22"/>
              </w:rPr>
            </w:pPr>
            <w:r>
              <w:rPr>
                <w:rFonts w:hint="eastAsia" w:cs="宋体"/>
                <w:b/>
                <w:color w:val="000000"/>
                <w:kern w:val="0"/>
                <w:sz w:val="22"/>
                <w:szCs w:val="22"/>
              </w:rPr>
              <w:t>模块描述</w:t>
            </w:r>
          </w:p>
        </w:tc>
      </w:tr>
      <w:tr w14:paraId="628B73FC">
        <w:tblPrEx>
          <w:tblCellMar>
            <w:top w:w="0" w:type="dxa"/>
            <w:left w:w="108" w:type="dxa"/>
            <w:bottom w:w="0" w:type="dxa"/>
            <w:right w:w="108" w:type="dxa"/>
          </w:tblCellMar>
        </w:tblPrEx>
        <w:trPr>
          <w:trHeight w:val="1140"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FFFFFF"/>
            <w:vAlign w:val="center"/>
          </w:tcPr>
          <w:p w14:paraId="0BEFC1F4">
            <w:pPr>
              <w:widowControl/>
              <w:spacing w:line="240" w:lineRule="auto"/>
              <w:ind w:firstLine="0" w:firstLineChars="0"/>
              <w:jc w:val="center"/>
              <w:rPr>
                <w:rFonts w:ascii="Tahoma" w:hAnsi="Tahoma" w:cs="Tahoma"/>
                <w:color w:val="000000"/>
                <w:kern w:val="0"/>
                <w:sz w:val="22"/>
                <w:szCs w:val="22"/>
              </w:rPr>
            </w:pPr>
            <w:r>
              <w:rPr>
                <w:rFonts w:ascii="Tahoma" w:hAnsi="Tahoma" w:cs="Tahoma"/>
                <w:color w:val="000000"/>
                <w:kern w:val="0"/>
                <w:sz w:val="22"/>
                <w:szCs w:val="22"/>
              </w:rPr>
              <w:t>1</w:t>
            </w:r>
          </w:p>
        </w:tc>
        <w:tc>
          <w:tcPr>
            <w:tcW w:w="625" w:type="pct"/>
            <w:tcBorders>
              <w:top w:val="single" w:color="auto" w:sz="4" w:space="0"/>
              <w:left w:val="nil"/>
              <w:bottom w:val="single" w:color="auto" w:sz="4" w:space="0"/>
              <w:right w:val="single" w:color="auto" w:sz="4" w:space="0"/>
            </w:tcBorders>
            <w:shd w:val="clear" w:color="auto" w:fill="FFFFFF"/>
            <w:vAlign w:val="center"/>
          </w:tcPr>
          <w:p w14:paraId="07F05655">
            <w:pPr>
              <w:widowControl/>
              <w:ind w:firstLine="420"/>
              <w:jc w:val="left"/>
              <w:textAlignment w:val="center"/>
              <w:rPr>
                <w:rFonts w:hint="eastAsia" w:cs="宋体"/>
                <w:color w:val="000000"/>
                <w:kern w:val="0"/>
                <w:sz w:val="21"/>
                <w:szCs w:val="21"/>
                <w:lang w:bidi="ar"/>
              </w:rPr>
            </w:pPr>
            <w:r>
              <w:rPr>
                <w:rFonts w:hint="eastAsia" w:cs="宋体"/>
                <w:color w:val="000000"/>
                <w:kern w:val="0"/>
                <w:sz w:val="21"/>
                <w:szCs w:val="21"/>
                <w:lang w:bidi="ar"/>
              </w:rPr>
              <w:t>传染病监测预警功能升级</w:t>
            </w:r>
          </w:p>
        </w:tc>
        <w:tc>
          <w:tcPr>
            <w:tcW w:w="1707" w:type="pct"/>
            <w:tcBorders>
              <w:top w:val="single" w:color="auto" w:sz="4" w:space="0"/>
              <w:left w:val="nil"/>
              <w:bottom w:val="single" w:color="auto" w:sz="4" w:space="0"/>
              <w:right w:val="single" w:color="auto" w:sz="4" w:space="0"/>
            </w:tcBorders>
            <w:shd w:val="clear" w:color="auto" w:fill="FFFFFF"/>
            <w:vAlign w:val="center"/>
          </w:tcPr>
          <w:p w14:paraId="2A2CA032">
            <w:pPr>
              <w:widowControl/>
              <w:ind w:firstLine="420"/>
              <w:jc w:val="left"/>
              <w:textAlignment w:val="center"/>
              <w:rPr>
                <w:rFonts w:hint="eastAsia" w:cs="宋体"/>
                <w:color w:val="000000"/>
                <w:kern w:val="0"/>
                <w:sz w:val="21"/>
                <w:szCs w:val="21"/>
                <w:lang w:bidi="ar"/>
              </w:rPr>
            </w:pPr>
            <w:r>
              <w:rPr>
                <w:rFonts w:hint="eastAsia" w:cs="宋体"/>
                <w:color w:val="000000"/>
                <w:kern w:val="0"/>
                <w:sz w:val="21"/>
                <w:szCs w:val="21"/>
                <w:lang w:bidi="ar"/>
              </w:rPr>
              <w:t>基于EMR的传染病报告</w:t>
            </w:r>
          </w:p>
        </w:tc>
        <w:tc>
          <w:tcPr>
            <w:tcW w:w="2271" w:type="pct"/>
            <w:tcBorders>
              <w:top w:val="single" w:color="auto" w:sz="4" w:space="0"/>
              <w:left w:val="nil"/>
              <w:bottom w:val="single" w:color="auto" w:sz="4" w:space="0"/>
              <w:right w:val="single" w:color="auto" w:sz="4" w:space="0"/>
            </w:tcBorders>
            <w:shd w:val="clear" w:color="auto" w:fill="FFFFFF"/>
            <w:vAlign w:val="center"/>
          </w:tcPr>
          <w:p w14:paraId="0D0A632D">
            <w:pPr>
              <w:widowControl/>
              <w:ind w:firstLine="420"/>
              <w:jc w:val="left"/>
              <w:textAlignment w:val="center"/>
              <w:rPr>
                <w:rFonts w:hint="eastAsia" w:cs="宋体"/>
                <w:kern w:val="0"/>
                <w:sz w:val="21"/>
                <w:szCs w:val="21"/>
              </w:rPr>
            </w:pPr>
            <w:r>
              <w:rPr>
                <w:rFonts w:hint="eastAsia" w:cs="宋体"/>
                <w:color w:val="000000"/>
                <w:kern w:val="0"/>
                <w:sz w:val="21"/>
                <w:szCs w:val="21"/>
                <w:lang w:bidi="ar"/>
              </w:rPr>
              <w:t>在医疗机构前置服务器上部署前置软件，按照国家要求对接医疗机构EMR数据；打通前置服务器到国家数据集成服务平台、上海市区域平台等的网络链路，实现相关数据向国家、上海市平台的推送；适应性改造上海市区域平台，实现数据的接收、处理和应用，并在市级、区级平台间搭建顺畅的数据上下行通路，支撑数据的向上归集和向下分拣。包括传染病报告、报卡管理、报表统计、质量控制、重点关注传染病可疑病例管理、聚集性传染病就诊预警、聚集性事件预警、辅助管理、数据下载授权、审计日志管理、移动APP应用、外部对接、智能研判服务建设内容。</w:t>
            </w:r>
          </w:p>
        </w:tc>
      </w:tr>
      <w:tr w14:paraId="6F55E567">
        <w:tblPrEx>
          <w:tblCellMar>
            <w:top w:w="0" w:type="dxa"/>
            <w:left w:w="108" w:type="dxa"/>
            <w:bottom w:w="0" w:type="dxa"/>
            <w:right w:w="108" w:type="dxa"/>
          </w:tblCellMar>
        </w:tblPrEx>
        <w:trPr>
          <w:trHeight w:val="1710"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FFFFFF"/>
            <w:vAlign w:val="center"/>
          </w:tcPr>
          <w:p w14:paraId="1AED850F">
            <w:pPr>
              <w:widowControl/>
              <w:spacing w:line="240" w:lineRule="auto"/>
              <w:ind w:firstLine="0" w:firstLineChars="0"/>
              <w:jc w:val="center"/>
              <w:rPr>
                <w:rFonts w:ascii="Tahoma" w:hAnsi="Tahoma" w:cs="Tahoma"/>
                <w:color w:val="000000"/>
                <w:kern w:val="0"/>
                <w:sz w:val="22"/>
                <w:szCs w:val="22"/>
              </w:rPr>
            </w:pPr>
            <w:r>
              <w:rPr>
                <w:rFonts w:ascii="Tahoma" w:hAnsi="Tahoma" w:cs="Tahoma"/>
                <w:color w:val="000000"/>
                <w:kern w:val="0"/>
                <w:sz w:val="22"/>
                <w:szCs w:val="22"/>
              </w:rPr>
              <w:t>2</w:t>
            </w:r>
          </w:p>
        </w:tc>
        <w:tc>
          <w:tcPr>
            <w:tcW w:w="625" w:type="pct"/>
            <w:tcBorders>
              <w:top w:val="single" w:color="auto" w:sz="4" w:space="0"/>
              <w:left w:val="nil"/>
              <w:bottom w:val="single" w:color="auto" w:sz="4" w:space="0"/>
              <w:right w:val="single" w:color="auto" w:sz="4" w:space="0"/>
            </w:tcBorders>
            <w:shd w:val="clear" w:color="auto" w:fill="FFFFFF"/>
            <w:vAlign w:val="center"/>
          </w:tcPr>
          <w:p w14:paraId="25164341">
            <w:pPr>
              <w:widowControl/>
              <w:ind w:firstLine="420"/>
              <w:jc w:val="left"/>
              <w:textAlignment w:val="center"/>
              <w:rPr>
                <w:rFonts w:hint="eastAsia" w:cs="宋体"/>
                <w:color w:val="000000"/>
                <w:kern w:val="0"/>
                <w:sz w:val="21"/>
                <w:szCs w:val="21"/>
                <w:lang w:bidi="ar"/>
              </w:rPr>
            </w:pPr>
            <w:r>
              <w:rPr>
                <w:rFonts w:hint="eastAsia" w:cs="宋体"/>
                <w:color w:val="000000"/>
                <w:kern w:val="0"/>
                <w:sz w:val="21"/>
                <w:szCs w:val="21"/>
                <w:lang w:bidi="ar"/>
              </w:rPr>
              <w:t xml:space="preserve">传染病监测预警功能升级 </w:t>
            </w:r>
          </w:p>
        </w:tc>
        <w:tc>
          <w:tcPr>
            <w:tcW w:w="1707" w:type="pct"/>
            <w:tcBorders>
              <w:top w:val="single" w:color="auto" w:sz="4" w:space="0"/>
              <w:left w:val="nil"/>
              <w:bottom w:val="single" w:color="auto" w:sz="4" w:space="0"/>
              <w:right w:val="single" w:color="auto" w:sz="4" w:space="0"/>
            </w:tcBorders>
            <w:shd w:val="clear" w:color="auto" w:fill="FFFFFF"/>
            <w:vAlign w:val="center"/>
          </w:tcPr>
          <w:p w14:paraId="621ECDEF">
            <w:pPr>
              <w:widowControl/>
              <w:ind w:firstLine="420"/>
              <w:jc w:val="left"/>
              <w:textAlignment w:val="center"/>
              <w:rPr>
                <w:rFonts w:hint="eastAsia" w:cs="宋体"/>
                <w:color w:val="000000"/>
                <w:kern w:val="0"/>
                <w:sz w:val="21"/>
                <w:szCs w:val="21"/>
                <w:lang w:bidi="ar"/>
              </w:rPr>
            </w:pPr>
            <w:r>
              <w:rPr>
                <w:rFonts w:hint="eastAsia" w:cs="宋体"/>
                <w:color w:val="000000"/>
                <w:kern w:val="0"/>
                <w:sz w:val="21"/>
                <w:szCs w:val="21"/>
                <w:lang w:bidi="ar"/>
              </w:rPr>
              <w:t>基于EMR的传染病综合监测</w:t>
            </w:r>
          </w:p>
        </w:tc>
        <w:tc>
          <w:tcPr>
            <w:tcW w:w="2271" w:type="pct"/>
            <w:tcBorders>
              <w:top w:val="single" w:color="auto" w:sz="4" w:space="0"/>
              <w:left w:val="nil"/>
              <w:bottom w:val="single" w:color="auto" w:sz="4" w:space="0"/>
              <w:right w:val="single" w:color="auto" w:sz="4" w:space="0"/>
            </w:tcBorders>
            <w:shd w:val="clear" w:color="auto" w:fill="FFFFFF"/>
            <w:vAlign w:val="center"/>
          </w:tcPr>
          <w:p w14:paraId="52CF21F0">
            <w:pPr>
              <w:widowControl/>
              <w:ind w:firstLine="420"/>
              <w:jc w:val="left"/>
              <w:textAlignment w:val="center"/>
              <w:rPr>
                <w:rFonts w:hint="eastAsia" w:cs="宋体"/>
                <w:sz w:val="21"/>
                <w:szCs w:val="21"/>
              </w:rPr>
            </w:pPr>
            <w:r>
              <w:rPr>
                <w:rFonts w:hint="eastAsia" w:cs="宋体"/>
                <w:color w:val="000000"/>
                <w:kern w:val="0"/>
                <w:sz w:val="21"/>
                <w:szCs w:val="21"/>
                <w:lang w:bidi="ar"/>
              </w:rPr>
              <w:t>通过基于前置软件的医疗机构电子病历数据对接，实现传染病综合监测数据的无感化采集，建立基于医院电子病历的传染病综合监测预警体系。包括监测病例登记、症候群监测病例管理、重点呼吸道传染病监测、传染病疫情管理、其他相关信息监测、报表统计、数据汇总、外部系统对接、传染病报告智能研判服务建设内容。</w:t>
            </w:r>
          </w:p>
        </w:tc>
      </w:tr>
      <w:tr w14:paraId="061500B4">
        <w:tblPrEx>
          <w:tblCellMar>
            <w:top w:w="0" w:type="dxa"/>
            <w:left w:w="108" w:type="dxa"/>
            <w:bottom w:w="0" w:type="dxa"/>
            <w:right w:w="108" w:type="dxa"/>
          </w:tblCellMar>
        </w:tblPrEx>
        <w:trPr>
          <w:trHeight w:val="1710"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FFFFFF"/>
            <w:vAlign w:val="center"/>
          </w:tcPr>
          <w:p w14:paraId="4D4E8BDD">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3</w:t>
            </w:r>
          </w:p>
        </w:tc>
        <w:tc>
          <w:tcPr>
            <w:tcW w:w="625" w:type="pct"/>
            <w:tcBorders>
              <w:top w:val="single" w:color="auto" w:sz="4" w:space="0"/>
              <w:left w:val="nil"/>
              <w:bottom w:val="single" w:color="auto" w:sz="4" w:space="0"/>
              <w:right w:val="single" w:color="auto" w:sz="4" w:space="0"/>
            </w:tcBorders>
            <w:shd w:val="clear" w:color="auto" w:fill="FFFFFF"/>
            <w:vAlign w:val="center"/>
          </w:tcPr>
          <w:p w14:paraId="0419909D">
            <w:pPr>
              <w:widowControl/>
              <w:ind w:firstLine="420"/>
              <w:jc w:val="left"/>
              <w:textAlignment w:val="center"/>
              <w:rPr>
                <w:rFonts w:hint="eastAsia" w:cs="宋体"/>
                <w:color w:val="000000"/>
                <w:kern w:val="0"/>
                <w:sz w:val="21"/>
                <w:szCs w:val="21"/>
                <w:lang w:bidi="ar"/>
              </w:rPr>
            </w:pPr>
            <w:r>
              <w:rPr>
                <w:rFonts w:hint="eastAsia" w:cs="宋体"/>
                <w:color w:val="000000"/>
                <w:kern w:val="0"/>
                <w:sz w:val="21"/>
                <w:szCs w:val="21"/>
                <w:lang w:bidi="ar"/>
              </w:rPr>
              <w:t>传染病监测预警功能升级</w:t>
            </w:r>
          </w:p>
          <w:p w14:paraId="59588968">
            <w:pPr>
              <w:widowControl/>
              <w:ind w:firstLine="420"/>
              <w:jc w:val="left"/>
              <w:textAlignment w:val="center"/>
              <w:rPr>
                <w:rFonts w:hint="eastAsia" w:cs="宋体"/>
                <w:color w:val="000000"/>
                <w:kern w:val="0"/>
                <w:sz w:val="21"/>
                <w:szCs w:val="21"/>
                <w:lang w:bidi="ar"/>
              </w:rPr>
            </w:pPr>
          </w:p>
        </w:tc>
        <w:tc>
          <w:tcPr>
            <w:tcW w:w="1707" w:type="pct"/>
            <w:tcBorders>
              <w:top w:val="single" w:color="auto" w:sz="4" w:space="0"/>
              <w:left w:val="nil"/>
              <w:bottom w:val="single" w:color="auto" w:sz="4" w:space="0"/>
              <w:right w:val="single" w:color="auto" w:sz="4" w:space="0"/>
            </w:tcBorders>
            <w:shd w:val="clear" w:color="auto" w:fill="FFFFFF"/>
            <w:vAlign w:val="center"/>
          </w:tcPr>
          <w:p w14:paraId="349C38BE">
            <w:pPr>
              <w:widowControl/>
              <w:ind w:firstLine="420"/>
              <w:jc w:val="left"/>
              <w:textAlignment w:val="center"/>
              <w:rPr>
                <w:rFonts w:hint="eastAsia" w:cs="宋体"/>
                <w:color w:val="000000"/>
                <w:kern w:val="0"/>
                <w:sz w:val="21"/>
                <w:szCs w:val="21"/>
                <w:lang w:bidi="ar"/>
              </w:rPr>
            </w:pPr>
            <w:r>
              <w:rPr>
                <w:rFonts w:hint="eastAsia" w:cs="宋体"/>
                <w:color w:val="000000"/>
                <w:kern w:val="0"/>
                <w:sz w:val="21"/>
                <w:szCs w:val="21"/>
                <w:lang w:bidi="ar"/>
              </w:rPr>
              <w:t>消毒管理</w:t>
            </w:r>
          </w:p>
        </w:tc>
        <w:tc>
          <w:tcPr>
            <w:tcW w:w="2271" w:type="pct"/>
            <w:tcBorders>
              <w:top w:val="single" w:color="auto" w:sz="4" w:space="0"/>
              <w:left w:val="nil"/>
              <w:bottom w:val="single" w:color="auto" w:sz="4" w:space="0"/>
              <w:right w:val="single" w:color="auto" w:sz="4" w:space="0"/>
            </w:tcBorders>
            <w:shd w:val="clear" w:color="auto" w:fill="FFFFFF"/>
            <w:vAlign w:val="center"/>
          </w:tcPr>
          <w:p w14:paraId="6839A252">
            <w:pPr>
              <w:widowControl/>
              <w:ind w:firstLine="420"/>
              <w:jc w:val="left"/>
              <w:textAlignment w:val="center"/>
              <w:rPr>
                <w:rFonts w:hint="eastAsia" w:cs="宋体"/>
                <w:sz w:val="21"/>
                <w:szCs w:val="21"/>
              </w:rPr>
            </w:pPr>
            <w:r>
              <w:rPr>
                <w:rFonts w:hint="eastAsia" w:cs="宋体"/>
                <w:color w:val="000000"/>
                <w:kern w:val="0"/>
                <w:sz w:val="21"/>
                <w:szCs w:val="21"/>
                <w:lang w:bidi="ar"/>
              </w:rPr>
              <w:t>本系统主要用于聚集性疫情、暴发疫情的处理，涉及的环节包括疫情相关基础资料上报、消毒通知表单的推送和分发、现场作业情况的记录（APP）、事件追踪处理、质量控制和消毒队伍分级启动、消毒效果评价和消毒响应终止等环节，并可将数据与“基于多源数据的传染病综合监测预警和应急处置信息平台”的消毒监测模块、“上海市公共卫生突发事件应急处置系统”的流行病学调查模块进行同步。</w:t>
            </w:r>
          </w:p>
        </w:tc>
      </w:tr>
      <w:tr w14:paraId="22688A27">
        <w:tblPrEx>
          <w:tblCellMar>
            <w:top w:w="0" w:type="dxa"/>
            <w:left w:w="108" w:type="dxa"/>
            <w:bottom w:w="0" w:type="dxa"/>
            <w:right w:w="108" w:type="dxa"/>
          </w:tblCellMar>
        </w:tblPrEx>
        <w:trPr>
          <w:trHeight w:val="1710"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FFFFFF"/>
            <w:vAlign w:val="center"/>
          </w:tcPr>
          <w:p w14:paraId="6EC8B5DB">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4</w:t>
            </w:r>
          </w:p>
        </w:tc>
        <w:tc>
          <w:tcPr>
            <w:tcW w:w="625" w:type="pct"/>
            <w:tcBorders>
              <w:top w:val="single" w:color="auto" w:sz="4" w:space="0"/>
              <w:left w:val="nil"/>
              <w:bottom w:val="single" w:color="auto" w:sz="4" w:space="0"/>
              <w:right w:val="single" w:color="auto" w:sz="4" w:space="0"/>
            </w:tcBorders>
            <w:shd w:val="clear" w:color="auto" w:fill="FFFFFF"/>
            <w:vAlign w:val="center"/>
          </w:tcPr>
          <w:p w14:paraId="24F582CE">
            <w:pPr>
              <w:widowControl/>
              <w:ind w:firstLine="420"/>
              <w:jc w:val="left"/>
              <w:textAlignment w:val="center"/>
              <w:rPr>
                <w:rFonts w:hint="eastAsia" w:cs="宋体"/>
                <w:color w:val="000000"/>
                <w:kern w:val="0"/>
                <w:sz w:val="21"/>
                <w:szCs w:val="21"/>
                <w:lang w:bidi="ar"/>
              </w:rPr>
            </w:pPr>
            <w:r>
              <w:rPr>
                <w:rFonts w:hint="eastAsia" w:cs="宋体"/>
                <w:color w:val="000000"/>
                <w:kern w:val="0"/>
                <w:sz w:val="21"/>
                <w:szCs w:val="21"/>
                <w:lang w:bidi="ar"/>
              </w:rPr>
              <w:t>传染病监测预警功能升级</w:t>
            </w:r>
          </w:p>
        </w:tc>
        <w:tc>
          <w:tcPr>
            <w:tcW w:w="1707" w:type="pct"/>
            <w:tcBorders>
              <w:top w:val="single" w:color="auto" w:sz="4" w:space="0"/>
              <w:left w:val="nil"/>
              <w:bottom w:val="single" w:color="auto" w:sz="4" w:space="0"/>
              <w:right w:val="single" w:color="auto" w:sz="4" w:space="0"/>
            </w:tcBorders>
            <w:shd w:val="clear" w:color="auto" w:fill="FFFFFF"/>
            <w:vAlign w:val="center"/>
          </w:tcPr>
          <w:p w14:paraId="79A7D034">
            <w:pPr>
              <w:widowControl/>
              <w:ind w:firstLine="420"/>
              <w:jc w:val="left"/>
              <w:textAlignment w:val="center"/>
              <w:rPr>
                <w:rFonts w:hint="eastAsia" w:cs="宋体"/>
                <w:color w:val="000000"/>
                <w:kern w:val="0"/>
                <w:sz w:val="21"/>
                <w:szCs w:val="21"/>
                <w:lang w:bidi="ar"/>
              </w:rPr>
            </w:pPr>
            <w:r>
              <w:rPr>
                <w:rFonts w:hint="eastAsia" w:cs="宋体"/>
                <w:color w:val="000000"/>
                <w:kern w:val="0"/>
                <w:sz w:val="21"/>
                <w:szCs w:val="21"/>
                <w:lang w:bidi="ar"/>
              </w:rPr>
              <w:t>病媒监测管理</w:t>
            </w:r>
          </w:p>
        </w:tc>
        <w:tc>
          <w:tcPr>
            <w:tcW w:w="2271" w:type="pct"/>
            <w:tcBorders>
              <w:top w:val="single" w:color="auto" w:sz="4" w:space="0"/>
              <w:left w:val="nil"/>
              <w:bottom w:val="single" w:color="auto" w:sz="4" w:space="0"/>
              <w:right w:val="single" w:color="auto" w:sz="4" w:space="0"/>
            </w:tcBorders>
            <w:shd w:val="clear" w:color="auto" w:fill="FFFFFF"/>
            <w:vAlign w:val="center"/>
          </w:tcPr>
          <w:p w14:paraId="35EB6403">
            <w:pPr>
              <w:widowControl/>
              <w:ind w:firstLine="420"/>
              <w:jc w:val="left"/>
              <w:textAlignment w:val="center"/>
              <w:rPr>
                <w:rFonts w:hint="eastAsia" w:cs="宋体"/>
                <w:sz w:val="21"/>
                <w:szCs w:val="21"/>
              </w:rPr>
            </w:pPr>
            <w:r>
              <w:rPr>
                <w:rFonts w:hint="eastAsia" w:cs="宋体"/>
                <w:color w:val="000000"/>
                <w:kern w:val="0"/>
                <w:sz w:val="21"/>
                <w:szCs w:val="21"/>
                <w:lang w:bidi="ar"/>
              </w:rPr>
              <w:t>传染病报告信息推送到病媒管理系统，自动化形成病媒应急处置事件，同时启动应急事件的响应流程。病媒监测相关样本信息通过病原监测系统自动化进行结果对接，实时获取实验室检测结果。病媒监测信息和监测数据集汇聚到省统筹平台，支撑传染病监测和预警规则库。</w:t>
            </w:r>
          </w:p>
        </w:tc>
      </w:tr>
      <w:tr w14:paraId="64BC45C8">
        <w:tblPrEx>
          <w:tblCellMar>
            <w:top w:w="0" w:type="dxa"/>
            <w:left w:w="108" w:type="dxa"/>
            <w:bottom w:w="0" w:type="dxa"/>
            <w:right w:w="108" w:type="dxa"/>
          </w:tblCellMar>
        </w:tblPrEx>
        <w:trPr>
          <w:trHeight w:val="1710"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FFFFFF"/>
            <w:vAlign w:val="center"/>
          </w:tcPr>
          <w:p w14:paraId="1F88C373">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5</w:t>
            </w:r>
          </w:p>
        </w:tc>
        <w:tc>
          <w:tcPr>
            <w:tcW w:w="625" w:type="pct"/>
            <w:tcBorders>
              <w:top w:val="single" w:color="auto" w:sz="4" w:space="0"/>
              <w:left w:val="nil"/>
              <w:bottom w:val="single" w:color="auto" w:sz="4" w:space="0"/>
              <w:right w:val="single" w:color="auto" w:sz="4" w:space="0"/>
            </w:tcBorders>
            <w:shd w:val="clear" w:color="auto" w:fill="FFFFFF"/>
            <w:vAlign w:val="center"/>
          </w:tcPr>
          <w:p w14:paraId="5CBEDEFA">
            <w:pPr>
              <w:widowControl/>
              <w:ind w:firstLine="420"/>
              <w:jc w:val="left"/>
              <w:textAlignment w:val="center"/>
              <w:rPr>
                <w:rFonts w:hint="eastAsia" w:cs="宋体"/>
                <w:color w:val="000000"/>
                <w:kern w:val="0"/>
                <w:sz w:val="21"/>
                <w:szCs w:val="21"/>
                <w:lang w:bidi="ar"/>
              </w:rPr>
            </w:pPr>
            <w:r>
              <w:rPr>
                <w:rFonts w:hint="eastAsia" w:cs="宋体"/>
                <w:color w:val="000000"/>
                <w:kern w:val="0"/>
                <w:sz w:val="21"/>
                <w:szCs w:val="21"/>
                <w:lang w:bidi="ar"/>
              </w:rPr>
              <w:t>传染病监测预警功能升级</w:t>
            </w:r>
          </w:p>
        </w:tc>
        <w:tc>
          <w:tcPr>
            <w:tcW w:w="1707" w:type="pct"/>
            <w:tcBorders>
              <w:top w:val="single" w:color="auto" w:sz="4" w:space="0"/>
              <w:left w:val="nil"/>
              <w:bottom w:val="single" w:color="auto" w:sz="4" w:space="0"/>
              <w:right w:val="single" w:color="auto" w:sz="4" w:space="0"/>
            </w:tcBorders>
            <w:shd w:val="clear" w:color="auto" w:fill="FFFFFF"/>
            <w:vAlign w:val="center"/>
          </w:tcPr>
          <w:p w14:paraId="217D129C">
            <w:pPr>
              <w:widowControl/>
              <w:ind w:firstLine="420"/>
              <w:jc w:val="left"/>
              <w:textAlignment w:val="center"/>
              <w:rPr>
                <w:rFonts w:hint="eastAsia" w:cs="宋体"/>
                <w:color w:val="000000"/>
                <w:kern w:val="0"/>
                <w:sz w:val="21"/>
                <w:szCs w:val="21"/>
                <w:lang w:bidi="ar"/>
              </w:rPr>
            </w:pPr>
            <w:r>
              <w:rPr>
                <w:rFonts w:hint="eastAsia" w:cs="宋体"/>
                <w:color w:val="000000"/>
                <w:kern w:val="0"/>
                <w:sz w:val="21"/>
                <w:szCs w:val="21"/>
                <w:lang w:bidi="ar"/>
              </w:rPr>
              <w:t>传染病元宇宙能力提升</w:t>
            </w:r>
          </w:p>
        </w:tc>
        <w:tc>
          <w:tcPr>
            <w:tcW w:w="2271" w:type="pct"/>
            <w:tcBorders>
              <w:top w:val="single" w:color="auto" w:sz="4" w:space="0"/>
              <w:left w:val="nil"/>
              <w:bottom w:val="single" w:color="auto" w:sz="4" w:space="0"/>
              <w:right w:val="single" w:color="auto" w:sz="4" w:space="0"/>
            </w:tcBorders>
            <w:shd w:val="clear" w:color="auto" w:fill="FFFFFF"/>
            <w:vAlign w:val="center"/>
          </w:tcPr>
          <w:p w14:paraId="563FB2D4">
            <w:pPr>
              <w:widowControl/>
              <w:ind w:firstLine="420"/>
              <w:jc w:val="left"/>
              <w:textAlignment w:val="center"/>
              <w:rPr>
                <w:rFonts w:hint="eastAsia" w:cs="宋体"/>
                <w:sz w:val="21"/>
                <w:szCs w:val="21"/>
              </w:rPr>
            </w:pPr>
            <w:r>
              <w:rPr>
                <w:rFonts w:hint="eastAsia" w:cs="宋体"/>
                <w:color w:val="000000"/>
                <w:kern w:val="0"/>
                <w:sz w:val="21"/>
                <w:szCs w:val="21"/>
                <w:lang w:bidi="ar"/>
              </w:rPr>
              <w:t>运用元宇宙技术，更直观立体地分析展示传染病监测预警数据，提供沉浸式交互服务体验，从而降低传染病综合监测和多源数据分析应用的难度，完善传染病防控服务生态，提升服务效率与质量。包括基于元宇宙引擎驱动实现应用协调交互同步，通过标准化组件SDK实现快速集成开发运行，元宇宙虚拟人支持场景配置与数据管理，同时集成疾控大模型为虚拟大脑，实现数据、知识及如人工智能等数据挖掘信息、工具的快速调取及基于自然语言的低门槛交互,进而在手机APP、大屏一体机等终端进行展现，并实现疾控用户与AI虚拟人之间的“面对面”互动交流、业务咨询、智能问答。</w:t>
            </w:r>
          </w:p>
        </w:tc>
      </w:tr>
      <w:tr w14:paraId="6CA58496">
        <w:tblPrEx>
          <w:tblCellMar>
            <w:top w:w="0" w:type="dxa"/>
            <w:left w:w="108" w:type="dxa"/>
            <w:bottom w:w="0" w:type="dxa"/>
            <w:right w:w="108" w:type="dxa"/>
          </w:tblCellMar>
        </w:tblPrEx>
        <w:trPr>
          <w:trHeight w:val="1710"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FFFFFF"/>
            <w:vAlign w:val="center"/>
          </w:tcPr>
          <w:p w14:paraId="25CDF089">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6</w:t>
            </w:r>
          </w:p>
        </w:tc>
        <w:tc>
          <w:tcPr>
            <w:tcW w:w="625" w:type="pct"/>
            <w:tcBorders>
              <w:top w:val="single" w:color="auto" w:sz="4" w:space="0"/>
              <w:left w:val="nil"/>
              <w:bottom w:val="single" w:color="auto" w:sz="4" w:space="0"/>
              <w:right w:val="single" w:color="auto" w:sz="4" w:space="0"/>
            </w:tcBorders>
            <w:shd w:val="clear" w:color="auto" w:fill="FFFFFF"/>
            <w:vAlign w:val="center"/>
          </w:tcPr>
          <w:p w14:paraId="68917A4E">
            <w:pPr>
              <w:widowControl/>
              <w:ind w:firstLine="420"/>
              <w:jc w:val="left"/>
              <w:textAlignment w:val="center"/>
              <w:rPr>
                <w:rFonts w:hint="eastAsia" w:cs="宋体"/>
                <w:color w:val="000000"/>
                <w:kern w:val="0"/>
                <w:sz w:val="21"/>
                <w:szCs w:val="21"/>
                <w:lang w:bidi="ar"/>
              </w:rPr>
            </w:pPr>
            <w:r>
              <w:rPr>
                <w:rFonts w:hint="eastAsia" w:cs="宋体"/>
                <w:color w:val="000000"/>
                <w:kern w:val="0"/>
                <w:sz w:val="21"/>
                <w:szCs w:val="21"/>
                <w:lang w:bidi="ar"/>
              </w:rPr>
              <w:t>传染病监测预警功能升级</w:t>
            </w:r>
          </w:p>
        </w:tc>
        <w:tc>
          <w:tcPr>
            <w:tcW w:w="1707" w:type="pct"/>
            <w:tcBorders>
              <w:top w:val="single" w:color="auto" w:sz="4" w:space="0"/>
              <w:left w:val="nil"/>
              <w:bottom w:val="single" w:color="auto" w:sz="4" w:space="0"/>
              <w:right w:val="single" w:color="auto" w:sz="4" w:space="0"/>
            </w:tcBorders>
            <w:shd w:val="clear" w:color="auto" w:fill="FFFFFF"/>
            <w:vAlign w:val="center"/>
          </w:tcPr>
          <w:p w14:paraId="300DE791">
            <w:pPr>
              <w:widowControl/>
              <w:ind w:firstLine="420"/>
              <w:jc w:val="left"/>
              <w:textAlignment w:val="center"/>
              <w:rPr>
                <w:rFonts w:hint="eastAsia" w:cs="宋体"/>
                <w:color w:val="000000"/>
                <w:kern w:val="0"/>
                <w:sz w:val="21"/>
                <w:szCs w:val="21"/>
                <w:lang w:bidi="ar"/>
              </w:rPr>
            </w:pPr>
            <w:r>
              <w:rPr>
                <w:rFonts w:hint="eastAsia" w:cs="宋体"/>
                <w:color w:val="000000"/>
                <w:kern w:val="0"/>
                <w:sz w:val="21"/>
                <w:szCs w:val="21"/>
                <w:lang w:bidi="ar"/>
              </w:rPr>
              <w:t>基于隐私计算的传染病预警趋势模型场景建设</w:t>
            </w:r>
          </w:p>
        </w:tc>
        <w:tc>
          <w:tcPr>
            <w:tcW w:w="2271" w:type="pct"/>
            <w:tcBorders>
              <w:top w:val="single" w:color="auto" w:sz="4" w:space="0"/>
              <w:left w:val="nil"/>
              <w:bottom w:val="single" w:color="auto" w:sz="4" w:space="0"/>
              <w:right w:val="single" w:color="auto" w:sz="4" w:space="0"/>
            </w:tcBorders>
            <w:shd w:val="clear" w:color="auto" w:fill="FFFFFF"/>
            <w:vAlign w:val="center"/>
          </w:tcPr>
          <w:p w14:paraId="2079685D">
            <w:pPr>
              <w:widowControl/>
              <w:ind w:firstLine="420"/>
              <w:jc w:val="left"/>
              <w:textAlignment w:val="center"/>
              <w:rPr>
                <w:rFonts w:hint="eastAsia" w:cs="宋体"/>
                <w:sz w:val="21"/>
                <w:szCs w:val="21"/>
              </w:rPr>
            </w:pPr>
            <w:r>
              <w:rPr>
                <w:rFonts w:hint="eastAsia" w:cs="宋体"/>
                <w:color w:val="000000"/>
                <w:kern w:val="0"/>
                <w:sz w:val="21"/>
                <w:szCs w:val="21"/>
                <w:lang w:bidi="ar"/>
              </w:rPr>
              <w:t>结合隐私计算，疾控中心通过提供传染病病例数据、传染病监测数据、医疗机构EMR数据 和大数据中心数据治理平台采集的三大库底库以及公安、民政、交通等数据共同训练机器学习模型，预测疫情发展的趋势。</w:t>
            </w:r>
          </w:p>
        </w:tc>
      </w:tr>
      <w:tr w14:paraId="6ED3CC68">
        <w:tblPrEx>
          <w:tblCellMar>
            <w:top w:w="0" w:type="dxa"/>
            <w:left w:w="108" w:type="dxa"/>
            <w:bottom w:w="0" w:type="dxa"/>
            <w:right w:w="108" w:type="dxa"/>
          </w:tblCellMar>
        </w:tblPrEx>
        <w:trPr>
          <w:trHeight w:val="1710"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FFFFFF"/>
            <w:vAlign w:val="center"/>
          </w:tcPr>
          <w:p w14:paraId="24DC4F4D">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7</w:t>
            </w:r>
          </w:p>
        </w:tc>
        <w:tc>
          <w:tcPr>
            <w:tcW w:w="625" w:type="pct"/>
            <w:tcBorders>
              <w:top w:val="single" w:color="auto" w:sz="4" w:space="0"/>
              <w:left w:val="nil"/>
              <w:bottom w:val="single" w:color="auto" w:sz="4" w:space="0"/>
              <w:right w:val="single" w:color="auto" w:sz="4" w:space="0"/>
            </w:tcBorders>
            <w:shd w:val="clear" w:color="auto" w:fill="FFFFFF"/>
            <w:vAlign w:val="center"/>
          </w:tcPr>
          <w:p w14:paraId="32DB0A86">
            <w:pPr>
              <w:widowControl/>
              <w:ind w:firstLine="420"/>
              <w:jc w:val="left"/>
              <w:textAlignment w:val="center"/>
              <w:rPr>
                <w:rFonts w:hint="eastAsia" w:cs="宋体"/>
                <w:color w:val="000000"/>
                <w:kern w:val="0"/>
                <w:sz w:val="21"/>
                <w:szCs w:val="21"/>
                <w:lang w:bidi="ar"/>
              </w:rPr>
            </w:pPr>
            <w:r>
              <w:rPr>
                <w:rFonts w:hint="eastAsia" w:cs="宋体"/>
                <w:color w:val="000000"/>
                <w:kern w:val="0"/>
                <w:sz w:val="21"/>
                <w:szCs w:val="21"/>
                <w:lang w:bidi="ar"/>
              </w:rPr>
              <w:t>传染病监测预警功能升级</w:t>
            </w:r>
          </w:p>
        </w:tc>
        <w:tc>
          <w:tcPr>
            <w:tcW w:w="1707" w:type="pct"/>
            <w:tcBorders>
              <w:top w:val="single" w:color="auto" w:sz="4" w:space="0"/>
              <w:left w:val="nil"/>
              <w:bottom w:val="single" w:color="auto" w:sz="4" w:space="0"/>
              <w:right w:val="single" w:color="auto" w:sz="4" w:space="0"/>
            </w:tcBorders>
            <w:shd w:val="clear" w:color="auto" w:fill="FFFFFF"/>
            <w:vAlign w:val="center"/>
          </w:tcPr>
          <w:p w14:paraId="182F9072">
            <w:pPr>
              <w:widowControl/>
              <w:ind w:firstLine="420"/>
              <w:jc w:val="left"/>
              <w:textAlignment w:val="center"/>
              <w:rPr>
                <w:rFonts w:hint="eastAsia" w:cs="宋体"/>
                <w:color w:val="000000"/>
                <w:kern w:val="0"/>
                <w:sz w:val="21"/>
                <w:szCs w:val="21"/>
                <w:lang w:bidi="ar"/>
              </w:rPr>
            </w:pPr>
            <w:r>
              <w:rPr>
                <w:rFonts w:hint="eastAsia" w:cs="宋体"/>
                <w:color w:val="000000"/>
                <w:kern w:val="0"/>
                <w:sz w:val="21"/>
                <w:szCs w:val="21"/>
                <w:lang w:bidi="ar"/>
              </w:rPr>
              <w:t>基于隐私计算的传染病流调场景建设</w:t>
            </w:r>
          </w:p>
        </w:tc>
        <w:tc>
          <w:tcPr>
            <w:tcW w:w="2271" w:type="pct"/>
            <w:tcBorders>
              <w:top w:val="single" w:color="auto" w:sz="4" w:space="0"/>
              <w:left w:val="nil"/>
              <w:bottom w:val="single" w:color="auto" w:sz="4" w:space="0"/>
              <w:right w:val="single" w:color="auto" w:sz="4" w:space="0"/>
            </w:tcBorders>
            <w:shd w:val="clear" w:color="auto" w:fill="FFFFFF"/>
            <w:vAlign w:val="center"/>
          </w:tcPr>
          <w:p w14:paraId="73C5301D">
            <w:pPr>
              <w:widowControl/>
              <w:ind w:firstLine="420"/>
              <w:jc w:val="left"/>
              <w:textAlignment w:val="center"/>
              <w:rPr>
                <w:rFonts w:hint="eastAsia" w:cs="宋体"/>
                <w:sz w:val="21"/>
                <w:szCs w:val="21"/>
              </w:rPr>
            </w:pPr>
            <w:r>
              <w:rPr>
                <w:rFonts w:hint="eastAsia" w:cs="宋体"/>
                <w:color w:val="000000"/>
                <w:kern w:val="0"/>
                <w:sz w:val="21"/>
                <w:szCs w:val="21"/>
                <w:lang w:bidi="ar"/>
              </w:rPr>
              <w:t>疾控中心和大数据中心在传染病防控和应急阶段，通过疾控中心的病例流调数据和公安、工信追踪数据，通过隐私计算技术支撑让接触者流调追踪在不公开用户身份和位置信息的情况下，识别和通知潜在的感染者，降低信息泄露风险</w:t>
            </w:r>
          </w:p>
        </w:tc>
      </w:tr>
    </w:tbl>
    <w:p w14:paraId="322EDEF9">
      <w:pPr>
        <w:ind w:firstLine="0" w:firstLineChars="0"/>
        <w:rPr>
          <w:rFonts w:hint="eastAsia"/>
          <w:b/>
        </w:rPr>
      </w:pPr>
    </w:p>
    <w:p w14:paraId="4B2CB698">
      <w:pPr>
        <w:ind w:firstLine="0" w:firstLineChars="0"/>
        <w:rPr>
          <w:rFonts w:hint="eastAsia"/>
        </w:rPr>
      </w:pPr>
    </w:p>
    <w:p w14:paraId="0D65D1A5">
      <w:pPr>
        <w:pStyle w:val="2"/>
        <w:rPr>
          <w:rFonts w:hint="eastAsia"/>
        </w:rPr>
      </w:pPr>
      <w:bookmarkStart w:id="18" w:name="_Toc63785503"/>
      <w:r>
        <w:rPr>
          <w:rFonts w:hint="eastAsia"/>
        </w:rPr>
        <w:t>其他工作要求</w:t>
      </w:r>
      <w:bookmarkEnd w:id="18"/>
    </w:p>
    <w:p w14:paraId="242D378A">
      <w:pPr>
        <w:pStyle w:val="3"/>
        <w:rPr>
          <w:rFonts w:hint="eastAsia"/>
        </w:rPr>
      </w:pPr>
      <w:bookmarkStart w:id="19" w:name="_Toc63762370"/>
      <w:bookmarkEnd w:id="19"/>
      <w:bookmarkStart w:id="20" w:name="_Toc61968111"/>
      <w:bookmarkEnd w:id="20"/>
      <w:bookmarkStart w:id="21" w:name="_Toc62209488"/>
      <w:bookmarkEnd w:id="21"/>
      <w:bookmarkStart w:id="22" w:name="_Toc63785439"/>
      <w:bookmarkEnd w:id="22"/>
      <w:bookmarkStart w:id="23" w:name="_Toc63785504"/>
      <w:bookmarkEnd w:id="23"/>
      <w:bookmarkStart w:id="24" w:name="_Toc62219358"/>
      <w:bookmarkEnd w:id="24"/>
      <w:bookmarkStart w:id="25" w:name="_Toc63151871"/>
      <w:bookmarkEnd w:id="25"/>
      <w:bookmarkStart w:id="26" w:name="_Toc63585480"/>
      <w:bookmarkEnd w:id="26"/>
      <w:bookmarkStart w:id="27" w:name="_Toc63785505"/>
      <w:r>
        <w:rPr>
          <w:rFonts w:hint="eastAsia"/>
        </w:rPr>
        <w:t>售后服务要求</w:t>
      </w:r>
      <w:bookmarkEnd w:id="27"/>
    </w:p>
    <w:p w14:paraId="75B8612D">
      <w:pPr>
        <w:pStyle w:val="106"/>
        <w:snapToGrid w:val="0"/>
        <w:spacing w:line="360" w:lineRule="auto"/>
        <w:ind w:firstLine="480"/>
        <w:rPr>
          <w:rFonts w:hint="eastAsia" w:ascii="宋体" w:hAnsi="宋体"/>
          <w:sz w:val="24"/>
          <w:szCs w:val="24"/>
        </w:rPr>
      </w:pPr>
      <w:r>
        <w:rPr>
          <w:rFonts w:hint="eastAsia" w:ascii="宋体" w:hAnsi="宋体"/>
          <w:sz w:val="24"/>
          <w:szCs w:val="24"/>
        </w:rPr>
        <w:t>本项目从系统验收通过之日起</w:t>
      </w:r>
      <w:r>
        <w:rPr>
          <w:rFonts w:hint="eastAsia" w:ascii="宋体" w:hAnsi="宋体"/>
          <w:sz w:val="24"/>
          <w:szCs w:val="24"/>
          <w:lang w:val="en-US" w:eastAsia="zh-CN"/>
        </w:rPr>
        <w:t>3</w:t>
      </w:r>
      <w:r>
        <w:rPr>
          <w:rFonts w:hint="eastAsia" w:ascii="宋体" w:hAnsi="宋体"/>
          <w:sz w:val="24"/>
          <w:szCs w:val="24"/>
        </w:rPr>
        <w:t>年内提供</w:t>
      </w:r>
      <w:r>
        <w:rPr>
          <w:rFonts w:ascii="宋体" w:hAnsi="宋体"/>
          <w:sz w:val="24"/>
          <w:szCs w:val="24"/>
        </w:rPr>
        <w:t>7*24小时免费技术支持</w:t>
      </w:r>
      <w:r>
        <w:rPr>
          <w:rFonts w:hint="eastAsia" w:ascii="宋体" w:hAnsi="宋体"/>
          <w:sz w:val="24"/>
          <w:szCs w:val="24"/>
        </w:rPr>
        <w:t>和售后服务，</w:t>
      </w:r>
      <w:r>
        <w:rPr>
          <w:rFonts w:hint="eastAsia" w:ascii="宋体" w:hAnsi="宋体"/>
          <w:sz w:val="24"/>
          <w:szCs w:val="24"/>
          <w:lang w:val="en-US" w:eastAsia="zh-CN"/>
        </w:rPr>
        <w:t>3</w:t>
      </w:r>
      <w:r>
        <w:rPr>
          <w:rFonts w:hint="eastAsia" w:ascii="宋体" w:hAnsi="宋体"/>
          <w:sz w:val="24"/>
          <w:szCs w:val="24"/>
        </w:rPr>
        <w:t>年后进入有偿维护期。</w:t>
      </w:r>
    </w:p>
    <w:p w14:paraId="3D74F675">
      <w:pPr>
        <w:pStyle w:val="106"/>
        <w:snapToGrid w:val="0"/>
        <w:spacing w:line="360" w:lineRule="auto"/>
        <w:ind w:firstLine="480"/>
        <w:rPr>
          <w:rFonts w:hint="eastAsia" w:ascii="宋体" w:hAnsi="宋体"/>
          <w:sz w:val="24"/>
          <w:szCs w:val="24"/>
        </w:rPr>
      </w:pPr>
      <w:bookmarkStart w:id="28" w:name="_Hlk192328627"/>
      <w:r>
        <w:rPr>
          <w:rFonts w:hint="eastAsia" w:ascii="宋体" w:hAnsi="宋体"/>
          <w:sz w:val="24"/>
          <w:szCs w:val="24"/>
        </w:rPr>
        <w:t>在质量保证期内，供应商将按照售后服务的承诺提供保修和运行维护服务。</w:t>
      </w:r>
    </w:p>
    <w:p w14:paraId="4B1FAAC3">
      <w:pPr>
        <w:pStyle w:val="106"/>
        <w:snapToGrid w:val="0"/>
        <w:spacing w:line="360" w:lineRule="auto"/>
        <w:ind w:firstLine="480"/>
        <w:rPr>
          <w:rFonts w:hint="eastAsia" w:ascii="宋体" w:hAnsi="宋体"/>
          <w:sz w:val="24"/>
          <w:szCs w:val="24"/>
        </w:rPr>
      </w:pPr>
      <w:r>
        <w:rPr>
          <w:rFonts w:hint="eastAsia" w:ascii="宋体" w:hAnsi="宋体"/>
          <w:sz w:val="24"/>
          <w:szCs w:val="24"/>
        </w:rPr>
        <w:t>在质量保证期内，供应商负责信息系统的运行维护工作，确保信息系统安全、稳定、可靠地运行。本项目涉及的运行维护工作范围包括但不限于：远程技术支持、预防性维护、故障修复、重大活动现场保障、技术交流与培训、性能优化等。</w:t>
      </w:r>
    </w:p>
    <w:bookmarkEnd w:id="28"/>
    <w:p w14:paraId="18E6E6E4">
      <w:pPr>
        <w:pStyle w:val="3"/>
        <w:rPr>
          <w:rFonts w:hint="eastAsia"/>
        </w:rPr>
      </w:pPr>
      <w:bookmarkStart w:id="29" w:name="_Toc63785506"/>
      <w:r>
        <w:rPr>
          <w:rFonts w:hint="eastAsia"/>
        </w:rPr>
        <w:t>应急响应要求</w:t>
      </w:r>
      <w:bookmarkEnd w:id="29"/>
    </w:p>
    <w:p w14:paraId="6D346974">
      <w:pPr>
        <w:pStyle w:val="106"/>
        <w:snapToGrid w:val="0"/>
        <w:spacing w:line="360" w:lineRule="auto"/>
        <w:ind w:firstLine="480"/>
        <w:rPr>
          <w:rFonts w:hint="eastAsia"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30分钟之内响应，专业工程师2小时内到达现场</w:t>
      </w:r>
      <w:r>
        <w:rPr>
          <w:rFonts w:hint="eastAsia" w:ascii="宋体" w:hAnsi="宋体"/>
          <w:sz w:val="24"/>
          <w:szCs w:val="24"/>
        </w:rPr>
        <w:t>。特殊故障与客户沟通协商后，按照协商的方式制定解决方案并进行处理。</w:t>
      </w:r>
    </w:p>
    <w:p w14:paraId="0EBE82ED">
      <w:pPr>
        <w:pStyle w:val="106"/>
        <w:snapToGrid w:val="0"/>
        <w:spacing w:line="360" w:lineRule="auto"/>
        <w:ind w:firstLine="480"/>
        <w:rPr>
          <w:rFonts w:hint="eastAsia" w:ascii="宋体" w:hAnsi="宋体"/>
          <w:sz w:val="24"/>
          <w:szCs w:val="24"/>
        </w:rPr>
      </w:pPr>
      <w:r>
        <w:rPr>
          <w:rFonts w:hint="eastAsia" w:ascii="宋体" w:hAnsi="宋体"/>
          <w:sz w:val="24"/>
          <w:szCs w:val="24"/>
        </w:rPr>
        <w:t>具体故障级别及对应的应急响应要求如下：</w:t>
      </w:r>
    </w:p>
    <w:p w14:paraId="3DB17445">
      <w:pPr>
        <w:pStyle w:val="106"/>
        <w:snapToGrid w:val="0"/>
        <w:spacing w:line="360" w:lineRule="auto"/>
        <w:ind w:firstLine="480"/>
        <w:rPr>
          <w:rFonts w:hint="eastAsia"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14:paraId="5BC6616B">
      <w:pPr>
        <w:pStyle w:val="106"/>
        <w:snapToGrid w:val="0"/>
        <w:spacing w:line="360" w:lineRule="auto"/>
        <w:ind w:firstLine="480"/>
        <w:rPr>
          <w:rFonts w:hint="eastAsia"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2小时内确诊，并在4小时内由专家到达现场确诊并解决，总故障解决时间不超过8小时；</w:t>
      </w:r>
    </w:p>
    <w:p w14:paraId="6494245B">
      <w:pPr>
        <w:pStyle w:val="106"/>
        <w:snapToGrid w:val="0"/>
        <w:spacing w:line="360" w:lineRule="auto"/>
        <w:ind w:firstLine="480"/>
        <w:rPr>
          <w:rFonts w:hint="eastAsia"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14:paraId="224392C6">
      <w:pPr>
        <w:pStyle w:val="3"/>
        <w:rPr>
          <w:rFonts w:hint="eastAsia"/>
        </w:rPr>
      </w:pPr>
      <w:bookmarkStart w:id="30" w:name="_Toc63785507"/>
      <w:r>
        <w:rPr>
          <w:rFonts w:hint="eastAsia"/>
        </w:rPr>
        <w:t>培训要求</w:t>
      </w:r>
      <w:bookmarkEnd w:id="30"/>
    </w:p>
    <w:p w14:paraId="156275FF">
      <w:pPr>
        <w:rPr>
          <w:rFonts w:hint="eastAsia"/>
        </w:rPr>
      </w:pPr>
      <w:r>
        <w:rPr>
          <w:rFonts w:hint="eastAsia"/>
        </w:rPr>
        <w:t>对系统使用单位提供业务操作培训，应提供详细培训方案。</w:t>
      </w:r>
    </w:p>
    <w:p w14:paraId="7D5576B9">
      <w:pPr>
        <w:rPr>
          <w:rFonts w:hint="eastAsia"/>
        </w:rPr>
      </w:pPr>
      <w:r>
        <w:rPr>
          <w:rFonts w:hint="eastAsia"/>
        </w:rPr>
        <w:t>(1)在12个月的质量保证期内，提供2次与项目相关的必要培训。</w:t>
      </w:r>
    </w:p>
    <w:p w14:paraId="52B89529">
      <w:pPr>
        <w:rPr>
          <w:rFonts w:hint="eastAsia"/>
        </w:rPr>
      </w:pPr>
      <w:r>
        <w:rPr>
          <w:rFonts w:hint="eastAsia"/>
        </w:rPr>
        <w:t>(2)供应商需要开展分层次的人员培训工作，每次培训后应对参加培训人员进行测试，评估培训成果。培训应具有培训教材、培训环境和高水平的培训讲师。</w:t>
      </w:r>
    </w:p>
    <w:p w14:paraId="0E3F2CC6">
      <w:pPr>
        <w:rPr>
          <w:rFonts w:hint="eastAsia"/>
        </w:rPr>
      </w:pPr>
      <w:r>
        <w:rPr>
          <w:rFonts w:hint="eastAsia"/>
        </w:rPr>
        <w:t>(3)供应商应提供一般用户的基础操作培训和部门信息管理员的日常应用维护的培训，确保用户对象能够掌握对应的操作技能。</w:t>
      </w:r>
    </w:p>
    <w:p w14:paraId="28A56A78">
      <w:pPr>
        <w:pStyle w:val="3"/>
        <w:rPr>
          <w:rFonts w:hint="eastAsia"/>
        </w:rPr>
      </w:pPr>
      <w:bookmarkStart w:id="31" w:name="_Toc63785508"/>
      <w:r>
        <w:rPr>
          <w:rFonts w:hint="eastAsia"/>
        </w:rPr>
        <w:t>验收要求</w:t>
      </w:r>
      <w:bookmarkEnd w:id="31"/>
    </w:p>
    <w:p w14:paraId="6CF23C75">
      <w:pPr>
        <w:rPr>
          <w:rFonts w:hint="eastAsia"/>
          <w:szCs w:val="21"/>
        </w:rPr>
      </w:pPr>
      <w:r>
        <w:rPr>
          <w:rFonts w:hint="eastAsia"/>
          <w:szCs w:val="21"/>
        </w:rPr>
        <w:t>本项目按下述方式开展验收。</w:t>
      </w:r>
    </w:p>
    <w:p w14:paraId="24063D8E">
      <w:pPr>
        <w:rPr>
          <w:rFonts w:hint="eastAsia"/>
          <w:szCs w:val="21"/>
        </w:rPr>
      </w:pPr>
      <w:r>
        <w:rPr>
          <w:rFonts w:hint="eastAsia"/>
          <w:szCs w:val="21"/>
        </w:rPr>
        <w:t>（</w:t>
      </w:r>
      <w:r>
        <w:rPr>
          <w:szCs w:val="21"/>
        </w:rPr>
        <w:t>1）验收分初验和终验。</w:t>
      </w:r>
    </w:p>
    <w:p w14:paraId="1E743D8A">
      <w:pPr>
        <w:rPr>
          <w:rFonts w:hint="eastAsia"/>
          <w:szCs w:val="21"/>
        </w:rPr>
      </w:pPr>
      <w:r>
        <w:rPr>
          <w:rFonts w:hint="eastAsia"/>
          <w:szCs w:val="21"/>
        </w:rPr>
        <w:t>（</w:t>
      </w:r>
      <w:r>
        <w:rPr>
          <w:szCs w:val="21"/>
        </w:rPr>
        <w:t>2）初验前，供应商须完成软件开发和信息系统的调试等，并对本项目进行功能和运行检测，确保所有信息系统功能模块能够正常运行且已达到本项目约定的各类标准要求。供应商应以书面形式向招标方递交初验通知书。招标方应当在接到通知后的5个工作日内确定初验的具体日期，由双方按照本项目的约定完成本项目的初验。招标方有权委托第三方检测机构进行验收，对此供应商应当配合。</w:t>
      </w:r>
    </w:p>
    <w:p w14:paraId="6C699F83">
      <w:pPr>
        <w:rPr>
          <w:rFonts w:hint="eastAsia"/>
          <w:szCs w:val="21"/>
        </w:rPr>
      </w:pPr>
      <w:r>
        <w:rPr>
          <w:rFonts w:hint="eastAsia"/>
          <w:szCs w:val="21"/>
        </w:rPr>
        <w:t>（</w:t>
      </w:r>
      <w:r>
        <w:rPr>
          <w:szCs w:val="21"/>
        </w:rPr>
        <w:t>3）初验时，供应商须提供软件文档包括《用户需求说明书》、《系统概要设计说明书》、《系统详细设计说明书》、</w:t>
      </w:r>
      <w:r>
        <w:rPr>
          <w:rFonts w:hint="eastAsia"/>
          <w:szCs w:val="21"/>
        </w:rPr>
        <w:t>《三方功能需求确认单》、</w:t>
      </w:r>
      <w:r>
        <w:rPr>
          <w:szCs w:val="21"/>
        </w:rPr>
        <w:t>《测试报告》、《用户使用手册》、《系统部署文档》等）及可安装的程序运行文件。所交付的文档与文件应当是可供自然人阅读的书面和电子文档。软件文档及可安装的程序运行文件验收通过后，视为初验通过。如有缺陷，招标方应向供应商出具书面报告，陈述需要改进的缺陷。供应商应立即严格依照招标方的书面报告中的要求改进缺陷，并再次进行初验。</w:t>
      </w:r>
    </w:p>
    <w:p w14:paraId="2B195043">
      <w:pPr>
        <w:rPr>
          <w:rFonts w:hint="eastAsia"/>
          <w:szCs w:val="21"/>
        </w:rPr>
      </w:pPr>
      <w:r>
        <w:rPr>
          <w:rFonts w:hint="eastAsia"/>
          <w:szCs w:val="21"/>
        </w:rPr>
        <w:t>（</w:t>
      </w:r>
      <w:r>
        <w:rPr>
          <w:szCs w:val="21"/>
        </w:rPr>
        <w:t>4）自初验通过之日起，招标方享有供应商免费提供的</w:t>
      </w:r>
      <w:r>
        <w:rPr>
          <w:rFonts w:hint="eastAsia"/>
          <w:b/>
          <w:bCs/>
          <w:szCs w:val="21"/>
          <w:u w:val="single"/>
        </w:rPr>
        <w:t>30</w:t>
      </w:r>
      <w:r>
        <w:rPr>
          <w:szCs w:val="21"/>
        </w:rPr>
        <w:t>天的信息系统试运行现场驻场服务期。该期间内，供应商应当按照招标方的要求提供现场技术支持服务，解决信息系统试运行期间可能出现的各类问题，或进一步提高与完善信息系统运行水平。</w:t>
      </w:r>
    </w:p>
    <w:p w14:paraId="0528F4EF">
      <w:pPr>
        <w:rPr>
          <w:rFonts w:hint="eastAsia"/>
          <w:szCs w:val="21"/>
        </w:rPr>
      </w:pPr>
      <w:r>
        <w:rPr>
          <w:rFonts w:hint="eastAsia"/>
          <w:szCs w:val="21"/>
        </w:rPr>
        <w:t>（</w:t>
      </w:r>
      <w:r>
        <w:rPr>
          <w:szCs w:val="21"/>
        </w:rPr>
        <w:t>5）初验通过且信息系统试运行期已经达到本项目约定的时间，经供应商确认信息系统具备正常运行条件，且信息系统通过运行测试，供应商应以书面形式通知招标方信息系统已准备就绪等待终验。招标方在收到终验通知后的</w:t>
      </w:r>
      <w:r>
        <w:rPr>
          <w:rFonts w:hint="eastAsia"/>
          <w:b/>
          <w:bCs/>
          <w:szCs w:val="21"/>
          <w:u w:val="single"/>
        </w:rPr>
        <w:t>15</w:t>
      </w:r>
      <w:r>
        <w:rPr>
          <w:szCs w:val="21"/>
        </w:rPr>
        <w:t>个工作日内发起组织专家验收会。</w:t>
      </w:r>
    </w:p>
    <w:p w14:paraId="0F491918">
      <w:pPr>
        <w:rPr>
          <w:rFonts w:hint="eastAsia"/>
          <w:szCs w:val="21"/>
        </w:rPr>
      </w:pPr>
      <w:r>
        <w:rPr>
          <w:rFonts w:hint="eastAsia"/>
          <w:szCs w:val="21"/>
        </w:rPr>
        <w:t>（6</w:t>
      </w:r>
      <w:r>
        <w:rPr>
          <w:szCs w:val="21"/>
        </w:rPr>
        <w:t>）如果属于供应商原因致使本项目未能通过终验，供应商应当排除缺陷，直至本项目完全符合验收标准，由上述情形而产生的相关费用应由供应商自行承担。</w:t>
      </w:r>
    </w:p>
    <w:p w14:paraId="02545DE7">
      <w:pPr>
        <w:rPr>
          <w:rFonts w:hint="eastAsia"/>
          <w:szCs w:val="21"/>
        </w:rPr>
      </w:pPr>
      <w:r>
        <w:rPr>
          <w:rFonts w:hint="eastAsia"/>
          <w:szCs w:val="21"/>
        </w:rPr>
        <w:t>（7</w:t>
      </w:r>
      <w:r>
        <w:rPr>
          <w:szCs w:val="21"/>
        </w:rPr>
        <w:t>）如果由于招标方原因导致本项目在终验通过前出现故障或问题，供应商应及时配合排除该方面的故障或问题。</w:t>
      </w:r>
    </w:p>
    <w:p w14:paraId="79A31286">
      <w:pPr>
        <w:rPr>
          <w:rFonts w:hint="eastAsia"/>
          <w:szCs w:val="21"/>
        </w:rPr>
      </w:pPr>
      <w:r>
        <w:rPr>
          <w:rFonts w:hint="eastAsia"/>
          <w:szCs w:val="21"/>
        </w:rPr>
        <w:t>（8</w:t>
      </w:r>
      <w:r>
        <w:rPr>
          <w:szCs w:val="21"/>
        </w:rPr>
        <w:t>）如本项目连续3次验收未通过（含初验未通过或终验未通过），招标方有权解除项目，并有权依照本项目约定的违约条款追究供应商的违约责任。</w:t>
      </w:r>
    </w:p>
    <w:p w14:paraId="000A93F3">
      <w:pPr>
        <w:pStyle w:val="3"/>
        <w:rPr>
          <w:rFonts w:hint="eastAsia"/>
        </w:rPr>
      </w:pPr>
      <w:bookmarkStart w:id="32" w:name="_Toc63785509"/>
      <w:r>
        <w:rPr>
          <w:rFonts w:hint="eastAsia"/>
        </w:rPr>
        <w:t>进度要求</w:t>
      </w:r>
      <w:bookmarkEnd w:id="32"/>
    </w:p>
    <w:p w14:paraId="30DA7FA9">
      <w:pPr>
        <w:rPr>
          <w:rFonts w:hint="eastAsia"/>
        </w:rPr>
      </w:pPr>
      <w:r>
        <w:rPr>
          <w:rFonts w:hint="eastAsia"/>
        </w:rPr>
        <w:t>投标人应根据建设内容，分阶段制定合理的时间进度，并且应根据招标方要求进行调整和细化。</w:t>
      </w:r>
    </w:p>
    <w:p w14:paraId="6A6BD6F2">
      <w:pPr>
        <w:rPr>
          <w:rFonts w:hint="eastAsia"/>
        </w:rPr>
      </w:pPr>
      <w:bookmarkStart w:id="33" w:name="_Hlk192328725"/>
      <w:r>
        <w:rPr>
          <w:rFonts w:hint="eastAsia"/>
        </w:rPr>
        <w:t>项目总体建设周期为2025年12月31日前完成项目建设并通过验收</w:t>
      </w:r>
      <w:bookmarkStart w:id="40" w:name="_GoBack"/>
      <w:bookmarkEnd w:id="40"/>
      <w:r>
        <w:rPr>
          <w:rFonts w:hint="eastAsia"/>
        </w:rPr>
        <w:t>。</w:t>
      </w:r>
    </w:p>
    <w:bookmarkEnd w:id="33"/>
    <w:p w14:paraId="4621E1BF">
      <w:pPr>
        <w:pStyle w:val="3"/>
        <w:rPr>
          <w:rFonts w:hint="eastAsia"/>
        </w:rPr>
      </w:pPr>
      <w:bookmarkStart w:id="34" w:name="_Toc63785510"/>
      <w:r>
        <w:rPr>
          <w:rFonts w:hint="eastAsia"/>
        </w:rPr>
        <w:t>项目团队及驻场人员要求</w:t>
      </w:r>
      <w:bookmarkEnd w:id="34"/>
    </w:p>
    <w:p w14:paraId="1CDE4271">
      <w:pPr>
        <w:rPr>
          <w:rFonts w:hint="eastAsia"/>
        </w:rPr>
      </w:pPr>
      <w:bookmarkStart w:id="35" w:name="_Hlk192328759"/>
      <w:r>
        <w:t>1）投标人须具有稳定的在职技术保障力量，能够提供及时的技术支援或服务，应针对本项目提供不少于</w:t>
      </w:r>
      <w:r>
        <w:rPr>
          <w:rFonts w:hint="eastAsia"/>
        </w:rPr>
        <w:t>15</w:t>
      </w:r>
      <w:r>
        <w:t>人的项目服务团队（包括项目经理、产品经理、技术负责人、研发</w:t>
      </w:r>
      <w:r>
        <w:rPr>
          <w:rFonts w:hint="eastAsia"/>
        </w:rPr>
        <w:t>、实施</w:t>
      </w:r>
      <w:r>
        <w:t>等），</w:t>
      </w:r>
      <w:r>
        <w:rPr>
          <w:rFonts w:hint="eastAsia"/>
        </w:rPr>
        <w:t>其中至少4人驻场，</w:t>
      </w:r>
      <w:r>
        <w:t>投标单位的相关服务人员需具备相应的服务能力，需提供相关证明。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436"/>
        <w:gridCol w:w="1180"/>
        <w:gridCol w:w="2316"/>
        <w:gridCol w:w="1180"/>
      </w:tblGrid>
      <w:tr w14:paraId="4BED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15A7ABAA">
            <w:pPr>
              <w:widowControl/>
              <w:spacing w:line="240" w:lineRule="auto"/>
              <w:ind w:firstLine="0" w:firstLineChars="0"/>
              <w:jc w:val="center"/>
              <w:rPr>
                <w:rFonts w:hint="eastAsia"/>
                <w:b/>
              </w:rPr>
            </w:pPr>
            <w:r>
              <w:rPr>
                <w:rFonts w:hint="eastAsia"/>
                <w:b/>
              </w:rPr>
              <w:t>角色</w:t>
            </w:r>
          </w:p>
        </w:tc>
        <w:tc>
          <w:tcPr>
            <w:tcW w:w="0" w:type="auto"/>
            <w:shd w:val="clear" w:color="auto" w:fill="auto"/>
            <w:noWrap/>
            <w:vAlign w:val="center"/>
          </w:tcPr>
          <w:p w14:paraId="5C715E97">
            <w:pPr>
              <w:widowControl/>
              <w:spacing w:line="240" w:lineRule="auto"/>
              <w:ind w:firstLine="0" w:firstLineChars="0"/>
              <w:jc w:val="center"/>
              <w:rPr>
                <w:rFonts w:hint="eastAsia"/>
                <w:b/>
              </w:rPr>
            </w:pPr>
            <w:r>
              <w:rPr>
                <w:rFonts w:hint="eastAsia"/>
                <w:b/>
              </w:rPr>
              <w:t>主要职责</w:t>
            </w:r>
          </w:p>
        </w:tc>
        <w:tc>
          <w:tcPr>
            <w:tcW w:w="0" w:type="auto"/>
            <w:shd w:val="clear" w:color="auto" w:fill="auto"/>
            <w:noWrap/>
            <w:vAlign w:val="center"/>
          </w:tcPr>
          <w:p w14:paraId="0446ABCA">
            <w:pPr>
              <w:widowControl/>
              <w:spacing w:line="240" w:lineRule="auto"/>
              <w:ind w:firstLine="0" w:firstLineChars="0"/>
              <w:jc w:val="center"/>
              <w:rPr>
                <w:rFonts w:hint="eastAsia"/>
                <w:b/>
              </w:rPr>
            </w:pPr>
            <w:r>
              <w:rPr>
                <w:rFonts w:hint="eastAsia"/>
                <w:b/>
              </w:rPr>
              <w:t>人员数量</w:t>
            </w:r>
          </w:p>
        </w:tc>
        <w:tc>
          <w:tcPr>
            <w:tcW w:w="0" w:type="auto"/>
            <w:vAlign w:val="center"/>
          </w:tcPr>
          <w:p w14:paraId="26390B33">
            <w:pPr>
              <w:widowControl/>
              <w:spacing w:line="240" w:lineRule="auto"/>
              <w:ind w:firstLine="0" w:firstLineChars="0"/>
              <w:jc w:val="center"/>
              <w:rPr>
                <w:rFonts w:hint="eastAsia"/>
                <w:b/>
              </w:rPr>
            </w:pPr>
            <w:r>
              <w:rPr>
                <w:rFonts w:hint="eastAsia"/>
                <w:b/>
              </w:rPr>
              <w:t>人员要求</w:t>
            </w:r>
          </w:p>
        </w:tc>
        <w:tc>
          <w:tcPr>
            <w:tcW w:w="0" w:type="auto"/>
            <w:shd w:val="clear" w:color="auto" w:fill="auto"/>
            <w:noWrap/>
            <w:vAlign w:val="center"/>
          </w:tcPr>
          <w:p w14:paraId="756F5A72">
            <w:pPr>
              <w:widowControl/>
              <w:spacing w:line="240" w:lineRule="auto"/>
              <w:ind w:firstLine="0" w:firstLineChars="0"/>
              <w:jc w:val="center"/>
              <w:rPr>
                <w:rFonts w:hint="eastAsia"/>
                <w:b/>
              </w:rPr>
            </w:pPr>
            <w:r>
              <w:rPr>
                <w:rFonts w:hint="eastAsia"/>
                <w:b/>
              </w:rPr>
              <w:t>驻场要求</w:t>
            </w:r>
          </w:p>
        </w:tc>
      </w:tr>
      <w:tr w14:paraId="731E9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7CE1A0A0">
            <w:pPr>
              <w:widowControl/>
              <w:spacing w:line="240" w:lineRule="auto"/>
              <w:ind w:firstLine="0" w:firstLineChars="0"/>
              <w:jc w:val="center"/>
              <w:rPr>
                <w:rFonts w:hint="eastAsia"/>
              </w:rPr>
            </w:pPr>
            <w:r>
              <w:rPr>
                <w:rFonts w:hint="eastAsia"/>
              </w:rPr>
              <w:t>项目经理</w:t>
            </w:r>
          </w:p>
        </w:tc>
        <w:tc>
          <w:tcPr>
            <w:tcW w:w="0" w:type="auto"/>
            <w:shd w:val="clear" w:color="auto" w:fill="auto"/>
            <w:vAlign w:val="center"/>
          </w:tcPr>
          <w:p w14:paraId="76DC1FF2">
            <w:pPr>
              <w:widowControl/>
              <w:spacing w:line="240" w:lineRule="auto"/>
              <w:ind w:firstLine="0" w:firstLineChars="0"/>
              <w:jc w:val="center"/>
              <w:rPr>
                <w:rFonts w:hint="eastAsia"/>
              </w:rPr>
            </w:pPr>
            <w:r>
              <w:rPr>
                <w:rFonts w:hint="eastAsia"/>
              </w:rPr>
              <w:t>负责项目质量和进度控制</w:t>
            </w:r>
          </w:p>
        </w:tc>
        <w:tc>
          <w:tcPr>
            <w:tcW w:w="0" w:type="auto"/>
            <w:shd w:val="clear" w:color="auto" w:fill="auto"/>
            <w:noWrap/>
            <w:vAlign w:val="center"/>
          </w:tcPr>
          <w:p w14:paraId="75C270A3">
            <w:pPr>
              <w:widowControl/>
              <w:spacing w:line="240" w:lineRule="auto"/>
              <w:ind w:firstLine="0" w:firstLineChars="0"/>
              <w:jc w:val="center"/>
              <w:rPr>
                <w:rFonts w:hint="eastAsia"/>
              </w:rPr>
            </w:pPr>
            <w:r>
              <w:rPr>
                <w:rFonts w:hint="eastAsia"/>
              </w:rPr>
              <w:t>1人</w:t>
            </w:r>
          </w:p>
        </w:tc>
        <w:tc>
          <w:tcPr>
            <w:tcW w:w="0" w:type="auto"/>
            <w:shd w:val="clear" w:color="auto" w:fill="auto"/>
            <w:vAlign w:val="center"/>
          </w:tcPr>
          <w:p w14:paraId="3F680271">
            <w:pPr>
              <w:widowControl/>
              <w:spacing w:line="240" w:lineRule="auto"/>
              <w:ind w:firstLine="0" w:firstLineChars="0"/>
              <w:jc w:val="center"/>
              <w:rPr>
                <w:rFonts w:hint="eastAsia"/>
              </w:rPr>
            </w:pPr>
            <w:r>
              <w:rPr>
                <w:rFonts w:hint="eastAsia"/>
              </w:rPr>
              <w:t>具备信息系统项目管理师（高级）资格证书优先考虑</w:t>
            </w:r>
          </w:p>
        </w:tc>
        <w:tc>
          <w:tcPr>
            <w:tcW w:w="0" w:type="auto"/>
            <w:shd w:val="clear" w:color="auto" w:fill="auto"/>
            <w:noWrap/>
            <w:vAlign w:val="center"/>
          </w:tcPr>
          <w:p w14:paraId="1432922E">
            <w:pPr>
              <w:widowControl/>
              <w:spacing w:line="240" w:lineRule="auto"/>
              <w:ind w:firstLine="0" w:firstLineChars="0"/>
              <w:jc w:val="center"/>
              <w:rPr>
                <w:rFonts w:hint="eastAsia"/>
              </w:rPr>
            </w:pPr>
            <w:r>
              <w:rPr>
                <w:rFonts w:hint="eastAsia"/>
              </w:rPr>
              <w:t>驻场</w:t>
            </w:r>
          </w:p>
        </w:tc>
      </w:tr>
      <w:tr w14:paraId="5B52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tcPr>
          <w:p w14:paraId="525DD4DE">
            <w:pPr>
              <w:widowControl/>
              <w:spacing w:line="240" w:lineRule="auto"/>
              <w:ind w:firstLine="0" w:firstLineChars="0"/>
              <w:jc w:val="center"/>
              <w:rPr>
                <w:rFonts w:hint="eastAsia"/>
              </w:rPr>
            </w:pPr>
            <w:r>
              <w:rPr>
                <w:rFonts w:hint="eastAsia"/>
              </w:rPr>
              <w:t>产品经理</w:t>
            </w:r>
          </w:p>
        </w:tc>
        <w:tc>
          <w:tcPr>
            <w:tcW w:w="0" w:type="auto"/>
            <w:shd w:val="clear" w:color="auto" w:fill="auto"/>
          </w:tcPr>
          <w:p w14:paraId="74BC3C69">
            <w:pPr>
              <w:widowControl/>
              <w:spacing w:line="240" w:lineRule="auto"/>
              <w:ind w:firstLine="0" w:firstLineChars="0"/>
              <w:jc w:val="center"/>
              <w:rPr>
                <w:rFonts w:hint="eastAsia"/>
              </w:rPr>
            </w:pPr>
            <w:r>
              <w:rPr>
                <w:rFonts w:hint="eastAsia"/>
              </w:rPr>
              <w:t>负责项目需求评估与产品设计</w:t>
            </w:r>
          </w:p>
        </w:tc>
        <w:tc>
          <w:tcPr>
            <w:tcW w:w="0" w:type="auto"/>
            <w:shd w:val="clear" w:color="auto" w:fill="auto"/>
            <w:noWrap/>
            <w:vAlign w:val="center"/>
          </w:tcPr>
          <w:p w14:paraId="74667A55">
            <w:pPr>
              <w:widowControl/>
              <w:spacing w:line="240" w:lineRule="auto"/>
              <w:ind w:firstLine="0" w:firstLineChars="0"/>
              <w:jc w:val="center"/>
              <w:rPr>
                <w:rFonts w:hint="eastAsia"/>
              </w:rPr>
            </w:pPr>
            <w:r>
              <w:rPr>
                <w:rFonts w:hint="eastAsia"/>
              </w:rPr>
              <w:t>3人</w:t>
            </w:r>
          </w:p>
        </w:tc>
        <w:tc>
          <w:tcPr>
            <w:tcW w:w="0" w:type="auto"/>
            <w:shd w:val="clear" w:color="auto" w:fill="auto"/>
            <w:vAlign w:val="center"/>
          </w:tcPr>
          <w:p w14:paraId="1A700831">
            <w:pPr>
              <w:widowControl/>
              <w:spacing w:line="240" w:lineRule="auto"/>
              <w:ind w:firstLine="0" w:firstLineChars="0"/>
              <w:jc w:val="center"/>
              <w:rPr>
                <w:rFonts w:hint="eastAsia"/>
              </w:rPr>
            </w:pPr>
            <w:r>
              <w:rPr>
                <w:rFonts w:hint="eastAsia"/>
              </w:rPr>
              <w:t>具有系统分析师（高级）或软件设计师（中级）资格证书优先考虑</w:t>
            </w:r>
          </w:p>
        </w:tc>
        <w:tc>
          <w:tcPr>
            <w:tcW w:w="0" w:type="auto"/>
            <w:shd w:val="clear" w:color="auto" w:fill="auto"/>
            <w:noWrap/>
            <w:vAlign w:val="center"/>
          </w:tcPr>
          <w:p w14:paraId="56F6F646">
            <w:pPr>
              <w:widowControl/>
              <w:spacing w:line="240" w:lineRule="auto"/>
              <w:ind w:firstLine="0" w:firstLineChars="0"/>
              <w:jc w:val="center"/>
              <w:rPr>
                <w:rFonts w:hint="eastAsia"/>
              </w:rPr>
            </w:pPr>
            <w:r>
              <w:rPr>
                <w:rFonts w:hint="eastAsia"/>
              </w:rPr>
              <w:t>不驻场</w:t>
            </w:r>
          </w:p>
        </w:tc>
      </w:tr>
      <w:tr w14:paraId="76043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tcPr>
          <w:p w14:paraId="2EBFBA78">
            <w:pPr>
              <w:widowControl/>
              <w:spacing w:line="240" w:lineRule="auto"/>
              <w:ind w:firstLine="0" w:firstLineChars="0"/>
              <w:jc w:val="center"/>
              <w:rPr>
                <w:rFonts w:hint="eastAsia"/>
              </w:rPr>
            </w:pPr>
            <w:r>
              <w:rPr>
                <w:rFonts w:hint="eastAsia"/>
              </w:rPr>
              <w:t>技术负责人</w:t>
            </w:r>
          </w:p>
        </w:tc>
        <w:tc>
          <w:tcPr>
            <w:tcW w:w="0" w:type="auto"/>
            <w:shd w:val="clear" w:color="auto" w:fill="auto"/>
          </w:tcPr>
          <w:p w14:paraId="0C61577A">
            <w:pPr>
              <w:widowControl/>
              <w:spacing w:line="240" w:lineRule="auto"/>
              <w:ind w:firstLine="0" w:firstLineChars="0"/>
              <w:jc w:val="center"/>
              <w:rPr>
                <w:rFonts w:hint="eastAsia"/>
              </w:rPr>
            </w:pPr>
            <w:r>
              <w:rPr>
                <w:rFonts w:hint="eastAsia"/>
              </w:rPr>
              <w:t>负责技术实现</w:t>
            </w:r>
          </w:p>
        </w:tc>
        <w:tc>
          <w:tcPr>
            <w:tcW w:w="0" w:type="auto"/>
            <w:shd w:val="clear" w:color="auto" w:fill="auto"/>
            <w:noWrap/>
            <w:vAlign w:val="center"/>
          </w:tcPr>
          <w:p w14:paraId="0D659A8C">
            <w:pPr>
              <w:widowControl/>
              <w:spacing w:line="240" w:lineRule="auto"/>
              <w:ind w:firstLine="0" w:firstLineChars="0"/>
              <w:jc w:val="center"/>
              <w:rPr>
                <w:rFonts w:hint="eastAsia"/>
              </w:rPr>
            </w:pPr>
            <w:r>
              <w:rPr>
                <w:rFonts w:hint="eastAsia"/>
              </w:rPr>
              <w:t>2人</w:t>
            </w:r>
          </w:p>
        </w:tc>
        <w:tc>
          <w:tcPr>
            <w:tcW w:w="0" w:type="auto"/>
            <w:shd w:val="clear" w:color="auto" w:fill="auto"/>
            <w:vAlign w:val="center"/>
          </w:tcPr>
          <w:p w14:paraId="0DE69B51">
            <w:pPr>
              <w:widowControl/>
              <w:spacing w:line="240" w:lineRule="auto"/>
              <w:ind w:firstLine="0" w:firstLineChars="0"/>
              <w:jc w:val="center"/>
              <w:rPr>
                <w:rFonts w:hint="eastAsia"/>
              </w:rPr>
            </w:pPr>
            <w:r>
              <w:t>具有计算机技术与软件专业相关证书</w:t>
            </w:r>
            <w:r>
              <w:rPr>
                <w:rFonts w:hint="eastAsia"/>
              </w:rPr>
              <w:t>优先考虑</w:t>
            </w:r>
          </w:p>
        </w:tc>
        <w:tc>
          <w:tcPr>
            <w:tcW w:w="0" w:type="auto"/>
            <w:shd w:val="clear" w:color="auto" w:fill="auto"/>
            <w:noWrap/>
            <w:vAlign w:val="center"/>
          </w:tcPr>
          <w:p w14:paraId="62E13D94">
            <w:pPr>
              <w:widowControl/>
              <w:spacing w:line="240" w:lineRule="auto"/>
              <w:ind w:firstLine="0" w:firstLineChars="0"/>
              <w:jc w:val="center"/>
              <w:rPr>
                <w:rFonts w:hint="eastAsia"/>
              </w:rPr>
            </w:pPr>
            <w:r>
              <w:rPr>
                <w:rFonts w:hint="eastAsia"/>
              </w:rPr>
              <w:t>不驻场</w:t>
            </w:r>
          </w:p>
        </w:tc>
      </w:tr>
      <w:tr w14:paraId="68E43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78580795">
            <w:pPr>
              <w:widowControl/>
              <w:spacing w:line="240" w:lineRule="auto"/>
              <w:ind w:firstLine="0" w:firstLineChars="0"/>
              <w:jc w:val="center"/>
              <w:rPr>
                <w:rFonts w:hint="eastAsia"/>
              </w:rPr>
            </w:pPr>
            <w:r>
              <w:rPr>
                <w:rFonts w:hint="eastAsia"/>
              </w:rPr>
              <w:t>研发</w:t>
            </w:r>
          </w:p>
        </w:tc>
        <w:tc>
          <w:tcPr>
            <w:tcW w:w="0" w:type="auto"/>
            <w:shd w:val="clear" w:color="auto" w:fill="auto"/>
            <w:noWrap/>
            <w:vAlign w:val="center"/>
          </w:tcPr>
          <w:p w14:paraId="6427D37E">
            <w:pPr>
              <w:widowControl/>
              <w:spacing w:line="240" w:lineRule="auto"/>
              <w:ind w:firstLine="0" w:firstLineChars="0"/>
              <w:jc w:val="center"/>
              <w:rPr>
                <w:rFonts w:hint="eastAsia"/>
              </w:rPr>
            </w:pPr>
            <w:r>
              <w:rPr>
                <w:rFonts w:hint="eastAsia"/>
              </w:rPr>
              <w:t>负责项目具体开发</w:t>
            </w:r>
          </w:p>
        </w:tc>
        <w:tc>
          <w:tcPr>
            <w:tcW w:w="0" w:type="auto"/>
            <w:shd w:val="clear" w:color="auto" w:fill="auto"/>
            <w:noWrap/>
            <w:vAlign w:val="center"/>
          </w:tcPr>
          <w:p w14:paraId="66E9660F">
            <w:pPr>
              <w:widowControl/>
              <w:spacing w:line="240" w:lineRule="auto"/>
              <w:ind w:firstLine="0" w:firstLineChars="0"/>
              <w:jc w:val="center"/>
              <w:rPr>
                <w:rFonts w:hint="eastAsia"/>
              </w:rPr>
            </w:pPr>
            <w:r>
              <w:rPr>
                <w:rFonts w:hint="eastAsia"/>
              </w:rPr>
              <w:t>6人</w:t>
            </w:r>
          </w:p>
        </w:tc>
        <w:tc>
          <w:tcPr>
            <w:tcW w:w="0" w:type="auto"/>
            <w:shd w:val="clear" w:color="auto" w:fill="auto"/>
            <w:vAlign w:val="center"/>
          </w:tcPr>
          <w:p w14:paraId="22FD2CC3">
            <w:pPr>
              <w:widowControl/>
              <w:spacing w:line="240" w:lineRule="auto"/>
              <w:ind w:firstLine="0" w:firstLineChars="0"/>
              <w:jc w:val="center"/>
              <w:rPr>
                <w:rFonts w:hint="eastAsia"/>
              </w:rPr>
            </w:pPr>
            <w:r>
              <w:rPr>
                <w:rFonts w:hint="eastAsia"/>
              </w:rPr>
              <w:t>具有相关工作经验优先考虑</w:t>
            </w:r>
          </w:p>
        </w:tc>
        <w:tc>
          <w:tcPr>
            <w:tcW w:w="0" w:type="auto"/>
            <w:shd w:val="clear" w:color="auto" w:fill="auto"/>
            <w:noWrap/>
            <w:vAlign w:val="center"/>
          </w:tcPr>
          <w:p w14:paraId="65AAEA1D">
            <w:pPr>
              <w:widowControl/>
              <w:spacing w:line="240" w:lineRule="auto"/>
              <w:ind w:firstLine="0" w:firstLineChars="0"/>
              <w:jc w:val="center"/>
              <w:rPr>
                <w:rFonts w:hint="eastAsia"/>
              </w:rPr>
            </w:pPr>
            <w:r>
              <w:rPr>
                <w:rFonts w:hint="eastAsia"/>
              </w:rPr>
              <w:t>不驻场</w:t>
            </w:r>
          </w:p>
        </w:tc>
      </w:tr>
      <w:tr w14:paraId="0A112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50166C0E">
            <w:pPr>
              <w:widowControl/>
              <w:spacing w:line="240" w:lineRule="auto"/>
              <w:ind w:firstLine="0" w:firstLineChars="0"/>
              <w:jc w:val="center"/>
              <w:rPr>
                <w:rFonts w:hint="eastAsia"/>
              </w:rPr>
            </w:pPr>
            <w:r>
              <w:rPr>
                <w:rFonts w:hint="eastAsia"/>
              </w:rPr>
              <w:t>实施</w:t>
            </w:r>
          </w:p>
        </w:tc>
        <w:tc>
          <w:tcPr>
            <w:tcW w:w="0" w:type="auto"/>
            <w:shd w:val="clear" w:color="auto" w:fill="auto"/>
            <w:noWrap/>
            <w:vAlign w:val="center"/>
          </w:tcPr>
          <w:p w14:paraId="073C36DF">
            <w:pPr>
              <w:widowControl/>
              <w:spacing w:line="240" w:lineRule="auto"/>
              <w:ind w:firstLine="0" w:firstLineChars="0"/>
              <w:jc w:val="center"/>
              <w:rPr>
                <w:rFonts w:hint="eastAsia"/>
              </w:rPr>
            </w:pPr>
            <w:r>
              <w:rPr>
                <w:rFonts w:hint="eastAsia"/>
              </w:rPr>
              <w:t>负责项目具体实施</w:t>
            </w:r>
          </w:p>
        </w:tc>
        <w:tc>
          <w:tcPr>
            <w:tcW w:w="0" w:type="auto"/>
            <w:shd w:val="clear" w:color="auto" w:fill="auto"/>
            <w:noWrap/>
            <w:vAlign w:val="center"/>
          </w:tcPr>
          <w:p w14:paraId="2C11BE10">
            <w:pPr>
              <w:widowControl/>
              <w:spacing w:line="240" w:lineRule="auto"/>
              <w:ind w:firstLine="0" w:firstLineChars="0"/>
              <w:jc w:val="center"/>
              <w:rPr>
                <w:rFonts w:hint="eastAsia"/>
              </w:rPr>
            </w:pPr>
            <w:r>
              <w:rPr>
                <w:rFonts w:hint="eastAsia"/>
              </w:rPr>
              <w:t>3人</w:t>
            </w:r>
          </w:p>
        </w:tc>
        <w:tc>
          <w:tcPr>
            <w:tcW w:w="0" w:type="auto"/>
            <w:shd w:val="clear" w:color="auto" w:fill="auto"/>
            <w:vAlign w:val="center"/>
          </w:tcPr>
          <w:p w14:paraId="3FB5365E">
            <w:pPr>
              <w:widowControl/>
              <w:spacing w:line="240" w:lineRule="auto"/>
              <w:ind w:firstLine="0" w:firstLineChars="0"/>
              <w:jc w:val="center"/>
              <w:rPr>
                <w:rFonts w:hint="eastAsia"/>
              </w:rPr>
            </w:pPr>
            <w:r>
              <w:rPr>
                <w:rFonts w:hint="eastAsia"/>
              </w:rPr>
              <w:t>具有相关工作经验优先考虑</w:t>
            </w:r>
          </w:p>
        </w:tc>
        <w:tc>
          <w:tcPr>
            <w:tcW w:w="0" w:type="auto"/>
            <w:shd w:val="clear" w:color="auto" w:fill="auto"/>
            <w:noWrap/>
            <w:vAlign w:val="center"/>
          </w:tcPr>
          <w:p w14:paraId="25F383B9">
            <w:pPr>
              <w:widowControl/>
              <w:spacing w:line="240" w:lineRule="auto"/>
              <w:ind w:firstLine="0" w:firstLineChars="0"/>
              <w:jc w:val="center"/>
              <w:rPr>
                <w:rFonts w:hint="eastAsia"/>
              </w:rPr>
            </w:pPr>
            <w:r>
              <w:rPr>
                <w:rFonts w:hint="eastAsia"/>
              </w:rPr>
              <w:t>驻场</w:t>
            </w:r>
          </w:p>
        </w:tc>
      </w:tr>
    </w:tbl>
    <w:p w14:paraId="1691AEDA">
      <w:pPr>
        <w:rPr>
          <w:rFonts w:hint="eastAsia"/>
        </w:rPr>
      </w:pPr>
      <w:r>
        <w:t>2）投标人应针对本项目提供不少于2人的质保期间支撑团队（其中技术经理1人，技术工程师不少于1人）；投标人的相关服务人员需具备相应的服务能力，需提供相关证明（最近一个季度依法缴纳社保费的证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362"/>
        <w:gridCol w:w="1180"/>
        <w:gridCol w:w="1434"/>
        <w:gridCol w:w="2136"/>
      </w:tblGrid>
      <w:tr w14:paraId="71B6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6DED920C">
            <w:pPr>
              <w:widowControl/>
              <w:spacing w:line="240" w:lineRule="auto"/>
              <w:ind w:firstLine="0" w:firstLineChars="0"/>
              <w:jc w:val="center"/>
              <w:rPr>
                <w:rFonts w:hint="eastAsia"/>
                <w:b/>
              </w:rPr>
            </w:pPr>
            <w:r>
              <w:rPr>
                <w:rFonts w:hint="eastAsia"/>
                <w:b/>
              </w:rPr>
              <w:t>角色</w:t>
            </w:r>
          </w:p>
        </w:tc>
        <w:tc>
          <w:tcPr>
            <w:tcW w:w="0" w:type="auto"/>
            <w:shd w:val="clear" w:color="auto" w:fill="auto"/>
            <w:noWrap/>
            <w:vAlign w:val="center"/>
          </w:tcPr>
          <w:p w14:paraId="4E08C0AF">
            <w:pPr>
              <w:widowControl/>
              <w:spacing w:line="240" w:lineRule="auto"/>
              <w:ind w:firstLine="0" w:firstLineChars="0"/>
              <w:jc w:val="center"/>
              <w:rPr>
                <w:rFonts w:hint="eastAsia"/>
                <w:b/>
              </w:rPr>
            </w:pPr>
            <w:r>
              <w:rPr>
                <w:rFonts w:hint="eastAsia"/>
                <w:b/>
              </w:rPr>
              <w:t>主要职责</w:t>
            </w:r>
          </w:p>
        </w:tc>
        <w:tc>
          <w:tcPr>
            <w:tcW w:w="0" w:type="auto"/>
            <w:shd w:val="clear" w:color="auto" w:fill="auto"/>
            <w:noWrap/>
            <w:vAlign w:val="center"/>
          </w:tcPr>
          <w:p w14:paraId="40D4C9D3">
            <w:pPr>
              <w:widowControl/>
              <w:spacing w:line="240" w:lineRule="auto"/>
              <w:ind w:firstLine="0" w:firstLineChars="0"/>
              <w:jc w:val="center"/>
              <w:rPr>
                <w:rFonts w:hint="eastAsia"/>
                <w:b/>
              </w:rPr>
            </w:pPr>
            <w:r>
              <w:rPr>
                <w:rFonts w:hint="eastAsia"/>
                <w:b/>
              </w:rPr>
              <w:t>人员数量</w:t>
            </w:r>
          </w:p>
        </w:tc>
        <w:tc>
          <w:tcPr>
            <w:tcW w:w="0" w:type="auto"/>
            <w:vAlign w:val="center"/>
          </w:tcPr>
          <w:p w14:paraId="3E4F6BBC">
            <w:pPr>
              <w:widowControl/>
              <w:spacing w:line="240" w:lineRule="auto"/>
              <w:ind w:firstLine="0" w:firstLineChars="0"/>
              <w:jc w:val="center"/>
              <w:rPr>
                <w:rFonts w:hint="eastAsia"/>
                <w:b/>
              </w:rPr>
            </w:pPr>
            <w:r>
              <w:rPr>
                <w:rFonts w:hint="eastAsia"/>
                <w:b/>
              </w:rPr>
              <w:t>人员要求</w:t>
            </w:r>
          </w:p>
        </w:tc>
        <w:tc>
          <w:tcPr>
            <w:tcW w:w="0" w:type="auto"/>
            <w:shd w:val="clear" w:color="auto" w:fill="auto"/>
            <w:noWrap/>
            <w:vAlign w:val="center"/>
          </w:tcPr>
          <w:p w14:paraId="07E4DB19">
            <w:pPr>
              <w:widowControl/>
              <w:spacing w:line="240" w:lineRule="auto"/>
              <w:ind w:firstLine="0" w:firstLineChars="0"/>
              <w:jc w:val="center"/>
              <w:rPr>
                <w:rFonts w:hint="eastAsia"/>
                <w:b/>
              </w:rPr>
            </w:pPr>
            <w:r>
              <w:rPr>
                <w:rFonts w:hint="eastAsia"/>
                <w:b/>
              </w:rPr>
              <w:t>驻场要求</w:t>
            </w:r>
          </w:p>
        </w:tc>
      </w:tr>
      <w:tr w14:paraId="0EA56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70F8DF01">
            <w:pPr>
              <w:widowControl/>
              <w:spacing w:line="240" w:lineRule="auto"/>
              <w:ind w:firstLine="0" w:firstLineChars="0"/>
              <w:jc w:val="center"/>
              <w:rPr>
                <w:rFonts w:hint="eastAsia"/>
              </w:rPr>
            </w:pPr>
            <w:r>
              <w:rPr>
                <w:rFonts w:hint="eastAsia"/>
              </w:rPr>
              <w:t>技术经理</w:t>
            </w:r>
          </w:p>
        </w:tc>
        <w:tc>
          <w:tcPr>
            <w:tcW w:w="0" w:type="auto"/>
            <w:shd w:val="clear" w:color="auto" w:fill="auto"/>
            <w:vAlign w:val="center"/>
          </w:tcPr>
          <w:p w14:paraId="16901231">
            <w:pPr>
              <w:widowControl/>
              <w:spacing w:line="240" w:lineRule="auto"/>
              <w:ind w:firstLine="0" w:firstLineChars="0"/>
              <w:jc w:val="center"/>
              <w:rPr>
                <w:rFonts w:hint="eastAsia"/>
              </w:rPr>
            </w:pPr>
            <w:r>
              <w:rPr>
                <w:rFonts w:hint="eastAsia"/>
              </w:rPr>
              <w:t>负责项目质量和进度控制</w:t>
            </w:r>
          </w:p>
        </w:tc>
        <w:tc>
          <w:tcPr>
            <w:tcW w:w="0" w:type="auto"/>
            <w:shd w:val="clear" w:color="auto" w:fill="auto"/>
            <w:noWrap/>
            <w:vAlign w:val="center"/>
          </w:tcPr>
          <w:p w14:paraId="301699C6">
            <w:pPr>
              <w:widowControl/>
              <w:spacing w:line="240" w:lineRule="auto"/>
              <w:ind w:firstLine="0" w:firstLineChars="0"/>
              <w:jc w:val="center"/>
              <w:rPr>
                <w:rFonts w:hint="eastAsia"/>
              </w:rPr>
            </w:pPr>
            <w:r>
              <w:rPr>
                <w:rFonts w:hint="eastAsia"/>
              </w:rPr>
              <w:t>1人</w:t>
            </w:r>
          </w:p>
        </w:tc>
        <w:tc>
          <w:tcPr>
            <w:tcW w:w="0" w:type="auto"/>
            <w:vAlign w:val="center"/>
          </w:tcPr>
          <w:p w14:paraId="6E160EB4">
            <w:pPr>
              <w:widowControl/>
              <w:spacing w:line="240" w:lineRule="auto"/>
              <w:ind w:firstLine="0" w:firstLineChars="0"/>
              <w:jc w:val="center"/>
              <w:rPr>
                <w:rFonts w:hint="eastAsia"/>
              </w:rPr>
            </w:pPr>
            <w:r>
              <w:rPr>
                <w:rFonts w:hint="eastAsia"/>
              </w:rPr>
              <w:t>具备相关项目管理资质优先考虑</w:t>
            </w:r>
          </w:p>
        </w:tc>
        <w:tc>
          <w:tcPr>
            <w:tcW w:w="0" w:type="auto"/>
            <w:shd w:val="clear" w:color="auto" w:fill="auto"/>
            <w:noWrap/>
            <w:vAlign w:val="center"/>
          </w:tcPr>
          <w:p w14:paraId="5F3EFE0F">
            <w:pPr>
              <w:widowControl/>
              <w:spacing w:line="240" w:lineRule="auto"/>
              <w:ind w:firstLine="0" w:firstLineChars="0"/>
              <w:jc w:val="center"/>
              <w:rPr>
                <w:rFonts w:hint="eastAsia"/>
              </w:rPr>
            </w:pPr>
            <w:r>
              <w:rPr>
                <w:rFonts w:hint="eastAsia"/>
              </w:rPr>
              <w:t>不驻场</w:t>
            </w:r>
          </w:p>
        </w:tc>
      </w:tr>
      <w:tr w14:paraId="25F95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7AE918AB">
            <w:pPr>
              <w:widowControl/>
              <w:spacing w:line="240" w:lineRule="auto"/>
              <w:ind w:firstLine="0" w:firstLineChars="0"/>
              <w:jc w:val="center"/>
              <w:rPr>
                <w:rFonts w:hint="eastAsia"/>
              </w:rPr>
            </w:pPr>
            <w:r>
              <w:rPr>
                <w:rFonts w:hint="eastAsia"/>
              </w:rPr>
              <w:t>技术工程师</w:t>
            </w:r>
          </w:p>
        </w:tc>
        <w:tc>
          <w:tcPr>
            <w:tcW w:w="0" w:type="auto"/>
            <w:shd w:val="clear" w:color="auto" w:fill="auto"/>
            <w:noWrap/>
            <w:vAlign w:val="center"/>
          </w:tcPr>
          <w:p w14:paraId="5B646403">
            <w:pPr>
              <w:widowControl/>
              <w:spacing w:line="240" w:lineRule="auto"/>
              <w:ind w:firstLine="0" w:firstLineChars="0"/>
              <w:jc w:val="center"/>
              <w:rPr>
                <w:rFonts w:hint="eastAsia"/>
              </w:rPr>
            </w:pPr>
            <w:r>
              <w:rPr>
                <w:rFonts w:hint="eastAsia"/>
              </w:rPr>
              <w:t>负责项目运行维护</w:t>
            </w:r>
          </w:p>
        </w:tc>
        <w:tc>
          <w:tcPr>
            <w:tcW w:w="0" w:type="auto"/>
            <w:shd w:val="clear" w:color="auto" w:fill="auto"/>
            <w:noWrap/>
            <w:vAlign w:val="center"/>
          </w:tcPr>
          <w:p w14:paraId="355DA5BA">
            <w:pPr>
              <w:widowControl/>
              <w:spacing w:line="240" w:lineRule="auto"/>
              <w:ind w:firstLine="0" w:firstLineChars="0"/>
              <w:jc w:val="center"/>
              <w:rPr>
                <w:rFonts w:hint="eastAsia"/>
              </w:rPr>
            </w:pPr>
            <w:r>
              <w:rPr>
                <w:rFonts w:hint="eastAsia"/>
              </w:rPr>
              <w:t>1人</w:t>
            </w:r>
          </w:p>
        </w:tc>
        <w:tc>
          <w:tcPr>
            <w:tcW w:w="0" w:type="auto"/>
            <w:vAlign w:val="center"/>
          </w:tcPr>
          <w:p w14:paraId="64AB93DB">
            <w:pPr>
              <w:widowControl/>
              <w:spacing w:line="240" w:lineRule="auto"/>
              <w:ind w:firstLine="0" w:firstLineChars="0"/>
              <w:jc w:val="center"/>
              <w:rPr>
                <w:rFonts w:hint="eastAsia"/>
              </w:rPr>
            </w:pPr>
          </w:p>
        </w:tc>
        <w:tc>
          <w:tcPr>
            <w:tcW w:w="0" w:type="auto"/>
            <w:shd w:val="clear" w:color="auto" w:fill="auto"/>
            <w:noWrap/>
            <w:vAlign w:val="center"/>
          </w:tcPr>
          <w:p w14:paraId="255416BF">
            <w:pPr>
              <w:widowControl/>
              <w:spacing w:line="240" w:lineRule="auto"/>
              <w:ind w:firstLine="0" w:firstLineChars="0"/>
              <w:jc w:val="center"/>
              <w:rPr>
                <w:rFonts w:hint="eastAsia"/>
              </w:rPr>
            </w:pPr>
            <w:r>
              <w:rPr>
                <w:rFonts w:hint="eastAsia"/>
                <w:lang w:eastAsia="zh-CN"/>
              </w:rPr>
              <w:t>质保期</w:t>
            </w:r>
            <w:r>
              <w:rPr>
                <w:rFonts w:hint="eastAsia"/>
                <w:lang w:val="en-US" w:eastAsia="zh-CN"/>
              </w:rPr>
              <w:t>1年内</w:t>
            </w:r>
            <w:r>
              <w:rPr>
                <w:rFonts w:hint="eastAsia"/>
              </w:rPr>
              <w:t>驻场</w:t>
            </w:r>
          </w:p>
        </w:tc>
      </w:tr>
      <w:bookmarkEnd w:id="35"/>
    </w:tbl>
    <w:p w14:paraId="6A7A4A9E">
      <w:pPr>
        <w:pStyle w:val="3"/>
        <w:rPr>
          <w:rFonts w:hint="eastAsia"/>
        </w:rPr>
      </w:pPr>
      <w:bookmarkStart w:id="36" w:name="_Toc63785511"/>
      <w:r>
        <w:t>等级保护要求</w:t>
      </w:r>
      <w:bookmarkEnd w:id="36"/>
    </w:p>
    <w:p w14:paraId="708D735A">
      <w:pPr>
        <w:rPr>
          <w:rFonts w:hint="eastAsia"/>
        </w:rPr>
      </w:pPr>
      <w:bookmarkStart w:id="37" w:name="_Hlk192328770"/>
      <w:r>
        <w:rPr>
          <w:rFonts w:hint="eastAsia"/>
        </w:rPr>
        <w:t>本项目按照信息系统网络安全等级保护三级建设。</w:t>
      </w:r>
    </w:p>
    <w:bookmarkEnd w:id="37"/>
    <w:p w14:paraId="7403AAD8">
      <w:pPr>
        <w:pStyle w:val="3"/>
        <w:rPr>
          <w:rFonts w:hint="eastAsia"/>
        </w:rPr>
      </w:pPr>
      <w:bookmarkStart w:id="38" w:name="_Hlk192328788"/>
      <w:r>
        <w:rPr>
          <w:rFonts w:hint="eastAsia"/>
        </w:rPr>
        <w:t>商业密码应用需求</w:t>
      </w:r>
    </w:p>
    <w:p w14:paraId="4BBE1A3A">
      <w:pPr>
        <w:rPr>
          <w:rFonts w:hint="eastAsia"/>
        </w:rPr>
      </w:pPr>
      <w:r>
        <w:rPr>
          <w:rFonts w:hint="eastAsia"/>
        </w:rPr>
        <w:t>本项目应按照国家商用密码第三级的相关要求进行建设</w:t>
      </w:r>
      <w:r>
        <w:rPr>
          <w:rFonts w:hint="eastAsia" w:ascii="仿宋_GB2312" w:eastAsia="仿宋_GB2312" w:cs="仿宋_GB2312"/>
          <w:kern w:val="0"/>
          <w:sz w:val="28"/>
          <w:szCs w:val="28"/>
        </w:rPr>
        <w:t>。</w:t>
      </w:r>
    </w:p>
    <w:bookmarkEnd w:id="38"/>
    <w:p w14:paraId="7D8F295F">
      <w:pPr>
        <w:pStyle w:val="3"/>
        <w:rPr>
          <w:rFonts w:hint="eastAsia"/>
        </w:rPr>
      </w:pPr>
      <w:bookmarkStart w:id="39" w:name="_Toc63785512"/>
      <w:r>
        <w:rPr>
          <w:rFonts w:hint="eastAsia"/>
        </w:rPr>
        <w:t>技术文件要求</w:t>
      </w:r>
    </w:p>
    <w:p w14:paraId="78330E14">
      <w:pPr>
        <w:rPr>
          <w:rFonts w:hint="eastAsia"/>
        </w:rPr>
      </w:pPr>
      <w:r>
        <w:rPr>
          <w:rFonts w:hint="eastAsia"/>
        </w:rPr>
        <w:t>投标人提供的书面技术资料应能确保系统正常运行所需的管理、运营及维护有关的全套文件。技术文件应该全面、完整、详细。投标人提供的技术文件至少应包括：</w:t>
      </w:r>
    </w:p>
    <w:p w14:paraId="59B01D1C">
      <w:pPr>
        <w:rPr>
          <w:rFonts w:hint="eastAsia"/>
        </w:rPr>
      </w:pPr>
      <w:r>
        <w:rPr>
          <w:rFonts w:hint="eastAsia"/>
        </w:rPr>
        <w:t>－</w:t>
      </w:r>
      <w:r>
        <w:t xml:space="preserve"> 系统说明文件； </w:t>
      </w:r>
    </w:p>
    <w:p w14:paraId="5459A126">
      <w:pPr>
        <w:rPr>
          <w:rFonts w:hint="eastAsia"/>
        </w:rPr>
      </w:pPr>
      <w:r>
        <w:rPr>
          <w:rFonts w:hint="eastAsia"/>
        </w:rPr>
        <w:t>－</w:t>
      </w:r>
      <w:r>
        <w:t xml:space="preserve"> 技术手册(安装、测试、操作、维护、故障排除等)； </w:t>
      </w:r>
    </w:p>
    <w:p w14:paraId="0D8810D0">
      <w:pPr>
        <w:rPr>
          <w:rFonts w:hint="eastAsia"/>
        </w:rPr>
      </w:pPr>
      <w:r>
        <w:rPr>
          <w:rFonts w:hint="eastAsia"/>
        </w:rPr>
        <w:t>－</w:t>
      </w:r>
      <w:r>
        <w:t xml:space="preserve"> 项目文档，应该包括：</w:t>
      </w:r>
    </w:p>
    <w:p w14:paraId="37F9C584">
      <w:pPr>
        <w:ind w:left="360"/>
        <w:rPr>
          <w:rFonts w:hint="eastAsia"/>
        </w:rPr>
      </w:pPr>
      <w:r>
        <w:t>(1)软件需求说明书</w:t>
      </w:r>
    </w:p>
    <w:p w14:paraId="041B3D83">
      <w:pPr>
        <w:ind w:left="360"/>
        <w:rPr>
          <w:rFonts w:hint="eastAsia"/>
        </w:rPr>
      </w:pPr>
      <w:r>
        <w:t>(2)</w:t>
      </w:r>
      <w:r>
        <w:tab/>
      </w:r>
      <w:r>
        <w:t>系统总体设计说明书</w:t>
      </w:r>
    </w:p>
    <w:p w14:paraId="241374ED">
      <w:pPr>
        <w:ind w:left="360"/>
        <w:rPr>
          <w:rFonts w:hint="eastAsia"/>
        </w:rPr>
      </w:pPr>
      <w:r>
        <w:t>(3)</w:t>
      </w:r>
      <w:r>
        <w:tab/>
      </w:r>
      <w:r>
        <w:t>应用软件功能清单</w:t>
      </w:r>
    </w:p>
    <w:p w14:paraId="197973A1">
      <w:r>
        <w:rPr>
          <w:rFonts w:hint="eastAsia"/>
        </w:rPr>
        <w:t>提供全套技术文件纸介质</w:t>
      </w:r>
      <w:r>
        <w:t>3套以及电子文件1套。</w:t>
      </w:r>
    </w:p>
    <w:p w14:paraId="6FB609C8">
      <w:pPr>
        <w:rPr>
          <w:rFonts w:hint="eastAsia"/>
        </w:rPr>
      </w:pPr>
      <w:r>
        <w:rPr>
          <w:rFonts w:hint="eastAsia"/>
        </w:rPr>
        <w:t>承诺知识产权归采购人所有的优先考虑。</w:t>
      </w:r>
    </w:p>
    <w:p w14:paraId="63559E8F">
      <w:pPr>
        <w:pStyle w:val="2"/>
        <w:rPr>
          <w:rFonts w:hint="eastAsia"/>
        </w:rPr>
      </w:pPr>
      <w:r>
        <w:rPr>
          <w:rFonts w:hint="eastAsia"/>
        </w:rPr>
        <w:t>供应商</w:t>
      </w:r>
      <w:r>
        <w:rPr>
          <w:rFonts w:hint="eastAsia"/>
          <w:lang w:eastAsia="zh-CN"/>
        </w:rPr>
        <w:t>能力</w:t>
      </w:r>
      <w:r>
        <w:rPr>
          <w:rFonts w:hint="eastAsia"/>
        </w:rPr>
        <w:t>要求</w:t>
      </w:r>
    </w:p>
    <w:p w14:paraId="4F785B2E">
      <w:pPr>
        <w:rPr>
          <w:rFonts w:hint="eastAsia"/>
        </w:rPr>
      </w:pPr>
      <w:r>
        <w:rPr>
          <w:rFonts w:hint="eastAsia"/>
        </w:rPr>
        <w:t>供应商具有软件企业证书、ISO9001质量管理体系认证证书、ISO20000信息服务管理体系认证证书、ISO27001信息安全管理体系认证证书、CCRC信息安全服务资质认证证书优先考虑。</w:t>
      </w:r>
    </w:p>
    <w:p w14:paraId="574EE1EE">
      <w:pPr>
        <w:pStyle w:val="2"/>
        <w:rPr>
          <w:rFonts w:hint="eastAsia"/>
        </w:rPr>
      </w:pPr>
      <w:r>
        <w:rPr>
          <w:rFonts w:hint="eastAsia"/>
        </w:rPr>
        <w:t>供应商管理要求</w:t>
      </w:r>
      <w:bookmarkEnd w:id="39"/>
    </w:p>
    <w:p w14:paraId="083E48B9">
      <w:pPr>
        <w:pStyle w:val="80"/>
        <w:ind w:firstLine="480"/>
        <w:rPr>
          <w:rFonts w:hint="eastAsia"/>
          <w:sz w:val="24"/>
          <w:szCs w:val="24"/>
        </w:rPr>
      </w:pPr>
      <w:r>
        <w:rPr>
          <w:rFonts w:hint="eastAsia"/>
          <w:sz w:val="24"/>
          <w:szCs w:val="24"/>
        </w:rPr>
        <w:t>1.在项目实施期间，中标人应严格执行国家、地方、行业有关本项目业务管理和安全作业的法律、法规和制度并按规定承担相应的费用。中标人因违反规定等原因造成的一切损失和责任由中标人自行承担。</w:t>
      </w:r>
    </w:p>
    <w:p w14:paraId="58788BD7">
      <w:pPr>
        <w:pStyle w:val="80"/>
        <w:ind w:firstLine="480"/>
        <w:rPr>
          <w:rFonts w:hint="eastAsia"/>
          <w:sz w:val="24"/>
          <w:szCs w:val="24"/>
        </w:rPr>
      </w:pPr>
      <w:r>
        <w:rPr>
          <w:rFonts w:hint="eastAsia"/>
          <w:sz w:val="24"/>
          <w:szCs w:val="24"/>
        </w:rPr>
        <w:t>2.中标人在投标书中承诺并经招标人认定的项目负责人及专业技术人员必须是本单位职工（在本单位缴纳社会保障金）和该项目实施现场的实际操作者，应具有类似本项目的实施经验，并应在软件应用调研、安装、试运行等期间常驻项目现场。未经采购人同意，中标人不得调换或撤离上述人员。如采购人认为有必要，可要求中标人对上述人员中的部分人员作出更好的调整。</w:t>
      </w:r>
    </w:p>
    <w:p w14:paraId="23999E82">
      <w:pPr>
        <w:pStyle w:val="80"/>
        <w:ind w:firstLine="480"/>
        <w:rPr>
          <w:rFonts w:hint="eastAsia"/>
          <w:sz w:val="24"/>
          <w:szCs w:val="24"/>
        </w:rPr>
      </w:pPr>
      <w:r>
        <w:rPr>
          <w:rFonts w:hint="eastAsia"/>
          <w:sz w:val="24"/>
          <w:szCs w:val="24"/>
        </w:rPr>
        <w:t>3.中标人在项目实施期间，应按项目实际进度与环节落实所对应项目整体及各环节管理工作，按照规范做好项目实施期间相关管理与实施记录。</w:t>
      </w:r>
    </w:p>
    <w:p w14:paraId="5762AE2D">
      <w:pPr>
        <w:pStyle w:val="80"/>
        <w:ind w:firstLine="480"/>
        <w:rPr>
          <w:rFonts w:hint="eastAsia"/>
          <w:sz w:val="24"/>
          <w:szCs w:val="24"/>
        </w:rPr>
      </w:pPr>
      <w:r>
        <w:rPr>
          <w:rFonts w:hint="eastAsia"/>
          <w:sz w:val="24"/>
          <w:szCs w:val="24"/>
        </w:rPr>
        <w:t>4.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须得到采购人项目联系人确认。</w:t>
      </w:r>
    </w:p>
    <w:p w14:paraId="7FC0E317">
      <w:pPr>
        <w:pStyle w:val="80"/>
        <w:ind w:firstLine="480"/>
        <w:rPr>
          <w:rFonts w:hint="eastAsia"/>
          <w:sz w:val="24"/>
          <w:szCs w:val="24"/>
        </w:rPr>
      </w:pPr>
      <w:r>
        <w:rPr>
          <w:rFonts w:hint="eastAsia"/>
          <w:sz w:val="24"/>
          <w:szCs w:val="24"/>
        </w:rPr>
        <w:t>5.中标人在项目实施期间必须遵守采购人的规章制度并提供实施人员名单。</w:t>
      </w:r>
    </w:p>
    <w:p w14:paraId="25D4D508">
      <w:pPr>
        <w:pStyle w:val="80"/>
        <w:ind w:firstLine="480"/>
        <w:rPr>
          <w:rFonts w:hint="eastAsia"/>
          <w:sz w:val="24"/>
          <w:szCs w:val="24"/>
        </w:rPr>
      </w:pPr>
      <w:r>
        <w:rPr>
          <w:rFonts w:hint="eastAsia"/>
          <w:sz w:val="24"/>
          <w:szCs w:val="24"/>
        </w:rPr>
        <w:t>6.各投标人在投标文件中要结合本项目的特点和采购人上述的具体要求制定相应的管理措施，并在报价中列支相应的费用清单，投标人报价中未列支上述费用清单的，上述费用视为已包含在投标人的投标总报价中。</w:t>
      </w:r>
    </w:p>
    <w:p w14:paraId="70FD4821">
      <w:pPr>
        <w:pStyle w:val="80"/>
        <w:ind w:firstLine="480"/>
        <w:rPr>
          <w:rFonts w:hint="eastAsia"/>
          <w:sz w:val="24"/>
          <w:szCs w:val="24"/>
        </w:rPr>
      </w:pPr>
      <w:r>
        <w:rPr>
          <w:rFonts w:hint="eastAsia"/>
          <w:sz w:val="24"/>
          <w:szCs w:val="24"/>
        </w:rPr>
        <w:t>7.本项目软件开发及调试将纳入采购人的管理范围，中标人在此过程中须服从上述单位的管理协调。</w:t>
      </w:r>
    </w:p>
    <w:p w14:paraId="646EF394">
      <w:pPr>
        <w:ind w:firstLine="0" w:firstLineChars="0"/>
        <w:jc w:val="left"/>
        <w:rPr>
          <w:rFonts w:hint="eastAsia"/>
          <w:b/>
          <w:bCs/>
        </w:rPr>
      </w:pPr>
    </w:p>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Arial Unicode MS">
    <w:altName w:val="DejaVu Sans"/>
    <w:panose1 w:val="020B0604020202020204"/>
    <w:charset w:val="86"/>
    <w:family w:val="swiss"/>
    <w:pitch w:val="default"/>
    <w:sig w:usb0="00000000" w:usb1="00000000" w:usb2="0000003F" w:usb3="00000000" w:csb0="003F01FF" w:csb1="00000000"/>
  </w:font>
  <w:font w:name="等线 Light">
    <w:altName w:val="汉仪中宋简"/>
    <w:panose1 w:val="02010600030101010101"/>
    <w:charset w:val="86"/>
    <w:family w:val="auto"/>
    <w:pitch w:val="default"/>
    <w:sig w:usb0="00000000" w:usb1="00000000" w:usb2="00000016" w:usb3="00000000" w:csb0="0004000F" w:csb1="00000000"/>
  </w:font>
  <w:font w:name="ti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Microsoft Sans Serif">
    <w:altName w:val="Liberation Sans"/>
    <w:panose1 w:val="020B0604020202020204"/>
    <w:charset w:val="00"/>
    <w:family w:val="swiss"/>
    <w:pitch w:val="default"/>
    <w:sig w:usb0="00000000" w:usb1="00000000" w:usb2="00000029" w:usb3="00000000" w:csb0="000101FF" w:csb1="0000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A66F6">
    <w:pPr>
      <w:ind w:firstLine="0" w:firstLineChars="0"/>
      <w:jc w:val="center"/>
      <w:rPr>
        <w:rFonts w:hint="eastAsia"/>
      </w:rPr>
    </w:pPr>
    <w:r>
      <w:fldChar w:fldCharType="begin"/>
    </w:r>
    <w:r>
      <w:instrText xml:space="preserve">PAGE   \* MERGEFORMAT</w:instrText>
    </w:r>
    <w:r>
      <w:fldChar w:fldCharType="separate"/>
    </w:r>
    <w:r>
      <w:rPr>
        <w:lang w:val="zh-CN"/>
      </w:rPr>
      <w:t>20</w:t>
    </w:r>
    <w:r>
      <w:rPr>
        <w:lang w:val="zh-CN"/>
      </w:rPr>
      <w:fldChar w:fldCharType="end"/>
    </w:r>
  </w:p>
  <w:p w14:paraId="766CA030">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6DA0D">
    <w:pPr>
      <w:rPr>
        <w:rFonts w:hint="eastAsia"/>
      </w:rPr>
    </w:pPr>
  </w:p>
  <w:p w14:paraId="68F808D3">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A09D6">
    <w:pPr>
      <w:ind w:firstLine="0" w:firstLineChars="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861E7">
    <w:pPr>
      <w:ind w:firstLine="0" w:firstLineChars="0"/>
      <w:jc w:val="center"/>
      <w:rPr>
        <w:rFonts w:hint="eastAsia"/>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6790B1A5">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16032">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164C4">
    <w:pPr>
      <w:rPr>
        <w:rFonts w:hint="eastAsia"/>
      </w:rPr>
    </w:pPr>
  </w:p>
  <w:p w14:paraId="3FF38DF1">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E2E7F">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01455"/>
    <w:multiLevelType w:val="multilevel"/>
    <w:tmpl w:val="04001455"/>
    <w:lvl w:ilvl="0" w:tentative="0">
      <w:start w:val="1"/>
      <w:numFmt w:val="chineseCountingThousand"/>
      <w:lvlText w:val="第%1章"/>
      <w:lvlJc w:val="left"/>
      <w:pPr>
        <w:ind w:left="432" w:hanging="432"/>
      </w:pPr>
      <w:rPr>
        <w:rFonts w:hint="eastAsia"/>
      </w:rPr>
    </w:lvl>
    <w:lvl w:ilvl="1" w:tentative="0">
      <w:start w:val="1"/>
      <w:numFmt w:val="decimal"/>
      <w:isLgl/>
      <w:lvlText w:val="%1.%2"/>
      <w:lvlJc w:val="left"/>
      <w:pPr>
        <w:ind w:left="576" w:hanging="576"/>
      </w:pPr>
      <w:rPr>
        <w:rFonts w:hint="eastAsia"/>
      </w:rPr>
    </w:lvl>
    <w:lvl w:ilvl="2" w:tentative="0">
      <w:start w:val="1"/>
      <w:numFmt w:val="decimal"/>
      <w:isLgl/>
      <w:lvlText w:val="%1.%2.%3"/>
      <w:lvlJc w:val="left"/>
      <w:pPr>
        <w:ind w:left="1287" w:hanging="720"/>
      </w:pPr>
      <w:rPr>
        <w:rFonts w:hint="eastAsia"/>
      </w:rPr>
    </w:lvl>
    <w:lvl w:ilvl="3" w:tentative="0">
      <w:start w:val="1"/>
      <w:numFmt w:val="decimal"/>
      <w:isLgl/>
      <w:lvlText w:val="%1.%2.%3.%4"/>
      <w:lvlJc w:val="left"/>
      <w:pPr>
        <w:ind w:left="1572" w:hanging="864"/>
      </w:pPr>
      <w:rPr>
        <w:rFonts w:hint="eastAsia"/>
      </w:rPr>
    </w:lvl>
    <w:lvl w:ilvl="4" w:tentative="0">
      <w:start w:val="1"/>
      <w:numFmt w:val="decimal"/>
      <w:pStyle w:val="136"/>
      <w:isLgl/>
      <w:lvlText w:val="%1.%2.%3.%4.%5"/>
      <w:lvlJc w:val="left"/>
      <w:pPr>
        <w:ind w:left="1008" w:hanging="1008"/>
      </w:pPr>
      <w:rPr>
        <w:rFonts w:hint="eastAsia"/>
      </w:rPr>
    </w:lvl>
    <w:lvl w:ilvl="5" w:tentative="0">
      <w:start w:val="1"/>
      <w:numFmt w:val="decimal"/>
      <w:isLgl/>
      <w:lvlText w:val="%1.%2.%3.%4.%5.%6"/>
      <w:lvlJc w:val="left"/>
      <w:pPr>
        <w:ind w:left="4554" w:hanging="1152"/>
      </w:pPr>
      <w:rPr>
        <w:rFonts w:hint="eastAsia"/>
      </w:rPr>
    </w:lvl>
    <w:lvl w:ilvl="6" w:tentative="0">
      <w:start w:val="1"/>
      <w:numFmt w:val="decimal"/>
      <w:isLgl/>
      <w:lvlText w:val="%1.%2.%3.%4.%5.%6.%7"/>
      <w:lvlJc w:val="left"/>
      <w:pPr>
        <w:ind w:left="2004"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1">
    <w:nsid w:val="6350366A"/>
    <w:multiLevelType w:val="multilevel"/>
    <w:tmpl w:val="6350366A"/>
    <w:lvl w:ilvl="0" w:tentative="0">
      <w:start w:val="1"/>
      <w:numFmt w:val="none"/>
      <w:pStyle w:val="11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3">
    <w:nsid w:val="6F15F57C"/>
    <w:multiLevelType w:val="singleLevel"/>
    <w:tmpl w:val="6F15F57C"/>
    <w:lvl w:ilvl="0" w:tentative="0">
      <w:start w:val="1"/>
      <w:numFmt w:val="decimal"/>
      <w:lvlText w:val="%1."/>
      <w:lvlJc w:val="left"/>
      <w:pPr>
        <w:tabs>
          <w:tab w:val="left" w:pos="312"/>
        </w:tabs>
      </w:pPr>
    </w:lvl>
  </w:abstractNum>
  <w:abstractNum w:abstractNumId="4">
    <w:nsid w:val="70610D89"/>
    <w:multiLevelType w:val="multilevel"/>
    <w:tmpl w:val="70610D89"/>
    <w:lvl w:ilvl="0" w:tentative="0">
      <w:start w:val="1"/>
      <w:numFmt w:val="decimal"/>
      <w:lvlText w:val="（%1）"/>
      <w:lvlJc w:val="left"/>
      <w:pPr>
        <w:ind w:left="1200" w:hanging="72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RlMTcyOTAwYTViNTYwMjdjZjIwZGJjMjgwNTJmOGUifQ=="/>
  </w:docVars>
  <w:rsids>
    <w:rsidRoot w:val="006910C0"/>
    <w:rsid w:val="0000005A"/>
    <w:rsid w:val="00000AED"/>
    <w:rsid w:val="00003516"/>
    <w:rsid w:val="0000380E"/>
    <w:rsid w:val="00005AFD"/>
    <w:rsid w:val="00006563"/>
    <w:rsid w:val="000074F1"/>
    <w:rsid w:val="00007A41"/>
    <w:rsid w:val="00007DA7"/>
    <w:rsid w:val="00010660"/>
    <w:rsid w:val="00012EF0"/>
    <w:rsid w:val="000156DE"/>
    <w:rsid w:val="000165AD"/>
    <w:rsid w:val="000179E9"/>
    <w:rsid w:val="00020C18"/>
    <w:rsid w:val="00021EE6"/>
    <w:rsid w:val="0002280E"/>
    <w:rsid w:val="00022C74"/>
    <w:rsid w:val="00025122"/>
    <w:rsid w:val="000252D5"/>
    <w:rsid w:val="00026997"/>
    <w:rsid w:val="00027A64"/>
    <w:rsid w:val="00032D27"/>
    <w:rsid w:val="00035325"/>
    <w:rsid w:val="00035D5B"/>
    <w:rsid w:val="000378D0"/>
    <w:rsid w:val="00037F2C"/>
    <w:rsid w:val="00042C2A"/>
    <w:rsid w:val="000430EC"/>
    <w:rsid w:val="000447CB"/>
    <w:rsid w:val="00047915"/>
    <w:rsid w:val="00047D06"/>
    <w:rsid w:val="00050FBD"/>
    <w:rsid w:val="0005107A"/>
    <w:rsid w:val="0005192C"/>
    <w:rsid w:val="00052929"/>
    <w:rsid w:val="0005299F"/>
    <w:rsid w:val="000541D7"/>
    <w:rsid w:val="000545C0"/>
    <w:rsid w:val="0005586D"/>
    <w:rsid w:val="00056C0E"/>
    <w:rsid w:val="000574A8"/>
    <w:rsid w:val="000574F8"/>
    <w:rsid w:val="00057A49"/>
    <w:rsid w:val="0006231F"/>
    <w:rsid w:val="00062A05"/>
    <w:rsid w:val="00062EE6"/>
    <w:rsid w:val="0006344E"/>
    <w:rsid w:val="000649E6"/>
    <w:rsid w:val="0006794B"/>
    <w:rsid w:val="00067DCA"/>
    <w:rsid w:val="00070063"/>
    <w:rsid w:val="0007087A"/>
    <w:rsid w:val="000710EC"/>
    <w:rsid w:val="00072237"/>
    <w:rsid w:val="00072ABE"/>
    <w:rsid w:val="0007577A"/>
    <w:rsid w:val="00080B39"/>
    <w:rsid w:val="0008307B"/>
    <w:rsid w:val="00083950"/>
    <w:rsid w:val="0008452F"/>
    <w:rsid w:val="00084E8E"/>
    <w:rsid w:val="00085A68"/>
    <w:rsid w:val="00090625"/>
    <w:rsid w:val="00090948"/>
    <w:rsid w:val="00091CD1"/>
    <w:rsid w:val="0009460E"/>
    <w:rsid w:val="000951D4"/>
    <w:rsid w:val="000A2146"/>
    <w:rsid w:val="000A2930"/>
    <w:rsid w:val="000A3276"/>
    <w:rsid w:val="000A3C35"/>
    <w:rsid w:val="000A3E30"/>
    <w:rsid w:val="000A5876"/>
    <w:rsid w:val="000A61D0"/>
    <w:rsid w:val="000A6C67"/>
    <w:rsid w:val="000A6DB8"/>
    <w:rsid w:val="000A7596"/>
    <w:rsid w:val="000B11A8"/>
    <w:rsid w:val="000B1959"/>
    <w:rsid w:val="000B2E1C"/>
    <w:rsid w:val="000B3BAE"/>
    <w:rsid w:val="000B4459"/>
    <w:rsid w:val="000B4B46"/>
    <w:rsid w:val="000B503E"/>
    <w:rsid w:val="000B5363"/>
    <w:rsid w:val="000B53BA"/>
    <w:rsid w:val="000B642F"/>
    <w:rsid w:val="000B6C99"/>
    <w:rsid w:val="000C2EA0"/>
    <w:rsid w:val="000C3F3C"/>
    <w:rsid w:val="000C5A75"/>
    <w:rsid w:val="000C75F7"/>
    <w:rsid w:val="000D0AB2"/>
    <w:rsid w:val="000D225C"/>
    <w:rsid w:val="000D36F2"/>
    <w:rsid w:val="000D4B26"/>
    <w:rsid w:val="000D74DB"/>
    <w:rsid w:val="000E24D6"/>
    <w:rsid w:val="000E6072"/>
    <w:rsid w:val="000E6D61"/>
    <w:rsid w:val="000E7A23"/>
    <w:rsid w:val="000F1C29"/>
    <w:rsid w:val="000F1E9E"/>
    <w:rsid w:val="000F2B10"/>
    <w:rsid w:val="000F3F72"/>
    <w:rsid w:val="001055B2"/>
    <w:rsid w:val="001068F0"/>
    <w:rsid w:val="00106AB8"/>
    <w:rsid w:val="00106C9E"/>
    <w:rsid w:val="00106E16"/>
    <w:rsid w:val="0010768B"/>
    <w:rsid w:val="00111701"/>
    <w:rsid w:val="00112A29"/>
    <w:rsid w:val="001167F6"/>
    <w:rsid w:val="00116C86"/>
    <w:rsid w:val="00121ACF"/>
    <w:rsid w:val="00121D8F"/>
    <w:rsid w:val="00122037"/>
    <w:rsid w:val="0012210C"/>
    <w:rsid w:val="00122A7F"/>
    <w:rsid w:val="00123F98"/>
    <w:rsid w:val="001242A5"/>
    <w:rsid w:val="00124531"/>
    <w:rsid w:val="00125DA5"/>
    <w:rsid w:val="00126EDF"/>
    <w:rsid w:val="00127BBE"/>
    <w:rsid w:val="00131D52"/>
    <w:rsid w:val="001329C1"/>
    <w:rsid w:val="00132C16"/>
    <w:rsid w:val="00136320"/>
    <w:rsid w:val="00136FFA"/>
    <w:rsid w:val="00137AC6"/>
    <w:rsid w:val="00145512"/>
    <w:rsid w:val="001465BD"/>
    <w:rsid w:val="00147B45"/>
    <w:rsid w:val="00150803"/>
    <w:rsid w:val="00151D83"/>
    <w:rsid w:val="001546C9"/>
    <w:rsid w:val="00154FAE"/>
    <w:rsid w:val="00155E77"/>
    <w:rsid w:val="00156A70"/>
    <w:rsid w:val="00160A61"/>
    <w:rsid w:val="00160FC0"/>
    <w:rsid w:val="0016429B"/>
    <w:rsid w:val="00164525"/>
    <w:rsid w:val="00164C50"/>
    <w:rsid w:val="00165CB2"/>
    <w:rsid w:val="00166203"/>
    <w:rsid w:val="00166767"/>
    <w:rsid w:val="001707CB"/>
    <w:rsid w:val="00171477"/>
    <w:rsid w:val="00172A1A"/>
    <w:rsid w:val="00173251"/>
    <w:rsid w:val="00176BED"/>
    <w:rsid w:val="0017759D"/>
    <w:rsid w:val="001804A5"/>
    <w:rsid w:val="00181C94"/>
    <w:rsid w:val="00182C84"/>
    <w:rsid w:val="00182E9D"/>
    <w:rsid w:val="00187031"/>
    <w:rsid w:val="00191EA4"/>
    <w:rsid w:val="00192B6C"/>
    <w:rsid w:val="00192C30"/>
    <w:rsid w:val="0019381E"/>
    <w:rsid w:val="00194CF5"/>
    <w:rsid w:val="0019503C"/>
    <w:rsid w:val="00195D94"/>
    <w:rsid w:val="00196F7B"/>
    <w:rsid w:val="001971CB"/>
    <w:rsid w:val="0019795C"/>
    <w:rsid w:val="001A053A"/>
    <w:rsid w:val="001A22A2"/>
    <w:rsid w:val="001A2971"/>
    <w:rsid w:val="001A3D52"/>
    <w:rsid w:val="001A460A"/>
    <w:rsid w:val="001A4A4C"/>
    <w:rsid w:val="001B0230"/>
    <w:rsid w:val="001B13AB"/>
    <w:rsid w:val="001B3907"/>
    <w:rsid w:val="001B3B49"/>
    <w:rsid w:val="001B4907"/>
    <w:rsid w:val="001B4DC5"/>
    <w:rsid w:val="001B5505"/>
    <w:rsid w:val="001B7E3B"/>
    <w:rsid w:val="001C2180"/>
    <w:rsid w:val="001C29CC"/>
    <w:rsid w:val="001C3217"/>
    <w:rsid w:val="001C3B98"/>
    <w:rsid w:val="001C6028"/>
    <w:rsid w:val="001C6365"/>
    <w:rsid w:val="001C7F57"/>
    <w:rsid w:val="001D0E79"/>
    <w:rsid w:val="001D6049"/>
    <w:rsid w:val="001D7339"/>
    <w:rsid w:val="001E2750"/>
    <w:rsid w:val="001E4343"/>
    <w:rsid w:val="001E52BB"/>
    <w:rsid w:val="001E660A"/>
    <w:rsid w:val="001F05D6"/>
    <w:rsid w:val="001F5B0A"/>
    <w:rsid w:val="001F640F"/>
    <w:rsid w:val="001F6794"/>
    <w:rsid w:val="001F6F65"/>
    <w:rsid w:val="002002DF"/>
    <w:rsid w:val="00201D02"/>
    <w:rsid w:val="00203A6F"/>
    <w:rsid w:val="00205646"/>
    <w:rsid w:val="002063F7"/>
    <w:rsid w:val="002129E5"/>
    <w:rsid w:val="00212AA4"/>
    <w:rsid w:val="00212E13"/>
    <w:rsid w:val="002163C8"/>
    <w:rsid w:val="002179FE"/>
    <w:rsid w:val="00220CC0"/>
    <w:rsid w:val="00221A36"/>
    <w:rsid w:val="00223296"/>
    <w:rsid w:val="0022329B"/>
    <w:rsid w:val="002240F7"/>
    <w:rsid w:val="0022486F"/>
    <w:rsid w:val="00225314"/>
    <w:rsid w:val="00225DF4"/>
    <w:rsid w:val="00226C70"/>
    <w:rsid w:val="00230C8A"/>
    <w:rsid w:val="00231F98"/>
    <w:rsid w:val="002324F8"/>
    <w:rsid w:val="002348B0"/>
    <w:rsid w:val="00235CDC"/>
    <w:rsid w:val="00237E76"/>
    <w:rsid w:val="00240BBE"/>
    <w:rsid w:val="00241525"/>
    <w:rsid w:val="00241D87"/>
    <w:rsid w:val="00243C55"/>
    <w:rsid w:val="00243D5E"/>
    <w:rsid w:val="002451EC"/>
    <w:rsid w:val="00245ED4"/>
    <w:rsid w:val="00246B41"/>
    <w:rsid w:val="0025002B"/>
    <w:rsid w:val="002500DE"/>
    <w:rsid w:val="00252457"/>
    <w:rsid w:val="00252581"/>
    <w:rsid w:val="002535B5"/>
    <w:rsid w:val="002538CB"/>
    <w:rsid w:val="002542BD"/>
    <w:rsid w:val="0025774E"/>
    <w:rsid w:val="00257D64"/>
    <w:rsid w:val="0026340A"/>
    <w:rsid w:val="00264A4D"/>
    <w:rsid w:val="002654EA"/>
    <w:rsid w:val="002704EA"/>
    <w:rsid w:val="0027061A"/>
    <w:rsid w:val="002719CC"/>
    <w:rsid w:val="002730C5"/>
    <w:rsid w:val="0027337C"/>
    <w:rsid w:val="0027602B"/>
    <w:rsid w:val="00277F5E"/>
    <w:rsid w:val="00280084"/>
    <w:rsid w:val="00280490"/>
    <w:rsid w:val="002860B8"/>
    <w:rsid w:val="0029206E"/>
    <w:rsid w:val="00293382"/>
    <w:rsid w:val="00294F51"/>
    <w:rsid w:val="002A2342"/>
    <w:rsid w:val="002A279E"/>
    <w:rsid w:val="002A4FA3"/>
    <w:rsid w:val="002B3606"/>
    <w:rsid w:val="002B3D80"/>
    <w:rsid w:val="002B4402"/>
    <w:rsid w:val="002B4946"/>
    <w:rsid w:val="002B4C41"/>
    <w:rsid w:val="002B588D"/>
    <w:rsid w:val="002C1839"/>
    <w:rsid w:val="002C214A"/>
    <w:rsid w:val="002C28E8"/>
    <w:rsid w:val="002C3027"/>
    <w:rsid w:val="002C674D"/>
    <w:rsid w:val="002C7648"/>
    <w:rsid w:val="002C7DC4"/>
    <w:rsid w:val="002D0821"/>
    <w:rsid w:val="002D1929"/>
    <w:rsid w:val="002D1B73"/>
    <w:rsid w:val="002D3CB0"/>
    <w:rsid w:val="002D4800"/>
    <w:rsid w:val="002D5B21"/>
    <w:rsid w:val="002D6F6D"/>
    <w:rsid w:val="002E1FE6"/>
    <w:rsid w:val="002E2EA7"/>
    <w:rsid w:val="002E36D2"/>
    <w:rsid w:val="002E748B"/>
    <w:rsid w:val="002F2002"/>
    <w:rsid w:val="002F335D"/>
    <w:rsid w:val="002F4E32"/>
    <w:rsid w:val="002F503F"/>
    <w:rsid w:val="002F51DD"/>
    <w:rsid w:val="002F5D08"/>
    <w:rsid w:val="002F6895"/>
    <w:rsid w:val="002F6D13"/>
    <w:rsid w:val="003038D3"/>
    <w:rsid w:val="003049C7"/>
    <w:rsid w:val="00305F0E"/>
    <w:rsid w:val="0030667A"/>
    <w:rsid w:val="003106DE"/>
    <w:rsid w:val="00311530"/>
    <w:rsid w:val="00312D31"/>
    <w:rsid w:val="00315216"/>
    <w:rsid w:val="0031691C"/>
    <w:rsid w:val="00317AEF"/>
    <w:rsid w:val="00317F49"/>
    <w:rsid w:val="0032089B"/>
    <w:rsid w:val="00323450"/>
    <w:rsid w:val="00323D93"/>
    <w:rsid w:val="0032489B"/>
    <w:rsid w:val="0032525B"/>
    <w:rsid w:val="00326A7A"/>
    <w:rsid w:val="00326FEE"/>
    <w:rsid w:val="003315D7"/>
    <w:rsid w:val="00334DE6"/>
    <w:rsid w:val="0033536D"/>
    <w:rsid w:val="003353FF"/>
    <w:rsid w:val="0033600F"/>
    <w:rsid w:val="003366D2"/>
    <w:rsid w:val="00337C79"/>
    <w:rsid w:val="00337FEF"/>
    <w:rsid w:val="0034084C"/>
    <w:rsid w:val="00340D5E"/>
    <w:rsid w:val="003420B5"/>
    <w:rsid w:val="00343646"/>
    <w:rsid w:val="00344CCB"/>
    <w:rsid w:val="00345897"/>
    <w:rsid w:val="0035134D"/>
    <w:rsid w:val="00351BFC"/>
    <w:rsid w:val="0035575E"/>
    <w:rsid w:val="003565B4"/>
    <w:rsid w:val="00362E75"/>
    <w:rsid w:val="003631AA"/>
    <w:rsid w:val="003632D5"/>
    <w:rsid w:val="00363575"/>
    <w:rsid w:val="00364EF9"/>
    <w:rsid w:val="00367579"/>
    <w:rsid w:val="0036795B"/>
    <w:rsid w:val="00370A29"/>
    <w:rsid w:val="003722F9"/>
    <w:rsid w:val="00372349"/>
    <w:rsid w:val="00372CBC"/>
    <w:rsid w:val="00373A61"/>
    <w:rsid w:val="00374BDE"/>
    <w:rsid w:val="00376B39"/>
    <w:rsid w:val="003772C0"/>
    <w:rsid w:val="00377BAC"/>
    <w:rsid w:val="00380142"/>
    <w:rsid w:val="00380558"/>
    <w:rsid w:val="00381D3C"/>
    <w:rsid w:val="0038223E"/>
    <w:rsid w:val="00382D92"/>
    <w:rsid w:val="00385AEF"/>
    <w:rsid w:val="003860EA"/>
    <w:rsid w:val="0038781A"/>
    <w:rsid w:val="0039080B"/>
    <w:rsid w:val="0039326E"/>
    <w:rsid w:val="00394E22"/>
    <w:rsid w:val="003967A4"/>
    <w:rsid w:val="00397FA3"/>
    <w:rsid w:val="003A1596"/>
    <w:rsid w:val="003A317E"/>
    <w:rsid w:val="003A345B"/>
    <w:rsid w:val="003A49EE"/>
    <w:rsid w:val="003A674D"/>
    <w:rsid w:val="003A7123"/>
    <w:rsid w:val="003B102E"/>
    <w:rsid w:val="003B2167"/>
    <w:rsid w:val="003B27FD"/>
    <w:rsid w:val="003B5F5D"/>
    <w:rsid w:val="003B62C8"/>
    <w:rsid w:val="003C0C62"/>
    <w:rsid w:val="003C12DC"/>
    <w:rsid w:val="003C2CDA"/>
    <w:rsid w:val="003D000A"/>
    <w:rsid w:val="003D31E9"/>
    <w:rsid w:val="003D544E"/>
    <w:rsid w:val="003D5980"/>
    <w:rsid w:val="003E0842"/>
    <w:rsid w:val="003E13B0"/>
    <w:rsid w:val="003E2580"/>
    <w:rsid w:val="003E3DEE"/>
    <w:rsid w:val="003E3EBB"/>
    <w:rsid w:val="003E4A4C"/>
    <w:rsid w:val="003E4CBA"/>
    <w:rsid w:val="003E4D2F"/>
    <w:rsid w:val="003E4EDC"/>
    <w:rsid w:val="003E599D"/>
    <w:rsid w:val="003E5C81"/>
    <w:rsid w:val="003E6965"/>
    <w:rsid w:val="003F00E8"/>
    <w:rsid w:val="003F1936"/>
    <w:rsid w:val="003F1BDD"/>
    <w:rsid w:val="003F3BA3"/>
    <w:rsid w:val="003F3BD5"/>
    <w:rsid w:val="003F400E"/>
    <w:rsid w:val="003F6F35"/>
    <w:rsid w:val="003F7768"/>
    <w:rsid w:val="00400E8C"/>
    <w:rsid w:val="004017DC"/>
    <w:rsid w:val="00401B53"/>
    <w:rsid w:val="00402668"/>
    <w:rsid w:val="00404FEC"/>
    <w:rsid w:val="0040534D"/>
    <w:rsid w:val="00405FAD"/>
    <w:rsid w:val="004117AB"/>
    <w:rsid w:val="00412B2F"/>
    <w:rsid w:val="00415281"/>
    <w:rsid w:val="00415716"/>
    <w:rsid w:val="0041604D"/>
    <w:rsid w:val="00417842"/>
    <w:rsid w:val="00417A6E"/>
    <w:rsid w:val="0042285D"/>
    <w:rsid w:val="00427D2B"/>
    <w:rsid w:val="00430B13"/>
    <w:rsid w:val="00430CE5"/>
    <w:rsid w:val="0043153C"/>
    <w:rsid w:val="00431D0F"/>
    <w:rsid w:val="0043481C"/>
    <w:rsid w:val="004431D7"/>
    <w:rsid w:val="00444307"/>
    <w:rsid w:val="0044436F"/>
    <w:rsid w:val="004443EB"/>
    <w:rsid w:val="00444432"/>
    <w:rsid w:val="00444673"/>
    <w:rsid w:val="0044621E"/>
    <w:rsid w:val="00447BF1"/>
    <w:rsid w:val="00450BA4"/>
    <w:rsid w:val="004511FC"/>
    <w:rsid w:val="00456784"/>
    <w:rsid w:val="00456DCA"/>
    <w:rsid w:val="00461140"/>
    <w:rsid w:val="004611DB"/>
    <w:rsid w:val="004658B0"/>
    <w:rsid w:val="0046614B"/>
    <w:rsid w:val="00467FD7"/>
    <w:rsid w:val="00470073"/>
    <w:rsid w:val="004730F8"/>
    <w:rsid w:val="00474353"/>
    <w:rsid w:val="00474555"/>
    <w:rsid w:val="004750F4"/>
    <w:rsid w:val="00476CB1"/>
    <w:rsid w:val="00477E5B"/>
    <w:rsid w:val="00480A48"/>
    <w:rsid w:val="00482501"/>
    <w:rsid w:val="00482E7D"/>
    <w:rsid w:val="00484395"/>
    <w:rsid w:val="004865FB"/>
    <w:rsid w:val="00486C03"/>
    <w:rsid w:val="00491AB3"/>
    <w:rsid w:val="00497A33"/>
    <w:rsid w:val="004A1112"/>
    <w:rsid w:val="004A1DA0"/>
    <w:rsid w:val="004A1F20"/>
    <w:rsid w:val="004A2393"/>
    <w:rsid w:val="004A3569"/>
    <w:rsid w:val="004A452A"/>
    <w:rsid w:val="004A5F2C"/>
    <w:rsid w:val="004A6E4F"/>
    <w:rsid w:val="004A720D"/>
    <w:rsid w:val="004B00D0"/>
    <w:rsid w:val="004B6084"/>
    <w:rsid w:val="004B7AE0"/>
    <w:rsid w:val="004C0BC4"/>
    <w:rsid w:val="004C260D"/>
    <w:rsid w:val="004C2D47"/>
    <w:rsid w:val="004C4357"/>
    <w:rsid w:val="004C4477"/>
    <w:rsid w:val="004C5730"/>
    <w:rsid w:val="004C6397"/>
    <w:rsid w:val="004C668F"/>
    <w:rsid w:val="004C682B"/>
    <w:rsid w:val="004D142C"/>
    <w:rsid w:val="004D29F7"/>
    <w:rsid w:val="004D35FF"/>
    <w:rsid w:val="004D36D8"/>
    <w:rsid w:val="004D4C5C"/>
    <w:rsid w:val="004D5AB0"/>
    <w:rsid w:val="004D5EAE"/>
    <w:rsid w:val="004D7A0E"/>
    <w:rsid w:val="004E06E7"/>
    <w:rsid w:val="004E0AE3"/>
    <w:rsid w:val="004E20D3"/>
    <w:rsid w:val="004E2C82"/>
    <w:rsid w:val="004E4FAE"/>
    <w:rsid w:val="004E62C7"/>
    <w:rsid w:val="004E68FF"/>
    <w:rsid w:val="004E7A1B"/>
    <w:rsid w:val="004F0B7F"/>
    <w:rsid w:val="004F1193"/>
    <w:rsid w:val="004F11DC"/>
    <w:rsid w:val="004F2124"/>
    <w:rsid w:val="004F271B"/>
    <w:rsid w:val="004F3A52"/>
    <w:rsid w:val="004F449F"/>
    <w:rsid w:val="004F4E7E"/>
    <w:rsid w:val="004F4F0B"/>
    <w:rsid w:val="004F63AB"/>
    <w:rsid w:val="004F68EB"/>
    <w:rsid w:val="004F6B76"/>
    <w:rsid w:val="004F6C7C"/>
    <w:rsid w:val="004F7F1A"/>
    <w:rsid w:val="004F7FBB"/>
    <w:rsid w:val="005042B3"/>
    <w:rsid w:val="005045AB"/>
    <w:rsid w:val="00507D43"/>
    <w:rsid w:val="005103F2"/>
    <w:rsid w:val="00510E2C"/>
    <w:rsid w:val="00511FDC"/>
    <w:rsid w:val="005124C6"/>
    <w:rsid w:val="00513EBC"/>
    <w:rsid w:val="00514CE1"/>
    <w:rsid w:val="00517155"/>
    <w:rsid w:val="00517DB3"/>
    <w:rsid w:val="005200DC"/>
    <w:rsid w:val="005200F2"/>
    <w:rsid w:val="0052369D"/>
    <w:rsid w:val="005271DB"/>
    <w:rsid w:val="00530D2F"/>
    <w:rsid w:val="0053487C"/>
    <w:rsid w:val="005356E1"/>
    <w:rsid w:val="00536A8B"/>
    <w:rsid w:val="00540418"/>
    <w:rsid w:val="00541A96"/>
    <w:rsid w:val="00541C6A"/>
    <w:rsid w:val="00542C54"/>
    <w:rsid w:val="00546A43"/>
    <w:rsid w:val="00546C70"/>
    <w:rsid w:val="00547258"/>
    <w:rsid w:val="00550CF0"/>
    <w:rsid w:val="005559FE"/>
    <w:rsid w:val="005560D6"/>
    <w:rsid w:val="00556D07"/>
    <w:rsid w:val="005611F2"/>
    <w:rsid w:val="00561734"/>
    <w:rsid w:val="00561952"/>
    <w:rsid w:val="005633D7"/>
    <w:rsid w:val="00564B9A"/>
    <w:rsid w:val="00565694"/>
    <w:rsid w:val="00566DD6"/>
    <w:rsid w:val="005714EF"/>
    <w:rsid w:val="00571CEC"/>
    <w:rsid w:val="00572FCE"/>
    <w:rsid w:val="005750DB"/>
    <w:rsid w:val="005759FC"/>
    <w:rsid w:val="00575B85"/>
    <w:rsid w:val="00576DB9"/>
    <w:rsid w:val="0057738F"/>
    <w:rsid w:val="005805E4"/>
    <w:rsid w:val="0058202F"/>
    <w:rsid w:val="00584221"/>
    <w:rsid w:val="00584EB6"/>
    <w:rsid w:val="00586B68"/>
    <w:rsid w:val="0058774E"/>
    <w:rsid w:val="005878CF"/>
    <w:rsid w:val="0059085B"/>
    <w:rsid w:val="00590CA0"/>
    <w:rsid w:val="005931A4"/>
    <w:rsid w:val="00595B01"/>
    <w:rsid w:val="00596D98"/>
    <w:rsid w:val="005979A5"/>
    <w:rsid w:val="005A0021"/>
    <w:rsid w:val="005A017B"/>
    <w:rsid w:val="005A2AEC"/>
    <w:rsid w:val="005A412D"/>
    <w:rsid w:val="005A5212"/>
    <w:rsid w:val="005B002D"/>
    <w:rsid w:val="005B0FFF"/>
    <w:rsid w:val="005B19AF"/>
    <w:rsid w:val="005B258C"/>
    <w:rsid w:val="005B61DD"/>
    <w:rsid w:val="005B6735"/>
    <w:rsid w:val="005B7831"/>
    <w:rsid w:val="005C0CD6"/>
    <w:rsid w:val="005C12D9"/>
    <w:rsid w:val="005C2146"/>
    <w:rsid w:val="005C309D"/>
    <w:rsid w:val="005C544B"/>
    <w:rsid w:val="005C5916"/>
    <w:rsid w:val="005C5AEE"/>
    <w:rsid w:val="005C774A"/>
    <w:rsid w:val="005D3734"/>
    <w:rsid w:val="005D4F16"/>
    <w:rsid w:val="005D5A53"/>
    <w:rsid w:val="005D5DA0"/>
    <w:rsid w:val="005D7FBD"/>
    <w:rsid w:val="005E19B4"/>
    <w:rsid w:val="005E1D6B"/>
    <w:rsid w:val="005E227A"/>
    <w:rsid w:val="005E2CF8"/>
    <w:rsid w:val="005E3126"/>
    <w:rsid w:val="005E7075"/>
    <w:rsid w:val="005E75A7"/>
    <w:rsid w:val="005F27D7"/>
    <w:rsid w:val="005F38E2"/>
    <w:rsid w:val="005F3EE6"/>
    <w:rsid w:val="005F6736"/>
    <w:rsid w:val="00602C10"/>
    <w:rsid w:val="00602EBD"/>
    <w:rsid w:val="00604CF2"/>
    <w:rsid w:val="00606DFF"/>
    <w:rsid w:val="00606FB7"/>
    <w:rsid w:val="00610533"/>
    <w:rsid w:val="006110F6"/>
    <w:rsid w:val="00611FA1"/>
    <w:rsid w:val="00612522"/>
    <w:rsid w:val="00612DA6"/>
    <w:rsid w:val="0061365B"/>
    <w:rsid w:val="006138B6"/>
    <w:rsid w:val="00614BC6"/>
    <w:rsid w:val="00614E33"/>
    <w:rsid w:val="006158B8"/>
    <w:rsid w:val="0061706D"/>
    <w:rsid w:val="006173DA"/>
    <w:rsid w:val="00617EF9"/>
    <w:rsid w:val="00620295"/>
    <w:rsid w:val="006218BA"/>
    <w:rsid w:val="00622F8E"/>
    <w:rsid w:val="00626AC8"/>
    <w:rsid w:val="00627912"/>
    <w:rsid w:val="0063195F"/>
    <w:rsid w:val="00636C0A"/>
    <w:rsid w:val="00637EC6"/>
    <w:rsid w:val="0064240C"/>
    <w:rsid w:val="00642FF5"/>
    <w:rsid w:val="006430FB"/>
    <w:rsid w:val="00643992"/>
    <w:rsid w:val="00644DBC"/>
    <w:rsid w:val="00646FE6"/>
    <w:rsid w:val="006474CD"/>
    <w:rsid w:val="00647744"/>
    <w:rsid w:val="006479A0"/>
    <w:rsid w:val="006500D9"/>
    <w:rsid w:val="00653B54"/>
    <w:rsid w:val="006541A3"/>
    <w:rsid w:val="00654FAD"/>
    <w:rsid w:val="00655C9F"/>
    <w:rsid w:val="006567FF"/>
    <w:rsid w:val="00656867"/>
    <w:rsid w:val="0066109F"/>
    <w:rsid w:val="00664B26"/>
    <w:rsid w:val="0066596B"/>
    <w:rsid w:val="00666B5B"/>
    <w:rsid w:val="00670295"/>
    <w:rsid w:val="006704F5"/>
    <w:rsid w:val="00672894"/>
    <w:rsid w:val="00674B47"/>
    <w:rsid w:val="0067609E"/>
    <w:rsid w:val="00677749"/>
    <w:rsid w:val="00680E07"/>
    <w:rsid w:val="00682B9D"/>
    <w:rsid w:val="00683806"/>
    <w:rsid w:val="00686AF9"/>
    <w:rsid w:val="006910C0"/>
    <w:rsid w:val="00691954"/>
    <w:rsid w:val="0069320E"/>
    <w:rsid w:val="00693D13"/>
    <w:rsid w:val="00694F58"/>
    <w:rsid w:val="006955BC"/>
    <w:rsid w:val="006959E2"/>
    <w:rsid w:val="00696920"/>
    <w:rsid w:val="00697EB9"/>
    <w:rsid w:val="006A20D4"/>
    <w:rsid w:val="006A268D"/>
    <w:rsid w:val="006A350F"/>
    <w:rsid w:val="006A3957"/>
    <w:rsid w:val="006A39A4"/>
    <w:rsid w:val="006A41D6"/>
    <w:rsid w:val="006A669D"/>
    <w:rsid w:val="006A6E41"/>
    <w:rsid w:val="006B012F"/>
    <w:rsid w:val="006B27CF"/>
    <w:rsid w:val="006B41BD"/>
    <w:rsid w:val="006B5678"/>
    <w:rsid w:val="006B62B2"/>
    <w:rsid w:val="006C1C57"/>
    <w:rsid w:val="006C28B1"/>
    <w:rsid w:val="006C5760"/>
    <w:rsid w:val="006C6D6F"/>
    <w:rsid w:val="006D0D78"/>
    <w:rsid w:val="006D1128"/>
    <w:rsid w:val="006D2848"/>
    <w:rsid w:val="006D30E0"/>
    <w:rsid w:val="006D5521"/>
    <w:rsid w:val="006D5FE9"/>
    <w:rsid w:val="006D6CBB"/>
    <w:rsid w:val="006D76A9"/>
    <w:rsid w:val="006D77F4"/>
    <w:rsid w:val="006E0898"/>
    <w:rsid w:val="006E41CD"/>
    <w:rsid w:val="006F3BEC"/>
    <w:rsid w:val="00703C00"/>
    <w:rsid w:val="007057CC"/>
    <w:rsid w:val="007066F2"/>
    <w:rsid w:val="00706AE5"/>
    <w:rsid w:val="0070740A"/>
    <w:rsid w:val="00711F93"/>
    <w:rsid w:val="00712940"/>
    <w:rsid w:val="0071428C"/>
    <w:rsid w:val="00715A16"/>
    <w:rsid w:val="007164B0"/>
    <w:rsid w:val="007166FF"/>
    <w:rsid w:val="007260CC"/>
    <w:rsid w:val="00726543"/>
    <w:rsid w:val="0073353E"/>
    <w:rsid w:val="00736633"/>
    <w:rsid w:val="007367F6"/>
    <w:rsid w:val="00741EE7"/>
    <w:rsid w:val="00743A79"/>
    <w:rsid w:val="007444D4"/>
    <w:rsid w:val="0074594D"/>
    <w:rsid w:val="007459F3"/>
    <w:rsid w:val="00746E35"/>
    <w:rsid w:val="007470E2"/>
    <w:rsid w:val="0075232F"/>
    <w:rsid w:val="00753132"/>
    <w:rsid w:val="007550B3"/>
    <w:rsid w:val="00760451"/>
    <w:rsid w:val="0077182A"/>
    <w:rsid w:val="00771913"/>
    <w:rsid w:val="00772718"/>
    <w:rsid w:val="00775BCF"/>
    <w:rsid w:val="007818AA"/>
    <w:rsid w:val="00783140"/>
    <w:rsid w:val="007838B6"/>
    <w:rsid w:val="00783E77"/>
    <w:rsid w:val="007906F1"/>
    <w:rsid w:val="0079243D"/>
    <w:rsid w:val="00794A9B"/>
    <w:rsid w:val="0079583B"/>
    <w:rsid w:val="00796602"/>
    <w:rsid w:val="00797185"/>
    <w:rsid w:val="007976B7"/>
    <w:rsid w:val="00797A7E"/>
    <w:rsid w:val="00797D6F"/>
    <w:rsid w:val="007B014B"/>
    <w:rsid w:val="007B0D88"/>
    <w:rsid w:val="007B306F"/>
    <w:rsid w:val="007B4714"/>
    <w:rsid w:val="007B4E82"/>
    <w:rsid w:val="007C1996"/>
    <w:rsid w:val="007C3773"/>
    <w:rsid w:val="007C3F1F"/>
    <w:rsid w:val="007D2D0D"/>
    <w:rsid w:val="007D3325"/>
    <w:rsid w:val="007D3818"/>
    <w:rsid w:val="007D5A09"/>
    <w:rsid w:val="007D6DC5"/>
    <w:rsid w:val="007D7425"/>
    <w:rsid w:val="007E320E"/>
    <w:rsid w:val="007E3280"/>
    <w:rsid w:val="007E4A02"/>
    <w:rsid w:val="007E595C"/>
    <w:rsid w:val="007E59A5"/>
    <w:rsid w:val="007F3B8C"/>
    <w:rsid w:val="007F41D0"/>
    <w:rsid w:val="007F4B8B"/>
    <w:rsid w:val="007F5957"/>
    <w:rsid w:val="007F70B6"/>
    <w:rsid w:val="007F74CA"/>
    <w:rsid w:val="00800F1E"/>
    <w:rsid w:val="0080195A"/>
    <w:rsid w:val="0080239C"/>
    <w:rsid w:val="00802841"/>
    <w:rsid w:val="008037D5"/>
    <w:rsid w:val="00805447"/>
    <w:rsid w:val="008054FA"/>
    <w:rsid w:val="0080717A"/>
    <w:rsid w:val="00807DFA"/>
    <w:rsid w:val="0081009F"/>
    <w:rsid w:val="00810152"/>
    <w:rsid w:val="008115AB"/>
    <w:rsid w:val="00812D2C"/>
    <w:rsid w:val="0081450A"/>
    <w:rsid w:val="008159F4"/>
    <w:rsid w:val="00816586"/>
    <w:rsid w:val="008167C1"/>
    <w:rsid w:val="008167C6"/>
    <w:rsid w:val="00816B8F"/>
    <w:rsid w:val="00820331"/>
    <w:rsid w:val="00820BF5"/>
    <w:rsid w:val="008212B1"/>
    <w:rsid w:val="0082155A"/>
    <w:rsid w:val="0082209F"/>
    <w:rsid w:val="008223C2"/>
    <w:rsid w:val="008250A2"/>
    <w:rsid w:val="00825D64"/>
    <w:rsid w:val="0082650B"/>
    <w:rsid w:val="008301CE"/>
    <w:rsid w:val="008312E3"/>
    <w:rsid w:val="00831D5B"/>
    <w:rsid w:val="008324C3"/>
    <w:rsid w:val="00832DD6"/>
    <w:rsid w:val="00832F0C"/>
    <w:rsid w:val="008336F2"/>
    <w:rsid w:val="008345D9"/>
    <w:rsid w:val="008347CB"/>
    <w:rsid w:val="00835647"/>
    <w:rsid w:val="008362AB"/>
    <w:rsid w:val="00837A2E"/>
    <w:rsid w:val="00841558"/>
    <w:rsid w:val="00842A68"/>
    <w:rsid w:val="00842B67"/>
    <w:rsid w:val="008435BA"/>
    <w:rsid w:val="0084558B"/>
    <w:rsid w:val="0084654A"/>
    <w:rsid w:val="00847654"/>
    <w:rsid w:val="00851064"/>
    <w:rsid w:val="00855543"/>
    <w:rsid w:val="008566B3"/>
    <w:rsid w:val="008576B7"/>
    <w:rsid w:val="00857F7B"/>
    <w:rsid w:val="00863DA1"/>
    <w:rsid w:val="008654A6"/>
    <w:rsid w:val="00865D86"/>
    <w:rsid w:val="00870495"/>
    <w:rsid w:val="00870EA1"/>
    <w:rsid w:val="008710C5"/>
    <w:rsid w:val="00874438"/>
    <w:rsid w:val="00874E75"/>
    <w:rsid w:val="008767F3"/>
    <w:rsid w:val="00876CEF"/>
    <w:rsid w:val="00877342"/>
    <w:rsid w:val="008803C3"/>
    <w:rsid w:val="00881450"/>
    <w:rsid w:val="008817C7"/>
    <w:rsid w:val="00881875"/>
    <w:rsid w:val="008848A3"/>
    <w:rsid w:val="00884AF1"/>
    <w:rsid w:val="00885F7A"/>
    <w:rsid w:val="00890712"/>
    <w:rsid w:val="00890D81"/>
    <w:rsid w:val="00892955"/>
    <w:rsid w:val="00893628"/>
    <w:rsid w:val="008941EB"/>
    <w:rsid w:val="0089545A"/>
    <w:rsid w:val="00895A02"/>
    <w:rsid w:val="008A01EE"/>
    <w:rsid w:val="008A0DAC"/>
    <w:rsid w:val="008A3B78"/>
    <w:rsid w:val="008A4166"/>
    <w:rsid w:val="008A7DBF"/>
    <w:rsid w:val="008B136C"/>
    <w:rsid w:val="008B55EF"/>
    <w:rsid w:val="008B6910"/>
    <w:rsid w:val="008B7190"/>
    <w:rsid w:val="008C0B5C"/>
    <w:rsid w:val="008C1343"/>
    <w:rsid w:val="008C3912"/>
    <w:rsid w:val="008C5598"/>
    <w:rsid w:val="008C69EA"/>
    <w:rsid w:val="008C6F8B"/>
    <w:rsid w:val="008C7AB7"/>
    <w:rsid w:val="008C7FB4"/>
    <w:rsid w:val="008D2C8C"/>
    <w:rsid w:val="008D3040"/>
    <w:rsid w:val="008D3ECD"/>
    <w:rsid w:val="008D5C03"/>
    <w:rsid w:val="008D7580"/>
    <w:rsid w:val="008D7C35"/>
    <w:rsid w:val="008E5698"/>
    <w:rsid w:val="008E5733"/>
    <w:rsid w:val="008E77D2"/>
    <w:rsid w:val="008E78FD"/>
    <w:rsid w:val="008F16F4"/>
    <w:rsid w:val="008F199D"/>
    <w:rsid w:val="008F38A0"/>
    <w:rsid w:val="008F39C9"/>
    <w:rsid w:val="008F5EB5"/>
    <w:rsid w:val="008F678C"/>
    <w:rsid w:val="008F75A7"/>
    <w:rsid w:val="008F7E5A"/>
    <w:rsid w:val="00900A7F"/>
    <w:rsid w:val="009036EE"/>
    <w:rsid w:val="00905815"/>
    <w:rsid w:val="00905D1D"/>
    <w:rsid w:val="0091016D"/>
    <w:rsid w:val="00910C98"/>
    <w:rsid w:val="00911910"/>
    <w:rsid w:val="00912A58"/>
    <w:rsid w:val="00913908"/>
    <w:rsid w:val="00913D26"/>
    <w:rsid w:val="0091438B"/>
    <w:rsid w:val="009147E3"/>
    <w:rsid w:val="00920FD2"/>
    <w:rsid w:val="00923A43"/>
    <w:rsid w:val="0092439C"/>
    <w:rsid w:val="0092498E"/>
    <w:rsid w:val="00925B91"/>
    <w:rsid w:val="00934461"/>
    <w:rsid w:val="00934F7E"/>
    <w:rsid w:val="00936A1C"/>
    <w:rsid w:val="00943E35"/>
    <w:rsid w:val="00944C6A"/>
    <w:rsid w:val="00945278"/>
    <w:rsid w:val="0094658D"/>
    <w:rsid w:val="00947678"/>
    <w:rsid w:val="00947878"/>
    <w:rsid w:val="009504C2"/>
    <w:rsid w:val="0095254A"/>
    <w:rsid w:val="0095273B"/>
    <w:rsid w:val="009559E1"/>
    <w:rsid w:val="009568D5"/>
    <w:rsid w:val="00957CD3"/>
    <w:rsid w:val="0096269B"/>
    <w:rsid w:val="00963FB0"/>
    <w:rsid w:val="00964C86"/>
    <w:rsid w:val="00965E82"/>
    <w:rsid w:val="009664BB"/>
    <w:rsid w:val="009669F8"/>
    <w:rsid w:val="00966F89"/>
    <w:rsid w:val="00973B5D"/>
    <w:rsid w:val="0097755E"/>
    <w:rsid w:val="009807EC"/>
    <w:rsid w:val="00981467"/>
    <w:rsid w:val="00981C24"/>
    <w:rsid w:val="009852F6"/>
    <w:rsid w:val="00985DE5"/>
    <w:rsid w:val="00986254"/>
    <w:rsid w:val="0098729E"/>
    <w:rsid w:val="00990067"/>
    <w:rsid w:val="00992977"/>
    <w:rsid w:val="009937D4"/>
    <w:rsid w:val="00993C78"/>
    <w:rsid w:val="009948C7"/>
    <w:rsid w:val="00995850"/>
    <w:rsid w:val="0099796C"/>
    <w:rsid w:val="009A194E"/>
    <w:rsid w:val="009A1EA2"/>
    <w:rsid w:val="009A209E"/>
    <w:rsid w:val="009A3FD7"/>
    <w:rsid w:val="009A6652"/>
    <w:rsid w:val="009A74FD"/>
    <w:rsid w:val="009B25D8"/>
    <w:rsid w:val="009B42E3"/>
    <w:rsid w:val="009B5859"/>
    <w:rsid w:val="009C6D07"/>
    <w:rsid w:val="009C7CEC"/>
    <w:rsid w:val="009D154D"/>
    <w:rsid w:val="009D18EF"/>
    <w:rsid w:val="009D3BE8"/>
    <w:rsid w:val="009D44E0"/>
    <w:rsid w:val="009D573B"/>
    <w:rsid w:val="009D59A0"/>
    <w:rsid w:val="009D716A"/>
    <w:rsid w:val="009E1AC4"/>
    <w:rsid w:val="009E20B8"/>
    <w:rsid w:val="009E29A0"/>
    <w:rsid w:val="009E41B5"/>
    <w:rsid w:val="009E55D7"/>
    <w:rsid w:val="009E627C"/>
    <w:rsid w:val="009F110B"/>
    <w:rsid w:val="009F1498"/>
    <w:rsid w:val="009F1E9F"/>
    <w:rsid w:val="009F3793"/>
    <w:rsid w:val="009F54F2"/>
    <w:rsid w:val="00A0056B"/>
    <w:rsid w:val="00A01657"/>
    <w:rsid w:val="00A01C65"/>
    <w:rsid w:val="00A0213D"/>
    <w:rsid w:val="00A04C73"/>
    <w:rsid w:val="00A0679A"/>
    <w:rsid w:val="00A07A2B"/>
    <w:rsid w:val="00A12375"/>
    <w:rsid w:val="00A125B8"/>
    <w:rsid w:val="00A12856"/>
    <w:rsid w:val="00A13124"/>
    <w:rsid w:val="00A15370"/>
    <w:rsid w:val="00A156AB"/>
    <w:rsid w:val="00A15B2F"/>
    <w:rsid w:val="00A16B8D"/>
    <w:rsid w:val="00A21293"/>
    <w:rsid w:val="00A2134B"/>
    <w:rsid w:val="00A21623"/>
    <w:rsid w:val="00A220EB"/>
    <w:rsid w:val="00A22302"/>
    <w:rsid w:val="00A25F1B"/>
    <w:rsid w:val="00A325F3"/>
    <w:rsid w:val="00A33103"/>
    <w:rsid w:val="00A33294"/>
    <w:rsid w:val="00A35C74"/>
    <w:rsid w:val="00A35DCB"/>
    <w:rsid w:val="00A3690E"/>
    <w:rsid w:val="00A37751"/>
    <w:rsid w:val="00A406B1"/>
    <w:rsid w:val="00A4113E"/>
    <w:rsid w:val="00A42435"/>
    <w:rsid w:val="00A438BA"/>
    <w:rsid w:val="00A446FD"/>
    <w:rsid w:val="00A46F46"/>
    <w:rsid w:val="00A52CB6"/>
    <w:rsid w:val="00A52F99"/>
    <w:rsid w:val="00A538BB"/>
    <w:rsid w:val="00A54164"/>
    <w:rsid w:val="00A56737"/>
    <w:rsid w:val="00A60002"/>
    <w:rsid w:val="00A603D8"/>
    <w:rsid w:val="00A60AE2"/>
    <w:rsid w:val="00A61834"/>
    <w:rsid w:val="00A618B0"/>
    <w:rsid w:val="00A62790"/>
    <w:rsid w:val="00A6291F"/>
    <w:rsid w:val="00A63F53"/>
    <w:rsid w:val="00A7111E"/>
    <w:rsid w:val="00A755B6"/>
    <w:rsid w:val="00A75B1A"/>
    <w:rsid w:val="00A80ED4"/>
    <w:rsid w:val="00A816C4"/>
    <w:rsid w:val="00A82981"/>
    <w:rsid w:val="00A83E2A"/>
    <w:rsid w:val="00A86F10"/>
    <w:rsid w:val="00A87AF2"/>
    <w:rsid w:val="00A90B23"/>
    <w:rsid w:val="00A93193"/>
    <w:rsid w:val="00A93C2B"/>
    <w:rsid w:val="00A94556"/>
    <w:rsid w:val="00A974CB"/>
    <w:rsid w:val="00AA1EAC"/>
    <w:rsid w:val="00AA45E2"/>
    <w:rsid w:val="00AA7AC1"/>
    <w:rsid w:val="00AB6327"/>
    <w:rsid w:val="00AB6B8F"/>
    <w:rsid w:val="00AC0C65"/>
    <w:rsid w:val="00AC0FB2"/>
    <w:rsid w:val="00AC3721"/>
    <w:rsid w:val="00AC41C6"/>
    <w:rsid w:val="00AC70C7"/>
    <w:rsid w:val="00AC76B7"/>
    <w:rsid w:val="00AD0223"/>
    <w:rsid w:val="00AD123A"/>
    <w:rsid w:val="00AD15FF"/>
    <w:rsid w:val="00AD1AA5"/>
    <w:rsid w:val="00AD2920"/>
    <w:rsid w:val="00AD2CD5"/>
    <w:rsid w:val="00AD2DFC"/>
    <w:rsid w:val="00AD38C4"/>
    <w:rsid w:val="00AD5A4A"/>
    <w:rsid w:val="00AD60EE"/>
    <w:rsid w:val="00AD6A2B"/>
    <w:rsid w:val="00AD73D4"/>
    <w:rsid w:val="00AE1EA2"/>
    <w:rsid w:val="00AE2874"/>
    <w:rsid w:val="00AE2BA2"/>
    <w:rsid w:val="00AE2F98"/>
    <w:rsid w:val="00AE3602"/>
    <w:rsid w:val="00AE5342"/>
    <w:rsid w:val="00AE5987"/>
    <w:rsid w:val="00AE6472"/>
    <w:rsid w:val="00AF1345"/>
    <w:rsid w:val="00AF38A8"/>
    <w:rsid w:val="00AF63EB"/>
    <w:rsid w:val="00B016D2"/>
    <w:rsid w:val="00B018EC"/>
    <w:rsid w:val="00B060C7"/>
    <w:rsid w:val="00B11AB7"/>
    <w:rsid w:val="00B12213"/>
    <w:rsid w:val="00B13710"/>
    <w:rsid w:val="00B215C2"/>
    <w:rsid w:val="00B22881"/>
    <w:rsid w:val="00B23EFC"/>
    <w:rsid w:val="00B24B72"/>
    <w:rsid w:val="00B25DB8"/>
    <w:rsid w:val="00B2656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4DE"/>
    <w:rsid w:val="00B40765"/>
    <w:rsid w:val="00B4232D"/>
    <w:rsid w:val="00B42682"/>
    <w:rsid w:val="00B43065"/>
    <w:rsid w:val="00B44784"/>
    <w:rsid w:val="00B449D0"/>
    <w:rsid w:val="00B456AB"/>
    <w:rsid w:val="00B46C2A"/>
    <w:rsid w:val="00B47E8B"/>
    <w:rsid w:val="00B51C67"/>
    <w:rsid w:val="00B53F86"/>
    <w:rsid w:val="00B53FDC"/>
    <w:rsid w:val="00B55431"/>
    <w:rsid w:val="00B55CAE"/>
    <w:rsid w:val="00B572FE"/>
    <w:rsid w:val="00B576C6"/>
    <w:rsid w:val="00B615F2"/>
    <w:rsid w:val="00B61A28"/>
    <w:rsid w:val="00B65C6D"/>
    <w:rsid w:val="00B66B06"/>
    <w:rsid w:val="00B67862"/>
    <w:rsid w:val="00B70634"/>
    <w:rsid w:val="00B70BE4"/>
    <w:rsid w:val="00B73880"/>
    <w:rsid w:val="00B73CF1"/>
    <w:rsid w:val="00B745B3"/>
    <w:rsid w:val="00B7599D"/>
    <w:rsid w:val="00B7648F"/>
    <w:rsid w:val="00B76E13"/>
    <w:rsid w:val="00B771EE"/>
    <w:rsid w:val="00B7765B"/>
    <w:rsid w:val="00B77B4B"/>
    <w:rsid w:val="00B80ABC"/>
    <w:rsid w:val="00B814C2"/>
    <w:rsid w:val="00B900FE"/>
    <w:rsid w:val="00B9064C"/>
    <w:rsid w:val="00BA0A14"/>
    <w:rsid w:val="00BA228D"/>
    <w:rsid w:val="00BA398D"/>
    <w:rsid w:val="00BA39D3"/>
    <w:rsid w:val="00BA5C56"/>
    <w:rsid w:val="00BA776F"/>
    <w:rsid w:val="00BB0C0D"/>
    <w:rsid w:val="00BB0D69"/>
    <w:rsid w:val="00BB366E"/>
    <w:rsid w:val="00BB3AF0"/>
    <w:rsid w:val="00BB4F70"/>
    <w:rsid w:val="00BB67FF"/>
    <w:rsid w:val="00BC11B9"/>
    <w:rsid w:val="00BC138C"/>
    <w:rsid w:val="00BC14CF"/>
    <w:rsid w:val="00BC1659"/>
    <w:rsid w:val="00BC2C91"/>
    <w:rsid w:val="00BC3A9C"/>
    <w:rsid w:val="00BC5288"/>
    <w:rsid w:val="00BC6A71"/>
    <w:rsid w:val="00BC6B2F"/>
    <w:rsid w:val="00BC6F6D"/>
    <w:rsid w:val="00BD0637"/>
    <w:rsid w:val="00BD08A8"/>
    <w:rsid w:val="00BD1BAC"/>
    <w:rsid w:val="00BD1FA8"/>
    <w:rsid w:val="00BD25A6"/>
    <w:rsid w:val="00BD4C95"/>
    <w:rsid w:val="00BD65FC"/>
    <w:rsid w:val="00BD7660"/>
    <w:rsid w:val="00BE0666"/>
    <w:rsid w:val="00BE24B9"/>
    <w:rsid w:val="00BE2AE8"/>
    <w:rsid w:val="00BE2D55"/>
    <w:rsid w:val="00BE38DD"/>
    <w:rsid w:val="00BE4AB1"/>
    <w:rsid w:val="00BF16C3"/>
    <w:rsid w:val="00BF38E0"/>
    <w:rsid w:val="00BF44FA"/>
    <w:rsid w:val="00BF4C90"/>
    <w:rsid w:val="00BF57E1"/>
    <w:rsid w:val="00C003B4"/>
    <w:rsid w:val="00C00A5F"/>
    <w:rsid w:val="00C042E0"/>
    <w:rsid w:val="00C051D9"/>
    <w:rsid w:val="00C06333"/>
    <w:rsid w:val="00C06F68"/>
    <w:rsid w:val="00C075BA"/>
    <w:rsid w:val="00C10A3A"/>
    <w:rsid w:val="00C11E20"/>
    <w:rsid w:val="00C15D16"/>
    <w:rsid w:val="00C20015"/>
    <w:rsid w:val="00C247DD"/>
    <w:rsid w:val="00C25B43"/>
    <w:rsid w:val="00C267F0"/>
    <w:rsid w:val="00C26A54"/>
    <w:rsid w:val="00C3261C"/>
    <w:rsid w:val="00C3318B"/>
    <w:rsid w:val="00C33C20"/>
    <w:rsid w:val="00C35362"/>
    <w:rsid w:val="00C357EA"/>
    <w:rsid w:val="00C379F8"/>
    <w:rsid w:val="00C37A1C"/>
    <w:rsid w:val="00C42323"/>
    <w:rsid w:val="00C4316E"/>
    <w:rsid w:val="00C453A9"/>
    <w:rsid w:val="00C465D5"/>
    <w:rsid w:val="00C4756A"/>
    <w:rsid w:val="00C47C39"/>
    <w:rsid w:val="00C50649"/>
    <w:rsid w:val="00C506B2"/>
    <w:rsid w:val="00C50E1F"/>
    <w:rsid w:val="00C51C09"/>
    <w:rsid w:val="00C52BB6"/>
    <w:rsid w:val="00C53471"/>
    <w:rsid w:val="00C54FD4"/>
    <w:rsid w:val="00C55143"/>
    <w:rsid w:val="00C5611B"/>
    <w:rsid w:val="00C5695E"/>
    <w:rsid w:val="00C61528"/>
    <w:rsid w:val="00C63457"/>
    <w:rsid w:val="00C64964"/>
    <w:rsid w:val="00C6631E"/>
    <w:rsid w:val="00C67473"/>
    <w:rsid w:val="00C67AA4"/>
    <w:rsid w:val="00C7148C"/>
    <w:rsid w:val="00C72192"/>
    <w:rsid w:val="00C732E5"/>
    <w:rsid w:val="00C73D0B"/>
    <w:rsid w:val="00C75017"/>
    <w:rsid w:val="00C765B4"/>
    <w:rsid w:val="00C813EA"/>
    <w:rsid w:val="00C81496"/>
    <w:rsid w:val="00C82CE6"/>
    <w:rsid w:val="00C82E22"/>
    <w:rsid w:val="00C85144"/>
    <w:rsid w:val="00C86738"/>
    <w:rsid w:val="00C86A27"/>
    <w:rsid w:val="00C86B1C"/>
    <w:rsid w:val="00C91517"/>
    <w:rsid w:val="00C929BD"/>
    <w:rsid w:val="00C931A2"/>
    <w:rsid w:val="00CA02E1"/>
    <w:rsid w:val="00CA15DA"/>
    <w:rsid w:val="00CA224E"/>
    <w:rsid w:val="00CA41C5"/>
    <w:rsid w:val="00CA42B7"/>
    <w:rsid w:val="00CA4A53"/>
    <w:rsid w:val="00CA51F5"/>
    <w:rsid w:val="00CB1338"/>
    <w:rsid w:val="00CB218A"/>
    <w:rsid w:val="00CB225A"/>
    <w:rsid w:val="00CB69E6"/>
    <w:rsid w:val="00CB761B"/>
    <w:rsid w:val="00CB7E33"/>
    <w:rsid w:val="00CC13DF"/>
    <w:rsid w:val="00CC1EEE"/>
    <w:rsid w:val="00CC562B"/>
    <w:rsid w:val="00CC6C15"/>
    <w:rsid w:val="00CC7FCF"/>
    <w:rsid w:val="00CD2749"/>
    <w:rsid w:val="00CD2A60"/>
    <w:rsid w:val="00CD306F"/>
    <w:rsid w:val="00CD3971"/>
    <w:rsid w:val="00CD3DAB"/>
    <w:rsid w:val="00CD7426"/>
    <w:rsid w:val="00CE0DF1"/>
    <w:rsid w:val="00CE3786"/>
    <w:rsid w:val="00CE4027"/>
    <w:rsid w:val="00CE47CC"/>
    <w:rsid w:val="00CE6099"/>
    <w:rsid w:val="00CE68F6"/>
    <w:rsid w:val="00CE7E27"/>
    <w:rsid w:val="00CF22AC"/>
    <w:rsid w:val="00CF2F0A"/>
    <w:rsid w:val="00CF79E8"/>
    <w:rsid w:val="00D015AA"/>
    <w:rsid w:val="00D021B8"/>
    <w:rsid w:val="00D03D90"/>
    <w:rsid w:val="00D04024"/>
    <w:rsid w:val="00D043EB"/>
    <w:rsid w:val="00D06705"/>
    <w:rsid w:val="00D06A9B"/>
    <w:rsid w:val="00D0750D"/>
    <w:rsid w:val="00D07DD8"/>
    <w:rsid w:val="00D1038F"/>
    <w:rsid w:val="00D10BF7"/>
    <w:rsid w:val="00D10FEB"/>
    <w:rsid w:val="00D140A0"/>
    <w:rsid w:val="00D203D1"/>
    <w:rsid w:val="00D2057A"/>
    <w:rsid w:val="00D21D98"/>
    <w:rsid w:val="00D2317F"/>
    <w:rsid w:val="00D231A9"/>
    <w:rsid w:val="00D24391"/>
    <w:rsid w:val="00D2472B"/>
    <w:rsid w:val="00D253DD"/>
    <w:rsid w:val="00D26FFA"/>
    <w:rsid w:val="00D30192"/>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5A98"/>
    <w:rsid w:val="00D56B49"/>
    <w:rsid w:val="00D6053F"/>
    <w:rsid w:val="00D6073D"/>
    <w:rsid w:val="00D618D6"/>
    <w:rsid w:val="00D62426"/>
    <w:rsid w:val="00D62804"/>
    <w:rsid w:val="00D70F55"/>
    <w:rsid w:val="00D70FA5"/>
    <w:rsid w:val="00D74171"/>
    <w:rsid w:val="00D7474C"/>
    <w:rsid w:val="00D8032C"/>
    <w:rsid w:val="00D80CE2"/>
    <w:rsid w:val="00D83080"/>
    <w:rsid w:val="00D84D5F"/>
    <w:rsid w:val="00D851E2"/>
    <w:rsid w:val="00D8646D"/>
    <w:rsid w:val="00D87FFA"/>
    <w:rsid w:val="00D91419"/>
    <w:rsid w:val="00D92A09"/>
    <w:rsid w:val="00D92D2A"/>
    <w:rsid w:val="00D92EEC"/>
    <w:rsid w:val="00D93470"/>
    <w:rsid w:val="00D9395F"/>
    <w:rsid w:val="00D93D55"/>
    <w:rsid w:val="00D941FA"/>
    <w:rsid w:val="00D94B59"/>
    <w:rsid w:val="00D95315"/>
    <w:rsid w:val="00D95EAB"/>
    <w:rsid w:val="00D96B8C"/>
    <w:rsid w:val="00DA0B39"/>
    <w:rsid w:val="00DA1203"/>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C0176"/>
    <w:rsid w:val="00DC043F"/>
    <w:rsid w:val="00DC093E"/>
    <w:rsid w:val="00DC0E29"/>
    <w:rsid w:val="00DC0E7A"/>
    <w:rsid w:val="00DC2A65"/>
    <w:rsid w:val="00DC2A86"/>
    <w:rsid w:val="00DC3631"/>
    <w:rsid w:val="00DC37F7"/>
    <w:rsid w:val="00DC6F54"/>
    <w:rsid w:val="00DD0C00"/>
    <w:rsid w:val="00DD0F8C"/>
    <w:rsid w:val="00DD116C"/>
    <w:rsid w:val="00DD23D5"/>
    <w:rsid w:val="00DD2AF1"/>
    <w:rsid w:val="00DD46DA"/>
    <w:rsid w:val="00DD6072"/>
    <w:rsid w:val="00DD62BE"/>
    <w:rsid w:val="00DD77D9"/>
    <w:rsid w:val="00DD7CA4"/>
    <w:rsid w:val="00DE167C"/>
    <w:rsid w:val="00DE3B70"/>
    <w:rsid w:val="00DE5813"/>
    <w:rsid w:val="00DF10B1"/>
    <w:rsid w:val="00DF1FDA"/>
    <w:rsid w:val="00DF2A45"/>
    <w:rsid w:val="00DF3DD0"/>
    <w:rsid w:val="00DF4D50"/>
    <w:rsid w:val="00DF538C"/>
    <w:rsid w:val="00DF7050"/>
    <w:rsid w:val="00E00F8F"/>
    <w:rsid w:val="00E021C2"/>
    <w:rsid w:val="00E024A3"/>
    <w:rsid w:val="00E0423D"/>
    <w:rsid w:val="00E057B5"/>
    <w:rsid w:val="00E0581E"/>
    <w:rsid w:val="00E079C5"/>
    <w:rsid w:val="00E07CBD"/>
    <w:rsid w:val="00E07F56"/>
    <w:rsid w:val="00E10A16"/>
    <w:rsid w:val="00E1112F"/>
    <w:rsid w:val="00E1147C"/>
    <w:rsid w:val="00E1318F"/>
    <w:rsid w:val="00E13B3B"/>
    <w:rsid w:val="00E13E29"/>
    <w:rsid w:val="00E16857"/>
    <w:rsid w:val="00E16C3A"/>
    <w:rsid w:val="00E20651"/>
    <w:rsid w:val="00E2107C"/>
    <w:rsid w:val="00E21E70"/>
    <w:rsid w:val="00E224DE"/>
    <w:rsid w:val="00E23DCE"/>
    <w:rsid w:val="00E2608F"/>
    <w:rsid w:val="00E26363"/>
    <w:rsid w:val="00E272A4"/>
    <w:rsid w:val="00E305F9"/>
    <w:rsid w:val="00E306AC"/>
    <w:rsid w:val="00E34446"/>
    <w:rsid w:val="00E3633B"/>
    <w:rsid w:val="00E36870"/>
    <w:rsid w:val="00E374E1"/>
    <w:rsid w:val="00E417AB"/>
    <w:rsid w:val="00E43D48"/>
    <w:rsid w:val="00E4542D"/>
    <w:rsid w:val="00E45BE0"/>
    <w:rsid w:val="00E46CAD"/>
    <w:rsid w:val="00E47521"/>
    <w:rsid w:val="00E4760C"/>
    <w:rsid w:val="00E507A6"/>
    <w:rsid w:val="00E5375C"/>
    <w:rsid w:val="00E561AD"/>
    <w:rsid w:val="00E57FAF"/>
    <w:rsid w:val="00E60BA9"/>
    <w:rsid w:val="00E63510"/>
    <w:rsid w:val="00E635EA"/>
    <w:rsid w:val="00E655E5"/>
    <w:rsid w:val="00E65F4E"/>
    <w:rsid w:val="00E662E0"/>
    <w:rsid w:val="00E67D5D"/>
    <w:rsid w:val="00E71C7A"/>
    <w:rsid w:val="00E73119"/>
    <w:rsid w:val="00E73E1E"/>
    <w:rsid w:val="00E767FF"/>
    <w:rsid w:val="00E84C91"/>
    <w:rsid w:val="00E84E60"/>
    <w:rsid w:val="00E8556E"/>
    <w:rsid w:val="00E86B2D"/>
    <w:rsid w:val="00E86F4D"/>
    <w:rsid w:val="00E87D08"/>
    <w:rsid w:val="00E90D0E"/>
    <w:rsid w:val="00E91B2D"/>
    <w:rsid w:val="00E92FCA"/>
    <w:rsid w:val="00E95CAA"/>
    <w:rsid w:val="00EA0A39"/>
    <w:rsid w:val="00EA0EB2"/>
    <w:rsid w:val="00EA236F"/>
    <w:rsid w:val="00EA3023"/>
    <w:rsid w:val="00EA3E49"/>
    <w:rsid w:val="00EA3FC8"/>
    <w:rsid w:val="00EA5B8C"/>
    <w:rsid w:val="00EB0DC9"/>
    <w:rsid w:val="00EB1383"/>
    <w:rsid w:val="00EB252D"/>
    <w:rsid w:val="00EB29FA"/>
    <w:rsid w:val="00EB2CCE"/>
    <w:rsid w:val="00EB385F"/>
    <w:rsid w:val="00EB3E49"/>
    <w:rsid w:val="00EB5FC3"/>
    <w:rsid w:val="00EB6DA9"/>
    <w:rsid w:val="00EC1561"/>
    <w:rsid w:val="00EC462E"/>
    <w:rsid w:val="00EC6CD8"/>
    <w:rsid w:val="00EC786F"/>
    <w:rsid w:val="00ED1866"/>
    <w:rsid w:val="00ED3134"/>
    <w:rsid w:val="00ED38E2"/>
    <w:rsid w:val="00ED5C44"/>
    <w:rsid w:val="00ED635B"/>
    <w:rsid w:val="00EE1B27"/>
    <w:rsid w:val="00EE742D"/>
    <w:rsid w:val="00EF0A22"/>
    <w:rsid w:val="00EF1267"/>
    <w:rsid w:val="00EF180C"/>
    <w:rsid w:val="00EF3B6B"/>
    <w:rsid w:val="00EF4B43"/>
    <w:rsid w:val="00EF6750"/>
    <w:rsid w:val="00EF770B"/>
    <w:rsid w:val="00F02836"/>
    <w:rsid w:val="00F02FB5"/>
    <w:rsid w:val="00F0534E"/>
    <w:rsid w:val="00F05C30"/>
    <w:rsid w:val="00F10F1B"/>
    <w:rsid w:val="00F14179"/>
    <w:rsid w:val="00F15786"/>
    <w:rsid w:val="00F167C5"/>
    <w:rsid w:val="00F20B5A"/>
    <w:rsid w:val="00F20D27"/>
    <w:rsid w:val="00F21F0B"/>
    <w:rsid w:val="00F236AB"/>
    <w:rsid w:val="00F24EA4"/>
    <w:rsid w:val="00F27087"/>
    <w:rsid w:val="00F2773C"/>
    <w:rsid w:val="00F300B3"/>
    <w:rsid w:val="00F30DB9"/>
    <w:rsid w:val="00F30FB8"/>
    <w:rsid w:val="00F31D68"/>
    <w:rsid w:val="00F33152"/>
    <w:rsid w:val="00F338F2"/>
    <w:rsid w:val="00F349D3"/>
    <w:rsid w:val="00F3533E"/>
    <w:rsid w:val="00F35B84"/>
    <w:rsid w:val="00F402B5"/>
    <w:rsid w:val="00F4072F"/>
    <w:rsid w:val="00F42839"/>
    <w:rsid w:val="00F44CC0"/>
    <w:rsid w:val="00F450BA"/>
    <w:rsid w:val="00F4684B"/>
    <w:rsid w:val="00F46BE9"/>
    <w:rsid w:val="00F47C3B"/>
    <w:rsid w:val="00F506CA"/>
    <w:rsid w:val="00F53A7A"/>
    <w:rsid w:val="00F54FCD"/>
    <w:rsid w:val="00F5785C"/>
    <w:rsid w:val="00F65E3C"/>
    <w:rsid w:val="00F67076"/>
    <w:rsid w:val="00F677FA"/>
    <w:rsid w:val="00F7115A"/>
    <w:rsid w:val="00F717AA"/>
    <w:rsid w:val="00F72714"/>
    <w:rsid w:val="00F744C3"/>
    <w:rsid w:val="00F75EE2"/>
    <w:rsid w:val="00F75F69"/>
    <w:rsid w:val="00F76014"/>
    <w:rsid w:val="00F76095"/>
    <w:rsid w:val="00F802D3"/>
    <w:rsid w:val="00F80F94"/>
    <w:rsid w:val="00F81BA2"/>
    <w:rsid w:val="00F823A4"/>
    <w:rsid w:val="00F8412F"/>
    <w:rsid w:val="00F84791"/>
    <w:rsid w:val="00F85995"/>
    <w:rsid w:val="00F85FC5"/>
    <w:rsid w:val="00F86C22"/>
    <w:rsid w:val="00F90CB3"/>
    <w:rsid w:val="00F912A2"/>
    <w:rsid w:val="00F913A3"/>
    <w:rsid w:val="00F925C3"/>
    <w:rsid w:val="00F93831"/>
    <w:rsid w:val="00FA0109"/>
    <w:rsid w:val="00FA458B"/>
    <w:rsid w:val="00FA5EC5"/>
    <w:rsid w:val="00FA7016"/>
    <w:rsid w:val="00FA7174"/>
    <w:rsid w:val="00FA793D"/>
    <w:rsid w:val="00FB020E"/>
    <w:rsid w:val="00FB0F17"/>
    <w:rsid w:val="00FB4B9D"/>
    <w:rsid w:val="00FB50ED"/>
    <w:rsid w:val="00FB6E18"/>
    <w:rsid w:val="00FC144B"/>
    <w:rsid w:val="00FC2169"/>
    <w:rsid w:val="00FC28E2"/>
    <w:rsid w:val="00FC3BF6"/>
    <w:rsid w:val="00FC3D22"/>
    <w:rsid w:val="00FC6FE1"/>
    <w:rsid w:val="00FD0C3D"/>
    <w:rsid w:val="00FD2F6B"/>
    <w:rsid w:val="00FD3AB0"/>
    <w:rsid w:val="00FE064A"/>
    <w:rsid w:val="00FE0B55"/>
    <w:rsid w:val="00FE1E98"/>
    <w:rsid w:val="00FE2452"/>
    <w:rsid w:val="00FE5469"/>
    <w:rsid w:val="00FE66C2"/>
    <w:rsid w:val="00FE684A"/>
    <w:rsid w:val="00FE6F23"/>
    <w:rsid w:val="00FF0F8C"/>
    <w:rsid w:val="00FF408B"/>
    <w:rsid w:val="00FF43E1"/>
    <w:rsid w:val="00FF73E3"/>
    <w:rsid w:val="017B3FF0"/>
    <w:rsid w:val="01AC3A93"/>
    <w:rsid w:val="020E2058"/>
    <w:rsid w:val="02775E4F"/>
    <w:rsid w:val="030D297A"/>
    <w:rsid w:val="03430854"/>
    <w:rsid w:val="039F5FA6"/>
    <w:rsid w:val="05DE1A14"/>
    <w:rsid w:val="06386D73"/>
    <w:rsid w:val="07F9606D"/>
    <w:rsid w:val="080623A4"/>
    <w:rsid w:val="08376C95"/>
    <w:rsid w:val="09305ADA"/>
    <w:rsid w:val="098929AD"/>
    <w:rsid w:val="0AF26D2D"/>
    <w:rsid w:val="0B4E1717"/>
    <w:rsid w:val="0BD00287"/>
    <w:rsid w:val="0C7C37E1"/>
    <w:rsid w:val="0CBF3A4F"/>
    <w:rsid w:val="0E8013B7"/>
    <w:rsid w:val="10D604C6"/>
    <w:rsid w:val="11B515E0"/>
    <w:rsid w:val="12AF091F"/>
    <w:rsid w:val="12C35BA0"/>
    <w:rsid w:val="130F4A91"/>
    <w:rsid w:val="13A53267"/>
    <w:rsid w:val="13F970D2"/>
    <w:rsid w:val="14AA4136"/>
    <w:rsid w:val="163A420B"/>
    <w:rsid w:val="17936E30"/>
    <w:rsid w:val="19413B26"/>
    <w:rsid w:val="1C6D3688"/>
    <w:rsid w:val="1CC63D0A"/>
    <w:rsid w:val="1DC2081A"/>
    <w:rsid w:val="1DD94266"/>
    <w:rsid w:val="1E780B2E"/>
    <w:rsid w:val="1F9D0947"/>
    <w:rsid w:val="1FFB29C6"/>
    <w:rsid w:val="21EF66E7"/>
    <w:rsid w:val="22AF3620"/>
    <w:rsid w:val="22E70AD4"/>
    <w:rsid w:val="238596D4"/>
    <w:rsid w:val="24F1508D"/>
    <w:rsid w:val="266F634F"/>
    <w:rsid w:val="27A26C1B"/>
    <w:rsid w:val="28927185"/>
    <w:rsid w:val="291059EA"/>
    <w:rsid w:val="2ACD1576"/>
    <w:rsid w:val="2BBF12EC"/>
    <w:rsid w:val="2BC649D9"/>
    <w:rsid w:val="2C596FCF"/>
    <w:rsid w:val="2C8C39F6"/>
    <w:rsid w:val="2D465B1D"/>
    <w:rsid w:val="2E287EA7"/>
    <w:rsid w:val="30264F9C"/>
    <w:rsid w:val="308D6AF5"/>
    <w:rsid w:val="31291D49"/>
    <w:rsid w:val="31321BF6"/>
    <w:rsid w:val="31517FA2"/>
    <w:rsid w:val="32EC2577"/>
    <w:rsid w:val="33194D3D"/>
    <w:rsid w:val="3515160D"/>
    <w:rsid w:val="35415E19"/>
    <w:rsid w:val="35696FCA"/>
    <w:rsid w:val="384A4E91"/>
    <w:rsid w:val="387D60DC"/>
    <w:rsid w:val="38F6684A"/>
    <w:rsid w:val="3C7D00D8"/>
    <w:rsid w:val="3CA06C0C"/>
    <w:rsid w:val="3D0C0513"/>
    <w:rsid w:val="3D98669F"/>
    <w:rsid w:val="3EA25851"/>
    <w:rsid w:val="3F6C3757"/>
    <w:rsid w:val="405D6A10"/>
    <w:rsid w:val="411F0144"/>
    <w:rsid w:val="4199190B"/>
    <w:rsid w:val="41DA6594"/>
    <w:rsid w:val="43100A85"/>
    <w:rsid w:val="43F735BB"/>
    <w:rsid w:val="444C1A75"/>
    <w:rsid w:val="44A3526F"/>
    <w:rsid w:val="44B032F4"/>
    <w:rsid w:val="455B7A11"/>
    <w:rsid w:val="457D25F7"/>
    <w:rsid w:val="46165550"/>
    <w:rsid w:val="465515D1"/>
    <w:rsid w:val="468341CD"/>
    <w:rsid w:val="470B67E5"/>
    <w:rsid w:val="472C2589"/>
    <w:rsid w:val="48E37D1B"/>
    <w:rsid w:val="4A760AEB"/>
    <w:rsid w:val="4D1E7C86"/>
    <w:rsid w:val="4F3162CA"/>
    <w:rsid w:val="4F586DEA"/>
    <w:rsid w:val="4FC82E13"/>
    <w:rsid w:val="4FDA66A3"/>
    <w:rsid w:val="50D95873"/>
    <w:rsid w:val="51D503D5"/>
    <w:rsid w:val="52213CDE"/>
    <w:rsid w:val="526102AF"/>
    <w:rsid w:val="528444DA"/>
    <w:rsid w:val="52AC6580"/>
    <w:rsid w:val="537745D5"/>
    <w:rsid w:val="53E84E1B"/>
    <w:rsid w:val="54530EF2"/>
    <w:rsid w:val="54CE3606"/>
    <w:rsid w:val="552306F6"/>
    <w:rsid w:val="55635CE5"/>
    <w:rsid w:val="56690780"/>
    <w:rsid w:val="56E352D5"/>
    <w:rsid w:val="56FA587C"/>
    <w:rsid w:val="57855A59"/>
    <w:rsid w:val="57E435FE"/>
    <w:rsid w:val="582D0655"/>
    <w:rsid w:val="5951205C"/>
    <w:rsid w:val="59D079E8"/>
    <w:rsid w:val="59D40847"/>
    <w:rsid w:val="5AE37F25"/>
    <w:rsid w:val="5B8A3673"/>
    <w:rsid w:val="5C856802"/>
    <w:rsid w:val="5CB23D47"/>
    <w:rsid w:val="5CC22998"/>
    <w:rsid w:val="5E6130A5"/>
    <w:rsid w:val="5FAF09C4"/>
    <w:rsid w:val="5FB82473"/>
    <w:rsid w:val="60785451"/>
    <w:rsid w:val="608C4642"/>
    <w:rsid w:val="60D235C8"/>
    <w:rsid w:val="62161700"/>
    <w:rsid w:val="62795572"/>
    <w:rsid w:val="63971B3E"/>
    <w:rsid w:val="64342D5D"/>
    <w:rsid w:val="64DD6417"/>
    <w:rsid w:val="64E21E2A"/>
    <w:rsid w:val="65183F52"/>
    <w:rsid w:val="66004745"/>
    <w:rsid w:val="6A567F20"/>
    <w:rsid w:val="6B500D32"/>
    <w:rsid w:val="6CD97953"/>
    <w:rsid w:val="6D4D4500"/>
    <w:rsid w:val="6ED30FD7"/>
    <w:rsid w:val="6F477AF3"/>
    <w:rsid w:val="6F616041"/>
    <w:rsid w:val="6F761040"/>
    <w:rsid w:val="6FDD66CE"/>
    <w:rsid w:val="7028329E"/>
    <w:rsid w:val="71BBFEAD"/>
    <w:rsid w:val="71D21478"/>
    <w:rsid w:val="71FD63B9"/>
    <w:rsid w:val="727D78FD"/>
    <w:rsid w:val="734B4327"/>
    <w:rsid w:val="73CC655F"/>
    <w:rsid w:val="73DC4C67"/>
    <w:rsid w:val="75957445"/>
    <w:rsid w:val="75C8390F"/>
    <w:rsid w:val="75D01AE1"/>
    <w:rsid w:val="76164029"/>
    <w:rsid w:val="76F2314F"/>
    <w:rsid w:val="77312257"/>
    <w:rsid w:val="77524363"/>
    <w:rsid w:val="77A4062A"/>
    <w:rsid w:val="77B917B5"/>
    <w:rsid w:val="783D6867"/>
    <w:rsid w:val="78703975"/>
    <w:rsid w:val="78BF79C0"/>
    <w:rsid w:val="795E2969"/>
    <w:rsid w:val="7A993117"/>
    <w:rsid w:val="7AF9C055"/>
    <w:rsid w:val="7BE420FD"/>
    <w:rsid w:val="7CC50D2F"/>
    <w:rsid w:val="7D0D296B"/>
    <w:rsid w:val="7D4E0B54"/>
    <w:rsid w:val="7D503E78"/>
    <w:rsid w:val="7E0160D4"/>
    <w:rsid w:val="7EEF71C5"/>
    <w:rsid w:val="7FBFB4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5"/>
    <w:qFormat/>
    <w:uiPriority w:val="9"/>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link w:val="88"/>
    <w:qFormat/>
    <w:uiPriority w:val="9"/>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link w:val="81"/>
    <w:qFormat/>
    <w:uiPriority w:val="9"/>
    <w:pPr>
      <w:keepNext/>
      <w:keepLines/>
      <w:numPr>
        <w:ilvl w:val="2"/>
        <w:numId w:val="1"/>
      </w:numPr>
      <w:spacing w:before="120" w:after="120"/>
      <w:ind w:firstLine="0" w:firstLineChars="0"/>
      <w:outlineLvl w:val="2"/>
    </w:pPr>
    <w:rPr>
      <w:b/>
      <w:bCs/>
      <w:sz w:val="28"/>
      <w:szCs w:val="28"/>
    </w:rPr>
  </w:style>
  <w:style w:type="paragraph" w:styleId="5">
    <w:name w:val="heading 4"/>
    <w:basedOn w:val="4"/>
    <w:next w:val="1"/>
    <w:link w:val="58"/>
    <w:qFormat/>
    <w:uiPriority w:val="9"/>
    <w:pPr>
      <w:numPr>
        <w:ilvl w:val="3"/>
      </w:numPr>
      <w:ind w:left="851" w:firstLine="0"/>
      <w:outlineLvl w:val="3"/>
    </w:pPr>
    <w:rPr>
      <w:sz w:val="30"/>
      <w:szCs w:val="30"/>
    </w:rPr>
  </w:style>
  <w:style w:type="paragraph" w:styleId="6">
    <w:name w:val="heading 5"/>
    <w:basedOn w:val="1"/>
    <w:next w:val="1"/>
    <w:link w:val="86"/>
    <w:qFormat/>
    <w:uiPriority w:val="9"/>
    <w:pPr>
      <w:keepNext/>
      <w:keepLines/>
      <w:numPr>
        <w:ilvl w:val="4"/>
        <w:numId w:val="1"/>
      </w:numPr>
      <w:spacing w:before="120" w:after="120"/>
      <w:ind w:left="0" w:firstLine="0" w:firstLineChars="0"/>
      <w:outlineLvl w:val="4"/>
    </w:pPr>
    <w:rPr>
      <w:b/>
      <w:bCs/>
      <w:szCs w:val="28"/>
    </w:rPr>
  </w:style>
  <w:style w:type="paragraph" w:styleId="7">
    <w:name w:val="heading 6"/>
    <w:basedOn w:val="1"/>
    <w:next w:val="1"/>
    <w:link w:val="99"/>
    <w:qFormat/>
    <w:uiPriority w:val="9"/>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72"/>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98"/>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48"/>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54"/>
    <w:qFormat/>
    <w:uiPriority w:val="0"/>
    <w:pPr>
      <w:spacing w:afterLines="50"/>
      <w:ind w:firstLine="200"/>
    </w:pPr>
    <w:rPr>
      <w:rFonts w:ascii="Arial" w:hAnsi="Arial" w:eastAsia="黑体"/>
      <w:sz w:val="20"/>
      <w:szCs w:val="20"/>
    </w:rPr>
  </w:style>
  <w:style w:type="paragraph" w:styleId="14">
    <w:name w:val="Document Map"/>
    <w:basedOn w:val="1"/>
    <w:link w:val="91"/>
    <w:qFormat/>
    <w:uiPriority w:val="0"/>
    <w:rPr>
      <w:rFonts w:hAnsi="Times New Roman"/>
      <w:sz w:val="18"/>
      <w:szCs w:val="18"/>
    </w:rPr>
  </w:style>
  <w:style w:type="paragraph" w:styleId="15">
    <w:name w:val="annotation text"/>
    <w:basedOn w:val="1"/>
    <w:link w:val="45"/>
    <w:qFormat/>
    <w:uiPriority w:val="0"/>
    <w:pPr>
      <w:ind w:firstLine="420"/>
      <w:jc w:val="left"/>
    </w:pPr>
    <w:rPr>
      <w:rFonts w:ascii="Times New Roman" w:hAnsi="Times New Roman" w:eastAsia="仿宋"/>
      <w:sz w:val="28"/>
    </w:rPr>
  </w:style>
  <w:style w:type="paragraph" w:styleId="16">
    <w:name w:val="Body Text"/>
    <w:basedOn w:val="1"/>
    <w:link w:val="59"/>
    <w:unhideWhenUsed/>
    <w:qFormat/>
    <w:uiPriority w:val="0"/>
    <w:pPr>
      <w:spacing w:after="120" w:line="240" w:lineRule="auto"/>
      <w:ind w:firstLine="0" w:firstLineChars="0"/>
    </w:pPr>
    <w:rPr>
      <w:rFonts w:ascii="Times New Roman" w:hAnsi="Times New Roman"/>
      <w:sz w:val="21"/>
    </w:rPr>
  </w:style>
  <w:style w:type="paragraph" w:styleId="17">
    <w:name w:val="Body Text Indent"/>
    <w:basedOn w:val="1"/>
    <w:link w:val="85"/>
    <w:qFormat/>
    <w:uiPriority w:val="0"/>
    <w:pPr>
      <w:spacing w:after="120"/>
      <w:ind w:firstLine="200"/>
    </w:pPr>
    <w:rPr>
      <w:rFonts w:ascii="Times New Roman" w:hAnsi="Times New Roman"/>
      <w:sz w:val="21"/>
      <w:szCs w:val="20"/>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66"/>
    <w:qFormat/>
    <w:uiPriority w:val="0"/>
    <w:pPr>
      <w:spacing w:line="240" w:lineRule="auto"/>
      <w:ind w:firstLine="0" w:firstLineChars="0"/>
    </w:pPr>
    <w:rPr>
      <w:rFonts w:hAnsi="Courier New"/>
      <w:sz w:val="21"/>
      <w:szCs w:val="20"/>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47"/>
    <w:qFormat/>
    <w:uiPriority w:val="0"/>
    <w:pPr>
      <w:ind w:left="100" w:leftChars="2500"/>
    </w:pPr>
    <w:rPr>
      <w:rFonts w:ascii="Times New Roman" w:hAnsi="Times New Roman"/>
      <w:sz w:val="21"/>
    </w:rPr>
  </w:style>
  <w:style w:type="paragraph" w:styleId="23">
    <w:name w:val="Balloon Text"/>
    <w:basedOn w:val="1"/>
    <w:link w:val="96"/>
    <w:qFormat/>
    <w:uiPriority w:val="0"/>
    <w:rPr>
      <w:rFonts w:ascii="Times New Roman" w:hAnsi="Times New Roman"/>
      <w:sz w:val="18"/>
      <w:szCs w:val="18"/>
    </w:rPr>
  </w:style>
  <w:style w:type="paragraph" w:styleId="24">
    <w:name w:val="footer"/>
    <w:basedOn w:val="1"/>
    <w:link w:val="89"/>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97"/>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87"/>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95"/>
    <w:qFormat/>
    <w:uiPriority w:val="0"/>
    <w:pPr>
      <w:spacing w:before="240" w:after="60" w:line="960" w:lineRule="auto"/>
      <w:jc w:val="center"/>
    </w:pPr>
    <w:rPr>
      <w:rFonts w:ascii="Cambria" w:hAnsi="Cambria" w:eastAsia="黑体"/>
      <w:b/>
      <w:bCs/>
      <w:sz w:val="52"/>
      <w:szCs w:val="32"/>
    </w:rPr>
  </w:style>
  <w:style w:type="paragraph" w:styleId="34">
    <w:name w:val="annotation subject"/>
    <w:basedOn w:val="15"/>
    <w:next w:val="15"/>
    <w:link w:val="83"/>
    <w:qFormat/>
    <w:uiPriority w:val="0"/>
    <w:rPr>
      <w:b/>
      <w:bCs/>
      <w:sz w:val="21"/>
    </w:rPr>
  </w:style>
  <w:style w:type="table" w:styleId="36">
    <w:name w:val="Table Grid"/>
    <w:basedOn w:val="3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0"/>
    <w:rPr>
      <w:sz w:val="21"/>
      <w:szCs w:val="21"/>
    </w:rPr>
  </w:style>
  <w:style w:type="character" w:customStyle="1" w:styleId="42">
    <w:name w:val="标题 3 字符1"/>
    <w:qFormat/>
    <w:uiPriority w:val="0"/>
    <w:rPr>
      <w:rFonts w:ascii="宋体" w:hAnsi="宋体"/>
      <w:b/>
      <w:bCs/>
      <w:kern w:val="2"/>
      <w:sz w:val="28"/>
      <w:szCs w:val="28"/>
    </w:rPr>
  </w:style>
  <w:style w:type="character" w:customStyle="1" w:styleId="43">
    <w:name w:val="首行缩进正文 Char"/>
    <w:link w:val="44"/>
    <w:qFormat/>
    <w:uiPriority w:val="0"/>
    <w:rPr>
      <w:kern w:val="2"/>
      <w:sz w:val="24"/>
    </w:rPr>
  </w:style>
  <w:style w:type="paragraph" w:customStyle="1" w:styleId="44">
    <w:name w:val="首行缩进正文"/>
    <w:basedOn w:val="1"/>
    <w:link w:val="43"/>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5">
    <w:name w:val="批注文字 字符1"/>
    <w:link w:val="15"/>
    <w:qFormat/>
    <w:uiPriority w:val="99"/>
    <w:rPr>
      <w:rFonts w:eastAsia="仿宋"/>
      <w:kern w:val="2"/>
      <w:sz w:val="28"/>
      <w:szCs w:val="24"/>
    </w:rPr>
  </w:style>
  <w:style w:type="character" w:customStyle="1" w:styleId="46">
    <w:name w:val="日期 字符"/>
    <w:semiHidden/>
    <w:qFormat/>
    <w:uiPriority w:val="99"/>
    <w:rPr>
      <w:rFonts w:ascii="宋体" w:hAnsi="宋体"/>
      <w:kern w:val="2"/>
      <w:sz w:val="24"/>
      <w:szCs w:val="24"/>
    </w:rPr>
  </w:style>
  <w:style w:type="character" w:customStyle="1" w:styleId="47">
    <w:name w:val="日期 字符1"/>
    <w:link w:val="22"/>
    <w:qFormat/>
    <w:uiPriority w:val="0"/>
    <w:rPr>
      <w:kern w:val="2"/>
      <w:sz w:val="21"/>
      <w:szCs w:val="24"/>
    </w:rPr>
  </w:style>
  <w:style w:type="character" w:customStyle="1" w:styleId="48">
    <w:name w:val="标题 9 字符"/>
    <w:link w:val="10"/>
    <w:qFormat/>
    <w:uiPriority w:val="9"/>
    <w:rPr>
      <w:rFonts w:ascii="Cambria" w:hAnsi="Cambria"/>
      <w:kern w:val="2"/>
      <w:sz w:val="21"/>
      <w:szCs w:val="21"/>
    </w:rPr>
  </w:style>
  <w:style w:type="character" w:customStyle="1" w:styleId="49">
    <w:name w:val="未处理的提及1"/>
    <w:unhideWhenUsed/>
    <w:qFormat/>
    <w:uiPriority w:val="99"/>
    <w:rPr>
      <w:color w:val="605E5C"/>
      <w:shd w:val="clear" w:color="auto" w:fill="E1DFDD"/>
    </w:rPr>
  </w:style>
  <w:style w:type="character" w:customStyle="1" w:styleId="50">
    <w:name w:val="标题 1 字符"/>
    <w:qFormat/>
    <w:uiPriority w:val="9"/>
    <w:rPr>
      <w:rFonts w:ascii="宋体" w:hAnsi="宋体"/>
      <w:b/>
      <w:bCs/>
      <w:kern w:val="44"/>
      <w:sz w:val="44"/>
      <w:szCs w:val="44"/>
    </w:rPr>
  </w:style>
  <w:style w:type="character" w:customStyle="1" w:styleId="51">
    <w:name w:val="标题 3 字符"/>
    <w:semiHidden/>
    <w:qFormat/>
    <w:uiPriority w:val="9"/>
    <w:rPr>
      <w:rFonts w:ascii="宋体" w:hAnsi="宋体"/>
      <w:b/>
      <w:bCs/>
      <w:kern w:val="2"/>
      <w:sz w:val="32"/>
      <w:szCs w:val="32"/>
    </w:rPr>
  </w:style>
  <w:style w:type="character" w:customStyle="1" w:styleId="52">
    <w:name w:val="页脚 字符"/>
    <w:qFormat/>
    <w:uiPriority w:val="99"/>
  </w:style>
  <w:style w:type="character" w:customStyle="1" w:styleId="53">
    <w:name w:val="标题 5 字符"/>
    <w:semiHidden/>
    <w:qFormat/>
    <w:uiPriority w:val="9"/>
    <w:rPr>
      <w:rFonts w:ascii="宋体" w:hAnsi="宋体"/>
      <w:b/>
      <w:bCs/>
      <w:kern w:val="2"/>
      <w:sz w:val="28"/>
      <w:szCs w:val="28"/>
    </w:rPr>
  </w:style>
  <w:style w:type="character" w:customStyle="1" w:styleId="54">
    <w:name w:val="题注 字符"/>
    <w:link w:val="13"/>
    <w:qFormat/>
    <w:locked/>
    <w:uiPriority w:val="0"/>
    <w:rPr>
      <w:rFonts w:ascii="Arial" w:hAnsi="Arial" w:eastAsia="黑体"/>
      <w:kern w:val="2"/>
    </w:rPr>
  </w:style>
  <w:style w:type="character" w:customStyle="1" w:styleId="55">
    <w:name w:val="标题 2 字符"/>
    <w:semiHidden/>
    <w:qFormat/>
    <w:uiPriority w:val="9"/>
    <w:rPr>
      <w:rFonts w:ascii="等线 Light" w:hAnsi="等线 Light" w:eastAsia="等线 Light" w:cs="Times New Roman"/>
      <w:b/>
      <w:bCs/>
      <w:kern w:val="2"/>
      <w:sz w:val="32"/>
      <w:szCs w:val="32"/>
    </w:rPr>
  </w:style>
  <w:style w:type="character" w:customStyle="1" w:styleId="56">
    <w:name w:val="纯文本 字符"/>
    <w:qFormat/>
    <w:uiPriority w:val="0"/>
    <w:rPr>
      <w:rFonts w:ascii="宋体" w:hAnsi="Courier New" w:cs="Courier New"/>
      <w:kern w:val="2"/>
      <w:sz w:val="21"/>
      <w:szCs w:val="21"/>
    </w:rPr>
  </w:style>
  <w:style w:type="character" w:customStyle="1" w:styleId="57">
    <w:name w:val="列表段落 字符"/>
    <w:qFormat/>
    <w:uiPriority w:val="34"/>
    <w:rPr>
      <w:kern w:val="2"/>
      <w:sz w:val="21"/>
      <w:szCs w:val="22"/>
    </w:rPr>
  </w:style>
  <w:style w:type="character" w:customStyle="1" w:styleId="58">
    <w:name w:val="标题 4 字符1"/>
    <w:link w:val="5"/>
    <w:qFormat/>
    <w:uiPriority w:val="0"/>
    <w:rPr>
      <w:rFonts w:ascii="宋体" w:hAnsi="宋体"/>
      <w:b/>
      <w:bCs/>
      <w:kern w:val="2"/>
      <w:sz w:val="30"/>
      <w:szCs w:val="30"/>
    </w:rPr>
  </w:style>
  <w:style w:type="character" w:customStyle="1" w:styleId="59">
    <w:name w:val="正文文本 字符"/>
    <w:link w:val="16"/>
    <w:qFormat/>
    <w:uiPriority w:val="0"/>
    <w:rPr>
      <w:kern w:val="2"/>
      <w:sz w:val="21"/>
      <w:szCs w:val="24"/>
    </w:rPr>
  </w:style>
  <w:style w:type="character" w:customStyle="1" w:styleId="60">
    <w:name w:val="列表段落 字符1"/>
    <w:link w:val="61"/>
    <w:qFormat/>
    <w:uiPriority w:val="34"/>
    <w:rPr>
      <w:kern w:val="2"/>
      <w:sz w:val="21"/>
      <w:szCs w:val="24"/>
    </w:rPr>
  </w:style>
  <w:style w:type="paragraph" w:styleId="61">
    <w:name w:val="List Paragraph"/>
    <w:basedOn w:val="1"/>
    <w:link w:val="60"/>
    <w:qFormat/>
    <w:uiPriority w:val="34"/>
    <w:pPr>
      <w:ind w:firstLine="420"/>
    </w:pPr>
    <w:rPr>
      <w:rFonts w:ascii="Times New Roman" w:hAnsi="Times New Roman"/>
      <w:sz w:val="21"/>
    </w:rPr>
  </w:style>
  <w:style w:type="character" w:customStyle="1" w:styleId="62">
    <w:name w:val="font21"/>
    <w:qFormat/>
    <w:uiPriority w:val="0"/>
    <w:rPr>
      <w:rFonts w:ascii="Calibri" w:hAnsi="Calibri" w:cs="Calibri"/>
      <w:color w:val="000000"/>
      <w:sz w:val="21"/>
      <w:szCs w:val="21"/>
      <w:u w:val="none"/>
    </w:rPr>
  </w:style>
  <w:style w:type="character" w:customStyle="1" w:styleId="63">
    <w:name w:val="*正文 Char"/>
    <w:link w:val="64"/>
    <w:qFormat/>
    <w:uiPriority w:val="0"/>
    <w:rPr>
      <w:rFonts w:ascii="time" w:hAnsi="time"/>
      <w:sz w:val="24"/>
      <w:szCs w:val="24"/>
      <w:lang w:bidi="en-US"/>
    </w:rPr>
  </w:style>
  <w:style w:type="paragraph" w:customStyle="1" w:styleId="64">
    <w:name w:val="*正文"/>
    <w:basedOn w:val="1"/>
    <w:link w:val="63"/>
    <w:qFormat/>
    <w:uiPriority w:val="0"/>
    <w:pPr>
      <w:widowControl/>
      <w:ind w:firstLine="200"/>
      <w:contextualSpacing/>
    </w:pPr>
    <w:rPr>
      <w:rFonts w:ascii="time" w:hAnsi="time"/>
      <w:kern w:val="0"/>
      <w:lang w:bidi="en-US"/>
    </w:rPr>
  </w:style>
  <w:style w:type="character" w:customStyle="1" w:styleId="65">
    <w:name w:val="正文文本缩进 字符"/>
    <w:semiHidden/>
    <w:qFormat/>
    <w:uiPriority w:val="99"/>
    <w:rPr>
      <w:rFonts w:ascii="宋体" w:hAnsi="宋体"/>
      <w:kern w:val="2"/>
      <w:sz w:val="24"/>
      <w:szCs w:val="24"/>
    </w:rPr>
  </w:style>
  <w:style w:type="character" w:customStyle="1" w:styleId="66">
    <w:name w:val="纯文本 字符1"/>
    <w:link w:val="20"/>
    <w:qFormat/>
    <w:locked/>
    <w:uiPriority w:val="0"/>
    <w:rPr>
      <w:rFonts w:ascii="宋体" w:hAnsi="Courier New"/>
      <w:kern w:val="2"/>
      <w:sz w:val="21"/>
    </w:rPr>
  </w:style>
  <w:style w:type="character" w:customStyle="1" w:styleId="67">
    <w:name w:val="my正文 Char"/>
    <w:link w:val="68"/>
    <w:qFormat/>
    <w:uiPriority w:val="0"/>
    <w:rPr>
      <w:kern w:val="2"/>
      <w:sz w:val="21"/>
      <w:szCs w:val="24"/>
    </w:rPr>
  </w:style>
  <w:style w:type="paragraph" w:customStyle="1" w:styleId="68">
    <w:name w:val="my正文"/>
    <w:basedOn w:val="1"/>
    <w:link w:val="67"/>
    <w:qFormat/>
    <w:uiPriority w:val="0"/>
    <w:pPr>
      <w:spacing w:line="240" w:lineRule="auto"/>
      <w:ind w:firstLine="0" w:firstLineChars="0"/>
    </w:pPr>
    <w:rPr>
      <w:rFonts w:ascii="Times New Roman" w:hAnsi="Times New Roman"/>
      <w:sz w:val="21"/>
    </w:rPr>
  </w:style>
  <w:style w:type="character" w:customStyle="1" w:styleId="69">
    <w:name w:val="正文2 字符"/>
    <w:link w:val="70"/>
    <w:qFormat/>
    <w:uiPriority w:val="0"/>
    <w:rPr>
      <w:kern w:val="2"/>
      <w:sz w:val="21"/>
      <w:szCs w:val="24"/>
    </w:rPr>
  </w:style>
  <w:style w:type="paragraph" w:customStyle="1" w:styleId="70">
    <w:name w:val="正文2"/>
    <w:basedOn w:val="1"/>
    <w:link w:val="69"/>
    <w:qFormat/>
    <w:uiPriority w:val="0"/>
    <w:pPr>
      <w:ind w:firstLine="420"/>
    </w:pPr>
    <w:rPr>
      <w:rFonts w:ascii="Times New Roman" w:hAnsi="Times New Roman"/>
      <w:sz w:val="21"/>
    </w:rPr>
  </w:style>
  <w:style w:type="character" w:customStyle="1" w:styleId="71">
    <w:name w:val="font41"/>
    <w:qFormat/>
    <w:uiPriority w:val="0"/>
    <w:rPr>
      <w:rFonts w:hint="eastAsia" w:ascii="宋体" w:hAnsi="宋体" w:eastAsia="宋体" w:cs="宋体"/>
      <w:color w:val="000000"/>
      <w:sz w:val="21"/>
      <w:szCs w:val="21"/>
      <w:u w:val="none"/>
    </w:rPr>
  </w:style>
  <w:style w:type="character" w:customStyle="1" w:styleId="72">
    <w:name w:val="标题 7 字符"/>
    <w:link w:val="8"/>
    <w:qFormat/>
    <w:uiPriority w:val="9"/>
    <w:rPr>
      <w:b/>
      <w:bCs/>
      <w:kern w:val="2"/>
      <w:sz w:val="21"/>
      <w:szCs w:val="24"/>
    </w:rPr>
  </w:style>
  <w:style w:type="character" w:customStyle="1" w:styleId="73">
    <w:name w:val="批注框文本 字符"/>
    <w:semiHidden/>
    <w:qFormat/>
    <w:uiPriority w:val="99"/>
    <w:rPr>
      <w:rFonts w:ascii="宋体" w:hAnsi="宋体"/>
      <w:kern w:val="2"/>
      <w:sz w:val="18"/>
      <w:szCs w:val="18"/>
    </w:rPr>
  </w:style>
  <w:style w:type="character" w:customStyle="1" w:styleId="74">
    <w:name w:val="副标题 Char1"/>
    <w:qFormat/>
    <w:uiPriority w:val="0"/>
    <w:rPr>
      <w:rFonts w:ascii="Calibri Light" w:hAnsi="Calibri Light" w:cs="Times New Roman"/>
      <w:b/>
      <w:bCs/>
      <w:kern w:val="28"/>
      <w:sz w:val="32"/>
      <w:szCs w:val="32"/>
    </w:rPr>
  </w:style>
  <w:style w:type="character" w:customStyle="1" w:styleId="75">
    <w:name w:val="标题 1 字符1"/>
    <w:link w:val="2"/>
    <w:qFormat/>
    <w:uiPriority w:val="9"/>
    <w:rPr>
      <w:rFonts w:ascii="宋体" w:hAnsi="宋体" w:eastAsia="黑体"/>
      <w:b/>
      <w:bCs/>
      <w:kern w:val="44"/>
      <w:sz w:val="32"/>
      <w:szCs w:val="28"/>
    </w:rPr>
  </w:style>
  <w:style w:type="character" w:customStyle="1" w:styleId="76">
    <w:name w:val="批注文字 字符"/>
    <w:qFormat/>
    <w:uiPriority w:val="99"/>
    <w:rPr>
      <w:rFonts w:ascii="宋体" w:hAnsi="宋体"/>
      <w:kern w:val="2"/>
      <w:sz w:val="24"/>
      <w:szCs w:val="24"/>
    </w:rPr>
  </w:style>
  <w:style w:type="character" w:customStyle="1" w:styleId="77">
    <w:name w:val="文档结构图 字符"/>
    <w:semiHidden/>
    <w:qFormat/>
    <w:uiPriority w:val="99"/>
    <w:rPr>
      <w:rFonts w:ascii="Microsoft YaHei UI" w:hAnsi="宋体" w:eastAsia="Microsoft YaHei UI"/>
      <w:kern w:val="2"/>
      <w:sz w:val="18"/>
      <w:szCs w:val="18"/>
    </w:rPr>
  </w:style>
  <w:style w:type="character" w:customStyle="1" w:styleId="78">
    <w:name w:val="标题 6 字符"/>
    <w:semiHidden/>
    <w:qFormat/>
    <w:uiPriority w:val="9"/>
    <w:rPr>
      <w:rFonts w:ascii="等线 Light" w:hAnsi="等线 Light" w:eastAsia="等线 Light" w:cs="Times New Roman"/>
      <w:b/>
      <w:bCs/>
      <w:kern w:val="2"/>
      <w:sz w:val="24"/>
      <w:szCs w:val="24"/>
    </w:rPr>
  </w:style>
  <w:style w:type="character" w:customStyle="1" w:styleId="79">
    <w:name w:val="正文正文2 Char"/>
    <w:link w:val="80"/>
    <w:qFormat/>
    <w:uiPriority w:val="0"/>
    <w:rPr>
      <w:rFonts w:ascii="宋体" w:hAnsi="宋体"/>
      <w:kern w:val="2"/>
      <w:sz w:val="21"/>
      <w:szCs w:val="21"/>
    </w:rPr>
  </w:style>
  <w:style w:type="paragraph" w:customStyle="1" w:styleId="80">
    <w:name w:val="正文正文2"/>
    <w:basedOn w:val="1"/>
    <w:link w:val="79"/>
    <w:qFormat/>
    <w:uiPriority w:val="0"/>
    <w:pPr>
      <w:ind w:firstLine="460"/>
    </w:pPr>
    <w:rPr>
      <w:sz w:val="21"/>
      <w:szCs w:val="21"/>
    </w:rPr>
  </w:style>
  <w:style w:type="character" w:customStyle="1" w:styleId="81">
    <w:name w:val="标题 3 字符2"/>
    <w:link w:val="4"/>
    <w:qFormat/>
    <w:uiPriority w:val="0"/>
    <w:rPr>
      <w:rFonts w:ascii="宋体" w:hAnsi="宋体"/>
      <w:b/>
      <w:bCs/>
      <w:kern w:val="2"/>
      <w:sz w:val="28"/>
      <w:szCs w:val="28"/>
    </w:rPr>
  </w:style>
  <w:style w:type="character" w:customStyle="1" w:styleId="82">
    <w:name w:val="标题 4 字符"/>
    <w:semiHidden/>
    <w:qFormat/>
    <w:uiPriority w:val="9"/>
    <w:rPr>
      <w:rFonts w:ascii="等线 Light" w:hAnsi="等线 Light" w:eastAsia="等线 Light" w:cs="Times New Roman"/>
      <w:b/>
      <w:bCs/>
      <w:kern w:val="2"/>
      <w:sz w:val="28"/>
      <w:szCs w:val="28"/>
    </w:rPr>
  </w:style>
  <w:style w:type="character" w:customStyle="1" w:styleId="83">
    <w:name w:val="批注主题 字符1"/>
    <w:link w:val="34"/>
    <w:qFormat/>
    <w:uiPriority w:val="0"/>
    <w:rPr>
      <w:rFonts w:eastAsia="仿宋"/>
      <w:b/>
      <w:bCs/>
      <w:kern w:val="2"/>
      <w:sz w:val="21"/>
      <w:szCs w:val="24"/>
    </w:rPr>
  </w:style>
  <w:style w:type="character" w:customStyle="1" w:styleId="84">
    <w:name w:val="页眉 字符"/>
    <w:semiHidden/>
    <w:qFormat/>
    <w:uiPriority w:val="99"/>
    <w:rPr>
      <w:rFonts w:ascii="宋体" w:hAnsi="宋体"/>
      <w:kern w:val="2"/>
      <w:sz w:val="18"/>
      <w:szCs w:val="18"/>
    </w:rPr>
  </w:style>
  <w:style w:type="character" w:customStyle="1" w:styleId="85">
    <w:name w:val="正文文本缩进 字符1"/>
    <w:link w:val="17"/>
    <w:qFormat/>
    <w:uiPriority w:val="0"/>
    <w:rPr>
      <w:kern w:val="2"/>
      <w:sz w:val="21"/>
    </w:rPr>
  </w:style>
  <w:style w:type="character" w:customStyle="1" w:styleId="86">
    <w:name w:val="标题 5 字符1"/>
    <w:link w:val="6"/>
    <w:qFormat/>
    <w:uiPriority w:val="0"/>
    <w:rPr>
      <w:rFonts w:ascii="宋体" w:hAnsi="宋体"/>
      <w:b/>
      <w:bCs/>
      <w:kern w:val="2"/>
      <w:sz w:val="24"/>
      <w:szCs w:val="28"/>
    </w:rPr>
  </w:style>
  <w:style w:type="character" w:customStyle="1" w:styleId="87">
    <w:name w:val="副标题 字符1"/>
    <w:link w:val="28"/>
    <w:qFormat/>
    <w:uiPriority w:val="0"/>
    <w:rPr>
      <w:rFonts w:ascii="Calibri Light" w:hAnsi="Calibri Light"/>
      <w:b/>
      <w:bCs/>
      <w:kern w:val="28"/>
      <w:sz w:val="32"/>
      <w:szCs w:val="32"/>
    </w:rPr>
  </w:style>
  <w:style w:type="character" w:customStyle="1" w:styleId="88">
    <w:name w:val="标题 2 字符1"/>
    <w:link w:val="3"/>
    <w:qFormat/>
    <w:uiPriority w:val="9"/>
    <w:rPr>
      <w:rFonts w:ascii="宋体" w:hAnsi="宋体"/>
      <w:b/>
      <w:bCs/>
      <w:kern w:val="2"/>
      <w:sz w:val="30"/>
      <w:szCs w:val="32"/>
    </w:rPr>
  </w:style>
  <w:style w:type="character" w:customStyle="1" w:styleId="89">
    <w:name w:val="页脚 字符1"/>
    <w:link w:val="24"/>
    <w:qFormat/>
    <w:uiPriority w:val="99"/>
    <w:rPr>
      <w:kern w:val="2"/>
      <w:sz w:val="18"/>
      <w:szCs w:val="18"/>
    </w:rPr>
  </w:style>
  <w:style w:type="character" w:customStyle="1" w:styleId="90">
    <w:name w:val="批注主题 字符"/>
    <w:semiHidden/>
    <w:qFormat/>
    <w:uiPriority w:val="99"/>
    <w:rPr>
      <w:rFonts w:ascii="宋体" w:hAnsi="宋体"/>
      <w:b/>
      <w:bCs/>
      <w:kern w:val="2"/>
      <w:sz w:val="24"/>
      <w:szCs w:val="24"/>
    </w:rPr>
  </w:style>
  <w:style w:type="character" w:customStyle="1" w:styleId="91">
    <w:name w:val="文档结构图 字符1"/>
    <w:link w:val="14"/>
    <w:qFormat/>
    <w:uiPriority w:val="0"/>
    <w:rPr>
      <w:rFonts w:ascii="宋体"/>
      <w:kern w:val="2"/>
      <w:sz w:val="18"/>
      <w:szCs w:val="18"/>
    </w:rPr>
  </w:style>
  <w:style w:type="character" w:customStyle="1" w:styleId="92">
    <w:name w:val="font31"/>
    <w:qFormat/>
    <w:uiPriority w:val="0"/>
    <w:rPr>
      <w:rFonts w:hint="eastAsia" w:ascii="宋体" w:hAnsi="宋体" w:eastAsia="宋体" w:cs="宋体"/>
      <w:color w:val="000000"/>
      <w:sz w:val="21"/>
      <w:szCs w:val="21"/>
      <w:u w:val="none"/>
    </w:rPr>
  </w:style>
  <w:style w:type="character" w:customStyle="1" w:styleId="93">
    <w:name w:val="标准正文 Char"/>
    <w:link w:val="94"/>
    <w:qFormat/>
    <w:uiPriority w:val="0"/>
    <w:rPr>
      <w:rFonts w:ascii="Arial" w:hAnsi="Arial"/>
      <w:kern w:val="2"/>
      <w:sz w:val="24"/>
    </w:rPr>
  </w:style>
  <w:style w:type="paragraph" w:customStyle="1" w:styleId="94">
    <w:name w:val="标准正文"/>
    <w:basedOn w:val="17"/>
    <w:link w:val="93"/>
    <w:qFormat/>
    <w:uiPriority w:val="0"/>
    <w:pPr>
      <w:spacing w:before="60" w:after="60"/>
      <w:ind w:firstLine="482" w:firstLineChars="0"/>
    </w:pPr>
    <w:rPr>
      <w:rFonts w:ascii="Arial" w:hAnsi="Arial"/>
      <w:sz w:val="24"/>
    </w:rPr>
  </w:style>
  <w:style w:type="character" w:customStyle="1" w:styleId="95">
    <w:name w:val="标题 字符1"/>
    <w:link w:val="33"/>
    <w:qFormat/>
    <w:uiPriority w:val="0"/>
    <w:rPr>
      <w:rFonts w:ascii="Cambria" w:hAnsi="Cambria" w:eastAsia="黑体"/>
      <w:b/>
      <w:bCs/>
      <w:kern w:val="2"/>
      <w:sz w:val="52"/>
      <w:szCs w:val="32"/>
    </w:rPr>
  </w:style>
  <w:style w:type="character" w:customStyle="1" w:styleId="96">
    <w:name w:val="批注框文本 字符1"/>
    <w:link w:val="23"/>
    <w:qFormat/>
    <w:uiPriority w:val="0"/>
    <w:rPr>
      <w:kern w:val="2"/>
      <w:sz w:val="18"/>
      <w:szCs w:val="18"/>
    </w:rPr>
  </w:style>
  <w:style w:type="character" w:customStyle="1" w:styleId="97">
    <w:name w:val="页眉 字符1"/>
    <w:link w:val="25"/>
    <w:qFormat/>
    <w:uiPriority w:val="99"/>
    <w:rPr>
      <w:kern w:val="2"/>
      <w:sz w:val="18"/>
      <w:szCs w:val="18"/>
    </w:rPr>
  </w:style>
  <w:style w:type="character" w:customStyle="1" w:styleId="98">
    <w:name w:val="标题 8 字符"/>
    <w:link w:val="9"/>
    <w:qFormat/>
    <w:uiPriority w:val="9"/>
    <w:rPr>
      <w:rFonts w:ascii="Cambria" w:hAnsi="Cambria"/>
      <w:kern w:val="2"/>
      <w:sz w:val="21"/>
      <w:szCs w:val="24"/>
    </w:rPr>
  </w:style>
  <w:style w:type="character" w:customStyle="1" w:styleId="99">
    <w:name w:val="标题 6 字符1"/>
    <w:link w:val="7"/>
    <w:qFormat/>
    <w:uiPriority w:val="0"/>
    <w:rPr>
      <w:rFonts w:ascii="Cambria" w:hAnsi="Cambria"/>
      <w:b/>
      <w:bCs/>
      <w:kern w:val="2"/>
      <w:sz w:val="24"/>
      <w:szCs w:val="24"/>
    </w:rPr>
  </w:style>
  <w:style w:type="character" w:customStyle="1" w:styleId="100">
    <w:name w:val="标题 字符"/>
    <w:qFormat/>
    <w:uiPriority w:val="10"/>
    <w:rPr>
      <w:rFonts w:ascii="等线 Light" w:hAnsi="等线 Light" w:eastAsia="等线 Light" w:cs="Times New Roman"/>
      <w:b/>
      <w:bCs/>
      <w:kern w:val="2"/>
      <w:sz w:val="32"/>
      <w:szCs w:val="32"/>
    </w:rPr>
  </w:style>
  <w:style w:type="character" w:customStyle="1" w:styleId="101">
    <w:name w:val="副标题 字符"/>
    <w:qFormat/>
    <w:uiPriority w:val="11"/>
    <w:rPr>
      <w:rFonts w:ascii="等线" w:hAnsi="等线" w:eastAsia="等线" w:cs="Times New Roman"/>
      <w:b/>
      <w:bCs/>
      <w:kern w:val="28"/>
      <w:sz w:val="32"/>
      <w:szCs w:val="32"/>
    </w:rPr>
  </w:style>
  <w:style w:type="paragraph" w:customStyle="1" w:styleId="102">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3">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4">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5">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6">
    <w:name w:val="正文缩进1"/>
    <w:basedOn w:val="1"/>
    <w:qFormat/>
    <w:uiPriority w:val="0"/>
    <w:pPr>
      <w:spacing w:line="240" w:lineRule="auto"/>
      <w:ind w:firstLine="420"/>
    </w:pPr>
    <w:rPr>
      <w:rFonts w:ascii="Times New Roman" w:hAnsi="Times New Roman"/>
      <w:sz w:val="21"/>
      <w:szCs w:val="20"/>
    </w:rPr>
  </w:style>
  <w:style w:type="paragraph" w:customStyle="1" w:styleId="107">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8">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09">
    <w:name w:val="Indent Normal"/>
    <w:basedOn w:val="1"/>
    <w:qFormat/>
    <w:uiPriority w:val="0"/>
    <w:pPr>
      <w:ind w:firstLine="150" w:firstLineChars="150"/>
    </w:pPr>
  </w:style>
  <w:style w:type="paragraph" w:customStyle="1" w:styleId="110">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1">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2">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3">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4">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5">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7">
    <w:name w:val="Char Char Char Char Char Char1 Char"/>
    <w:basedOn w:val="1"/>
    <w:qFormat/>
    <w:uiPriority w:val="0"/>
    <w:pPr>
      <w:widowControl/>
      <w:spacing w:after="160" w:line="240" w:lineRule="exact"/>
      <w:jc w:val="left"/>
    </w:pPr>
  </w:style>
  <w:style w:type="paragraph" w:customStyle="1" w:styleId="118">
    <w:name w:val="PM_Body"/>
    <w:basedOn w:val="1"/>
    <w:qFormat/>
    <w:locked/>
    <w:uiPriority w:val="0"/>
    <w:rPr>
      <w:szCs w:val="21"/>
    </w:rPr>
  </w:style>
  <w:style w:type="paragraph" w:customStyle="1" w:styleId="119">
    <w:name w:val="Char Char1"/>
    <w:basedOn w:val="1"/>
    <w:qFormat/>
    <w:uiPriority w:val="0"/>
    <w:pPr>
      <w:widowControl/>
      <w:spacing w:before="120" w:after="120"/>
    </w:pPr>
    <w:rPr>
      <w:rFonts w:ascii="Times New Roman" w:hAnsi="Times New Roman" w:cs="宋体"/>
    </w:rPr>
  </w:style>
  <w:style w:type="paragraph" w:customStyle="1" w:styleId="120">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1">
    <w:name w:val="修订1"/>
    <w:unhideWhenUsed/>
    <w:qFormat/>
    <w:uiPriority w:val="99"/>
    <w:rPr>
      <w:rFonts w:ascii="宋体" w:hAnsi="宋体" w:eastAsia="宋体" w:cs="Times New Roman"/>
      <w:kern w:val="2"/>
      <w:sz w:val="24"/>
      <w:szCs w:val="24"/>
      <w:lang w:val="en-US" w:eastAsia="zh-CN" w:bidi="ar-SA"/>
    </w:rPr>
  </w:style>
  <w:style w:type="paragraph" w:customStyle="1" w:styleId="122">
    <w:name w:val="列出段落2"/>
    <w:basedOn w:val="1"/>
    <w:qFormat/>
    <w:uiPriority w:val="0"/>
    <w:pPr>
      <w:spacing w:line="240" w:lineRule="auto"/>
      <w:ind w:firstLine="420"/>
    </w:pPr>
    <w:rPr>
      <w:rFonts w:ascii="等线" w:hAnsi="等线" w:eastAsia="等线" w:cs="等线"/>
      <w:sz w:val="21"/>
      <w:szCs w:val="21"/>
    </w:rPr>
  </w:style>
  <w:style w:type="paragraph" w:customStyle="1" w:styleId="123">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5">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26">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7">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8">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29">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0">
    <w:name w:val="!我的表格1"/>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1"/>
    <w:basedOn w:val="35"/>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2">
    <w:name w:val="标题 1 Char"/>
    <w:qFormat/>
    <w:uiPriority w:val="0"/>
    <w:rPr>
      <w:rFonts w:ascii="宋体" w:hAnsi="宋体" w:eastAsia="黑体"/>
      <w:b/>
      <w:bCs/>
      <w:kern w:val="44"/>
      <w:sz w:val="32"/>
      <w:szCs w:val="28"/>
    </w:rPr>
  </w:style>
  <w:style w:type="character" w:customStyle="1" w:styleId="133">
    <w:name w:val="纯文本 Char2"/>
    <w:qFormat/>
    <w:uiPriority w:val="0"/>
    <w:rPr>
      <w:rFonts w:ascii="宋体" w:hAnsi="宋体" w:eastAsia="宋体" w:cs="Times New Roman"/>
      <w:color w:val="000000"/>
      <w:kern w:val="0"/>
      <w:sz w:val="24"/>
      <w:szCs w:val="24"/>
    </w:rPr>
  </w:style>
  <w:style w:type="paragraph" w:customStyle="1" w:styleId="134">
    <w:name w:val="修订2"/>
    <w:hidden/>
    <w:unhideWhenUsed/>
    <w:qFormat/>
    <w:uiPriority w:val="99"/>
    <w:rPr>
      <w:rFonts w:ascii="宋体" w:hAnsi="宋体" w:eastAsia="宋体" w:cs="Times New Roman"/>
      <w:kern w:val="2"/>
      <w:sz w:val="24"/>
      <w:szCs w:val="24"/>
      <w:lang w:val="en-US" w:eastAsia="zh-CN" w:bidi="ar-SA"/>
    </w:rPr>
  </w:style>
  <w:style w:type="paragraph" w:customStyle="1" w:styleId="135">
    <w:name w:val="!BECC正文"/>
    <w:basedOn w:val="1"/>
    <w:qFormat/>
    <w:uiPriority w:val="0"/>
    <w:pPr>
      <w:tabs>
        <w:tab w:val="left" w:pos="0"/>
      </w:tabs>
      <w:spacing w:beforeLines="50" w:afterLines="50"/>
      <w:ind w:firstLine="200"/>
    </w:pPr>
    <w:rPr>
      <w:rFonts w:asciiTheme="minorHAnsi" w:hAnsiTheme="minorHAnsi" w:eastAsiaTheme="minorEastAsia" w:cstheme="minorBidi"/>
    </w:rPr>
  </w:style>
  <w:style w:type="paragraph" w:customStyle="1" w:styleId="136">
    <w:name w:val="5级标题"/>
    <w:basedOn w:val="6"/>
    <w:qFormat/>
    <w:uiPriority w:val="0"/>
    <w:pPr>
      <w:keepNext w:val="0"/>
      <w:numPr>
        <w:numId w:val="3"/>
      </w:numPr>
      <w:tabs>
        <w:tab w:val="left" w:pos="312"/>
      </w:tabs>
      <w:spacing w:line="372" w:lineRule="auto"/>
    </w:pPr>
    <w:rPr>
      <w:rFonts w:ascii="Times New Roman" w:hAnsi="Times New Roman"/>
      <w:b w:val="0"/>
      <w:szCs w:val="21"/>
    </w:rPr>
  </w:style>
  <w:style w:type="paragraph" w:customStyle="1" w:styleId="137">
    <w:name w:val="可研正文"/>
    <w:basedOn w:val="1"/>
    <w:qFormat/>
    <w:uiPriority w:val="0"/>
    <w:pPr>
      <w:ind w:firstLine="200"/>
    </w:pPr>
    <w:rPr>
      <w:rFonts w:ascii="仿宋" w:hAnsi="仿宋" w:eastAsia="仿宋"/>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4BE6F3C-D29A-4038-8C75-1E72B8E32967}">
  <ds:schemaRefs/>
</ds:datastoreItem>
</file>

<file path=docProps/app.xml><?xml version="1.0" encoding="utf-8"?>
<Properties xmlns="http://schemas.openxmlformats.org/officeDocument/2006/extended-properties" xmlns:vt="http://schemas.openxmlformats.org/officeDocument/2006/docPropsVTypes">
  <Template>Normal</Template>
  <Pages>13</Pages>
  <Words>4792</Words>
  <Characters>5080</Characters>
  <Lines>564</Lines>
  <Paragraphs>394</Paragraphs>
  <TotalTime>120</TotalTime>
  <ScaleCrop>false</ScaleCrop>
  <LinksUpToDate>false</LinksUpToDate>
  <CharactersWithSpaces>9478</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2025-03-09T19:05:00Z</dcterms:created>
  <dc:creator>gtig_tzb</dc:creator>
  <cp:lastModifiedBy>user</cp:lastModifiedBy>
  <cp:lastPrinted>2020-08-08T04:08:00Z</cp:lastPrinted>
  <dcterms:modified xsi:type="dcterms:W3CDTF">2025-06-11T08:35:59Z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F9F7A26FB4364EA39133D1F99C57A349_13</vt:lpwstr>
  </property>
  <property fmtid="{D5CDD505-2E9C-101B-9397-08002B2CF9AE}" pid="4" name="KSOTemplateDocerSaveRecord">
    <vt:lpwstr>eyJoZGlkIjoiYWRlMTcyOTAwYTViNTYwMjdjZjIwZGJjMjgwNTJmOGUiLCJ1c2VySWQiOiIyOTk2NTM5MzkifQ==</vt:lpwstr>
  </property>
</Properties>
</file>