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934E5">
      <w:pPr>
        <w:ind w:firstLine="0" w:firstLineChars="0"/>
        <w:jc w:val="center"/>
        <w:rPr>
          <w:rFonts w:hint="eastAsia" w:ascii="黑体" w:hAnsi="黑体" w:eastAsia="黑体"/>
          <w:sz w:val="48"/>
          <w:szCs w:val="48"/>
        </w:rPr>
      </w:pPr>
    </w:p>
    <w:p w14:paraId="412A5A9C">
      <w:pPr>
        <w:ind w:firstLine="0" w:firstLineChars="0"/>
        <w:jc w:val="center"/>
        <w:rPr>
          <w:rFonts w:hint="eastAsia" w:ascii="黑体" w:hAnsi="黑体" w:eastAsia="黑体"/>
          <w:sz w:val="48"/>
          <w:szCs w:val="48"/>
        </w:rPr>
      </w:pPr>
    </w:p>
    <w:p w14:paraId="412FEC79">
      <w:pPr>
        <w:ind w:firstLine="0" w:firstLineChars="0"/>
        <w:jc w:val="center"/>
        <w:rPr>
          <w:rFonts w:hint="eastAsia" w:ascii="黑体" w:hAnsi="黑体" w:eastAsia="黑体"/>
          <w:sz w:val="48"/>
          <w:szCs w:val="48"/>
        </w:rPr>
      </w:pPr>
    </w:p>
    <w:p w14:paraId="389D3441">
      <w:pPr>
        <w:ind w:firstLine="0" w:firstLineChars="0"/>
        <w:jc w:val="center"/>
        <w:rPr>
          <w:rFonts w:hint="eastAsia" w:ascii="黑体" w:hAnsi="黑体" w:eastAsia="黑体"/>
          <w:sz w:val="48"/>
          <w:szCs w:val="48"/>
        </w:rPr>
      </w:pPr>
      <w:r>
        <w:rPr>
          <w:rFonts w:hint="eastAsia" w:ascii="黑体" w:hAnsi="黑体" w:eastAsia="黑体"/>
          <w:sz w:val="48"/>
          <w:szCs w:val="48"/>
        </w:rPr>
        <w:t>上海市MAP中台子系统（新建）项目</w:t>
      </w:r>
    </w:p>
    <w:p w14:paraId="034668E7">
      <w:pPr>
        <w:ind w:firstLine="0" w:firstLineChars="0"/>
        <w:jc w:val="center"/>
        <w:rPr>
          <w:rFonts w:hint="eastAsia" w:ascii="黑体" w:hAnsi="黑体" w:eastAsia="黑体"/>
          <w:sz w:val="52"/>
          <w:szCs w:val="52"/>
        </w:rPr>
      </w:pPr>
      <w:r>
        <w:rPr>
          <w:rFonts w:hint="eastAsia" w:ascii="黑体" w:hAnsi="黑体" w:eastAsia="黑体"/>
          <w:sz w:val="52"/>
          <w:szCs w:val="52"/>
        </w:rPr>
        <w:t>2025年度采购需求</w:t>
      </w:r>
    </w:p>
    <w:p w14:paraId="301EC71C">
      <w:pPr>
        <w:ind w:firstLine="0" w:firstLineChars="0"/>
        <w:jc w:val="center"/>
        <w:rPr>
          <w:rFonts w:hint="eastAsia" w:ascii="黑体" w:hAnsi="黑体" w:eastAsia="黑体"/>
          <w:sz w:val="72"/>
          <w:szCs w:val="72"/>
        </w:rPr>
      </w:pPr>
    </w:p>
    <w:p w14:paraId="3AFC9ACE">
      <w:pPr>
        <w:ind w:firstLine="0" w:firstLineChars="0"/>
        <w:jc w:val="center"/>
        <w:rPr>
          <w:rFonts w:hint="eastAsia" w:ascii="黑体" w:hAnsi="黑体" w:eastAsia="黑体"/>
          <w:sz w:val="48"/>
          <w:szCs w:val="48"/>
        </w:rPr>
      </w:pPr>
    </w:p>
    <w:p w14:paraId="6F692C1C">
      <w:pPr>
        <w:ind w:firstLine="0" w:firstLineChars="0"/>
        <w:jc w:val="center"/>
        <w:rPr>
          <w:rFonts w:hint="eastAsia" w:ascii="黑体" w:hAnsi="黑体" w:eastAsia="黑体"/>
          <w:sz w:val="52"/>
          <w:szCs w:val="52"/>
        </w:rPr>
      </w:pPr>
    </w:p>
    <w:p w14:paraId="20F4B7F2">
      <w:pPr>
        <w:ind w:firstLine="1040"/>
        <w:rPr>
          <w:rFonts w:hint="eastAsia" w:ascii="黑体" w:hAnsi="黑体" w:eastAsia="黑体"/>
          <w:sz w:val="52"/>
          <w:szCs w:val="52"/>
        </w:rPr>
      </w:pPr>
    </w:p>
    <w:p w14:paraId="4E0E008D">
      <w:pPr>
        <w:rPr>
          <w:rFonts w:hint="eastAsia"/>
        </w:rPr>
      </w:pPr>
    </w:p>
    <w:p w14:paraId="1A8CD8B6">
      <w:pPr>
        <w:rPr>
          <w:rFonts w:hint="eastAsia"/>
        </w:rPr>
      </w:pPr>
    </w:p>
    <w:p w14:paraId="62BEFE09">
      <w:pPr>
        <w:rPr>
          <w:rFonts w:hint="eastAsia"/>
        </w:rPr>
      </w:pPr>
    </w:p>
    <w:p w14:paraId="18DC0936">
      <w:pPr>
        <w:rPr>
          <w:rFonts w:hint="eastAsia"/>
        </w:rPr>
      </w:pPr>
    </w:p>
    <w:p w14:paraId="6BDA304F">
      <w:pPr>
        <w:rPr>
          <w:rFonts w:hint="eastAsia"/>
        </w:rPr>
      </w:pPr>
    </w:p>
    <w:p w14:paraId="70BBD357">
      <w:pPr>
        <w:ind w:firstLine="1040"/>
        <w:rPr>
          <w:rFonts w:hint="eastAsia" w:ascii="黑体" w:hAnsi="黑体" w:eastAsia="黑体"/>
          <w:sz w:val="52"/>
          <w:szCs w:val="52"/>
        </w:rPr>
      </w:pPr>
    </w:p>
    <w:p w14:paraId="4C818A74">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67A2AE8C">
      <w:pPr>
        <w:pStyle w:val="2"/>
        <w:rPr>
          <w:rFonts w:hint="eastAsia"/>
        </w:rPr>
      </w:pPr>
      <w:bookmarkStart w:id="0" w:name="_Toc63785461"/>
      <w:r>
        <w:rPr>
          <w:rFonts w:hint="eastAsia"/>
        </w:rPr>
        <w:t>项目概况</w:t>
      </w:r>
      <w:bookmarkEnd w:id="0"/>
    </w:p>
    <w:p w14:paraId="48E660C6">
      <w:pPr>
        <w:spacing w:line="560" w:lineRule="exact"/>
        <w:rPr>
          <w:rFonts w:hint="eastAsia"/>
        </w:rPr>
      </w:pPr>
      <w:r>
        <w:rPr>
          <w:rFonts w:hint="eastAsia"/>
        </w:rPr>
        <w:t>党的十八大以来，国家从政策、资金等多方面统筹布局，绘制以“大平台、大数据、大系统”为核心的政务信息化发展蓝图，构建数字化、智能化的政府运行新形态。近年来，人工智能技术在党政领域加速渗透，为政府数字化治理提供了更广阔的变革空间与创新路径。我市积极响应国家战略，陆续出台《上海市推动人工智能大模型创新发展若干措施（2023—2025年）》《上海市智能算力基础设施高质量发展“算力浦江”智算行动实施方案(2024—2025年)》等文件，从技术、场景、算力等方面为人工智能发展提供有力支撑。在此背景下，我市统筹建设</w:t>
      </w:r>
      <w:r>
        <w:t>MAP平台实现市级模型统</w:t>
      </w:r>
      <w:r>
        <w:rPr>
          <w:rFonts w:hint="eastAsia"/>
        </w:rPr>
        <w:t>一纳管</w:t>
      </w:r>
      <w:r>
        <w:t>，同步构建语料</w:t>
      </w:r>
      <w:r>
        <w:rPr>
          <w:rFonts w:hint="eastAsia"/>
        </w:rPr>
        <w:t>治理功能，</w:t>
      </w:r>
      <w:r>
        <w:t>智能体开发与标准化输出</w:t>
      </w:r>
      <w:r>
        <w:rPr>
          <w:rFonts w:hint="eastAsia"/>
        </w:rPr>
        <w:t>功能</w:t>
      </w:r>
      <w:r>
        <w:t>，最终实现政务资源的集约化管理与高效化应用，</w:t>
      </w:r>
      <w:r>
        <w:rPr>
          <w:rFonts w:hint="eastAsia"/>
        </w:rPr>
        <w:t>提升</w:t>
      </w:r>
      <w:r>
        <w:rPr>
          <w:rFonts w:hint="eastAsia" w:ascii="Times New Roman" w:hAnsi="Times New Roman"/>
        </w:rPr>
        <w:t>政府履职数字化、智能化水平。</w:t>
      </w:r>
    </w:p>
    <w:p w14:paraId="20AACF21">
      <w:pPr>
        <w:spacing w:line="560" w:lineRule="exact"/>
        <w:rPr>
          <w:rFonts w:hint="eastAsia"/>
        </w:rPr>
      </w:pPr>
      <w:r>
        <w:rPr>
          <w:rFonts w:hint="eastAsia"/>
        </w:rPr>
        <w:t>建设期限：自合同签订后10个月内完成系统建设并通过验收。</w:t>
      </w:r>
    </w:p>
    <w:p w14:paraId="7686286F">
      <w:pPr>
        <w:spacing w:line="560" w:lineRule="exact"/>
        <w:rPr>
          <w:rFonts w:hint="eastAsia"/>
        </w:rPr>
      </w:pPr>
      <w:r>
        <w:rPr>
          <w:rFonts w:hint="eastAsia"/>
        </w:rPr>
        <w:t>建设地点：上海，采购人指定地点</w:t>
      </w:r>
    </w:p>
    <w:p w14:paraId="0EBE955C">
      <w:pPr>
        <w:spacing w:line="560" w:lineRule="exact"/>
        <w:rPr>
          <w:rFonts w:hint="eastAsia"/>
        </w:rPr>
      </w:pPr>
      <w:r>
        <w:rPr>
          <w:rFonts w:hint="eastAsia"/>
        </w:rPr>
        <w:t>预算金额：</w:t>
      </w:r>
      <w:bookmarkStart w:id="1" w:name="OLE_LINK1"/>
      <w:r>
        <w:rPr>
          <w:rFonts w:hint="eastAsia"/>
        </w:rPr>
        <w:t>1165.75</w:t>
      </w:r>
      <w:bookmarkEnd w:id="1"/>
      <w:r>
        <w:rPr>
          <w:rFonts w:hint="eastAsia"/>
        </w:rPr>
        <w:t>万元</w:t>
      </w:r>
    </w:p>
    <w:p w14:paraId="30F67FFB">
      <w:pPr>
        <w:spacing w:line="560" w:lineRule="exact"/>
        <w:rPr>
          <w:rFonts w:hint="eastAsia"/>
        </w:rPr>
      </w:pPr>
      <w:r>
        <w:rPr>
          <w:rFonts w:hint="eastAsia"/>
        </w:rPr>
        <w:t>采购金额（最高限价）：1165.75万元</w:t>
      </w:r>
    </w:p>
    <w:p w14:paraId="55D020ED">
      <w:pPr>
        <w:rPr>
          <w:rFonts w:hint="eastAsia"/>
        </w:rPr>
      </w:pPr>
      <w:r>
        <w:rPr>
          <w:rFonts w:hint="eastAsia"/>
        </w:rPr>
        <w:t>组织形式：集中采购</w:t>
      </w:r>
    </w:p>
    <w:p w14:paraId="10F2C789">
      <w:pPr>
        <w:rPr>
          <w:rFonts w:hint="eastAsia"/>
        </w:rPr>
      </w:pPr>
      <w:r>
        <w:rPr>
          <w:rFonts w:hint="eastAsia"/>
        </w:rPr>
        <w:t>采购方式：公开招标</w:t>
      </w:r>
    </w:p>
    <w:p w14:paraId="74D44FDC">
      <w:pPr>
        <w:rPr>
          <w:rFonts w:hint="eastAsia"/>
        </w:rPr>
      </w:pPr>
      <w:r>
        <w:rPr>
          <w:rFonts w:hint="eastAsia"/>
        </w:rPr>
        <w:t>是否接受联合体投标：否</w:t>
      </w:r>
    </w:p>
    <w:p w14:paraId="76FCEBD1">
      <w:pPr>
        <w:rPr>
          <w:rFonts w:hint="eastAsia"/>
        </w:rPr>
      </w:pPr>
      <w:r>
        <w:t>是否按</w:t>
      </w:r>
      <w:r>
        <w:rPr>
          <w:rFonts w:hint="eastAsia"/>
          <w:lang w:val="en-US" w:eastAsia="zh-CN"/>
        </w:rPr>
        <w:t>xc</w:t>
      </w:r>
      <w:r>
        <w:t>要求建设：是</w:t>
      </w:r>
    </w:p>
    <w:p w14:paraId="3E4E5C00">
      <w:pPr>
        <w:rPr>
          <w:rFonts w:hint="eastAsia"/>
        </w:rPr>
      </w:pPr>
      <w:r>
        <w:rPr>
          <w:rFonts w:hint="eastAsia"/>
        </w:rPr>
        <w:t>运维后所属大系统：一网通办系统</w:t>
      </w:r>
    </w:p>
    <w:p w14:paraId="717186A4">
      <w:pPr>
        <w:pStyle w:val="2"/>
        <w:rPr>
          <w:rFonts w:hint="eastAsia"/>
        </w:rPr>
      </w:pPr>
      <w:bookmarkStart w:id="2" w:name="_Toc47537134"/>
      <w:bookmarkEnd w:id="2"/>
      <w:bookmarkStart w:id="3" w:name="_Toc47532891"/>
      <w:bookmarkEnd w:id="3"/>
      <w:bookmarkStart w:id="4" w:name="_Toc47539070"/>
      <w:bookmarkEnd w:id="4"/>
      <w:bookmarkStart w:id="5" w:name="_Toc47531634"/>
      <w:bookmarkEnd w:id="5"/>
      <w:bookmarkStart w:id="6" w:name="_Toc47532255"/>
      <w:bookmarkEnd w:id="6"/>
      <w:bookmarkStart w:id="7" w:name="_Toc47533256"/>
      <w:bookmarkEnd w:id="7"/>
      <w:bookmarkStart w:id="8" w:name="_Toc47536644"/>
      <w:bookmarkEnd w:id="8"/>
      <w:bookmarkStart w:id="9" w:name="_Toc47536272"/>
      <w:bookmarkEnd w:id="9"/>
      <w:bookmarkStart w:id="10" w:name="_Toc48223882"/>
      <w:bookmarkStart w:id="11" w:name="_Toc63785463"/>
      <w:r>
        <w:rPr>
          <w:rFonts w:hint="eastAsia"/>
        </w:rPr>
        <w:t>建设目标</w:t>
      </w:r>
      <w:bookmarkEnd w:id="10"/>
      <w:bookmarkEnd w:id="11"/>
    </w:p>
    <w:p w14:paraId="59E40D3E">
      <w:pPr>
        <w:rPr>
          <w:rFonts w:hint="eastAsia"/>
          <w:bCs/>
        </w:rPr>
      </w:pPr>
      <w:r>
        <w:rPr>
          <w:rFonts w:hint="eastAsia"/>
          <w:bCs/>
        </w:rPr>
        <w:t>基于电子政务外网，按照等级保护要求，统筹模型、智能体、知识库、算力各方面资源，建成省级政务大模型底座——MAP平台，按照“搭平台、建标准、促应用、整资源”实施路径，实现传统办公向智能化办公的深刻变革，实现“三全”目标，即：全周期模型纳管、全方位数据加工、全领域AI赋能。</w:t>
      </w:r>
    </w:p>
    <w:tbl>
      <w:tblPr>
        <w:tblStyle w:val="35"/>
        <w:tblW w:w="85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3"/>
        <w:gridCol w:w="1249"/>
        <w:gridCol w:w="1559"/>
        <w:gridCol w:w="3544"/>
        <w:gridCol w:w="1434"/>
      </w:tblGrid>
      <w:tr w14:paraId="08C402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44847BD">
            <w:pPr>
              <w:pStyle w:val="80"/>
              <w:rPr>
                <w:rFonts w:hint="eastAsia"/>
              </w:rPr>
            </w:pPr>
            <w:r>
              <w:rPr>
                <w:rFonts w:hint="eastAsia"/>
              </w:rPr>
              <w:t>序号</w:t>
            </w:r>
          </w:p>
        </w:tc>
        <w:tc>
          <w:tcPr>
            <w:tcW w:w="1249" w:type="dxa"/>
            <w:tcBorders>
              <w:top w:val="single" w:color="auto" w:sz="2" w:space="0"/>
              <w:left w:val="nil"/>
              <w:bottom w:val="single" w:color="auto" w:sz="2" w:space="0"/>
              <w:right w:val="single" w:color="auto" w:sz="2" w:space="0"/>
            </w:tcBorders>
            <w:vAlign w:val="center"/>
          </w:tcPr>
          <w:p w14:paraId="0931EAE5">
            <w:pPr>
              <w:pStyle w:val="80"/>
              <w:rPr>
                <w:rFonts w:hint="eastAsia"/>
              </w:rPr>
            </w:pPr>
            <w:r>
              <w:rPr>
                <w:rFonts w:hint="eastAsia"/>
              </w:rPr>
              <w:t>一级指标</w:t>
            </w:r>
          </w:p>
        </w:tc>
        <w:tc>
          <w:tcPr>
            <w:tcW w:w="1559" w:type="dxa"/>
            <w:tcBorders>
              <w:top w:val="single" w:color="auto" w:sz="2" w:space="0"/>
              <w:left w:val="nil"/>
              <w:bottom w:val="single" w:color="auto" w:sz="2" w:space="0"/>
              <w:right w:val="single" w:color="auto" w:sz="2" w:space="0"/>
            </w:tcBorders>
            <w:vAlign w:val="center"/>
          </w:tcPr>
          <w:p w14:paraId="2ADD4A46">
            <w:pPr>
              <w:pStyle w:val="80"/>
              <w:rPr>
                <w:rFonts w:hint="eastAsia"/>
              </w:rPr>
            </w:pPr>
            <w:r>
              <w:rPr>
                <w:rFonts w:hint="eastAsia"/>
              </w:rPr>
              <w:t>二级指标</w:t>
            </w:r>
          </w:p>
        </w:tc>
        <w:tc>
          <w:tcPr>
            <w:tcW w:w="3544" w:type="dxa"/>
            <w:tcBorders>
              <w:top w:val="single" w:color="auto" w:sz="2" w:space="0"/>
              <w:left w:val="nil"/>
              <w:bottom w:val="single" w:color="auto" w:sz="2" w:space="0"/>
              <w:right w:val="single" w:color="auto" w:sz="2" w:space="0"/>
            </w:tcBorders>
          </w:tcPr>
          <w:p w14:paraId="55A38D29">
            <w:pPr>
              <w:pStyle w:val="80"/>
              <w:rPr>
                <w:rFonts w:hint="eastAsia"/>
              </w:rPr>
            </w:pPr>
            <w:r>
              <w:rPr>
                <w:rFonts w:hint="eastAsia"/>
              </w:rPr>
              <w:t>三级指标</w:t>
            </w:r>
          </w:p>
        </w:tc>
        <w:tc>
          <w:tcPr>
            <w:tcW w:w="1434" w:type="dxa"/>
            <w:tcBorders>
              <w:top w:val="single" w:color="auto" w:sz="2" w:space="0"/>
              <w:left w:val="nil"/>
              <w:bottom w:val="single" w:color="auto" w:sz="2" w:space="0"/>
              <w:right w:val="single" w:color="auto" w:sz="2" w:space="0"/>
            </w:tcBorders>
            <w:vAlign w:val="center"/>
          </w:tcPr>
          <w:p w14:paraId="0AC81014">
            <w:pPr>
              <w:pStyle w:val="80"/>
              <w:rPr>
                <w:rFonts w:hint="eastAsia"/>
              </w:rPr>
            </w:pPr>
            <w:r>
              <w:rPr>
                <w:rFonts w:hint="eastAsia"/>
              </w:rPr>
              <w:t>指标值</w:t>
            </w:r>
          </w:p>
        </w:tc>
      </w:tr>
      <w:tr w14:paraId="1660A4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20987C16">
            <w:pPr>
              <w:pStyle w:val="80"/>
              <w:rPr>
                <w:rFonts w:hint="eastAsia"/>
              </w:rPr>
            </w:pPr>
            <w:r>
              <w:rPr>
                <w:rFonts w:hint="eastAsia"/>
              </w:rPr>
              <w:t>1</w:t>
            </w:r>
          </w:p>
        </w:tc>
        <w:tc>
          <w:tcPr>
            <w:tcW w:w="1249" w:type="dxa"/>
            <w:vMerge w:val="restart"/>
            <w:tcBorders>
              <w:top w:val="nil"/>
              <w:left w:val="nil"/>
              <w:right w:val="single" w:color="auto" w:sz="2" w:space="0"/>
            </w:tcBorders>
            <w:vAlign w:val="center"/>
          </w:tcPr>
          <w:p w14:paraId="77C95D04">
            <w:pPr>
              <w:pStyle w:val="80"/>
              <w:rPr>
                <w:rFonts w:hint="eastAsia"/>
              </w:rPr>
            </w:pPr>
            <w:r>
              <w:rPr>
                <w:rFonts w:hint="eastAsia"/>
              </w:rPr>
              <w:t>通用指标</w:t>
            </w:r>
          </w:p>
        </w:tc>
        <w:tc>
          <w:tcPr>
            <w:tcW w:w="1559" w:type="dxa"/>
            <w:tcBorders>
              <w:top w:val="single" w:color="auto" w:sz="2" w:space="0"/>
              <w:left w:val="nil"/>
              <w:bottom w:val="single" w:color="auto" w:sz="2" w:space="0"/>
              <w:right w:val="single" w:color="auto" w:sz="2" w:space="0"/>
            </w:tcBorders>
            <w:vAlign w:val="center"/>
          </w:tcPr>
          <w:p w14:paraId="0E1101B8">
            <w:pPr>
              <w:pStyle w:val="80"/>
              <w:rPr>
                <w:rFonts w:hint="eastAsia"/>
              </w:rPr>
            </w:pPr>
            <w:r>
              <w:rPr>
                <w:rFonts w:hint="eastAsia"/>
              </w:rPr>
              <w:t>产出数量</w:t>
            </w:r>
          </w:p>
        </w:tc>
        <w:tc>
          <w:tcPr>
            <w:tcW w:w="3544" w:type="dxa"/>
            <w:tcBorders>
              <w:top w:val="single" w:color="auto" w:sz="2" w:space="0"/>
              <w:left w:val="nil"/>
              <w:bottom w:val="single" w:color="auto" w:sz="2" w:space="0"/>
              <w:right w:val="single" w:color="auto" w:sz="2" w:space="0"/>
            </w:tcBorders>
            <w:vAlign w:val="center"/>
          </w:tcPr>
          <w:p w14:paraId="61836EFA">
            <w:pPr>
              <w:pStyle w:val="80"/>
              <w:rPr>
                <w:rFonts w:hint="eastAsia"/>
              </w:rPr>
            </w:pPr>
            <w:r>
              <w:rPr>
                <w:rFonts w:hint="eastAsia"/>
              </w:rPr>
              <w:t>软件开发完成率（%）</w:t>
            </w:r>
          </w:p>
        </w:tc>
        <w:tc>
          <w:tcPr>
            <w:tcW w:w="1434" w:type="dxa"/>
            <w:tcBorders>
              <w:top w:val="single" w:color="auto" w:sz="2" w:space="0"/>
              <w:left w:val="nil"/>
              <w:bottom w:val="single" w:color="auto" w:sz="2" w:space="0"/>
              <w:right w:val="single" w:color="auto" w:sz="2" w:space="0"/>
            </w:tcBorders>
            <w:vAlign w:val="center"/>
          </w:tcPr>
          <w:p w14:paraId="3AF4C5AD">
            <w:pPr>
              <w:pStyle w:val="80"/>
              <w:rPr>
                <w:rFonts w:hint="eastAsia"/>
              </w:rPr>
            </w:pPr>
            <w:r>
              <w:rPr>
                <w:rFonts w:hint="eastAsia"/>
              </w:rPr>
              <w:t>100</w:t>
            </w:r>
          </w:p>
        </w:tc>
      </w:tr>
      <w:tr w14:paraId="0F2F3E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6B17FAE">
            <w:pPr>
              <w:pStyle w:val="80"/>
              <w:rPr>
                <w:rFonts w:hint="eastAsia"/>
              </w:rPr>
            </w:pPr>
            <w:r>
              <w:rPr>
                <w:rFonts w:hint="eastAsia"/>
              </w:rPr>
              <w:t>2</w:t>
            </w:r>
          </w:p>
        </w:tc>
        <w:tc>
          <w:tcPr>
            <w:tcW w:w="1249" w:type="dxa"/>
            <w:vMerge w:val="continue"/>
            <w:tcBorders>
              <w:left w:val="nil"/>
              <w:right w:val="single" w:color="auto" w:sz="2" w:space="0"/>
            </w:tcBorders>
            <w:vAlign w:val="center"/>
          </w:tcPr>
          <w:p w14:paraId="6916A36E">
            <w:pPr>
              <w:pStyle w:val="80"/>
              <w:rPr>
                <w:rFonts w:hint="eastAsia"/>
              </w:rPr>
            </w:pPr>
          </w:p>
        </w:tc>
        <w:tc>
          <w:tcPr>
            <w:tcW w:w="1559" w:type="dxa"/>
            <w:vMerge w:val="restart"/>
            <w:tcBorders>
              <w:top w:val="nil"/>
              <w:left w:val="nil"/>
              <w:bottom w:val="single" w:color="auto" w:sz="2" w:space="0"/>
              <w:right w:val="single" w:color="auto" w:sz="2" w:space="0"/>
            </w:tcBorders>
            <w:vAlign w:val="center"/>
          </w:tcPr>
          <w:p w14:paraId="760C8283">
            <w:pPr>
              <w:pStyle w:val="80"/>
              <w:rPr>
                <w:rFonts w:hint="eastAsia"/>
              </w:rPr>
            </w:pPr>
            <w:r>
              <w:rPr>
                <w:rFonts w:hint="eastAsia"/>
              </w:rPr>
              <w:t>产出质量</w:t>
            </w:r>
          </w:p>
        </w:tc>
        <w:tc>
          <w:tcPr>
            <w:tcW w:w="3544" w:type="dxa"/>
            <w:tcBorders>
              <w:top w:val="single" w:color="auto" w:sz="2" w:space="0"/>
              <w:left w:val="nil"/>
              <w:bottom w:val="single" w:color="auto" w:sz="2" w:space="0"/>
              <w:right w:val="single" w:color="auto" w:sz="2" w:space="0"/>
            </w:tcBorders>
            <w:vAlign w:val="center"/>
          </w:tcPr>
          <w:p w14:paraId="21CFA399">
            <w:pPr>
              <w:pStyle w:val="80"/>
              <w:rPr>
                <w:rFonts w:hint="eastAsia"/>
              </w:rPr>
            </w:pPr>
            <w:r>
              <w:rPr>
                <w:rFonts w:hint="eastAsia"/>
              </w:rPr>
              <w:t>一次性验收合格率（%）</w:t>
            </w:r>
          </w:p>
        </w:tc>
        <w:tc>
          <w:tcPr>
            <w:tcW w:w="1434" w:type="dxa"/>
            <w:tcBorders>
              <w:top w:val="single" w:color="auto" w:sz="2" w:space="0"/>
              <w:left w:val="nil"/>
              <w:bottom w:val="single" w:color="auto" w:sz="2" w:space="0"/>
              <w:right w:val="single" w:color="auto" w:sz="2" w:space="0"/>
            </w:tcBorders>
            <w:vAlign w:val="center"/>
          </w:tcPr>
          <w:p w14:paraId="3B6AABB5">
            <w:pPr>
              <w:pStyle w:val="80"/>
              <w:rPr>
                <w:rFonts w:hint="eastAsia"/>
              </w:rPr>
            </w:pPr>
            <w:r>
              <w:rPr>
                <w:rFonts w:hint="eastAsia"/>
              </w:rPr>
              <w:t>100</w:t>
            </w:r>
          </w:p>
        </w:tc>
      </w:tr>
      <w:tr w14:paraId="33FAFF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9F23297">
            <w:pPr>
              <w:pStyle w:val="80"/>
              <w:rPr>
                <w:rFonts w:hint="eastAsia"/>
              </w:rPr>
            </w:pPr>
            <w:r>
              <w:rPr>
                <w:rFonts w:hint="eastAsia"/>
              </w:rPr>
              <w:t>3</w:t>
            </w:r>
          </w:p>
        </w:tc>
        <w:tc>
          <w:tcPr>
            <w:tcW w:w="1249" w:type="dxa"/>
            <w:vMerge w:val="continue"/>
            <w:tcBorders>
              <w:left w:val="nil"/>
              <w:right w:val="single" w:color="auto" w:sz="2" w:space="0"/>
            </w:tcBorders>
            <w:vAlign w:val="center"/>
          </w:tcPr>
          <w:p w14:paraId="764120E8">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047AF190">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491E0A8E">
            <w:pPr>
              <w:pStyle w:val="80"/>
              <w:rPr>
                <w:rFonts w:hint="eastAsia"/>
              </w:rPr>
            </w:pPr>
            <w:r>
              <w:rPr>
                <w:rFonts w:hint="eastAsia"/>
              </w:rPr>
              <w:t>系统稳定性（%）</w:t>
            </w:r>
          </w:p>
        </w:tc>
        <w:tc>
          <w:tcPr>
            <w:tcW w:w="1434" w:type="dxa"/>
            <w:tcBorders>
              <w:top w:val="single" w:color="auto" w:sz="2" w:space="0"/>
              <w:left w:val="nil"/>
              <w:bottom w:val="single" w:color="auto" w:sz="2" w:space="0"/>
              <w:right w:val="single" w:color="auto" w:sz="2" w:space="0"/>
            </w:tcBorders>
            <w:vAlign w:val="center"/>
          </w:tcPr>
          <w:p w14:paraId="0AE3240E">
            <w:pPr>
              <w:pStyle w:val="80"/>
              <w:rPr>
                <w:rFonts w:hint="eastAsia"/>
              </w:rPr>
            </w:pPr>
            <w:r>
              <w:t>≥</w:t>
            </w:r>
            <w:r>
              <w:rPr>
                <w:rFonts w:hint="eastAsia"/>
              </w:rPr>
              <w:t>99.7</w:t>
            </w:r>
          </w:p>
        </w:tc>
      </w:tr>
      <w:tr w14:paraId="45740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66AD2A80">
            <w:pPr>
              <w:pStyle w:val="80"/>
              <w:rPr>
                <w:rFonts w:hint="eastAsia"/>
              </w:rPr>
            </w:pPr>
            <w:r>
              <w:rPr>
                <w:rFonts w:hint="eastAsia"/>
              </w:rPr>
              <w:t>4</w:t>
            </w:r>
          </w:p>
        </w:tc>
        <w:tc>
          <w:tcPr>
            <w:tcW w:w="1249" w:type="dxa"/>
            <w:vMerge w:val="continue"/>
            <w:tcBorders>
              <w:left w:val="nil"/>
              <w:right w:val="single" w:color="auto" w:sz="2" w:space="0"/>
            </w:tcBorders>
            <w:vAlign w:val="center"/>
          </w:tcPr>
          <w:p w14:paraId="23C2B965">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7398741A">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456F0336">
            <w:pPr>
              <w:pStyle w:val="80"/>
              <w:rPr>
                <w:rFonts w:hint="eastAsia"/>
              </w:rPr>
            </w:pPr>
            <w:r>
              <w:rPr>
                <w:rFonts w:hint="eastAsia"/>
              </w:rPr>
              <w:t>软件测试</w:t>
            </w:r>
          </w:p>
        </w:tc>
        <w:tc>
          <w:tcPr>
            <w:tcW w:w="1434" w:type="dxa"/>
            <w:tcBorders>
              <w:top w:val="single" w:color="auto" w:sz="2" w:space="0"/>
              <w:left w:val="nil"/>
              <w:bottom w:val="single" w:color="auto" w:sz="2" w:space="0"/>
              <w:right w:val="single" w:color="auto" w:sz="2" w:space="0"/>
            </w:tcBorders>
            <w:vAlign w:val="center"/>
          </w:tcPr>
          <w:p w14:paraId="489D9693">
            <w:pPr>
              <w:pStyle w:val="80"/>
              <w:rPr>
                <w:rFonts w:hint="eastAsia"/>
              </w:rPr>
            </w:pPr>
            <w:r>
              <w:rPr>
                <w:rFonts w:hint="eastAsia"/>
              </w:rPr>
              <w:t>通过</w:t>
            </w:r>
          </w:p>
        </w:tc>
      </w:tr>
      <w:tr w14:paraId="0FD9F9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E7AB861">
            <w:pPr>
              <w:pStyle w:val="80"/>
              <w:rPr>
                <w:rFonts w:hint="eastAsia"/>
              </w:rPr>
            </w:pPr>
            <w:r>
              <w:rPr>
                <w:rFonts w:hint="eastAsia"/>
              </w:rPr>
              <w:t>5</w:t>
            </w:r>
          </w:p>
        </w:tc>
        <w:tc>
          <w:tcPr>
            <w:tcW w:w="1249" w:type="dxa"/>
            <w:vMerge w:val="continue"/>
            <w:tcBorders>
              <w:left w:val="nil"/>
              <w:right w:val="single" w:color="auto" w:sz="2" w:space="0"/>
            </w:tcBorders>
            <w:vAlign w:val="center"/>
          </w:tcPr>
          <w:p w14:paraId="3B6B3B53">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7EAD199C">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4C0C4C7F">
            <w:pPr>
              <w:pStyle w:val="80"/>
              <w:rPr>
                <w:rFonts w:hint="eastAsia"/>
              </w:rPr>
            </w:pPr>
            <w:r>
              <w:rPr>
                <w:rFonts w:hint="eastAsia"/>
              </w:rPr>
              <w:t>安全测试</w:t>
            </w:r>
          </w:p>
        </w:tc>
        <w:tc>
          <w:tcPr>
            <w:tcW w:w="1434" w:type="dxa"/>
            <w:tcBorders>
              <w:top w:val="single" w:color="auto" w:sz="2" w:space="0"/>
              <w:left w:val="nil"/>
              <w:bottom w:val="single" w:color="auto" w:sz="2" w:space="0"/>
              <w:right w:val="single" w:color="auto" w:sz="2" w:space="0"/>
            </w:tcBorders>
            <w:vAlign w:val="center"/>
          </w:tcPr>
          <w:p w14:paraId="75E5556F">
            <w:pPr>
              <w:pStyle w:val="80"/>
              <w:rPr>
                <w:rFonts w:hint="eastAsia"/>
              </w:rPr>
            </w:pPr>
            <w:r>
              <w:rPr>
                <w:rFonts w:hint="eastAsia"/>
              </w:rPr>
              <w:t>通过</w:t>
            </w:r>
          </w:p>
        </w:tc>
      </w:tr>
      <w:tr w14:paraId="3050FC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862C8CC">
            <w:pPr>
              <w:pStyle w:val="80"/>
              <w:rPr>
                <w:rFonts w:hint="eastAsia"/>
              </w:rPr>
            </w:pPr>
            <w:r>
              <w:rPr>
                <w:rFonts w:hint="eastAsia"/>
              </w:rPr>
              <w:t>6</w:t>
            </w:r>
          </w:p>
        </w:tc>
        <w:tc>
          <w:tcPr>
            <w:tcW w:w="1249" w:type="dxa"/>
            <w:vMerge w:val="continue"/>
            <w:tcBorders>
              <w:left w:val="nil"/>
              <w:right w:val="single" w:color="auto" w:sz="2" w:space="0"/>
            </w:tcBorders>
            <w:vAlign w:val="center"/>
          </w:tcPr>
          <w:p w14:paraId="64177121">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1A7DF92F">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2A828B45">
            <w:pPr>
              <w:pStyle w:val="80"/>
              <w:rPr>
                <w:rFonts w:hint="eastAsia"/>
              </w:rPr>
            </w:pPr>
            <w:r>
              <w:rPr>
                <w:rFonts w:hint="eastAsia"/>
              </w:rPr>
              <w:t>密码测试</w:t>
            </w:r>
          </w:p>
        </w:tc>
        <w:tc>
          <w:tcPr>
            <w:tcW w:w="1434" w:type="dxa"/>
            <w:tcBorders>
              <w:top w:val="single" w:color="auto" w:sz="2" w:space="0"/>
              <w:left w:val="nil"/>
              <w:bottom w:val="single" w:color="auto" w:sz="2" w:space="0"/>
              <w:right w:val="single" w:color="auto" w:sz="2" w:space="0"/>
            </w:tcBorders>
            <w:vAlign w:val="center"/>
          </w:tcPr>
          <w:p w14:paraId="5DE182A7">
            <w:pPr>
              <w:pStyle w:val="80"/>
              <w:rPr>
                <w:rFonts w:hint="eastAsia"/>
              </w:rPr>
            </w:pPr>
            <w:r>
              <w:rPr>
                <w:rFonts w:hint="eastAsia"/>
              </w:rPr>
              <w:t>通过</w:t>
            </w:r>
          </w:p>
        </w:tc>
      </w:tr>
      <w:tr w14:paraId="00982C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050C4B2">
            <w:pPr>
              <w:pStyle w:val="80"/>
              <w:rPr>
                <w:rFonts w:hint="eastAsia"/>
              </w:rPr>
            </w:pPr>
            <w:r>
              <w:rPr>
                <w:rFonts w:hint="eastAsia"/>
              </w:rPr>
              <w:t>7</w:t>
            </w:r>
          </w:p>
        </w:tc>
        <w:tc>
          <w:tcPr>
            <w:tcW w:w="1249" w:type="dxa"/>
            <w:vMerge w:val="continue"/>
            <w:tcBorders>
              <w:left w:val="nil"/>
              <w:right w:val="single" w:color="auto" w:sz="2" w:space="0"/>
            </w:tcBorders>
            <w:vAlign w:val="center"/>
          </w:tcPr>
          <w:p w14:paraId="3AF83992">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425E5125">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2E569BEF">
            <w:pPr>
              <w:pStyle w:val="80"/>
              <w:rPr>
                <w:rFonts w:hint="eastAsia"/>
              </w:rPr>
            </w:pPr>
            <w:r>
              <w:rPr>
                <w:rFonts w:hint="eastAsia"/>
              </w:rPr>
              <w:t>安全事件发生次数（次/年）</w:t>
            </w:r>
          </w:p>
        </w:tc>
        <w:tc>
          <w:tcPr>
            <w:tcW w:w="1434" w:type="dxa"/>
            <w:tcBorders>
              <w:top w:val="single" w:color="auto" w:sz="2" w:space="0"/>
              <w:left w:val="nil"/>
              <w:bottom w:val="single" w:color="auto" w:sz="2" w:space="0"/>
              <w:right w:val="single" w:color="auto" w:sz="2" w:space="0"/>
            </w:tcBorders>
            <w:vAlign w:val="center"/>
          </w:tcPr>
          <w:p w14:paraId="3931F6BD">
            <w:pPr>
              <w:pStyle w:val="80"/>
              <w:rPr>
                <w:rFonts w:hint="eastAsia"/>
              </w:rPr>
            </w:pPr>
            <w:r>
              <w:t>≤</w:t>
            </w:r>
            <w:r>
              <w:rPr>
                <w:rFonts w:hint="eastAsia"/>
              </w:rPr>
              <w:t>0</w:t>
            </w:r>
          </w:p>
        </w:tc>
      </w:tr>
      <w:tr w14:paraId="1EA641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3620509">
            <w:pPr>
              <w:pStyle w:val="80"/>
              <w:rPr>
                <w:rFonts w:hint="eastAsia"/>
              </w:rPr>
            </w:pPr>
            <w:r>
              <w:rPr>
                <w:rFonts w:hint="eastAsia"/>
              </w:rPr>
              <w:t>8</w:t>
            </w:r>
          </w:p>
        </w:tc>
        <w:tc>
          <w:tcPr>
            <w:tcW w:w="1249" w:type="dxa"/>
            <w:vMerge w:val="continue"/>
            <w:tcBorders>
              <w:left w:val="nil"/>
              <w:right w:val="single" w:color="auto" w:sz="2" w:space="0"/>
            </w:tcBorders>
            <w:vAlign w:val="center"/>
          </w:tcPr>
          <w:p w14:paraId="3516F6A7">
            <w:pPr>
              <w:pStyle w:val="80"/>
              <w:rPr>
                <w:rFonts w:hint="eastAsia"/>
              </w:rPr>
            </w:pPr>
          </w:p>
        </w:tc>
        <w:tc>
          <w:tcPr>
            <w:tcW w:w="1559" w:type="dxa"/>
            <w:tcBorders>
              <w:top w:val="single" w:color="auto" w:sz="2" w:space="0"/>
              <w:left w:val="nil"/>
              <w:bottom w:val="single" w:color="auto" w:sz="2" w:space="0"/>
              <w:right w:val="single" w:color="auto" w:sz="2" w:space="0"/>
            </w:tcBorders>
            <w:vAlign w:val="center"/>
          </w:tcPr>
          <w:p w14:paraId="4D0EFE32">
            <w:pPr>
              <w:pStyle w:val="80"/>
              <w:rPr>
                <w:rFonts w:hint="eastAsia"/>
              </w:rPr>
            </w:pPr>
            <w:r>
              <w:rPr>
                <w:rFonts w:hint="eastAsia"/>
              </w:rPr>
              <w:t>产出时效</w:t>
            </w:r>
          </w:p>
        </w:tc>
        <w:tc>
          <w:tcPr>
            <w:tcW w:w="3544" w:type="dxa"/>
            <w:tcBorders>
              <w:top w:val="single" w:color="auto" w:sz="2" w:space="0"/>
              <w:left w:val="nil"/>
              <w:bottom w:val="single" w:color="auto" w:sz="2" w:space="0"/>
              <w:right w:val="single" w:color="auto" w:sz="2" w:space="0"/>
            </w:tcBorders>
            <w:vAlign w:val="center"/>
          </w:tcPr>
          <w:p w14:paraId="5AA0F2DF">
            <w:pPr>
              <w:pStyle w:val="80"/>
              <w:rPr>
                <w:rFonts w:hint="eastAsia"/>
              </w:rPr>
            </w:pPr>
            <w:r>
              <w:rPr>
                <w:rFonts w:hint="eastAsia"/>
              </w:rPr>
              <w:t>项目建设周期（月）</w:t>
            </w:r>
          </w:p>
        </w:tc>
        <w:tc>
          <w:tcPr>
            <w:tcW w:w="1434" w:type="dxa"/>
            <w:tcBorders>
              <w:top w:val="single" w:color="auto" w:sz="2" w:space="0"/>
              <w:left w:val="nil"/>
              <w:bottom w:val="single" w:color="auto" w:sz="2" w:space="0"/>
              <w:right w:val="single" w:color="auto" w:sz="2" w:space="0"/>
            </w:tcBorders>
            <w:vAlign w:val="center"/>
          </w:tcPr>
          <w:p w14:paraId="6BB9AD59">
            <w:pPr>
              <w:pStyle w:val="80"/>
              <w:rPr>
                <w:rFonts w:hint="eastAsia"/>
              </w:rPr>
            </w:pPr>
            <w:r>
              <w:t>≤</w:t>
            </w:r>
            <w:r>
              <w:rPr>
                <w:rFonts w:hint="eastAsia"/>
              </w:rPr>
              <w:t>6</w:t>
            </w:r>
          </w:p>
        </w:tc>
      </w:tr>
      <w:tr w14:paraId="5A32F4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4D418292">
            <w:pPr>
              <w:pStyle w:val="80"/>
              <w:rPr>
                <w:rFonts w:hint="eastAsia"/>
              </w:rPr>
            </w:pPr>
            <w:r>
              <w:rPr>
                <w:rFonts w:hint="eastAsia"/>
              </w:rPr>
              <w:t>9</w:t>
            </w:r>
          </w:p>
        </w:tc>
        <w:tc>
          <w:tcPr>
            <w:tcW w:w="1249" w:type="dxa"/>
            <w:vMerge w:val="continue"/>
            <w:tcBorders>
              <w:left w:val="nil"/>
              <w:right w:val="single" w:color="auto" w:sz="2" w:space="0"/>
            </w:tcBorders>
            <w:vAlign w:val="center"/>
          </w:tcPr>
          <w:p w14:paraId="041EE1A6">
            <w:pPr>
              <w:pStyle w:val="80"/>
              <w:rPr>
                <w:rFonts w:hint="eastAsia"/>
              </w:rPr>
            </w:pPr>
          </w:p>
        </w:tc>
        <w:tc>
          <w:tcPr>
            <w:tcW w:w="1559" w:type="dxa"/>
            <w:tcBorders>
              <w:top w:val="single" w:color="auto" w:sz="2" w:space="0"/>
              <w:left w:val="nil"/>
              <w:bottom w:val="single" w:color="auto" w:sz="2" w:space="0"/>
              <w:right w:val="single" w:color="auto" w:sz="2" w:space="0"/>
            </w:tcBorders>
            <w:vAlign w:val="center"/>
          </w:tcPr>
          <w:p w14:paraId="16641363">
            <w:pPr>
              <w:pStyle w:val="80"/>
              <w:rPr>
                <w:rFonts w:hint="eastAsia"/>
              </w:rPr>
            </w:pPr>
            <w:r>
              <w:rPr>
                <w:rFonts w:hint="eastAsia"/>
              </w:rPr>
              <w:t>产生成本</w:t>
            </w:r>
          </w:p>
        </w:tc>
        <w:tc>
          <w:tcPr>
            <w:tcW w:w="3544" w:type="dxa"/>
            <w:tcBorders>
              <w:top w:val="single" w:color="auto" w:sz="2" w:space="0"/>
              <w:left w:val="nil"/>
              <w:bottom w:val="single" w:color="auto" w:sz="2" w:space="0"/>
              <w:right w:val="single" w:color="auto" w:sz="2" w:space="0"/>
            </w:tcBorders>
            <w:vAlign w:val="center"/>
          </w:tcPr>
          <w:p w14:paraId="7D364164">
            <w:pPr>
              <w:pStyle w:val="80"/>
              <w:rPr>
                <w:rFonts w:hint="eastAsia"/>
              </w:rPr>
            </w:pPr>
            <w:r>
              <w:rPr>
                <w:rFonts w:hint="eastAsia"/>
              </w:rPr>
              <w:t>标准化内容支出比例（%）</w:t>
            </w:r>
          </w:p>
        </w:tc>
        <w:tc>
          <w:tcPr>
            <w:tcW w:w="1434" w:type="dxa"/>
            <w:tcBorders>
              <w:top w:val="single" w:color="auto" w:sz="2" w:space="0"/>
              <w:left w:val="nil"/>
              <w:bottom w:val="single" w:color="auto" w:sz="2" w:space="0"/>
              <w:right w:val="single" w:color="auto" w:sz="2" w:space="0"/>
            </w:tcBorders>
            <w:vAlign w:val="center"/>
          </w:tcPr>
          <w:p w14:paraId="7BC81041">
            <w:pPr>
              <w:pStyle w:val="80"/>
              <w:rPr>
                <w:rFonts w:hint="eastAsia"/>
              </w:rPr>
            </w:pPr>
            <w:r>
              <w:t>≥</w:t>
            </w:r>
            <w:r>
              <w:rPr>
                <w:rFonts w:hint="eastAsia"/>
              </w:rPr>
              <w:t>65</w:t>
            </w:r>
          </w:p>
        </w:tc>
      </w:tr>
      <w:tr w14:paraId="28383F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262D52C3">
            <w:pPr>
              <w:pStyle w:val="80"/>
              <w:rPr>
                <w:rFonts w:hint="eastAsia"/>
              </w:rPr>
            </w:pPr>
            <w:r>
              <w:rPr>
                <w:rFonts w:hint="eastAsia"/>
              </w:rPr>
              <w:t>10</w:t>
            </w:r>
          </w:p>
        </w:tc>
        <w:tc>
          <w:tcPr>
            <w:tcW w:w="1249" w:type="dxa"/>
            <w:vMerge w:val="continue"/>
            <w:tcBorders>
              <w:left w:val="nil"/>
              <w:right w:val="single" w:color="auto" w:sz="2" w:space="0"/>
            </w:tcBorders>
            <w:vAlign w:val="center"/>
          </w:tcPr>
          <w:p w14:paraId="4EA278C9">
            <w:pPr>
              <w:pStyle w:val="80"/>
              <w:rPr>
                <w:rFonts w:hint="eastAsia"/>
              </w:rPr>
            </w:pPr>
          </w:p>
        </w:tc>
        <w:tc>
          <w:tcPr>
            <w:tcW w:w="1559" w:type="dxa"/>
            <w:tcBorders>
              <w:top w:val="single" w:color="auto" w:sz="2" w:space="0"/>
              <w:left w:val="nil"/>
              <w:bottom w:val="single" w:color="auto" w:sz="2" w:space="0"/>
              <w:right w:val="single" w:color="auto" w:sz="2" w:space="0"/>
            </w:tcBorders>
            <w:vAlign w:val="center"/>
          </w:tcPr>
          <w:p w14:paraId="22672190">
            <w:pPr>
              <w:pStyle w:val="80"/>
              <w:rPr>
                <w:rFonts w:hint="eastAsia"/>
              </w:rPr>
            </w:pPr>
            <w:r>
              <w:rPr>
                <w:rFonts w:hint="eastAsia"/>
              </w:rPr>
              <w:t>支撑系统/数据库/中间件</w:t>
            </w:r>
          </w:p>
        </w:tc>
        <w:tc>
          <w:tcPr>
            <w:tcW w:w="3544" w:type="dxa"/>
            <w:tcBorders>
              <w:top w:val="single" w:color="auto" w:sz="2" w:space="0"/>
              <w:left w:val="nil"/>
              <w:bottom w:val="single" w:color="auto" w:sz="2" w:space="0"/>
              <w:right w:val="single" w:color="auto" w:sz="2" w:space="0"/>
            </w:tcBorders>
            <w:vAlign w:val="center"/>
          </w:tcPr>
          <w:p w14:paraId="476483A7">
            <w:pPr>
              <w:pStyle w:val="80"/>
              <w:rPr>
                <w:rFonts w:hint="eastAsia"/>
              </w:rPr>
            </w:pPr>
            <w:r>
              <w:rPr>
                <w:rFonts w:hint="eastAsia"/>
              </w:rPr>
              <w:t>支撑业务数量（个）</w:t>
            </w:r>
          </w:p>
        </w:tc>
        <w:tc>
          <w:tcPr>
            <w:tcW w:w="1434" w:type="dxa"/>
            <w:tcBorders>
              <w:top w:val="single" w:color="auto" w:sz="2" w:space="0"/>
              <w:left w:val="nil"/>
              <w:bottom w:val="single" w:color="auto" w:sz="2" w:space="0"/>
              <w:right w:val="single" w:color="auto" w:sz="2" w:space="0"/>
            </w:tcBorders>
            <w:vAlign w:val="center"/>
          </w:tcPr>
          <w:p w14:paraId="4F846620">
            <w:pPr>
              <w:pStyle w:val="80"/>
              <w:rPr>
                <w:rFonts w:hint="eastAsia"/>
              </w:rPr>
            </w:pPr>
            <w:r>
              <w:t>≥</w:t>
            </w:r>
            <w:r>
              <w:rPr>
                <w:rFonts w:hint="eastAsia"/>
              </w:rPr>
              <w:t>24</w:t>
            </w:r>
          </w:p>
        </w:tc>
      </w:tr>
      <w:tr w14:paraId="1B1F4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9B7BF85">
            <w:pPr>
              <w:pStyle w:val="80"/>
              <w:rPr>
                <w:rFonts w:hint="eastAsia"/>
              </w:rPr>
            </w:pPr>
            <w:r>
              <w:rPr>
                <w:rFonts w:hint="eastAsia"/>
              </w:rPr>
              <w:t>11</w:t>
            </w:r>
          </w:p>
        </w:tc>
        <w:tc>
          <w:tcPr>
            <w:tcW w:w="1249" w:type="dxa"/>
            <w:vMerge w:val="continue"/>
            <w:tcBorders>
              <w:left w:val="nil"/>
              <w:right w:val="single" w:color="auto" w:sz="2" w:space="0"/>
            </w:tcBorders>
            <w:vAlign w:val="center"/>
          </w:tcPr>
          <w:p w14:paraId="11BFC3C1">
            <w:pPr>
              <w:pStyle w:val="80"/>
              <w:rPr>
                <w:rFonts w:hint="eastAsia"/>
              </w:rPr>
            </w:pPr>
          </w:p>
        </w:tc>
        <w:tc>
          <w:tcPr>
            <w:tcW w:w="1559" w:type="dxa"/>
            <w:vMerge w:val="restart"/>
            <w:tcBorders>
              <w:top w:val="nil"/>
              <w:left w:val="nil"/>
              <w:right w:val="single" w:color="auto" w:sz="2" w:space="0"/>
            </w:tcBorders>
            <w:vAlign w:val="center"/>
          </w:tcPr>
          <w:p w14:paraId="288A5D90">
            <w:pPr>
              <w:pStyle w:val="80"/>
              <w:rPr>
                <w:rFonts w:hint="eastAsia"/>
              </w:rPr>
            </w:pPr>
            <w:r>
              <w:rPr>
                <w:rFonts w:hint="eastAsia"/>
              </w:rPr>
              <w:t>共性平台</w:t>
            </w:r>
          </w:p>
        </w:tc>
        <w:tc>
          <w:tcPr>
            <w:tcW w:w="3544" w:type="dxa"/>
            <w:tcBorders>
              <w:top w:val="single" w:color="auto" w:sz="2" w:space="0"/>
              <w:left w:val="nil"/>
              <w:bottom w:val="single" w:color="auto" w:sz="2" w:space="0"/>
              <w:right w:val="single" w:color="auto" w:sz="2" w:space="0"/>
            </w:tcBorders>
            <w:vAlign w:val="center"/>
          </w:tcPr>
          <w:p w14:paraId="2BA5D477">
            <w:pPr>
              <w:pStyle w:val="80"/>
              <w:rPr>
                <w:rFonts w:hint="eastAsia"/>
              </w:rPr>
            </w:pPr>
            <w:r>
              <w:rPr>
                <w:rFonts w:hint="eastAsia"/>
              </w:rPr>
              <w:t>跨部门数据共享程度（%）</w:t>
            </w:r>
          </w:p>
        </w:tc>
        <w:tc>
          <w:tcPr>
            <w:tcW w:w="1434" w:type="dxa"/>
            <w:tcBorders>
              <w:top w:val="single" w:color="auto" w:sz="2" w:space="0"/>
              <w:left w:val="nil"/>
              <w:bottom w:val="single" w:color="auto" w:sz="2" w:space="0"/>
              <w:right w:val="single" w:color="auto" w:sz="2" w:space="0"/>
            </w:tcBorders>
            <w:vAlign w:val="center"/>
          </w:tcPr>
          <w:p w14:paraId="66BD18D1">
            <w:pPr>
              <w:pStyle w:val="80"/>
              <w:rPr>
                <w:rFonts w:hint="eastAsia"/>
              </w:rPr>
            </w:pPr>
            <w:r>
              <w:t>≥</w:t>
            </w:r>
            <w:r>
              <w:rPr>
                <w:rFonts w:hint="eastAsia"/>
              </w:rPr>
              <w:t>0</w:t>
            </w:r>
          </w:p>
        </w:tc>
      </w:tr>
      <w:tr w14:paraId="056EBC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6FC35261">
            <w:pPr>
              <w:pStyle w:val="80"/>
              <w:rPr>
                <w:rFonts w:hint="eastAsia"/>
              </w:rPr>
            </w:pPr>
            <w:r>
              <w:rPr>
                <w:rFonts w:hint="eastAsia"/>
              </w:rPr>
              <w:t>12</w:t>
            </w:r>
          </w:p>
        </w:tc>
        <w:tc>
          <w:tcPr>
            <w:tcW w:w="1249" w:type="dxa"/>
            <w:vMerge w:val="continue"/>
            <w:tcBorders>
              <w:left w:val="nil"/>
              <w:right w:val="single" w:color="auto" w:sz="2" w:space="0"/>
            </w:tcBorders>
            <w:vAlign w:val="center"/>
          </w:tcPr>
          <w:p w14:paraId="28AF06D0">
            <w:pPr>
              <w:pStyle w:val="80"/>
              <w:rPr>
                <w:rFonts w:hint="eastAsia"/>
              </w:rPr>
            </w:pPr>
          </w:p>
        </w:tc>
        <w:tc>
          <w:tcPr>
            <w:tcW w:w="1559" w:type="dxa"/>
            <w:vMerge w:val="continue"/>
            <w:tcBorders>
              <w:left w:val="nil"/>
              <w:right w:val="single" w:color="auto" w:sz="2" w:space="0"/>
            </w:tcBorders>
            <w:vAlign w:val="center"/>
          </w:tcPr>
          <w:p w14:paraId="5AD634E4">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397C5467">
            <w:pPr>
              <w:pStyle w:val="80"/>
              <w:rPr>
                <w:rFonts w:hint="eastAsia"/>
              </w:rPr>
            </w:pPr>
            <w:r>
              <w:rPr>
                <w:rFonts w:hint="eastAsia"/>
              </w:rPr>
              <w:t>部门覆盖量（个）</w:t>
            </w:r>
          </w:p>
        </w:tc>
        <w:tc>
          <w:tcPr>
            <w:tcW w:w="1434" w:type="dxa"/>
            <w:tcBorders>
              <w:top w:val="single" w:color="auto" w:sz="2" w:space="0"/>
              <w:left w:val="nil"/>
              <w:bottom w:val="single" w:color="auto" w:sz="2" w:space="0"/>
              <w:right w:val="single" w:color="auto" w:sz="2" w:space="0"/>
            </w:tcBorders>
            <w:vAlign w:val="center"/>
          </w:tcPr>
          <w:p w14:paraId="2E7F5E19">
            <w:pPr>
              <w:pStyle w:val="80"/>
              <w:rPr>
                <w:rFonts w:hint="eastAsia"/>
              </w:rPr>
            </w:pPr>
            <w:r>
              <w:t>≥</w:t>
            </w:r>
            <w:r>
              <w:rPr>
                <w:rFonts w:hint="eastAsia"/>
              </w:rPr>
              <w:t>24</w:t>
            </w:r>
          </w:p>
        </w:tc>
      </w:tr>
      <w:tr w14:paraId="73C3C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05EB55B7">
            <w:pPr>
              <w:pStyle w:val="80"/>
              <w:rPr>
                <w:rFonts w:hint="eastAsia"/>
              </w:rPr>
            </w:pPr>
            <w:r>
              <w:rPr>
                <w:rFonts w:hint="eastAsia"/>
              </w:rPr>
              <w:t>13</w:t>
            </w:r>
          </w:p>
        </w:tc>
        <w:tc>
          <w:tcPr>
            <w:tcW w:w="1249" w:type="dxa"/>
            <w:vMerge w:val="continue"/>
            <w:tcBorders>
              <w:left w:val="nil"/>
              <w:right w:val="single" w:color="auto" w:sz="2" w:space="0"/>
            </w:tcBorders>
            <w:vAlign w:val="center"/>
          </w:tcPr>
          <w:p w14:paraId="6D02C030">
            <w:pPr>
              <w:pStyle w:val="80"/>
              <w:rPr>
                <w:rFonts w:hint="eastAsia"/>
              </w:rPr>
            </w:pPr>
          </w:p>
        </w:tc>
        <w:tc>
          <w:tcPr>
            <w:tcW w:w="1559" w:type="dxa"/>
            <w:vMerge w:val="continue"/>
            <w:tcBorders>
              <w:left w:val="nil"/>
              <w:right w:val="single" w:color="auto" w:sz="2" w:space="0"/>
            </w:tcBorders>
            <w:vAlign w:val="center"/>
          </w:tcPr>
          <w:p w14:paraId="3460F763">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79BCC2A1">
            <w:pPr>
              <w:pStyle w:val="80"/>
              <w:rPr>
                <w:rFonts w:hint="eastAsia"/>
              </w:rPr>
            </w:pPr>
            <w:r>
              <w:rPr>
                <w:rFonts w:hint="eastAsia"/>
              </w:rPr>
              <w:t>核心数据缺失率（%）</w:t>
            </w:r>
          </w:p>
        </w:tc>
        <w:tc>
          <w:tcPr>
            <w:tcW w:w="1434" w:type="dxa"/>
            <w:tcBorders>
              <w:top w:val="single" w:color="auto" w:sz="2" w:space="0"/>
              <w:left w:val="nil"/>
              <w:bottom w:val="single" w:color="auto" w:sz="2" w:space="0"/>
              <w:right w:val="single" w:color="auto" w:sz="2" w:space="0"/>
            </w:tcBorders>
            <w:vAlign w:val="center"/>
          </w:tcPr>
          <w:p w14:paraId="38DCFE30">
            <w:pPr>
              <w:pStyle w:val="80"/>
              <w:rPr>
                <w:rFonts w:hint="eastAsia"/>
              </w:rPr>
            </w:pPr>
            <w:r>
              <w:t>≤</w:t>
            </w:r>
            <w:r>
              <w:rPr>
                <w:rFonts w:hint="eastAsia"/>
              </w:rPr>
              <w:t>5</w:t>
            </w:r>
          </w:p>
        </w:tc>
      </w:tr>
      <w:tr w14:paraId="53A557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33B97F96">
            <w:pPr>
              <w:pStyle w:val="80"/>
              <w:rPr>
                <w:rFonts w:hint="eastAsia"/>
              </w:rPr>
            </w:pPr>
            <w:r>
              <w:rPr>
                <w:rFonts w:hint="eastAsia"/>
              </w:rPr>
              <w:t>14</w:t>
            </w:r>
          </w:p>
        </w:tc>
        <w:tc>
          <w:tcPr>
            <w:tcW w:w="1249" w:type="dxa"/>
            <w:vMerge w:val="continue"/>
            <w:tcBorders>
              <w:left w:val="nil"/>
              <w:right w:val="single" w:color="auto" w:sz="2" w:space="0"/>
            </w:tcBorders>
            <w:vAlign w:val="center"/>
          </w:tcPr>
          <w:p w14:paraId="7238AD57">
            <w:pPr>
              <w:pStyle w:val="80"/>
              <w:rPr>
                <w:rFonts w:hint="eastAsia"/>
              </w:rPr>
            </w:pPr>
          </w:p>
        </w:tc>
        <w:tc>
          <w:tcPr>
            <w:tcW w:w="1559" w:type="dxa"/>
            <w:vMerge w:val="continue"/>
            <w:tcBorders>
              <w:left w:val="nil"/>
              <w:bottom w:val="single" w:color="auto" w:sz="2" w:space="0"/>
              <w:right w:val="single" w:color="auto" w:sz="2" w:space="0"/>
            </w:tcBorders>
            <w:vAlign w:val="center"/>
          </w:tcPr>
          <w:p w14:paraId="2627F39F">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297C7AE5">
            <w:pPr>
              <w:pStyle w:val="80"/>
              <w:rPr>
                <w:rFonts w:hint="eastAsia"/>
              </w:rPr>
            </w:pPr>
            <w:r>
              <w:rPr>
                <w:rFonts w:hint="eastAsia"/>
              </w:rPr>
              <w:t>统筹对接系统数量（个）</w:t>
            </w:r>
          </w:p>
        </w:tc>
        <w:tc>
          <w:tcPr>
            <w:tcW w:w="1434" w:type="dxa"/>
            <w:tcBorders>
              <w:top w:val="single" w:color="auto" w:sz="2" w:space="0"/>
              <w:left w:val="nil"/>
              <w:bottom w:val="single" w:color="auto" w:sz="2" w:space="0"/>
              <w:right w:val="single" w:color="auto" w:sz="2" w:space="0"/>
            </w:tcBorders>
            <w:vAlign w:val="center"/>
          </w:tcPr>
          <w:p w14:paraId="01C549DD">
            <w:pPr>
              <w:pStyle w:val="80"/>
              <w:rPr>
                <w:rFonts w:hint="eastAsia"/>
              </w:rPr>
            </w:pPr>
            <w:r>
              <w:t>≥</w:t>
            </w:r>
            <w:r>
              <w:rPr>
                <w:rFonts w:hint="eastAsia"/>
              </w:rPr>
              <w:t>24</w:t>
            </w:r>
          </w:p>
        </w:tc>
      </w:tr>
      <w:tr w14:paraId="3E970B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5E640F9">
            <w:pPr>
              <w:pStyle w:val="80"/>
              <w:rPr>
                <w:rFonts w:hint="eastAsia"/>
              </w:rPr>
            </w:pPr>
            <w:r>
              <w:rPr>
                <w:rFonts w:hint="eastAsia"/>
              </w:rPr>
              <w:t>15</w:t>
            </w:r>
          </w:p>
        </w:tc>
        <w:tc>
          <w:tcPr>
            <w:tcW w:w="1249" w:type="dxa"/>
            <w:vMerge w:val="continue"/>
            <w:tcBorders>
              <w:left w:val="nil"/>
              <w:right w:val="single" w:color="auto" w:sz="2" w:space="0"/>
            </w:tcBorders>
            <w:vAlign w:val="center"/>
          </w:tcPr>
          <w:p w14:paraId="47BE046E">
            <w:pPr>
              <w:pStyle w:val="80"/>
              <w:rPr>
                <w:rFonts w:hint="eastAsia"/>
              </w:rPr>
            </w:pPr>
          </w:p>
        </w:tc>
        <w:tc>
          <w:tcPr>
            <w:tcW w:w="1559" w:type="dxa"/>
            <w:vMerge w:val="restart"/>
            <w:tcBorders>
              <w:top w:val="nil"/>
              <w:left w:val="nil"/>
              <w:bottom w:val="single" w:color="auto" w:sz="2" w:space="0"/>
              <w:right w:val="single" w:color="auto" w:sz="2" w:space="0"/>
            </w:tcBorders>
            <w:vAlign w:val="center"/>
          </w:tcPr>
          <w:p w14:paraId="40E003B3">
            <w:pPr>
              <w:pStyle w:val="80"/>
              <w:rPr>
                <w:rFonts w:hint="eastAsia"/>
              </w:rPr>
            </w:pPr>
            <w:r>
              <w:rPr>
                <w:rFonts w:hint="eastAsia"/>
              </w:rPr>
              <w:t>用户使用情况</w:t>
            </w:r>
          </w:p>
        </w:tc>
        <w:tc>
          <w:tcPr>
            <w:tcW w:w="3544" w:type="dxa"/>
            <w:tcBorders>
              <w:top w:val="single" w:color="auto" w:sz="2" w:space="0"/>
              <w:left w:val="nil"/>
              <w:bottom w:val="single" w:color="auto" w:sz="2" w:space="0"/>
              <w:right w:val="single" w:color="auto" w:sz="2" w:space="0"/>
            </w:tcBorders>
            <w:vAlign w:val="center"/>
          </w:tcPr>
          <w:p w14:paraId="2749EE6A">
            <w:pPr>
              <w:pStyle w:val="80"/>
              <w:rPr>
                <w:rFonts w:hint="eastAsia"/>
              </w:rPr>
            </w:pPr>
            <w:r>
              <w:rPr>
                <w:rFonts w:hint="eastAsia"/>
              </w:rPr>
              <w:t>系统用户量（人）</w:t>
            </w:r>
          </w:p>
        </w:tc>
        <w:tc>
          <w:tcPr>
            <w:tcW w:w="1434" w:type="dxa"/>
            <w:tcBorders>
              <w:top w:val="single" w:color="auto" w:sz="2" w:space="0"/>
              <w:left w:val="nil"/>
              <w:bottom w:val="single" w:color="auto" w:sz="2" w:space="0"/>
              <w:right w:val="single" w:color="auto" w:sz="2" w:space="0"/>
            </w:tcBorders>
            <w:vAlign w:val="center"/>
          </w:tcPr>
          <w:p w14:paraId="3A3DF28F">
            <w:pPr>
              <w:pStyle w:val="80"/>
              <w:rPr>
                <w:rFonts w:hint="eastAsia"/>
              </w:rPr>
            </w:pPr>
            <w:r>
              <w:t>≥</w:t>
            </w:r>
            <w:r>
              <w:rPr>
                <w:rFonts w:hint="eastAsia"/>
              </w:rPr>
              <w:t>1300</w:t>
            </w:r>
          </w:p>
        </w:tc>
      </w:tr>
      <w:tr w14:paraId="08BDF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08E539B">
            <w:pPr>
              <w:pStyle w:val="80"/>
              <w:rPr>
                <w:rFonts w:hint="eastAsia"/>
              </w:rPr>
            </w:pPr>
            <w:r>
              <w:rPr>
                <w:rFonts w:hint="eastAsia"/>
              </w:rPr>
              <w:t>16</w:t>
            </w:r>
          </w:p>
        </w:tc>
        <w:tc>
          <w:tcPr>
            <w:tcW w:w="1249" w:type="dxa"/>
            <w:vMerge w:val="continue"/>
            <w:tcBorders>
              <w:left w:val="nil"/>
              <w:right w:val="single" w:color="auto" w:sz="2" w:space="0"/>
            </w:tcBorders>
            <w:vAlign w:val="center"/>
          </w:tcPr>
          <w:p w14:paraId="6C63868C">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782880DD">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421EC811">
            <w:pPr>
              <w:pStyle w:val="80"/>
              <w:rPr>
                <w:rFonts w:hint="eastAsia"/>
              </w:rPr>
            </w:pPr>
            <w:r>
              <w:rPr>
                <w:rFonts w:hint="eastAsia"/>
              </w:rPr>
              <w:t>月活跃用户量（人次/月）</w:t>
            </w:r>
          </w:p>
        </w:tc>
        <w:tc>
          <w:tcPr>
            <w:tcW w:w="1434" w:type="dxa"/>
            <w:tcBorders>
              <w:top w:val="single" w:color="auto" w:sz="2" w:space="0"/>
              <w:left w:val="nil"/>
              <w:bottom w:val="single" w:color="auto" w:sz="2" w:space="0"/>
              <w:right w:val="single" w:color="auto" w:sz="2" w:space="0"/>
            </w:tcBorders>
            <w:vAlign w:val="center"/>
          </w:tcPr>
          <w:p w14:paraId="378ADB06">
            <w:pPr>
              <w:pStyle w:val="80"/>
              <w:rPr>
                <w:rFonts w:hint="eastAsia"/>
              </w:rPr>
            </w:pPr>
            <w:r>
              <w:t>≥</w:t>
            </w:r>
            <w:r>
              <w:rPr>
                <w:rFonts w:hint="eastAsia"/>
              </w:rPr>
              <w:t>3000</w:t>
            </w:r>
            <w:r>
              <w:t xml:space="preserve"> </w:t>
            </w:r>
          </w:p>
        </w:tc>
      </w:tr>
      <w:tr w14:paraId="42D926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0FC44B0">
            <w:pPr>
              <w:pStyle w:val="80"/>
              <w:rPr>
                <w:rFonts w:hint="eastAsia"/>
              </w:rPr>
            </w:pPr>
            <w:r>
              <w:rPr>
                <w:rFonts w:hint="eastAsia"/>
              </w:rPr>
              <w:t>17</w:t>
            </w:r>
          </w:p>
        </w:tc>
        <w:tc>
          <w:tcPr>
            <w:tcW w:w="1249" w:type="dxa"/>
            <w:vMerge w:val="continue"/>
            <w:tcBorders>
              <w:left w:val="nil"/>
              <w:right w:val="single" w:color="auto" w:sz="2" w:space="0"/>
            </w:tcBorders>
            <w:vAlign w:val="center"/>
          </w:tcPr>
          <w:p w14:paraId="524EE680">
            <w:pPr>
              <w:pStyle w:val="80"/>
              <w:rPr>
                <w:rFonts w:hint="eastAsia"/>
              </w:rPr>
            </w:pPr>
          </w:p>
        </w:tc>
        <w:tc>
          <w:tcPr>
            <w:tcW w:w="1559" w:type="dxa"/>
            <w:vMerge w:val="restart"/>
            <w:tcBorders>
              <w:top w:val="nil"/>
              <w:left w:val="nil"/>
              <w:bottom w:val="single" w:color="auto" w:sz="2" w:space="0"/>
              <w:right w:val="single" w:color="auto" w:sz="2" w:space="0"/>
            </w:tcBorders>
            <w:vAlign w:val="center"/>
          </w:tcPr>
          <w:p w14:paraId="3F709C9F">
            <w:pPr>
              <w:pStyle w:val="80"/>
              <w:rPr>
                <w:rFonts w:hint="eastAsia"/>
              </w:rPr>
            </w:pPr>
            <w:r>
              <w:rPr>
                <w:rFonts w:hint="eastAsia"/>
              </w:rPr>
              <w:t>数据服务与数据治理水平</w:t>
            </w:r>
          </w:p>
        </w:tc>
        <w:tc>
          <w:tcPr>
            <w:tcW w:w="3544" w:type="dxa"/>
            <w:tcBorders>
              <w:top w:val="single" w:color="auto" w:sz="2" w:space="0"/>
              <w:left w:val="nil"/>
              <w:bottom w:val="single" w:color="auto" w:sz="2" w:space="0"/>
              <w:right w:val="single" w:color="auto" w:sz="2" w:space="0"/>
            </w:tcBorders>
            <w:vAlign w:val="center"/>
          </w:tcPr>
          <w:p w14:paraId="46F87943">
            <w:pPr>
              <w:pStyle w:val="80"/>
              <w:rPr>
                <w:rFonts w:hint="eastAsia"/>
              </w:rPr>
            </w:pPr>
            <w:r>
              <w:rPr>
                <w:rFonts w:hint="eastAsia"/>
              </w:rPr>
              <w:t>数据源覆盖度（%）</w:t>
            </w:r>
          </w:p>
        </w:tc>
        <w:tc>
          <w:tcPr>
            <w:tcW w:w="1434" w:type="dxa"/>
            <w:tcBorders>
              <w:top w:val="single" w:color="auto" w:sz="2" w:space="0"/>
              <w:left w:val="nil"/>
              <w:bottom w:val="single" w:color="auto" w:sz="2" w:space="0"/>
              <w:right w:val="single" w:color="auto" w:sz="2" w:space="0"/>
            </w:tcBorders>
            <w:vAlign w:val="center"/>
          </w:tcPr>
          <w:p w14:paraId="1A03D51B">
            <w:pPr>
              <w:pStyle w:val="80"/>
              <w:rPr>
                <w:rFonts w:hint="eastAsia"/>
              </w:rPr>
            </w:pPr>
            <w:r>
              <w:t>≥</w:t>
            </w:r>
            <w:r>
              <w:rPr>
                <w:rFonts w:hint="eastAsia"/>
              </w:rPr>
              <w:t>50</w:t>
            </w:r>
          </w:p>
        </w:tc>
      </w:tr>
      <w:tr w14:paraId="2EF85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7B1222C9">
            <w:pPr>
              <w:pStyle w:val="80"/>
              <w:rPr>
                <w:rFonts w:hint="eastAsia"/>
              </w:rPr>
            </w:pPr>
            <w:r>
              <w:rPr>
                <w:rFonts w:hint="eastAsia"/>
              </w:rPr>
              <w:t>18</w:t>
            </w:r>
          </w:p>
        </w:tc>
        <w:tc>
          <w:tcPr>
            <w:tcW w:w="1249" w:type="dxa"/>
            <w:vMerge w:val="continue"/>
            <w:tcBorders>
              <w:left w:val="nil"/>
              <w:right w:val="single" w:color="auto" w:sz="2" w:space="0"/>
            </w:tcBorders>
            <w:vAlign w:val="center"/>
          </w:tcPr>
          <w:p w14:paraId="78E15DCA">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5D777704">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65205BF8">
            <w:pPr>
              <w:pStyle w:val="80"/>
              <w:rPr>
                <w:rFonts w:hint="eastAsia"/>
              </w:rPr>
            </w:pPr>
            <w:r>
              <w:rPr>
                <w:rFonts w:hint="eastAsia"/>
              </w:rPr>
              <w:t>采集政务类政策法规数据量（GB）</w:t>
            </w:r>
          </w:p>
        </w:tc>
        <w:tc>
          <w:tcPr>
            <w:tcW w:w="1434" w:type="dxa"/>
            <w:tcBorders>
              <w:top w:val="single" w:color="auto" w:sz="2" w:space="0"/>
              <w:left w:val="nil"/>
              <w:bottom w:val="single" w:color="auto" w:sz="2" w:space="0"/>
              <w:right w:val="single" w:color="auto" w:sz="2" w:space="0"/>
            </w:tcBorders>
            <w:vAlign w:val="center"/>
          </w:tcPr>
          <w:p w14:paraId="1BF3130E">
            <w:pPr>
              <w:pStyle w:val="80"/>
              <w:rPr>
                <w:rFonts w:hint="eastAsia"/>
              </w:rPr>
            </w:pPr>
            <w:r>
              <w:t>≥</w:t>
            </w:r>
            <w:r>
              <w:rPr>
                <w:rFonts w:hint="eastAsia"/>
              </w:rPr>
              <w:t>3</w:t>
            </w:r>
          </w:p>
        </w:tc>
      </w:tr>
      <w:tr w14:paraId="354985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223267E1">
            <w:pPr>
              <w:pStyle w:val="80"/>
              <w:rPr>
                <w:rFonts w:hint="eastAsia"/>
              </w:rPr>
            </w:pPr>
            <w:r>
              <w:rPr>
                <w:rFonts w:hint="eastAsia"/>
              </w:rPr>
              <w:t>19</w:t>
            </w:r>
          </w:p>
        </w:tc>
        <w:tc>
          <w:tcPr>
            <w:tcW w:w="1249" w:type="dxa"/>
            <w:vMerge w:val="continue"/>
            <w:tcBorders>
              <w:left w:val="nil"/>
              <w:right w:val="single" w:color="auto" w:sz="2" w:space="0"/>
            </w:tcBorders>
            <w:vAlign w:val="center"/>
          </w:tcPr>
          <w:p w14:paraId="02D0B2A9">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3EC475D2">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086F37CB">
            <w:pPr>
              <w:pStyle w:val="80"/>
              <w:rPr>
                <w:rFonts w:hint="eastAsia"/>
              </w:rPr>
            </w:pPr>
            <w:r>
              <w:rPr>
                <w:rFonts w:hint="eastAsia"/>
              </w:rPr>
              <w:t>平均每月治理数据量（GB/月）</w:t>
            </w:r>
          </w:p>
        </w:tc>
        <w:tc>
          <w:tcPr>
            <w:tcW w:w="1434" w:type="dxa"/>
            <w:tcBorders>
              <w:top w:val="single" w:color="auto" w:sz="2" w:space="0"/>
              <w:left w:val="nil"/>
              <w:bottom w:val="single" w:color="auto" w:sz="2" w:space="0"/>
              <w:right w:val="single" w:color="auto" w:sz="2" w:space="0"/>
            </w:tcBorders>
            <w:vAlign w:val="center"/>
          </w:tcPr>
          <w:p w14:paraId="5779B8FF">
            <w:pPr>
              <w:pStyle w:val="80"/>
              <w:rPr>
                <w:rFonts w:hint="eastAsia"/>
              </w:rPr>
            </w:pPr>
            <w:r>
              <w:t>≥</w:t>
            </w:r>
            <w:r>
              <w:rPr>
                <w:rFonts w:hint="eastAsia"/>
              </w:rPr>
              <w:t>0.2</w:t>
            </w:r>
          </w:p>
        </w:tc>
      </w:tr>
      <w:tr w14:paraId="1A12F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D970917">
            <w:pPr>
              <w:pStyle w:val="80"/>
              <w:rPr>
                <w:rFonts w:hint="eastAsia"/>
              </w:rPr>
            </w:pPr>
            <w:r>
              <w:rPr>
                <w:rFonts w:hint="eastAsia"/>
              </w:rPr>
              <w:t>20</w:t>
            </w:r>
          </w:p>
        </w:tc>
        <w:tc>
          <w:tcPr>
            <w:tcW w:w="1249" w:type="dxa"/>
            <w:vMerge w:val="continue"/>
            <w:tcBorders>
              <w:left w:val="nil"/>
              <w:right w:val="single" w:color="auto" w:sz="2" w:space="0"/>
            </w:tcBorders>
            <w:vAlign w:val="center"/>
          </w:tcPr>
          <w:p w14:paraId="5E2C2FDC">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6BA4B78B">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4E27B6D1">
            <w:pPr>
              <w:pStyle w:val="80"/>
              <w:rPr>
                <w:rFonts w:hint="eastAsia"/>
              </w:rPr>
            </w:pPr>
            <w:r>
              <w:rPr>
                <w:rFonts w:hint="eastAsia"/>
              </w:rPr>
              <w:t>平均每月数据分析量（GB/月）</w:t>
            </w:r>
          </w:p>
        </w:tc>
        <w:tc>
          <w:tcPr>
            <w:tcW w:w="1434" w:type="dxa"/>
            <w:tcBorders>
              <w:top w:val="single" w:color="auto" w:sz="2" w:space="0"/>
              <w:left w:val="nil"/>
              <w:bottom w:val="single" w:color="auto" w:sz="2" w:space="0"/>
              <w:right w:val="single" w:color="auto" w:sz="2" w:space="0"/>
            </w:tcBorders>
            <w:vAlign w:val="center"/>
          </w:tcPr>
          <w:p w14:paraId="2EE7F13D">
            <w:pPr>
              <w:pStyle w:val="80"/>
              <w:rPr>
                <w:rFonts w:hint="eastAsia"/>
              </w:rPr>
            </w:pPr>
            <w:r>
              <w:t>≥</w:t>
            </w:r>
            <w:r>
              <w:rPr>
                <w:rFonts w:hint="eastAsia"/>
              </w:rPr>
              <w:t>0.1</w:t>
            </w:r>
          </w:p>
        </w:tc>
      </w:tr>
      <w:tr w14:paraId="23AD7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053CD16">
            <w:pPr>
              <w:pStyle w:val="80"/>
              <w:rPr>
                <w:rFonts w:hint="eastAsia"/>
              </w:rPr>
            </w:pPr>
            <w:r>
              <w:rPr>
                <w:rFonts w:hint="eastAsia"/>
              </w:rPr>
              <w:t>21</w:t>
            </w:r>
          </w:p>
        </w:tc>
        <w:tc>
          <w:tcPr>
            <w:tcW w:w="1249" w:type="dxa"/>
            <w:vMerge w:val="continue"/>
            <w:tcBorders>
              <w:left w:val="nil"/>
              <w:right w:val="single" w:color="auto" w:sz="2" w:space="0"/>
            </w:tcBorders>
            <w:vAlign w:val="center"/>
          </w:tcPr>
          <w:p w14:paraId="1699243D">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1A62D4D4">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72021F63">
            <w:pPr>
              <w:pStyle w:val="80"/>
              <w:rPr>
                <w:rFonts w:hint="eastAsia"/>
              </w:rPr>
            </w:pPr>
            <w:r>
              <w:rPr>
                <w:rFonts w:hint="eastAsia"/>
              </w:rPr>
              <w:t>数据被调用量（%）</w:t>
            </w:r>
          </w:p>
        </w:tc>
        <w:tc>
          <w:tcPr>
            <w:tcW w:w="1434" w:type="dxa"/>
            <w:tcBorders>
              <w:top w:val="single" w:color="auto" w:sz="2" w:space="0"/>
              <w:left w:val="nil"/>
              <w:bottom w:val="single" w:color="auto" w:sz="2" w:space="0"/>
              <w:right w:val="single" w:color="auto" w:sz="2" w:space="0"/>
            </w:tcBorders>
            <w:vAlign w:val="center"/>
          </w:tcPr>
          <w:p w14:paraId="658DC37A">
            <w:pPr>
              <w:pStyle w:val="80"/>
              <w:rPr>
                <w:rFonts w:hint="eastAsia"/>
              </w:rPr>
            </w:pPr>
            <w:r>
              <w:t>≥</w:t>
            </w:r>
            <w:r>
              <w:rPr>
                <w:rFonts w:hint="eastAsia"/>
              </w:rPr>
              <w:t>5</w:t>
            </w:r>
          </w:p>
        </w:tc>
      </w:tr>
      <w:tr w14:paraId="0D0C5E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65002A9">
            <w:pPr>
              <w:pStyle w:val="80"/>
              <w:rPr>
                <w:rFonts w:hint="eastAsia"/>
              </w:rPr>
            </w:pPr>
            <w:r>
              <w:rPr>
                <w:rFonts w:hint="eastAsia"/>
              </w:rPr>
              <w:t>22</w:t>
            </w:r>
          </w:p>
        </w:tc>
        <w:tc>
          <w:tcPr>
            <w:tcW w:w="1249" w:type="dxa"/>
            <w:vMerge w:val="continue"/>
            <w:tcBorders>
              <w:left w:val="nil"/>
              <w:right w:val="single" w:color="auto" w:sz="2" w:space="0"/>
            </w:tcBorders>
            <w:vAlign w:val="center"/>
          </w:tcPr>
          <w:p w14:paraId="14372D92">
            <w:pPr>
              <w:pStyle w:val="80"/>
              <w:rPr>
                <w:rFonts w:hint="eastAsia"/>
              </w:rPr>
            </w:pPr>
          </w:p>
        </w:tc>
        <w:tc>
          <w:tcPr>
            <w:tcW w:w="1559" w:type="dxa"/>
            <w:vMerge w:val="restart"/>
            <w:tcBorders>
              <w:top w:val="nil"/>
              <w:left w:val="nil"/>
              <w:right w:val="single" w:color="auto" w:sz="2" w:space="0"/>
            </w:tcBorders>
            <w:vAlign w:val="center"/>
          </w:tcPr>
          <w:p w14:paraId="34657B68">
            <w:pPr>
              <w:pStyle w:val="80"/>
              <w:rPr>
                <w:rFonts w:hint="eastAsia"/>
              </w:rPr>
            </w:pPr>
            <w:r>
              <w:rPr>
                <w:rFonts w:hint="eastAsia"/>
              </w:rPr>
              <w:t>安全建设水平</w:t>
            </w:r>
          </w:p>
        </w:tc>
        <w:tc>
          <w:tcPr>
            <w:tcW w:w="3544" w:type="dxa"/>
            <w:tcBorders>
              <w:top w:val="single" w:color="auto" w:sz="2" w:space="0"/>
              <w:left w:val="nil"/>
              <w:bottom w:val="single" w:color="auto" w:sz="2" w:space="0"/>
              <w:right w:val="single" w:color="auto" w:sz="2" w:space="0"/>
            </w:tcBorders>
            <w:vAlign w:val="center"/>
          </w:tcPr>
          <w:p w14:paraId="6FB1ADB6">
            <w:pPr>
              <w:pStyle w:val="80"/>
              <w:rPr>
                <w:rFonts w:hint="eastAsia"/>
              </w:rPr>
            </w:pPr>
            <w:r>
              <w:rPr>
                <w:rFonts w:hint="eastAsia"/>
              </w:rPr>
              <w:t>数据安全措施</w:t>
            </w:r>
          </w:p>
        </w:tc>
        <w:tc>
          <w:tcPr>
            <w:tcW w:w="1434" w:type="dxa"/>
            <w:tcBorders>
              <w:top w:val="single" w:color="auto" w:sz="2" w:space="0"/>
              <w:left w:val="nil"/>
              <w:bottom w:val="single" w:color="auto" w:sz="2" w:space="0"/>
              <w:right w:val="single" w:color="auto" w:sz="2" w:space="0"/>
            </w:tcBorders>
            <w:vAlign w:val="center"/>
          </w:tcPr>
          <w:p w14:paraId="446F28B9">
            <w:pPr>
              <w:pStyle w:val="80"/>
              <w:rPr>
                <w:rFonts w:hint="eastAsia"/>
              </w:rPr>
            </w:pPr>
            <w:r>
              <w:rPr>
                <w:rFonts w:hint="eastAsia"/>
              </w:rPr>
              <w:t>有</w:t>
            </w:r>
          </w:p>
        </w:tc>
      </w:tr>
      <w:tr w14:paraId="025661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0782E8EB">
            <w:pPr>
              <w:pStyle w:val="80"/>
              <w:rPr>
                <w:rFonts w:hint="eastAsia"/>
              </w:rPr>
            </w:pPr>
            <w:r>
              <w:rPr>
                <w:rFonts w:hint="eastAsia"/>
              </w:rPr>
              <w:t>23</w:t>
            </w:r>
          </w:p>
        </w:tc>
        <w:tc>
          <w:tcPr>
            <w:tcW w:w="1249" w:type="dxa"/>
            <w:vMerge w:val="continue"/>
            <w:tcBorders>
              <w:left w:val="nil"/>
              <w:right w:val="single" w:color="auto" w:sz="2" w:space="0"/>
            </w:tcBorders>
            <w:vAlign w:val="center"/>
          </w:tcPr>
          <w:p w14:paraId="668071A4">
            <w:pPr>
              <w:pStyle w:val="80"/>
              <w:rPr>
                <w:rFonts w:hint="eastAsia"/>
              </w:rPr>
            </w:pPr>
          </w:p>
        </w:tc>
        <w:tc>
          <w:tcPr>
            <w:tcW w:w="1559" w:type="dxa"/>
            <w:vMerge w:val="continue"/>
            <w:tcBorders>
              <w:left w:val="nil"/>
              <w:right w:val="single" w:color="auto" w:sz="2" w:space="0"/>
            </w:tcBorders>
            <w:vAlign w:val="center"/>
          </w:tcPr>
          <w:p w14:paraId="35A405CC">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5748FC1B">
            <w:pPr>
              <w:pStyle w:val="80"/>
              <w:rPr>
                <w:rFonts w:hint="eastAsia"/>
              </w:rPr>
            </w:pPr>
            <w:r>
              <w:rPr>
                <w:rFonts w:hint="eastAsia"/>
              </w:rPr>
              <w:t>网络安全措施</w:t>
            </w:r>
          </w:p>
        </w:tc>
        <w:tc>
          <w:tcPr>
            <w:tcW w:w="1434" w:type="dxa"/>
            <w:tcBorders>
              <w:top w:val="single" w:color="auto" w:sz="2" w:space="0"/>
              <w:left w:val="nil"/>
              <w:bottom w:val="single" w:color="auto" w:sz="2" w:space="0"/>
              <w:right w:val="single" w:color="auto" w:sz="2" w:space="0"/>
            </w:tcBorders>
            <w:vAlign w:val="center"/>
          </w:tcPr>
          <w:p w14:paraId="2CF28F94">
            <w:pPr>
              <w:pStyle w:val="80"/>
              <w:rPr>
                <w:rFonts w:hint="eastAsia"/>
              </w:rPr>
            </w:pPr>
            <w:r>
              <w:rPr>
                <w:rFonts w:hint="eastAsia"/>
              </w:rPr>
              <w:t>有</w:t>
            </w:r>
          </w:p>
        </w:tc>
      </w:tr>
      <w:tr w14:paraId="139CD1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12759779">
            <w:pPr>
              <w:pStyle w:val="80"/>
              <w:rPr>
                <w:rFonts w:hint="eastAsia"/>
              </w:rPr>
            </w:pPr>
            <w:r>
              <w:rPr>
                <w:rFonts w:hint="eastAsia"/>
              </w:rPr>
              <w:t>24</w:t>
            </w:r>
          </w:p>
        </w:tc>
        <w:tc>
          <w:tcPr>
            <w:tcW w:w="1249" w:type="dxa"/>
            <w:vMerge w:val="continue"/>
            <w:tcBorders>
              <w:left w:val="nil"/>
              <w:bottom w:val="single" w:color="auto" w:sz="2" w:space="0"/>
              <w:right w:val="single" w:color="auto" w:sz="2" w:space="0"/>
            </w:tcBorders>
            <w:vAlign w:val="center"/>
          </w:tcPr>
          <w:p w14:paraId="19EDA323">
            <w:pPr>
              <w:pStyle w:val="80"/>
              <w:rPr>
                <w:rFonts w:hint="eastAsia"/>
              </w:rPr>
            </w:pPr>
          </w:p>
        </w:tc>
        <w:tc>
          <w:tcPr>
            <w:tcW w:w="1559" w:type="dxa"/>
            <w:vMerge w:val="continue"/>
            <w:tcBorders>
              <w:left w:val="nil"/>
              <w:bottom w:val="single" w:color="auto" w:sz="2" w:space="0"/>
              <w:right w:val="single" w:color="auto" w:sz="2" w:space="0"/>
            </w:tcBorders>
            <w:vAlign w:val="center"/>
          </w:tcPr>
          <w:p w14:paraId="7B033781">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59F3EFE0">
            <w:pPr>
              <w:pStyle w:val="80"/>
              <w:rPr>
                <w:rFonts w:hint="eastAsia"/>
              </w:rPr>
            </w:pPr>
            <w:r>
              <w:rPr>
                <w:rFonts w:hint="eastAsia"/>
              </w:rPr>
              <w:t>系统安全措施</w:t>
            </w:r>
          </w:p>
        </w:tc>
        <w:tc>
          <w:tcPr>
            <w:tcW w:w="1434" w:type="dxa"/>
            <w:tcBorders>
              <w:top w:val="single" w:color="auto" w:sz="2" w:space="0"/>
              <w:left w:val="nil"/>
              <w:bottom w:val="single" w:color="auto" w:sz="2" w:space="0"/>
              <w:right w:val="single" w:color="auto" w:sz="2" w:space="0"/>
            </w:tcBorders>
            <w:vAlign w:val="center"/>
          </w:tcPr>
          <w:p w14:paraId="0F9EE255">
            <w:pPr>
              <w:pStyle w:val="80"/>
              <w:rPr>
                <w:rFonts w:hint="eastAsia"/>
              </w:rPr>
            </w:pPr>
            <w:r>
              <w:rPr>
                <w:rFonts w:hint="eastAsia"/>
              </w:rPr>
              <w:t>有</w:t>
            </w:r>
          </w:p>
        </w:tc>
      </w:tr>
      <w:tr w14:paraId="17A8E7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3D34CA48">
            <w:pPr>
              <w:pStyle w:val="80"/>
              <w:rPr>
                <w:rFonts w:hint="eastAsia"/>
              </w:rPr>
            </w:pPr>
            <w:r>
              <w:rPr>
                <w:rFonts w:hint="eastAsia"/>
              </w:rPr>
              <w:t>25</w:t>
            </w:r>
          </w:p>
        </w:tc>
        <w:tc>
          <w:tcPr>
            <w:tcW w:w="1249" w:type="dxa"/>
            <w:vMerge w:val="restart"/>
            <w:tcBorders>
              <w:top w:val="nil"/>
              <w:left w:val="nil"/>
              <w:bottom w:val="single" w:color="auto" w:sz="2" w:space="0"/>
              <w:right w:val="single" w:color="auto" w:sz="2" w:space="0"/>
            </w:tcBorders>
            <w:vAlign w:val="center"/>
          </w:tcPr>
          <w:p w14:paraId="28303206">
            <w:pPr>
              <w:pStyle w:val="80"/>
              <w:rPr>
                <w:rFonts w:hint="eastAsia"/>
              </w:rPr>
            </w:pPr>
            <w:r>
              <w:rPr>
                <w:rFonts w:hint="eastAsia"/>
              </w:rPr>
              <w:t>业务指标</w:t>
            </w:r>
          </w:p>
        </w:tc>
        <w:tc>
          <w:tcPr>
            <w:tcW w:w="1559" w:type="dxa"/>
            <w:vMerge w:val="restart"/>
            <w:tcBorders>
              <w:top w:val="nil"/>
              <w:left w:val="nil"/>
              <w:bottom w:val="single" w:color="auto" w:sz="2" w:space="0"/>
              <w:right w:val="single" w:color="auto" w:sz="2" w:space="0"/>
            </w:tcBorders>
            <w:vAlign w:val="center"/>
          </w:tcPr>
          <w:p w14:paraId="2938011D">
            <w:pPr>
              <w:pStyle w:val="80"/>
              <w:rPr>
                <w:rFonts w:hint="eastAsia"/>
              </w:rPr>
            </w:pPr>
            <w:r>
              <w:rPr>
                <w:rFonts w:hint="eastAsia"/>
              </w:rPr>
              <w:t>产出质量</w:t>
            </w:r>
          </w:p>
        </w:tc>
        <w:tc>
          <w:tcPr>
            <w:tcW w:w="3544" w:type="dxa"/>
            <w:tcBorders>
              <w:top w:val="single" w:color="auto" w:sz="2" w:space="0"/>
              <w:left w:val="nil"/>
              <w:bottom w:val="single" w:color="auto" w:sz="2" w:space="0"/>
              <w:right w:val="single" w:color="auto" w:sz="2" w:space="0"/>
            </w:tcBorders>
            <w:vAlign w:val="bottom"/>
          </w:tcPr>
          <w:p w14:paraId="18F2AFE7">
            <w:pPr>
              <w:pStyle w:val="80"/>
              <w:rPr>
                <w:rFonts w:hint="eastAsia"/>
              </w:rPr>
            </w:pPr>
            <w:r>
              <w:rPr>
                <w:rFonts w:hint="eastAsia"/>
              </w:rPr>
              <w:t>平台</w:t>
            </w:r>
            <w:r>
              <w:t>平均响应时间</w:t>
            </w:r>
            <w:r>
              <w:rPr>
                <w:rFonts w:hint="eastAsia"/>
              </w:rPr>
              <w:t>（秒）</w:t>
            </w:r>
          </w:p>
        </w:tc>
        <w:tc>
          <w:tcPr>
            <w:tcW w:w="1434" w:type="dxa"/>
            <w:tcBorders>
              <w:top w:val="single" w:color="auto" w:sz="2" w:space="0"/>
              <w:left w:val="nil"/>
              <w:bottom w:val="single" w:color="auto" w:sz="2" w:space="0"/>
              <w:right w:val="single" w:color="auto" w:sz="2" w:space="0"/>
            </w:tcBorders>
            <w:vAlign w:val="center"/>
          </w:tcPr>
          <w:p w14:paraId="74947E70">
            <w:pPr>
              <w:pStyle w:val="80"/>
              <w:rPr>
                <w:rFonts w:hint="eastAsia"/>
              </w:rPr>
            </w:pPr>
            <w:r>
              <w:t>≤0.</w:t>
            </w:r>
            <w:r>
              <w:rPr>
                <w:rFonts w:hint="eastAsia"/>
              </w:rPr>
              <w:t>2</w:t>
            </w:r>
          </w:p>
        </w:tc>
      </w:tr>
      <w:tr w14:paraId="27E39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7A2C31BC">
            <w:pPr>
              <w:pStyle w:val="80"/>
              <w:rPr>
                <w:rFonts w:hint="eastAsia"/>
              </w:rPr>
            </w:pPr>
            <w:r>
              <w:rPr>
                <w:rFonts w:hint="eastAsia"/>
              </w:rPr>
              <w:t>26</w:t>
            </w:r>
          </w:p>
        </w:tc>
        <w:tc>
          <w:tcPr>
            <w:tcW w:w="1249" w:type="dxa"/>
            <w:vMerge w:val="continue"/>
            <w:tcBorders>
              <w:top w:val="nil"/>
              <w:left w:val="nil"/>
              <w:bottom w:val="single" w:color="auto" w:sz="2" w:space="0"/>
              <w:right w:val="single" w:color="auto" w:sz="2" w:space="0"/>
            </w:tcBorders>
            <w:vAlign w:val="center"/>
          </w:tcPr>
          <w:p w14:paraId="1D43EDFB">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587AC1DA">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478EF477">
            <w:pPr>
              <w:pStyle w:val="80"/>
              <w:rPr>
                <w:rFonts w:hint="eastAsia"/>
              </w:rPr>
            </w:pPr>
            <w:r>
              <w:t>支持并发用户量</w:t>
            </w:r>
            <w:r>
              <w:rPr>
                <w:rFonts w:hint="eastAsia"/>
              </w:rPr>
              <w:t>（个）</w:t>
            </w:r>
          </w:p>
        </w:tc>
        <w:tc>
          <w:tcPr>
            <w:tcW w:w="1434" w:type="dxa"/>
            <w:tcBorders>
              <w:top w:val="single" w:color="auto" w:sz="2" w:space="0"/>
              <w:left w:val="nil"/>
              <w:bottom w:val="single" w:color="auto" w:sz="2" w:space="0"/>
              <w:right w:val="single" w:color="auto" w:sz="2" w:space="0"/>
            </w:tcBorders>
            <w:vAlign w:val="center"/>
          </w:tcPr>
          <w:p w14:paraId="0AEBAE37">
            <w:pPr>
              <w:pStyle w:val="80"/>
              <w:rPr>
                <w:rFonts w:hint="eastAsia"/>
              </w:rPr>
            </w:pPr>
            <w:r>
              <w:t>≥</w:t>
            </w:r>
            <w:r>
              <w:rPr>
                <w:rFonts w:hint="eastAsia"/>
              </w:rPr>
              <w:t>20</w:t>
            </w:r>
          </w:p>
        </w:tc>
      </w:tr>
      <w:tr w14:paraId="092022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354E42AE">
            <w:pPr>
              <w:pStyle w:val="80"/>
              <w:rPr>
                <w:rFonts w:hint="eastAsia"/>
              </w:rPr>
            </w:pPr>
            <w:r>
              <w:rPr>
                <w:rFonts w:hint="eastAsia"/>
              </w:rPr>
              <w:t>27</w:t>
            </w:r>
          </w:p>
        </w:tc>
        <w:tc>
          <w:tcPr>
            <w:tcW w:w="1249" w:type="dxa"/>
            <w:vMerge w:val="continue"/>
            <w:tcBorders>
              <w:top w:val="nil"/>
              <w:left w:val="nil"/>
              <w:bottom w:val="single" w:color="auto" w:sz="2" w:space="0"/>
              <w:right w:val="single" w:color="auto" w:sz="2" w:space="0"/>
            </w:tcBorders>
            <w:vAlign w:val="center"/>
          </w:tcPr>
          <w:p w14:paraId="4ACBB1A2">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40BEA9BB">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0580E1D3">
            <w:pPr>
              <w:pStyle w:val="80"/>
              <w:rPr>
                <w:rFonts w:hint="eastAsia"/>
              </w:rPr>
            </w:pPr>
            <w:r>
              <w:rPr>
                <w:rFonts w:hint="eastAsia"/>
              </w:rPr>
              <w:t>多渠道数据源接入能力</w:t>
            </w:r>
          </w:p>
        </w:tc>
        <w:tc>
          <w:tcPr>
            <w:tcW w:w="1434" w:type="dxa"/>
            <w:tcBorders>
              <w:top w:val="single" w:color="auto" w:sz="2" w:space="0"/>
              <w:left w:val="nil"/>
              <w:bottom w:val="single" w:color="auto" w:sz="2" w:space="0"/>
              <w:right w:val="single" w:color="auto" w:sz="2" w:space="0"/>
            </w:tcBorders>
            <w:vAlign w:val="center"/>
          </w:tcPr>
          <w:p w14:paraId="7A89E263">
            <w:pPr>
              <w:pStyle w:val="80"/>
              <w:rPr>
                <w:rFonts w:hint="eastAsia"/>
              </w:rPr>
            </w:pPr>
            <w:r>
              <w:rPr>
                <w:rFonts w:hint="eastAsia"/>
              </w:rPr>
              <w:t>支持</w:t>
            </w:r>
          </w:p>
        </w:tc>
      </w:tr>
      <w:tr w14:paraId="15071A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40AC7189">
            <w:pPr>
              <w:pStyle w:val="80"/>
              <w:rPr>
                <w:rFonts w:hint="eastAsia"/>
              </w:rPr>
            </w:pPr>
            <w:r>
              <w:rPr>
                <w:rFonts w:hint="eastAsia"/>
              </w:rPr>
              <w:t>28</w:t>
            </w:r>
          </w:p>
        </w:tc>
        <w:tc>
          <w:tcPr>
            <w:tcW w:w="1249" w:type="dxa"/>
            <w:vMerge w:val="continue"/>
            <w:tcBorders>
              <w:top w:val="nil"/>
              <w:left w:val="nil"/>
              <w:bottom w:val="single" w:color="auto" w:sz="2" w:space="0"/>
              <w:right w:val="single" w:color="auto" w:sz="2" w:space="0"/>
            </w:tcBorders>
            <w:vAlign w:val="center"/>
          </w:tcPr>
          <w:p w14:paraId="17A18BF4">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5BD6351A">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02D0A027">
            <w:pPr>
              <w:pStyle w:val="80"/>
              <w:rPr>
                <w:rFonts w:hint="eastAsia"/>
              </w:rPr>
            </w:pPr>
            <w:r>
              <w:t>模型推理速度（首次输出）</w:t>
            </w:r>
            <w:r>
              <w:rPr>
                <w:rFonts w:hint="eastAsia"/>
              </w:rPr>
              <w:t>（秒）</w:t>
            </w:r>
          </w:p>
        </w:tc>
        <w:tc>
          <w:tcPr>
            <w:tcW w:w="1434" w:type="dxa"/>
            <w:tcBorders>
              <w:top w:val="single" w:color="auto" w:sz="2" w:space="0"/>
              <w:left w:val="nil"/>
              <w:bottom w:val="single" w:color="auto" w:sz="2" w:space="0"/>
              <w:right w:val="single" w:color="auto" w:sz="2" w:space="0"/>
            </w:tcBorders>
            <w:vAlign w:val="center"/>
          </w:tcPr>
          <w:p w14:paraId="21EC281F">
            <w:pPr>
              <w:pStyle w:val="80"/>
              <w:rPr>
                <w:rFonts w:hint="eastAsia"/>
              </w:rPr>
            </w:pPr>
            <w:r>
              <w:t>≤</w:t>
            </w:r>
            <w:r>
              <w:rPr>
                <w:rFonts w:hint="eastAsia"/>
              </w:rPr>
              <w:t>5</w:t>
            </w:r>
          </w:p>
        </w:tc>
      </w:tr>
      <w:tr w14:paraId="2EBE3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7F402E9F">
            <w:pPr>
              <w:pStyle w:val="80"/>
              <w:rPr>
                <w:rFonts w:hint="eastAsia"/>
              </w:rPr>
            </w:pPr>
            <w:r>
              <w:rPr>
                <w:rFonts w:hint="eastAsia"/>
              </w:rPr>
              <w:t>29</w:t>
            </w:r>
          </w:p>
        </w:tc>
        <w:tc>
          <w:tcPr>
            <w:tcW w:w="1249" w:type="dxa"/>
            <w:vMerge w:val="continue"/>
            <w:tcBorders>
              <w:top w:val="nil"/>
              <w:left w:val="nil"/>
              <w:bottom w:val="single" w:color="auto" w:sz="2" w:space="0"/>
              <w:right w:val="single" w:color="auto" w:sz="2" w:space="0"/>
            </w:tcBorders>
            <w:vAlign w:val="center"/>
          </w:tcPr>
          <w:p w14:paraId="33E0E51A">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4325FE08">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2015B846">
            <w:pPr>
              <w:pStyle w:val="80"/>
              <w:rPr>
                <w:rFonts w:hint="eastAsia"/>
              </w:rPr>
            </w:pPr>
            <w:r>
              <w:rPr>
                <w:rFonts w:hint="eastAsia"/>
              </w:rPr>
              <w:t>模型安全措施</w:t>
            </w:r>
          </w:p>
        </w:tc>
        <w:tc>
          <w:tcPr>
            <w:tcW w:w="1434" w:type="dxa"/>
            <w:tcBorders>
              <w:top w:val="single" w:color="auto" w:sz="2" w:space="0"/>
              <w:left w:val="nil"/>
              <w:bottom w:val="single" w:color="auto" w:sz="2" w:space="0"/>
              <w:right w:val="single" w:color="auto" w:sz="2" w:space="0"/>
            </w:tcBorders>
            <w:vAlign w:val="center"/>
          </w:tcPr>
          <w:p w14:paraId="49B75495">
            <w:pPr>
              <w:pStyle w:val="80"/>
              <w:rPr>
                <w:rFonts w:hint="eastAsia"/>
              </w:rPr>
            </w:pPr>
            <w:r>
              <w:rPr>
                <w:rFonts w:hint="eastAsia"/>
              </w:rPr>
              <w:t>有</w:t>
            </w:r>
          </w:p>
        </w:tc>
      </w:tr>
      <w:tr w14:paraId="3BCC9F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5E6DF9E3">
            <w:pPr>
              <w:pStyle w:val="80"/>
              <w:rPr>
                <w:rFonts w:hint="eastAsia"/>
              </w:rPr>
            </w:pPr>
            <w:r>
              <w:rPr>
                <w:rFonts w:hint="eastAsia"/>
              </w:rPr>
              <w:t>30</w:t>
            </w:r>
          </w:p>
        </w:tc>
        <w:tc>
          <w:tcPr>
            <w:tcW w:w="1249" w:type="dxa"/>
            <w:vMerge w:val="continue"/>
            <w:tcBorders>
              <w:top w:val="nil"/>
              <w:left w:val="nil"/>
              <w:bottom w:val="single" w:color="auto" w:sz="2" w:space="0"/>
              <w:right w:val="single" w:color="auto" w:sz="2" w:space="0"/>
            </w:tcBorders>
            <w:vAlign w:val="center"/>
          </w:tcPr>
          <w:p w14:paraId="1C5E3963">
            <w:pPr>
              <w:pStyle w:val="80"/>
              <w:rPr>
                <w:rFonts w:hint="eastAsia"/>
              </w:rPr>
            </w:pPr>
          </w:p>
        </w:tc>
        <w:tc>
          <w:tcPr>
            <w:tcW w:w="1559" w:type="dxa"/>
            <w:vMerge w:val="restart"/>
            <w:tcBorders>
              <w:top w:val="nil"/>
              <w:left w:val="nil"/>
              <w:bottom w:val="single" w:color="auto" w:sz="2" w:space="0"/>
              <w:right w:val="single" w:color="auto" w:sz="2" w:space="0"/>
            </w:tcBorders>
            <w:vAlign w:val="center"/>
          </w:tcPr>
          <w:p w14:paraId="53B51B94">
            <w:pPr>
              <w:pStyle w:val="80"/>
              <w:rPr>
                <w:rFonts w:hint="eastAsia"/>
              </w:rPr>
            </w:pPr>
            <w:r>
              <w:rPr>
                <w:rFonts w:hint="eastAsia"/>
              </w:rPr>
              <w:t>社会效益</w:t>
            </w:r>
          </w:p>
        </w:tc>
        <w:tc>
          <w:tcPr>
            <w:tcW w:w="3544" w:type="dxa"/>
            <w:tcBorders>
              <w:top w:val="single" w:color="auto" w:sz="2" w:space="0"/>
              <w:left w:val="nil"/>
              <w:bottom w:val="single" w:color="auto" w:sz="2" w:space="0"/>
              <w:right w:val="single" w:color="auto" w:sz="2" w:space="0"/>
            </w:tcBorders>
            <w:vAlign w:val="bottom"/>
          </w:tcPr>
          <w:p w14:paraId="419BA5A1">
            <w:pPr>
              <w:pStyle w:val="80"/>
              <w:rPr>
                <w:rFonts w:hint="eastAsia"/>
              </w:rPr>
            </w:pPr>
            <w:r>
              <w:t>落地应用场景数量</w:t>
            </w:r>
            <w:r>
              <w:rPr>
                <w:rFonts w:hint="eastAsia"/>
              </w:rPr>
              <w:t>（个）</w:t>
            </w:r>
          </w:p>
        </w:tc>
        <w:tc>
          <w:tcPr>
            <w:tcW w:w="1434" w:type="dxa"/>
            <w:tcBorders>
              <w:top w:val="single" w:color="auto" w:sz="2" w:space="0"/>
              <w:left w:val="nil"/>
              <w:bottom w:val="single" w:color="auto" w:sz="2" w:space="0"/>
              <w:right w:val="single" w:color="auto" w:sz="2" w:space="0"/>
            </w:tcBorders>
            <w:vAlign w:val="center"/>
          </w:tcPr>
          <w:p w14:paraId="62FDCEDC">
            <w:pPr>
              <w:pStyle w:val="80"/>
              <w:rPr>
                <w:rFonts w:hint="eastAsia"/>
              </w:rPr>
            </w:pPr>
            <w:r>
              <w:t>≥</w:t>
            </w:r>
            <w:r>
              <w:rPr>
                <w:rFonts w:hint="eastAsia"/>
              </w:rPr>
              <w:t>24</w:t>
            </w:r>
          </w:p>
        </w:tc>
      </w:tr>
      <w:tr w14:paraId="6BC13F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7B52240F">
            <w:pPr>
              <w:pStyle w:val="80"/>
              <w:rPr>
                <w:rFonts w:hint="eastAsia"/>
              </w:rPr>
            </w:pPr>
            <w:r>
              <w:rPr>
                <w:rFonts w:hint="eastAsia"/>
              </w:rPr>
              <w:t>31</w:t>
            </w:r>
          </w:p>
        </w:tc>
        <w:tc>
          <w:tcPr>
            <w:tcW w:w="1249" w:type="dxa"/>
            <w:vMerge w:val="continue"/>
            <w:tcBorders>
              <w:top w:val="nil"/>
              <w:left w:val="nil"/>
              <w:bottom w:val="single" w:color="auto" w:sz="2" w:space="0"/>
              <w:right w:val="single" w:color="auto" w:sz="2" w:space="0"/>
            </w:tcBorders>
            <w:vAlign w:val="center"/>
          </w:tcPr>
          <w:p w14:paraId="14881341">
            <w:pPr>
              <w:pStyle w:val="80"/>
              <w:rPr>
                <w:rFonts w:hint="eastAsia"/>
              </w:rPr>
            </w:pPr>
          </w:p>
        </w:tc>
        <w:tc>
          <w:tcPr>
            <w:tcW w:w="1559" w:type="dxa"/>
            <w:vMerge w:val="continue"/>
            <w:tcBorders>
              <w:top w:val="nil"/>
              <w:left w:val="nil"/>
              <w:bottom w:val="single" w:color="auto" w:sz="2" w:space="0"/>
              <w:right w:val="single" w:color="auto" w:sz="2" w:space="0"/>
            </w:tcBorders>
            <w:vAlign w:val="center"/>
          </w:tcPr>
          <w:p w14:paraId="35FE8485">
            <w:pPr>
              <w:pStyle w:val="80"/>
              <w:rPr>
                <w:rFonts w:hint="eastAsia"/>
              </w:rPr>
            </w:pPr>
          </w:p>
        </w:tc>
        <w:tc>
          <w:tcPr>
            <w:tcW w:w="3544" w:type="dxa"/>
            <w:tcBorders>
              <w:top w:val="single" w:color="auto" w:sz="2" w:space="0"/>
              <w:left w:val="nil"/>
              <w:bottom w:val="single" w:color="auto" w:sz="2" w:space="0"/>
              <w:right w:val="single" w:color="auto" w:sz="2" w:space="0"/>
            </w:tcBorders>
            <w:vAlign w:val="center"/>
          </w:tcPr>
          <w:p w14:paraId="06D560AE">
            <w:pPr>
              <w:pStyle w:val="80"/>
              <w:rPr>
                <w:rFonts w:hint="eastAsia"/>
              </w:rPr>
            </w:pPr>
            <w:r>
              <w:t>形成数据标准规范数量</w:t>
            </w:r>
            <w:r>
              <w:rPr>
                <w:rFonts w:hint="eastAsia"/>
              </w:rPr>
              <w:t>（个）</w:t>
            </w:r>
          </w:p>
        </w:tc>
        <w:tc>
          <w:tcPr>
            <w:tcW w:w="1434" w:type="dxa"/>
            <w:tcBorders>
              <w:top w:val="single" w:color="auto" w:sz="2" w:space="0"/>
              <w:left w:val="nil"/>
              <w:bottom w:val="single" w:color="auto" w:sz="2" w:space="0"/>
              <w:right w:val="single" w:color="auto" w:sz="2" w:space="0"/>
            </w:tcBorders>
            <w:vAlign w:val="center"/>
          </w:tcPr>
          <w:p w14:paraId="1231B171">
            <w:pPr>
              <w:pStyle w:val="80"/>
              <w:rPr>
                <w:rFonts w:hint="eastAsia"/>
              </w:rPr>
            </w:pPr>
            <w:r>
              <w:t>≥</w:t>
            </w:r>
            <w:r>
              <w:rPr>
                <w:rFonts w:hint="eastAsia"/>
              </w:rPr>
              <w:t>2</w:t>
            </w:r>
          </w:p>
        </w:tc>
      </w:tr>
      <w:tr w14:paraId="21108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33A3BAD2">
            <w:pPr>
              <w:pStyle w:val="80"/>
              <w:rPr>
                <w:rFonts w:hint="eastAsia"/>
              </w:rPr>
            </w:pPr>
            <w:r>
              <w:rPr>
                <w:rFonts w:hint="eastAsia"/>
              </w:rPr>
              <w:t>32</w:t>
            </w:r>
          </w:p>
        </w:tc>
        <w:tc>
          <w:tcPr>
            <w:tcW w:w="1249" w:type="dxa"/>
            <w:vMerge w:val="continue"/>
            <w:tcBorders>
              <w:top w:val="nil"/>
              <w:left w:val="nil"/>
              <w:bottom w:val="nil"/>
              <w:right w:val="single" w:color="auto" w:sz="2" w:space="0"/>
            </w:tcBorders>
            <w:vAlign w:val="center"/>
          </w:tcPr>
          <w:p w14:paraId="4944827B">
            <w:pPr>
              <w:pStyle w:val="80"/>
              <w:rPr>
                <w:rFonts w:hint="eastAsia"/>
              </w:rPr>
            </w:pPr>
          </w:p>
        </w:tc>
        <w:tc>
          <w:tcPr>
            <w:tcW w:w="1559" w:type="dxa"/>
            <w:vMerge w:val="continue"/>
            <w:tcBorders>
              <w:top w:val="nil"/>
              <w:left w:val="nil"/>
              <w:bottom w:val="nil"/>
              <w:right w:val="single" w:color="auto" w:sz="2" w:space="0"/>
            </w:tcBorders>
            <w:vAlign w:val="center"/>
          </w:tcPr>
          <w:p w14:paraId="47417FF6">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06316A0E">
            <w:pPr>
              <w:pStyle w:val="80"/>
              <w:rPr>
                <w:rFonts w:hint="eastAsia"/>
              </w:rPr>
            </w:pPr>
            <w:r>
              <w:t>管理模型数量</w:t>
            </w:r>
            <w:r>
              <w:rPr>
                <w:rFonts w:hint="eastAsia"/>
              </w:rPr>
              <w:t>（个）</w:t>
            </w:r>
          </w:p>
        </w:tc>
        <w:tc>
          <w:tcPr>
            <w:tcW w:w="1434" w:type="dxa"/>
            <w:tcBorders>
              <w:top w:val="single" w:color="auto" w:sz="2" w:space="0"/>
              <w:left w:val="nil"/>
              <w:bottom w:val="single" w:color="auto" w:sz="2" w:space="0"/>
              <w:right w:val="single" w:color="auto" w:sz="2" w:space="0"/>
            </w:tcBorders>
            <w:vAlign w:val="center"/>
          </w:tcPr>
          <w:p w14:paraId="7C7D096B">
            <w:pPr>
              <w:pStyle w:val="80"/>
              <w:rPr>
                <w:rFonts w:hint="eastAsia"/>
              </w:rPr>
            </w:pPr>
            <w:r>
              <w:t>≥</w:t>
            </w:r>
            <w:r>
              <w:rPr>
                <w:rFonts w:hint="eastAsia"/>
              </w:rPr>
              <w:t>5</w:t>
            </w:r>
          </w:p>
        </w:tc>
      </w:tr>
      <w:tr w14:paraId="0BC5C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33" w:type="dxa"/>
            <w:tcBorders>
              <w:top w:val="single" w:color="auto" w:sz="2" w:space="0"/>
              <w:left w:val="single" w:color="auto" w:sz="2" w:space="0"/>
              <w:bottom w:val="single" w:color="auto" w:sz="2" w:space="0"/>
              <w:right w:val="single" w:color="auto" w:sz="2" w:space="0"/>
            </w:tcBorders>
            <w:vAlign w:val="center"/>
          </w:tcPr>
          <w:p w14:paraId="20EE22F4">
            <w:pPr>
              <w:pStyle w:val="80"/>
              <w:rPr>
                <w:rFonts w:hint="eastAsia"/>
              </w:rPr>
            </w:pPr>
            <w:r>
              <w:rPr>
                <w:rFonts w:hint="eastAsia"/>
              </w:rPr>
              <w:t>33</w:t>
            </w:r>
          </w:p>
        </w:tc>
        <w:tc>
          <w:tcPr>
            <w:tcW w:w="1249" w:type="dxa"/>
            <w:tcBorders>
              <w:top w:val="nil"/>
              <w:left w:val="nil"/>
              <w:bottom w:val="single" w:color="auto" w:sz="2" w:space="0"/>
              <w:right w:val="single" w:color="auto" w:sz="2" w:space="0"/>
            </w:tcBorders>
            <w:vAlign w:val="center"/>
          </w:tcPr>
          <w:p w14:paraId="66D0EDE9">
            <w:pPr>
              <w:pStyle w:val="80"/>
              <w:rPr>
                <w:rFonts w:hint="eastAsia"/>
              </w:rPr>
            </w:pPr>
          </w:p>
        </w:tc>
        <w:tc>
          <w:tcPr>
            <w:tcW w:w="1559" w:type="dxa"/>
            <w:tcBorders>
              <w:top w:val="nil"/>
              <w:left w:val="nil"/>
              <w:bottom w:val="single" w:color="auto" w:sz="2" w:space="0"/>
              <w:right w:val="single" w:color="auto" w:sz="2" w:space="0"/>
            </w:tcBorders>
            <w:vAlign w:val="center"/>
          </w:tcPr>
          <w:p w14:paraId="6CE91EEC">
            <w:pPr>
              <w:pStyle w:val="80"/>
              <w:rPr>
                <w:rFonts w:hint="eastAsia"/>
              </w:rPr>
            </w:pPr>
          </w:p>
        </w:tc>
        <w:tc>
          <w:tcPr>
            <w:tcW w:w="3544" w:type="dxa"/>
            <w:tcBorders>
              <w:top w:val="single" w:color="auto" w:sz="2" w:space="0"/>
              <w:left w:val="nil"/>
              <w:bottom w:val="single" w:color="auto" w:sz="2" w:space="0"/>
              <w:right w:val="single" w:color="auto" w:sz="2" w:space="0"/>
            </w:tcBorders>
            <w:vAlign w:val="bottom"/>
          </w:tcPr>
          <w:p w14:paraId="10DB9EB6">
            <w:pPr>
              <w:pStyle w:val="80"/>
              <w:rPr>
                <w:rFonts w:hint="eastAsia"/>
              </w:rPr>
            </w:pPr>
            <w:r>
              <w:rPr>
                <w:rFonts w:hint="eastAsia"/>
              </w:rPr>
              <w:t>模型备案、数据溯源、资源监控、安全审查、效果评估的全流程监管能力</w:t>
            </w:r>
          </w:p>
        </w:tc>
        <w:tc>
          <w:tcPr>
            <w:tcW w:w="1434" w:type="dxa"/>
            <w:tcBorders>
              <w:top w:val="single" w:color="auto" w:sz="2" w:space="0"/>
              <w:left w:val="nil"/>
              <w:bottom w:val="single" w:color="auto" w:sz="2" w:space="0"/>
              <w:right w:val="single" w:color="auto" w:sz="2" w:space="0"/>
            </w:tcBorders>
            <w:vAlign w:val="center"/>
          </w:tcPr>
          <w:p w14:paraId="2A3BEFDB">
            <w:pPr>
              <w:pStyle w:val="80"/>
              <w:rPr>
                <w:rFonts w:hint="eastAsia"/>
              </w:rPr>
            </w:pPr>
            <w:r>
              <w:rPr>
                <w:rFonts w:hint="eastAsia"/>
              </w:rPr>
              <w:t>实现</w:t>
            </w:r>
          </w:p>
        </w:tc>
      </w:tr>
    </w:tbl>
    <w:p w14:paraId="1A0C9BAD">
      <w:pPr>
        <w:rPr>
          <w:rFonts w:hint="eastAsia"/>
          <w:bCs/>
        </w:rPr>
      </w:pPr>
    </w:p>
    <w:p w14:paraId="71F8A3C6">
      <w:pPr>
        <w:pStyle w:val="2"/>
        <w:rPr>
          <w:rFonts w:hint="eastAsia"/>
        </w:rPr>
      </w:pPr>
      <w:bookmarkStart w:id="12" w:name="_Toc47539102"/>
      <w:bookmarkEnd w:id="12"/>
      <w:bookmarkStart w:id="13" w:name="_Toc47536676"/>
      <w:bookmarkEnd w:id="13"/>
      <w:bookmarkStart w:id="14" w:name="_Toc47537166"/>
      <w:bookmarkEnd w:id="14"/>
      <w:bookmarkStart w:id="15" w:name="_Toc47532923"/>
      <w:bookmarkEnd w:id="15"/>
      <w:bookmarkStart w:id="16" w:name="_Toc47533288"/>
      <w:bookmarkEnd w:id="16"/>
      <w:bookmarkStart w:id="17" w:name="_Toc47536304"/>
      <w:bookmarkEnd w:id="17"/>
      <w:r>
        <w:rPr>
          <w:rFonts w:hint="eastAsia"/>
        </w:rPr>
        <w:t>项目建设内容</w:t>
      </w:r>
    </w:p>
    <w:p w14:paraId="2A57735E">
      <w:pPr>
        <w:pStyle w:val="3"/>
        <w:ind w:firstLine="602"/>
        <w:rPr>
          <w:rFonts w:hint="eastAsia"/>
        </w:rPr>
      </w:pPr>
      <w:r>
        <w:rPr>
          <w:rFonts w:hint="eastAsia"/>
        </w:rPr>
        <w:t>技术路线</w:t>
      </w:r>
    </w:p>
    <w:p w14:paraId="3CE76CE7">
      <w:pPr>
        <w:rPr>
          <w:rFonts w:hint="eastAsia"/>
        </w:rPr>
      </w:pPr>
      <w:r>
        <w:rPr>
          <w:rFonts w:hint="eastAsia"/>
        </w:rPr>
        <w:t>MAP中台采用自主可控的技术路线，确保系统的安全性、稳定性和可扩展性。</w:t>
      </w:r>
    </w:p>
    <w:p w14:paraId="345C9344">
      <w:pPr>
        <w:rPr>
          <w:rFonts w:hint="eastAsia"/>
        </w:rPr>
      </w:pPr>
      <w:r>
        <w:rPr>
          <w:rFonts w:hint="eastAsia"/>
        </w:rPr>
        <w:t>基础层：基于国产服务器、GPU/CPU算力集群，为大规模数据处理和深度学习任务提供算力支持，提供算力资源的监控分析能力。</w:t>
      </w:r>
    </w:p>
    <w:p w14:paraId="14538BFE">
      <w:pPr>
        <w:rPr>
          <w:rFonts w:hint="eastAsia"/>
        </w:rPr>
      </w:pPr>
      <w:r>
        <w:rPr>
          <w:rFonts w:hint="eastAsia"/>
        </w:rPr>
        <w:t>数据层：采用多样化的数据库和文件系统来满足不同场景下的数据存储需求。支持关系型数据库、关系型数据库、全文检索数据库、图数据库。</w:t>
      </w:r>
    </w:p>
    <w:p w14:paraId="5AE6F51F">
      <w:pPr>
        <w:rPr>
          <w:rFonts w:hint="eastAsia"/>
        </w:rPr>
      </w:pPr>
      <w:r>
        <w:rPr>
          <w:rFonts w:hint="eastAsia"/>
        </w:rPr>
        <w:t>支撑层：具备全链路数据处理技术、政务垂直大模型技术、智能体协同服务技术、大模型RAG技术、知识图谱技术、微服务架构组件化设计技术、分布式数据库查询优化技术。</w:t>
      </w:r>
    </w:p>
    <w:p w14:paraId="0A71F859">
      <w:pPr>
        <w:rPr>
          <w:rFonts w:hint="eastAsia"/>
        </w:rPr>
      </w:pPr>
      <w:r>
        <w:rPr>
          <w:rFonts w:hint="eastAsia"/>
        </w:rPr>
        <w:t>应用层：支持VUE、VUEX、VUE-Router、iVew、Weex等框架；支持负载均衡、流量控制、服务熔断与降级、接口监控、路由代理。</w:t>
      </w:r>
    </w:p>
    <w:p w14:paraId="21AEEBDC">
      <w:pPr>
        <w:pStyle w:val="3"/>
        <w:ind w:firstLine="602"/>
        <w:rPr>
          <w:rFonts w:hint="eastAsia"/>
        </w:rPr>
      </w:pPr>
      <w:r>
        <w:rPr>
          <w:rFonts w:hint="eastAsia"/>
        </w:rPr>
        <w:t>架构</w:t>
      </w:r>
    </w:p>
    <w:p w14:paraId="1432403D">
      <w:pPr>
        <w:pStyle w:val="16"/>
        <w:rPr>
          <w:b/>
        </w:rPr>
      </w:pPr>
      <w:r>
        <w:rPr>
          <w:b/>
        </w:rPr>
        <w:drawing>
          <wp:inline distT="0" distB="0" distL="0" distR="0">
            <wp:extent cx="5278120" cy="2070100"/>
            <wp:effectExtent l="0" t="0" r="0" b="6350"/>
            <wp:docPr id="1026" name="图片 57"/>
            <wp:cNvGraphicFramePr/>
            <a:graphic xmlns:a="http://schemas.openxmlformats.org/drawingml/2006/main">
              <a:graphicData uri="http://schemas.openxmlformats.org/drawingml/2006/picture">
                <pic:pic xmlns:pic="http://schemas.openxmlformats.org/drawingml/2006/picture">
                  <pic:nvPicPr>
                    <pic:cNvPr id="1026" name="图片 57"/>
                    <pic:cNvPicPr/>
                  </pic:nvPicPr>
                  <pic:blipFill>
                    <a:blip r:embed="rId13" cstate="print"/>
                    <a:srcRect/>
                    <a:stretch>
                      <a:fillRect/>
                    </a:stretch>
                  </pic:blipFill>
                  <pic:spPr>
                    <a:xfrm>
                      <a:off x="0" y="0"/>
                      <a:ext cx="5278120" cy="2070100"/>
                    </a:xfrm>
                    <a:prstGeom prst="rect">
                      <a:avLst/>
                    </a:prstGeom>
                  </pic:spPr>
                </pic:pic>
              </a:graphicData>
            </a:graphic>
          </wp:inline>
        </w:drawing>
      </w:r>
    </w:p>
    <w:p w14:paraId="59C4C299">
      <w:pPr>
        <w:rPr>
          <w:rFonts w:hint="eastAsia"/>
        </w:rPr>
      </w:pPr>
      <w:r>
        <w:rPr>
          <w:rFonts w:hint="eastAsia"/>
        </w:rPr>
        <w:t>IaaS层：依托市电子政务云现有资源，如GPU/CPU服务器、数据库等。</w:t>
      </w:r>
    </w:p>
    <w:p w14:paraId="3E904DFC">
      <w:pPr>
        <w:rPr>
          <w:rFonts w:hint="eastAsia"/>
        </w:rPr>
      </w:pPr>
      <w:r>
        <w:rPr>
          <w:rFonts w:hint="eastAsia"/>
        </w:rPr>
        <w:t>MaaS层：包括一站式数据集管理中枢、全域大模型生态服务平台、全流程运营监管平台。</w:t>
      </w:r>
    </w:p>
    <w:p w14:paraId="768DEFED">
      <w:pPr>
        <w:rPr>
          <w:rFonts w:hint="eastAsia"/>
        </w:rPr>
      </w:pPr>
      <w:r>
        <w:rPr>
          <w:rFonts w:hint="eastAsia"/>
        </w:rPr>
        <w:t>SaaS层：基于MaaS层整合或构建的智能化应用。</w:t>
      </w:r>
    </w:p>
    <w:p w14:paraId="3F8F25A0">
      <w:pPr>
        <w:pStyle w:val="3"/>
        <w:ind w:firstLine="602"/>
        <w:rPr>
          <w:rFonts w:hint="eastAsia"/>
        </w:rPr>
      </w:pPr>
      <w:r>
        <w:rPr>
          <w:rFonts w:hint="eastAsia"/>
        </w:rPr>
        <w:t>部署环境</w:t>
      </w:r>
    </w:p>
    <w:p w14:paraId="0E583766">
      <w:pPr>
        <w:rPr>
          <w:rFonts w:hint="eastAsia"/>
        </w:rPr>
      </w:pPr>
      <w:r>
        <w:rPr>
          <w:rFonts w:hint="eastAsia"/>
        </w:rPr>
        <w:t>MAP平台依托上海市电子政务云平台进行分区部署，安全设施复用各区安全防护能力，接入单位根据自身网络条件进行访问。</w:t>
      </w:r>
    </w:p>
    <w:p w14:paraId="5E9F40B5">
      <w:pPr>
        <w:rPr>
          <w:rFonts w:hint="eastAsia"/>
        </w:rPr>
      </w:pPr>
      <w:r>
        <w:rPr>
          <w:rFonts w:hint="eastAsia"/>
        </w:rPr>
        <w:t>互联网区：提供硬件负载均衡与前置代理服务。</w:t>
      </w:r>
    </w:p>
    <w:p w14:paraId="1542561A">
      <w:pPr>
        <w:rPr>
          <w:rFonts w:hint="eastAsia"/>
        </w:rPr>
      </w:pPr>
      <w:r>
        <w:rPr>
          <w:rFonts w:hint="eastAsia"/>
        </w:rPr>
        <w:t>政务外网区：部署系统应用服务器、数据库服务器等设备。</w:t>
      </w:r>
    </w:p>
    <w:p w14:paraId="035813DA">
      <w:pPr>
        <w:pStyle w:val="3"/>
        <w:ind w:firstLine="602"/>
        <w:rPr>
          <w:rFonts w:hint="eastAsia"/>
        </w:rPr>
      </w:pPr>
      <w:r>
        <w:rPr>
          <w:rFonts w:hint="eastAsia"/>
        </w:rPr>
        <w:t>项目建设清单、技术指标</w:t>
      </w:r>
    </w:p>
    <w:p w14:paraId="75D2B34B">
      <w:pPr>
        <w:ind w:firstLine="482"/>
        <w:rPr>
          <w:rFonts w:hint="eastAsia"/>
          <w:b/>
        </w:rPr>
      </w:pPr>
      <w:r>
        <w:rPr>
          <w:rFonts w:hint="eastAsia"/>
          <w:b/>
        </w:rPr>
        <w:t>软件开发清单：</w:t>
      </w:r>
    </w:p>
    <w:tbl>
      <w:tblPr>
        <w:tblStyle w:val="35"/>
        <w:tblW w:w="5000" w:type="pct"/>
        <w:jc w:val="center"/>
        <w:tblLayout w:type="fixed"/>
        <w:tblCellMar>
          <w:top w:w="0" w:type="dxa"/>
          <w:left w:w="108" w:type="dxa"/>
          <w:bottom w:w="0" w:type="dxa"/>
          <w:right w:w="108" w:type="dxa"/>
        </w:tblCellMar>
      </w:tblPr>
      <w:tblGrid>
        <w:gridCol w:w="675"/>
        <w:gridCol w:w="921"/>
        <w:gridCol w:w="1603"/>
        <w:gridCol w:w="5329"/>
      </w:tblGrid>
      <w:tr w14:paraId="54088CE8">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12A99F34">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序号</w:t>
            </w:r>
          </w:p>
        </w:tc>
        <w:tc>
          <w:tcPr>
            <w:tcW w:w="540" w:type="pct"/>
            <w:tcBorders>
              <w:top w:val="single" w:color="auto" w:sz="4" w:space="0"/>
              <w:left w:val="nil"/>
              <w:bottom w:val="single" w:color="auto" w:sz="4" w:space="0"/>
              <w:right w:val="single" w:color="auto" w:sz="4" w:space="0"/>
            </w:tcBorders>
            <w:shd w:val="clear" w:color="000000" w:fill="F3F8FC"/>
            <w:noWrap/>
            <w:vAlign w:val="center"/>
          </w:tcPr>
          <w:p w14:paraId="768250F8">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应用系统名称</w:t>
            </w:r>
          </w:p>
        </w:tc>
        <w:tc>
          <w:tcPr>
            <w:tcW w:w="940" w:type="pct"/>
            <w:tcBorders>
              <w:top w:val="single" w:color="auto" w:sz="4" w:space="0"/>
              <w:left w:val="nil"/>
              <w:bottom w:val="single" w:color="auto" w:sz="4" w:space="0"/>
              <w:right w:val="single" w:color="auto" w:sz="4" w:space="0"/>
            </w:tcBorders>
            <w:shd w:val="clear" w:color="000000" w:fill="F3F8FC"/>
            <w:noWrap/>
            <w:vAlign w:val="center"/>
          </w:tcPr>
          <w:p w14:paraId="2B6EA537">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模块名称</w:t>
            </w:r>
          </w:p>
        </w:tc>
        <w:tc>
          <w:tcPr>
            <w:tcW w:w="3124" w:type="pct"/>
            <w:tcBorders>
              <w:top w:val="single" w:color="auto" w:sz="4" w:space="0"/>
              <w:left w:val="nil"/>
              <w:bottom w:val="single" w:color="auto" w:sz="4" w:space="0"/>
              <w:right w:val="single" w:color="auto" w:sz="4" w:space="0"/>
            </w:tcBorders>
            <w:shd w:val="clear" w:color="000000" w:fill="F3F8FC"/>
            <w:vAlign w:val="center"/>
          </w:tcPr>
          <w:p w14:paraId="74997AC1">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模块描述</w:t>
            </w:r>
          </w:p>
        </w:tc>
      </w:tr>
      <w:tr w14:paraId="42210AA5">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F93A31F">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540" w:type="pct"/>
            <w:vMerge w:val="restart"/>
            <w:tcBorders>
              <w:top w:val="single" w:color="auto" w:sz="4" w:space="0"/>
              <w:left w:val="nil"/>
              <w:right w:val="single" w:color="auto" w:sz="4" w:space="0"/>
            </w:tcBorders>
            <w:shd w:val="clear" w:color="auto" w:fill="FFFFFF"/>
            <w:vAlign w:val="center"/>
          </w:tcPr>
          <w:p w14:paraId="3ABD9CD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一站式数据集管理中枢</w:t>
            </w:r>
          </w:p>
        </w:tc>
        <w:tc>
          <w:tcPr>
            <w:tcW w:w="940" w:type="pct"/>
            <w:tcBorders>
              <w:top w:val="single" w:color="auto" w:sz="4" w:space="0"/>
              <w:left w:val="nil"/>
              <w:bottom w:val="single" w:color="auto" w:sz="4" w:space="0"/>
              <w:right w:val="single" w:color="auto" w:sz="4" w:space="0"/>
            </w:tcBorders>
            <w:shd w:val="clear" w:color="auto" w:fill="FFFFFF"/>
            <w:vAlign w:val="center"/>
          </w:tcPr>
          <w:p w14:paraId="322250A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数据工程</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7DBE4E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1、数据集管理</w:t>
            </w:r>
          </w:p>
          <w:p w14:paraId="37A7C4C8">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数据导入：支持格式识别与转换，能对导入数据进行预处理、异常检测，具备增量导入与更新能力。</w:t>
            </w:r>
          </w:p>
          <w:p w14:paraId="429D1A9C">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数据导出：可进行导出模板管理，实现导出筛选与过滤，支持导出任务调度。</w:t>
            </w:r>
          </w:p>
          <w:p w14:paraId="67109B91">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数据发布：具备发布内容检查、发布申请及确认、发布内容审核、发布版本管理功能。</w:t>
            </w:r>
          </w:p>
          <w:p w14:paraId="48E5D803">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数据检索：提供基本检索、高级检索等多种检索方式。</w:t>
            </w:r>
          </w:p>
          <w:p w14:paraId="06C882E3">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数据分类管理：支持分类管理与分类标签管理。</w:t>
            </w:r>
          </w:p>
          <w:p w14:paraId="160DACE5">
            <w:pPr>
              <w:pStyle w:val="61"/>
              <w:widowControl/>
              <w:numPr>
                <w:ilvl w:val="0"/>
                <w:numId w:val="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数据备份：具备全量备份、增量备份、定时备份、等功能。</w:t>
            </w:r>
          </w:p>
          <w:p w14:paraId="303C38D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2、数据处理</w:t>
            </w:r>
          </w:p>
          <w:p w14:paraId="3270975B">
            <w:pPr>
              <w:pStyle w:val="61"/>
              <w:widowControl/>
              <w:numPr>
                <w:ilvl w:val="0"/>
                <w:numId w:val="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过滤：支持重复数据过滤、无关数据过滤、业务规则过滤，具备高级过滤方法。</w:t>
            </w:r>
          </w:p>
          <w:p w14:paraId="5C2505C6">
            <w:pPr>
              <w:pStyle w:val="61"/>
              <w:widowControl/>
              <w:numPr>
                <w:ilvl w:val="0"/>
                <w:numId w:val="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去重：可进行重复记录识别、重复项处理，提供高级去重方法，支持去重规则设置以及去重结果验证与反馈。</w:t>
            </w:r>
          </w:p>
          <w:p w14:paraId="27922BB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3、数据标注</w:t>
            </w:r>
          </w:p>
          <w:p w14:paraId="34D45144">
            <w:pPr>
              <w:pStyle w:val="61"/>
              <w:widowControl/>
              <w:numPr>
                <w:ilvl w:val="0"/>
                <w:numId w:val="5"/>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标注任务：支持任务创建与配置，能自定义任务属性、标注规则及质量标准；支持任务分配与调度；可实时监控任务进度，展示任务状态比例；建立完善审核机制，能反馈问题。</w:t>
            </w:r>
          </w:p>
          <w:p w14:paraId="3E2CCD05">
            <w:pPr>
              <w:pStyle w:val="61"/>
              <w:widowControl/>
              <w:numPr>
                <w:ilvl w:val="0"/>
                <w:numId w:val="5"/>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标注方式：提供稳定易用的在线标注界面，支持多人标注、在线标注。</w:t>
            </w:r>
          </w:p>
          <w:p w14:paraId="4E974CA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4、数据增强</w:t>
            </w:r>
          </w:p>
          <w:p w14:paraId="440632B2">
            <w:pPr>
              <w:pStyle w:val="61"/>
              <w:widowControl/>
              <w:numPr>
                <w:ilvl w:val="0"/>
                <w:numId w:val="6"/>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提供数据增强任务制定以及文本数据增强、增强数据验证等功能。</w:t>
            </w:r>
          </w:p>
          <w:p w14:paraId="0FA72AEF">
            <w:pPr>
              <w:pStyle w:val="61"/>
              <w:widowControl/>
              <w:numPr>
                <w:ilvl w:val="0"/>
                <w:numId w:val="6"/>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数据增强任务管理：支持灵活创建数据增强任务，配置具体的增强策略组合；实时展示数据增强任务的进度以及完整记录数据增强任务的历史信息。</w:t>
            </w:r>
          </w:p>
        </w:tc>
      </w:tr>
      <w:tr w14:paraId="5CC36EF1">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BB7066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540" w:type="pct"/>
            <w:vMerge w:val="continue"/>
            <w:tcBorders>
              <w:left w:val="nil"/>
              <w:right w:val="single" w:color="auto" w:sz="4" w:space="0"/>
            </w:tcBorders>
            <w:shd w:val="clear" w:color="auto" w:fill="FFFFFF"/>
            <w:vAlign w:val="center"/>
          </w:tcPr>
          <w:p w14:paraId="3F4870F1">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629D6FA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知识工程</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2ADCD87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1、知识管理</w:t>
            </w:r>
          </w:p>
          <w:p w14:paraId="4F4A8AE8">
            <w:pPr>
              <w:pStyle w:val="61"/>
              <w:widowControl/>
              <w:numPr>
                <w:ilvl w:val="0"/>
                <w:numId w:val="7"/>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提供知识类目管理、知识接入、知识点管理、知识版本管理等功能，支持文件导入、应用接入等接入方式。</w:t>
            </w:r>
          </w:p>
          <w:p w14:paraId="0CAA117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2、知识向量化</w:t>
            </w:r>
          </w:p>
          <w:p w14:paraId="010B63E9">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知识索引与向量化、相似度计算、向量检索等功能，能运用词频、词嵌入、BERT、倒排索引以及m3e-base、bge-large等模型；可实现余弦相似度、欧氏距离等多种相似度计算方式；具备向量检索配置、BM25、混合检索、Reranker、多路召回等能力。</w:t>
            </w:r>
          </w:p>
        </w:tc>
      </w:tr>
      <w:tr w14:paraId="17A9E01D">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FFB6A20">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w:t>
            </w:r>
          </w:p>
        </w:tc>
        <w:tc>
          <w:tcPr>
            <w:tcW w:w="540" w:type="pct"/>
            <w:vMerge w:val="continue"/>
            <w:tcBorders>
              <w:left w:val="nil"/>
              <w:right w:val="single" w:color="auto" w:sz="4" w:space="0"/>
            </w:tcBorders>
            <w:shd w:val="clear" w:color="auto" w:fill="FFFFFF"/>
            <w:vAlign w:val="center"/>
          </w:tcPr>
          <w:p w14:paraId="5A7982E7">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1D1BEB56">
            <w:pPr>
              <w:widowControl/>
              <w:spacing w:line="240" w:lineRule="auto"/>
              <w:ind w:firstLine="0" w:firstLineChars="0"/>
              <w:jc w:val="center"/>
              <w:rPr>
                <w:rFonts w:ascii="Tahoma" w:hAnsi="Tahoma" w:cs="Tahoma"/>
                <w:color w:val="000000"/>
                <w:kern w:val="0"/>
                <w:sz w:val="22"/>
                <w:szCs w:val="22"/>
              </w:rPr>
            </w:pPr>
            <w:r>
              <w:rPr>
                <w:rFonts w:hint="eastAsia"/>
              </w:rPr>
              <w:t>训练集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4761F3ED">
            <w:pPr>
              <w:ind w:firstLine="0" w:firstLineChars="0"/>
              <w:rPr>
                <w:rFonts w:hint="eastAsia"/>
              </w:rPr>
            </w:pPr>
            <w:r>
              <w:rPr>
                <w:rFonts w:hint="eastAsia"/>
              </w:rPr>
              <w:t>1、训练集管理</w:t>
            </w:r>
          </w:p>
          <w:p w14:paraId="7B6B879D">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支持新增、修改和删除训练集中的数据项，可根据模型训练的具体需求，上传并添加新的数据项至训练集中。</w:t>
            </w:r>
          </w:p>
        </w:tc>
      </w:tr>
      <w:tr w14:paraId="6B6E70E8">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D46A3F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w:t>
            </w:r>
          </w:p>
        </w:tc>
        <w:tc>
          <w:tcPr>
            <w:tcW w:w="540" w:type="pct"/>
            <w:vMerge w:val="continue"/>
            <w:tcBorders>
              <w:left w:val="nil"/>
              <w:right w:val="single" w:color="auto" w:sz="4" w:space="0"/>
            </w:tcBorders>
            <w:shd w:val="clear" w:color="auto" w:fill="FFFFFF"/>
            <w:vAlign w:val="center"/>
          </w:tcPr>
          <w:p w14:paraId="42B5C14E">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2EEB52E4">
            <w:pPr>
              <w:widowControl/>
              <w:spacing w:line="240" w:lineRule="auto"/>
              <w:ind w:firstLine="0" w:firstLineChars="0"/>
              <w:jc w:val="center"/>
              <w:rPr>
                <w:rFonts w:ascii="Tahoma" w:hAnsi="Tahoma" w:cs="Tahoma"/>
                <w:color w:val="000000"/>
                <w:kern w:val="0"/>
                <w:sz w:val="22"/>
                <w:szCs w:val="22"/>
              </w:rPr>
            </w:pPr>
            <w:r>
              <w:rPr>
                <w:rFonts w:hint="eastAsia"/>
              </w:rPr>
              <w:t>测试集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79CCA60A">
            <w:pPr>
              <w:ind w:firstLine="0" w:firstLineChars="0"/>
              <w:rPr>
                <w:rFonts w:hint="eastAsia"/>
              </w:rPr>
            </w:pPr>
            <w:r>
              <w:rPr>
                <w:rFonts w:hint="eastAsia"/>
              </w:rPr>
              <w:t>1、测试集管理</w:t>
            </w:r>
          </w:p>
          <w:p w14:paraId="77667F83">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支持测试集的创建、修改、扩展、分享及清理等功能。可按业务场景自定义生成测试数据，配置数据字段类型、能自动校验测试数据的完整性、准确性、一致性，支持按业务规则动态更新测试数据。</w:t>
            </w:r>
          </w:p>
        </w:tc>
      </w:tr>
      <w:tr w14:paraId="6CD63983">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3385A48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w:t>
            </w:r>
          </w:p>
        </w:tc>
        <w:tc>
          <w:tcPr>
            <w:tcW w:w="540" w:type="pct"/>
            <w:vMerge w:val="continue"/>
            <w:tcBorders>
              <w:left w:val="nil"/>
              <w:bottom w:val="single" w:color="auto" w:sz="4" w:space="0"/>
              <w:right w:val="single" w:color="auto" w:sz="4" w:space="0"/>
            </w:tcBorders>
            <w:shd w:val="clear" w:color="auto" w:fill="FFFFFF"/>
            <w:vAlign w:val="center"/>
          </w:tcPr>
          <w:p w14:paraId="236C8C45">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13726866">
            <w:pPr>
              <w:widowControl/>
              <w:spacing w:line="240" w:lineRule="auto"/>
              <w:ind w:firstLine="0" w:firstLineChars="0"/>
              <w:jc w:val="center"/>
              <w:rPr>
                <w:rFonts w:ascii="Tahoma" w:hAnsi="Tahoma" w:cs="Tahoma"/>
                <w:color w:val="000000"/>
                <w:kern w:val="0"/>
                <w:sz w:val="22"/>
                <w:szCs w:val="22"/>
              </w:rPr>
            </w:pPr>
            <w:r>
              <w:rPr>
                <w:rFonts w:hint="eastAsia"/>
              </w:rPr>
              <w:t>敏感词</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0D776DD2">
            <w:pPr>
              <w:ind w:firstLine="0" w:firstLineChars="0"/>
              <w:rPr>
                <w:rFonts w:hint="eastAsia"/>
              </w:rPr>
            </w:pPr>
            <w:r>
              <w:rPr>
                <w:rFonts w:hint="eastAsia"/>
              </w:rPr>
              <w:t>1、敏感词管理</w:t>
            </w:r>
          </w:p>
          <w:p w14:paraId="7531844A">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具备敏感词的分类、管理、批量操作等功能；提供完善的敏感词库，包含民生敏感词、暴怒敏感词、政务敏感词、反动敏感词、隐私敏感词等类别，能对各类敏感词进行精准识别。</w:t>
            </w:r>
          </w:p>
        </w:tc>
      </w:tr>
      <w:tr w14:paraId="124726E1">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77FC1D5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w:t>
            </w:r>
          </w:p>
        </w:tc>
        <w:tc>
          <w:tcPr>
            <w:tcW w:w="540" w:type="pct"/>
            <w:vMerge w:val="restart"/>
            <w:tcBorders>
              <w:top w:val="single" w:color="auto" w:sz="4" w:space="0"/>
              <w:left w:val="nil"/>
              <w:right w:val="single" w:color="auto" w:sz="4" w:space="0"/>
            </w:tcBorders>
            <w:shd w:val="clear" w:color="auto" w:fill="FFFFFF"/>
            <w:vAlign w:val="center"/>
          </w:tcPr>
          <w:p w14:paraId="3306D36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全域大模型生态服务平台</w:t>
            </w:r>
          </w:p>
        </w:tc>
        <w:tc>
          <w:tcPr>
            <w:tcW w:w="940" w:type="pct"/>
            <w:tcBorders>
              <w:top w:val="single" w:color="auto" w:sz="4" w:space="0"/>
              <w:left w:val="nil"/>
              <w:bottom w:val="single" w:color="auto" w:sz="4" w:space="0"/>
              <w:right w:val="single" w:color="auto" w:sz="4" w:space="0"/>
            </w:tcBorders>
            <w:shd w:val="clear" w:color="auto" w:fill="FFFFFF"/>
            <w:vAlign w:val="center"/>
          </w:tcPr>
          <w:p w14:paraId="0CC81C68">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模型管理（我的模型）</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3AEE17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1、模型概览</w:t>
            </w:r>
          </w:p>
          <w:p w14:paraId="17AB6059">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提供模型信息展示和查询功能。以列表或图表的形式查看所有已创建的模型，包括模型的基本信息（如名称、创建时间、作者等）、性能指标（如准确率、召回率等）以及模型的状态（如正在训练、已发布等）。</w:t>
            </w:r>
          </w:p>
          <w:p w14:paraId="453DAC0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2、模型操作</w:t>
            </w:r>
          </w:p>
          <w:p w14:paraId="1BA886A5">
            <w:pPr>
              <w:pStyle w:val="61"/>
              <w:widowControl/>
              <w:numPr>
                <w:ilvl w:val="0"/>
                <w:numId w:val="8"/>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涵盖模型编辑、删除、共享和版本管理等面功能。</w:t>
            </w:r>
          </w:p>
        </w:tc>
      </w:tr>
      <w:tr w14:paraId="4724AA4D">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ED66D9D">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w:t>
            </w:r>
          </w:p>
        </w:tc>
        <w:tc>
          <w:tcPr>
            <w:tcW w:w="540" w:type="pct"/>
            <w:vMerge w:val="continue"/>
            <w:tcBorders>
              <w:left w:val="nil"/>
              <w:right w:val="single" w:color="auto" w:sz="4" w:space="0"/>
            </w:tcBorders>
            <w:shd w:val="clear" w:color="auto" w:fill="FFFFFF"/>
            <w:vAlign w:val="center"/>
          </w:tcPr>
          <w:p w14:paraId="7761CFA1">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21FE6767">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模型精调</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5CFB1A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1、精调样板管理</w:t>
            </w:r>
          </w:p>
          <w:p w14:paraId="2D911D19">
            <w:pPr>
              <w:pStyle w:val="61"/>
              <w:widowControl/>
              <w:numPr>
                <w:ilvl w:val="0"/>
                <w:numId w:val="9"/>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样板创建与编辑：允许创建、编辑的精调样板，定义模型的输入输出格式、精调参数、训练策略。</w:t>
            </w:r>
          </w:p>
          <w:p w14:paraId="3044ECBC">
            <w:pPr>
              <w:pStyle w:val="61"/>
              <w:widowControl/>
              <w:numPr>
                <w:ilvl w:val="0"/>
                <w:numId w:val="9"/>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样板保存与加载：可保存已配置好的精调样板。</w:t>
            </w:r>
          </w:p>
          <w:p w14:paraId="0E18B63F">
            <w:pPr>
              <w:pStyle w:val="61"/>
              <w:widowControl/>
              <w:numPr>
                <w:ilvl w:val="0"/>
                <w:numId w:val="9"/>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样板版本管理：对精调样板的版本管理，可回滚到之前的版本。</w:t>
            </w:r>
          </w:p>
          <w:p w14:paraId="240C2BBC">
            <w:pPr>
              <w:pStyle w:val="61"/>
              <w:widowControl/>
              <w:numPr>
                <w:ilvl w:val="0"/>
                <w:numId w:val="9"/>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样板文档与注释：允许添加精调样板的注释。</w:t>
            </w:r>
          </w:p>
          <w:p w14:paraId="6386CCCF">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2、SFT（监督微调）</w:t>
            </w:r>
          </w:p>
          <w:p w14:paraId="2B2A6172">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支持LoRA微调</w:t>
            </w:r>
          </w:p>
          <w:p w14:paraId="5BA4F53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在保持预训练模型大部分参数不变的情况下，通过引入低秩矩阵对模型进行部分参数微调。</w:t>
            </w:r>
          </w:p>
          <w:p w14:paraId="52D349A4">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支持QLoRA微调</w:t>
            </w:r>
          </w:p>
          <w:p w14:paraId="740A8BA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结合量化技术与LoRA技术，对模型的部分参数微调。</w:t>
            </w:r>
          </w:p>
          <w:p w14:paraId="29960CD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3、偏好对齐</w:t>
            </w:r>
          </w:p>
          <w:p w14:paraId="554F8519">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RLHF（人类反馈强化学习）</w:t>
            </w:r>
          </w:p>
          <w:p w14:paraId="37DFF1D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具备完善的人类反馈收集机制，支持以评分、评论、标注等多种形式采集不同场景下的用户反馈。</w:t>
            </w:r>
          </w:p>
          <w:p w14:paraId="03D64D3A">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DPO（直接偏好优化）</w:t>
            </w:r>
          </w:p>
          <w:p w14:paraId="7A9E92A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构建精准反映人类真实偏好的模型结构，直接针对人类偏好优化模型输出。</w:t>
            </w:r>
          </w:p>
        </w:tc>
      </w:tr>
      <w:tr w14:paraId="03AE0766">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31D369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w:t>
            </w:r>
          </w:p>
        </w:tc>
        <w:tc>
          <w:tcPr>
            <w:tcW w:w="540" w:type="pct"/>
            <w:vMerge w:val="continue"/>
            <w:tcBorders>
              <w:left w:val="nil"/>
              <w:right w:val="single" w:color="auto" w:sz="4" w:space="0"/>
            </w:tcBorders>
            <w:shd w:val="clear" w:color="auto" w:fill="FFFFFF"/>
            <w:vAlign w:val="center"/>
          </w:tcPr>
          <w:p w14:paraId="11887A60">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4686FF10">
            <w:pPr>
              <w:widowControl/>
              <w:spacing w:line="240" w:lineRule="auto"/>
              <w:ind w:firstLine="0" w:firstLineChars="0"/>
              <w:jc w:val="center"/>
              <w:rPr>
                <w:rFonts w:ascii="Tahoma" w:hAnsi="Tahoma" w:cs="Tahoma"/>
                <w:color w:val="000000"/>
                <w:kern w:val="0"/>
                <w:sz w:val="22"/>
                <w:szCs w:val="22"/>
              </w:rPr>
            </w:pPr>
            <w:r>
              <w:rPr>
                <w:rFonts w:hint="eastAsia"/>
              </w:rPr>
              <w:t>模型蒸馏</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7D3D59A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1、蒸馏算法选择</w:t>
            </w:r>
          </w:p>
          <w:p w14:paraId="6EA6E2FC">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支持剪枝技术：能实现非结构化剪枝，去除冗余连接，也可结构化剪枝，按特定结构裁剪模型。</w:t>
            </w:r>
          </w:p>
          <w:p w14:paraId="669F37DC">
            <w:pPr>
              <w:pStyle w:val="61"/>
              <w:widowControl/>
              <w:numPr>
                <w:ilvl w:val="0"/>
                <w:numId w:val="10"/>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支持量化技术，可对模型权重、激活值等进行低精度量化，降低模型存储与计算开销。</w:t>
            </w:r>
          </w:p>
          <w:p w14:paraId="634F1EF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2、蒸馏流程管理</w:t>
            </w:r>
          </w:p>
          <w:p w14:paraId="072B3BE6">
            <w:pPr>
              <w:pStyle w:val="61"/>
              <w:widowControl/>
              <w:numPr>
                <w:ilvl w:val="0"/>
                <w:numId w:val="11"/>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蒸馏参数配置：能灵活设置蒸馏过程中的各类参数，以适配不同模型与任务需求。</w:t>
            </w:r>
          </w:p>
          <w:p w14:paraId="659DF2E0">
            <w:pPr>
              <w:pStyle w:val="61"/>
              <w:widowControl/>
              <w:numPr>
                <w:ilvl w:val="0"/>
                <w:numId w:val="11"/>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模型训练与评估：在训练过程中及完成后，对模型性能进行全面评估。</w:t>
            </w:r>
          </w:p>
        </w:tc>
      </w:tr>
      <w:tr w14:paraId="6F925746">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45D0C3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w:t>
            </w:r>
          </w:p>
        </w:tc>
        <w:tc>
          <w:tcPr>
            <w:tcW w:w="540" w:type="pct"/>
            <w:vMerge w:val="continue"/>
            <w:tcBorders>
              <w:left w:val="nil"/>
              <w:right w:val="single" w:color="auto" w:sz="4" w:space="0"/>
            </w:tcBorders>
            <w:shd w:val="clear" w:color="auto" w:fill="FFFFFF"/>
            <w:vAlign w:val="center"/>
          </w:tcPr>
          <w:p w14:paraId="1233FBD7">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320D78EB">
            <w:pPr>
              <w:widowControl/>
              <w:spacing w:line="240" w:lineRule="auto"/>
              <w:ind w:firstLine="0" w:firstLineChars="0"/>
              <w:jc w:val="center"/>
              <w:rPr>
                <w:rFonts w:ascii="Tahoma" w:hAnsi="Tahoma" w:cs="Tahoma"/>
                <w:color w:val="000000"/>
                <w:kern w:val="0"/>
                <w:sz w:val="22"/>
                <w:szCs w:val="22"/>
              </w:rPr>
            </w:pPr>
            <w:r>
              <w:rPr>
                <w:rFonts w:hint="eastAsia"/>
              </w:rPr>
              <w:t>模型部署</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426487A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支持将训练并验证的模型集成到实际的生产环境中。</w:t>
            </w:r>
          </w:p>
          <w:p w14:paraId="338D54F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1、模型准备</w:t>
            </w:r>
          </w:p>
          <w:p w14:paraId="7AD5BFF6">
            <w:pPr>
              <w:pStyle w:val="61"/>
              <w:widowControl/>
              <w:numPr>
                <w:ilvl w:val="0"/>
                <w:numId w:val="12"/>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支持模型选择、模型配置</w:t>
            </w:r>
          </w:p>
          <w:p w14:paraId="0954C3F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2、部署实施</w:t>
            </w:r>
          </w:p>
          <w:p w14:paraId="5C533567">
            <w:pPr>
              <w:pStyle w:val="61"/>
              <w:widowControl/>
              <w:numPr>
                <w:ilvl w:val="0"/>
                <w:numId w:val="12"/>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可配置部署脚本、服务参数</w:t>
            </w:r>
          </w:p>
          <w:p w14:paraId="57493B2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3、部署监测</w:t>
            </w:r>
          </w:p>
          <w:p w14:paraId="6B0F3117">
            <w:pPr>
              <w:pStyle w:val="61"/>
              <w:widowControl/>
              <w:numPr>
                <w:ilvl w:val="0"/>
                <w:numId w:val="12"/>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提供性能监控、异常检测</w:t>
            </w:r>
          </w:p>
        </w:tc>
      </w:tr>
      <w:tr w14:paraId="57F8BCAA">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23DCFE4">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w:t>
            </w:r>
          </w:p>
        </w:tc>
        <w:tc>
          <w:tcPr>
            <w:tcW w:w="540" w:type="pct"/>
            <w:vMerge w:val="continue"/>
            <w:tcBorders>
              <w:left w:val="nil"/>
              <w:right w:val="single" w:color="auto" w:sz="4" w:space="0"/>
            </w:tcBorders>
            <w:shd w:val="clear" w:color="auto" w:fill="FFFFFF"/>
            <w:vAlign w:val="center"/>
          </w:tcPr>
          <w:p w14:paraId="3EA157F7">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578258B5">
            <w:pPr>
              <w:widowControl/>
              <w:spacing w:line="240" w:lineRule="auto"/>
              <w:ind w:firstLine="0" w:firstLineChars="0"/>
              <w:jc w:val="center"/>
              <w:rPr>
                <w:rFonts w:ascii="Tahoma" w:hAnsi="Tahoma" w:cs="Tahoma"/>
                <w:color w:val="000000"/>
                <w:kern w:val="0"/>
                <w:sz w:val="22"/>
                <w:szCs w:val="22"/>
              </w:rPr>
            </w:pPr>
            <w:r>
              <w:rPr>
                <w:rFonts w:hint="eastAsia"/>
              </w:rPr>
              <w:t>模型体验</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2ED9D047">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1、模型试用</w:t>
            </w:r>
          </w:p>
          <w:p w14:paraId="7AC85CD7">
            <w:pPr>
              <w:pStyle w:val="61"/>
              <w:widowControl/>
              <w:numPr>
                <w:ilvl w:val="0"/>
                <w:numId w:val="12"/>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支持预设数据集试用、自定义数据试用，验证模型在特定业务场景下的适配性；可生成试用报告，呈现模型在试用过程中的各项表现指标。</w:t>
            </w:r>
          </w:p>
          <w:p w14:paraId="32F8F5AE">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2、模型比较与选择</w:t>
            </w:r>
          </w:p>
          <w:p w14:paraId="7C837A71">
            <w:pPr>
              <w:pStyle w:val="61"/>
              <w:widowControl/>
              <w:numPr>
                <w:ilvl w:val="0"/>
                <w:numId w:val="1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具备多维度模型比较能力、允许自定义评价指标、支持模型推荐。</w:t>
            </w:r>
          </w:p>
          <w:p w14:paraId="48044DF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3、用户反馈</w:t>
            </w:r>
          </w:p>
          <w:p w14:paraId="5D68A660">
            <w:pPr>
              <w:pStyle w:val="61"/>
              <w:widowControl/>
              <w:numPr>
                <w:ilvl w:val="0"/>
                <w:numId w:val="13"/>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支持反馈提交与追踪、问题解答与帮助、用户满意度调查功能。</w:t>
            </w:r>
          </w:p>
        </w:tc>
      </w:tr>
      <w:tr w14:paraId="0D95755B">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4F008C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w:t>
            </w:r>
          </w:p>
        </w:tc>
        <w:tc>
          <w:tcPr>
            <w:tcW w:w="540" w:type="pct"/>
            <w:vMerge w:val="continue"/>
            <w:tcBorders>
              <w:left w:val="nil"/>
              <w:right w:val="single" w:color="auto" w:sz="4" w:space="0"/>
            </w:tcBorders>
            <w:shd w:val="clear" w:color="auto" w:fill="FFFFFF"/>
            <w:vAlign w:val="center"/>
          </w:tcPr>
          <w:p w14:paraId="36739EFC">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1934AB4D">
            <w:pPr>
              <w:widowControl/>
              <w:spacing w:line="240" w:lineRule="auto"/>
              <w:ind w:firstLine="0" w:firstLineChars="0"/>
              <w:jc w:val="center"/>
              <w:rPr>
                <w:rFonts w:ascii="Tahoma" w:hAnsi="Tahoma" w:cs="Tahoma"/>
                <w:color w:val="000000"/>
                <w:kern w:val="0"/>
                <w:sz w:val="22"/>
                <w:szCs w:val="22"/>
              </w:rPr>
            </w:pPr>
            <w:r>
              <w:rPr>
                <w:rFonts w:hint="eastAsia"/>
              </w:rPr>
              <w:t>Agent创建</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66CFDBF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1、简易编排</w:t>
            </w:r>
          </w:p>
          <w:p w14:paraId="5CD86B6F">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模型配置：支持灵活的模型配置功能，允许用户根据不同业务场景和需求，选择并设置合适的模型参数。</w:t>
            </w:r>
          </w:p>
          <w:p w14:paraId="7B8F5DC1">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开场白配置：支持配置开场白及预设热门问题。</w:t>
            </w:r>
          </w:p>
          <w:p w14:paraId="14799D8C">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关联知识库：可关联多个不同类型的知识库，对知识库进行增删改查操作。</w:t>
            </w:r>
          </w:p>
          <w:p w14:paraId="0993EF36">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参数变量设置：支持外部系统向Agent传递自定义参数（通常为JSON格式）。</w:t>
            </w:r>
          </w:p>
          <w:p w14:paraId="7B086A5B">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敏感词设置：具备完善的敏感词管理机制，可添加、删除、修改敏感词列表。</w:t>
            </w:r>
          </w:p>
          <w:p w14:paraId="77ABB83C">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上下文配置：对上下文信息进行配置，包括上下文的记忆深度、关联规则等。</w:t>
            </w:r>
          </w:p>
          <w:p w14:paraId="5AB19903">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自定义推荐数据：支持用户自定义推荐数据的来源、筛选条件和推荐策略。</w:t>
            </w:r>
          </w:p>
          <w:p w14:paraId="68DABB2D">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内外组件集成：</w:t>
            </w:r>
            <w:r>
              <w:rPr>
                <w:rFonts w:ascii="Tahoma" w:hAnsi="Tahoma" w:cs="Tahoma"/>
                <w:color w:val="000000"/>
                <w:kern w:val="0"/>
                <w:sz w:val="22"/>
                <w:szCs w:val="22"/>
              </w:rPr>
              <w:t>可以与内部和外部的各种组件（如第三方API、其他业务系统等）进行集成</w:t>
            </w:r>
            <w:r>
              <w:rPr>
                <w:rFonts w:hint="eastAsia" w:ascii="Tahoma" w:hAnsi="Tahoma" w:cs="Tahoma"/>
                <w:color w:val="000000"/>
                <w:kern w:val="0"/>
                <w:sz w:val="22"/>
                <w:szCs w:val="22"/>
              </w:rPr>
              <w:t>。</w:t>
            </w:r>
          </w:p>
          <w:p w14:paraId="663F6E38">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缓存配置：提供灵活的缓存配置选项，可设置缓存的类型、缓存有效期、缓存容量等参数。</w:t>
            </w:r>
          </w:p>
          <w:p w14:paraId="7B08E953">
            <w:pPr>
              <w:pStyle w:val="61"/>
              <w:widowControl/>
              <w:numPr>
                <w:ilvl w:val="0"/>
                <w:numId w:val="14"/>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猜你所想：根据用户提问，智能预测并生成相关后续问题建议。</w:t>
            </w:r>
          </w:p>
          <w:p w14:paraId="0AE9B72A">
            <w:pPr>
              <w:ind w:firstLine="0" w:firstLineChars="0"/>
              <w:rPr>
                <w:rFonts w:hint="eastAsia"/>
              </w:rPr>
            </w:pPr>
            <w:r>
              <w:rPr>
                <w:rFonts w:hint="eastAsia"/>
              </w:rPr>
              <w:t>2、高级编排</w:t>
            </w:r>
          </w:p>
          <w:p w14:paraId="2E782865">
            <w:pPr>
              <w:pStyle w:val="61"/>
              <w:widowControl/>
              <w:numPr>
                <w:ilvl w:val="0"/>
                <w:numId w:val="15"/>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可视化流程设计：提供可视化流程设计工具，具备拖拽式操作、节点自定义、流程模板管理功能。可动态预览流程效果、设置条件分支。</w:t>
            </w:r>
          </w:p>
          <w:p w14:paraId="6A9E65C6">
            <w:pPr>
              <w:pStyle w:val="61"/>
              <w:widowControl/>
              <w:numPr>
                <w:ilvl w:val="0"/>
                <w:numId w:val="15"/>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参数配置与调优：允许对复杂业务流程中的各种参数进行精细化配置和调优。</w:t>
            </w:r>
          </w:p>
          <w:p w14:paraId="1061C752">
            <w:pPr>
              <w:pStyle w:val="61"/>
              <w:widowControl/>
              <w:numPr>
                <w:ilvl w:val="0"/>
                <w:numId w:val="15"/>
              </w:numPr>
              <w:spacing w:line="240" w:lineRule="auto"/>
              <w:ind w:firstLineChars="0"/>
              <w:rPr>
                <w:rFonts w:ascii="Tahoma" w:hAnsi="Tahoma" w:cs="Tahoma"/>
                <w:color w:val="000000"/>
                <w:kern w:val="0"/>
                <w:sz w:val="22"/>
                <w:szCs w:val="22"/>
              </w:rPr>
            </w:pPr>
            <w:r>
              <w:rPr>
                <w:rFonts w:hint="eastAsia" w:ascii="Tahoma" w:hAnsi="Tahoma" w:cs="Tahoma"/>
                <w:color w:val="000000"/>
                <w:kern w:val="0"/>
                <w:sz w:val="22"/>
                <w:szCs w:val="22"/>
              </w:rPr>
              <w:t>任务执行：支持对业务流程中的任务进行管理和执行调度，设置任务的优先级、执行时间、依赖关系等。</w:t>
            </w:r>
          </w:p>
        </w:tc>
      </w:tr>
      <w:tr w14:paraId="15590FF5">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8D05412">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w:t>
            </w:r>
          </w:p>
        </w:tc>
        <w:tc>
          <w:tcPr>
            <w:tcW w:w="540" w:type="pct"/>
            <w:vMerge w:val="continue"/>
            <w:tcBorders>
              <w:left w:val="nil"/>
              <w:right w:val="single" w:color="auto" w:sz="4" w:space="0"/>
            </w:tcBorders>
            <w:shd w:val="clear" w:color="auto" w:fill="FFFFFF"/>
            <w:vAlign w:val="center"/>
          </w:tcPr>
          <w:p w14:paraId="0BB223E4">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7C3A6453">
            <w:pPr>
              <w:widowControl/>
              <w:spacing w:line="240" w:lineRule="auto"/>
              <w:ind w:firstLine="0" w:firstLineChars="0"/>
              <w:jc w:val="center"/>
              <w:rPr>
                <w:rFonts w:ascii="Tahoma" w:hAnsi="Tahoma" w:cs="Tahoma"/>
                <w:color w:val="000000"/>
                <w:kern w:val="0"/>
                <w:sz w:val="22"/>
                <w:szCs w:val="22"/>
              </w:rPr>
            </w:pPr>
            <w:r>
              <w:rPr>
                <w:rFonts w:hint="eastAsia"/>
              </w:rPr>
              <w:t>应用广场</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61CE333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支持应用搜索与筛选功能，清晰展示应用详情，具备点赞与分享功能。</w:t>
            </w:r>
          </w:p>
        </w:tc>
      </w:tr>
      <w:tr w14:paraId="56C66F03">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24149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w:t>
            </w:r>
          </w:p>
        </w:tc>
        <w:tc>
          <w:tcPr>
            <w:tcW w:w="540" w:type="pct"/>
            <w:vMerge w:val="continue"/>
            <w:tcBorders>
              <w:left w:val="nil"/>
              <w:right w:val="single" w:color="auto" w:sz="4" w:space="0"/>
            </w:tcBorders>
            <w:shd w:val="clear" w:color="auto" w:fill="FFFFFF"/>
            <w:vAlign w:val="center"/>
          </w:tcPr>
          <w:p w14:paraId="55290805">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6646CF78">
            <w:pPr>
              <w:widowControl/>
              <w:spacing w:line="240" w:lineRule="auto"/>
              <w:ind w:firstLine="0" w:firstLineChars="0"/>
              <w:jc w:val="center"/>
              <w:rPr>
                <w:rFonts w:ascii="Tahoma" w:hAnsi="Tahoma" w:cs="Tahoma"/>
                <w:color w:val="000000"/>
                <w:kern w:val="0"/>
                <w:sz w:val="22"/>
                <w:szCs w:val="22"/>
              </w:rPr>
            </w:pPr>
            <w:r>
              <w:rPr>
                <w:rFonts w:hint="eastAsia"/>
              </w:rPr>
              <w:t>应用模板</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7C2E0A9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模板库管理，对各类应用模板进行集中存储、分类与维护；支持模板定制与扩展，满足用户根据自身业务需求对模板进行个性化修改与功能拓展；提供模板预览功能，让用户在选用前直观了解模板样式与效果。</w:t>
            </w:r>
          </w:p>
        </w:tc>
      </w:tr>
      <w:tr w14:paraId="23D1E80E">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11403C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w:t>
            </w:r>
          </w:p>
        </w:tc>
        <w:tc>
          <w:tcPr>
            <w:tcW w:w="540" w:type="pct"/>
            <w:vMerge w:val="continue"/>
            <w:tcBorders>
              <w:left w:val="nil"/>
              <w:right w:val="single" w:color="auto" w:sz="4" w:space="0"/>
            </w:tcBorders>
            <w:shd w:val="clear" w:color="auto" w:fill="FFFFFF"/>
            <w:vAlign w:val="center"/>
          </w:tcPr>
          <w:p w14:paraId="5AF12E9B">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4E7920AA">
            <w:pPr>
              <w:widowControl/>
              <w:spacing w:line="240" w:lineRule="auto"/>
              <w:ind w:firstLine="0" w:firstLineChars="0"/>
              <w:jc w:val="center"/>
              <w:rPr>
                <w:rFonts w:ascii="Tahoma" w:hAnsi="Tahoma" w:cs="Tahoma"/>
                <w:color w:val="000000"/>
                <w:kern w:val="0"/>
                <w:sz w:val="22"/>
                <w:szCs w:val="22"/>
              </w:rPr>
            </w:pPr>
            <w:r>
              <w:rPr>
                <w:rFonts w:hint="eastAsia"/>
              </w:rPr>
              <w:t>组件广场</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3C2FCD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具备组件库管理、组件预览、组件集成与调试功能，提供输入、输出、搜索等常见组件。</w:t>
            </w:r>
          </w:p>
        </w:tc>
      </w:tr>
      <w:tr w14:paraId="3A36BAB1">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570870F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w:t>
            </w:r>
          </w:p>
        </w:tc>
        <w:tc>
          <w:tcPr>
            <w:tcW w:w="540" w:type="pct"/>
            <w:vMerge w:val="continue"/>
            <w:tcBorders>
              <w:left w:val="nil"/>
              <w:right w:val="single" w:color="auto" w:sz="4" w:space="0"/>
            </w:tcBorders>
            <w:shd w:val="clear" w:color="auto" w:fill="FFFFFF"/>
            <w:vAlign w:val="center"/>
          </w:tcPr>
          <w:p w14:paraId="4FE9ED98">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79C34DDF">
            <w:pPr>
              <w:widowControl/>
              <w:spacing w:line="240" w:lineRule="auto"/>
              <w:ind w:firstLine="0" w:firstLineChars="0"/>
              <w:jc w:val="center"/>
              <w:rPr>
                <w:rFonts w:ascii="Tahoma" w:hAnsi="Tahoma" w:cs="Tahoma"/>
                <w:color w:val="000000"/>
                <w:kern w:val="0"/>
                <w:sz w:val="22"/>
                <w:szCs w:val="22"/>
              </w:rPr>
            </w:pPr>
            <w:r>
              <w:rPr>
                <w:rFonts w:hint="eastAsia"/>
              </w:rPr>
              <w:t>Prompt工程</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56EF037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1、Prompt模板管理</w:t>
            </w:r>
          </w:p>
          <w:p w14:paraId="64AA5406">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支持对Prompt模板进行增删改查操作。</w:t>
            </w:r>
          </w:p>
          <w:p w14:paraId="5931E1B1">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2、Prompt优化任务</w:t>
            </w:r>
          </w:p>
          <w:p w14:paraId="7E9BD129">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并提供获取优化任务详情的能力。</w:t>
            </w:r>
          </w:p>
          <w:p w14:paraId="3C2C3483">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3、Prompt评估</w:t>
            </w:r>
          </w:p>
          <w:p w14:paraId="49DE968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包括相关性、实用性、多样性评估，支持多轮反馈、效果评估。</w:t>
            </w:r>
          </w:p>
        </w:tc>
      </w:tr>
      <w:tr w14:paraId="26A95328">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7B248F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w:t>
            </w:r>
          </w:p>
        </w:tc>
        <w:tc>
          <w:tcPr>
            <w:tcW w:w="540" w:type="pct"/>
            <w:vMerge w:val="continue"/>
            <w:tcBorders>
              <w:left w:val="nil"/>
              <w:bottom w:val="single" w:color="auto" w:sz="4" w:space="0"/>
              <w:right w:val="single" w:color="auto" w:sz="4" w:space="0"/>
            </w:tcBorders>
            <w:shd w:val="clear" w:color="auto" w:fill="FFFFFF"/>
            <w:vAlign w:val="center"/>
          </w:tcPr>
          <w:p w14:paraId="3E4DB908">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21E112C5">
            <w:pPr>
              <w:widowControl/>
              <w:spacing w:line="240" w:lineRule="auto"/>
              <w:ind w:firstLine="0" w:firstLineChars="0"/>
              <w:jc w:val="center"/>
              <w:rPr>
                <w:rFonts w:ascii="Tahoma" w:hAnsi="Tahoma" w:cs="Tahoma"/>
                <w:color w:val="000000"/>
                <w:kern w:val="0"/>
                <w:sz w:val="22"/>
                <w:szCs w:val="22"/>
              </w:rPr>
            </w:pPr>
            <w:r>
              <w:rPr>
                <w:rFonts w:hint="eastAsia"/>
              </w:rPr>
              <w:t>服务接口管理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43FC476B">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提供API全方位管理功能，包括API的创建、编排、服务理由、服务转换、服务治理、安全防护、监控告警等功能。</w:t>
            </w:r>
          </w:p>
        </w:tc>
      </w:tr>
      <w:tr w14:paraId="6B2A1EBC">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FFD312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w:t>
            </w:r>
          </w:p>
        </w:tc>
        <w:tc>
          <w:tcPr>
            <w:tcW w:w="540" w:type="pct"/>
            <w:vMerge w:val="restart"/>
            <w:tcBorders>
              <w:top w:val="single" w:color="auto" w:sz="4" w:space="0"/>
              <w:left w:val="nil"/>
              <w:right w:val="single" w:color="auto" w:sz="4" w:space="0"/>
            </w:tcBorders>
            <w:shd w:val="clear" w:color="auto" w:fill="FFFFFF"/>
            <w:vAlign w:val="center"/>
          </w:tcPr>
          <w:p w14:paraId="1D60A34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全流程运营监管平台</w:t>
            </w:r>
          </w:p>
        </w:tc>
        <w:tc>
          <w:tcPr>
            <w:tcW w:w="940" w:type="pct"/>
            <w:tcBorders>
              <w:top w:val="single" w:color="auto" w:sz="4" w:space="0"/>
              <w:left w:val="nil"/>
              <w:bottom w:val="single" w:color="auto" w:sz="4" w:space="0"/>
              <w:right w:val="single" w:color="auto" w:sz="4" w:space="0"/>
            </w:tcBorders>
            <w:shd w:val="clear" w:color="auto" w:fill="FFFFFF"/>
            <w:vAlign w:val="center"/>
          </w:tcPr>
          <w:p w14:paraId="0C80FFCE">
            <w:pPr>
              <w:widowControl/>
              <w:spacing w:line="240" w:lineRule="auto"/>
              <w:ind w:firstLine="0" w:firstLineChars="0"/>
              <w:jc w:val="center"/>
              <w:rPr>
                <w:rFonts w:ascii="Tahoma" w:hAnsi="Tahoma" w:cs="Tahoma"/>
                <w:color w:val="000000"/>
                <w:kern w:val="0"/>
                <w:sz w:val="22"/>
                <w:szCs w:val="22"/>
              </w:rPr>
            </w:pPr>
            <w:r>
              <w:rPr>
                <w:rFonts w:hint="eastAsia"/>
              </w:rPr>
              <w:t>多租户管理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6A0CDDA">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提供租户注册、认证、空间配置功能。</w:t>
            </w:r>
          </w:p>
        </w:tc>
      </w:tr>
      <w:tr w14:paraId="1487A2C8">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3AD095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18</w:t>
            </w:r>
          </w:p>
        </w:tc>
        <w:tc>
          <w:tcPr>
            <w:tcW w:w="540" w:type="pct"/>
            <w:vMerge w:val="continue"/>
            <w:tcBorders>
              <w:left w:val="nil"/>
              <w:right w:val="single" w:color="auto" w:sz="4" w:space="0"/>
            </w:tcBorders>
            <w:shd w:val="clear" w:color="auto" w:fill="FFFFFF"/>
            <w:vAlign w:val="center"/>
          </w:tcPr>
          <w:p w14:paraId="2183BC29">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35815A6A">
            <w:pPr>
              <w:widowControl/>
              <w:spacing w:line="240" w:lineRule="auto"/>
              <w:ind w:firstLine="0" w:firstLineChars="0"/>
              <w:jc w:val="center"/>
              <w:rPr>
                <w:rFonts w:ascii="Tahoma" w:hAnsi="Tahoma" w:cs="Tahoma"/>
                <w:color w:val="000000"/>
                <w:kern w:val="0"/>
                <w:sz w:val="22"/>
                <w:szCs w:val="22"/>
              </w:rPr>
            </w:pPr>
            <w:r>
              <w:rPr>
                <w:rFonts w:hint="eastAsia"/>
              </w:rPr>
              <w:t>权限管理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4106DD0">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提供权限管理、权限分配、权限审计等功能。</w:t>
            </w:r>
          </w:p>
        </w:tc>
      </w:tr>
      <w:tr w14:paraId="1FDF92B8">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860C82E">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19</w:t>
            </w:r>
          </w:p>
        </w:tc>
        <w:tc>
          <w:tcPr>
            <w:tcW w:w="540" w:type="pct"/>
            <w:vMerge w:val="continue"/>
            <w:tcBorders>
              <w:left w:val="nil"/>
              <w:right w:val="single" w:color="auto" w:sz="4" w:space="0"/>
            </w:tcBorders>
            <w:shd w:val="clear" w:color="auto" w:fill="FFFFFF"/>
            <w:vAlign w:val="center"/>
          </w:tcPr>
          <w:p w14:paraId="7CAA9C9F">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1E4B6B6A">
            <w:pPr>
              <w:widowControl/>
              <w:spacing w:line="240" w:lineRule="auto"/>
              <w:ind w:firstLine="0" w:firstLineChars="0"/>
              <w:jc w:val="center"/>
              <w:rPr>
                <w:rFonts w:ascii="Tahoma" w:hAnsi="Tahoma" w:cs="Tahoma"/>
                <w:color w:val="000000"/>
                <w:kern w:val="0"/>
                <w:sz w:val="22"/>
                <w:szCs w:val="22"/>
              </w:rPr>
            </w:pPr>
            <w:r>
              <w:rPr>
                <w:rFonts w:hint="eastAsia"/>
              </w:rPr>
              <w:t>统一日志</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63D6EB92">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提供日志采集、日志查询、日志监控、日志可视化、日志安全等功能。</w:t>
            </w:r>
          </w:p>
        </w:tc>
      </w:tr>
      <w:tr w14:paraId="3FBFDC60">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6291BFD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20</w:t>
            </w:r>
          </w:p>
        </w:tc>
        <w:tc>
          <w:tcPr>
            <w:tcW w:w="540" w:type="pct"/>
            <w:vMerge w:val="continue"/>
            <w:tcBorders>
              <w:left w:val="nil"/>
              <w:right w:val="single" w:color="auto" w:sz="4" w:space="0"/>
            </w:tcBorders>
            <w:shd w:val="clear" w:color="auto" w:fill="FFFFFF"/>
            <w:vAlign w:val="center"/>
          </w:tcPr>
          <w:p w14:paraId="055740B0">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6750B781">
            <w:pPr>
              <w:widowControl/>
              <w:spacing w:line="240" w:lineRule="auto"/>
              <w:ind w:firstLine="0" w:firstLineChars="0"/>
              <w:jc w:val="center"/>
              <w:rPr>
                <w:rFonts w:ascii="Tahoma" w:hAnsi="Tahoma" w:cs="Tahoma"/>
                <w:color w:val="000000"/>
                <w:kern w:val="0"/>
                <w:sz w:val="22"/>
                <w:szCs w:val="22"/>
              </w:rPr>
            </w:pPr>
            <w:r>
              <w:rPr>
                <w:rFonts w:hint="eastAsia"/>
              </w:rPr>
              <w:t>安全管理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404EF2B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提供数据加密、数据脱敏和数据水印等安全管理功能。</w:t>
            </w:r>
          </w:p>
        </w:tc>
      </w:tr>
      <w:tr w14:paraId="5CD78BAA">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45C8AE2F">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21</w:t>
            </w:r>
          </w:p>
        </w:tc>
        <w:tc>
          <w:tcPr>
            <w:tcW w:w="540" w:type="pct"/>
            <w:vMerge w:val="continue"/>
            <w:tcBorders>
              <w:left w:val="nil"/>
              <w:right w:val="single" w:color="auto" w:sz="4" w:space="0"/>
            </w:tcBorders>
            <w:shd w:val="clear" w:color="auto" w:fill="FFFFFF"/>
            <w:vAlign w:val="center"/>
          </w:tcPr>
          <w:p w14:paraId="0A130C4B">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2F957154">
            <w:pPr>
              <w:widowControl/>
              <w:spacing w:line="240" w:lineRule="auto"/>
              <w:ind w:firstLine="0" w:firstLineChars="0"/>
              <w:jc w:val="center"/>
              <w:rPr>
                <w:rFonts w:ascii="Tahoma" w:hAnsi="Tahoma" w:cs="Tahoma"/>
                <w:color w:val="000000"/>
                <w:kern w:val="0"/>
                <w:sz w:val="22"/>
                <w:szCs w:val="22"/>
              </w:rPr>
            </w:pPr>
            <w:r>
              <w:rPr>
                <w:rFonts w:hint="eastAsia"/>
              </w:rPr>
              <w:t>模型备案</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569FB98D">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需提供模型信息登记、模型合规性审核、模型变更等管理功能。</w:t>
            </w:r>
          </w:p>
        </w:tc>
      </w:tr>
      <w:tr w14:paraId="2F390C7B">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2361D783">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22</w:t>
            </w:r>
          </w:p>
        </w:tc>
        <w:tc>
          <w:tcPr>
            <w:tcW w:w="540" w:type="pct"/>
            <w:vMerge w:val="continue"/>
            <w:tcBorders>
              <w:left w:val="nil"/>
              <w:right w:val="single" w:color="auto" w:sz="4" w:space="0"/>
            </w:tcBorders>
            <w:shd w:val="clear" w:color="auto" w:fill="FFFFFF"/>
            <w:vAlign w:val="center"/>
          </w:tcPr>
          <w:p w14:paraId="286E54D1">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45C60119">
            <w:pPr>
              <w:widowControl/>
              <w:spacing w:line="240" w:lineRule="auto"/>
              <w:ind w:firstLine="0" w:firstLineChars="0"/>
              <w:jc w:val="center"/>
              <w:rPr>
                <w:rFonts w:ascii="Tahoma" w:hAnsi="Tahoma" w:cs="Tahoma"/>
                <w:color w:val="000000"/>
                <w:kern w:val="0"/>
                <w:sz w:val="22"/>
                <w:szCs w:val="22"/>
              </w:rPr>
            </w:pPr>
            <w:r>
              <w:rPr>
                <w:rFonts w:hint="eastAsia"/>
              </w:rPr>
              <w:t>效果评估</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E18F73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提供数据集质量评估、智能体效果评估等功能。</w:t>
            </w:r>
          </w:p>
        </w:tc>
      </w:tr>
      <w:tr w14:paraId="4F01A34B">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1FDDE24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23</w:t>
            </w:r>
          </w:p>
        </w:tc>
        <w:tc>
          <w:tcPr>
            <w:tcW w:w="540" w:type="pct"/>
            <w:vMerge w:val="continue"/>
            <w:tcBorders>
              <w:left w:val="nil"/>
              <w:right w:val="single" w:color="auto" w:sz="4" w:space="0"/>
            </w:tcBorders>
            <w:shd w:val="clear" w:color="auto" w:fill="FFFFFF"/>
            <w:vAlign w:val="center"/>
          </w:tcPr>
          <w:p w14:paraId="503E371D">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5DC292C2">
            <w:pPr>
              <w:widowControl/>
              <w:spacing w:line="240" w:lineRule="auto"/>
              <w:ind w:firstLine="0" w:firstLineChars="0"/>
              <w:jc w:val="center"/>
              <w:rPr>
                <w:rFonts w:ascii="Tahoma" w:hAnsi="Tahoma" w:cs="Tahoma"/>
                <w:color w:val="000000"/>
                <w:kern w:val="0"/>
                <w:sz w:val="22"/>
                <w:szCs w:val="22"/>
              </w:rPr>
            </w:pPr>
            <w:r>
              <w:rPr>
                <w:rFonts w:hint="eastAsia"/>
              </w:rPr>
              <w:t>节点管理</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5CB089A4">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提供计算资源、存储资源等资源节点配置、节点状态监控功能。</w:t>
            </w:r>
          </w:p>
        </w:tc>
      </w:tr>
      <w:tr w14:paraId="1708C415">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386C82C">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24</w:t>
            </w:r>
          </w:p>
        </w:tc>
        <w:tc>
          <w:tcPr>
            <w:tcW w:w="540" w:type="pct"/>
            <w:vMerge w:val="continue"/>
            <w:tcBorders>
              <w:left w:val="nil"/>
              <w:right w:val="single" w:color="auto" w:sz="4" w:space="0"/>
            </w:tcBorders>
            <w:shd w:val="clear" w:color="auto" w:fill="FFFFFF"/>
            <w:vAlign w:val="center"/>
          </w:tcPr>
          <w:p w14:paraId="311E371A">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4FA7BDF2">
            <w:pPr>
              <w:widowControl/>
              <w:spacing w:line="240" w:lineRule="auto"/>
              <w:ind w:firstLine="0" w:firstLineChars="0"/>
              <w:jc w:val="center"/>
              <w:rPr>
                <w:rFonts w:ascii="Tahoma" w:hAnsi="Tahoma" w:cs="Tahoma"/>
                <w:color w:val="000000"/>
                <w:kern w:val="0"/>
                <w:sz w:val="22"/>
                <w:szCs w:val="22"/>
              </w:rPr>
            </w:pPr>
            <w:r>
              <w:rPr>
                <w:rFonts w:hint="eastAsia"/>
              </w:rPr>
              <w:t>运营监管门户</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1AFBD2E8">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提供模型、智能体、数据集、API的运行概览、请求概况、热门智能体、运营概览、高频词云、热门反馈等功能。</w:t>
            </w:r>
          </w:p>
        </w:tc>
      </w:tr>
      <w:tr w14:paraId="4ED25C21">
        <w:tblPrEx>
          <w:tblCellMar>
            <w:top w:w="0" w:type="dxa"/>
            <w:left w:w="108" w:type="dxa"/>
            <w:bottom w:w="0" w:type="dxa"/>
            <w:right w:w="108" w:type="dxa"/>
          </w:tblCellMar>
        </w:tblPrEx>
        <w:trPr>
          <w:jc w:val="center"/>
        </w:trPr>
        <w:tc>
          <w:tcPr>
            <w:tcW w:w="396" w:type="pct"/>
            <w:tcBorders>
              <w:top w:val="single" w:color="auto" w:sz="4" w:space="0"/>
              <w:left w:val="single" w:color="auto" w:sz="4" w:space="0"/>
              <w:bottom w:val="single" w:color="auto" w:sz="4" w:space="0"/>
              <w:right w:val="single" w:color="auto" w:sz="4" w:space="0"/>
            </w:tcBorders>
            <w:shd w:val="clear" w:color="auto" w:fill="FFFFFF"/>
            <w:vAlign w:val="center"/>
          </w:tcPr>
          <w:p w14:paraId="074CBFB9">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25</w:t>
            </w:r>
          </w:p>
        </w:tc>
        <w:tc>
          <w:tcPr>
            <w:tcW w:w="540" w:type="pct"/>
            <w:vMerge w:val="continue"/>
            <w:tcBorders>
              <w:left w:val="nil"/>
              <w:bottom w:val="single" w:color="auto" w:sz="4" w:space="0"/>
              <w:right w:val="single" w:color="auto" w:sz="4" w:space="0"/>
            </w:tcBorders>
            <w:shd w:val="clear" w:color="auto" w:fill="FFFFFF"/>
            <w:vAlign w:val="center"/>
          </w:tcPr>
          <w:p w14:paraId="6A10C32B">
            <w:pPr>
              <w:widowControl/>
              <w:spacing w:line="240" w:lineRule="auto"/>
              <w:ind w:firstLine="0" w:firstLineChars="0"/>
              <w:jc w:val="center"/>
              <w:rPr>
                <w:rFonts w:ascii="Tahoma" w:hAnsi="Tahoma" w:cs="Tahoma"/>
                <w:color w:val="000000"/>
                <w:kern w:val="0"/>
                <w:sz w:val="22"/>
                <w:szCs w:val="22"/>
              </w:rPr>
            </w:pPr>
          </w:p>
        </w:tc>
        <w:tc>
          <w:tcPr>
            <w:tcW w:w="940" w:type="pct"/>
            <w:tcBorders>
              <w:top w:val="single" w:color="auto" w:sz="4" w:space="0"/>
              <w:left w:val="nil"/>
              <w:bottom w:val="single" w:color="auto" w:sz="4" w:space="0"/>
              <w:right w:val="single" w:color="auto" w:sz="4" w:space="0"/>
            </w:tcBorders>
            <w:shd w:val="clear" w:color="auto" w:fill="FFFFFF"/>
            <w:vAlign w:val="center"/>
          </w:tcPr>
          <w:p w14:paraId="521EA251">
            <w:pPr>
              <w:widowControl/>
              <w:spacing w:line="240" w:lineRule="auto"/>
              <w:ind w:firstLine="0" w:firstLineChars="0"/>
              <w:jc w:val="center"/>
              <w:rPr>
                <w:rFonts w:ascii="Tahoma" w:hAnsi="Tahoma" w:cs="Tahoma"/>
                <w:color w:val="000000"/>
                <w:kern w:val="0"/>
                <w:sz w:val="22"/>
                <w:szCs w:val="22"/>
              </w:rPr>
            </w:pPr>
            <w:r>
              <w:rPr>
                <w:rFonts w:hint="eastAsia"/>
              </w:rPr>
              <w:t>监管可视化</w:t>
            </w:r>
          </w:p>
        </w:tc>
        <w:tc>
          <w:tcPr>
            <w:tcW w:w="3124" w:type="pct"/>
            <w:tcBorders>
              <w:top w:val="single" w:color="auto" w:sz="4" w:space="0"/>
              <w:left w:val="nil"/>
              <w:bottom w:val="single" w:color="auto" w:sz="4" w:space="0"/>
              <w:right w:val="single" w:color="auto" w:sz="4" w:space="0"/>
            </w:tcBorders>
            <w:shd w:val="clear" w:color="auto" w:fill="FFFFFF"/>
            <w:vAlign w:val="center"/>
          </w:tcPr>
          <w:p w14:paraId="2C499545">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提供性能监控、服务监控等功能。</w:t>
            </w:r>
          </w:p>
        </w:tc>
      </w:tr>
    </w:tbl>
    <w:p w14:paraId="5D9A9198">
      <w:pPr>
        <w:rPr>
          <w:rFonts w:hint="eastAsia"/>
        </w:rPr>
      </w:pPr>
    </w:p>
    <w:p w14:paraId="3AAB137C">
      <w:pPr>
        <w:pStyle w:val="2"/>
        <w:rPr>
          <w:rFonts w:hint="eastAsia"/>
        </w:rPr>
      </w:pPr>
      <w:bookmarkStart w:id="18" w:name="_Toc63785502"/>
      <w:r>
        <w:rPr>
          <w:rFonts w:hint="eastAsia"/>
        </w:rPr>
        <w:t>电子政务云资源需求</w:t>
      </w:r>
      <w:bookmarkEnd w:id="18"/>
    </w:p>
    <w:p w14:paraId="51991D07">
      <w:pPr>
        <w:rPr>
          <w:rFonts w:hint="eastAsia"/>
        </w:rPr>
      </w:pPr>
      <w:r>
        <w:rPr>
          <w:rFonts w:hint="eastAsia"/>
        </w:rPr>
        <w:t>本次建设项目电子政务云将提供CPU 864核、内存1728GB、存储23000GB服务器资源、6台Ascend 910B(64G)GPU服务器（48张卡）。供应商应合理利用上述电子政务云资源进行系统的安装和部署。</w:t>
      </w:r>
    </w:p>
    <w:p w14:paraId="4CD637C0">
      <w:pPr>
        <w:pStyle w:val="2"/>
        <w:rPr>
          <w:rFonts w:hint="eastAsia"/>
        </w:rPr>
      </w:pPr>
      <w:bookmarkStart w:id="19" w:name="_Toc63785503"/>
      <w:r>
        <w:rPr>
          <w:rFonts w:hint="eastAsia"/>
        </w:rPr>
        <w:t>其他工作要求</w:t>
      </w:r>
      <w:bookmarkEnd w:id="19"/>
    </w:p>
    <w:p w14:paraId="38268045">
      <w:pPr>
        <w:keepNext/>
        <w:keepLines/>
        <w:numPr>
          <w:ilvl w:val="1"/>
          <w:numId w:val="16"/>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20" w:name="_Toc63785439"/>
      <w:bookmarkEnd w:id="20"/>
      <w:bookmarkStart w:id="21" w:name="_Toc61968111"/>
      <w:bookmarkEnd w:id="21"/>
      <w:bookmarkStart w:id="22" w:name="_Toc63762370"/>
      <w:bookmarkEnd w:id="22"/>
      <w:bookmarkStart w:id="23" w:name="_Toc63785504"/>
      <w:bookmarkEnd w:id="23"/>
      <w:bookmarkStart w:id="24" w:name="_Toc62219358"/>
      <w:bookmarkEnd w:id="24"/>
      <w:bookmarkStart w:id="25" w:name="_Toc62209488"/>
      <w:bookmarkEnd w:id="25"/>
      <w:bookmarkStart w:id="26" w:name="_Toc63585480"/>
      <w:bookmarkEnd w:id="26"/>
      <w:bookmarkStart w:id="27" w:name="_Toc63151871"/>
      <w:bookmarkEnd w:id="27"/>
    </w:p>
    <w:p w14:paraId="5E5D3D16">
      <w:pPr>
        <w:pStyle w:val="3"/>
        <w:ind w:firstLine="602"/>
        <w:rPr>
          <w:rFonts w:hint="eastAsia"/>
        </w:rPr>
      </w:pPr>
      <w:bookmarkStart w:id="28" w:name="_Toc63785505"/>
      <w:r>
        <w:rPr>
          <w:rFonts w:hint="eastAsia"/>
        </w:rPr>
        <w:t>售后服务要求</w:t>
      </w:r>
      <w:bookmarkEnd w:id="28"/>
    </w:p>
    <w:p w14:paraId="6ED1E9D7">
      <w:pPr>
        <w:pStyle w:val="10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134B69E3">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在质量保证期内，供应商将按照售后服务的承诺提供保修和运行维护服务，如果厂商对信息系统中软件产品中的部分保修期超过上述期限的，则按照厂商的规定进行免费保修。</w:t>
      </w:r>
    </w:p>
    <w:p w14:paraId="5868BFF3">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在质量保证期内，供应商负责信息系统的运行维护工作，确保信息系统安全、稳定、可靠地运行。本项目涉及的运行维护工作范围为：上海市MAP中台子系统（新建）项目。</w:t>
      </w:r>
    </w:p>
    <w:p w14:paraId="084B3E64">
      <w:pPr>
        <w:pStyle w:val="3"/>
        <w:ind w:firstLine="602"/>
        <w:rPr>
          <w:rFonts w:hint="eastAsia"/>
        </w:rPr>
      </w:pPr>
      <w:bookmarkStart w:id="29" w:name="_Toc63785506"/>
      <w:r>
        <w:rPr>
          <w:rFonts w:hint="eastAsia"/>
        </w:rPr>
        <w:t>应急响应要求</w:t>
      </w:r>
      <w:bookmarkEnd w:id="29"/>
    </w:p>
    <w:p w14:paraId="42F49999">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2572AA8E">
      <w:pPr>
        <w:pStyle w:val="10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2C660DDA">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089444D6">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167338D7">
      <w:pPr>
        <w:pStyle w:val="106"/>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26EC25E4">
      <w:pPr>
        <w:pStyle w:val="3"/>
        <w:ind w:firstLine="602"/>
        <w:rPr>
          <w:rFonts w:hint="eastAsia"/>
        </w:rPr>
      </w:pPr>
      <w:bookmarkStart w:id="30" w:name="_Toc63785507"/>
      <w:r>
        <w:rPr>
          <w:rFonts w:hint="eastAsia"/>
        </w:rPr>
        <w:t>培训要求</w:t>
      </w:r>
      <w:bookmarkEnd w:id="30"/>
    </w:p>
    <w:p w14:paraId="684B1F79">
      <w:pPr>
        <w:rPr>
          <w:rFonts w:hint="eastAsia"/>
        </w:rPr>
      </w:pPr>
      <w:r>
        <w:rPr>
          <w:rFonts w:hint="eastAsia"/>
        </w:rPr>
        <w:t>对系统使用单位提供业务操作培训，应提供详细培训方案。</w:t>
      </w:r>
    </w:p>
    <w:p w14:paraId="26736DEB">
      <w:pPr>
        <w:rPr>
          <w:rFonts w:hint="eastAsia"/>
        </w:rPr>
      </w:pPr>
      <w:r>
        <w:rPr>
          <w:rFonts w:hint="eastAsia"/>
        </w:rPr>
        <w:t>(1)在12个月的质量保证期内，提供2次与项目相关的必要培训。</w:t>
      </w:r>
    </w:p>
    <w:p w14:paraId="010797F7">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75338F63">
      <w:pPr>
        <w:rPr>
          <w:rFonts w:hint="eastAsia"/>
        </w:rPr>
      </w:pPr>
      <w:r>
        <w:rPr>
          <w:rFonts w:hint="eastAsia"/>
        </w:rPr>
        <w:t>(3)供应商应提供一般用户的基础操作培训和部门信息管理员的日常应用维护的培训，确保用户对象能够掌握对应的操作技能。</w:t>
      </w:r>
    </w:p>
    <w:p w14:paraId="236AFA28">
      <w:pPr>
        <w:pStyle w:val="3"/>
        <w:ind w:firstLine="602"/>
        <w:rPr>
          <w:rFonts w:hint="eastAsia"/>
        </w:rPr>
      </w:pPr>
      <w:bookmarkStart w:id="31" w:name="_Toc63785508"/>
      <w:r>
        <w:rPr>
          <w:rFonts w:hint="eastAsia"/>
        </w:rPr>
        <w:t>验收要求</w:t>
      </w:r>
      <w:bookmarkEnd w:id="31"/>
    </w:p>
    <w:p w14:paraId="0E7A28EF">
      <w:pPr>
        <w:rPr>
          <w:rFonts w:hint="eastAsia"/>
          <w:szCs w:val="21"/>
        </w:rPr>
      </w:pPr>
      <w:r>
        <w:rPr>
          <w:rFonts w:hint="eastAsia"/>
          <w:szCs w:val="21"/>
        </w:rPr>
        <w:t>本项目按下述方式开展验收。</w:t>
      </w:r>
    </w:p>
    <w:p w14:paraId="004A6D89">
      <w:pPr>
        <w:rPr>
          <w:rFonts w:hint="eastAsia"/>
          <w:szCs w:val="21"/>
        </w:rPr>
      </w:pPr>
      <w:r>
        <w:rPr>
          <w:rFonts w:hint="eastAsia"/>
          <w:szCs w:val="21"/>
        </w:rPr>
        <w:t>（</w:t>
      </w:r>
      <w:r>
        <w:rPr>
          <w:szCs w:val="21"/>
        </w:rPr>
        <w:t>1）验收分初验和终验。</w:t>
      </w:r>
    </w:p>
    <w:p w14:paraId="0DB533BF">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6EC5BE87">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327988B2">
      <w:pPr>
        <w:rPr>
          <w:rFonts w:hint="eastAsia"/>
          <w:szCs w:val="21"/>
        </w:rPr>
      </w:pPr>
      <w:r>
        <w:rPr>
          <w:rFonts w:hint="eastAsia"/>
          <w:szCs w:val="21"/>
        </w:rPr>
        <w:t>（</w:t>
      </w:r>
      <w:r>
        <w:rPr>
          <w:szCs w:val="21"/>
        </w:rPr>
        <w:t>4）自初验通过之日起，招标方享有供应商免费提供的</w:t>
      </w:r>
      <w:r>
        <w:rPr>
          <w:rFonts w:hint="eastAsia"/>
          <w:szCs w:val="21"/>
        </w:rPr>
        <w:t>xx</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177EAD78">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x个工作日内发起组织专家验收会。</w:t>
      </w:r>
    </w:p>
    <w:p w14:paraId="4B094560">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09C5A59E">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14:paraId="188E4C08">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1E0DEE82">
      <w:pPr>
        <w:pStyle w:val="3"/>
        <w:ind w:firstLine="602"/>
        <w:rPr>
          <w:rFonts w:hint="eastAsia"/>
        </w:rPr>
      </w:pPr>
      <w:bookmarkStart w:id="32" w:name="_Toc63785509"/>
      <w:r>
        <w:rPr>
          <w:rFonts w:hint="eastAsia"/>
        </w:rPr>
        <w:t>进度要求</w:t>
      </w:r>
      <w:bookmarkEnd w:id="32"/>
    </w:p>
    <w:p w14:paraId="36011B78">
      <w:pPr>
        <w:rPr>
          <w:rFonts w:hint="eastAsia"/>
        </w:rPr>
      </w:pPr>
      <w:r>
        <w:rPr>
          <w:rFonts w:hint="eastAsia"/>
        </w:rPr>
        <w:t>投标人应根据建设内容，分阶段制定合理的时间进度，并且应根据招标方要求进行调整和细化。</w:t>
      </w:r>
    </w:p>
    <w:p w14:paraId="02198E32">
      <w:pPr>
        <w:rPr>
          <w:rFonts w:hint="eastAsia"/>
        </w:rPr>
      </w:pPr>
      <w:r>
        <w:rPr>
          <w:rFonts w:hint="eastAsia"/>
        </w:rPr>
        <w:t>总建设周期为10个月，分为</w:t>
      </w:r>
      <w:r>
        <w:t>3</w:t>
      </w:r>
      <w:r>
        <w:rPr>
          <w:rFonts w:hint="eastAsia"/>
        </w:rPr>
        <w:t>个阶段。</w:t>
      </w:r>
    </w:p>
    <w:p w14:paraId="1183ECAD">
      <w:pPr>
        <w:rPr>
          <w:rFonts w:hint="eastAsia"/>
        </w:rPr>
      </w:pPr>
      <w:r>
        <w:rPr>
          <w:rFonts w:hint="eastAsia"/>
        </w:rPr>
        <w:t>第一阶段：时间3个月；完成系统设计、开发、测试工作。</w:t>
      </w:r>
    </w:p>
    <w:p w14:paraId="3548AB70">
      <w:pPr>
        <w:rPr>
          <w:rFonts w:hint="eastAsia"/>
        </w:rPr>
      </w:pPr>
      <w:r>
        <w:rPr>
          <w:rFonts w:hint="eastAsia"/>
        </w:rPr>
        <w:t>第二阶段：时间2个月；完成系统部署试运行工作。</w:t>
      </w:r>
    </w:p>
    <w:p w14:paraId="10129E07">
      <w:pPr>
        <w:rPr>
          <w:rFonts w:hint="eastAsia"/>
        </w:rPr>
      </w:pPr>
      <w:r>
        <w:rPr>
          <w:rFonts w:hint="eastAsia"/>
        </w:rPr>
        <w:t>第五阶段：时间5个月。完成系统正式上线以及验收工作。</w:t>
      </w:r>
    </w:p>
    <w:p w14:paraId="739C2765">
      <w:pPr>
        <w:pStyle w:val="3"/>
        <w:ind w:firstLine="602"/>
        <w:rPr>
          <w:rFonts w:hint="eastAsia"/>
        </w:rPr>
      </w:pPr>
      <w:bookmarkStart w:id="33" w:name="_Toc63785510"/>
      <w:r>
        <w:rPr>
          <w:rFonts w:hint="eastAsia"/>
        </w:rPr>
        <w:t>项目团队及驻场人员要求</w:t>
      </w:r>
      <w:bookmarkEnd w:id="33"/>
    </w:p>
    <w:p w14:paraId="0AEDC98F">
      <w:pPr>
        <w:pStyle w:val="61"/>
        <w:numPr>
          <w:ilvl w:val="0"/>
          <w:numId w:val="17"/>
        </w:numPr>
        <w:ind w:firstLineChars="0"/>
      </w:pPr>
      <w:r>
        <w:t>投标人须具有稳定的在职技术保障力量，能够提供及时的技术支援或服务，应针对本项目提供不少于</w:t>
      </w:r>
      <w:r>
        <w:rPr>
          <w:rFonts w:hint="eastAsia"/>
        </w:rPr>
        <w:t>60</w:t>
      </w:r>
      <w:r>
        <w:t>人的项目服务团队（包括项目经理、产品经理、技术负责人、研发等）</w:t>
      </w:r>
      <w:r>
        <w:rPr>
          <w:rFonts w:hint="eastAsia"/>
        </w:rPr>
        <w:t>，其中30人提供现场支撑服务</w:t>
      </w:r>
      <w:r>
        <w:t>，投标单位的相关服务人员需具备相应的服务能力，需提供相关证明。</w:t>
      </w:r>
    </w:p>
    <w:tbl>
      <w:tblPr>
        <w:tblStyle w:val="35"/>
        <w:tblW w:w="7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701"/>
        <w:gridCol w:w="709"/>
        <w:gridCol w:w="3827"/>
      </w:tblGrid>
      <w:tr w14:paraId="6528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75B67109">
            <w:pPr>
              <w:pStyle w:val="111"/>
              <w:spacing w:after="163"/>
            </w:pPr>
            <w:r>
              <w:rPr>
                <w:rFonts w:hint="eastAsia"/>
              </w:rPr>
              <w:t>角色</w:t>
            </w:r>
          </w:p>
        </w:tc>
        <w:tc>
          <w:tcPr>
            <w:tcW w:w="1701" w:type="dxa"/>
            <w:tcBorders>
              <w:top w:val="single" w:color="auto" w:sz="4" w:space="0"/>
              <w:left w:val="nil"/>
              <w:bottom w:val="single" w:color="auto" w:sz="4" w:space="0"/>
              <w:right w:val="single" w:color="auto" w:sz="4" w:space="0"/>
            </w:tcBorders>
            <w:noWrap/>
            <w:vAlign w:val="center"/>
          </w:tcPr>
          <w:p w14:paraId="41D2B8A5">
            <w:pPr>
              <w:pStyle w:val="111"/>
              <w:spacing w:after="163"/>
            </w:pPr>
            <w:r>
              <w:rPr>
                <w:rFonts w:hint="eastAsia"/>
              </w:rPr>
              <w:t>主要职责</w:t>
            </w:r>
          </w:p>
        </w:tc>
        <w:tc>
          <w:tcPr>
            <w:tcW w:w="709" w:type="dxa"/>
            <w:tcBorders>
              <w:top w:val="single" w:color="auto" w:sz="4" w:space="0"/>
              <w:left w:val="nil"/>
              <w:bottom w:val="single" w:color="auto" w:sz="4" w:space="0"/>
              <w:right w:val="single" w:color="auto" w:sz="4" w:space="0"/>
            </w:tcBorders>
            <w:noWrap/>
            <w:vAlign w:val="center"/>
          </w:tcPr>
          <w:p w14:paraId="18ABED88">
            <w:pPr>
              <w:pStyle w:val="111"/>
              <w:spacing w:after="163"/>
            </w:pPr>
            <w:r>
              <w:rPr>
                <w:rFonts w:hint="eastAsia"/>
              </w:rPr>
              <w:t>人员数量</w:t>
            </w:r>
          </w:p>
        </w:tc>
        <w:tc>
          <w:tcPr>
            <w:tcW w:w="3827" w:type="dxa"/>
            <w:tcBorders>
              <w:top w:val="single" w:color="auto" w:sz="4" w:space="0"/>
              <w:left w:val="nil"/>
              <w:bottom w:val="single" w:color="auto" w:sz="4" w:space="0"/>
              <w:right w:val="single" w:color="auto" w:sz="4" w:space="0"/>
            </w:tcBorders>
            <w:vAlign w:val="center"/>
          </w:tcPr>
          <w:p w14:paraId="727FE6DC">
            <w:pPr>
              <w:pStyle w:val="111"/>
              <w:spacing w:after="163"/>
            </w:pPr>
            <w:r>
              <w:rPr>
                <w:rFonts w:hint="eastAsia"/>
              </w:rPr>
              <w:t>人员要求</w:t>
            </w:r>
          </w:p>
        </w:tc>
      </w:tr>
      <w:tr w14:paraId="2928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4A2EB431">
            <w:pPr>
              <w:pStyle w:val="111"/>
              <w:spacing w:after="163"/>
            </w:pPr>
            <w:r>
              <w:rPr>
                <w:rFonts w:hint="eastAsia"/>
              </w:rPr>
              <w:t>项目经理</w:t>
            </w:r>
          </w:p>
        </w:tc>
        <w:tc>
          <w:tcPr>
            <w:tcW w:w="1701" w:type="dxa"/>
            <w:tcBorders>
              <w:top w:val="single" w:color="auto" w:sz="4" w:space="0"/>
              <w:left w:val="nil"/>
              <w:bottom w:val="single" w:color="auto" w:sz="4" w:space="0"/>
              <w:right w:val="single" w:color="auto" w:sz="4" w:space="0"/>
            </w:tcBorders>
            <w:vAlign w:val="center"/>
          </w:tcPr>
          <w:p w14:paraId="50D046E4">
            <w:pPr>
              <w:pStyle w:val="111"/>
              <w:spacing w:after="163"/>
            </w:pPr>
            <w:r>
              <w:rPr>
                <w:rFonts w:hint="eastAsia"/>
              </w:rPr>
              <w:t>负责项目质量和进度控制</w:t>
            </w:r>
          </w:p>
        </w:tc>
        <w:tc>
          <w:tcPr>
            <w:tcW w:w="709" w:type="dxa"/>
            <w:tcBorders>
              <w:top w:val="single" w:color="auto" w:sz="4" w:space="0"/>
              <w:left w:val="nil"/>
              <w:bottom w:val="single" w:color="auto" w:sz="4" w:space="0"/>
              <w:right w:val="single" w:color="auto" w:sz="4" w:space="0"/>
            </w:tcBorders>
            <w:noWrap/>
            <w:vAlign w:val="center"/>
          </w:tcPr>
          <w:p w14:paraId="2579DBAE">
            <w:pPr>
              <w:pStyle w:val="111"/>
              <w:spacing w:after="163"/>
            </w:pPr>
            <w:r>
              <w:rPr>
                <w:rFonts w:hint="eastAsia"/>
              </w:rPr>
              <w:t>1人</w:t>
            </w:r>
          </w:p>
        </w:tc>
        <w:tc>
          <w:tcPr>
            <w:tcW w:w="3827" w:type="dxa"/>
            <w:tcBorders>
              <w:top w:val="single" w:color="auto" w:sz="4" w:space="0"/>
              <w:left w:val="nil"/>
              <w:bottom w:val="single" w:color="auto" w:sz="4" w:space="0"/>
              <w:right w:val="single" w:color="auto" w:sz="4" w:space="0"/>
            </w:tcBorders>
            <w:vAlign w:val="center"/>
          </w:tcPr>
          <w:p w14:paraId="60812E7C">
            <w:pPr>
              <w:pStyle w:val="111"/>
              <w:spacing w:after="163"/>
            </w:pPr>
            <w:r>
              <w:rPr>
                <w:rFonts w:hint="eastAsia"/>
              </w:rPr>
              <w:t>大学本科及以上学历；具备10年以上从业经验，具备调动供应商公司内部完成项目实施所需的各项资源的能力；具备信息系统项目管理师证书；</w:t>
            </w:r>
          </w:p>
        </w:tc>
      </w:tr>
      <w:tr w14:paraId="2B75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2D349D07">
            <w:pPr>
              <w:pStyle w:val="111"/>
              <w:spacing w:after="163"/>
            </w:pPr>
            <w:r>
              <w:rPr>
                <w:rFonts w:hint="eastAsia"/>
              </w:rPr>
              <w:t>产品经理</w:t>
            </w:r>
          </w:p>
        </w:tc>
        <w:tc>
          <w:tcPr>
            <w:tcW w:w="1701" w:type="dxa"/>
            <w:tcBorders>
              <w:top w:val="single" w:color="auto" w:sz="4" w:space="0"/>
              <w:left w:val="nil"/>
              <w:bottom w:val="single" w:color="auto" w:sz="4" w:space="0"/>
              <w:right w:val="single" w:color="auto" w:sz="4" w:space="0"/>
            </w:tcBorders>
            <w:vAlign w:val="center"/>
          </w:tcPr>
          <w:p w14:paraId="6C7FA89F">
            <w:pPr>
              <w:pStyle w:val="111"/>
              <w:spacing w:after="163"/>
            </w:pPr>
            <w:r>
              <w:rPr>
                <w:rFonts w:hint="eastAsia"/>
              </w:rPr>
              <w:t>负责项目需求评估与产品设计</w:t>
            </w:r>
          </w:p>
        </w:tc>
        <w:tc>
          <w:tcPr>
            <w:tcW w:w="709" w:type="dxa"/>
            <w:tcBorders>
              <w:top w:val="single" w:color="auto" w:sz="4" w:space="0"/>
              <w:left w:val="nil"/>
              <w:bottom w:val="single" w:color="auto" w:sz="4" w:space="0"/>
              <w:right w:val="single" w:color="auto" w:sz="4" w:space="0"/>
            </w:tcBorders>
            <w:noWrap/>
            <w:vAlign w:val="center"/>
          </w:tcPr>
          <w:p w14:paraId="03DBA910">
            <w:pPr>
              <w:pStyle w:val="111"/>
              <w:spacing w:after="163"/>
            </w:pPr>
            <w:r>
              <w:rPr>
                <w:rFonts w:hint="eastAsia"/>
              </w:rPr>
              <w:t>1人</w:t>
            </w:r>
          </w:p>
        </w:tc>
        <w:tc>
          <w:tcPr>
            <w:tcW w:w="3827" w:type="dxa"/>
            <w:tcBorders>
              <w:top w:val="single" w:color="auto" w:sz="4" w:space="0"/>
              <w:left w:val="nil"/>
              <w:bottom w:val="single" w:color="auto" w:sz="4" w:space="0"/>
              <w:right w:val="single" w:color="auto" w:sz="4" w:space="0"/>
            </w:tcBorders>
            <w:vAlign w:val="center"/>
          </w:tcPr>
          <w:p w14:paraId="114507E7">
            <w:pPr>
              <w:pStyle w:val="111"/>
              <w:spacing w:after="163"/>
            </w:pPr>
            <w:r>
              <w:rPr>
                <w:rFonts w:hint="eastAsia"/>
              </w:rPr>
              <w:t>大学本科及以上学历；具备3年以上从业经验；具备系统分析师证书；</w:t>
            </w:r>
          </w:p>
        </w:tc>
      </w:tr>
      <w:tr w14:paraId="7DE6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1B79AF07">
            <w:pPr>
              <w:pStyle w:val="111"/>
              <w:spacing w:after="163"/>
            </w:pPr>
            <w:r>
              <w:rPr>
                <w:rFonts w:hint="eastAsia"/>
              </w:rPr>
              <w:t>技术负责人</w:t>
            </w:r>
          </w:p>
        </w:tc>
        <w:tc>
          <w:tcPr>
            <w:tcW w:w="1701" w:type="dxa"/>
            <w:tcBorders>
              <w:top w:val="single" w:color="auto" w:sz="4" w:space="0"/>
              <w:left w:val="nil"/>
              <w:bottom w:val="single" w:color="auto" w:sz="4" w:space="0"/>
              <w:right w:val="single" w:color="auto" w:sz="4" w:space="0"/>
            </w:tcBorders>
            <w:noWrap/>
            <w:vAlign w:val="center"/>
          </w:tcPr>
          <w:p w14:paraId="2A4CEA3A">
            <w:pPr>
              <w:pStyle w:val="111"/>
              <w:spacing w:after="163"/>
            </w:pPr>
            <w:r>
              <w:rPr>
                <w:rFonts w:hint="eastAsia"/>
              </w:rPr>
              <w:t>负责项目开发与实施的指导与监督</w:t>
            </w:r>
          </w:p>
        </w:tc>
        <w:tc>
          <w:tcPr>
            <w:tcW w:w="709" w:type="dxa"/>
            <w:tcBorders>
              <w:top w:val="single" w:color="auto" w:sz="4" w:space="0"/>
              <w:left w:val="nil"/>
              <w:bottom w:val="single" w:color="auto" w:sz="4" w:space="0"/>
              <w:right w:val="single" w:color="auto" w:sz="4" w:space="0"/>
            </w:tcBorders>
            <w:noWrap/>
            <w:vAlign w:val="center"/>
          </w:tcPr>
          <w:p w14:paraId="02D1DD8F">
            <w:pPr>
              <w:pStyle w:val="111"/>
              <w:spacing w:after="163"/>
            </w:pPr>
            <w:r>
              <w:rPr>
                <w:rFonts w:hint="eastAsia"/>
              </w:rPr>
              <w:t>1人</w:t>
            </w:r>
          </w:p>
        </w:tc>
        <w:tc>
          <w:tcPr>
            <w:tcW w:w="3827" w:type="dxa"/>
            <w:tcBorders>
              <w:top w:val="single" w:color="auto" w:sz="4" w:space="0"/>
              <w:left w:val="nil"/>
              <w:bottom w:val="single" w:color="auto" w:sz="4" w:space="0"/>
              <w:right w:val="single" w:color="auto" w:sz="4" w:space="0"/>
            </w:tcBorders>
            <w:vAlign w:val="center"/>
          </w:tcPr>
          <w:p w14:paraId="76CC6CBB">
            <w:pPr>
              <w:pStyle w:val="111"/>
              <w:spacing w:after="163"/>
            </w:pPr>
            <w:r>
              <w:rPr>
                <w:rFonts w:hint="eastAsia"/>
              </w:rPr>
              <w:t xml:space="preserve">大学本科及以上学历；具备5年以上从业经验； </w:t>
            </w:r>
          </w:p>
        </w:tc>
      </w:tr>
      <w:tr w14:paraId="0F1B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5E2D6432">
            <w:pPr>
              <w:pStyle w:val="111"/>
              <w:spacing w:after="163"/>
            </w:pPr>
            <w:r>
              <w:rPr>
                <w:rFonts w:hint="eastAsia"/>
              </w:rPr>
              <w:t>研发</w:t>
            </w:r>
          </w:p>
        </w:tc>
        <w:tc>
          <w:tcPr>
            <w:tcW w:w="1701" w:type="dxa"/>
            <w:tcBorders>
              <w:top w:val="single" w:color="auto" w:sz="4" w:space="0"/>
              <w:left w:val="nil"/>
              <w:bottom w:val="single" w:color="auto" w:sz="4" w:space="0"/>
              <w:right w:val="single" w:color="auto" w:sz="4" w:space="0"/>
            </w:tcBorders>
            <w:noWrap/>
            <w:vAlign w:val="center"/>
          </w:tcPr>
          <w:p w14:paraId="5C7CB14A">
            <w:pPr>
              <w:pStyle w:val="111"/>
              <w:spacing w:after="163"/>
            </w:pPr>
            <w:r>
              <w:rPr>
                <w:rFonts w:hint="eastAsia"/>
              </w:rPr>
              <w:t>负责项目具体开发与实施</w:t>
            </w:r>
          </w:p>
        </w:tc>
        <w:tc>
          <w:tcPr>
            <w:tcW w:w="709" w:type="dxa"/>
            <w:tcBorders>
              <w:top w:val="single" w:color="auto" w:sz="4" w:space="0"/>
              <w:left w:val="nil"/>
              <w:bottom w:val="single" w:color="auto" w:sz="4" w:space="0"/>
              <w:right w:val="single" w:color="auto" w:sz="4" w:space="0"/>
            </w:tcBorders>
            <w:noWrap/>
            <w:vAlign w:val="center"/>
          </w:tcPr>
          <w:p w14:paraId="338F903E">
            <w:pPr>
              <w:pStyle w:val="111"/>
              <w:spacing w:after="163"/>
            </w:pPr>
            <w:r>
              <w:rPr>
                <w:rFonts w:hint="eastAsia"/>
              </w:rPr>
              <w:t>36人</w:t>
            </w:r>
          </w:p>
        </w:tc>
        <w:tc>
          <w:tcPr>
            <w:tcW w:w="3827" w:type="dxa"/>
            <w:tcBorders>
              <w:top w:val="single" w:color="auto" w:sz="4" w:space="0"/>
              <w:left w:val="nil"/>
              <w:bottom w:val="single" w:color="auto" w:sz="4" w:space="0"/>
              <w:right w:val="single" w:color="auto" w:sz="4" w:space="0"/>
            </w:tcBorders>
            <w:vAlign w:val="center"/>
          </w:tcPr>
          <w:p w14:paraId="235948F4">
            <w:pPr>
              <w:pStyle w:val="111"/>
              <w:spacing w:after="163"/>
            </w:pPr>
            <w:r>
              <w:rPr>
                <w:rFonts w:hint="eastAsia"/>
              </w:rPr>
              <w:t xml:space="preserve">大学本科及以上学历；具备5年以上从业经验； </w:t>
            </w:r>
          </w:p>
        </w:tc>
      </w:tr>
      <w:tr w14:paraId="5875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1885A3B2">
            <w:pPr>
              <w:pStyle w:val="111"/>
              <w:spacing w:after="163"/>
            </w:pPr>
            <w:r>
              <w:rPr>
                <w:rFonts w:hint="eastAsia"/>
              </w:rPr>
              <w:t>运营</w:t>
            </w:r>
          </w:p>
        </w:tc>
        <w:tc>
          <w:tcPr>
            <w:tcW w:w="1701" w:type="dxa"/>
            <w:tcBorders>
              <w:top w:val="single" w:color="auto" w:sz="4" w:space="0"/>
              <w:left w:val="nil"/>
              <w:bottom w:val="single" w:color="auto" w:sz="4" w:space="0"/>
              <w:right w:val="single" w:color="auto" w:sz="4" w:space="0"/>
            </w:tcBorders>
            <w:noWrap/>
            <w:vAlign w:val="center"/>
          </w:tcPr>
          <w:p w14:paraId="585A04A7">
            <w:pPr>
              <w:pStyle w:val="111"/>
              <w:spacing w:after="163"/>
            </w:pPr>
            <w:r>
              <w:rPr>
                <w:rFonts w:hint="eastAsia"/>
              </w:rPr>
              <w:t>负责平台的全市推广和运营</w:t>
            </w:r>
          </w:p>
        </w:tc>
        <w:tc>
          <w:tcPr>
            <w:tcW w:w="709" w:type="dxa"/>
            <w:tcBorders>
              <w:top w:val="single" w:color="auto" w:sz="4" w:space="0"/>
              <w:left w:val="nil"/>
              <w:bottom w:val="single" w:color="auto" w:sz="4" w:space="0"/>
              <w:right w:val="single" w:color="auto" w:sz="4" w:space="0"/>
            </w:tcBorders>
            <w:noWrap/>
            <w:vAlign w:val="center"/>
          </w:tcPr>
          <w:p w14:paraId="1F356A18">
            <w:pPr>
              <w:pStyle w:val="111"/>
              <w:spacing w:after="163"/>
            </w:pPr>
            <w:r>
              <w:rPr>
                <w:rFonts w:hint="eastAsia"/>
              </w:rPr>
              <w:t>16人</w:t>
            </w:r>
          </w:p>
        </w:tc>
        <w:tc>
          <w:tcPr>
            <w:tcW w:w="3827" w:type="dxa"/>
            <w:tcBorders>
              <w:top w:val="single" w:color="auto" w:sz="4" w:space="0"/>
              <w:left w:val="nil"/>
              <w:bottom w:val="single" w:color="auto" w:sz="4" w:space="0"/>
              <w:right w:val="single" w:color="auto" w:sz="4" w:space="0"/>
            </w:tcBorders>
            <w:vAlign w:val="center"/>
          </w:tcPr>
          <w:p w14:paraId="3BDD1BE4">
            <w:pPr>
              <w:pStyle w:val="111"/>
              <w:spacing w:after="163"/>
            </w:pPr>
            <w:r>
              <w:rPr>
                <w:rFonts w:hint="eastAsia"/>
              </w:rPr>
              <w:t>大学本科及以上学历；3年以上从业经验；</w:t>
            </w:r>
          </w:p>
        </w:tc>
      </w:tr>
      <w:tr w14:paraId="1E9E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2ED65D12">
            <w:pPr>
              <w:pStyle w:val="111"/>
              <w:spacing w:after="163"/>
            </w:pPr>
            <w:r>
              <w:rPr>
                <w:rFonts w:hint="eastAsia"/>
              </w:rPr>
              <w:t>集成</w:t>
            </w:r>
          </w:p>
        </w:tc>
        <w:tc>
          <w:tcPr>
            <w:tcW w:w="1701" w:type="dxa"/>
            <w:tcBorders>
              <w:top w:val="single" w:color="auto" w:sz="4" w:space="0"/>
              <w:left w:val="nil"/>
              <w:bottom w:val="single" w:color="auto" w:sz="4" w:space="0"/>
              <w:right w:val="single" w:color="auto" w:sz="4" w:space="0"/>
            </w:tcBorders>
            <w:noWrap/>
            <w:vAlign w:val="center"/>
          </w:tcPr>
          <w:p w14:paraId="0220E217">
            <w:pPr>
              <w:pStyle w:val="111"/>
              <w:spacing w:after="163"/>
            </w:pPr>
            <w:r>
              <w:rPr>
                <w:rFonts w:hint="eastAsia"/>
              </w:rPr>
              <w:t>负责项目的集成服务支持</w:t>
            </w:r>
          </w:p>
        </w:tc>
        <w:tc>
          <w:tcPr>
            <w:tcW w:w="709" w:type="dxa"/>
            <w:tcBorders>
              <w:top w:val="single" w:color="auto" w:sz="4" w:space="0"/>
              <w:left w:val="nil"/>
              <w:bottom w:val="single" w:color="auto" w:sz="4" w:space="0"/>
              <w:right w:val="single" w:color="auto" w:sz="4" w:space="0"/>
            </w:tcBorders>
            <w:noWrap/>
            <w:vAlign w:val="center"/>
          </w:tcPr>
          <w:p w14:paraId="305FD007">
            <w:pPr>
              <w:pStyle w:val="111"/>
              <w:spacing w:after="163"/>
            </w:pPr>
            <w:r>
              <w:rPr>
                <w:rFonts w:hint="eastAsia"/>
              </w:rPr>
              <w:t>1人</w:t>
            </w:r>
          </w:p>
        </w:tc>
        <w:tc>
          <w:tcPr>
            <w:tcW w:w="3827" w:type="dxa"/>
            <w:tcBorders>
              <w:top w:val="single" w:color="auto" w:sz="4" w:space="0"/>
              <w:left w:val="nil"/>
              <w:bottom w:val="single" w:color="auto" w:sz="4" w:space="0"/>
              <w:right w:val="single" w:color="auto" w:sz="4" w:space="0"/>
            </w:tcBorders>
            <w:vAlign w:val="center"/>
          </w:tcPr>
          <w:p w14:paraId="05C39530">
            <w:pPr>
              <w:pStyle w:val="111"/>
              <w:spacing w:after="163"/>
            </w:pPr>
            <w:r>
              <w:rPr>
                <w:rFonts w:hint="eastAsia"/>
              </w:rPr>
              <w:t>大学本科及以上学历;3年以上从业经验；具备系统集成项目管理工程师证书；</w:t>
            </w:r>
          </w:p>
        </w:tc>
      </w:tr>
      <w:tr w14:paraId="4D07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5" w:type="dxa"/>
            <w:tcBorders>
              <w:top w:val="single" w:color="auto" w:sz="4" w:space="0"/>
              <w:left w:val="single" w:color="auto" w:sz="4" w:space="0"/>
              <w:bottom w:val="single" w:color="auto" w:sz="4" w:space="0"/>
              <w:right w:val="single" w:color="auto" w:sz="4" w:space="0"/>
            </w:tcBorders>
            <w:noWrap/>
            <w:vAlign w:val="center"/>
          </w:tcPr>
          <w:p w14:paraId="0888A6A7">
            <w:pPr>
              <w:pStyle w:val="111"/>
              <w:spacing w:after="163"/>
            </w:pPr>
            <w:r>
              <w:rPr>
                <w:rFonts w:hint="eastAsia"/>
              </w:rPr>
              <w:t>测试</w:t>
            </w:r>
          </w:p>
        </w:tc>
        <w:tc>
          <w:tcPr>
            <w:tcW w:w="1701" w:type="dxa"/>
            <w:tcBorders>
              <w:top w:val="single" w:color="auto" w:sz="4" w:space="0"/>
              <w:left w:val="nil"/>
              <w:bottom w:val="single" w:color="auto" w:sz="4" w:space="0"/>
              <w:right w:val="single" w:color="auto" w:sz="4" w:space="0"/>
            </w:tcBorders>
            <w:noWrap/>
            <w:vAlign w:val="center"/>
          </w:tcPr>
          <w:p w14:paraId="21F01291">
            <w:pPr>
              <w:pStyle w:val="111"/>
              <w:spacing w:after="163"/>
            </w:pPr>
            <w:r>
              <w:rPr>
                <w:rFonts w:hint="eastAsia"/>
              </w:rPr>
              <w:t>负责项目具体测试工作</w:t>
            </w:r>
          </w:p>
        </w:tc>
        <w:tc>
          <w:tcPr>
            <w:tcW w:w="709" w:type="dxa"/>
            <w:tcBorders>
              <w:top w:val="single" w:color="auto" w:sz="4" w:space="0"/>
              <w:left w:val="nil"/>
              <w:bottom w:val="single" w:color="auto" w:sz="4" w:space="0"/>
              <w:right w:val="single" w:color="auto" w:sz="4" w:space="0"/>
            </w:tcBorders>
            <w:noWrap/>
            <w:vAlign w:val="center"/>
          </w:tcPr>
          <w:p w14:paraId="44EF610E">
            <w:pPr>
              <w:pStyle w:val="111"/>
              <w:spacing w:after="163"/>
            </w:pPr>
            <w:r>
              <w:rPr>
                <w:rFonts w:hint="eastAsia"/>
              </w:rPr>
              <w:t>4人</w:t>
            </w:r>
          </w:p>
        </w:tc>
        <w:tc>
          <w:tcPr>
            <w:tcW w:w="3827" w:type="dxa"/>
            <w:tcBorders>
              <w:top w:val="single" w:color="auto" w:sz="4" w:space="0"/>
              <w:left w:val="nil"/>
              <w:bottom w:val="single" w:color="auto" w:sz="4" w:space="0"/>
              <w:right w:val="single" w:color="auto" w:sz="4" w:space="0"/>
            </w:tcBorders>
            <w:vAlign w:val="center"/>
          </w:tcPr>
          <w:p w14:paraId="1FC6DA5C">
            <w:pPr>
              <w:pStyle w:val="111"/>
              <w:spacing w:after="163"/>
            </w:pPr>
            <w:r>
              <w:rPr>
                <w:rFonts w:hint="eastAsia"/>
              </w:rPr>
              <w:t>大学本科及以上学历；3年以上从业经验；</w:t>
            </w:r>
          </w:p>
        </w:tc>
      </w:tr>
    </w:tbl>
    <w:p w14:paraId="5DAA35CF">
      <w:pPr>
        <w:rPr>
          <w:rFonts w:hint="eastAsia"/>
        </w:rPr>
      </w:pPr>
    </w:p>
    <w:p w14:paraId="053F0BCA">
      <w:pPr>
        <w:pStyle w:val="3"/>
        <w:ind w:firstLine="602"/>
        <w:rPr>
          <w:rFonts w:hint="eastAsia"/>
        </w:rPr>
      </w:pPr>
      <w:bookmarkStart w:id="34" w:name="_Toc63785511"/>
      <w:r>
        <w:t>等级保护要求</w:t>
      </w:r>
      <w:bookmarkEnd w:id="34"/>
    </w:p>
    <w:p w14:paraId="0ADB21CB">
      <w:pPr>
        <w:ind w:firstLine="560"/>
        <w:rPr>
          <w:rFonts w:hint="eastAsia" w:ascii="仿宋_GB2312" w:eastAsia="仿宋_GB2312" w:cs="仿宋_GB2312"/>
          <w:color w:val="000000"/>
          <w:kern w:val="0"/>
          <w:sz w:val="28"/>
          <w:szCs w:val="28"/>
        </w:rPr>
      </w:pPr>
      <w:r>
        <w:rPr>
          <w:rFonts w:hint="eastAsia" w:ascii="仿宋_GB2312" w:eastAsia="仿宋_GB2312" w:cs="仿宋_GB2312"/>
          <w:color w:val="000000"/>
          <w:kern w:val="0"/>
          <w:sz w:val="28"/>
          <w:szCs w:val="28"/>
        </w:rPr>
        <w:t>本项目等级保护要求：本项目需要满足安全等级保护三级相关标准规范要求。</w:t>
      </w:r>
    </w:p>
    <w:p w14:paraId="304A2DBF">
      <w:pPr>
        <w:pStyle w:val="3"/>
        <w:ind w:firstLine="602"/>
        <w:rPr>
          <w:rFonts w:hint="eastAsia"/>
        </w:rPr>
      </w:pPr>
      <w:r>
        <w:rPr>
          <w:rFonts w:hint="eastAsia"/>
        </w:rPr>
        <w:t>商业密码应用需求</w:t>
      </w:r>
    </w:p>
    <w:p w14:paraId="35D92A73">
      <w:pPr>
        <w:rPr>
          <w:rFonts w:hint="eastAsia"/>
        </w:rPr>
      </w:pPr>
      <w:r>
        <w:rPr>
          <w:rFonts w:hint="eastAsia"/>
        </w:rPr>
        <w:t>采用密码技术对登陆用户进行身份鉴别，保证应用系统用户身份的真实性；采用密码技术保证应用系统的访问控制信息的完整性；采用密码技术保证应用系统重要数据在传输和存储过程中的机密性；采用密码技术保证应用系统重要数据在传输和存储过程中的完整性；以上采用的密码服务或产品，须经商用密码认证机构认证合格。</w:t>
      </w:r>
    </w:p>
    <w:p w14:paraId="408ECC4F">
      <w:pPr>
        <w:pStyle w:val="3"/>
        <w:ind w:firstLine="602"/>
        <w:rPr>
          <w:rFonts w:hint="eastAsia"/>
        </w:rPr>
      </w:pPr>
      <w:bookmarkStart w:id="35" w:name="_Toc63785512"/>
      <w:r>
        <w:rPr>
          <w:rFonts w:hint="eastAsia"/>
        </w:rPr>
        <w:t>技术文件要求</w:t>
      </w:r>
    </w:p>
    <w:p w14:paraId="7549D306">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06B8C9DC">
      <w:pPr>
        <w:rPr>
          <w:rFonts w:hint="eastAsia"/>
        </w:rPr>
      </w:pPr>
      <w:r>
        <w:rPr>
          <w:rFonts w:hint="eastAsia"/>
        </w:rPr>
        <w:t>－</w:t>
      </w:r>
      <w:r>
        <w:t xml:space="preserve"> 系统说明文件； </w:t>
      </w:r>
    </w:p>
    <w:p w14:paraId="03C52667">
      <w:pPr>
        <w:rPr>
          <w:rFonts w:hint="eastAsia"/>
        </w:rPr>
      </w:pPr>
      <w:r>
        <w:rPr>
          <w:rFonts w:hint="eastAsia"/>
        </w:rPr>
        <w:t>－</w:t>
      </w:r>
      <w:r>
        <w:t xml:space="preserve"> 技术手册(安装、测试、操作、维护、故障排除等)； </w:t>
      </w:r>
    </w:p>
    <w:p w14:paraId="571A6E22">
      <w:pPr>
        <w:rPr>
          <w:rFonts w:hint="eastAsia"/>
        </w:rPr>
      </w:pPr>
      <w:r>
        <w:rPr>
          <w:rFonts w:hint="eastAsia"/>
        </w:rPr>
        <w:t>－</w:t>
      </w:r>
      <w:r>
        <w:t xml:space="preserve"> 项目文档，应该包括：</w:t>
      </w:r>
    </w:p>
    <w:p w14:paraId="7D68BBD2">
      <w:pPr>
        <w:ind w:left="360"/>
        <w:rPr>
          <w:rFonts w:hint="eastAsia"/>
        </w:rPr>
      </w:pPr>
      <w:r>
        <w:t>(1)软件需求说明书</w:t>
      </w:r>
    </w:p>
    <w:p w14:paraId="0B003E9F">
      <w:pPr>
        <w:ind w:left="360"/>
        <w:rPr>
          <w:rFonts w:hint="eastAsia"/>
        </w:rPr>
      </w:pPr>
      <w:r>
        <w:t>(2)</w:t>
      </w:r>
      <w:r>
        <w:tab/>
      </w:r>
      <w:r>
        <w:t>系统总体设计说明书</w:t>
      </w:r>
    </w:p>
    <w:p w14:paraId="08A8E841">
      <w:pPr>
        <w:ind w:left="360"/>
        <w:rPr>
          <w:rFonts w:hint="eastAsia"/>
        </w:rPr>
      </w:pPr>
      <w:r>
        <w:t>(3)</w:t>
      </w:r>
      <w:r>
        <w:tab/>
      </w:r>
      <w:r>
        <w:t>应用软件功能清单</w:t>
      </w:r>
    </w:p>
    <w:p w14:paraId="4525A394">
      <w:pPr>
        <w:rPr>
          <w:rFonts w:hint="eastAsia"/>
        </w:rPr>
      </w:pPr>
      <w:r>
        <w:rPr>
          <w:rFonts w:hint="eastAsia"/>
        </w:rPr>
        <w:t>提供全套技术文件纸介质</w:t>
      </w:r>
      <w:r>
        <w:t>3套以及电子文件1套。</w:t>
      </w:r>
    </w:p>
    <w:p w14:paraId="1E0D1669">
      <w:pPr>
        <w:pStyle w:val="2"/>
        <w:rPr>
          <w:rFonts w:hint="eastAsia"/>
        </w:rPr>
      </w:pPr>
      <w:r>
        <w:rPr>
          <w:rFonts w:hint="eastAsia"/>
        </w:rPr>
        <w:t>供应商管理要求</w:t>
      </w:r>
      <w:bookmarkEnd w:id="35"/>
    </w:p>
    <w:p w14:paraId="6B6C33FB">
      <w:pPr>
        <w:pStyle w:val="80"/>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565ACFE8">
      <w:pPr>
        <w:pStyle w:val="80"/>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512BEE32">
      <w:pPr>
        <w:pStyle w:val="80"/>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7709A1A4">
      <w:pPr>
        <w:pStyle w:val="8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2674121F">
      <w:pPr>
        <w:pStyle w:val="80"/>
        <w:ind w:firstLine="480"/>
        <w:rPr>
          <w:rFonts w:hint="eastAsia"/>
          <w:sz w:val="24"/>
          <w:szCs w:val="24"/>
        </w:rPr>
      </w:pPr>
      <w:r>
        <w:rPr>
          <w:rFonts w:hint="eastAsia"/>
          <w:sz w:val="24"/>
          <w:szCs w:val="24"/>
        </w:rPr>
        <w:t>5、中标人在项目实施期间必须遵守采购人的规章制度并提供实施人员名单。</w:t>
      </w:r>
    </w:p>
    <w:p w14:paraId="612469E7">
      <w:pPr>
        <w:pStyle w:val="80"/>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6993F78">
      <w:pPr>
        <w:pStyle w:val="80"/>
        <w:ind w:firstLine="480"/>
        <w:rPr>
          <w:rFonts w:hint="eastAsia"/>
        </w:rPr>
      </w:pPr>
      <w:r>
        <w:rPr>
          <w:rFonts w:hint="eastAsia"/>
          <w:sz w:val="24"/>
          <w:szCs w:val="24"/>
        </w:rPr>
        <w:t>7、本项目软件开发及调试将纳入采购人的管理范围，中标人在此过程中须服从上述单位的管理协调。</w:t>
      </w:r>
    </w:p>
    <w:p w14:paraId="1ACB1CA2">
      <w:pPr>
        <w:pStyle w:val="2"/>
        <w:rPr>
          <w:rFonts w:hint="eastAsia"/>
        </w:rPr>
      </w:pPr>
      <w:bookmarkStart w:id="36" w:name="_Toc63785513"/>
      <w:r>
        <w:rPr>
          <w:rFonts w:hint="eastAsia"/>
        </w:rPr>
        <w:t>关于转让和分包的规定</w:t>
      </w:r>
    </w:p>
    <w:p w14:paraId="2A47C735">
      <w:pPr>
        <w:spacing w:line="560" w:lineRule="exact"/>
        <w:ind w:firstLine="562"/>
        <w:rPr>
          <w:rFonts w:hint="eastAsia" w:ascii="Times New Roman" w:hAnsi="仿宋" w:eastAsia="仿宋_GB2312"/>
          <w:b/>
          <w:sz w:val="28"/>
          <w:szCs w:val="28"/>
        </w:rPr>
      </w:pPr>
      <w:r>
        <w:rPr>
          <w:rFonts w:hint="eastAsia" w:ascii="Times New Roman" w:hAnsi="仿宋" w:eastAsia="仿宋_GB2312"/>
          <w:b/>
          <w:sz w:val="28"/>
          <w:szCs w:val="28"/>
        </w:rPr>
        <w:t>本项目不得转让、不得分包。</w:t>
      </w:r>
      <w:bookmarkStart w:id="38" w:name="_GoBack"/>
      <w:bookmarkEnd w:id="38"/>
    </w:p>
    <w:bookmarkEnd w:id="36"/>
    <w:p w14:paraId="14A5CF80">
      <w:pPr>
        <w:ind w:firstLine="482"/>
        <w:rPr>
          <w:rFonts w:hint="eastAsia"/>
          <w:b/>
        </w:rPr>
      </w:pPr>
    </w:p>
    <w:p w14:paraId="6323C5E9">
      <w:pPr>
        <w:pStyle w:val="2"/>
        <w:rPr>
          <w:rFonts w:hint="eastAsia"/>
        </w:rPr>
      </w:pPr>
      <w:bookmarkStart w:id="37" w:name="_Toc68798863"/>
      <w:r>
        <w:rPr>
          <w:rFonts w:hint="eastAsia"/>
          <w:lang w:eastAsia="zh-CN"/>
        </w:rPr>
        <w:t>其他要求</w:t>
      </w:r>
    </w:p>
    <w:p w14:paraId="7AC89AD2">
      <w:pPr>
        <w:numPr>
          <w:ilvl w:val="0"/>
          <w:numId w:val="18"/>
        </w:numPr>
        <w:ind w:left="-2" w:firstLine="482" w:firstLineChars="0"/>
        <w:rPr>
          <w:rFonts w:hint="eastAsia"/>
          <w:b/>
          <w:lang w:val="en-US" w:eastAsia="zh-CN"/>
        </w:rPr>
      </w:pPr>
      <w:r>
        <w:rPr>
          <w:rFonts w:hint="eastAsia"/>
          <w:b/>
          <w:lang w:val="en-US" w:eastAsia="zh-CN"/>
        </w:rPr>
        <w:t>投标人具有近三年类似项目业绩的优先考虑；</w:t>
      </w:r>
    </w:p>
    <w:p w14:paraId="07F70163">
      <w:pPr>
        <w:numPr>
          <w:ilvl w:val="0"/>
          <w:numId w:val="18"/>
        </w:numPr>
        <w:ind w:left="-2" w:firstLine="482" w:firstLineChars="0"/>
        <w:rPr>
          <w:rFonts w:hint="eastAsia"/>
          <w:b/>
        </w:rPr>
      </w:pPr>
      <w:r>
        <w:rPr>
          <w:rFonts w:hint="eastAsia"/>
          <w:b/>
          <w:lang w:eastAsia="zh-CN"/>
        </w:rPr>
        <w:t>投标人</w:t>
      </w:r>
      <w:r>
        <w:rPr>
          <w:rFonts w:hint="eastAsia"/>
          <w:b/>
        </w:rPr>
        <w:t>具有ITSS 信息技术服务运行维护标准符合性证书、ISO20000信息技术服务管理体系认证证书、ISO27001信息安全管理体系认证证书、信息系统建设和服务能力等级CS证书的</w:t>
      </w:r>
      <w:r>
        <w:rPr>
          <w:rFonts w:hint="eastAsia"/>
          <w:b/>
          <w:lang w:eastAsia="zh-CN"/>
        </w:rPr>
        <w:t>，优先考虑</w:t>
      </w:r>
      <w:r>
        <w:rPr>
          <w:rFonts w:hint="eastAsia"/>
          <w:b/>
        </w:rPr>
        <w:t>。</w:t>
      </w:r>
    </w:p>
    <w:p w14:paraId="426A907E">
      <w:pPr>
        <w:numPr>
          <w:ilvl w:val="0"/>
          <w:numId w:val="18"/>
        </w:numPr>
        <w:ind w:left="-2" w:firstLine="482" w:firstLineChars="0"/>
        <w:rPr>
          <w:rFonts w:hint="eastAsia"/>
          <w:b/>
        </w:rPr>
      </w:pPr>
      <w:r>
        <w:rPr>
          <w:rFonts w:hint="eastAsia"/>
          <w:b/>
          <w:lang w:val="en-US" w:eastAsia="zh-CN"/>
        </w:rPr>
        <w:t>投标人具有类似国产化业务元数据管理类、国产化微服务支撑管理类、国产化智能搜索类、智能化决策分析类及相关类型或类似功能的软件著作权证书的优先考虑。</w:t>
      </w:r>
    </w:p>
    <w:p w14:paraId="18DC7348">
      <w:pPr>
        <w:pStyle w:val="2"/>
        <w:rPr>
          <w:rFonts w:hint="eastAsia"/>
        </w:rPr>
      </w:pPr>
      <w:r>
        <w:rPr>
          <w:rFonts w:hint="eastAsia"/>
        </w:rPr>
        <w:t>附录</w:t>
      </w:r>
      <w:bookmarkEnd w:id="37"/>
    </w:p>
    <w:p w14:paraId="139E1C33">
      <w:pPr>
        <w:ind w:firstLine="482"/>
        <w:rPr>
          <w:rFonts w:hint="eastAsia"/>
        </w:rPr>
      </w:pPr>
      <w:r>
        <w:rPr>
          <w:rFonts w:hint="eastAsia"/>
          <w:b/>
        </w:rPr>
        <w:t>项目建设过程中需符合</w:t>
      </w:r>
      <w:r>
        <w:rPr>
          <w:rFonts w:hint="eastAsia"/>
          <w:b/>
          <w:lang w:eastAsia="zh-CN"/>
        </w:rPr>
        <w:t>下面</w:t>
      </w:r>
      <w:r>
        <w:rPr>
          <w:rFonts w:hint="eastAsia"/>
          <w:b/>
        </w:rPr>
        <w:t>文件的要求</w:t>
      </w:r>
    </w:p>
    <w:p w14:paraId="28FF56B5">
      <w:pPr>
        <w:ind w:firstLine="0" w:firstLineChars="0"/>
        <w:rPr>
          <w:rFonts w:hint="eastAsia"/>
        </w:rPr>
      </w:pPr>
      <w:r>
        <w:rPr>
          <w:rFonts w:hint="eastAsia"/>
        </w:rPr>
        <w:t>1、</w:t>
      </w:r>
      <w:r>
        <w:t>《政务网络安全监测平台总体技术要求》</w:t>
      </w:r>
    </w:p>
    <w:p w14:paraId="476E0F74">
      <w:pPr>
        <w:ind w:firstLine="0" w:firstLineChars="0"/>
        <w:rPr>
          <w:rFonts w:hint="eastAsia"/>
        </w:rPr>
      </w:pPr>
      <w:r>
        <w:object>
          <v:shape id="_x0000_i1025" o:spt="75" type="#_x0000_t75" style="height:54.75pt;width:76.4pt;" o:ole="t" filled="f" o:preferrelative="t" stroked="f" coordsize="21600,21600">
            <v:path/>
            <v:fill on="f" focussize="0,0"/>
            <v:stroke on="f" joinstyle="miter"/>
            <v:imagedata r:id="rId15" embosscolor="#FFFFFF" o:title=""/>
            <o:lock v:ext="edit" aspectratio="t"/>
            <w10:wrap type="none"/>
            <w10:anchorlock/>
          </v:shape>
          <o:OLEObject Type="Embed" ProgID="Package" ShapeID="_x0000_i1025" DrawAspect="Icon" ObjectID="_1468075725" r:id="rId14">
            <o:LockedField>false</o:LockedField>
          </o:OLEObject>
        </w:object>
      </w:r>
    </w:p>
    <w:p w14:paraId="77A40F77">
      <w:pPr>
        <w:ind w:firstLine="0" w:firstLineChars="0"/>
        <w:rPr>
          <w:rFonts w:hint="eastAsia"/>
        </w:rPr>
      </w:pPr>
    </w:p>
    <w:p w14:paraId="6F5E06FE">
      <w:pPr>
        <w:ind w:firstLine="0" w:firstLineChars="0"/>
        <w:jc w:val="left"/>
        <w:rPr>
          <w:rFonts w:hint="eastAsia"/>
        </w:rPr>
      </w:pPr>
      <w:r>
        <w:rPr>
          <w:rFonts w:hint="eastAsia"/>
        </w:rPr>
        <w:t>2、《上海市电子政务外网建设和运行管理指南（试行）》</w:t>
      </w:r>
    </w:p>
    <w:p w14:paraId="4E46E088">
      <w:pPr>
        <w:ind w:firstLine="0" w:firstLineChars="0"/>
        <w:jc w:val="left"/>
        <w:rPr>
          <w:rFonts w:hint="eastAsia"/>
        </w:rPr>
      </w:pPr>
      <w:r>
        <w:object>
          <v:shape id="_x0000_i1026" o:spt="75" type="#_x0000_t75" style="height:54.75pt;width:76.4pt;" o:ole="t" filled="f" o:preferrelative="t" stroked="f" coordsize="21600,21600">
            <v:path/>
            <v:fill on="f" focussize="0,0"/>
            <v:stroke on="f" joinstyle="miter"/>
            <v:imagedata r:id="rId17" embosscolor="#FFFFFF" o:title=""/>
            <o:lock v:ext="edit" aspectratio="t"/>
            <w10:wrap type="none"/>
            <w10:anchorlock/>
          </v:shape>
          <o:OLEObject Type="Embed" ProgID="Package" ShapeID="_x0000_i1026" DrawAspect="Icon" ObjectID="_1468075726" r:id="rId16">
            <o:LockedField>false</o:LockedField>
          </o:OLEObject>
        </w:object>
      </w:r>
    </w:p>
    <w:p w14:paraId="4D4F4D16">
      <w:pPr>
        <w:ind w:firstLine="0" w:firstLineChars="0"/>
        <w:jc w:val="left"/>
        <w:rPr>
          <w:rFonts w:hint="eastAsia"/>
          <w:b/>
          <w:bCs/>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sans-serif">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DAF85">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21FE17C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07AE">
    <w:pPr>
      <w:rPr>
        <w:rFonts w:hint="eastAsia"/>
      </w:rPr>
    </w:pPr>
  </w:p>
  <w:p w14:paraId="3EBA48B2">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BBB1B">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57488">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17044">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16EF1">
    <w:pPr>
      <w:rPr>
        <w:rFonts w:hint="eastAsia"/>
      </w:rPr>
    </w:pPr>
  </w:p>
  <w:p w14:paraId="0D330ED8">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622A">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EF700"/>
    <w:multiLevelType w:val="singleLevel"/>
    <w:tmpl w:val="FBFEF700"/>
    <w:lvl w:ilvl="0" w:tentative="0">
      <w:start w:val="1"/>
      <w:numFmt w:val="decimal"/>
      <w:suff w:val="nothing"/>
      <w:lvlText w:val="%1、"/>
      <w:lvlJc w:val="left"/>
      <w:pPr>
        <w:ind w:left="-2"/>
      </w:pPr>
    </w:lvl>
  </w:abstractNum>
  <w:abstractNum w:abstractNumId="1">
    <w:nsid w:val="00000001"/>
    <w:multiLevelType w:val="multilevel"/>
    <w:tmpl w:val="0000000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00000002"/>
    <w:multiLevelType w:val="multilevel"/>
    <w:tmpl w:val="00000002"/>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00000003"/>
    <w:multiLevelType w:val="multilevel"/>
    <w:tmpl w:val="00000003"/>
    <w:lvl w:ilvl="0" w:tentative="0">
      <w:start w:val="1"/>
      <w:numFmt w:val="bullet"/>
      <w:lvlText w:val=""/>
      <w:lvlJc w:val="left"/>
      <w:pPr>
        <w:ind w:left="227" w:hanging="227"/>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0000004"/>
    <w:multiLevelType w:val="multilevel"/>
    <w:tmpl w:val="0000000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00000005"/>
    <w:multiLevelType w:val="multilevel"/>
    <w:tmpl w:val="0000000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00000006"/>
    <w:multiLevelType w:val="multilevel"/>
    <w:tmpl w:val="0000000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00000007"/>
    <w:multiLevelType w:val="multilevel"/>
    <w:tmpl w:val="000000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00000008"/>
    <w:multiLevelType w:val="multilevel"/>
    <w:tmpl w:val="0000000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0000009"/>
    <w:multiLevelType w:val="multilevel"/>
    <w:tmpl w:val="0000000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0000000A"/>
    <w:multiLevelType w:val="multilevel"/>
    <w:tmpl w:val="0000000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0000000B"/>
    <w:multiLevelType w:val="multilevel"/>
    <w:tmpl w:val="0000000B"/>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C"/>
    <w:multiLevelType w:val="multilevel"/>
    <w:tmpl w:val="0000000C"/>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3">
    <w:nsid w:val="0000000D"/>
    <w:multiLevelType w:val="multilevel"/>
    <w:tmpl w:val="0000000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0000000E"/>
    <w:multiLevelType w:val="multilevel"/>
    <w:tmpl w:val="0000000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0000000F"/>
    <w:multiLevelType w:val="multilevel"/>
    <w:tmpl w:val="0000000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00000010"/>
    <w:multiLevelType w:val="singleLevel"/>
    <w:tmpl w:val="00000010"/>
    <w:lvl w:ilvl="0" w:tentative="0">
      <w:start w:val="1"/>
      <w:numFmt w:val="decimal"/>
      <w:lvlText w:val="%1)"/>
      <w:lvlJc w:val="left"/>
      <w:pPr>
        <w:ind w:left="425" w:hanging="425"/>
      </w:pPr>
      <w:rPr>
        <w:rFonts w:hint="default"/>
      </w:rPr>
    </w:lvl>
  </w:abstractNum>
  <w:abstractNum w:abstractNumId="17">
    <w:nsid w:val="7773502E"/>
    <w:multiLevelType w:val="multilevel"/>
    <w:tmpl w:val="7773502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2"/>
  </w:num>
  <w:num w:numId="2">
    <w:abstractNumId w:val="11"/>
  </w:num>
  <w:num w:numId="3">
    <w:abstractNumId w:val="1"/>
  </w:num>
  <w:num w:numId="4">
    <w:abstractNumId w:val="9"/>
  </w:num>
  <w:num w:numId="5">
    <w:abstractNumId w:val="5"/>
  </w:num>
  <w:num w:numId="6">
    <w:abstractNumId w:val="7"/>
  </w:num>
  <w:num w:numId="7">
    <w:abstractNumId w:val="4"/>
  </w:num>
  <w:num w:numId="8">
    <w:abstractNumId w:val="3"/>
  </w:num>
  <w:num w:numId="9">
    <w:abstractNumId w:val="8"/>
  </w:num>
  <w:num w:numId="10">
    <w:abstractNumId w:val="14"/>
  </w:num>
  <w:num w:numId="11">
    <w:abstractNumId w:val="15"/>
  </w:num>
  <w:num w:numId="12">
    <w:abstractNumId w:val="10"/>
  </w:num>
  <w:num w:numId="13">
    <w:abstractNumId w:val="13"/>
  </w:num>
  <w:num w:numId="14">
    <w:abstractNumId w:val="17"/>
  </w:num>
  <w:num w:numId="15">
    <w:abstractNumId w:val="6"/>
  </w:num>
  <w:num w:numId="16">
    <w:abstractNumId w:val="1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C60946"/>
    <w:rsid w:val="000004AD"/>
    <w:rsid w:val="00001183"/>
    <w:rsid w:val="000120A7"/>
    <w:rsid w:val="0001627D"/>
    <w:rsid w:val="00062E2B"/>
    <w:rsid w:val="000A44C7"/>
    <w:rsid w:val="000B2810"/>
    <w:rsid w:val="000D0C8C"/>
    <w:rsid w:val="000D38E4"/>
    <w:rsid w:val="000D53F8"/>
    <w:rsid w:val="001654DE"/>
    <w:rsid w:val="00180FC7"/>
    <w:rsid w:val="001B7818"/>
    <w:rsid w:val="001E5E61"/>
    <w:rsid w:val="00203F4D"/>
    <w:rsid w:val="00224928"/>
    <w:rsid w:val="00252171"/>
    <w:rsid w:val="0026090D"/>
    <w:rsid w:val="0027513C"/>
    <w:rsid w:val="002753C9"/>
    <w:rsid w:val="002A00F2"/>
    <w:rsid w:val="002B01D9"/>
    <w:rsid w:val="002D27AA"/>
    <w:rsid w:val="002D7579"/>
    <w:rsid w:val="002F037C"/>
    <w:rsid w:val="002F37BA"/>
    <w:rsid w:val="0030387A"/>
    <w:rsid w:val="00340773"/>
    <w:rsid w:val="00344F1A"/>
    <w:rsid w:val="00375F7C"/>
    <w:rsid w:val="0037650C"/>
    <w:rsid w:val="003E0D73"/>
    <w:rsid w:val="003E2A2A"/>
    <w:rsid w:val="003E729B"/>
    <w:rsid w:val="00405916"/>
    <w:rsid w:val="004225DF"/>
    <w:rsid w:val="00446109"/>
    <w:rsid w:val="00451275"/>
    <w:rsid w:val="00451648"/>
    <w:rsid w:val="00457E9F"/>
    <w:rsid w:val="00495E9E"/>
    <w:rsid w:val="004A2212"/>
    <w:rsid w:val="005478CB"/>
    <w:rsid w:val="00565B4D"/>
    <w:rsid w:val="00565FA3"/>
    <w:rsid w:val="00571569"/>
    <w:rsid w:val="005C3D51"/>
    <w:rsid w:val="005C6843"/>
    <w:rsid w:val="005E645C"/>
    <w:rsid w:val="005F650A"/>
    <w:rsid w:val="0060396E"/>
    <w:rsid w:val="0063150B"/>
    <w:rsid w:val="00652A93"/>
    <w:rsid w:val="00656111"/>
    <w:rsid w:val="00673B06"/>
    <w:rsid w:val="006A74C7"/>
    <w:rsid w:val="006B49EA"/>
    <w:rsid w:val="006D2A0A"/>
    <w:rsid w:val="006E29CA"/>
    <w:rsid w:val="00701701"/>
    <w:rsid w:val="0070499E"/>
    <w:rsid w:val="00773B7E"/>
    <w:rsid w:val="007760DD"/>
    <w:rsid w:val="007831F3"/>
    <w:rsid w:val="007858BE"/>
    <w:rsid w:val="007878B9"/>
    <w:rsid w:val="00790E7B"/>
    <w:rsid w:val="0079299D"/>
    <w:rsid w:val="007A258E"/>
    <w:rsid w:val="007B349F"/>
    <w:rsid w:val="007C5995"/>
    <w:rsid w:val="007C6D54"/>
    <w:rsid w:val="007D5C52"/>
    <w:rsid w:val="007E34FF"/>
    <w:rsid w:val="007E4924"/>
    <w:rsid w:val="007F4D01"/>
    <w:rsid w:val="007F5190"/>
    <w:rsid w:val="008017DA"/>
    <w:rsid w:val="0083367F"/>
    <w:rsid w:val="00845579"/>
    <w:rsid w:val="00871362"/>
    <w:rsid w:val="00883AF7"/>
    <w:rsid w:val="008911C3"/>
    <w:rsid w:val="00892A0A"/>
    <w:rsid w:val="008976ED"/>
    <w:rsid w:val="008A3886"/>
    <w:rsid w:val="008A63D3"/>
    <w:rsid w:val="008B5E32"/>
    <w:rsid w:val="008F1E68"/>
    <w:rsid w:val="009030AE"/>
    <w:rsid w:val="009264AE"/>
    <w:rsid w:val="00962AE7"/>
    <w:rsid w:val="009721C7"/>
    <w:rsid w:val="00977F27"/>
    <w:rsid w:val="00983F5A"/>
    <w:rsid w:val="00984D50"/>
    <w:rsid w:val="009C0DAF"/>
    <w:rsid w:val="009D7F93"/>
    <w:rsid w:val="00A27449"/>
    <w:rsid w:val="00A35450"/>
    <w:rsid w:val="00A52E2F"/>
    <w:rsid w:val="00A543BC"/>
    <w:rsid w:val="00A925AB"/>
    <w:rsid w:val="00A971DF"/>
    <w:rsid w:val="00AA1D58"/>
    <w:rsid w:val="00AB11FF"/>
    <w:rsid w:val="00AC0019"/>
    <w:rsid w:val="00AC35B2"/>
    <w:rsid w:val="00AD39AF"/>
    <w:rsid w:val="00B00DD3"/>
    <w:rsid w:val="00B041C5"/>
    <w:rsid w:val="00B1585B"/>
    <w:rsid w:val="00B32200"/>
    <w:rsid w:val="00B543A1"/>
    <w:rsid w:val="00B676A1"/>
    <w:rsid w:val="00BF434C"/>
    <w:rsid w:val="00C15EF6"/>
    <w:rsid w:val="00C2526D"/>
    <w:rsid w:val="00C34B0C"/>
    <w:rsid w:val="00C5575C"/>
    <w:rsid w:val="00C60946"/>
    <w:rsid w:val="00C672D2"/>
    <w:rsid w:val="00C674FA"/>
    <w:rsid w:val="00C67864"/>
    <w:rsid w:val="00C73D56"/>
    <w:rsid w:val="00C8382C"/>
    <w:rsid w:val="00C86671"/>
    <w:rsid w:val="00CA6D66"/>
    <w:rsid w:val="00CB0A7E"/>
    <w:rsid w:val="00CC1468"/>
    <w:rsid w:val="00CC7073"/>
    <w:rsid w:val="00CD6F73"/>
    <w:rsid w:val="00CE0806"/>
    <w:rsid w:val="00D05058"/>
    <w:rsid w:val="00D077CF"/>
    <w:rsid w:val="00D66CE2"/>
    <w:rsid w:val="00D7051B"/>
    <w:rsid w:val="00DE6F5D"/>
    <w:rsid w:val="00DF73AC"/>
    <w:rsid w:val="00E045E4"/>
    <w:rsid w:val="00E16187"/>
    <w:rsid w:val="00E16570"/>
    <w:rsid w:val="00E61438"/>
    <w:rsid w:val="00E9597F"/>
    <w:rsid w:val="00EA1631"/>
    <w:rsid w:val="00ED3733"/>
    <w:rsid w:val="00ED51EA"/>
    <w:rsid w:val="00ED774A"/>
    <w:rsid w:val="00EE4101"/>
    <w:rsid w:val="00EF5C9E"/>
    <w:rsid w:val="00F0226B"/>
    <w:rsid w:val="00F34D78"/>
    <w:rsid w:val="00F3769F"/>
    <w:rsid w:val="00F8512C"/>
    <w:rsid w:val="00F91283"/>
    <w:rsid w:val="00FA0A48"/>
    <w:rsid w:val="00FA3776"/>
    <w:rsid w:val="033D1953"/>
    <w:rsid w:val="0A546A76"/>
    <w:rsid w:val="0FAF2990"/>
    <w:rsid w:val="19FA771C"/>
    <w:rsid w:val="22284619"/>
    <w:rsid w:val="24B677D2"/>
    <w:rsid w:val="29FC2BB8"/>
    <w:rsid w:val="323F616F"/>
    <w:rsid w:val="3FFF750A"/>
    <w:rsid w:val="444A2EC7"/>
    <w:rsid w:val="4B841AD9"/>
    <w:rsid w:val="528B637A"/>
    <w:rsid w:val="56D26326"/>
    <w:rsid w:val="589C0E27"/>
    <w:rsid w:val="6CA17C4D"/>
    <w:rsid w:val="6FDEE650"/>
    <w:rsid w:val="792D2AA7"/>
    <w:rsid w:val="7FEF9EC9"/>
    <w:rsid w:val="8DFC8AA0"/>
    <w:rsid w:val="CFDF7A38"/>
    <w:rsid w:val="FA7FFD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0" w:firstLine="20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等线" w:hAnsi="等线" w:eastAsia="等线"/>
      <w:szCs w:val="22"/>
    </w:rPr>
  </w:style>
  <w:style w:type="paragraph" w:styleId="12">
    <w:name w:val="Normal Indent"/>
    <w:basedOn w:val="1"/>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6"/>
    <w:qFormat/>
    <w:uiPriority w:val="99"/>
    <w:pPr>
      <w:jc w:val="left"/>
    </w:pPr>
    <w:rPr>
      <w:rFonts w:ascii="Times New Roman" w:hAnsi="Times New Roman" w:eastAsia="仿宋"/>
      <w:sz w:val="28"/>
    </w:rPr>
  </w:style>
  <w:style w:type="paragraph" w:styleId="16">
    <w:name w:val="Body Text"/>
    <w:basedOn w:val="1"/>
    <w:link w:val="59"/>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qFormat/>
    <w:uiPriority w:val="39"/>
    <w:pPr>
      <w:ind w:left="2940" w:leftChars="1400"/>
    </w:pPr>
    <w:rPr>
      <w:rFonts w:ascii="等线" w:hAnsi="等线" w:eastAsia="等线"/>
      <w:szCs w:val="22"/>
    </w:rPr>
  </w:style>
  <w:style w:type="paragraph" w:styleId="22">
    <w:name w:val="Date"/>
    <w:basedOn w:val="1"/>
    <w:next w:val="1"/>
    <w:link w:val="48"/>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qFormat/>
    <w:uiPriority w:val="39"/>
    <w:pPr>
      <w:ind w:left="1260" w:leftChars="600"/>
    </w:pPr>
    <w:rPr>
      <w:rFonts w:ascii="等线" w:hAnsi="等线" w:eastAsia="等线"/>
      <w:szCs w:val="22"/>
    </w:rPr>
  </w:style>
  <w:style w:type="paragraph" w:styleId="28">
    <w:name w:val="Subtitle"/>
    <w:basedOn w:val="1"/>
    <w:next w:val="1"/>
    <w:link w:val="87"/>
    <w:qFormat/>
    <w:uiPriority w:val="11"/>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1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
    <w:qFormat/>
    <w:uiPriority w:val="9"/>
    <w:rPr>
      <w:rFonts w:ascii="宋体" w:hAnsi="宋体"/>
      <w:b/>
      <w:bCs/>
      <w:kern w:val="2"/>
      <w:sz w:val="32"/>
      <w:szCs w:val="32"/>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5"/>
    <w:qFormat/>
    <w:uiPriority w:val="99"/>
    <w:rPr>
      <w:rFonts w:eastAsia="仿宋"/>
      <w:kern w:val="2"/>
      <w:sz w:val="28"/>
      <w:szCs w:val="24"/>
    </w:rPr>
  </w:style>
  <w:style w:type="character" w:customStyle="1" w:styleId="47">
    <w:name w:val="日期 字符"/>
    <w:qFormat/>
    <w:uiPriority w:val="99"/>
    <w:rPr>
      <w:rFonts w:ascii="宋体" w:hAnsi="宋体"/>
      <w:kern w:val="2"/>
      <w:sz w:val="24"/>
      <w:szCs w:val="24"/>
    </w:rPr>
  </w:style>
  <w:style w:type="character" w:customStyle="1" w:styleId="48">
    <w:name w:val="日期 字符1"/>
    <w:link w:val="22"/>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页脚 字符"/>
    <w:qFormat/>
    <w:uiPriority w:val="99"/>
  </w:style>
  <w:style w:type="character" w:customStyle="1" w:styleId="53">
    <w:name w:val="标题 5 字符"/>
    <w:qFormat/>
    <w:uiPriority w:val="9"/>
    <w:rPr>
      <w:rFonts w:ascii="宋体" w:hAnsi="宋体"/>
      <w:b/>
      <w:bCs/>
      <w:kern w:val="2"/>
      <w:sz w:val="28"/>
      <w:szCs w:val="28"/>
    </w:rPr>
  </w:style>
  <w:style w:type="character" w:customStyle="1" w:styleId="54">
    <w:name w:val="题注 字符"/>
    <w:link w:val="13"/>
    <w:qFormat/>
    <w:uiPriority w:val="0"/>
    <w:rPr>
      <w:rFonts w:ascii="Arial" w:hAnsi="Arial" w:eastAsia="黑体"/>
      <w:kern w:val="2"/>
    </w:rPr>
  </w:style>
  <w:style w:type="character" w:customStyle="1" w:styleId="55">
    <w:name w:val="标题 2 字符"/>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qFormat/>
    <w:uiPriority w:val="99"/>
    <w:rPr>
      <w:rFonts w:ascii="宋体" w:hAnsi="宋体"/>
      <w:kern w:val="2"/>
      <w:sz w:val="24"/>
      <w:szCs w:val="24"/>
    </w:rPr>
  </w:style>
  <w:style w:type="character" w:customStyle="1" w:styleId="66">
    <w:name w:val="纯文本 字符1"/>
    <w:link w:val="20"/>
    <w:qFormat/>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qFormat/>
    <w:uiPriority w:val="99"/>
    <w:rPr>
      <w:rFonts w:ascii="Microsoft YaHei UI" w:hAnsi="宋体" w:eastAsia="Microsoft YaHei UI"/>
      <w:kern w:val="2"/>
      <w:sz w:val="18"/>
      <w:szCs w:val="18"/>
    </w:rPr>
  </w:style>
  <w:style w:type="character" w:customStyle="1" w:styleId="78">
    <w:name w:val="标题 6 字符"/>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0" w:firstLineChars="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_06a841e7-da9b-4777-a444-7aa729619c1f"/>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_5e170ba8-73b6-4e1e-ac87-d886de720300"/>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cd:customData xmlns:mcd="http://www.wps.cn/android/officeDocument/2013/mofficeCustomData" version="2">
  <mcd:comments xmlns:mcd="http://www.wps.cn/android/officeDocument/2013/mofficeCustomData"/>
</mcd:customData>
</file>

<file path=customXml/item2.xml><?xml version="1.0" encoding="utf-8"?>
<mcd:customData xmlns:mcd="http://www.wps.cn/android/officeDocument/2013/mofficeCustomData" version="2">
  <mcd:comments xmlns:mcd="http://www.wps.cn/android/officeDocument/2013/mofficeCustomData"/>
</mcd:customData>
</file>

<file path=customXml/item3.xml><?xml version="1.0" encoding="utf-8"?>
<b:Sources xmlns:b="http://schemas.openxmlformats.org/officeDocument/2006/bibliography" StyleName="APA" Version="6" SelectedStyle="\APASixthEditionOfficeOnline.xsl"/>
</file>

<file path=customXml/item4.xml><?xml version="1.0" encoding="utf-8"?>
<mcd:customData xmlns:mcd="http://www.wps.cn/android/officeDocument/2013/mofficeCustomData" version="2">
  <mcd:comments xmlns:mcd="http://www.wps.cn/android/officeDocument/2013/mofficeCustomData"/>
</mcd:customData>
</file>

<file path=customXml/itemProps1.xml><?xml version="1.0" encoding="utf-8"?>
<ds:datastoreItem xmlns:ds="http://schemas.openxmlformats.org/officeDocument/2006/customXml" ds:itemID="{7C19A938-C24C-4219-AF53-2D75CAE1C05A}">
  <ds:schemaRefs/>
</ds:datastoreItem>
</file>

<file path=customXml/itemProps2.xml><?xml version="1.0" encoding="utf-8"?>
<ds:datastoreItem xmlns:ds="http://schemas.openxmlformats.org/officeDocument/2006/customXml" ds:itemID="{220F7335-23F3-4280-BC7A-57E60C5C6EC1}">
  <ds:schemaRefs/>
</ds:datastoreItem>
</file>

<file path=customXml/itemProps3.xml><?xml version="1.0" encoding="utf-8"?>
<ds:datastoreItem xmlns:ds="http://schemas.openxmlformats.org/officeDocument/2006/customXml" ds:itemID="{1D9AD641-0B16-48B9-B81A-C11DF304B1BF}">
  <ds:schemaRefs/>
</ds:datastoreItem>
</file>

<file path=customXml/itemProps4.xml><?xml version="1.0" encoding="utf-8"?>
<ds:datastoreItem xmlns:ds="http://schemas.openxmlformats.org/officeDocument/2006/customXml" ds:itemID="{90899E52-E9BF-477E-92D9-17AC7CA62FA4}">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9988</Words>
  <Characters>10356</Characters>
  <Lines>93</Lines>
  <Paragraphs>26</Paragraphs>
  <TotalTime>3</TotalTime>
  <ScaleCrop>false</ScaleCrop>
  <LinksUpToDate>false</LinksUpToDate>
  <CharactersWithSpaces>10368</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2025-09-27T13:57:00Z</dcterms:created>
  <dc:creator>gtig_tzb</dc:creator>
  <cp:lastModifiedBy>张姝雅</cp:lastModifiedBy>
  <cp:lastPrinted>2020-08-08T04:08:00Z</cp:lastPrinted>
  <dcterms:modified xsi:type="dcterms:W3CDTF">2025-10-17T11:16:18Z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FA600274F00A594102B5F168789E7DAA_43</vt:lpwstr>
  </property>
  <property fmtid="{D5CDD505-2E9C-101B-9397-08002B2CF9AE}" pid="4" name="KSOTemplateDocerSaveRecord">
    <vt:lpwstr>eyJoZGlkIjoiMTQxZmVlYTNkYzUzZTAzZDI0NGY3MDRiZGZhYjkwZWUiLCJ1c2VySWQiOiI5MDgzNDM0NjYifQ==</vt:lpwstr>
  </property>
</Properties>
</file>