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252EB">
      <w:pPr>
        <w:spacing w:line="360" w:lineRule="auto"/>
        <w:rPr>
          <w:rFonts w:hint="eastAsia" w:ascii="仿宋_GB2312" w:hAnsi="仿宋" w:eastAsia="仿宋_GB2312"/>
          <w:b/>
          <w:szCs w:val="21"/>
        </w:rPr>
      </w:pPr>
    </w:p>
    <w:p w14:paraId="576AB36B">
      <w:pPr>
        <w:spacing w:line="360" w:lineRule="auto"/>
        <w:rPr>
          <w:rFonts w:hint="eastAsia" w:ascii="仿宋_GB2312" w:hAnsi="仿宋" w:eastAsia="仿宋_GB2312"/>
          <w:b/>
          <w:szCs w:val="21"/>
        </w:rPr>
      </w:pPr>
    </w:p>
    <w:p w14:paraId="591922C6">
      <w:pPr>
        <w:spacing w:line="360" w:lineRule="auto"/>
        <w:rPr>
          <w:rFonts w:hint="eastAsia" w:ascii="仿宋_GB2312" w:hAnsi="仿宋" w:eastAsia="仿宋_GB2312"/>
          <w:b/>
          <w:szCs w:val="21"/>
        </w:rPr>
      </w:pPr>
    </w:p>
    <w:p w14:paraId="09C80886">
      <w:pPr>
        <w:pStyle w:val="5"/>
      </w:pPr>
    </w:p>
    <w:p w14:paraId="4A8E417A">
      <w:pPr>
        <w:spacing w:line="360" w:lineRule="auto"/>
        <w:rPr>
          <w:rFonts w:hint="eastAsia" w:ascii="仿宋_GB2312" w:hAnsi="仿宋" w:eastAsia="仿宋_GB2312"/>
          <w:b/>
          <w:szCs w:val="21"/>
        </w:rPr>
      </w:pPr>
      <w:bookmarkStart w:id="0" w:name="OLE_LINK10"/>
      <w:bookmarkStart w:id="1" w:name="OLE_LINK9"/>
    </w:p>
    <w:p w14:paraId="05EDF7BC">
      <w:pPr>
        <w:spacing w:line="360" w:lineRule="auto"/>
        <w:jc w:val="center"/>
        <w:rPr>
          <w:rFonts w:hint="eastAsia" w:ascii="方正小标宋简体" w:hAnsi="方正小标宋简体" w:eastAsia="方正小标宋简体" w:cstheme="minorBidi"/>
          <w:sz w:val="56"/>
          <w:szCs w:val="56"/>
        </w:rPr>
      </w:pPr>
      <w:bookmarkStart w:id="2" w:name="OLE_LINK1"/>
      <w:r>
        <w:rPr>
          <w:rFonts w:hint="eastAsia" w:ascii="方正小标宋简体" w:hAnsi="方正小标宋简体" w:eastAsia="方正小标宋简体" w:cstheme="minorBidi"/>
          <w:sz w:val="56"/>
          <w:szCs w:val="56"/>
        </w:rPr>
        <w:t>自然人身份多源认证</w:t>
      </w:r>
      <w:bookmarkEnd w:id="2"/>
      <w:r>
        <w:rPr>
          <w:rFonts w:hint="eastAsia" w:ascii="方正小标宋简体" w:hAnsi="方正小标宋简体" w:eastAsia="方正小标宋简体" w:cstheme="minorBidi"/>
          <w:sz w:val="56"/>
          <w:szCs w:val="56"/>
        </w:rPr>
        <w:t>服务</w:t>
      </w:r>
    </w:p>
    <w:p w14:paraId="7544F7A2">
      <w:pPr>
        <w:spacing w:line="360" w:lineRule="auto"/>
        <w:jc w:val="center"/>
        <w:rPr>
          <w:rFonts w:hint="eastAsia" w:ascii="方正小标宋简体" w:hAnsi="方正小标宋简体" w:eastAsia="方正小标宋简体" w:cstheme="minorBidi"/>
          <w:sz w:val="56"/>
          <w:szCs w:val="56"/>
        </w:rPr>
      </w:pPr>
      <w:r>
        <w:rPr>
          <w:rFonts w:hint="eastAsia" w:ascii="方正小标宋简体" w:hAnsi="方正小标宋简体" w:eastAsia="方正小标宋简体" w:cstheme="minorBidi"/>
          <w:sz w:val="56"/>
          <w:szCs w:val="56"/>
        </w:rPr>
        <w:t>招标需求</w:t>
      </w:r>
      <w:bookmarkEnd w:id="0"/>
      <w:bookmarkEnd w:id="1"/>
    </w:p>
    <w:p w14:paraId="4E40C3A1">
      <w:pPr>
        <w:spacing w:line="360" w:lineRule="auto"/>
        <w:rPr>
          <w:rFonts w:hint="eastAsia" w:ascii="仿宋_GB2312" w:hAnsi="仿宋" w:eastAsia="仿宋_GB2312"/>
          <w:b/>
          <w:sz w:val="32"/>
          <w:szCs w:val="32"/>
        </w:rPr>
      </w:pPr>
    </w:p>
    <w:p w14:paraId="504CFA25">
      <w:pPr>
        <w:spacing w:line="360" w:lineRule="auto"/>
        <w:rPr>
          <w:rFonts w:hint="eastAsia" w:ascii="仿宋_GB2312" w:hAnsi="仿宋" w:eastAsia="仿宋_GB2312"/>
          <w:b/>
          <w:sz w:val="32"/>
          <w:szCs w:val="32"/>
        </w:rPr>
      </w:pPr>
    </w:p>
    <w:p w14:paraId="462EE91E">
      <w:pPr>
        <w:spacing w:line="360" w:lineRule="auto"/>
        <w:rPr>
          <w:rFonts w:hint="eastAsia" w:ascii="仿宋_GB2312" w:hAnsi="仿宋" w:eastAsia="仿宋_GB2312"/>
          <w:b/>
          <w:sz w:val="32"/>
          <w:szCs w:val="32"/>
        </w:rPr>
      </w:pPr>
    </w:p>
    <w:p w14:paraId="32E9A41B">
      <w:pPr>
        <w:spacing w:line="360" w:lineRule="auto"/>
        <w:rPr>
          <w:rFonts w:hint="eastAsia" w:ascii="仿宋_GB2312" w:hAnsi="仿宋" w:eastAsia="仿宋_GB2312"/>
          <w:b/>
          <w:sz w:val="32"/>
          <w:szCs w:val="32"/>
        </w:rPr>
      </w:pPr>
    </w:p>
    <w:p w14:paraId="14C1DCFE">
      <w:pPr>
        <w:spacing w:line="360" w:lineRule="auto"/>
        <w:rPr>
          <w:rFonts w:hint="eastAsia" w:ascii="仿宋_GB2312" w:hAnsi="仿宋" w:eastAsia="仿宋_GB2312"/>
          <w:b/>
          <w:sz w:val="32"/>
          <w:szCs w:val="32"/>
        </w:rPr>
      </w:pPr>
    </w:p>
    <w:p w14:paraId="5C7EB104">
      <w:pPr>
        <w:spacing w:line="360" w:lineRule="auto"/>
        <w:rPr>
          <w:rFonts w:hint="eastAsia" w:ascii="仿宋_GB2312" w:hAnsi="仿宋" w:eastAsia="仿宋_GB2312"/>
          <w:b/>
          <w:sz w:val="32"/>
          <w:szCs w:val="32"/>
        </w:rPr>
      </w:pPr>
    </w:p>
    <w:p w14:paraId="661AA395">
      <w:pPr>
        <w:spacing w:line="360" w:lineRule="auto"/>
        <w:rPr>
          <w:rFonts w:hint="eastAsia" w:ascii="仿宋_GB2312" w:hAnsi="仿宋" w:eastAsia="仿宋_GB2312"/>
          <w:b/>
          <w:sz w:val="32"/>
          <w:szCs w:val="32"/>
        </w:rPr>
      </w:pPr>
    </w:p>
    <w:p w14:paraId="2E1C0C0F">
      <w:pPr>
        <w:spacing w:line="360" w:lineRule="auto"/>
        <w:rPr>
          <w:rFonts w:hint="eastAsia" w:ascii="仿宋_GB2312" w:hAnsi="仿宋" w:eastAsia="仿宋_GB2312"/>
          <w:b/>
          <w:sz w:val="32"/>
          <w:szCs w:val="32"/>
        </w:rPr>
      </w:pPr>
    </w:p>
    <w:p w14:paraId="7A7C128F">
      <w:pPr>
        <w:spacing w:line="360" w:lineRule="auto"/>
        <w:rPr>
          <w:rFonts w:hint="eastAsia" w:ascii="仿宋_GB2312" w:hAnsi="仿宋" w:eastAsia="仿宋_GB2312"/>
          <w:b/>
          <w:sz w:val="32"/>
          <w:szCs w:val="32"/>
        </w:rPr>
      </w:pPr>
    </w:p>
    <w:p w14:paraId="0A92069F">
      <w:pPr>
        <w:widowControl/>
        <w:spacing w:line="360" w:lineRule="auto"/>
        <w:rPr>
          <w:rFonts w:hint="eastAsia" w:ascii="仿宋_GB2312" w:hAnsi="仿宋" w:eastAsia="仿宋_GB2312"/>
          <w:b/>
          <w:szCs w:val="21"/>
        </w:rPr>
      </w:pPr>
      <w:r>
        <w:rPr>
          <w:rFonts w:ascii="仿宋_GB2312" w:hAnsi="仿宋" w:eastAsia="仿宋_GB2312"/>
          <w:b/>
          <w:szCs w:val="21"/>
        </w:rPr>
        <w:br w:type="page"/>
      </w:r>
    </w:p>
    <w:p w14:paraId="48B243C5">
      <w:pPr>
        <w:pStyle w:val="18"/>
        <w:numPr>
          <w:ilvl w:val="0"/>
          <w:numId w:val="1"/>
        </w:numPr>
        <w:spacing w:before="0"/>
        <w:ind w:firstLineChars="0"/>
        <w:outlineLvl w:val="0"/>
        <w:rPr>
          <w:rFonts w:hint="eastAsia" w:ascii="仿宋_GB2312" w:hAnsi="仿宋" w:eastAsia="仿宋_GB2312"/>
          <w:b/>
          <w:szCs w:val="21"/>
        </w:rPr>
      </w:pPr>
      <w:r>
        <w:rPr>
          <w:rFonts w:hint="eastAsia" w:ascii="仿宋_GB2312" w:hAnsi="仿宋" w:eastAsia="仿宋_GB2312"/>
          <w:b/>
          <w:szCs w:val="21"/>
        </w:rPr>
        <w:t>项目概述</w:t>
      </w:r>
    </w:p>
    <w:p w14:paraId="4356E056">
      <w:pPr>
        <w:pStyle w:val="18"/>
        <w:spacing w:before="0"/>
        <w:ind w:firstLine="480" w:firstLineChars="200"/>
        <w:rPr>
          <w:rFonts w:hint="eastAsia" w:ascii="宋体" w:hAnsi="宋体" w:eastAsia="宋体"/>
        </w:rPr>
      </w:pPr>
      <w:r>
        <w:rPr>
          <w:rFonts w:hint="eastAsia" w:ascii="宋体" w:hAnsi="宋体" w:eastAsia="宋体"/>
        </w:rPr>
        <w:t>为贯彻落实《2020年上海市深化“一网通办”改革工作要点》（沪委办〔2020〕12号）和《关于以企业和群众高效办成“一件事”为目标，全面推进业务流程革命性再造的指导意见》（沪府办〔2020〕6号）等文件中关于建设全市统一身份认证体系的相关要求，市经信委制定了《上海市统一身份认证体系建设工作方案》，并明确提出了建设市级统一身份认证服务平台、持续优化自然人身份多源认证、积极推进统一身份认证平台应用接入、加快推进长三角地区身份认证服务一体化以及积极探索身份认证新技术应用的工作要求。</w:t>
      </w:r>
    </w:p>
    <w:p w14:paraId="53CFB4D1">
      <w:pPr>
        <w:pStyle w:val="18"/>
        <w:spacing w:before="0"/>
        <w:ind w:firstLine="480" w:firstLineChars="200"/>
        <w:rPr>
          <w:rFonts w:hint="eastAsia" w:ascii="宋体" w:hAnsi="宋体" w:eastAsia="宋体"/>
        </w:rPr>
      </w:pPr>
      <w:r>
        <w:rPr>
          <w:rFonts w:hint="eastAsia" w:ascii="宋体" w:hAnsi="宋体" w:eastAsia="宋体"/>
        </w:rPr>
        <w:t>数据源服务的对接和使用是建设统一身份认证平台的基础，也是推进政务应用平稳运行的前提。本期项目需要通过市级统一身份认证平台，进一步加强权威第三方数据源和认证渠道的建设工作，提升统一身份认证服务效率和用户体验，加快推进本市网络信任体系发展。</w:t>
      </w:r>
    </w:p>
    <w:p w14:paraId="1EEFE7B2">
      <w:pPr>
        <w:pStyle w:val="18"/>
        <w:numPr>
          <w:ilvl w:val="0"/>
          <w:numId w:val="1"/>
        </w:numPr>
        <w:spacing w:before="0"/>
        <w:ind w:firstLineChars="0"/>
        <w:outlineLvl w:val="0"/>
        <w:rPr>
          <w:rFonts w:hint="eastAsia" w:ascii="仿宋_GB2312" w:hAnsi="仿宋" w:eastAsia="仿宋_GB2312"/>
          <w:b/>
          <w:szCs w:val="21"/>
        </w:rPr>
      </w:pPr>
      <w:r>
        <w:rPr>
          <w:rFonts w:hint="eastAsia" w:ascii="仿宋_GB2312" w:hAnsi="仿宋" w:eastAsia="仿宋_GB2312"/>
          <w:b/>
          <w:szCs w:val="21"/>
        </w:rPr>
        <w:t>项目目标</w:t>
      </w:r>
    </w:p>
    <w:p w14:paraId="1508C834">
      <w:pPr>
        <w:pStyle w:val="18"/>
        <w:spacing w:before="0"/>
        <w:ind w:firstLine="480" w:firstLineChars="200"/>
        <w:rPr>
          <w:rFonts w:hint="eastAsia" w:ascii="宋体" w:hAnsi="宋体" w:eastAsia="宋体"/>
        </w:rPr>
      </w:pPr>
      <w:r>
        <w:rPr>
          <w:rFonts w:hint="eastAsia" w:ascii="宋体" w:hAnsi="宋体" w:eastAsia="宋体"/>
        </w:rPr>
        <w:t>本期项目实现目标：</w:t>
      </w:r>
    </w:p>
    <w:p w14:paraId="465F50DE">
      <w:pPr>
        <w:pStyle w:val="18"/>
        <w:spacing w:before="0"/>
        <w:rPr>
          <w:rFonts w:hint="eastAsia" w:asciiTheme="minorEastAsia" w:hAnsiTheme="minorEastAsia" w:eastAsiaTheme="minorEastAsia"/>
        </w:rPr>
      </w:pPr>
      <w:r>
        <w:rPr>
          <w:rFonts w:hint="eastAsia" w:asciiTheme="minorEastAsia" w:hAnsiTheme="minorEastAsia" w:eastAsiaTheme="minorEastAsia"/>
        </w:rPr>
        <w:t>（一）基于全市统一身份认证平台，为医疗、教育、养老、交通、民生等政府公共服务系统提供认证数据源服务支撑。</w:t>
      </w:r>
    </w:p>
    <w:p w14:paraId="29DDC264">
      <w:pPr>
        <w:pStyle w:val="18"/>
        <w:spacing w:before="0"/>
        <w:ind w:firstLineChars="0"/>
        <w:rPr>
          <w:rFonts w:hint="eastAsia" w:ascii="宋体" w:hAnsi="宋体" w:eastAsia="宋体"/>
        </w:rPr>
      </w:pPr>
      <w:r>
        <w:rPr>
          <w:rFonts w:hint="eastAsia" w:asciiTheme="minorEastAsia" w:hAnsiTheme="minorEastAsia" w:eastAsiaTheme="minorEastAsia"/>
        </w:rPr>
        <w:t>（二）在政府公共服务系统现有登录账户的基础上，通过使用自然人身份四要素、运营商实名手机号、银联实名银行卡号、人脸识别、微信支付宝实名登录账户、线下受理窗口、短信随机密码等第三方数据源，实现自然人身份认证。</w:t>
      </w:r>
    </w:p>
    <w:p w14:paraId="36488D40">
      <w:pPr>
        <w:pStyle w:val="18"/>
        <w:spacing w:before="0"/>
        <w:ind w:firstLineChars="0"/>
        <w:rPr>
          <w:rFonts w:hint="eastAsia" w:ascii="宋体" w:hAnsi="宋体" w:eastAsia="宋体"/>
        </w:rPr>
      </w:pPr>
      <w:r>
        <w:rPr>
          <w:rFonts w:hint="eastAsia" w:ascii="宋体" w:hAnsi="宋体" w:eastAsia="宋体"/>
        </w:rPr>
        <w:t>（三）通过使用权威数据源服务扩大身份认证服务用户范围，支持外籍人士、华侨及港澳台地区居民的身份信息核验。</w:t>
      </w:r>
    </w:p>
    <w:p w14:paraId="1A96D520">
      <w:pPr>
        <w:pStyle w:val="18"/>
        <w:spacing w:before="0"/>
        <w:ind w:firstLineChars="0"/>
        <w:rPr>
          <w:rFonts w:hint="eastAsia" w:ascii="宋体" w:hAnsi="宋体" w:eastAsia="宋体"/>
        </w:rPr>
      </w:pPr>
      <w:r>
        <w:rPr>
          <w:rFonts w:hint="eastAsia" w:ascii="宋体" w:hAnsi="宋体" w:eastAsia="宋体"/>
        </w:rPr>
        <w:t>（四）完善用户服务机制，基于目前提供的各种认证方式，建立面向终端用户的实名复核机制。</w:t>
      </w:r>
    </w:p>
    <w:p w14:paraId="7EA9EB95">
      <w:pPr>
        <w:pStyle w:val="18"/>
        <w:spacing w:before="0"/>
        <w:ind w:firstLineChars="0"/>
        <w:rPr>
          <w:rFonts w:hint="eastAsia" w:ascii="宋体" w:hAnsi="宋体" w:eastAsia="宋体"/>
        </w:rPr>
      </w:pPr>
      <w:r>
        <w:rPr>
          <w:rFonts w:hint="eastAsia" w:ascii="宋体" w:hAnsi="宋体" w:eastAsia="宋体"/>
        </w:rPr>
        <w:t>（五）落实国家信息安全主管部门关于电子认证应用和计算机信息系统安全保障的规范要求。</w:t>
      </w:r>
    </w:p>
    <w:p w14:paraId="1464FFA0">
      <w:pPr>
        <w:pStyle w:val="18"/>
        <w:numPr>
          <w:ilvl w:val="0"/>
          <w:numId w:val="1"/>
        </w:numPr>
        <w:spacing w:before="0"/>
        <w:ind w:firstLineChars="0"/>
        <w:outlineLvl w:val="0"/>
        <w:rPr>
          <w:rFonts w:hint="eastAsia" w:ascii="仿宋_GB2312" w:hAnsi="仿宋" w:eastAsia="仿宋_GB2312"/>
          <w:b/>
          <w:szCs w:val="21"/>
        </w:rPr>
      </w:pPr>
      <w:r>
        <w:rPr>
          <w:rFonts w:hint="eastAsia" w:ascii="仿宋_GB2312" w:hAnsi="仿宋" w:eastAsia="仿宋_GB2312"/>
          <w:b/>
          <w:szCs w:val="21"/>
        </w:rPr>
        <w:t>技术要求</w:t>
      </w:r>
    </w:p>
    <w:p w14:paraId="286FD1C3">
      <w:pPr>
        <w:pStyle w:val="18"/>
        <w:spacing w:before="0"/>
        <w:ind w:firstLine="480" w:firstLineChars="200"/>
        <w:rPr>
          <w:rFonts w:hint="eastAsia" w:ascii="宋体" w:hAnsi="宋体" w:eastAsia="宋体"/>
        </w:rPr>
      </w:pPr>
      <w:r>
        <w:rPr>
          <w:rFonts w:hint="eastAsia" w:ascii="宋体" w:hAnsi="宋体" w:eastAsia="宋体"/>
        </w:rPr>
        <w:t>根据实际业务需求和管理需求，完善实名用户统一身份认证体系，针对统一身份认证服务，提供详细的针对性的方案，具体技术要求如下：</w:t>
      </w:r>
    </w:p>
    <w:p w14:paraId="73B22566">
      <w:pPr>
        <w:pStyle w:val="18"/>
        <w:spacing w:before="0"/>
        <w:ind w:firstLine="422" w:firstLineChars="175"/>
        <w:outlineLvl w:val="1"/>
        <w:rPr>
          <w:rFonts w:hint="eastAsia" w:ascii="仿宋_GB2312" w:hAnsi="仿宋" w:eastAsia="仿宋_GB2312"/>
          <w:b/>
          <w:szCs w:val="21"/>
        </w:rPr>
      </w:pPr>
      <w:r>
        <w:rPr>
          <w:rFonts w:hint="eastAsia" w:ascii="仿宋_GB2312" w:hAnsi="仿宋" w:eastAsia="仿宋_GB2312"/>
          <w:b/>
          <w:szCs w:val="21"/>
        </w:rPr>
        <w:t>（一）整体要求</w:t>
      </w:r>
    </w:p>
    <w:p w14:paraId="716E8A37">
      <w:pPr>
        <w:pStyle w:val="18"/>
        <w:numPr>
          <w:ilvl w:val="0"/>
          <w:numId w:val="2"/>
        </w:numPr>
        <w:spacing w:before="0"/>
        <w:ind w:left="0" w:firstLine="442" w:firstLineChars="0"/>
        <w:rPr>
          <w:rFonts w:hint="eastAsia" w:ascii="宋体" w:hAnsi="宋体" w:eastAsia="宋体"/>
        </w:rPr>
      </w:pPr>
      <w:r>
        <w:rPr>
          <w:rFonts w:hint="eastAsia" w:ascii="宋体" w:hAnsi="宋体" w:eastAsia="宋体"/>
        </w:rPr>
        <w:t>贯彻上海市政府关于《上海市公共数据和一网通办管理办法》的精神要求，以“统筹规划、集约建设、汇聚整合、共享开放、有效应用、精准服务、保障安全”的基本原则，将市统一身份认证平台和相应数据源功能模块整体迁移部署至上海市电子政务云。</w:t>
      </w:r>
    </w:p>
    <w:p w14:paraId="500F2621">
      <w:pPr>
        <w:pStyle w:val="18"/>
        <w:numPr>
          <w:ilvl w:val="0"/>
          <w:numId w:val="2"/>
        </w:numPr>
        <w:spacing w:before="0"/>
        <w:ind w:left="0" w:firstLine="442" w:firstLineChars="0"/>
        <w:rPr>
          <w:rFonts w:hint="eastAsia" w:ascii="宋体" w:hAnsi="宋体" w:eastAsia="宋体"/>
        </w:rPr>
      </w:pPr>
      <w:r>
        <w:rPr>
          <w:rFonts w:hint="eastAsia" w:ascii="宋体" w:hAnsi="宋体" w:eastAsia="宋体"/>
        </w:rPr>
        <w:t>要求本项目中所涉及的统一身份认证数据源按照本市统一身份认证平台认证源对接标准接入平台。</w:t>
      </w:r>
    </w:p>
    <w:p w14:paraId="2678770B">
      <w:pPr>
        <w:pStyle w:val="18"/>
        <w:numPr>
          <w:ilvl w:val="0"/>
          <w:numId w:val="2"/>
        </w:numPr>
        <w:spacing w:before="0"/>
        <w:ind w:left="0" w:firstLine="442" w:firstLineChars="0"/>
        <w:rPr>
          <w:rFonts w:hint="eastAsia" w:ascii="宋体" w:hAnsi="宋体" w:eastAsia="宋体"/>
        </w:rPr>
      </w:pPr>
      <w:r>
        <w:rPr>
          <w:rFonts w:hint="eastAsia" w:ascii="宋体" w:hAnsi="宋体" w:eastAsia="宋体"/>
        </w:rPr>
        <w:t>要求全面梳理现有各类权威认证源，对各个认证源进行逐个评估，对认证性能低下的源进行优化改造，对覆盖面不全的源尝试数据源的扩充接入，对用户体验不佳的源寻找同类可替代方案，对无法进行改造、优化以及效果不佳的源进行弃用。</w:t>
      </w:r>
    </w:p>
    <w:p w14:paraId="27811149">
      <w:pPr>
        <w:pStyle w:val="18"/>
        <w:numPr>
          <w:ilvl w:val="0"/>
          <w:numId w:val="2"/>
        </w:numPr>
        <w:spacing w:before="0"/>
        <w:ind w:left="0" w:firstLine="442" w:firstLineChars="0"/>
        <w:rPr>
          <w:rFonts w:hint="eastAsia" w:ascii="宋体" w:hAnsi="宋体" w:eastAsia="宋体"/>
        </w:rPr>
      </w:pPr>
      <w:r>
        <w:rPr>
          <w:rFonts w:hint="eastAsia" w:ascii="宋体" w:hAnsi="宋体" w:eastAsia="宋体"/>
        </w:rPr>
        <w:t>要求本项目中所涉及的统一身份认证各类数据源及使用量须充分满足本市各类政务业务系统的使用需求。</w:t>
      </w:r>
    </w:p>
    <w:p w14:paraId="65D1FE46">
      <w:pPr>
        <w:pStyle w:val="18"/>
        <w:numPr>
          <w:ilvl w:val="0"/>
          <w:numId w:val="2"/>
        </w:numPr>
        <w:spacing w:before="0"/>
        <w:ind w:left="0" w:firstLine="442" w:firstLineChars="0"/>
        <w:rPr>
          <w:rFonts w:hint="eastAsia" w:ascii="宋体" w:hAnsi="宋体" w:eastAsia="宋体"/>
        </w:rPr>
      </w:pPr>
      <w:r>
        <w:rPr>
          <w:rFonts w:hint="eastAsia" w:ascii="宋体" w:hAnsi="宋体" w:eastAsia="宋体"/>
        </w:rPr>
        <w:t>技术响应方案需要提供涵盖本技术采购需求中涉及的整体要求、功能需求、性能需求、服务要求、项目管理等整套解决方案，包括但不仅限于对以上要求和需求的理解、方案设计、方案实施、项目管理、售后保障等内容。</w:t>
      </w:r>
    </w:p>
    <w:p w14:paraId="4DBB93E7">
      <w:pPr>
        <w:pStyle w:val="18"/>
        <w:numPr>
          <w:ilvl w:val="0"/>
          <w:numId w:val="2"/>
        </w:numPr>
        <w:spacing w:before="0"/>
        <w:ind w:left="0" w:firstLine="442" w:firstLineChars="0"/>
        <w:rPr>
          <w:rFonts w:hint="eastAsia" w:ascii="宋体" w:hAnsi="宋体" w:eastAsia="宋体"/>
        </w:rPr>
      </w:pPr>
      <w:r>
        <w:rPr>
          <w:rFonts w:hint="eastAsia" w:ascii="宋体" w:hAnsi="宋体" w:eastAsia="宋体"/>
        </w:rPr>
        <w:t>服务整体方案需要包括完整的灾备系统建设方案和故障切换方案，保障服务7*24在线。</w:t>
      </w:r>
    </w:p>
    <w:p w14:paraId="3F1D57C8">
      <w:pPr>
        <w:pStyle w:val="18"/>
        <w:numPr>
          <w:ilvl w:val="0"/>
          <w:numId w:val="2"/>
        </w:numPr>
        <w:spacing w:before="0"/>
        <w:ind w:left="0" w:firstLine="442" w:firstLineChars="0"/>
        <w:rPr>
          <w:rFonts w:hint="eastAsia" w:ascii="宋体" w:hAnsi="宋体" w:eastAsia="宋体"/>
        </w:rPr>
      </w:pPr>
      <w:r>
        <w:rPr>
          <w:rFonts w:hint="eastAsia" w:ascii="宋体" w:hAnsi="宋体" w:eastAsia="宋体"/>
        </w:rPr>
        <w:t>服务需要符合《政府部门移动互联公众服务》相关技术规范。</w:t>
      </w:r>
    </w:p>
    <w:p w14:paraId="3FE5C694">
      <w:pPr>
        <w:pStyle w:val="18"/>
        <w:numPr>
          <w:ilvl w:val="0"/>
          <w:numId w:val="2"/>
        </w:numPr>
        <w:spacing w:before="0"/>
        <w:ind w:left="0" w:firstLine="442" w:firstLineChars="0"/>
        <w:rPr>
          <w:rFonts w:hint="eastAsia" w:ascii="宋体" w:hAnsi="宋体" w:eastAsia="宋体"/>
        </w:rPr>
      </w:pPr>
      <w:r>
        <w:rPr>
          <w:rFonts w:hint="eastAsia" w:ascii="宋体" w:hAnsi="宋体" w:eastAsia="宋体"/>
        </w:rPr>
        <w:t>服务涉及的数字证书符合国家、行业、省市级以及《商用密码管理条例》、《中华人民共和国电子签名法》和《电子认证服务管理办法》等相关法规标准，能满足实际的业务环境要求，具备扩展性以满足定制化改造需求，和已经发放的证书无缝对接。</w:t>
      </w:r>
    </w:p>
    <w:p w14:paraId="13CF51A1">
      <w:pPr>
        <w:pStyle w:val="18"/>
        <w:numPr>
          <w:ilvl w:val="0"/>
          <w:numId w:val="2"/>
        </w:numPr>
        <w:spacing w:before="0"/>
        <w:ind w:left="0" w:firstLine="442" w:firstLineChars="0"/>
        <w:rPr>
          <w:rFonts w:hint="eastAsia" w:ascii="宋体" w:hAnsi="宋体" w:eastAsia="宋体"/>
        </w:rPr>
      </w:pPr>
      <w:r>
        <w:rPr>
          <w:rFonts w:hint="eastAsia" w:ascii="宋体" w:hAnsi="宋体" w:eastAsia="宋体"/>
        </w:rPr>
        <w:t>服务操作界面标识术语尽量采用中文提示而非英文简称。</w:t>
      </w:r>
    </w:p>
    <w:p w14:paraId="6F6BBF95">
      <w:pPr>
        <w:pStyle w:val="18"/>
        <w:numPr>
          <w:ilvl w:val="0"/>
          <w:numId w:val="2"/>
        </w:numPr>
        <w:spacing w:before="0"/>
        <w:ind w:left="0" w:firstLine="442" w:firstLineChars="0"/>
        <w:rPr>
          <w:rFonts w:hint="eastAsia" w:ascii="宋体" w:hAnsi="宋体" w:eastAsia="宋体"/>
        </w:rPr>
      </w:pPr>
      <w:r>
        <w:rPr>
          <w:rFonts w:hint="eastAsia" w:ascii="宋体" w:hAnsi="宋体" w:eastAsia="宋体"/>
        </w:rPr>
        <w:t>服务能够根据采购人需求进行定制化开发。</w:t>
      </w:r>
    </w:p>
    <w:p w14:paraId="6B37705D">
      <w:pPr>
        <w:pStyle w:val="18"/>
        <w:numPr>
          <w:ilvl w:val="0"/>
          <w:numId w:val="2"/>
        </w:numPr>
        <w:spacing w:before="0"/>
        <w:ind w:left="0" w:firstLine="442" w:firstLineChars="0"/>
        <w:rPr>
          <w:rFonts w:hint="eastAsia" w:ascii="宋体" w:hAnsi="宋体" w:eastAsia="宋体"/>
        </w:rPr>
      </w:pPr>
      <w:r>
        <w:rPr>
          <w:rFonts w:hint="eastAsia" w:ascii="宋体" w:hAnsi="宋体" w:eastAsia="宋体"/>
        </w:rPr>
        <w:t>当外部系统发生变化的时候，</w:t>
      </w:r>
      <w:r>
        <w:rPr>
          <w:rFonts w:hint="eastAsia" w:ascii="宋体" w:hAnsi="宋体" w:eastAsia="宋体"/>
          <w:lang w:eastAsia="zh-CN"/>
        </w:rPr>
        <w:t>投标人</w:t>
      </w:r>
      <w:r>
        <w:rPr>
          <w:rFonts w:hint="eastAsia" w:ascii="宋体" w:hAnsi="宋体" w:eastAsia="宋体"/>
        </w:rPr>
        <w:t>需要协助</w:t>
      </w:r>
      <w:r>
        <w:rPr>
          <w:rFonts w:hint="eastAsia" w:ascii="宋体" w:hAnsi="宋体" w:eastAsia="宋体"/>
          <w:lang w:eastAsia="zh-CN"/>
        </w:rPr>
        <w:t>采购人</w:t>
      </w:r>
      <w:r>
        <w:rPr>
          <w:rFonts w:hint="eastAsia" w:ascii="宋体" w:hAnsi="宋体" w:eastAsia="宋体"/>
        </w:rPr>
        <w:t>进行系统迁移工作。</w:t>
      </w:r>
    </w:p>
    <w:p w14:paraId="0DB9844B">
      <w:pPr>
        <w:pStyle w:val="18"/>
        <w:spacing w:before="0"/>
        <w:ind w:firstLine="422" w:firstLineChars="175"/>
        <w:outlineLvl w:val="1"/>
        <w:rPr>
          <w:rFonts w:hint="eastAsia" w:ascii="仿宋_GB2312" w:hAnsi="仿宋" w:eastAsia="仿宋_GB2312"/>
          <w:b/>
          <w:szCs w:val="21"/>
        </w:rPr>
      </w:pPr>
      <w:r>
        <w:rPr>
          <w:rFonts w:hint="eastAsia" w:ascii="仿宋_GB2312" w:hAnsi="仿宋" w:eastAsia="仿宋_GB2312"/>
          <w:b/>
          <w:szCs w:val="21"/>
        </w:rPr>
        <w:t>（二）功能需求</w:t>
      </w:r>
    </w:p>
    <w:p w14:paraId="0B7176C9">
      <w:pPr>
        <w:pStyle w:val="18"/>
        <w:numPr>
          <w:ilvl w:val="0"/>
          <w:numId w:val="3"/>
        </w:numPr>
        <w:spacing w:before="0"/>
        <w:ind w:left="0" w:firstLine="426" w:firstLineChars="0"/>
        <w:rPr>
          <w:rFonts w:hint="eastAsia" w:ascii="宋体" w:hAnsi="宋体" w:eastAsia="宋体"/>
        </w:rPr>
      </w:pPr>
      <w:r>
        <w:rPr>
          <w:rFonts w:hint="eastAsia" w:ascii="宋体" w:hAnsi="宋体" w:eastAsia="宋体"/>
        </w:rPr>
        <w:t>进一步提升市统一身份认证平台服务效能，通过升级本市统一身份认证平台认证源管理模块，完善认证源注册、修改、注销、配置、统计和查询功能。所涉及身份敏感信息的，要求通过脱敏规则进行数据的变形，实现敏感隐私数据的可靠保护。</w:t>
      </w:r>
    </w:p>
    <w:p w14:paraId="473561E0">
      <w:pPr>
        <w:pStyle w:val="18"/>
        <w:numPr>
          <w:ilvl w:val="0"/>
          <w:numId w:val="3"/>
        </w:numPr>
        <w:spacing w:before="0"/>
        <w:ind w:left="0" w:firstLine="426" w:firstLineChars="0"/>
        <w:rPr>
          <w:rFonts w:hint="eastAsia" w:ascii="宋体" w:hAnsi="宋体" w:eastAsia="宋体"/>
        </w:rPr>
      </w:pPr>
      <w:bookmarkStart w:id="3" w:name="OLE_LINK5"/>
      <w:r>
        <w:rPr>
          <w:rFonts w:hint="eastAsia" w:ascii="宋体" w:hAnsi="宋体" w:eastAsia="宋体"/>
        </w:rPr>
        <w:t>有效提升市统一身份认证平台服务可用性和安全性。平台可根据各接入业务系统的用户规模和使用需求，独立配置使用策略和安全策略，从而确保认证源的合理使用。</w:t>
      </w:r>
      <w:bookmarkEnd w:id="3"/>
    </w:p>
    <w:p w14:paraId="71D33A00">
      <w:pPr>
        <w:pStyle w:val="18"/>
        <w:numPr>
          <w:ilvl w:val="0"/>
          <w:numId w:val="3"/>
        </w:numPr>
        <w:spacing w:before="0"/>
        <w:ind w:left="0" w:firstLine="426" w:firstLineChars="0"/>
        <w:rPr>
          <w:rFonts w:hint="eastAsia" w:ascii="宋体" w:hAnsi="宋体" w:eastAsia="宋体"/>
        </w:rPr>
      </w:pPr>
      <w:r>
        <w:rPr>
          <w:rFonts w:hint="eastAsia" w:ascii="宋体" w:hAnsi="宋体" w:eastAsia="宋体"/>
        </w:rPr>
        <w:t>市统一身份认证平台接入的各类认证源需配备主通道和备用通道，当主通道服务异常时，系统可自动切换至备用通道，主通道恢复后可自动切回，确保身份认证服务的连续性。</w:t>
      </w:r>
    </w:p>
    <w:p w14:paraId="2E0E7738">
      <w:pPr>
        <w:pStyle w:val="18"/>
        <w:numPr>
          <w:ilvl w:val="0"/>
          <w:numId w:val="3"/>
        </w:numPr>
        <w:spacing w:before="0"/>
        <w:ind w:left="0" w:firstLine="426" w:firstLineChars="0"/>
        <w:rPr>
          <w:rFonts w:hint="eastAsia" w:ascii="宋体" w:hAnsi="宋体" w:eastAsia="宋体"/>
        </w:rPr>
      </w:pPr>
      <w:r>
        <w:rPr>
          <w:rFonts w:hint="eastAsia" w:ascii="宋体" w:hAnsi="宋体" w:eastAsia="宋体"/>
        </w:rPr>
        <w:t>在政府公共服务系统现有登录账户的基础上，扩展市统一身份认证平台认证源支撑能力，增加以自然人的身份四要素、运营商手机号、银联银行卡号、活体检测+人脸识别、微信账户、支付宝账户、短信验证码为核验要素，实现自然人身份认证。</w:t>
      </w:r>
    </w:p>
    <w:p w14:paraId="58C921BC">
      <w:pPr>
        <w:pStyle w:val="18"/>
        <w:numPr>
          <w:ilvl w:val="0"/>
          <w:numId w:val="3"/>
        </w:numPr>
        <w:spacing w:before="0"/>
        <w:ind w:left="0" w:firstLine="426" w:firstLineChars="0"/>
        <w:rPr>
          <w:rFonts w:hint="eastAsia" w:ascii="宋体" w:hAnsi="宋体" w:eastAsia="宋体"/>
        </w:rPr>
      </w:pPr>
      <w:r>
        <w:rPr>
          <w:rFonts w:hint="eastAsia" w:ascii="宋体" w:hAnsi="宋体" w:eastAsia="宋体"/>
        </w:rPr>
        <w:t>市统一身份认证平台接入的各类认证源核验信息应以用户身份证件号码、姓名为核心要素。除核心要素外，身份四要素需包括居民二代身份证有效起止日期，运营商手机号需包括手机号码，银联银行卡号需包括银行卡号和银行预留手机号，活体检测+人脸识别需包括人像信息，微信、支付宝账户需包括帐号信息等要素。</w:t>
      </w:r>
    </w:p>
    <w:p w14:paraId="75E8F297">
      <w:pPr>
        <w:pStyle w:val="18"/>
        <w:numPr>
          <w:ilvl w:val="0"/>
          <w:numId w:val="3"/>
        </w:numPr>
        <w:spacing w:before="0"/>
        <w:ind w:left="0" w:firstLine="426" w:firstLineChars="0"/>
        <w:rPr>
          <w:rFonts w:hint="eastAsia" w:ascii="宋体" w:hAnsi="宋体" w:eastAsia="宋体"/>
        </w:rPr>
      </w:pPr>
      <w:r>
        <w:rPr>
          <w:rFonts w:hint="eastAsia" w:ascii="宋体" w:hAnsi="宋体" w:eastAsia="宋体"/>
        </w:rPr>
        <w:t>通过对接权威认证源，市统一身份认证平台应全面支持新版外国人永居证和非中国籍港澳通行证的在线信息核验能力及人脸识别能力，同时兼容旧版证件的核验需求。</w:t>
      </w:r>
    </w:p>
    <w:p w14:paraId="20B96A86">
      <w:pPr>
        <w:pStyle w:val="18"/>
        <w:numPr>
          <w:ilvl w:val="0"/>
          <w:numId w:val="3"/>
        </w:numPr>
        <w:spacing w:before="0"/>
        <w:ind w:left="0" w:firstLine="426" w:firstLineChars="0"/>
        <w:rPr>
          <w:rFonts w:hint="eastAsia" w:ascii="宋体" w:hAnsi="宋体" w:eastAsia="宋体"/>
        </w:rPr>
      </w:pPr>
      <w:r>
        <w:rPr>
          <w:rFonts w:hint="eastAsia" w:ascii="宋体" w:hAnsi="宋体" w:eastAsia="宋体"/>
        </w:rPr>
        <w:t>通过对接权威认证源，市统一身份认证平台应全面支持广电号段运营商手机号的核验能力，确保平台用户覆盖国内四大电信运营商。</w:t>
      </w:r>
    </w:p>
    <w:p w14:paraId="316664C6">
      <w:pPr>
        <w:pStyle w:val="18"/>
        <w:numPr>
          <w:ilvl w:val="0"/>
          <w:numId w:val="3"/>
        </w:numPr>
        <w:spacing w:before="0"/>
        <w:ind w:left="0" w:firstLine="426" w:firstLineChars="0"/>
        <w:rPr>
          <w:rFonts w:hint="eastAsia" w:ascii="宋体" w:hAnsi="宋体" w:eastAsia="宋体"/>
        </w:rPr>
      </w:pPr>
      <w:r>
        <w:rPr>
          <w:rFonts w:hint="eastAsia" w:ascii="宋体" w:hAnsi="宋体" w:eastAsia="宋体"/>
        </w:rPr>
        <w:t>在</w:t>
      </w:r>
      <w:bookmarkStart w:id="5" w:name="_GoBack"/>
      <w:bookmarkEnd w:id="5"/>
      <w:r>
        <w:rPr>
          <w:rFonts w:hint="eastAsia" w:ascii="宋体" w:hAnsi="宋体" w:eastAsia="宋体"/>
        </w:rPr>
        <w:t>政府公共服务系统现有登录账户的基础上，通过全市各民政社区事务受理中心办理经信委“市民网上实名认证”事项，进行人工核验，实现自然人身份认证。</w:t>
      </w:r>
    </w:p>
    <w:p w14:paraId="2E0DDB8E">
      <w:pPr>
        <w:pStyle w:val="18"/>
        <w:numPr>
          <w:ilvl w:val="0"/>
          <w:numId w:val="3"/>
        </w:numPr>
        <w:spacing w:before="0"/>
        <w:ind w:left="0" w:firstLine="426" w:firstLineChars="0"/>
        <w:rPr>
          <w:rFonts w:hint="eastAsia" w:ascii="宋体" w:hAnsi="宋体" w:eastAsia="宋体"/>
        </w:rPr>
      </w:pPr>
      <w:r>
        <w:rPr>
          <w:rFonts w:hint="eastAsia" w:ascii="宋体" w:hAnsi="宋体" w:eastAsia="宋体"/>
        </w:rPr>
        <w:t>市统一身份认证平台需提供认证复核服务，对有异议的认证结果提供人工受理，并依托权威认证源进行复核。</w:t>
      </w:r>
    </w:p>
    <w:p w14:paraId="2C9D84A9">
      <w:pPr>
        <w:pStyle w:val="18"/>
        <w:numPr>
          <w:ilvl w:val="0"/>
          <w:numId w:val="3"/>
        </w:numPr>
        <w:spacing w:before="0"/>
        <w:ind w:left="0" w:firstLine="426" w:firstLineChars="0"/>
        <w:rPr>
          <w:rFonts w:hint="eastAsia" w:ascii="宋体" w:hAnsi="宋体" w:eastAsia="宋体"/>
        </w:rPr>
      </w:pPr>
      <w:r>
        <w:rPr>
          <w:rFonts w:hint="eastAsia" w:ascii="宋体" w:hAnsi="宋体" w:eastAsia="宋体"/>
        </w:rPr>
        <w:t>要求平台提供安全的数据保障手段和风险控制手段，对与数据源的数据交换采用安全通道并遵循最小化原则。</w:t>
      </w:r>
    </w:p>
    <w:p w14:paraId="1ECACD74">
      <w:pPr>
        <w:pStyle w:val="18"/>
        <w:numPr>
          <w:ilvl w:val="0"/>
          <w:numId w:val="3"/>
        </w:numPr>
        <w:spacing w:before="0"/>
        <w:ind w:left="0" w:firstLine="426" w:firstLineChars="0"/>
        <w:rPr>
          <w:rFonts w:hint="eastAsia" w:ascii="宋体" w:hAnsi="宋体" w:eastAsia="宋体"/>
        </w:rPr>
      </w:pPr>
      <w:r>
        <w:rPr>
          <w:rFonts w:hint="eastAsia" w:ascii="宋体" w:hAnsi="宋体" w:eastAsia="宋体"/>
        </w:rPr>
        <w:t>平台应提供标准的、安全的、通用的、多样化的接口形态，接口均需支持HTTPS身份认证及加密通讯方式，并满足与各类应用系统的集成需求。</w:t>
      </w:r>
    </w:p>
    <w:p w14:paraId="1685FE58">
      <w:pPr>
        <w:pStyle w:val="18"/>
        <w:spacing w:before="0"/>
        <w:ind w:firstLine="422" w:firstLineChars="175"/>
        <w:outlineLvl w:val="1"/>
        <w:rPr>
          <w:rFonts w:hint="eastAsia" w:ascii="仿宋_GB2312" w:hAnsi="仿宋" w:eastAsia="仿宋_GB2312"/>
          <w:b/>
          <w:szCs w:val="21"/>
        </w:rPr>
      </w:pPr>
      <w:r>
        <w:rPr>
          <w:rFonts w:hint="eastAsia" w:ascii="仿宋_GB2312" w:hAnsi="仿宋" w:eastAsia="仿宋_GB2312"/>
          <w:b/>
          <w:szCs w:val="21"/>
        </w:rPr>
        <w:t>（三）性能需求</w:t>
      </w:r>
    </w:p>
    <w:p w14:paraId="29DA06BE">
      <w:pPr>
        <w:pStyle w:val="18"/>
        <w:numPr>
          <w:ilvl w:val="0"/>
          <w:numId w:val="4"/>
        </w:numPr>
        <w:spacing w:before="0"/>
        <w:ind w:left="0" w:firstLine="426" w:firstLineChars="0"/>
        <w:rPr>
          <w:rFonts w:hint="eastAsia" w:ascii="宋体" w:hAnsi="宋体" w:eastAsia="宋体"/>
        </w:rPr>
      </w:pPr>
      <w:r>
        <w:rPr>
          <w:rFonts w:hint="eastAsia" w:ascii="宋体" w:hAnsi="宋体" w:eastAsia="宋体"/>
        </w:rPr>
        <w:t>各类认证源需支持千万级别年度服务量，服务接口在1.5秒内响应结果异常率不超过1%，服务可用率不低于99.99%。</w:t>
      </w:r>
    </w:p>
    <w:p w14:paraId="763EC031">
      <w:pPr>
        <w:pStyle w:val="18"/>
        <w:numPr>
          <w:ilvl w:val="0"/>
          <w:numId w:val="4"/>
        </w:numPr>
        <w:spacing w:before="0"/>
        <w:ind w:left="0" w:firstLine="426" w:firstLineChars="0"/>
        <w:rPr>
          <w:rFonts w:hint="eastAsia" w:ascii="宋体" w:hAnsi="宋体" w:eastAsia="宋体"/>
        </w:rPr>
      </w:pPr>
      <w:r>
        <w:rPr>
          <w:rFonts w:hint="eastAsia" w:ascii="宋体" w:hAnsi="宋体" w:eastAsia="宋体"/>
        </w:rPr>
        <w:t>各类认证源需配备主通道和备用通道，当主通道服务异常时，系统可自动切换至备用通道，主通道恢复后可自动切回，确保身份认证服务的连续性。</w:t>
      </w:r>
    </w:p>
    <w:p w14:paraId="394D0675">
      <w:pPr>
        <w:pStyle w:val="18"/>
        <w:numPr>
          <w:ilvl w:val="0"/>
          <w:numId w:val="4"/>
        </w:numPr>
        <w:spacing w:before="0"/>
        <w:ind w:left="0" w:firstLine="426" w:firstLineChars="0"/>
        <w:rPr>
          <w:rFonts w:hint="eastAsia" w:ascii="宋体" w:hAnsi="宋体" w:eastAsia="宋体"/>
        </w:rPr>
      </w:pPr>
      <w:r>
        <w:rPr>
          <w:rFonts w:hint="eastAsia" w:ascii="宋体" w:hAnsi="宋体" w:eastAsia="宋体"/>
        </w:rPr>
        <w:t>实名身份认证业务的处理速度不小于300次/秒，其中人脸识别认证业务处理速度不小于50次/秒。</w:t>
      </w:r>
    </w:p>
    <w:p w14:paraId="74B7A764">
      <w:pPr>
        <w:pStyle w:val="18"/>
        <w:spacing w:before="0"/>
        <w:ind w:firstLine="422" w:firstLineChars="175"/>
        <w:outlineLvl w:val="1"/>
        <w:rPr>
          <w:rFonts w:hint="eastAsia" w:ascii="仿宋_GB2312" w:hAnsi="仿宋" w:eastAsia="仿宋_GB2312"/>
          <w:b/>
          <w:szCs w:val="21"/>
        </w:rPr>
      </w:pPr>
      <w:r>
        <w:rPr>
          <w:rFonts w:hint="eastAsia" w:ascii="仿宋_GB2312" w:hAnsi="仿宋" w:eastAsia="仿宋_GB2312"/>
          <w:b/>
          <w:szCs w:val="21"/>
        </w:rPr>
        <w:t>（四）其他技术要求</w:t>
      </w:r>
    </w:p>
    <w:p w14:paraId="1E488E1F">
      <w:pPr>
        <w:pStyle w:val="18"/>
        <w:numPr>
          <w:ilvl w:val="0"/>
          <w:numId w:val="5"/>
        </w:numPr>
        <w:spacing w:before="0"/>
        <w:ind w:left="0" w:firstLine="426" w:firstLineChars="0"/>
        <w:rPr>
          <w:rFonts w:hint="eastAsia" w:ascii="宋体" w:hAnsi="宋体" w:eastAsia="宋体"/>
        </w:rPr>
      </w:pPr>
      <w:r>
        <w:rPr>
          <w:rFonts w:hint="eastAsia" w:ascii="宋体" w:hAnsi="宋体" w:eastAsia="宋体"/>
        </w:rPr>
        <w:t>响应供应商需提供7x24 小时全天候在线技术支持及远程故障诊断。对系统或服务发生的故障，供应商需要在30分钟内响应，云服务要求在2小时内确诊（现场排查要求在4小时内确诊）并提出解决方案排除故障。修复时间一般不超过1个工作日。</w:t>
      </w:r>
    </w:p>
    <w:p w14:paraId="2F6861D4">
      <w:pPr>
        <w:pStyle w:val="18"/>
        <w:numPr>
          <w:ilvl w:val="0"/>
          <w:numId w:val="5"/>
        </w:numPr>
        <w:spacing w:before="0"/>
        <w:ind w:left="0" w:firstLine="426" w:firstLineChars="0"/>
        <w:rPr>
          <w:rFonts w:hint="eastAsia" w:ascii="宋体" w:hAnsi="宋体" w:eastAsia="宋体"/>
        </w:rPr>
      </w:pPr>
      <w:r>
        <w:rPr>
          <w:rFonts w:hint="eastAsia" w:ascii="宋体" w:hAnsi="宋体" w:eastAsia="宋体"/>
        </w:rPr>
        <w:t>响应供应商需提交相关服务承诺内容，包括但不限于服务可用性、故障恢复指标。</w:t>
      </w:r>
    </w:p>
    <w:p w14:paraId="5F88989F">
      <w:pPr>
        <w:pStyle w:val="18"/>
        <w:numPr>
          <w:ilvl w:val="0"/>
          <w:numId w:val="5"/>
        </w:numPr>
        <w:spacing w:before="0"/>
        <w:ind w:left="0" w:firstLine="426" w:firstLineChars="0"/>
        <w:rPr>
          <w:rFonts w:hint="eastAsia" w:ascii="宋体" w:hAnsi="宋体" w:eastAsia="宋体"/>
        </w:rPr>
      </w:pPr>
      <w:r>
        <w:rPr>
          <w:rFonts w:hint="eastAsia" w:ascii="宋体" w:hAnsi="宋体" w:eastAsia="宋体"/>
        </w:rPr>
        <w:t>响应供应商需提交认证源服务和服务管理接口安装配置手册、接口文档、系统设计说明书、软件功能清单和软件测试报告。</w:t>
      </w:r>
    </w:p>
    <w:p w14:paraId="0CD106B4">
      <w:pPr>
        <w:pStyle w:val="18"/>
        <w:numPr>
          <w:ilvl w:val="0"/>
          <w:numId w:val="5"/>
        </w:numPr>
        <w:spacing w:before="0"/>
        <w:ind w:left="0" w:firstLine="426" w:firstLineChars="0"/>
        <w:rPr>
          <w:rFonts w:hint="eastAsia" w:ascii="宋体" w:hAnsi="宋体" w:eastAsia="宋体"/>
        </w:rPr>
      </w:pPr>
      <w:r>
        <w:rPr>
          <w:rFonts w:hint="eastAsia" w:ascii="宋体" w:hAnsi="宋体" w:eastAsia="宋体"/>
        </w:rPr>
        <w:t>响应供应商需提交系统日常运维的服务准则和应急响应机制。</w:t>
      </w:r>
    </w:p>
    <w:p w14:paraId="71548B7A">
      <w:pPr>
        <w:pStyle w:val="18"/>
        <w:numPr>
          <w:ilvl w:val="0"/>
          <w:numId w:val="1"/>
        </w:numPr>
        <w:spacing w:before="0"/>
        <w:ind w:firstLineChars="0"/>
        <w:outlineLvl w:val="0"/>
        <w:rPr>
          <w:rFonts w:hint="eastAsia" w:ascii="仿宋_GB2312" w:hAnsi="仿宋" w:eastAsia="仿宋_GB2312"/>
          <w:b/>
          <w:szCs w:val="21"/>
        </w:rPr>
      </w:pPr>
      <w:bookmarkStart w:id="4" w:name="_Hlk134428766"/>
      <w:r>
        <w:rPr>
          <w:rFonts w:hint="eastAsia" w:ascii="仿宋_GB2312" w:hAnsi="仿宋" w:eastAsia="仿宋_GB2312"/>
          <w:b/>
          <w:szCs w:val="21"/>
        </w:rPr>
        <w:t>服务要求</w:t>
      </w:r>
    </w:p>
    <w:bookmarkEnd w:id="4"/>
    <w:p w14:paraId="23E78D29">
      <w:pPr>
        <w:pStyle w:val="18"/>
        <w:spacing w:before="0"/>
        <w:rPr>
          <w:rFonts w:hint="eastAsia" w:asciiTheme="minorEastAsia" w:hAnsiTheme="minorEastAsia" w:eastAsiaTheme="minorEastAsia"/>
        </w:rPr>
      </w:pPr>
      <w:r>
        <w:rPr>
          <w:rFonts w:hint="eastAsia" w:asciiTheme="minorEastAsia" w:hAnsiTheme="minorEastAsia" w:eastAsiaTheme="minorEastAsia"/>
        </w:rPr>
        <w:t>（一）对于认证源反馈的认证失败结果，响应供应商需提供工作日5x8 小时在线实名复核服务。</w:t>
      </w:r>
    </w:p>
    <w:p w14:paraId="1BCAE139">
      <w:pPr>
        <w:pStyle w:val="18"/>
        <w:spacing w:before="0"/>
        <w:rPr>
          <w:rFonts w:hint="eastAsia" w:asciiTheme="minorEastAsia" w:hAnsiTheme="minorEastAsia" w:eastAsiaTheme="minorEastAsia"/>
        </w:rPr>
      </w:pPr>
      <w:r>
        <w:rPr>
          <w:rFonts w:hint="eastAsia" w:asciiTheme="minorEastAsia" w:hAnsiTheme="minorEastAsia" w:eastAsiaTheme="minorEastAsia"/>
        </w:rPr>
        <w:t>（二）技术支持和实名复核服务要求能根据实际情况提供网站、热线电话、邮件或者即时通讯、远程支持、现场支持服务等。需在本地有专业化的产品运营团队、技术支持团队和专家团队，实时响应项目中的突发风险。</w:t>
      </w:r>
    </w:p>
    <w:p w14:paraId="6A11221B">
      <w:pPr>
        <w:pStyle w:val="18"/>
        <w:spacing w:before="0"/>
        <w:rPr>
          <w:rFonts w:hint="eastAsia" w:asciiTheme="minorEastAsia" w:hAnsiTheme="minorEastAsia" w:eastAsiaTheme="minorEastAsia"/>
        </w:rPr>
      </w:pPr>
      <w:r>
        <w:rPr>
          <w:rFonts w:hint="eastAsia" w:asciiTheme="minorEastAsia" w:hAnsiTheme="minorEastAsia" w:eastAsiaTheme="minorEastAsia"/>
        </w:rPr>
        <w:t>（三）要求针对各类使用本项目服务的业务单位的业务特点和用户认知程度，提出系统且有针对性的培训服务。</w:t>
      </w:r>
    </w:p>
    <w:p w14:paraId="183E0EEE">
      <w:pPr>
        <w:pStyle w:val="18"/>
        <w:numPr>
          <w:ilvl w:val="0"/>
          <w:numId w:val="1"/>
        </w:numPr>
        <w:spacing w:before="0"/>
        <w:ind w:firstLineChars="0"/>
        <w:outlineLvl w:val="0"/>
        <w:rPr>
          <w:rFonts w:hint="eastAsia" w:ascii="仿宋_GB2312" w:hAnsi="仿宋" w:eastAsia="仿宋_GB2312"/>
          <w:b/>
          <w:szCs w:val="21"/>
        </w:rPr>
      </w:pPr>
      <w:r>
        <w:rPr>
          <w:rFonts w:hint="eastAsia" w:ascii="仿宋_GB2312" w:hAnsi="仿宋" w:eastAsia="仿宋_GB2312"/>
          <w:b/>
          <w:szCs w:val="21"/>
        </w:rPr>
        <w:t>项目团队及人员要求</w:t>
      </w:r>
    </w:p>
    <w:p w14:paraId="7FCCD1AB">
      <w:pPr>
        <w:pStyle w:val="18"/>
        <w:spacing w:before="0"/>
        <w:ind w:firstLineChars="0"/>
        <w:rPr>
          <w:rFonts w:hint="eastAsia" w:ascii="宋体" w:hAnsi="宋体" w:eastAsia="宋体"/>
        </w:rPr>
      </w:pPr>
      <w:r>
        <w:rPr>
          <w:rFonts w:hint="eastAsia" w:ascii="宋体" w:hAnsi="宋体" w:eastAsia="宋体"/>
        </w:rPr>
        <w:t>供应商具有稳定的在职技术保障力量，能够提供及时的技术支援或服务，应针对本项目提供不少于20人的项目服务团队（包括项目经理、产品经理、研发等），供应商的相关服务人员需具备相应的服务能力，具有信息系统项目管理师、系统分析师、系统架构设计师等高级资格证书。</w:t>
      </w:r>
    </w:p>
    <w:tbl>
      <w:tblPr>
        <w:tblStyle w:val="12"/>
        <w:tblW w:w="9064"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2019"/>
        <w:gridCol w:w="1435"/>
        <w:gridCol w:w="3232"/>
        <w:gridCol w:w="1191"/>
      </w:tblGrid>
      <w:tr w14:paraId="36942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right"/>
        </w:trPr>
        <w:tc>
          <w:tcPr>
            <w:tcW w:w="0" w:type="auto"/>
            <w:shd w:val="clear" w:color="auto" w:fill="auto"/>
            <w:noWrap/>
            <w:vAlign w:val="center"/>
          </w:tcPr>
          <w:p w14:paraId="499C020E">
            <w:pPr>
              <w:widowControl/>
              <w:rPr>
                <w:b/>
                <w:szCs w:val="21"/>
              </w:rPr>
            </w:pPr>
            <w:r>
              <w:rPr>
                <w:rFonts w:hint="eastAsia"/>
                <w:b/>
                <w:szCs w:val="21"/>
              </w:rPr>
              <w:t>角色</w:t>
            </w:r>
          </w:p>
        </w:tc>
        <w:tc>
          <w:tcPr>
            <w:tcW w:w="2019" w:type="dxa"/>
            <w:shd w:val="clear" w:color="auto" w:fill="auto"/>
            <w:noWrap/>
            <w:vAlign w:val="center"/>
          </w:tcPr>
          <w:p w14:paraId="5128A985">
            <w:pPr>
              <w:widowControl/>
              <w:rPr>
                <w:b/>
                <w:szCs w:val="21"/>
              </w:rPr>
            </w:pPr>
            <w:r>
              <w:rPr>
                <w:rFonts w:hint="eastAsia"/>
                <w:b/>
                <w:szCs w:val="21"/>
              </w:rPr>
              <w:t>主要职责</w:t>
            </w:r>
          </w:p>
        </w:tc>
        <w:tc>
          <w:tcPr>
            <w:tcW w:w="1435" w:type="dxa"/>
            <w:shd w:val="clear" w:color="auto" w:fill="auto"/>
            <w:noWrap/>
            <w:vAlign w:val="center"/>
          </w:tcPr>
          <w:p w14:paraId="3A70627A">
            <w:pPr>
              <w:widowControl/>
              <w:rPr>
                <w:b/>
                <w:szCs w:val="21"/>
              </w:rPr>
            </w:pPr>
            <w:r>
              <w:rPr>
                <w:rFonts w:hint="eastAsia"/>
                <w:b/>
                <w:szCs w:val="21"/>
              </w:rPr>
              <w:t>人员数量</w:t>
            </w:r>
          </w:p>
        </w:tc>
        <w:tc>
          <w:tcPr>
            <w:tcW w:w="3232" w:type="dxa"/>
            <w:vAlign w:val="center"/>
          </w:tcPr>
          <w:p w14:paraId="028745AA">
            <w:pPr>
              <w:widowControl/>
              <w:rPr>
                <w:b/>
                <w:szCs w:val="21"/>
              </w:rPr>
            </w:pPr>
            <w:r>
              <w:rPr>
                <w:rFonts w:hint="eastAsia"/>
                <w:b/>
                <w:szCs w:val="21"/>
              </w:rPr>
              <w:t>人员要求</w:t>
            </w:r>
          </w:p>
        </w:tc>
        <w:tc>
          <w:tcPr>
            <w:tcW w:w="0" w:type="auto"/>
            <w:shd w:val="clear" w:color="auto" w:fill="auto"/>
            <w:noWrap/>
            <w:vAlign w:val="center"/>
          </w:tcPr>
          <w:p w14:paraId="7037CA16">
            <w:pPr>
              <w:widowControl/>
              <w:rPr>
                <w:b/>
                <w:szCs w:val="21"/>
              </w:rPr>
            </w:pPr>
            <w:r>
              <w:rPr>
                <w:rFonts w:hint="eastAsia"/>
                <w:b/>
                <w:szCs w:val="21"/>
              </w:rPr>
              <w:t>驻场要求</w:t>
            </w:r>
          </w:p>
        </w:tc>
      </w:tr>
      <w:tr w14:paraId="41DC1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right"/>
        </w:trPr>
        <w:tc>
          <w:tcPr>
            <w:tcW w:w="0" w:type="auto"/>
            <w:shd w:val="clear" w:color="auto" w:fill="auto"/>
            <w:noWrap/>
            <w:vAlign w:val="center"/>
          </w:tcPr>
          <w:p w14:paraId="16D50982">
            <w:pPr>
              <w:widowControl/>
              <w:rPr>
                <w:szCs w:val="21"/>
              </w:rPr>
            </w:pPr>
            <w:r>
              <w:rPr>
                <w:szCs w:val="21"/>
              </w:rPr>
              <w:t>项目经理</w:t>
            </w:r>
          </w:p>
        </w:tc>
        <w:tc>
          <w:tcPr>
            <w:tcW w:w="2019" w:type="dxa"/>
            <w:shd w:val="clear" w:color="auto" w:fill="auto"/>
            <w:vAlign w:val="center"/>
          </w:tcPr>
          <w:p w14:paraId="217D829B">
            <w:pPr>
              <w:widowControl/>
              <w:rPr>
                <w:szCs w:val="21"/>
              </w:rPr>
            </w:pPr>
            <w:r>
              <w:rPr>
                <w:szCs w:val="21"/>
              </w:rPr>
              <w:t>负责项目质量和进度控制</w:t>
            </w:r>
          </w:p>
        </w:tc>
        <w:tc>
          <w:tcPr>
            <w:tcW w:w="1435" w:type="dxa"/>
            <w:shd w:val="clear" w:color="auto" w:fill="auto"/>
            <w:noWrap/>
            <w:vAlign w:val="center"/>
          </w:tcPr>
          <w:p w14:paraId="57881790">
            <w:pPr>
              <w:widowControl/>
              <w:rPr>
                <w:szCs w:val="21"/>
              </w:rPr>
            </w:pPr>
            <w:r>
              <w:rPr>
                <w:rFonts w:hint="eastAsia"/>
                <w:szCs w:val="21"/>
              </w:rPr>
              <w:t>1</w:t>
            </w:r>
            <w:r>
              <w:rPr>
                <w:szCs w:val="21"/>
              </w:rPr>
              <w:t>人</w:t>
            </w:r>
          </w:p>
        </w:tc>
        <w:tc>
          <w:tcPr>
            <w:tcW w:w="3232" w:type="dxa"/>
            <w:vAlign w:val="center"/>
          </w:tcPr>
          <w:p w14:paraId="1C54D4B0">
            <w:pPr>
              <w:widowControl/>
              <w:rPr>
                <w:szCs w:val="21"/>
              </w:rPr>
            </w:pPr>
            <w:r>
              <w:rPr>
                <w:rFonts w:hint="eastAsia"/>
                <w:szCs w:val="21"/>
              </w:rPr>
              <w:t>具有</w:t>
            </w:r>
            <w:r>
              <w:rPr>
                <w:szCs w:val="21"/>
              </w:rPr>
              <w:t>高级工程师职称，</w:t>
            </w:r>
            <w:r>
              <w:rPr>
                <w:rFonts w:hint="eastAsia"/>
                <w:szCs w:val="21"/>
              </w:rPr>
              <w:t>具备信息化项目经验3年以上。</w:t>
            </w:r>
          </w:p>
        </w:tc>
        <w:tc>
          <w:tcPr>
            <w:tcW w:w="0" w:type="auto"/>
            <w:shd w:val="clear" w:color="auto" w:fill="auto"/>
            <w:noWrap/>
            <w:vAlign w:val="center"/>
          </w:tcPr>
          <w:p w14:paraId="05D9A131">
            <w:pPr>
              <w:widowControl/>
              <w:rPr>
                <w:szCs w:val="21"/>
              </w:rPr>
            </w:pPr>
            <w:r>
              <w:rPr>
                <w:rFonts w:hint="eastAsia"/>
                <w:szCs w:val="21"/>
              </w:rPr>
              <w:t>无</w:t>
            </w:r>
          </w:p>
        </w:tc>
      </w:tr>
      <w:tr w14:paraId="4E796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right"/>
        </w:trPr>
        <w:tc>
          <w:tcPr>
            <w:tcW w:w="0" w:type="auto"/>
            <w:shd w:val="clear" w:color="auto" w:fill="auto"/>
            <w:noWrap/>
            <w:vAlign w:val="center"/>
          </w:tcPr>
          <w:p w14:paraId="659F8251">
            <w:pPr>
              <w:widowControl/>
              <w:rPr>
                <w:szCs w:val="21"/>
              </w:rPr>
            </w:pPr>
            <w:r>
              <w:rPr>
                <w:szCs w:val="21"/>
              </w:rPr>
              <w:t>产品经理</w:t>
            </w:r>
          </w:p>
        </w:tc>
        <w:tc>
          <w:tcPr>
            <w:tcW w:w="2019" w:type="dxa"/>
            <w:shd w:val="clear" w:color="auto" w:fill="auto"/>
            <w:vAlign w:val="center"/>
          </w:tcPr>
          <w:p w14:paraId="69A7E1C1">
            <w:pPr>
              <w:widowControl/>
              <w:rPr>
                <w:szCs w:val="21"/>
              </w:rPr>
            </w:pPr>
            <w:r>
              <w:rPr>
                <w:szCs w:val="21"/>
              </w:rPr>
              <w:t>负责项目需求评估与产品设计</w:t>
            </w:r>
          </w:p>
        </w:tc>
        <w:tc>
          <w:tcPr>
            <w:tcW w:w="1435" w:type="dxa"/>
            <w:shd w:val="clear" w:color="auto" w:fill="auto"/>
            <w:noWrap/>
            <w:vAlign w:val="center"/>
          </w:tcPr>
          <w:p w14:paraId="2EB5A8FF">
            <w:pPr>
              <w:widowControl/>
              <w:rPr>
                <w:szCs w:val="21"/>
              </w:rPr>
            </w:pPr>
            <w:r>
              <w:rPr>
                <w:rFonts w:hint="eastAsia"/>
                <w:szCs w:val="21"/>
              </w:rPr>
              <w:t>1</w:t>
            </w:r>
            <w:r>
              <w:rPr>
                <w:szCs w:val="21"/>
              </w:rPr>
              <w:t>人</w:t>
            </w:r>
          </w:p>
        </w:tc>
        <w:tc>
          <w:tcPr>
            <w:tcW w:w="3232" w:type="dxa"/>
            <w:vAlign w:val="center"/>
          </w:tcPr>
          <w:p w14:paraId="0E8BD7A9">
            <w:pPr>
              <w:widowControl/>
              <w:rPr>
                <w:szCs w:val="21"/>
              </w:rPr>
            </w:pPr>
            <w:r>
              <w:rPr>
                <w:rFonts w:hint="eastAsia"/>
                <w:szCs w:val="21"/>
              </w:rPr>
              <w:t>具有</w:t>
            </w:r>
            <w:r>
              <w:rPr>
                <w:szCs w:val="21"/>
              </w:rPr>
              <w:t>高级工程师职称</w:t>
            </w:r>
            <w:r>
              <w:rPr>
                <w:rFonts w:hint="eastAsia"/>
                <w:szCs w:val="21"/>
              </w:rPr>
              <w:t>，具备类似项目经验2年以上</w:t>
            </w:r>
          </w:p>
        </w:tc>
        <w:tc>
          <w:tcPr>
            <w:tcW w:w="0" w:type="auto"/>
            <w:shd w:val="clear" w:color="auto" w:fill="auto"/>
            <w:noWrap/>
            <w:vAlign w:val="center"/>
          </w:tcPr>
          <w:p w14:paraId="43BD9842">
            <w:pPr>
              <w:widowControl/>
              <w:rPr>
                <w:szCs w:val="21"/>
              </w:rPr>
            </w:pPr>
            <w:r>
              <w:rPr>
                <w:rFonts w:hint="eastAsia"/>
                <w:szCs w:val="21"/>
              </w:rPr>
              <w:t>无</w:t>
            </w:r>
          </w:p>
        </w:tc>
      </w:tr>
      <w:tr w14:paraId="05B9B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right"/>
        </w:trPr>
        <w:tc>
          <w:tcPr>
            <w:tcW w:w="0" w:type="auto"/>
            <w:shd w:val="clear" w:color="auto" w:fill="auto"/>
            <w:noWrap/>
            <w:vAlign w:val="center"/>
          </w:tcPr>
          <w:p w14:paraId="39937FB6">
            <w:pPr>
              <w:widowControl/>
              <w:rPr>
                <w:szCs w:val="21"/>
              </w:rPr>
            </w:pPr>
            <w:r>
              <w:rPr>
                <w:szCs w:val="21"/>
              </w:rPr>
              <w:t>研发</w:t>
            </w:r>
          </w:p>
        </w:tc>
        <w:tc>
          <w:tcPr>
            <w:tcW w:w="2019" w:type="dxa"/>
            <w:shd w:val="clear" w:color="auto" w:fill="auto"/>
            <w:noWrap/>
            <w:vAlign w:val="center"/>
          </w:tcPr>
          <w:p w14:paraId="4090D962">
            <w:pPr>
              <w:widowControl/>
              <w:rPr>
                <w:szCs w:val="21"/>
              </w:rPr>
            </w:pPr>
            <w:r>
              <w:rPr>
                <w:szCs w:val="21"/>
              </w:rPr>
              <w:t>负责项目具体开发与实施</w:t>
            </w:r>
          </w:p>
        </w:tc>
        <w:tc>
          <w:tcPr>
            <w:tcW w:w="1435" w:type="dxa"/>
            <w:shd w:val="clear" w:color="auto" w:fill="auto"/>
            <w:noWrap/>
            <w:vAlign w:val="center"/>
          </w:tcPr>
          <w:p w14:paraId="63C01E16">
            <w:pPr>
              <w:widowControl/>
              <w:rPr>
                <w:szCs w:val="21"/>
              </w:rPr>
            </w:pPr>
            <w:r>
              <w:rPr>
                <w:szCs w:val="21"/>
              </w:rPr>
              <w:t>18人</w:t>
            </w:r>
          </w:p>
        </w:tc>
        <w:tc>
          <w:tcPr>
            <w:tcW w:w="3232" w:type="dxa"/>
            <w:vAlign w:val="center"/>
          </w:tcPr>
          <w:p w14:paraId="76EFB440">
            <w:pPr>
              <w:widowControl/>
              <w:rPr>
                <w:szCs w:val="21"/>
              </w:rPr>
            </w:pPr>
            <w:r>
              <w:rPr>
                <w:szCs w:val="21"/>
              </w:rPr>
              <w:t>需包含技术负责人</w:t>
            </w:r>
            <w:r>
              <w:rPr>
                <w:rFonts w:hint="eastAsia"/>
                <w:szCs w:val="21"/>
              </w:rPr>
              <w:t>，具有信息系统项目管理师、系统分析师、系统架构设计师等高级资格证书。</w:t>
            </w:r>
          </w:p>
        </w:tc>
        <w:tc>
          <w:tcPr>
            <w:tcW w:w="0" w:type="auto"/>
            <w:shd w:val="clear" w:color="auto" w:fill="auto"/>
            <w:noWrap/>
            <w:vAlign w:val="center"/>
          </w:tcPr>
          <w:p w14:paraId="6998FFF5">
            <w:pPr>
              <w:widowControl/>
              <w:rPr>
                <w:szCs w:val="21"/>
              </w:rPr>
            </w:pPr>
            <w:r>
              <w:rPr>
                <w:rFonts w:hint="eastAsia"/>
                <w:szCs w:val="21"/>
              </w:rPr>
              <w:t>无</w:t>
            </w:r>
          </w:p>
        </w:tc>
      </w:tr>
    </w:tbl>
    <w:p w14:paraId="2DA3A29E">
      <w:pPr>
        <w:pStyle w:val="18"/>
        <w:spacing w:before="0"/>
        <w:ind w:firstLineChars="0"/>
        <w:rPr>
          <w:rFonts w:hint="eastAsia" w:ascii="宋体" w:hAnsi="宋体"/>
        </w:rPr>
      </w:pPr>
      <w:r>
        <w:rPr>
          <w:rFonts w:hint="eastAsia" w:ascii="宋体" w:hAnsi="宋体" w:eastAsia="宋体"/>
        </w:rPr>
        <w:t>供应商须针对本项目成立不少于4人的质保期间支撑团队，且有具有信息系统项目管理师（高级）的人员优先考虑。涉及重大调整及变更事宜且对现有业务系统运行可能产生重大影响的操作，供应商需提前告知采购人并安排相关技术人员提供现场保障支持，以保证业务的连续性，相关服务人员需具备相应的服务能力。</w:t>
      </w:r>
    </w:p>
    <w:tbl>
      <w:tblPr>
        <w:tblStyle w:val="12"/>
        <w:tblW w:w="9115"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1505"/>
        <w:gridCol w:w="1350"/>
        <w:gridCol w:w="2024"/>
        <w:gridCol w:w="3207"/>
      </w:tblGrid>
      <w:tr w14:paraId="32618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right"/>
        </w:trPr>
        <w:tc>
          <w:tcPr>
            <w:tcW w:w="1029" w:type="dxa"/>
            <w:shd w:val="clear" w:color="auto" w:fill="auto"/>
            <w:noWrap/>
            <w:vAlign w:val="center"/>
          </w:tcPr>
          <w:p w14:paraId="4E326B95">
            <w:pPr>
              <w:widowControl/>
              <w:rPr>
                <w:b/>
                <w:szCs w:val="21"/>
              </w:rPr>
            </w:pPr>
            <w:r>
              <w:rPr>
                <w:rFonts w:hint="eastAsia"/>
                <w:b/>
                <w:szCs w:val="21"/>
              </w:rPr>
              <w:t>角色</w:t>
            </w:r>
          </w:p>
        </w:tc>
        <w:tc>
          <w:tcPr>
            <w:tcW w:w="1505" w:type="dxa"/>
            <w:shd w:val="clear" w:color="auto" w:fill="auto"/>
            <w:noWrap/>
            <w:vAlign w:val="center"/>
          </w:tcPr>
          <w:p w14:paraId="10B5354D">
            <w:pPr>
              <w:widowControl/>
              <w:rPr>
                <w:b/>
                <w:szCs w:val="21"/>
              </w:rPr>
            </w:pPr>
            <w:r>
              <w:rPr>
                <w:rFonts w:hint="eastAsia"/>
                <w:b/>
                <w:szCs w:val="21"/>
              </w:rPr>
              <w:t>主要职责</w:t>
            </w:r>
          </w:p>
        </w:tc>
        <w:tc>
          <w:tcPr>
            <w:tcW w:w="1350" w:type="dxa"/>
            <w:shd w:val="clear" w:color="auto" w:fill="auto"/>
            <w:noWrap/>
            <w:vAlign w:val="center"/>
          </w:tcPr>
          <w:p w14:paraId="0627110A">
            <w:pPr>
              <w:widowControl/>
              <w:rPr>
                <w:b/>
                <w:szCs w:val="21"/>
              </w:rPr>
            </w:pPr>
            <w:r>
              <w:rPr>
                <w:rFonts w:hint="eastAsia"/>
                <w:b/>
                <w:szCs w:val="21"/>
              </w:rPr>
              <w:t>人员数量</w:t>
            </w:r>
          </w:p>
        </w:tc>
        <w:tc>
          <w:tcPr>
            <w:tcW w:w="2024" w:type="dxa"/>
            <w:vAlign w:val="center"/>
          </w:tcPr>
          <w:p w14:paraId="06138341">
            <w:pPr>
              <w:widowControl/>
              <w:rPr>
                <w:b/>
                <w:szCs w:val="21"/>
              </w:rPr>
            </w:pPr>
            <w:r>
              <w:rPr>
                <w:rFonts w:hint="eastAsia"/>
                <w:b/>
                <w:szCs w:val="21"/>
              </w:rPr>
              <w:t>人员要求</w:t>
            </w:r>
          </w:p>
        </w:tc>
        <w:tc>
          <w:tcPr>
            <w:tcW w:w="3207" w:type="dxa"/>
            <w:shd w:val="clear" w:color="auto" w:fill="auto"/>
            <w:noWrap/>
            <w:vAlign w:val="center"/>
          </w:tcPr>
          <w:p w14:paraId="6CE7EDF2">
            <w:pPr>
              <w:widowControl/>
              <w:rPr>
                <w:b/>
                <w:szCs w:val="21"/>
              </w:rPr>
            </w:pPr>
            <w:r>
              <w:rPr>
                <w:rFonts w:hint="eastAsia"/>
                <w:b/>
                <w:szCs w:val="21"/>
              </w:rPr>
              <w:t>驻场要求</w:t>
            </w:r>
          </w:p>
        </w:tc>
      </w:tr>
      <w:tr w14:paraId="78F2D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right"/>
        </w:trPr>
        <w:tc>
          <w:tcPr>
            <w:tcW w:w="1029" w:type="dxa"/>
            <w:shd w:val="clear" w:color="auto" w:fill="auto"/>
            <w:noWrap/>
            <w:vAlign w:val="center"/>
          </w:tcPr>
          <w:p w14:paraId="51ABBE4E">
            <w:pPr>
              <w:widowControl/>
              <w:rPr>
                <w:szCs w:val="21"/>
              </w:rPr>
            </w:pPr>
            <w:r>
              <w:rPr>
                <w:szCs w:val="21"/>
              </w:rPr>
              <w:t>项目经理</w:t>
            </w:r>
          </w:p>
        </w:tc>
        <w:tc>
          <w:tcPr>
            <w:tcW w:w="1505" w:type="dxa"/>
            <w:shd w:val="clear" w:color="auto" w:fill="auto"/>
            <w:vAlign w:val="center"/>
          </w:tcPr>
          <w:p w14:paraId="3E1C71CE">
            <w:pPr>
              <w:widowControl/>
              <w:rPr>
                <w:szCs w:val="21"/>
              </w:rPr>
            </w:pPr>
            <w:r>
              <w:rPr>
                <w:szCs w:val="21"/>
              </w:rPr>
              <w:t>负责项目质量和进度控制</w:t>
            </w:r>
          </w:p>
        </w:tc>
        <w:tc>
          <w:tcPr>
            <w:tcW w:w="1350" w:type="dxa"/>
            <w:shd w:val="clear" w:color="auto" w:fill="auto"/>
            <w:noWrap/>
            <w:vAlign w:val="center"/>
          </w:tcPr>
          <w:p w14:paraId="0E85A709">
            <w:pPr>
              <w:widowControl/>
              <w:rPr>
                <w:szCs w:val="21"/>
              </w:rPr>
            </w:pPr>
            <w:r>
              <w:rPr>
                <w:szCs w:val="21"/>
              </w:rPr>
              <w:t>1人</w:t>
            </w:r>
          </w:p>
        </w:tc>
        <w:tc>
          <w:tcPr>
            <w:tcW w:w="2024" w:type="dxa"/>
            <w:vAlign w:val="center"/>
          </w:tcPr>
          <w:p w14:paraId="4A2EDFE6">
            <w:pPr>
              <w:widowControl/>
              <w:rPr>
                <w:szCs w:val="21"/>
              </w:rPr>
            </w:pPr>
            <w:r>
              <w:rPr>
                <w:szCs w:val="21"/>
              </w:rPr>
              <w:t>具备</w:t>
            </w:r>
            <w:r>
              <w:rPr>
                <w:rFonts w:hint="eastAsia"/>
                <w:szCs w:val="21"/>
              </w:rPr>
              <w:t>类似项目经验3年以上</w:t>
            </w:r>
          </w:p>
        </w:tc>
        <w:tc>
          <w:tcPr>
            <w:tcW w:w="3207" w:type="dxa"/>
            <w:shd w:val="clear" w:color="auto" w:fill="auto"/>
            <w:noWrap/>
            <w:vAlign w:val="center"/>
          </w:tcPr>
          <w:p w14:paraId="5911B3AB">
            <w:pPr>
              <w:widowControl/>
              <w:rPr>
                <w:szCs w:val="21"/>
              </w:rPr>
            </w:pPr>
            <w:r>
              <w:rPr>
                <w:rFonts w:hint="eastAsia"/>
                <w:szCs w:val="21"/>
              </w:rPr>
              <w:t>无</w:t>
            </w:r>
          </w:p>
        </w:tc>
      </w:tr>
      <w:tr w14:paraId="1FBBE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right"/>
        </w:trPr>
        <w:tc>
          <w:tcPr>
            <w:tcW w:w="1029" w:type="dxa"/>
            <w:shd w:val="clear" w:color="auto" w:fill="auto"/>
            <w:noWrap/>
            <w:vAlign w:val="center"/>
          </w:tcPr>
          <w:p w14:paraId="20C316D3">
            <w:pPr>
              <w:widowControl/>
              <w:rPr>
                <w:szCs w:val="21"/>
              </w:rPr>
            </w:pPr>
            <w:r>
              <w:rPr>
                <w:szCs w:val="21"/>
              </w:rPr>
              <w:t>产品经理</w:t>
            </w:r>
          </w:p>
        </w:tc>
        <w:tc>
          <w:tcPr>
            <w:tcW w:w="1505" w:type="dxa"/>
            <w:shd w:val="clear" w:color="auto" w:fill="auto"/>
            <w:vAlign w:val="center"/>
          </w:tcPr>
          <w:p w14:paraId="2710EDFD">
            <w:pPr>
              <w:widowControl/>
              <w:rPr>
                <w:szCs w:val="21"/>
              </w:rPr>
            </w:pPr>
            <w:r>
              <w:rPr>
                <w:szCs w:val="21"/>
              </w:rPr>
              <w:t>负责项目需求评估与产品设计</w:t>
            </w:r>
          </w:p>
        </w:tc>
        <w:tc>
          <w:tcPr>
            <w:tcW w:w="1350" w:type="dxa"/>
            <w:shd w:val="clear" w:color="auto" w:fill="auto"/>
            <w:noWrap/>
            <w:vAlign w:val="center"/>
          </w:tcPr>
          <w:p w14:paraId="0FF3CDE9">
            <w:pPr>
              <w:widowControl/>
              <w:rPr>
                <w:szCs w:val="21"/>
              </w:rPr>
            </w:pPr>
            <w:r>
              <w:rPr>
                <w:szCs w:val="21"/>
              </w:rPr>
              <w:t>1人</w:t>
            </w:r>
          </w:p>
        </w:tc>
        <w:tc>
          <w:tcPr>
            <w:tcW w:w="2024" w:type="dxa"/>
            <w:vAlign w:val="center"/>
          </w:tcPr>
          <w:p w14:paraId="17099218">
            <w:pPr>
              <w:widowControl/>
              <w:rPr>
                <w:szCs w:val="21"/>
              </w:rPr>
            </w:pPr>
            <w:r>
              <w:rPr>
                <w:rFonts w:hint="eastAsia"/>
                <w:szCs w:val="21"/>
              </w:rPr>
              <w:t>需提供对应计算机专业毕业证书</w:t>
            </w:r>
            <w:r>
              <w:rPr>
                <w:szCs w:val="21"/>
              </w:rPr>
              <w:t xml:space="preserve"> </w:t>
            </w:r>
          </w:p>
        </w:tc>
        <w:tc>
          <w:tcPr>
            <w:tcW w:w="3207" w:type="dxa"/>
            <w:shd w:val="clear" w:color="auto" w:fill="auto"/>
            <w:noWrap/>
            <w:vAlign w:val="center"/>
          </w:tcPr>
          <w:p w14:paraId="083AEA39">
            <w:pPr>
              <w:widowControl/>
              <w:rPr>
                <w:szCs w:val="21"/>
              </w:rPr>
            </w:pPr>
            <w:r>
              <w:rPr>
                <w:rFonts w:hint="eastAsia"/>
                <w:szCs w:val="21"/>
              </w:rPr>
              <w:t>无</w:t>
            </w:r>
          </w:p>
        </w:tc>
      </w:tr>
      <w:tr w14:paraId="2980A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right"/>
        </w:trPr>
        <w:tc>
          <w:tcPr>
            <w:tcW w:w="1029" w:type="dxa"/>
            <w:shd w:val="clear" w:color="auto" w:fill="auto"/>
            <w:noWrap/>
            <w:vAlign w:val="center"/>
          </w:tcPr>
          <w:p w14:paraId="1880B130">
            <w:pPr>
              <w:widowControl/>
              <w:rPr>
                <w:szCs w:val="21"/>
              </w:rPr>
            </w:pPr>
            <w:r>
              <w:rPr>
                <w:szCs w:val="21"/>
              </w:rPr>
              <w:t>技术工程师</w:t>
            </w:r>
          </w:p>
        </w:tc>
        <w:tc>
          <w:tcPr>
            <w:tcW w:w="1505" w:type="dxa"/>
            <w:shd w:val="clear" w:color="auto" w:fill="auto"/>
            <w:noWrap/>
            <w:vAlign w:val="center"/>
          </w:tcPr>
          <w:p w14:paraId="567D99F1">
            <w:pPr>
              <w:widowControl/>
              <w:rPr>
                <w:szCs w:val="21"/>
              </w:rPr>
            </w:pPr>
            <w:r>
              <w:rPr>
                <w:szCs w:val="21"/>
              </w:rPr>
              <w:t>负责项目运行维护</w:t>
            </w:r>
          </w:p>
        </w:tc>
        <w:tc>
          <w:tcPr>
            <w:tcW w:w="1350" w:type="dxa"/>
            <w:shd w:val="clear" w:color="auto" w:fill="auto"/>
            <w:noWrap/>
            <w:vAlign w:val="center"/>
          </w:tcPr>
          <w:p w14:paraId="611CD063">
            <w:pPr>
              <w:widowControl/>
              <w:rPr>
                <w:szCs w:val="21"/>
              </w:rPr>
            </w:pPr>
            <w:r>
              <w:rPr>
                <w:szCs w:val="21"/>
              </w:rPr>
              <w:t>2人</w:t>
            </w:r>
          </w:p>
        </w:tc>
        <w:tc>
          <w:tcPr>
            <w:tcW w:w="2024" w:type="dxa"/>
            <w:vAlign w:val="center"/>
          </w:tcPr>
          <w:p w14:paraId="200C25F5">
            <w:pPr>
              <w:widowControl/>
              <w:rPr>
                <w:szCs w:val="21"/>
              </w:rPr>
            </w:pPr>
            <w:r>
              <w:rPr>
                <w:rFonts w:hint="eastAsia"/>
                <w:szCs w:val="21"/>
              </w:rPr>
              <w:t>需提供对应计算机专业毕业证书</w:t>
            </w:r>
          </w:p>
        </w:tc>
        <w:tc>
          <w:tcPr>
            <w:tcW w:w="3207" w:type="dxa"/>
            <w:shd w:val="clear" w:color="auto" w:fill="auto"/>
            <w:noWrap/>
            <w:vAlign w:val="center"/>
          </w:tcPr>
          <w:p w14:paraId="6CF43A56">
            <w:pPr>
              <w:widowControl/>
              <w:rPr>
                <w:szCs w:val="21"/>
              </w:rPr>
            </w:pPr>
            <w:r>
              <w:rPr>
                <w:rFonts w:hint="eastAsia"/>
                <w:szCs w:val="21"/>
              </w:rPr>
              <w:t>项目正式上线后，要求最少驻场1个月，确保项目实施过程中及时响应</w:t>
            </w:r>
          </w:p>
        </w:tc>
      </w:tr>
    </w:tbl>
    <w:p w14:paraId="58E0137D">
      <w:pPr>
        <w:pStyle w:val="18"/>
        <w:numPr>
          <w:ilvl w:val="0"/>
          <w:numId w:val="1"/>
        </w:numPr>
        <w:spacing w:before="0"/>
        <w:ind w:firstLineChars="0"/>
        <w:outlineLvl w:val="0"/>
        <w:rPr>
          <w:rFonts w:hint="eastAsia" w:ascii="仿宋_GB2312" w:hAnsi="仿宋" w:eastAsia="仿宋_GB2312"/>
          <w:b/>
          <w:szCs w:val="21"/>
        </w:rPr>
      </w:pPr>
      <w:r>
        <w:rPr>
          <w:rFonts w:hint="eastAsia" w:ascii="仿宋_GB2312" w:hAnsi="仿宋" w:eastAsia="仿宋_GB2312"/>
          <w:b/>
          <w:szCs w:val="21"/>
        </w:rPr>
        <w:t>供应商能力要求</w:t>
      </w:r>
    </w:p>
    <w:p w14:paraId="13B874AC">
      <w:pPr>
        <w:pStyle w:val="18"/>
        <w:spacing w:before="0"/>
        <w:ind w:firstLine="42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供应商具备类似项目服务经验，具有ISO9001质量管理体系认证证书、ISO27001信息安全管理体系认证证书；具有ISO27018公有云个人信息身份管理体系证书、ISO27701隐私信息管理体系证书、网上身份统一认证平台类计算机软件著作权优先考虑。</w:t>
      </w:r>
    </w:p>
    <w:sectPr>
      <w:footerReference r:id="rId3" w:type="default"/>
      <w:pgSz w:w="11906" w:h="16838"/>
      <w:pgMar w:top="1843" w:right="1418" w:bottom="184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华文细黑">
    <w:altName w:val="汉仪中等线简"/>
    <w:panose1 w:val="02010600040101010101"/>
    <w:charset w:val="86"/>
    <w:family w:val="auto"/>
    <w:pitch w:val="default"/>
    <w:sig w:usb0="00000000" w:usb1="00000000" w:usb2="00000010" w:usb3="00000000" w:csb0="0004009F" w:csb1="00000000"/>
  </w:font>
  <w:font w:name="汉仪中等线简">
    <w:panose1 w:val="02010600000101010101"/>
    <w:charset w:val="86"/>
    <w:family w:val="auto"/>
    <w:pitch w:val="default"/>
    <w:sig w:usb0="00000001" w:usb1="080E0800" w:usb2="00000002"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04123727"/>
    </w:sdtPr>
    <w:sdtContent>
      <w:p w14:paraId="1513F9B4">
        <w:pPr>
          <w:pStyle w:val="8"/>
          <w:jc w:val="center"/>
        </w:pPr>
        <w:r>
          <w:fldChar w:fldCharType="begin"/>
        </w:r>
        <w:r>
          <w:instrText xml:space="preserve">PAGE   \* MERGEFORMAT</w:instrText>
        </w:r>
        <w:r>
          <w:fldChar w:fldCharType="separate"/>
        </w:r>
        <w:r>
          <w:rPr>
            <w:lang w:val="zh-CN"/>
          </w:rPr>
          <w:t>2</w:t>
        </w:r>
        <w:r>
          <w:fldChar w:fldCharType="end"/>
        </w:r>
      </w:p>
    </w:sdtContent>
  </w:sdt>
  <w:p w14:paraId="55E76750">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AECDD9"/>
    <w:multiLevelType w:val="multilevel"/>
    <w:tmpl w:val="85AECDD9"/>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061CF001"/>
    <w:multiLevelType w:val="multilevel"/>
    <w:tmpl w:val="061CF001"/>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31E55E03"/>
    <w:multiLevelType w:val="multilevel"/>
    <w:tmpl w:val="31E55E03"/>
    <w:lvl w:ilvl="0" w:tentative="0">
      <w:start w:val="1"/>
      <w:numFmt w:val="decimal"/>
      <w:lvlText w:val="%1."/>
      <w:lvlJc w:val="left"/>
      <w:pPr>
        <w:ind w:left="1292" w:hanging="440"/>
      </w:pPr>
    </w:lvl>
    <w:lvl w:ilvl="1" w:tentative="0">
      <w:start w:val="1"/>
      <w:numFmt w:val="lowerLetter"/>
      <w:lvlText w:val="%2)"/>
      <w:lvlJc w:val="left"/>
      <w:pPr>
        <w:ind w:left="1732" w:hanging="440"/>
      </w:pPr>
    </w:lvl>
    <w:lvl w:ilvl="2" w:tentative="0">
      <w:start w:val="1"/>
      <w:numFmt w:val="lowerRoman"/>
      <w:lvlText w:val="%3."/>
      <w:lvlJc w:val="right"/>
      <w:pPr>
        <w:ind w:left="2172" w:hanging="440"/>
      </w:pPr>
    </w:lvl>
    <w:lvl w:ilvl="3" w:tentative="0">
      <w:start w:val="1"/>
      <w:numFmt w:val="decimal"/>
      <w:lvlText w:val="%4."/>
      <w:lvlJc w:val="left"/>
      <w:pPr>
        <w:ind w:left="2612" w:hanging="440"/>
      </w:pPr>
    </w:lvl>
    <w:lvl w:ilvl="4" w:tentative="0">
      <w:start w:val="1"/>
      <w:numFmt w:val="lowerLetter"/>
      <w:lvlText w:val="%5)"/>
      <w:lvlJc w:val="left"/>
      <w:pPr>
        <w:ind w:left="3052" w:hanging="440"/>
      </w:pPr>
    </w:lvl>
    <w:lvl w:ilvl="5" w:tentative="0">
      <w:start w:val="1"/>
      <w:numFmt w:val="lowerRoman"/>
      <w:lvlText w:val="%6."/>
      <w:lvlJc w:val="right"/>
      <w:pPr>
        <w:ind w:left="3492" w:hanging="440"/>
      </w:pPr>
    </w:lvl>
    <w:lvl w:ilvl="6" w:tentative="0">
      <w:start w:val="1"/>
      <w:numFmt w:val="decimal"/>
      <w:lvlText w:val="%7."/>
      <w:lvlJc w:val="left"/>
      <w:pPr>
        <w:ind w:left="3932" w:hanging="440"/>
      </w:pPr>
    </w:lvl>
    <w:lvl w:ilvl="7" w:tentative="0">
      <w:start w:val="1"/>
      <w:numFmt w:val="lowerLetter"/>
      <w:lvlText w:val="%8)"/>
      <w:lvlJc w:val="left"/>
      <w:pPr>
        <w:ind w:left="4372" w:hanging="440"/>
      </w:pPr>
    </w:lvl>
    <w:lvl w:ilvl="8" w:tentative="0">
      <w:start w:val="1"/>
      <w:numFmt w:val="lowerRoman"/>
      <w:lvlText w:val="%9."/>
      <w:lvlJc w:val="right"/>
      <w:pPr>
        <w:ind w:left="4812" w:hanging="440"/>
      </w:pPr>
    </w:lvl>
  </w:abstractNum>
  <w:abstractNum w:abstractNumId="3">
    <w:nsid w:val="469F7488"/>
    <w:multiLevelType w:val="multilevel"/>
    <w:tmpl w:val="469F7488"/>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791749AC"/>
    <w:multiLevelType w:val="singleLevel"/>
    <w:tmpl w:val="791749AC"/>
    <w:lvl w:ilvl="0" w:tentative="0">
      <w:start w:val="1"/>
      <w:numFmt w:val="chineseCounting"/>
      <w:suff w:val="nothing"/>
      <w:lvlText w:val="%1、"/>
      <w:lvlJc w:val="left"/>
      <w:pPr>
        <w:ind w:left="0" w:firstLine="420"/>
      </w:pPr>
      <w:rPr>
        <w:rFonts w:hint="eastAsia"/>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embedSystemFonts/>
  <w:bordersDoNotSurroundHeader w:val="1"/>
  <w:bordersDoNotSurroundFooter w:val="1"/>
  <w:documentProtection w:enforcement="0"/>
  <w:defaultTabStop w:val="420"/>
  <w:drawingGridHorizontalSpacing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hYzhhOTA0YjMyZmZlOWYzZTY4NDhjZjZkMDY0OWMifQ=="/>
  </w:docVars>
  <w:rsids>
    <w:rsidRoot w:val="0055767C"/>
    <w:rsid w:val="00006DB7"/>
    <w:rsid w:val="0000769B"/>
    <w:rsid w:val="00020726"/>
    <w:rsid w:val="000221F6"/>
    <w:rsid w:val="00022BC6"/>
    <w:rsid w:val="00024538"/>
    <w:rsid w:val="000364B7"/>
    <w:rsid w:val="00037CD7"/>
    <w:rsid w:val="00057F28"/>
    <w:rsid w:val="00072FB5"/>
    <w:rsid w:val="000917CF"/>
    <w:rsid w:val="000E19EC"/>
    <w:rsid w:val="000E3122"/>
    <w:rsid w:val="0011495B"/>
    <w:rsid w:val="001630ED"/>
    <w:rsid w:val="00191E9F"/>
    <w:rsid w:val="001947DA"/>
    <w:rsid w:val="001A2D7F"/>
    <w:rsid w:val="001A5DAC"/>
    <w:rsid w:val="001E71FF"/>
    <w:rsid w:val="001F4B4D"/>
    <w:rsid w:val="00200A03"/>
    <w:rsid w:val="002269BB"/>
    <w:rsid w:val="00226E20"/>
    <w:rsid w:val="00227E38"/>
    <w:rsid w:val="00252DB8"/>
    <w:rsid w:val="00265D3C"/>
    <w:rsid w:val="00274ABB"/>
    <w:rsid w:val="00280B0B"/>
    <w:rsid w:val="00281602"/>
    <w:rsid w:val="00282248"/>
    <w:rsid w:val="002A07C3"/>
    <w:rsid w:val="002B3EBC"/>
    <w:rsid w:val="002B78C9"/>
    <w:rsid w:val="002C43E0"/>
    <w:rsid w:val="002E7AE6"/>
    <w:rsid w:val="002F5C49"/>
    <w:rsid w:val="003132F3"/>
    <w:rsid w:val="003141A0"/>
    <w:rsid w:val="00326D53"/>
    <w:rsid w:val="00334176"/>
    <w:rsid w:val="00343B6E"/>
    <w:rsid w:val="0039023B"/>
    <w:rsid w:val="003A05C7"/>
    <w:rsid w:val="003D5383"/>
    <w:rsid w:val="0041277B"/>
    <w:rsid w:val="004166F5"/>
    <w:rsid w:val="004241A3"/>
    <w:rsid w:val="0046178C"/>
    <w:rsid w:val="0048195D"/>
    <w:rsid w:val="004A4252"/>
    <w:rsid w:val="004B215F"/>
    <w:rsid w:val="004E1144"/>
    <w:rsid w:val="004F0B60"/>
    <w:rsid w:val="004F7DB3"/>
    <w:rsid w:val="00504CEF"/>
    <w:rsid w:val="005076D4"/>
    <w:rsid w:val="00526130"/>
    <w:rsid w:val="00550A8B"/>
    <w:rsid w:val="0055767C"/>
    <w:rsid w:val="00561E82"/>
    <w:rsid w:val="005764F5"/>
    <w:rsid w:val="005B6CFF"/>
    <w:rsid w:val="005B6DD3"/>
    <w:rsid w:val="005E1A72"/>
    <w:rsid w:val="005E2DE2"/>
    <w:rsid w:val="005F6203"/>
    <w:rsid w:val="005F6ACB"/>
    <w:rsid w:val="005F73DE"/>
    <w:rsid w:val="006107F7"/>
    <w:rsid w:val="00652F0A"/>
    <w:rsid w:val="00654B9C"/>
    <w:rsid w:val="00680CF2"/>
    <w:rsid w:val="00694129"/>
    <w:rsid w:val="00704CD7"/>
    <w:rsid w:val="00716155"/>
    <w:rsid w:val="0074040A"/>
    <w:rsid w:val="0075520C"/>
    <w:rsid w:val="00762D22"/>
    <w:rsid w:val="00762FDB"/>
    <w:rsid w:val="007757E1"/>
    <w:rsid w:val="00777311"/>
    <w:rsid w:val="00790317"/>
    <w:rsid w:val="007A147E"/>
    <w:rsid w:val="007A567E"/>
    <w:rsid w:val="007E12CE"/>
    <w:rsid w:val="007E2085"/>
    <w:rsid w:val="007F0287"/>
    <w:rsid w:val="007F0B34"/>
    <w:rsid w:val="008047FE"/>
    <w:rsid w:val="00822D51"/>
    <w:rsid w:val="00836B92"/>
    <w:rsid w:val="0085060A"/>
    <w:rsid w:val="00856B97"/>
    <w:rsid w:val="0087174E"/>
    <w:rsid w:val="00892ACB"/>
    <w:rsid w:val="00896720"/>
    <w:rsid w:val="008A0B30"/>
    <w:rsid w:val="008B1D43"/>
    <w:rsid w:val="008B7F4A"/>
    <w:rsid w:val="008C3F15"/>
    <w:rsid w:val="008C5D36"/>
    <w:rsid w:val="008F45E6"/>
    <w:rsid w:val="0095285D"/>
    <w:rsid w:val="00957F79"/>
    <w:rsid w:val="00965417"/>
    <w:rsid w:val="00967861"/>
    <w:rsid w:val="00986322"/>
    <w:rsid w:val="00987EB7"/>
    <w:rsid w:val="009A556C"/>
    <w:rsid w:val="009B59E7"/>
    <w:rsid w:val="009D45B5"/>
    <w:rsid w:val="009D5E76"/>
    <w:rsid w:val="009E3BA2"/>
    <w:rsid w:val="009F60C6"/>
    <w:rsid w:val="00A0422F"/>
    <w:rsid w:val="00A106DC"/>
    <w:rsid w:val="00A22E60"/>
    <w:rsid w:val="00A36F5B"/>
    <w:rsid w:val="00A40374"/>
    <w:rsid w:val="00A53884"/>
    <w:rsid w:val="00A70748"/>
    <w:rsid w:val="00A74028"/>
    <w:rsid w:val="00A836C2"/>
    <w:rsid w:val="00A86160"/>
    <w:rsid w:val="00A96EA8"/>
    <w:rsid w:val="00AB420C"/>
    <w:rsid w:val="00AC2612"/>
    <w:rsid w:val="00AD50E1"/>
    <w:rsid w:val="00AE032C"/>
    <w:rsid w:val="00AF6510"/>
    <w:rsid w:val="00B25478"/>
    <w:rsid w:val="00B43879"/>
    <w:rsid w:val="00B5676B"/>
    <w:rsid w:val="00B67B71"/>
    <w:rsid w:val="00B732D6"/>
    <w:rsid w:val="00B80A04"/>
    <w:rsid w:val="00B86A8F"/>
    <w:rsid w:val="00BA1A3C"/>
    <w:rsid w:val="00BA7B23"/>
    <w:rsid w:val="00BB36CC"/>
    <w:rsid w:val="00BD22BE"/>
    <w:rsid w:val="00BD7FDC"/>
    <w:rsid w:val="00BE50FC"/>
    <w:rsid w:val="00C133D4"/>
    <w:rsid w:val="00C14225"/>
    <w:rsid w:val="00C3218B"/>
    <w:rsid w:val="00C41D3A"/>
    <w:rsid w:val="00C505AC"/>
    <w:rsid w:val="00CB2D38"/>
    <w:rsid w:val="00CB4347"/>
    <w:rsid w:val="00CB5121"/>
    <w:rsid w:val="00CE2190"/>
    <w:rsid w:val="00D106EA"/>
    <w:rsid w:val="00D45FFE"/>
    <w:rsid w:val="00D71BF1"/>
    <w:rsid w:val="00D739AA"/>
    <w:rsid w:val="00D84A10"/>
    <w:rsid w:val="00D8547D"/>
    <w:rsid w:val="00D96567"/>
    <w:rsid w:val="00DB61AA"/>
    <w:rsid w:val="00DB6FAE"/>
    <w:rsid w:val="00DC380E"/>
    <w:rsid w:val="00DD357B"/>
    <w:rsid w:val="00DD3BA1"/>
    <w:rsid w:val="00DF2296"/>
    <w:rsid w:val="00E312B2"/>
    <w:rsid w:val="00E37356"/>
    <w:rsid w:val="00E65165"/>
    <w:rsid w:val="00E70F83"/>
    <w:rsid w:val="00E73CEA"/>
    <w:rsid w:val="00E805E4"/>
    <w:rsid w:val="00EB37E1"/>
    <w:rsid w:val="00EC6BA6"/>
    <w:rsid w:val="00ED08D9"/>
    <w:rsid w:val="00ED158A"/>
    <w:rsid w:val="00F03CC3"/>
    <w:rsid w:val="00F36186"/>
    <w:rsid w:val="00F416F2"/>
    <w:rsid w:val="00FB0D60"/>
    <w:rsid w:val="00FD09F1"/>
    <w:rsid w:val="00FE09D1"/>
    <w:rsid w:val="026775C6"/>
    <w:rsid w:val="04F44D0B"/>
    <w:rsid w:val="084900FD"/>
    <w:rsid w:val="0AE36E18"/>
    <w:rsid w:val="0C550496"/>
    <w:rsid w:val="0DC7674B"/>
    <w:rsid w:val="14A079B1"/>
    <w:rsid w:val="174354E5"/>
    <w:rsid w:val="178564C1"/>
    <w:rsid w:val="1D343E24"/>
    <w:rsid w:val="1D714DCB"/>
    <w:rsid w:val="213528C1"/>
    <w:rsid w:val="21904FD8"/>
    <w:rsid w:val="282829DF"/>
    <w:rsid w:val="285C0D9D"/>
    <w:rsid w:val="286C3D19"/>
    <w:rsid w:val="30406FD1"/>
    <w:rsid w:val="32DB37C6"/>
    <w:rsid w:val="335F5D1D"/>
    <w:rsid w:val="35DE3AAC"/>
    <w:rsid w:val="39D47D02"/>
    <w:rsid w:val="3E4B6C32"/>
    <w:rsid w:val="40230588"/>
    <w:rsid w:val="41263180"/>
    <w:rsid w:val="425D493A"/>
    <w:rsid w:val="43B02687"/>
    <w:rsid w:val="46B25AE4"/>
    <w:rsid w:val="486076F4"/>
    <w:rsid w:val="49C677B9"/>
    <w:rsid w:val="4CA374A9"/>
    <w:rsid w:val="4CBC7149"/>
    <w:rsid w:val="4D2608E1"/>
    <w:rsid w:val="4EC25B50"/>
    <w:rsid w:val="4EFE0169"/>
    <w:rsid w:val="4FF7E05C"/>
    <w:rsid w:val="507773E4"/>
    <w:rsid w:val="53D649D4"/>
    <w:rsid w:val="558F7ED5"/>
    <w:rsid w:val="56625E7D"/>
    <w:rsid w:val="57EF8920"/>
    <w:rsid w:val="57FEC60F"/>
    <w:rsid w:val="586B7546"/>
    <w:rsid w:val="5AF698D2"/>
    <w:rsid w:val="5C241B51"/>
    <w:rsid w:val="5D4B4CC1"/>
    <w:rsid w:val="5ED92B70"/>
    <w:rsid w:val="5F310BD2"/>
    <w:rsid w:val="5FE235B0"/>
    <w:rsid w:val="62DA6E91"/>
    <w:rsid w:val="64FF3EAC"/>
    <w:rsid w:val="678E44EB"/>
    <w:rsid w:val="69FFB8F3"/>
    <w:rsid w:val="6B4F1F87"/>
    <w:rsid w:val="6D626A1B"/>
    <w:rsid w:val="6D915169"/>
    <w:rsid w:val="6F633883"/>
    <w:rsid w:val="7035224D"/>
    <w:rsid w:val="70887172"/>
    <w:rsid w:val="74E11253"/>
    <w:rsid w:val="772D1AC6"/>
    <w:rsid w:val="7D641665"/>
    <w:rsid w:val="7FFB40DC"/>
    <w:rsid w:val="7FFDFF98"/>
    <w:rsid w:val="A7B7B44E"/>
    <w:rsid w:val="BF7A2B11"/>
    <w:rsid w:val="BFEF8CE7"/>
    <w:rsid w:val="FF79D7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3"/>
    <w:qFormat/>
    <w:uiPriority w:val="0"/>
    <w:rPr>
      <w:rFonts w:ascii="宋体"/>
      <w:sz w:val="18"/>
      <w:szCs w:val="18"/>
    </w:rPr>
  </w:style>
  <w:style w:type="paragraph" w:styleId="4">
    <w:name w:val="annotation text"/>
    <w:basedOn w:val="1"/>
    <w:semiHidden/>
    <w:qFormat/>
    <w:uiPriority w:val="0"/>
    <w:pPr>
      <w:jc w:val="left"/>
    </w:pPr>
  </w:style>
  <w:style w:type="paragraph" w:styleId="5">
    <w:name w:val="Body Text"/>
    <w:basedOn w:val="1"/>
    <w:semiHidden/>
    <w:unhideWhenUsed/>
    <w:qFormat/>
    <w:uiPriority w:val="99"/>
    <w:pPr>
      <w:spacing w:after="120"/>
    </w:pPr>
  </w:style>
  <w:style w:type="paragraph" w:styleId="6">
    <w:name w:val="Date"/>
    <w:basedOn w:val="1"/>
    <w:next w:val="1"/>
    <w:link w:val="22"/>
    <w:qFormat/>
    <w:uiPriority w:val="0"/>
    <w:rPr>
      <w:rFonts w:ascii="宋体"/>
      <w:sz w:val="24"/>
      <w:szCs w:val="20"/>
    </w:rPr>
  </w:style>
  <w:style w:type="paragraph" w:styleId="7">
    <w:name w:val="Balloon Text"/>
    <w:basedOn w:val="1"/>
    <w:semiHidden/>
    <w:qFormat/>
    <w:uiPriority w:val="0"/>
    <w:rPr>
      <w:sz w:val="18"/>
      <w:szCs w:val="18"/>
    </w:rPr>
  </w:style>
  <w:style w:type="paragraph" w:styleId="8">
    <w:name w:val="footer"/>
    <w:basedOn w:val="1"/>
    <w:link w:val="20"/>
    <w:qFormat/>
    <w:uiPriority w:val="99"/>
    <w:pPr>
      <w:tabs>
        <w:tab w:val="center" w:pos="4153"/>
        <w:tab w:val="right" w:pos="8306"/>
      </w:tabs>
      <w:snapToGrid w:val="0"/>
      <w:jc w:val="left"/>
    </w:pPr>
    <w:rPr>
      <w:sz w:val="18"/>
      <w:szCs w:val="18"/>
    </w:rPr>
  </w:style>
  <w:style w:type="paragraph" w:styleId="9">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semiHidden/>
    <w:qFormat/>
    <w:uiPriority w:val="0"/>
    <w:rPr>
      <w:b/>
      <w:bCs/>
    </w:rPr>
  </w:style>
  <w:style w:type="character" w:styleId="14">
    <w:name w:val="annotation reference"/>
    <w:basedOn w:val="13"/>
    <w:semiHidden/>
    <w:qFormat/>
    <w:uiPriority w:val="0"/>
    <w:rPr>
      <w:sz w:val="21"/>
      <w:szCs w:val="21"/>
    </w:rPr>
  </w:style>
  <w:style w:type="character" w:customStyle="1" w:styleId="15">
    <w:name w:val="标题 2 字符"/>
    <w:basedOn w:val="13"/>
    <w:link w:val="2"/>
    <w:qFormat/>
    <w:uiPriority w:val="0"/>
    <w:rPr>
      <w:rFonts w:asciiTheme="majorHAnsi" w:hAnsiTheme="majorHAnsi" w:eastAsiaTheme="majorEastAsia" w:cstheme="majorBidi"/>
      <w:b/>
      <w:bCs/>
      <w:kern w:val="2"/>
      <w:sz w:val="32"/>
      <w:szCs w:val="32"/>
    </w:rPr>
  </w:style>
  <w:style w:type="paragraph" w:customStyle="1" w:styleId="16">
    <w:name w:val="a2"/>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列出段落1"/>
    <w:basedOn w:val="1"/>
    <w:qFormat/>
    <w:uiPriority w:val="34"/>
    <w:pPr>
      <w:ind w:firstLine="420" w:firstLineChars="200"/>
    </w:pPr>
  </w:style>
  <w:style w:type="paragraph" w:customStyle="1" w:styleId="18">
    <w:name w:val="方案正文"/>
    <w:basedOn w:val="1"/>
    <w:link w:val="21"/>
    <w:qFormat/>
    <w:uiPriority w:val="0"/>
    <w:pPr>
      <w:spacing w:before="120" w:line="360" w:lineRule="auto"/>
      <w:ind w:firstLine="425" w:firstLineChars="177"/>
    </w:pPr>
    <w:rPr>
      <w:rFonts w:ascii="华文细黑" w:hAnsi="华文细黑" w:eastAsia="华文细黑"/>
      <w:sz w:val="24"/>
    </w:rPr>
  </w:style>
  <w:style w:type="character" w:customStyle="1" w:styleId="19">
    <w:name w:val="页眉 字符"/>
    <w:basedOn w:val="13"/>
    <w:link w:val="9"/>
    <w:qFormat/>
    <w:uiPriority w:val="0"/>
    <w:rPr>
      <w:kern w:val="2"/>
      <w:sz w:val="18"/>
      <w:szCs w:val="18"/>
    </w:rPr>
  </w:style>
  <w:style w:type="character" w:customStyle="1" w:styleId="20">
    <w:name w:val="页脚 字符"/>
    <w:basedOn w:val="13"/>
    <w:link w:val="8"/>
    <w:qFormat/>
    <w:uiPriority w:val="99"/>
    <w:rPr>
      <w:kern w:val="2"/>
      <w:sz w:val="18"/>
      <w:szCs w:val="18"/>
    </w:rPr>
  </w:style>
  <w:style w:type="character" w:customStyle="1" w:styleId="21">
    <w:name w:val="方案正文 Char"/>
    <w:link w:val="18"/>
    <w:qFormat/>
    <w:uiPriority w:val="0"/>
    <w:rPr>
      <w:rFonts w:ascii="华文细黑" w:hAnsi="华文细黑" w:eastAsia="华文细黑"/>
      <w:kern w:val="2"/>
      <w:sz w:val="24"/>
      <w:szCs w:val="24"/>
    </w:rPr>
  </w:style>
  <w:style w:type="character" w:customStyle="1" w:styleId="22">
    <w:name w:val="日期 字符"/>
    <w:basedOn w:val="13"/>
    <w:link w:val="6"/>
    <w:qFormat/>
    <w:uiPriority w:val="0"/>
    <w:rPr>
      <w:rFonts w:ascii="宋体"/>
      <w:kern w:val="2"/>
      <w:sz w:val="24"/>
    </w:rPr>
  </w:style>
  <w:style w:type="character" w:customStyle="1" w:styleId="23">
    <w:name w:val="文档结构图 字符"/>
    <w:basedOn w:val="13"/>
    <w:link w:val="3"/>
    <w:qFormat/>
    <w:uiPriority w:val="0"/>
    <w:rPr>
      <w:rFonts w:ascii="宋体"/>
      <w:kern w:val="2"/>
      <w:sz w:val="18"/>
      <w:szCs w:val="18"/>
    </w:rPr>
  </w:style>
  <w:style w:type="paragraph" w:styleId="24">
    <w:name w:val="List Paragraph"/>
    <w:basedOn w:val="1"/>
    <w:qFormat/>
    <w:uiPriority w:val="34"/>
    <w:pPr>
      <w:ind w:firstLine="420" w:firstLineChars="200"/>
    </w:pPr>
  </w:style>
  <w:style w:type="paragraph" w:customStyle="1" w:styleId="2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2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1840</Words>
  <Characters>1878</Characters>
  <Lines>98</Lines>
  <Paragraphs>97</Paragraphs>
  <TotalTime>1113</TotalTime>
  <ScaleCrop>false</ScaleCrop>
  <LinksUpToDate>false</LinksUpToDate>
  <CharactersWithSpaces>3621</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2024-10-31T21:16:00Z</dcterms:created>
  <dc:creator>Nirvana</dc:creator>
  <cp:lastModifiedBy>user</cp:lastModifiedBy>
  <cp:lastPrinted>2017-04-27T17:55:00Z</cp:lastPrinted>
  <dcterms:modified xsi:type="dcterms:W3CDTF">2025-05-21T08:43:19Z</dcterms:modified>
  <dc:title>RA系统技术招标要求</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ICV">
    <vt:lpwstr>AA7335022DC84445A3214116A3C640CF_13</vt:lpwstr>
  </property>
  <property fmtid="{D5CDD505-2E9C-101B-9397-08002B2CF9AE}" pid="4" name="KSOTemplateDocerSaveRecord">
    <vt:lpwstr>eyJoZGlkIjoiMTZhYzhhOTA0YjMyZmZlOWYzZTY4NDhjZjZkMDY0OWMiLCJ1c2VySWQiOiI0MjYzNjY3MTEifQ==</vt:lpwstr>
  </property>
</Properties>
</file>