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4DC44">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rPr>
      </w:pPr>
    </w:p>
    <w:p w14:paraId="4442EA5B">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rPr>
      </w:pPr>
      <w:r>
        <w:rPr>
          <w:rFonts w:hint="eastAsia" w:ascii="华文中宋" w:hAnsi="华文中宋" w:eastAsia="华文中宋" w:cs="华文中宋"/>
          <w:sz w:val="44"/>
          <w:szCs w:val="44"/>
        </w:rPr>
        <w:t>云计算平台</w:t>
      </w:r>
      <w:r>
        <w:rPr>
          <w:rFonts w:hint="eastAsia" w:ascii="华文中宋" w:hAnsi="华文中宋" w:eastAsia="华文中宋" w:cs="华文中宋"/>
          <w:sz w:val="44"/>
          <w:szCs w:val="44"/>
          <w:lang w:eastAsia="zh-CN"/>
        </w:rPr>
        <w:t>服务采购</w:t>
      </w:r>
      <w:r>
        <w:rPr>
          <w:rFonts w:hint="eastAsia" w:ascii="华文中宋" w:hAnsi="华文中宋" w:eastAsia="华文中宋" w:cs="华文中宋"/>
          <w:sz w:val="44"/>
          <w:szCs w:val="44"/>
        </w:rPr>
        <w:t>需求</w:t>
      </w:r>
    </w:p>
    <w:p w14:paraId="368DBCDF">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rPr>
      </w:pPr>
    </w:p>
    <w:p w14:paraId="5E55FB2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一、总体目标</w:t>
      </w:r>
    </w:p>
    <w:p w14:paraId="64F719D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计算平台项目旨在建立以云为核心，以购买服务的方式，获得计算、存储、软件、运维等不同类型的资源，构建适用于多元化业务资源结构，支持高性能、高可用、高扩展的硬件架构以及软件的服务平台，为上海市部分媒体单位提供高效、稳定、安全的云计算专区服务。</w:t>
      </w:r>
    </w:p>
    <w:p w14:paraId="477FC44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sz w:val="32"/>
          <w:szCs w:val="32"/>
        </w:rPr>
      </w:pPr>
    </w:p>
    <w:p w14:paraId="7FDC7F4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二、服务内容</w:t>
      </w:r>
    </w:p>
    <w:p w14:paraId="2F4D002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(一)基础设施资源服务</w:t>
      </w:r>
    </w:p>
    <w:p w14:paraId="1E714C9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包括机房资源服务、网络资源服务、计算资源服务、存 储资源服务和灾备服务。服务商需要提供满足以下要求的基 础设施资源服务：</w:t>
      </w:r>
    </w:p>
    <w:p w14:paraId="0FDEDE2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所提供的计算资源服务必须满足以下条件：CPU不少于1428核、主机内存不少于3920G、储存空间不少于300T带宽(M)共1500M、cdn境内(M)共1200M;提供超高性能硬盘IO吞吐不低于500MB/s,4K随机读写IOPS不低于20000,容量型硬盘IO吞吐不低于100M/s,4K随机读写IOPS不低于5000。</w:t>
      </w:r>
    </w:p>
    <w:p w14:paraId="519038B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2.所提供的网络资源服务必须提供能国内高速稳定的CDN分发能力，覆盖国内主流运营商，节点总数不少于500个。</w:t>
      </w:r>
      <w:r>
        <w:rPr>
          <w:rFonts w:hint="eastAsia" w:ascii="Times New Roman" w:hAnsi="Times New Roman" w:eastAsia="仿宋_GB2312" w:cs="Times New Roman"/>
          <w:sz w:val="32"/>
          <w:szCs w:val="32"/>
          <w:lang w:eastAsia="zh-CN"/>
        </w:rPr>
        <w:t>本项目需为</w:t>
      </w:r>
      <w:r>
        <w:rPr>
          <w:rFonts w:hint="eastAsia" w:ascii="Times New Roman" w:hAnsi="Times New Roman" w:eastAsia="仿宋_GB2312" w:cs="Times New Roman"/>
          <w:sz w:val="32"/>
          <w:szCs w:val="32"/>
          <w:lang w:val="en-US" w:eastAsia="zh-CN"/>
        </w:rPr>
        <w:t>2家关键媒体提供专线接入，专线带宽不低于20M专线。</w:t>
      </w:r>
    </w:p>
    <w:p w14:paraId="7091549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3.所提供的灾备服务应具备同城灾难业务恢复能力。支持向用户提供业务系统“双活”能力，支持备中心立即切换接管主中心生产任务，对云系统生产业务不产生重大影响，保障用户业务连续性。</w:t>
      </w:r>
    </w:p>
    <w:p w14:paraId="59ECD77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4.服务所提供的云数据中心机房</w:t>
      </w:r>
      <w:r>
        <w:rPr>
          <w:rFonts w:hint="eastAsia" w:ascii="Times New Roman" w:hAnsi="Times New Roman" w:eastAsia="仿宋_GB2312" w:cs="Times New Roman"/>
          <w:sz w:val="32"/>
          <w:szCs w:val="32"/>
          <w:lang w:eastAsia="zh-CN"/>
        </w:rPr>
        <w:t>应当与上海报业大厦（上海市静安区威海路755号）直线距离不超过</w:t>
      </w:r>
      <w:r>
        <w:rPr>
          <w:rFonts w:hint="eastAsia" w:ascii="Times New Roman" w:hAnsi="Times New Roman" w:eastAsia="仿宋_GB2312" w:cs="Times New Roman"/>
          <w:sz w:val="32"/>
          <w:szCs w:val="32"/>
          <w:lang w:val="en-US" w:eastAsia="zh-CN"/>
        </w:rPr>
        <w:t>60Km（以百度地图软件截图为准）</w:t>
      </w:r>
      <w:r>
        <w:rPr>
          <w:rFonts w:hint="default" w:ascii="Times New Roman" w:hAnsi="Times New Roman" w:eastAsia="仿宋_GB2312" w:cs="Times New Roman"/>
          <w:sz w:val="32"/>
          <w:szCs w:val="32"/>
        </w:rPr>
        <w:t>，且</w:t>
      </w:r>
      <w:r>
        <w:rPr>
          <w:rFonts w:hint="eastAsia" w:ascii="Times New Roman" w:hAnsi="Times New Roman" w:eastAsia="仿宋_GB2312" w:cs="Times New Roman"/>
          <w:sz w:val="32"/>
          <w:szCs w:val="32"/>
          <w:lang w:eastAsia="zh-CN"/>
        </w:rPr>
        <w:t>具</w:t>
      </w:r>
      <w:r>
        <w:rPr>
          <w:rFonts w:hint="default" w:ascii="Times New Roman" w:hAnsi="Times New Roman" w:eastAsia="仿宋_GB2312" w:cs="Times New Roman"/>
          <w:sz w:val="32"/>
          <w:szCs w:val="32"/>
        </w:rPr>
        <w:t>有2个及以上的云数据中心物理机房。机房合规要求不低于GB50174-2017《 电子信息系统机房设计规范》中的A级要求，或满足2024ANSI-TIA-942-C中T3级别以上标准。</w:t>
      </w:r>
    </w:p>
    <w:p w14:paraId="794D9F7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所提供的云服务基础环境必须以专区的形式交付，该专区内的主机需与非专区主机形成物理隔离，非专区主机不可放置在专区内。专区内部署的设备和软件都必须是专用的(包括管理节点、计算节点、存储节点、网络节点、安全设备、云平台软件、安全软件)。</w:t>
      </w:r>
    </w:p>
    <w:p w14:paraId="1292DDD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.需提供界面清晰、操作便利的云管平台，</w:t>
      </w:r>
      <w:r>
        <w:rPr>
          <w:rFonts w:hint="eastAsia"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rPr>
        <w:t>需提供协助并安排固定人员配合</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单位使用人使用云管平台。每个月通过云管平台输出资源使用与管理、运行监测分析管理报告。云管平台功能模块包括流程中心、资源中心、配额中心、安全中心、报警中心、监控中心、报表中心、优化中心、可视化大屏等。可针对具体租户输出云资源信息、网络安全信息、网络带宽信息、转码信息等，支撑云资源利用效率不断提升。</w:t>
      </w:r>
    </w:p>
    <w:p w14:paraId="5950921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.所需资源交付时间不得超过7天。</w:t>
      </w:r>
    </w:p>
    <w:p w14:paraId="0F5E9867">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rPr>
      </w:pPr>
    </w:p>
    <w:p w14:paraId="7EA7C58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(二)部署环境支撑和实施协助服务</w:t>
      </w:r>
    </w:p>
    <w:p w14:paraId="7029D98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包括提供操作系统、数据率、中间件等应用支撑软件服务，提供协助完成基础设施、支撑软件、信息安全、运行保障，应用和数据的迁移实施服务。</w:t>
      </w:r>
    </w:p>
    <w:p w14:paraId="0130CDD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目前在用云资源平台共部署有34套应用，全部应用迁移上云时间不超过30天。</w:t>
      </w:r>
    </w:p>
    <w:p w14:paraId="580472F0">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rPr>
      </w:pPr>
    </w:p>
    <w:p w14:paraId="10E7D93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(三)安全服务</w:t>
      </w:r>
    </w:p>
    <w:p w14:paraId="6378210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满足云计算平台云安全工作的需求，提供云平台网络与数据安全。此次安全服务内容依托专业的信息安全，完善信息安全保障体系，提升整体网络安全风险防范能力，以满足“事前可预防、事中可控制、事后可恢复”的信息安全保障需求，保证云计算平台的安全性和稳定性。通过安全维护保障体系和长效工作机制，开展持续的安全维护，加强对重要信息系统的安全保障，提升云计算平台数据安全。</w:t>
      </w:r>
    </w:p>
    <w:p w14:paraId="62CC17C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1.供应商应承诺云计算环境在全部应用迁移上云之前，通过信息系统等级保护三级认证。</w:t>
      </w:r>
    </w:p>
    <w:p w14:paraId="68DD167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2.供应商应承诺云计算环境在全部应用迁移上云之前，通过中央网信办云计算服务安全评估。</w:t>
      </w:r>
    </w:p>
    <w:p w14:paraId="4698377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3.必须提供防火墙、WAF、IPS、数据库审计、网页防算改、主机防护、流量审计、DDOS防护、堡垒机、SSLVPN等较为详尽的安全防护设备。</w:t>
      </w:r>
    </w:p>
    <w:p w14:paraId="1BA166B0">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rPr>
      </w:pPr>
    </w:p>
    <w:p w14:paraId="0210F91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(四)安全监管服务</w:t>
      </w:r>
    </w:p>
    <w:p w14:paraId="2DB1FABC">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rPr>
      </w:pPr>
    </w:p>
    <w:p w14:paraId="602C006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基于云安全监管系统构建一套统一的云安全监测和管理体制，为部署在云平台中的虚拟机提供安全合规性检测、网络连通性监测、网络流量流向监测、网络流量抓包分析等功能，实现云上安全策略有效性分析。</w:t>
      </w:r>
    </w:p>
    <w:p w14:paraId="1389C0F4">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rPr>
      </w:pPr>
    </w:p>
    <w:p w14:paraId="061BB86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(五)备份服务</w:t>
      </w:r>
    </w:p>
    <w:p w14:paraId="2E7F2F0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包括业务数据备份、数据库备份等需求，提供按需部署服务。支持对操作系统的在线完全以及增量备份、对主流数据库的应用进行在线备份，备份容量授权不少于40T。</w:t>
      </w:r>
    </w:p>
    <w:p w14:paraId="1EC2DCDD">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rPr>
      </w:pPr>
    </w:p>
    <w:p w14:paraId="5DF98FC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(六)音视频编转码服务</w:t>
      </w:r>
    </w:p>
    <w:p w14:paraId="5D0F16C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包括音视频编转码需求，提供相应服务能力。所提供的编转码产品服务要求实现多倍速文件转码。任务转码效率不低于8倍速的转换效率，支持多种常见媒体文件格式，支持API标准化接口。</w:t>
      </w:r>
    </w:p>
    <w:p w14:paraId="153B8B3D">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rPr>
      </w:pPr>
    </w:p>
    <w:p w14:paraId="3FA8818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(七)日志记录和分析服务</w:t>
      </w:r>
    </w:p>
    <w:p w14:paraId="4CC7566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详细记录上云应用各环节产生的各类日志信息，在必要时协助开展日志信息的分析服务。包括云资源各类日志需求，提供相应的服务能力。支持包括syslog、apachelog、nginxlog等常见日志格式。支持对日志的可视化展示；日志保存时间不少于180天。</w:t>
      </w:r>
    </w:p>
    <w:p w14:paraId="5393D2DB">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rPr>
      </w:pPr>
    </w:p>
    <w:p w14:paraId="32075D9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(八)运行保障服务</w:t>
      </w:r>
    </w:p>
    <w:p w14:paraId="7F547F2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包括资源监测、资源配置、资源优化、服务监控、事件处理、运维流程、日常巡检、备份恢复、灾备管理、应急预案管理、服务质量监督和报告编制等服务。要求提供7*24 小时专业技术团队的远程服务，必要时提供上门服务。要求普通工单响应时间小于30分钟，故障响应时间小于15分钟，上门服务时间小于2小时。对每一家上云租户提供专门的对接服务经理，并每个季度出具该季度云计算平台服务情况报告，每年度出 具该年度云服务总结报告、运维报告等服务产出总结。</w:t>
      </w:r>
    </w:p>
    <w:p w14:paraId="0F5B574E">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rPr>
      </w:pPr>
    </w:p>
    <w:p w14:paraId="6E96879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(九)制度管理服务</w:t>
      </w:r>
    </w:p>
    <w:p w14:paraId="678A37F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包括提供管理办法、运维制度、应急预案等。定期组织 开展应急演练：</w:t>
      </w:r>
    </w:p>
    <w:p w14:paraId="1A9F1D0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1.搭建完整得云计算平台运维管理制度，包括：组织架构与职责、资源管理规范、安全管理体系、合规与审计、运维与监控、应急响应机制、培训。</w:t>
      </w:r>
    </w:p>
    <w:p w14:paraId="0793081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2.组织定期开展应急响应演练，对应急响应得机制、预案形成定期检查、修订。</w:t>
      </w:r>
    </w:p>
    <w:p w14:paraId="02D26262">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rPr>
      </w:pPr>
    </w:p>
    <w:p w14:paraId="21093DB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四、供应商</w:t>
      </w:r>
      <w:r>
        <w:rPr>
          <w:rFonts w:hint="eastAsia" w:ascii="黑体" w:hAnsi="黑体" w:eastAsia="黑体" w:cs="黑体"/>
          <w:sz w:val="32"/>
          <w:szCs w:val="32"/>
          <w:lang w:eastAsia="zh-CN"/>
        </w:rPr>
        <w:t>及服务团队</w:t>
      </w:r>
      <w:r>
        <w:rPr>
          <w:rFonts w:hint="eastAsia" w:ascii="黑体" w:hAnsi="黑体" w:eastAsia="黑体" w:cs="黑体"/>
          <w:sz w:val="32"/>
          <w:szCs w:val="32"/>
        </w:rPr>
        <w:t>要求</w:t>
      </w:r>
    </w:p>
    <w:p w14:paraId="1670742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供应商应具备ISO9001质量管理体系认证证书、ISO20000信息技术服务管理体系认证证书、ISO27001信息安全管理体系认证证书等资质。供应商应当有类似云服务平台项目经验。供应商应当有服务媒体上云客户的项目经验。</w:t>
      </w:r>
    </w:p>
    <w:p w14:paraId="75D466AA">
      <w:pPr>
        <w:spacing w:line="58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lang w:eastAsia="zh-CN"/>
        </w:rPr>
        <w:t xml:space="preserve"> (二)供应商</w:t>
      </w:r>
      <w:r>
        <w:rPr>
          <w:rFonts w:hint="eastAsia" w:ascii="Times New Roman" w:hAnsi="Times New Roman" w:eastAsia="仿宋_GB2312" w:cs="Times New Roman"/>
          <w:sz w:val="32"/>
          <w:szCs w:val="32"/>
          <w:lang w:eastAsia="zh-CN"/>
        </w:rPr>
        <w:t>需为本项目专门配备不少于10人(含项目负责人)的项目专门服务团队，另有20人工程师团队作为二线支持。项目负责人需具有研究生学历</w:t>
      </w:r>
      <w:bookmarkStart w:id="0" w:name="_GoBack"/>
      <w:bookmarkEnd w:id="0"/>
      <w:r>
        <w:rPr>
          <w:rFonts w:hint="eastAsia" w:ascii="Times New Roman" w:hAnsi="Times New Roman" w:eastAsia="仿宋_GB2312" w:cs="Times New Roman"/>
          <w:sz w:val="32"/>
          <w:szCs w:val="32"/>
          <w:lang w:eastAsia="zh-CN"/>
        </w:rPr>
        <w:t>，具有国家软考获得的信息系统项目管理师高级资格证书、计算机专业高级工程师职称。项目服务团队（除项目负责人）中应当不少于2人具有高级职称，不少于</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人持有国家软考获得的中级及以上证书或者人社局国家职业技能证书（电工或暖通方向）</w:t>
      </w:r>
      <w:r>
        <w:rPr>
          <w:rFonts w:ascii="Times New Roman" w:hAnsi="Times New Roman" w:eastAsia="仿宋_GB2312" w:cs="Times New Roman"/>
          <w:sz w:val="32"/>
          <w:szCs w:val="32"/>
          <w:lang w:eastAsia="zh-CN"/>
        </w:rPr>
        <w:t>。</w:t>
      </w:r>
    </w:p>
    <w:p w14:paraId="5F6D1A5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)供应商未能及时交付通过云计算服务安全评估的云专区的，采购方有权采取包括但不限于无责任解除已签订合同等措施。</w:t>
      </w:r>
    </w:p>
    <w:p w14:paraId="4904A9F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)采购单位拟委托第三方机构开展该服务项目的履约评估，供应商需承担相关委托费用并配合做好评估工作。</w:t>
      </w:r>
    </w:p>
    <w:sectPr>
      <w:footerReference r:id="rId5" w:type="default"/>
      <w:pgSz w:w="11900" w:h="16830"/>
      <w:pgMar w:top="1430" w:right="1785" w:bottom="1097" w:left="1750" w:header="0" w:footer="9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WenQuanYi Micro Hei">
    <w:panose1 w:val="020B0606030804020204"/>
    <w:charset w:val="86"/>
    <w:family w:val="auto"/>
    <w:pitch w:val="default"/>
    <w:sig w:usb0="E10002EF" w:usb1="6BDFFCFB" w:usb2="00800036" w:usb3="00000000" w:csb0="603E019F" w:csb1="DFD7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AF890">
    <w:pPr>
      <w:spacing w:line="173" w:lineRule="auto"/>
      <w:ind w:left="4070"/>
      <w:rPr>
        <w:rFonts w:ascii="Times New Roman" w:hAnsi="Times New Roman" w:eastAsia="Times New Roman" w:cs="Times New Roman"/>
        <w:sz w:val="14"/>
        <w:szCs w:val="14"/>
      </w:rPr>
    </w:pPr>
    <w:r>
      <w:rPr>
        <w:rFonts w:ascii="Times New Roman" w:hAnsi="Times New Roman" w:eastAsia="Times New Roman" w:cs="Times New Roman"/>
        <w:sz w:val="14"/>
        <w:szCs w:val="14"/>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D75BD"/>
    <w:rsid w:val="1DDE0814"/>
    <w:rsid w:val="3AED7614"/>
    <w:rsid w:val="464C5C0B"/>
    <w:rsid w:val="57FBEF1F"/>
    <w:rsid w:val="57FFCE96"/>
    <w:rsid w:val="66A974FA"/>
    <w:rsid w:val="77BD87C8"/>
    <w:rsid w:val="78EA244F"/>
    <w:rsid w:val="7B570748"/>
    <w:rsid w:val="7FFE1495"/>
    <w:rsid w:val="97BA874C"/>
    <w:rsid w:val="9FFC3D0B"/>
    <w:rsid w:val="BFEEE01E"/>
    <w:rsid w:val="DADE4E44"/>
    <w:rsid w:val="DDF793DD"/>
    <w:rsid w:val="ECDF614D"/>
    <w:rsid w:val="FB5BA581"/>
    <w:rsid w:val="FDFB786C"/>
    <w:rsid w:val="FEF67ABC"/>
    <w:rsid w:val="FF3F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character" w:styleId="6">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2528</Words>
  <Characters>2720</Characters>
  <Lines>0</Lines>
  <Paragraphs>0</Paragraphs>
  <TotalTime>9</TotalTime>
  <ScaleCrop>false</ScaleCrop>
  <LinksUpToDate>false</LinksUpToDate>
  <CharactersWithSpaces>2730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2025-06-10T09:15:00Z</dcterms:created>
  <dc:creator>13302</dc:creator>
  <cp:lastModifiedBy>李  瑶</cp:lastModifiedBy>
  <dcterms:modified xsi:type="dcterms:W3CDTF">2025-06-30T17:25:43Z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KSOTemplateDocerSaveRecord">
    <vt:lpwstr>eyJoZGlkIjoiZmMxYjVjNGQwZjQyNmI3MDZmODA1MzU4ZWQ4NDFkZTEiLCJ1c2VySWQiOiIxMjEyMzMzMTYyIn0=</vt:lpwstr>
  </property>
  <property fmtid="{D5CDD505-2E9C-101B-9397-08002B2CF9AE}" pid="4" name="ICV">
    <vt:lpwstr>0134A7817039F5D2C25362688BB5830F_43</vt:lpwstr>
  </property>
</Properties>
</file>