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313" w:line="360" w:lineRule="auto"/>
        <w:ind w:left="40"/>
        <w:jc w:val="center"/>
        <w:rPr>
          <w:rFonts w:hint="eastAsia"/>
          <w:b/>
          <w:bCs/>
          <w:spacing w:val="12"/>
          <w:sz w:val="32"/>
          <w:szCs w:val="32"/>
          <w:highlight w:val="none"/>
          <w:lang w:eastAsia="zh-CN"/>
        </w:rPr>
      </w:pPr>
      <w:r>
        <w:rPr>
          <w:rFonts w:hint="eastAsia"/>
          <w:b/>
          <w:bCs/>
          <w:spacing w:val="12"/>
          <w:sz w:val="32"/>
          <w:szCs w:val="32"/>
          <w:highlight w:val="none"/>
          <w:lang w:eastAsia="zh-CN"/>
        </w:rPr>
        <w:t>上海市第六人民医院临港院区实验室</w:t>
      </w:r>
      <w:r>
        <w:rPr>
          <w:rFonts w:hint="eastAsia"/>
          <w:b/>
          <w:bCs/>
          <w:spacing w:val="12"/>
          <w:sz w:val="32"/>
          <w:szCs w:val="32"/>
          <w:highlight w:val="none"/>
          <w:lang w:val="en-US" w:eastAsia="zh-CN"/>
        </w:rPr>
        <w:t>通用设备</w:t>
      </w:r>
      <w:r>
        <w:rPr>
          <w:rFonts w:hint="eastAsia"/>
          <w:b/>
          <w:bCs/>
          <w:spacing w:val="12"/>
          <w:sz w:val="32"/>
          <w:szCs w:val="32"/>
          <w:highlight w:val="none"/>
          <w:lang w:eastAsia="zh-CN"/>
        </w:rPr>
        <w:t>采购需求</w:t>
      </w:r>
    </w:p>
    <w:p>
      <w:pPr>
        <w:spacing w:before="120" w:line="360" w:lineRule="auto"/>
        <w:outlineLvl w:val="6"/>
        <w:rPr>
          <w:rFonts w:ascii="微软雅黑" w:hAnsi="微软雅黑" w:eastAsia="微软雅黑" w:cs="微软雅黑"/>
          <w:b/>
          <w:bCs/>
          <w:spacing w:val="-2"/>
          <w:sz w:val="28"/>
          <w:szCs w:val="28"/>
          <w:highlight w:val="none"/>
          <w:lang w:eastAsia="zh-CN"/>
        </w:rPr>
      </w:pPr>
      <w:r>
        <w:rPr>
          <w:rFonts w:hint="eastAsia" w:ascii="微软雅黑" w:hAnsi="微软雅黑" w:eastAsia="微软雅黑" w:cs="微软雅黑"/>
          <w:b/>
          <w:bCs/>
          <w:spacing w:val="-2"/>
          <w:sz w:val="28"/>
          <w:szCs w:val="28"/>
          <w:highlight w:val="none"/>
          <w:lang w:eastAsia="zh-CN"/>
        </w:rPr>
        <w:t>一、基本内容</w:t>
      </w:r>
    </w:p>
    <w:p>
      <w:pPr>
        <w:widowControl w:val="0"/>
        <w:spacing w:line="360" w:lineRule="auto"/>
        <w:ind w:firstLine="480" w:firstLineChars="200"/>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val="en-US" w:eastAsia="zh-CN"/>
        </w:rPr>
        <w:t>1.项目背景：本项目位于浦东新区环湖西三路222号上海市第六人民医院临港院区内。主要内容为：医院医疗楼和科教楼进行应二期开办现需对外招标采购部分实验室家具。采购实验室家具品种较多，内含专业水电，需要专业厂家提供货物及售后服务。</w:t>
      </w:r>
    </w:p>
    <w:p>
      <w:pPr>
        <w:widowControl w:val="0"/>
        <w:spacing w:line="360" w:lineRule="auto"/>
        <w:ind w:firstLine="480" w:firstLineChars="200"/>
        <w:jc w:val="both"/>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lang w:val="en-US" w:eastAsia="zh-CN"/>
        </w:rPr>
        <w:t>2.履约地点：上海市浦东新区环湖西三路222号（院方指定地点）</w:t>
      </w:r>
    </w:p>
    <w:p>
      <w:pPr>
        <w:widowControl w:val="0"/>
        <w:spacing w:line="360" w:lineRule="auto"/>
        <w:ind w:firstLine="480" w:firstLineChars="200"/>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val="en-US" w:eastAsia="zh-CN"/>
        </w:rPr>
        <w:t>3.图纸：供应商应根据下列区域的平面图，对涉及空间进行合理的布置与空间规划，使得其满足科研的使用需求。投标文件中需提供详细的实验室家具平面布局图和各区域实验室家具整体效果图。</w:t>
      </w:r>
    </w:p>
    <w:p>
      <w:pPr>
        <w:widowControl w:val="0"/>
        <w:spacing w:line="360" w:lineRule="auto"/>
        <w:jc w:val="both"/>
        <w:rPr>
          <w:rFonts w:hint="eastAsia" w:ascii="宋体" w:hAnsi="宋体" w:eastAsia="宋体" w:cs="宋体"/>
          <w:kern w:val="2"/>
          <w:sz w:val="24"/>
          <w:szCs w:val="24"/>
          <w:highlight w:val="none"/>
          <w:lang w:eastAsia="zh-CN"/>
        </w:rPr>
      </w:pPr>
      <w:r>
        <w:rPr>
          <w:rFonts w:hint="eastAsia" w:ascii="宋体" w:hAnsi="宋体" w:eastAsia="宋体" w:cs="宋体"/>
          <w:highlight w:val="none"/>
          <w:lang w:eastAsia="zh-CN"/>
        </w:rPr>
        <w:t xml:space="preserve">   </w:t>
      </w:r>
      <w:r>
        <w:rPr>
          <w:rFonts w:hint="eastAsia" w:ascii="宋体" w:hAnsi="宋体" w:eastAsia="宋体" w:cs="宋体"/>
          <w:sz w:val="24"/>
          <w:szCs w:val="24"/>
          <w:highlight w:val="none"/>
          <w:lang w:eastAsia="zh-CN"/>
        </w:rPr>
        <w:t xml:space="preserve"> </w:t>
      </w:r>
      <w:r>
        <w:rPr>
          <w:rFonts w:hint="eastAsia" w:ascii="宋体" w:hAnsi="宋体" w:eastAsia="宋体" w:cs="宋体"/>
          <w:kern w:val="2"/>
          <w:sz w:val="24"/>
          <w:szCs w:val="24"/>
          <w:highlight w:val="none"/>
          <w:lang w:val="en-US" w:eastAsia="zh-CN"/>
        </w:rPr>
        <w:t>科教</w:t>
      </w:r>
      <w:r>
        <w:rPr>
          <w:rFonts w:hint="eastAsia" w:ascii="宋体" w:hAnsi="宋体" w:eastAsia="宋体" w:cs="宋体"/>
          <w:kern w:val="2"/>
          <w:sz w:val="24"/>
          <w:szCs w:val="24"/>
          <w:highlight w:val="none"/>
          <w:lang w:eastAsia="zh-CN"/>
        </w:rPr>
        <w:t>综合楼</w:t>
      </w:r>
      <w:r>
        <w:rPr>
          <w:rFonts w:hint="eastAsia" w:ascii="宋体" w:hAnsi="宋体" w:eastAsia="宋体" w:cs="宋体"/>
          <w:kern w:val="2"/>
          <w:sz w:val="24"/>
          <w:szCs w:val="24"/>
          <w:highlight w:val="none"/>
          <w:lang w:val="en-US" w:eastAsia="zh-CN"/>
        </w:rPr>
        <w:t>7F</w:t>
      </w:r>
      <w:r>
        <w:rPr>
          <w:rFonts w:hint="eastAsia" w:ascii="宋体" w:hAnsi="宋体" w:eastAsia="宋体" w:cs="宋体"/>
          <w:kern w:val="2"/>
          <w:sz w:val="24"/>
          <w:szCs w:val="24"/>
          <w:highlight w:val="none"/>
          <w:lang w:eastAsia="zh-CN"/>
        </w:rPr>
        <w:t>部分区域：</w:t>
      </w:r>
      <w:r>
        <w:rPr>
          <w:rFonts w:hint="eastAsia" w:ascii="宋体" w:hAnsi="宋体" w:eastAsia="宋体" w:cs="宋体"/>
          <w:kern w:val="2"/>
          <w:sz w:val="24"/>
          <w:szCs w:val="24"/>
          <w:highlight w:val="none"/>
          <w:lang w:val="en-US" w:eastAsia="zh-CN"/>
        </w:rPr>
        <w:t>科研实验室，</w:t>
      </w:r>
      <w:r>
        <w:rPr>
          <w:rFonts w:hint="eastAsia" w:ascii="宋体" w:hAnsi="宋体" w:eastAsia="宋体" w:cs="宋体"/>
          <w:kern w:val="2"/>
          <w:sz w:val="24"/>
          <w:szCs w:val="24"/>
          <w:highlight w:val="none"/>
          <w:lang w:eastAsia="zh-CN"/>
        </w:rPr>
        <w:t>根据平面图，进行合理的</w:t>
      </w:r>
      <w:r>
        <w:rPr>
          <w:rFonts w:hint="eastAsia" w:ascii="宋体" w:hAnsi="宋体" w:eastAsia="宋体" w:cs="宋体"/>
          <w:kern w:val="2"/>
          <w:sz w:val="24"/>
          <w:szCs w:val="24"/>
          <w:highlight w:val="none"/>
          <w:lang w:val="en-US" w:eastAsia="zh-CN"/>
        </w:rPr>
        <w:t>实验室</w:t>
      </w:r>
      <w:r>
        <w:rPr>
          <w:rFonts w:hint="eastAsia" w:ascii="宋体" w:hAnsi="宋体" w:eastAsia="宋体" w:cs="宋体"/>
          <w:kern w:val="2"/>
          <w:sz w:val="24"/>
          <w:szCs w:val="24"/>
          <w:highlight w:val="none"/>
          <w:lang w:eastAsia="zh-CN"/>
        </w:rPr>
        <w:t>家具布置与空间规划，使其满足</w:t>
      </w:r>
      <w:r>
        <w:rPr>
          <w:rFonts w:hint="eastAsia" w:ascii="宋体" w:hAnsi="宋体" w:eastAsia="宋体" w:cs="宋体"/>
          <w:kern w:val="2"/>
          <w:sz w:val="24"/>
          <w:szCs w:val="24"/>
          <w:highlight w:val="none"/>
          <w:lang w:val="en-US" w:eastAsia="zh-CN"/>
        </w:rPr>
        <w:t>科研</w:t>
      </w:r>
      <w:r>
        <w:rPr>
          <w:rFonts w:hint="eastAsia" w:ascii="宋体" w:hAnsi="宋体" w:eastAsia="宋体" w:cs="宋体"/>
          <w:kern w:val="2"/>
          <w:sz w:val="24"/>
          <w:szCs w:val="24"/>
          <w:highlight w:val="none"/>
          <w:lang w:eastAsia="zh-CN"/>
        </w:rPr>
        <w:t>人员的</w:t>
      </w:r>
      <w:r>
        <w:rPr>
          <w:rFonts w:hint="eastAsia" w:ascii="宋体" w:hAnsi="宋体" w:eastAsia="宋体" w:cs="宋体"/>
          <w:kern w:val="2"/>
          <w:sz w:val="24"/>
          <w:szCs w:val="24"/>
          <w:highlight w:val="none"/>
          <w:lang w:val="en-US" w:eastAsia="zh-CN"/>
        </w:rPr>
        <w:t>实验</w:t>
      </w:r>
      <w:r>
        <w:rPr>
          <w:rFonts w:hint="eastAsia" w:ascii="宋体" w:hAnsi="宋体" w:eastAsia="宋体" w:cs="宋体"/>
          <w:kern w:val="2"/>
          <w:sz w:val="24"/>
          <w:szCs w:val="24"/>
          <w:highlight w:val="none"/>
          <w:lang w:eastAsia="zh-CN"/>
        </w:rPr>
        <w:t>使用需求。</w:t>
      </w:r>
    </w:p>
    <w:p>
      <w:pPr>
        <w:widowControl w:val="0"/>
        <w:spacing w:line="360" w:lineRule="auto"/>
        <w:ind w:firstLine="420" w:firstLineChars="200"/>
        <w:jc w:val="both"/>
        <w:rPr>
          <w:highlight w:val="none"/>
        </w:rPr>
      </w:pPr>
      <w:r>
        <w:rPr>
          <w:highlight w:val="none"/>
        </w:rPr>
        <w:drawing>
          <wp:inline distT="0" distB="0" distL="114300" distR="114300">
            <wp:extent cx="4023360" cy="5446395"/>
            <wp:effectExtent l="0" t="0" r="152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023360" cy="5446395"/>
                    </a:xfrm>
                    <a:prstGeom prst="rect">
                      <a:avLst/>
                    </a:prstGeom>
                    <a:noFill/>
                    <a:ln>
                      <a:noFill/>
                    </a:ln>
                  </pic:spPr>
                </pic:pic>
              </a:graphicData>
            </a:graphic>
          </wp:inline>
        </w:drawing>
      </w:r>
    </w:p>
    <w:p>
      <w:pPr>
        <w:widowControl w:val="0"/>
        <w:spacing w:line="360" w:lineRule="auto"/>
        <w:ind w:firstLine="420" w:firstLineChars="200"/>
        <w:jc w:val="both"/>
        <w:rPr>
          <w:highlight w:val="none"/>
        </w:rPr>
      </w:pPr>
    </w:p>
    <w:p>
      <w:pPr>
        <w:rPr>
          <w:highlight w:val="none"/>
        </w:rPr>
      </w:pPr>
      <w:r>
        <w:rPr>
          <w:highlight w:val="none"/>
        </w:rPr>
        <w:br w:type="page"/>
      </w:r>
    </w:p>
    <w:p>
      <w:pPr>
        <w:widowControl w:val="0"/>
        <w:spacing w:line="360" w:lineRule="auto"/>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val="en-US" w:eastAsia="zh-CN"/>
        </w:rPr>
        <w:t>科教</w:t>
      </w:r>
      <w:r>
        <w:rPr>
          <w:rFonts w:hint="eastAsia" w:ascii="宋体" w:hAnsi="宋体" w:eastAsia="宋体" w:cs="宋体"/>
          <w:kern w:val="2"/>
          <w:sz w:val="24"/>
          <w:szCs w:val="24"/>
          <w:highlight w:val="none"/>
          <w:lang w:eastAsia="zh-CN"/>
        </w:rPr>
        <w:t>综合楼</w:t>
      </w:r>
      <w:r>
        <w:rPr>
          <w:rFonts w:hint="eastAsia" w:ascii="宋体" w:hAnsi="宋体" w:eastAsia="宋体" w:cs="宋体"/>
          <w:kern w:val="2"/>
          <w:sz w:val="24"/>
          <w:szCs w:val="24"/>
          <w:highlight w:val="none"/>
          <w:lang w:val="en-US" w:eastAsia="zh-CN"/>
        </w:rPr>
        <w:t>7F</w:t>
      </w:r>
      <w:r>
        <w:rPr>
          <w:rFonts w:hint="eastAsia" w:ascii="宋体" w:hAnsi="宋体" w:eastAsia="宋体" w:cs="宋体"/>
          <w:kern w:val="2"/>
          <w:sz w:val="24"/>
          <w:szCs w:val="24"/>
          <w:highlight w:val="none"/>
          <w:lang w:eastAsia="zh-CN"/>
        </w:rPr>
        <w:t>部分区域：</w:t>
      </w:r>
      <w:r>
        <w:rPr>
          <w:rFonts w:hint="eastAsia" w:ascii="宋体" w:hAnsi="宋体" w:eastAsia="宋体" w:cs="宋体"/>
          <w:kern w:val="2"/>
          <w:sz w:val="24"/>
          <w:szCs w:val="24"/>
          <w:highlight w:val="none"/>
          <w:lang w:val="en-US" w:eastAsia="zh-CN"/>
        </w:rPr>
        <w:t>精密仪器室，</w:t>
      </w:r>
      <w:r>
        <w:rPr>
          <w:rFonts w:hint="eastAsia" w:ascii="宋体" w:hAnsi="宋体" w:eastAsia="宋体" w:cs="宋体"/>
          <w:kern w:val="2"/>
          <w:sz w:val="24"/>
          <w:szCs w:val="24"/>
          <w:highlight w:val="none"/>
          <w:lang w:eastAsia="zh-CN"/>
        </w:rPr>
        <w:t>根据平面图，进行合理的</w:t>
      </w:r>
      <w:r>
        <w:rPr>
          <w:rFonts w:hint="eastAsia" w:ascii="宋体" w:hAnsi="宋体" w:eastAsia="宋体" w:cs="宋体"/>
          <w:kern w:val="2"/>
          <w:sz w:val="24"/>
          <w:szCs w:val="24"/>
          <w:highlight w:val="none"/>
          <w:lang w:val="en-US" w:eastAsia="zh-CN"/>
        </w:rPr>
        <w:t>实验室</w:t>
      </w:r>
      <w:r>
        <w:rPr>
          <w:rFonts w:hint="eastAsia" w:ascii="宋体" w:hAnsi="宋体" w:eastAsia="宋体" w:cs="宋体"/>
          <w:kern w:val="2"/>
          <w:sz w:val="24"/>
          <w:szCs w:val="24"/>
          <w:highlight w:val="none"/>
          <w:lang w:eastAsia="zh-CN"/>
        </w:rPr>
        <w:t>家具布置与空间规划，使其满足</w:t>
      </w:r>
      <w:r>
        <w:rPr>
          <w:rFonts w:hint="eastAsia" w:ascii="宋体" w:hAnsi="宋体" w:eastAsia="宋体" w:cs="宋体"/>
          <w:kern w:val="2"/>
          <w:sz w:val="24"/>
          <w:szCs w:val="24"/>
          <w:highlight w:val="none"/>
          <w:lang w:val="en-US" w:eastAsia="zh-CN"/>
        </w:rPr>
        <w:t>科研</w:t>
      </w:r>
      <w:r>
        <w:rPr>
          <w:rFonts w:hint="eastAsia" w:ascii="宋体" w:hAnsi="宋体" w:eastAsia="宋体" w:cs="宋体"/>
          <w:kern w:val="2"/>
          <w:sz w:val="24"/>
          <w:szCs w:val="24"/>
          <w:highlight w:val="none"/>
          <w:lang w:eastAsia="zh-CN"/>
        </w:rPr>
        <w:t>人员的</w:t>
      </w:r>
      <w:r>
        <w:rPr>
          <w:rFonts w:hint="eastAsia" w:ascii="宋体" w:hAnsi="宋体" w:eastAsia="宋体" w:cs="宋体"/>
          <w:kern w:val="2"/>
          <w:sz w:val="24"/>
          <w:szCs w:val="24"/>
          <w:highlight w:val="none"/>
          <w:lang w:val="en-US" w:eastAsia="zh-CN"/>
        </w:rPr>
        <w:t>实验</w:t>
      </w:r>
      <w:r>
        <w:rPr>
          <w:rFonts w:hint="eastAsia" w:ascii="宋体" w:hAnsi="宋体" w:eastAsia="宋体" w:cs="宋体"/>
          <w:kern w:val="2"/>
          <w:sz w:val="24"/>
          <w:szCs w:val="24"/>
          <w:highlight w:val="none"/>
          <w:lang w:eastAsia="zh-CN"/>
        </w:rPr>
        <w:t>使用需求。</w:t>
      </w:r>
    </w:p>
    <w:p>
      <w:pPr>
        <w:widowControl w:val="0"/>
        <w:spacing w:line="360" w:lineRule="auto"/>
        <w:ind w:firstLine="420" w:firstLineChars="200"/>
        <w:jc w:val="both"/>
        <w:rPr>
          <w:highlight w:val="none"/>
        </w:rPr>
      </w:pPr>
    </w:p>
    <w:p>
      <w:pPr>
        <w:widowControl w:val="0"/>
        <w:spacing w:line="360" w:lineRule="auto"/>
        <w:ind w:firstLine="420" w:firstLineChars="200"/>
        <w:jc w:val="both"/>
        <w:rPr>
          <w:highlight w:val="none"/>
        </w:rPr>
      </w:pPr>
      <w:r>
        <w:rPr>
          <w:highlight w:val="none"/>
        </w:rPr>
        <w:drawing>
          <wp:inline distT="0" distB="0" distL="114300" distR="114300">
            <wp:extent cx="4113530" cy="7776210"/>
            <wp:effectExtent l="0" t="0" r="127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113530" cy="7776210"/>
                    </a:xfrm>
                    <a:prstGeom prst="rect">
                      <a:avLst/>
                    </a:prstGeom>
                    <a:noFill/>
                    <a:ln>
                      <a:noFill/>
                    </a:ln>
                  </pic:spPr>
                </pic:pic>
              </a:graphicData>
            </a:graphic>
          </wp:inline>
        </w:drawing>
      </w:r>
    </w:p>
    <w:p>
      <w:pPr>
        <w:rPr>
          <w:rFonts w:hint="eastAsia"/>
          <w:b/>
          <w:bCs/>
          <w:spacing w:val="12"/>
          <w:sz w:val="28"/>
          <w:szCs w:val="28"/>
          <w:highlight w:val="none"/>
          <w:lang w:eastAsia="zh-CN"/>
        </w:rPr>
      </w:pPr>
      <w:r>
        <w:rPr>
          <w:rFonts w:hint="eastAsia"/>
          <w:b/>
          <w:bCs/>
          <w:spacing w:val="12"/>
          <w:sz w:val="28"/>
          <w:szCs w:val="28"/>
          <w:highlight w:val="none"/>
          <w:lang w:eastAsia="zh-CN"/>
        </w:rPr>
        <w:br w:type="page"/>
      </w:r>
    </w:p>
    <w:p>
      <w:pPr>
        <w:numPr>
          <w:ilvl w:val="0"/>
          <w:numId w:val="1"/>
        </w:numPr>
        <w:spacing w:before="120" w:line="360" w:lineRule="auto"/>
        <w:outlineLvl w:val="6"/>
        <w:rPr>
          <w:rFonts w:hint="eastAsia" w:ascii="微软雅黑" w:hAnsi="微软雅黑" w:eastAsia="微软雅黑" w:cs="微软雅黑"/>
          <w:b/>
          <w:bCs/>
          <w:spacing w:val="-2"/>
          <w:sz w:val="28"/>
          <w:szCs w:val="28"/>
          <w:highlight w:val="none"/>
          <w:lang w:eastAsia="zh-CN"/>
        </w:rPr>
      </w:pPr>
      <w:r>
        <w:rPr>
          <w:rFonts w:hint="eastAsia" w:ascii="微软雅黑" w:hAnsi="微软雅黑" w:eastAsia="微软雅黑" w:cs="微软雅黑"/>
          <w:b/>
          <w:bCs/>
          <w:spacing w:val="-2"/>
          <w:sz w:val="28"/>
          <w:szCs w:val="28"/>
          <w:highlight w:val="none"/>
          <w:lang w:eastAsia="zh-CN"/>
        </w:rPr>
        <w:t>需执行的国家相关标准、行业标准或其他标准、规范</w:t>
      </w:r>
    </w:p>
    <w:p>
      <w:pPr>
        <w:pStyle w:val="5"/>
        <w:numPr>
          <w:ilvl w:val="0"/>
          <w:numId w:val="2"/>
        </w:numPr>
        <w:spacing w:line="360" w:lineRule="auto"/>
        <w:ind w:left="0" w:leftChars="0" w:firstLine="482" w:firstLineChars="200"/>
        <w:rPr>
          <w:rFonts w:hint="eastAsia" w:ascii="宋体" w:hAnsi="宋体" w:eastAsia="宋体" w:cs="宋体"/>
          <w:b/>
          <w:bCs/>
          <w:highlight w:val="none"/>
          <w:lang w:eastAsia="zh-CN"/>
        </w:rPr>
      </w:pPr>
      <w:bookmarkStart w:id="0" w:name="_Toc25898_WPSOffice_Level2"/>
      <w:bookmarkStart w:id="1" w:name="_Toc8379"/>
      <w:r>
        <w:rPr>
          <w:rFonts w:hint="eastAsia" w:ascii="宋体" w:hAnsi="宋体" w:eastAsia="宋体" w:cs="宋体"/>
          <w:b/>
          <w:bCs/>
          <w:highlight w:val="none"/>
          <w:lang w:eastAsia="zh-CN"/>
        </w:rPr>
        <w:t>强制性标准</w:t>
      </w:r>
      <w:bookmarkEnd w:id="0"/>
      <w:bookmarkEnd w:id="1"/>
    </w:p>
    <w:p>
      <w:pPr>
        <w:spacing w:line="360" w:lineRule="auto"/>
        <w:ind w:firstLine="480" w:firstLineChars="200"/>
        <w:rPr>
          <w:rFonts w:hint="eastAsia" w:asciiTheme="minorEastAsia" w:hAnsiTheme="minorEastAsia"/>
          <w:sz w:val="24"/>
          <w:szCs w:val="24"/>
          <w:highlight w:val="none"/>
          <w:lang w:eastAsia="zh-CN"/>
        </w:rPr>
      </w:pPr>
      <w:r>
        <w:rPr>
          <w:rFonts w:hint="eastAsia" w:asciiTheme="minorEastAsia" w:hAnsiTheme="minorEastAsia"/>
          <w:sz w:val="24"/>
          <w:szCs w:val="24"/>
          <w:highlight w:val="none"/>
          <w:lang w:eastAsia="zh-CN"/>
        </w:rPr>
        <w:t>GB 18584-2001《室内装饰装修材料木家具中有害物质限量》</w:t>
      </w:r>
    </w:p>
    <w:p>
      <w:pPr>
        <w:pStyle w:val="13"/>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lang w:eastAsia="zh-CN"/>
        </w:rPr>
      </w:pPr>
      <w:r>
        <w:rPr>
          <w:rFonts w:hint="eastAsia" w:cs="宋体" w:asciiTheme="minorEastAsia" w:hAnsiTheme="minorEastAsia"/>
          <w:highlight w:val="none"/>
          <w:lang w:eastAsia="zh-CN"/>
        </w:rPr>
        <w:t xml:space="preserve">GB </w:t>
      </w:r>
      <w:r>
        <w:rPr>
          <w:rFonts w:hint="eastAsia" w:cs="宋体" w:asciiTheme="minorEastAsia" w:hAnsiTheme="minorEastAsia"/>
          <w:highlight w:val="none"/>
          <w:lang w:val="en-US" w:eastAsia="zh-CN"/>
        </w:rPr>
        <w:t>18580</w:t>
      </w:r>
      <w:r>
        <w:rPr>
          <w:rFonts w:hint="eastAsia" w:cs="宋体" w:asciiTheme="minorEastAsia" w:hAnsiTheme="minorEastAsia"/>
          <w:highlight w:val="none"/>
          <w:lang w:eastAsia="zh-CN"/>
        </w:rPr>
        <w:t>-201</w:t>
      </w:r>
      <w:r>
        <w:rPr>
          <w:rFonts w:hint="eastAsia" w:cs="宋体" w:asciiTheme="minorEastAsia" w:hAnsiTheme="minorEastAsia"/>
          <w:highlight w:val="none"/>
          <w:lang w:val="en-US" w:eastAsia="zh-CN"/>
        </w:rPr>
        <w:t>7</w:t>
      </w:r>
      <w:r>
        <w:rPr>
          <w:rFonts w:hint="eastAsia" w:cs="宋体" w:asciiTheme="minorEastAsia" w:hAnsiTheme="minorEastAsia"/>
          <w:highlight w:val="none"/>
          <w:lang w:eastAsia="zh-CN"/>
        </w:rPr>
        <w:t>《室内装饰装修材料 人造板及其制品中甲醛释放限量》</w:t>
      </w:r>
    </w:p>
    <w:p>
      <w:pPr>
        <w:pStyle w:val="5"/>
        <w:spacing w:line="360" w:lineRule="auto"/>
        <w:ind w:left="0" w:leftChars="0" w:firstLine="482" w:firstLineChars="200"/>
        <w:rPr>
          <w:rFonts w:hint="eastAsia" w:ascii="宋体" w:hAnsi="宋体" w:eastAsia="宋体" w:cs="宋体"/>
          <w:b/>
          <w:bCs/>
          <w:highlight w:val="none"/>
          <w:lang w:eastAsia="zh-CN"/>
        </w:rPr>
      </w:pPr>
      <w:bookmarkStart w:id="2" w:name="_Toc16007"/>
      <w:bookmarkStart w:id="3" w:name="_Toc25730_WPSOffice_Level2"/>
      <w:bookmarkStart w:id="4" w:name="_Toc227555682"/>
      <w:r>
        <w:rPr>
          <w:rFonts w:hint="eastAsia" w:ascii="宋体" w:hAnsi="宋体" w:eastAsia="宋体" w:cs="宋体"/>
          <w:b/>
          <w:bCs/>
          <w:highlight w:val="none"/>
          <w:lang w:eastAsia="zh-CN"/>
        </w:rPr>
        <w:t>（二）质量及技术标准</w:t>
      </w:r>
      <w:bookmarkEnd w:id="2"/>
      <w:bookmarkEnd w:id="3"/>
      <w:bookmarkEnd w:id="4"/>
    </w:p>
    <w:p>
      <w:pPr>
        <w:pStyle w:val="13"/>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cs="宋体" w:asciiTheme="minorEastAsia" w:hAnsiTheme="minorEastAsia"/>
          <w:highlight w:val="none"/>
          <w:lang w:eastAsia="zh-CN"/>
        </w:rPr>
      </w:pPr>
      <w:r>
        <w:rPr>
          <w:rFonts w:hint="eastAsia" w:cs="宋体" w:asciiTheme="minorEastAsia" w:hAnsiTheme="minorEastAsia"/>
          <w:highlight w:val="none"/>
          <w:lang w:eastAsia="zh-CN"/>
        </w:rPr>
        <w:t>GB/T 1634.2-2019《塑料 负荷变形温度的测定》</w:t>
      </w:r>
    </w:p>
    <w:p>
      <w:pPr>
        <w:spacing w:line="360" w:lineRule="auto"/>
        <w:ind w:firstLine="480" w:firstLineChars="200"/>
        <w:rPr>
          <w:rFonts w:hint="eastAsia" w:asciiTheme="minorEastAsia" w:hAnsiTheme="minorEastAsia"/>
          <w:sz w:val="24"/>
          <w:szCs w:val="24"/>
          <w:highlight w:val="none"/>
          <w:lang w:eastAsia="zh-CN"/>
        </w:rPr>
      </w:pPr>
      <w:r>
        <w:rPr>
          <w:rFonts w:hint="eastAsia" w:asciiTheme="minorEastAsia" w:hAnsiTheme="minorEastAsia"/>
          <w:sz w:val="24"/>
          <w:szCs w:val="24"/>
          <w:highlight w:val="none"/>
          <w:lang w:eastAsia="zh-CN"/>
        </w:rPr>
        <w:t>GB/T 3324-2017《木家具通用技术条件》</w:t>
      </w:r>
    </w:p>
    <w:p>
      <w:pPr>
        <w:spacing w:line="360" w:lineRule="auto"/>
        <w:ind w:firstLine="480" w:firstLineChars="200"/>
        <w:rPr>
          <w:rFonts w:hint="eastAsia" w:asciiTheme="minorEastAsia" w:hAnsiTheme="minorEastAsia"/>
          <w:sz w:val="24"/>
          <w:szCs w:val="24"/>
          <w:highlight w:val="none"/>
          <w:lang w:eastAsia="zh-CN"/>
        </w:rPr>
      </w:pPr>
      <w:r>
        <w:rPr>
          <w:rFonts w:hint="eastAsia" w:asciiTheme="minorEastAsia" w:hAnsiTheme="minorEastAsia"/>
          <w:sz w:val="24"/>
          <w:szCs w:val="24"/>
          <w:highlight w:val="none"/>
          <w:lang w:eastAsia="zh-CN"/>
        </w:rPr>
        <w:t>GB/T 3325-2017《金属家具通用技术条件》</w:t>
      </w:r>
    </w:p>
    <w:p>
      <w:pPr>
        <w:pStyle w:val="5"/>
        <w:spacing w:line="360" w:lineRule="auto"/>
        <w:ind w:left="0" w:leftChars="0" w:firstLine="480" w:firstLineChars="200"/>
        <w:rPr>
          <w:rFonts w:hint="eastAsia" w:asciiTheme="minorEastAsia" w:hAnsiTheme="minorEastAsia"/>
          <w:highlight w:val="none"/>
          <w:lang w:eastAsia="zh-CN"/>
        </w:rPr>
      </w:pPr>
      <w:r>
        <w:rPr>
          <w:rFonts w:hint="eastAsia" w:asciiTheme="minorEastAsia" w:hAnsiTheme="minorEastAsia"/>
          <w:sz w:val="24"/>
          <w:szCs w:val="24"/>
          <w:highlight w:val="none"/>
          <w:lang w:eastAsia="zh-CN"/>
        </w:rPr>
        <w:t>GB/T</w:t>
      </w:r>
      <w:r>
        <w:rPr>
          <w:rFonts w:hint="eastAsia" w:asciiTheme="minorEastAsia" w:hAnsiTheme="minorEastAsia"/>
          <w:highlight w:val="none"/>
          <w:lang w:eastAsia="zh-CN"/>
        </w:rPr>
        <w:t xml:space="preserve"> 1741-2020《漆膜耐霉菌性测定法》</w:t>
      </w:r>
    </w:p>
    <w:p>
      <w:pPr>
        <w:spacing w:line="360" w:lineRule="auto"/>
        <w:ind w:firstLine="480" w:firstLineChars="200"/>
        <w:rPr>
          <w:rFonts w:hint="eastAsia" w:asciiTheme="minorEastAsia" w:hAnsiTheme="minorEastAsia"/>
          <w:sz w:val="24"/>
          <w:szCs w:val="24"/>
          <w:highlight w:val="none"/>
          <w:lang w:eastAsia="zh-CN"/>
        </w:rPr>
      </w:pPr>
      <w:r>
        <w:rPr>
          <w:rFonts w:hint="eastAsia" w:asciiTheme="minorEastAsia" w:hAnsiTheme="minorEastAsia"/>
          <w:sz w:val="24"/>
          <w:szCs w:val="24"/>
          <w:highlight w:val="none"/>
          <w:lang w:eastAsia="zh-CN"/>
        </w:rPr>
        <w:t>GB/T 11547-2008《塑料耐液体化学试剂性能的测定》</w:t>
      </w:r>
    </w:p>
    <w:p>
      <w:pPr>
        <w:pStyle w:val="5"/>
        <w:spacing w:line="360" w:lineRule="auto"/>
        <w:ind w:left="0" w:leftChars="0" w:firstLine="480" w:firstLineChars="200"/>
        <w:rPr>
          <w:rFonts w:hint="eastAsia" w:asciiTheme="minorEastAsia" w:hAnsiTheme="minorEastAsia"/>
          <w:highlight w:val="none"/>
          <w:lang w:eastAsia="zh-CN"/>
        </w:rPr>
      </w:pPr>
      <w:r>
        <w:rPr>
          <w:rFonts w:hint="eastAsia" w:asciiTheme="minorEastAsia" w:hAnsiTheme="minorEastAsia"/>
          <w:highlight w:val="none"/>
          <w:lang w:eastAsia="zh-CN"/>
        </w:rPr>
        <w:t>GB/T 15102-2017《浸渍胶膜纸饰面纤维板和刨花板》</w:t>
      </w:r>
    </w:p>
    <w:p>
      <w:pPr>
        <w:pStyle w:val="5"/>
        <w:spacing w:line="360" w:lineRule="auto"/>
        <w:ind w:left="0" w:leftChars="0" w:firstLine="480" w:firstLineChars="200"/>
        <w:rPr>
          <w:rFonts w:hint="eastAsia" w:asciiTheme="minorEastAsia" w:hAnsiTheme="minorEastAsia"/>
          <w:highlight w:val="none"/>
          <w:lang w:eastAsia="zh-CN"/>
        </w:rPr>
      </w:pPr>
      <w:r>
        <w:rPr>
          <w:rFonts w:hint="eastAsia" w:asciiTheme="minorEastAsia" w:hAnsiTheme="minorEastAsia"/>
          <w:highlight w:val="none"/>
          <w:lang w:eastAsia="zh-CN"/>
        </w:rPr>
        <w:t>GB/T 21866-2008《抗菌涂料（漆膜）抗菌性测定法和抗菌效果》</w:t>
      </w:r>
    </w:p>
    <w:p>
      <w:pPr>
        <w:pStyle w:val="5"/>
        <w:spacing w:line="360" w:lineRule="auto"/>
        <w:ind w:left="0" w:leftChars="0" w:firstLine="480" w:firstLineChars="200"/>
        <w:rPr>
          <w:rFonts w:hint="eastAsia" w:ascii="宋体" w:hAnsi="宋体" w:eastAsia="宋体" w:cs="宋体"/>
          <w:highlight w:val="none"/>
          <w:lang w:eastAsia="zh-CN"/>
        </w:rPr>
      </w:pPr>
      <w:r>
        <w:rPr>
          <w:rFonts w:hint="eastAsia" w:cs="宋体" w:asciiTheme="minorEastAsia" w:hAnsiTheme="minorEastAsia"/>
          <w:highlight w:val="none"/>
          <w:lang w:eastAsia="zh-CN"/>
        </w:rPr>
        <w:t>GB/T</w:t>
      </w:r>
      <w:r>
        <w:rPr>
          <w:rFonts w:hint="eastAsia" w:cs="宋体" w:asciiTheme="minorEastAsia" w:hAnsiTheme="minorEastAsia"/>
          <w:highlight w:val="none"/>
          <w:lang w:val="en-US" w:eastAsia="zh-CN"/>
        </w:rPr>
        <w:t xml:space="preserve"> </w:t>
      </w:r>
      <w:r>
        <w:rPr>
          <w:rFonts w:hint="eastAsia" w:ascii="宋体" w:hAnsi="宋体" w:eastAsia="宋体" w:cs="宋体"/>
          <w:highlight w:val="none"/>
          <w:lang w:eastAsia="zh-CN"/>
        </w:rPr>
        <w:t>24820-20</w:t>
      </w:r>
      <w:r>
        <w:rPr>
          <w:rFonts w:hint="eastAsia" w:ascii="宋体" w:hAnsi="宋体" w:eastAsia="宋体" w:cs="宋体"/>
          <w:highlight w:val="none"/>
          <w:lang w:val="en-US" w:eastAsia="zh-CN"/>
        </w:rPr>
        <w:t>24</w:t>
      </w:r>
      <w:r>
        <w:rPr>
          <w:rFonts w:hint="eastAsia" w:ascii="宋体" w:hAnsi="宋体" w:eastAsia="宋体" w:cs="宋体"/>
          <w:highlight w:val="none"/>
          <w:lang w:eastAsia="zh-CN"/>
        </w:rPr>
        <w:t>《实验室家具通用技术条件》</w:t>
      </w:r>
    </w:p>
    <w:p>
      <w:pPr>
        <w:pStyle w:val="5"/>
        <w:spacing w:line="360" w:lineRule="auto"/>
        <w:ind w:left="0" w:leftChars="0" w:firstLine="480" w:firstLineChars="200"/>
        <w:rPr>
          <w:rFonts w:hint="eastAsia" w:asciiTheme="minorEastAsia" w:hAnsiTheme="minorEastAsia"/>
          <w:highlight w:val="none"/>
          <w:lang w:eastAsia="zh-CN"/>
        </w:rPr>
      </w:pPr>
      <w:r>
        <w:rPr>
          <w:rFonts w:hint="eastAsia" w:asciiTheme="minorEastAsia" w:hAnsiTheme="minorEastAsia"/>
          <w:highlight w:val="none"/>
          <w:lang w:eastAsia="zh-CN"/>
        </w:rPr>
        <w:t>GB/T 39600-2021《人造板及其制品甲醛释放量分级》</w:t>
      </w:r>
    </w:p>
    <w:p>
      <w:pPr>
        <w:spacing w:line="360" w:lineRule="auto"/>
        <w:ind w:firstLine="480" w:firstLineChars="200"/>
        <w:rPr>
          <w:rFonts w:hint="eastAsia" w:asciiTheme="minorEastAsia" w:hAnsiTheme="minorEastAsia"/>
          <w:sz w:val="24"/>
          <w:szCs w:val="24"/>
          <w:highlight w:val="none"/>
          <w:lang w:eastAsia="zh-CN"/>
        </w:rPr>
      </w:pPr>
      <w:r>
        <w:rPr>
          <w:rFonts w:hint="eastAsia" w:asciiTheme="minorEastAsia" w:hAnsiTheme="minorEastAsia"/>
          <w:sz w:val="24"/>
          <w:szCs w:val="24"/>
          <w:highlight w:val="none"/>
          <w:lang w:eastAsia="zh-CN"/>
        </w:rPr>
        <w:t>QB/T 2189-2013《家具五金  杯状暗铰链》</w:t>
      </w:r>
    </w:p>
    <w:p>
      <w:pPr>
        <w:spacing w:line="360" w:lineRule="auto"/>
        <w:ind w:firstLine="480" w:firstLineChars="200"/>
        <w:rPr>
          <w:rFonts w:hint="eastAsia" w:asciiTheme="minorEastAsia" w:hAnsiTheme="minorEastAsia"/>
          <w:sz w:val="24"/>
          <w:szCs w:val="24"/>
          <w:highlight w:val="none"/>
          <w:lang w:eastAsia="zh-CN"/>
        </w:rPr>
      </w:pPr>
      <w:r>
        <w:rPr>
          <w:rFonts w:hint="eastAsia" w:asciiTheme="minorEastAsia" w:hAnsiTheme="minorEastAsia"/>
          <w:sz w:val="24"/>
          <w:szCs w:val="24"/>
          <w:highlight w:val="none"/>
          <w:lang w:eastAsia="zh-CN"/>
        </w:rPr>
        <w:t>QB/T 2454-2013《家具五金抽屉导轨》</w:t>
      </w:r>
    </w:p>
    <w:p>
      <w:pPr>
        <w:spacing w:line="360" w:lineRule="auto"/>
        <w:ind w:firstLine="480" w:firstLineChars="200"/>
        <w:rPr>
          <w:rFonts w:hint="eastAsia" w:asciiTheme="minorEastAsia" w:hAnsiTheme="minorEastAsia"/>
          <w:sz w:val="24"/>
          <w:szCs w:val="24"/>
          <w:highlight w:val="none"/>
          <w:lang w:eastAsia="zh-CN"/>
        </w:rPr>
      </w:pPr>
      <w:r>
        <w:rPr>
          <w:rFonts w:hint="eastAsia" w:asciiTheme="minorEastAsia" w:hAnsiTheme="minorEastAsia"/>
          <w:sz w:val="24"/>
          <w:szCs w:val="24"/>
          <w:highlight w:val="none"/>
          <w:lang w:eastAsia="zh-CN"/>
        </w:rPr>
        <w:t>QB/T 2761-2006《室内空气净化产品净化效果测定方法》</w:t>
      </w:r>
    </w:p>
    <w:p>
      <w:pPr>
        <w:spacing w:line="360" w:lineRule="auto"/>
        <w:ind w:firstLine="480" w:firstLineChars="200"/>
        <w:rPr>
          <w:rFonts w:hint="eastAsia" w:asciiTheme="minorEastAsia" w:hAnsiTheme="minorEastAsia"/>
          <w:sz w:val="24"/>
          <w:szCs w:val="24"/>
          <w:highlight w:val="none"/>
          <w:lang w:eastAsia="zh-CN"/>
        </w:rPr>
      </w:pPr>
      <w:r>
        <w:rPr>
          <w:rFonts w:hint="eastAsia" w:asciiTheme="minorEastAsia" w:hAnsiTheme="minorEastAsia"/>
          <w:sz w:val="24"/>
          <w:szCs w:val="24"/>
          <w:highlight w:val="none"/>
          <w:lang w:eastAsia="zh-CN"/>
        </w:rPr>
        <w:t>HG/T 2006-2022《热固性粉末涂料》</w:t>
      </w:r>
    </w:p>
    <w:p>
      <w:pPr>
        <w:spacing w:line="360" w:lineRule="auto"/>
        <w:ind w:firstLine="480" w:firstLineChars="200"/>
        <w:rPr>
          <w:rFonts w:hint="eastAsia" w:asciiTheme="minorEastAsia" w:hAnsiTheme="minorEastAsia"/>
          <w:sz w:val="24"/>
          <w:szCs w:val="24"/>
          <w:highlight w:val="none"/>
          <w:lang w:eastAsia="zh-CN"/>
        </w:rPr>
      </w:pPr>
      <w:r>
        <w:rPr>
          <w:rFonts w:hint="eastAsia" w:asciiTheme="minorEastAsia" w:hAnsiTheme="minorEastAsia"/>
          <w:sz w:val="24"/>
          <w:szCs w:val="24"/>
          <w:highlight w:val="none"/>
          <w:lang w:eastAsia="zh-CN"/>
        </w:rPr>
        <w:t>JB/T</w:t>
      </w:r>
      <w:r>
        <w:rPr>
          <w:rFonts w:hint="eastAsia" w:asciiTheme="minorEastAsia" w:hAnsiTheme="minorEastAsia"/>
          <w:sz w:val="24"/>
          <w:szCs w:val="24"/>
          <w:highlight w:val="none"/>
          <w:lang w:val="en-US" w:eastAsia="zh-CN"/>
        </w:rPr>
        <w:t xml:space="preserve"> </w:t>
      </w:r>
      <w:r>
        <w:rPr>
          <w:rFonts w:hint="eastAsia" w:asciiTheme="minorEastAsia" w:hAnsiTheme="minorEastAsia"/>
          <w:sz w:val="24"/>
          <w:szCs w:val="24"/>
          <w:highlight w:val="none"/>
          <w:lang w:eastAsia="zh-CN"/>
        </w:rPr>
        <w:t>222-2007《变风量排风柜标准》</w:t>
      </w:r>
    </w:p>
    <w:p>
      <w:pPr>
        <w:pStyle w:val="5"/>
        <w:spacing w:line="360" w:lineRule="auto"/>
        <w:ind w:left="0" w:leftChars="0" w:firstLine="480" w:firstLineChars="200"/>
        <w:rPr>
          <w:rFonts w:hint="eastAsia" w:asciiTheme="minorEastAsia" w:hAnsiTheme="minorEastAsia"/>
          <w:highlight w:val="none"/>
          <w:lang w:eastAsia="zh-CN"/>
        </w:rPr>
      </w:pPr>
    </w:p>
    <w:p>
      <w:pPr>
        <w:pStyle w:val="13"/>
        <w:keepNext w:val="0"/>
        <w:keepLines w:val="0"/>
        <w:pageBreakBefore w:val="0"/>
        <w:widowControl w:val="0"/>
        <w:numPr>
          <w:ilvl w:val="-1"/>
          <w:numId w:val="0"/>
        </w:numPr>
        <w:kinsoku/>
        <w:wordWrap/>
        <w:overflowPunct/>
        <w:topLinePunct w:val="0"/>
        <w:autoSpaceDE w:val="0"/>
        <w:autoSpaceDN w:val="0"/>
        <w:bidi w:val="0"/>
        <w:adjustRightInd w:val="0"/>
        <w:snapToGrid/>
        <w:spacing w:line="360" w:lineRule="auto"/>
        <w:ind w:firstLine="420"/>
        <w:textAlignment w:val="auto"/>
        <w:rPr>
          <w:rFonts w:hint="eastAsia" w:ascii="CESI宋体-GB2312" w:hAnsi="CESI宋体-GB2312" w:eastAsia="CESI宋体-GB2312" w:cs="CESI宋体-GB2312"/>
          <w:b/>
          <w:bCs/>
          <w:sz w:val="24"/>
          <w:szCs w:val="24"/>
          <w:highlight w:val="none"/>
          <w:lang w:val="en-US" w:eastAsia="zh-CN"/>
        </w:rPr>
      </w:pPr>
      <w:r>
        <w:rPr>
          <w:rFonts w:hint="eastAsia" w:cs="宋体" w:asciiTheme="minorEastAsia" w:hAnsiTheme="minorEastAsia"/>
          <w:b/>
          <w:bCs/>
          <w:highlight w:val="none"/>
          <w:lang w:eastAsia="zh-CN"/>
        </w:rPr>
        <w:t>及其他与本次采购的家具相关的现行最新标准。若</w:t>
      </w:r>
      <w:r>
        <w:rPr>
          <w:rFonts w:hint="eastAsia" w:ascii="CESI宋体-GB2312" w:hAnsi="CESI宋体-GB2312" w:eastAsia="CESI宋体-GB2312" w:cs="CESI宋体-GB2312"/>
          <w:b/>
          <w:bCs/>
          <w:sz w:val="24"/>
          <w:szCs w:val="24"/>
          <w:highlight w:val="none"/>
          <w:lang w:val="en-US" w:eastAsia="zh-CN"/>
        </w:rPr>
        <w:t>存在要求标准与现行标准冲突的情况，均以现行的最新标准为准。</w:t>
      </w:r>
    </w:p>
    <w:p>
      <w:pPr>
        <w:pStyle w:val="5"/>
        <w:spacing w:line="360" w:lineRule="auto"/>
        <w:ind w:left="0" w:leftChars="0" w:firstLine="482" w:firstLineChars="200"/>
        <w:rPr>
          <w:rFonts w:hint="eastAsia" w:cs="宋体" w:asciiTheme="minorEastAsia" w:hAnsiTheme="minorEastAsia"/>
          <w:b/>
          <w:bCs/>
          <w:highlight w:val="none"/>
          <w:lang w:eastAsia="zh-CN"/>
        </w:rPr>
      </w:pPr>
    </w:p>
    <w:p>
      <w:pPr>
        <w:rPr>
          <w:highlight w:val="none"/>
        </w:rPr>
      </w:pPr>
      <w:r>
        <w:rPr>
          <w:highlight w:val="none"/>
        </w:rPr>
        <w:br w:type="page"/>
      </w:r>
    </w:p>
    <w:p>
      <w:pPr>
        <w:pStyle w:val="4"/>
        <w:spacing w:before="313" w:line="360" w:lineRule="auto"/>
        <w:ind w:left="40" w:firstLine="610" w:firstLineChars="200"/>
        <w:rPr>
          <w:rFonts w:hint="eastAsia"/>
          <w:b/>
          <w:bCs/>
          <w:spacing w:val="12"/>
          <w:sz w:val="28"/>
          <w:szCs w:val="28"/>
          <w:highlight w:val="none"/>
          <w:lang w:eastAsia="zh-CN"/>
        </w:rPr>
      </w:pPr>
      <w:r>
        <w:rPr>
          <w:rFonts w:hint="eastAsia"/>
          <w:b/>
          <w:bCs/>
          <w:spacing w:val="12"/>
          <w:sz w:val="28"/>
          <w:szCs w:val="28"/>
          <w:highlight w:val="none"/>
          <w:lang w:eastAsia="zh-CN"/>
        </w:rPr>
        <w:t xml:space="preserve">三、采购品目分类、参考样式、规格、基本组成、质量标准等要求。 </w:t>
      </w:r>
    </w:p>
    <w:tbl>
      <w:tblPr>
        <w:tblStyle w:val="6"/>
        <w:tblW w:w="18751" w:type="dxa"/>
        <w:tblInd w:w="0" w:type="dxa"/>
        <w:tblLayout w:type="fixed"/>
        <w:tblCellMar>
          <w:top w:w="0" w:type="dxa"/>
          <w:left w:w="108" w:type="dxa"/>
          <w:bottom w:w="0" w:type="dxa"/>
          <w:right w:w="108" w:type="dxa"/>
        </w:tblCellMar>
      </w:tblPr>
      <w:tblGrid>
        <w:gridCol w:w="600"/>
        <w:gridCol w:w="1151"/>
        <w:gridCol w:w="3274"/>
        <w:gridCol w:w="2021"/>
        <w:gridCol w:w="735"/>
        <w:gridCol w:w="2170"/>
        <w:gridCol w:w="2212"/>
        <w:gridCol w:w="6588"/>
      </w:tblGrid>
      <w:tr>
        <w:tblPrEx>
          <w:tblCellMar>
            <w:top w:w="0" w:type="dxa"/>
            <w:left w:w="108" w:type="dxa"/>
            <w:bottom w:w="0" w:type="dxa"/>
            <w:right w:w="108" w:type="dxa"/>
          </w:tblCellMar>
        </w:tblPrEx>
        <w:trPr>
          <w:trHeight w:val="77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编号</w:t>
            </w:r>
          </w:p>
        </w:tc>
        <w:tc>
          <w:tcPr>
            <w:tcW w:w="1151"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品目</w:t>
            </w:r>
          </w:p>
        </w:tc>
        <w:tc>
          <w:tcPr>
            <w:tcW w:w="327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参考样式</w:t>
            </w:r>
          </w:p>
        </w:tc>
        <w:tc>
          <w:tcPr>
            <w:tcW w:w="2021"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参考规格（长*宽*高）mm</w:t>
            </w:r>
          </w:p>
        </w:tc>
        <w:tc>
          <w:tcPr>
            <w:tcW w:w="73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数量</w:t>
            </w:r>
          </w:p>
        </w:tc>
        <w:tc>
          <w:tcPr>
            <w:tcW w:w="217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基本组成</w:t>
            </w:r>
          </w:p>
        </w:tc>
        <w:tc>
          <w:tcPr>
            <w:tcW w:w="221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基本材质</w:t>
            </w:r>
          </w:p>
        </w:tc>
        <w:tc>
          <w:tcPr>
            <w:tcW w:w="658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工业质量标准</w:t>
            </w:r>
          </w:p>
        </w:tc>
      </w:tr>
      <w:tr>
        <w:trPr>
          <w:trHeight w:val="252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定制</w:t>
            </w:r>
            <w:r>
              <w:rPr>
                <w:rFonts w:hint="eastAsia" w:cs="宋体" w:asciiTheme="minorEastAsia" w:hAnsiTheme="minorEastAsia"/>
                <w:color w:val="auto"/>
                <w:highlight w:val="none"/>
                <w:lang w:eastAsia="zh-CN"/>
              </w:rPr>
              <w:t>不锈钢</w:t>
            </w:r>
            <w:r>
              <w:rPr>
                <w:rFonts w:hint="eastAsia" w:cs="宋体" w:asciiTheme="minorEastAsia" w:hAnsiTheme="minorEastAsia"/>
                <w:color w:val="auto"/>
                <w:highlight w:val="none"/>
              </w:rPr>
              <w:t>操作台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99200" behindDoc="0" locked="0" layoutInCell="1" allowOverlap="1">
                  <wp:simplePos x="0" y="0"/>
                  <wp:positionH relativeFrom="column">
                    <wp:posOffset>285750</wp:posOffset>
                  </wp:positionH>
                  <wp:positionV relativeFrom="paragraph">
                    <wp:posOffset>38100</wp:posOffset>
                  </wp:positionV>
                  <wp:extent cx="1219200" cy="1479550"/>
                  <wp:effectExtent l="0" t="0" r="0" b="6350"/>
                  <wp:wrapNone/>
                  <wp:docPr id="181186908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69080" name="图片 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219408" cy="1481473"/>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1800*800*2050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由316L不锈钢柜体，钢化玻璃、台面，热水器、消毒灯、照明灯、冷暖伸拉水龙头，不锈钢水槽及医用水龙头、管道粉碎机、小标本冲洗筛、五孔插座、压力无关型定风量阀及通风管道构成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1、柜体采用1.2mm厚316L不锈钢制作。</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2、台面采用1.2mm厚316L不锈钢制作。</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3、两侧采用玻璃材质。</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1、柜体采用1.2mm厚SUS316L不锈钢材料制作耐腐蚀、耐磨损、易清洁，外型美观。上箱体侧板前部采用滑动玻璃，以增加光线透明度；滑动门设计人性化方便工作操作以及人员记录；玻璃采用8mm钢化玻璃。</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2、上排风结构，维修方便。</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w:t>
            </w:r>
            <w:r>
              <w:rPr>
                <w:rFonts w:hint="eastAsia" w:cs="宋体" w:asciiTheme="minorEastAsia" w:hAnsiTheme="minorEastAsia"/>
                <w:color w:val="auto"/>
                <w:highlight w:val="none"/>
                <w:lang w:eastAsia="zh-CN"/>
              </w:rPr>
              <w:tab/>
            </w:r>
            <w:r>
              <w:rPr>
                <w:rFonts w:hint="eastAsia" w:cs="宋体" w:asciiTheme="minorEastAsia" w:hAnsiTheme="minorEastAsia"/>
                <w:color w:val="auto"/>
                <w:highlight w:val="none"/>
                <w:lang w:eastAsia="zh-CN"/>
              </w:rPr>
              <w:t>一体成型不锈钢水盆及万向水阀。</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4、独立的台面清洗装置与排水系统。操作台面向水盆方向倾斜3-8度保证合面易清洁无积水；水盆另一方设计有冲水嘴，可随时打开冲刷合面。</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5、标配：日光灯、紫外线杀菌灯、射灯、热水器、冷暖伸拉水龙头，不锈钢水槽及医用水龙头、管道粉碎机、小标本冲洗筛、五孔插座、压力无关型定风量阀及通风管道。</w:t>
            </w:r>
          </w:p>
        </w:tc>
      </w:tr>
      <w:tr>
        <w:tblPrEx>
          <w:tblCellMar>
            <w:top w:w="0" w:type="dxa"/>
            <w:left w:w="108" w:type="dxa"/>
            <w:bottom w:w="0" w:type="dxa"/>
            <w:right w:w="108" w:type="dxa"/>
          </w:tblCellMar>
        </w:tblPrEx>
        <w:trPr>
          <w:trHeight w:val="614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定制操作台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98176" behindDoc="0" locked="0" layoutInCell="1" allowOverlap="1">
                  <wp:simplePos x="0" y="0"/>
                  <wp:positionH relativeFrom="column">
                    <wp:posOffset>130175</wp:posOffset>
                  </wp:positionH>
                  <wp:positionV relativeFrom="paragraph">
                    <wp:posOffset>130810</wp:posOffset>
                  </wp:positionV>
                  <wp:extent cx="1314450" cy="1758950"/>
                  <wp:effectExtent l="0" t="0" r="0" b="12700"/>
                  <wp:wrapNone/>
                  <wp:docPr id="163948044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80445" name="图片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14450" cy="17589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2400*1100*2350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由钢制柜体、陶瓷台面板、视窗、日光灯、控制面板、插座、内衬板及导流板、排风管道、VAV控制系统、变频控制电箱、管道静压控制系统构成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1、柜体材质: 采用全新1.2mm 厚冷轧钢板冲折制作，表面经环氧树脂粉体烤漆防腐蚀处理，其厚度为75</w:t>
            </w:r>
            <w:r>
              <w:rPr>
                <w:rFonts w:hint="eastAsia" w:cs="宋体" w:asciiTheme="minorEastAsia" w:hAnsiTheme="minorEastAsia"/>
                <w:color w:val="auto"/>
                <w:highlight w:val="none"/>
              </w:rPr>
              <w:t>μ</w:t>
            </w:r>
            <w:r>
              <w:rPr>
                <w:rFonts w:hint="eastAsia" w:cs="宋体" w:asciiTheme="minorEastAsia" w:hAnsiTheme="minorEastAsia"/>
                <w:color w:val="auto"/>
                <w:highlight w:val="none"/>
                <w:lang w:eastAsia="zh-CN"/>
              </w:rPr>
              <w:t>m。</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2、台面板采用总厚25mm碟型陶瓷台面（非后期加厚）。</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1、柜体材质: 采用全新1.2mm厚冷轧钢板冲折制作，表面经环氧树脂粉体烤漆防腐蚀处理，其厚度为75</w:t>
            </w:r>
            <w:r>
              <w:rPr>
                <w:rFonts w:hint="eastAsia" w:cs="宋体" w:asciiTheme="minorEastAsia" w:hAnsiTheme="minorEastAsia"/>
                <w:color w:val="auto"/>
                <w:highlight w:val="none"/>
              </w:rPr>
              <w:t>μ</w:t>
            </w:r>
            <w:r>
              <w:rPr>
                <w:rFonts w:hint="eastAsia" w:cs="宋体" w:asciiTheme="minorEastAsia" w:hAnsiTheme="minorEastAsia"/>
                <w:color w:val="auto"/>
                <w:highlight w:val="none"/>
                <w:lang w:eastAsia="zh-CN"/>
              </w:rPr>
              <w:t>m。</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2、台面板采用总厚25mm碟型陶瓷台面（非后期加厚）。</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3、视窗：采用 5mm 厚钢化玻璃。</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4、日光灯长度及瓦数以达到台面照度 400LUX 为准。</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5、控制面板：控制和显示开关电源，照明，风机的工作状态。</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6、内衬板及导流板采用耐酸碱≥6mm厚抗倍特化学积层板，通过CFD模拟操作区气流组织 ,使上,中,下按比例排风。</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7、风管：采用PP风管</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8、VAV控制系统：不小于5英寸彩色触摸屏显示控制面板，文丘里</w:t>
            </w:r>
            <w:r>
              <w:rPr>
                <w:rFonts w:hint="eastAsia" w:cs="宋体" w:asciiTheme="minorEastAsia" w:hAnsiTheme="minorEastAsia"/>
                <w:bCs/>
                <w:color w:val="auto"/>
                <w:highlight w:val="none"/>
                <w:lang w:eastAsia="zh-CN"/>
              </w:rPr>
              <w:t>变风量阀、门高传感器、风速传感器、区域存在传感器、气密环、</w:t>
            </w:r>
            <w:r>
              <w:rPr>
                <w:rFonts w:hint="eastAsia" w:cs="宋体" w:asciiTheme="minorEastAsia" w:hAnsiTheme="minorEastAsia"/>
                <w:color w:val="auto"/>
                <w:highlight w:val="none"/>
                <w:lang w:eastAsia="zh-CN"/>
              </w:rPr>
              <w:t>RS485端口</w:t>
            </w:r>
            <w:r>
              <w:rPr>
                <w:rFonts w:hint="eastAsia" w:cs="宋体" w:asciiTheme="minorEastAsia" w:hAnsiTheme="minorEastAsia"/>
                <w:bCs/>
                <w:color w:val="auto"/>
                <w:highlight w:val="none"/>
                <w:lang w:eastAsia="zh-CN"/>
              </w:rPr>
              <w:t>及控制主机</w:t>
            </w:r>
            <w:r>
              <w:rPr>
                <w:rFonts w:hint="eastAsia" w:cs="宋体" w:asciiTheme="minorEastAsia" w:hAnsiTheme="minorEastAsia"/>
                <w:color w:val="auto"/>
                <w:highlight w:val="none"/>
                <w:lang w:eastAsia="zh-CN"/>
              </w:rPr>
              <w:t>。</w:t>
            </w:r>
          </w:p>
          <w:p>
            <w:pPr>
              <w:rPr>
                <w:rFonts w:hint="eastAsia"/>
                <w:color w:val="auto"/>
                <w:highlight w:val="none"/>
              </w:rPr>
            </w:pPr>
            <w:r>
              <w:rPr>
                <w:rFonts w:hint="eastAsia" w:cs="宋体" w:asciiTheme="minorEastAsia" w:hAnsiTheme="minorEastAsia"/>
                <w:color w:val="auto"/>
                <w:highlight w:val="none"/>
                <w:lang w:val="en-US" w:eastAsia="zh-CN"/>
              </w:rPr>
              <w:t>8.1</w:t>
            </w:r>
            <w:r>
              <w:rPr>
                <w:rFonts w:hint="eastAsia"/>
                <w:color w:val="auto"/>
                <w:highlight w:val="none"/>
              </w:rPr>
              <w:t>文丘里变风量阀：</w:t>
            </w:r>
          </w:p>
          <w:p>
            <w:pPr>
              <w:rPr>
                <w:rFonts w:hint="eastAsia" w:cs="宋体" w:asciiTheme="minorEastAsia" w:hAnsiTheme="minorEastAsia"/>
                <w:color w:val="auto"/>
                <w:highlight w:val="none"/>
                <w:lang w:eastAsia="zh-CN"/>
              </w:rPr>
            </w:pPr>
            <w:r>
              <w:rPr>
                <w:rFonts w:hint="eastAsia"/>
                <w:color w:val="auto"/>
                <w:highlight w:val="none"/>
                <w:lang w:eastAsia="zh-CN"/>
              </w:rPr>
              <w:t>（</w:t>
            </w:r>
            <w:r>
              <w:rPr>
                <w:rFonts w:hint="eastAsia" w:cs="宋体" w:asciiTheme="minorEastAsia" w:hAnsiTheme="minorEastAsia"/>
                <w:color w:val="auto"/>
                <w:highlight w:val="none"/>
                <w:lang w:val="en-US" w:eastAsia="zh-CN"/>
              </w:rPr>
              <w:t>1</w:t>
            </w:r>
            <w:r>
              <w:rPr>
                <w:rFonts w:hint="eastAsia" w:cs="宋体" w:asciiTheme="minorEastAsia" w:hAnsiTheme="minorEastAsia"/>
                <w:color w:val="auto"/>
                <w:highlight w:val="none"/>
                <w:lang w:eastAsia="zh-CN"/>
              </w:rPr>
              <w:t>）高耐腐蚀性材质，阀体的风量测量段与调节段一体成型，风量测量采用文丘里环型流量型风阀实时测量风量。</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2</w:t>
            </w:r>
            <w:r>
              <w:rPr>
                <w:rFonts w:hint="eastAsia" w:cs="宋体" w:asciiTheme="minorEastAsia" w:hAnsiTheme="minorEastAsia"/>
                <w:color w:val="auto"/>
                <w:highlight w:val="none"/>
                <w:lang w:eastAsia="zh-CN"/>
              </w:rPr>
              <w:t>）风量控制精确到气流控制信号±5%。</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3</w:t>
            </w:r>
            <w:r>
              <w:rPr>
                <w:rFonts w:hint="eastAsia" w:cs="宋体" w:asciiTheme="minorEastAsia" w:hAnsiTheme="minorEastAsia"/>
                <w:color w:val="auto"/>
                <w:highlight w:val="none"/>
                <w:lang w:eastAsia="zh-CN"/>
              </w:rPr>
              <w:t>）对命令信号变化的响应时间小于2秒。</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4</w:t>
            </w:r>
            <w:r>
              <w:rPr>
                <w:rFonts w:hint="eastAsia" w:cs="宋体" w:asciiTheme="minorEastAsia" w:hAnsiTheme="minorEastAsia"/>
                <w:color w:val="auto"/>
                <w:highlight w:val="none"/>
                <w:lang w:eastAsia="zh-CN"/>
              </w:rPr>
              <w:t>）对风管静压变化的响应时间小于2秒。</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val="en-US" w:eastAsia="zh-CN"/>
              </w:rPr>
              <w:t>8.2</w:t>
            </w:r>
            <w:r>
              <w:rPr>
                <w:rFonts w:hint="eastAsia" w:cs="宋体" w:asciiTheme="minorEastAsia" w:hAnsiTheme="minorEastAsia"/>
                <w:color w:val="auto"/>
                <w:highlight w:val="none"/>
                <w:lang w:eastAsia="zh-CN"/>
              </w:rPr>
              <w:t>、控制面板：</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1</w:t>
            </w:r>
            <w:r>
              <w:rPr>
                <w:rFonts w:hint="eastAsia" w:cs="宋体" w:asciiTheme="minorEastAsia" w:hAnsiTheme="minorEastAsia"/>
                <w:color w:val="auto"/>
                <w:highlight w:val="none"/>
                <w:lang w:eastAsia="zh-CN"/>
              </w:rPr>
              <w:t>）采用不小于5英寸彩色触摸屏显示，可显示至少下列数据：实时面风速、排风风量、补风风量、自动视窗开关、门高、温度、运行状态多颜色状态等参数。</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2</w:t>
            </w:r>
            <w:r>
              <w:rPr>
                <w:rFonts w:hint="eastAsia" w:cs="宋体" w:asciiTheme="minorEastAsia" w:hAnsiTheme="minorEastAsia"/>
                <w:color w:val="auto"/>
                <w:highlight w:val="none"/>
                <w:lang w:eastAsia="zh-CN"/>
              </w:rPr>
              <w:t>）具紧急排风、门高超限报警、风速过低报警、缺风报警等功能；</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val="en-US" w:eastAsia="zh-CN"/>
              </w:rPr>
              <w:t>8.</w:t>
            </w:r>
            <w:r>
              <w:rPr>
                <w:rFonts w:hint="eastAsia" w:cs="宋体" w:asciiTheme="minorEastAsia" w:hAnsiTheme="minorEastAsia"/>
                <w:color w:val="auto"/>
                <w:highlight w:val="none"/>
                <w:lang w:eastAsia="zh-CN"/>
              </w:rPr>
              <w:t>3、变风量控制器：</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1</w:t>
            </w:r>
            <w:r>
              <w:rPr>
                <w:rFonts w:hint="eastAsia" w:cs="宋体" w:asciiTheme="minorEastAsia" w:hAnsiTheme="minorEastAsia"/>
                <w:color w:val="auto"/>
                <w:highlight w:val="none"/>
                <w:lang w:eastAsia="zh-CN"/>
              </w:rPr>
              <w:t>）配置VAV变风量控制器，适配流量传感、门高传感器、控制面板、带24V电源箱。</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2</w:t>
            </w:r>
            <w:r>
              <w:rPr>
                <w:rFonts w:hint="eastAsia" w:cs="宋体" w:asciiTheme="minorEastAsia" w:hAnsiTheme="minorEastAsia"/>
                <w:color w:val="auto"/>
                <w:highlight w:val="none"/>
                <w:lang w:eastAsia="zh-CN"/>
              </w:rPr>
              <w:t xml:space="preserve">）具备面风速精确控制功能，保证真实面风速维持在0.5m/s±5%(有人)，0.3m/s±5% (无人);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3</w:t>
            </w:r>
            <w:r>
              <w:rPr>
                <w:rFonts w:hint="eastAsia" w:cs="宋体" w:asciiTheme="minorEastAsia" w:hAnsiTheme="minorEastAsia"/>
                <w:color w:val="auto"/>
                <w:highlight w:val="none"/>
                <w:lang w:eastAsia="zh-CN"/>
              </w:rPr>
              <w:t>）噪音：≤55dB；</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9、变频控制电箱：箱体采用1.5mm冷轧钢板环氧树脂喷涂处理，含变频器及电气配件，含管道静压控制系统。</w:t>
            </w:r>
          </w:p>
        </w:tc>
      </w:tr>
      <w:tr>
        <w:trPr>
          <w:trHeight w:val="3466"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定制操作台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705344" behindDoc="0" locked="0" layoutInCell="1" allowOverlap="1">
                  <wp:simplePos x="0" y="0"/>
                  <wp:positionH relativeFrom="column">
                    <wp:posOffset>158750</wp:posOffset>
                  </wp:positionH>
                  <wp:positionV relativeFrom="paragraph">
                    <wp:posOffset>635000</wp:posOffset>
                  </wp:positionV>
                  <wp:extent cx="1435100" cy="1835150"/>
                  <wp:effectExtent l="0" t="0" r="12700" b="12700"/>
                  <wp:wrapNone/>
                  <wp:docPr id="208729749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97490" name="图片 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35100" cy="1840169"/>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1200*1100*2350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由钢制柜体、视窗、日光灯、控制面板、插座、内衬板及导流板、排风管道、VAV控制系统、变频控制电箱、管道静压控制系统构成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1、柜体材质: 采用全新1.2mm 厚冷轧钢板冲折制作，表面经环氧树脂粉体烤漆防腐蚀处理，其厚度为75</w:t>
            </w:r>
            <w:r>
              <w:rPr>
                <w:rFonts w:hint="eastAsia" w:cs="宋体" w:asciiTheme="minorEastAsia" w:hAnsiTheme="minorEastAsia"/>
                <w:color w:val="auto"/>
                <w:highlight w:val="none"/>
              </w:rPr>
              <w:t>μ</w:t>
            </w:r>
            <w:r>
              <w:rPr>
                <w:rFonts w:hint="eastAsia" w:cs="宋体" w:asciiTheme="minorEastAsia" w:hAnsiTheme="minorEastAsia"/>
                <w:color w:val="auto"/>
                <w:highlight w:val="none"/>
                <w:lang w:eastAsia="zh-CN"/>
              </w:rPr>
              <w:t>m。</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1、柜体材质: 采用全新1.2mm 厚冷轧钢板冲折制作，表面经环氧树脂粉体烤漆防腐蚀处理，其厚度为75</w:t>
            </w:r>
            <w:r>
              <w:rPr>
                <w:rFonts w:hint="eastAsia" w:cs="宋体" w:asciiTheme="minorEastAsia" w:hAnsiTheme="minorEastAsia"/>
                <w:color w:val="auto"/>
                <w:highlight w:val="none"/>
              </w:rPr>
              <w:t>μ</w:t>
            </w:r>
            <w:r>
              <w:rPr>
                <w:rFonts w:hint="eastAsia" w:cs="宋体" w:asciiTheme="minorEastAsia" w:hAnsiTheme="minorEastAsia"/>
                <w:color w:val="auto"/>
                <w:highlight w:val="none"/>
                <w:lang w:eastAsia="zh-CN"/>
              </w:rPr>
              <w:t>m。</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2、视窗：采用 5mm 厚钢化玻璃。</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3、日光灯长度及瓦数以达到台面照度 400LUX 为准。</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4、控制面板：控制和显示开关电源，照明，风机的工作状态。</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5、内衬板及导流板采用耐酸碱≥6mm厚抗倍特化学积层板，通过CFD模拟操作区气流组织 ,使上,中,下按比例排风。</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6、风管：采用PP风管</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7、VAV控制系统：不小于5英寸彩色触摸屏显示控制面板，文丘里</w:t>
            </w:r>
            <w:r>
              <w:rPr>
                <w:rFonts w:hint="eastAsia" w:cs="宋体" w:asciiTheme="minorEastAsia" w:hAnsiTheme="minorEastAsia"/>
                <w:bCs/>
                <w:color w:val="auto"/>
                <w:highlight w:val="none"/>
                <w:lang w:eastAsia="zh-CN"/>
              </w:rPr>
              <w:t>变风量阀、门高传感器、风速传感器、区域存在传感器、气密环、</w:t>
            </w:r>
            <w:r>
              <w:rPr>
                <w:rFonts w:hint="eastAsia" w:cs="宋体" w:asciiTheme="minorEastAsia" w:hAnsiTheme="minorEastAsia"/>
                <w:color w:val="auto"/>
                <w:highlight w:val="none"/>
                <w:lang w:eastAsia="zh-CN"/>
              </w:rPr>
              <w:t>RS485端口</w:t>
            </w:r>
            <w:r>
              <w:rPr>
                <w:rFonts w:hint="eastAsia" w:cs="宋体" w:asciiTheme="minorEastAsia" w:hAnsiTheme="minorEastAsia"/>
                <w:bCs/>
                <w:color w:val="auto"/>
                <w:highlight w:val="none"/>
                <w:lang w:eastAsia="zh-CN"/>
              </w:rPr>
              <w:t>及控制主机</w:t>
            </w:r>
            <w:r>
              <w:rPr>
                <w:rFonts w:hint="eastAsia" w:cs="宋体" w:asciiTheme="minorEastAsia" w:hAnsiTheme="minorEastAsia"/>
                <w:color w:val="auto"/>
                <w:highlight w:val="none"/>
                <w:lang w:eastAsia="zh-CN"/>
              </w:rPr>
              <w:t>。</w:t>
            </w:r>
          </w:p>
          <w:p>
            <w:pPr>
              <w:rPr>
                <w:rFonts w:hint="eastAsia"/>
                <w:color w:val="auto"/>
                <w:highlight w:val="none"/>
              </w:rPr>
            </w:pPr>
            <w:r>
              <w:rPr>
                <w:rFonts w:hint="eastAsia" w:cs="宋体" w:asciiTheme="minorEastAsia" w:hAnsiTheme="minorEastAsia"/>
                <w:color w:val="auto"/>
                <w:highlight w:val="none"/>
                <w:lang w:val="en-US" w:eastAsia="zh-CN"/>
              </w:rPr>
              <w:t>7.1</w:t>
            </w:r>
            <w:r>
              <w:rPr>
                <w:rFonts w:hint="eastAsia"/>
                <w:color w:val="auto"/>
                <w:highlight w:val="none"/>
              </w:rPr>
              <w:t>文丘里变风量阀：</w:t>
            </w:r>
          </w:p>
          <w:p>
            <w:pPr>
              <w:rPr>
                <w:color w:val="auto"/>
                <w:highlight w:val="none"/>
              </w:rPr>
            </w:pPr>
            <w:r>
              <w:rPr>
                <w:rFonts w:hint="eastAsia"/>
                <w:color w:val="auto"/>
                <w:highlight w:val="none"/>
                <w:lang w:eastAsia="zh-CN"/>
              </w:rPr>
              <w:t>（</w:t>
            </w:r>
            <w:r>
              <w:rPr>
                <w:rFonts w:hint="eastAsia" w:cs="宋体" w:asciiTheme="minorEastAsia" w:hAnsiTheme="minorEastAsia"/>
                <w:color w:val="auto"/>
                <w:highlight w:val="none"/>
                <w:lang w:val="en-US" w:eastAsia="zh-CN"/>
              </w:rPr>
              <w:t>1</w:t>
            </w:r>
            <w:r>
              <w:rPr>
                <w:rFonts w:hint="eastAsia" w:cs="宋体" w:asciiTheme="minorEastAsia" w:hAnsiTheme="minorEastAsia"/>
                <w:color w:val="auto"/>
                <w:highlight w:val="none"/>
                <w:lang w:eastAsia="zh-CN"/>
              </w:rPr>
              <w:t>）高耐腐蚀性材质，阀体的风量测量段与调节段一体成型，风量测量采用文丘里环型流量型风阀实时测量风量。</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2</w:t>
            </w:r>
            <w:r>
              <w:rPr>
                <w:rFonts w:hint="eastAsia" w:cs="宋体" w:asciiTheme="minorEastAsia" w:hAnsiTheme="minorEastAsia"/>
                <w:color w:val="auto"/>
                <w:highlight w:val="none"/>
                <w:lang w:eastAsia="zh-CN"/>
              </w:rPr>
              <w:t>）风量控制精确到气流控制信号±5%。</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3</w:t>
            </w:r>
            <w:r>
              <w:rPr>
                <w:rFonts w:hint="eastAsia" w:cs="宋体" w:asciiTheme="minorEastAsia" w:hAnsiTheme="minorEastAsia"/>
                <w:color w:val="auto"/>
                <w:highlight w:val="none"/>
                <w:lang w:eastAsia="zh-CN"/>
              </w:rPr>
              <w:t>）对命令信号变化的响应时间小于2秒。</w:t>
            </w:r>
          </w:p>
          <w:p>
            <w:pPr>
              <w:rPr>
                <w:color w:val="auto"/>
                <w:highlight w:val="none"/>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4</w:t>
            </w:r>
            <w:r>
              <w:rPr>
                <w:rFonts w:hint="eastAsia" w:cs="宋体" w:asciiTheme="minorEastAsia" w:hAnsiTheme="minorEastAsia"/>
                <w:color w:val="auto"/>
                <w:highlight w:val="none"/>
                <w:lang w:eastAsia="zh-CN"/>
              </w:rPr>
              <w:t>）对风管静压变化的响应时间小于2秒。</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val="en-US" w:eastAsia="zh-CN"/>
              </w:rPr>
              <w:t>7.2</w:t>
            </w:r>
            <w:r>
              <w:rPr>
                <w:rFonts w:hint="eastAsia" w:cs="宋体" w:asciiTheme="minorEastAsia" w:hAnsiTheme="minorEastAsia"/>
                <w:color w:val="auto"/>
                <w:highlight w:val="none"/>
                <w:lang w:eastAsia="zh-CN"/>
              </w:rPr>
              <w:t>、控制面板：</w:t>
            </w:r>
          </w:p>
          <w:p>
            <w:pPr>
              <w:rPr>
                <w:color w:val="auto"/>
                <w:highlight w:val="none"/>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1</w:t>
            </w:r>
            <w:r>
              <w:rPr>
                <w:rFonts w:hint="eastAsia" w:cs="宋体" w:asciiTheme="minorEastAsia" w:hAnsiTheme="minorEastAsia"/>
                <w:color w:val="auto"/>
                <w:highlight w:val="none"/>
                <w:lang w:eastAsia="zh-CN"/>
              </w:rPr>
              <w:t>）采用不小于5英寸彩色触摸屏显示，可显示至少下列数据：实时面风速、排风风量、补风风量、自动视窗开关、门高、温度、运行状态多颜色状态等参数。</w:t>
            </w:r>
          </w:p>
          <w:p>
            <w:pPr>
              <w:rPr>
                <w:color w:val="auto"/>
                <w:highlight w:val="none"/>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2</w:t>
            </w:r>
            <w:r>
              <w:rPr>
                <w:rFonts w:hint="eastAsia" w:cs="宋体" w:asciiTheme="minorEastAsia" w:hAnsiTheme="minorEastAsia"/>
                <w:color w:val="auto"/>
                <w:highlight w:val="none"/>
                <w:lang w:eastAsia="zh-CN"/>
              </w:rPr>
              <w:t>）具紧急排风、</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门高超限报警、风速过低报警、缺风报警等功能；</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val="en-US" w:eastAsia="zh-CN"/>
              </w:rPr>
              <w:t>7.</w:t>
            </w:r>
            <w:r>
              <w:rPr>
                <w:rFonts w:hint="eastAsia" w:cs="宋体" w:asciiTheme="minorEastAsia" w:hAnsiTheme="minorEastAsia"/>
                <w:color w:val="auto"/>
                <w:highlight w:val="none"/>
                <w:lang w:eastAsia="zh-CN"/>
              </w:rPr>
              <w:t>3、变风量控制器：</w:t>
            </w:r>
          </w:p>
          <w:p>
            <w:pPr>
              <w:rPr>
                <w:color w:val="auto"/>
                <w:highlight w:val="none"/>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1</w:t>
            </w:r>
            <w:r>
              <w:rPr>
                <w:rFonts w:hint="eastAsia" w:cs="宋体" w:asciiTheme="minorEastAsia" w:hAnsiTheme="minorEastAsia"/>
                <w:color w:val="auto"/>
                <w:highlight w:val="none"/>
                <w:lang w:eastAsia="zh-CN"/>
              </w:rPr>
              <w:t>）配置VAV变风量控制器，适配流量传感、门高传感器、控制面板、带24V电源箱。</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2</w:t>
            </w:r>
            <w:r>
              <w:rPr>
                <w:rFonts w:hint="eastAsia" w:cs="宋体" w:asciiTheme="minorEastAsia" w:hAnsiTheme="minorEastAsia"/>
                <w:color w:val="auto"/>
                <w:highlight w:val="none"/>
                <w:lang w:eastAsia="zh-CN"/>
              </w:rPr>
              <w:t xml:space="preserve">）具备面风速精确控制功能，保证真实面风速维持在0.5m/s±5%(有人)，0.3m/s±5% (无人);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3</w:t>
            </w:r>
            <w:r>
              <w:rPr>
                <w:rFonts w:hint="eastAsia" w:cs="宋体" w:asciiTheme="minorEastAsia" w:hAnsiTheme="minorEastAsia"/>
                <w:color w:val="auto"/>
                <w:highlight w:val="none"/>
                <w:lang w:eastAsia="zh-CN"/>
              </w:rPr>
              <w:t>）噪音：≤55dB；8、变频控制电箱：箱体采用1.5mm冷轧钢板环氧树脂喷涂处理，含变频器及电气配件，含管道静压控制系统。</w:t>
            </w:r>
          </w:p>
        </w:tc>
      </w:tr>
      <w:tr>
        <w:tblPrEx>
          <w:tblCellMar>
            <w:top w:w="0" w:type="dxa"/>
            <w:left w:w="108" w:type="dxa"/>
            <w:bottom w:w="0" w:type="dxa"/>
            <w:right w:w="108" w:type="dxa"/>
          </w:tblCellMar>
        </w:tblPrEx>
        <w:trPr>
          <w:trHeight w:val="1381"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4</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定制操作台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82816" behindDoc="0" locked="0" layoutInCell="1" allowOverlap="1">
                  <wp:simplePos x="0" y="0"/>
                  <wp:positionH relativeFrom="column">
                    <wp:posOffset>228600</wp:posOffset>
                  </wp:positionH>
                  <wp:positionV relativeFrom="paragraph">
                    <wp:posOffset>1092200</wp:posOffset>
                  </wp:positionV>
                  <wp:extent cx="1409700" cy="1885950"/>
                  <wp:effectExtent l="0" t="0" r="0" b="0"/>
                  <wp:wrapNone/>
                  <wp:docPr id="30551559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15596" name="图片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08782" cy="18859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1800*850*2350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22</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由钢制柜体、陶瓷台面板、视窗、日光灯、控制面板、插座、内衬板及导流板、排风管道、VAV控制系统、变频控制电箱、管道静压控制系统构成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1、柜体材质: 采用全新1.2mm 厚冷轧钢板冲折制作，表面经环氧树脂粉体烤漆防腐蚀处理，其厚度为75</w:t>
            </w:r>
            <w:r>
              <w:rPr>
                <w:rFonts w:hint="eastAsia" w:cs="宋体" w:asciiTheme="minorEastAsia" w:hAnsiTheme="minorEastAsia"/>
                <w:color w:val="auto"/>
                <w:highlight w:val="none"/>
              </w:rPr>
              <w:t>μ</w:t>
            </w:r>
            <w:r>
              <w:rPr>
                <w:rFonts w:hint="eastAsia" w:cs="宋体" w:asciiTheme="minorEastAsia" w:hAnsiTheme="minorEastAsia"/>
                <w:color w:val="auto"/>
                <w:highlight w:val="none"/>
                <w:lang w:eastAsia="zh-CN"/>
              </w:rPr>
              <w:t>m。</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2、台面板采用总厚25mm碟型陶瓷台面（非后期加厚）。</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1、柜体材质: 采用全新1.2mm 厚冷轧钢板冲折制作，表面经环氧树脂粉体烤漆防腐蚀处理，其厚度为75μm。</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2、台面板采用总厚25mm碟型陶瓷台面（非后期加厚）。</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3、视窗：采用 5mm 厚钢化玻璃。</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4、日光灯长度及瓦数以达到台面照度 400LUX 为准。</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5、控制面板：控制和显示开关电源，照明，风机的工作状态。</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6、内衬板及导流板采用耐酸碱≥6mm厚抗倍特化学积层板，通过CFD模拟操作区气流组织 ,使上,中,下按比例排风。</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7、风管：采用PP风管</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val="en-US" w:eastAsia="zh-CN"/>
              </w:rPr>
              <w:t>8、</w:t>
            </w:r>
            <w:r>
              <w:rPr>
                <w:rFonts w:hint="eastAsia" w:cs="宋体" w:asciiTheme="minorEastAsia" w:hAnsiTheme="minorEastAsia"/>
                <w:color w:val="auto"/>
                <w:highlight w:val="none"/>
                <w:lang w:eastAsia="zh-CN"/>
              </w:rPr>
              <w:t>VAV控制系统：不小于5英寸彩色触摸屏显示控制面板，文丘里</w:t>
            </w:r>
            <w:r>
              <w:rPr>
                <w:rFonts w:hint="eastAsia" w:cs="宋体" w:asciiTheme="minorEastAsia" w:hAnsiTheme="minorEastAsia"/>
                <w:bCs/>
                <w:color w:val="auto"/>
                <w:highlight w:val="none"/>
                <w:lang w:eastAsia="zh-CN"/>
              </w:rPr>
              <w:t>变风量阀、门高传感器、风速传感器、区域存在传感器、气密环、</w:t>
            </w:r>
            <w:r>
              <w:rPr>
                <w:rFonts w:hint="eastAsia" w:cs="宋体" w:asciiTheme="minorEastAsia" w:hAnsiTheme="minorEastAsia"/>
                <w:color w:val="auto"/>
                <w:highlight w:val="none"/>
                <w:lang w:eastAsia="zh-CN"/>
              </w:rPr>
              <w:t>RS485端口</w:t>
            </w:r>
            <w:r>
              <w:rPr>
                <w:rFonts w:hint="eastAsia" w:cs="宋体" w:asciiTheme="minorEastAsia" w:hAnsiTheme="minorEastAsia"/>
                <w:bCs/>
                <w:color w:val="auto"/>
                <w:highlight w:val="none"/>
                <w:lang w:eastAsia="zh-CN"/>
              </w:rPr>
              <w:t>及控制主机</w:t>
            </w:r>
            <w:r>
              <w:rPr>
                <w:rFonts w:hint="eastAsia" w:cs="宋体" w:asciiTheme="minorEastAsia" w:hAnsiTheme="minorEastAsia"/>
                <w:color w:val="auto"/>
                <w:highlight w:val="none"/>
                <w:lang w:eastAsia="zh-CN"/>
              </w:rPr>
              <w:t>。</w:t>
            </w:r>
          </w:p>
          <w:p>
            <w:pPr>
              <w:rPr>
                <w:rFonts w:hint="eastAsia"/>
                <w:color w:val="auto"/>
                <w:highlight w:val="none"/>
              </w:rPr>
            </w:pPr>
            <w:r>
              <w:rPr>
                <w:rFonts w:hint="eastAsia" w:cs="宋体" w:asciiTheme="minorEastAsia" w:hAnsiTheme="minorEastAsia"/>
                <w:color w:val="auto"/>
                <w:highlight w:val="none"/>
                <w:lang w:val="en-US" w:eastAsia="zh-CN"/>
              </w:rPr>
              <w:t>8.1</w:t>
            </w:r>
            <w:r>
              <w:rPr>
                <w:rFonts w:hint="eastAsia"/>
                <w:color w:val="auto"/>
                <w:highlight w:val="none"/>
              </w:rPr>
              <w:t>文丘里变风量阀：</w:t>
            </w:r>
          </w:p>
          <w:p>
            <w:pPr>
              <w:rPr>
                <w:color w:val="auto"/>
                <w:highlight w:val="none"/>
              </w:rPr>
            </w:pPr>
            <w:r>
              <w:rPr>
                <w:rFonts w:hint="eastAsia"/>
                <w:color w:val="auto"/>
                <w:highlight w:val="none"/>
                <w:lang w:eastAsia="zh-CN"/>
              </w:rPr>
              <w:t>（</w:t>
            </w:r>
            <w:r>
              <w:rPr>
                <w:rFonts w:hint="eastAsia" w:cs="宋体" w:asciiTheme="minorEastAsia" w:hAnsiTheme="minorEastAsia"/>
                <w:color w:val="auto"/>
                <w:highlight w:val="none"/>
                <w:lang w:val="en-US" w:eastAsia="zh-CN"/>
              </w:rPr>
              <w:t>1</w:t>
            </w:r>
            <w:r>
              <w:rPr>
                <w:rFonts w:hint="eastAsia" w:cs="宋体" w:asciiTheme="minorEastAsia" w:hAnsiTheme="minorEastAsia"/>
                <w:color w:val="auto"/>
                <w:highlight w:val="none"/>
                <w:lang w:eastAsia="zh-CN"/>
              </w:rPr>
              <w:t>）高耐腐蚀性材质，阀体的风量测量段与调节段一体成型，风量测量采用文丘里环型流量型风阀实时测量风量。</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2</w:t>
            </w:r>
            <w:r>
              <w:rPr>
                <w:rFonts w:hint="eastAsia" w:cs="宋体" w:asciiTheme="minorEastAsia" w:hAnsiTheme="minorEastAsia"/>
                <w:color w:val="auto"/>
                <w:highlight w:val="none"/>
                <w:lang w:eastAsia="zh-CN"/>
              </w:rPr>
              <w:t>）风量控制精确到气流控制信号±5%。</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3</w:t>
            </w:r>
            <w:r>
              <w:rPr>
                <w:rFonts w:hint="eastAsia" w:cs="宋体" w:asciiTheme="minorEastAsia" w:hAnsiTheme="minorEastAsia"/>
                <w:color w:val="auto"/>
                <w:highlight w:val="none"/>
                <w:lang w:eastAsia="zh-CN"/>
              </w:rPr>
              <w:t>）对命令信号变化的响应时间小于2秒。</w:t>
            </w:r>
          </w:p>
          <w:p>
            <w:pPr>
              <w:rPr>
                <w:color w:val="auto"/>
                <w:highlight w:val="none"/>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4</w:t>
            </w:r>
            <w:r>
              <w:rPr>
                <w:rFonts w:hint="eastAsia" w:cs="宋体" w:asciiTheme="minorEastAsia" w:hAnsiTheme="minorEastAsia"/>
                <w:color w:val="auto"/>
                <w:highlight w:val="none"/>
                <w:lang w:eastAsia="zh-CN"/>
              </w:rPr>
              <w:t>）对风管静压变化的响应时间小于2秒。</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val="en-US" w:eastAsia="zh-CN"/>
              </w:rPr>
              <w:t>8.2</w:t>
            </w:r>
            <w:r>
              <w:rPr>
                <w:rFonts w:hint="eastAsia" w:cs="宋体" w:asciiTheme="minorEastAsia" w:hAnsiTheme="minorEastAsia"/>
                <w:color w:val="auto"/>
                <w:highlight w:val="none"/>
                <w:lang w:eastAsia="zh-CN"/>
              </w:rPr>
              <w:t>、控制面板：</w:t>
            </w:r>
          </w:p>
          <w:p>
            <w:pPr>
              <w:rPr>
                <w:color w:val="auto"/>
                <w:highlight w:val="none"/>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1</w:t>
            </w:r>
            <w:r>
              <w:rPr>
                <w:rFonts w:hint="eastAsia" w:cs="宋体" w:asciiTheme="minorEastAsia" w:hAnsiTheme="minorEastAsia"/>
                <w:color w:val="auto"/>
                <w:highlight w:val="none"/>
                <w:lang w:eastAsia="zh-CN"/>
              </w:rPr>
              <w:t>）采用不小于5英寸彩色触摸屏显示，可显示至少下列数据：实时面风速、排风风量、补风风量、自动视窗开关、门高、温度、运行状态多颜色状态等参数。</w:t>
            </w:r>
          </w:p>
          <w:p>
            <w:pPr>
              <w:rPr>
                <w:color w:val="auto"/>
                <w:highlight w:val="none"/>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2</w:t>
            </w:r>
            <w:r>
              <w:rPr>
                <w:rFonts w:hint="eastAsia" w:cs="宋体" w:asciiTheme="minorEastAsia" w:hAnsiTheme="minorEastAsia"/>
                <w:color w:val="auto"/>
                <w:highlight w:val="none"/>
                <w:lang w:eastAsia="zh-CN"/>
              </w:rPr>
              <w:t>）具紧急排风、</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门高超限报警、风速过低报警、缺风报警等功能；</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val="en-US" w:eastAsia="zh-CN"/>
              </w:rPr>
              <w:t>8.</w:t>
            </w:r>
            <w:r>
              <w:rPr>
                <w:rFonts w:hint="eastAsia" w:cs="宋体" w:asciiTheme="minorEastAsia" w:hAnsiTheme="minorEastAsia"/>
                <w:color w:val="auto"/>
                <w:highlight w:val="none"/>
                <w:lang w:eastAsia="zh-CN"/>
              </w:rPr>
              <w:t>3、变风量控制器：</w:t>
            </w:r>
          </w:p>
          <w:p>
            <w:pPr>
              <w:rPr>
                <w:color w:val="auto"/>
                <w:highlight w:val="none"/>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1</w:t>
            </w:r>
            <w:r>
              <w:rPr>
                <w:rFonts w:hint="eastAsia" w:cs="宋体" w:asciiTheme="minorEastAsia" w:hAnsiTheme="minorEastAsia"/>
                <w:color w:val="auto"/>
                <w:highlight w:val="none"/>
                <w:lang w:eastAsia="zh-CN"/>
              </w:rPr>
              <w:t>）配置VAV变风量控制器，适配流量传感、门高传感器、控制面板、带24V电源箱。</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2</w:t>
            </w:r>
            <w:r>
              <w:rPr>
                <w:rFonts w:hint="eastAsia" w:cs="宋体" w:asciiTheme="minorEastAsia" w:hAnsiTheme="minorEastAsia"/>
                <w:color w:val="auto"/>
                <w:highlight w:val="none"/>
                <w:lang w:eastAsia="zh-CN"/>
              </w:rPr>
              <w:t xml:space="preserve">）具备面风速精确控制功能，保证真实面风速维持在0.5m/s±5%(有人)，0.3m/s±5% (无人);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w:t>
            </w:r>
            <w:r>
              <w:rPr>
                <w:rFonts w:hint="eastAsia" w:cs="宋体" w:asciiTheme="minorEastAsia" w:hAnsiTheme="minorEastAsia"/>
                <w:color w:val="auto"/>
                <w:highlight w:val="none"/>
                <w:lang w:val="en-US" w:eastAsia="zh-CN"/>
              </w:rPr>
              <w:t>3</w:t>
            </w:r>
            <w:r>
              <w:rPr>
                <w:rFonts w:hint="eastAsia" w:cs="宋体" w:asciiTheme="minorEastAsia" w:hAnsiTheme="minorEastAsia"/>
                <w:color w:val="auto"/>
                <w:highlight w:val="none"/>
                <w:lang w:eastAsia="zh-CN"/>
              </w:rPr>
              <w:t>）噪音：≤55dB；</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9、变频控制电箱：箱体采用1.5mm冷轧钢板环氧树脂喷涂处理，含变频器及电气配件，含管道静压控制系统。</w:t>
            </w:r>
          </w:p>
        </w:tc>
      </w:tr>
      <w:tr>
        <w:trPr>
          <w:trHeight w:val="588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5</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定制操作台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85888" behindDoc="0" locked="0" layoutInCell="1" allowOverlap="1">
                  <wp:simplePos x="0" y="0"/>
                  <wp:positionH relativeFrom="column">
                    <wp:posOffset>120650</wp:posOffset>
                  </wp:positionH>
                  <wp:positionV relativeFrom="paragraph">
                    <wp:posOffset>781050</wp:posOffset>
                  </wp:positionV>
                  <wp:extent cx="1555750" cy="2070100"/>
                  <wp:effectExtent l="0" t="0" r="6350" b="6350"/>
                  <wp:wrapNone/>
                  <wp:docPr id="65601842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18423" name="图片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55751" cy="2070253"/>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1500*850*2350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5</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由钢制柜体、陶瓷台面板、视窗、日光灯、控制面板、插座、内衬板及导流板、排风管道、VAV控制系统、变频控制电箱、管道静压控制系统构成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1、柜体材质: 采用全新1.2mm 厚冷轧钢板冲折制作，表面经环氧树脂粉体烤漆防腐蚀处理，其厚度为75μm。</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2、台面板采用总厚25mm碟型陶瓷台面（非后期加厚）。</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1、柜体材质: 采用全新1.2mm 厚冷轧钢板冲折制作，表面经环氧树脂粉体烤漆防腐蚀处理，其厚度为75μm。</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2、台面板采用总厚25mm碟型陶瓷台面（非后期加厚）。</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3、视窗：采用 5mm 厚钢化玻璃。</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4、日光灯长度及瓦数以达到台面照度 400LUX 为准。</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5、控制面板：控制和显示开关电源，照明，风机的工作状态。</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6、内衬板及导流板采用耐酸碱≥6mm厚抗倍特化学积层板，通过CFD模拟操作区气流组织 ,使上,中,下按比例排风。</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7、风管：采用PP风管</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8、VAV控制系统：不小于5英寸彩色触摸屏显示控制面板，文丘里变风量阀、门高传感器、风速传感器、区域存在传感器、气密环、RS485端口及控制主机。</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8.1文丘里变风量阀：</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（1）高耐腐蚀性材质，阀体的风量测量段与调节段一体成型，风量测量采用文丘里环型流量型风阀实时测量风量。</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（2）风量控制精确到气流控制信号±5%。</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（3）对命令信号变化的响应时间小于2秒。</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（4）对风管静压变化的响应时间小于2秒。</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8.2、控制面板：</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（1）采用不小于5英寸彩色触摸屏显示，可显示至少下列数据：实时面风速、排风风量、补风风量、自动视窗开关、门高、温度、运行状态多颜色状态等参数。</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（2）具紧急排风、</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门高超限报警、风速过低报警、缺风报警等功能；</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8.3、变风量控制器：</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（1）配置VAV变风量控制器，适配流量传感、门高传感器、控制面板、带24V电源箱。</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 xml:space="preserve">（2）具备面风速精确控制功能，保证真实面风速维持在0.5m/s±5%(有人)，0.3m/s±5% (无人);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（3）噪音：≤55dB；</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9、变频控制电箱：箱体采用1.5mm冷轧钢板环氧树脂喷涂处理，含变频器及电气配件，含管道静压控制系统。</w:t>
            </w:r>
          </w:p>
        </w:tc>
      </w:tr>
      <w:tr>
        <w:tblPrEx>
          <w:tblCellMar>
            <w:top w:w="0" w:type="dxa"/>
            <w:left w:w="108" w:type="dxa"/>
            <w:bottom w:w="0" w:type="dxa"/>
            <w:right w:w="108" w:type="dxa"/>
          </w:tblCellMar>
        </w:tblPrEx>
        <w:trPr>
          <w:trHeight w:val="1149"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6</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定制操作台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91008" behindDoc="0" locked="0" layoutInCell="1" allowOverlap="1">
                  <wp:simplePos x="0" y="0"/>
                  <wp:positionH relativeFrom="column">
                    <wp:posOffset>25400</wp:posOffset>
                  </wp:positionH>
                  <wp:positionV relativeFrom="paragraph">
                    <wp:posOffset>242570</wp:posOffset>
                  </wp:positionV>
                  <wp:extent cx="1593850" cy="2120900"/>
                  <wp:effectExtent l="0" t="0" r="6350" b="12700"/>
                  <wp:wrapNone/>
                  <wp:docPr id="104616341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63413" name="图片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93850" cy="212090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1200*850*2350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由钢制柜体、陶瓷台面板、视窗、日光灯、控制面板、插座、内衬板及导流板、排风管道、VAV控制系统、变频控制电箱、管道静压控制系统构成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1、柜体材质: 采用全新1.2mm 厚冷轧钢板冲折制作，表面经环氧树脂粉体烤漆防腐蚀处理，其厚度为75μm。</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2、台面板采用总厚25mm碟型陶瓷台面（非后期加厚）。</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1、柜体材质: 采用全新1.2mm 厚冷轧钢板冲折制作，表面经环氧树脂粉体烤漆防腐蚀处理，其厚度为75μm。</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2、台面板采用总厚25mm碟型陶瓷台面（非后期加厚）。</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3、视窗：采用 5mm 厚钢化玻璃。</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4、日光灯长度及瓦数以达到台面照度 400LUX 为准。</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5、控制面板：控制和显示开关电源，照明，风机的工作状态。</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6、内衬板及导流板采用耐酸碱≥6mm厚抗倍特化学积层板，通过CFD模拟操作区气流组织 ,使上,中,下按比例排风。</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7、风管：采用PP风管</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8、VAV控制系统：不小于5英寸彩色触摸屏显示控制面板，文丘里变风量阀、门高传感器、风速传感器、区域存在传感器、气密环、RS485端口及控制主机。</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8.1文丘里变风量阀：</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（1）高耐腐蚀性材质，阀体的风量测量段与调节段一体成型，风量测量采用文丘里环型流量型风阀实时测量风量。</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（2）风量控制精确到气流控制信号±5%。</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（3）对命令信号变化的响应时间小于2秒。</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（4）对风管静压变化的响应时间小于2秒。</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8.2、控制面板：</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（1）采用不小于5英寸彩色触摸屏显示，可显示至少下列数据：实时面风速、排风风量、补风风量、自动视窗开关、门高、温度、运行状态多颜色状态等参数。</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（2）具紧急排风、</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门高超限报警、风速过低报警、缺风报警等功能；</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8.3、变风量控制器：</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（1）配置VAV变风量控制器，适配流量传感、门高传感器、控制面板、带24V电源箱。</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 xml:space="preserve">（2）具备面风速精确控制功能，保证真实面风速维持在0.5m/s±5%(有人)，0.3m/s±5% (无人);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（3）噪音：≤55dB；</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9、变频控制电箱：箱体采用1.5mm冷轧钢板环氧树脂喷涂处理，含变频器及电气配件，含管道静压控制系统。</w:t>
            </w:r>
          </w:p>
        </w:tc>
      </w:tr>
      <w:tr>
        <w:trPr>
          <w:trHeight w:val="2825"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7</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中央台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84864" behindDoc="0" locked="0" layoutInCell="1" allowOverlap="1">
                  <wp:simplePos x="0" y="0"/>
                  <wp:positionH relativeFrom="column">
                    <wp:posOffset>9525</wp:posOffset>
                  </wp:positionH>
                  <wp:positionV relativeFrom="paragraph">
                    <wp:posOffset>70485</wp:posOffset>
                  </wp:positionV>
                  <wp:extent cx="1612900" cy="1212850"/>
                  <wp:effectExtent l="0" t="0" r="6350" b="6350"/>
                  <wp:wrapNone/>
                  <wp:docPr id="53200661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06617" name="图片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12900" cy="12128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1000*1500*800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373.4</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由理化板台面、C型钢架、木质柜体构成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lang w:eastAsia="zh-CN"/>
              </w:rPr>
              <w:t xml:space="preserve">1、1、台面采用12.7mm厚实芯双面膜理化板台面，台面边缘用同质材料板双层加厚至25.4mm。 </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2、框架采用质量优质的40mm*60mm*1.5型冷轧钢材。</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3、板材:采用18mm厚E0级三聚氰胺双饰面刨花板。</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rPr>
              <w:t>4、五金件：导轨、铰链。</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1、C型钢架：采用质量优质的40mm*60mm*1.5型冷轧钢材，钢管经环氧树脂喷涂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2、板材: 采用18mm厚E0级三聚氰胺双饰面刨花板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3、门面板、抽屉面板：采用18mm厚，优质三聚氰胺双饰面刨花板；所有断面经优质PVC防水封边处理；板面不翘不裂、耐潮耐热、质地结实、表面平整、耐承重、抗冲击；所用板材的甲醛释放含量≤0.05mg/立方。</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4、滑轨：采用优质DTC宽幅承重三节静音导轨，壁宽45mm，静音效果好，开合平稳，承重力强。</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5、铰链：采用优质DTC液压缓冲铰链，使用中无噪音，可开关十万次以上，使用寿命长。</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6、可调脚：采用ABS工业塑料橡胶材质制成；可根据室内地坪适当调整柜体高度0-30mm；外形美观，设计人性化， 具有防震效果。</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7、扣手：采用蓝白相间的一字型隐藏式拉手，外形美观,，可在多部位开启门及抽屉。</w:t>
            </w:r>
          </w:p>
        </w:tc>
      </w:tr>
      <w:tr>
        <w:tblPrEx>
          <w:tblCellMar>
            <w:top w:w="0" w:type="dxa"/>
            <w:left w:w="108" w:type="dxa"/>
            <w:bottom w:w="0" w:type="dxa"/>
            <w:right w:w="108" w:type="dxa"/>
          </w:tblCellMar>
        </w:tblPrEx>
        <w:trPr>
          <w:trHeight w:val="336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8</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全钢边台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95104" behindDoc="0" locked="0" layoutInCell="1" allowOverlap="1">
                  <wp:simplePos x="0" y="0"/>
                  <wp:positionH relativeFrom="column">
                    <wp:posOffset>85725</wp:posOffset>
                  </wp:positionH>
                  <wp:positionV relativeFrom="paragraph">
                    <wp:posOffset>104140</wp:posOffset>
                  </wp:positionV>
                  <wp:extent cx="1562100" cy="1174750"/>
                  <wp:effectExtent l="0" t="0" r="0" b="6350"/>
                  <wp:wrapNone/>
                  <wp:docPr id="133110026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00261" name="图片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62100" cy="11747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1000*900*900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3.9</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由理化板台面、钢制柜体构成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lang w:eastAsia="zh-CN"/>
              </w:rPr>
              <w:t>1、台面采用12.7mm厚实芯双面膜理化板台面，台面边缘用同质材料板双层加厚至25.4mm。</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2、柜体采用≥1.2mm厚的国标优质冷轧钢板。</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3</w:t>
            </w:r>
            <w:r>
              <w:rPr>
                <w:rFonts w:hint="eastAsia" w:cs="宋体" w:asciiTheme="minorEastAsia" w:hAnsiTheme="minorEastAsia"/>
                <w:color w:val="auto"/>
                <w:highlight w:val="none"/>
              </w:rPr>
              <w:t>、五金件：导轨、铰链。</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柜体采用≥1.2mm厚的国标优质冷轧钢板，主箱体分三层重叠设计，上梁使用≥1.5mm冷轧钢板、主柜体为落地结构，柜体正面应为立体设计，所有钢制产品柜体表面必须经静电环氧树脂粉末喷涂处理。表面喷涂：环氧树脂粉末静电喷涂，涂层厚度≥75μm。</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 xml:space="preserve">2、拉力强度＞270N/mm2；静态承重150kG/㎡，使用寿命＞10年；滑轨采用高承载导轨；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 xml:space="preserve">3、 柜门/抽屉面板：环氧树脂喷涂冷轧钢板材质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4、层板：环氧树脂喷涂冷轧钢板材质。</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5、铰链：采用厚度≥1.8mm 高光泽304#不锈钢五折式承重合页，运动负重：≥90kg。非焊接方式将铰链和柜体及柜门固定。使用过程中无噪音，耐腐蚀，使用寿命达10万次以上。打开角度为175度，带缓冲闭门功能。</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6、拉手：采用高强度不锈钢把手≥170mm。</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7、导轨：采用高承载导轨，≥1.8mm冷轧钢板模具冲压成型制作，自闭结构设计，表面经环氧树酯粉末静电喷涂，有自闭功能；滚轮采用尼龙包边的滚球轴承。</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8、调整脚:采用不锈钢实芯螺栓、尼龙罩盖、橡胶底座组合结构，具有承重、防潮、耐腐蚀及调节水平的功能。</w:t>
            </w:r>
          </w:p>
        </w:tc>
      </w:tr>
      <w:tr>
        <w:trPr>
          <w:trHeight w:val="605"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9</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全钢边台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79744" behindDoc="0" locked="0" layoutInCell="1" allowOverlap="1">
                  <wp:simplePos x="0" y="0"/>
                  <wp:positionH relativeFrom="column">
                    <wp:posOffset>32385</wp:posOffset>
                  </wp:positionH>
                  <wp:positionV relativeFrom="paragraph">
                    <wp:posOffset>166370</wp:posOffset>
                  </wp:positionV>
                  <wp:extent cx="1587500" cy="1187450"/>
                  <wp:effectExtent l="0" t="0" r="12700" b="12700"/>
                  <wp:wrapNone/>
                  <wp:docPr id="1364620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2017" name="图片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87500" cy="11874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1000*800*900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2.4</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由理化板台面、钢制柜体构成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lang w:eastAsia="zh-CN"/>
              </w:rPr>
              <w:t>1、台面采用12.7mm厚实芯双面膜理化板台面，台面边缘用同质材料板双层加厚至25.4mm。</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2、柜体采用≥1.2mm厚的国标优质冷轧钢板。</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3</w:t>
            </w:r>
            <w:r>
              <w:rPr>
                <w:rFonts w:hint="eastAsia" w:cs="宋体" w:asciiTheme="minorEastAsia" w:hAnsiTheme="minorEastAsia"/>
                <w:color w:val="auto"/>
                <w:highlight w:val="none"/>
              </w:rPr>
              <w:t>、五金件：导轨、铰链。</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柜体采用≥1.2mm厚的国标优质冷轧钢板，主箱体分三层重叠设计，上梁使用≥1.5mm冷轧钢板、主柜体为落地结构，柜体正面应为立体设计，所有钢制产品柜体表面必须经静电环氧树脂粉末喷涂处理。表面喷涂：环氧树脂粉末静电喷涂，涂层厚度≥75μm。</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 xml:space="preserve">2、拉力强度＞270N/mm2；静态承重150kG/㎡，使用寿命＞10年；滑轨采用高承载导轨；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 xml:space="preserve">3、 柜门/抽屉面板：环氧树脂喷涂冷轧钢板材质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4、层板：环氧树脂喷涂冷轧钢板材质。</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5、铰链：采用厚度≥1.8mm 高光泽304#不锈钢五折式承重合页，运动负重：≥90kg。非焊接方式将铰链和柜体及柜门固定。使用过程中无噪音，耐腐蚀，使用寿命达10万次以上。打开角度为175度，带缓冲闭门功能。</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6、拉手：采用高强度不锈钢把手≥170mm。</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7、导轨：采用高承载导轨，≥1.8mm冷轧钢板模具冲压成型制作，自闭结构设计，表面经环氧树酯粉末静电喷涂，有自闭功能；滚轮采用尼龙包边的滚球轴承。</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8、调整脚:采用不锈钢实芯螺栓、尼龙罩盖、橡胶底座组合结构，具有承重、防潮、耐腐蚀及调节水平的功能。</w:t>
            </w:r>
          </w:p>
        </w:tc>
      </w:tr>
      <w:tr>
        <w:tblPrEx>
          <w:tblCellMar>
            <w:top w:w="0" w:type="dxa"/>
            <w:left w:w="108" w:type="dxa"/>
            <w:bottom w:w="0" w:type="dxa"/>
            <w:right w:w="108" w:type="dxa"/>
          </w:tblCellMar>
        </w:tblPrEx>
        <w:trPr>
          <w:trHeight w:val="336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边台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63360" behindDoc="0" locked="0" layoutInCell="1" allowOverlap="1">
                  <wp:simplePos x="0" y="0"/>
                  <wp:positionH relativeFrom="column">
                    <wp:posOffset>212725</wp:posOffset>
                  </wp:positionH>
                  <wp:positionV relativeFrom="paragraph">
                    <wp:posOffset>-19050</wp:posOffset>
                  </wp:positionV>
                  <wp:extent cx="1244600" cy="1727200"/>
                  <wp:effectExtent l="0" t="0" r="12700" b="6350"/>
                  <wp:wrapNone/>
                  <wp:docPr id="3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44600" cy="172720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1000*900*800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25.85</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由理化板台面、C型钢架、木质柜体构成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lang w:eastAsia="zh-CN"/>
              </w:rPr>
              <w:t>1、台面采用12.7mm厚实芯双面膜理化板台面，台面边缘用同质材料板双层加厚至25.4mm。</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2、框架采用优质的冷轧钢材。</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3、板材:采用18mm厚E0级三聚氰胺双饰面刨花板。</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rPr>
              <w:t>4、五金件：导轨、铰链。</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1、C型钢架：采用质量优质的40mm*60mm*1.5型冷轧钢材，钢管经环氧树脂喷涂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2、板材: 采用18mm厚E0级三聚氰胺双饰面刨花板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3、门面板、抽屉面板：采用18mm厚，优质三聚氰胺双饰面刨花板；所有断面经优质PVC防水封边处理；板面不翘不裂、耐潮耐热、质地结实、表面平整、耐承重、抗冲击；所用板材的甲醛释放含量≤0.05mg/立方。</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4、滑轨：采用优质DTC宽幅承重三节静音导轨，壁宽45mm，静音效果好，开合平稳，承重力强。</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5、铰链：采用优质DTC液压缓冲铰链，使用中无噪音，可开关十万次以上，使用寿命长。</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6、可调脚：采用ABS工业塑料橡胶材质制成；可根据室内地坪适当调整柜体高度0-30mm；外形美观，设计人性化， 具有防震效果。</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7、扣手：采用蓝白相间的一字型隐藏式拉手，外形美观,，可在多部位开启门及抽屉。</w:t>
            </w:r>
          </w:p>
        </w:tc>
      </w:tr>
      <w:tr>
        <w:trPr>
          <w:trHeight w:val="336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11</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边台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707392" behindDoc="0" locked="0" layoutInCell="1" allowOverlap="1">
                  <wp:simplePos x="0" y="0"/>
                  <wp:positionH relativeFrom="column">
                    <wp:posOffset>219075</wp:posOffset>
                  </wp:positionH>
                  <wp:positionV relativeFrom="paragraph">
                    <wp:posOffset>46990</wp:posOffset>
                  </wp:positionV>
                  <wp:extent cx="1244600" cy="1727200"/>
                  <wp:effectExtent l="0" t="0" r="12700" b="6350"/>
                  <wp:wrapNone/>
                  <wp:docPr id="213791887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18871" name="图片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44600" cy="172720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1000*800*800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6.3</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由理化板台面、C型钢架、木质柜体构成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lang w:eastAsia="zh-CN"/>
              </w:rPr>
              <w:t>1、台面采用12.7mm厚实芯双面膜理化板台面，台面边缘用同质材料板双层加厚至25.4mm。</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2、框架采用优质的冷轧钢材。</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3、板材:采用18mm厚E0级三聚氰胺双饰面刨花板。</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rPr>
              <w:t>4、五金件：导轨、铰链。</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1、C型钢架：采用质量优质的40mm*60mm*1.5型冷轧钢材，钢管经环氧树脂喷涂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2、板材: 采用18mm厚E0级三聚氰胺双饰面刨花板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3、门面板、抽屉面板：采用18mm厚，优质三聚氰胺双饰面刨花板；所有断面经优质PVC防水封边处理；板面不翘不裂、耐潮耐热、质地结实、表面平整、耐承重、抗冲击；所用板材的甲醛释放含量≤0.05mg/立方。</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4、滑轨：采用优质DTC宽幅承重三节静音导轨，壁宽45mm，静音效果好，开合平稳，承重力强。</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5、铰链：采用优质DTC液压缓冲铰链，使用中无噪音，可开关十万次以上，使用寿命长。</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6、可调脚：采用ABS工业塑料橡胶材质制成；可根据室内地坪适当调整柜体高度0-30mm；外形美观，设计人性化， 具有防震效果。</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7、扣手：采用蓝白相间的一字型隐藏式拉手，外形美观,，可在多部位开启门及抽屉。</w:t>
            </w:r>
          </w:p>
        </w:tc>
      </w:tr>
      <w:tr>
        <w:tblPrEx>
          <w:tblCellMar>
            <w:top w:w="0" w:type="dxa"/>
            <w:left w:w="108" w:type="dxa"/>
            <w:bottom w:w="0" w:type="dxa"/>
            <w:right w:w="108" w:type="dxa"/>
          </w:tblCellMar>
        </w:tblPrEx>
        <w:trPr>
          <w:trHeight w:val="336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12</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边台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87936" behindDoc="0" locked="0" layoutInCell="1" allowOverlap="1">
                  <wp:simplePos x="0" y="0"/>
                  <wp:positionH relativeFrom="column">
                    <wp:posOffset>149225</wp:posOffset>
                  </wp:positionH>
                  <wp:positionV relativeFrom="paragraph">
                    <wp:posOffset>41910</wp:posOffset>
                  </wp:positionV>
                  <wp:extent cx="1371600" cy="1905000"/>
                  <wp:effectExtent l="0" t="0" r="0" b="0"/>
                  <wp:wrapNone/>
                  <wp:docPr id="70780549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05498" name="图片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71600" cy="190500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1000*750*800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672.01</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由理化板台面、C型钢架、木质柜体构成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lang w:eastAsia="zh-CN"/>
              </w:rPr>
              <w:t>1、台面采用12.7mm厚实芯双面膜理化板台面，台面边缘用同质材料板双层加厚至25.4mm。</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2、框架采用优质的冷轧钢材。</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3、板材:采用18mm厚E0级三聚氰胺双饰面刨花板。</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rPr>
              <w:t>4、五金件：导轨、铰链。</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1、C型钢架：采用质量优质的40mm*60mm*1.5型冷轧钢材，钢管经环氧树脂喷涂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2、板材: 采用18mm厚E0级三聚氰胺双饰面刨花板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3、门面板、抽屉面板：采用18mm厚，优质三聚氰胺双饰面刨花板；所有断面经优质PVC防水封边处理；板面不翘不裂、耐潮耐热、质地结实、表面平整、耐承重、抗冲击；所用板材的甲醛释放含量≤0.05mg/立方。</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4、滑轨：采用优质DTC宽幅承重三节静音导轨，壁宽45mm，静音效果好，开合平稳，承重力强。</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5、铰链：采用优质DTC液压缓冲铰链，使用中无噪音，可开关十万次以上，使用寿命长。</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6、可调脚：采用ABS工业塑料橡胶材质制成；可根据室内地坪适当调整柜体高度0-30mm；外形美观，设计人性化， 具有防震效果。</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7、扣手：采用蓝白相间的一字型隐藏式拉手，外形美观,，可在多部位开启门及抽屉。</w:t>
            </w:r>
          </w:p>
        </w:tc>
      </w:tr>
      <w:tr>
        <w:trPr>
          <w:trHeight w:val="336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13</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边台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93056" behindDoc="0" locked="0" layoutInCell="1" allowOverlap="1">
                  <wp:simplePos x="0" y="0"/>
                  <wp:positionH relativeFrom="column">
                    <wp:posOffset>181610</wp:posOffset>
                  </wp:positionH>
                  <wp:positionV relativeFrom="paragraph">
                    <wp:posOffset>39370</wp:posOffset>
                  </wp:positionV>
                  <wp:extent cx="1333500" cy="1847850"/>
                  <wp:effectExtent l="0" t="0" r="0" b="0"/>
                  <wp:wrapNone/>
                  <wp:docPr id="12834438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43837" name="图片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33500" cy="18478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1000*600*800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19.24</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由理化板台面、C型钢架、木质柜体构成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lang w:eastAsia="zh-CN"/>
              </w:rPr>
              <w:t>1、台面采用12.7mm厚实芯双面膜理化板台面，台面边缘用同质材料板双层加厚至25.4mm。</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2、框架采用优质的冷轧钢材。</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3、板材:采用18mm厚E0级三聚氰胺双饰面刨花板。</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rPr>
              <w:t>4、五金件：导轨、铰链。</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1、C型钢架：采用质量优质的40mm*60mm*1.5型冷轧钢材，钢管经环氧树脂喷涂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2、板材: 采用18mm厚E0级三聚氰胺双饰面刨花板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3、门面板、抽屉面板：采用18mm厚，优质三聚氰胺双饰面刨花板；所有断面经优质PVC防水封边处理；板面不翘不裂、耐潮耐热、质地结实、表面平整、耐承重、抗冲击；所用板材的甲醛释放含量≤0.05mg/立方。</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4、滑轨：采用优质DTC宽幅承重三节静音导轨，壁宽45mm，静音效果好，开合平稳，承重力强。</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5、铰链：采用优质DTC液压缓冲铰链，使用中无噪音，可开关十万次以上，使用寿命长。</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6、可调脚：采用ABS工业塑料橡胶材质制成；可根据室内地坪适当调整柜体高度0-30mm；外形美观，设计人性化， 具有防震效果。</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7、扣手：采用蓝白相间的一字型隐藏式拉手，外形美观,，可在多部位开启门及抽屉。</w:t>
            </w:r>
          </w:p>
        </w:tc>
      </w:tr>
      <w:tr>
        <w:tblPrEx>
          <w:tblCellMar>
            <w:top w:w="0" w:type="dxa"/>
            <w:left w:w="108" w:type="dxa"/>
            <w:bottom w:w="0" w:type="dxa"/>
            <w:right w:w="108" w:type="dxa"/>
          </w:tblCellMar>
        </w:tblPrEx>
        <w:trPr>
          <w:trHeight w:val="235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14</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不锈钢台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81792" behindDoc="0" locked="0" layoutInCell="1" allowOverlap="1">
                  <wp:simplePos x="0" y="0"/>
                  <wp:positionH relativeFrom="column">
                    <wp:posOffset>222250</wp:posOffset>
                  </wp:positionH>
                  <wp:positionV relativeFrom="paragraph">
                    <wp:posOffset>67945</wp:posOffset>
                  </wp:positionV>
                  <wp:extent cx="1162050" cy="1162050"/>
                  <wp:effectExtent l="0" t="0" r="0" b="0"/>
                  <wp:wrapNone/>
                  <wp:docPr id="28839154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91548" name="图片 35"/>
                          <pic:cNvPicPr>
                            <a:picLocks noChangeAspect="1"/>
                          </pic:cNvPicPr>
                        </pic:nvPicPr>
                        <pic:blipFill>
                          <a:blip r:embed="rId16"/>
                          <a:stretch>
                            <a:fillRect/>
                          </a:stretch>
                        </pic:blipFill>
                        <pic:spPr>
                          <a:xfrm>
                            <a:off x="0" y="0"/>
                            <a:ext cx="1162050" cy="1162050"/>
                          </a:xfrm>
                          <a:prstGeom prst="rect">
                            <a:avLst/>
                          </a:prstGeom>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1000*750*800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由不锈钢框架、不锈钢台面构成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1、基材：厚度≥1.2mm304不锈钢</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2、五金件：不锈钢缓冲门铰链、连接件</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1、整体采用304不锈钢；</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2、框架为38*38*1.2mm方钢制作，表面抛光处理；</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3、台面板厚度为1.2厚mm不锈钢板；</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4、不易藏细菌，易清洁。</w:t>
            </w:r>
          </w:p>
        </w:tc>
      </w:tr>
      <w:tr>
        <w:trPr>
          <w:trHeight w:val="235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15</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不锈钢水槽台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88960" behindDoc="0" locked="0" layoutInCell="1" allowOverlap="1">
                  <wp:simplePos x="0" y="0"/>
                  <wp:positionH relativeFrom="column">
                    <wp:posOffset>127000</wp:posOffset>
                  </wp:positionH>
                  <wp:positionV relativeFrom="paragraph">
                    <wp:posOffset>222250</wp:posOffset>
                  </wp:positionV>
                  <wp:extent cx="1314450" cy="1098550"/>
                  <wp:effectExtent l="0" t="0" r="0" b="6350"/>
                  <wp:wrapNone/>
                  <wp:docPr id="8092164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16412" name="图片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10684" cy="10985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1000*750*800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12.6</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由不锈钢框架、不锈钢台面、不锈钢水槽、水龙头构成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1、框架采用40*60*1.5mm厚304不锈钢制作,台面为1.2mm厚304不锈钢板、配八套一体成型的水槽、水龙头</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1、整体采用304不锈钢；</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2、框架为38*38*1.2mm方钢制作，表面抛光处理；</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3、台面板厚度为1.2厚mm不锈钢板；</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4、水盆一体焊接；</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5、不易藏细菌，易清洁。</w:t>
            </w:r>
          </w:p>
        </w:tc>
      </w:tr>
      <w:tr>
        <w:tblPrEx>
          <w:tblCellMar>
            <w:top w:w="0" w:type="dxa"/>
            <w:left w:w="108" w:type="dxa"/>
            <w:bottom w:w="0" w:type="dxa"/>
            <w:right w:w="108" w:type="dxa"/>
          </w:tblCellMar>
        </w:tblPrEx>
        <w:trPr>
          <w:trHeight w:val="235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16</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试剂架</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706368" behindDoc="0" locked="0" layoutInCell="1" allowOverlap="1">
                  <wp:simplePos x="0" y="0"/>
                  <wp:positionH relativeFrom="column">
                    <wp:posOffset>114300</wp:posOffset>
                  </wp:positionH>
                  <wp:positionV relativeFrom="paragraph">
                    <wp:posOffset>450850</wp:posOffset>
                  </wp:positionV>
                  <wp:extent cx="1346200" cy="571500"/>
                  <wp:effectExtent l="0" t="0" r="6350" b="0"/>
                  <wp:wrapNone/>
                  <wp:docPr id="20998771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77135" name="图片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44706" cy="57150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1000*300*800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230.9</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由钢制框架、玻璃、插座构成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1、采用1.2mm优质冷轧钢板加工而成，表面环氧树脂粉末喷涂，二层10mm厚钢化玻璃层板，层板高度可调，带插座</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1、试剂架结构承重处采用3mm钢板承重250KG；层板采用厚1.2mm优质冷轧钢板，经模具冲压成型。</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2、试剂架酸洗磷化处理后环氧粉沫静电喷涂高温固化处理，涂层厚度≥80um，最后经高温烘烤制作而成。</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3、层板采用12MM厚钢化玻璃制作，周边加围；试剂架层板高度可多节上下移动。</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4、试剂架下安装挡光条、强电插座盒和开关。</w:t>
            </w:r>
          </w:p>
        </w:tc>
      </w:tr>
      <w:tr>
        <w:trPr>
          <w:trHeight w:val="228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17</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边台试剂架</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92032" behindDoc="0" locked="0" layoutInCell="1" allowOverlap="1">
                  <wp:simplePos x="0" y="0"/>
                  <wp:positionH relativeFrom="column">
                    <wp:posOffset>158750</wp:posOffset>
                  </wp:positionH>
                  <wp:positionV relativeFrom="paragraph">
                    <wp:posOffset>336550</wp:posOffset>
                  </wp:positionV>
                  <wp:extent cx="1295400" cy="552450"/>
                  <wp:effectExtent l="0" t="0" r="0" b="0"/>
                  <wp:wrapNone/>
                  <wp:docPr id="116281221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12214" name="图片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95400" cy="550545"/>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1000*250*800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4.78</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由钢制框架、玻璃、插座构成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1、采用1.2mm优质冷轧钢板加工而成，表面环氧树脂粉末喷涂，二层10mm厚钢化玻璃层板，层板高度可调，带插座</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1、试剂架结构承重处采用3mm钢板承重250KG；层板采用厚1.2mm优质冷轧钢板，经模具冲压成型。</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2、试剂架酸洗磷化处理后环氧粉沫静电喷涂高温固化处理，涂层厚度≥80um，最后经高温烘烤制作而成。</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3、层板采用12MM厚钢化玻璃制作，周边加围；试剂架层板高度可多节上下移动。</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4、试剂架下安装挡光条、强电插座盒和开关。</w:t>
            </w:r>
          </w:p>
        </w:tc>
      </w:tr>
      <w:tr>
        <w:tblPrEx>
          <w:tblCellMar>
            <w:top w:w="0" w:type="dxa"/>
            <w:left w:w="108" w:type="dxa"/>
            <w:bottom w:w="0" w:type="dxa"/>
            <w:right w:w="108" w:type="dxa"/>
          </w:tblCellMar>
        </w:tblPrEx>
        <w:trPr>
          <w:trHeight w:val="228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18</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吊柜</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94080" behindDoc="0" locked="0" layoutInCell="1" allowOverlap="1">
                  <wp:simplePos x="0" y="0"/>
                  <wp:positionH relativeFrom="column">
                    <wp:posOffset>336550</wp:posOffset>
                  </wp:positionH>
                  <wp:positionV relativeFrom="paragraph">
                    <wp:posOffset>196850</wp:posOffset>
                  </wp:positionV>
                  <wp:extent cx="933450" cy="1066800"/>
                  <wp:effectExtent l="0" t="0" r="0" b="0"/>
                  <wp:wrapNone/>
                  <wp:docPr id="129581108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11089" name="图片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33451" cy="1069081"/>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1000*300*600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4.78</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由钢制箱体构成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1、箱体采用1.2mm优质冷轧钢板，表面环氧树脂粉末喷涂，五金件：导轨、铰链</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1．钢制柜体加工材料为≥1.2mm厚冷轧钢板经CNC机压成形、焊接制作，表面经环氧树脂粉体涂烧防蚀处理，其厚度为75μm。</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2．门板型式：采用二开门形式，内嵌玻璃；</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3．门板为双层结构，内外面均经环氧树脂粉末静电喷涂，夹层内具消音材料；</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4．门板配置橡胶缓冲垫，以避免与柜体钢板碰撞。</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5．活动层板：层板两侧及前后端应向下折边后再反折，边缘不割手；</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6．层板上下调节间距每格应小于19mm(约3/4英吋)；</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7．五金及配件：</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门板把手：采用304不锈钢把手。</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合页：采用304不锈钢材质</w:t>
            </w:r>
          </w:p>
        </w:tc>
      </w:tr>
      <w:tr>
        <w:trPr>
          <w:trHeight w:val="420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19</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辅助用品</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77696" behindDoc="0" locked="0" layoutInCell="1" allowOverlap="1">
                  <wp:simplePos x="0" y="0"/>
                  <wp:positionH relativeFrom="column">
                    <wp:posOffset>1009650</wp:posOffset>
                  </wp:positionH>
                  <wp:positionV relativeFrom="paragraph">
                    <wp:posOffset>254635</wp:posOffset>
                  </wp:positionV>
                  <wp:extent cx="641350" cy="800100"/>
                  <wp:effectExtent l="0" t="0" r="6350" b="0"/>
                  <wp:wrapNone/>
                  <wp:docPr id="6247034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0348" name="图片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41350" cy="800100"/>
                          </a:xfrm>
                          <a:prstGeom prst="rect">
                            <a:avLst/>
                          </a:prstGeom>
                          <a:noFill/>
                          <a:ln>
                            <a:noFill/>
                          </a:ln>
                        </pic:spPr>
                      </pic:pic>
                    </a:graphicData>
                  </a:graphic>
                </wp:anchor>
              </w:drawing>
            </w:r>
            <w:r>
              <w:rPr>
                <w:rFonts w:hint="eastAsia" w:cs="宋体" w:asciiTheme="minorEastAsia" w:hAnsiTheme="minorEastAsia"/>
                <w:color w:val="auto"/>
                <w:highlight w:val="none"/>
              </w:rPr>
              <w:drawing>
                <wp:anchor distT="0" distB="0" distL="114300" distR="114300" simplePos="0" relativeHeight="251683840" behindDoc="0" locked="0" layoutInCell="1" allowOverlap="1">
                  <wp:simplePos x="0" y="0"/>
                  <wp:positionH relativeFrom="column">
                    <wp:posOffset>-28575</wp:posOffset>
                  </wp:positionH>
                  <wp:positionV relativeFrom="paragraph">
                    <wp:posOffset>436880</wp:posOffset>
                  </wp:positionV>
                  <wp:extent cx="781050" cy="596900"/>
                  <wp:effectExtent l="0" t="0" r="0" b="12700"/>
                  <wp:wrapNone/>
                  <wp:docPr id="5033959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95934" name="图片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81050" cy="59690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165</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由水槽、水龙头构成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1、PP材质水槽，耐腐蚀，铜质陶瓷阀芯水龙头</w:t>
            </w:r>
          </w:p>
        </w:tc>
        <w:tc>
          <w:tcPr>
            <w:tcW w:w="6588" w:type="dxa"/>
            <w:tcBorders>
              <w:top w:val="nil"/>
              <w:left w:val="nil"/>
              <w:bottom w:val="single" w:color="auto" w:sz="4" w:space="0"/>
              <w:right w:val="single" w:color="auto" w:sz="4" w:space="0"/>
            </w:tcBorders>
            <w:shd w:val="clear" w:color="auto" w:fill="auto"/>
            <w:vAlign w:val="center"/>
          </w:tcPr>
          <w:p>
            <w:pPr>
              <w:rPr>
                <w:rFonts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水槽采用全新PP料及色母料，无碳酸钙成分；下水口与水槽一体注塑成型，水槽内壁无缩印，四边平整，表面光滑顺畅，不有划伤、裂纹、气泡、爆边等明显缺陷。水槽壁厚≤5mm；为防止水槽中间或四周有积液，槽体底部有导流线。</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采用实验室专业三口鹅颈龙头；主体加厚铜质．涂层为高亮度环氧树脂涂层耐腐蚀、耐热、防紫外线辐射;陶瓷阀芯：９０度旋转，使用寿命开关５０万次，静态最大耐压３５Pa;龙头选用H63黄铜管，使用红冲锻造工艺，不出现沙眼；涂层经哑光环氧树脂粉末涂料热固处理，防紫外线辐射，耐化学腐蚀；陶瓷阀芯可90度旋转、耐磨、耐腐蚀，开关使用寿命测试可达60万次，静态最大耐压2.5MPa，鹅颈出水管可360度旋转；旋钮把手为PP全新料无添加碳酸钙；供水软管:长度1.5米，软性PVC管外覆不锈钢网,外层包裹PE管，有效防止生锈、渗漏。</w:t>
            </w:r>
          </w:p>
        </w:tc>
      </w:tr>
      <w:tr>
        <w:tblPrEx>
          <w:tblCellMar>
            <w:top w:w="0" w:type="dxa"/>
            <w:left w:w="108" w:type="dxa"/>
            <w:bottom w:w="0" w:type="dxa"/>
            <w:right w:w="108" w:type="dxa"/>
          </w:tblCellMar>
        </w:tblPrEx>
        <w:trPr>
          <w:trHeight w:val="2423"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20</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辅助用品</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703296" behindDoc="0" locked="0" layoutInCell="1" allowOverlap="1">
                  <wp:simplePos x="0" y="0"/>
                  <wp:positionH relativeFrom="column">
                    <wp:posOffset>869950</wp:posOffset>
                  </wp:positionH>
                  <wp:positionV relativeFrom="paragraph">
                    <wp:posOffset>374015</wp:posOffset>
                  </wp:positionV>
                  <wp:extent cx="742950" cy="939800"/>
                  <wp:effectExtent l="0" t="0" r="0" b="12700"/>
                  <wp:wrapNone/>
                  <wp:docPr id="19311461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46186" name="图片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42950" cy="939800"/>
                          </a:xfrm>
                          <a:prstGeom prst="rect">
                            <a:avLst/>
                          </a:prstGeom>
                          <a:noFill/>
                          <a:ln>
                            <a:noFill/>
                          </a:ln>
                        </pic:spPr>
                      </pic:pic>
                    </a:graphicData>
                  </a:graphic>
                </wp:anchor>
              </w:drawing>
            </w:r>
            <w:r>
              <w:rPr>
                <w:rFonts w:hint="eastAsia" w:cs="宋体" w:asciiTheme="minorEastAsia" w:hAnsiTheme="minorEastAsia"/>
                <w:color w:val="auto"/>
                <w:highlight w:val="none"/>
              </w:rPr>
              <w:drawing>
                <wp:anchor distT="0" distB="0" distL="114300" distR="114300" simplePos="0" relativeHeight="251702272" behindDoc="0" locked="0" layoutInCell="1" allowOverlap="1">
                  <wp:simplePos x="0" y="0"/>
                  <wp:positionH relativeFrom="column">
                    <wp:posOffset>38100</wp:posOffset>
                  </wp:positionH>
                  <wp:positionV relativeFrom="paragraph">
                    <wp:posOffset>654050</wp:posOffset>
                  </wp:positionV>
                  <wp:extent cx="654050" cy="596900"/>
                  <wp:effectExtent l="0" t="0" r="12700" b="12700"/>
                  <wp:wrapNone/>
                  <wp:docPr id="187804330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43301" name="图片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54050" cy="59690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由水槽、水龙头构成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1、PP材质水槽，耐腐蚀，PP材质水龙头</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水槽采用全新PP料及色母料，无碳酸钙成分；下水口与水槽一体注塑成型，水槽内壁无缩印，四边平整，表面光滑顺畅，不有划伤、裂纹、气泡、爆边等明显缺陷。水槽壁厚≤5mm；为防止水槽中间或四周有积液，槽体底部有导流线。</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2、阀体采用PP材质；出水嘴采用PP注塑，一体成型；直管采用PP注塑，一体成型；鹅颈管采用PP注塑，一体成型，可360度旋转。</w:t>
            </w:r>
          </w:p>
        </w:tc>
      </w:tr>
      <w:tr>
        <w:trPr>
          <w:trHeight w:val="1567"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21</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辅助用品</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700224" behindDoc="0" locked="0" layoutInCell="1" allowOverlap="1">
                  <wp:simplePos x="0" y="0"/>
                  <wp:positionH relativeFrom="column">
                    <wp:posOffset>390525</wp:posOffset>
                  </wp:positionH>
                  <wp:positionV relativeFrom="paragraph">
                    <wp:posOffset>205105</wp:posOffset>
                  </wp:positionV>
                  <wp:extent cx="831850" cy="1054100"/>
                  <wp:effectExtent l="0" t="0" r="6350" b="12700"/>
                  <wp:wrapNone/>
                  <wp:docPr id="18459471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47129" name="图片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31850" cy="105410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35</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由水龙头构成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rPr>
              <w:t>1、PP材质水龙头</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1、阀体采用PP材质；出水嘴采用PP注塑，一体成型；直管采用PP注塑，一体成型；鹅颈管采用PP注塑，一体成型，可360度旋转。</w:t>
            </w:r>
          </w:p>
        </w:tc>
      </w:tr>
      <w:tr>
        <w:tblPrEx>
          <w:tblCellMar>
            <w:top w:w="0" w:type="dxa"/>
            <w:left w:w="108" w:type="dxa"/>
            <w:bottom w:w="0" w:type="dxa"/>
            <w:right w:w="108" w:type="dxa"/>
          </w:tblCellMar>
        </w:tblPrEx>
        <w:trPr>
          <w:trHeight w:val="392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22</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辅助用品</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86912" behindDoc="0" locked="0" layoutInCell="1" allowOverlap="1">
                  <wp:simplePos x="0" y="0"/>
                  <wp:positionH relativeFrom="column">
                    <wp:posOffset>422275</wp:posOffset>
                  </wp:positionH>
                  <wp:positionV relativeFrom="paragraph">
                    <wp:posOffset>57785</wp:posOffset>
                  </wp:positionV>
                  <wp:extent cx="850900" cy="1066800"/>
                  <wp:effectExtent l="0" t="0" r="6350" b="0"/>
                  <wp:wrapNone/>
                  <wp:docPr id="7068515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51545" name="图片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50900" cy="106680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116</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由主体、喷头、莲蓬头护罩、防尘盖构成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1、主体加厚铜质、洗眼喷头加厚铜质环氧树脂涂层外加软性橡胶、莲蓬头护罩</w:t>
            </w:r>
            <w:r>
              <w:rPr>
                <w:rFonts w:hint="eastAsia" w:cs="宋体" w:asciiTheme="minorEastAsia" w:hAnsiTheme="minorEastAsia"/>
                <w:color w:val="auto"/>
                <w:highlight w:val="none"/>
              </w:rPr>
              <w:t>Φ</w:t>
            </w:r>
            <w:r>
              <w:rPr>
                <w:rFonts w:hint="eastAsia" w:cs="宋体" w:asciiTheme="minorEastAsia" w:hAnsiTheme="minorEastAsia"/>
                <w:color w:val="auto"/>
                <w:highlight w:val="none"/>
                <w:lang w:eastAsia="zh-CN"/>
              </w:rPr>
              <w:t>70橡胶质护杯、防尘盖PP材质。</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1、台式洗眼器;</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 xml:space="preserve">2、主体:加厚铜质H59-1；                                       </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3、洗眼喷头：加厚铜质环氧树脂涂层外加软性橡胶，出水经缓压处理呈泡沫状水柱，防止冲伤眼睛；</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4、莲蓬头护罩：Φ70橡胶质护杯，以避免紧急使用时瞬间接触眼部造成碰撞二次伤害；</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5、防尘盖： PP材质， 平常可防尘，使用时可随时被水冲开，并降低突然时短暂的高水压，防止冲伤眼睛，防尘盖有连接于护罩可防尘脱落。使用时自动被水冲开；</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6、水流锁定开关：水流开启，水流锁定功能一次完成，方便使用；</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7、前置过滤器：配有小型前置过滤器主要的去除管道所产生的沉淀杂质和细菌、微生物残骸、铁锈、沙泥等大于5微米以上的颗粒杂质，避免眼睛及人体肌肤受到伤害；</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8、供水软管:长度1.5米，软性PVC管外覆不锈钢网，外层包裹PE管，有效防止生锈、渗漏。</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9、洗眼量：＞6L/min；</w:t>
            </w:r>
          </w:p>
        </w:tc>
      </w:tr>
      <w:tr>
        <w:trPr>
          <w:trHeight w:val="228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23</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辅助用品</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78720" behindDoc="0" locked="0" layoutInCell="1" allowOverlap="1">
                  <wp:simplePos x="0" y="0"/>
                  <wp:positionH relativeFrom="column">
                    <wp:posOffset>495300</wp:posOffset>
                  </wp:positionH>
                  <wp:positionV relativeFrom="paragraph">
                    <wp:posOffset>114300</wp:posOffset>
                  </wp:positionV>
                  <wp:extent cx="882650" cy="1231900"/>
                  <wp:effectExtent l="0" t="0" r="12700" b="6350"/>
                  <wp:wrapNone/>
                  <wp:docPr id="6522478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4782" name="图片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82650" cy="1233996"/>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110</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由PP主体、滴水棒构成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 xml:space="preserve">1、采用高密度PP，一体成型。 </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1、滴水架。</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2、材料：采用高密度PP，一体成型，无异味；表面光洁，无缩印，无划痕，无飞边；内部无气泡、无气纹。</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3、款式：滴水棒卡扣设计为嵌入式，可拆卸，安装简便，插好后不易脱落，左右摇晃&lt;1mm；接水底部：中间设有排水孔。</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4、可拆卸式滴水棒，滴水棒27/52根。</w:t>
            </w:r>
          </w:p>
        </w:tc>
      </w:tr>
      <w:tr>
        <w:tblPrEx>
          <w:tblCellMar>
            <w:top w:w="0" w:type="dxa"/>
            <w:left w:w="108" w:type="dxa"/>
            <w:bottom w:w="0" w:type="dxa"/>
            <w:right w:w="108" w:type="dxa"/>
          </w:tblCellMar>
        </w:tblPrEx>
        <w:trPr>
          <w:trHeight w:val="1622"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24</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辅助用品</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97152" behindDoc="0" locked="0" layoutInCell="1" allowOverlap="1">
                  <wp:simplePos x="0" y="0"/>
                  <wp:positionH relativeFrom="column">
                    <wp:posOffset>142875</wp:posOffset>
                  </wp:positionH>
                  <wp:positionV relativeFrom="paragraph">
                    <wp:posOffset>209550</wp:posOffset>
                  </wp:positionV>
                  <wp:extent cx="1428750" cy="755650"/>
                  <wp:effectExtent l="0" t="0" r="0" b="6350"/>
                  <wp:wrapNone/>
                  <wp:docPr id="150431850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18504" name="图片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28750" cy="7556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1226</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由钢制底盒、插座、电线构成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1、钢制底盒采用厚1.0mm冷轧钢板，配2个10A五孔插座。</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1、电源插座及配套</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2、86型五孔插座，220V/10A;</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3、钢制底盒：采用厚1.0mm冷轧钢板经CNC机压成形、焊接制作，表面经环氧树脂粉体涂装处理（涂装厚度为75μm）。</w:t>
            </w:r>
          </w:p>
        </w:tc>
      </w:tr>
      <w:tr>
        <w:trPr>
          <w:trHeight w:val="1546"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25</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实验凳</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704320" behindDoc="0" locked="0" layoutInCell="1" allowOverlap="1">
                  <wp:simplePos x="0" y="0"/>
                  <wp:positionH relativeFrom="column">
                    <wp:posOffset>361950</wp:posOffset>
                  </wp:positionH>
                  <wp:positionV relativeFrom="paragraph">
                    <wp:posOffset>203200</wp:posOffset>
                  </wp:positionV>
                  <wp:extent cx="901700" cy="1092200"/>
                  <wp:effectExtent l="0" t="0" r="12700" b="12700"/>
                  <wp:wrapNone/>
                  <wp:docPr id="197415170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51705" name="图片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01700" cy="1094371"/>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977</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由凳面、支撑脚盘构成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 xml:space="preserve">1、PU 发泡 /厚 5.5cm </w:t>
            </w:r>
            <w:r>
              <w:rPr>
                <w:rFonts w:hint="eastAsia" w:cs="宋体" w:asciiTheme="minorEastAsia" w:hAnsiTheme="minorEastAsia"/>
                <w:color w:val="auto"/>
                <w:highlight w:val="none"/>
              </w:rPr>
              <w:t>φ</w:t>
            </w:r>
            <w:r>
              <w:rPr>
                <w:rFonts w:hint="eastAsia" w:cs="宋体" w:asciiTheme="minorEastAsia" w:hAnsiTheme="minorEastAsia"/>
                <w:color w:val="auto"/>
                <w:highlight w:val="none"/>
                <w:lang w:eastAsia="zh-CN"/>
              </w:rPr>
              <w:t>33CM，镀锌钢圈五爪脚、采用气缸杆升降。</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1、面料：黑色座面。                                                                                                                              2、气杆：优质品牌气杆。                                                                                                                     3、可升降脚架：底部带有万向脚轮。</w:t>
            </w:r>
          </w:p>
        </w:tc>
      </w:tr>
      <w:tr>
        <w:tblPrEx>
          <w:tblCellMar>
            <w:top w:w="0" w:type="dxa"/>
            <w:left w:w="108" w:type="dxa"/>
            <w:bottom w:w="0" w:type="dxa"/>
            <w:right w:w="108" w:type="dxa"/>
          </w:tblCellMar>
        </w:tblPrEx>
        <w:trPr>
          <w:trHeight w:val="249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26</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试剂柜</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73600" behindDoc="0" locked="0" layoutInCell="1" allowOverlap="1">
                  <wp:simplePos x="0" y="0"/>
                  <wp:positionH relativeFrom="column">
                    <wp:posOffset>92075</wp:posOffset>
                  </wp:positionH>
                  <wp:positionV relativeFrom="paragraph">
                    <wp:posOffset>83820</wp:posOffset>
                  </wp:positionV>
                  <wp:extent cx="1485900" cy="1117600"/>
                  <wp:effectExtent l="0" t="0" r="0" b="6350"/>
                  <wp:wrapNone/>
                  <wp:docPr id="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pic:cNvPicPr>
                            <a:picLocks noChangeAspect="1"/>
                          </pic:cNvPicPr>
                        </pic:nvPicPr>
                        <pic:blipFill>
                          <a:blip r:embed="rId30"/>
                          <a:stretch>
                            <a:fillRect/>
                          </a:stretch>
                        </pic:blipFill>
                        <pic:spPr>
                          <a:xfrm>
                            <a:off x="0" y="0"/>
                            <a:ext cx="1485900" cy="1117600"/>
                          </a:xfrm>
                          <a:prstGeom prst="rect">
                            <a:avLst/>
                          </a:prstGeom>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900*450*1800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132</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由柜体构成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lang w:eastAsia="zh-CN"/>
              </w:rPr>
              <w:t>1、钢制柜体加工材料为≥1.2mm厚冷轧钢板经CNC机压成形、焊接制作，表面经环氧树脂粉体涂烧防蚀处理。</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rPr>
              <w:t>2、门板把手、合页。</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1、钢制柜体加工材料为≥1.2mm厚冷轧钢板经CNC机压成形、焊接制作，表面经环氧树脂粉体涂烧防蚀处理，其厚度为75μm。</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2、每个柜体单元应配备4个镀锌钢螺杆调整脚，以支撑柜体及调节水平，柜体底部离地板距离应不少于10mm以隔离地面潮气。</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3、门板型式：采用四开门形式，上门内嵌玻璃，下门全钢门，柜体两片门间无中央垂直支柱3.6．门板为双层结构，内外面均经环氧树脂粉末静电喷涂，夹层内具消音材料；</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4、门板配置橡胶缓冲垫，以避免与柜体钢板碰撞。</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5、活动层板：层板两侧及前后端应向下折边后再反折，边缘不割手；</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6、层板上下调节间距每格应小于19mm(约3/4英吋)；</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7、层板数量：二只，加工材料为≥1.0mm厚冷轧钢板经CNC机压成形、焊接制作，表面经环氧树脂粉体涂烧防蚀处理，其厚度为75μm。</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8、五金及配件：</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门板把手：采用304不锈钢把手。</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合页：采用304不锈钢材质</w:t>
            </w:r>
          </w:p>
        </w:tc>
      </w:tr>
      <w:tr>
        <w:trPr>
          <w:trHeight w:val="249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27</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标本柜</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80768" behindDoc="0" locked="0" layoutInCell="1" allowOverlap="1">
                  <wp:simplePos x="0" y="0"/>
                  <wp:positionH relativeFrom="column">
                    <wp:posOffset>422275</wp:posOffset>
                  </wp:positionH>
                  <wp:positionV relativeFrom="paragraph">
                    <wp:posOffset>91440</wp:posOffset>
                  </wp:positionV>
                  <wp:extent cx="857250" cy="1263650"/>
                  <wp:effectExtent l="0" t="0" r="0" b="12700"/>
                  <wp:wrapNone/>
                  <wp:docPr id="2820677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6771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57250" cy="12636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900*450*1800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由柜体、排风口构成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1、钢制柜体加工材料为≥1.2mm厚冷轧钢板经CNC机压成形、焊接制作，表面经环氧树脂粉体涂烧防蚀处理。</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2、门板把手、合页。</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lang w:eastAsia="zh-CN"/>
              </w:rPr>
              <w:t>3、含辅助排风。</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1、钢制柜体加工材料为≥1.2mm厚冷轧钢板经CNC机压成形、焊接制作，表面经环氧树脂粉体涂烧防蚀处理，其厚度为75μm。</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2、每个柜体单元应配备4个镀锌钢螺杆调整脚，以支撑柜体及调节水平，柜体底部离地板距离应不少于10mm以隔离地面潮气。</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3、门板型式：采用四开门形式，上门内嵌玻璃，下门全钢门，柜体两片门间无中央垂直支柱3.6．门板为双层结构，内外面均经环氧树脂粉末静电喷涂，夹层内具消音材料；</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4、门板配置橡胶缓冲垫，以避免与柜体钢板碰撞。</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5、活动层板：层板两侧及前后端应向下折边后再反折，边缘不割手；</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6、层板上下调节间距每格应小于19mm(约3/4英吋)；</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7、层板数量：二只，加工材料为≥1.0mm厚冷轧钢板经CNC机压成形、焊接制作，表面经环氧树脂粉体涂烧防蚀处理，其厚度为75μm。</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8、五金及配件：</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门板把手：采用304不锈钢把手。</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合页：采用304不锈钢材质</w:t>
            </w:r>
          </w:p>
        </w:tc>
      </w:tr>
      <w:tr>
        <w:tblPrEx>
          <w:tblCellMar>
            <w:top w:w="0" w:type="dxa"/>
            <w:left w:w="108" w:type="dxa"/>
            <w:bottom w:w="0" w:type="dxa"/>
            <w:right w:w="108" w:type="dxa"/>
          </w:tblCellMar>
        </w:tblPrEx>
        <w:trPr>
          <w:trHeight w:val="249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28</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气瓶柜</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701248" behindDoc="0" locked="0" layoutInCell="1" allowOverlap="1">
                  <wp:simplePos x="0" y="0"/>
                  <wp:positionH relativeFrom="column">
                    <wp:posOffset>317500</wp:posOffset>
                  </wp:positionH>
                  <wp:positionV relativeFrom="paragraph">
                    <wp:posOffset>-21590</wp:posOffset>
                  </wp:positionV>
                  <wp:extent cx="1016000" cy="1016000"/>
                  <wp:effectExtent l="0" t="0" r="12700" b="12700"/>
                  <wp:wrapNone/>
                  <wp:docPr id="18722905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90518" name="图片 19"/>
                          <pic:cNvPicPr>
                            <a:picLocks noChangeAspect="1"/>
                          </pic:cNvPicPr>
                        </pic:nvPicPr>
                        <pic:blipFill>
                          <a:blip r:embed="rId32"/>
                          <a:stretch>
                            <a:fillRect/>
                          </a:stretch>
                        </pic:blipFill>
                        <pic:spPr>
                          <a:xfrm>
                            <a:off x="0" y="0"/>
                            <a:ext cx="1016000" cy="1016000"/>
                          </a:xfrm>
                          <a:prstGeom prst="rect">
                            <a:avLst/>
                          </a:prstGeom>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900*500*2000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20</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由柜体、钢瓶固定座、接地线装置、气体管道导孔构成</w:t>
            </w:r>
          </w:p>
        </w:tc>
        <w:tc>
          <w:tcPr>
            <w:tcW w:w="2212" w:type="dxa"/>
            <w:tcBorders>
              <w:top w:val="nil"/>
              <w:left w:val="nil"/>
              <w:bottom w:val="single" w:color="auto" w:sz="4" w:space="0"/>
              <w:right w:val="single" w:color="auto" w:sz="4" w:space="0"/>
            </w:tcBorders>
            <w:shd w:val="clear" w:color="auto" w:fill="auto"/>
            <w:vAlign w:val="center"/>
          </w:tcPr>
          <w:p>
            <w:pPr>
              <w:rPr>
                <w:rFonts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1、钢制柜体加工材料为≥1.2mm厚冷轧钢板经CNC机压成形、焊接制作，表面经环氧树脂粉体涂烧防蚀处理。</w:t>
            </w:r>
          </w:p>
          <w:p>
            <w:pPr>
              <w:rPr>
                <w:rFonts w:hint="eastAsia" w:cs="宋体" w:asciiTheme="minorEastAsia" w:hAnsiTheme="minorEastAsia"/>
                <w:color w:val="auto"/>
                <w:highlight w:val="none"/>
              </w:rPr>
            </w:pPr>
            <w:r>
              <w:rPr>
                <w:rFonts w:hint="eastAsia" w:cs="宋体" w:asciiTheme="minorEastAsia" w:hAnsiTheme="minorEastAsia"/>
                <w:color w:val="auto"/>
                <w:highlight w:val="none"/>
              </w:rPr>
              <w:t>2、门板把手、合页。</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1、柜体材料结构：外壳体全部采用1.2mm的冷轧钢板，内外表面经酸洗磷化环氧树脂粉末喷涂，烘热固化处理，底板和挡板采用3mm镀锌踏花钢板。</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2、钢瓶固定座：Ω型钢瓶固定基座采用1.2mm优质冷轧钢板，表面磷化处理,抱箍固定带：采用不锈钢链卡扣式。</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3、接地线装置：设置接地线装置保证钢瓶柜完全接地，消除静电。</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4、气体管道导孔：柜体左右2侧各开4个气体管道接入导孔，每个导孔均有橡胶密封圈；方便不同高度的钢瓶气体管道和不同种类的气体管道的接入柜内安装。</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每扇门板上设有3C认证钢化玻璃视窗，可以观察柜内情形；门板为双层结构，内部安装专用三点联锁，三点锁背面配置一个四方的检修口，用螺丝固定在门背板上；左右门分别贴有PVC薄膜的防火警示标识的标牌和《高压钢瓶安全使用须知》铭牌。</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6、柜体两侧设置通风排槽，可供排风时外界空气进入柜体补充。</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7、防火标志：采用国家标准防火标志。</w:t>
            </w:r>
          </w:p>
        </w:tc>
      </w:tr>
      <w:tr>
        <w:trPr>
          <w:trHeight w:val="228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29</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危化品柜</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76672" behindDoc="0" locked="0" layoutInCell="1" allowOverlap="1">
                  <wp:simplePos x="0" y="0"/>
                  <wp:positionH relativeFrom="column">
                    <wp:posOffset>352425</wp:posOffset>
                  </wp:positionH>
                  <wp:positionV relativeFrom="paragraph">
                    <wp:posOffset>-109855</wp:posOffset>
                  </wp:positionV>
                  <wp:extent cx="939800" cy="1085850"/>
                  <wp:effectExtent l="0" t="0" r="12700" b="0"/>
                  <wp:wrapNone/>
                  <wp:docPr id="14992350" name="图片 18" descr="FLY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350" name="图片 18" descr="FLY30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39800" cy="10858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1090*460*1650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9</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由柜体、两套机械防盗锁、盛漏槽构成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lang w:eastAsia="zh-CN"/>
              </w:rPr>
              <w:t>1、柜体和门板均由双层1mm冷轧钢板。</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rPr>
              <w:t>2、含辅助排风</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1、柜体和门板均由双层1mm冷轧钢板通过折边焊接构造整体成型，柜体表面无焊缝，两层钢板之间相隔净尺寸不小于38mm，形成良好的防火绝缘层；</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2、每台产品配置2块层板，层板采用镀锌钢板，承载面采用波浪形加固设计；</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3、防溢式层板防止意外泄漏的化学品四溢，层板可以依据用户需求任意调节，增加空间使用率，每隔6.5cm；</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4、柜体左右两侧设置通风装置有效降低挥发性物质浓度，预防火灾产生；</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5、环氧树脂粉末涂料静电喷涂处理，柜体内外表面光亮，喷涂均匀，无锈点，无毛刺；</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6、锁具：配备两套机械防盗锁，实现双人双锁管理。机械锁符合GA/T 73-2015相关要求；</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7、51mm深的盛漏槽防止泄漏的液体外溢，符合国内盛漏规范；</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9、配置静电泄放装置，将静电荷导入大地，降低静电火花造成火灾风险；</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10、钢柜柜通过空载稳定性试验，依据GB24820-2009要求，力矩≧200N•m,不应倾翻。</w:t>
            </w:r>
          </w:p>
        </w:tc>
      </w:tr>
      <w:tr>
        <w:tblPrEx>
          <w:tblCellMar>
            <w:top w:w="0" w:type="dxa"/>
            <w:left w:w="108" w:type="dxa"/>
            <w:bottom w:w="0" w:type="dxa"/>
            <w:right w:w="108" w:type="dxa"/>
          </w:tblCellMar>
        </w:tblPrEx>
        <w:trPr>
          <w:trHeight w:val="280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30</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辅助用品</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89984" behindDoc="0" locked="0" layoutInCell="1" allowOverlap="1">
                  <wp:simplePos x="0" y="0"/>
                  <wp:positionH relativeFrom="column">
                    <wp:posOffset>292100</wp:posOffset>
                  </wp:positionH>
                  <wp:positionV relativeFrom="paragraph">
                    <wp:posOffset>215900</wp:posOffset>
                  </wp:positionV>
                  <wp:extent cx="1104900" cy="996950"/>
                  <wp:effectExtent l="0" t="0" r="0" b="12700"/>
                  <wp:wrapNone/>
                  <wp:docPr id="90543579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35793" name="图片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04900" cy="999671"/>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13</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由底座、三节管、罩口、构成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lang w:eastAsia="zh-CN"/>
              </w:rPr>
              <w:t>1、三节活动式,关节采用高密度PP材质，可360度旋转调节方向，关节处为304不锈钢螺丝，活动臂</w:t>
            </w:r>
            <w:r>
              <w:rPr>
                <w:rFonts w:hint="eastAsia" w:cs="宋体" w:asciiTheme="minorEastAsia" w:hAnsiTheme="minorEastAsia"/>
                <w:color w:val="auto"/>
                <w:highlight w:val="none"/>
              </w:rPr>
              <w:t>φ</w:t>
            </w:r>
            <w:r>
              <w:rPr>
                <w:rFonts w:hint="eastAsia" w:cs="宋体" w:asciiTheme="minorEastAsia" w:hAnsiTheme="minorEastAsia"/>
                <w:color w:val="auto"/>
                <w:highlight w:val="none"/>
                <w:lang w:eastAsia="zh-CN"/>
              </w:rPr>
              <w:t>75mm，罩口</w:t>
            </w:r>
            <w:r>
              <w:rPr>
                <w:rFonts w:hint="eastAsia" w:cs="宋体" w:asciiTheme="minorEastAsia" w:hAnsiTheme="minorEastAsia"/>
                <w:color w:val="auto"/>
                <w:highlight w:val="none"/>
              </w:rPr>
              <w:t>φ</w:t>
            </w:r>
            <w:r>
              <w:rPr>
                <w:rFonts w:hint="eastAsia" w:cs="宋体" w:asciiTheme="minorEastAsia" w:hAnsiTheme="minorEastAsia"/>
                <w:color w:val="auto"/>
                <w:highlight w:val="none"/>
                <w:lang w:eastAsia="zh-CN"/>
              </w:rPr>
              <w:t>375mm。</w:t>
            </w:r>
            <w:r>
              <w:rPr>
                <w:rFonts w:hint="eastAsia" w:cs="宋体" w:asciiTheme="minorEastAsia" w:hAnsiTheme="minorEastAsia"/>
                <w:color w:val="auto"/>
                <w:highlight w:val="none"/>
                <w:lang w:eastAsia="zh-CN"/>
              </w:rPr>
              <w:br w:type="textWrapping"/>
            </w:r>
            <w:r>
              <w:rPr>
                <w:rFonts w:hint="eastAsia" w:cs="宋体" w:asciiTheme="minorEastAsia" w:hAnsiTheme="minorEastAsia"/>
                <w:color w:val="auto"/>
                <w:highlight w:val="none"/>
              </w:rPr>
              <w:t>2、含辅助排风。</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1、万向抽气罩：</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2、主体材质：选用高密度PP材质，保证了耐用性和防腐蚀性能。</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3、固定底座：采用高密度PP材质。固定基座的结构与固定方式应能确保移动风罩安装及使用时的稳定</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4、连接杆：使用304不锈钢材质，保证结构强度和防腐蚀性能。</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5、罩体：高密度PC材质制成，Φ375mm。</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6、结构形式：三节关节连接而成，实现360°全方位旋转和上下左右任意角度调节。</w:t>
            </w:r>
          </w:p>
        </w:tc>
      </w:tr>
      <w:tr>
        <w:trPr>
          <w:trHeight w:val="252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31</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辅助用品</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96128" behindDoc="0" locked="0" layoutInCell="1" allowOverlap="1">
                  <wp:simplePos x="0" y="0"/>
                  <wp:positionH relativeFrom="column">
                    <wp:posOffset>600075</wp:posOffset>
                  </wp:positionH>
                  <wp:positionV relativeFrom="paragraph">
                    <wp:posOffset>181610</wp:posOffset>
                  </wp:positionV>
                  <wp:extent cx="482600" cy="1238250"/>
                  <wp:effectExtent l="0" t="0" r="12700" b="0"/>
                  <wp:wrapNone/>
                  <wp:docPr id="13990137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13727" name="图片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82600" cy="12382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12</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由不锈钢底座、不锈钢管、喷头构成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rPr>
              <w:t>304不锈钢材质</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1、紧急冲淋洗眼器：</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2、规格：立式</w:t>
            </w:r>
          </w:p>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3、材质：304不锈钢</w:t>
            </w:r>
          </w:p>
        </w:tc>
      </w:tr>
      <w:tr>
        <w:tblPrEx>
          <w:tblCellMar>
            <w:top w:w="0" w:type="dxa"/>
            <w:left w:w="108" w:type="dxa"/>
            <w:bottom w:w="0" w:type="dxa"/>
            <w:right w:w="108" w:type="dxa"/>
          </w:tblCellMar>
        </w:tblPrEx>
        <w:trPr>
          <w:trHeight w:val="67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32</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利旧部分</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　</w:t>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　</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　</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　</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rPr>
              <w:t>　</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rPr>
              <w:t>　</w:t>
            </w:r>
          </w:p>
        </w:tc>
      </w:tr>
      <w:tr>
        <w:trPr>
          <w:trHeight w:val="350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33</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利旧</w:t>
            </w:r>
            <w:r>
              <w:rPr>
                <w:rFonts w:hint="eastAsia" w:cs="宋体" w:asciiTheme="minorEastAsia" w:hAnsiTheme="minorEastAsia"/>
                <w:color w:val="auto"/>
                <w:highlight w:val="none"/>
                <w:lang w:eastAsia="zh-CN"/>
              </w:rPr>
              <w:t>不锈钢</w:t>
            </w:r>
            <w:r>
              <w:rPr>
                <w:rFonts w:hint="eastAsia" w:cs="宋体" w:asciiTheme="minorEastAsia" w:hAnsiTheme="minorEastAsia"/>
                <w:color w:val="auto"/>
                <w:highlight w:val="none"/>
              </w:rPr>
              <w:t>操作台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59264" behindDoc="0" locked="0" layoutInCell="1" allowOverlap="1">
                  <wp:simplePos x="0" y="0"/>
                  <wp:positionH relativeFrom="column">
                    <wp:posOffset>102235</wp:posOffset>
                  </wp:positionH>
                  <wp:positionV relativeFrom="paragraph">
                    <wp:posOffset>124460</wp:posOffset>
                  </wp:positionV>
                  <wp:extent cx="1517650" cy="1841500"/>
                  <wp:effectExtent l="0" t="0" r="6350" b="6350"/>
                  <wp:wrapNone/>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517650" cy="184150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1800*800*2050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由316L不锈钢柜体，钢化玻璃、台面，热水器、消毒灯、照明灯、冷暖伸拉水龙头，不锈钢水槽及医用水龙头、管道粉碎机、小标本冲洗筛、五孔插座、压力无关型定风量阀及通风管道构成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bookmarkStart w:id="5" w:name="OLE_LINK5"/>
            <w:r>
              <w:rPr>
                <w:rFonts w:hint="eastAsia" w:cs="宋体" w:asciiTheme="minorEastAsia" w:hAnsiTheme="minorEastAsia"/>
                <w:color w:val="auto"/>
                <w:highlight w:val="none"/>
                <w:lang w:eastAsia="zh-CN"/>
              </w:rPr>
              <w:t>利旧</w:t>
            </w:r>
            <w:bookmarkEnd w:id="5"/>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原实验室利旧部分拆除、搬运、安装及修复</w:t>
            </w:r>
          </w:p>
        </w:tc>
      </w:tr>
      <w:tr>
        <w:tblPrEx>
          <w:tblCellMar>
            <w:top w:w="0" w:type="dxa"/>
            <w:left w:w="108" w:type="dxa"/>
            <w:bottom w:w="0" w:type="dxa"/>
            <w:right w:w="108" w:type="dxa"/>
          </w:tblCellMar>
        </w:tblPrEx>
        <w:trPr>
          <w:trHeight w:val="588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34</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利旧操作台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61312" behindDoc="0" locked="0" layoutInCell="1" allowOverlap="1">
                  <wp:simplePos x="0" y="0"/>
                  <wp:positionH relativeFrom="column">
                    <wp:posOffset>60325</wp:posOffset>
                  </wp:positionH>
                  <wp:positionV relativeFrom="paragraph">
                    <wp:posOffset>1030605</wp:posOffset>
                  </wp:positionV>
                  <wp:extent cx="1492250" cy="1911350"/>
                  <wp:effectExtent l="0" t="0" r="12700" b="12700"/>
                  <wp:wrapNone/>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92250" cy="19113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1800*1300*2350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由钢制柜体、视窗、日光灯、控制面板、插座、内衬板及导流板、排风管道、VAV控制系统、变频控制电箱、管道静压控制系统构成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利旧</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原实验室利旧部分拆除、搬运、安装及修复</w:t>
            </w:r>
          </w:p>
        </w:tc>
      </w:tr>
      <w:tr>
        <w:trPr>
          <w:trHeight w:val="588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35</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利旧操作台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60288" behindDoc="0" locked="0" layoutInCell="1" allowOverlap="1">
                  <wp:simplePos x="0" y="0"/>
                  <wp:positionH relativeFrom="column">
                    <wp:posOffset>142875</wp:posOffset>
                  </wp:positionH>
                  <wp:positionV relativeFrom="paragraph">
                    <wp:posOffset>497840</wp:posOffset>
                  </wp:positionV>
                  <wp:extent cx="1314450" cy="1758950"/>
                  <wp:effectExtent l="0" t="0" r="0" b="12700"/>
                  <wp:wrapNone/>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14450" cy="17589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1500*850*2350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16</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由钢制柜体、陶瓷台面板、视窗、日光灯、控制面板、插座、内衬板及导流板、排风管道、VAV控制系统、变频控制电箱、管道静压控制系统构成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利旧</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原实验室利旧部分拆除、搬运、安装及修复</w:t>
            </w:r>
          </w:p>
        </w:tc>
      </w:tr>
      <w:tr>
        <w:tblPrEx>
          <w:tblCellMar>
            <w:top w:w="0" w:type="dxa"/>
            <w:left w:w="108" w:type="dxa"/>
            <w:bottom w:w="0" w:type="dxa"/>
            <w:right w:w="108" w:type="dxa"/>
          </w:tblCellMar>
        </w:tblPrEx>
        <w:trPr>
          <w:trHeight w:val="588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36</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利旧操作台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62336" behindDoc="0" locked="0" layoutInCell="1" allowOverlap="1">
                  <wp:simplePos x="0" y="0"/>
                  <wp:positionH relativeFrom="column">
                    <wp:posOffset>168275</wp:posOffset>
                  </wp:positionH>
                  <wp:positionV relativeFrom="paragraph">
                    <wp:posOffset>532765</wp:posOffset>
                  </wp:positionV>
                  <wp:extent cx="1314450" cy="1758950"/>
                  <wp:effectExtent l="0" t="0" r="0" b="12700"/>
                  <wp:wrapNone/>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14450" cy="17589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1200*850*2350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由钢制柜体、陶瓷台面板、视窗、日光灯、控制面板、插座、内衬板及导流板、排风管道、VAV控制系统、变频控制电箱、管道静压控制系统构成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利旧</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原实验室利旧部分拆除、搬运、安装及修复</w:t>
            </w:r>
          </w:p>
        </w:tc>
      </w:tr>
      <w:tr>
        <w:trPr>
          <w:trHeight w:val="350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37</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利旧中央台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64384" behindDoc="0" locked="0" layoutInCell="1" allowOverlap="1">
                  <wp:simplePos x="0" y="0"/>
                  <wp:positionH relativeFrom="column">
                    <wp:posOffset>22225</wp:posOffset>
                  </wp:positionH>
                  <wp:positionV relativeFrom="paragraph">
                    <wp:posOffset>304165</wp:posOffset>
                  </wp:positionV>
                  <wp:extent cx="1612900" cy="1212850"/>
                  <wp:effectExtent l="0" t="0" r="6350" b="6350"/>
                  <wp:wrapNone/>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12900" cy="12128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1000*1500*800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58.5</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由理化板台面、C型钢架、木质柜体构成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lang w:eastAsia="zh-CN"/>
              </w:rPr>
              <w:t>利旧</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原实验室利旧部分拆除、搬运、安装及修复</w:t>
            </w:r>
          </w:p>
        </w:tc>
      </w:tr>
      <w:tr>
        <w:tblPrEx>
          <w:tblCellMar>
            <w:top w:w="0" w:type="dxa"/>
            <w:left w:w="108" w:type="dxa"/>
            <w:bottom w:w="0" w:type="dxa"/>
            <w:right w:w="108" w:type="dxa"/>
          </w:tblCellMar>
        </w:tblPrEx>
        <w:trPr>
          <w:trHeight w:val="350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38</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利旧边台</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65408" behindDoc="0" locked="0" layoutInCell="1" allowOverlap="1">
                  <wp:simplePos x="0" y="0"/>
                  <wp:positionH relativeFrom="column">
                    <wp:posOffset>187325</wp:posOffset>
                  </wp:positionH>
                  <wp:positionV relativeFrom="paragraph">
                    <wp:posOffset>-69215</wp:posOffset>
                  </wp:positionV>
                  <wp:extent cx="1244600" cy="1720850"/>
                  <wp:effectExtent l="0" t="0" r="12700" b="12700"/>
                  <wp:wrapNone/>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44600" cy="17208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1000*750*800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212.4</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由理化板台面、C型钢架、木质柜体构成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lang w:eastAsia="zh-CN"/>
              </w:rPr>
              <w:t>利旧</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原实验室利旧部分拆除、搬运、安装及修复</w:t>
            </w:r>
          </w:p>
        </w:tc>
      </w:tr>
      <w:tr>
        <w:trPr>
          <w:trHeight w:val="350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39</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利旧试剂架</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66432" behindDoc="0" locked="0" layoutInCell="1" allowOverlap="1">
                  <wp:simplePos x="0" y="0"/>
                  <wp:positionH relativeFrom="column">
                    <wp:posOffset>187325</wp:posOffset>
                  </wp:positionH>
                  <wp:positionV relativeFrom="paragraph">
                    <wp:posOffset>191770</wp:posOffset>
                  </wp:positionV>
                  <wp:extent cx="1346200" cy="571500"/>
                  <wp:effectExtent l="0" t="0" r="6350" b="0"/>
                  <wp:wrapNone/>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46200" cy="57150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1000*300*800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48</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由钢制框架、玻璃、插座构成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利旧</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原实验室利旧部分拆除、搬运、安装及修复</w:t>
            </w:r>
          </w:p>
        </w:tc>
      </w:tr>
      <w:tr>
        <w:tblPrEx>
          <w:tblCellMar>
            <w:top w:w="0" w:type="dxa"/>
            <w:left w:w="108" w:type="dxa"/>
            <w:bottom w:w="0" w:type="dxa"/>
            <w:right w:w="108" w:type="dxa"/>
          </w:tblCellMar>
        </w:tblPrEx>
        <w:trPr>
          <w:trHeight w:val="420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40</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利旧辅助用品</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68480" behindDoc="0" locked="0" layoutInCell="1" allowOverlap="1">
                  <wp:simplePos x="0" y="0"/>
                  <wp:positionH relativeFrom="column">
                    <wp:posOffset>1009650</wp:posOffset>
                  </wp:positionH>
                  <wp:positionV relativeFrom="paragraph">
                    <wp:posOffset>208280</wp:posOffset>
                  </wp:positionV>
                  <wp:extent cx="635000" cy="800100"/>
                  <wp:effectExtent l="0" t="0" r="12700" b="0"/>
                  <wp:wrapNone/>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35000" cy="800100"/>
                          </a:xfrm>
                          <a:prstGeom prst="rect">
                            <a:avLst/>
                          </a:prstGeom>
                          <a:noFill/>
                          <a:ln>
                            <a:noFill/>
                          </a:ln>
                        </pic:spPr>
                      </pic:pic>
                    </a:graphicData>
                  </a:graphic>
                </wp:anchor>
              </w:drawing>
            </w:r>
            <w:r>
              <w:rPr>
                <w:rFonts w:hint="eastAsia" w:cs="宋体" w:asciiTheme="minorEastAsia" w:hAnsiTheme="minorEastAsia"/>
                <w:color w:val="auto"/>
                <w:highlight w:val="none"/>
              </w:rPr>
              <w:drawing>
                <wp:anchor distT="0" distB="0" distL="114300" distR="114300" simplePos="0" relativeHeight="251667456" behindDoc="0" locked="0" layoutInCell="1" allowOverlap="1">
                  <wp:simplePos x="0" y="0"/>
                  <wp:positionH relativeFrom="column">
                    <wp:posOffset>25400</wp:posOffset>
                  </wp:positionH>
                  <wp:positionV relativeFrom="paragraph">
                    <wp:posOffset>419100</wp:posOffset>
                  </wp:positionV>
                  <wp:extent cx="774700" cy="565150"/>
                  <wp:effectExtent l="0" t="0" r="6350" b="6350"/>
                  <wp:wrapNone/>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774700" cy="5651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25</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由水槽、水龙头构成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利旧</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原实验室利旧部分拆除、搬运、安装及修复</w:t>
            </w:r>
          </w:p>
        </w:tc>
      </w:tr>
      <w:tr>
        <w:trPr>
          <w:trHeight w:val="392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41</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利旧辅助用品</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69504" behindDoc="0" locked="0" layoutInCell="1" allowOverlap="1">
                  <wp:simplePos x="0" y="0"/>
                  <wp:positionH relativeFrom="column">
                    <wp:posOffset>441325</wp:posOffset>
                  </wp:positionH>
                  <wp:positionV relativeFrom="paragraph">
                    <wp:posOffset>72390</wp:posOffset>
                  </wp:positionV>
                  <wp:extent cx="844550" cy="1066800"/>
                  <wp:effectExtent l="0" t="0" r="12700" b="0"/>
                  <wp:wrapNone/>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44550" cy="106680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25</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由主体、喷头、莲蓬头护罩、防尘盖构成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利旧</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原实验室利旧部分拆除、搬运、安装及修复</w:t>
            </w:r>
          </w:p>
        </w:tc>
      </w:tr>
      <w:tr>
        <w:tblPrEx>
          <w:tblCellMar>
            <w:top w:w="0" w:type="dxa"/>
            <w:left w:w="108" w:type="dxa"/>
            <w:bottom w:w="0" w:type="dxa"/>
            <w:right w:w="108" w:type="dxa"/>
          </w:tblCellMar>
        </w:tblPrEx>
        <w:trPr>
          <w:trHeight w:val="350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42</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利旧辅助用品</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70528" behindDoc="0" locked="0" layoutInCell="1" allowOverlap="1">
                  <wp:simplePos x="0" y="0"/>
                  <wp:positionH relativeFrom="column">
                    <wp:posOffset>441325</wp:posOffset>
                  </wp:positionH>
                  <wp:positionV relativeFrom="paragraph">
                    <wp:posOffset>30480</wp:posOffset>
                  </wp:positionV>
                  <wp:extent cx="882650" cy="1231900"/>
                  <wp:effectExtent l="0" t="0" r="12700" b="6350"/>
                  <wp:wrapNone/>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82650" cy="123190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25</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由PP主体、滴水棒构成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利旧</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原实验室利旧部分拆除、搬运、安装及修复</w:t>
            </w:r>
          </w:p>
        </w:tc>
      </w:tr>
      <w:tr>
        <w:trPr>
          <w:trHeight w:val="350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43</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利旧辅助用品</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71552" behindDoc="0" locked="0" layoutInCell="1" allowOverlap="1">
                  <wp:simplePos x="0" y="0"/>
                  <wp:positionH relativeFrom="column">
                    <wp:posOffset>136525</wp:posOffset>
                  </wp:positionH>
                  <wp:positionV relativeFrom="paragraph">
                    <wp:posOffset>328295</wp:posOffset>
                  </wp:positionV>
                  <wp:extent cx="1428750" cy="755650"/>
                  <wp:effectExtent l="0" t="0" r="0" b="6350"/>
                  <wp:wrapNone/>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28750" cy="75565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180</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由钢制底盒、插座、电线构成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利旧</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原实验室利旧部分拆除、搬运、安装及修复</w:t>
            </w:r>
          </w:p>
        </w:tc>
      </w:tr>
      <w:tr>
        <w:tblPrEx>
          <w:tblCellMar>
            <w:top w:w="0" w:type="dxa"/>
            <w:left w:w="108" w:type="dxa"/>
            <w:bottom w:w="0" w:type="dxa"/>
            <w:right w:w="108" w:type="dxa"/>
          </w:tblCellMar>
        </w:tblPrEx>
        <w:trPr>
          <w:trHeight w:val="350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44</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利旧实验凳</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72576" behindDoc="0" locked="0" layoutInCell="1" allowOverlap="1">
                  <wp:simplePos x="0" y="0"/>
                  <wp:positionH relativeFrom="column">
                    <wp:posOffset>327025</wp:posOffset>
                  </wp:positionH>
                  <wp:positionV relativeFrom="paragraph">
                    <wp:posOffset>202565</wp:posOffset>
                  </wp:positionV>
                  <wp:extent cx="901700" cy="1092200"/>
                  <wp:effectExtent l="0" t="0" r="12700" b="12700"/>
                  <wp:wrapNone/>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01700" cy="109220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105</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由凳面、支撑脚盘构成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利旧</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原实验室利旧部分拆除、搬运、安装及修复</w:t>
            </w:r>
          </w:p>
        </w:tc>
      </w:tr>
      <w:tr>
        <w:trPr>
          <w:trHeight w:val="350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45</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rPr>
              <w:t>利旧</w:t>
            </w:r>
            <w:r>
              <w:rPr>
                <w:rFonts w:hint="eastAsia" w:cs="宋体" w:asciiTheme="minorEastAsia" w:hAnsiTheme="minorEastAsia"/>
                <w:color w:val="auto"/>
                <w:highlight w:val="none"/>
                <w:lang w:eastAsia="zh-CN"/>
              </w:rPr>
              <w:t>试剂柜</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74624" behindDoc="0" locked="0" layoutInCell="1" allowOverlap="1">
                  <wp:simplePos x="0" y="0"/>
                  <wp:positionH relativeFrom="column">
                    <wp:posOffset>98425</wp:posOffset>
                  </wp:positionH>
                  <wp:positionV relativeFrom="paragraph">
                    <wp:posOffset>-58420</wp:posOffset>
                  </wp:positionV>
                  <wp:extent cx="1485900" cy="1123950"/>
                  <wp:effectExtent l="0" t="0" r="0" b="0"/>
                  <wp:wrapNone/>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30"/>
                          <a:stretch>
                            <a:fillRect/>
                          </a:stretch>
                        </pic:blipFill>
                        <pic:spPr>
                          <a:xfrm>
                            <a:off x="0" y="0"/>
                            <a:ext cx="1485900" cy="1123950"/>
                          </a:xfrm>
                          <a:prstGeom prst="rect">
                            <a:avLst/>
                          </a:prstGeom>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900*450*1800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5</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由柜体构成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rPr>
            </w:pPr>
            <w:r>
              <w:rPr>
                <w:rFonts w:hint="eastAsia" w:cs="宋体" w:asciiTheme="minorEastAsia" w:hAnsiTheme="minorEastAsia"/>
                <w:color w:val="auto"/>
                <w:highlight w:val="none"/>
                <w:lang w:eastAsia="zh-CN"/>
              </w:rPr>
              <w:t>利旧</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原实验室利旧部分拆除、搬运、安装及修复</w:t>
            </w:r>
          </w:p>
        </w:tc>
      </w:tr>
      <w:tr>
        <w:tblPrEx>
          <w:tblCellMar>
            <w:top w:w="0" w:type="dxa"/>
            <w:left w:w="108" w:type="dxa"/>
            <w:bottom w:w="0" w:type="dxa"/>
            <w:right w:w="108" w:type="dxa"/>
          </w:tblCellMar>
        </w:tblPrEx>
        <w:trPr>
          <w:trHeight w:val="3500" w:hRule="atLeast"/>
        </w:trPr>
        <w:tc>
          <w:tcPr>
            <w:tcW w:w="6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46</w:t>
            </w:r>
          </w:p>
        </w:tc>
        <w:tc>
          <w:tcPr>
            <w:tcW w:w="115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rPr>
              <w:t>利旧</w:t>
            </w:r>
            <w:r>
              <w:rPr>
                <w:rFonts w:hint="eastAsia" w:cs="宋体" w:asciiTheme="minorEastAsia" w:hAnsiTheme="minorEastAsia"/>
                <w:color w:val="auto"/>
                <w:highlight w:val="none"/>
                <w:lang w:eastAsia="zh-CN"/>
              </w:rPr>
              <w:t>标本柜</w:t>
            </w:r>
          </w:p>
        </w:tc>
        <w:tc>
          <w:tcPr>
            <w:tcW w:w="3274"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drawing>
                <wp:anchor distT="0" distB="0" distL="114300" distR="114300" simplePos="0" relativeHeight="251675648" behindDoc="0" locked="0" layoutInCell="1" allowOverlap="1">
                  <wp:simplePos x="0" y="0"/>
                  <wp:positionH relativeFrom="column">
                    <wp:posOffset>428625</wp:posOffset>
                  </wp:positionH>
                  <wp:positionV relativeFrom="paragraph">
                    <wp:posOffset>298450</wp:posOffset>
                  </wp:positionV>
                  <wp:extent cx="857250" cy="1270000"/>
                  <wp:effectExtent l="0" t="0" r="0" b="6350"/>
                  <wp:wrapNone/>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57250" cy="1270000"/>
                          </a:xfrm>
                          <a:prstGeom prst="rect">
                            <a:avLst/>
                          </a:prstGeom>
                          <a:noFill/>
                          <a:ln>
                            <a:noFill/>
                          </a:ln>
                        </pic:spPr>
                      </pic:pic>
                    </a:graphicData>
                  </a:graphic>
                </wp:anchor>
              </w:drawing>
            </w:r>
          </w:p>
        </w:tc>
        <w:tc>
          <w:tcPr>
            <w:tcW w:w="2021"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900*450*1800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3</w:t>
            </w:r>
          </w:p>
        </w:tc>
        <w:tc>
          <w:tcPr>
            <w:tcW w:w="2170" w:type="dxa"/>
            <w:tcBorders>
              <w:top w:val="nil"/>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color w:val="auto"/>
                <w:highlight w:val="none"/>
              </w:rPr>
            </w:pPr>
            <w:r>
              <w:rPr>
                <w:rFonts w:hint="eastAsia" w:cs="宋体" w:asciiTheme="minorEastAsia" w:hAnsiTheme="minorEastAsia"/>
                <w:color w:val="auto"/>
                <w:highlight w:val="none"/>
              </w:rPr>
              <w:t>由柜体、排风口构成</w:t>
            </w:r>
          </w:p>
        </w:tc>
        <w:tc>
          <w:tcPr>
            <w:tcW w:w="2212"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利旧</w:t>
            </w:r>
          </w:p>
        </w:tc>
        <w:tc>
          <w:tcPr>
            <w:tcW w:w="6588" w:type="dxa"/>
            <w:tcBorders>
              <w:top w:val="nil"/>
              <w:left w:val="nil"/>
              <w:bottom w:val="single" w:color="auto" w:sz="4" w:space="0"/>
              <w:right w:val="single" w:color="auto" w:sz="4" w:space="0"/>
            </w:tcBorders>
            <w:shd w:val="clear" w:color="auto" w:fill="auto"/>
            <w:vAlign w:val="center"/>
          </w:tcPr>
          <w:p>
            <w:pPr>
              <w:rPr>
                <w:rFonts w:hint="eastAsia" w:cs="宋体" w:asciiTheme="minorEastAsia" w:hAnsiTheme="minorEastAsia"/>
                <w:color w:val="auto"/>
                <w:highlight w:val="none"/>
                <w:lang w:eastAsia="zh-CN"/>
              </w:rPr>
            </w:pPr>
            <w:r>
              <w:rPr>
                <w:rFonts w:hint="eastAsia" w:cs="宋体" w:asciiTheme="minorEastAsia" w:hAnsiTheme="minorEastAsia"/>
                <w:color w:val="auto"/>
                <w:highlight w:val="none"/>
                <w:lang w:eastAsia="zh-CN"/>
              </w:rPr>
              <w:t>原实验室利旧部分拆除、搬运、安装及修复</w:t>
            </w:r>
          </w:p>
        </w:tc>
      </w:tr>
    </w:tbl>
    <w:p>
      <w:pPr>
        <w:rPr>
          <w:rFonts w:hint="eastAsia" w:ascii="宋体" w:hAnsi="宋体" w:cs="宋体"/>
          <w:b/>
          <w:bCs/>
          <w:sz w:val="28"/>
          <w:szCs w:val="28"/>
          <w:highlight w:val="none"/>
          <w:lang w:eastAsia="zh-CN"/>
        </w:rPr>
      </w:pPr>
      <w:r>
        <w:rPr>
          <w:rFonts w:hint="eastAsia" w:ascii="宋体" w:hAnsi="宋体" w:cs="宋体"/>
          <w:b/>
          <w:bCs/>
          <w:spacing w:val="12"/>
          <w:sz w:val="28"/>
          <w:szCs w:val="28"/>
          <w:highlight w:val="none"/>
          <w:lang w:eastAsia="zh-CN"/>
        </w:rPr>
        <w:br w:type="page"/>
      </w:r>
    </w:p>
    <w:p>
      <w:pPr>
        <w:pStyle w:val="9"/>
        <w:numPr>
          <w:ilvl w:val="0"/>
          <w:numId w:val="3"/>
        </w:numPr>
        <w:spacing w:before="123" w:line="360" w:lineRule="auto"/>
        <w:ind w:firstLineChars="0"/>
        <w:outlineLvl w:val="6"/>
        <w:rPr>
          <w:rFonts w:hint="eastAsia" w:ascii="宋体" w:hAnsi="宋体" w:cs="宋体"/>
          <w:b/>
          <w:bCs/>
          <w:sz w:val="28"/>
          <w:szCs w:val="28"/>
          <w:highlight w:val="none"/>
          <w:lang w:eastAsia="zh-CN"/>
        </w:rPr>
      </w:pPr>
      <w:r>
        <w:rPr>
          <w:rFonts w:hint="eastAsia" w:ascii="宋体" w:hAnsi="宋体" w:cs="宋体"/>
          <w:b/>
          <w:bCs/>
          <w:spacing w:val="12"/>
          <w:sz w:val="28"/>
          <w:szCs w:val="28"/>
          <w:highlight w:val="none"/>
          <w:lang w:eastAsia="zh-CN"/>
        </w:rPr>
        <w:t xml:space="preserve">材料及成品要求  </w:t>
      </w:r>
    </w:p>
    <w:p>
      <w:pPr>
        <w:pStyle w:val="4"/>
        <w:spacing w:line="360" w:lineRule="auto"/>
        <w:rPr>
          <w:rFonts w:hint="eastAsia"/>
          <w:b/>
          <w:bCs/>
          <w:spacing w:val="-2"/>
          <w:sz w:val="28"/>
          <w:szCs w:val="28"/>
          <w:highlight w:val="none"/>
          <w:lang w:eastAsia="zh-CN"/>
        </w:rPr>
      </w:pPr>
      <w:r>
        <w:rPr>
          <w:rFonts w:hint="eastAsia"/>
          <w:b/>
          <w:bCs/>
          <w:spacing w:val="-2"/>
          <w:sz w:val="28"/>
          <w:szCs w:val="28"/>
          <w:highlight w:val="none"/>
          <w:lang w:eastAsia="zh-CN"/>
        </w:rPr>
        <w:t>1、原辅材料要求</w:t>
      </w:r>
    </w:p>
    <w:p>
      <w:pPr>
        <w:pStyle w:val="4"/>
        <w:spacing w:line="360" w:lineRule="auto"/>
        <w:rPr>
          <w:rFonts w:hint="eastAsia"/>
          <w:b/>
          <w:bCs/>
          <w:spacing w:val="-2"/>
          <w:sz w:val="28"/>
          <w:szCs w:val="28"/>
          <w:highlight w:val="none"/>
          <w:lang w:eastAsia="zh-CN"/>
        </w:rPr>
      </w:pPr>
      <w:r>
        <w:rPr>
          <w:rFonts w:hint="eastAsia"/>
          <w:b/>
          <w:bCs/>
          <w:spacing w:val="-2"/>
          <w:sz w:val="28"/>
          <w:szCs w:val="28"/>
          <w:highlight w:val="none"/>
          <w:lang w:eastAsia="zh-CN"/>
        </w:rPr>
        <w:t>（1）实芯理化板台面</w:t>
      </w:r>
    </w:p>
    <w:p>
      <w:pPr>
        <w:pStyle w:val="4"/>
        <w:spacing w:line="360" w:lineRule="auto"/>
        <w:rPr>
          <w:rFonts w:hint="eastAsia"/>
          <w:color w:val="FF0000"/>
          <w:spacing w:val="-2"/>
          <w:sz w:val="28"/>
          <w:szCs w:val="28"/>
          <w:highlight w:val="none"/>
          <w:lang w:eastAsia="zh-CN"/>
        </w:rPr>
      </w:pPr>
      <w:r>
        <w:rPr>
          <w:rFonts w:hint="eastAsia"/>
          <w:color w:val="FF0000"/>
          <w:spacing w:val="-2"/>
          <w:sz w:val="28"/>
          <w:szCs w:val="28"/>
          <w:highlight w:val="none"/>
          <w:lang w:eastAsia="zh-CN"/>
        </w:rPr>
        <w:t>▲1.1、台面板依据GB/T 17657-2022《人造板及饰面人造板理化性能试验方法》及其他相关标准方法检测，通过氢氧化钠（25%）、丙酮、柠檬酸（10%）等实验常用的酸碱及其它化学试剂的检验，检验结果为5级：无明显变化。</w:t>
      </w:r>
    </w:p>
    <w:p>
      <w:pPr>
        <w:pStyle w:val="4"/>
        <w:spacing w:line="360" w:lineRule="auto"/>
        <w:rPr>
          <w:rFonts w:hint="eastAsia"/>
          <w:color w:val="FF0000"/>
          <w:spacing w:val="-2"/>
          <w:sz w:val="28"/>
          <w:szCs w:val="28"/>
          <w:highlight w:val="none"/>
          <w:lang w:eastAsia="zh-CN"/>
        </w:rPr>
      </w:pPr>
      <w:r>
        <w:rPr>
          <w:rFonts w:hint="eastAsia"/>
          <w:color w:val="FF0000"/>
          <w:spacing w:val="-2"/>
          <w:sz w:val="28"/>
          <w:szCs w:val="28"/>
          <w:highlight w:val="none"/>
          <w:lang w:eastAsia="zh-CN"/>
        </w:rPr>
        <w:t>▲1.</w:t>
      </w:r>
      <w:r>
        <w:rPr>
          <w:rFonts w:hint="eastAsia"/>
          <w:color w:val="FF0000"/>
          <w:spacing w:val="-2"/>
          <w:sz w:val="28"/>
          <w:szCs w:val="28"/>
          <w:highlight w:val="none"/>
          <w:lang w:val="en-US" w:eastAsia="zh-CN"/>
        </w:rPr>
        <w:t>2</w:t>
      </w:r>
      <w:r>
        <w:rPr>
          <w:rFonts w:hint="eastAsia"/>
          <w:color w:val="FF0000"/>
          <w:spacing w:val="-2"/>
          <w:sz w:val="28"/>
          <w:szCs w:val="28"/>
          <w:highlight w:val="none"/>
          <w:lang w:eastAsia="zh-CN"/>
        </w:rPr>
        <w:t>、甲醛释放量按照GB/T 39600-2021《人造板及其制品甲醛释放量分级》标准检测，满足E0级技术要求，检验结果为≤0.05mg/m³；</w:t>
      </w:r>
    </w:p>
    <w:p>
      <w:pPr>
        <w:pStyle w:val="4"/>
        <w:spacing w:line="360" w:lineRule="auto"/>
        <w:rPr>
          <w:rFonts w:hint="eastAsia"/>
          <w:color w:val="FF0000"/>
          <w:spacing w:val="-2"/>
          <w:sz w:val="28"/>
          <w:szCs w:val="28"/>
          <w:highlight w:val="none"/>
          <w:lang w:eastAsia="zh-CN"/>
        </w:rPr>
      </w:pPr>
      <w:r>
        <w:rPr>
          <w:rFonts w:hint="eastAsia"/>
          <w:color w:val="FF0000"/>
          <w:spacing w:val="-2"/>
          <w:sz w:val="28"/>
          <w:szCs w:val="28"/>
          <w:highlight w:val="none"/>
          <w:lang w:eastAsia="zh-CN"/>
        </w:rPr>
        <w:t>▲1.</w:t>
      </w:r>
      <w:r>
        <w:rPr>
          <w:rFonts w:hint="eastAsia"/>
          <w:color w:val="FF0000"/>
          <w:spacing w:val="-2"/>
          <w:sz w:val="28"/>
          <w:szCs w:val="28"/>
          <w:highlight w:val="none"/>
          <w:lang w:val="en-US" w:eastAsia="zh-CN"/>
        </w:rPr>
        <w:t>3</w:t>
      </w:r>
      <w:r>
        <w:rPr>
          <w:rFonts w:hint="eastAsia"/>
          <w:color w:val="FF0000"/>
          <w:spacing w:val="-2"/>
          <w:sz w:val="28"/>
          <w:szCs w:val="28"/>
          <w:highlight w:val="none"/>
          <w:lang w:eastAsia="zh-CN"/>
        </w:rPr>
        <w:t>、台面板依据GB/T 17657-2022《人造板及饰面人造板理化性能试验方法》标准及其他相关标准方法检测，结果为：表面耐龟裂性能：5级：表面无裂纹；耐高温性能：表面无裂纹；</w:t>
      </w:r>
    </w:p>
    <w:p>
      <w:pPr>
        <w:pStyle w:val="4"/>
        <w:spacing w:line="360" w:lineRule="auto"/>
        <w:rPr>
          <w:rFonts w:hint="eastAsia"/>
          <w:color w:val="FF0000"/>
          <w:spacing w:val="-2"/>
          <w:sz w:val="28"/>
          <w:szCs w:val="28"/>
          <w:highlight w:val="none"/>
          <w:lang w:eastAsia="zh-CN"/>
        </w:rPr>
      </w:pPr>
      <w:r>
        <w:rPr>
          <w:rFonts w:hint="eastAsia"/>
          <w:color w:val="FF0000"/>
          <w:spacing w:val="-2"/>
          <w:sz w:val="28"/>
          <w:szCs w:val="28"/>
          <w:highlight w:val="none"/>
          <w:lang w:eastAsia="zh-CN"/>
        </w:rPr>
        <w:t>▲1.</w:t>
      </w:r>
      <w:r>
        <w:rPr>
          <w:rFonts w:hint="eastAsia"/>
          <w:color w:val="FF0000"/>
          <w:spacing w:val="-2"/>
          <w:sz w:val="28"/>
          <w:szCs w:val="28"/>
          <w:highlight w:val="none"/>
          <w:lang w:val="en-US" w:eastAsia="zh-CN"/>
        </w:rPr>
        <w:t>4</w:t>
      </w:r>
      <w:r>
        <w:rPr>
          <w:rFonts w:hint="eastAsia"/>
          <w:color w:val="FF0000"/>
          <w:spacing w:val="-2"/>
          <w:sz w:val="28"/>
          <w:szCs w:val="28"/>
          <w:highlight w:val="none"/>
          <w:lang w:eastAsia="zh-CN"/>
        </w:rPr>
        <w:t>、台面板依据GB/T 17657-2022《人造板及饰面人造板理化性能试验方法》标准及其他相关标准方法检测，结果为：表面耐干热性能：5级：无明显变化；表面耐湿热性能：5级：无明显变化；表面耐冷热循环：表面无裂纹及鼓泡；</w:t>
      </w:r>
    </w:p>
    <w:p>
      <w:pPr>
        <w:pStyle w:val="4"/>
        <w:spacing w:line="360" w:lineRule="auto"/>
        <w:rPr>
          <w:b/>
          <w:bCs/>
          <w:spacing w:val="-2"/>
          <w:sz w:val="28"/>
          <w:szCs w:val="28"/>
          <w:highlight w:val="none"/>
          <w:lang w:eastAsia="zh-CN"/>
        </w:rPr>
      </w:pPr>
      <w:bookmarkStart w:id="6" w:name="OLE_LINK3"/>
      <w:r>
        <w:rPr>
          <w:rFonts w:hint="eastAsia"/>
          <w:b/>
          <w:bCs/>
          <w:spacing w:val="-2"/>
          <w:sz w:val="28"/>
          <w:szCs w:val="28"/>
          <w:highlight w:val="none"/>
          <w:lang w:eastAsia="zh-CN"/>
        </w:rPr>
        <w:t>（2）冷轧钢板</w:t>
      </w:r>
    </w:p>
    <w:p>
      <w:pPr>
        <w:pStyle w:val="4"/>
        <w:spacing w:line="360" w:lineRule="auto"/>
        <w:rPr>
          <w:rFonts w:hint="eastAsia"/>
          <w:spacing w:val="-2"/>
          <w:sz w:val="28"/>
          <w:szCs w:val="28"/>
          <w:highlight w:val="none"/>
          <w:lang w:val="en-US" w:eastAsia="zh-CN"/>
        </w:rPr>
      </w:pPr>
      <w:r>
        <w:rPr>
          <w:rFonts w:hint="eastAsia"/>
          <w:spacing w:val="-2"/>
          <w:sz w:val="28"/>
          <w:szCs w:val="28"/>
          <w:highlight w:val="none"/>
          <w:lang w:eastAsia="zh-CN"/>
        </w:rPr>
        <w:t>2.1、</w:t>
      </w:r>
      <w:r>
        <w:rPr>
          <w:rFonts w:hint="eastAsia"/>
          <w:spacing w:val="-2"/>
          <w:sz w:val="28"/>
          <w:szCs w:val="28"/>
          <w:highlight w:val="none"/>
          <w:lang w:val="en-US" w:eastAsia="zh-CN"/>
        </w:rPr>
        <w:t>依据</w:t>
      </w:r>
      <w:r>
        <w:rPr>
          <w:rFonts w:hint="eastAsia"/>
          <w:spacing w:val="-2"/>
          <w:sz w:val="28"/>
          <w:szCs w:val="28"/>
          <w:highlight w:val="none"/>
          <w:lang w:eastAsia="zh-CN"/>
        </w:rPr>
        <w:t>GB/T 3325-2017《金属家具通用技术条件》</w:t>
      </w:r>
      <w:r>
        <w:rPr>
          <w:rFonts w:hint="eastAsia"/>
          <w:spacing w:val="-2"/>
          <w:sz w:val="28"/>
          <w:szCs w:val="28"/>
          <w:highlight w:val="none"/>
          <w:lang w:val="en-US" w:eastAsia="zh-CN"/>
        </w:rPr>
        <w:t>标准，要求</w:t>
      </w:r>
      <w:r>
        <w:rPr>
          <w:rFonts w:hint="eastAsia"/>
          <w:spacing w:val="-2"/>
          <w:sz w:val="28"/>
          <w:szCs w:val="28"/>
          <w:highlight w:val="none"/>
          <w:lang w:eastAsia="zh-CN"/>
        </w:rPr>
        <w:t>硬度≥H，附着力≤1级。</w:t>
      </w:r>
    </w:p>
    <w:p>
      <w:pPr>
        <w:pStyle w:val="4"/>
        <w:spacing w:line="360" w:lineRule="auto"/>
        <w:rPr>
          <w:rFonts w:hint="eastAsia"/>
          <w:b/>
          <w:bCs/>
          <w:spacing w:val="-2"/>
          <w:sz w:val="28"/>
          <w:szCs w:val="28"/>
          <w:highlight w:val="none"/>
          <w:lang w:eastAsia="zh-CN"/>
        </w:rPr>
      </w:pPr>
      <w:r>
        <w:rPr>
          <w:rFonts w:hint="eastAsia"/>
          <w:b/>
          <w:bCs/>
          <w:spacing w:val="-2"/>
          <w:sz w:val="28"/>
          <w:szCs w:val="28"/>
          <w:highlight w:val="none"/>
          <w:lang w:eastAsia="zh-CN"/>
        </w:rPr>
        <w:t>（3）、刨花板</w:t>
      </w:r>
    </w:p>
    <w:p>
      <w:pPr>
        <w:pStyle w:val="4"/>
        <w:spacing w:line="360" w:lineRule="auto"/>
        <w:rPr>
          <w:spacing w:val="-2"/>
          <w:sz w:val="28"/>
          <w:szCs w:val="28"/>
          <w:highlight w:val="none"/>
          <w:lang w:eastAsia="zh-CN"/>
        </w:rPr>
      </w:pPr>
      <w:r>
        <w:rPr>
          <w:rFonts w:hint="eastAsia"/>
          <w:color w:val="FF0000"/>
          <w:spacing w:val="-2"/>
          <w:sz w:val="28"/>
          <w:szCs w:val="28"/>
          <w:highlight w:val="none"/>
          <w:lang w:eastAsia="zh-CN"/>
        </w:rPr>
        <w:t>▲3.1、依据GB/T 15102-2017《浸渍胶膜纸饰面纤维板和刨花板》标准，表面耐香烟灼烧、表面耐干热、表面耐污染腐蚀、表面耐龟裂、表面耐水蒸汽均达</w:t>
      </w:r>
      <w:r>
        <w:rPr>
          <w:rFonts w:hint="eastAsia"/>
          <w:spacing w:val="-2"/>
          <w:sz w:val="28"/>
          <w:szCs w:val="28"/>
          <w:highlight w:val="none"/>
          <w:lang w:eastAsia="zh-CN"/>
        </w:rPr>
        <w:t>到</w:t>
      </w:r>
      <w:r>
        <w:rPr>
          <w:rFonts w:hint="eastAsia"/>
          <w:spacing w:val="-2"/>
          <w:sz w:val="28"/>
          <w:szCs w:val="28"/>
          <w:highlight w:val="none"/>
          <w:lang w:val="en-US" w:eastAsia="zh-CN"/>
        </w:rPr>
        <w:t>4级及以上</w:t>
      </w:r>
      <w:r>
        <w:rPr>
          <w:rFonts w:hint="eastAsia"/>
          <w:spacing w:val="-2"/>
          <w:sz w:val="28"/>
          <w:szCs w:val="28"/>
          <w:highlight w:val="none"/>
          <w:lang w:eastAsia="zh-CN"/>
        </w:rPr>
        <w:t>。</w:t>
      </w:r>
    </w:p>
    <w:p>
      <w:pPr>
        <w:pStyle w:val="4"/>
        <w:spacing w:line="360" w:lineRule="auto"/>
        <w:rPr>
          <w:color w:val="FF0000"/>
          <w:spacing w:val="-2"/>
          <w:sz w:val="28"/>
          <w:szCs w:val="28"/>
          <w:highlight w:val="none"/>
          <w:lang w:eastAsia="zh-CN"/>
        </w:rPr>
      </w:pPr>
      <w:r>
        <w:rPr>
          <w:rFonts w:hint="eastAsia"/>
          <w:color w:val="FF0000"/>
          <w:spacing w:val="-2"/>
          <w:sz w:val="28"/>
          <w:szCs w:val="28"/>
          <w:highlight w:val="none"/>
          <w:lang w:eastAsia="zh-CN"/>
        </w:rPr>
        <w:t>▲3.2、依据GB/T 39600-2021《人造板及其制品甲醛释放量分级》标准，甲醛释放量满足E0级技术要求，检验结果为≤0.0</w:t>
      </w:r>
      <w:r>
        <w:rPr>
          <w:rFonts w:hint="eastAsia"/>
          <w:color w:val="FF0000"/>
          <w:spacing w:val="-2"/>
          <w:sz w:val="28"/>
          <w:szCs w:val="28"/>
          <w:highlight w:val="none"/>
          <w:lang w:val="en-US" w:eastAsia="zh-CN"/>
        </w:rPr>
        <w:t>5</w:t>
      </w:r>
      <w:r>
        <w:rPr>
          <w:rFonts w:hint="eastAsia"/>
          <w:color w:val="FF0000"/>
          <w:spacing w:val="-2"/>
          <w:sz w:val="28"/>
          <w:szCs w:val="28"/>
          <w:highlight w:val="none"/>
          <w:lang w:eastAsia="zh-CN"/>
        </w:rPr>
        <w:t>mg/m³；</w:t>
      </w:r>
    </w:p>
    <w:p>
      <w:pPr>
        <w:pStyle w:val="4"/>
        <w:spacing w:line="360" w:lineRule="auto"/>
        <w:rPr>
          <w:rFonts w:hint="eastAsia"/>
          <w:b/>
          <w:bCs/>
          <w:spacing w:val="-2"/>
          <w:sz w:val="28"/>
          <w:szCs w:val="28"/>
          <w:highlight w:val="none"/>
          <w:lang w:eastAsia="zh-CN"/>
        </w:rPr>
      </w:pPr>
      <w:r>
        <w:rPr>
          <w:rFonts w:hint="eastAsia"/>
          <w:b/>
          <w:bCs/>
          <w:spacing w:val="-2"/>
          <w:sz w:val="28"/>
          <w:szCs w:val="28"/>
          <w:highlight w:val="none"/>
          <w:lang w:eastAsia="zh-CN"/>
        </w:rPr>
        <w:t>（4）PP板材</w:t>
      </w:r>
    </w:p>
    <w:p>
      <w:pPr>
        <w:pStyle w:val="4"/>
        <w:spacing w:line="360" w:lineRule="auto"/>
        <w:rPr>
          <w:rFonts w:hint="eastAsia"/>
          <w:spacing w:val="-2"/>
          <w:sz w:val="28"/>
          <w:szCs w:val="28"/>
          <w:highlight w:val="none"/>
          <w:lang w:eastAsia="zh-CN"/>
        </w:rPr>
      </w:pPr>
      <w:r>
        <w:rPr>
          <w:rFonts w:hint="eastAsia"/>
          <w:color w:val="FF0000"/>
          <w:spacing w:val="-2"/>
          <w:sz w:val="28"/>
          <w:szCs w:val="28"/>
          <w:highlight w:val="none"/>
          <w:lang w:eastAsia="zh-CN"/>
        </w:rPr>
        <w:t>▲</w:t>
      </w:r>
      <w:r>
        <w:rPr>
          <w:rFonts w:hint="eastAsia"/>
          <w:color w:val="FF0000"/>
          <w:spacing w:val="-2"/>
          <w:sz w:val="28"/>
          <w:szCs w:val="28"/>
          <w:highlight w:val="none"/>
          <w:lang w:val="en-US" w:eastAsia="zh-CN"/>
        </w:rPr>
        <w:t>4.1</w:t>
      </w:r>
      <w:r>
        <w:rPr>
          <w:rFonts w:hint="eastAsia"/>
          <w:color w:val="FF0000"/>
          <w:spacing w:val="-2"/>
          <w:sz w:val="28"/>
          <w:szCs w:val="28"/>
          <w:highlight w:val="none"/>
          <w:lang w:eastAsia="zh-CN"/>
        </w:rPr>
        <w:t>依据GB/T</w:t>
      </w:r>
      <w:r>
        <w:rPr>
          <w:rFonts w:hint="eastAsia"/>
          <w:color w:val="FF0000"/>
          <w:spacing w:val="-2"/>
          <w:sz w:val="28"/>
          <w:szCs w:val="28"/>
          <w:highlight w:val="none"/>
          <w:lang w:val="en-US" w:eastAsia="zh-CN"/>
        </w:rPr>
        <w:t xml:space="preserve"> </w:t>
      </w:r>
      <w:r>
        <w:rPr>
          <w:rFonts w:hint="eastAsia"/>
          <w:color w:val="FF0000"/>
          <w:spacing w:val="-2"/>
          <w:sz w:val="28"/>
          <w:szCs w:val="28"/>
          <w:highlight w:val="none"/>
          <w:lang w:eastAsia="zh-CN"/>
        </w:rPr>
        <w:t>11547-2008《塑料 耐液体化学试剂性能的测定》标准，99.5%乙酸、丙酮、40%硝酸、40%氢氧化钠、10%次氯酸钠等</w:t>
      </w:r>
      <w:r>
        <w:rPr>
          <w:rFonts w:hint="eastAsia"/>
          <w:color w:val="FF0000"/>
          <w:spacing w:val="-2"/>
          <w:sz w:val="28"/>
          <w:szCs w:val="28"/>
          <w:highlight w:val="none"/>
          <w:lang w:val="en-US" w:eastAsia="zh-CN"/>
        </w:rPr>
        <w:t>多</w:t>
      </w:r>
      <w:r>
        <w:rPr>
          <w:rFonts w:hint="eastAsia"/>
          <w:color w:val="FF0000"/>
          <w:spacing w:val="-2"/>
          <w:sz w:val="28"/>
          <w:szCs w:val="28"/>
          <w:highlight w:val="none"/>
          <w:lang w:eastAsia="zh-CN"/>
        </w:rPr>
        <w:t>种试剂，分别浸泡168h，</w:t>
      </w:r>
      <w:r>
        <w:rPr>
          <w:rFonts w:hint="eastAsia"/>
          <w:spacing w:val="-2"/>
          <w:sz w:val="28"/>
          <w:szCs w:val="28"/>
          <w:highlight w:val="none"/>
          <w:lang w:eastAsia="zh-CN"/>
        </w:rPr>
        <w:t>无可视变化。</w:t>
      </w:r>
    </w:p>
    <w:p>
      <w:pPr>
        <w:pStyle w:val="4"/>
        <w:spacing w:line="360" w:lineRule="auto"/>
        <w:rPr>
          <w:b/>
          <w:bCs/>
          <w:spacing w:val="-2"/>
          <w:sz w:val="28"/>
          <w:szCs w:val="28"/>
          <w:highlight w:val="none"/>
          <w:lang w:eastAsia="zh-CN"/>
        </w:rPr>
      </w:pPr>
      <w:r>
        <w:rPr>
          <w:rFonts w:hint="eastAsia"/>
          <w:b/>
          <w:bCs/>
          <w:spacing w:val="-2"/>
          <w:sz w:val="28"/>
          <w:szCs w:val="28"/>
          <w:highlight w:val="none"/>
          <w:lang w:eastAsia="zh-CN"/>
        </w:rPr>
        <w:t>（5）304不锈钢板</w:t>
      </w:r>
    </w:p>
    <w:p>
      <w:pPr>
        <w:pStyle w:val="4"/>
        <w:spacing w:line="360" w:lineRule="auto"/>
        <w:rPr>
          <w:rFonts w:hint="eastAsia"/>
          <w:spacing w:val="-2"/>
          <w:sz w:val="28"/>
          <w:szCs w:val="28"/>
          <w:highlight w:val="none"/>
          <w:lang w:eastAsia="zh-CN"/>
        </w:rPr>
      </w:pPr>
      <w:r>
        <w:rPr>
          <w:rFonts w:hint="eastAsia"/>
          <w:spacing w:val="-2"/>
          <w:sz w:val="28"/>
          <w:szCs w:val="28"/>
          <w:highlight w:val="none"/>
          <w:lang w:eastAsia="zh-CN"/>
        </w:rPr>
        <w:t>钢板厚度≥1.2mm，表面采用环保抑菌粉末静电喷涂，喷涂厚度≥75μm，喷涂前均使用优质环保磷化液处理或油膜拉丝处理，经高温烘烤固化制作而成；工艺采用优质数控机床一体折弯成型，无焊接点外露，具备防化、防潮、耐高温及耐磨特性；</w:t>
      </w:r>
    </w:p>
    <w:p>
      <w:pPr>
        <w:pStyle w:val="4"/>
        <w:spacing w:line="360" w:lineRule="auto"/>
        <w:rPr>
          <w:rFonts w:hint="eastAsia"/>
          <w:spacing w:val="-2"/>
          <w:sz w:val="28"/>
          <w:szCs w:val="28"/>
          <w:highlight w:val="none"/>
          <w:lang w:eastAsia="zh-CN"/>
        </w:rPr>
      </w:pPr>
      <w:r>
        <w:rPr>
          <w:rFonts w:hint="eastAsia"/>
          <w:spacing w:val="-2"/>
          <w:sz w:val="28"/>
          <w:szCs w:val="28"/>
          <w:highlight w:val="none"/>
          <w:lang w:eastAsia="zh-CN"/>
        </w:rPr>
        <w:t>依据QB/T 3826-1999(2009)、QB/T 3832-1999标准，符合其中耐腐蚀锈点不超过1点(距边缘棱角2mm以内的不计)；</w:t>
      </w:r>
    </w:p>
    <w:p>
      <w:pPr>
        <w:pStyle w:val="4"/>
        <w:spacing w:line="360" w:lineRule="auto"/>
        <w:rPr>
          <w:b/>
          <w:bCs/>
          <w:sz w:val="28"/>
          <w:szCs w:val="28"/>
          <w:highlight w:val="none"/>
          <w:lang w:eastAsia="zh-CN"/>
        </w:rPr>
      </w:pPr>
      <w:r>
        <w:rPr>
          <w:rFonts w:hint="eastAsia"/>
          <w:b/>
          <w:bCs/>
          <w:sz w:val="28"/>
          <w:szCs w:val="28"/>
          <w:highlight w:val="none"/>
          <w:lang w:eastAsia="zh-CN"/>
        </w:rPr>
        <w:t>（6）导轨</w:t>
      </w:r>
    </w:p>
    <w:p>
      <w:pPr>
        <w:pStyle w:val="4"/>
        <w:spacing w:line="360" w:lineRule="auto"/>
        <w:rPr>
          <w:rFonts w:hint="eastAsia"/>
          <w:sz w:val="28"/>
          <w:szCs w:val="28"/>
          <w:highlight w:val="none"/>
          <w:lang w:eastAsia="zh-CN"/>
        </w:rPr>
      </w:pPr>
      <w:r>
        <w:rPr>
          <w:rFonts w:hint="eastAsia"/>
          <w:sz w:val="28"/>
          <w:szCs w:val="28"/>
          <w:highlight w:val="none"/>
          <w:lang w:eastAsia="zh-CN"/>
        </w:rPr>
        <w:t>依据QB/T 2454</w:t>
      </w:r>
      <w:r>
        <w:rPr>
          <w:rFonts w:hint="eastAsia" w:ascii="宋体" w:hAnsi="宋体" w:eastAsia="宋体" w:cs="宋体"/>
          <w:sz w:val="28"/>
          <w:szCs w:val="28"/>
          <w:highlight w:val="none"/>
          <w:lang w:eastAsia="zh-CN"/>
        </w:rPr>
        <w:t>-2013</w:t>
      </w:r>
      <w:r>
        <w:rPr>
          <w:rFonts w:hint="eastAsia"/>
          <w:sz w:val="28"/>
          <w:szCs w:val="28"/>
          <w:highlight w:val="none"/>
          <w:lang w:eastAsia="zh-CN"/>
        </w:rPr>
        <w:t>《家具五金抽屉导轨》标准，依据GB/T2454-2013标准，要求</w:t>
      </w:r>
      <w:r>
        <w:rPr>
          <w:rFonts w:hint="eastAsia"/>
          <w:color w:val="FF0000"/>
          <w:spacing w:val="-2"/>
          <w:sz w:val="28"/>
          <w:szCs w:val="28"/>
          <w:highlight w:val="none"/>
          <w:lang w:eastAsia="zh-CN"/>
        </w:rPr>
        <w:t>▲</w:t>
      </w:r>
      <w:r>
        <w:rPr>
          <w:rFonts w:hint="eastAsia"/>
          <w:color w:val="FF0000"/>
          <w:sz w:val="28"/>
          <w:szCs w:val="28"/>
          <w:highlight w:val="none"/>
          <w:lang w:eastAsia="zh-CN"/>
        </w:rPr>
        <w:t>①功能要求：通过垂直向下静载荷（200N）、水平侧向静载荷（100N）、拉出安全性、猛关或猛开试验，全部符合；</w:t>
      </w:r>
      <w:r>
        <w:rPr>
          <w:rFonts w:hint="eastAsia"/>
          <w:color w:val="auto"/>
          <w:sz w:val="28"/>
          <w:szCs w:val="28"/>
          <w:highlight w:val="none"/>
          <w:lang w:eastAsia="zh-CN"/>
        </w:rPr>
        <w:t>②过载要求：通过垂直向下静载荷（300N）、水平侧向静载荷（150N），全部符合。</w:t>
      </w:r>
      <w:r>
        <w:rPr>
          <w:rFonts w:hint="eastAsia"/>
          <w:sz w:val="28"/>
          <w:szCs w:val="28"/>
          <w:highlight w:val="none"/>
          <w:lang w:eastAsia="zh-CN"/>
        </w:rPr>
        <w:t>耐久性测试需符合循环</w:t>
      </w:r>
      <w:r>
        <w:rPr>
          <w:rFonts w:hint="eastAsia"/>
          <w:sz w:val="28"/>
          <w:szCs w:val="28"/>
          <w:highlight w:val="none"/>
          <w:lang w:val="en-US" w:eastAsia="zh-CN"/>
        </w:rPr>
        <w:t>8</w:t>
      </w:r>
      <w:r>
        <w:rPr>
          <w:rFonts w:hint="eastAsia"/>
          <w:sz w:val="28"/>
          <w:szCs w:val="28"/>
          <w:highlight w:val="none"/>
          <w:lang w:eastAsia="zh-CN"/>
        </w:rPr>
        <w:t>0000次的要求。</w:t>
      </w:r>
    </w:p>
    <w:p>
      <w:pPr>
        <w:pStyle w:val="4"/>
        <w:spacing w:line="360" w:lineRule="auto"/>
        <w:rPr>
          <w:rFonts w:hint="eastAsia"/>
          <w:sz w:val="28"/>
          <w:szCs w:val="28"/>
          <w:highlight w:val="none"/>
          <w:lang w:eastAsia="zh-CN"/>
        </w:rPr>
      </w:pPr>
    </w:p>
    <w:p>
      <w:pPr>
        <w:pStyle w:val="4"/>
        <w:spacing w:line="360" w:lineRule="auto"/>
        <w:rPr>
          <w:rFonts w:hint="default"/>
          <w:sz w:val="28"/>
          <w:szCs w:val="28"/>
          <w:highlight w:val="none"/>
          <w:lang w:val="en-US" w:eastAsia="zh-CN"/>
        </w:rPr>
      </w:pPr>
    </w:p>
    <w:p>
      <w:pPr>
        <w:pStyle w:val="4"/>
        <w:spacing w:line="360" w:lineRule="auto"/>
        <w:rPr>
          <w:b/>
          <w:bCs/>
          <w:sz w:val="28"/>
          <w:szCs w:val="28"/>
          <w:highlight w:val="none"/>
          <w:lang w:eastAsia="zh-CN"/>
        </w:rPr>
      </w:pPr>
      <w:r>
        <w:rPr>
          <w:rFonts w:hint="eastAsia"/>
          <w:b/>
          <w:bCs/>
          <w:sz w:val="28"/>
          <w:szCs w:val="28"/>
          <w:highlight w:val="none"/>
          <w:lang w:eastAsia="zh-CN"/>
        </w:rPr>
        <w:t>（7）铰链</w:t>
      </w:r>
    </w:p>
    <w:p>
      <w:pPr>
        <w:pStyle w:val="4"/>
        <w:spacing w:line="360" w:lineRule="auto"/>
        <w:rPr>
          <w:rFonts w:hint="eastAsia"/>
          <w:sz w:val="28"/>
          <w:szCs w:val="28"/>
          <w:highlight w:val="none"/>
          <w:lang w:eastAsia="zh-CN"/>
        </w:rPr>
      </w:pPr>
      <w:r>
        <w:rPr>
          <w:rFonts w:hint="eastAsia"/>
          <w:sz w:val="28"/>
          <w:szCs w:val="28"/>
          <w:highlight w:val="none"/>
          <w:lang w:eastAsia="zh-CN"/>
        </w:rPr>
        <w:t>依据QB/T</w:t>
      </w:r>
      <w:r>
        <w:rPr>
          <w:rFonts w:hint="eastAsia"/>
          <w:sz w:val="28"/>
          <w:szCs w:val="28"/>
          <w:highlight w:val="none"/>
          <w:lang w:val="en-US" w:eastAsia="zh-CN"/>
        </w:rPr>
        <w:t xml:space="preserve"> </w:t>
      </w:r>
      <w:r>
        <w:rPr>
          <w:rFonts w:hint="eastAsia"/>
          <w:sz w:val="28"/>
          <w:szCs w:val="28"/>
          <w:highlight w:val="none"/>
          <w:lang w:eastAsia="zh-CN"/>
        </w:rPr>
        <w:t>2189-2013《家具五金  杯状暗铰链》标准，要求依据QB/T2189-2013标准，要求①功能要求：通过垂直静载荷（20kg）、水平静载荷（40N），全部符合；②过载要求：通过垂直向下静载荷（30kg）、水平侧向静载荷（70N）。</w:t>
      </w:r>
    </w:p>
    <w:p>
      <w:pPr>
        <w:pStyle w:val="4"/>
        <w:spacing w:line="360" w:lineRule="auto"/>
        <w:rPr>
          <w:rFonts w:hint="eastAsia" w:ascii="宋体" w:hAnsi="宋体"/>
          <w:b/>
          <w:bCs/>
          <w:color w:val="auto"/>
          <w:sz w:val="28"/>
          <w:szCs w:val="28"/>
          <w:highlight w:val="none"/>
          <w:lang w:eastAsia="zh-CN"/>
        </w:rPr>
      </w:pPr>
      <w:r>
        <w:rPr>
          <w:rFonts w:hint="eastAsia"/>
          <w:sz w:val="28"/>
          <w:szCs w:val="28"/>
          <w:highlight w:val="none"/>
          <w:lang w:eastAsia="zh-CN"/>
        </w:rPr>
        <w:t>（</w:t>
      </w:r>
      <w:r>
        <w:rPr>
          <w:rFonts w:hint="eastAsia"/>
          <w:sz w:val="28"/>
          <w:szCs w:val="28"/>
          <w:highlight w:val="none"/>
          <w:lang w:val="en-US" w:eastAsia="zh-CN"/>
        </w:rPr>
        <w:t>8</w:t>
      </w:r>
      <w:r>
        <w:rPr>
          <w:rFonts w:hint="eastAsia"/>
          <w:sz w:val="28"/>
          <w:szCs w:val="28"/>
          <w:highlight w:val="none"/>
          <w:lang w:eastAsia="zh-CN"/>
        </w:rPr>
        <w:t>）</w:t>
      </w:r>
      <w:r>
        <w:rPr>
          <w:rFonts w:hint="eastAsia" w:ascii="宋体" w:hAnsi="宋体"/>
          <w:b/>
          <w:bCs/>
          <w:color w:val="auto"/>
          <w:sz w:val="28"/>
          <w:szCs w:val="28"/>
          <w:highlight w:val="none"/>
          <w:lang w:eastAsia="zh-CN"/>
        </w:rPr>
        <w:t>静电喷涂粉末</w:t>
      </w:r>
    </w:p>
    <w:p>
      <w:pPr>
        <w:pStyle w:val="4"/>
        <w:spacing w:line="360" w:lineRule="auto"/>
        <w:rPr>
          <w:rFonts w:hint="default"/>
          <w:color w:val="auto"/>
          <w:spacing w:val="-2"/>
          <w:sz w:val="28"/>
          <w:szCs w:val="28"/>
          <w:highlight w:val="none"/>
          <w:lang w:val="en-US" w:eastAsia="zh-CN"/>
        </w:rPr>
      </w:pPr>
      <w:r>
        <w:rPr>
          <w:rFonts w:hint="eastAsia"/>
          <w:color w:val="auto"/>
          <w:spacing w:val="-2"/>
          <w:sz w:val="28"/>
          <w:szCs w:val="28"/>
          <w:highlight w:val="none"/>
          <w:lang w:val="en-US" w:eastAsia="zh-CN"/>
        </w:rPr>
        <w:t>8.1、</w:t>
      </w:r>
      <w:r>
        <w:rPr>
          <w:rFonts w:hint="eastAsia"/>
          <w:color w:val="auto"/>
          <w:spacing w:val="-2"/>
          <w:sz w:val="28"/>
          <w:szCs w:val="28"/>
          <w:highlight w:val="none"/>
          <w:lang w:eastAsia="zh-CN"/>
        </w:rPr>
        <w:t>厚度≥75μm，</w:t>
      </w:r>
      <w:r>
        <w:rPr>
          <w:rFonts w:hint="eastAsia" w:ascii="宋体" w:hAnsi="宋体"/>
          <w:color w:val="auto"/>
          <w:sz w:val="28"/>
          <w:szCs w:val="28"/>
          <w:highlight w:val="none"/>
          <w:lang w:eastAsia="zh-CN"/>
        </w:rPr>
        <w:t>钢板内外面均经环氧树脂粉末静电喷涂，喷涂</w:t>
      </w:r>
      <w:r>
        <w:rPr>
          <w:rFonts w:hint="eastAsia"/>
          <w:color w:val="auto"/>
          <w:sz w:val="28"/>
          <w:szCs w:val="28"/>
          <w:highlight w:val="none"/>
          <w:lang w:eastAsia="zh-CN"/>
        </w:rPr>
        <w:t>粉末应具备耐霉性、</w:t>
      </w:r>
      <w:r>
        <w:rPr>
          <w:rFonts w:hint="eastAsia" w:ascii="宋体" w:hAnsi="宋体"/>
          <w:color w:val="auto"/>
          <w:sz w:val="28"/>
          <w:szCs w:val="28"/>
          <w:highlight w:val="none"/>
          <w:lang w:eastAsia="zh-CN"/>
        </w:rPr>
        <w:t>抗菌性</w:t>
      </w:r>
      <w:r>
        <w:rPr>
          <w:rFonts w:hint="eastAsia"/>
          <w:color w:val="auto"/>
          <w:sz w:val="28"/>
          <w:szCs w:val="28"/>
          <w:highlight w:val="none"/>
          <w:lang w:eastAsia="zh-CN"/>
        </w:rPr>
        <w:t>等优质性能。</w:t>
      </w:r>
    </w:p>
    <w:p>
      <w:pPr>
        <w:pStyle w:val="4"/>
        <w:spacing w:line="360" w:lineRule="auto"/>
        <w:rPr>
          <w:rFonts w:hint="eastAsia" w:ascii="宋体" w:hAnsi="宋体"/>
          <w:strike w:val="0"/>
          <w:dstrike w:val="0"/>
          <w:color w:val="000000"/>
          <w:sz w:val="28"/>
          <w:szCs w:val="28"/>
          <w:highlight w:val="none"/>
          <w:lang w:eastAsia="zh-CN"/>
        </w:rPr>
      </w:pPr>
      <w:r>
        <w:rPr>
          <w:rFonts w:hint="eastAsia"/>
          <w:b w:val="0"/>
          <w:bCs w:val="0"/>
          <w:strike w:val="0"/>
          <w:dstrike w:val="0"/>
          <w:color w:val="000000"/>
          <w:sz w:val="28"/>
          <w:szCs w:val="28"/>
          <w:highlight w:val="none"/>
          <w:lang w:val="en-US" w:eastAsia="zh-CN"/>
        </w:rPr>
        <w:t>8.2、</w:t>
      </w:r>
      <w:r>
        <w:rPr>
          <w:rFonts w:hint="eastAsia"/>
          <w:b w:val="0"/>
          <w:bCs w:val="0"/>
          <w:strike w:val="0"/>
          <w:dstrike w:val="0"/>
          <w:color w:val="000000"/>
          <w:sz w:val="28"/>
          <w:szCs w:val="28"/>
          <w:highlight w:val="none"/>
          <w:lang w:eastAsia="zh-CN"/>
        </w:rPr>
        <w:t>依据</w:t>
      </w:r>
      <w:r>
        <w:rPr>
          <w:rFonts w:hint="eastAsia" w:ascii="宋体" w:hAnsi="宋体"/>
          <w:strike w:val="0"/>
          <w:dstrike w:val="0"/>
          <w:color w:val="000000"/>
          <w:sz w:val="28"/>
          <w:szCs w:val="28"/>
          <w:highlight w:val="none"/>
          <w:lang w:eastAsia="zh-CN"/>
        </w:rPr>
        <w:t>HG／T 2006</w:t>
      </w:r>
      <w:r>
        <w:rPr>
          <w:rFonts w:hint="eastAsia"/>
          <w:strike w:val="0"/>
          <w:dstrike w:val="0"/>
          <w:color w:val="000000"/>
          <w:sz w:val="28"/>
          <w:szCs w:val="28"/>
          <w:highlight w:val="none"/>
          <w:lang w:val="en-US" w:eastAsia="zh-CN"/>
        </w:rPr>
        <w:t>-2022</w:t>
      </w:r>
      <w:r>
        <w:rPr>
          <w:rFonts w:hint="eastAsia" w:ascii="宋体" w:hAnsi="宋体"/>
          <w:strike w:val="0"/>
          <w:dstrike w:val="0"/>
          <w:color w:val="000000"/>
          <w:sz w:val="28"/>
          <w:szCs w:val="28"/>
          <w:highlight w:val="none"/>
          <w:lang w:eastAsia="zh-CN"/>
        </w:rPr>
        <w:t>《热固性粉末涂料》</w:t>
      </w:r>
      <w:r>
        <w:rPr>
          <w:rFonts w:hint="eastAsia"/>
          <w:strike w:val="0"/>
          <w:dstrike w:val="0"/>
          <w:color w:val="000000"/>
          <w:sz w:val="28"/>
          <w:szCs w:val="28"/>
          <w:highlight w:val="none"/>
          <w:lang w:eastAsia="zh-CN"/>
        </w:rPr>
        <w:t>标准，要</w:t>
      </w:r>
      <w:r>
        <w:rPr>
          <w:rFonts w:hint="eastAsia"/>
          <w:strike w:val="0"/>
          <w:dstrike w:val="0"/>
          <w:color w:val="auto"/>
          <w:sz w:val="28"/>
          <w:szCs w:val="28"/>
          <w:highlight w:val="none"/>
          <w:lang w:eastAsia="zh-CN"/>
        </w:rPr>
        <w:t>求</w:t>
      </w:r>
      <w:r>
        <w:rPr>
          <w:rFonts w:hint="eastAsia" w:ascii="宋体" w:hAnsi="宋体"/>
          <w:strike w:val="0"/>
          <w:dstrike w:val="0"/>
          <w:color w:val="auto"/>
          <w:sz w:val="28"/>
          <w:szCs w:val="28"/>
          <w:highlight w:val="none"/>
          <w:lang w:eastAsia="zh-CN"/>
        </w:rPr>
        <w:t>硬度≥H，附着力≤1级</w:t>
      </w:r>
    </w:p>
    <w:p>
      <w:pPr>
        <w:spacing w:line="360" w:lineRule="auto"/>
        <w:rPr>
          <w:rFonts w:hint="eastAsia" w:ascii="宋体" w:hAnsi="宋体"/>
          <w:sz w:val="28"/>
          <w:szCs w:val="28"/>
          <w:highlight w:val="none"/>
          <w:lang w:eastAsia="zh-CN"/>
        </w:rPr>
      </w:pPr>
      <w:r>
        <w:rPr>
          <w:rFonts w:hint="eastAsia" w:ascii="宋体" w:hAnsi="宋体"/>
          <w:sz w:val="28"/>
          <w:szCs w:val="28"/>
          <w:highlight w:val="none"/>
          <w:lang w:eastAsia="zh-CN"/>
        </w:rPr>
        <w:t>依据GB／T 1741</w:t>
      </w:r>
      <w:r>
        <w:rPr>
          <w:rFonts w:hint="eastAsia" w:ascii="宋体" w:hAnsi="宋体"/>
          <w:sz w:val="28"/>
          <w:szCs w:val="28"/>
          <w:highlight w:val="none"/>
          <w:lang w:val="en-US" w:eastAsia="zh-CN"/>
        </w:rPr>
        <w:t>-2020</w:t>
      </w:r>
      <w:r>
        <w:rPr>
          <w:rFonts w:hint="eastAsia" w:ascii="宋体" w:hAnsi="宋体"/>
          <w:sz w:val="28"/>
          <w:szCs w:val="28"/>
          <w:highlight w:val="none"/>
          <w:lang w:eastAsia="zh-CN"/>
        </w:rPr>
        <w:t>《漆膜耐霉菌性测定法》耐霉菌性检测要求：具有黑曲霉、黄曲霉、宛氏拟青霉、腊叶芽枝霉、桔青霉的耐霉性能达到0级。</w:t>
      </w:r>
    </w:p>
    <w:p>
      <w:pPr>
        <w:spacing w:line="360" w:lineRule="auto"/>
        <w:rPr>
          <w:rFonts w:hint="eastAsia" w:ascii="宋体" w:hAnsi="宋体"/>
          <w:color w:val="FF0000"/>
          <w:sz w:val="28"/>
          <w:szCs w:val="28"/>
          <w:highlight w:val="none"/>
          <w:lang w:eastAsia="zh-CN"/>
        </w:rPr>
      </w:pPr>
      <w:r>
        <w:rPr>
          <w:rFonts w:hint="eastAsia"/>
          <w:color w:val="FF0000"/>
          <w:spacing w:val="-2"/>
          <w:sz w:val="28"/>
          <w:szCs w:val="28"/>
          <w:highlight w:val="none"/>
          <w:lang w:eastAsia="zh-CN"/>
        </w:rPr>
        <w:t>▲</w:t>
      </w:r>
      <w:r>
        <w:rPr>
          <w:rFonts w:hint="eastAsia" w:ascii="宋体" w:hAnsi="宋体"/>
          <w:color w:val="FF0000"/>
          <w:sz w:val="28"/>
          <w:szCs w:val="28"/>
          <w:highlight w:val="none"/>
          <w:lang w:val="en-US" w:eastAsia="zh-CN"/>
        </w:rPr>
        <w:t>8.3</w:t>
      </w:r>
      <w:r>
        <w:rPr>
          <w:rFonts w:hint="eastAsia" w:ascii="宋体" w:hAnsi="宋体"/>
          <w:color w:val="FF0000"/>
          <w:sz w:val="28"/>
          <w:szCs w:val="28"/>
          <w:highlight w:val="none"/>
          <w:lang w:eastAsia="zh-CN"/>
        </w:rPr>
        <w:t>、依据GB/T 21866-2008《抗菌涂料（漆膜）抗菌性测定法和抗菌效果》</w:t>
      </w:r>
      <w:r>
        <w:rPr>
          <w:rFonts w:hint="eastAsia"/>
          <w:strike w:val="0"/>
          <w:dstrike w:val="0"/>
          <w:color w:val="FF0000"/>
          <w:sz w:val="28"/>
          <w:szCs w:val="28"/>
          <w:highlight w:val="none"/>
          <w:lang w:eastAsia="zh-CN"/>
        </w:rPr>
        <w:t>标准</w:t>
      </w:r>
      <w:r>
        <w:rPr>
          <w:rFonts w:hint="eastAsia" w:ascii="宋体" w:hAnsi="宋体"/>
          <w:color w:val="FF0000"/>
          <w:sz w:val="28"/>
          <w:szCs w:val="28"/>
          <w:highlight w:val="none"/>
          <w:lang w:eastAsia="zh-CN"/>
        </w:rPr>
        <w:t>，要求:</w:t>
      </w:r>
    </w:p>
    <w:p>
      <w:pPr>
        <w:spacing w:line="360" w:lineRule="auto"/>
        <w:rPr>
          <w:rFonts w:hint="eastAsia" w:ascii="宋体" w:hAnsi="宋体"/>
          <w:color w:val="FF0000"/>
          <w:sz w:val="28"/>
          <w:szCs w:val="28"/>
          <w:highlight w:val="none"/>
          <w:lang w:eastAsia="zh-CN"/>
        </w:rPr>
      </w:pPr>
      <w:r>
        <w:rPr>
          <w:rFonts w:hint="eastAsia" w:ascii="宋体" w:hAnsi="宋体"/>
          <w:color w:val="FF0000"/>
          <w:sz w:val="28"/>
          <w:szCs w:val="28"/>
          <w:highlight w:val="none"/>
          <w:lang w:eastAsia="zh-CN"/>
        </w:rPr>
        <w:t>金黄葡萄球菌抗细菌性能检测结果≥99%;</w:t>
      </w:r>
    </w:p>
    <w:p>
      <w:pPr>
        <w:spacing w:line="360" w:lineRule="auto"/>
        <w:rPr>
          <w:rFonts w:hint="eastAsia" w:ascii="宋体" w:hAnsi="宋体"/>
          <w:color w:val="FF0000"/>
          <w:sz w:val="28"/>
          <w:szCs w:val="28"/>
          <w:highlight w:val="none"/>
          <w:lang w:eastAsia="zh-CN"/>
        </w:rPr>
      </w:pPr>
      <w:r>
        <w:rPr>
          <w:rFonts w:hint="eastAsia" w:ascii="宋体" w:hAnsi="宋体"/>
          <w:color w:val="FF0000"/>
          <w:sz w:val="28"/>
          <w:szCs w:val="28"/>
          <w:highlight w:val="none"/>
          <w:lang w:eastAsia="zh-CN"/>
        </w:rPr>
        <w:t>大肠埃希菌抗细菌性能检测结果≥99%;</w:t>
      </w:r>
    </w:p>
    <w:p>
      <w:pPr>
        <w:spacing w:line="360" w:lineRule="auto"/>
        <w:rPr>
          <w:rFonts w:hint="eastAsia" w:ascii="宋体" w:hAnsi="宋体"/>
          <w:color w:val="FF0000"/>
          <w:sz w:val="28"/>
          <w:szCs w:val="28"/>
          <w:highlight w:val="none"/>
          <w:lang w:eastAsia="zh-CN"/>
        </w:rPr>
      </w:pPr>
      <w:r>
        <w:rPr>
          <w:rFonts w:hint="eastAsia" w:ascii="宋体" w:hAnsi="宋体"/>
          <w:color w:val="FF0000"/>
          <w:sz w:val="28"/>
          <w:szCs w:val="28"/>
          <w:highlight w:val="none"/>
          <w:lang w:eastAsia="zh-CN"/>
        </w:rPr>
        <w:t>金黄葡萄球菌抗细菌耐久性能检测结果≥95%</w:t>
      </w:r>
    </w:p>
    <w:p>
      <w:pPr>
        <w:spacing w:line="360" w:lineRule="auto"/>
        <w:rPr>
          <w:rFonts w:hint="eastAsia" w:ascii="宋体" w:hAnsi="宋体"/>
          <w:color w:val="FF0000"/>
          <w:sz w:val="28"/>
          <w:szCs w:val="28"/>
          <w:highlight w:val="none"/>
          <w:lang w:eastAsia="zh-CN"/>
        </w:rPr>
      </w:pPr>
      <w:r>
        <w:rPr>
          <w:rFonts w:hint="eastAsia" w:ascii="宋体" w:hAnsi="宋体"/>
          <w:color w:val="FF0000"/>
          <w:sz w:val="28"/>
          <w:szCs w:val="28"/>
          <w:highlight w:val="none"/>
          <w:lang w:eastAsia="zh-CN"/>
        </w:rPr>
        <w:t>大肠埃希菌抗细菌耐久性能检测结果≥95%。</w:t>
      </w:r>
    </w:p>
    <w:p>
      <w:pPr>
        <w:spacing w:line="360" w:lineRule="auto"/>
        <w:rPr>
          <w:rFonts w:hint="eastAsia" w:ascii="宋体" w:hAnsi="宋体"/>
          <w:sz w:val="28"/>
          <w:szCs w:val="28"/>
          <w:highlight w:val="none"/>
          <w:lang w:eastAsia="zh-CN"/>
        </w:rPr>
      </w:pPr>
      <w:r>
        <w:rPr>
          <w:rFonts w:hint="eastAsia" w:ascii="宋体" w:hAnsi="宋体"/>
          <w:sz w:val="28"/>
          <w:szCs w:val="28"/>
          <w:highlight w:val="none"/>
          <w:lang w:val="en-US" w:eastAsia="zh-CN"/>
        </w:rPr>
        <w:t>8.4</w:t>
      </w:r>
      <w:r>
        <w:rPr>
          <w:rFonts w:hint="eastAsia" w:ascii="宋体" w:hAnsi="宋体"/>
          <w:sz w:val="28"/>
          <w:szCs w:val="28"/>
          <w:highlight w:val="none"/>
          <w:lang w:eastAsia="zh-CN"/>
        </w:rPr>
        <w:t>、依据H</w:t>
      </w:r>
      <w:r>
        <w:rPr>
          <w:rFonts w:hint="eastAsia" w:ascii="宋体" w:hAnsi="宋体"/>
          <w:sz w:val="28"/>
          <w:szCs w:val="28"/>
          <w:highlight w:val="none"/>
          <w:lang w:val="en-US" w:eastAsia="zh-CN"/>
        </w:rPr>
        <w:t>J</w:t>
      </w:r>
      <w:r>
        <w:rPr>
          <w:rFonts w:hint="eastAsia" w:ascii="宋体" w:hAnsi="宋体"/>
          <w:sz w:val="28"/>
          <w:szCs w:val="28"/>
          <w:highlight w:val="none"/>
          <w:lang w:eastAsia="zh-CN"/>
        </w:rPr>
        <w:t xml:space="preserve"> 2547-2016标准，环氧树脂喷涂过的钢板，产品表面涂层可迁移元素的限量锑(Sb)、砷(As)、钡(Ba)、镉(Cd)、铬(Cr)、铅(P)、汞(g)、硒(Se)未检出。</w:t>
      </w:r>
    </w:p>
    <w:p>
      <w:pPr>
        <w:spacing w:line="360" w:lineRule="auto"/>
        <w:rPr>
          <w:rFonts w:hint="eastAsia" w:ascii="宋体" w:hAnsi="宋体"/>
          <w:sz w:val="28"/>
          <w:szCs w:val="28"/>
          <w:highlight w:val="none"/>
          <w:lang w:eastAsia="zh-CN"/>
        </w:rPr>
      </w:pPr>
      <w:r>
        <w:rPr>
          <w:rFonts w:hint="eastAsia" w:ascii="宋体" w:hAnsi="宋体"/>
          <w:sz w:val="28"/>
          <w:szCs w:val="28"/>
          <w:highlight w:val="none"/>
          <w:lang w:val="en-US" w:eastAsia="zh-CN"/>
        </w:rPr>
        <w:t>8.5</w:t>
      </w:r>
      <w:r>
        <w:rPr>
          <w:rFonts w:hint="eastAsia" w:ascii="宋体" w:hAnsi="宋体"/>
          <w:sz w:val="28"/>
          <w:szCs w:val="28"/>
          <w:highlight w:val="none"/>
          <w:lang w:eastAsia="zh-CN"/>
        </w:rPr>
        <w:t>、依据GB/T 6739-2022标准，钢板涂层理化性能要求涂层硬度&gt;4;依据GB/T 1720-2020标准，膜附着力≤1 级;</w:t>
      </w:r>
    </w:p>
    <w:p>
      <w:pPr>
        <w:spacing w:line="360" w:lineRule="auto"/>
        <w:rPr>
          <w:rFonts w:hint="eastAsia" w:ascii="宋体" w:hAnsi="宋体"/>
          <w:sz w:val="28"/>
          <w:szCs w:val="28"/>
          <w:highlight w:val="none"/>
          <w:lang w:eastAsia="zh-CN"/>
        </w:rPr>
      </w:pPr>
    </w:p>
    <w:p>
      <w:pPr>
        <w:pStyle w:val="4"/>
        <w:spacing w:before="183" w:line="360" w:lineRule="auto"/>
        <w:outlineLvl w:val="6"/>
        <w:rPr>
          <w:rFonts w:hint="eastAsia"/>
          <w:b/>
          <w:bCs/>
          <w:color w:val="000000" w:themeColor="text1"/>
          <w:sz w:val="28"/>
          <w:szCs w:val="28"/>
          <w:highlight w:val="none"/>
          <w:shd w:val="clear" w:color="auto" w:fill="000000" w:themeFill="text1"/>
          <w:lang w:eastAsia="zh-CN"/>
          <w14:textFill>
            <w14:solidFill>
              <w14:schemeClr w14:val="tx1"/>
            </w14:solidFill>
          </w14:textFill>
        </w:rPr>
      </w:pPr>
      <w:r>
        <w:rPr>
          <w:rFonts w:hint="eastAsia"/>
          <w:spacing w:val="-2"/>
          <w:sz w:val="28"/>
          <w:szCs w:val="28"/>
          <w:highlight w:val="none"/>
          <w:lang w:eastAsia="zh-CN"/>
        </w:rPr>
        <w:t>注：</w:t>
      </w:r>
    </w:p>
    <w:p>
      <w:pPr>
        <w:widowControl w:val="0"/>
        <w:numPr>
          <w:ilvl w:val="0"/>
          <w:numId w:val="4"/>
        </w:numPr>
        <w:kinsoku/>
        <w:autoSpaceDE/>
        <w:autoSpaceDN/>
        <w:adjustRightInd/>
        <w:snapToGrid/>
        <w:spacing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cs="宋体"/>
          <w:color w:val="auto"/>
          <w:sz w:val="28"/>
          <w:szCs w:val="28"/>
          <w:highlight w:val="none"/>
          <w:lang w:eastAsia="zh-CN"/>
        </w:rPr>
        <w:t>“三、采购品目分类、参考样式、规格、基本组成、质量标准等要求。”</w:t>
      </w:r>
      <w:r>
        <w:rPr>
          <w:rFonts w:hint="eastAsia" w:ascii="宋体" w:hAnsi="宋体" w:eastAsia="宋体" w:cs="宋体"/>
          <w:color w:val="auto"/>
          <w:sz w:val="28"/>
          <w:szCs w:val="28"/>
          <w:highlight w:val="none"/>
          <w:lang w:eastAsia="zh-CN"/>
        </w:rPr>
        <w:t>与本条要求不一致的，以本条要求为准。</w:t>
      </w:r>
    </w:p>
    <w:p>
      <w:pPr>
        <w:widowControl w:val="0"/>
        <w:numPr>
          <w:ilvl w:val="0"/>
          <w:numId w:val="4"/>
        </w:numPr>
        <w:kinsoku/>
        <w:autoSpaceDE/>
        <w:autoSpaceDN/>
        <w:adjustRightInd/>
        <w:snapToGrid/>
        <w:spacing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针对以上质量要求，标注“</w:t>
      </w:r>
      <w:r>
        <w:rPr>
          <w:rFonts w:hint="eastAsia"/>
          <w:color w:val="auto"/>
          <w:sz w:val="28"/>
          <w:szCs w:val="28"/>
          <w:highlight w:val="none"/>
          <w:lang w:eastAsia="zh-CN"/>
        </w:rPr>
        <w:t>▲</w:t>
      </w:r>
      <w:r>
        <w:rPr>
          <w:rFonts w:hint="eastAsia" w:ascii="宋体" w:hAnsi="宋体" w:eastAsia="宋体" w:cs="宋体"/>
          <w:color w:val="auto"/>
          <w:sz w:val="28"/>
          <w:szCs w:val="28"/>
          <w:highlight w:val="none"/>
          <w:lang w:eastAsia="zh-CN"/>
        </w:rPr>
        <w:t>”号为重要技术参数，应当在投标文件中提供证明材料，证明材料是指主要原辅材料的检测报告，由投标人或投标产品生产厂家或原材料生产厂家出具的合格检测报告均予以认可，检测报告必须经“CMA”标识的检测机构出具，报告签发时间不早于</w:t>
      </w:r>
      <w:r>
        <w:rPr>
          <w:rFonts w:hint="eastAsia" w:ascii="宋体" w:hAnsi="宋体" w:eastAsia="宋体" w:cs="宋体"/>
          <w:color w:val="auto"/>
          <w:sz w:val="28"/>
          <w:szCs w:val="28"/>
          <w:highlight w:val="none"/>
          <w:lang w:val="en-US" w:eastAsia="zh-CN"/>
        </w:rPr>
        <w:t>2024年1月1日。</w:t>
      </w:r>
    </w:p>
    <w:p>
      <w:pPr>
        <w:widowControl w:val="0"/>
        <w:numPr>
          <w:ilvl w:val="0"/>
          <w:numId w:val="4"/>
        </w:numPr>
        <w:kinsoku/>
        <w:autoSpaceDE/>
        <w:autoSpaceDN/>
        <w:adjustRightInd/>
        <w:snapToGrid/>
        <w:spacing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其余参数要求作为履约验收的标准，验收时提供技术支持材料。</w:t>
      </w:r>
    </w:p>
    <w:p>
      <w:pPr>
        <w:widowControl w:val="0"/>
        <w:numPr>
          <w:ilvl w:val="0"/>
          <w:numId w:val="4"/>
        </w:numPr>
        <w:kinsoku/>
        <w:autoSpaceDE/>
        <w:autoSpaceDN/>
        <w:adjustRightInd/>
        <w:snapToGrid/>
        <w:spacing w:line="360" w:lineRule="auto"/>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针对不同叫法的同一原材料，其检测报告均予认可。如名称不一致，需注明需求中对应的成品/原材料名称。</w:t>
      </w:r>
    </w:p>
    <w:p>
      <w:pPr>
        <w:widowControl w:val="0"/>
        <w:numPr>
          <w:ilvl w:val="0"/>
          <w:numId w:val="4"/>
        </w:numPr>
        <w:kinsoku/>
        <w:autoSpaceDE/>
        <w:autoSpaceDN/>
        <w:adjustRightInd/>
        <w:snapToGrid/>
        <w:spacing w:line="360" w:lineRule="auto"/>
        <w:ind w:firstLine="412" w:firstLineChars="200"/>
        <w:textAlignment w:val="auto"/>
        <w:rPr>
          <w:rFonts w:hint="eastAsia"/>
          <w:spacing w:val="-2"/>
          <w:highlight w:val="none"/>
          <w:lang w:eastAsia="zh-CN"/>
        </w:rPr>
      </w:pPr>
      <w:r>
        <w:rPr>
          <w:rFonts w:hint="eastAsia"/>
          <w:spacing w:val="-2"/>
          <w:highlight w:val="none"/>
          <w:lang w:eastAsia="zh-CN"/>
        </w:rPr>
        <w:br w:type="page"/>
      </w:r>
    </w:p>
    <w:p>
      <w:pPr>
        <w:pStyle w:val="4"/>
        <w:spacing w:before="313" w:line="360" w:lineRule="auto"/>
        <w:ind w:left="40" w:firstLine="688" w:firstLineChars="200"/>
        <w:rPr>
          <w:rFonts w:hint="eastAsia" w:ascii="微软雅黑" w:hAnsi="微软雅黑" w:eastAsia="微软雅黑" w:cs="微软雅黑"/>
          <w:b/>
          <w:bCs/>
          <w:spacing w:val="12"/>
          <w:sz w:val="32"/>
          <w:szCs w:val="32"/>
          <w:highlight w:val="none"/>
          <w:lang w:eastAsia="zh-CN"/>
        </w:rPr>
      </w:pPr>
      <w:r>
        <w:rPr>
          <w:rFonts w:hint="eastAsia" w:ascii="微软雅黑" w:hAnsi="微软雅黑" w:eastAsia="微软雅黑" w:cs="微软雅黑"/>
          <w:b/>
          <w:bCs/>
          <w:spacing w:val="12"/>
          <w:sz w:val="32"/>
          <w:szCs w:val="32"/>
          <w:highlight w:val="none"/>
          <w:lang w:eastAsia="zh-CN"/>
        </w:rPr>
        <w:t>五、颜色要求</w:t>
      </w:r>
    </w:p>
    <w:p>
      <w:pPr>
        <w:spacing w:before="311" w:line="360" w:lineRule="auto"/>
        <w:ind w:firstLine="560" w:firstLineChars="200"/>
        <w:rPr>
          <w:rFonts w:hint="eastAsia" w:ascii="微软雅黑" w:hAnsi="微软雅黑" w:eastAsia="微软雅黑" w:cs="微软雅黑"/>
          <w:sz w:val="28"/>
          <w:szCs w:val="28"/>
          <w:highlight w:val="none"/>
          <w:lang w:eastAsia="zh-CN"/>
        </w:rPr>
      </w:pPr>
      <w:r>
        <w:rPr>
          <w:rFonts w:hint="eastAsia" w:ascii="微软雅黑" w:hAnsi="微软雅黑" w:eastAsia="微软雅黑" w:cs="微软雅黑"/>
          <w:sz w:val="28"/>
          <w:szCs w:val="28"/>
          <w:highlight w:val="none"/>
          <w:lang w:eastAsia="zh-CN"/>
        </w:rPr>
        <w:t>家具颜色应与建筑内装饰风格相适应，以单色为主，不宜过于鲜艳，主体颜色投标时暂按以下要求考虑，中标后具体颜色须待采购人明确后方可下单制作。（请投标人注意，中标后价格不因具体颜色的调整而改变，报价时应综合考虑该因素）</w:t>
      </w:r>
    </w:p>
    <w:tbl>
      <w:tblPr>
        <w:tblStyle w:val="11"/>
        <w:tblpPr w:leftFromText="180" w:rightFromText="180" w:vertAnchor="text" w:horzAnchor="page" w:tblpX="1534" w:tblpY="110"/>
        <w:tblOverlap w:val="never"/>
        <w:tblW w:w="186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3"/>
        <w:gridCol w:w="14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73" w:type="dxa"/>
          </w:tcPr>
          <w:p>
            <w:pPr>
              <w:pStyle w:val="10"/>
              <w:framePr w:hSpace="0" w:wrap="auto" w:vAnchor="margin" w:hAnchor="text" w:xAlign="left" w:yAlign="inline"/>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分类</w:t>
            </w:r>
          </w:p>
        </w:tc>
        <w:tc>
          <w:tcPr>
            <w:tcW w:w="14952" w:type="dxa"/>
          </w:tcPr>
          <w:p>
            <w:pPr>
              <w:pStyle w:val="10"/>
              <w:framePr w:hSpace="0" w:wrap="auto" w:vAnchor="margin" w:hAnchor="text" w:xAlign="left" w:yAlign="inline"/>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主体颜色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3673" w:type="dxa"/>
            <w:vAlign w:val="center"/>
          </w:tcPr>
          <w:p>
            <w:pPr>
              <w:pStyle w:val="10"/>
              <w:framePr w:hSpace="0" w:wrap="auto" w:vAnchor="margin" w:hAnchor="text" w:xAlign="left" w:yAlign="inline"/>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钢木箱体</w:t>
            </w:r>
          </w:p>
        </w:tc>
        <w:tc>
          <w:tcPr>
            <w:tcW w:w="14952" w:type="dxa"/>
            <w:vAlign w:val="center"/>
          </w:tcPr>
          <w:p>
            <w:pPr>
              <w:pStyle w:val="10"/>
              <w:framePr w:hSpace="0" w:wrap="auto" w:vAnchor="margin" w:hAnchor="text" w:xAlign="left" w:yAlign="inline"/>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颜色：灰白色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3673" w:type="dxa"/>
            <w:vAlign w:val="center"/>
          </w:tcPr>
          <w:p>
            <w:pPr>
              <w:pStyle w:val="10"/>
              <w:framePr w:hSpace="0" w:wrap="auto" w:vAnchor="margin" w:hAnchor="text" w:xAlign="left" w:yAlign="inline"/>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理化板</w:t>
            </w:r>
          </w:p>
        </w:tc>
        <w:tc>
          <w:tcPr>
            <w:tcW w:w="14952" w:type="dxa"/>
            <w:vAlign w:val="center"/>
          </w:tcPr>
          <w:p>
            <w:pPr>
              <w:pStyle w:val="10"/>
              <w:framePr w:hSpace="0" w:wrap="auto" w:vAnchor="margin" w:hAnchor="text" w:xAlign="left" w:yAlign="inline"/>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颜色：黑色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 w:hRule="atLeast"/>
        </w:trPr>
        <w:tc>
          <w:tcPr>
            <w:tcW w:w="3673" w:type="dxa"/>
            <w:vAlign w:val="center"/>
          </w:tcPr>
          <w:p>
            <w:pPr>
              <w:pStyle w:val="10"/>
              <w:framePr w:hSpace="0" w:wrap="auto" w:vAnchor="margin" w:hAnchor="text" w:xAlign="left" w:yAlign="inline"/>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椅子</w:t>
            </w:r>
          </w:p>
        </w:tc>
        <w:tc>
          <w:tcPr>
            <w:tcW w:w="14952" w:type="dxa"/>
            <w:vAlign w:val="center"/>
          </w:tcPr>
          <w:p>
            <w:pPr>
              <w:pStyle w:val="10"/>
              <w:framePr w:hSpace="0" w:wrap="auto" w:vAnchor="margin" w:hAnchor="text" w:xAlign="left" w:yAlign="inline"/>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颜色：黑色</w:t>
            </w:r>
          </w:p>
        </w:tc>
      </w:tr>
    </w:tbl>
    <w:p>
      <w:pPr>
        <w:spacing w:line="360" w:lineRule="auto"/>
        <w:rPr>
          <w:rFonts w:hint="eastAsia" w:ascii="宋体" w:hAnsi="宋体" w:eastAsia="宋体" w:cs="宋体"/>
          <w:highlight w:val="none"/>
        </w:rPr>
      </w:pPr>
    </w:p>
    <w:p>
      <w:pPr>
        <w:spacing w:line="360" w:lineRule="auto"/>
        <w:rPr>
          <w:rFonts w:hint="eastAsia" w:ascii="宋体" w:hAnsi="宋体" w:eastAsia="宋体" w:cs="宋体"/>
          <w:highlight w:val="none"/>
        </w:rPr>
      </w:pPr>
    </w:p>
    <w:p>
      <w:pPr>
        <w:spacing w:line="360" w:lineRule="auto"/>
        <w:rPr>
          <w:rFonts w:hint="eastAsia" w:ascii="宋体" w:hAnsi="宋体" w:eastAsia="宋体" w:cs="宋体"/>
          <w:highlight w:val="none"/>
        </w:rPr>
        <w:sectPr>
          <w:pgSz w:w="23810" w:h="16840"/>
          <w:pgMar w:top="400" w:right="3571" w:bottom="0" w:left="1495" w:header="0" w:footer="0" w:gutter="0"/>
          <w:cols w:space="720" w:num="1"/>
        </w:sectPr>
      </w:pPr>
    </w:p>
    <w:p>
      <w:pPr>
        <w:spacing w:line="360" w:lineRule="auto"/>
        <w:rPr>
          <w:rFonts w:hint="eastAsia" w:ascii="宋体" w:hAnsi="宋体" w:eastAsia="宋体" w:cs="宋体"/>
          <w:highlight w:val="none"/>
        </w:rPr>
      </w:pPr>
    </w:p>
    <w:p>
      <w:pPr>
        <w:spacing w:line="360" w:lineRule="auto"/>
        <w:rPr>
          <w:rFonts w:hint="eastAsia" w:ascii="宋体" w:hAnsi="宋体" w:eastAsia="宋体" w:cs="宋体"/>
          <w:highlight w:val="none"/>
        </w:rPr>
      </w:pPr>
    </w:p>
    <w:p>
      <w:pPr>
        <w:pStyle w:val="4"/>
        <w:spacing w:before="313" w:line="360" w:lineRule="auto"/>
        <w:ind w:left="40" w:firstLine="688" w:firstLineChars="200"/>
        <w:rPr>
          <w:rFonts w:hint="eastAsia" w:ascii="微软雅黑" w:hAnsi="微软雅黑" w:eastAsia="微软雅黑" w:cs="微软雅黑"/>
          <w:b/>
          <w:bCs/>
          <w:spacing w:val="12"/>
          <w:sz w:val="32"/>
          <w:szCs w:val="32"/>
          <w:highlight w:val="none"/>
          <w:lang w:eastAsia="zh-CN"/>
        </w:rPr>
      </w:pPr>
      <w:r>
        <w:rPr>
          <w:rFonts w:hint="eastAsia" w:ascii="微软雅黑" w:hAnsi="微软雅黑" w:eastAsia="微软雅黑" w:cs="微软雅黑"/>
          <w:b/>
          <w:bCs/>
          <w:spacing w:val="12"/>
          <w:sz w:val="32"/>
          <w:szCs w:val="32"/>
          <w:highlight w:val="none"/>
          <w:lang w:eastAsia="zh-CN"/>
        </w:rPr>
        <w:t>六、样品要求</w:t>
      </w:r>
    </w:p>
    <w:p>
      <w:pPr>
        <w:spacing w:before="1" w:line="360" w:lineRule="auto"/>
        <w:rPr>
          <w:highlight w:val="none"/>
          <w:lang w:eastAsia="zh-CN"/>
        </w:rPr>
      </w:pPr>
      <w:r>
        <w:rPr>
          <w:rFonts w:hint="eastAsia" w:ascii="微软雅黑" w:hAnsi="微软雅黑" w:eastAsia="微软雅黑" w:cs="微软雅黑"/>
          <w:sz w:val="28"/>
          <w:szCs w:val="28"/>
          <w:highlight w:val="none"/>
          <w:lang w:eastAsia="zh-CN"/>
        </w:rPr>
        <w:t>投标人需要按以下要求提交样品，中标样品交由采购人作为履约验收参考，最终产品使用的原辅材料不得低于样品的标准。</w:t>
      </w:r>
    </w:p>
    <w:tbl>
      <w:tblPr>
        <w:tblStyle w:val="12"/>
        <w:tblW w:w="186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23"/>
        <w:gridCol w:w="10099"/>
        <w:gridCol w:w="53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jc w:val="center"/>
        </w:trPr>
        <w:tc>
          <w:tcPr>
            <w:tcW w:w="3223" w:type="dxa"/>
          </w:tcPr>
          <w:p>
            <w:pPr>
              <w:spacing w:before="246" w:line="360" w:lineRule="auto"/>
              <w:ind w:left="1175"/>
              <w:rPr>
                <w:rFonts w:hint="eastAsia" w:ascii="微软雅黑" w:hAnsi="微软雅黑" w:eastAsia="微软雅黑" w:cs="微软雅黑"/>
                <w:b/>
                <w:bCs/>
                <w:sz w:val="28"/>
                <w:szCs w:val="28"/>
                <w:highlight w:val="none"/>
              </w:rPr>
            </w:pPr>
            <w:r>
              <w:rPr>
                <w:rFonts w:hint="eastAsia" w:ascii="微软雅黑" w:hAnsi="微软雅黑" w:eastAsia="微软雅黑" w:cs="微软雅黑"/>
                <w:b/>
                <w:bCs/>
                <w:spacing w:val="-8"/>
                <w:sz w:val="28"/>
                <w:szCs w:val="28"/>
                <w:highlight w:val="none"/>
              </w:rPr>
              <w:t>分类</w:t>
            </w:r>
          </w:p>
        </w:tc>
        <w:tc>
          <w:tcPr>
            <w:tcW w:w="10099" w:type="dxa"/>
          </w:tcPr>
          <w:p>
            <w:pPr>
              <w:spacing w:before="246" w:line="360" w:lineRule="auto"/>
              <w:ind w:left="132"/>
              <w:jc w:val="center"/>
              <w:rPr>
                <w:rFonts w:hint="eastAsia" w:ascii="微软雅黑" w:hAnsi="微软雅黑" w:eastAsia="微软雅黑" w:cs="微软雅黑"/>
                <w:b/>
                <w:bCs/>
                <w:sz w:val="28"/>
                <w:szCs w:val="28"/>
                <w:highlight w:val="none"/>
              </w:rPr>
            </w:pPr>
            <w:r>
              <w:rPr>
                <w:rFonts w:hint="eastAsia" w:ascii="微软雅黑" w:hAnsi="微软雅黑" w:eastAsia="微软雅黑" w:cs="微软雅黑"/>
                <w:b/>
                <w:bCs/>
                <w:spacing w:val="3"/>
                <w:sz w:val="28"/>
                <w:szCs w:val="28"/>
                <w:highlight w:val="none"/>
              </w:rPr>
              <w:t>样品要求</w:t>
            </w:r>
          </w:p>
        </w:tc>
        <w:tc>
          <w:tcPr>
            <w:tcW w:w="5317" w:type="dxa"/>
          </w:tcPr>
          <w:p>
            <w:pPr>
              <w:spacing w:before="244" w:line="360" w:lineRule="auto"/>
              <w:ind w:left="106"/>
              <w:jc w:val="center"/>
              <w:rPr>
                <w:rFonts w:hint="eastAsia" w:ascii="微软雅黑" w:hAnsi="微软雅黑" w:eastAsia="微软雅黑" w:cs="微软雅黑"/>
                <w:b/>
                <w:bCs/>
                <w:sz w:val="28"/>
                <w:szCs w:val="28"/>
                <w:highlight w:val="none"/>
              </w:rPr>
            </w:pPr>
            <w:r>
              <w:rPr>
                <w:rFonts w:hint="eastAsia" w:ascii="微软雅黑" w:hAnsi="微软雅黑" w:eastAsia="微软雅黑" w:cs="微软雅黑"/>
                <w:b/>
                <w:bCs/>
                <w:spacing w:val="7"/>
                <w:sz w:val="28"/>
                <w:szCs w:val="28"/>
                <w:highlight w:val="none"/>
              </w:rPr>
              <w:t>大小尺寸(单位</w:t>
            </w:r>
            <w:r>
              <w:rPr>
                <w:rFonts w:hint="eastAsia" w:ascii="微软雅黑" w:hAnsi="微软雅黑" w:eastAsia="微软雅黑" w:cs="微软雅黑"/>
                <w:b/>
                <w:bCs/>
                <w:sz w:val="28"/>
                <w:szCs w:val="28"/>
                <w:highlight w:val="none"/>
              </w:rPr>
              <w:t>mm</w:t>
            </w:r>
            <w:r>
              <w:rPr>
                <w:rFonts w:hint="eastAsia" w:ascii="微软雅黑" w:hAnsi="微软雅黑" w:eastAsia="微软雅黑" w:cs="微软雅黑"/>
                <w:b/>
                <w:bCs/>
                <w:spacing w:val="7"/>
                <w:sz w:val="28"/>
                <w:szCs w:val="28"/>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jc w:val="center"/>
        </w:trPr>
        <w:tc>
          <w:tcPr>
            <w:tcW w:w="3223" w:type="dxa"/>
            <w:vAlign w:val="center"/>
          </w:tcPr>
          <w:p>
            <w:pPr>
              <w:jc w:val="center"/>
              <w:rPr>
                <w:rFonts w:hint="eastAsia" w:ascii="微软雅黑" w:hAnsi="微软雅黑" w:eastAsia="微软雅黑" w:cs="微软雅黑"/>
                <w:sz w:val="28"/>
                <w:szCs w:val="28"/>
                <w:highlight w:val="none"/>
                <w:lang w:eastAsia="zh-CN"/>
              </w:rPr>
            </w:pPr>
            <w:r>
              <w:rPr>
                <w:rFonts w:hint="eastAsia" w:ascii="微软雅黑" w:hAnsi="微软雅黑" w:eastAsia="微软雅黑" w:cs="微软雅黑"/>
                <w:sz w:val="28"/>
                <w:szCs w:val="28"/>
                <w:highlight w:val="none"/>
                <w:lang w:eastAsia="zh-CN"/>
              </w:rPr>
              <w:t>理化板</w:t>
            </w:r>
          </w:p>
        </w:tc>
        <w:tc>
          <w:tcPr>
            <w:tcW w:w="10099" w:type="dxa"/>
            <w:vAlign w:val="center"/>
          </w:tcPr>
          <w:p>
            <w:pPr>
              <w:jc w:val="center"/>
              <w:rPr>
                <w:rFonts w:hint="eastAsia" w:ascii="微软雅黑" w:hAnsi="微软雅黑" w:eastAsia="微软雅黑" w:cs="微软雅黑"/>
                <w:sz w:val="28"/>
                <w:szCs w:val="28"/>
                <w:highlight w:val="none"/>
                <w:lang w:eastAsia="zh-CN"/>
              </w:rPr>
            </w:pPr>
            <w:r>
              <w:rPr>
                <w:rFonts w:hint="eastAsia" w:ascii="微软雅黑" w:hAnsi="微软雅黑" w:eastAsia="微软雅黑" w:cs="微软雅黑"/>
                <w:sz w:val="28"/>
                <w:szCs w:val="28"/>
                <w:highlight w:val="none"/>
                <w:lang w:eastAsia="zh-CN"/>
              </w:rPr>
              <w:t xml:space="preserve">实芯理化板-参照材料及成品要求-实验台台面板技术要求 </w:t>
            </w:r>
          </w:p>
        </w:tc>
        <w:tc>
          <w:tcPr>
            <w:tcW w:w="5317" w:type="dxa"/>
            <w:vAlign w:val="center"/>
          </w:tcPr>
          <w:p>
            <w:pPr>
              <w:jc w:val="center"/>
              <w:rPr>
                <w:rFonts w:hint="eastAsia" w:ascii="微软雅黑" w:hAnsi="微软雅黑" w:eastAsia="微软雅黑" w:cs="微软雅黑"/>
                <w:sz w:val="28"/>
                <w:szCs w:val="28"/>
                <w:highlight w:val="none"/>
                <w:lang w:eastAsia="zh-CN"/>
              </w:rPr>
            </w:pPr>
            <w:r>
              <w:rPr>
                <w:rFonts w:hint="eastAsia" w:ascii="微软雅黑" w:hAnsi="微软雅黑" w:eastAsia="微软雅黑" w:cs="微软雅黑"/>
                <w:sz w:val="28"/>
                <w:szCs w:val="28"/>
                <w:highlight w:val="none"/>
                <w:lang w:eastAsia="zh-CN"/>
              </w:rPr>
              <w:t>200×200 1件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jc w:val="center"/>
        </w:trPr>
        <w:tc>
          <w:tcPr>
            <w:tcW w:w="3223" w:type="dxa"/>
            <w:vAlign w:val="center"/>
          </w:tcPr>
          <w:p>
            <w:pPr>
              <w:jc w:val="center"/>
              <w:rPr>
                <w:rFonts w:hint="eastAsia" w:ascii="微软雅黑" w:hAnsi="微软雅黑" w:eastAsia="微软雅黑" w:cs="微软雅黑"/>
                <w:sz w:val="28"/>
                <w:szCs w:val="28"/>
                <w:highlight w:val="none"/>
                <w:lang w:eastAsia="zh-CN"/>
              </w:rPr>
            </w:pPr>
            <w:r>
              <w:rPr>
                <w:rFonts w:hint="eastAsia" w:ascii="微软雅黑" w:hAnsi="微软雅黑" w:eastAsia="微软雅黑" w:cs="微软雅黑"/>
                <w:sz w:val="28"/>
                <w:szCs w:val="28"/>
                <w:highlight w:val="none"/>
                <w:lang w:eastAsia="zh-CN"/>
              </w:rPr>
              <w:t>水配件</w:t>
            </w:r>
          </w:p>
        </w:tc>
        <w:tc>
          <w:tcPr>
            <w:tcW w:w="10099" w:type="dxa"/>
            <w:vAlign w:val="center"/>
          </w:tcPr>
          <w:p>
            <w:pPr>
              <w:jc w:val="center"/>
              <w:rPr>
                <w:rFonts w:hint="eastAsia" w:ascii="微软雅黑" w:hAnsi="微软雅黑" w:eastAsia="微软雅黑" w:cs="微软雅黑"/>
                <w:sz w:val="28"/>
                <w:szCs w:val="28"/>
                <w:highlight w:val="none"/>
                <w:lang w:eastAsia="zh-CN"/>
              </w:rPr>
            </w:pPr>
            <w:r>
              <w:rPr>
                <w:rFonts w:hint="eastAsia" w:ascii="微软雅黑" w:hAnsi="微软雅黑" w:eastAsia="微软雅黑" w:cs="微软雅黑"/>
                <w:sz w:val="28"/>
                <w:szCs w:val="28"/>
                <w:highlight w:val="none"/>
                <w:lang w:eastAsia="zh-CN"/>
              </w:rPr>
              <w:t>PP水槽及三联水龙头-实验室家具(清单序号19)-参照采购清单。</w:t>
            </w:r>
          </w:p>
        </w:tc>
        <w:tc>
          <w:tcPr>
            <w:tcW w:w="5317" w:type="dxa"/>
          </w:tcPr>
          <w:p>
            <w:pPr>
              <w:jc w:val="center"/>
              <w:rPr>
                <w:rFonts w:hint="eastAsia" w:ascii="微软雅黑" w:hAnsi="微软雅黑" w:eastAsia="微软雅黑" w:cs="微软雅黑"/>
                <w:sz w:val="28"/>
                <w:szCs w:val="28"/>
                <w:highlight w:val="none"/>
                <w:lang w:eastAsia="zh-CN"/>
              </w:rPr>
            </w:pPr>
          </w:p>
          <w:p>
            <w:pPr>
              <w:jc w:val="center"/>
              <w:rPr>
                <w:rFonts w:hint="eastAsia" w:ascii="微软雅黑" w:hAnsi="微软雅黑" w:eastAsia="微软雅黑" w:cs="微软雅黑"/>
                <w:sz w:val="28"/>
                <w:szCs w:val="28"/>
                <w:highlight w:val="none"/>
                <w:lang w:eastAsia="zh-CN"/>
              </w:rPr>
            </w:pPr>
            <w:r>
              <w:rPr>
                <w:rFonts w:hint="eastAsia" w:ascii="微软雅黑" w:hAnsi="微软雅黑" w:eastAsia="微软雅黑" w:cs="微软雅黑"/>
                <w:sz w:val="28"/>
                <w:szCs w:val="28"/>
                <w:highlight w:val="none"/>
                <w:lang w:eastAsia="zh-CN"/>
              </w:rPr>
              <w:t>1件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jc w:val="center"/>
        </w:trPr>
        <w:tc>
          <w:tcPr>
            <w:tcW w:w="3223" w:type="dxa"/>
            <w:vAlign w:val="center"/>
          </w:tcPr>
          <w:p>
            <w:pPr>
              <w:spacing w:before="279"/>
              <w:jc w:val="center"/>
              <w:rPr>
                <w:rFonts w:hint="eastAsia" w:ascii="微软雅黑" w:hAnsi="微软雅黑" w:eastAsia="微软雅黑" w:cs="微软雅黑"/>
                <w:sz w:val="28"/>
                <w:szCs w:val="28"/>
                <w:highlight w:val="none"/>
                <w:lang w:eastAsia="zh-CN"/>
              </w:rPr>
            </w:pPr>
            <w:r>
              <w:rPr>
                <w:rFonts w:hint="eastAsia" w:ascii="微软雅黑" w:hAnsi="微软雅黑" w:eastAsia="微软雅黑" w:cs="微软雅黑"/>
                <w:sz w:val="28"/>
                <w:szCs w:val="28"/>
                <w:highlight w:val="none"/>
                <w:lang w:eastAsia="zh-CN"/>
              </w:rPr>
              <w:t>成品</w:t>
            </w:r>
          </w:p>
        </w:tc>
        <w:tc>
          <w:tcPr>
            <w:tcW w:w="10099" w:type="dxa"/>
            <w:vAlign w:val="center"/>
          </w:tcPr>
          <w:p>
            <w:pPr>
              <w:spacing w:before="118"/>
              <w:jc w:val="center"/>
              <w:rPr>
                <w:rFonts w:hint="eastAsia" w:ascii="微软雅黑" w:hAnsi="微软雅黑" w:eastAsia="微软雅黑" w:cs="微软雅黑"/>
                <w:sz w:val="28"/>
                <w:szCs w:val="28"/>
                <w:highlight w:val="none"/>
                <w:lang w:eastAsia="zh-CN"/>
              </w:rPr>
            </w:pPr>
            <w:r>
              <w:rPr>
                <w:rFonts w:hint="eastAsia" w:ascii="微软雅黑" w:hAnsi="微软雅黑" w:eastAsia="微软雅黑" w:cs="微软雅黑"/>
                <w:sz w:val="28"/>
                <w:szCs w:val="28"/>
                <w:highlight w:val="none"/>
                <w:lang w:val="en-US" w:eastAsia="zh-CN"/>
              </w:rPr>
              <w:t>边台</w:t>
            </w:r>
            <w:r>
              <w:rPr>
                <w:rFonts w:hint="eastAsia" w:ascii="微软雅黑" w:hAnsi="微软雅黑" w:eastAsia="微软雅黑" w:cs="微软雅黑"/>
                <w:sz w:val="28"/>
                <w:szCs w:val="28"/>
                <w:highlight w:val="none"/>
                <w:lang w:eastAsia="zh-CN"/>
              </w:rPr>
              <w:t>-实验室家具(清单序号</w:t>
            </w:r>
            <w:r>
              <w:rPr>
                <w:rFonts w:hint="eastAsia" w:ascii="微软雅黑" w:hAnsi="微软雅黑" w:eastAsia="微软雅黑" w:cs="微软雅黑"/>
                <w:sz w:val="28"/>
                <w:szCs w:val="28"/>
                <w:highlight w:val="none"/>
                <w:lang w:val="en-US" w:eastAsia="zh-CN"/>
              </w:rPr>
              <w:t>12</w:t>
            </w:r>
            <w:r>
              <w:rPr>
                <w:rFonts w:hint="eastAsia" w:ascii="微软雅黑" w:hAnsi="微软雅黑" w:eastAsia="微软雅黑" w:cs="微软雅黑"/>
                <w:sz w:val="28"/>
                <w:szCs w:val="28"/>
                <w:highlight w:val="none"/>
                <w:lang w:eastAsia="zh-CN"/>
              </w:rPr>
              <w:t>)-参照采购清单。</w:t>
            </w:r>
          </w:p>
        </w:tc>
        <w:tc>
          <w:tcPr>
            <w:tcW w:w="5317" w:type="dxa"/>
            <w:vAlign w:val="center"/>
          </w:tcPr>
          <w:p>
            <w:pPr>
              <w:jc w:val="center"/>
              <w:rPr>
                <w:rFonts w:hint="eastAsia" w:ascii="微软雅黑" w:hAnsi="微软雅黑" w:eastAsia="微软雅黑" w:cs="微软雅黑"/>
                <w:sz w:val="28"/>
                <w:szCs w:val="28"/>
                <w:highlight w:val="none"/>
                <w:lang w:eastAsia="zh-CN"/>
              </w:rPr>
            </w:pPr>
            <w:r>
              <w:rPr>
                <w:rFonts w:hint="eastAsia" w:ascii="微软雅黑" w:hAnsi="微软雅黑" w:eastAsia="微软雅黑" w:cs="微软雅黑"/>
                <w:sz w:val="28"/>
                <w:szCs w:val="28"/>
                <w:highlight w:val="none"/>
                <w:lang w:eastAsia="zh-CN"/>
              </w:rPr>
              <w:t>1500*</w:t>
            </w:r>
            <w:r>
              <w:rPr>
                <w:rFonts w:hint="eastAsia" w:ascii="微软雅黑" w:hAnsi="微软雅黑" w:eastAsia="微软雅黑" w:cs="微软雅黑"/>
                <w:sz w:val="28"/>
                <w:szCs w:val="28"/>
                <w:highlight w:val="none"/>
                <w:lang w:val="en-US" w:eastAsia="zh-CN"/>
              </w:rPr>
              <w:t>750</w:t>
            </w:r>
            <w:r>
              <w:rPr>
                <w:rFonts w:hint="eastAsia" w:ascii="微软雅黑" w:hAnsi="微软雅黑" w:eastAsia="微软雅黑" w:cs="微软雅黑"/>
                <w:sz w:val="28"/>
                <w:szCs w:val="28"/>
                <w:highlight w:val="none"/>
                <w:lang w:eastAsia="zh-CN"/>
              </w:rPr>
              <w:t>*800  1件</w:t>
            </w:r>
          </w:p>
        </w:tc>
      </w:tr>
    </w:tbl>
    <w:p>
      <w:pPr>
        <w:spacing w:before="130" w:line="222" w:lineRule="auto"/>
        <w:rPr>
          <w:rFonts w:ascii="微软雅黑" w:hAnsi="微软雅黑" w:eastAsia="微软雅黑" w:cs="微软雅黑"/>
          <w:sz w:val="32"/>
          <w:szCs w:val="32"/>
          <w:highlight w:val="none"/>
          <w:lang w:eastAsia="zh-CN"/>
        </w:rPr>
      </w:pPr>
      <w:r>
        <w:rPr>
          <w:rFonts w:hint="eastAsia" w:ascii="微软雅黑" w:hAnsi="微软雅黑" w:eastAsia="微软雅黑" w:cs="微软雅黑"/>
          <w:sz w:val="32"/>
          <w:szCs w:val="32"/>
          <w:highlight w:val="none"/>
          <w:lang w:eastAsia="zh-CN"/>
        </w:rPr>
        <w:t>允许样品成品的规格尺寸与上述要求有合理偏差，但投标人中标后必须按照采购需求中规定的规格尺寸生产供货，不得影响交付正常使用。</w:t>
      </w:r>
    </w:p>
    <w:p>
      <w:pPr>
        <w:rPr>
          <w:highlight w:val="none"/>
          <w:lang w:eastAsia="zh-CN"/>
        </w:rPr>
        <w:sectPr>
          <w:pgSz w:w="23810" w:h="16840"/>
          <w:pgMar w:top="400" w:right="3571" w:bottom="0" w:left="1550" w:header="0" w:footer="0" w:gutter="0"/>
          <w:cols w:space="720" w:num="1"/>
        </w:sectPr>
      </w:pPr>
    </w:p>
    <w:p>
      <w:pPr>
        <w:spacing w:line="360" w:lineRule="auto"/>
        <w:rPr>
          <w:rFonts w:hint="eastAsia" w:ascii="宋体" w:hAnsi="宋体" w:eastAsia="宋体" w:cs="宋体"/>
          <w:highlight w:val="none"/>
          <w:lang w:eastAsia="zh-CN"/>
        </w:rPr>
      </w:pPr>
    </w:p>
    <w:p>
      <w:pPr>
        <w:pStyle w:val="4"/>
        <w:spacing w:before="313" w:line="360" w:lineRule="auto"/>
        <w:ind w:left="40" w:firstLine="688" w:firstLineChars="200"/>
        <w:rPr>
          <w:rFonts w:hint="eastAsia" w:ascii="宋体" w:hAnsi="宋体" w:eastAsia="宋体" w:cs="宋体"/>
          <w:sz w:val="32"/>
          <w:szCs w:val="32"/>
          <w:highlight w:val="none"/>
          <w:lang w:eastAsia="zh-CN"/>
        </w:rPr>
      </w:pPr>
      <w:r>
        <w:rPr>
          <w:rFonts w:hint="eastAsia" w:ascii="微软雅黑" w:hAnsi="微软雅黑" w:eastAsia="微软雅黑" w:cs="微软雅黑"/>
          <w:b/>
          <w:bCs/>
          <w:spacing w:val="12"/>
          <w:sz w:val="32"/>
          <w:szCs w:val="32"/>
          <w:highlight w:val="none"/>
          <w:lang w:eastAsia="zh-CN"/>
        </w:rPr>
        <w:t>七、供货及验收</w:t>
      </w:r>
    </w:p>
    <w:tbl>
      <w:tblPr>
        <w:tblStyle w:val="11"/>
        <w:tblpPr w:leftFromText="180" w:rightFromText="180" w:vertAnchor="text" w:horzAnchor="page" w:tblpX="1477" w:tblpY="22"/>
        <w:tblOverlap w:val="never"/>
        <w:tblW w:w="1871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4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tcPr>
          <w:p>
            <w:pPr>
              <w:pStyle w:val="10"/>
              <w:framePr w:hSpace="0" w:wrap="auto" w:vAnchor="margin" w:hAnchor="text" w:xAlign="left" w:yAlign="inline"/>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分类</w:t>
            </w:r>
          </w:p>
        </w:tc>
        <w:tc>
          <w:tcPr>
            <w:tcW w:w="14768" w:type="dxa"/>
          </w:tcPr>
          <w:p>
            <w:pPr>
              <w:pStyle w:val="10"/>
              <w:framePr w:hSpace="0" w:wrap="auto" w:vAnchor="margin" w:hAnchor="text" w:xAlign="left" w:yAlign="inline"/>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8" w:hRule="atLeast"/>
        </w:trPr>
        <w:tc>
          <w:tcPr>
            <w:tcW w:w="3943" w:type="dxa"/>
          </w:tcPr>
          <w:p>
            <w:pPr>
              <w:pStyle w:val="10"/>
              <w:framePr w:hSpace="0" w:wrap="auto" w:vAnchor="margin" w:hAnchor="text" w:xAlign="left" w:yAlign="inline"/>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供货要求</w:t>
            </w:r>
          </w:p>
        </w:tc>
        <w:tc>
          <w:tcPr>
            <w:tcW w:w="14768" w:type="dxa"/>
          </w:tcPr>
          <w:p>
            <w:pPr>
              <w:pStyle w:val="10"/>
              <w:framePr w:hSpace="0" w:wrap="auto" w:vAnchor="margin" w:hAnchor="text" w:xAlign="left" w:yAlign="inline"/>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lang w:eastAsia="zh-CN"/>
              </w:rPr>
              <w:t>接到中标通知书后，中标单位需24小时内联系采购人，立即进场配合，7天内根据现场实际出图，所有家具设计需严格根据采购人现场装饰装修实景搭配，设计样式经采购人审核确认后立刻加工。出图规格需确保与现场百分百吻合，若与实际安装不相符由中标人承担全部责任。</w:t>
            </w:r>
            <w:r>
              <w:rPr>
                <w:rFonts w:hint="eastAsia" w:ascii="微软雅黑" w:hAnsi="微软雅黑" w:eastAsia="微软雅黑" w:cs="微软雅黑"/>
                <w:color w:val="auto"/>
                <w:sz w:val="28"/>
                <w:szCs w:val="28"/>
                <w:highlight w:val="none"/>
                <w:lang w:eastAsia="zh-CN"/>
              </w:rPr>
              <w:t>供应商应当在合同签订后45个日历天内供货及安装完毕。供应商</w:t>
            </w:r>
            <w:r>
              <w:rPr>
                <w:rFonts w:hint="eastAsia" w:ascii="微软雅黑" w:hAnsi="微软雅黑" w:eastAsia="微软雅黑" w:cs="微软雅黑"/>
                <w:color w:val="auto"/>
                <w:spacing w:val="6"/>
                <w:sz w:val="28"/>
                <w:szCs w:val="28"/>
                <w:highlight w:val="none"/>
                <w:lang w:eastAsia="zh-CN"/>
              </w:rPr>
              <w:t>所提供的货物应符合国家相关质量标准；货物名称、型号规格、数</w:t>
            </w:r>
            <w:r>
              <w:rPr>
                <w:rFonts w:hint="eastAsia" w:ascii="微软雅黑" w:hAnsi="微软雅黑" w:eastAsia="微软雅黑" w:cs="微软雅黑"/>
                <w:color w:val="auto"/>
                <w:spacing w:val="5"/>
                <w:sz w:val="28"/>
                <w:szCs w:val="28"/>
                <w:highlight w:val="none"/>
                <w:lang w:eastAsia="zh-CN"/>
              </w:rPr>
              <w:t>量、</w:t>
            </w:r>
            <w:r>
              <w:rPr>
                <w:rFonts w:hint="eastAsia" w:ascii="微软雅黑" w:hAnsi="微软雅黑" w:eastAsia="微软雅黑" w:cs="微软雅黑"/>
                <w:color w:val="auto"/>
                <w:spacing w:val="-1"/>
                <w:sz w:val="28"/>
                <w:szCs w:val="28"/>
                <w:highlight w:val="none"/>
                <w:lang w:eastAsia="zh-CN"/>
              </w:rPr>
              <w:t>颜色、外观等符合采购人要求，不得有损毁或损坏；供应商生产前，需与采购人再次确认生产清单。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trPr>
        <w:tc>
          <w:tcPr>
            <w:tcW w:w="3943" w:type="dxa"/>
          </w:tcPr>
          <w:p>
            <w:pPr>
              <w:pStyle w:val="10"/>
              <w:framePr w:hSpace="0" w:wrap="auto" w:vAnchor="margin" w:hAnchor="text" w:xAlign="left" w:yAlign="inline"/>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包装要求</w:t>
            </w:r>
          </w:p>
        </w:tc>
        <w:tc>
          <w:tcPr>
            <w:tcW w:w="14768" w:type="dxa"/>
          </w:tcPr>
          <w:p>
            <w:pPr>
              <w:pStyle w:val="10"/>
              <w:framePr w:hSpace="0" w:wrap="auto" w:vAnchor="margin" w:hAnchor="text" w:xAlign="left" w:yAlign="inline"/>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lang w:eastAsia="zh-CN"/>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43" w:type="dxa"/>
          </w:tcPr>
          <w:p>
            <w:pPr>
              <w:pStyle w:val="10"/>
              <w:framePr w:hSpace="0" w:wrap="auto" w:vAnchor="margin" w:hAnchor="text" w:xAlign="left" w:yAlign="inline"/>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验收要求</w:t>
            </w:r>
          </w:p>
        </w:tc>
        <w:tc>
          <w:tcPr>
            <w:tcW w:w="14768" w:type="dxa"/>
          </w:tcPr>
          <w:p>
            <w:pPr>
              <w:pStyle w:val="10"/>
              <w:framePr w:hSpace="0" w:wrap="auto" w:vAnchor="margin" w:hAnchor="text" w:xAlign="left" w:yAlign="inline"/>
              <w:spacing w:before="191"/>
              <w:ind w:left="152" w:right="180" w:hanging="10"/>
              <w:rPr>
                <w:rFonts w:hint="eastAsia" w:ascii="微软雅黑" w:hAnsi="微软雅黑" w:eastAsia="微软雅黑" w:cs="微软雅黑"/>
                <w:color w:val="auto"/>
                <w:sz w:val="28"/>
                <w:szCs w:val="28"/>
                <w:highlight w:val="none"/>
                <w:lang w:eastAsia="zh-CN"/>
              </w:rPr>
            </w:pPr>
            <w:r>
              <w:rPr>
                <w:rFonts w:hint="eastAsia" w:ascii="微软雅黑" w:hAnsi="微软雅黑" w:eastAsia="微软雅黑" w:cs="微软雅黑"/>
                <w:color w:val="auto"/>
                <w:sz w:val="28"/>
                <w:szCs w:val="28"/>
                <w:highlight w:val="none"/>
                <w:lang w:eastAsia="zh-CN"/>
              </w:rPr>
              <w:t>家具安装、调试后，由供、需双方按照合同约定对家具进</w:t>
            </w:r>
            <w:bookmarkStart w:id="7" w:name="_GoBack"/>
            <w:bookmarkEnd w:id="7"/>
            <w:r>
              <w:rPr>
                <w:rFonts w:hint="eastAsia" w:ascii="微软雅黑" w:hAnsi="微软雅黑" w:eastAsia="微软雅黑" w:cs="微软雅黑"/>
                <w:color w:val="auto"/>
                <w:sz w:val="28"/>
                <w:szCs w:val="28"/>
                <w:highlight w:val="none"/>
                <w:lang w:eastAsia="zh-CN"/>
              </w:rPr>
              <w:t>行验收。正式验收前，采购人随机抽取</w:t>
            </w:r>
            <w:r>
              <w:rPr>
                <w:rFonts w:hint="eastAsia" w:ascii="微软雅黑" w:hAnsi="微软雅黑" w:eastAsia="微软雅黑" w:cs="微软雅黑"/>
                <w:color w:val="auto"/>
                <w:sz w:val="28"/>
                <w:szCs w:val="28"/>
                <w:highlight w:val="none"/>
                <w:lang w:val="en-US" w:eastAsia="zh-CN"/>
              </w:rPr>
              <w:t>实验边台（</w:t>
            </w:r>
            <w:r>
              <w:rPr>
                <w:rFonts w:hint="eastAsia" w:ascii="微软雅黑" w:hAnsi="微软雅黑" w:eastAsia="微软雅黑" w:cs="微软雅黑"/>
                <w:color w:val="auto"/>
                <w:sz w:val="28"/>
                <w:szCs w:val="28"/>
                <w:highlight w:val="none"/>
                <w:lang w:eastAsia="zh-CN"/>
              </w:rPr>
              <w:t>1500*</w:t>
            </w:r>
            <w:r>
              <w:rPr>
                <w:rFonts w:hint="eastAsia" w:ascii="微软雅黑" w:hAnsi="微软雅黑" w:eastAsia="微软雅黑" w:cs="微软雅黑"/>
                <w:color w:val="auto"/>
                <w:sz w:val="28"/>
                <w:szCs w:val="28"/>
                <w:highlight w:val="none"/>
                <w:lang w:val="en-US" w:eastAsia="zh-CN"/>
              </w:rPr>
              <w:t>750</w:t>
            </w:r>
            <w:r>
              <w:rPr>
                <w:rFonts w:hint="eastAsia" w:ascii="微软雅黑" w:hAnsi="微软雅黑" w:eastAsia="微软雅黑" w:cs="微软雅黑"/>
                <w:color w:val="auto"/>
                <w:sz w:val="28"/>
                <w:szCs w:val="28"/>
                <w:highlight w:val="none"/>
                <w:lang w:eastAsia="zh-CN"/>
              </w:rPr>
              <w:t>*800</w:t>
            </w:r>
            <w:r>
              <w:rPr>
                <w:rFonts w:hint="eastAsia" w:ascii="微软雅黑" w:hAnsi="微软雅黑" w:eastAsia="微软雅黑" w:cs="微软雅黑"/>
                <w:color w:val="auto"/>
                <w:sz w:val="28"/>
                <w:szCs w:val="28"/>
                <w:highlight w:val="none"/>
                <w:lang w:val="en-US" w:eastAsia="zh-CN"/>
              </w:rPr>
              <w:t>）</w:t>
            </w:r>
            <w:r>
              <w:rPr>
                <w:rFonts w:hint="eastAsia" w:ascii="微软雅黑" w:hAnsi="微软雅黑" w:eastAsia="微软雅黑" w:cs="微软雅黑"/>
                <w:color w:val="auto"/>
                <w:sz w:val="28"/>
                <w:szCs w:val="28"/>
                <w:highlight w:val="none"/>
                <w:lang w:val="en-US" w:eastAsia="zh-CN"/>
              </w:rPr>
              <w:t>1</w:t>
            </w:r>
            <w:r>
              <w:rPr>
                <w:rFonts w:hint="eastAsia" w:ascii="微软雅黑" w:hAnsi="微软雅黑" w:eastAsia="微软雅黑" w:cs="微软雅黑"/>
                <w:color w:val="auto"/>
                <w:sz w:val="28"/>
                <w:szCs w:val="28"/>
                <w:highlight w:val="none"/>
                <w:lang w:eastAsia="zh-CN"/>
              </w:rPr>
              <w:t>件，由中标供应商委托第三方（含CMA认证）进行质量和环保相关检测，以上检测费用须包含在投标总价中。检测报告需完全合格，若有不合格项采购人有权拒收产品，不予验收。因此将导致的项目工期延误责任、损失由投标人全部承担，并根据合同条款要求赔偿采购人。验收包括但不限于清点型号、数量、检查外观等，供应商应当提供家具清单(各类家具分项开立并标注详细数量)、原产地证明、家具出厂日期证明、家具环保证明等文件。</w:t>
            </w:r>
          </w:p>
          <w:p>
            <w:pPr>
              <w:pStyle w:val="10"/>
              <w:framePr w:hSpace="0" w:wrap="auto" w:vAnchor="margin" w:hAnchor="text" w:xAlign="left" w:yAlign="inline"/>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lang w:eastAsia="zh-CN"/>
              </w:rPr>
              <w:t>所有家具设施中标人须根据现场基建及装饰装修情况每件实样摆放，凡是成品安装不能无缝衔接的必须重做，产生的全部费用由中标人承担。</w:t>
            </w:r>
          </w:p>
        </w:tc>
      </w:tr>
    </w:tbl>
    <w:p>
      <w:pPr>
        <w:spacing w:line="360" w:lineRule="auto"/>
        <w:rPr>
          <w:rFonts w:hint="eastAsia" w:ascii="宋体" w:hAnsi="宋体" w:eastAsia="宋体" w:cs="宋体"/>
          <w:highlight w:val="none"/>
          <w:lang w:eastAsia="zh-CN"/>
        </w:rPr>
      </w:pPr>
    </w:p>
    <w:p>
      <w:pPr>
        <w:spacing w:line="360" w:lineRule="auto"/>
        <w:rPr>
          <w:rFonts w:hint="eastAsia" w:ascii="宋体" w:hAnsi="宋体" w:eastAsia="宋体" w:cs="宋体"/>
          <w:highlight w:val="none"/>
          <w:lang w:eastAsia="zh-CN"/>
        </w:rPr>
        <w:sectPr>
          <w:pgSz w:w="23810" w:h="16840"/>
          <w:pgMar w:top="400" w:right="3571" w:bottom="0" w:left="1505" w:header="0" w:footer="0" w:gutter="0"/>
          <w:cols w:space="720" w:num="1"/>
        </w:sectPr>
      </w:pPr>
    </w:p>
    <w:p>
      <w:pPr>
        <w:pStyle w:val="4"/>
        <w:spacing w:before="313" w:line="360" w:lineRule="auto"/>
        <w:ind w:left="40" w:firstLine="688" w:firstLineChars="200"/>
        <w:rPr>
          <w:rFonts w:hint="eastAsia" w:ascii="微软雅黑" w:hAnsi="微软雅黑" w:eastAsia="微软雅黑" w:cs="微软雅黑"/>
          <w:b/>
          <w:bCs/>
          <w:color w:val="auto"/>
          <w:spacing w:val="12"/>
          <w:sz w:val="32"/>
          <w:szCs w:val="32"/>
          <w:highlight w:val="none"/>
          <w:lang w:eastAsia="zh-CN"/>
        </w:rPr>
      </w:pPr>
      <w:r>
        <w:rPr>
          <w:rFonts w:hint="eastAsia" w:ascii="微软雅黑" w:hAnsi="微软雅黑" w:eastAsia="微软雅黑" w:cs="微软雅黑"/>
          <w:b/>
          <w:bCs/>
          <w:color w:val="auto"/>
          <w:spacing w:val="12"/>
          <w:sz w:val="32"/>
          <w:szCs w:val="32"/>
          <w:highlight w:val="none"/>
          <w:lang w:eastAsia="zh-CN"/>
        </w:rPr>
        <w:t>八、服务要求</w:t>
      </w:r>
    </w:p>
    <w:tbl>
      <w:tblPr>
        <w:tblStyle w:val="11"/>
        <w:tblpPr w:leftFromText="180" w:rightFromText="180" w:vertAnchor="text" w:horzAnchor="page" w:tblpX="1428" w:tblpY="115"/>
        <w:tblOverlap w:val="never"/>
        <w:tblW w:w="198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59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43" w:type="dxa"/>
          </w:tcPr>
          <w:p>
            <w:pPr>
              <w:pStyle w:val="10"/>
              <w:framePr w:hSpace="0" w:wrap="auto" w:vAnchor="margin" w:hAnchor="text" w:xAlign="left" w:yAlign="inline"/>
              <w:rPr>
                <w:rFonts w:hint="eastAsia"/>
                <w:color w:val="auto"/>
                <w:sz w:val="28"/>
                <w:szCs w:val="28"/>
                <w:highlight w:val="none"/>
              </w:rPr>
            </w:pPr>
            <w:r>
              <w:rPr>
                <w:rFonts w:hint="eastAsia"/>
                <w:color w:val="auto"/>
                <w:sz w:val="28"/>
                <w:szCs w:val="28"/>
                <w:highlight w:val="none"/>
              </w:rPr>
              <w:t>分类</w:t>
            </w:r>
          </w:p>
        </w:tc>
        <w:tc>
          <w:tcPr>
            <w:tcW w:w="15902" w:type="dxa"/>
          </w:tcPr>
          <w:p>
            <w:pPr>
              <w:pStyle w:val="10"/>
              <w:framePr w:hSpace="0" w:wrap="auto" w:vAnchor="margin" w:hAnchor="text" w:xAlign="left" w:yAlign="inline"/>
              <w:rPr>
                <w:rFonts w:hint="eastAsia"/>
                <w:color w:val="auto"/>
                <w:sz w:val="28"/>
                <w:szCs w:val="28"/>
                <w:highlight w:val="none"/>
              </w:rPr>
            </w:pPr>
            <w:r>
              <w:rPr>
                <w:rFonts w:hint="eastAsia"/>
                <w:color w:val="auto"/>
                <w:sz w:val="28"/>
                <w:szCs w:val="28"/>
                <w:highlight w:val="none"/>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2" w:hRule="atLeast"/>
        </w:trPr>
        <w:tc>
          <w:tcPr>
            <w:tcW w:w="3943" w:type="dxa"/>
            <w:vAlign w:val="center"/>
          </w:tcPr>
          <w:p>
            <w:pPr>
              <w:pStyle w:val="10"/>
              <w:framePr w:hSpace="0" w:wrap="auto" w:vAnchor="margin" w:hAnchor="text" w:xAlign="left" w:yAlign="inline"/>
              <w:rPr>
                <w:rFonts w:hint="eastAsia"/>
                <w:color w:val="auto"/>
                <w:sz w:val="28"/>
                <w:szCs w:val="28"/>
                <w:highlight w:val="none"/>
              </w:rPr>
            </w:pPr>
            <w:r>
              <w:rPr>
                <w:rFonts w:hint="eastAsia"/>
                <w:color w:val="auto"/>
                <w:sz w:val="28"/>
                <w:szCs w:val="28"/>
                <w:highlight w:val="none"/>
              </w:rPr>
              <w:t>保修服务</w:t>
            </w:r>
          </w:p>
        </w:tc>
        <w:tc>
          <w:tcPr>
            <w:tcW w:w="15902" w:type="dxa"/>
          </w:tcPr>
          <w:p>
            <w:pPr>
              <w:pStyle w:val="10"/>
              <w:framePr w:hSpace="0" w:wrap="auto" w:vAnchor="margin" w:hAnchor="text" w:xAlign="left" w:yAlign="inline"/>
              <w:kinsoku w:val="0"/>
              <w:autoSpaceDE w:val="0"/>
              <w:autoSpaceDN w:val="0"/>
              <w:adjustRightInd w:val="0"/>
              <w:spacing w:before="91" w:line="360" w:lineRule="auto"/>
              <w:textAlignment w:val="baseline"/>
              <w:rPr>
                <w:rFonts w:hint="eastAsia" w:ascii="微软雅黑" w:hAnsi="微软雅黑" w:eastAsia="微软雅黑" w:cs="微软雅黑"/>
                <w:color w:val="auto"/>
                <w:sz w:val="28"/>
                <w:szCs w:val="28"/>
                <w:highlight w:val="none"/>
                <w:lang w:val="en-US" w:eastAsia="zh-CN"/>
              </w:rPr>
            </w:pPr>
            <w:r>
              <w:rPr>
                <w:rFonts w:hint="eastAsia" w:ascii="微软雅黑" w:hAnsi="微软雅黑" w:eastAsia="微软雅黑" w:cs="微软雅黑"/>
                <w:color w:val="auto"/>
                <w:sz w:val="28"/>
                <w:szCs w:val="28"/>
                <w:highlight w:val="none"/>
                <w:lang w:eastAsia="zh-CN"/>
              </w:rPr>
              <w:t>免费保修期应当至少不低于</w:t>
            </w:r>
            <w:r>
              <w:rPr>
                <w:rFonts w:hint="eastAsia" w:ascii="微软雅黑" w:hAnsi="微软雅黑" w:eastAsia="微软雅黑" w:cs="微软雅黑"/>
                <w:color w:val="auto"/>
                <w:sz w:val="28"/>
                <w:szCs w:val="28"/>
                <w:highlight w:val="none"/>
                <w:lang w:val="en-US" w:eastAsia="zh-CN"/>
              </w:rPr>
              <w:t>五</w:t>
            </w:r>
            <w:r>
              <w:rPr>
                <w:rFonts w:hint="eastAsia" w:ascii="微软雅黑" w:hAnsi="微软雅黑" w:eastAsia="微软雅黑" w:cs="微软雅黑"/>
                <w:color w:val="auto"/>
                <w:sz w:val="28"/>
                <w:szCs w:val="28"/>
                <w:highlight w:val="none"/>
                <w:lang w:eastAsia="zh-CN"/>
              </w:rPr>
              <w:t>年。免费保修期内，除采购人因非正常使用造成</w:t>
            </w:r>
            <w:r>
              <w:rPr>
                <w:rFonts w:hint="eastAsia" w:ascii="微软雅黑" w:hAnsi="微软雅黑" w:eastAsia="微软雅黑" w:cs="微软雅黑"/>
                <w:color w:val="auto"/>
                <w:sz w:val="28"/>
                <w:szCs w:val="28"/>
                <w:highlight w:val="none"/>
                <w:lang w:val="en-US" w:eastAsia="zh-CN"/>
              </w:rPr>
              <w:t>实验室通用设备</w:t>
            </w:r>
            <w:r>
              <w:rPr>
                <w:rFonts w:hint="eastAsia" w:ascii="微软雅黑" w:hAnsi="微软雅黑" w:eastAsia="微软雅黑" w:cs="微软雅黑"/>
                <w:color w:val="auto"/>
                <w:sz w:val="28"/>
                <w:szCs w:val="28"/>
                <w:highlight w:val="none"/>
                <w:lang w:eastAsia="zh-CN"/>
              </w:rPr>
              <w:t>损坏外，损坏维修以及所涉及的</w:t>
            </w:r>
            <w:r>
              <w:rPr>
                <w:rFonts w:hint="eastAsia" w:ascii="微软雅黑" w:hAnsi="微软雅黑" w:eastAsia="微软雅黑" w:cs="微软雅黑"/>
                <w:color w:val="auto"/>
                <w:sz w:val="28"/>
                <w:szCs w:val="28"/>
                <w:highlight w:val="none"/>
                <w:lang w:val="en-US" w:eastAsia="zh-CN"/>
              </w:rPr>
              <w:t>实验室通用设备的</w:t>
            </w:r>
            <w:r>
              <w:rPr>
                <w:rFonts w:hint="eastAsia" w:ascii="微软雅黑" w:hAnsi="微软雅黑" w:eastAsia="微软雅黑" w:cs="微软雅黑"/>
                <w:color w:val="auto"/>
                <w:sz w:val="28"/>
                <w:szCs w:val="28"/>
                <w:highlight w:val="none"/>
                <w:lang w:eastAsia="zh-CN"/>
              </w:rPr>
              <w:t>零部件更换，应当由供应商免费提供，供应商应当承诺每年对所供</w:t>
            </w:r>
            <w:r>
              <w:rPr>
                <w:rFonts w:hint="eastAsia" w:ascii="微软雅黑" w:hAnsi="微软雅黑" w:eastAsia="微软雅黑" w:cs="微软雅黑"/>
                <w:color w:val="auto"/>
                <w:sz w:val="28"/>
                <w:szCs w:val="28"/>
                <w:highlight w:val="none"/>
                <w:lang w:val="en-US" w:eastAsia="zh-CN"/>
              </w:rPr>
              <w:t>实验室通用设备</w:t>
            </w:r>
            <w:r>
              <w:rPr>
                <w:rFonts w:hint="eastAsia" w:ascii="微软雅黑" w:hAnsi="微软雅黑" w:eastAsia="微软雅黑" w:cs="微软雅黑"/>
                <w:color w:val="auto"/>
                <w:sz w:val="28"/>
                <w:szCs w:val="28"/>
                <w:highlight w:val="none"/>
                <w:lang w:eastAsia="zh-CN"/>
              </w:rPr>
              <w:t>进行巡检。免费保修期满后，供应商保证以优惠价格提供</w:t>
            </w:r>
            <w:r>
              <w:rPr>
                <w:rFonts w:hint="eastAsia" w:ascii="微软雅黑" w:hAnsi="微软雅黑" w:eastAsia="微软雅黑" w:cs="微软雅黑"/>
                <w:color w:val="auto"/>
                <w:sz w:val="28"/>
                <w:szCs w:val="28"/>
                <w:highlight w:val="none"/>
                <w:lang w:val="en-US" w:eastAsia="zh-CN"/>
              </w:rPr>
              <w:t>实验室</w:t>
            </w:r>
            <w:r>
              <w:rPr>
                <w:rFonts w:hint="eastAsia" w:ascii="微软雅黑" w:hAnsi="微软雅黑" w:eastAsia="微软雅黑" w:cs="微软雅黑"/>
                <w:color w:val="auto"/>
                <w:sz w:val="28"/>
                <w:szCs w:val="28"/>
                <w:highlight w:val="none"/>
                <w:lang w:eastAsia="zh-CN"/>
              </w:rPr>
              <w:t>家具所需零配件和维修服务。</w:t>
            </w:r>
            <w:r>
              <w:rPr>
                <w:rFonts w:ascii="微软雅黑" w:hAnsi="微软雅黑" w:eastAsia="微软雅黑" w:cs="微软雅黑"/>
                <w:bCs/>
                <w:color w:val="auto"/>
                <w:spacing w:val="-6"/>
                <w:sz w:val="28"/>
                <w:szCs w:val="28"/>
                <w:highlight w:val="none"/>
                <w:lang w:bidi="ar-SA"/>
              </w:rPr>
              <w:t>需提供完整的售后服务方案，内容</w:t>
            </w:r>
            <w:r>
              <w:rPr>
                <w:rFonts w:hint="eastAsia" w:ascii="微软雅黑" w:hAnsi="微软雅黑" w:eastAsia="微软雅黑" w:cs="微软雅黑"/>
                <w:bCs/>
                <w:color w:val="auto"/>
                <w:spacing w:val="-6"/>
                <w:sz w:val="28"/>
                <w:szCs w:val="28"/>
                <w:highlight w:val="none"/>
                <w:lang w:val="en-US" w:eastAsia="zh-CN" w:bidi="ar-SA"/>
              </w:rPr>
              <w:t>至少</w:t>
            </w:r>
            <w:r>
              <w:rPr>
                <w:rFonts w:ascii="微软雅黑" w:hAnsi="微软雅黑" w:eastAsia="微软雅黑" w:cs="微软雅黑"/>
                <w:bCs/>
                <w:color w:val="auto"/>
                <w:spacing w:val="-6"/>
                <w:sz w:val="28"/>
                <w:szCs w:val="28"/>
                <w:highlight w:val="none"/>
                <w:lang w:bidi="ar-SA"/>
              </w:rPr>
              <w:t>应涵盖售后服务响应时间、维保服务的具体内容、质保期满后的维保服务价格，以及备品备件的供货情况和相关价格。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3943" w:type="dxa"/>
            <w:vAlign w:val="center"/>
          </w:tcPr>
          <w:p>
            <w:pPr>
              <w:pStyle w:val="10"/>
              <w:framePr w:hSpace="0" w:wrap="auto" w:vAnchor="margin" w:hAnchor="text" w:xAlign="left" w:yAlign="inline"/>
              <w:rPr>
                <w:rFonts w:hint="eastAsia"/>
                <w:color w:val="auto"/>
                <w:sz w:val="28"/>
                <w:szCs w:val="28"/>
                <w:highlight w:val="none"/>
              </w:rPr>
            </w:pPr>
            <w:r>
              <w:rPr>
                <w:rFonts w:hint="eastAsia"/>
                <w:color w:val="auto"/>
                <w:sz w:val="28"/>
                <w:szCs w:val="28"/>
                <w:highlight w:val="none"/>
              </w:rPr>
              <w:t>应急能力</w:t>
            </w:r>
          </w:p>
        </w:tc>
        <w:tc>
          <w:tcPr>
            <w:tcW w:w="15902" w:type="dxa"/>
            <w:vAlign w:val="center"/>
          </w:tcPr>
          <w:p>
            <w:pPr>
              <w:pStyle w:val="10"/>
              <w:framePr w:hSpace="0" w:wrap="auto" w:vAnchor="margin" w:hAnchor="text" w:xAlign="left" w:yAlign="inline"/>
              <w:rPr>
                <w:rFonts w:hint="eastAsia"/>
                <w:color w:val="auto"/>
                <w:sz w:val="28"/>
                <w:szCs w:val="28"/>
                <w:highlight w:val="none"/>
              </w:rPr>
            </w:pPr>
            <w:r>
              <w:rPr>
                <w:rFonts w:hint="eastAsia" w:ascii="微软雅黑" w:hAnsi="微软雅黑" w:eastAsia="微软雅黑" w:cs="微软雅黑"/>
                <w:color w:val="auto"/>
                <w:sz w:val="28"/>
                <w:szCs w:val="28"/>
                <w:highlight w:val="none"/>
                <w:lang w:eastAsia="zh-CN"/>
              </w:rPr>
              <w:t>提供售后服务支持。如遇质量问题，供应商应当在接到通知2小时内予以响应，并于8小时内解决完毕或提供代用产品。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1" w:hRule="atLeast"/>
        </w:trPr>
        <w:tc>
          <w:tcPr>
            <w:tcW w:w="3943" w:type="dxa"/>
            <w:vAlign w:val="center"/>
          </w:tcPr>
          <w:p>
            <w:pPr>
              <w:pStyle w:val="10"/>
              <w:framePr w:hSpace="0" w:wrap="auto" w:vAnchor="margin" w:hAnchor="text" w:xAlign="left" w:yAlign="inline"/>
              <w:rPr>
                <w:rFonts w:hint="eastAsia"/>
                <w:color w:val="auto"/>
                <w:sz w:val="28"/>
                <w:szCs w:val="28"/>
                <w:highlight w:val="none"/>
                <w:lang w:val="en-US" w:eastAsia="zh-CN"/>
              </w:rPr>
            </w:pPr>
            <w:r>
              <w:rPr>
                <w:rFonts w:hint="eastAsia"/>
                <w:color w:val="auto"/>
                <w:sz w:val="28"/>
                <w:szCs w:val="28"/>
                <w:highlight w:val="none"/>
                <w:lang w:val="en-US" w:eastAsia="zh-CN"/>
              </w:rPr>
              <w:t>生产能力要求</w:t>
            </w:r>
          </w:p>
        </w:tc>
        <w:tc>
          <w:tcPr>
            <w:tcW w:w="15902" w:type="dxa"/>
            <w:vAlign w:val="center"/>
          </w:tcPr>
          <w:p>
            <w:pPr>
              <w:pStyle w:val="10"/>
              <w:framePr w:hSpace="0" w:wrap="auto" w:vAnchor="margin" w:hAnchor="text" w:xAlign="left" w:yAlign="inline"/>
              <w:rPr>
                <w:rFonts w:hint="eastAsia" w:ascii="微软雅黑" w:hAnsi="微软雅黑" w:eastAsia="微软雅黑" w:cs="微软雅黑"/>
                <w:color w:val="auto"/>
                <w:sz w:val="28"/>
                <w:szCs w:val="28"/>
                <w:highlight w:val="none"/>
                <w:lang w:val="en-US" w:eastAsia="zh-CN"/>
              </w:rPr>
            </w:pPr>
            <w:r>
              <w:rPr>
                <w:rFonts w:hint="eastAsia" w:ascii="微软雅黑" w:hAnsi="微软雅黑" w:eastAsia="微软雅黑" w:cs="微软雅黑"/>
                <w:color w:val="auto"/>
                <w:sz w:val="28"/>
                <w:szCs w:val="28"/>
                <w:highlight w:val="none"/>
                <w:lang w:val="en-US" w:eastAsia="zh-CN"/>
              </w:rPr>
              <w:t>1.生产厂商针对生产过程中可能产生的大气污染、水污染及其他环境污染应当具有有效的环保措施，制定科学的环保治理方案。</w:t>
            </w:r>
          </w:p>
          <w:p>
            <w:pPr>
              <w:pStyle w:val="10"/>
              <w:framePr w:hSpace="0" w:wrap="auto" w:vAnchor="margin" w:hAnchor="text" w:xAlign="left" w:yAlign="inline"/>
              <w:rPr>
                <w:rFonts w:hint="eastAsia" w:ascii="微软雅黑" w:hAnsi="微软雅黑" w:eastAsia="微软雅黑" w:cs="微软雅黑"/>
                <w:color w:val="auto"/>
                <w:sz w:val="28"/>
                <w:szCs w:val="28"/>
                <w:highlight w:val="none"/>
                <w:lang w:val="en-US" w:eastAsia="zh-CN"/>
              </w:rPr>
            </w:pPr>
            <w:r>
              <w:rPr>
                <w:rFonts w:hint="eastAsia" w:ascii="微软雅黑" w:hAnsi="微软雅黑" w:eastAsia="微软雅黑" w:cs="微软雅黑"/>
                <w:color w:val="auto"/>
                <w:sz w:val="28"/>
                <w:szCs w:val="28"/>
                <w:highlight w:val="none"/>
                <w:lang w:val="en-US" w:eastAsia="zh-CN"/>
              </w:rPr>
              <w:t>2.生产厂商应当具备完善的管理体系；详细阐述生产工艺技术原理、流程、关键技术点及优势，证明其在精度、质量、效率等方面的竞争力；制定科学合理的生产进度计划，明确各阶段时间节点、交付成果，提供进度保障措施，确保生产进度可控且能按时完成；生产设备配置需完备且先进，提供设备清单信息，说明设备的先进性与适用性，可提供相关生产设备购置合同、发票等购置材料作为设备来源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pPr>
              <w:pStyle w:val="10"/>
              <w:framePr w:hSpace="0" w:wrap="auto" w:vAnchor="margin" w:hAnchor="text" w:xAlign="left" w:yAlign="inline"/>
              <w:rPr>
                <w:rFonts w:hint="eastAsia" w:ascii="微软雅黑" w:hAnsi="微软雅黑" w:eastAsia="微软雅黑" w:cs="微软雅黑"/>
                <w:color w:val="auto"/>
                <w:sz w:val="28"/>
                <w:szCs w:val="28"/>
                <w:highlight w:val="none"/>
                <w:lang w:eastAsia="zh-CN"/>
              </w:rPr>
            </w:pPr>
            <w:r>
              <w:rPr>
                <w:rFonts w:hint="eastAsia" w:ascii="微软雅黑" w:hAnsi="微软雅黑" w:eastAsia="微软雅黑" w:cs="微软雅黑"/>
                <w:color w:val="auto"/>
                <w:sz w:val="28"/>
                <w:szCs w:val="28"/>
                <w:highlight w:val="none"/>
                <w:lang w:val="en-US" w:eastAsia="zh-CN"/>
              </w:rPr>
              <w:t>团队人员</w:t>
            </w:r>
          </w:p>
        </w:tc>
        <w:tc>
          <w:tcPr>
            <w:tcW w:w="15902" w:type="dxa"/>
            <w:vAlign w:val="center"/>
          </w:tcPr>
          <w:p>
            <w:pPr>
              <w:pStyle w:val="10"/>
              <w:framePr w:hSpace="0" w:wrap="auto" w:vAnchor="margin" w:hAnchor="text" w:xAlign="left" w:yAlign="inline"/>
              <w:rPr>
                <w:rFonts w:hint="eastAsia" w:ascii="微软雅黑" w:hAnsi="微软雅黑" w:eastAsia="微软雅黑" w:cs="微软雅黑"/>
                <w:color w:val="auto"/>
                <w:sz w:val="28"/>
                <w:szCs w:val="28"/>
                <w:highlight w:val="none"/>
                <w:lang w:val="en-US" w:eastAsia="zh-CN"/>
              </w:rPr>
            </w:pPr>
            <w:r>
              <w:rPr>
                <w:rFonts w:hint="eastAsia" w:ascii="微软雅黑" w:hAnsi="微软雅黑" w:eastAsia="微软雅黑" w:cs="微软雅黑"/>
                <w:color w:val="auto"/>
                <w:sz w:val="28"/>
                <w:szCs w:val="28"/>
                <w:highlight w:val="none"/>
                <w:lang w:eastAsia="zh-CN"/>
              </w:rPr>
              <w:t>投标人须承诺为本项目配备合格、稳定的执行团队，</w:t>
            </w:r>
            <w:r>
              <w:rPr>
                <w:rFonts w:hint="eastAsia" w:ascii="微软雅黑" w:hAnsi="微软雅黑" w:eastAsia="微软雅黑" w:cs="微软雅黑"/>
                <w:color w:val="auto"/>
                <w:sz w:val="28"/>
                <w:szCs w:val="28"/>
                <w:highlight w:val="none"/>
                <w:lang w:val="en-US" w:eastAsia="zh-CN"/>
              </w:rPr>
              <w:t>需安排一名具有项目经验的项目负责人，另需</w:t>
            </w:r>
            <w:r>
              <w:rPr>
                <w:rFonts w:hint="eastAsia" w:ascii="微软雅黑" w:hAnsi="微软雅黑" w:eastAsia="微软雅黑" w:cs="微软雅黑"/>
                <w:color w:val="auto"/>
                <w:sz w:val="28"/>
                <w:szCs w:val="28"/>
                <w:highlight w:val="none"/>
                <w:lang w:eastAsia="zh-CN"/>
              </w:rPr>
              <w:t>指定一名具有丰富现场安装施工经验的项目经理负责现场的管理和协调。</w:t>
            </w:r>
            <w:r>
              <w:rPr>
                <w:rFonts w:hint="eastAsia" w:ascii="微软雅黑" w:hAnsi="微软雅黑" w:eastAsia="微软雅黑" w:cs="微软雅黑"/>
                <w:color w:val="auto"/>
                <w:sz w:val="28"/>
                <w:szCs w:val="28"/>
                <w:highlight w:val="none"/>
                <w:lang w:val="en-US" w:eastAsia="zh-CN"/>
              </w:rPr>
              <w:t>并明确生产管理团队及现场安装团队</w:t>
            </w:r>
          </w:p>
          <w:p>
            <w:pPr>
              <w:pStyle w:val="10"/>
              <w:framePr w:hSpace="0" w:wrap="auto" w:vAnchor="margin" w:hAnchor="text" w:xAlign="left" w:yAlign="inline"/>
              <w:rPr>
                <w:rFonts w:hint="eastAsia" w:ascii="微软雅黑" w:hAnsi="微软雅黑" w:eastAsia="微软雅黑" w:cs="微软雅黑"/>
                <w:color w:val="auto"/>
                <w:sz w:val="28"/>
                <w:szCs w:val="28"/>
                <w:highlight w:val="none"/>
                <w:lang w:eastAsia="zh-CN"/>
              </w:rPr>
            </w:pPr>
            <w:r>
              <w:rPr>
                <w:rFonts w:hint="eastAsia" w:ascii="微软雅黑" w:hAnsi="微软雅黑" w:eastAsia="微软雅黑" w:cs="微软雅黑"/>
                <w:color w:val="auto"/>
                <w:sz w:val="28"/>
                <w:szCs w:val="28"/>
                <w:highlight w:val="none"/>
                <w:lang w:eastAsia="zh-CN"/>
              </w:rPr>
              <w:t>（1）项目</w:t>
            </w:r>
            <w:r>
              <w:rPr>
                <w:rFonts w:hint="eastAsia" w:ascii="微软雅黑" w:hAnsi="微软雅黑" w:eastAsia="微软雅黑" w:cs="微软雅黑"/>
                <w:color w:val="auto"/>
                <w:sz w:val="28"/>
                <w:szCs w:val="28"/>
                <w:highlight w:val="none"/>
                <w:lang w:val="en-US" w:eastAsia="zh-CN"/>
              </w:rPr>
              <w:t>负责人</w:t>
            </w:r>
          </w:p>
          <w:p>
            <w:pPr>
              <w:pStyle w:val="10"/>
              <w:framePr w:hSpace="0" w:wrap="auto" w:vAnchor="margin" w:hAnchor="text" w:xAlign="left" w:yAlign="inline"/>
              <w:rPr>
                <w:rFonts w:hint="eastAsia" w:ascii="微软雅黑" w:hAnsi="微软雅黑" w:eastAsia="微软雅黑" w:cs="微软雅黑"/>
                <w:color w:val="auto"/>
                <w:sz w:val="28"/>
                <w:szCs w:val="28"/>
                <w:highlight w:val="none"/>
                <w:lang w:eastAsia="zh-CN"/>
              </w:rPr>
            </w:pPr>
            <w:r>
              <w:rPr>
                <w:rFonts w:hint="eastAsia" w:ascii="微软雅黑" w:hAnsi="微软雅黑" w:eastAsia="微软雅黑" w:cs="微软雅黑"/>
                <w:color w:val="auto"/>
                <w:sz w:val="28"/>
                <w:szCs w:val="28"/>
                <w:highlight w:val="none"/>
                <w:lang w:eastAsia="zh-CN"/>
              </w:rPr>
              <w:t>①工作要求：负责整个项目的协调与管理，具备丰富的项目管理经验，执行和批准各管理程序，对项目总负责。</w:t>
            </w:r>
          </w:p>
          <w:p>
            <w:pPr>
              <w:pStyle w:val="10"/>
              <w:framePr w:hSpace="0" w:wrap="auto" w:vAnchor="margin" w:hAnchor="text" w:xAlign="left" w:yAlign="inline"/>
              <w:rPr>
                <w:rFonts w:hint="eastAsia" w:ascii="微软雅黑" w:hAnsi="微软雅黑" w:eastAsia="微软雅黑" w:cs="微软雅黑"/>
                <w:color w:val="auto"/>
                <w:sz w:val="28"/>
                <w:szCs w:val="28"/>
                <w:highlight w:val="none"/>
                <w:lang w:eastAsia="zh-CN"/>
              </w:rPr>
            </w:pPr>
            <w:r>
              <w:rPr>
                <w:rFonts w:hint="eastAsia" w:ascii="微软雅黑" w:hAnsi="微软雅黑" w:eastAsia="微软雅黑" w:cs="微软雅黑"/>
                <w:color w:val="auto"/>
                <w:sz w:val="28"/>
                <w:szCs w:val="28"/>
                <w:highlight w:val="none"/>
                <w:lang w:eastAsia="zh-CN"/>
              </w:rPr>
              <w:t>②工作经验：项目管理经验≥5年</w:t>
            </w:r>
          </w:p>
          <w:p>
            <w:pPr>
              <w:pStyle w:val="10"/>
              <w:framePr w:hSpace="0" w:wrap="auto" w:vAnchor="margin" w:hAnchor="text" w:xAlign="left" w:yAlign="inline"/>
              <w:rPr>
                <w:rFonts w:hint="eastAsia" w:ascii="微软雅黑" w:hAnsi="微软雅黑" w:eastAsia="微软雅黑" w:cs="微软雅黑"/>
                <w:color w:val="auto"/>
                <w:sz w:val="28"/>
                <w:szCs w:val="28"/>
                <w:highlight w:val="none"/>
                <w:lang w:val="en-US" w:eastAsia="zh-CN"/>
              </w:rPr>
            </w:pPr>
            <w:r>
              <w:rPr>
                <w:rFonts w:hint="eastAsia" w:ascii="微软雅黑" w:hAnsi="微软雅黑" w:eastAsia="微软雅黑" w:cs="微软雅黑"/>
                <w:color w:val="auto"/>
                <w:sz w:val="28"/>
                <w:szCs w:val="28"/>
                <w:highlight w:val="none"/>
                <w:lang w:eastAsia="zh-CN"/>
              </w:rPr>
              <w:t>③提供项目</w:t>
            </w:r>
            <w:r>
              <w:rPr>
                <w:rFonts w:hint="eastAsia" w:ascii="微软雅黑" w:hAnsi="微软雅黑" w:eastAsia="微软雅黑" w:cs="微软雅黑"/>
                <w:color w:val="auto"/>
                <w:sz w:val="28"/>
                <w:szCs w:val="28"/>
                <w:highlight w:val="none"/>
                <w:lang w:val="en-US" w:eastAsia="zh-CN"/>
              </w:rPr>
              <w:t>负责人</w:t>
            </w:r>
            <w:r>
              <w:rPr>
                <w:rFonts w:hint="eastAsia" w:ascii="微软雅黑" w:hAnsi="微软雅黑" w:eastAsia="微软雅黑" w:cs="微软雅黑"/>
                <w:color w:val="auto"/>
                <w:sz w:val="28"/>
                <w:szCs w:val="28"/>
                <w:highlight w:val="none"/>
                <w:lang w:eastAsia="zh-CN"/>
              </w:rPr>
              <w:t>最近</w:t>
            </w:r>
            <w:r>
              <w:rPr>
                <w:rFonts w:hint="eastAsia" w:ascii="微软雅黑" w:hAnsi="微软雅黑" w:eastAsia="微软雅黑" w:cs="微软雅黑"/>
                <w:color w:val="auto"/>
                <w:sz w:val="28"/>
                <w:szCs w:val="28"/>
                <w:highlight w:val="none"/>
                <w:lang w:val="en-US" w:eastAsia="zh-CN"/>
              </w:rPr>
              <w:t>6个月内任意一个月在本单位缴纳社保的证明</w:t>
            </w:r>
          </w:p>
          <w:p>
            <w:pPr>
              <w:pStyle w:val="10"/>
              <w:framePr w:hSpace="0" w:wrap="auto" w:vAnchor="margin" w:hAnchor="text" w:xAlign="left" w:yAlign="inline"/>
              <w:rPr>
                <w:rFonts w:hint="eastAsia" w:ascii="微软雅黑" w:hAnsi="微软雅黑" w:eastAsia="微软雅黑" w:cs="微软雅黑"/>
                <w:color w:val="auto"/>
                <w:sz w:val="28"/>
                <w:szCs w:val="28"/>
                <w:highlight w:val="none"/>
                <w:lang w:eastAsia="zh-CN"/>
              </w:rPr>
            </w:pPr>
            <w:r>
              <w:rPr>
                <w:rFonts w:hint="eastAsia" w:ascii="微软雅黑" w:hAnsi="微软雅黑" w:eastAsia="微软雅黑" w:cs="微软雅黑"/>
                <w:color w:val="auto"/>
                <w:sz w:val="28"/>
                <w:szCs w:val="28"/>
                <w:highlight w:val="none"/>
                <w:lang w:eastAsia="zh-CN"/>
              </w:rPr>
              <w:t>（</w:t>
            </w:r>
            <w:r>
              <w:rPr>
                <w:rFonts w:hint="eastAsia" w:ascii="微软雅黑" w:hAnsi="微软雅黑" w:eastAsia="微软雅黑" w:cs="微软雅黑"/>
                <w:color w:val="auto"/>
                <w:sz w:val="28"/>
                <w:szCs w:val="28"/>
                <w:highlight w:val="none"/>
                <w:lang w:val="en-US" w:eastAsia="zh-CN"/>
              </w:rPr>
              <w:t>2</w:t>
            </w:r>
            <w:r>
              <w:rPr>
                <w:rFonts w:hint="eastAsia" w:ascii="微软雅黑" w:hAnsi="微软雅黑" w:eastAsia="微软雅黑" w:cs="微软雅黑"/>
                <w:color w:val="auto"/>
                <w:sz w:val="28"/>
                <w:szCs w:val="28"/>
                <w:highlight w:val="none"/>
                <w:lang w:eastAsia="zh-CN"/>
              </w:rPr>
              <w:t>）</w:t>
            </w:r>
            <w:r>
              <w:rPr>
                <w:rFonts w:hint="eastAsia" w:ascii="微软雅黑" w:hAnsi="微软雅黑" w:eastAsia="微软雅黑" w:cs="微软雅黑"/>
                <w:color w:val="auto"/>
                <w:sz w:val="28"/>
                <w:szCs w:val="28"/>
                <w:highlight w:val="none"/>
                <w:lang w:val="en-US" w:eastAsia="zh-CN"/>
              </w:rPr>
              <w:t>生产管理团队及现场安装团队</w:t>
            </w:r>
          </w:p>
          <w:p>
            <w:pPr>
              <w:pStyle w:val="10"/>
              <w:framePr w:hSpace="0" w:wrap="auto" w:vAnchor="margin" w:hAnchor="text" w:xAlign="left" w:yAlign="inline"/>
              <w:rPr>
                <w:rFonts w:hint="eastAsia" w:ascii="微软雅黑" w:hAnsi="微软雅黑" w:eastAsia="微软雅黑" w:cs="微软雅黑"/>
                <w:color w:val="auto"/>
                <w:sz w:val="28"/>
                <w:szCs w:val="28"/>
                <w:highlight w:val="none"/>
                <w:lang w:eastAsia="zh-CN"/>
              </w:rPr>
            </w:pPr>
            <w:r>
              <w:rPr>
                <w:rFonts w:hint="eastAsia" w:ascii="微软雅黑" w:hAnsi="微软雅黑" w:eastAsia="微软雅黑" w:cs="微软雅黑"/>
                <w:color w:val="auto"/>
                <w:sz w:val="28"/>
                <w:szCs w:val="28"/>
                <w:highlight w:val="none"/>
                <w:lang w:eastAsia="zh-CN"/>
              </w:rPr>
              <w:t>①工作要求：</w:t>
            </w:r>
            <w:r>
              <w:rPr>
                <w:rFonts w:hint="eastAsia" w:ascii="微软雅黑" w:hAnsi="微软雅黑" w:eastAsia="微软雅黑" w:cs="微软雅黑"/>
                <w:color w:val="auto"/>
                <w:sz w:val="28"/>
                <w:szCs w:val="28"/>
                <w:highlight w:val="none"/>
                <w:lang w:val="en-US" w:eastAsia="zh-CN"/>
              </w:rPr>
              <w:t>负责生产管理全流程监督、</w:t>
            </w:r>
            <w:r>
              <w:rPr>
                <w:rFonts w:hint="eastAsia" w:ascii="微软雅黑" w:hAnsi="微软雅黑" w:eastAsia="微软雅黑" w:cs="微软雅黑"/>
                <w:color w:val="auto"/>
                <w:sz w:val="28"/>
                <w:szCs w:val="28"/>
                <w:highlight w:val="none"/>
                <w:lang w:eastAsia="zh-CN"/>
              </w:rPr>
              <w:t>负责现场施工组安装，提供使用培训，熟悉常用备件及更换流程，提供技术支持，包括负责日常巡检、故障排查及维修工作。需确保人员安排合理、技术先进、功能完善。</w:t>
            </w:r>
          </w:p>
          <w:p>
            <w:pPr>
              <w:pStyle w:val="10"/>
              <w:framePr w:hSpace="0" w:wrap="auto" w:vAnchor="margin" w:hAnchor="text" w:xAlign="left" w:yAlign="inline"/>
              <w:rPr>
                <w:rFonts w:hint="eastAsia" w:ascii="微软雅黑" w:hAnsi="微软雅黑" w:eastAsia="微软雅黑" w:cs="微软雅黑"/>
                <w:color w:val="auto"/>
                <w:sz w:val="28"/>
                <w:szCs w:val="28"/>
                <w:highlight w:val="none"/>
                <w:lang w:val="en-US" w:eastAsia="zh-CN"/>
              </w:rPr>
            </w:pPr>
            <w:r>
              <w:rPr>
                <w:rFonts w:hint="eastAsia" w:ascii="微软雅黑" w:hAnsi="微软雅黑" w:eastAsia="微软雅黑" w:cs="微软雅黑"/>
                <w:color w:val="auto"/>
                <w:sz w:val="28"/>
                <w:szCs w:val="28"/>
                <w:highlight w:val="none"/>
                <w:lang w:val="en-US" w:eastAsia="zh-CN"/>
              </w:rPr>
              <w:t>②提供团队管理人员</w:t>
            </w:r>
            <w:r>
              <w:rPr>
                <w:rFonts w:hint="eastAsia" w:ascii="微软雅黑" w:hAnsi="微软雅黑" w:eastAsia="微软雅黑" w:cs="微软雅黑"/>
                <w:color w:val="auto"/>
                <w:sz w:val="28"/>
                <w:szCs w:val="28"/>
                <w:highlight w:val="none"/>
                <w:lang w:eastAsia="zh-CN"/>
              </w:rPr>
              <w:t>最近</w:t>
            </w:r>
            <w:r>
              <w:rPr>
                <w:rFonts w:hint="eastAsia" w:ascii="微软雅黑" w:hAnsi="微软雅黑" w:eastAsia="微软雅黑" w:cs="微软雅黑"/>
                <w:color w:val="auto"/>
                <w:sz w:val="28"/>
                <w:szCs w:val="28"/>
                <w:highlight w:val="none"/>
                <w:lang w:val="en-US" w:eastAsia="zh-CN"/>
              </w:rPr>
              <w:t>6个月内任意一个月在本单位缴纳社保的证明</w:t>
            </w:r>
          </w:p>
          <w:p>
            <w:pPr>
              <w:pStyle w:val="10"/>
              <w:framePr w:hSpace="0" w:wrap="auto" w:vAnchor="margin" w:hAnchor="text" w:xAlign="left" w:yAlign="inline"/>
              <w:rPr>
                <w:rFonts w:hint="eastAsia" w:ascii="微软雅黑" w:hAnsi="微软雅黑" w:eastAsia="微软雅黑" w:cs="微软雅黑"/>
                <w:color w:val="auto"/>
                <w:sz w:val="28"/>
                <w:szCs w:val="28"/>
                <w:highlight w:val="none"/>
                <w:lang w:eastAsia="zh-CN"/>
              </w:rPr>
            </w:pPr>
            <w:r>
              <w:rPr>
                <w:rFonts w:hint="eastAsia" w:ascii="微软雅黑" w:hAnsi="微软雅黑" w:eastAsia="微软雅黑" w:cs="微软雅黑"/>
                <w:color w:val="auto"/>
                <w:sz w:val="28"/>
                <w:szCs w:val="28"/>
                <w:highlight w:val="none"/>
                <w:lang w:eastAsia="zh-CN"/>
              </w:rPr>
              <w:t>③投标人须具有稳定的在职安装团队，投标人应承诺经采购方认定的项目</w:t>
            </w:r>
            <w:r>
              <w:rPr>
                <w:rFonts w:hint="eastAsia" w:ascii="微软雅黑" w:hAnsi="微软雅黑" w:eastAsia="微软雅黑" w:cs="微软雅黑"/>
                <w:color w:val="auto"/>
                <w:sz w:val="28"/>
                <w:szCs w:val="28"/>
                <w:highlight w:val="none"/>
                <w:lang w:val="en-US" w:eastAsia="zh-CN"/>
              </w:rPr>
              <w:t>负责人</w:t>
            </w:r>
            <w:r>
              <w:rPr>
                <w:rFonts w:hint="eastAsia" w:ascii="微软雅黑" w:hAnsi="微软雅黑" w:eastAsia="微软雅黑" w:cs="微软雅黑"/>
                <w:color w:val="auto"/>
                <w:sz w:val="28"/>
                <w:szCs w:val="28"/>
                <w:highlight w:val="none"/>
                <w:lang w:eastAsia="zh-CN"/>
              </w:rPr>
              <w:t>及项目团队人员必须是本单位职工（在本单位缴纳社会保障金）和该项目实施现场的实际操作者。未经采购方同意，中标人不得调换或撤离上述人员。如采购方认为有必要，可要求中标人对上述人员中的部分人员作出更好的调整。</w:t>
            </w:r>
          </w:p>
        </w:tc>
      </w:tr>
    </w:tbl>
    <w:p>
      <w:pPr>
        <w:pStyle w:val="4"/>
        <w:spacing w:before="44" w:line="360" w:lineRule="auto"/>
        <w:jc w:val="both"/>
        <w:rPr>
          <w:rFonts w:hint="eastAsia"/>
          <w:b/>
          <w:bCs/>
          <w:sz w:val="21"/>
          <w:szCs w:val="21"/>
          <w:highlight w:val="none"/>
          <w:lang w:eastAsia="zh-CN"/>
        </w:rPr>
      </w:pPr>
    </w:p>
    <w:p>
      <w:pPr>
        <w:spacing w:before="130" w:line="222" w:lineRule="auto"/>
        <w:rPr>
          <w:rFonts w:hint="eastAsia" w:ascii="微软雅黑" w:hAnsi="微软雅黑" w:eastAsia="微软雅黑" w:cs="微软雅黑"/>
          <w:color w:val="auto"/>
          <w:sz w:val="32"/>
          <w:szCs w:val="32"/>
          <w:highlight w:val="none"/>
          <w:lang w:eastAsia="zh-CN"/>
        </w:rPr>
      </w:pPr>
    </w:p>
    <w:p>
      <w:pPr>
        <w:spacing w:before="130" w:line="222" w:lineRule="auto"/>
        <w:rPr>
          <w:rFonts w:hint="eastAsia" w:ascii="微软雅黑" w:hAnsi="微软雅黑" w:eastAsia="微软雅黑" w:cs="微软雅黑"/>
          <w:color w:val="auto"/>
          <w:sz w:val="32"/>
          <w:szCs w:val="32"/>
          <w:highlight w:val="none"/>
          <w:lang w:eastAsia="zh-CN"/>
        </w:rPr>
      </w:pPr>
    </w:p>
    <w:p>
      <w:pPr>
        <w:spacing w:before="130" w:line="222" w:lineRule="auto"/>
        <w:rPr>
          <w:rFonts w:hint="eastAsia" w:ascii="微软雅黑" w:hAnsi="微软雅黑" w:eastAsia="微软雅黑" w:cs="微软雅黑"/>
          <w:color w:val="auto"/>
          <w:sz w:val="32"/>
          <w:szCs w:val="32"/>
          <w:highlight w:val="none"/>
          <w:lang w:eastAsia="zh-CN"/>
        </w:rPr>
      </w:pPr>
    </w:p>
    <w:p>
      <w:pPr>
        <w:pStyle w:val="4"/>
        <w:spacing w:before="313" w:line="360" w:lineRule="auto"/>
        <w:ind w:left="40" w:firstLine="688" w:firstLineChars="200"/>
        <w:rPr>
          <w:rFonts w:hint="eastAsia" w:ascii="微软雅黑" w:hAnsi="微软雅黑" w:eastAsia="微软雅黑" w:cs="微软雅黑"/>
          <w:b/>
          <w:bCs/>
          <w:spacing w:val="12"/>
          <w:sz w:val="32"/>
          <w:szCs w:val="32"/>
          <w:highlight w:val="none"/>
          <w:lang w:val="en-US" w:eastAsia="zh-CN"/>
        </w:rPr>
      </w:pPr>
    </w:p>
    <w:p>
      <w:pPr>
        <w:pStyle w:val="4"/>
        <w:spacing w:before="313" w:line="360" w:lineRule="auto"/>
        <w:ind w:left="40" w:firstLine="688" w:firstLineChars="200"/>
        <w:rPr>
          <w:rFonts w:hint="eastAsia" w:ascii="微软雅黑" w:hAnsi="微软雅黑" w:eastAsia="微软雅黑" w:cs="微软雅黑"/>
          <w:b/>
          <w:bCs/>
          <w:spacing w:val="12"/>
          <w:sz w:val="32"/>
          <w:szCs w:val="32"/>
          <w:highlight w:val="none"/>
          <w:lang w:val="en-US" w:eastAsia="zh-CN"/>
        </w:rPr>
      </w:pPr>
    </w:p>
    <w:p>
      <w:pPr>
        <w:pStyle w:val="4"/>
        <w:spacing w:before="313" w:line="360" w:lineRule="auto"/>
        <w:rPr>
          <w:rFonts w:hint="eastAsia" w:ascii="微软雅黑" w:hAnsi="微软雅黑" w:eastAsia="微软雅黑" w:cs="微软雅黑"/>
          <w:b/>
          <w:bCs/>
          <w:spacing w:val="12"/>
          <w:sz w:val="32"/>
          <w:szCs w:val="32"/>
          <w:highlight w:val="none"/>
          <w:lang w:val="en-US" w:eastAsia="zh-CN"/>
        </w:rPr>
      </w:pPr>
    </w:p>
    <w:p>
      <w:pPr>
        <w:pStyle w:val="4"/>
        <w:spacing w:before="313" w:line="360" w:lineRule="auto"/>
        <w:rPr>
          <w:rFonts w:hint="eastAsia" w:ascii="微软雅黑" w:hAnsi="微软雅黑" w:eastAsia="微软雅黑" w:cs="微软雅黑"/>
          <w:b/>
          <w:bCs/>
          <w:spacing w:val="12"/>
          <w:sz w:val="32"/>
          <w:szCs w:val="32"/>
          <w:highlight w:val="none"/>
          <w:lang w:val="en-US" w:eastAsia="zh-CN"/>
        </w:rPr>
      </w:pPr>
    </w:p>
    <w:p>
      <w:pPr>
        <w:pStyle w:val="4"/>
        <w:spacing w:before="313" w:line="360" w:lineRule="auto"/>
        <w:rPr>
          <w:rFonts w:hint="eastAsia" w:ascii="微软雅黑" w:hAnsi="微软雅黑" w:eastAsia="微软雅黑" w:cs="微软雅黑"/>
          <w:b/>
          <w:bCs/>
          <w:spacing w:val="12"/>
          <w:sz w:val="32"/>
          <w:szCs w:val="32"/>
          <w:highlight w:val="none"/>
          <w:lang w:val="en-US" w:eastAsia="zh-CN"/>
        </w:rPr>
      </w:pPr>
    </w:p>
    <w:p>
      <w:pPr>
        <w:pStyle w:val="4"/>
        <w:spacing w:before="313" w:line="360" w:lineRule="auto"/>
        <w:rPr>
          <w:rFonts w:hint="eastAsia" w:ascii="微软雅黑" w:hAnsi="微软雅黑" w:eastAsia="微软雅黑" w:cs="微软雅黑"/>
          <w:b/>
          <w:bCs/>
          <w:spacing w:val="12"/>
          <w:sz w:val="32"/>
          <w:szCs w:val="32"/>
          <w:highlight w:val="none"/>
          <w:lang w:eastAsia="zh-CN"/>
        </w:rPr>
      </w:pPr>
      <w:r>
        <w:rPr>
          <w:rFonts w:hint="eastAsia" w:ascii="微软雅黑" w:hAnsi="微软雅黑" w:eastAsia="微软雅黑" w:cs="微软雅黑"/>
          <w:b/>
          <w:bCs/>
          <w:spacing w:val="12"/>
          <w:sz w:val="32"/>
          <w:szCs w:val="32"/>
          <w:highlight w:val="none"/>
          <w:lang w:val="en-US" w:eastAsia="zh-CN"/>
        </w:rPr>
        <w:t>九</w:t>
      </w:r>
      <w:r>
        <w:rPr>
          <w:rFonts w:hint="eastAsia" w:ascii="微软雅黑" w:hAnsi="微软雅黑" w:eastAsia="微软雅黑" w:cs="微软雅黑"/>
          <w:b/>
          <w:bCs/>
          <w:spacing w:val="12"/>
          <w:sz w:val="32"/>
          <w:szCs w:val="32"/>
          <w:highlight w:val="none"/>
          <w:lang w:eastAsia="zh-CN"/>
        </w:rPr>
        <w:t>、其他要求</w:t>
      </w:r>
    </w:p>
    <w:p>
      <w:pPr>
        <w:numPr>
          <w:ilvl w:val="0"/>
          <w:numId w:val="5"/>
        </w:numPr>
        <w:spacing w:before="130" w:line="360" w:lineRule="auto"/>
        <w:rPr>
          <w:rFonts w:hint="eastAsia" w:ascii="微软雅黑" w:hAnsi="微软雅黑" w:eastAsia="微软雅黑" w:cs="微软雅黑"/>
          <w:color w:val="auto"/>
          <w:sz w:val="28"/>
          <w:szCs w:val="28"/>
          <w:highlight w:val="none"/>
          <w:lang w:val="en-US" w:eastAsia="zh-CN"/>
        </w:rPr>
      </w:pPr>
      <w:r>
        <w:rPr>
          <w:rFonts w:hint="eastAsia" w:ascii="微软雅黑" w:hAnsi="微软雅黑" w:eastAsia="微软雅黑" w:cs="微软雅黑"/>
          <w:color w:val="auto"/>
          <w:sz w:val="28"/>
          <w:szCs w:val="28"/>
          <w:highlight w:val="none"/>
          <w:lang w:val="en-US" w:eastAsia="zh-CN"/>
        </w:rPr>
        <w:t>清单内产品尺寸为参考尺寸，以现场测量结果为准，但总价固定不做调整，投标人报价时应综合考虑该因素。</w:t>
      </w:r>
    </w:p>
    <w:p>
      <w:pPr>
        <w:numPr>
          <w:ilvl w:val="0"/>
          <w:numId w:val="5"/>
        </w:numPr>
        <w:spacing w:before="130" w:line="360" w:lineRule="auto"/>
        <w:rPr>
          <w:rFonts w:hint="default" w:ascii="微软雅黑" w:hAnsi="微软雅黑" w:eastAsia="微软雅黑" w:cs="微软雅黑"/>
          <w:color w:val="auto"/>
          <w:sz w:val="28"/>
          <w:szCs w:val="28"/>
          <w:highlight w:val="none"/>
          <w:lang w:val="en-US" w:eastAsia="zh-CN"/>
        </w:rPr>
      </w:pPr>
      <w:r>
        <w:rPr>
          <w:rFonts w:hint="eastAsia" w:ascii="微软雅黑" w:hAnsi="微软雅黑" w:eastAsia="微软雅黑" w:cs="微软雅黑"/>
          <w:color w:val="auto"/>
          <w:sz w:val="28"/>
          <w:szCs w:val="28"/>
          <w:highlight w:val="none"/>
          <w:lang w:val="en-US" w:eastAsia="zh-CN"/>
        </w:rPr>
        <w:t>本项目涉及部门利旧家具搬迁、安装、整修（与环境不合适的要做整修）。</w:t>
      </w:r>
    </w:p>
    <w:p>
      <w:pPr>
        <w:pStyle w:val="4"/>
        <w:spacing w:line="360" w:lineRule="auto"/>
        <w:rPr>
          <w:rFonts w:hint="eastAsia"/>
          <w:spacing w:val="-2"/>
          <w:highlight w:val="none"/>
          <w:lang w:eastAsia="zh-CN"/>
        </w:rPr>
      </w:pPr>
    </w:p>
    <w:bookmarkEnd w:id="6"/>
    <w:p>
      <w:pPr>
        <w:pStyle w:val="4"/>
        <w:spacing w:line="360" w:lineRule="auto"/>
        <w:rPr>
          <w:rFonts w:hint="eastAsia"/>
          <w:spacing w:val="-2"/>
          <w:highlight w:val="none"/>
          <w:lang w:eastAsia="zh-CN"/>
        </w:rPr>
      </w:pPr>
    </w:p>
    <w:p>
      <w:pPr>
        <w:pStyle w:val="4"/>
        <w:spacing w:line="360" w:lineRule="auto"/>
        <w:rPr>
          <w:rFonts w:hint="default"/>
          <w:spacing w:val="-2"/>
          <w:highlight w:val="none"/>
          <w:lang w:val="en-US" w:eastAsia="zh-CN"/>
        </w:rPr>
      </w:pPr>
    </w:p>
    <w:p>
      <w:pPr>
        <w:rPr>
          <w:highlight w:val="none"/>
        </w:rPr>
      </w:pPr>
    </w:p>
    <w:sectPr>
      <w:pgSz w:w="23811" w:h="16838"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A0F3C52" w:usb2="00000016" w:usb3="00000000" w:csb0="0004001F" w:csb1="00000000"/>
  </w:font>
  <w:font w:name="CESI宋体-GB2312">
    <w:panose1 w:val="02000500000000000000"/>
    <w:charset w:val="86"/>
    <w:family w:val="auto"/>
    <w:pitch w:val="default"/>
    <w:sig w:usb0="800002AF" w:usb1="08476CF8" w:usb2="00000010"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499F14"/>
    <w:multiLevelType w:val="singleLevel"/>
    <w:tmpl w:val="A5499F14"/>
    <w:lvl w:ilvl="0" w:tentative="0">
      <w:start w:val="1"/>
      <w:numFmt w:val="decimal"/>
      <w:suff w:val="nothing"/>
      <w:lvlText w:val="%1、"/>
      <w:lvlJc w:val="left"/>
    </w:lvl>
  </w:abstractNum>
  <w:abstractNum w:abstractNumId="1">
    <w:nsid w:val="DFA98C30"/>
    <w:multiLevelType w:val="singleLevel"/>
    <w:tmpl w:val="DFA98C30"/>
    <w:lvl w:ilvl="0" w:tentative="0">
      <w:start w:val="1"/>
      <w:numFmt w:val="decimal"/>
      <w:lvlText w:val="%1."/>
      <w:lvlJc w:val="left"/>
      <w:pPr>
        <w:tabs>
          <w:tab w:val="left" w:pos="312"/>
        </w:tabs>
      </w:pPr>
    </w:lvl>
  </w:abstractNum>
  <w:abstractNum w:abstractNumId="2">
    <w:nsid w:val="EEF7AE58"/>
    <w:multiLevelType w:val="singleLevel"/>
    <w:tmpl w:val="EEF7AE58"/>
    <w:lvl w:ilvl="0" w:tentative="0">
      <w:start w:val="1"/>
      <w:numFmt w:val="chineseCounting"/>
      <w:suff w:val="nothing"/>
      <w:lvlText w:val="（%1）"/>
      <w:lvlJc w:val="left"/>
      <w:rPr>
        <w:rFonts w:hint="eastAsia"/>
      </w:rPr>
    </w:lvl>
  </w:abstractNum>
  <w:abstractNum w:abstractNumId="3">
    <w:nsid w:val="F9685BAA"/>
    <w:multiLevelType w:val="singleLevel"/>
    <w:tmpl w:val="F9685BAA"/>
    <w:lvl w:ilvl="0" w:tentative="0">
      <w:start w:val="4"/>
      <w:numFmt w:val="chineseCounting"/>
      <w:suff w:val="nothing"/>
      <w:lvlText w:val="%1、"/>
      <w:lvlJc w:val="left"/>
      <w:rPr>
        <w:rFonts w:hint="eastAsia"/>
        <w:sz w:val="28"/>
        <w:szCs w:val="28"/>
      </w:rPr>
    </w:lvl>
  </w:abstractNum>
  <w:abstractNum w:abstractNumId="4">
    <w:nsid w:val="68FC797E"/>
    <w:multiLevelType w:val="singleLevel"/>
    <w:tmpl w:val="68FC797E"/>
    <w:lvl w:ilvl="0" w:tentative="0">
      <w:start w:val="2"/>
      <w:numFmt w:val="chineseCounting"/>
      <w:suff w:val="nothing"/>
      <w:lvlText w:val="%1、"/>
      <w:lvlJc w:val="left"/>
      <w:rPr>
        <w:rFonts w:hint="eastAsia"/>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3E4DCD"/>
    <w:rsid w:val="07871169"/>
    <w:rsid w:val="0FF7118F"/>
    <w:rsid w:val="1F2F7669"/>
    <w:rsid w:val="23536501"/>
    <w:rsid w:val="25DA97DF"/>
    <w:rsid w:val="2BE36C18"/>
    <w:rsid w:val="35737A3E"/>
    <w:rsid w:val="39537046"/>
    <w:rsid w:val="3CBF66BA"/>
    <w:rsid w:val="3CFCD36A"/>
    <w:rsid w:val="3CFFFDEB"/>
    <w:rsid w:val="3ECB32CC"/>
    <w:rsid w:val="45F97025"/>
    <w:rsid w:val="463E4DCD"/>
    <w:rsid w:val="4CCF6153"/>
    <w:rsid w:val="4FFB5B85"/>
    <w:rsid w:val="55CF0E34"/>
    <w:rsid w:val="577F4104"/>
    <w:rsid w:val="57F79FD7"/>
    <w:rsid w:val="5BEF483E"/>
    <w:rsid w:val="5BFA8BAC"/>
    <w:rsid w:val="5DB4F557"/>
    <w:rsid w:val="5EBF31CF"/>
    <w:rsid w:val="5FFE236B"/>
    <w:rsid w:val="60D22668"/>
    <w:rsid w:val="653344BB"/>
    <w:rsid w:val="675608AD"/>
    <w:rsid w:val="6DDFFE6A"/>
    <w:rsid w:val="6FCAEB6D"/>
    <w:rsid w:val="6FFD11EE"/>
    <w:rsid w:val="6FFE4C6C"/>
    <w:rsid w:val="7AFFF284"/>
    <w:rsid w:val="7BDF8DE2"/>
    <w:rsid w:val="7DF5FC61"/>
    <w:rsid w:val="95C50FC5"/>
    <w:rsid w:val="9F2F6A76"/>
    <w:rsid w:val="B8FDBDD5"/>
    <w:rsid w:val="BB9F92C8"/>
    <w:rsid w:val="BBF6FEB0"/>
    <w:rsid w:val="BDFFE49E"/>
    <w:rsid w:val="BEEF4C90"/>
    <w:rsid w:val="BFAC608B"/>
    <w:rsid w:val="BFFB9935"/>
    <w:rsid w:val="CBF797C7"/>
    <w:rsid w:val="CEFEDDA2"/>
    <w:rsid w:val="CF77F16F"/>
    <w:rsid w:val="D9B7B0BA"/>
    <w:rsid w:val="DBDB4A95"/>
    <w:rsid w:val="DF2F504C"/>
    <w:rsid w:val="EBFFDC1F"/>
    <w:rsid w:val="EDFF7E39"/>
    <w:rsid w:val="EF3F6CBB"/>
    <w:rsid w:val="EFF72D1A"/>
    <w:rsid w:val="F6F60A27"/>
    <w:rsid w:val="F75B725C"/>
    <w:rsid w:val="F7FB77FC"/>
    <w:rsid w:val="FBFB93E4"/>
    <w:rsid w:val="FCFB03DB"/>
    <w:rsid w:val="FCFE1296"/>
    <w:rsid w:val="FDABE13F"/>
    <w:rsid w:val="FDDF3BC5"/>
    <w:rsid w:val="FEBB9A7E"/>
    <w:rsid w:val="FFBF3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semiHidden/>
    <w:qFormat/>
    <w:uiPriority w:val="0"/>
    <w:rPr>
      <w:rFonts w:ascii="宋体" w:hAnsi="宋体" w:eastAsia="宋体" w:cs="宋体"/>
      <w:sz w:val="24"/>
      <w:szCs w:val="24"/>
    </w:rPr>
  </w:style>
  <w:style w:type="paragraph" w:styleId="5">
    <w:name w:val="index 4"/>
    <w:basedOn w:val="1"/>
    <w:next w:val="1"/>
    <w:qFormat/>
    <w:uiPriority w:val="0"/>
    <w:pPr>
      <w:spacing w:line="360" w:lineRule="auto"/>
      <w:ind w:left="600" w:leftChars="600"/>
    </w:pPr>
    <w:rPr>
      <w:sz w:val="24"/>
      <w:szCs w:val="24"/>
    </w:rPr>
  </w:style>
  <w:style w:type="character" w:styleId="8">
    <w:name w:val="Hyperlink"/>
    <w:basedOn w:val="7"/>
    <w:qFormat/>
    <w:uiPriority w:val="0"/>
    <w:rPr>
      <w:color w:val="0000FF"/>
      <w:u w:val="single"/>
    </w:rPr>
  </w:style>
  <w:style w:type="paragraph" w:styleId="9">
    <w:name w:val="List Paragraph"/>
    <w:basedOn w:val="1"/>
    <w:qFormat/>
    <w:uiPriority w:val="34"/>
    <w:pPr>
      <w:ind w:firstLine="420" w:firstLineChars="200"/>
    </w:pPr>
    <w:rPr>
      <w:rFonts w:ascii="Calibri" w:hAnsi="Calibri" w:eastAsia="宋体" w:cs="Times New Roman"/>
    </w:rPr>
  </w:style>
  <w:style w:type="paragraph" w:customStyle="1" w:styleId="10">
    <w:name w:val="Table Text"/>
    <w:basedOn w:val="1"/>
    <w:semiHidden/>
    <w:qFormat/>
    <w:uiPriority w:val="0"/>
    <w:pPr>
      <w:framePr w:hSpace="180" w:wrap="around" w:vAnchor="text" w:hAnchor="page" w:x="1456" w:y="594"/>
      <w:spacing w:before="91" w:line="360" w:lineRule="auto"/>
    </w:pPr>
    <w:rPr>
      <w:rFonts w:ascii="宋体" w:hAnsi="宋体" w:eastAsia="宋体" w:cs="宋体"/>
      <w:bCs/>
      <w:spacing w:val="-6"/>
      <w:lang w:eastAsia="zh-CN"/>
    </w:rPr>
  </w:style>
  <w:style w:type="table" w:customStyle="1" w:styleId="11">
    <w:name w:val="Table Normal"/>
    <w:semiHidden/>
    <w:unhideWhenUsed/>
    <w:qFormat/>
    <w:uiPriority w:val="0"/>
    <w:tblPr>
      <w:tblCellMar>
        <w:top w:w="0" w:type="dxa"/>
        <w:left w:w="0" w:type="dxa"/>
        <w:bottom w:w="0" w:type="dxa"/>
        <w:right w:w="0" w:type="dxa"/>
      </w:tblCellMar>
    </w:tblPr>
  </w:style>
  <w:style w:type="table" w:customStyle="1" w:styleId="12">
    <w:name w:val="Table Normal1"/>
    <w:semiHidden/>
    <w:unhideWhenUsed/>
    <w:qFormat/>
    <w:uiPriority w:val="0"/>
    <w:tblPr>
      <w:tblCellMar>
        <w:top w:w="0" w:type="dxa"/>
        <w:left w:w="0" w:type="dxa"/>
        <w:bottom w:w="0" w:type="dxa"/>
        <w:right w:w="0" w:type="dxa"/>
      </w:tblCellMar>
    </w:tblPr>
  </w:style>
  <w:style w:type="paragraph" w:customStyle="1" w:styleId="13">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1062</Words>
  <Characters>1240</Characters>
  <Lines>0</Lines>
  <Paragraphs>0</Paragraphs>
  <TotalTime>1</TotalTime>
  <ScaleCrop>false</ScaleCrop>
  <LinksUpToDate>false</LinksUpToDate>
  <CharactersWithSpaces>1256</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2025-05-30T16:03:00Z</dcterms:created>
  <dc:creator>李润佳</dc:creator>
  <cp:lastModifiedBy>高际航</cp:lastModifiedBy>
  <dcterms:modified xsi:type="dcterms:W3CDTF">2025-06-03T08:46:59Z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D1E20140FBBAAC6E220E3968B3786433_43</vt:lpwstr>
  </property>
  <property fmtid="{D5CDD505-2E9C-101B-9397-08002B2CF9AE}" pid="4" name="KSOTemplateDocerSaveRecord">
    <vt:lpwstr>eyJoZGlkIjoiMWFlNDJjMTdjYzMwZmIwM2E0ZGIzYmE3Yzg4NzM3YWEiLCJ1c2VySWQiOiIzMzY0MzU2MDIifQ==</vt:lpwstr>
  </property>
</Properties>
</file>